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CFA" w:rsidRDefault="00117CFA" w:rsidP="00117CFA">
      <w:pPr>
        <w:jc w:val="center"/>
        <w:rPr>
          <w:rFonts w:eastAsia="Times New Roman"/>
          <w:b/>
          <w:sz w:val="40"/>
          <w:szCs w:val="24"/>
          <w:lang w:eastAsia="en-AU"/>
        </w:rPr>
      </w:pPr>
      <w:bookmarkStart w:id="0" w:name="_Toc387916740"/>
      <w:r w:rsidRPr="00A628B6">
        <w:rPr>
          <w:noProof/>
          <w:lang w:eastAsia="en-AU"/>
        </w:rPr>
        <w:drawing>
          <wp:anchor distT="0" distB="0" distL="114300" distR="114300" simplePos="0" relativeHeight="251659264" behindDoc="1" locked="0" layoutInCell="1" allowOverlap="1" wp14:anchorId="078C2D3C" wp14:editId="27AFFAEA">
            <wp:simplePos x="0" y="0"/>
            <wp:positionH relativeFrom="column">
              <wp:posOffset>-909955</wp:posOffset>
            </wp:positionH>
            <wp:positionV relativeFrom="paragraph">
              <wp:posOffset>-909955</wp:posOffset>
            </wp:positionV>
            <wp:extent cx="7657465" cy="10791825"/>
            <wp:effectExtent l="0" t="0" r="0" b="0"/>
            <wp:wrapNone/>
            <wp:docPr id="1" name="Picture 1"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p>
    <w:p w:rsidR="00117CFA" w:rsidRDefault="00117CFA" w:rsidP="00117CFA">
      <w:pPr>
        <w:jc w:val="center"/>
        <w:rPr>
          <w:rFonts w:eastAsia="Times New Roman"/>
          <w:b/>
          <w:sz w:val="40"/>
          <w:szCs w:val="24"/>
          <w:lang w:eastAsia="en-AU"/>
        </w:rPr>
      </w:pPr>
    </w:p>
    <w:p w:rsidR="00117CFA" w:rsidRDefault="00117CFA" w:rsidP="00117CFA">
      <w:pPr>
        <w:jc w:val="center"/>
        <w:rPr>
          <w:rFonts w:eastAsia="Times New Roman"/>
          <w:b/>
          <w:sz w:val="40"/>
          <w:szCs w:val="24"/>
          <w:lang w:eastAsia="en-AU"/>
        </w:rPr>
      </w:pPr>
    </w:p>
    <w:p w:rsidR="00117CFA" w:rsidRDefault="00117CFA" w:rsidP="00117CFA">
      <w:pPr>
        <w:jc w:val="center"/>
      </w:pPr>
    </w:p>
    <w:p w:rsidR="00117CFA" w:rsidRDefault="00117CFA" w:rsidP="00117CFA">
      <w:pPr>
        <w:jc w:val="center"/>
      </w:pPr>
    </w:p>
    <w:p w:rsidR="00117CFA" w:rsidRDefault="00117CFA" w:rsidP="00117CFA">
      <w:pPr>
        <w:jc w:val="center"/>
        <w:rPr>
          <w:rFonts w:eastAsia="Times New Roman"/>
          <w:b/>
          <w:sz w:val="40"/>
          <w:szCs w:val="24"/>
          <w:lang w:eastAsia="en-AU"/>
        </w:rPr>
      </w:pPr>
    </w:p>
    <w:p w:rsidR="00117CFA" w:rsidRPr="00BA5160" w:rsidRDefault="00117CFA" w:rsidP="00117CFA">
      <w:pPr>
        <w:jc w:val="center"/>
        <w:rPr>
          <w:rFonts w:eastAsia="Times New Roman"/>
          <w:b/>
          <w:sz w:val="40"/>
          <w:szCs w:val="24"/>
          <w:lang w:eastAsia="en-AU"/>
        </w:rPr>
      </w:pPr>
      <w:r w:rsidRPr="00BA5160">
        <w:rPr>
          <w:rFonts w:eastAsia="Times New Roman"/>
          <w:b/>
          <w:sz w:val="40"/>
          <w:szCs w:val="24"/>
          <w:lang w:eastAsia="en-AU"/>
        </w:rPr>
        <w:t>Draft decision</w:t>
      </w:r>
    </w:p>
    <w:p w:rsidR="00117CFA" w:rsidRPr="00BA5160" w:rsidRDefault="00117CFA" w:rsidP="00117CFA">
      <w:pPr>
        <w:jc w:val="center"/>
        <w:rPr>
          <w:rFonts w:eastAsia="Times New Roman"/>
          <w:b/>
          <w:sz w:val="40"/>
          <w:szCs w:val="24"/>
          <w:lang w:eastAsia="en-AU"/>
        </w:rPr>
      </w:pPr>
      <w:r w:rsidRPr="00BA5160">
        <w:rPr>
          <w:rFonts w:eastAsia="Times New Roman"/>
          <w:b/>
          <w:sz w:val="40"/>
          <w:szCs w:val="24"/>
          <w:lang w:eastAsia="en-AU"/>
        </w:rPr>
        <w:t>Endeavour Energy distribution determination</w:t>
      </w:r>
    </w:p>
    <w:p w:rsidR="00117CFA" w:rsidRPr="00BA5160" w:rsidRDefault="00117CFA" w:rsidP="00117CFA">
      <w:pPr>
        <w:jc w:val="center"/>
        <w:rPr>
          <w:rFonts w:eastAsia="Times New Roman"/>
          <w:b/>
          <w:sz w:val="40"/>
          <w:szCs w:val="24"/>
          <w:lang w:eastAsia="en-AU"/>
        </w:rPr>
      </w:pPr>
      <w:r w:rsidRPr="00BA5160">
        <w:rPr>
          <w:rFonts w:eastAsia="Times New Roman"/>
          <w:b/>
          <w:sz w:val="40"/>
          <w:szCs w:val="24"/>
          <w:lang w:eastAsia="en-AU"/>
        </w:rPr>
        <w:t>2015–16 to 2018–19</w:t>
      </w:r>
    </w:p>
    <w:p w:rsidR="00117CFA" w:rsidRDefault="00117CFA" w:rsidP="00117CFA">
      <w:pPr>
        <w:jc w:val="center"/>
        <w:rPr>
          <w:rFonts w:eastAsia="Times New Roman"/>
          <w:b/>
          <w:sz w:val="40"/>
          <w:szCs w:val="24"/>
          <w:lang w:eastAsia="en-AU"/>
        </w:rPr>
      </w:pPr>
      <w:r w:rsidRPr="00BA5160">
        <w:rPr>
          <w:rFonts w:eastAsia="Times New Roman"/>
          <w:b/>
          <w:sz w:val="40"/>
          <w:szCs w:val="24"/>
          <w:lang w:eastAsia="en-AU"/>
        </w:rPr>
        <w:t>Attachment 1</w:t>
      </w:r>
      <w:r>
        <w:rPr>
          <w:rFonts w:eastAsia="Times New Roman"/>
          <w:b/>
          <w:sz w:val="40"/>
          <w:szCs w:val="24"/>
          <w:lang w:eastAsia="en-AU"/>
        </w:rPr>
        <w:t xml:space="preserve">4: </w:t>
      </w:r>
      <w:r w:rsidRPr="00117CFA">
        <w:rPr>
          <w:rFonts w:eastAsia="Times New Roman"/>
          <w:b/>
          <w:sz w:val="40"/>
          <w:szCs w:val="24"/>
          <w:lang w:eastAsia="en-AU"/>
        </w:rPr>
        <w:t>Control mechanism</w:t>
      </w:r>
      <w:r w:rsidR="00C61499">
        <w:rPr>
          <w:rFonts w:eastAsia="Times New Roman"/>
          <w:b/>
          <w:sz w:val="40"/>
          <w:szCs w:val="24"/>
          <w:lang w:eastAsia="en-AU"/>
        </w:rPr>
        <w:t>s</w:t>
      </w:r>
    </w:p>
    <w:p w:rsidR="00373B7F" w:rsidRDefault="00373B7F" w:rsidP="00117CFA">
      <w:pPr>
        <w:jc w:val="center"/>
        <w:rPr>
          <w:rFonts w:eastAsia="Times New Roman"/>
          <w:b/>
          <w:sz w:val="40"/>
          <w:szCs w:val="24"/>
          <w:lang w:eastAsia="en-AU"/>
        </w:rPr>
      </w:pPr>
    </w:p>
    <w:p w:rsidR="00AC3EAE" w:rsidRDefault="00AC3EAE" w:rsidP="00117CFA">
      <w:pPr>
        <w:jc w:val="center"/>
        <w:rPr>
          <w:rFonts w:eastAsia="Times New Roman"/>
          <w:b/>
          <w:sz w:val="40"/>
          <w:szCs w:val="24"/>
          <w:lang w:eastAsia="en-AU"/>
        </w:rPr>
      </w:pPr>
    </w:p>
    <w:p w:rsidR="00373B7F" w:rsidRPr="00BA5160" w:rsidRDefault="00373B7F" w:rsidP="00373B7F">
      <w:pPr>
        <w:pStyle w:val="AERtitle2"/>
        <w:rPr>
          <w:b/>
          <w:sz w:val="40"/>
          <w:lang w:eastAsia="en-AU"/>
        </w:rPr>
      </w:pPr>
      <w:r>
        <w:t>November 2014</w:t>
      </w:r>
    </w:p>
    <w:p w:rsidR="00117CFA" w:rsidRDefault="00117CFA" w:rsidP="00117CFA">
      <w:pPr>
        <w:pStyle w:val="AERbodytext"/>
      </w:pPr>
      <w:r>
        <w:br w:type="page"/>
      </w:r>
    </w:p>
    <w:p w:rsidR="00117CFA" w:rsidRPr="000A33B4" w:rsidRDefault="00117CFA" w:rsidP="00117CFA">
      <w:pPr>
        <w:pStyle w:val="AERbodytextnospace"/>
        <w:rPr>
          <w:rStyle w:val="AERtextbold"/>
        </w:rPr>
      </w:pPr>
      <w:r w:rsidRPr="000A33B4">
        <w:rPr>
          <w:rStyle w:val="AERtextbold"/>
        </w:rPr>
        <w:lastRenderedPageBreak/>
        <w:t>© Commonwealth of Australia 2014</w:t>
      </w:r>
    </w:p>
    <w:p w:rsidR="00117CFA" w:rsidRPr="000A33B4" w:rsidRDefault="00117CFA" w:rsidP="00117CFA">
      <w:pPr>
        <w:pStyle w:val="AERbodytext"/>
      </w:pPr>
      <w:r w:rsidRPr="000A33B4">
        <w:t>This work is copyright. In addition to any use permitted under the Copyright Act 1968, all material contained within this work is provided under a Creative Commons Attribution 3.0 Australia licence, with the exception of:</w:t>
      </w:r>
    </w:p>
    <w:p w:rsidR="00117CFA" w:rsidRPr="000A33B4" w:rsidRDefault="00117CFA" w:rsidP="00117CFA">
      <w:pPr>
        <w:pStyle w:val="AERbulletlistfirststyle"/>
      </w:pPr>
      <w:r w:rsidRPr="000A33B4">
        <w:t>the Commonwealth Coat of Arms</w:t>
      </w:r>
    </w:p>
    <w:p w:rsidR="00117CFA" w:rsidRDefault="00117CFA" w:rsidP="00117CFA">
      <w:pPr>
        <w:pStyle w:val="AERbulletlistfirststyle"/>
      </w:pPr>
      <w:r w:rsidRPr="000A33B4">
        <w:t>the ACCC and AER logos</w:t>
      </w:r>
    </w:p>
    <w:p w:rsidR="00117CFA" w:rsidRPr="000A33B4" w:rsidRDefault="00117CFA" w:rsidP="00117CFA">
      <w:pPr>
        <w:pStyle w:val="AERbulletlistfirststyle"/>
      </w:pPr>
      <w:r w:rsidRPr="000A33B4">
        <w:t>any illustration, diagram, photograph or graphic over which the Australian Competition and Consumer Commission does not hold copyright, but which may be part of or contained within this publication.</w:t>
      </w:r>
    </w:p>
    <w:p w:rsidR="00117CFA" w:rsidRPr="000A33B4" w:rsidRDefault="00117CFA" w:rsidP="00117CFA">
      <w:pPr>
        <w:pStyle w:val="AERbodytext"/>
      </w:pPr>
      <w:r w:rsidRPr="000A33B4">
        <w:t>The details of the relevant licence conditions are available on the Creative Commons website, as is the full legal code for the CC BY 3.0 AU licence.</w:t>
      </w:r>
    </w:p>
    <w:p w:rsidR="00117CFA" w:rsidRPr="000A33B4" w:rsidRDefault="00117CFA" w:rsidP="00117CFA">
      <w:pPr>
        <w:pStyle w:val="AERbodytext"/>
      </w:pPr>
      <w:r w:rsidRPr="000A33B4">
        <w:t>Requests and inquiries concerning reproduction and rights should be addressed to the Director, Corporate Communications, ACCC, GPO Box 3131, Canberra ACT 2601, or</w:t>
      </w:r>
    </w:p>
    <w:p w:rsidR="00117CFA" w:rsidRPr="000A33B4" w:rsidRDefault="00117CFA" w:rsidP="00117CFA">
      <w:pPr>
        <w:pStyle w:val="AERbodytext"/>
      </w:pPr>
      <w:r w:rsidRPr="000A33B4">
        <w:t xml:space="preserve"> </w:t>
      </w:r>
      <w:r>
        <w:tab/>
      </w:r>
      <w:hyperlink r:id="rId9" w:history="1">
        <w:r w:rsidRPr="000A33B4">
          <w:t>publishing.unit@accc.gov.au</w:t>
        </w:r>
      </w:hyperlink>
      <w:r w:rsidRPr="000A33B4">
        <w:t xml:space="preserve"> .</w:t>
      </w:r>
    </w:p>
    <w:p w:rsidR="00117CFA" w:rsidRPr="000A33B4" w:rsidRDefault="00117CFA" w:rsidP="00117CFA">
      <w:pPr>
        <w:pStyle w:val="AERbodytext"/>
      </w:pPr>
      <w:r w:rsidRPr="000A33B4">
        <w:t>Inquiries about this document should be addressed to:</w:t>
      </w:r>
    </w:p>
    <w:p w:rsidR="00117CFA" w:rsidRPr="000A33B4" w:rsidRDefault="00117CFA" w:rsidP="00117CFA">
      <w:pPr>
        <w:pStyle w:val="AERbodytextnospace"/>
      </w:pPr>
      <w:r w:rsidRPr="000A33B4">
        <w:t>Australian Energy Regulator</w:t>
      </w:r>
    </w:p>
    <w:p w:rsidR="00117CFA" w:rsidRPr="000A33B4" w:rsidRDefault="00117CFA" w:rsidP="00117CFA">
      <w:pPr>
        <w:pStyle w:val="AERbodytextnospace"/>
      </w:pPr>
      <w:r w:rsidRPr="000A33B4">
        <w:t>GPO Box 520</w:t>
      </w:r>
    </w:p>
    <w:p w:rsidR="00117CFA" w:rsidRPr="000A33B4" w:rsidRDefault="00117CFA" w:rsidP="00117CFA">
      <w:pPr>
        <w:pStyle w:val="AERbodytextnospace"/>
      </w:pPr>
      <w:r w:rsidRPr="000A33B4">
        <w:t>Melbourne  Vic  3001</w:t>
      </w:r>
    </w:p>
    <w:p w:rsidR="00117CFA" w:rsidRPr="000A33B4" w:rsidRDefault="00117CFA" w:rsidP="00117CFA">
      <w:pPr>
        <w:pStyle w:val="AERbodytextnospace"/>
      </w:pPr>
      <w:r w:rsidRPr="000A33B4">
        <w:t>Tel: (03) 9290 1444</w:t>
      </w:r>
    </w:p>
    <w:p w:rsidR="00117CFA" w:rsidRDefault="00117CFA" w:rsidP="00117CFA">
      <w:pPr>
        <w:pStyle w:val="AERbodytextnospace"/>
      </w:pPr>
      <w:r w:rsidRPr="000A33B4">
        <w:t>Fax: (03) 9290 1457</w:t>
      </w:r>
    </w:p>
    <w:p w:rsidR="00117CFA" w:rsidRDefault="00117CFA" w:rsidP="00117CFA">
      <w:pPr>
        <w:pStyle w:val="AERbodytextnospace"/>
      </w:pPr>
      <w:r w:rsidRPr="000A33B4">
        <w:t xml:space="preserve">Email: </w:t>
      </w:r>
      <w:hyperlink r:id="rId10" w:history="1">
        <w:r w:rsidRPr="000A33B4">
          <w:rPr>
            <w:rStyle w:val="Hyperlink"/>
          </w:rPr>
          <w:t>AERInquiry@aer.gov.au</w:t>
        </w:r>
      </w:hyperlink>
    </w:p>
    <w:p w:rsidR="00117CFA" w:rsidRDefault="00117CFA" w:rsidP="00117CFA"/>
    <w:p w:rsidR="00117CFA" w:rsidRDefault="00117CFA" w:rsidP="00117CFA">
      <w:r>
        <w:t>AER reference: 54420</w:t>
      </w:r>
    </w:p>
    <w:p w:rsidR="00117CFA" w:rsidRDefault="00117CFA" w:rsidP="00117CFA"/>
    <w:p w:rsidR="00117CFA" w:rsidRDefault="00117CFA" w:rsidP="00117CFA">
      <w:pPr>
        <w:spacing w:after="0" w:line="240" w:lineRule="auto"/>
        <w:jc w:val="left"/>
      </w:pPr>
      <w:r>
        <w:br w:type="page"/>
      </w:r>
    </w:p>
    <w:p w:rsidR="00117CFA" w:rsidRPr="006B36C8" w:rsidRDefault="00117CFA" w:rsidP="00117CFA">
      <w:pPr>
        <w:pStyle w:val="UnnumberedHeading"/>
        <w:rPr>
          <w:rStyle w:val="AERtextorange"/>
        </w:rPr>
      </w:pPr>
      <w:bookmarkStart w:id="1" w:name="_Toc404616774"/>
      <w:r w:rsidRPr="006B36C8">
        <w:rPr>
          <w:rStyle w:val="AERtextorange"/>
        </w:rPr>
        <w:lastRenderedPageBreak/>
        <w:t>Note</w:t>
      </w:r>
      <w:bookmarkEnd w:id="1"/>
    </w:p>
    <w:p w:rsidR="00117CFA" w:rsidRDefault="00117CFA" w:rsidP="00117CFA">
      <w:r>
        <w:t>This attachment forms part of the AER's draft decision on Endeavour Energy's 2015–19 distribution determination. It should be read with other parts of the draft decision.</w:t>
      </w:r>
    </w:p>
    <w:p w:rsidR="00117CFA" w:rsidRDefault="00117CFA" w:rsidP="00117CFA">
      <w:r>
        <w:t>The draft decision includes the following documents:</w:t>
      </w:r>
    </w:p>
    <w:p w:rsidR="00117CFA" w:rsidRDefault="00117CFA" w:rsidP="00117CFA">
      <w:r>
        <w:t>Overview</w:t>
      </w:r>
    </w:p>
    <w:p w:rsidR="00117CFA" w:rsidRDefault="00117CFA" w:rsidP="00117CFA">
      <w:r>
        <w:t xml:space="preserve">Attachment 1 – </w:t>
      </w:r>
      <w:r w:rsidR="00373B7F">
        <w:t>A</w:t>
      </w:r>
      <w:r>
        <w:t>nnual revenue requirement</w:t>
      </w:r>
    </w:p>
    <w:p w:rsidR="00117CFA" w:rsidRDefault="00373B7F" w:rsidP="00117CFA">
      <w:r>
        <w:t>Attachment 2 – R</w:t>
      </w:r>
      <w:r w:rsidR="00117CFA">
        <w:t>egulatory asset base</w:t>
      </w:r>
    </w:p>
    <w:p w:rsidR="00117CFA" w:rsidRDefault="00373B7F" w:rsidP="00117CFA">
      <w:r>
        <w:t>Attachment 3 – R</w:t>
      </w:r>
      <w:r w:rsidR="00117CFA">
        <w:t>ate of return</w:t>
      </w:r>
    </w:p>
    <w:p w:rsidR="00117CFA" w:rsidRDefault="00373B7F" w:rsidP="00117CFA">
      <w:r>
        <w:t>Attachment 4 – V</w:t>
      </w:r>
      <w:r w:rsidR="00117CFA">
        <w:t>alue of imputation credits</w:t>
      </w:r>
    </w:p>
    <w:p w:rsidR="00117CFA" w:rsidRDefault="00373B7F" w:rsidP="00117CFA">
      <w:r>
        <w:t>Attachment 5 – R</w:t>
      </w:r>
      <w:r w:rsidR="00117CFA">
        <w:t>egulatory depreciation</w:t>
      </w:r>
    </w:p>
    <w:p w:rsidR="00117CFA" w:rsidRDefault="00373B7F" w:rsidP="00117CFA">
      <w:r>
        <w:t>Attachment 6 – C</w:t>
      </w:r>
      <w:r w:rsidR="00117CFA">
        <w:t>apital expenditure</w:t>
      </w:r>
      <w:r w:rsidR="00117CFA" w:rsidRPr="0012445F">
        <w:t xml:space="preserve"> </w:t>
      </w:r>
    </w:p>
    <w:p w:rsidR="00117CFA" w:rsidRDefault="00373B7F" w:rsidP="00117CFA">
      <w:r>
        <w:t>Attachment 7 – O</w:t>
      </w:r>
      <w:r w:rsidR="00117CFA">
        <w:t>perating expenditure</w:t>
      </w:r>
    </w:p>
    <w:p w:rsidR="00117CFA" w:rsidRDefault="00373B7F" w:rsidP="00117CFA">
      <w:r>
        <w:t>Attachment 8 – C</w:t>
      </w:r>
      <w:r w:rsidR="00117CFA">
        <w:t>orporate income tax</w:t>
      </w:r>
    </w:p>
    <w:p w:rsidR="00117CFA" w:rsidRDefault="00373B7F" w:rsidP="00117CFA">
      <w:r>
        <w:t>Attachment 9 – E</w:t>
      </w:r>
      <w:r w:rsidR="00117CFA">
        <w:t>fficiency benefit sharing scheme</w:t>
      </w:r>
    </w:p>
    <w:p w:rsidR="00117CFA" w:rsidRDefault="00117CFA" w:rsidP="00117CFA">
      <w:r w:rsidRPr="00DF268E">
        <w:t xml:space="preserve">Attachment </w:t>
      </w:r>
      <w:r>
        <w:t>10</w:t>
      </w:r>
      <w:r w:rsidRPr="00DF268E">
        <w:t xml:space="preserve"> –</w:t>
      </w:r>
      <w:r>
        <w:t xml:space="preserve"> </w:t>
      </w:r>
      <w:r w:rsidR="00373B7F">
        <w:t>C</w:t>
      </w:r>
      <w:r w:rsidRPr="00FB0F49">
        <w:t>apital expenditure sharing scheme</w:t>
      </w:r>
    </w:p>
    <w:p w:rsidR="00117CFA" w:rsidRDefault="00117CFA" w:rsidP="00117CFA">
      <w:r w:rsidRPr="00DF268E">
        <w:t>Attachment 1</w:t>
      </w:r>
      <w:r>
        <w:t xml:space="preserve">1 – </w:t>
      </w:r>
      <w:r w:rsidR="00373B7F">
        <w:t>S</w:t>
      </w:r>
      <w:r w:rsidRPr="00FB0F49">
        <w:t>ervice target performance incentive scheme</w:t>
      </w:r>
    </w:p>
    <w:p w:rsidR="00117CFA" w:rsidRDefault="00117CFA" w:rsidP="00117CFA">
      <w:r w:rsidRPr="00DF268E">
        <w:t>Attachment 1</w:t>
      </w:r>
      <w:r>
        <w:t>2</w:t>
      </w:r>
      <w:r w:rsidRPr="00DF268E">
        <w:t xml:space="preserve"> –</w:t>
      </w:r>
      <w:r w:rsidR="00373B7F">
        <w:t xml:space="preserve"> D</w:t>
      </w:r>
      <w:r>
        <w:t>emand management incentive scheme</w:t>
      </w:r>
    </w:p>
    <w:p w:rsidR="00117CFA" w:rsidRPr="0012445F" w:rsidRDefault="00117CFA" w:rsidP="00117CFA">
      <w:r w:rsidRPr="00DF268E">
        <w:t>Attachment 1</w:t>
      </w:r>
      <w:r>
        <w:t>3</w:t>
      </w:r>
      <w:r w:rsidRPr="00DF268E">
        <w:t xml:space="preserve"> –</w:t>
      </w:r>
      <w:r w:rsidR="00373B7F">
        <w:t xml:space="preserve"> C</w:t>
      </w:r>
      <w:r>
        <w:t>lassification of services</w:t>
      </w:r>
    </w:p>
    <w:p w:rsidR="00117CFA" w:rsidRDefault="00117CFA" w:rsidP="00117CFA">
      <w:r w:rsidRPr="00DF268E">
        <w:t>Attachment 1</w:t>
      </w:r>
      <w:r>
        <w:t>4</w:t>
      </w:r>
      <w:r w:rsidRPr="00DF268E">
        <w:t xml:space="preserve"> –</w:t>
      </w:r>
      <w:r w:rsidR="00373B7F">
        <w:t xml:space="preserve"> C</w:t>
      </w:r>
      <w:r>
        <w:t>ontrol mechanism</w:t>
      </w:r>
      <w:r w:rsidR="00373B7F">
        <w:t>s</w:t>
      </w:r>
    </w:p>
    <w:p w:rsidR="00117CFA" w:rsidRDefault="00117CFA" w:rsidP="00117CFA">
      <w:r w:rsidRPr="00DF268E">
        <w:t>Attachment 1</w:t>
      </w:r>
      <w:r>
        <w:t>5</w:t>
      </w:r>
      <w:r w:rsidRPr="00DF268E">
        <w:t xml:space="preserve"> –</w:t>
      </w:r>
      <w:r w:rsidR="00373B7F">
        <w:t xml:space="preserve"> P</w:t>
      </w:r>
      <w:r>
        <w:t>ass through events</w:t>
      </w:r>
    </w:p>
    <w:p w:rsidR="00117CFA" w:rsidRDefault="00117CFA" w:rsidP="00117CFA">
      <w:r w:rsidRPr="00DF268E">
        <w:t>Attachment 1</w:t>
      </w:r>
      <w:r>
        <w:t>6</w:t>
      </w:r>
      <w:r w:rsidRPr="00DF268E">
        <w:t xml:space="preserve"> –</w:t>
      </w:r>
      <w:r w:rsidR="00373B7F">
        <w:t xml:space="preserve"> A</w:t>
      </w:r>
      <w:r>
        <w:t>lternative control services</w:t>
      </w:r>
    </w:p>
    <w:p w:rsidR="00117CFA" w:rsidRDefault="00117CFA" w:rsidP="00117CFA">
      <w:r w:rsidRPr="00DF268E">
        <w:t>Attachment 1</w:t>
      </w:r>
      <w:r>
        <w:t>7</w:t>
      </w:r>
      <w:r w:rsidRPr="00DF268E">
        <w:t xml:space="preserve"> –</w:t>
      </w:r>
      <w:r w:rsidR="00373B7F">
        <w:t xml:space="preserve"> N</w:t>
      </w:r>
      <w:r>
        <w:t>egotiated services framework and criteria</w:t>
      </w:r>
    </w:p>
    <w:p w:rsidR="00117CFA" w:rsidRDefault="00117CFA" w:rsidP="00117CFA">
      <w:r w:rsidRPr="00DF268E">
        <w:t>Attachment 1</w:t>
      </w:r>
      <w:r>
        <w:t>8</w:t>
      </w:r>
      <w:r w:rsidRPr="00DF268E">
        <w:t xml:space="preserve"> –</w:t>
      </w:r>
      <w:r w:rsidR="00373B7F">
        <w:t xml:space="preserve"> C</w:t>
      </w:r>
      <w:r>
        <w:t>onnection policy</w:t>
      </w:r>
    </w:p>
    <w:p w:rsidR="00117CFA" w:rsidRDefault="00117CFA" w:rsidP="00117CFA">
      <w:pPr>
        <w:pStyle w:val="AERbodytext"/>
      </w:pPr>
      <w:r>
        <w:br w:type="page"/>
      </w:r>
    </w:p>
    <w:p w:rsidR="00117CFA" w:rsidRPr="00A628B6" w:rsidRDefault="00117CFA" w:rsidP="00117CFA">
      <w:pPr>
        <w:pStyle w:val="UnnumberedHeading"/>
      </w:pPr>
      <w:bookmarkStart w:id="2" w:name="_Toc404616775"/>
      <w:r>
        <w:t>Contents</w:t>
      </w:r>
      <w:bookmarkEnd w:id="2"/>
    </w:p>
    <w:sdt>
      <w:sdtPr>
        <w:id w:val="-830675811"/>
        <w:docPartObj>
          <w:docPartGallery w:val="Table of Contents"/>
          <w:docPartUnique/>
        </w:docPartObj>
      </w:sdtPr>
      <w:sdtEndPr/>
      <w:sdtContent>
        <w:p w:rsidR="00914017" w:rsidRDefault="00D15A15">
          <w:pPr>
            <w:pStyle w:val="TOC1"/>
            <w:tabs>
              <w:tab w:val="right" w:leader="dot" w:pos="9016"/>
            </w:tabs>
            <w:rPr>
              <w:rFonts w:asciiTheme="minorHAnsi" w:eastAsiaTheme="minorEastAsia" w:hAnsiTheme="minorHAnsi" w:cstheme="minorBidi"/>
              <w:b w:val="0"/>
              <w:bCs w:val="0"/>
              <w:noProof/>
              <w:sz w:val="22"/>
              <w:szCs w:val="22"/>
              <w:lang w:eastAsia="en-AU"/>
            </w:rPr>
          </w:pPr>
          <w:r>
            <w:rPr>
              <w:lang w:val="en-US" w:eastAsia="ja-JP"/>
            </w:rPr>
            <w:fldChar w:fldCharType="begin"/>
          </w:r>
          <w:r>
            <w:rPr>
              <w:lang w:val="en-US" w:eastAsia="ja-JP"/>
            </w:rPr>
            <w:instrText xml:space="preserve"> TOC \o "1-3" \h \z \u \t "Heading 7,1,Heading 8,2,Heading 9,3" </w:instrText>
          </w:r>
          <w:r>
            <w:rPr>
              <w:lang w:val="en-US" w:eastAsia="ja-JP"/>
            </w:rPr>
            <w:fldChar w:fldCharType="separate"/>
          </w:r>
          <w:hyperlink w:anchor="_Toc404616774" w:history="1">
            <w:r w:rsidR="00914017" w:rsidRPr="00F74FE9">
              <w:rPr>
                <w:rStyle w:val="Hyperlink"/>
                <w:noProof/>
              </w:rPr>
              <w:t>Note</w:t>
            </w:r>
            <w:r w:rsidR="00914017">
              <w:rPr>
                <w:noProof/>
                <w:webHidden/>
              </w:rPr>
              <w:tab/>
            </w:r>
            <w:r w:rsidR="00914017">
              <w:rPr>
                <w:noProof/>
                <w:webHidden/>
              </w:rPr>
              <w:fldChar w:fldCharType="begin"/>
            </w:r>
            <w:r w:rsidR="00914017">
              <w:rPr>
                <w:noProof/>
                <w:webHidden/>
              </w:rPr>
              <w:instrText xml:space="preserve"> PAGEREF _Toc404616774 \h </w:instrText>
            </w:r>
            <w:r w:rsidR="00914017">
              <w:rPr>
                <w:noProof/>
                <w:webHidden/>
              </w:rPr>
            </w:r>
            <w:r w:rsidR="00914017">
              <w:rPr>
                <w:noProof/>
                <w:webHidden/>
              </w:rPr>
              <w:fldChar w:fldCharType="separate"/>
            </w:r>
            <w:r w:rsidR="00914017">
              <w:rPr>
                <w:noProof/>
                <w:webHidden/>
              </w:rPr>
              <w:t>14-3</w:t>
            </w:r>
            <w:r w:rsidR="00914017">
              <w:rPr>
                <w:noProof/>
                <w:webHidden/>
              </w:rPr>
              <w:fldChar w:fldCharType="end"/>
            </w:r>
          </w:hyperlink>
        </w:p>
        <w:p w:rsidR="00914017" w:rsidRDefault="00E64D67">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616775" w:history="1">
            <w:r w:rsidR="00914017" w:rsidRPr="00F74FE9">
              <w:rPr>
                <w:rStyle w:val="Hyperlink"/>
                <w:noProof/>
              </w:rPr>
              <w:t>Contents</w:t>
            </w:r>
            <w:r w:rsidR="00914017">
              <w:rPr>
                <w:noProof/>
                <w:webHidden/>
              </w:rPr>
              <w:tab/>
            </w:r>
            <w:r w:rsidR="00914017">
              <w:rPr>
                <w:noProof/>
                <w:webHidden/>
              </w:rPr>
              <w:fldChar w:fldCharType="begin"/>
            </w:r>
            <w:r w:rsidR="00914017">
              <w:rPr>
                <w:noProof/>
                <w:webHidden/>
              </w:rPr>
              <w:instrText xml:space="preserve"> PAGEREF _Toc404616775 \h </w:instrText>
            </w:r>
            <w:r w:rsidR="00914017">
              <w:rPr>
                <w:noProof/>
                <w:webHidden/>
              </w:rPr>
            </w:r>
            <w:r w:rsidR="00914017">
              <w:rPr>
                <w:noProof/>
                <w:webHidden/>
              </w:rPr>
              <w:fldChar w:fldCharType="separate"/>
            </w:r>
            <w:r w:rsidR="00914017">
              <w:rPr>
                <w:noProof/>
                <w:webHidden/>
              </w:rPr>
              <w:t>14-4</w:t>
            </w:r>
            <w:r w:rsidR="00914017">
              <w:rPr>
                <w:noProof/>
                <w:webHidden/>
              </w:rPr>
              <w:fldChar w:fldCharType="end"/>
            </w:r>
          </w:hyperlink>
        </w:p>
        <w:p w:rsidR="00914017" w:rsidRDefault="00E64D67">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616776" w:history="1">
            <w:r w:rsidR="00914017" w:rsidRPr="00F74FE9">
              <w:rPr>
                <w:rStyle w:val="Hyperlink"/>
                <w:noProof/>
              </w:rPr>
              <w:t>Shortened forms</w:t>
            </w:r>
            <w:r w:rsidR="00914017">
              <w:rPr>
                <w:noProof/>
                <w:webHidden/>
              </w:rPr>
              <w:tab/>
            </w:r>
            <w:r w:rsidR="00914017">
              <w:rPr>
                <w:noProof/>
                <w:webHidden/>
              </w:rPr>
              <w:fldChar w:fldCharType="begin"/>
            </w:r>
            <w:r w:rsidR="00914017">
              <w:rPr>
                <w:noProof/>
                <w:webHidden/>
              </w:rPr>
              <w:instrText xml:space="preserve"> PAGEREF _Toc404616776 \h </w:instrText>
            </w:r>
            <w:r w:rsidR="00914017">
              <w:rPr>
                <w:noProof/>
                <w:webHidden/>
              </w:rPr>
            </w:r>
            <w:r w:rsidR="00914017">
              <w:rPr>
                <w:noProof/>
                <w:webHidden/>
              </w:rPr>
              <w:fldChar w:fldCharType="separate"/>
            </w:r>
            <w:r w:rsidR="00914017">
              <w:rPr>
                <w:noProof/>
                <w:webHidden/>
              </w:rPr>
              <w:t>14-5</w:t>
            </w:r>
            <w:r w:rsidR="00914017">
              <w:rPr>
                <w:noProof/>
                <w:webHidden/>
              </w:rPr>
              <w:fldChar w:fldCharType="end"/>
            </w:r>
          </w:hyperlink>
        </w:p>
        <w:p w:rsidR="00914017" w:rsidRDefault="00E64D67">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404616777" w:history="1">
            <w:r w:rsidR="00914017" w:rsidRPr="00F74FE9">
              <w:rPr>
                <w:rStyle w:val="Hyperlink"/>
                <w:noProof/>
              </w:rPr>
              <w:t>14</w:t>
            </w:r>
            <w:r w:rsidR="00914017">
              <w:rPr>
                <w:rFonts w:asciiTheme="minorHAnsi" w:eastAsiaTheme="minorEastAsia" w:hAnsiTheme="minorHAnsi" w:cstheme="minorBidi"/>
                <w:b w:val="0"/>
                <w:bCs w:val="0"/>
                <w:noProof/>
                <w:sz w:val="22"/>
                <w:szCs w:val="22"/>
                <w:lang w:eastAsia="en-AU"/>
              </w:rPr>
              <w:tab/>
            </w:r>
            <w:r w:rsidR="00914017" w:rsidRPr="00F74FE9">
              <w:rPr>
                <w:rStyle w:val="Hyperlink"/>
                <w:noProof/>
              </w:rPr>
              <w:t>Control mechanism for standard control services</w:t>
            </w:r>
            <w:r w:rsidR="00914017">
              <w:rPr>
                <w:noProof/>
                <w:webHidden/>
              </w:rPr>
              <w:tab/>
            </w:r>
            <w:r w:rsidR="00914017">
              <w:rPr>
                <w:noProof/>
                <w:webHidden/>
              </w:rPr>
              <w:fldChar w:fldCharType="begin"/>
            </w:r>
            <w:r w:rsidR="00914017">
              <w:rPr>
                <w:noProof/>
                <w:webHidden/>
              </w:rPr>
              <w:instrText xml:space="preserve"> PAGEREF _Toc404616777 \h </w:instrText>
            </w:r>
            <w:r w:rsidR="00914017">
              <w:rPr>
                <w:noProof/>
                <w:webHidden/>
              </w:rPr>
            </w:r>
            <w:r w:rsidR="00914017">
              <w:rPr>
                <w:noProof/>
                <w:webHidden/>
              </w:rPr>
              <w:fldChar w:fldCharType="separate"/>
            </w:r>
            <w:r w:rsidR="00914017">
              <w:rPr>
                <w:noProof/>
                <w:webHidden/>
              </w:rPr>
              <w:t>14-7</w:t>
            </w:r>
            <w:r w:rsidR="00914017">
              <w:rPr>
                <w:noProof/>
                <w:webHidden/>
              </w:rPr>
              <w:fldChar w:fldCharType="end"/>
            </w:r>
          </w:hyperlink>
        </w:p>
        <w:p w:rsidR="00914017" w:rsidRDefault="00E64D67">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616778" w:history="1">
            <w:r w:rsidR="00914017" w:rsidRPr="00F74FE9">
              <w:rPr>
                <w:rStyle w:val="Hyperlink"/>
                <w:noProof/>
              </w:rPr>
              <w:t>14.1</w:t>
            </w:r>
            <w:r w:rsidR="00914017">
              <w:rPr>
                <w:rFonts w:asciiTheme="minorHAnsi" w:eastAsiaTheme="minorEastAsia" w:hAnsiTheme="minorHAnsi" w:cstheme="minorBidi"/>
                <w:iCs w:val="0"/>
                <w:noProof/>
                <w:sz w:val="22"/>
                <w:szCs w:val="22"/>
                <w:lang w:eastAsia="en-AU"/>
              </w:rPr>
              <w:tab/>
            </w:r>
            <w:r w:rsidR="00914017" w:rsidRPr="00F74FE9">
              <w:rPr>
                <w:rStyle w:val="Hyperlink"/>
                <w:noProof/>
              </w:rPr>
              <w:t>Draft decision</w:t>
            </w:r>
            <w:r w:rsidR="00914017">
              <w:rPr>
                <w:noProof/>
                <w:webHidden/>
              </w:rPr>
              <w:tab/>
            </w:r>
            <w:r w:rsidR="00914017">
              <w:rPr>
                <w:noProof/>
                <w:webHidden/>
              </w:rPr>
              <w:fldChar w:fldCharType="begin"/>
            </w:r>
            <w:r w:rsidR="00914017">
              <w:rPr>
                <w:noProof/>
                <w:webHidden/>
              </w:rPr>
              <w:instrText xml:space="preserve"> PAGEREF _Toc404616778 \h </w:instrText>
            </w:r>
            <w:r w:rsidR="00914017">
              <w:rPr>
                <w:noProof/>
                <w:webHidden/>
              </w:rPr>
            </w:r>
            <w:r w:rsidR="00914017">
              <w:rPr>
                <w:noProof/>
                <w:webHidden/>
              </w:rPr>
              <w:fldChar w:fldCharType="separate"/>
            </w:r>
            <w:r w:rsidR="00914017">
              <w:rPr>
                <w:noProof/>
                <w:webHidden/>
              </w:rPr>
              <w:t>14-7</w:t>
            </w:r>
            <w:r w:rsidR="00914017">
              <w:rPr>
                <w:noProof/>
                <w:webHidden/>
              </w:rPr>
              <w:fldChar w:fldCharType="end"/>
            </w:r>
          </w:hyperlink>
        </w:p>
        <w:p w:rsidR="00914017" w:rsidRDefault="00E64D67">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616779" w:history="1">
            <w:r w:rsidR="00914017" w:rsidRPr="00F74FE9">
              <w:rPr>
                <w:rStyle w:val="Hyperlink"/>
                <w:noProof/>
              </w:rPr>
              <w:t>14.2</w:t>
            </w:r>
            <w:r w:rsidR="00914017">
              <w:rPr>
                <w:rFonts w:asciiTheme="minorHAnsi" w:eastAsiaTheme="minorEastAsia" w:hAnsiTheme="minorHAnsi" w:cstheme="minorBidi"/>
                <w:iCs w:val="0"/>
                <w:noProof/>
                <w:sz w:val="22"/>
                <w:szCs w:val="22"/>
                <w:lang w:eastAsia="en-AU"/>
              </w:rPr>
              <w:tab/>
            </w:r>
            <w:r w:rsidR="00914017" w:rsidRPr="00F74FE9">
              <w:rPr>
                <w:rStyle w:val="Hyperlink"/>
                <w:noProof/>
              </w:rPr>
              <w:t>Endeavour Energy's proposal</w:t>
            </w:r>
            <w:r w:rsidR="00914017">
              <w:rPr>
                <w:noProof/>
                <w:webHidden/>
              </w:rPr>
              <w:tab/>
            </w:r>
            <w:r w:rsidR="00914017">
              <w:rPr>
                <w:noProof/>
                <w:webHidden/>
              </w:rPr>
              <w:fldChar w:fldCharType="begin"/>
            </w:r>
            <w:r w:rsidR="00914017">
              <w:rPr>
                <w:noProof/>
                <w:webHidden/>
              </w:rPr>
              <w:instrText xml:space="preserve"> PAGEREF _Toc404616779 \h </w:instrText>
            </w:r>
            <w:r w:rsidR="00914017">
              <w:rPr>
                <w:noProof/>
                <w:webHidden/>
              </w:rPr>
            </w:r>
            <w:r w:rsidR="00914017">
              <w:rPr>
                <w:noProof/>
                <w:webHidden/>
              </w:rPr>
              <w:fldChar w:fldCharType="separate"/>
            </w:r>
            <w:r w:rsidR="00914017">
              <w:rPr>
                <w:noProof/>
                <w:webHidden/>
              </w:rPr>
              <w:t>14-8</w:t>
            </w:r>
            <w:r w:rsidR="00914017">
              <w:rPr>
                <w:noProof/>
                <w:webHidden/>
              </w:rPr>
              <w:fldChar w:fldCharType="end"/>
            </w:r>
          </w:hyperlink>
        </w:p>
        <w:p w:rsidR="00914017" w:rsidRDefault="00E64D67">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616780" w:history="1">
            <w:r w:rsidR="00914017" w:rsidRPr="00F74FE9">
              <w:rPr>
                <w:rStyle w:val="Hyperlink"/>
                <w:noProof/>
              </w:rPr>
              <w:t>14.3</w:t>
            </w:r>
            <w:r w:rsidR="00914017">
              <w:rPr>
                <w:rFonts w:asciiTheme="minorHAnsi" w:eastAsiaTheme="minorEastAsia" w:hAnsiTheme="minorHAnsi" w:cstheme="minorBidi"/>
                <w:iCs w:val="0"/>
                <w:noProof/>
                <w:sz w:val="22"/>
                <w:szCs w:val="22"/>
                <w:lang w:eastAsia="en-AU"/>
              </w:rPr>
              <w:tab/>
            </w:r>
            <w:r w:rsidR="00914017" w:rsidRPr="00F74FE9">
              <w:rPr>
                <w:rStyle w:val="Hyperlink"/>
                <w:noProof/>
              </w:rPr>
              <w:t>AER's assessment approach</w:t>
            </w:r>
            <w:r w:rsidR="00914017">
              <w:rPr>
                <w:noProof/>
                <w:webHidden/>
              </w:rPr>
              <w:tab/>
            </w:r>
            <w:r w:rsidR="00914017">
              <w:rPr>
                <w:noProof/>
                <w:webHidden/>
              </w:rPr>
              <w:fldChar w:fldCharType="begin"/>
            </w:r>
            <w:r w:rsidR="00914017">
              <w:rPr>
                <w:noProof/>
                <w:webHidden/>
              </w:rPr>
              <w:instrText xml:space="preserve"> PAGEREF _Toc404616780 \h </w:instrText>
            </w:r>
            <w:r w:rsidR="00914017">
              <w:rPr>
                <w:noProof/>
                <w:webHidden/>
              </w:rPr>
            </w:r>
            <w:r w:rsidR="00914017">
              <w:rPr>
                <w:noProof/>
                <w:webHidden/>
              </w:rPr>
              <w:fldChar w:fldCharType="separate"/>
            </w:r>
            <w:r w:rsidR="00914017">
              <w:rPr>
                <w:noProof/>
                <w:webHidden/>
              </w:rPr>
              <w:t>14-8</w:t>
            </w:r>
            <w:r w:rsidR="00914017">
              <w:rPr>
                <w:noProof/>
                <w:webHidden/>
              </w:rPr>
              <w:fldChar w:fldCharType="end"/>
            </w:r>
          </w:hyperlink>
        </w:p>
        <w:p w:rsidR="00914017" w:rsidRDefault="00E64D67">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616781" w:history="1">
            <w:r w:rsidR="00914017" w:rsidRPr="00F74FE9">
              <w:rPr>
                <w:rStyle w:val="Hyperlink"/>
                <w:noProof/>
              </w:rPr>
              <w:t>14.4</w:t>
            </w:r>
            <w:r w:rsidR="00914017">
              <w:rPr>
                <w:rFonts w:asciiTheme="minorHAnsi" w:eastAsiaTheme="minorEastAsia" w:hAnsiTheme="minorHAnsi" w:cstheme="minorBidi"/>
                <w:iCs w:val="0"/>
                <w:noProof/>
                <w:sz w:val="22"/>
                <w:szCs w:val="22"/>
                <w:lang w:eastAsia="en-AU"/>
              </w:rPr>
              <w:tab/>
            </w:r>
            <w:r w:rsidR="00914017" w:rsidRPr="00F74FE9">
              <w:rPr>
                <w:rStyle w:val="Hyperlink"/>
                <w:noProof/>
              </w:rPr>
              <w:t>Reasons for draft decision</w:t>
            </w:r>
            <w:r w:rsidR="00914017">
              <w:rPr>
                <w:noProof/>
                <w:webHidden/>
              </w:rPr>
              <w:tab/>
            </w:r>
            <w:r w:rsidR="00914017">
              <w:rPr>
                <w:noProof/>
                <w:webHidden/>
              </w:rPr>
              <w:fldChar w:fldCharType="begin"/>
            </w:r>
            <w:r w:rsidR="00914017">
              <w:rPr>
                <w:noProof/>
                <w:webHidden/>
              </w:rPr>
              <w:instrText xml:space="preserve"> PAGEREF _Toc404616781 \h </w:instrText>
            </w:r>
            <w:r w:rsidR="00914017">
              <w:rPr>
                <w:noProof/>
                <w:webHidden/>
              </w:rPr>
            </w:r>
            <w:r w:rsidR="00914017">
              <w:rPr>
                <w:noProof/>
                <w:webHidden/>
              </w:rPr>
              <w:fldChar w:fldCharType="separate"/>
            </w:r>
            <w:r w:rsidR="00914017">
              <w:rPr>
                <w:noProof/>
                <w:webHidden/>
              </w:rPr>
              <w:t>14-8</w:t>
            </w:r>
            <w:r w:rsidR="00914017">
              <w:rPr>
                <w:noProof/>
                <w:webHidden/>
              </w:rPr>
              <w:fldChar w:fldCharType="end"/>
            </w:r>
          </w:hyperlink>
        </w:p>
        <w:p w:rsidR="00914017" w:rsidRDefault="00E64D67">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616782" w:history="1">
            <w:r w:rsidR="00914017" w:rsidRPr="00F74FE9">
              <w:rPr>
                <w:rStyle w:val="Hyperlink"/>
                <w:noProof/>
              </w:rPr>
              <w:t>14.5</w:t>
            </w:r>
            <w:r w:rsidR="00914017">
              <w:rPr>
                <w:rFonts w:asciiTheme="minorHAnsi" w:eastAsiaTheme="minorEastAsia" w:hAnsiTheme="minorHAnsi" w:cstheme="minorBidi"/>
                <w:iCs w:val="0"/>
                <w:noProof/>
                <w:sz w:val="22"/>
                <w:szCs w:val="22"/>
                <w:lang w:eastAsia="en-AU"/>
              </w:rPr>
              <w:tab/>
            </w:r>
            <w:r w:rsidR="00914017" w:rsidRPr="00F74FE9">
              <w:rPr>
                <w:rStyle w:val="Hyperlink"/>
                <w:noProof/>
              </w:rPr>
              <w:t>Application of the revenue cap</w:t>
            </w:r>
            <w:r w:rsidR="00914017">
              <w:rPr>
                <w:noProof/>
                <w:webHidden/>
              </w:rPr>
              <w:tab/>
            </w:r>
            <w:r w:rsidR="00914017">
              <w:rPr>
                <w:noProof/>
                <w:webHidden/>
              </w:rPr>
              <w:fldChar w:fldCharType="begin"/>
            </w:r>
            <w:r w:rsidR="00914017">
              <w:rPr>
                <w:noProof/>
                <w:webHidden/>
              </w:rPr>
              <w:instrText xml:space="preserve"> PAGEREF _Toc404616782 \h </w:instrText>
            </w:r>
            <w:r w:rsidR="00914017">
              <w:rPr>
                <w:noProof/>
                <w:webHidden/>
              </w:rPr>
            </w:r>
            <w:r w:rsidR="00914017">
              <w:rPr>
                <w:noProof/>
                <w:webHidden/>
              </w:rPr>
              <w:fldChar w:fldCharType="separate"/>
            </w:r>
            <w:r w:rsidR="00914017">
              <w:rPr>
                <w:noProof/>
                <w:webHidden/>
              </w:rPr>
              <w:t>14-8</w:t>
            </w:r>
            <w:r w:rsidR="00914017">
              <w:rPr>
                <w:noProof/>
                <w:webHidden/>
              </w:rPr>
              <w:fldChar w:fldCharType="end"/>
            </w:r>
          </w:hyperlink>
        </w:p>
        <w:p w:rsidR="00914017" w:rsidRDefault="00E64D67">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16783" w:history="1">
            <w:r w:rsidR="00914017" w:rsidRPr="00F74FE9">
              <w:rPr>
                <w:rStyle w:val="Hyperlink"/>
                <w:noProof/>
              </w:rPr>
              <w:t>14.5.1</w:t>
            </w:r>
            <w:r w:rsidR="00914017">
              <w:rPr>
                <w:rFonts w:asciiTheme="minorHAnsi" w:eastAsiaTheme="minorEastAsia" w:hAnsiTheme="minorHAnsi" w:cstheme="minorBidi"/>
                <w:noProof/>
                <w:sz w:val="22"/>
                <w:szCs w:val="22"/>
                <w:lang w:eastAsia="en-AU"/>
              </w:rPr>
              <w:tab/>
            </w:r>
            <w:r w:rsidR="00914017" w:rsidRPr="00F74FE9">
              <w:rPr>
                <w:rStyle w:val="Hyperlink"/>
                <w:noProof/>
              </w:rPr>
              <w:t>Under and over recovery mechanism for DUoS</w:t>
            </w:r>
            <w:r w:rsidR="00914017">
              <w:rPr>
                <w:noProof/>
                <w:webHidden/>
              </w:rPr>
              <w:tab/>
            </w:r>
            <w:r w:rsidR="00914017">
              <w:rPr>
                <w:noProof/>
                <w:webHidden/>
              </w:rPr>
              <w:fldChar w:fldCharType="begin"/>
            </w:r>
            <w:r w:rsidR="00914017">
              <w:rPr>
                <w:noProof/>
                <w:webHidden/>
              </w:rPr>
              <w:instrText xml:space="preserve"> PAGEREF _Toc404616783 \h </w:instrText>
            </w:r>
            <w:r w:rsidR="00914017">
              <w:rPr>
                <w:noProof/>
                <w:webHidden/>
              </w:rPr>
            </w:r>
            <w:r w:rsidR="00914017">
              <w:rPr>
                <w:noProof/>
                <w:webHidden/>
              </w:rPr>
              <w:fldChar w:fldCharType="separate"/>
            </w:r>
            <w:r w:rsidR="00914017">
              <w:rPr>
                <w:noProof/>
                <w:webHidden/>
              </w:rPr>
              <w:t>14-11</w:t>
            </w:r>
            <w:r w:rsidR="00914017">
              <w:rPr>
                <w:noProof/>
                <w:webHidden/>
              </w:rPr>
              <w:fldChar w:fldCharType="end"/>
            </w:r>
          </w:hyperlink>
        </w:p>
        <w:p w:rsidR="00914017" w:rsidRDefault="00E64D67">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16784" w:history="1">
            <w:r w:rsidR="00914017" w:rsidRPr="00F74FE9">
              <w:rPr>
                <w:rStyle w:val="Hyperlink"/>
                <w:noProof/>
              </w:rPr>
              <w:t>14.5.2</w:t>
            </w:r>
            <w:r w:rsidR="00914017">
              <w:rPr>
                <w:rFonts w:asciiTheme="minorHAnsi" w:eastAsiaTheme="minorEastAsia" w:hAnsiTheme="minorHAnsi" w:cstheme="minorBidi"/>
                <w:noProof/>
                <w:sz w:val="22"/>
                <w:szCs w:val="22"/>
                <w:lang w:eastAsia="en-AU"/>
              </w:rPr>
              <w:tab/>
            </w:r>
            <w:r w:rsidR="00914017" w:rsidRPr="00F74FE9">
              <w:rPr>
                <w:rStyle w:val="Hyperlink"/>
                <w:noProof/>
              </w:rPr>
              <w:t>Under and over recovery mechanism for TUoS</w:t>
            </w:r>
            <w:r w:rsidR="00914017">
              <w:rPr>
                <w:noProof/>
                <w:webHidden/>
              </w:rPr>
              <w:tab/>
            </w:r>
            <w:r w:rsidR="00914017">
              <w:rPr>
                <w:noProof/>
                <w:webHidden/>
              </w:rPr>
              <w:fldChar w:fldCharType="begin"/>
            </w:r>
            <w:r w:rsidR="00914017">
              <w:rPr>
                <w:noProof/>
                <w:webHidden/>
              </w:rPr>
              <w:instrText xml:space="preserve"> PAGEREF _Toc404616784 \h </w:instrText>
            </w:r>
            <w:r w:rsidR="00914017">
              <w:rPr>
                <w:noProof/>
                <w:webHidden/>
              </w:rPr>
            </w:r>
            <w:r w:rsidR="00914017">
              <w:rPr>
                <w:noProof/>
                <w:webHidden/>
              </w:rPr>
              <w:fldChar w:fldCharType="separate"/>
            </w:r>
            <w:r w:rsidR="00914017">
              <w:rPr>
                <w:noProof/>
                <w:webHidden/>
              </w:rPr>
              <w:t>14-12</w:t>
            </w:r>
            <w:r w:rsidR="00914017">
              <w:rPr>
                <w:noProof/>
                <w:webHidden/>
              </w:rPr>
              <w:fldChar w:fldCharType="end"/>
            </w:r>
          </w:hyperlink>
        </w:p>
        <w:p w:rsidR="00914017" w:rsidRDefault="00E64D67">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16785" w:history="1">
            <w:r w:rsidR="00914017" w:rsidRPr="00F74FE9">
              <w:rPr>
                <w:rStyle w:val="Hyperlink"/>
                <w:noProof/>
              </w:rPr>
              <w:t>14.5.3</w:t>
            </w:r>
            <w:r w:rsidR="00914017">
              <w:rPr>
                <w:rFonts w:asciiTheme="minorHAnsi" w:eastAsiaTheme="minorEastAsia" w:hAnsiTheme="minorHAnsi" w:cstheme="minorBidi"/>
                <w:noProof/>
                <w:sz w:val="22"/>
                <w:szCs w:val="22"/>
                <w:lang w:eastAsia="en-AU"/>
              </w:rPr>
              <w:tab/>
            </w:r>
            <w:r w:rsidR="00914017" w:rsidRPr="00F74FE9">
              <w:rPr>
                <w:rStyle w:val="Hyperlink"/>
                <w:noProof/>
              </w:rPr>
              <w:t>Reporting on jurisdictional scheme amounts</w:t>
            </w:r>
            <w:r w:rsidR="00914017">
              <w:rPr>
                <w:noProof/>
                <w:webHidden/>
              </w:rPr>
              <w:tab/>
            </w:r>
            <w:r w:rsidR="00914017">
              <w:rPr>
                <w:noProof/>
                <w:webHidden/>
              </w:rPr>
              <w:fldChar w:fldCharType="begin"/>
            </w:r>
            <w:r w:rsidR="00914017">
              <w:rPr>
                <w:noProof/>
                <w:webHidden/>
              </w:rPr>
              <w:instrText xml:space="preserve"> PAGEREF _Toc404616785 \h </w:instrText>
            </w:r>
            <w:r w:rsidR="00914017">
              <w:rPr>
                <w:noProof/>
                <w:webHidden/>
              </w:rPr>
            </w:r>
            <w:r w:rsidR="00914017">
              <w:rPr>
                <w:noProof/>
                <w:webHidden/>
              </w:rPr>
              <w:fldChar w:fldCharType="separate"/>
            </w:r>
            <w:r w:rsidR="00914017">
              <w:rPr>
                <w:noProof/>
                <w:webHidden/>
              </w:rPr>
              <w:t>14-12</w:t>
            </w:r>
            <w:r w:rsidR="00914017">
              <w:rPr>
                <w:noProof/>
                <w:webHidden/>
              </w:rPr>
              <w:fldChar w:fldCharType="end"/>
            </w:r>
          </w:hyperlink>
        </w:p>
        <w:p w:rsidR="00914017" w:rsidRDefault="00E64D67">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16786" w:history="1">
            <w:r w:rsidR="00914017" w:rsidRPr="00F74FE9">
              <w:rPr>
                <w:rStyle w:val="Hyperlink"/>
                <w:noProof/>
              </w:rPr>
              <w:t>14.5.4</w:t>
            </w:r>
            <w:r w:rsidR="00914017">
              <w:rPr>
                <w:rFonts w:asciiTheme="minorHAnsi" w:eastAsiaTheme="minorEastAsia" w:hAnsiTheme="minorHAnsi" w:cstheme="minorBidi"/>
                <w:noProof/>
                <w:sz w:val="22"/>
                <w:szCs w:val="22"/>
                <w:lang w:eastAsia="en-AU"/>
              </w:rPr>
              <w:tab/>
            </w:r>
            <w:r w:rsidR="00914017" w:rsidRPr="00F74FE9">
              <w:rPr>
                <w:rStyle w:val="Hyperlink"/>
                <w:noProof/>
              </w:rPr>
              <w:t>Side Constraints</w:t>
            </w:r>
            <w:r w:rsidR="00914017">
              <w:rPr>
                <w:noProof/>
                <w:webHidden/>
              </w:rPr>
              <w:tab/>
            </w:r>
            <w:r w:rsidR="00914017">
              <w:rPr>
                <w:noProof/>
                <w:webHidden/>
              </w:rPr>
              <w:fldChar w:fldCharType="begin"/>
            </w:r>
            <w:r w:rsidR="00914017">
              <w:rPr>
                <w:noProof/>
                <w:webHidden/>
              </w:rPr>
              <w:instrText xml:space="preserve"> PAGEREF _Toc404616786 \h </w:instrText>
            </w:r>
            <w:r w:rsidR="00914017">
              <w:rPr>
                <w:noProof/>
                <w:webHidden/>
              </w:rPr>
            </w:r>
            <w:r w:rsidR="00914017">
              <w:rPr>
                <w:noProof/>
                <w:webHidden/>
              </w:rPr>
              <w:fldChar w:fldCharType="separate"/>
            </w:r>
            <w:r w:rsidR="00914017">
              <w:rPr>
                <w:noProof/>
                <w:webHidden/>
              </w:rPr>
              <w:t>14-13</w:t>
            </w:r>
            <w:r w:rsidR="00914017">
              <w:rPr>
                <w:noProof/>
                <w:webHidden/>
              </w:rPr>
              <w:fldChar w:fldCharType="end"/>
            </w:r>
          </w:hyperlink>
        </w:p>
        <w:p w:rsidR="00914017" w:rsidRDefault="00E64D67">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16787" w:history="1">
            <w:r w:rsidR="00914017" w:rsidRPr="00F74FE9">
              <w:rPr>
                <w:rStyle w:val="Hyperlink"/>
                <w:noProof/>
              </w:rPr>
              <w:t>14.5.5</w:t>
            </w:r>
            <w:r w:rsidR="00914017">
              <w:rPr>
                <w:rFonts w:asciiTheme="minorHAnsi" w:eastAsiaTheme="minorEastAsia" w:hAnsiTheme="minorHAnsi" w:cstheme="minorBidi"/>
                <w:noProof/>
                <w:sz w:val="22"/>
                <w:szCs w:val="22"/>
                <w:lang w:eastAsia="en-AU"/>
              </w:rPr>
              <w:tab/>
            </w:r>
            <w:r w:rsidR="00914017" w:rsidRPr="00F74FE9">
              <w:rPr>
                <w:rStyle w:val="Hyperlink"/>
                <w:noProof/>
              </w:rPr>
              <w:t>Control mechanism formulas</w:t>
            </w:r>
            <w:r w:rsidR="00914017">
              <w:rPr>
                <w:noProof/>
                <w:webHidden/>
              </w:rPr>
              <w:tab/>
            </w:r>
            <w:r w:rsidR="00914017">
              <w:rPr>
                <w:noProof/>
                <w:webHidden/>
              </w:rPr>
              <w:fldChar w:fldCharType="begin"/>
            </w:r>
            <w:r w:rsidR="00914017">
              <w:rPr>
                <w:noProof/>
                <w:webHidden/>
              </w:rPr>
              <w:instrText xml:space="preserve"> PAGEREF _Toc404616787 \h </w:instrText>
            </w:r>
            <w:r w:rsidR="00914017">
              <w:rPr>
                <w:noProof/>
                <w:webHidden/>
              </w:rPr>
            </w:r>
            <w:r w:rsidR="00914017">
              <w:rPr>
                <w:noProof/>
                <w:webHidden/>
              </w:rPr>
              <w:fldChar w:fldCharType="separate"/>
            </w:r>
            <w:r w:rsidR="00914017">
              <w:rPr>
                <w:noProof/>
                <w:webHidden/>
              </w:rPr>
              <w:t>14-13</w:t>
            </w:r>
            <w:r w:rsidR="00914017">
              <w:rPr>
                <w:noProof/>
                <w:webHidden/>
              </w:rPr>
              <w:fldChar w:fldCharType="end"/>
            </w:r>
          </w:hyperlink>
        </w:p>
        <w:p w:rsidR="00914017" w:rsidRDefault="00E64D67">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616788" w:history="1">
            <w:r w:rsidR="00914017" w:rsidRPr="00F74FE9">
              <w:rPr>
                <w:rStyle w:val="Hyperlink"/>
                <w:noProof/>
              </w:rPr>
              <w:t>A</w:t>
            </w:r>
            <w:r w:rsidR="00914017">
              <w:rPr>
                <w:rFonts w:asciiTheme="minorHAnsi" w:eastAsiaTheme="minorEastAsia" w:hAnsiTheme="minorHAnsi" w:cstheme="minorBidi"/>
                <w:b w:val="0"/>
                <w:bCs w:val="0"/>
                <w:noProof/>
                <w:sz w:val="22"/>
                <w:szCs w:val="22"/>
                <w:lang w:eastAsia="en-AU"/>
              </w:rPr>
              <w:tab/>
            </w:r>
            <w:r w:rsidR="00914017" w:rsidRPr="00F74FE9">
              <w:rPr>
                <w:rStyle w:val="Hyperlink"/>
                <w:noProof/>
              </w:rPr>
              <w:t>DUoS unders and overs account</w:t>
            </w:r>
            <w:r w:rsidR="00914017">
              <w:rPr>
                <w:noProof/>
                <w:webHidden/>
              </w:rPr>
              <w:tab/>
            </w:r>
            <w:r w:rsidR="00914017">
              <w:rPr>
                <w:noProof/>
                <w:webHidden/>
              </w:rPr>
              <w:fldChar w:fldCharType="begin"/>
            </w:r>
            <w:r w:rsidR="00914017">
              <w:rPr>
                <w:noProof/>
                <w:webHidden/>
              </w:rPr>
              <w:instrText xml:space="preserve"> PAGEREF _Toc404616788 \h </w:instrText>
            </w:r>
            <w:r w:rsidR="00914017">
              <w:rPr>
                <w:noProof/>
                <w:webHidden/>
              </w:rPr>
            </w:r>
            <w:r w:rsidR="00914017">
              <w:rPr>
                <w:noProof/>
                <w:webHidden/>
              </w:rPr>
              <w:fldChar w:fldCharType="separate"/>
            </w:r>
            <w:r w:rsidR="00914017">
              <w:rPr>
                <w:noProof/>
                <w:webHidden/>
              </w:rPr>
              <w:t>14-16</w:t>
            </w:r>
            <w:r w:rsidR="00914017">
              <w:rPr>
                <w:noProof/>
                <w:webHidden/>
              </w:rPr>
              <w:fldChar w:fldCharType="end"/>
            </w:r>
          </w:hyperlink>
        </w:p>
        <w:p w:rsidR="00914017" w:rsidRDefault="00E64D67">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616789" w:history="1">
            <w:r w:rsidR="00914017" w:rsidRPr="00F74FE9">
              <w:rPr>
                <w:rStyle w:val="Hyperlink"/>
                <w:noProof/>
              </w:rPr>
              <w:t>B</w:t>
            </w:r>
            <w:r w:rsidR="00914017">
              <w:rPr>
                <w:rFonts w:asciiTheme="minorHAnsi" w:eastAsiaTheme="minorEastAsia" w:hAnsiTheme="minorHAnsi" w:cstheme="minorBidi"/>
                <w:b w:val="0"/>
                <w:bCs w:val="0"/>
                <w:noProof/>
                <w:sz w:val="22"/>
                <w:szCs w:val="22"/>
                <w:lang w:eastAsia="en-AU"/>
              </w:rPr>
              <w:tab/>
            </w:r>
            <w:r w:rsidR="00914017" w:rsidRPr="00F74FE9">
              <w:rPr>
                <w:rStyle w:val="Hyperlink"/>
                <w:noProof/>
              </w:rPr>
              <w:t>TUoS unders and overs account</w:t>
            </w:r>
            <w:r w:rsidR="00914017">
              <w:rPr>
                <w:noProof/>
                <w:webHidden/>
              </w:rPr>
              <w:tab/>
            </w:r>
            <w:r w:rsidR="00914017">
              <w:rPr>
                <w:noProof/>
                <w:webHidden/>
              </w:rPr>
              <w:fldChar w:fldCharType="begin"/>
            </w:r>
            <w:r w:rsidR="00914017">
              <w:rPr>
                <w:noProof/>
                <w:webHidden/>
              </w:rPr>
              <w:instrText xml:space="preserve"> PAGEREF _Toc404616789 \h </w:instrText>
            </w:r>
            <w:r w:rsidR="00914017">
              <w:rPr>
                <w:noProof/>
                <w:webHidden/>
              </w:rPr>
            </w:r>
            <w:r w:rsidR="00914017">
              <w:rPr>
                <w:noProof/>
                <w:webHidden/>
              </w:rPr>
              <w:fldChar w:fldCharType="separate"/>
            </w:r>
            <w:r w:rsidR="00914017">
              <w:rPr>
                <w:noProof/>
                <w:webHidden/>
              </w:rPr>
              <w:t>14-18</w:t>
            </w:r>
            <w:r w:rsidR="00914017">
              <w:rPr>
                <w:noProof/>
                <w:webHidden/>
              </w:rPr>
              <w:fldChar w:fldCharType="end"/>
            </w:r>
          </w:hyperlink>
        </w:p>
        <w:p w:rsidR="00914017" w:rsidRDefault="00E64D67">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616790" w:history="1">
            <w:r w:rsidR="00914017" w:rsidRPr="00F74FE9">
              <w:rPr>
                <w:rStyle w:val="Hyperlink"/>
                <w:noProof/>
              </w:rPr>
              <w:t>C</w:t>
            </w:r>
            <w:r w:rsidR="00914017">
              <w:rPr>
                <w:rFonts w:asciiTheme="minorHAnsi" w:eastAsiaTheme="minorEastAsia" w:hAnsiTheme="minorHAnsi" w:cstheme="minorBidi"/>
                <w:b w:val="0"/>
                <w:bCs w:val="0"/>
                <w:noProof/>
                <w:sz w:val="22"/>
                <w:szCs w:val="22"/>
                <w:lang w:eastAsia="en-AU"/>
              </w:rPr>
              <w:tab/>
            </w:r>
            <w:r w:rsidR="00914017" w:rsidRPr="00F74FE9">
              <w:rPr>
                <w:rStyle w:val="Hyperlink"/>
                <w:noProof/>
              </w:rPr>
              <w:t>Reporting on recovery of jurisdictional schemes</w:t>
            </w:r>
            <w:r w:rsidR="00914017">
              <w:rPr>
                <w:noProof/>
                <w:webHidden/>
              </w:rPr>
              <w:tab/>
            </w:r>
            <w:r w:rsidR="00914017">
              <w:rPr>
                <w:noProof/>
                <w:webHidden/>
              </w:rPr>
              <w:fldChar w:fldCharType="begin"/>
            </w:r>
            <w:r w:rsidR="00914017">
              <w:rPr>
                <w:noProof/>
                <w:webHidden/>
              </w:rPr>
              <w:instrText xml:space="preserve"> PAGEREF _Toc404616790 \h </w:instrText>
            </w:r>
            <w:r w:rsidR="00914017">
              <w:rPr>
                <w:noProof/>
                <w:webHidden/>
              </w:rPr>
            </w:r>
            <w:r w:rsidR="00914017">
              <w:rPr>
                <w:noProof/>
                <w:webHidden/>
              </w:rPr>
              <w:fldChar w:fldCharType="separate"/>
            </w:r>
            <w:r w:rsidR="00914017">
              <w:rPr>
                <w:noProof/>
                <w:webHidden/>
              </w:rPr>
              <w:t>14-20</w:t>
            </w:r>
            <w:r w:rsidR="00914017">
              <w:rPr>
                <w:noProof/>
                <w:webHidden/>
              </w:rPr>
              <w:fldChar w:fldCharType="end"/>
            </w:r>
          </w:hyperlink>
        </w:p>
        <w:p w:rsidR="00914017" w:rsidRDefault="00E64D67">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616791" w:history="1">
            <w:r w:rsidR="00914017" w:rsidRPr="00F74FE9">
              <w:rPr>
                <w:rStyle w:val="Hyperlink"/>
                <w:noProof/>
              </w:rPr>
              <w:t>D</w:t>
            </w:r>
            <w:r w:rsidR="00914017">
              <w:rPr>
                <w:rFonts w:asciiTheme="minorHAnsi" w:eastAsiaTheme="minorEastAsia" w:hAnsiTheme="minorHAnsi" w:cstheme="minorBidi"/>
                <w:b w:val="0"/>
                <w:bCs w:val="0"/>
                <w:noProof/>
                <w:sz w:val="22"/>
                <w:szCs w:val="22"/>
                <w:lang w:eastAsia="en-AU"/>
              </w:rPr>
              <w:tab/>
            </w:r>
            <w:r w:rsidR="00914017" w:rsidRPr="00F74FE9">
              <w:rPr>
                <w:rStyle w:val="Hyperlink"/>
                <w:noProof/>
              </w:rPr>
              <w:t>Assigning retail customers to tariff classes</w:t>
            </w:r>
            <w:r w:rsidR="00914017">
              <w:rPr>
                <w:noProof/>
                <w:webHidden/>
              </w:rPr>
              <w:tab/>
            </w:r>
            <w:r w:rsidR="00914017">
              <w:rPr>
                <w:noProof/>
                <w:webHidden/>
              </w:rPr>
              <w:fldChar w:fldCharType="begin"/>
            </w:r>
            <w:r w:rsidR="00914017">
              <w:rPr>
                <w:noProof/>
                <w:webHidden/>
              </w:rPr>
              <w:instrText xml:space="preserve"> PAGEREF _Toc404616791 \h </w:instrText>
            </w:r>
            <w:r w:rsidR="00914017">
              <w:rPr>
                <w:noProof/>
                <w:webHidden/>
              </w:rPr>
            </w:r>
            <w:r w:rsidR="00914017">
              <w:rPr>
                <w:noProof/>
                <w:webHidden/>
              </w:rPr>
              <w:fldChar w:fldCharType="separate"/>
            </w:r>
            <w:r w:rsidR="00914017">
              <w:rPr>
                <w:noProof/>
                <w:webHidden/>
              </w:rPr>
              <w:t>14-22</w:t>
            </w:r>
            <w:r w:rsidR="00914017">
              <w:rPr>
                <w:noProof/>
                <w:webHidden/>
              </w:rPr>
              <w:fldChar w:fldCharType="end"/>
            </w:r>
          </w:hyperlink>
        </w:p>
        <w:p w:rsidR="00914017" w:rsidRDefault="00E64D6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16792" w:history="1">
            <w:r w:rsidR="00914017" w:rsidRPr="00F74FE9">
              <w:rPr>
                <w:rStyle w:val="Hyperlink"/>
                <w:noProof/>
              </w:rPr>
              <w:t>D.1</w:t>
            </w:r>
            <w:r w:rsidR="00914017">
              <w:rPr>
                <w:rFonts w:asciiTheme="minorHAnsi" w:eastAsiaTheme="minorEastAsia" w:hAnsiTheme="minorHAnsi" w:cstheme="minorBidi"/>
                <w:iCs w:val="0"/>
                <w:noProof/>
                <w:sz w:val="22"/>
                <w:szCs w:val="22"/>
                <w:lang w:eastAsia="en-AU"/>
              </w:rPr>
              <w:tab/>
            </w:r>
            <w:r w:rsidR="00914017" w:rsidRPr="00F74FE9">
              <w:rPr>
                <w:rStyle w:val="Hyperlink"/>
                <w:noProof/>
              </w:rPr>
              <w:t>AER's assessment approach</w:t>
            </w:r>
            <w:r w:rsidR="00914017">
              <w:rPr>
                <w:noProof/>
                <w:webHidden/>
              </w:rPr>
              <w:tab/>
            </w:r>
            <w:r w:rsidR="00914017">
              <w:rPr>
                <w:noProof/>
                <w:webHidden/>
              </w:rPr>
              <w:fldChar w:fldCharType="begin"/>
            </w:r>
            <w:r w:rsidR="00914017">
              <w:rPr>
                <w:noProof/>
                <w:webHidden/>
              </w:rPr>
              <w:instrText xml:space="preserve"> PAGEREF _Toc404616792 \h </w:instrText>
            </w:r>
            <w:r w:rsidR="00914017">
              <w:rPr>
                <w:noProof/>
                <w:webHidden/>
              </w:rPr>
            </w:r>
            <w:r w:rsidR="00914017">
              <w:rPr>
                <w:noProof/>
                <w:webHidden/>
              </w:rPr>
              <w:fldChar w:fldCharType="separate"/>
            </w:r>
            <w:r w:rsidR="00914017">
              <w:rPr>
                <w:noProof/>
                <w:webHidden/>
              </w:rPr>
              <w:t>14-22</w:t>
            </w:r>
            <w:r w:rsidR="00914017">
              <w:rPr>
                <w:noProof/>
                <w:webHidden/>
              </w:rPr>
              <w:fldChar w:fldCharType="end"/>
            </w:r>
          </w:hyperlink>
        </w:p>
        <w:p w:rsidR="00914017" w:rsidRDefault="00E64D6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16793" w:history="1">
            <w:r w:rsidR="00914017" w:rsidRPr="00F74FE9">
              <w:rPr>
                <w:rStyle w:val="Hyperlink"/>
                <w:noProof/>
              </w:rPr>
              <w:t>D.2</w:t>
            </w:r>
            <w:r w:rsidR="00914017">
              <w:rPr>
                <w:rFonts w:asciiTheme="minorHAnsi" w:eastAsiaTheme="minorEastAsia" w:hAnsiTheme="minorHAnsi" w:cstheme="minorBidi"/>
                <w:iCs w:val="0"/>
                <w:noProof/>
                <w:sz w:val="22"/>
                <w:szCs w:val="22"/>
                <w:lang w:eastAsia="en-AU"/>
              </w:rPr>
              <w:tab/>
            </w:r>
            <w:r w:rsidR="00914017" w:rsidRPr="00F74FE9">
              <w:rPr>
                <w:rStyle w:val="Hyperlink"/>
                <w:noProof/>
              </w:rPr>
              <w:t>Reasons for draft decision</w:t>
            </w:r>
            <w:r w:rsidR="00914017">
              <w:rPr>
                <w:noProof/>
                <w:webHidden/>
              </w:rPr>
              <w:tab/>
            </w:r>
            <w:r w:rsidR="00914017">
              <w:rPr>
                <w:noProof/>
                <w:webHidden/>
              </w:rPr>
              <w:fldChar w:fldCharType="begin"/>
            </w:r>
            <w:r w:rsidR="00914017">
              <w:rPr>
                <w:noProof/>
                <w:webHidden/>
              </w:rPr>
              <w:instrText xml:space="preserve"> PAGEREF _Toc404616793 \h </w:instrText>
            </w:r>
            <w:r w:rsidR="00914017">
              <w:rPr>
                <w:noProof/>
                <w:webHidden/>
              </w:rPr>
            </w:r>
            <w:r w:rsidR="00914017">
              <w:rPr>
                <w:noProof/>
                <w:webHidden/>
              </w:rPr>
              <w:fldChar w:fldCharType="separate"/>
            </w:r>
            <w:r w:rsidR="00914017">
              <w:rPr>
                <w:noProof/>
                <w:webHidden/>
              </w:rPr>
              <w:t>14-22</w:t>
            </w:r>
            <w:r w:rsidR="00914017">
              <w:rPr>
                <w:noProof/>
                <w:webHidden/>
              </w:rPr>
              <w:fldChar w:fldCharType="end"/>
            </w:r>
          </w:hyperlink>
        </w:p>
        <w:p w:rsidR="00914017" w:rsidRDefault="00E64D6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16794" w:history="1">
            <w:r w:rsidR="00914017" w:rsidRPr="00F74FE9">
              <w:rPr>
                <w:rStyle w:val="Hyperlink"/>
                <w:noProof/>
              </w:rPr>
              <w:t>D.3</w:t>
            </w:r>
            <w:r w:rsidR="00914017">
              <w:rPr>
                <w:rFonts w:asciiTheme="minorHAnsi" w:eastAsiaTheme="minorEastAsia" w:hAnsiTheme="minorHAnsi" w:cstheme="minorBidi"/>
                <w:iCs w:val="0"/>
                <w:noProof/>
                <w:sz w:val="22"/>
                <w:szCs w:val="22"/>
                <w:lang w:eastAsia="en-AU"/>
              </w:rPr>
              <w:tab/>
            </w:r>
            <w:r w:rsidR="00914017" w:rsidRPr="00F74FE9">
              <w:rPr>
                <w:rStyle w:val="Hyperlink"/>
                <w:noProof/>
              </w:rPr>
              <w:t>Reassignment existing retail customers to a different tariff class</w:t>
            </w:r>
            <w:r w:rsidR="00914017">
              <w:rPr>
                <w:noProof/>
                <w:webHidden/>
              </w:rPr>
              <w:tab/>
            </w:r>
            <w:r w:rsidR="00914017">
              <w:rPr>
                <w:noProof/>
                <w:webHidden/>
              </w:rPr>
              <w:fldChar w:fldCharType="begin"/>
            </w:r>
            <w:r w:rsidR="00914017">
              <w:rPr>
                <w:noProof/>
                <w:webHidden/>
              </w:rPr>
              <w:instrText xml:space="preserve"> PAGEREF _Toc404616794 \h </w:instrText>
            </w:r>
            <w:r w:rsidR="00914017">
              <w:rPr>
                <w:noProof/>
                <w:webHidden/>
              </w:rPr>
            </w:r>
            <w:r w:rsidR="00914017">
              <w:rPr>
                <w:noProof/>
                <w:webHidden/>
              </w:rPr>
              <w:fldChar w:fldCharType="separate"/>
            </w:r>
            <w:r w:rsidR="00914017">
              <w:rPr>
                <w:noProof/>
                <w:webHidden/>
              </w:rPr>
              <w:t>14-22</w:t>
            </w:r>
            <w:r w:rsidR="00914017">
              <w:rPr>
                <w:noProof/>
                <w:webHidden/>
              </w:rPr>
              <w:fldChar w:fldCharType="end"/>
            </w:r>
          </w:hyperlink>
        </w:p>
        <w:p w:rsidR="00914017" w:rsidRDefault="00E64D6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16795" w:history="1">
            <w:r w:rsidR="00914017" w:rsidRPr="00F74FE9">
              <w:rPr>
                <w:rStyle w:val="Hyperlink"/>
                <w:noProof/>
              </w:rPr>
              <w:t>D.4</w:t>
            </w:r>
            <w:r w:rsidR="00914017">
              <w:rPr>
                <w:rFonts w:asciiTheme="minorHAnsi" w:eastAsiaTheme="minorEastAsia" w:hAnsiTheme="minorHAnsi" w:cstheme="minorBidi"/>
                <w:iCs w:val="0"/>
                <w:noProof/>
                <w:sz w:val="22"/>
                <w:szCs w:val="22"/>
                <w:lang w:eastAsia="en-AU"/>
              </w:rPr>
              <w:tab/>
            </w:r>
            <w:r w:rsidR="00914017" w:rsidRPr="00F74FE9">
              <w:rPr>
                <w:rStyle w:val="Hyperlink"/>
                <w:noProof/>
              </w:rPr>
              <w:t>Procedures for assigning or reassigning retail customers to tariff classes</w:t>
            </w:r>
            <w:r w:rsidR="00914017">
              <w:rPr>
                <w:noProof/>
                <w:webHidden/>
              </w:rPr>
              <w:tab/>
            </w:r>
            <w:r w:rsidR="00914017">
              <w:rPr>
                <w:noProof/>
                <w:webHidden/>
              </w:rPr>
              <w:fldChar w:fldCharType="begin"/>
            </w:r>
            <w:r w:rsidR="00914017">
              <w:rPr>
                <w:noProof/>
                <w:webHidden/>
              </w:rPr>
              <w:instrText xml:space="preserve"> PAGEREF _Toc404616795 \h </w:instrText>
            </w:r>
            <w:r w:rsidR="00914017">
              <w:rPr>
                <w:noProof/>
                <w:webHidden/>
              </w:rPr>
            </w:r>
            <w:r w:rsidR="00914017">
              <w:rPr>
                <w:noProof/>
                <w:webHidden/>
              </w:rPr>
              <w:fldChar w:fldCharType="separate"/>
            </w:r>
            <w:r w:rsidR="00914017">
              <w:rPr>
                <w:noProof/>
                <w:webHidden/>
              </w:rPr>
              <w:t>14-23</w:t>
            </w:r>
            <w:r w:rsidR="00914017">
              <w:rPr>
                <w:noProof/>
                <w:webHidden/>
              </w:rPr>
              <w:fldChar w:fldCharType="end"/>
            </w:r>
          </w:hyperlink>
        </w:p>
        <w:p w:rsidR="00117CFA" w:rsidRDefault="00D15A15" w:rsidP="00D15A15">
          <w:pPr>
            <w:pStyle w:val="TOC1"/>
            <w:tabs>
              <w:tab w:val="right" w:leader="dot" w:pos="9016"/>
            </w:tabs>
          </w:pPr>
          <w:r>
            <w:rPr>
              <w:lang w:val="en-US" w:eastAsia="ja-JP"/>
            </w:rPr>
            <w:fldChar w:fldCharType="end"/>
          </w:r>
        </w:p>
      </w:sdtContent>
    </w:sdt>
    <w:p w:rsidR="00117CFA" w:rsidRDefault="00117CFA" w:rsidP="00117CFA">
      <w:pPr>
        <w:pStyle w:val="AERbodytext"/>
      </w:pPr>
    </w:p>
    <w:p w:rsidR="00117CFA" w:rsidRDefault="00117CFA" w:rsidP="00117CFA">
      <w:pPr>
        <w:pStyle w:val="UnnumberedHeading"/>
      </w:pPr>
      <w:bookmarkStart w:id="3" w:name="_Toc402537455"/>
      <w:bookmarkStart w:id="4" w:name="_Toc403479638"/>
      <w:bookmarkStart w:id="5" w:name="_Toc403564409"/>
      <w:bookmarkStart w:id="6" w:name="_Toc403565520"/>
      <w:bookmarkStart w:id="7" w:name="_Toc404257455"/>
      <w:bookmarkStart w:id="8" w:name="_Toc404616776"/>
      <w:r>
        <w:t>Shortened forms</w:t>
      </w:r>
      <w:bookmarkEnd w:id="3"/>
      <w:bookmarkEnd w:id="4"/>
      <w:bookmarkEnd w:id="5"/>
      <w:bookmarkEnd w:id="6"/>
      <w:bookmarkEnd w:id="7"/>
      <w:bookmarkEnd w:id="8"/>
    </w:p>
    <w:tbl>
      <w:tblPr>
        <w:tblStyle w:val="AERtable-numbers"/>
        <w:tblW w:w="0" w:type="auto"/>
        <w:tblLook w:val="04A0" w:firstRow="1" w:lastRow="0" w:firstColumn="1" w:lastColumn="0" w:noHBand="0" w:noVBand="1"/>
      </w:tblPr>
      <w:tblGrid>
        <w:gridCol w:w="4621"/>
        <w:gridCol w:w="4621"/>
      </w:tblGrid>
      <w:tr w:rsidR="00117CFA" w:rsidTr="00117CF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117CFA" w:rsidRDefault="00117CFA" w:rsidP="00117CFA">
            <w:pPr>
              <w:pStyle w:val="AERbodytext"/>
            </w:pPr>
            <w:r>
              <w:t>Shortened form</w:t>
            </w:r>
          </w:p>
        </w:tc>
        <w:tc>
          <w:tcPr>
            <w:tcW w:w="4621" w:type="dxa"/>
          </w:tcPr>
          <w:p w:rsidR="00117CFA" w:rsidRDefault="00117CFA" w:rsidP="00117CFA">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117CFA" w:rsidTr="00117CFA">
        <w:tc>
          <w:tcPr>
            <w:cnfStyle w:val="001000000000" w:firstRow="0" w:lastRow="0" w:firstColumn="1" w:lastColumn="0" w:oddVBand="0" w:evenVBand="0" w:oddHBand="0" w:evenHBand="0" w:firstRowFirstColumn="0" w:firstRowLastColumn="0" w:lastRowFirstColumn="0" w:lastRowLastColumn="0"/>
            <w:tcW w:w="4621" w:type="dxa"/>
          </w:tcPr>
          <w:p w:rsidR="00117CFA" w:rsidRDefault="00117CFA" w:rsidP="00117CFA">
            <w:pPr>
              <w:pStyle w:val="AERbodytext"/>
            </w:pPr>
            <w:r>
              <w:t>AARR</w:t>
            </w:r>
          </w:p>
        </w:tc>
        <w:tc>
          <w:tcPr>
            <w:tcW w:w="4621" w:type="dxa"/>
          </w:tcPr>
          <w:p w:rsidR="00117CFA" w:rsidRDefault="00117CFA" w:rsidP="00117CFA">
            <w:pPr>
              <w:pStyle w:val="AERbodytext"/>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117CFA" w:rsidTr="00117C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7CFA" w:rsidRDefault="00117CFA" w:rsidP="00117CFA">
            <w:pPr>
              <w:pStyle w:val="AERbodytext"/>
            </w:pPr>
            <w:r>
              <w:t>AEMC</w:t>
            </w:r>
          </w:p>
        </w:tc>
        <w:tc>
          <w:tcPr>
            <w:tcW w:w="4621" w:type="dxa"/>
          </w:tcPr>
          <w:p w:rsidR="00117CFA" w:rsidRDefault="00117CFA" w:rsidP="00117CFA">
            <w:pPr>
              <w:pStyle w:val="AERbodytext"/>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117CFA" w:rsidTr="00117CFA">
        <w:tc>
          <w:tcPr>
            <w:cnfStyle w:val="001000000000" w:firstRow="0" w:lastRow="0" w:firstColumn="1" w:lastColumn="0" w:oddVBand="0" w:evenVBand="0" w:oddHBand="0" w:evenHBand="0" w:firstRowFirstColumn="0" w:firstRowLastColumn="0" w:lastRowFirstColumn="0" w:lastRowLastColumn="0"/>
            <w:tcW w:w="4621" w:type="dxa"/>
          </w:tcPr>
          <w:p w:rsidR="00117CFA" w:rsidRDefault="00117CFA" w:rsidP="00117CFA">
            <w:pPr>
              <w:pStyle w:val="AERbodytext"/>
            </w:pPr>
            <w:r>
              <w:t>AEMO</w:t>
            </w:r>
          </w:p>
        </w:tc>
        <w:tc>
          <w:tcPr>
            <w:tcW w:w="4621" w:type="dxa"/>
          </w:tcPr>
          <w:p w:rsidR="00117CFA" w:rsidRDefault="00117CFA" w:rsidP="00117CFA">
            <w:pPr>
              <w:pStyle w:val="AERbodytext"/>
              <w:cnfStyle w:val="000000000000" w:firstRow="0" w:lastRow="0" w:firstColumn="0" w:lastColumn="0" w:oddVBand="0" w:evenVBand="0" w:oddHBand="0" w:evenHBand="0" w:firstRowFirstColumn="0" w:firstRowLastColumn="0" w:lastRowFirstColumn="0" w:lastRowLastColumn="0"/>
            </w:pPr>
            <w:r>
              <w:t>Australian Energy Market Operator</w:t>
            </w:r>
          </w:p>
        </w:tc>
      </w:tr>
      <w:tr w:rsidR="00117CFA" w:rsidTr="00117C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7CFA" w:rsidRDefault="00117CFA" w:rsidP="00117CFA">
            <w:pPr>
              <w:pStyle w:val="AERbodytext"/>
            </w:pPr>
            <w:r>
              <w:t>AER</w:t>
            </w:r>
          </w:p>
        </w:tc>
        <w:tc>
          <w:tcPr>
            <w:tcW w:w="4621" w:type="dxa"/>
          </w:tcPr>
          <w:p w:rsidR="00117CFA" w:rsidRDefault="00117CFA" w:rsidP="00117CFA">
            <w:pPr>
              <w:pStyle w:val="AERbodytext"/>
              <w:cnfStyle w:val="000000010000" w:firstRow="0" w:lastRow="0" w:firstColumn="0" w:lastColumn="0" w:oddVBand="0" w:evenVBand="0" w:oddHBand="0" w:evenHBand="1" w:firstRowFirstColumn="0" w:firstRowLastColumn="0" w:lastRowFirstColumn="0" w:lastRowLastColumn="0"/>
            </w:pPr>
            <w:r>
              <w:t>Australian Energy Regulator</w:t>
            </w:r>
          </w:p>
        </w:tc>
      </w:tr>
      <w:tr w:rsidR="00117CFA" w:rsidTr="00117CFA">
        <w:tc>
          <w:tcPr>
            <w:cnfStyle w:val="001000000000" w:firstRow="0" w:lastRow="0" w:firstColumn="1" w:lastColumn="0" w:oddVBand="0" w:evenVBand="0" w:oddHBand="0" w:evenHBand="0" w:firstRowFirstColumn="0" w:firstRowLastColumn="0" w:lastRowFirstColumn="0" w:lastRowLastColumn="0"/>
            <w:tcW w:w="4621" w:type="dxa"/>
          </w:tcPr>
          <w:p w:rsidR="00117CFA" w:rsidRDefault="00117CFA" w:rsidP="00117CFA">
            <w:pPr>
              <w:pStyle w:val="AERbodytext"/>
            </w:pPr>
            <w:r>
              <w:t>ASRR</w:t>
            </w:r>
          </w:p>
        </w:tc>
        <w:tc>
          <w:tcPr>
            <w:tcW w:w="4621" w:type="dxa"/>
          </w:tcPr>
          <w:p w:rsidR="00117CFA" w:rsidRDefault="00117CFA" w:rsidP="00117CFA">
            <w:pPr>
              <w:pStyle w:val="AERbodytext"/>
              <w:cnfStyle w:val="000000000000" w:firstRow="0" w:lastRow="0" w:firstColumn="0" w:lastColumn="0" w:oddVBand="0" w:evenVBand="0" w:oddHBand="0" w:evenHBand="0" w:firstRowFirstColumn="0" w:firstRowLastColumn="0" w:lastRowFirstColumn="0" w:lastRowLastColumn="0"/>
            </w:pPr>
            <w:r>
              <w:t>aggregate service revenue requirement</w:t>
            </w:r>
          </w:p>
        </w:tc>
      </w:tr>
      <w:tr w:rsidR="00117CFA" w:rsidTr="00117C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7CFA" w:rsidRDefault="00117CFA" w:rsidP="00117CFA">
            <w:pPr>
              <w:pStyle w:val="AERbodytext"/>
            </w:pPr>
            <w:r>
              <w:t>augex</w:t>
            </w:r>
          </w:p>
        </w:tc>
        <w:tc>
          <w:tcPr>
            <w:tcW w:w="4621" w:type="dxa"/>
          </w:tcPr>
          <w:p w:rsidR="00117CFA" w:rsidRDefault="00117CFA" w:rsidP="00117CFA">
            <w:pPr>
              <w:pStyle w:val="AERbodytext"/>
              <w:cnfStyle w:val="000000010000" w:firstRow="0" w:lastRow="0" w:firstColumn="0" w:lastColumn="0" w:oddVBand="0" w:evenVBand="0" w:oddHBand="0" w:evenHBand="1" w:firstRowFirstColumn="0" w:firstRowLastColumn="0" w:lastRowFirstColumn="0" w:lastRowLastColumn="0"/>
            </w:pPr>
            <w:r>
              <w:t>augmentation expenditure</w:t>
            </w:r>
          </w:p>
        </w:tc>
      </w:tr>
      <w:tr w:rsidR="00117CFA" w:rsidTr="00117CFA">
        <w:tc>
          <w:tcPr>
            <w:cnfStyle w:val="001000000000" w:firstRow="0" w:lastRow="0" w:firstColumn="1" w:lastColumn="0" w:oddVBand="0" w:evenVBand="0" w:oddHBand="0" w:evenHBand="0" w:firstRowFirstColumn="0" w:firstRowLastColumn="0" w:lastRowFirstColumn="0" w:lastRowLastColumn="0"/>
            <w:tcW w:w="4621" w:type="dxa"/>
          </w:tcPr>
          <w:p w:rsidR="00117CFA" w:rsidRDefault="00117CFA" w:rsidP="00117CFA">
            <w:pPr>
              <w:pStyle w:val="AERbodytext"/>
            </w:pPr>
            <w:r>
              <w:t>capex</w:t>
            </w:r>
          </w:p>
        </w:tc>
        <w:tc>
          <w:tcPr>
            <w:tcW w:w="4621" w:type="dxa"/>
          </w:tcPr>
          <w:p w:rsidR="00117CFA" w:rsidRDefault="00117CFA" w:rsidP="00117CFA">
            <w:pPr>
              <w:pStyle w:val="AERbodytext"/>
              <w:cnfStyle w:val="000000000000" w:firstRow="0" w:lastRow="0" w:firstColumn="0" w:lastColumn="0" w:oddVBand="0" w:evenVBand="0" w:oddHBand="0" w:evenHBand="0" w:firstRowFirstColumn="0" w:firstRowLastColumn="0" w:lastRowFirstColumn="0" w:lastRowLastColumn="0"/>
            </w:pPr>
            <w:r>
              <w:t>capital expenditure</w:t>
            </w:r>
          </w:p>
        </w:tc>
      </w:tr>
      <w:tr w:rsidR="00117CFA" w:rsidTr="00117C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7CFA" w:rsidRDefault="00117CFA" w:rsidP="00117CFA">
            <w:pPr>
              <w:pStyle w:val="AERbodytext"/>
            </w:pPr>
            <w:r>
              <w:t>CCP</w:t>
            </w:r>
          </w:p>
        </w:tc>
        <w:tc>
          <w:tcPr>
            <w:tcW w:w="4621" w:type="dxa"/>
          </w:tcPr>
          <w:p w:rsidR="00117CFA" w:rsidRDefault="00117CFA" w:rsidP="00117CFA">
            <w:pPr>
              <w:pStyle w:val="AERbodytext"/>
              <w:cnfStyle w:val="000000010000" w:firstRow="0" w:lastRow="0" w:firstColumn="0" w:lastColumn="0" w:oddVBand="0" w:evenVBand="0" w:oddHBand="0" w:evenHBand="1" w:firstRowFirstColumn="0" w:firstRowLastColumn="0" w:lastRowFirstColumn="0" w:lastRowLastColumn="0"/>
            </w:pPr>
            <w:r>
              <w:t>Consumer Challenge Panel</w:t>
            </w:r>
          </w:p>
        </w:tc>
      </w:tr>
      <w:tr w:rsidR="00117CFA" w:rsidTr="00117CFA">
        <w:tc>
          <w:tcPr>
            <w:cnfStyle w:val="001000000000" w:firstRow="0" w:lastRow="0" w:firstColumn="1" w:lastColumn="0" w:oddVBand="0" w:evenVBand="0" w:oddHBand="0" w:evenHBand="0" w:firstRowFirstColumn="0" w:firstRowLastColumn="0" w:lastRowFirstColumn="0" w:lastRowLastColumn="0"/>
            <w:tcW w:w="4621" w:type="dxa"/>
          </w:tcPr>
          <w:p w:rsidR="00117CFA" w:rsidRDefault="00117CFA" w:rsidP="00117CFA">
            <w:pPr>
              <w:pStyle w:val="AERbodytext"/>
            </w:pPr>
            <w:r>
              <w:t>CESS</w:t>
            </w:r>
          </w:p>
        </w:tc>
        <w:tc>
          <w:tcPr>
            <w:tcW w:w="4621" w:type="dxa"/>
          </w:tcPr>
          <w:p w:rsidR="00117CFA" w:rsidRDefault="00117CFA" w:rsidP="00117CFA">
            <w:pPr>
              <w:pStyle w:val="AERbodytex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117CFA" w:rsidTr="00117C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7CFA" w:rsidRDefault="00117CFA" w:rsidP="00117CFA">
            <w:pPr>
              <w:pStyle w:val="AERbodytext"/>
            </w:pPr>
            <w:r>
              <w:t>CPI</w:t>
            </w:r>
          </w:p>
        </w:tc>
        <w:tc>
          <w:tcPr>
            <w:tcW w:w="4621" w:type="dxa"/>
          </w:tcPr>
          <w:p w:rsidR="00117CFA" w:rsidRDefault="00117CFA" w:rsidP="00117CFA">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117CFA" w:rsidTr="00117CFA">
        <w:tc>
          <w:tcPr>
            <w:cnfStyle w:val="001000000000" w:firstRow="0" w:lastRow="0" w:firstColumn="1" w:lastColumn="0" w:oddVBand="0" w:evenVBand="0" w:oddHBand="0" w:evenHBand="0" w:firstRowFirstColumn="0" w:firstRowLastColumn="0" w:lastRowFirstColumn="0" w:lastRowLastColumn="0"/>
            <w:tcW w:w="4621" w:type="dxa"/>
          </w:tcPr>
          <w:p w:rsidR="00117CFA" w:rsidRDefault="00117CFA" w:rsidP="00117CFA">
            <w:pPr>
              <w:pStyle w:val="AERbodytext"/>
            </w:pPr>
            <w:r>
              <w:t>CPI-X</w:t>
            </w:r>
          </w:p>
        </w:tc>
        <w:tc>
          <w:tcPr>
            <w:tcW w:w="4621" w:type="dxa"/>
          </w:tcPr>
          <w:p w:rsidR="00117CFA" w:rsidRDefault="00117CFA" w:rsidP="00117CFA">
            <w:pPr>
              <w:pStyle w:val="AERbodytext"/>
              <w:cnfStyle w:val="000000000000" w:firstRow="0" w:lastRow="0" w:firstColumn="0" w:lastColumn="0" w:oddVBand="0" w:evenVBand="0" w:oddHBand="0" w:evenHBand="0" w:firstRowFirstColumn="0" w:firstRowLastColumn="0" w:lastRowFirstColumn="0" w:lastRowLastColumn="0"/>
            </w:pPr>
            <w:r>
              <w:t>consumer price index minus X</w:t>
            </w:r>
          </w:p>
        </w:tc>
      </w:tr>
      <w:tr w:rsidR="00117CFA" w:rsidTr="00117C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7CFA" w:rsidRDefault="00117CFA" w:rsidP="00117CFA">
            <w:pPr>
              <w:pStyle w:val="AERbodytext"/>
            </w:pPr>
            <w:r>
              <w:t>DRP</w:t>
            </w:r>
          </w:p>
        </w:tc>
        <w:tc>
          <w:tcPr>
            <w:tcW w:w="4621" w:type="dxa"/>
          </w:tcPr>
          <w:p w:rsidR="00117CFA" w:rsidRDefault="00117CFA" w:rsidP="00117CFA">
            <w:pPr>
              <w:pStyle w:val="AERbodytext"/>
              <w:cnfStyle w:val="000000010000" w:firstRow="0" w:lastRow="0" w:firstColumn="0" w:lastColumn="0" w:oddVBand="0" w:evenVBand="0" w:oddHBand="0" w:evenHBand="1" w:firstRowFirstColumn="0" w:firstRowLastColumn="0" w:lastRowFirstColumn="0" w:lastRowLastColumn="0"/>
            </w:pPr>
            <w:r>
              <w:t>debt risk premium</w:t>
            </w:r>
          </w:p>
        </w:tc>
      </w:tr>
      <w:tr w:rsidR="00117CFA" w:rsidTr="00117CFA">
        <w:tc>
          <w:tcPr>
            <w:cnfStyle w:val="001000000000" w:firstRow="0" w:lastRow="0" w:firstColumn="1" w:lastColumn="0" w:oddVBand="0" w:evenVBand="0" w:oddHBand="0" w:evenHBand="0" w:firstRowFirstColumn="0" w:firstRowLastColumn="0" w:lastRowFirstColumn="0" w:lastRowLastColumn="0"/>
            <w:tcW w:w="4621" w:type="dxa"/>
          </w:tcPr>
          <w:p w:rsidR="00117CFA" w:rsidRDefault="00117CFA" w:rsidP="00117CFA">
            <w:pPr>
              <w:pStyle w:val="AERbodytext"/>
            </w:pPr>
            <w:r>
              <w:t>DMIA</w:t>
            </w:r>
          </w:p>
        </w:tc>
        <w:tc>
          <w:tcPr>
            <w:tcW w:w="4621" w:type="dxa"/>
          </w:tcPr>
          <w:p w:rsidR="00117CFA" w:rsidRDefault="00117CFA" w:rsidP="00117CFA">
            <w:pPr>
              <w:pStyle w:val="AERbodytext"/>
              <w:cnfStyle w:val="000000000000" w:firstRow="0" w:lastRow="0" w:firstColumn="0" w:lastColumn="0" w:oddVBand="0" w:evenVBand="0" w:oddHBand="0" w:evenHBand="0" w:firstRowFirstColumn="0" w:firstRowLastColumn="0" w:lastRowFirstColumn="0" w:lastRowLastColumn="0"/>
            </w:pPr>
            <w:r>
              <w:t>demand management innovation allowance</w:t>
            </w:r>
          </w:p>
        </w:tc>
      </w:tr>
      <w:tr w:rsidR="00117CFA" w:rsidTr="00117C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7CFA" w:rsidRDefault="00117CFA" w:rsidP="00117CFA">
            <w:pPr>
              <w:pStyle w:val="AERbodytext"/>
            </w:pPr>
            <w:r>
              <w:t>DMIS</w:t>
            </w:r>
          </w:p>
        </w:tc>
        <w:tc>
          <w:tcPr>
            <w:tcW w:w="4621" w:type="dxa"/>
          </w:tcPr>
          <w:p w:rsidR="00117CFA" w:rsidRDefault="00117CFA" w:rsidP="00117CFA">
            <w:pPr>
              <w:pStyle w:val="AERbodytext"/>
              <w:cnfStyle w:val="000000010000" w:firstRow="0" w:lastRow="0" w:firstColumn="0" w:lastColumn="0" w:oddVBand="0" w:evenVBand="0" w:oddHBand="0" w:evenHBand="1" w:firstRowFirstColumn="0" w:firstRowLastColumn="0" w:lastRowFirstColumn="0" w:lastRowLastColumn="0"/>
            </w:pPr>
            <w:r>
              <w:t>demand management incentive scheme</w:t>
            </w:r>
          </w:p>
        </w:tc>
      </w:tr>
      <w:tr w:rsidR="00117CFA" w:rsidTr="00117CFA">
        <w:tc>
          <w:tcPr>
            <w:cnfStyle w:val="001000000000" w:firstRow="0" w:lastRow="0" w:firstColumn="1" w:lastColumn="0" w:oddVBand="0" w:evenVBand="0" w:oddHBand="0" w:evenHBand="0" w:firstRowFirstColumn="0" w:firstRowLastColumn="0" w:lastRowFirstColumn="0" w:lastRowLastColumn="0"/>
            <w:tcW w:w="4621" w:type="dxa"/>
          </w:tcPr>
          <w:p w:rsidR="00117CFA" w:rsidRDefault="00117CFA" w:rsidP="00117CFA">
            <w:pPr>
              <w:pStyle w:val="AERbodytext"/>
            </w:pPr>
            <w:r>
              <w:t>distributor</w:t>
            </w:r>
          </w:p>
        </w:tc>
        <w:tc>
          <w:tcPr>
            <w:tcW w:w="4621" w:type="dxa"/>
          </w:tcPr>
          <w:p w:rsidR="00117CFA" w:rsidRDefault="00117CFA" w:rsidP="00117CFA">
            <w:pPr>
              <w:pStyle w:val="AERbodytext"/>
              <w:cnfStyle w:val="000000000000" w:firstRow="0" w:lastRow="0" w:firstColumn="0" w:lastColumn="0" w:oddVBand="0" w:evenVBand="0" w:oddHBand="0" w:evenHBand="0" w:firstRowFirstColumn="0" w:firstRowLastColumn="0" w:lastRowFirstColumn="0" w:lastRowLastColumn="0"/>
            </w:pPr>
            <w:r>
              <w:t>distribution network service provider</w:t>
            </w:r>
          </w:p>
        </w:tc>
      </w:tr>
      <w:tr w:rsidR="00117CFA" w:rsidTr="00117C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7CFA" w:rsidRDefault="00117CFA" w:rsidP="00117CFA">
            <w:pPr>
              <w:pStyle w:val="AERbodytext"/>
            </w:pPr>
            <w:r>
              <w:t>DUoS</w:t>
            </w:r>
          </w:p>
        </w:tc>
        <w:tc>
          <w:tcPr>
            <w:tcW w:w="4621" w:type="dxa"/>
          </w:tcPr>
          <w:p w:rsidR="00117CFA" w:rsidRDefault="00117CFA" w:rsidP="00117CFA">
            <w:pPr>
              <w:pStyle w:val="AERbodytext"/>
              <w:cnfStyle w:val="000000010000" w:firstRow="0" w:lastRow="0" w:firstColumn="0" w:lastColumn="0" w:oddVBand="0" w:evenVBand="0" w:oddHBand="0" w:evenHBand="1" w:firstRowFirstColumn="0" w:firstRowLastColumn="0" w:lastRowFirstColumn="0" w:lastRowLastColumn="0"/>
            </w:pPr>
            <w:r>
              <w:t>distribution use of system</w:t>
            </w:r>
          </w:p>
        </w:tc>
      </w:tr>
      <w:tr w:rsidR="00117CFA" w:rsidTr="00117CFA">
        <w:tc>
          <w:tcPr>
            <w:cnfStyle w:val="001000000000" w:firstRow="0" w:lastRow="0" w:firstColumn="1" w:lastColumn="0" w:oddVBand="0" w:evenVBand="0" w:oddHBand="0" w:evenHBand="0" w:firstRowFirstColumn="0" w:firstRowLastColumn="0" w:lastRowFirstColumn="0" w:lastRowLastColumn="0"/>
            <w:tcW w:w="4621" w:type="dxa"/>
          </w:tcPr>
          <w:p w:rsidR="00117CFA" w:rsidRDefault="00117CFA" w:rsidP="00117CFA">
            <w:pPr>
              <w:pStyle w:val="AERbodytext"/>
            </w:pPr>
            <w:r>
              <w:t>EBSS</w:t>
            </w:r>
          </w:p>
        </w:tc>
        <w:tc>
          <w:tcPr>
            <w:tcW w:w="4621" w:type="dxa"/>
          </w:tcPr>
          <w:p w:rsidR="00117CFA" w:rsidRDefault="00117CFA" w:rsidP="00117CFA">
            <w:pPr>
              <w:pStyle w:val="AERbodytext"/>
              <w:cnfStyle w:val="000000000000" w:firstRow="0" w:lastRow="0" w:firstColumn="0" w:lastColumn="0" w:oddVBand="0" w:evenVBand="0" w:oddHBand="0" w:evenHBand="0" w:firstRowFirstColumn="0" w:firstRowLastColumn="0" w:lastRowFirstColumn="0" w:lastRowLastColumn="0"/>
            </w:pPr>
            <w:r>
              <w:t>efficiency benefit sharing scheme</w:t>
            </w:r>
          </w:p>
        </w:tc>
      </w:tr>
      <w:tr w:rsidR="00117CFA" w:rsidTr="00117C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7CFA" w:rsidRDefault="00117CFA" w:rsidP="00117CFA">
            <w:pPr>
              <w:pStyle w:val="AERbodytext"/>
            </w:pPr>
            <w:r>
              <w:t>ERP</w:t>
            </w:r>
          </w:p>
        </w:tc>
        <w:tc>
          <w:tcPr>
            <w:tcW w:w="4621" w:type="dxa"/>
          </w:tcPr>
          <w:p w:rsidR="00117CFA" w:rsidRDefault="00117CFA" w:rsidP="00117CFA">
            <w:pPr>
              <w:pStyle w:val="AERbodytext"/>
              <w:cnfStyle w:val="000000010000" w:firstRow="0" w:lastRow="0" w:firstColumn="0" w:lastColumn="0" w:oddVBand="0" w:evenVBand="0" w:oddHBand="0" w:evenHBand="1" w:firstRowFirstColumn="0" w:firstRowLastColumn="0" w:lastRowFirstColumn="0" w:lastRowLastColumn="0"/>
            </w:pPr>
            <w:r>
              <w:t>equity risk premium</w:t>
            </w:r>
          </w:p>
        </w:tc>
      </w:tr>
      <w:tr w:rsidR="00117CFA" w:rsidTr="00117CFA">
        <w:tc>
          <w:tcPr>
            <w:cnfStyle w:val="001000000000" w:firstRow="0" w:lastRow="0" w:firstColumn="1" w:lastColumn="0" w:oddVBand="0" w:evenVBand="0" w:oddHBand="0" w:evenHBand="0" w:firstRowFirstColumn="0" w:firstRowLastColumn="0" w:lastRowFirstColumn="0" w:lastRowLastColumn="0"/>
            <w:tcW w:w="4621" w:type="dxa"/>
          </w:tcPr>
          <w:p w:rsidR="00117CFA" w:rsidRDefault="00117CFA" w:rsidP="00117CFA">
            <w:pPr>
              <w:pStyle w:val="AERbodytext"/>
            </w:pPr>
            <w:r>
              <w:t>expenditure assessment guideline</w:t>
            </w:r>
          </w:p>
        </w:tc>
        <w:tc>
          <w:tcPr>
            <w:tcW w:w="4621" w:type="dxa"/>
          </w:tcPr>
          <w:p w:rsidR="00117CFA" w:rsidRDefault="00117CFA" w:rsidP="00117CFA">
            <w:pPr>
              <w:pStyle w:val="AERbodytext"/>
              <w:cnfStyle w:val="000000000000" w:firstRow="0" w:lastRow="0" w:firstColumn="0" w:lastColumn="0" w:oddVBand="0" w:evenVBand="0" w:oddHBand="0" w:evenHBand="0" w:firstRowFirstColumn="0" w:firstRowLastColumn="0" w:lastRowFirstColumn="0" w:lastRowLastColumn="0"/>
            </w:pPr>
            <w:r>
              <w:t>expenditure forecast assessment guideline for electricity distribution</w:t>
            </w:r>
          </w:p>
        </w:tc>
      </w:tr>
      <w:tr w:rsidR="00117CFA" w:rsidTr="00117C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7CFA" w:rsidRDefault="00117CFA" w:rsidP="00117CFA">
            <w:pPr>
              <w:pStyle w:val="AERbodytext"/>
            </w:pPr>
            <w:r>
              <w:t>F&amp;A</w:t>
            </w:r>
          </w:p>
        </w:tc>
        <w:tc>
          <w:tcPr>
            <w:tcW w:w="4621" w:type="dxa"/>
          </w:tcPr>
          <w:p w:rsidR="00117CFA" w:rsidRDefault="00117CFA" w:rsidP="00117CFA">
            <w:pPr>
              <w:pStyle w:val="AERbodytext"/>
              <w:cnfStyle w:val="000000010000" w:firstRow="0" w:lastRow="0" w:firstColumn="0" w:lastColumn="0" w:oddVBand="0" w:evenVBand="0" w:oddHBand="0" w:evenHBand="1" w:firstRowFirstColumn="0" w:firstRowLastColumn="0" w:lastRowFirstColumn="0" w:lastRowLastColumn="0"/>
            </w:pPr>
            <w:r>
              <w:t>framework and approach</w:t>
            </w:r>
          </w:p>
        </w:tc>
      </w:tr>
      <w:tr w:rsidR="00117CFA" w:rsidTr="00117CFA">
        <w:tc>
          <w:tcPr>
            <w:cnfStyle w:val="001000000000" w:firstRow="0" w:lastRow="0" w:firstColumn="1" w:lastColumn="0" w:oddVBand="0" w:evenVBand="0" w:oddHBand="0" w:evenHBand="0" w:firstRowFirstColumn="0" w:firstRowLastColumn="0" w:lastRowFirstColumn="0" w:lastRowLastColumn="0"/>
            <w:tcW w:w="4621" w:type="dxa"/>
          </w:tcPr>
          <w:p w:rsidR="00117CFA" w:rsidRDefault="00117CFA" w:rsidP="00117CFA">
            <w:pPr>
              <w:pStyle w:val="AERbodytext"/>
            </w:pPr>
            <w:r>
              <w:t>MRP</w:t>
            </w:r>
          </w:p>
        </w:tc>
        <w:tc>
          <w:tcPr>
            <w:tcW w:w="4621" w:type="dxa"/>
          </w:tcPr>
          <w:p w:rsidR="00117CFA" w:rsidRDefault="00117CFA" w:rsidP="00117CFA">
            <w:pPr>
              <w:pStyle w:val="AERbodytext"/>
              <w:cnfStyle w:val="000000000000" w:firstRow="0" w:lastRow="0" w:firstColumn="0" w:lastColumn="0" w:oddVBand="0" w:evenVBand="0" w:oddHBand="0" w:evenHBand="0" w:firstRowFirstColumn="0" w:firstRowLastColumn="0" w:lastRowFirstColumn="0" w:lastRowLastColumn="0"/>
            </w:pPr>
            <w:r>
              <w:t>market risk premium</w:t>
            </w:r>
          </w:p>
        </w:tc>
      </w:tr>
      <w:tr w:rsidR="00117CFA" w:rsidTr="00117C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7CFA" w:rsidRDefault="00117CFA" w:rsidP="00117CFA">
            <w:pPr>
              <w:pStyle w:val="AERbodytext"/>
            </w:pPr>
            <w:r>
              <w:t>NEL</w:t>
            </w:r>
          </w:p>
        </w:tc>
        <w:tc>
          <w:tcPr>
            <w:tcW w:w="4621" w:type="dxa"/>
          </w:tcPr>
          <w:p w:rsidR="00117CFA" w:rsidRDefault="00117CFA" w:rsidP="00117CFA">
            <w:pPr>
              <w:pStyle w:val="AERbodytext"/>
              <w:cnfStyle w:val="000000010000" w:firstRow="0" w:lastRow="0" w:firstColumn="0" w:lastColumn="0" w:oddVBand="0" w:evenVBand="0" w:oddHBand="0" w:evenHBand="1" w:firstRowFirstColumn="0" w:firstRowLastColumn="0" w:lastRowFirstColumn="0" w:lastRowLastColumn="0"/>
            </w:pPr>
            <w:r>
              <w:t>national electricity law</w:t>
            </w:r>
          </w:p>
        </w:tc>
      </w:tr>
      <w:tr w:rsidR="00117CFA" w:rsidTr="00117CFA">
        <w:tc>
          <w:tcPr>
            <w:cnfStyle w:val="001000000000" w:firstRow="0" w:lastRow="0" w:firstColumn="1" w:lastColumn="0" w:oddVBand="0" w:evenVBand="0" w:oddHBand="0" w:evenHBand="0" w:firstRowFirstColumn="0" w:firstRowLastColumn="0" w:lastRowFirstColumn="0" w:lastRowLastColumn="0"/>
            <w:tcW w:w="4621" w:type="dxa"/>
          </w:tcPr>
          <w:p w:rsidR="00117CFA" w:rsidRDefault="00117CFA" w:rsidP="00117CFA">
            <w:pPr>
              <w:pStyle w:val="AERbodytext"/>
            </w:pPr>
            <w:r>
              <w:t>NEM</w:t>
            </w:r>
          </w:p>
        </w:tc>
        <w:tc>
          <w:tcPr>
            <w:tcW w:w="4621" w:type="dxa"/>
          </w:tcPr>
          <w:p w:rsidR="00117CFA" w:rsidRDefault="00117CFA" w:rsidP="00117CFA">
            <w:pPr>
              <w:pStyle w:val="AERbodytext"/>
              <w:cnfStyle w:val="000000000000" w:firstRow="0" w:lastRow="0" w:firstColumn="0" w:lastColumn="0" w:oddVBand="0" w:evenVBand="0" w:oddHBand="0" w:evenHBand="0" w:firstRowFirstColumn="0" w:firstRowLastColumn="0" w:lastRowFirstColumn="0" w:lastRowLastColumn="0"/>
            </w:pPr>
            <w:r>
              <w:t>national electricity market</w:t>
            </w:r>
          </w:p>
        </w:tc>
      </w:tr>
      <w:tr w:rsidR="00117CFA" w:rsidTr="00117C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7CFA" w:rsidRDefault="00117CFA" w:rsidP="00117CFA">
            <w:pPr>
              <w:pStyle w:val="AERbodytext"/>
            </w:pPr>
            <w:r>
              <w:t>NEO</w:t>
            </w:r>
          </w:p>
        </w:tc>
        <w:tc>
          <w:tcPr>
            <w:tcW w:w="4621" w:type="dxa"/>
          </w:tcPr>
          <w:p w:rsidR="00117CFA" w:rsidRDefault="00117CFA" w:rsidP="00117CFA">
            <w:pPr>
              <w:pStyle w:val="AERbodytext"/>
              <w:cnfStyle w:val="000000010000" w:firstRow="0" w:lastRow="0" w:firstColumn="0" w:lastColumn="0" w:oddVBand="0" w:evenVBand="0" w:oddHBand="0" w:evenHBand="1" w:firstRowFirstColumn="0" w:firstRowLastColumn="0" w:lastRowFirstColumn="0" w:lastRowLastColumn="0"/>
            </w:pPr>
            <w:r>
              <w:t>national electricity objective</w:t>
            </w:r>
          </w:p>
        </w:tc>
      </w:tr>
      <w:tr w:rsidR="00117CFA" w:rsidTr="00117CFA">
        <w:tc>
          <w:tcPr>
            <w:cnfStyle w:val="001000000000" w:firstRow="0" w:lastRow="0" w:firstColumn="1" w:lastColumn="0" w:oddVBand="0" w:evenVBand="0" w:oddHBand="0" w:evenHBand="0" w:firstRowFirstColumn="0" w:firstRowLastColumn="0" w:lastRowFirstColumn="0" w:lastRowLastColumn="0"/>
            <w:tcW w:w="4621" w:type="dxa"/>
          </w:tcPr>
          <w:p w:rsidR="00117CFA" w:rsidRDefault="00117CFA" w:rsidP="00117CFA">
            <w:pPr>
              <w:pStyle w:val="AERbodytext"/>
            </w:pPr>
            <w:r>
              <w:t>NER</w:t>
            </w:r>
          </w:p>
        </w:tc>
        <w:tc>
          <w:tcPr>
            <w:tcW w:w="4621" w:type="dxa"/>
          </w:tcPr>
          <w:p w:rsidR="00117CFA" w:rsidRDefault="00117CFA" w:rsidP="00117CFA">
            <w:pPr>
              <w:pStyle w:val="AERbodytext"/>
              <w:cnfStyle w:val="000000000000" w:firstRow="0" w:lastRow="0" w:firstColumn="0" w:lastColumn="0" w:oddVBand="0" w:evenVBand="0" w:oddHBand="0" w:evenHBand="0" w:firstRowFirstColumn="0" w:firstRowLastColumn="0" w:lastRowFirstColumn="0" w:lastRowLastColumn="0"/>
            </w:pPr>
            <w:r>
              <w:t>national electricity rules</w:t>
            </w:r>
          </w:p>
        </w:tc>
      </w:tr>
      <w:tr w:rsidR="00117CFA" w:rsidTr="00117C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7CFA" w:rsidRDefault="00117CFA" w:rsidP="00117CFA">
            <w:pPr>
              <w:pStyle w:val="AERbodytext"/>
            </w:pPr>
            <w:r>
              <w:t>NSP</w:t>
            </w:r>
          </w:p>
        </w:tc>
        <w:tc>
          <w:tcPr>
            <w:tcW w:w="4621" w:type="dxa"/>
          </w:tcPr>
          <w:p w:rsidR="00117CFA" w:rsidRDefault="00117CFA" w:rsidP="00117CFA">
            <w:pPr>
              <w:pStyle w:val="AERbodytext"/>
              <w:cnfStyle w:val="000000010000" w:firstRow="0" w:lastRow="0" w:firstColumn="0" w:lastColumn="0" w:oddVBand="0" w:evenVBand="0" w:oddHBand="0" w:evenHBand="1" w:firstRowFirstColumn="0" w:firstRowLastColumn="0" w:lastRowFirstColumn="0" w:lastRowLastColumn="0"/>
            </w:pPr>
            <w:r>
              <w:t>network service provider</w:t>
            </w:r>
          </w:p>
        </w:tc>
      </w:tr>
      <w:tr w:rsidR="00117CFA" w:rsidTr="00117CFA">
        <w:tc>
          <w:tcPr>
            <w:cnfStyle w:val="001000000000" w:firstRow="0" w:lastRow="0" w:firstColumn="1" w:lastColumn="0" w:oddVBand="0" w:evenVBand="0" w:oddHBand="0" w:evenHBand="0" w:firstRowFirstColumn="0" w:firstRowLastColumn="0" w:lastRowFirstColumn="0" w:lastRowLastColumn="0"/>
            <w:tcW w:w="4621" w:type="dxa"/>
          </w:tcPr>
          <w:p w:rsidR="00117CFA" w:rsidRDefault="00117CFA" w:rsidP="00117CFA">
            <w:pPr>
              <w:pStyle w:val="AERbodytext"/>
            </w:pPr>
            <w:r>
              <w:t>opex</w:t>
            </w:r>
          </w:p>
        </w:tc>
        <w:tc>
          <w:tcPr>
            <w:tcW w:w="4621" w:type="dxa"/>
          </w:tcPr>
          <w:p w:rsidR="00117CFA" w:rsidRDefault="00117CFA" w:rsidP="00117CFA">
            <w:pPr>
              <w:pStyle w:val="AERbodytext"/>
              <w:cnfStyle w:val="000000000000" w:firstRow="0" w:lastRow="0" w:firstColumn="0" w:lastColumn="0" w:oddVBand="0" w:evenVBand="0" w:oddHBand="0" w:evenHBand="0" w:firstRowFirstColumn="0" w:firstRowLastColumn="0" w:lastRowFirstColumn="0" w:lastRowLastColumn="0"/>
            </w:pPr>
            <w:r>
              <w:t>operating expenditure</w:t>
            </w:r>
          </w:p>
        </w:tc>
      </w:tr>
      <w:tr w:rsidR="00117CFA" w:rsidTr="00117C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7CFA" w:rsidRDefault="00117CFA" w:rsidP="00117CFA">
            <w:pPr>
              <w:pStyle w:val="AERbodytext"/>
            </w:pPr>
            <w:r>
              <w:t>PPI</w:t>
            </w:r>
          </w:p>
        </w:tc>
        <w:tc>
          <w:tcPr>
            <w:tcW w:w="4621" w:type="dxa"/>
          </w:tcPr>
          <w:p w:rsidR="00117CFA" w:rsidRDefault="00117CFA" w:rsidP="00117CFA">
            <w:pPr>
              <w:pStyle w:val="AERbodytext"/>
              <w:cnfStyle w:val="000000010000" w:firstRow="0" w:lastRow="0" w:firstColumn="0" w:lastColumn="0" w:oddVBand="0" w:evenVBand="0" w:oddHBand="0" w:evenHBand="1" w:firstRowFirstColumn="0" w:firstRowLastColumn="0" w:lastRowFirstColumn="0" w:lastRowLastColumn="0"/>
            </w:pPr>
            <w:r>
              <w:t>partial performance indicators</w:t>
            </w:r>
          </w:p>
        </w:tc>
      </w:tr>
      <w:tr w:rsidR="00117CFA" w:rsidTr="00117CFA">
        <w:tc>
          <w:tcPr>
            <w:cnfStyle w:val="001000000000" w:firstRow="0" w:lastRow="0" w:firstColumn="1" w:lastColumn="0" w:oddVBand="0" w:evenVBand="0" w:oddHBand="0" w:evenHBand="0" w:firstRowFirstColumn="0" w:firstRowLastColumn="0" w:lastRowFirstColumn="0" w:lastRowLastColumn="0"/>
            <w:tcW w:w="4621" w:type="dxa"/>
          </w:tcPr>
          <w:p w:rsidR="00117CFA" w:rsidRDefault="00117CFA" w:rsidP="00117CFA">
            <w:pPr>
              <w:pStyle w:val="AERbodytext"/>
            </w:pPr>
            <w:r>
              <w:t>PTRM</w:t>
            </w:r>
          </w:p>
        </w:tc>
        <w:tc>
          <w:tcPr>
            <w:tcW w:w="4621" w:type="dxa"/>
          </w:tcPr>
          <w:p w:rsidR="00117CFA" w:rsidRDefault="00117CFA" w:rsidP="00117CFA">
            <w:pPr>
              <w:pStyle w:val="AERbodytext"/>
              <w:cnfStyle w:val="000000000000" w:firstRow="0" w:lastRow="0" w:firstColumn="0" w:lastColumn="0" w:oddVBand="0" w:evenVBand="0" w:oddHBand="0" w:evenHBand="0" w:firstRowFirstColumn="0" w:firstRowLastColumn="0" w:lastRowFirstColumn="0" w:lastRowLastColumn="0"/>
            </w:pPr>
            <w:r>
              <w:t>post-tax revenue model</w:t>
            </w:r>
          </w:p>
        </w:tc>
      </w:tr>
      <w:tr w:rsidR="00117CFA" w:rsidTr="00117C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7CFA" w:rsidRDefault="00117CFA" w:rsidP="00117CFA">
            <w:pPr>
              <w:pStyle w:val="AERbodytext"/>
            </w:pPr>
            <w:r>
              <w:t>RAB</w:t>
            </w:r>
          </w:p>
        </w:tc>
        <w:tc>
          <w:tcPr>
            <w:tcW w:w="4621" w:type="dxa"/>
          </w:tcPr>
          <w:p w:rsidR="00117CFA" w:rsidRDefault="00117CFA" w:rsidP="00117CFA">
            <w:pPr>
              <w:pStyle w:val="AERbodytext"/>
              <w:cnfStyle w:val="000000010000" w:firstRow="0" w:lastRow="0" w:firstColumn="0" w:lastColumn="0" w:oddVBand="0" w:evenVBand="0" w:oddHBand="0" w:evenHBand="1" w:firstRowFirstColumn="0" w:firstRowLastColumn="0" w:lastRowFirstColumn="0" w:lastRowLastColumn="0"/>
            </w:pPr>
            <w:r>
              <w:t>regulatory asset base</w:t>
            </w:r>
          </w:p>
        </w:tc>
      </w:tr>
      <w:tr w:rsidR="00117CFA" w:rsidTr="00117CFA">
        <w:tc>
          <w:tcPr>
            <w:cnfStyle w:val="001000000000" w:firstRow="0" w:lastRow="0" w:firstColumn="1" w:lastColumn="0" w:oddVBand="0" w:evenVBand="0" w:oddHBand="0" w:evenHBand="0" w:firstRowFirstColumn="0" w:firstRowLastColumn="0" w:lastRowFirstColumn="0" w:lastRowLastColumn="0"/>
            <w:tcW w:w="4621" w:type="dxa"/>
          </w:tcPr>
          <w:p w:rsidR="00117CFA" w:rsidRDefault="00117CFA" w:rsidP="00117CFA">
            <w:pPr>
              <w:pStyle w:val="AERbodytext"/>
            </w:pPr>
            <w:r>
              <w:t>RBA</w:t>
            </w:r>
          </w:p>
        </w:tc>
        <w:tc>
          <w:tcPr>
            <w:tcW w:w="4621" w:type="dxa"/>
          </w:tcPr>
          <w:p w:rsidR="00117CFA" w:rsidRDefault="00117CFA" w:rsidP="00117CFA">
            <w:pPr>
              <w:pStyle w:val="AERbodytext"/>
              <w:cnfStyle w:val="000000000000" w:firstRow="0" w:lastRow="0" w:firstColumn="0" w:lastColumn="0" w:oddVBand="0" w:evenVBand="0" w:oddHBand="0" w:evenHBand="0" w:firstRowFirstColumn="0" w:firstRowLastColumn="0" w:lastRowFirstColumn="0" w:lastRowLastColumn="0"/>
            </w:pPr>
            <w:r>
              <w:t>Reserve Bank of Australia</w:t>
            </w:r>
          </w:p>
        </w:tc>
      </w:tr>
      <w:tr w:rsidR="00117CFA" w:rsidTr="00117C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7CFA" w:rsidRDefault="00117CFA" w:rsidP="00117CFA">
            <w:pPr>
              <w:pStyle w:val="AERbodytext"/>
            </w:pPr>
            <w:r>
              <w:t>repex</w:t>
            </w:r>
          </w:p>
        </w:tc>
        <w:tc>
          <w:tcPr>
            <w:tcW w:w="4621" w:type="dxa"/>
          </w:tcPr>
          <w:p w:rsidR="00117CFA" w:rsidRDefault="00117CFA" w:rsidP="00117CFA">
            <w:pPr>
              <w:pStyle w:val="AERbodytext"/>
              <w:cnfStyle w:val="000000010000" w:firstRow="0" w:lastRow="0" w:firstColumn="0" w:lastColumn="0" w:oddVBand="0" w:evenVBand="0" w:oddHBand="0" w:evenHBand="1" w:firstRowFirstColumn="0" w:firstRowLastColumn="0" w:lastRowFirstColumn="0" w:lastRowLastColumn="0"/>
            </w:pPr>
            <w:r>
              <w:t>replacement expenditure</w:t>
            </w:r>
          </w:p>
        </w:tc>
      </w:tr>
      <w:tr w:rsidR="00117CFA" w:rsidTr="00117CFA">
        <w:tc>
          <w:tcPr>
            <w:cnfStyle w:val="001000000000" w:firstRow="0" w:lastRow="0" w:firstColumn="1" w:lastColumn="0" w:oddVBand="0" w:evenVBand="0" w:oddHBand="0" w:evenHBand="0" w:firstRowFirstColumn="0" w:firstRowLastColumn="0" w:lastRowFirstColumn="0" w:lastRowLastColumn="0"/>
            <w:tcW w:w="4621" w:type="dxa"/>
          </w:tcPr>
          <w:p w:rsidR="00117CFA" w:rsidRDefault="00117CFA" w:rsidP="00117CFA">
            <w:pPr>
              <w:pStyle w:val="AERbodytext"/>
            </w:pPr>
            <w:r>
              <w:t>RFM</w:t>
            </w:r>
          </w:p>
        </w:tc>
        <w:tc>
          <w:tcPr>
            <w:tcW w:w="4621" w:type="dxa"/>
          </w:tcPr>
          <w:p w:rsidR="00117CFA" w:rsidRDefault="00117CFA" w:rsidP="00117CFA">
            <w:pPr>
              <w:pStyle w:val="AERbodytext"/>
              <w:cnfStyle w:val="000000000000" w:firstRow="0" w:lastRow="0" w:firstColumn="0" w:lastColumn="0" w:oddVBand="0" w:evenVBand="0" w:oddHBand="0" w:evenHBand="0" w:firstRowFirstColumn="0" w:firstRowLastColumn="0" w:lastRowFirstColumn="0" w:lastRowLastColumn="0"/>
            </w:pPr>
            <w:r>
              <w:t>roll forward model</w:t>
            </w:r>
          </w:p>
        </w:tc>
      </w:tr>
      <w:tr w:rsidR="00117CFA" w:rsidTr="00117C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7CFA" w:rsidRDefault="00117CFA" w:rsidP="00117CFA">
            <w:pPr>
              <w:pStyle w:val="AERbodytext"/>
            </w:pPr>
            <w:r>
              <w:t>RIN</w:t>
            </w:r>
          </w:p>
        </w:tc>
        <w:tc>
          <w:tcPr>
            <w:tcW w:w="4621" w:type="dxa"/>
          </w:tcPr>
          <w:p w:rsidR="00117CFA" w:rsidRDefault="00117CFA" w:rsidP="00117CFA">
            <w:pPr>
              <w:pStyle w:val="AERbodytext"/>
              <w:cnfStyle w:val="000000010000" w:firstRow="0" w:lastRow="0" w:firstColumn="0" w:lastColumn="0" w:oddVBand="0" w:evenVBand="0" w:oddHBand="0" w:evenHBand="1" w:firstRowFirstColumn="0" w:firstRowLastColumn="0" w:lastRowFirstColumn="0" w:lastRowLastColumn="0"/>
            </w:pPr>
            <w:r>
              <w:t>regulatory information notice</w:t>
            </w:r>
          </w:p>
        </w:tc>
      </w:tr>
      <w:tr w:rsidR="00117CFA" w:rsidTr="00117CFA">
        <w:tc>
          <w:tcPr>
            <w:cnfStyle w:val="001000000000" w:firstRow="0" w:lastRow="0" w:firstColumn="1" w:lastColumn="0" w:oddVBand="0" w:evenVBand="0" w:oddHBand="0" w:evenHBand="0" w:firstRowFirstColumn="0" w:firstRowLastColumn="0" w:lastRowFirstColumn="0" w:lastRowLastColumn="0"/>
            <w:tcW w:w="4621" w:type="dxa"/>
          </w:tcPr>
          <w:p w:rsidR="00117CFA" w:rsidRDefault="00117CFA" w:rsidP="00117CFA">
            <w:pPr>
              <w:pStyle w:val="AERbodytext"/>
            </w:pPr>
            <w:r>
              <w:t>RPP</w:t>
            </w:r>
          </w:p>
        </w:tc>
        <w:tc>
          <w:tcPr>
            <w:tcW w:w="4621" w:type="dxa"/>
          </w:tcPr>
          <w:p w:rsidR="00117CFA" w:rsidRDefault="00117CFA" w:rsidP="00117CFA">
            <w:pPr>
              <w:pStyle w:val="AERbodytext"/>
              <w:cnfStyle w:val="000000000000" w:firstRow="0" w:lastRow="0" w:firstColumn="0" w:lastColumn="0" w:oddVBand="0" w:evenVBand="0" w:oddHBand="0" w:evenHBand="0" w:firstRowFirstColumn="0" w:firstRowLastColumn="0" w:lastRowFirstColumn="0" w:lastRowLastColumn="0"/>
            </w:pPr>
            <w:r>
              <w:t>revenue pricing principles</w:t>
            </w:r>
          </w:p>
        </w:tc>
      </w:tr>
      <w:tr w:rsidR="00117CFA" w:rsidTr="00117C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7CFA" w:rsidRDefault="00117CFA" w:rsidP="00117CFA">
            <w:pPr>
              <w:pStyle w:val="AERbodytext"/>
            </w:pPr>
            <w:r>
              <w:t>SAIDI</w:t>
            </w:r>
          </w:p>
        </w:tc>
        <w:tc>
          <w:tcPr>
            <w:tcW w:w="4621" w:type="dxa"/>
          </w:tcPr>
          <w:p w:rsidR="00117CFA" w:rsidRDefault="00117CFA" w:rsidP="00117CFA">
            <w:pPr>
              <w:pStyle w:val="AERbodytext"/>
              <w:cnfStyle w:val="000000010000" w:firstRow="0" w:lastRow="0" w:firstColumn="0" w:lastColumn="0" w:oddVBand="0" w:evenVBand="0" w:oddHBand="0" w:evenHBand="1" w:firstRowFirstColumn="0" w:firstRowLastColumn="0" w:lastRowFirstColumn="0" w:lastRowLastColumn="0"/>
            </w:pPr>
            <w:r>
              <w:t>system average interruption duration index</w:t>
            </w:r>
          </w:p>
        </w:tc>
      </w:tr>
      <w:tr w:rsidR="00117CFA" w:rsidTr="00117CFA">
        <w:tc>
          <w:tcPr>
            <w:cnfStyle w:val="001000000000" w:firstRow="0" w:lastRow="0" w:firstColumn="1" w:lastColumn="0" w:oddVBand="0" w:evenVBand="0" w:oddHBand="0" w:evenHBand="0" w:firstRowFirstColumn="0" w:firstRowLastColumn="0" w:lastRowFirstColumn="0" w:lastRowLastColumn="0"/>
            <w:tcW w:w="4621" w:type="dxa"/>
          </w:tcPr>
          <w:p w:rsidR="00117CFA" w:rsidRDefault="00117CFA" w:rsidP="00117CFA">
            <w:pPr>
              <w:pStyle w:val="AERbodytext"/>
            </w:pPr>
            <w:r>
              <w:t>SAIFI</w:t>
            </w:r>
          </w:p>
        </w:tc>
        <w:tc>
          <w:tcPr>
            <w:tcW w:w="4621" w:type="dxa"/>
          </w:tcPr>
          <w:p w:rsidR="00117CFA" w:rsidRDefault="00117CFA" w:rsidP="00117CFA">
            <w:pPr>
              <w:pStyle w:val="AERbodytext"/>
              <w:cnfStyle w:val="000000000000" w:firstRow="0" w:lastRow="0" w:firstColumn="0" w:lastColumn="0" w:oddVBand="0" w:evenVBand="0" w:oddHBand="0" w:evenHBand="0" w:firstRowFirstColumn="0" w:firstRowLastColumn="0" w:lastRowFirstColumn="0" w:lastRowLastColumn="0"/>
            </w:pPr>
            <w:r>
              <w:t>system average interruption frequency index</w:t>
            </w:r>
          </w:p>
        </w:tc>
      </w:tr>
      <w:tr w:rsidR="00117CFA" w:rsidTr="00117C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7CFA" w:rsidRDefault="00117CFA" w:rsidP="00117CFA">
            <w:pPr>
              <w:pStyle w:val="AERbodytext"/>
            </w:pPr>
            <w:r>
              <w:t>SLCAPM</w:t>
            </w:r>
          </w:p>
        </w:tc>
        <w:tc>
          <w:tcPr>
            <w:tcW w:w="4621" w:type="dxa"/>
          </w:tcPr>
          <w:p w:rsidR="00117CFA" w:rsidRDefault="00117CFA" w:rsidP="00117CFA">
            <w:pPr>
              <w:pStyle w:val="AERbodytext"/>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117CFA" w:rsidTr="00117CFA">
        <w:tc>
          <w:tcPr>
            <w:cnfStyle w:val="001000000000" w:firstRow="0" w:lastRow="0" w:firstColumn="1" w:lastColumn="0" w:oddVBand="0" w:evenVBand="0" w:oddHBand="0" w:evenHBand="0" w:firstRowFirstColumn="0" w:firstRowLastColumn="0" w:lastRowFirstColumn="0" w:lastRowLastColumn="0"/>
            <w:tcW w:w="4621" w:type="dxa"/>
          </w:tcPr>
          <w:p w:rsidR="00117CFA" w:rsidRDefault="00117CFA" w:rsidP="00117CFA">
            <w:pPr>
              <w:pStyle w:val="AERbodytext"/>
            </w:pPr>
            <w:r>
              <w:t>STPIS</w:t>
            </w:r>
          </w:p>
        </w:tc>
        <w:tc>
          <w:tcPr>
            <w:tcW w:w="4621" w:type="dxa"/>
          </w:tcPr>
          <w:p w:rsidR="00117CFA" w:rsidRDefault="00117CFA" w:rsidP="00117CFA">
            <w:pPr>
              <w:pStyle w:val="AERbodytext"/>
              <w:cnfStyle w:val="000000000000" w:firstRow="0" w:lastRow="0" w:firstColumn="0" w:lastColumn="0" w:oddVBand="0" w:evenVBand="0" w:oddHBand="0" w:evenHBand="0" w:firstRowFirstColumn="0" w:firstRowLastColumn="0" w:lastRowFirstColumn="0" w:lastRowLastColumn="0"/>
            </w:pPr>
            <w:r>
              <w:t>service target performance incentive scheme</w:t>
            </w:r>
          </w:p>
        </w:tc>
      </w:tr>
      <w:tr w:rsidR="00117CFA" w:rsidTr="00117C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7CFA" w:rsidRDefault="00117CFA" w:rsidP="00117CFA">
            <w:pPr>
              <w:pStyle w:val="AERbodytext"/>
            </w:pPr>
            <w:r>
              <w:t>WACC</w:t>
            </w:r>
          </w:p>
        </w:tc>
        <w:tc>
          <w:tcPr>
            <w:tcW w:w="4621" w:type="dxa"/>
          </w:tcPr>
          <w:p w:rsidR="00117CFA" w:rsidRDefault="00117CFA" w:rsidP="00117CFA">
            <w:pPr>
              <w:pStyle w:val="AERbodytext"/>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117CFA" w:rsidRDefault="00117CFA" w:rsidP="00117CFA"/>
    <w:p w:rsidR="00117CFA" w:rsidRDefault="00117CFA" w:rsidP="00117CFA">
      <w:pPr>
        <w:pStyle w:val="AERbodytext"/>
      </w:pPr>
    </w:p>
    <w:p w:rsidR="00B3178E" w:rsidRDefault="00B3178E" w:rsidP="00117CFA">
      <w:pPr>
        <w:pStyle w:val="Heading1"/>
      </w:pPr>
      <w:bookmarkStart w:id="9" w:name="_Toc404616777"/>
      <w:r>
        <w:t>Control mechanism for standard control services</w:t>
      </w:r>
      <w:bookmarkEnd w:id="0"/>
      <w:bookmarkEnd w:id="9"/>
    </w:p>
    <w:p w:rsidR="00B3178E" w:rsidRDefault="00B3178E" w:rsidP="00B3178E">
      <w:pPr>
        <w:pStyle w:val="AERbodytext"/>
        <w:rPr>
          <w:rStyle w:val="AERbody"/>
        </w:rPr>
      </w:pPr>
      <w:r w:rsidRPr="00F400FF">
        <w:rPr>
          <w:rStyle w:val="AERbody"/>
        </w:rPr>
        <w:t xml:space="preserve">The control mechanism imposes </w:t>
      </w:r>
      <w:r>
        <w:rPr>
          <w:rStyle w:val="AERbody"/>
        </w:rPr>
        <w:t>limits</w:t>
      </w:r>
      <w:r w:rsidRPr="00F400FF">
        <w:rPr>
          <w:rStyle w:val="AERbody"/>
        </w:rPr>
        <w:t xml:space="preserve"> over the prices of direct control and alternative control services, and/or the revenue to be derived from these services. </w:t>
      </w:r>
      <w:r>
        <w:rPr>
          <w:rStyle w:val="AERbody"/>
        </w:rPr>
        <w:t>Our</w:t>
      </w:r>
      <w:r w:rsidRPr="00F400FF">
        <w:rPr>
          <w:rStyle w:val="AERbody"/>
        </w:rPr>
        <w:t xml:space="preserve"> stage 1 framework and approach paper determined</w:t>
      </w:r>
      <w:r>
        <w:rPr>
          <w:rStyle w:val="AERbody"/>
        </w:rPr>
        <w:t xml:space="preserve"> that the control mechanism should:</w:t>
      </w:r>
    </w:p>
    <w:p w:rsidR="00B3178E" w:rsidRPr="00E67119" w:rsidRDefault="00B3178E" w:rsidP="00B3178E">
      <w:pPr>
        <w:pStyle w:val="AERbulletlistfirststyle"/>
        <w:rPr>
          <w:rStyle w:val="AERbody"/>
        </w:rPr>
      </w:pPr>
      <w:r w:rsidRPr="00E67119">
        <w:rPr>
          <w:rStyle w:val="AERbody"/>
        </w:rPr>
        <w:t>be of the prospective CPI-X form (or some incentive-based variant)</w:t>
      </w:r>
    </w:p>
    <w:p w:rsidR="00B3178E" w:rsidRPr="00E67119" w:rsidRDefault="00B3178E" w:rsidP="00B3178E">
      <w:pPr>
        <w:pStyle w:val="AERbulletlistfirststyle"/>
        <w:rPr>
          <w:rStyle w:val="AERbody"/>
        </w:rPr>
      </w:pPr>
      <w:r w:rsidRPr="00E67119">
        <w:rPr>
          <w:rStyle w:val="AERbody"/>
        </w:rPr>
        <w:t xml:space="preserve">accord with Part C of </w:t>
      </w:r>
      <w:r>
        <w:rPr>
          <w:rStyle w:val="AERbody"/>
        </w:rPr>
        <w:t xml:space="preserve">chapter 6 of </w:t>
      </w:r>
      <w:r w:rsidRPr="00E67119">
        <w:rPr>
          <w:rStyle w:val="AERbody"/>
        </w:rPr>
        <w:t>the NER</w:t>
      </w:r>
    </w:p>
    <w:p w:rsidR="00B3178E" w:rsidRPr="00C30158" w:rsidRDefault="00B3178E" w:rsidP="00B3178E">
      <w:pPr>
        <w:pStyle w:val="AERbulletlistfirststyle"/>
      </w:pPr>
      <w:proofErr w:type="gramStart"/>
      <w:r w:rsidRPr="00E67119">
        <w:rPr>
          <w:rStyle w:val="AERbody"/>
        </w:rPr>
        <w:t>have</w:t>
      </w:r>
      <w:proofErr w:type="gramEnd"/>
      <w:r w:rsidRPr="00E67119">
        <w:rPr>
          <w:rStyle w:val="AERbody"/>
        </w:rPr>
        <w:t xml:space="preserve"> a basis as specified in the AER's draft and fi</w:t>
      </w:r>
      <w:r>
        <w:rPr>
          <w:rStyle w:val="AERbody"/>
        </w:rPr>
        <w:t>nal distribution determinations</w:t>
      </w:r>
      <w:r w:rsidRPr="00C30158">
        <w:t>.</w:t>
      </w:r>
      <w:r>
        <w:rPr>
          <w:rStyle w:val="FootnoteReference"/>
        </w:rPr>
        <w:footnoteReference w:id="1"/>
      </w:r>
    </w:p>
    <w:p w:rsidR="00B3178E" w:rsidRPr="00F400FF" w:rsidRDefault="00B3178E" w:rsidP="00B3178E">
      <w:pPr>
        <w:rPr>
          <w:rStyle w:val="AERbody"/>
        </w:rPr>
      </w:pPr>
      <w:r w:rsidRPr="00F400FF">
        <w:rPr>
          <w:rStyle w:val="AERbody"/>
        </w:rPr>
        <w:t xml:space="preserve">This chapter </w:t>
      </w:r>
      <w:r>
        <w:rPr>
          <w:rStyle w:val="AERbody"/>
        </w:rPr>
        <w:t xml:space="preserve">sets out the </w:t>
      </w:r>
      <w:r w:rsidRPr="00F400FF">
        <w:rPr>
          <w:rStyle w:val="AERbody"/>
        </w:rPr>
        <w:t xml:space="preserve">formulaic expression of the revenue cap </w:t>
      </w:r>
      <w:r>
        <w:rPr>
          <w:rStyle w:val="AERbody"/>
        </w:rPr>
        <w:t>for</w:t>
      </w:r>
      <w:r w:rsidRPr="00F400FF">
        <w:rPr>
          <w:rStyle w:val="AERbody"/>
        </w:rPr>
        <w:t xml:space="preserve"> the </w:t>
      </w:r>
      <w:r>
        <w:rPr>
          <w:rStyle w:val="AERbody"/>
        </w:rPr>
        <w:t>2015</w:t>
      </w:r>
      <w:r w:rsidRPr="00F400FF">
        <w:rPr>
          <w:rStyle w:val="AERbody"/>
        </w:rPr>
        <w:t xml:space="preserve">–19 regulatory control </w:t>
      </w:r>
      <w:proofErr w:type="gramStart"/>
      <w:r w:rsidRPr="00F400FF">
        <w:rPr>
          <w:rStyle w:val="AERbody"/>
        </w:rPr>
        <w:t>period</w:t>
      </w:r>
      <w:proofErr w:type="gramEnd"/>
      <w:r w:rsidRPr="00F400FF">
        <w:rPr>
          <w:rStyle w:val="AERbody"/>
        </w:rPr>
        <w:t xml:space="preserve">. </w:t>
      </w:r>
      <w:r>
        <w:rPr>
          <w:rStyle w:val="AERbody"/>
        </w:rPr>
        <w:t>It</w:t>
      </w:r>
      <w:r w:rsidRPr="00F400FF">
        <w:rPr>
          <w:rStyle w:val="AERbody"/>
        </w:rPr>
        <w:t xml:space="preserve"> discusses:</w:t>
      </w:r>
    </w:p>
    <w:p w:rsidR="00B3178E" w:rsidRDefault="00B3178E" w:rsidP="00B3178E">
      <w:pPr>
        <w:pStyle w:val="AERbulletlistfirststyle"/>
      </w:pPr>
      <w:r w:rsidRPr="001D7F68">
        <w:t xml:space="preserve">how the revenue cap will be applied </w:t>
      </w:r>
    </w:p>
    <w:p w:rsidR="00B3178E" w:rsidRPr="001D7F68" w:rsidRDefault="00B3178E" w:rsidP="00B3178E">
      <w:pPr>
        <w:pStyle w:val="AERbulletlistfirststyle"/>
      </w:pPr>
      <w:r w:rsidRPr="001D7F68">
        <w:t xml:space="preserve">how we will determine compliance with the price controls </w:t>
      </w:r>
    </w:p>
    <w:p w:rsidR="00B3178E" w:rsidRDefault="00B3178E" w:rsidP="00B3178E">
      <w:pPr>
        <w:pStyle w:val="AERbulletlistfirststyle"/>
      </w:pPr>
      <w:r w:rsidRPr="001D7F68">
        <w:t xml:space="preserve">the mechanism through which </w:t>
      </w:r>
      <w:r>
        <w:t xml:space="preserve">Endeavour Energy will </w:t>
      </w:r>
      <w:r w:rsidRPr="001D7F68">
        <w:t xml:space="preserve">recover </w:t>
      </w:r>
      <w:r>
        <w:t>distribution use of system charges</w:t>
      </w:r>
      <w:r w:rsidRPr="001D7F68">
        <w:t xml:space="preserve">—including adjustments for </w:t>
      </w:r>
      <w:r>
        <w:t xml:space="preserve">revenue </w:t>
      </w:r>
      <w:r w:rsidRPr="001D7F68">
        <w:t>under</w:t>
      </w:r>
      <w:r>
        <w:t xml:space="preserve"> </w:t>
      </w:r>
      <w:r w:rsidRPr="001D7F68">
        <w:t>or over recover</w:t>
      </w:r>
      <w:r>
        <w:t>y</w:t>
      </w:r>
      <w:r w:rsidRPr="001D7F68">
        <w:t xml:space="preserve">—in the </w:t>
      </w:r>
      <w:r>
        <w:t>2015–19 regulatory control period.</w:t>
      </w:r>
      <w:r>
        <w:rPr>
          <w:rStyle w:val="FootnoteReference"/>
        </w:rPr>
        <w:footnoteReference w:id="2"/>
      </w:r>
    </w:p>
    <w:p w:rsidR="00B3178E" w:rsidRPr="00C502E6" w:rsidRDefault="00B3178E" w:rsidP="00B3178E">
      <w:r w:rsidRPr="00087DF2">
        <w:rPr>
          <w:rStyle w:val="AERbody"/>
        </w:rPr>
        <w:t xml:space="preserve">Also discussed is how </w:t>
      </w:r>
      <w:r>
        <w:rPr>
          <w:rStyle w:val="AERbody"/>
        </w:rPr>
        <w:t>Endeavour</w:t>
      </w:r>
      <w:r w:rsidRPr="00087DF2">
        <w:rPr>
          <w:rStyle w:val="AERbody"/>
        </w:rPr>
        <w:t xml:space="preserve"> Energy must report to us on its recovery of jurisdictional scheme amounts and its procedures for assigning or reassigning retail customers</w:t>
      </w:r>
      <w:r w:rsidRPr="00C502E6">
        <w:t xml:space="preserve"> to tariff classes.</w:t>
      </w:r>
      <w:r w:rsidRPr="00C502E6">
        <w:rPr>
          <w:rStyle w:val="FootnoteReference"/>
        </w:rPr>
        <w:footnoteReference w:id="3"/>
      </w:r>
      <w:r w:rsidRPr="00C502E6">
        <w:t xml:space="preserve"> </w:t>
      </w:r>
    </w:p>
    <w:p w:rsidR="00B3178E" w:rsidRDefault="00B3178E" w:rsidP="00117CFA">
      <w:pPr>
        <w:pStyle w:val="Heading2"/>
        <w:numPr>
          <w:ilvl w:val="2"/>
          <w:numId w:val="46"/>
        </w:numPr>
      </w:pPr>
      <w:bookmarkStart w:id="10" w:name="_Toc387916741"/>
      <w:bookmarkStart w:id="11" w:name="_Toc404616778"/>
      <w:r>
        <w:t>D</w:t>
      </w:r>
      <w:r w:rsidRPr="00525604">
        <w:t>raft decision</w:t>
      </w:r>
      <w:bookmarkEnd w:id="10"/>
      <w:bookmarkEnd w:id="11"/>
    </w:p>
    <w:p w:rsidR="002C0B83" w:rsidRDefault="002C0B83" w:rsidP="002C0B83">
      <w:pPr>
        <w:pStyle w:val="AERbodytext"/>
      </w:pPr>
      <w:r w:rsidRPr="002C0B83">
        <w:t>Our draft decision for E</w:t>
      </w:r>
      <w:r w:rsidR="009171FB">
        <w:t>ndeavour</w:t>
      </w:r>
      <w:r w:rsidRPr="002C0B83">
        <w:t xml:space="preserve"> Energy is as follows:</w:t>
      </w:r>
    </w:p>
    <w:p w:rsidR="00B3178E" w:rsidRDefault="00B3178E" w:rsidP="007765C7">
      <w:pPr>
        <w:pStyle w:val="AERbulletlistfirststyle"/>
      </w:pPr>
      <w:r>
        <w:t>T</w:t>
      </w:r>
      <w:r w:rsidRPr="00AA78C8">
        <w:t xml:space="preserve">he control mechanism for standard control services </w:t>
      </w:r>
      <w:r>
        <w:t xml:space="preserve">for Endeavour Energy </w:t>
      </w:r>
      <w:r w:rsidRPr="00AA78C8">
        <w:t>is a revenue cap.</w:t>
      </w:r>
      <w:r>
        <w:rPr>
          <w:rStyle w:val="FootnoteReference"/>
        </w:rPr>
        <w:footnoteReference w:id="4"/>
      </w:r>
    </w:p>
    <w:p w:rsidR="00B3178E" w:rsidRPr="007A1A94" w:rsidRDefault="00B3178E" w:rsidP="007765C7">
      <w:pPr>
        <w:pStyle w:val="AERbulletlistfirststyle"/>
      </w:pPr>
      <w:r w:rsidRPr="007A1A94">
        <w:t xml:space="preserve">The revenue cap for any given regulatory year is the </w:t>
      </w:r>
      <w:r>
        <w:t>annual revenue requirement (ARR) for distribution services f</w:t>
      </w:r>
      <w:r w:rsidRPr="007A1A94">
        <w:t xml:space="preserve">or that regulatory year (calculated using the formula in section </w:t>
      </w:r>
      <w:r>
        <w:fldChar w:fldCharType="begin"/>
      </w:r>
      <w:r>
        <w:instrText xml:space="preserve"> REF _Ref401665247 \r \h </w:instrText>
      </w:r>
      <w:r w:rsidR="002C0B83">
        <w:instrText xml:space="preserve"> \* MERGEFORMAT </w:instrText>
      </w:r>
      <w:r>
        <w:fldChar w:fldCharType="separate"/>
      </w:r>
      <w:r w:rsidR="00BC67B1">
        <w:t>14.5.5</w:t>
      </w:r>
      <w:r>
        <w:fldChar w:fldCharType="end"/>
      </w:r>
      <w:r w:rsidRPr="007A1A94">
        <w:t>) plus any adjustment required to move the DU</w:t>
      </w:r>
      <w:r>
        <w:t>o</w:t>
      </w:r>
      <w:r w:rsidRPr="007A1A94">
        <w:t>S under/over account to zero.</w:t>
      </w:r>
    </w:p>
    <w:p w:rsidR="00B3178E" w:rsidRPr="00AA78C8" w:rsidRDefault="00B3178E" w:rsidP="007765C7">
      <w:pPr>
        <w:pStyle w:val="AERbulletlistfirststyle"/>
      </w:pPr>
      <w:r w:rsidRPr="007A1A94">
        <w:t xml:space="preserve">The side constraints </w:t>
      </w:r>
      <w:r>
        <w:t>applying</w:t>
      </w:r>
      <w:r w:rsidRPr="007A1A94">
        <w:t xml:space="preserve"> to the price movements of each </w:t>
      </w:r>
      <w:r>
        <w:t>Endeavour Energy</w:t>
      </w:r>
      <w:r w:rsidRPr="007A1A94">
        <w:t xml:space="preserve"> tariff class must be consistent with the formula in section </w:t>
      </w:r>
      <w:r>
        <w:fldChar w:fldCharType="begin"/>
      </w:r>
      <w:r>
        <w:instrText xml:space="preserve"> REF _Ref401665247 \r \h </w:instrText>
      </w:r>
      <w:r w:rsidR="002C0B83">
        <w:instrText xml:space="preserve"> \* MERGEFORMAT </w:instrText>
      </w:r>
      <w:r>
        <w:fldChar w:fldCharType="separate"/>
      </w:r>
      <w:r w:rsidR="00BC67B1">
        <w:t>14.5.5</w:t>
      </w:r>
      <w:r>
        <w:fldChar w:fldCharType="end"/>
      </w:r>
      <w:r w:rsidRPr="007A1A94">
        <w:t>.</w:t>
      </w:r>
    </w:p>
    <w:p w:rsidR="00B3178E" w:rsidRDefault="00B3178E" w:rsidP="007765C7">
      <w:pPr>
        <w:pStyle w:val="AERbulletlistfirststyle"/>
      </w:pPr>
      <w:r>
        <w:t>Endeavour Energy</w:t>
      </w:r>
      <w:r w:rsidRPr="00C502E6">
        <w:t xml:space="preserve"> must demonstrate compliance with the control mechanism for standard control services in accordance with appendices </w:t>
      </w:r>
      <w:r>
        <w:t>A and B</w:t>
      </w:r>
      <w:r w:rsidRPr="00C502E6">
        <w:t xml:space="preserve"> of this draft decision.</w:t>
      </w:r>
    </w:p>
    <w:p w:rsidR="00B3178E" w:rsidRDefault="00B3178E" w:rsidP="007765C7">
      <w:pPr>
        <w:pStyle w:val="AERbulletlistfirststyle"/>
      </w:pPr>
      <w:r>
        <w:t xml:space="preserve">Endeavour </w:t>
      </w:r>
      <w:r w:rsidR="009F78B3">
        <w:t xml:space="preserve">Energy </w:t>
      </w:r>
      <w:r w:rsidRPr="002A1D04">
        <w:t xml:space="preserve">must submit </w:t>
      </w:r>
      <w:r w:rsidR="00C12543">
        <w:t xml:space="preserve">in </w:t>
      </w:r>
      <w:r w:rsidRPr="002A1D04">
        <w:t>its annual pricing proposal, a record of the amoun</w:t>
      </w:r>
      <w:r w:rsidR="00C12543">
        <w:t xml:space="preserve">t of revenues recovered from </w:t>
      </w:r>
      <w:proofErr w:type="spellStart"/>
      <w:r w:rsidR="00C12543">
        <w:t>TUo</w:t>
      </w:r>
      <w:r w:rsidRPr="002A1D04">
        <w:t>S</w:t>
      </w:r>
      <w:proofErr w:type="spellEnd"/>
      <w:r w:rsidRPr="002A1D04">
        <w:t xml:space="preserve"> charges and associated payments in accordance with appendix </w:t>
      </w:r>
      <w:r>
        <w:t xml:space="preserve">B </w:t>
      </w:r>
      <w:r w:rsidRPr="002A1D04">
        <w:t xml:space="preserve">of </w:t>
      </w:r>
      <w:r>
        <w:t xml:space="preserve">this draft </w:t>
      </w:r>
      <w:r w:rsidRPr="002A1D04">
        <w:t>decision.</w:t>
      </w:r>
    </w:p>
    <w:p w:rsidR="00B3178E" w:rsidRDefault="00B3178E" w:rsidP="007765C7">
      <w:pPr>
        <w:pStyle w:val="AERbulletlistfirststyle"/>
      </w:pPr>
      <w:r>
        <w:t>Endeavour Energy</w:t>
      </w:r>
      <w:r w:rsidRPr="00C502E6">
        <w:t xml:space="preserve"> must </w:t>
      </w:r>
      <w:r>
        <w:t xml:space="preserve">report to us its jurisdiction scheme amounts recovery </w:t>
      </w:r>
      <w:r w:rsidRPr="00C502E6">
        <w:t xml:space="preserve">in accordance with appendices </w:t>
      </w:r>
      <w:r>
        <w:t>C</w:t>
      </w:r>
      <w:r w:rsidRPr="00C502E6">
        <w:t xml:space="preserve"> of this draft decision.</w:t>
      </w:r>
    </w:p>
    <w:p w:rsidR="00B3178E" w:rsidRDefault="00B3178E" w:rsidP="007765C7">
      <w:pPr>
        <w:pStyle w:val="AERbulletlistfirststyle"/>
      </w:pPr>
      <w:r>
        <w:t>T</w:t>
      </w:r>
      <w:r w:rsidRPr="00265EEA">
        <w:t xml:space="preserve">he procedures to be applied by </w:t>
      </w:r>
      <w:r>
        <w:t>Endeavour Energy</w:t>
      </w:r>
      <w:r w:rsidRPr="00265EEA">
        <w:t xml:space="preserve"> for assigning </w:t>
      </w:r>
      <w:r>
        <w:t>retail customer</w:t>
      </w:r>
      <w:r w:rsidRPr="00265EEA">
        <w:t>s to tariff classes or re</w:t>
      </w:r>
      <w:r>
        <w:t>-</w:t>
      </w:r>
      <w:r w:rsidRPr="00265EEA">
        <w:t xml:space="preserve">assigning </w:t>
      </w:r>
      <w:r>
        <w:t>retail customer</w:t>
      </w:r>
      <w:r w:rsidRPr="00265EEA">
        <w:t>s from one tariff class to another are specified in appendix</w:t>
      </w:r>
      <w:r w:rsidR="00BC67B1">
        <w:t xml:space="preserve"> D</w:t>
      </w:r>
      <w:r w:rsidRPr="00265EEA">
        <w:t>.</w:t>
      </w:r>
    </w:p>
    <w:p w:rsidR="00B3178E" w:rsidRDefault="00B3178E" w:rsidP="00B3178E">
      <w:pPr>
        <w:pStyle w:val="Heading2"/>
      </w:pPr>
      <w:bookmarkStart w:id="13" w:name="_Toc404616779"/>
      <w:r>
        <w:t>Endeavour Energy's proposal</w:t>
      </w:r>
      <w:bookmarkEnd w:id="13"/>
    </w:p>
    <w:p w:rsidR="00B3178E" w:rsidRPr="00DF22FE" w:rsidRDefault="00B3178E" w:rsidP="00B3178E">
      <w:pPr>
        <w:pStyle w:val="AERbodytext"/>
      </w:pPr>
      <w:r>
        <w:t>Endeavour Energy</w:t>
      </w:r>
      <w:r w:rsidRPr="00DF22FE">
        <w:t xml:space="preserve"> proposed a</w:t>
      </w:r>
      <w:r>
        <w:t xml:space="preserve"> </w:t>
      </w:r>
      <w:r w:rsidRPr="00DF22FE">
        <w:t>revenue cap</w:t>
      </w:r>
      <w:r>
        <w:t xml:space="preserve"> for standard control services which included certain assumptions for the revenue cap parameters</w:t>
      </w:r>
      <w:r w:rsidRPr="00DF22FE">
        <w:t>.</w:t>
      </w:r>
      <w:r>
        <w:rPr>
          <w:rStyle w:val="FootnoteReference"/>
        </w:rPr>
        <w:footnoteReference w:id="5"/>
      </w:r>
    </w:p>
    <w:p w:rsidR="00B3178E" w:rsidRDefault="00B3178E" w:rsidP="00B3178E">
      <w:pPr>
        <w:pStyle w:val="Heading2"/>
      </w:pPr>
      <w:bookmarkStart w:id="14" w:name="_Toc404616780"/>
      <w:r>
        <w:t>AER's assessment approach</w:t>
      </w:r>
      <w:bookmarkEnd w:id="14"/>
    </w:p>
    <w:p w:rsidR="00B3178E" w:rsidRPr="00CD65AB" w:rsidRDefault="00B3178E" w:rsidP="00B3178E">
      <w:pPr>
        <w:pStyle w:val="AERbodytext"/>
      </w:pPr>
      <w:r>
        <w:t>Our</w:t>
      </w:r>
      <w:r w:rsidRPr="00CD65AB">
        <w:t xml:space="preserve"> </w:t>
      </w:r>
      <w:r>
        <w:t xml:space="preserve">stage 1 </w:t>
      </w:r>
      <w:r w:rsidRPr="00CD65AB">
        <w:t>framework and approach paper</w:t>
      </w:r>
      <w:r>
        <w:t xml:space="preserve"> </w:t>
      </w:r>
      <w:r w:rsidRPr="00CD65AB">
        <w:t xml:space="preserve">decided the control mechanism </w:t>
      </w:r>
      <w:r>
        <w:t>for</w:t>
      </w:r>
      <w:r w:rsidRPr="00CD65AB">
        <w:t xml:space="preserve"> standard control services would be a revenue cap. </w:t>
      </w:r>
      <w:r>
        <w:t xml:space="preserve">We </w:t>
      </w:r>
      <w:r w:rsidRPr="00CD65AB">
        <w:t xml:space="preserve">also stated </w:t>
      </w:r>
      <w:r>
        <w:t xml:space="preserve">our </w:t>
      </w:r>
      <w:r w:rsidRPr="00CD65AB">
        <w:t>distribution determination would set out</w:t>
      </w:r>
      <w:r>
        <w:t xml:space="preserve"> </w:t>
      </w:r>
      <w:r w:rsidRPr="00CD65AB">
        <w:t>the basis of the control mechanism. The basis must be of the prospective CPI-X form (or some incentive-based variant).</w:t>
      </w:r>
      <w:r>
        <w:rPr>
          <w:rStyle w:val="FootnoteReference"/>
        </w:rPr>
        <w:footnoteReference w:id="6"/>
      </w:r>
      <w:r w:rsidRPr="00CD65AB">
        <w:t xml:space="preserve">  </w:t>
      </w:r>
    </w:p>
    <w:p w:rsidR="00B3178E" w:rsidRDefault="00B3178E" w:rsidP="00B3178E">
      <w:pPr>
        <w:pStyle w:val="AERbodytext"/>
      </w:pPr>
      <w:r>
        <w:t>Endeavour Energy accepted our high level control mechanism for standard control services but provided us with its suggested definitions for the following parameters—CPI, Allowed Revenue, incentive adjustment, annual adjustment, tolerance limit and approved pass through amounts.</w:t>
      </w:r>
      <w:r>
        <w:rPr>
          <w:rStyle w:val="FootnoteReference"/>
        </w:rPr>
        <w:footnoteReference w:id="7"/>
      </w:r>
    </w:p>
    <w:p w:rsidR="00B3178E" w:rsidRDefault="00B3178E" w:rsidP="00B3178E">
      <w:pPr>
        <w:pStyle w:val="AERbodytext"/>
      </w:pPr>
      <w:r w:rsidRPr="00CD65AB">
        <w:t xml:space="preserve">In determining the control mechanism for standard control services, </w:t>
      </w:r>
      <w:r>
        <w:t>we</w:t>
      </w:r>
      <w:r w:rsidRPr="00CD65AB">
        <w:t xml:space="preserve"> must consider the factors in clause 6.2.5(c) of the NER for each revenue adjustment mechanism proposed and its application. This approach (1) satisfies the requirements of the NER and (2) reaffirms the framework and approach paper's decision to apply a revenue cap control mechanism for </w:t>
      </w:r>
      <w:r>
        <w:t>Endeavour Energy</w:t>
      </w:r>
      <w:r w:rsidRPr="00CD65AB">
        <w:t>'s standard control services in the next regulatory control period.</w:t>
      </w:r>
    </w:p>
    <w:p w:rsidR="00B3178E" w:rsidRDefault="00B3178E" w:rsidP="00B3178E">
      <w:pPr>
        <w:pStyle w:val="Heading2"/>
      </w:pPr>
      <w:bookmarkStart w:id="15" w:name="_Toc404616781"/>
      <w:r>
        <w:t>Reasons for draft decision</w:t>
      </w:r>
      <w:bookmarkEnd w:id="15"/>
    </w:p>
    <w:p w:rsidR="00B3178E" w:rsidRDefault="00B3178E" w:rsidP="00B3178E">
      <w:r w:rsidRPr="00286AFA">
        <w:t xml:space="preserve">Our </w:t>
      </w:r>
      <w:r>
        <w:t xml:space="preserve">stage 1 </w:t>
      </w:r>
      <w:r w:rsidRPr="00CD65AB">
        <w:t>framework and approach paper</w:t>
      </w:r>
      <w:r>
        <w:t xml:space="preserve"> deliberately </w:t>
      </w:r>
      <w:r w:rsidRPr="00286AFA">
        <w:t>set out a generic formula to give effect to the control mechanism for standard control service</w:t>
      </w:r>
      <w:r>
        <w:t>s</w:t>
      </w:r>
      <w:r w:rsidRPr="00286AFA">
        <w:t>.</w:t>
      </w:r>
      <w:r>
        <w:rPr>
          <w:rStyle w:val="FootnoteReference"/>
        </w:rPr>
        <w:footnoteReference w:id="8"/>
      </w:r>
      <w:r w:rsidRPr="00286AFA">
        <w:t xml:space="preserve"> </w:t>
      </w:r>
      <w:r>
        <w:t>The NER requires our framework and approach paper to include a control formula for the control mechanism even though the control formula requires parameters that would only be completed in our final distribution determination. T</w:t>
      </w:r>
      <w:r w:rsidRPr="00286AFA">
        <w:t xml:space="preserve">his draft decision </w:t>
      </w:r>
      <w:r>
        <w:t>clarifies</w:t>
      </w:r>
      <w:r w:rsidRPr="00286AFA">
        <w:t xml:space="preserve"> our position regarding the </w:t>
      </w:r>
      <w:r>
        <w:t xml:space="preserve">control formula and its respective </w:t>
      </w:r>
      <w:r w:rsidRPr="00286AFA">
        <w:t>parameters</w:t>
      </w:r>
      <w:r>
        <w:t xml:space="preserve">. </w:t>
      </w:r>
    </w:p>
    <w:p w:rsidR="00B3178E" w:rsidRDefault="00B3178E" w:rsidP="00B3178E">
      <w:pPr>
        <w:pStyle w:val="Heading2"/>
      </w:pPr>
      <w:bookmarkStart w:id="16" w:name="_Toc404616782"/>
      <w:r w:rsidRPr="0027596F">
        <w:t>Application of the revenue cap</w:t>
      </w:r>
      <w:bookmarkEnd w:id="16"/>
    </w:p>
    <w:p w:rsidR="00B3178E" w:rsidRDefault="00B3178E" w:rsidP="00B3178E">
      <w:pPr>
        <w:pStyle w:val="HeadingBoldBlue"/>
      </w:pPr>
      <w:r>
        <w:t>Annual revenue requirement as opposed to maximum allowable revenue</w:t>
      </w:r>
    </w:p>
    <w:p w:rsidR="00B3178E" w:rsidRPr="00CE57CF" w:rsidRDefault="00B3178E" w:rsidP="00B3178E">
      <w:pPr>
        <w:pStyle w:val="AERbodytext"/>
      </w:pPr>
      <w:r w:rsidRPr="00CE57CF">
        <w:t>The revenue cap for any given regulatory year is the annual revenue requirement (ARR) for distribution services</w:t>
      </w:r>
      <w:r>
        <w:t xml:space="preserve"> and not the maximum allowable revenue (MAR) as stated in our framework and approach paper. We consider this change necessary to reflect chapter 6 of the NER because MAR applies for transmission services and not distribution services.</w:t>
      </w:r>
    </w:p>
    <w:p w:rsidR="00B3178E" w:rsidRDefault="00B3178E" w:rsidP="00B3178E">
      <w:pPr>
        <w:pStyle w:val="HeadingBoldBlue"/>
      </w:pPr>
      <w:r w:rsidRPr="009029E6">
        <w:t xml:space="preserve">Definition of </w:t>
      </w:r>
      <w:r>
        <w:t xml:space="preserve">the </w:t>
      </w:r>
      <w:r w:rsidRPr="009029E6">
        <w:t>C</w:t>
      </w:r>
      <w:r>
        <w:t xml:space="preserve">onsumer </w:t>
      </w:r>
      <w:r w:rsidRPr="009029E6">
        <w:t>P</w:t>
      </w:r>
      <w:r>
        <w:t xml:space="preserve">rice </w:t>
      </w:r>
      <w:r w:rsidRPr="009029E6">
        <w:t>I</w:t>
      </w:r>
      <w:r>
        <w:t xml:space="preserve">ndex </w:t>
      </w:r>
    </w:p>
    <w:p w:rsidR="00B3178E" w:rsidRDefault="00B3178E" w:rsidP="00B3178E">
      <w:r>
        <w:t>We approve Endeavour Energy's proposal to retain the current CPI calculation for distribution standard control services as expressed by the formula:</w:t>
      </w:r>
    </w:p>
    <w:p w:rsidR="00B3178E" w:rsidRDefault="00B3178E" w:rsidP="00B3178E">
      <w:pPr>
        <w:pStyle w:val="AERbodytext"/>
      </w:pPr>
      <w:r w:rsidRPr="00462227">
        <w:rPr>
          <w:rStyle w:val="AERbody"/>
        </w:rPr>
        <w:object w:dxaOrig="57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75pt;height:38.65pt" o:ole="">
            <v:imagedata r:id="rId11" o:title=""/>
          </v:shape>
          <o:OLEObject Type="Embed" ProgID="Equation.3" ShapeID="_x0000_i1025" DrawAspect="Content" ObjectID="_1478531551" r:id="rId12"/>
        </w:object>
      </w:r>
    </w:p>
    <w:p w:rsidR="00B3178E" w:rsidRDefault="00B3178E" w:rsidP="00B3178E">
      <w:pPr>
        <w:pStyle w:val="HeadingBoldBlue"/>
      </w:pPr>
      <w:r>
        <w:t>Intra-period adjustment to WACC</w:t>
      </w:r>
      <w:r w:rsidR="00804386">
        <w:t xml:space="preserve"> (W-factor)</w:t>
      </w:r>
    </w:p>
    <w:p w:rsidR="00804386" w:rsidRPr="00804386" w:rsidRDefault="009171FB" w:rsidP="00804386">
      <w:pPr>
        <w:pStyle w:val="AERbodytext"/>
      </w:pPr>
      <w:r>
        <w:t>Endeavour</w:t>
      </w:r>
      <w:r w:rsidR="00804386" w:rsidRPr="00804386">
        <w:t xml:space="preserve"> Energy proposed adding an additional parameter to the revenue cap formula to apply an intra-period adjustment to WACC to allow for an annual update to the return on debt in the next regulatory period.</w:t>
      </w:r>
      <w:r w:rsidR="00804386">
        <w:rPr>
          <w:rStyle w:val="FootnoteReference"/>
        </w:rPr>
        <w:footnoteReference w:id="9"/>
      </w:r>
      <w:r w:rsidR="00804386" w:rsidRPr="00804386">
        <w:t xml:space="preserve">    </w:t>
      </w:r>
    </w:p>
    <w:p w:rsidR="00804386" w:rsidRDefault="00804386" w:rsidP="00804386">
      <w:pPr>
        <w:pStyle w:val="AERbodytext"/>
      </w:pPr>
      <w:r w:rsidRPr="00804386">
        <w:t>As more fully explained in our paper setting out our proposed amendments to the post-tax revenue model, we consider that changes to revenue resulting from the annual return on debt update should be implemented through revising the X factors and no additional set of factors should be added an additional parameter would not be required to apply an intra-period adjustment to WACC because we have included the adjustments via our X factors.</w:t>
      </w:r>
      <w:r>
        <w:rPr>
          <w:rStyle w:val="FootnoteReference"/>
        </w:rPr>
        <w:footnoteReference w:id="10"/>
      </w:r>
      <w:r w:rsidDel="00112528">
        <w:t xml:space="preserve"> </w:t>
      </w:r>
    </w:p>
    <w:p w:rsidR="00804386" w:rsidRPr="00804386" w:rsidRDefault="00804386" w:rsidP="00804386">
      <w:pPr>
        <w:pStyle w:val="AERbodytext"/>
      </w:pPr>
      <w:r w:rsidRPr="00804386">
        <w:t xml:space="preserve">Issues relating to the WACC, and its adjustment, are more fully explained in the WACC attachment on the cost of capital. The 'X-factors' are more fully explained in attachment dealing with revenue. </w:t>
      </w:r>
    </w:p>
    <w:p w:rsidR="00B3178E" w:rsidRDefault="00B3178E" w:rsidP="00B3178E">
      <w:pPr>
        <w:pStyle w:val="HeadingBoldBlue"/>
      </w:pPr>
      <w:r>
        <w:t xml:space="preserve">Recovery of Emergency Recoverable Works Costs </w:t>
      </w:r>
    </w:p>
    <w:p w:rsidR="00B3178E" w:rsidRDefault="00B3178E" w:rsidP="00B3178E">
      <w:pPr>
        <w:pStyle w:val="AERbodytext"/>
      </w:pPr>
      <w:r>
        <w:t xml:space="preserve">We do not approve Endeavour Energy's </w:t>
      </w:r>
      <w:r w:rsidR="00965CB5">
        <w:t xml:space="preserve">proposal </w:t>
      </w:r>
      <w:r>
        <w:t xml:space="preserve">for the recovery of emergency recoverable works </w:t>
      </w:r>
      <w:r w:rsidR="00965CB5">
        <w:t xml:space="preserve">in the revenue cap </w:t>
      </w:r>
      <w:r>
        <w:t>because it is an unclassified service and other residual costs are already allowed for (compensated) in opex.</w:t>
      </w:r>
    </w:p>
    <w:p w:rsidR="00B3178E" w:rsidRDefault="00B3178E" w:rsidP="009F78B3">
      <w:r>
        <w:t xml:space="preserve">Endeavour Energy wanted </w:t>
      </w:r>
      <w:r w:rsidR="00965CB5">
        <w:t>to recover emergency reco</w:t>
      </w:r>
      <w:r w:rsidR="00F56467">
        <w:t xml:space="preserve">verable works costs </w:t>
      </w:r>
      <w:r>
        <w:t xml:space="preserve">in the revenue cap formula </w:t>
      </w:r>
      <w:r w:rsidR="00F56467">
        <w:t>but provided no explanation</w:t>
      </w:r>
      <w:r>
        <w:t>.</w:t>
      </w:r>
      <w:r w:rsidR="00F56467">
        <w:rPr>
          <w:rStyle w:val="FootnoteReference"/>
        </w:rPr>
        <w:footnoteReference w:id="11"/>
      </w:r>
      <w:r>
        <w:t xml:space="preserve"> Our stage 1 framework and approach paper did not classify these works because we considered Endeavour Energy should recover these costs from the party responsible for the damage. Including it in the revenue control formula means that </w:t>
      </w:r>
      <w:r w:rsidRPr="009F78B3">
        <w:t>all</w:t>
      </w:r>
      <w:r>
        <w:t xml:space="preserve"> customers would pay. We consider that this result is inappropriate for the reasons below.</w:t>
      </w:r>
    </w:p>
    <w:p w:rsidR="00B3178E" w:rsidRPr="0045107C" w:rsidRDefault="00B3178E" w:rsidP="009171FB">
      <w:pPr>
        <w:pStyle w:val="AERbodytext"/>
      </w:pPr>
      <w:r>
        <w:t xml:space="preserve">As discussed in the </w:t>
      </w:r>
      <w:r w:rsidR="001525C7">
        <w:t xml:space="preserve">attachment </w:t>
      </w:r>
      <w:r>
        <w:t xml:space="preserve">on services classifications, we consider that in circumstances where the party responsible for the damage is not identifiable, related costs are not recoverable. Therefore, works to repair that damage would not be considered emergency recoverable works. Rather, they would be activities undertaken which are classified as standard control services and are already accounted for in the opex allowance. Including </w:t>
      </w:r>
      <w:r w:rsidR="00F56467">
        <w:t xml:space="preserve">emergency recoverable works </w:t>
      </w:r>
      <w:r>
        <w:t xml:space="preserve">in the control formula would result in double cost recovery which </w:t>
      </w:r>
      <w:r w:rsidR="009171FB" w:rsidRPr="009171FB">
        <w:t>is contrary to</w:t>
      </w:r>
      <w:r>
        <w:t xml:space="preserve"> the opex criteria and pricing principles.</w:t>
      </w:r>
    </w:p>
    <w:p w:rsidR="00B3178E" w:rsidRDefault="00B3178E" w:rsidP="00B3178E">
      <w:pPr>
        <w:pStyle w:val="HeadingBoldBlue"/>
      </w:pPr>
      <w:r>
        <w:t xml:space="preserve">Incentive Adjustment </w:t>
      </w:r>
    </w:p>
    <w:p w:rsidR="00B3178E" w:rsidRDefault="00B3178E" w:rsidP="00B3178E">
      <w:pPr>
        <w:pStyle w:val="AERbodytext"/>
      </w:pPr>
      <w:r>
        <w:t>Endeavour Energy</w:t>
      </w:r>
      <w:r w:rsidRPr="009029E6">
        <w:t xml:space="preserve"> </w:t>
      </w:r>
      <w:r>
        <w:t xml:space="preserve">accepted our decision that an annual adjustment should be applied to the ARR for revenue from distribution services, as a consequence of the operation of an incentive scheme. As stated in the service standards </w:t>
      </w:r>
      <w:r w:rsidR="001525C7">
        <w:t>attachment</w:t>
      </w:r>
      <w:r>
        <w:t xml:space="preserve"> we will apply a Service Target Performance Incentive Scheme (S-factor) to Endeavour Energy in the </w:t>
      </w:r>
      <w:r w:rsidR="00C12543">
        <w:t>2015–19</w:t>
      </w:r>
      <w:r>
        <w:t xml:space="preserve"> </w:t>
      </w:r>
      <w:proofErr w:type="gramStart"/>
      <w:r>
        <w:t>period</w:t>
      </w:r>
      <w:proofErr w:type="gramEnd"/>
      <w:r>
        <w:t>.</w:t>
      </w:r>
      <w:r w:rsidR="00F56467">
        <w:rPr>
          <w:rStyle w:val="FootnoteReference"/>
        </w:rPr>
        <w:footnoteReference w:id="12"/>
      </w:r>
      <w:r>
        <w:t xml:space="preserve"> </w:t>
      </w:r>
    </w:p>
    <w:p w:rsidR="00B3178E" w:rsidRDefault="00B3178E" w:rsidP="00B3178E">
      <w:pPr>
        <w:pStyle w:val="HeadingBoldBlue"/>
      </w:pPr>
      <w:r>
        <w:t>Transitional Adjustment (T-factor)</w:t>
      </w:r>
    </w:p>
    <w:p w:rsidR="00B3178E" w:rsidRPr="00112528" w:rsidRDefault="00B3178E" w:rsidP="00B3178E">
      <w:pPr>
        <w:pStyle w:val="AERbodytext"/>
      </w:pPr>
      <w:r w:rsidRPr="00112528">
        <w:t xml:space="preserve">We included a transitional adjustment parameter in our control formula to account for the difference in the notional revenue for the 2014-15 regulatory </w:t>
      </w:r>
      <w:proofErr w:type="gramStart"/>
      <w:r w:rsidRPr="00112528">
        <w:t>year</w:t>
      </w:r>
      <w:proofErr w:type="gramEnd"/>
      <w:r w:rsidRPr="00112528">
        <w:t xml:space="preserve">. We consider that a transitional adjustment parameter is no longer required as we have taken into account this difference as part of the true-up in establishing the smoothed total revenues over the 2015-19 </w:t>
      </w:r>
      <w:proofErr w:type="gramStart"/>
      <w:r w:rsidRPr="00112528">
        <w:t>period</w:t>
      </w:r>
      <w:proofErr w:type="gramEnd"/>
      <w:r w:rsidRPr="00112528">
        <w:t xml:space="preserve">. Refer to </w:t>
      </w:r>
      <w:r w:rsidR="001525C7">
        <w:t xml:space="preserve">the revenue </w:t>
      </w:r>
      <w:r w:rsidRPr="00112528">
        <w:t xml:space="preserve">attachment for further details on the true-up. </w:t>
      </w:r>
    </w:p>
    <w:p w:rsidR="00B3178E" w:rsidRPr="00FC530C" w:rsidRDefault="00B3178E" w:rsidP="00B3178E">
      <w:pPr>
        <w:pStyle w:val="HeadingBoldBlue"/>
      </w:pPr>
      <w:r>
        <w:t xml:space="preserve">Annual adjustment (B-factor): pass through and metering residual values </w:t>
      </w:r>
    </w:p>
    <w:p w:rsidR="00B3178E" w:rsidRDefault="00B3178E" w:rsidP="00B3178E">
      <w:pPr>
        <w:pStyle w:val="AERbodytext"/>
      </w:pPr>
      <w:r w:rsidRPr="00FC530C">
        <w:t xml:space="preserve">Our </w:t>
      </w:r>
      <w:r>
        <w:t xml:space="preserve">stage 1 </w:t>
      </w:r>
      <w:r w:rsidRPr="00FC530C">
        <w:t xml:space="preserve">framework and approach paper included an annual adjustment (B-factor) to account for any differences </w:t>
      </w:r>
      <w:r>
        <w:t xml:space="preserve">in </w:t>
      </w:r>
      <w:r w:rsidRPr="00FC530C">
        <w:t xml:space="preserve">revenue recovered compared to </w:t>
      </w:r>
      <w:r>
        <w:t>ARR f</w:t>
      </w:r>
      <w:r w:rsidRPr="00FC530C">
        <w:t>or a</w:t>
      </w:r>
      <w:r w:rsidR="00C12543">
        <w:t xml:space="preserve">ny </w:t>
      </w:r>
      <w:r w:rsidR="001525C7">
        <w:t>given</w:t>
      </w:r>
      <w:r w:rsidRPr="00FC530C">
        <w:t xml:space="preserve"> year.</w:t>
      </w:r>
      <w:r>
        <w:t xml:space="preserve"> </w:t>
      </w:r>
      <w:r w:rsidRPr="00FC530C">
        <w:t xml:space="preserve">In its regulatory proposal </w:t>
      </w:r>
      <w:r>
        <w:t>Endeavour Energy</w:t>
      </w:r>
      <w:r w:rsidRPr="00FC530C">
        <w:t xml:space="preserve"> accepted our B-factor</w:t>
      </w:r>
      <w:r>
        <w:t xml:space="preserve"> but submitted that the B-factor should also contain 'tolerance limits' to limit price volatility.</w:t>
      </w:r>
    </w:p>
    <w:p w:rsidR="00B3178E" w:rsidRDefault="00B3178E" w:rsidP="00B3178E">
      <w:pPr>
        <w:pStyle w:val="AERbodytext"/>
      </w:pPr>
      <w:r>
        <w:t>We consider that the B-factor should account for:</w:t>
      </w:r>
    </w:p>
    <w:p w:rsidR="00B3178E" w:rsidRDefault="00B3178E" w:rsidP="00B3178E">
      <w:pPr>
        <w:pStyle w:val="AERbulletlistfirststyle"/>
      </w:pPr>
      <w:r>
        <w:t>approved pass through amounts</w:t>
      </w:r>
    </w:p>
    <w:p w:rsidR="00B3178E" w:rsidRDefault="00B3178E" w:rsidP="00B3178E">
      <w:pPr>
        <w:pStyle w:val="AERbulletlistfirststyle"/>
      </w:pPr>
      <w:proofErr w:type="gramStart"/>
      <w:r>
        <w:t>residual</w:t>
      </w:r>
      <w:proofErr w:type="gramEnd"/>
      <w:r>
        <w:t xml:space="preserve"> metering asset costs from alternative control exit fees.</w:t>
      </w:r>
    </w:p>
    <w:p w:rsidR="00B3178E" w:rsidRPr="00C12543" w:rsidRDefault="00B3178E" w:rsidP="00C12543">
      <w:r w:rsidRPr="00C12543">
        <w:t xml:space="preserve">Adding DUoS unders and overs to the B factor would over complicate the B-factor. Consequently we consider that DUoS unders and overs recovery should be accounted for in an additional factor outlined in section </w:t>
      </w:r>
      <w:r w:rsidRPr="00C12543">
        <w:fldChar w:fldCharType="begin"/>
      </w:r>
      <w:r w:rsidRPr="00C12543">
        <w:instrText xml:space="preserve"> REF _Ref401665866 \r \h </w:instrText>
      </w:r>
      <w:r w:rsidRPr="00C12543">
        <w:fldChar w:fldCharType="separate"/>
      </w:r>
      <w:r w:rsidR="00BC67B1">
        <w:t>14.5.1</w:t>
      </w:r>
      <w:r w:rsidRPr="00C12543">
        <w:fldChar w:fldCharType="end"/>
      </w:r>
      <w:r w:rsidRPr="00C12543">
        <w:t xml:space="preserve"> below. The discussion regarding tolerance limits is </w:t>
      </w:r>
      <w:r w:rsidR="00C12543">
        <w:t>also set out there because</w:t>
      </w:r>
      <w:r w:rsidRPr="00C12543">
        <w:t xml:space="preserve"> it applies to the DUoS unders and over account.</w:t>
      </w:r>
    </w:p>
    <w:p w:rsidR="00B3178E" w:rsidRDefault="00B3178E" w:rsidP="00FE7541">
      <w:pPr>
        <w:pStyle w:val="HeadingBoldBlue"/>
      </w:pPr>
      <w:r>
        <w:t>Approved pass through amounts</w:t>
      </w:r>
    </w:p>
    <w:p w:rsidR="00B3178E" w:rsidRDefault="00B3178E" w:rsidP="00B3178E">
      <w:pPr>
        <w:pStyle w:val="AERbodytext"/>
      </w:pPr>
      <w:r>
        <w:t>The generic formulaic expression in our stage 1 framework and approach paper does not include a factor in the ARR to adjust for approved pass through amounts. At that time we envisaged that any approved pass through amounts would be adjusted for as part of the B-factor. Approved pass throughs will be recovered via the B-factor during 2015–19.</w:t>
      </w:r>
    </w:p>
    <w:p w:rsidR="00B3178E" w:rsidRDefault="00B3178E" w:rsidP="00B3178E">
      <w:pPr>
        <w:pStyle w:val="AERbodytext"/>
      </w:pPr>
      <w:r w:rsidRPr="000B7048">
        <w:t xml:space="preserve">We consider </w:t>
      </w:r>
      <w:r>
        <w:t>that the control mechanism should be adjusted for any cost pass through amounts that we approve.</w:t>
      </w:r>
      <w:r w:rsidR="00C12543">
        <w:t xml:space="preserve"> This is consistent with our previous decision on distribution control mechanism.</w:t>
      </w:r>
      <w:r>
        <w:t xml:space="preserve"> </w:t>
      </w:r>
    </w:p>
    <w:p w:rsidR="00B3178E" w:rsidRPr="00294CB8" w:rsidRDefault="00B3178E" w:rsidP="00FE7541">
      <w:pPr>
        <w:pStyle w:val="HeadingBoldBlue"/>
      </w:pPr>
      <w:r>
        <w:t>R</w:t>
      </w:r>
      <w:r w:rsidRPr="00294CB8">
        <w:t>esidual metering costs fro</w:t>
      </w:r>
      <w:r>
        <w:t>m alternative control exit fees</w:t>
      </w:r>
    </w:p>
    <w:p w:rsidR="00EC398C" w:rsidRPr="00EC398C" w:rsidRDefault="00EC398C" w:rsidP="00EC398C">
      <w:r w:rsidRPr="00EC398C">
        <w:t>We consider that recovering residual metering costs</w:t>
      </w:r>
      <w:r w:rsidRPr="00EC398C">
        <w:rPr>
          <w:rStyle w:val="FootnoteReference"/>
        </w:rPr>
        <w:footnoteReference w:id="13"/>
      </w:r>
      <w:r w:rsidRPr="00EC398C">
        <w:t xml:space="preserve"> by way of a lump sum unbundled exit fee in alternative control services would:</w:t>
      </w:r>
    </w:p>
    <w:p w:rsidR="00EC398C" w:rsidRPr="00EC398C" w:rsidRDefault="00EC398C" w:rsidP="00EC398C">
      <w:pPr>
        <w:pStyle w:val="AERbulletlistfirststyle"/>
      </w:pPr>
      <w:r w:rsidRPr="00EC398C">
        <w:t>not promote efficient long term outcomes for consumers and</w:t>
      </w:r>
    </w:p>
    <w:p w:rsidR="00EC398C" w:rsidRPr="00EC398C" w:rsidRDefault="00EC398C" w:rsidP="00EC398C">
      <w:pPr>
        <w:pStyle w:val="AERbulletlistfirststyle"/>
      </w:pPr>
      <w:proofErr w:type="gramStart"/>
      <w:r w:rsidRPr="00EC398C">
        <w:t>may</w:t>
      </w:r>
      <w:proofErr w:type="gramEnd"/>
      <w:r w:rsidRPr="00EC398C">
        <w:t xml:space="preserve"> also stymie meter switching given the lack of connection between a these costs and a customer’s exact metering specifications. </w:t>
      </w:r>
    </w:p>
    <w:p w:rsidR="00EC398C" w:rsidRPr="00EC398C" w:rsidRDefault="00EC398C" w:rsidP="00EC398C">
      <w:r w:rsidRPr="00EC398C">
        <w:t>We therefore consider that recovering these residual costs by way of an adjustment to standard control services would least distort efficient outcomes. Our detailed discussion on residual metering costs is found in the metering attachment of this draft decision.</w:t>
      </w:r>
    </w:p>
    <w:p w:rsidR="00B3178E" w:rsidRPr="00FC530C" w:rsidRDefault="00775840" w:rsidP="00B3178E">
      <w:pPr>
        <w:pStyle w:val="AERbodytext"/>
      </w:pPr>
      <w:r>
        <w:t xml:space="preserve">To limit prices shocks, we have determined that </w:t>
      </w:r>
      <w:r w:rsidR="00B3178E">
        <w:t>Endeavour Energy</w:t>
      </w:r>
      <w:r w:rsidR="00B3178E" w:rsidRPr="00FC530C">
        <w:t xml:space="preserve"> will implement tolerance limits to its </w:t>
      </w:r>
      <w:r w:rsidR="00B3178E">
        <w:t>recovery of r</w:t>
      </w:r>
      <w:r w:rsidR="00B3178E" w:rsidRPr="007F5B59">
        <w:t xml:space="preserve">esidual metering asset costs from alternative control </w:t>
      </w:r>
      <w:r w:rsidR="00B3178E">
        <w:t xml:space="preserve">service </w:t>
      </w:r>
      <w:r w:rsidR="00B3178E" w:rsidRPr="007F5B59">
        <w:t>exit fees</w:t>
      </w:r>
      <w:r w:rsidR="00B3178E">
        <w:t xml:space="preserve">. </w:t>
      </w:r>
      <w:r w:rsidR="00B3178E" w:rsidRPr="00FC530C">
        <w:t xml:space="preserve">If the </w:t>
      </w:r>
      <w:r w:rsidR="00B3178E">
        <w:t xml:space="preserve">residual metering asset costs </w:t>
      </w:r>
      <w:r w:rsidR="00B3178E" w:rsidRPr="00FC530C">
        <w:t>under/over</w:t>
      </w:r>
      <w:r w:rsidR="00B3178E">
        <w:t xml:space="preserve"> </w:t>
      </w:r>
      <w:r w:rsidR="00B3178E" w:rsidRPr="00FC530C">
        <w:t>recover</w:t>
      </w:r>
      <w:r w:rsidR="00B3178E">
        <w:t>y</w:t>
      </w:r>
      <w:r w:rsidR="00B3178E" w:rsidRPr="00FC530C">
        <w:t xml:space="preserve"> compared to the </w:t>
      </w:r>
      <w:r w:rsidR="00B3178E">
        <w:t>ARR</w:t>
      </w:r>
      <w:r w:rsidR="00B3178E" w:rsidRPr="00FC530C">
        <w:t xml:space="preserve"> for year t are:</w:t>
      </w:r>
    </w:p>
    <w:p w:rsidR="00B3178E" w:rsidRPr="00FC530C" w:rsidRDefault="00B3178E" w:rsidP="00B3178E">
      <w:pPr>
        <w:pStyle w:val="AERbulletlistfirststyle"/>
      </w:pPr>
      <w:r w:rsidRPr="00FC530C">
        <w:t xml:space="preserve">less than </w:t>
      </w:r>
      <w:r>
        <w:t>two</w:t>
      </w:r>
      <w:r w:rsidRPr="00FC530C">
        <w:t xml:space="preserve"> per cent, the </w:t>
      </w:r>
      <w:r>
        <w:t xml:space="preserve">residual metering assets costs </w:t>
      </w:r>
      <w:r w:rsidRPr="00FC530C">
        <w:t>under/over recovery will be cleared within one regulatory year</w:t>
      </w:r>
    </w:p>
    <w:p w:rsidR="00B3178E" w:rsidRPr="00301F4F" w:rsidRDefault="00B3178E" w:rsidP="00B3178E">
      <w:pPr>
        <w:pStyle w:val="AERbulletlistfirststyle"/>
      </w:pPr>
      <w:proofErr w:type="gramStart"/>
      <w:r>
        <w:t>greater</w:t>
      </w:r>
      <w:proofErr w:type="gramEnd"/>
      <w:r>
        <w:t xml:space="preserve"> than two</w:t>
      </w:r>
      <w:r w:rsidRPr="00FC530C">
        <w:t xml:space="preserve"> </w:t>
      </w:r>
      <w:r>
        <w:t>per cent, the residual metering assets costs</w:t>
      </w:r>
      <w:r w:rsidRPr="00FC530C">
        <w:t xml:space="preserve"> under/over recovery </w:t>
      </w:r>
      <w:r>
        <w:t>will be recovered in the remainder of the regulatory control period.</w:t>
      </w:r>
    </w:p>
    <w:p w:rsidR="00B3178E" w:rsidRPr="00C80103" w:rsidRDefault="00B3178E" w:rsidP="00B3178E">
      <w:pPr>
        <w:pStyle w:val="Heading3"/>
      </w:pPr>
      <w:bookmarkStart w:id="17" w:name="_Ref401665866"/>
      <w:bookmarkStart w:id="18" w:name="_Toc404616783"/>
      <w:r w:rsidRPr="00C80103">
        <w:t xml:space="preserve">Under and over recovery mechanism </w:t>
      </w:r>
      <w:r>
        <w:t>for DUo</w:t>
      </w:r>
      <w:r w:rsidRPr="00C80103">
        <w:t>S</w:t>
      </w:r>
      <w:bookmarkEnd w:id="17"/>
      <w:bookmarkEnd w:id="18"/>
    </w:p>
    <w:p w:rsidR="00B3178E" w:rsidRDefault="00B3178E" w:rsidP="00B3178E">
      <w:pPr>
        <w:pStyle w:val="AERbodytext"/>
      </w:pPr>
      <w:r>
        <w:t xml:space="preserve">DUoS </w:t>
      </w:r>
      <w:r w:rsidRPr="00C20A0B">
        <w:t xml:space="preserve">charges are recovered from distribution customers through the pricing proposal. </w:t>
      </w:r>
      <w:r>
        <w:t>Similar to the current regulatory control period, Endeavour Energy</w:t>
      </w:r>
      <w:r w:rsidRPr="00C20A0B">
        <w:t xml:space="preserve"> has proposed an unders and overs mechanism</w:t>
      </w:r>
      <w:r>
        <w:t xml:space="preserve"> </w:t>
      </w:r>
      <w:r w:rsidRPr="00C226EE">
        <w:t>based on the audited closing balance in year t-2, and an estimate of the closing balance in year t-1. The over/under recovery in year t-1 is recovered via an adjustment in year t.</w:t>
      </w:r>
      <w:r w:rsidRPr="00C20A0B">
        <w:t xml:space="preserve"> </w:t>
      </w:r>
    </w:p>
    <w:p w:rsidR="00B3178E" w:rsidRDefault="00B3178E" w:rsidP="00B3178E">
      <w:pPr>
        <w:pStyle w:val="AERbodytext"/>
      </w:pPr>
      <w:r>
        <w:t xml:space="preserve">We consider this method reasonable because it reduces </w:t>
      </w:r>
      <w:r w:rsidRPr="00C226EE">
        <w:t xml:space="preserve">the likelihood of price shocks. This method </w:t>
      </w:r>
      <w:r>
        <w:t xml:space="preserve">also </w:t>
      </w:r>
      <w:r w:rsidRPr="00C226EE">
        <w:t xml:space="preserve">creates a smoothing of the </w:t>
      </w:r>
      <w:r>
        <w:t xml:space="preserve">DUoS </w:t>
      </w:r>
      <w:r w:rsidRPr="00C226EE">
        <w:t xml:space="preserve">under and over recovery </w:t>
      </w:r>
      <w:r>
        <w:t xml:space="preserve">amounts </w:t>
      </w:r>
      <w:r w:rsidRPr="00C226EE">
        <w:t xml:space="preserve">because it provides more updated and accurate estimated and </w:t>
      </w:r>
      <w:r>
        <w:t>forecast data. It is also consistent with our current decision for Endeavour Energy.</w:t>
      </w:r>
      <w:r>
        <w:rPr>
          <w:rStyle w:val="FootnoteReference"/>
        </w:rPr>
        <w:footnoteReference w:id="14"/>
      </w:r>
    </w:p>
    <w:p w:rsidR="00B3178E" w:rsidRDefault="00B3178E" w:rsidP="00B3178E">
      <w:pPr>
        <w:pStyle w:val="AERbodytext"/>
      </w:pPr>
      <w:r>
        <w:t xml:space="preserve">Endeavour Energy proposed a tolerance limit should apply to the DUoS unders and overs account </w:t>
      </w:r>
      <w:r w:rsidR="00FE7541">
        <w:t xml:space="preserve">to </w:t>
      </w:r>
      <w:r>
        <w:t>limit unstable prices.</w:t>
      </w:r>
      <w:r>
        <w:rPr>
          <w:rStyle w:val="FootnoteReference"/>
        </w:rPr>
        <w:footnoteReference w:id="15"/>
      </w:r>
      <w:r>
        <w:t xml:space="preserve"> We do not approve this proposal because we consider that Endeavour Energy can smooth prices by working with its customers to smooth its revenue i.e. by having a pricing strategy that would smooth out price shocks. Furthermore, a tolerance limit will allow Endeavour Energy to bank revenues that may result in greater price shocks in the future when they are ultimately recovered from customers. Our decision </w:t>
      </w:r>
      <w:r w:rsidR="00FE7541">
        <w:t>to apply</w:t>
      </w:r>
      <w:r>
        <w:t xml:space="preserve"> a tolerance limit for Energex in 2010 ha</w:t>
      </w:r>
      <w:r w:rsidR="009F78B3">
        <w:t>s</w:t>
      </w:r>
      <w:r>
        <w:t xml:space="preserve"> ha</w:t>
      </w:r>
      <w:r w:rsidR="009F78B3">
        <w:t>d</w:t>
      </w:r>
      <w:r>
        <w:t xml:space="preserve"> this undesirable result.</w:t>
      </w:r>
      <w:r>
        <w:rPr>
          <w:rStyle w:val="FootnoteReference"/>
        </w:rPr>
        <w:footnoteReference w:id="16"/>
      </w:r>
      <w:r>
        <w:t xml:space="preserve"> </w:t>
      </w:r>
    </w:p>
    <w:p w:rsidR="00B3178E" w:rsidRDefault="00B3178E" w:rsidP="00B3178E">
      <w:pPr>
        <w:pStyle w:val="AERbodytext"/>
      </w:pPr>
      <w:r>
        <w:t xml:space="preserve">We are also required to make a decision on how Endeavour Energy will report to us on the </w:t>
      </w:r>
      <w:r w:rsidRPr="00FC72D4">
        <w:t>recovery of designated pricing proposal changes</w:t>
      </w:r>
      <w:r>
        <w:t xml:space="preserve"> (</w:t>
      </w:r>
      <w:proofErr w:type="spellStart"/>
      <w:r>
        <w:t>DuoS</w:t>
      </w:r>
      <w:proofErr w:type="spellEnd"/>
      <w:r>
        <w:t xml:space="preserve"> </w:t>
      </w:r>
      <w:proofErr w:type="spellStart"/>
      <w:r>
        <w:t>unders</w:t>
      </w:r>
      <w:proofErr w:type="spellEnd"/>
      <w:r>
        <w:t xml:space="preserve"> and overs account)</w:t>
      </w:r>
      <w:r w:rsidRPr="00FC72D4">
        <w:t>.</w:t>
      </w:r>
      <w:r>
        <w:rPr>
          <w:rStyle w:val="FootnoteReference"/>
        </w:rPr>
        <w:footnoteReference w:id="17"/>
      </w:r>
      <w:r>
        <w:t xml:space="preserve"> </w:t>
      </w:r>
      <w:r w:rsidRPr="00B01FFA">
        <w:t xml:space="preserve">The operation of this </w:t>
      </w:r>
      <w:r>
        <w:t xml:space="preserve">method </w:t>
      </w:r>
      <w:r w:rsidRPr="00B01FFA">
        <w:t xml:space="preserve">is detailed in appendix </w:t>
      </w:r>
      <w:r>
        <w:t>A</w:t>
      </w:r>
      <w:r w:rsidRPr="00B01FFA">
        <w:t>.</w:t>
      </w:r>
    </w:p>
    <w:p w:rsidR="00B3178E" w:rsidRDefault="00B3178E" w:rsidP="00B3178E">
      <w:pPr>
        <w:pStyle w:val="AERbodytext"/>
        <w:rPr>
          <w:rStyle w:val="AERbody"/>
        </w:rPr>
      </w:pPr>
      <w:r w:rsidRPr="00467D87">
        <w:rPr>
          <w:rStyle w:val="AERbody"/>
        </w:rPr>
        <w:t>In deciding on the control mechanism for standard control services, we must consider the five factors under clause 6.2.5 (c) of the NER. In deciding that the DUo</w:t>
      </w:r>
      <w:r>
        <w:rPr>
          <w:rStyle w:val="AERbody"/>
        </w:rPr>
        <w:t>S</w:t>
      </w:r>
      <w:r w:rsidRPr="00467D87">
        <w:rPr>
          <w:rStyle w:val="AERbody"/>
        </w:rPr>
        <w:t xml:space="preserve"> unders and overs mechanism should operate, we considered that the impact on efficient tariff structures and the desirability for a consistent regulatory approach. Consideration of these factors is outlined in </w:t>
      </w:r>
      <w:r w:rsidR="00D15A15">
        <w:rPr>
          <w:rStyle w:val="AERbody"/>
        </w:rPr>
        <w:fldChar w:fldCharType="begin"/>
      </w:r>
      <w:r w:rsidR="00D15A15">
        <w:rPr>
          <w:rStyle w:val="AERbody"/>
        </w:rPr>
        <w:instrText xml:space="preserve"> REF _Ref404275515 \h </w:instrText>
      </w:r>
      <w:r w:rsidR="00D15A15">
        <w:rPr>
          <w:rStyle w:val="AERbody"/>
        </w:rPr>
      </w:r>
      <w:r w:rsidR="00D15A15">
        <w:rPr>
          <w:rStyle w:val="AERbody"/>
        </w:rPr>
        <w:fldChar w:fldCharType="separate"/>
      </w:r>
      <w:r w:rsidR="00BC67B1">
        <w:t xml:space="preserve">Table </w:t>
      </w:r>
      <w:r w:rsidR="00BC67B1">
        <w:rPr>
          <w:noProof/>
        </w:rPr>
        <w:t>14</w:t>
      </w:r>
      <w:r w:rsidR="00BC67B1">
        <w:noBreakHyphen/>
      </w:r>
      <w:r w:rsidR="00BC67B1">
        <w:rPr>
          <w:noProof/>
        </w:rPr>
        <w:t>1</w:t>
      </w:r>
      <w:r w:rsidR="00D15A15">
        <w:rPr>
          <w:rStyle w:val="AERbody"/>
        </w:rPr>
        <w:fldChar w:fldCharType="end"/>
      </w:r>
      <w:r>
        <w:rPr>
          <w:rStyle w:val="AERbody"/>
        </w:rPr>
        <w:t xml:space="preserve"> below.</w:t>
      </w:r>
      <w:r w:rsidR="00C26747">
        <w:rPr>
          <w:rStyle w:val="AERbody"/>
        </w:rPr>
        <w:br/>
      </w:r>
    </w:p>
    <w:p w:rsidR="009F78B3" w:rsidRDefault="009F78B3" w:rsidP="009F78B3">
      <w:pPr>
        <w:pStyle w:val="AERbodytext"/>
        <w:numPr>
          <w:ilvl w:val="0"/>
          <w:numId w:val="0"/>
        </w:numPr>
        <w:rPr>
          <w:rStyle w:val="AERbody"/>
        </w:rPr>
      </w:pPr>
    </w:p>
    <w:p w:rsidR="009F78B3" w:rsidRDefault="009F78B3" w:rsidP="009F78B3">
      <w:pPr>
        <w:pStyle w:val="AERbodytext"/>
        <w:numPr>
          <w:ilvl w:val="0"/>
          <w:numId w:val="0"/>
        </w:numPr>
        <w:rPr>
          <w:rStyle w:val="AERbody"/>
        </w:rPr>
      </w:pPr>
    </w:p>
    <w:p w:rsidR="009F78B3" w:rsidRDefault="009F78B3" w:rsidP="009F78B3">
      <w:pPr>
        <w:pStyle w:val="AERbodytext"/>
        <w:numPr>
          <w:ilvl w:val="0"/>
          <w:numId w:val="0"/>
        </w:numPr>
        <w:rPr>
          <w:rStyle w:val="AERbody"/>
        </w:rPr>
      </w:pPr>
    </w:p>
    <w:p w:rsidR="009F78B3" w:rsidRPr="00467D87" w:rsidRDefault="009F78B3" w:rsidP="009F78B3">
      <w:pPr>
        <w:pStyle w:val="AERbodytext"/>
        <w:numPr>
          <w:ilvl w:val="0"/>
          <w:numId w:val="0"/>
        </w:numPr>
        <w:rPr>
          <w:rStyle w:val="AERbody"/>
        </w:rPr>
      </w:pPr>
    </w:p>
    <w:p w:rsidR="00B3178E" w:rsidRPr="00467D87" w:rsidRDefault="00D15A15" w:rsidP="00D15A15">
      <w:pPr>
        <w:pStyle w:val="Caption"/>
      </w:pPr>
      <w:bookmarkStart w:id="19" w:name="_Ref404275515"/>
      <w:r>
        <w:t xml:space="preserve">Table </w:t>
      </w:r>
      <w:r w:rsidR="00E64D67">
        <w:fldChar w:fldCharType="begin"/>
      </w:r>
      <w:r w:rsidR="00E64D67">
        <w:instrText xml:space="preserve"> STYLEREF 1 \s </w:instrText>
      </w:r>
      <w:r w:rsidR="00E64D67">
        <w:fldChar w:fldCharType="separate"/>
      </w:r>
      <w:r w:rsidR="00BC67B1">
        <w:rPr>
          <w:noProof/>
        </w:rPr>
        <w:t>14</w:t>
      </w:r>
      <w:r w:rsidR="00E64D67">
        <w:rPr>
          <w:noProof/>
        </w:rPr>
        <w:fldChar w:fldCharType="end"/>
      </w:r>
      <w:r>
        <w:noBreakHyphen/>
      </w:r>
      <w:r w:rsidR="00E64D67">
        <w:fldChar w:fldCharType="begin"/>
      </w:r>
      <w:r w:rsidR="00E64D67">
        <w:instrText xml:space="preserve"> SEQ Table \* ARABIC \s 1 </w:instrText>
      </w:r>
      <w:r w:rsidR="00E64D67">
        <w:fldChar w:fldCharType="separate"/>
      </w:r>
      <w:r w:rsidR="00BC67B1">
        <w:rPr>
          <w:noProof/>
        </w:rPr>
        <w:t>1</w:t>
      </w:r>
      <w:r w:rsidR="00E64D67">
        <w:rPr>
          <w:noProof/>
        </w:rPr>
        <w:fldChar w:fldCharType="end"/>
      </w:r>
      <w:bookmarkEnd w:id="19"/>
      <w:r>
        <w:tab/>
        <w:t xml:space="preserve"> </w:t>
      </w:r>
      <w:r w:rsidR="00B3178E" w:rsidRPr="00467D87">
        <w:t>NER factors and the DUoS unders and overs mechanism</w:t>
      </w:r>
    </w:p>
    <w:tbl>
      <w:tblPr>
        <w:tblStyle w:val="AERtable-text"/>
        <w:tblW w:w="0" w:type="auto"/>
        <w:tblLook w:val="04A0" w:firstRow="1" w:lastRow="0" w:firstColumn="1" w:lastColumn="0" w:noHBand="0" w:noVBand="1"/>
      </w:tblPr>
      <w:tblGrid>
        <w:gridCol w:w="1831"/>
        <w:gridCol w:w="7411"/>
      </w:tblGrid>
      <w:tr w:rsidR="00B3178E" w:rsidTr="0055520E">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B3178E" w:rsidRPr="00B3178E" w:rsidRDefault="00B3178E" w:rsidP="00B3178E">
            <w:r w:rsidRPr="007735EB">
              <w:t>NER Factor</w:t>
            </w:r>
          </w:p>
        </w:tc>
        <w:tc>
          <w:tcPr>
            <w:tcW w:w="0" w:type="auto"/>
            <w:vAlign w:val="top"/>
          </w:tcPr>
          <w:p w:rsidR="00B3178E" w:rsidRPr="00B3178E" w:rsidRDefault="00B3178E" w:rsidP="00B3178E">
            <w:r w:rsidRPr="007735EB">
              <w:t>AER consideration</w:t>
            </w:r>
          </w:p>
        </w:tc>
      </w:tr>
      <w:tr w:rsidR="00B3178E" w:rsidTr="0055520E">
        <w:trPr>
          <w:trHeight w:val="373"/>
        </w:trPr>
        <w:tc>
          <w:tcPr>
            <w:tcW w:w="0" w:type="auto"/>
          </w:tcPr>
          <w:p w:rsidR="00B3178E" w:rsidRPr="00B3178E" w:rsidRDefault="00B3178E" w:rsidP="00B3178E">
            <w:pPr>
              <w:pStyle w:val="AERtabletextleft"/>
            </w:pPr>
            <w:r w:rsidRPr="007735EB">
              <w:t>Efficient tariff structures</w:t>
            </w:r>
          </w:p>
          <w:p w:rsidR="00B3178E" w:rsidRPr="007735EB" w:rsidRDefault="00B3178E" w:rsidP="00B3178E">
            <w:pPr>
              <w:pStyle w:val="AERtabletextleft"/>
            </w:pPr>
          </w:p>
        </w:tc>
        <w:tc>
          <w:tcPr>
            <w:tcW w:w="0" w:type="auto"/>
          </w:tcPr>
          <w:p w:rsidR="00B3178E" w:rsidRPr="00B3178E" w:rsidRDefault="00B3178E" w:rsidP="00B3178E">
            <w:pPr>
              <w:pStyle w:val="AERtabletextleft"/>
            </w:pPr>
            <w:r>
              <w:t>We</w:t>
            </w:r>
            <w:r w:rsidRPr="00B3178E">
              <w:t xml:space="preserve"> consider efficient tariff structures should reflect the efficient costs of providing services. Mechanisms that do not result in changes in tariffs reflecting underlying changes in the costs of providing services distort the ability of tariffs to send appropriate signals to consumers. Such distortions are not consistent with the need to set efficient tariff structures.</w:t>
            </w:r>
          </w:p>
        </w:tc>
      </w:tr>
      <w:tr w:rsidR="00B3178E" w:rsidTr="0055520E">
        <w:trPr>
          <w:cnfStyle w:val="000000010000" w:firstRow="0" w:lastRow="0" w:firstColumn="0" w:lastColumn="0" w:oddVBand="0" w:evenVBand="0" w:oddHBand="0" w:evenHBand="1" w:firstRowFirstColumn="0" w:firstRowLastColumn="0" w:lastRowFirstColumn="0" w:lastRowLastColumn="0"/>
        </w:trPr>
        <w:tc>
          <w:tcPr>
            <w:tcW w:w="0" w:type="auto"/>
          </w:tcPr>
          <w:p w:rsidR="00B3178E" w:rsidRPr="00B3178E" w:rsidRDefault="00B3178E" w:rsidP="00B3178E">
            <w:pPr>
              <w:pStyle w:val="AERtabletextleft"/>
            </w:pPr>
            <w:r w:rsidRPr="007735EB">
              <w:t>Administrative costs</w:t>
            </w:r>
          </w:p>
          <w:p w:rsidR="00B3178E" w:rsidRPr="007735EB" w:rsidRDefault="00B3178E" w:rsidP="00B3178E">
            <w:pPr>
              <w:pStyle w:val="AERtabletextleft"/>
            </w:pPr>
          </w:p>
        </w:tc>
        <w:tc>
          <w:tcPr>
            <w:tcW w:w="0" w:type="auto"/>
          </w:tcPr>
          <w:p w:rsidR="00B3178E" w:rsidRPr="00B3178E" w:rsidRDefault="00B3178E" w:rsidP="00B3178E">
            <w:pPr>
              <w:pStyle w:val="AERtabletextleft"/>
            </w:pPr>
            <w:r w:rsidRPr="007735EB">
              <w:t xml:space="preserve">There are no additional administrative costs associated with </w:t>
            </w:r>
            <w:r>
              <w:t>Endeavour</w:t>
            </w:r>
            <w:r w:rsidRPr="00B3178E">
              <w:t xml:space="preserve"> Energy's proposed approach to accounting for DUoS under and overs.</w:t>
            </w:r>
          </w:p>
        </w:tc>
      </w:tr>
      <w:tr w:rsidR="00B3178E" w:rsidTr="0055520E">
        <w:tc>
          <w:tcPr>
            <w:tcW w:w="0" w:type="auto"/>
          </w:tcPr>
          <w:p w:rsidR="00B3178E" w:rsidRPr="00B3178E" w:rsidRDefault="00B3178E" w:rsidP="00B3178E">
            <w:pPr>
              <w:pStyle w:val="AERtabletextleft"/>
            </w:pPr>
            <w:r w:rsidRPr="007735EB">
              <w:t>Previous regulatory arrangements</w:t>
            </w:r>
          </w:p>
        </w:tc>
        <w:tc>
          <w:tcPr>
            <w:tcW w:w="0" w:type="auto"/>
          </w:tcPr>
          <w:p w:rsidR="00B3178E" w:rsidRPr="00B3178E" w:rsidRDefault="00B3178E" w:rsidP="00B3178E">
            <w:pPr>
              <w:pStyle w:val="AERtabletextleft"/>
            </w:pPr>
            <w:r>
              <w:t xml:space="preserve">We have </w:t>
            </w:r>
            <w:r w:rsidRPr="00B3178E">
              <w:t xml:space="preserve">applied </w:t>
            </w:r>
            <w:r>
              <w:t>Endeavour</w:t>
            </w:r>
            <w:r w:rsidRPr="00B3178E">
              <w:t xml:space="preserve"> Energy's proposed approach in the current regulatory period. </w:t>
            </w:r>
          </w:p>
        </w:tc>
      </w:tr>
      <w:tr w:rsidR="00B3178E" w:rsidTr="0055520E">
        <w:trPr>
          <w:cnfStyle w:val="000000010000" w:firstRow="0" w:lastRow="0" w:firstColumn="0" w:lastColumn="0" w:oddVBand="0" w:evenVBand="0" w:oddHBand="0" w:evenHBand="1" w:firstRowFirstColumn="0" w:firstRowLastColumn="0" w:lastRowFirstColumn="0" w:lastRowLastColumn="0"/>
        </w:trPr>
        <w:tc>
          <w:tcPr>
            <w:tcW w:w="0" w:type="auto"/>
          </w:tcPr>
          <w:p w:rsidR="00B3178E" w:rsidRPr="00B3178E" w:rsidRDefault="00B3178E" w:rsidP="00B3178E">
            <w:pPr>
              <w:pStyle w:val="AERtabletextleft"/>
            </w:pPr>
            <w:r w:rsidRPr="007735EB">
              <w:t xml:space="preserve">Desirability for a consistent </w:t>
            </w:r>
            <w:r w:rsidRPr="00B3178E">
              <w:t>regulatory approach</w:t>
            </w:r>
          </w:p>
          <w:p w:rsidR="00B3178E" w:rsidRPr="007735EB" w:rsidRDefault="00B3178E" w:rsidP="00B3178E">
            <w:pPr>
              <w:pStyle w:val="AERtabletextleft"/>
            </w:pPr>
          </w:p>
        </w:tc>
        <w:tc>
          <w:tcPr>
            <w:tcW w:w="0" w:type="auto"/>
          </w:tcPr>
          <w:p w:rsidR="00B3178E" w:rsidRPr="00B3178E" w:rsidRDefault="00B3178E" w:rsidP="00B3178E">
            <w:pPr>
              <w:pStyle w:val="AERtabletextleft"/>
            </w:pPr>
            <w:r>
              <w:t xml:space="preserve">Endeavour Energy, </w:t>
            </w:r>
            <w:r w:rsidRPr="00B3178E">
              <w:t xml:space="preserve">Aurora and the Queensland DNSPs are subject to revenue caps in the NEM. The Queensland DNSPs and Aurora account for DUoS under and over recovery in the same way as proposed by </w:t>
            </w:r>
            <w:r>
              <w:t>Endeavour</w:t>
            </w:r>
            <w:r w:rsidRPr="00B3178E">
              <w:t xml:space="preserve"> Energy.</w:t>
            </w:r>
          </w:p>
        </w:tc>
      </w:tr>
      <w:tr w:rsidR="00B3178E" w:rsidTr="0055520E">
        <w:tc>
          <w:tcPr>
            <w:tcW w:w="0" w:type="auto"/>
            <w:vAlign w:val="top"/>
          </w:tcPr>
          <w:p w:rsidR="00B3178E" w:rsidRPr="00B3178E" w:rsidRDefault="00B3178E" w:rsidP="00B3178E">
            <w:pPr>
              <w:pStyle w:val="AERtabletextleft"/>
            </w:pPr>
            <w:r w:rsidRPr="007735EB">
              <w:t>Any other relevant factor</w:t>
            </w:r>
          </w:p>
        </w:tc>
        <w:tc>
          <w:tcPr>
            <w:tcW w:w="0" w:type="auto"/>
          </w:tcPr>
          <w:p w:rsidR="00B3178E" w:rsidRPr="00B3178E" w:rsidRDefault="00B3178E" w:rsidP="00B3178E">
            <w:pPr>
              <w:pStyle w:val="AERtabletextleft"/>
            </w:pPr>
            <w:r w:rsidRPr="007735EB">
              <w:t>There are no other relevant factors.</w:t>
            </w:r>
          </w:p>
        </w:tc>
      </w:tr>
    </w:tbl>
    <w:p w:rsidR="00B3178E" w:rsidRDefault="0081277C" w:rsidP="0081277C">
      <w:pPr>
        <w:pStyle w:val="AERtablesource"/>
      </w:pPr>
      <w:r>
        <w:t>Source:</w:t>
      </w:r>
      <w:r>
        <w:tab/>
        <w:t>AER analysis.</w:t>
      </w:r>
    </w:p>
    <w:p w:rsidR="00B3178E" w:rsidRDefault="00B3178E" w:rsidP="00B3178E">
      <w:pPr>
        <w:pStyle w:val="Heading3"/>
      </w:pPr>
      <w:bookmarkStart w:id="20" w:name="_Toc404616784"/>
      <w:r w:rsidRPr="00C80103">
        <w:t xml:space="preserve">Under and over recovery mechanism </w:t>
      </w:r>
      <w:r>
        <w:t xml:space="preserve">for </w:t>
      </w:r>
      <w:proofErr w:type="spellStart"/>
      <w:r w:rsidRPr="00520046">
        <w:t>TU</w:t>
      </w:r>
      <w:r>
        <w:t>o</w:t>
      </w:r>
      <w:r w:rsidRPr="00520046">
        <w:t>S</w:t>
      </w:r>
      <w:bookmarkEnd w:id="20"/>
      <w:proofErr w:type="spellEnd"/>
    </w:p>
    <w:p w:rsidR="00B3178E" w:rsidRDefault="00B3178E" w:rsidP="00B3178E">
      <w:pPr>
        <w:pStyle w:val="AERbodytext"/>
      </w:pPr>
      <w:r w:rsidRPr="002A1D04">
        <w:t xml:space="preserve">We have decided to apply </w:t>
      </w:r>
      <w:r>
        <w:t>Endeavour Energy</w:t>
      </w:r>
      <w:r w:rsidRPr="002A1D04">
        <w:t xml:space="preserve">'s proposed </w:t>
      </w:r>
      <w:proofErr w:type="spellStart"/>
      <w:r w:rsidRPr="002A1D04">
        <w:t>TUoS</w:t>
      </w:r>
      <w:proofErr w:type="spellEnd"/>
      <w:r w:rsidRPr="002A1D04">
        <w:t xml:space="preserve"> under and over recovery mechanism</w:t>
      </w:r>
      <w:r>
        <w:rPr>
          <w:rStyle w:val="FootnoteReference"/>
        </w:rPr>
        <w:footnoteReference w:id="18"/>
      </w:r>
      <w:r w:rsidRPr="002A1D04">
        <w:t xml:space="preserve"> to smooth the impact of over and under recovery into prices year on year. Our reason </w:t>
      </w:r>
      <w:r>
        <w:t>is</w:t>
      </w:r>
      <w:r w:rsidRPr="002A1D04">
        <w:t xml:space="preserve"> the same </w:t>
      </w:r>
      <w:r>
        <w:t xml:space="preserve">as </w:t>
      </w:r>
      <w:r w:rsidRPr="002A1D04">
        <w:t>the DUoS under and</w:t>
      </w:r>
      <w:r>
        <w:t xml:space="preserve"> over recovery account and it is also similar to the current reporting method, which we have previously approved</w:t>
      </w:r>
      <w:r w:rsidRPr="00520046">
        <w:t>.</w:t>
      </w:r>
      <w:r>
        <w:rPr>
          <w:rStyle w:val="FootnoteReference"/>
        </w:rPr>
        <w:footnoteReference w:id="19"/>
      </w:r>
    </w:p>
    <w:p w:rsidR="00B3178E" w:rsidRDefault="00B3178E" w:rsidP="00B3178E">
      <w:pPr>
        <w:pStyle w:val="AERbodytext"/>
      </w:pPr>
      <w:r>
        <w:t>We</w:t>
      </w:r>
      <w:r w:rsidRPr="00B01FFA">
        <w:t xml:space="preserve"> ha</w:t>
      </w:r>
      <w:r>
        <w:t xml:space="preserve">ve developed a </w:t>
      </w:r>
      <w:proofErr w:type="spellStart"/>
      <w:r>
        <w:t>T</w:t>
      </w:r>
      <w:r w:rsidRPr="00B01FFA">
        <w:t>U</w:t>
      </w:r>
      <w:r>
        <w:t>o</w:t>
      </w:r>
      <w:r w:rsidRPr="00B01FFA">
        <w:t>S</w:t>
      </w:r>
      <w:proofErr w:type="spellEnd"/>
      <w:r>
        <w:t xml:space="preserve"> </w:t>
      </w:r>
      <w:proofErr w:type="spellStart"/>
      <w:r w:rsidRPr="00B01FFA">
        <w:t>unders</w:t>
      </w:r>
      <w:proofErr w:type="spellEnd"/>
      <w:r w:rsidRPr="00B01FFA">
        <w:t xml:space="preserve"> and overs account based on the approach used </w:t>
      </w:r>
      <w:r>
        <w:t>in the current regulatory control period</w:t>
      </w:r>
      <w:r w:rsidRPr="00B01FFA">
        <w:t xml:space="preserve">. </w:t>
      </w:r>
      <w:r>
        <w:t>See</w:t>
      </w:r>
      <w:r w:rsidRPr="00B01FFA">
        <w:t xml:space="preserve"> appendix </w:t>
      </w:r>
      <w:r>
        <w:t>B</w:t>
      </w:r>
      <w:r w:rsidRPr="00B01FFA">
        <w:t xml:space="preserve"> </w:t>
      </w:r>
      <w:r>
        <w:t xml:space="preserve">for a more detailed discussion. </w:t>
      </w:r>
    </w:p>
    <w:p w:rsidR="00B3178E" w:rsidRDefault="00B3178E" w:rsidP="00B3178E">
      <w:pPr>
        <w:pStyle w:val="Heading3"/>
      </w:pPr>
      <w:bookmarkStart w:id="21" w:name="_Toc404616785"/>
      <w:r w:rsidRPr="00B458E1">
        <w:t>Reporting on jurisdictional scheme amounts</w:t>
      </w:r>
      <w:bookmarkEnd w:id="21"/>
      <w:r w:rsidRPr="00B458E1">
        <w:t xml:space="preserve"> </w:t>
      </w:r>
    </w:p>
    <w:p w:rsidR="00B3178E" w:rsidRPr="005E2BD6" w:rsidRDefault="00B3178E" w:rsidP="00B3178E">
      <w:pPr>
        <w:pStyle w:val="AERbodytext"/>
      </w:pPr>
      <w:r w:rsidRPr="005E2BD6">
        <w:t xml:space="preserve">We must decide how </w:t>
      </w:r>
      <w:r>
        <w:t>Endeavour Energy</w:t>
      </w:r>
      <w:r w:rsidRPr="005E2BD6">
        <w:t xml:space="preserve"> will report recovery of jurisdictional scheme amounts for each year of the regulatory control period and adjustments necessary in subsequent pricing proposals to account for over or under recovery of those charges.</w:t>
      </w:r>
      <w:r w:rsidRPr="005E2BD6">
        <w:rPr>
          <w:rStyle w:val="FootnoteReference"/>
        </w:rPr>
        <w:footnoteReference w:id="20"/>
      </w:r>
    </w:p>
    <w:p w:rsidR="00B3178E" w:rsidRPr="005E2BD6" w:rsidRDefault="00B3178E" w:rsidP="00B3178E">
      <w:pPr>
        <w:pStyle w:val="AERbodytext"/>
      </w:pPr>
      <w:r w:rsidRPr="005E2BD6">
        <w:t xml:space="preserve">Jurisdictional schemes amounts are those </w:t>
      </w:r>
      <w:r>
        <w:t>Endeavour Energy</w:t>
      </w:r>
      <w:r w:rsidRPr="005E2BD6">
        <w:t xml:space="preserve"> are required to pay pursuant to jurisdictional requirements recognised by the </w:t>
      </w:r>
      <w:r>
        <w:t>NER</w:t>
      </w:r>
      <w:r w:rsidRPr="005E2BD6">
        <w:t xml:space="preserve"> or the AER</w:t>
      </w:r>
      <w:r>
        <w:t>,</w:t>
      </w:r>
      <w:r w:rsidRPr="005E2BD6">
        <w:t xml:space="preserve"> as amounts which may be recovered as part of </w:t>
      </w:r>
      <w:r>
        <w:t>Endeavour Energy</w:t>
      </w:r>
      <w:r w:rsidRPr="005E2BD6">
        <w:t>’s pricing proposal.</w:t>
      </w:r>
      <w:r w:rsidRPr="005E2BD6">
        <w:rPr>
          <w:rStyle w:val="FootnoteReference"/>
        </w:rPr>
        <w:footnoteReference w:id="21"/>
      </w:r>
    </w:p>
    <w:p w:rsidR="00B3178E" w:rsidRPr="00B458E1" w:rsidRDefault="00B3178E" w:rsidP="00B3178E">
      <w:pPr>
        <w:pStyle w:val="AERbodytext"/>
      </w:pPr>
      <w:r>
        <w:t xml:space="preserve">We approve Endeavour Energy's method of reporting on jurisdiction scheme amounts because it </w:t>
      </w:r>
      <w:r w:rsidR="00FE7541">
        <w:t xml:space="preserve">is the same as </w:t>
      </w:r>
      <w:r>
        <w:t>the current reporting method, which we have previously approved.</w:t>
      </w:r>
      <w:r>
        <w:rPr>
          <w:rStyle w:val="FootnoteReference"/>
        </w:rPr>
        <w:footnoteReference w:id="22"/>
      </w:r>
    </w:p>
    <w:p w:rsidR="00B3178E" w:rsidRPr="00C502E6" w:rsidRDefault="00B3178E" w:rsidP="00B3178E">
      <w:pPr>
        <w:pStyle w:val="Heading3"/>
      </w:pPr>
      <w:bookmarkStart w:id="22" w:name="_Toc404616786"/>
      <w:r w:rsidRPr="00C502E6">
        <w:t>Side Constraints</w:t>
      </w:r>
      <w:bookmarkEnd w:id="22"/>
      <w:r w:rsidRPr="00C502E6">
        <w:t xml:space="preserve"> </w:t>
      </w:r>
    </w:p>
    <w:p w:rsidR="00B3178E" w:rsidRDefault="00B3178E" w:rsidP="00B3178E">
      <w:r>
        <w:t>We</w:t>
      </w:r>
      <w:r w:rsidRPr="00C502E6">
        <w:t xml:space="preserve"> conside</w:t>
      </w:r>
      <w:r>
        <w:t>r</w:t>
      </w:r>
      <w:r w:rsidRPr="00C502E6">
        <w:t xml:space="preserve"> the application of the unders and overs in the side constraint formula provides for the appropriate treatment of these revenue adjustments in keeping with clause 6.18.6 of the NER. </w:t>
      </w:r>
    </w:p>
    <w:p w:rsidR="00A15EEC" w:rsidRDefault="00A15EEC" w:rsidP="00B3178E">
      <w:r w:rsidRPr="00A15EEC">
        <w:t>For each year after the first year of each regulatory period, side constraints will apply to the weighted average revenue to be raised from each tariff class. In accordance with NER, the permissible percentage increase is the greater of CPI–X plus 2 per cent or CPI plus 2 per cent. Recovery of revenue to accommodate cost pass throughs and pass through of designated pricing proposal charges and jurisdictional scheme amounts is disregarded in deciding whether the permissible percentage has been exceeded.</w:t>
      </w:r>
    </w:p>
    <w:p w:rsidR="00B3178E" w:rsidRDefault="00B3178E" w:rsidP="00B3178E">
      <w:pPr>
        <w:pStyle w:val="Heading3"/>
      </w:pPr>
      <w:bookmarkStart w:id="23" w:name="_Ref401665247"/>
      <w:bookmarkStart w:id="24" w:name="_Toc404616787"/>
      <w:r w:rsidRPr="00FD60FB">
        <w:t>Control mechanism formulas</w:t>
      </w:r>
      <w:bookmarkEnd w:id="23"/>
      <w:bookmarkEnd w:id="24"/>
    </w:p>
    <w:p w:rsidR="00B3178E" w:rsidRPr="001376DB" w:rsidRDefault="00B3178E" w:rsidP="00B3178E">
      <w:pPr>
        <w:pStyle w:val="HeadingBoldBlue"/>
      </w:pPr>
      <w:r>
        <w:t>Distribution services</w:t>
      </w:r>
    </w:p>
    <w:p w:rsidR="00B3178E" w:rsidRDefault="00B3178E" w:rsidP="00B3178E">
      <w:pPr>
        <w:pStyle w:val="AERbodytext"/>
      </w:pPr>
      <w:r>
        <w:t>Endeavour Energy</w:t>
      </w:r>
      <w:r w:rsidR="00CA13E9">
        <w:t>'s</w:t>
      </w:r>
      <w:r w:rsidRPr="00FD60FB">
        <w:t xml:space="preserve"> pricing proposals must </w:t>
      </w:r>
      <w:r w:rsidR="00CA13E9">
        <w:t>set out</w:t>
      </w:r>
      <w:r w:rsidRPr="00FD60FB">
        <w:t xml:space="preserve"> proposed tariffs and charging parameters. </w:t>
      </w:r>
      <w:r>
        <w:t>Endeavour Energy</w:t>
      </w:r>
      <w:r w:rsidRPr="00FD60FB">
        <w:t xml:space="preserve">'s revenues must be consistent with the </w:t>
      </w:r>
      <w:r>
        <w:t>ARR</w:t>
      </w:r>
      <w:r w:rsidRPr="00FD60FB">
        <w:t xml:space="preserve"> formula set out below plus any unders and overs adjustment neede</w:t>
      </w:r>
      <w:r>
        <w:t>d to move the balance of its DUoS</w:t>
      </w:r>
      <w:r w:rsidRPr="00FD60FB">
        <w:t xml:space="preserve"> unders and overs account to zero.</w:t>
      </w:r>
    </w:p>
    <w:p w:rsidR="0081277C" w:rsidRPr="00FD60FB" w:rsidRDefault="0081277C" w:rsidP="0081277C">
      <w:pPr>
        <w:pStyle w:val="Caption"/>
      </w:pPr>
      <w:proofErr w:type="gramStart"/>
      <w:r>
        <w:t xml:space="preserve">Figure </w:t>
      </w:r>
      <w:proofErr w:type="gramEnd"/>
      <w:r w:rsidR="00BC67B1">
        <w:fldChar w:fldCharType="begin"/>
      </w:r>
      <w:r w:rsidR="00BC67B1">
        <w:instrText xml:space="preserve"> STYLEREF 1 \s </w:instrText>
      </w:r>
      <w:r w:rsidR="00BC67B1">
        <w:fldChar w:fldCharType="separate"/>
      </w:r>
      <w:r w:rsidR="00BC67B1">
        <w:rPr>
          <w:noProof/>
        </w:rPr>
        <w:t>14</w:t>
      </w:r>
      <w:r w:rsidR="00BC67B1">
        <w:rPr>
          <w:noProof/>
        </w:rPr>
        <w:fldChar w:fldCharType="end"/>
      </w:r>
      <w:proofErr w:type="gramStart"/>
      <w:r>
        <w:t>.</w:t>
      </w:r>
      <w:proofErr w:type="gramEnd"/>
      <w:r>
        <w:fldChar w:fldCharType="begin"/>
      </w:r>
      <w:r>
        <w:instrText xml:space="preserve"> SEQ Figure \* ARABIC \s 1 </w:instrText>
      </w:r>
      <w:r>
        <w:fldChar w:fldCharType="separate"/>
      </w:r>
      <w:r w:rsidR="00BC67B1">
        <w:rPr>
          <w:noProof/>
        </w:rPr>
        <w:t>1</w:t>
      </w:r>
      <w:r>
        <w:fldChar w:fldCharType="end"/>
      </w:r>
      <w:r>
        <w:tab/>
      </w:r>
      <w:r w:rsidRPr="0081277C">
        <w:t>Revenue cap formula</w:t>
      </w:r>
    </w:p>
    <w:p w:rsidR="00B3178E" w:rsidRDefault="00B3178E" w:rsidP="00B3178E">
      <w:pPr>
        <w:pStyle w:val="AERnumberedlistfirststyle"/>
      </w:pPr>
      <w:r w:rsidRPr="00B3178E">
        <w:object w:dxaOrig="2079" w:dyaOrig="700">
          <v:shape id="_x0000_i1026" type="#_x0000_t75" style="width:104.5pt;height:34.25pt" o:ole="">
            <v:imagedata r:id="rId13" o:title=""/>
          </v:shape>
          <o:OLEObject Type="Embed" ProgID="Equation.3" ShapeID="_x0000_i1026" DrawAspect="Content" ObjectID="_1478531552" r:id="rId14"/>
        </w:object>
      </w:r>
      <w:r>
        <w:tab/>
      </w:r>
      <w:r>
        <w:tab/>
      </w:r>
      <w:r>
        <w:tab/>
      </w:r>
      <w:proofErr w:type="spellStart"/>
      <w:r>
        <w:t>i</w:t>
      </w:r>
      <w:proofErr w:type="spellEnd"/>
      <w:r>
        <w:t>=1,...,n and j=1,...,m</w:t>
      </w:r>
      <w:r w:rsidRPr="00467655" w:rsidDel="00467655">
        <w:t xml:space="preserve"> </w:t>
      </w:r>
      <w:r>
        <w:t>and t=2,...,5</w:t>
      </w:r>
    </w:p>
    <w:p w:rsidR="00B3178E" w:rsidRDefault="00A15EEC" w:rsidP="00B3178E">
      <w:pPr>
        <w:pStyle w:val="AERnumberedlistfirststyle"/>
      </w:pPr>
      <w:r w:rsidRPr="00A15EEC">
        <w:rPr>
          <w:position w:val="-12"/>
        </w:rPr>
        <w:object w:dxaOrig="1660" w:dyaOrig="360">
          <v:shape id="_x0000_i1027" type="#_x0000_t75" style="width:83.4pt;height:18.45pt" o:ole="">
            <v:imagedata r:id="rId15" o:title=""/>
          </v:shape>
          <o:OLEObject Type="Embed" ProgID="Equation.3" ShapeID="_x0000_i1027" DrawAspect="Content" ObjectID="_1478531553" r:id="rId16"/>
        </w:object>
      </w:r>
      <w:r w:rsidR="00B3178E">
        <w:tab/>
      </w:r>
      <w:r w:rsidR="00B3178E">
        <w:tab/>
      </w:r>
    </w:p>
    <w:p w:rsidR="00B3178E" w:rsidRDefault="00B3178E" w:rsidP="00B3178E">
      <w:pPr>
        <w:pStyle w:val="AERnumberedlistfirststyle"/>
      </w:pPr>
      <w:r w:rsidRPr="00C502E6">
        <w:object w:dxaOrig="3760" w:dyaOrig="360">
          <v:shape id="_x0000_i1028" type="#_x0000_t75" style="width:187pt;height:18.45pt" o:ole="">
            <v:imagedata r:id="rId17" o:title=""/>
          </v:shape>
          <o:OLEObject Type="Embed" ProgID="Equation.3" ShapeID="_x0000_i1028" DrawAspect="Content" ObjectID="_1478531554" r:id="rId18"/>
        </w:object>
      </w:r>
    </w:p>
    <w:p w:rsidR="00B3178E" w:rsidRDefault="00B3178E" w:rsidP="00B3178E">
      <w:pPr>
        <w:pStyle w:val="AERbodytext"/>
      </w:pPr>
      <w:r>
        <w:t>Where:</w:t>
      </w:r>
    </w:p>
    <w:p w:rsidR="00B3178E" w:rsidRPr="002455D4" w:rsidRDefault="00B3178E" w:rsidP="00B3178E">
      <w:pPr>
        <w:pStyle w:val="AERbodytext"/>
        <w:rPr>
          <w:rStyle w:val="AERbody"/>
        </w:rPr>
      </w:pPr>
      <w:r w:rsidRPr="00C55ADD">
        <w:rPr>
          <w:rStyle w:val="AERbody"/>
        </w:rPr>
        <w:object w:dxaOrig="580" w:dyaOrig="360">
          <v:shape id="_x0000_i1029" type="#_x0000_t75" style="width:29pt;height:18.45pt" o:ole="">
            <v:imagedata r:id="rId19" o:title=""/>
          </v:shape>
          <o:OLEObject Type="Embed" ProgID="Equation.3" ShapeID="_x0000_i1029" DrawAspect="Content" ObjectID="_1478531555" r:id="rId20"/>
        </w:object>
      </w:r>
      <w:r>
        <w:rPr>
          <w:rStyle w:val="AERbody"/>
        </w:rPr>
        <w:tab/>
      </w:r>
      <w:proofErr w:type="gramStart"/>
      <w:r w:rsidRPr="002455D4">
        <w:rPr>
          <w:rStyle w:val="AERbody"/>
        </w:rPr>
        <w:t>is</w:t>
      </w:r>
      <w:proofErr w:type="gramEnd"/>
      <w:r w:rsidRPr="002455D4">
        <w:rPr>
          <w:rStyle w:val="AERbody"/>
        </w:rPr>
        <w:t xml:space="preserve"> </w:t>
      </w:r>
      <w:r>
        <w:rPr>
          <w:rStyle w:val="AERbody"/>
        </w:rPr>
        <w:t>annual revenue requirement</w:t>
      </w:r>
      <w:r w:rsidRPr="002455D4">
        <w:rPr>
          <w:rStyle w:val="AERbody"/>
        </w:rPr>
        <w:t xml:space="preserve"> in year </w:t>
      </w:r>
      <w:r w:rsidRPr="00BE39C1">
        <w:rPr>
          <w:rStyle w:val="AERtextitalic"/>
        </w:rPr>
        <w:t>t</w:t>
      </w:r>
      <w:r w:rsidRPr="002455D4">
        <w:rPr>
          <w:rStyle w:val="AERbody"/>
        </w:rPr>
        <w:t>.</w:t>
      </w:r>
    </w:p>
    <w:p w:rsidR="00B3178E" w:rsidRPr="002455D4" w:rsidRDefault="00B3178E" w:rsidP="00B3178E">
      <w:pPr>
        <w:pStyle w:val="AERbodytext"/>
        <w:rPr>
          <w:rStyle w:val="AERbody"/>
        </w:rPr>
      </w:pPr>
      <w:r w:rsidRPr="009B4F46">
        <w:rPr>
          <w:rStyle w:val="AERbody"/>
        </w:rPr>
        <w:object w:dxaOrig="340" w:dyaOrig="380">
          <v:shape id="_x0000_i1030" type="#_x0000_t75" style="width:16.7pt;height:19.3pt" o:ole="">
            <v:imagedata r:id="rId21" o:title=""/>
          </v:shape>
          <o:OLEObject Type="Embed" ProgID="Equation.3" ShapeID="_x0000_i1030" DrawAspect="Content" ObjectID="_1478531556" r:id="rId22"/>
        </w:object>
      </w:r>
      <w:r w:rsidRPr="002455D4">
        <w:rPr>
          <w:rStyle w:val="AERbody"/>
        </w:rPr>
        <w:tab/>
      </w:r>
      <w:proofErr w:type="gramStart"/>
      <w:r w:rsidRPr="002455D4">
        <w:rPr>
          <w:rStyle w:val="AERbody"/>
        </w:rPr>
        <w:t>is</w:t>
      </w:r>
      <w:proofErr w:type="gramEnd"/>
      <w:r w:rsidRPr="002455D4">
        <w:rPr>
          <w:rStyle w:val="AERbody"/>
        </w:rPr>
        <w:t xml:space="preserve"> the price of component </w:t>
      </w:r>
      <w:proofErr w:type="spellStart"/>
      <w:r w:rsidRPr="002455D4">
        <w:rPr>
          <w:rStyle w:val="AERbody"/>
        </w:rPr>
        <w:t>i</w:t>
      </w:r>
      <w:proofErr w:type="spellEnd"/>
      <w:r w:rsidRPr="002455D4">
        <w:rPr>
          <w:rStyle w:val="AERbody"/>
        </w:rPr>
        <w:t xml:space="preserve"> of tariff j in year t.</w:t>
      </w:r>
    </w:p>
    <w:p w:rsidR="00B3178E" w:rsidRPr="002455D4" w:rsidRDefault="00B3178E" w:rsidP="00B3178E">
      <w:pPr>
        <w:pStyle w:val="AERbodytext"/>
        <w:rPr>
          <w:rStyle w:val="AERbody"/>
        </w:rPr>
      </w:pPr>
      <w:r w:rsidRPr="009B4F46">
        <w:rPr>
          <w:rStyle w:val="AERbody"/>
        </w:rPr>
        <w:object w:dxaOrig="300" w:dyaOrig="380">
          <v:shape id="_x0000_i1031" type="#_x0000_t75" style="width:14.95pt;height:19.3pt" o:ole="">
            <v:imagedata r:id="rId23" o:title=""/>
          </v:shape>
          <o:OLEObject Type="Embed" ProgID="Equation.3" ShapeID="_x0000_i1031" DrawAspect="Content" ObjectID="_1478531557" r:id="rId24"/>
        </w:object>
      </w:r>
      <w:r w:rsidRPr="002455D4">
        <w:rPr>
          <w:rStyle w:val="AERbody"/>
        </w:rPr>
        <w:tab/>
      </w:r>
      <w:proofErr w:type="gramStart"/>
      <w:r w:rsidRPr="002455D4">
        <w:rPr>
          <w:rStyle w:val="AERbody"/>
        </w:rPr>
        <w:t>is</w:t>
      </w:r>
      <w:proofErr w:type="gramEnd"/>
      <w:r w:rsidRPr="002455D4">
        <w:rPr>
          <w:rStyle w:val="AERbody"/>
        </w:rPr>
        <w:t xml:space="preserve"> the quantity of component </w:t>
      </w:r>
      <w:proofErr w:type="spellStart"/>
      <w:r w:rsidRPr="002455D4">
        <w:rPr>
          <w:rStyle w:val="AERbody"/>
        </w:rPr>
        <w:t>i</w:t>
      </w:r>
      <w:proofErr w:type="spellEnd"/>
      <w:r w:rsidRPr="002455D4">
        <w:rPr>
          <w:rStyle w:val="AERbody"/>
        </w:rPr>
        <w:t xml:space="preserve"> of tariff j in year t.</w:t>
      </w:r>
    </w:p>
    <w:p w:rsidR="00B3178E" w:rsidRPr="001D1F63" w:rsidRDefault="00B3178E" w:rsidP="00B3178E">
      <w:pPr>
        <w:pStyle w:val="AERbodytext"/>
        <w:rPr>
          <w:rStyle w:val="AERbody"/>
        </w:rPr>
      </w:pPr>
      <w:r w:rsidRPr="00BE39C1">
        <w:rPr>
          <w:rStyle w:val="AERbody"/>
        </w:rPr>
        <w:object w:dxaOrig="440" w:dyaOrig="360">
          <v:shape id="_x0000_i1032" type="#_x0000_t75" style="width:21.95pt;height:18.45pt" o:ole="">
            <v:imagedata r:id="rId25" o:title=""/>
          </v:shape>
          <o:OLEObject Type="Embed" ProgID="Equation.3" ShapeID="_x0000_i1032" DrawAspect="Content" ObjectID="_1478531558" r:id="rId26"/>
        </w:object>
      </w:r>
      <w:r w:rsidRPr="002455D4">
        <w:rPr>
          <w:rStyle w:val="AERbody"/>
        </w:rPr>
        <w:tab/>
      </w:r>
      <w:proofErr w:type="gramStart"/>
      <w:r w:rsidRPr="001D1F63">
        <w:rPr>
          <w:rStyle w:val="AERbody"/>
        </w:rPr>
        <w:t>is</w:t>
      </w:r>
      <w:proofErr w:type="gramEnd"/>
      <w:r w:rsidRPr="001D1F63">
        <w:rPr>
          <w:rStyle w:val="AERbody"/>
        </w:rPr>
        <w:t xml:space="preserve"> the annual smoothed revenue requirement in the Post Tax Revenue Model for year t. Adjusted as necessary to account for any difference between actual inflation and estimated inflation.</w:t>
      </w:r>
    </w:p>
    <w:p w:rsidR="00B3178E" w:rsidRDefault="00C916CC" w:rsidP="00B3178E">
      <w:pPr>
        <w:pStyle w:val="AERbodytext"/>
        <w:rPr>
          <w:rStyle w:val="AERbody"/>
        </w:rPr>
      </w:pPr>
      <w:r w:rsidRPr="00E95A4A">
        <w:rPr>
          <w:rStyle w:val="AERbody"/>
        </w:rPr>
        <w:object w:dxaOrig="420" w:dyaOrig="380">
          <v:shape id="_x0000_i1033" type="#_x0000_t75" style="width:21.95pt;height:19.3pt" o:ole="">
            <v:imagedata r:id="rId27" o:title=""/>
          </v:shape>
          <o:OLEObject Type="Embed" ProgID="Equation.3" ShapeID="_x0000_i1033" DrawAspect="Content" ObjectID="_1478531559" r:id="rId28"/>
        </w:object>
      </w:r>
      <w:r w:rsidR="00B3178E">
        <w:rPr>
          <w:rStyle w:val="AERbody"/>
        </w:rPr>
        <w:tab/>
        <w:t>is:</w:t>
      </w:r>
    </w:p>
    <w:p w:rsidR="00B3178E" w:rsidRDefault="00B3178E" w:rsidP="00B3178E">
      <w:pPr>
        <w:pStyle w:val="AERnumberedlistsecondstyle"/>
        <w:rPr>
          <w:rStyle w:val="AERbody"/>
        </w:rPr>
      </w:pPr>
      <w:r w:rsidRPr="002455D4">
        <w:rPr>
          <w:rStyle w:val="AERbody"/>
        </w:rPr>
        <w:t xml:space="preserve">the approved pass through amounts </w:t>
      </w:r>
      <w:r>
        <w:rPr>
          <w:rStyle w:val="AERbody"/>
        </w:rPr>
        <w:t xml:space="preserve">(positive or negative) </w:t>
      </w:r>
      <w:r w:rsidRPr="002455D4">
        <w:rPr>
          <w:rStyle w:val="AERbody"/>
        </w:rPr>
        <w:t>with respect to regulatory year t, as determined by the AER</w:t>
      </w:r>
      <w:r>
        <w:rPr>
          <w:rStyle w:val="AERbody"/>
        </w:rPr>
        <w:t xml:space="preserve">, plus </w:t>
      </w:r>
    </w:p>
    <w:p w:rsidR="00B3178E" w:rsidRDefault="00B3178E" w:rsidP="00B3178E">
      <w:pPr>
        <w:pStyle w:val="AERnumberedlistsecondstyle"/>
        <w:rPr>
          <w:rStyle w:val="AERbody"/>
        </w:rPr>
      </w:pPr>
      <w:proofErr w:type="gramStart"/>
      <w:r>
        <w:rPr>
          <w:rStyle w:val="AERbody"/>
        </w:rPr>
        <w:t>the</w:t>
      </w:r>
      <w:proofErr w:type="gramEnd"/>
      <w:r>
        <w:rPr>
          <w:rStyle w:val="AERbody"/>
        </w:rPr>
        <w:t xml:space="preserve"> </w:t>
      </w:r>
      <w:r w:rsidRPr="000B28EE">
        <w:rPr>
          <w:rStyle w:val="AERbody"/>
        </w:rPr>
        <w:t xml:space="preserve">residual </w:t>
      </w:r>
      <w:r w:rsidR="00EC398C">
        <w:rPr>
          <w:rStyle w:val="AERbody"/>
        </w:rPr>
        <w:t>metering costs as defined in the metering attachment of this draft decision</w:t>
      </w:r>
      <w:r>
        <w:rPr>
          <w:rStyle w:val="AERbody"/>
        </w:rPr>
        <w:t>. This value is subjected to a tolerance limit as per section 1</w:t>
      </w:r>
      <w:r w:rsidR="0081277C">
        <w:rPr>
          <w:rStyle w:val="AERbody"/>
        </w:rPr>
        <w:t>4</w:t>
      </w:r>
      <w:r>
        <w:rPr>
          <w:rStyle w:val="AERbody"/>
        </w:rPr>
        <w:t>.</w:t>
      </w:r>
      <w:r w:rsidR="00FE7541">
        <w:rPr>
          <w:rStyle w:val="AERbody"/>
        </w:rPr>
        <w:t>5</w:t>
      </w:r>
      <w:r>
        <w:rPr>
          <w:rStyle w:val="AERbody"/>
        </w:rPr>
        <w:t xml:space="preserve"> above.</w:t>
      </w:r>
    </w:p>
    <w:p w:rsidR="00B3178E" w:rsidRDefault="00703755" w:rsidP="00B3178E">
      <w:pPr>
        <w:pStyle w:val="AERbodytext"/>
        <w:rPr>
          <w:rStyle w:val="AERbody"/>
        </w:rPr>
      </w:pPr>
      <w:r w:rsidRPr="00A678D9">
        <w:rPr>
          <w:rStyle w:val="AERbody"/>
        </w:rPr>
        <w:object w:dxaOrig="5679" w:dyaOrig="740">
          <v:shape id="_x0000_i1034" type="#_x0000_t75" style="width:4in;height:38.65pt" o:ole="">
            <v:imagedata r:id="rId29" o:title=""/>
          </v:shape>
          <o:OLEObject Type="Embed" ProgID="Equation.3" ShapeID="_x0000_i1034" DrawAspect="Content" ObjectID="_1478531560" r:id="rId30"/>
        </w:object>
      </w:r>
    </w:p>
    <w:p w:rsidR="00B3178E" w:rsidRPr="00B3178E" w:rsidRDefault="00B3178E" w:rsidP="00B3178E">
      <w:pPr>
        <w:pStyle w:val="AERbodytext"/>
        <w:rPr>
          <w:rStyle w:val="AERbody"/>
        </w:rPr>
      </w:pPr>
      <w:r w:rsidRPr="00B3178E">
        <w:rPr>
          <w:rStyle w:val="AERbody"/>
        </w:rPr>
        <w:object w:dxaOrig="560" w:dyaOrig="400">
          <v:shape id="_x0000_i1035" type="#_x0000_t75" style="width:27.2pt;height:21.05pt" o:ole="">
            <v:imagedata r:id="rId31" o:title=""/>
          </v:shape>
          <o:OLEObject Type="Embed" ProgID="Equation.3" ShapeID="_x0000_i1035" DrawAspect="Content" ObjectID="_1478531561" r:id="rId32"/>
        </w:object>
      </w:r>
      <w:r w:rsidRPr="00B3178E">
        <w:rPr>
          <w:rStyle w:val="AERbody"/>
        </w:rPr>
        <w:tab/>
      </w:r>
      <w:proofErr w:type="gramStart"/>
      <w:r w:rsidRPr="00B3178E">
        <w:rPr>
          <w:rStyle w:val="AERbody"/>
        </w:rPr>
        <w:t>means</w:t>
      </w:r>
      <w:proofErr w:type="gramEnd"/>
      <w:r w:rsidRPr="00B3178E">
        <w:rPr>
          <w:rStyle w:val="AERbody"/>
        </w:rPr>
        <w:t xml:space="preserve"> the all groups index number for the weighted average of eight capital cities as published by the ABS, or if the ABS does not or ceases to publish the index, then CPI will mean an index which the AER considers is the best estimate of the index.</w:t>
      </w:r>
    </w:p>
    <w:p w:rsidR="00B3178E" w:rsidRDefault="00B3178E" w:rsidP="00C26747">
      <w:pPr>
        <w:pStyle w:val="AERbodytext"/>
        <w:rPr>
          <w:rStyle w:val="AERbody"/>
        </w:rPr>
      </w:pPr>
      <w:r w:rsidRPr="00BE39C1">
        <w:rPr>
          <w:rStyle w:val="AERbody"/>
        </w:rPr>
        <w:object w:dxaOrig="360" w:dyaOrig="380">
          <v:shape id="_x0000_i1036" type="#_x0000_t75" style="width:18.45pt;height:19.3pt" o:ole="">
            <v:imagedata r:id="rId33" o:title=""/>
          </v:shape>
          <o:OLEObject Type="Embed" ProgID="Equation.3" ShapeID="_x0000_i1036" DrawAspect="Content" ObjectID="_1478531562" r:id="rId34"/>
        </w:object>
      </w:r>
      <w:r>
        <w:rPr>
          <w:rStyle w:val="AERbody"/>
        </w:rPr>
        <w:tab/>
      </w:r>
      <w:r w:rsidR="00C26747" w:rsidRPr="00C26747">
        <w:rPr>
          <w:rStyle w:val="AERbody"/>
        </w:rPr>
        <w:t>the smoothing factor determined in accordance with the PTRM as approved in the AER's final decision, and annually revised for the return on debt update in accordance with the formula specified in the return on debt appendix calculated fo</w:t>
      </w:r>
      <w:r w:rsidR="00C26747">
        <w:rPr>
          <w:rStyle w:val="AERbody"/>
        </w:rPr>
        <w:t>r the relevant year</w:t>
      </w:r>
    </w:p>
    <w:p w:rsidR="00B3178E" w:rsidRDefault="00B3178E" w:rsidP="00B3178E">
      <w:pPr>
        <w:pStyle w:val="AERbodytext"/>
        <w:rPr>
          <w:rStyle w:val="AERbody"/>
        </w:rPr>
      </w:pPr>
      <w:r w:rsidRPr="00112528">
        <w:rPr>
          <w:rStyle w:val="AERbody"/>
        </w:rPr>
        <w:object w:dxaOrig="300" w:dyaOrig="380">
          <v:shape id="_x0000_i1037" type="#_x0000_t75" style="width:14.95pt;height:19.3pt" o:ole="">
            <v:imagedata r:id="rId35" o:title=""/>
          </v:shape>
          <o:OLEObject Type="Embed" ProgID="Equation.3" ShapeID="_x0000_i1037" DrawAspect="Content" ObjectID="_1478531563" r:id="rId36"/>
        </w:object>
      </w:r>
      <w:r>
        <w:rPr>
          <w:rStyle w:val="AERbody"/>
        </w:rPr>
        <w:tab/>
      </w:r>
      <w:proofErr w:type="gramStart"/>
      <w:r w:rsidRPr="002455D4">
        <w:rPr>
          <w:rStyle w:val="AERbody"/>
        </w:rPr>
        <w:t>is</w:t>
      </w:r>
      <w:proofErr w:type="gramEnd"/>
      <w:r w:rsidRPr="002455D4">
        <w:rPr>
          <w:rStyle w:val="AERbody"/>
        </w:rPr>
        <w:t xml:space="preserve"> the </w:t>
      </w:r>
      <w:r>
        <w:rPr>
          <w:rStyle w:val="AERbody"/>
        </w:rPr>
        <w:t>S</w:t>
      </w:r>
      <w:r w:rsidR="00FE7541">
        <w:rPr>
          <w:rStyle w:val="AERbody"/>
        </w:rPr>
        <w:t>TPIS factor sum of the raw S</w:t>
      </w:r>
      <w:r>
        <w:rPr>
          <w:rStyle w:val="AERbody"/>
        </w:rPr>
        <w:t xml:space="preserve">-factors for all reliability of supply and customer service parameters (as applicable) to be applied in </w:t>
      </w:r>
      <w:r w:rsidRPr="002455D4">
        <w:rPr>
          <w:rStyle w:val="AERbody"/>
        </w:rPr>
        <w:t>year t.</w:t>
      </w:r>
      <w:r>
        <w:rPr>
          <w:rStyle w:val="FootnoteReference"/>
        </w:rPr>
        <w:footnoteReference w:id="23"/>
      </w:r>
      <w:r>
        <w:rPr>
          <w:rStyle w:val="AERbody"/>
        </w:rPr>
        <w:t xml:space="preserve"> </w:t>
      </w:r>
      <w:r w:rsidRPr="0096312C">
        <w:rPr>
          <w:rStyle w:val="AERbody"/>
        </w:rPr>
        <w:object w:dxaOrig="300" w:dyaOrig="380">
          <v:shape id="_x0000_i1038" type="#_x0000_t75" style="width:14.95pt;height:19.3pt" o:ole="">
            <v:imagedata r:id="rId37" o:title=""/>
          </v:shape>
          <o:OLEObject Type="Embed" ProgID="Equation.3" ShapeID="_x0000_i1038" DrawAspect="Content" ObjectID="_1478531564" r:id="rId38"/>
        </w:object>
      </w:r>
      <w:r>
        <w:rPr>
          <w:rStyle w:val="AERbody"/>
        </w:rPr>
        <w:t xml:space="preserve">for 2015 and 2016 are set at zero. </w:t>
      </w:r>
    </w:p>
    <w:p w:rsidR="0081277C" w:rsidRDefault="0081277C" w:rsidP="0081277C">
      <w:pPr>
        <w:pStyle w:val="Caption"/>
        <w:rPr>
          <w:rStyle w:val="AERbody"/>
        </w:rPr>
      </w:pPr>
      <w:proofErr w:type="gramStart"/>
      <w:r>
        <w:t xml:space="preserve">Figure </w:t>
      </w:r>
      <w:proofErr w:type="gramEnd"/>
      <w:r w:rsidR="00BC67B1">
        <w:fldChar w:fldCharType="begin"/>
      </w:r>
      <w:r w:rsidR="00BC67B1">
        <w:instrText xml:space="preserve"> STYLEREF 1 \s </w:instrText>
      </w:r>
      <w:r w:rsidR="00BC67B1">
        <w:fldChar w:fldCharType="separate"/>
      </w:r>
      <w:r w:rsidR="00BC67B1">
        <w:rPr>
          <w:noProof/>
        </w:rPr>
        <w:t>14</w:t>
      </w:r>
      <w:r w:rsidR="00BC67B1">
        <w:rPr>
          <w:noProof/>
        </w:rPr>
        <w:fldChar w:fldCharType="end"/>
      </w:r>
      <w:proofErr w:type="gramStart"/>
      <w:r>
        <w:t>.</w:t>
      </w:r>
      <w:proofErr w:type="gramEnd"/>
      <w:r>
        <w:fldChar w:fldCharType="begin"/>
      </w:r>
      <w:r>
        <w:instrText xml:space="preserve"> SEQ Figure \* ARABIC \s 1 </w:instrText>
      </w:r>
      <w:r>
        <w:fldChar w:fldCharType="separate"/>
      </w:r>
      <w:r w:rsidR="00BC67B1">
        <w:rPr>
          <w:noProof/>
        </w:rPr>
        <w:t>2</w:t>
      </w:r>
      <w:r>
        <w:fldChar w:fldCharType="end"/>
      </w:r>
      <w:r>
        <w:tab/>
      </w:r>
      <w:r w:rsidRPr="0081277C">
        <w:t>Side constraints</w:t>
      </w:r>
    </w:p>
    <w:p w:rsidR="00B3178E" w:rsidRDefault="00B3178E" w:rsidP="00B3178E">
      <w:pPr>
        <w:pStyle w:val="AERbodytext"/>
        <w:rPr>
          <w:rStyle w:val="AERbody"/>
        </w:rPr>
      </w:pPr>
      <w:r>
        <w:rPr>
          <w:rStyle w:val="AERbody"/>
        </w:rPr>
        <w:t xml:space="preserve">Endeavour Energy will </w:t>
      </w:r>
      <w:r w:rsidRPr="00F11595">
        <w:rPr>
          <w:rStyle w:val="AERbody"/>
        </w:rPr>
        <w:t>be required to demonstrate in its pr</w:t>
      </w:r>
      <w:r w:rsidR="00FE7541">
        <w:rPr>
          <w:rStyle w:val="AERbody"/>
        </w:rPr>
        <w:t>icing proposal that proposed DUo</w:t>
      </w:r>
      <w:r>
        <w:rPr>
          <w:rStyle w:val="AERbody"/>
        </w:rPr>
        <w:t>S</w:t>
      </w:r>
      <w:r w:rsidRPr="00F11595">
        <w:rPr>
          <w:rStyle w:val="AERbody"/>
        </w:rPr>
        <w:t xml:space="preserve"> </w:t>
      </w:r>
      <w:r w:rsidR="00FE7541">
        <w:rPr>
          <w:rStyle w:val="AERbody"/>
        </w:rPr>
        <w:t>tariffs</w:t>
      </w:r>
      <w:r w:rsidRPr="00F11595">
        <w:rPr>
          <w:rStyle w:val="AERbody"/>
        </w:rPr>
        <w:t xml:space="preserve"> for the next year (t) will meet the following side constraints formula (expressed in percentage terms) for each tariff class:</w:t>
      </w:r>
      <w:r>
        <w:rPr>
          <w:rStyle w:val="FootnoteReference"/>
        </w:rPr>
        <w:footnoteReference w:id="24"/>
      </w:r>
    </w:p>
    <w:p w:rsidR="00B3178E" w:rsidRPr="00301F4F" w:rsidRDefault="00B3178E" w:rsidP="00B3178E">
      <w:pPr>
        <w:pStyle w:val="AERbodytext"/>
        <w:rPr>
          <w:rStyle w:val="AERbody"/>
        </w:rPr>
      </w:pPr>
      <w:r w:rsidRPr="00C502E6">
        <w:object w:dxaOrig="6380" w:dyaOrig="1320">
          <v:shape id="_x0000_i1039" type="#_x0000_t75" style="width:317.85pt;height:66.75pt" o:ole="">
            <v:imagedata r:id="rId39" o:title=""/>
          </v:shape>
          <o:OLEObject Type="Embed" ProgID="Equation.3" ShapeID="_x0000_i1039" DrawAspect="Content" ObjectID="_1478531565" r:id="rId40"/>
        </w:object>
      </w:r>
    </w:p>
    <w:p w:rsidR="00B3178E" w:rsidRDefault="00B3178E" w:rsidP="00B3178E">
      <w:pPr>
        <w:pStyle w:val="AERbodytext"/>
      </w:pPr>
      <w:r w:rsidRPr="00E35E33">
        <w:t>where each tariff class ‘j’ has up to ‘m’ components, and where:</w:t>
      </w:r>
    </w:p>
    <w:p w:rsidR="00B3178E" w:rsidRPr="007B6699" w:rsidRDefault="00B3178E" w:rsidP="00B3178E">
      <w:r w:rsidRPr="003E5763">
        <w:rPr>
          <w:rStyle w:val="AERbody"/>
        </w:rPr>
        <w:object w:dxaOrig="300" w:dyaOrig="380">
          <v:shape id="_x0000_i1040" type="#_x0000_t75" style="width:14.95pt;height:19.3pt" o:ole="">
            <v:imagedata r:id="rId41" o:title=""/>
          </v:shape>
          <o:OLEObject Type="Embed" ProgID="Equation.3" ShapeID="_x0000_i1040" DrawAspect="Content" ObjectID="_1478531566" r:id="rId42"/>
        </w:object>
      </w:r>
      <w:r w:rsidRPr="007B6699">
        <w:t xml:space="preserve"> </w:t>
      </w:r>
      <w:r>
        <w:tab/>
      </w:r>
      <w:proofErr w:type="gramStart"/>
      <w:r w:rsidRPr="007B6699">
        <w:t>is</w:t>
      </w:r>
      <w:proofErr w:type="gramEnd"/>
      <w:r w:rsidRPr="007B6699">
        <w:t xml:space="preserve"> the proposed price for component ‘j’ of the tariff class for year t</w:t>
      </w:r>
    </w:p>
    <w:p w:rsidR="00B3178E" w:rsidRPr="007B6699" w:rsidRDefault="00B3178E" w:rsidP="00B3178E">
      <w:r w:rsidRPr="003E5763">
        <w:rPr>
          <w:rStyle w:val="AERbody"/>
        </w:rPr>
        <w:object w:dxaOrig="400" w:dyaOrig="380">
          <v:shape id="_x0000_i1041" type="#_x0000_t75" style="width:20.2pt;height:19.3pt" o:ole="">
            <v:imagedata r:id="rId43" o:title=""/>
          </v:shape>
          <o:OLEObject Type="Embed" ProgID="Equation.3" ShapeID="_x0000_i1041" DrawAspect="Content" ObjectID="_1478531567" r:id="rId44"/>
        </w:object>
      </w:r>
      <w:r>
        <w:rPr>
          <w:rStyle w:val="AERbody"/>
        </w:rPr>
        <w:tab/>
      </w:r>
      <w:r w:rsidRPr="007B6699">
        <w:t xml:space="preserve"> </w:t>
      </w:r>
      <w:proofErr w:type="gramStart"/>
      <w:r w:rsidRPr="007B6699">
        <w:t>is</w:t>
      </w:r>
      <w:proofErr w:type="gramEnd"/>
      <w:r w:rsidRPr="007B6699">
        <w:t xml:space="preserve"> the price charged by the </w:t>
      </w:r>
      <w:r>
        <w:t>Endeavour Energy</w:t>
      </w:r>
      <w:r w:rsidRPr="007B6699">
        <w:t xml:space="preserve"> for component ‘j’ of the tariff class in year t–1</w:t>
      </w:r>
    </w:p>
    <w:p w:rsidR="00B3178E" w:rsidRPr="007B6699" w:rsidRDefault="00B3178E" w:rsidP="00B3178E">
      <w:r w:rsidRPr="003E5763">
        <w:rPr>
          <w:rStyle w:val="AERbody"/>
        </w:rPr>
        <w:object w:dxaOrig="300" w:dyaOrig="380">
          <v:shape id="_x0000_i1042" type="#_x0000_t75" style="width:14.95pt;height:19.3pt" o:ole="">
            <v:imagedata r:id="rId45" o:title=""/>
          </v:shape>
          <o:OLEObject Type="Embed" ProgID="Equation.3" ShapeID="_x0000_i1042" DrawAspect="Content" ObjectID="_1478531568" r:id="rId46"/>
        </w:object>
      </w:r>
      <w:r w:rsidRPr="007B6699">
        <w:t xml:space="preserve"> </w:t>
      </w:r>
      <w:r>
        <w:tab/>
      </w:r>
      <w:proofErr w:type="gramStart"/>
      <w:r w:rsidRPr="007B6699">
        <w:t>is</w:t>
      </w:r>
      <w:proofErr w:type="gramEnd"/>
      <w:r w:rsidRPr="007B6699">
        <w:t xml:space="preserve"> the forecast quantity of component ‘j’ of the tariff class in year t</w:t>
      </w:r>
    </w:p>
    <w:p w:rsidR="00B3178E" w:rsidRDefault="00703755" w:rsidP="00B3178E">
      <w:pPr>
        <w:rPr>
          <w:rStyle w:val="AERbody"/>
        </w:rPr>
      </w:pPr>
      <w:r w:rsidRPr="00A678D9">
        <w:rPr>
          <w:rStyle w:val="AERbody"/>
        </w:rPr>
        <w:object w:dxaOrig="5679" w:dyaOrig="740">
          <v:shape id="_x0000_i1043" type="#_x0000_t75" style="width:4in;height:38.65pt" o:ole="">
            <v:imagedata r:id="rId47" o:title=""/>
          </v:shape>
          <o:OLEObject Type="Embed" ProgID="Equation.3" ShapeID="_x0000_i1043" DrawAspect="Content" ObjectID="_1478531569" r:id="rId48"/>
        </w:object>
      </w:r>
      <w:r w:rsidR="00B3178E">
        <w:rPr>
          <w:rStyle w:val="AERbody"/>
        </w:rPr>
        <w:tab/>
      </w:r>
    </w:p>
    <w:p w:rsidR="00B3178E" w:rsidRPr="00462227" w:rsidRDefault="00B3178E" w:rsidP="00B3178E">
      <w:pPr>
        <w:pStyle w:val="AERbodytext"/>
        <w:rPr>
          <w:rStyle w:val="AERbody"/>
        </w:rPr>
      </w:pPr>
      <w:r w:rsidRPr="00462227">
        <w:rPr>
          <w:rStyle w:val="AERbody"/>
        </w:rPr>
        <w:object w:dxaOrig="560" w:dyaOrig="400">
          <v:shape id="_x0000_i1044" type="#_x0000_t75" style="width:27.2pt;height:21.05pt" o:ole="">
            <v:imagedata r:id="rId31" o:title=""/>
          </v:shape>
          <o:OLEObject Type="Embed" ProgID="Equation.3" ShapeID="_x0000_i1044" DrawAspect="Content" ObjectID="_1478531570" r:id="rId49"/>
        </w:object>
      </w:r>
      <w:r w:rsidRPr="00462227">
        <w:rPr>
          <w:rStyle w:val="AERbody"/>
        </w:rPr>
        <w:tab/>
      </w:r>
      <w:proofErr w:type="gramStart"/>
      <w:r w:rsidRPr="00462227">
        <w:rPr>
          <w:rStyle w:val="AERbody"/>
        </w:rPr>
        <w:t>means</w:t>
      </w:r>
      <w:proofErr w:type="gramEnd"/>
      <w:r w:rsidRPr="00462227">
        <w:rPr>
          <w:rStyle w:val="AERbody"/>
        </w:rPr>
        <w:t xml:space="preserve"> the all groups index number for the weighted average of eight capital cities as published by the ABS, or if the ABS does not or ceases to publish the index, then CPI will mean an index which the AER considers is the best estimate of the index.</w:t>
      </w:r>
    </w:p>
    <w:p w:rsidR="00B3178E" w:rsidRDefault="00B3178E" w:rsidP="00B3178E">
      <w:r w:rsidRPr="007B6699">
        <w:rPr>
          <w:rStyle w:val="AERbody"/>
        </w:rPr>
        <w:object w:dxaOrig="320" w:dyaOrig="360">
          <v:shape id="_x0000_i1045" type="#_x0000_t75" style="width:16.7pt;height:18.45pt" o:ole="">
            <v:imagedata r:id="rId50" o:title=""/>
          </v:shape>
          <o:OLEObject Type="Embed" ProgID="Equation.3" ShapeID="_x0000_i1045" DrawAspect="Content" ObjectID="_1478531571" r:id="rId51"/>
        </w:object>
      </w:r>
      <w:r>
        <w:rPr>
          <w:rStyle w:val="AERbody"/>
        </w:rPr>
        <w:t xml:space="preserve"> </w:t>
      </w:r>
      <w:r>
        <w:rPr>
          <w:rStyle w:val="AERbody"/>
        </w:rPr>
        <w:tab/>
      </w:r>
      <w:proofErr w:type="gramStart"/>
      <w:r w:rsidR="00C26747" w:rsidRPr="00C26747">
        <w:t>the</w:t>
      </w:r>
      <w:proofErr w:type="gramEnd"/>
      <w:r w:rsidR="00C26747" w:rsidRPr="00C26747">
        <w:t xml:space="preserve"> smoothing factor determined in accordance with the PTRM as approved in the AER's final decision, and annually revised for the return on debt update in accordance with the formula specified in the return on debt appendix calculated f</w:t>
      </w:r>
      <w:r w:rsidR="00C26747">
        <w:t>or the relevant year</w:t>
      </w:r>
    </w:p>
    <w:p w:rsidR="00B3178E" w:rsidRPr="008C1EF7" w:rsidRDefault="00B3178E" w:rsidP="00B3178E">
      <w:pPr>
        <w:pStyle w:val="AERbodytext"/>
      </w:pPr>
      <w:r w:rsidRPr="00E67119">
        <w:rPr>
          <w:rStyle w:val="AERbody"/>
        </w:rPr>
        <w:object w:dxaOrig="400" w:dyaOrig="360">
          <v:shape id="_x0000_i1046" type="#_x0000_t75" style="width:20.2pt;height:18.45pt" o:ole="">
            <v:imagedata r:id="rId52" o:title=""/>
          </v:shape>
          <o:OLEObject Type="Embed" ProgID="Equation.3" ShapeID="_x0000_i1046" DrawAspect="Content" ObjectID="_1478531572" r:id="rId53"/>
        </w:object>
      </w:r>
      <w:r w:rsidRPr="008C1EF7">
        <w:t>is an annual adjustment factor that reflects the pass through amounts approved by the AER with respect to regulatory year t</w:t>
      </w:r>
    </w:p>
    <w:p w:rsidR="00B3178E" w:rsidRPr="007B6699" w:rsidRDefault="00B3178E" w:rsidP="00B3178E">
      <w:r w:rsidRPr="008A7EC8">
        <w:rPr>
          <w:rStyle w:val="AERbody"/>
        </w:rPr>
        <w:object w:dxaOrig="260" w:dyaOrig="360">
          <v:shape id="_x0000_i1047" type="#_x0000_t75" style="width:13.15pt;height:18.45pt" o:ole="">
            <v:imagedata r:id="rId54" o:title=""/>
          </v:shape>
          <o:OLEObject Type="Embed" ProgID="Equation.3" ShapeID="_x0000_i1047" DrawAspect="Content" ObjectID="_1478531573" r:id="rId55"/>
        </w:object>
      </w:r>
      <w:r>
        <w:rPr>
          <w:rStyle w:val="AERbody"/>
        </w:rPr>
        <w:tab/>
      </w:r>
      <w:proofErr w:type="gramStart"/>
      <w:r w:rsidRPr="002455D4">
        <w:rPr>
          <w:rStyle w:val="AERbody"/>
        </w:rPr>
        <w:t>is</w:t>
      </w:r>
      <w:proofErr w:type="gramEnd"/>
      <w:r w:rsidRPr="002455D4">
        <w:rPr>
          <w:rStyle w:val="AERbody"/>
        </w:rPr>
        <w:t xml:space="preserve"> the </w:t>
      </w:r>
      <w:r w:rsidR="00FE7541">
        <w:rPr>
          <w:rStyle w:val="AERbody"/>
        </w:rPr>
        <w:t>STPIS factor sum of the raw S</w:t>
      </w:r>
      <w:r>
        <w:rPr>
          <w:rStyle w:val="AERbody"/>
        </w:rPr>
        <w:t xml:space="preserve">-factors for all reliability of supply and customer service parameters (as applicable) to be applied in </w:t>
      </w:r>
      <w:r w:rsidRPr="002455D4">
        <w:rPr>
          <w:rStyle w:val="AERbody"/>
        </w:rPr>
        <w:t>year t.</w:t>
      </w:r>
      <w:r>
        <w:rPr>
          <w:rStyle w:val="FootnoteReference"/>
        </w:rPr>
        <w:footnoteReference w:id="25"/>
      </w:r>
      <w:r>
        <w:rPr>
          <w:rStyle w:val="AERbody"/>
        </w:rPr>
        <w:t xml:space="preserve"> </w:t>
      </w:r>
      <w:r w:rsidRPr="008A7EC8">
        <w:rPr>
          <w:rStyle w:val="AERbody"/>
        </w:rPr>
        <w:object w:dxaOrig="300" w:dyaOrig="380">
          <v:shape id="_x0000_i1048" type="#_x0000_t75" style="width:14.95pt;height:19.3pt" o:ole="">
            <v:imagedata r:id="rId56" o:title=""/>
          </v:shape>
          <o:OLEObject Type="Embed" ProgID="Equation.3" ShapeID="_x0000_i1048" DrawAspect="Content" ObjectID="_1478531574" r:id="rId57"/>
        </w:object>
      </w:r>
      <w:r>
        <w:rPr>
          <w:rStyle w:val="AERbody"/>
        </w:rPr>
        <w:t>for 2015 and 2016 are set at zero.</w:t>
      </w:r>
      <w:r>
        <w:t>.</w:t>
      </w:r>
    </w:p>
    <w:p w:rsidR="00B3178E" w:rsidRPr="007B6699" w:rsidRDefault="00B3178E" w:rsidP="00B3178E">
      <w:r w:rsidRPr="00E67119">
        <w:rPr>
          <w:rStyle w:val="AERbody"/>
        </w:rPr>
        <w:object w:dxaOrig="720" w:dyaOrig="360">
          <v:shape id="_x0000_i1049" type="#_x0000_t75" style="width:35.1pt;height:18.45pt" o:ole="">
            <v:imagedata r:id="rId58" o:title=""/>
          </v:shape>
          <o:OLEObject Type="Embed" ProgID="Equation.3" ShapeID="_x0000_i1049" DrawAspect="Content" ObjectID="_1478531575" r:id="rId59"/>
        </w:object>
      </w:r>
      <w:proofErr w:type="gramStart"/>
      <w:r w:rsidRPr="007B6699">
        <w:t>is</w:t>
      </w:r>
      <w:proofErr w:type="gramEnd"/>
      <w:r w:rsidRPr="007B6699">
        <w:t xml:space="preserve"> an annual adjustment factor r</w:t>
      </w:r>
      <w:r>
        <w:t>elated to the balance of the DUoS</w:t>
      </w:r>
      <w:r w:rsidRPr="007B6699">
        <w:t xml:space="preserve"> unders and overs account with respect to regulatory year t.</w:t>
      </w:r>
    </w:p>
    <w:p w:rsidR="00B3178E" w:rsidRPr="00BB2CCA" w:rsidRDefault="00B3178E" w:rsidP="00B3178E">
      <w:pPr>
        <w:pStyle w:val="AERbodytext"/>
        <w:rPr>
          <w:rStyle w:val="AERbody"/>
        </w:rPr>
      </w:pPr>
      <w:r w:rsidRPr="00BB2CCA">
        <w:rPr>
          <w:rStyle w:val="AERbody"/>
        </w:rPr>
        <w:t xml:space="preserve">With the exception of the CPI and X factors, the percentage for each of the other factors above can be calculated by dividing the incremental revenues (as used in the </w:t>
      </w:r>
      <w:r>
        <w:rPr>
          <w:rStyle w:val="AERbody"/>
        </w:rPr>
        <w:t>ARR</w:t>
      </w:r>
      <w:r w:rsidRPr="00BB2CCA">
        <w:rPr>
          <w:rStyle w:val="AERbody"/>
        </w:rPr>
        <w:t xml:space="preserve"> formula) for each factor by</w:t>
      </w:r>
      <w:r>
        <w:rPr>
          <w:rStyle w:val="AERbody"/>
        </w:rPr>
        <w:t xml:space="preserve"> </w:t>
      </w:r>
      <w:r w:rsidRPr="00BB2CCA">
        <w:rPr>
          <w:rStyle w:val="AERbody"/>
        </w:rPr>
        <w:t>the expected revenues for regulatory year t–1 (based on the prices in year</w:t>
      </w:r>
      <w:r>
        <w:rPr>
          <w:rStyle w:val="AERbody"/>
        </w:rPr>
        <w:t> </w:t>
      </w:r>
      <w:r w:rsidRPr="00BB2CCA">
        <w:rPr>
          <w:rStyle w:val="AERbody"/>
        </w:rPr>
        <w:t>t–1 multiplied by the forecast quantities for year t).</w:t>
      </w:r>
    </w:p>
    <w:p w:rsidR="00B3178E" w:rsidRPr="005E6780" w:rsidRDefault="00B3178E" w:rsidP="00B3178E">
      <w:pPr>
        <w:pStyle w:val="Heading7"/>
      </w:pPr>
      <w:bookmarkStart w:id="25" w:name="_Toc404616788"/>
      <w:r>
        <w:t>DUoS</w:t>
      </w:r>
      <w:r w:rsidRPr="005E6780">
        <w:t xml:space="preserve"> under</w:t>
      </w:r>
      <w:r>
        <w:t>s</w:t>
      </w:r>
      <w:r w:rsidRPr="005E6780">
        <w:t xml:space="preserve"> and over</w:t>
      </w:r>
      <w:r>
        <w:t>s</w:t>
      </w:r>
      <w:r w:rsidRPr="005E6780">
        <w:t xml:space="preserve"> </w:t>
      </w:r>
      <w:r>
        <w:t>account</w:t>
      </w:r>
      <w:bookmarkEnd w:id="25"/>
    </w:p>
    <w:p w:rsidR="00B3178E" w:rsidRPr="005E6780" w:rsidRDefault="00B3178E" w:rsidP="00B3178E">
      <w:pPr>
        <w:pStyle w:val="AERbodytext"/>
      </w:pPr>
      <w:r w:rsidRPr="005E6780">
        <w:t xml:space="preserve">To demonstrate compliance with its distribution determination in the </w:t>
      </w:r>
      <w:r w:rsidR="00FE7541">
        <w:t>2015–19 regulatory control</w:t>
      </w:r>
      <w:r w:rsidRPr="005E6780">
        <w:t xml:space="preserve"> </w:t>
      </w:r>
      <w:proofErr w:type="gramStart"/>
      <w:r w:rsidRPr="005E6780">
        <w:t>period</w:t>
      </w:r>
      <w:proofErr w:type="gramEnd"/>
      <w:r w:rsidRPr="005E6780">
        <w:t xml:space="preserve">, </w:t>
      </w:r>
      <w:r>
        <w:t>we</w:t>
      </w:r>
      <w:r w:rsidRPr="005E6780">
        <w:t xml:space="preserve"> require </w:t>
      </w:r>
      <w:r>
        <w:t>Endeavour Energy to maintain a DUoS</w:t>
      </w:r>
      <w:r w:rsidRPr="005E6780">
        <w:t xml:space="preserve"> unders and overs account. </w:t>
      </w:r>
      <w:r>
        <w:t xml:space="preserve">It </w:t>
      </w:r>
      <w:r w:rsidRPr="005E6780">
        <w:t xml:space="preserve">must provide information on this account to </w:t>
      </w:r>
      <w:r>
        <w:t>us in</w:t>
      </w:r>
      <w:r w:rsidRPr="005E6780">
        <w:t xml:space="preserve"> its annual pricing proposal.</w:t>
      </w:r>
      <w:r>
        <w:rPr>
          <w:rStyle w:val="FootnoteReference"/>
        </w:rPr>
        <w:footnoteReference w:id="26"/>
      </w:r>
      <w:r w:rsidRPr="005E6780">
        <w:t xml:space="preserve"> </w:t>
      </w:r>
    </w:p>
    <w:p w:rsidR="00B3178E" w:rsidRPr="005E6780" w:rsidRDefault="00B3178E" w:rsidP="00B3178E">
      <w:pPr>
        <w:pStyle w:val="AERbodytext"/>
      </w:pPr>
      <w:r>
        <w:t>Endeavour Energy</w:t>
      </w:r>
      <w:r w:rsidRPr="005E6780">
        <w:t xml:space="preserve"> must provide the amounts for the following entries in </w:t>
      </w:r>
      <w:r>
        <w:t>its</w:t>
      </w:r>
      <w:r w:rsidRPr="005E6780">
        <w:t xml:space="preserve"> </w:t>
      </w:r>
      <w:r>
        <w:t>DUoS</w:t>
      </w:r>
      <w:r w:rsidRPr="005E6780">
        <w:t xml:space="preserve"> unders and overs account for the most recently completed regulatory year (t-2), the current regulatory year (t-1) and the next regulatory year (t):</w:t>
      </w:r>
    </w:p>
    <w:p w:rsidR="00B3178E" w:rsidRPr="005E6780" w:rsidRDefault="00B3178E" w:rsidP="00B3178E">
      <w:pPr>
        <w:pStyle w:val="AERnumberedlistfirststyle"/>
      </w:pPr>
      <w:r w:rsidRPr="005E6780">
        <w:t xml:space="preserve">opening balance for year t-2, year t-1 and year t; </w:t>
      </w:r>
    </w:p>
    <w:p w:rsidR="00B3178E" w:rsidRPr="005E6780" w:rsidRDefault="00B3178E" w:rsidP="00B3178E">
      <w:pPr>
        <w:pStyle w:val="AERnumberedlistfirststyle"/>
      </w:pPr>
      <w:proofErr w:type="gramStart"/>
      <w:r w:rsidRPr="005E6780">
        <w:t>an</w:t>
      </w:r>
      <w:proofErr w:type="gramEnd"/>
      <w:r w:rsidRPr="005E6780">
        <w:t xml:space="preserve"> interest charge for one year on the opening balance in year t-2 and an interest charge for one year on the opening balance in year t-1. These adjustments are to be calculated using the approved nominal WACC. No such interest charge applies to the opening balance for year t;</w:t>
      </w:r>
    </w:p>
    <w:p w:rsidR="00B3178E" w:rsidRPr="005E6780" w:rsidRDefault="00B3178E" w:rsidP="00B3178E">
      <w:pPr>
        <w:pStyle w:val="AERnumberedlistfirststyle"/>
      </w:pPr>
      <w:r w:rsidRPr="005E6780">
        <w:t>the amou</w:t>
      </w:r>
      <w:r>
        <w:t>nt of revenue recovered from DUoS</w:t>
      </w:r>
      <w:r w:rsidRPr="005E6780">
        <w:t xml:space="preserve"> charges in respect of that year, less any under/over adjustments approved by the </w:t>
      </w:r>
      <w:r>
        <w:t>AER</w:t>
      </w:r>
      <w:r w:rsidRPr="005E6780">
        <w:t xml:space="preserve"> for year t-2 and year t1, less the </w:t>
      </w:r>
      <w:r>
        <w:t>ARR</w:t>
      </w:r>
      <w:r w:rsidRPr="005E6780">
        <w:t xml:space="preserve"> for the year in question;</w:t>
      </w:r>
    </w:p>
    <w:p w:rsidR="00B3178E" w:rsidRPr="005E6780" w:rsidRDefault="00B3178E" w:rsidP="00B3178E">
      <w:pPr>
        <w:pStyle w:val="AERnumberedlistfirststyle"/>
      </w:pPr>
      <w:proofErr w:type="gramStart"/>
      <w:r w:rsidRPr="005E6780">
        <w:t>an</w:t>
      </w:r>
      <w:proofErr w:type="gramEnd"/>
      <w:r w:rsidRPr="005E6780">
        <w:t xml:space="preserve"> interest charge for one year related to the net amounts in item 3 for year t-2 and an interest charge for one year for year t-1. These adjustments are to be calculated using the approved nominal WACC. No such charge applies to the net amount in item 2 for year t;</w:t>
      </w:r>
    </w:p>
    <w:p w:rsidR="00B3178E" w:rsidRPr="005E6780" w:rsidRDefault="00B3178E" w:rsidP="00B3178E">
      <w:pPr>
        <w:pStyle w:val="AERnumberedlistfirststyle"/>
      </w:pPr>
      <w:proofErr w:type="gramStart"/>
      <w:r w:rsidRPr="005E6780">
        <w:t>the</w:t>
      </w:r>
      <w:proofErr w:type="gramEnd"/>
      <w:r w:rsidRPr="005E6780">
        <w:t xml:space="preserve"> total of items 1-4 to derive the closing balance for each year.</w:t>
      </w:r>
    </w:p>
    <w:p w:rsidR="00B3178E" w:rsidRPr="005E6780" w:rsidRDefault="00B3178E" w:rsidP="00B3178E">
      <w:pPr>
        <w:pStyle w:val="AERbodytext"/>
      </w:pPr>
      <w:r>
        <w:t>Endeavour Energy</w:t>
      </w:r>
      <w:r w:rsidRPr="005E6780">
        <w:t xml:space="preserve"> must provide details of calculations in the format set out in </w:t>
      </w:r>
      <w:r w:rsidR="00D96230">
        <w:t>T</w:t>
      </w:r>
      <w:r w:rsidRPr="005E6780">
        <w:t xml:space="preserve">able </w:t>
      </w:r>
      <w:r>
        <w:t>A</w:t>
      </w:r>
      <w:r w:rsidR="00FF4F3B">
        <w:t>–</w:t>
      </w:r>
      <w:r>
        <w:t>1</w:t>
      </w:r>
      <w:r w:rsidRPr="005E6780">
        <w:t xml:space="preserve">. All of </w:t>
      </w:r>
      <w:r>
        <w:t>Endeavour Energy</w:t>
      </w:r>
      <w:r w:rsidRPr="005E6780">
        <w:t xml:space="preserve">'s approved revenue adjustments operate on a one year lag and are therefore to be </w:t>
      </w:r>
      <w:r>
        <w:t>entered in the DUoS</w:t>
      </w:r>
      <w:r w:rsidRPr="005E6780">
        <w:t xml:space="preserve"> unders and overs account inclusive o</w:t>
      </w:r>
      <w:r w:rsidR="00FE7541">
        <w:t>f a single year interest charge</w:t>
      </w:r>
      <w:r w:rsidRPr="005E6780">
        <w:t>. Amounts provided for the most recently completed regulatory year (t-2) must be audited. Amounts provided for the current regulatory year (t-1) will be regarded as an estimate. Amounts provided for the next regulatory year (t) will be regarded as a forecast.</w:t>
      </w:r>
      <w:r w:rsidR="00FE7541">
        <w:t xml:space="preserve"> This is normal regulatory practice.</w:t>
      </w:r>
    </w:p>
    <w:p w:rsidR="00B3178E" w:rsidRPr="00F4769B" w:rsidRDefault="00B3178E" w:rsidP="00B3178E">
      <w:pPr>
        <w:pStyle w:val="AERbodytext"/>
      </w:pPr>
      <w:r w:rsidRPr="005E6780">
        <w:t>In proposing variations to</w:t>
      </w:r>
      <w:r>
        <w:t xml:space="preserve"> the amount and structure of DUoS</w:t>
      </w:r>
      <w:r w:rsidRPr="005E6780">
        <w:t xml:space="preserve"> charges, </w:t>
      </w:r>
      <w:r>
        <w:t xml:space="preserve">Endeavour Energy </w:t>
      </w:r>
      <w:r w:rsidRPr="005E6780">
        <w:t xml:space="preserve">must attempt to achieve an expected zero balance on their </w:t>
      </w:r>
      <w:r>
        <w:t>DUoS</w:t>
      </w:r>
      <w:r w:rsidRPr="005E6780">
        <w:t xml:space="preserve"> unders and overs accounts in each forecast year in its annual pricing proposals in the </w:t>
      </w:r>
      <w:r>
        <w:t xml:space="preserve">2015–19 regulatory control period, </w:t>
      </w:r>
      <w:r w:rsidRPr="00F4769B">
        <w:t xml:space="preserve">unless </w:t>
      </w:r>
      <w:r>
        <w:t>it</w:t>
      </w:r>
      <w:r w:rsidRPr="00F4769B">
        <w:t xml:space="preserve"> can demonstrate for a given year that such an adjustment exceeds the agreed tolerance limits set out in this decision. In such circumstances, the balance at the end of the regulatory control period will reflect the amount by which the adjustment exceeded the first tolerance limit (that is, the amount by which the under/over adjustment exceeded </w:t>
      </w:r>
      <w:r>
        <w:t>two</w:t>
      </w:r>
      <w:r w:rsidRPr="00F4769B">
        <w:t xml:space="preserve"> per cent of </w:t>
      </w:r>
      <w:r>
        <w:t>Endeavour Energy</w:t>
      </w:r>
      <w:r w:rsidRPr="00F4769B">
        <w:t xml:space="preserve">’s </w:t>
      </w:r>
      <w:r>
        <w:t>ARR</w:t>
      </w:r>
      <w:r w:rsidRPr="00F4769B">
        <w:t xml:space="preserve"> for year t</w:t>
      </w:r>
      <w:r>
        <w:t>)</w:t>
      </w:r>
      <w:r w:rsidRPr="00F4769B">
        <w:t>.</w:t>
      </w:r>
      <w:r w:rsidR="00863E2F">
        <w:t xml:space="preserve"> That amount is to be cleared completely the following year. This has the effect of smoothing/delaying pr</w:t>
      </w:r>
      <w:r w:rsidR="005D4BC1">
        <w:t>i</w:t>
      </w:r>
      <w:r w:rsidR="00863E2F">
        <w:t>ce changes for year one only. This guarantees end use customers do not face substantial price shocks many years after an unders or overs recovery was recorded.</w:t>
      </w:r>
    </w:p>
    <w:p w:rsidR="00B3178E" w:rsidRDefault="00B3178E" w:rsidP="00B3178E">
      <w:pPr>
        <w:pStyle w:val="AERbodytext"/>
      </w:pPr>
      <w:r w:rsidRPr="005E6780">
        <w:t xml:space="preserve">The proposed prices for year t are based on the sum of the </w:t>
      </w:r>
      <w:r>
        <w:t>ARR</w:t>
      </w:r>
      <w:r w:rsidRPr="005E6780">
        <w:t xml:space="preserve"> for ye</w:t>
      </w:r>
      <w:r>
        <w:t>ar t plus any adjustment for DUoS</w:t>
      </w:r>
      <w:r w:rsidRPr="005E6780">
        <w:t xml:space="preserve"> under or over recoveries.</w:t>
      </w:r>
    </w:p>
    <w:p w:rsidR="00B3178E" w:rsidRDefault="00B3178E" w:rsidP="00B3178E">
      <w:pPr>
        <w:pStyle w:val="AERbodytext"/>
      </w:pPr>
    </w:p>
    <w:p w:rsidR="00B3178E" w:rsidRDefault="00B3178E" w:rsidP="00B3178E">
      <w:pPr>
        <w:pStyle w:val="AERbodytext"/>
      </w:pPr>
    </w:p>
    <w:p w:rsidR="00B3178E" w:rsidRPr="001D1F63" w:rsidRDefault="00B3178E" w:rsidP="00B3178E">
      <w:pPr>
        <w:rPr>
          <w:rStyle w:val="AERtextbold"/>
        </w:rPr>
      </w:pPr>
      <w:r>
        <w:rPr>
          <w:rStyle w:val="AERtextbold"/>
        </w:rPr>
        <w:t>A</w:t>
      </w:r>
      <w:r w:rsidR="00FF4F3B">
        <w:rPr>
          <w:rStyle w:val="AERtextbold"/>
        </w:rPr>
        <w:t>–</w:t>
      </w:r>
      <w:r>
        <w:rPr>
          <w:rStyle w:val="AERtextbold"/>
        </w:rPr>
        <w:t>1</w:t>
      </w:r>
      <w:r>
        <w:rPr>
          <w:rStyle w:val="AERtextbold"/>
        </w:rPr>
        <w:tab/>
      </w:r>
      <w:r w:rsidR="009F78B3">
        <w:rPr>
          <w:rStyle w:val="AERtextbold"/>
        </w:rPr>
        <w:t>Example calculation of DUo</w:t>
      </w:r>
      <w:r w:rsidRPr="001D1F63">
        <w:rPr>
          <w:rStyle w:val="AERtextbold"/>
        </w:rPr>
        <w:t>S unders and overs account ($000, nominal)</w:t>
      </w:r>
    </w:p>
    <w:tbl>
      <w:tblPr>
        <w:tblStyle w:val="AERtable-text"/>
        <w:tblW w:w="5000" w:type="pct"/>
        <w:tblLook w:val="04A0" w:firstRow="1" w:lastRow="0" w:firstColumn="1" w:lastColumn="0" w:noHBand="0" w:noVBand="1"/>
      </w:tblPr>
      <w:tblGrid>
        <w:gridCol w:w="5000"/>
        <w:gridCol w:w="1414"/>
        <w:gridCol w:w="1414"/>
        <w:gridCol w:w="1414"/>
      </w:tblGrid>
      <w:tr w:rsidR="00B3178E" w:rsidTr="0055520E">
        <w:trPr>
          <w:cnfStyle w:val="100000000000" w:firstRow="1" w:lastRow="0" w:firstColumn="0" w:lastColumn="0" w:oddVBand="0" w:evenVBand="0" w:oddHBand="0" w:evenHBand="0" w:firstRowFirstColumn="0" w:firstRowLastColumn="0" w:lastRowFirstColumn="0" w:lastRowLastColumn="0"/>
        </w:trPr>
        <w:tc>
          <w:tcPr>
            <w:tcW w:w="2705" w:type="pct"/>
          </w:tcPr>
          <w:p w:rsidR="00B3178E" w:rsidRPr="00C366E5" w:rsidRDefault="00B3178E" w:rsidP="00B3178E">
            <w:pPr>
              <w:pStyle w:val="AERbodytext"/>
            </w:pPr>
          </w:p>
        </w:tc>
        <w:tc>
          <w:tcPr>
            <w:tcW w:w="765" w:type="pct"/>
            <w:vAlign w:val="top"/>
          </w:tcPr>
          <w:p w:rsidR="00B3178E" w:rsidRPr="00B3178E" w:rsidRDefault="00B3178E" w:rsidP="00B3178E">
            <w:pPr>
              <w:pStyle w:val="AERtabletextright"/>
            </w:pPr>
            <w:r>
              <w:t>Y</w:t>
            </w:r>
            <w:r w:rsidRPr="00B3178E">
              <w:t>ear t–2 (actual)</w:t>
            </w:r>
          </w:p>
        </w:tc>
        <w:tc>
          <w:tcPr>
            <w:tcW w:w="765" w:type="pct"/>
            <w:vAlign w:val="top"/>
          </w:tcPr>
          <w:p w:rsidR="00B3178E" w:rsidRPr="00B3178E" w:rsidRDefault="00B3178E" w:rsidP="00B3178E">
            <w:pPr>
              <w:pStyle w:val="AERtabletextright"/>
            </w:pPr>
            <w:r>
              <w:t>Y</w:t>
            </w:r>
            <w:r w:rsidRPr="00B3178E">
              <w:t>ear t-1 (estimate)</w:t>
            </w:r>
          </w:p>
        </w:tc>
        <w:tc>
          <w:tcPr>
            <w:tcW w:w="765" w:type="pct"/>
            <w:vAlign w:val="top"/>
          </w:tcPr>
          <w:p w:rsidR="00B3178E" w:rsidRPr="00B3178E" w:rsidRDefault="00B3178E" w:rsidP="00B3178E">
            <w:pPr>
              <w:pStyle w:val="AERtabletextright"/>
            </w:pPr>
            <w:r>
              <w:t>Y</w:t>
            </w:r>
            <w:r w:rsidRPr="00B3178E">
              <w:t xml:space="preserve">ear </w:t>
            </w:r>
            <w:proofErr w:type="spellStart"/>
            <w:r w:rsidRPr="00B3178E">
              <w:t>t</w:t>
            </w:r>
            <w:proofErr w:type="spellEnd"/>
            <w:r w:rsidRPr="00B3178E">
              <w:t xml:space="preserve"> (forecast)</w:t>
            </w:r>
          </w:p>
        </w:tc>
      </w:tr>
      <w:tr w:rsidR="00B3178E" w:rsidTr="0055520E">
        <w:trPr>
          <w:trHeight w:val="373"/>
        </w:trPr>
        <w:tc>
          <w:tcPr>
            <w:tcW w:w="2705" w:type="pct"/>
            <w:vAlign w:val="top"/>
          </w:tcPr>
          <w:p w:rsidR="00B3178E" w:rsidRPr="00B3178E" w:rsidRDefault="00863E2F" w:rsidP="00B3178E">
            <w:pPr>
              <w:pStyle w:val="AERtabletextleft"/>
            </w:pPr>
            <w:r>
              <w:t>Revenue from DUo</w:t>
            </w:r>
            <w:r w:rsidR="00B3178E" w:rsidRPr="00F60FD3">
              <w:t>S charges</w:t>
            </w:r>
          </w:p>
        </w:tc>
        <w:tc>
          <w:tcPr>
            <w:tcW w:w="765" w:type="pct"/>
            <w:vAlign w:val="top"/>
          </w:tcPr>
          <w:p w:rsidR="00B3178E" w:rsidRPr="00B3178E" w:rsidRDefault="00B3178E" w:rsidP="00B3178E">
            <w:pPr>
              <w:pStyle w:val="AERtabletextright"/>
            </w:pPr>
            <w:r w:rsidRPr="00F60FD3">
              <w:t>46,779</w:t>
            </w:r>
          </w:p>
        </w:tc>
        <w:tc>
          <w:tcPr>
            <w:tcW w:w="765" w:type="pct"/>
            <w:vAlign w:val="top"/>
          </w:tcPr>
          <w:p w:rsidR="00B3178E" w:rsidRPr="00B3178E" w:rsidRDefault="00B3178E" w:rsidP="00B3178E">
            <w:pPr>
              <w:pStyle w:val="AERtabletextright"/>
            </w:pPr>
            <w:r w:rsidRPr="00F60FD3">
              <w:t>37,297</w:t>
            </w:r>
          </w:p>
        </w:tc>
        <w:tc>
          <w:tcPr>
            <w:tcW w:w="765" w:type="pct"/>
            <w:vAlign w:val="top"/>
          </w:tcPr>
          <w:p w:rsidR="00B3178E" w:rsidRPr="00B3178E" w:rsidRDefault="00B3178E" w:rsidP="00B3178E">
            <w:pPr>
              <w:pStyle w:val="AERtabletextright"/>
            </w:pPr>
            <w:r w:rsidRPr="00F60FD3">
              <w:t>60,518</w:t>
            </w:r>
          </w:p>
        </w:tc>
      </w:tr>
      <w:tr w:rsidR="00B3178E" w:rsidTr="0055520E">
        <w:trPr>
          <w:cnfStyle w:val="000000010000" w:firstRow="0" w:lastRow="0" w:firstColumn="0" w:lastColumn="0" w:oddVBand="0" w:evenVBand="0" w:oddHBand="0" w:evenHBand="1" w:firstRowFirstColumn="0" w:firstRowLastColumn="0" w:lastRowFirstColumn="0" w:lastRowLastColumn="0"/>
          <w:trHeight w:val="373"/>
        </w:trPr>
        <w:tc>
          <w:tcPr>
            <w:tcW w:w="2705" w:type="pct"/>
            <w:vAlign w:val="top"/>
          </w:tcPr>
          <w:p w:rsidR="00B3178E" w:rsidRPr="00B3178E" w:rsidRDefault="00B3178E" w:rsidP="00B3178E">
            <w:pPr>
              <w:pStyle w:val="AERtabletextleft"/>
            </w:pPr>
            <w:r w:rsidRPr="002C46DB">
              <w:t xml:space="preserve">Less under/over adjustment approved by the regulator </w:t>
            </w:r>
            <w:r w:rsidRPr="00B3178E">
              <w:t>for year t–2</w:t>
            </w:r>
          </w:p>
        </w:tc>
        <w:tc>
          <w:tcPr>
            <w:tcW w:w="765" w:type="pct"/>
            <w:vAlign w:val="top"/>
          </w:tcPr>
          <w:p w:rsidR="00B3178E" w:rsidRPr="00B3178E" w:rsidRDefault="00B3178E" w:rsidP="00B3178E">
            <w:pPr>
              <w:pStyle w:val="AERtabletextright"/>
            </w:pPr>
            <w:r>
              <w:t>800</w:t>
            </w:r>
            <w:r w:rsidRPr="00B3178E">
              <w:rPr>
                <w:rStyle w:val="AERsuperscript"/>
              </w:rPr>
              <w:t xml:space="preserve"> a</w:t>
            </w:r>
          </w:p>
        </w:tc>
        <w:tc>
          <w:tcPr>
            <w:tcW w:w="765" w:type="pct"/>
            <w:vAlign w:val="top"/>
          </w:tcPr>
          <w:p w:rsidR="00B3178E" w:rsidRPr="00C366E5" w:rsidRDefault="00B3178E" w:rsidP="00B3178E">
            <w:pPr>
              <w:pStyle w:val="AERtabletextright"/>
            </w:pPr>
          </w:p>
        </w:tc>
        <w:tc>
          <w:tcPr>
            <w:tcW w:w="765" w:type="pct"/>
            <w:vAlign w:val="top"/>
          </w:tcPr>
          <w:p w:rsidR="00B3178E" w:rsidRDefault="00B3178E" w:rsidP="00B3178E">
            <w:pPr>
              <w:pStyle w:val="AERtabletextright"/>
            </w:pPr>
          </w:p>
        </w:tc>
      </w:tr>
      <w:tr w:rsidR="00B3178E" w:rsidTr="0055520E">
        <w:tc>
          <w:tcPr>
            <w:tcW w:w="2705" w:type="pct"/>
            <w:vAlign w:val="top"/>
          </w:tcPr>
          <w:p w:rsidR="00B3178E" w:rsidRPr="00B3178E" w:rsidRDefault="00B3178E" w:rsidP="00B3178E">
            <w:pPr>
              <w:pStyle w:val="AERtabletextleft"/>
            </w:pPr>
            <w:r w:rsidRPr="00F60FD3">
              <w:t>Less A</w:t>
            </w:r>
            <w:r w:rsidRPr="00B3178E">
              <w:t>RR for the relevant year</w:t>
            </w:r>
          </w:p>
        </w:tc>
        <w:tc>
          <w:tcPr>
            <w:tcW w:w="765" w:type="pct"/>
            <w:vAlign w:val="top"/>
          </w:tcPr>
          <w:p w:rsidR="00B3178E" w:rsidRPr="00B3178E" w:rsidRDefault="00B3178E" w:rsidP="00B3178E">
            <w:pPr>
              <w:pStyle w:val="AERtabletextright"/>
            </w:pPr>
            <w:r w:rsidRPr="00F60FD3">
              <w:t>43,039</w:t>
            </w:r>
          </w:p>
        </w:tc>
        <w:tc>
          <w:tcPr>
            <w:tcW w:w="765" w:type="pct"/>
            <w:vAlign w:val="top"/>
          </w:tcPr>
          <w:p w:rsidR="00B3178E" w:rsidRPr="00B3178E" w:rsidRDefault="00B3178E" w:rsidP="00B3178E">
            <w:pPr>
              <w:pStyle w:val="AERtabletextright"/>
            </w:pPr>
            <w:r w:rsidRPr="00F60FD3">
              <w:t>43,012</w:t>
            </w:r>
          </w:p>
        </w:tc>
        <w:tc>
          <w:tcPr>
            <w:tcW w:w="765" w:type="pct"/>
            <w:vAlign w:val="top"/>
          </w:tcPr>
          <w:p w:rsidR="00B3178E" w:rsidRPr="00B3178E" w:rsidRDefault="00B3178E" w:rsidP="00B3178E">
            <w:pPr>
              <w:pStyle w:val="AERtabletextright"/>
            </w:pPr>
            <w:r w:rsidRPr="00F60FD3">
              <w:t>59,927</w:t>
            </w:r>
          </w:p>
        </w:tc>
      </w:tr>
      <w:tr w:rsidR="00B3178E" w:rsidTr="0055520E">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B3178E" w:rsidRPr="00B3178E" w:rsidRDefault="00B3178E" w:rsidP="00B3178E">
            <w:pPr>
              <w:pStyle w:val="AERtabletextleft"/>
            </w:pPr>
            <w:r>
              <w:t>Smooth</w:t>
            </w:r>
            <w:r w:rsidRPr="00B3178E">
              <w:t xml:space="preserve"> revenues (</w:t>
            </w:r>
            <w:proofErr w:type="spellStart"/>
            <w:r w:rsidRPr="00B3178E">
              <w:t>ARt</w:t>
            </w:r>
            <w:proofErr w:type="spellEnd"/>
            <w:r w:rsidRPr="00B3178E">
              <w:t>)</w:t>
            </w:r>
          </w:p>
        </w:tc>
        <w:tc>
          <w:tcPr>
            <w:tcW w:w="765" w:type="pct"/>
            <w:vAlign w:val="top"/>
          </w:tcPr>
          <w:p w:rsidR="00B3178E" w:rsidRPr="00B3178E" w:rsidRDefault="00B3178E" w:rsidP="00B3178E">
            <w:pPr>
              <w:pStyle w:val="AERtabletextright"/>
            </w:pPr>
            <w:r w:rsidRPr="00F60FD3">
              <w:t>43,039</w:t>
            </w:r>
          </w:p>
        </w:tc>
        <w:tc>
          <w:tcPr>
            <w:tcW w:w="765" w:type="pct"/>
            <w:vAlign w:val="top"/>
          </w:tcPr>
          <w:p w:rsidR="00B3178E" w:rsidRPr="00B3178E" w:rsidRDefault="00B3178E" w:rsidP="00B3178E">
            <w:pPr>
              <w:pStyle w:val="AERtabletextright"/>
            </w:pPr>
            <w:r w:rsidRPr="00F60FD3">
              <w:t>43,010</w:t>
            </w:r>
          </w:p>
        </w:tc>
        <w:tc>
          <w:tcPr>
            <w:tcW w:w="765" w:type="pct"/>
            <w:vAlign w:val="top"/>
          </w:tcPr>
          <w:p w:rsidR="00B3178E" w:rsidRPr="00B3178E" w:rsidRDefault="00B3178E" w:rsidP="00B3178E">
            <w:pPr>
              <w:pStyle w:val="AERtabletextright"/>
            </w:pPr>
            <w:r w:rsidRPr="00F60FD3">
              <w:t>59,913</w:t>
            </w:r>
          </w:p>
        </w:tc>
      </w:tr>
      <w:tr w:rsidR="00B3178E" w:rsidTr="0055520E">
        <w:tc>
          <w:tcPr>
            <w:tcW w:w="2705" w:type="pct"/>
            <w:vAlign w:val="top"/>
          </w:tcPr>
          <w:p w:rsidR="00B3178E" w:rsidRPr="00B3178E" w:rsidRDefault="00B3178E" w:rsidP="00B3178E">
            <w:r w:rsidRPr="00F60FD3">
              <w:t xml:space="preserve">     Approved pass throughs (pass through)</w:t>
            </w:r>
          </w:p>
        </w:tc>
        <w:tc>
          <w:tcPr>
            <w:tcW w:w="765" w:type="pct"/>
            <w:vAlign w:val="top"/>
          </w:tcPr>
          <w:p w:rsidR="00B3178E" w:rsidRPr="00B3178E" w:rsidRDefault="00B3178E" w:rsidP="00B3178E">
            <w:pPr>
              <w:pStyle w:val="AERtabletextright"/>
            </w:pPr>
            <w:r w:rsidRPr="00F60FD3">
              <w:t>0</w:t>
            </w:r>
          </w:p>
        </w:tc>
        <w:tc>
          <w:tcPr>
            <w:tcW w:w="765" w:type="pct"/>
            <w:vAlign w:val="top"/>
          </w:tcPr>
          <w:p w:rsidR="00B3178E" w:rsidRPr="00B3178E" w:rsidRDefault="00B3178E" w:rsidP="00B3178E">
            <w:pPr>
              <w:pStyle w:val="AERtabletextright"/>
            </w:pPr>
            <w:r w:rsidRPr="00F60FD3">
              <w:t>2</w:t>
            </w:r>
          </w:p>
        </w:tc>
        <w:tc>
          <w:tcPr>
            <w:tcW w:w="765" w:type="pct"/>
            <w:vAlign w:val="top"/>
          </w:tcPr>
          <w:p w:rsidR="00B3178E" w:rsidRPr="00B3178E" w:rsidRDefault="00B3178E" w:rsidP="00B3178E">
            <w:pPr>
              <w:pStyle w:val="AERtabletextright"/>
            </w:pPr>
            <w:r w:rsidRPr="00F60FD3">
              <w:t>14</w:t>
            </w:r>
          </w:p>
        </w:tc>
      </w:tr>
      <w:tr w:rsidR="00B3178E" w:rsidTr="0055520E">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B3178E" w:rsidRPr="00B3178E" w:rsidRDefault="00B3178E" w:rsidP="00B3178E">
            <w:r w:rsidRPr="00F60FD3">
              <w:t>Under/over recovery for regulatory year</w:t>
            </w:r>
          </w:p>
        </w:tc>
        <w:tc>
          <w:tcPr>
            <w:tcW w:w="765" w:type="pct"/>
            <w:vAlign w:val="top"/>
          </w:tcPr>
          <w:p w:rsidR="00B3178E" w:rsidRPr="00B3178E" w:rsidRDefault="00B3178E" w:rsidP="00B3178E">
            <w:pPr>
              <w:pStyle w:val="AERtabletextright"/>
            </w:pPr>
            <w:r w:rsidRPr="00F60FD3">
              <w:t>2,940</w:t>
            </w:r>
          </w:p>
        </w:tc>
        <w:tc>
          <w:tcPr>
            <w:tcW w:w="765" w:type="pct"/>
            <w:vAlign w:val="top"/>
          </w:tcPr>
          <w:p w:rsidR="00B3178E" w:rsidRPr="00B3178E" w:rsidRDefault="00B3178E" w:rsidP="00B3178E">
            <w:pPr>
              <w:pStyle w:val="AERtabletextright"/>
            </w:pPr>
            <w:r w:rsidRPr="00F60FD3">
              <w:t>-5,715</w:t>
            </w:r>
          </w:p>
        </w:tc>
        <w:tc>
          <w:tcPr>
            <w:tcW w:w="765" w:type="pct"/>
            <w:vAlign w:val="top"/>
          </w:tcPr>
          <w:p w:rsidR="00B3178E" w:rsidRPr="00B3178E" w:rsidRDefault="00B3178E" w:rsidP="00B3178E">
            <w:pPr>
              <w:pStyle w:val="AERtabletextright"/>
            </w:pPr>
            <w:r w:rsidRPr="00F60FD3">
              <w:t>591</w:t>
            </w:r>
          </w:p>
        </w:tc>
      </w:tr>
      <w:tr w:rsidR="00B3178E" w:rsidTr="0055520E">
        <w:tc>
          <w:tcPr>
            <w:tcW w:w="2705" w:type="pct"/>
            <w:vAlign w:val="top"/>
          </w:tcPr>
          <w:p w:rsidR="00B3178E" w:rsidRPr="00B3178E" w:rsidRDefault="00B3178E" w:rsidP="00B3178E">
            <w:r>
              <w:t>DU</w:t>
            </w:r>
            <w:r w:rsidR="002C0B83">
              <w:t>o</w:t>
            </w:r>
            <w:r>
              <w:t>S</w:t>
            </w:r>
            <w:r w:rsidRPr="00B3178E">
              <w:t xml:space="preserve"> unders and overs account</w:t>
            </w:r>
          </w:p>
        </w:tc>
        <w:tc>
          <w:tcPr>
            <w:tcW w:w="765" w:type="pct"/>
            <w:vAlign w:val="top"/>
          </w:tcPr>
          <w:p w:rsidR="00B3178E" w:rsidRPr="00534888" w:rsidRDefault="00B3178E" w:rsidP="00B3178E">
            <w:pPr>
              <w:pStyle w:val="AERtabletextright"/>
            </w:pPr>
          </w:p>
        </w:tc>
        <w:tc>
          <w:tcPr>
            <w:tcW w:w="765" w:type="pct"/>
            <w:vAlign w:val="top"/>
          </w:tcPr>
          <w:p w:rsidR="00B3178E" w:rsidRPr="00534888" w:rsidRDefault="00B3178E" w:rsidP="00B3178E">
            <w:pPr>
              <w:pStyle w:val="AERtabletextright"/>
            </w:pPr>
          </w:p>
        </w:tc>
        <w:tc>
          <w:tcPr>
            <w:tcW w:w="765" w:type="pct"/>
            <w:vAlign w:val="top"/>
          </w:tcPr>
          <w:p w:rsidR="00B3178E" w:rsidRPr="00534888" w:rsidRDefault="00B3178E" w:rsidP="00B3178E">
            <w:pPr>
              <w:pStyle w:val="AERtabletextright"/>
            </w:pPr>
          </w:p>
        </w:tc>
      </w:tr>
      <w:tr w:rsidR="00B3178E" w:rsidTr="0055520E">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B3178E" w:rsidRPr="00B3178E" w:rsidRDefault="00B3178E" w:rsidP="00B3178E">
            <w:r w:rsidRPr="00F60FD3">
              <w:t>Nominal WACC</w:t>
            </w:r>
          </w:p>
        </w:tc>
        <w:tc>
          <w:tcPr>
            <w:tcW w:w="765" w:type="pct"/>
            <w:vAlign w:val="top"/>
          </w:tcPr>
          <w:p w:rsidR="00B3178E" w:rsidRPr="00B3178E" w:rsidRDefault="00B3178E" w:rsidP="00B3178E">
            <w:pPr>
              <w:pStyle w:val="AERtabletextright"/>
            </w:pPr>
            <w:r w:rsidRPr="00F60FD3">
              <w:t>8.79%</w:t>
            </w:r>
          </w:p>
        </w:tc>
        <w:tc>
          <w:tcPr>
            <w:tcW w:w="765" w:type="pct"/>
            <w:vAlign w:val="top"/>
          </w:tcPr>
          <w:p w:rsidR="00B3178E" w:rsidRPr="00B3178E" w:rsidRDefault="00B3178E" w:rsidP="00B3178E">
            <w:pPr>
              <w:pStyle w:val="AERtabletextright"/>
            </w:pPr>
            <w:r w:rsidRPr="00F60FD3">
              <w:t>8.79%</w:t>
            </w:r>
          </w:p>
        </w:tc>
        <w:tc>
          <w:tcPr>
            <w:tcW w:w="765" w:type="pct"/>
            <w:vAlign w:val="top"/>
          </w:tcPr>
          <w:p w:rsidR="00B3178E" w:rsidRPr="00B3178E" w:rsidRDefault="00B3178E" w:rsidP="00B3178E">
            <w:pPr>
              <w:pStyle w:val="AERtabletextright"/>
            </w:pPr>
            <w:r w:rsidRPr="00F60FD3">
              <w:t>8.06%</w:t>
            </w:r>
          </w:p>
        </w:tc>
      </w:tr>
      <w:tr w:rsidR="00B3178E" w:rsidTr="0055520E">
        <w:tc>
          <w:tcPr>
            <w:tcW w:w="2705" w:type="pct"/>
            <w:vAlign w:val="top"/>
          </w:tcPr>
          <w:p w:rsidR="00B3178E" w:rsidRPr="00B3178E" w:rsidRDefault="00B3178E" w:rsidP="00B3178E">
            <w:r w:rsidRPr="00F60FD3">
              <w:t>Opening balance</w:t>
            </w:r>
          </w:p>
        </w:tc>
        <w:tc>
          <w:tcPr>
            <w:tcW w:w="765" w:type="pct"/>
            <w:vAlign w:val="top"/>
          </w:tcPr>
          <w:p w:rsidR="00B3178E" w:rsidRPr="00B3178E" w:rsidRDefault="00B3178E" w:rsidP="00B3178E">
            <w:pPr>
              <w:pStyle w:val="AERtabletextright"/>
            </w:pPr>
            <w:r w:rsidRPr="00F60FD3">
              <w:t>1,737</w:t>
            </w:r>
          </w:p>
        </w:tc>
        <w:tc>
          <w:tcPr>
            <w:tcW w:w="765" w:type="pct"/>
            <w:vAlign w:val="top"/>
          </w:tcPr>
          <w:p w:rsidR="00B3178E" w:rsidRPr="00B3178E" w:rsidRDefault="00B3178E" w:rsidP="00B3178E">
            <w:pPr>
              <w:pStyle w:val="AERtabletextright"/>
            </w:pPr>
            <w:r w:rsidRPr="00F60FD3">
              <w:t>4,956</w:t>
            </w:r>
          </w:p>
        </w:tc>
        <w:tc>
          <w:tcPr>
            <w:tcW w:w="765" w:type="pct"/>
            <w:vAlign w:val="top"/>
          </w:tcPr>
          <w:p w:rsidR="00B3178E" w:rsidRPr="00B3178E" w:rsidRDefault="00B3178E" w:rsidP="00B3178E">
            <w:pPr>
              <w:pStyle w:val="AERtabletextright"/>
            </w:pPr>
            <w:r w:rsidRPr="00F60FD3">
              <w:t>-569</w:t>
            </w:r>
          </w:p>
        </w:tc>
      </w:tr>
      <w:tr w:rsidR="00B3178E" w:rsidTr="0055520E">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B3178E" w:rsidRPr="00B3178E" w:rsidRDefault="00B3178E" w:rsidP="00B3178E">
            <w:r w:rsidRPr="00F60FD3">
              <w:t>Interest on opening balance</w:t>
            </w:r>
          </w:p>
        </w:tc>
        <w:tc>
          <w:tcPr>
            <w:tcW w:w="765" w:type="pct"/>
            <w:vAlign w:val="top"/>
          </w:tcPr>
          <w:p w:rsidR="00B3178E" w:rsidRPr="00B3178E" w:rsidRDefault="00B3178E" w:rsidP="00B3178E">
            <w:pPr>
              <w:pStyle w:val="AERtabletextright"/>
            </w:pPr>
            <w:r w:rsidRPr="00F60FD3">
              <w:t>153</w:t>
            </w:r>
          </w:p>
        </w:tc>
        <w:tc>
          <w:tcPr>
            <w:tcW w:w="765" w:type="pct"/>
            <w:vAlign w:val="top"/>
          </w:tcPr>
          <w:p w:rsidR="00B3178E" w:rsidRPr="00B3178E" w:rsidRDefault="00B3178E" w:rsidP="00B3178E">
            <w:pPr>
              <w:pStyle w:val="AERtabletextright"/>
            </w:pPr>
            <w:r w:rsidRPr="00F60FD3">
              <w:t>436</w:t>
            </w:r>
          </w:p>
        </w:tc>
        <w:tc>
          <w:tcPr>
            <w:tcW w:w="765" w:type="pct"/>
            <w:vAlign w:val="top"/>
          </w:tcPr>
          <w:p w:rsidR="00B3178E" w:rsidRPr="00B3178E" w:rsidRDefault="00B3178E" w:rsidP="00B3178E">
            <w:pPr>
              <w:pStyle w:val="AERtabletextright"/>
            </w:pPr>
            <w:r w:rsidRPr="00F60FD3">
              <w:t>-46</w:t>
            </w:r>
          </w:p>
        </w:tc>
      </w:tr>
      <w:tr w:rsidR="00B3178E" w:rsidTr="0055520E">
        <w:tc>
          <w:tcPr>
            <w:tcW w:w="2705" w:type="pct"/>
            <w:vAlign w:val="top"/>
          </w:tcPr>
          <w:p w:rsidR="00B3178E" w:rsidRPr="00B3178E" w:rsidRDefault="00B3178E" w:rsidP="00B3178E">
            <w:r w:rsidRPr="00F60FD3">
              <w:t>Under/over recovery for regulatory year</w:t>
            </w:r>
          </w:p>
        </w:tc>
        <w:tc>
          <w:tcPr>
            <w:tcW w:w="765" w:type="pct"/>
            <w:vAlign w:val="top"/>
          </w:tcPr>
          <w:p w:rsidR="00B3178E" w:rsidRPr="00B3178E" w:rsidRDefault="00B3178E" w:rsidP="00B3178E">
            <w:pPr>
              <w:pStyle w:val="AERtabletextright"/>
            </w:pPr>
            <w:r w:rsidRPr="00F60FD3">
              <w:t>2,940</w:t>
            </w:r>
          </w:p>
        </w:tc>
        <w:tc>
          <w:tcPr>
            <w:tcW w:w="765" w:type="pct"/>
            <w:vAlign w:val="top"/>
          </w:tcPr>
          <w:p w:rsidR="00B3178E" w:rsidRPr="00B3178E" w:rsidRDefault="00B3178E" w:rsidP="00B3178E">
            <w:pPr>
              <w:pStyle w:val="AERtabletextright"/>
            </w:pPr>
            <w:r w:rsidRPr="00F60FD3">
              <w:t>-5,715</w:t>
            </w:r>
          </w:p>
        </w:tc>
        <w:tc>
          <w:tcPr>
            <w:tcW w:w="765" w:type="pct"/>
            <w:vAlign w:val="top"/>
          </w:tcPr>
          <w:p w:rsidR="00B3178E" w:rsidRPr="00B3178E" w:rsidRDefault="00B3178E" w:rsidP="00B3178E">
            <w:pPr>
              <w:pStyle w:val="AERtabletextright"/>
            </w:pPr>
            <w:r w:rsidRPr="00F60FD3">
              <w:t>591</w:t>
            </w:r>
          </w:p>
        </w:tc>
      </w:tr>
      <w:tr w:rsidR="00B3178E" w:rsidTr="0055520E">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B3178E" w:rsidRPr="00B3178E" w:rsidRDefault="00B3178E" w:rsidP="00B3178E">
            <w:r w:rsidRPr="00F60FD3">
              <w:t>Interest on under/over recovery for regulatory year</w:t>
            </w:r>
          </w:p>
        </w:tc>
        <w:tc>
          <w:tcPr>
            <w:tcW w:w="765" w:type="pct"/>
            <w:vAlign w:val="top"/>
          </w:tcPr>
          <w:p w:rsidR="00B3178E" w:rsidRPr="00B3178E" w:rsidRDefault="00B3178E" w:rsidP="00B3178E">
            <w:pPr>
              <w:pStyle w:val="AERtabletextright"/>
            </w:pPr>
            <w:r w:rsidRPr="00F60FD3">
              <w:t>126</w:t>
            </w:r>
          </w:p>
        </w:tc>
        <w:tc>
          <w:tcPr>
            <w:tcW w:w="765" w:type="pct"/>
            <w:vAlign w:val="top"/>
          </w:tcPr>
          <w:p w:rsidR="00B3178E" w:rsidRPr="00B3178E" w:rsidRDefault="00B3178E" w:rsidP="00B3178E">
            <w:pPr>
              <w:pStyle w:val="AERtabletextright"/>
            </w:pPr>
            <w:r w:rsidRPr="00F60FD3">
              <w:t>-246</w:t>
            </w:r>
          </w:p>
        </w:tc>
        <w:tc>
          <w:tcPr>
            <w:tcW w:w="765" w:type="pct"/>
            <w:vAlign w:val="top"/>
          </w:tcPr>
          <w:p w:rsidR="00B3178E" w:rsidRPr="00B3178E" w:rsidRDefault="00B3178E" w:rsidP="00B3178E">
            <w:pPr>
              <w:pStyle w:val="AERtabletextright"/>
            </w:pPr>
            <w:r w:rsidRPr="00F60FD3">
              <w:t>24</w:t>
            </w:r>
          </w:p>
        </w:tc>
      </w:tr>
      <w:tr w:rsidR="00B3178E" w:rsidTr="0055520E">
        <w:tc>
          <w:tcPr>
            <w:tcW w:w="2705" w:type="pct"/>
            <w:vAlign w:val="top"/>
          </w:tcPr>
          <w:p w:rsidR="00B3178E" w:rsidRPr="00B3178E" w:rsidRDefault="00B3178E" w:rsidP="00B3178E">
            <w:r w:rsidRPr="00F60FD3">
              <w:t>Closing balance</w:t>
            </w:r>
          </w:p>
        </w:tc>
        <w:tc>
          <w:tcPr>
            <w:tcW w:w="765" w:type="pct"/>
            <w:vAlign w:val="top"/>
          </w:tcPr>
          <w:p w:rsidR="00B3178E" w:rsidRPr="00B3178E" w:rsidRDefault="00B3178E" w:rsidP="00B3178E">
            <w:pPr>
              <w:pStyle w:val="AERtabletextright"/>
            </w:pPr>
            <w:r w:rsidRPr="00F60FD3">
              <w:t>4,956</w:t>
            </w:r>
          </w:p>
        </w:tc>
        <w:tc>
          <w:tcPr>
            <w:tcW w:w="765" w:type="pct"/>
            <w:vAlign w:val="top"/>
          </w:tcPr>
          <w:p w:rsidR="00B3178E" w:rsidRPr="00B3178E" w:rsidRDefault="00B3178E" w:rsidP="00B3178E">
            <w:pPr>
              <w:pStyle w:val="AERtabletextright"/>
            </w:pPr>
            <w:r w:rsidRPr="00F60FD3">
              <w:t>-569</w:t>
            </w:r>
          </w:p>
        </w:tc>
        <w:tc>
          <w:tcPr>
            <w:tcW w:w="765" w:type="pct"/>
            <w:vAlign w:val="top"/>
          </w:tcPr>
          <w:p w:rsidR="00B3178E" w:rsidRPr="00B3178E" w:rsidRDefault="00B3178E" w:rsidP="00B3178E">
            <w:pPr>
              <w:pStyle w:val="AERtabletextright"/>
            </w:pPr>
            <w:r w:rsidRPr="00F60FD3">
              <w:t>0</w:t>
            </w:r>
            <w:r w:rsidRPr="00B3178E">
              <w:rPr>
                <w:rStyle w:val="AERsuperscript"/>
              </w:rPr>
              <w:t xml:space="preserve"> b</w:t>
            </w:r>
          </w:p>
        </w:tc>
      </w:tr>
    </w:tbl>
    <w:p w:rsidR="00B3178E" w:rsidRDefault="00B3178E" w:rsidP="00B3178E">
      <w:pPr>
        <w:pStyle w:val="AERtablesource"/>
      </w:pPr>
      <w:r w:rsidRPr="00534888">
        <w:t>Notes:</w:t>
      </w:r>
      <w:r w:rsidRPr="00534888">
        <w:tab/>
        <w:t xml:space="preserve">(a) </w:t>
      </w:r>
      <w:r w:rsidRPr="002C46DB">
        <w:t>In this exampl</w:t>
      </w:r>
      <w:r>
        <w:t>e, the regulator agreed Endeavour Energy</w:t>
      </w:r>
      <w:r w:rsidRPr="002C46DB">
        <w:t xml:space="preserve"> could over recover its revenues by $800,000 in year t–2 due to under recoveries in year t–3.</w:t>
      </w:r>
      <w:r>
        <w:t xml:space="preserve"> </w:t>
      </w:r>
    </w:p>
    <w:p w:rsidR="00B3178E" w:rsidRPr="00534888" w:rsidRDefault="00B3178E" w:rsidP="00B3178E">
      <w:pPr>
        <w:pStyle w:val="AERtablesource"/>
      </w:pPr>
      <w:r>
        <w:tab/>
      </w:r>
      <w:r w:rsidRPr="00534888">
        <w:t>(</w:t>
      </w:r>
      <w:r>
        <w:t>b</w:t>
      </w:r>
      <w:r w:rsidRPr="00534888">
        <w:t xml:space="preserve">) </w:t>
      </w:r>
      <w:r>
        <w:t>Endeavour Energy</w:t>
      </w:r>
      <w:r w:rsidRPr="00534888">
        <w:t xml:space="preserve"> must attempt to achieve an expected zero balance on their </w:t>
      </w:r>
      <w:r>
        <w:t>DUoS</w:t>
      </w:r>
      <w:r w:rsidRPr="00534888">
        <w:t xml:space="preserve"> unders and overs accounts in each forecast year in its annual pricing proposals in the forthcoming regulatory control period.</w:t>
      </w:r>
    </w:p>
    <w:p w:rsidR="00B3178E" w:rsidRDefault="00B3178E" w:rsidP="00B3178E">
      <w:pPr>
        <w:pStyle w:val="AERbodytext"/>
      </w:pPr>
    </w:p>
    <w:p w:rsidR="00B3178E" w:rsidRDefault="00B3178E" w:rsidP="00B3178E">
      <w:pPr>
        <w:pStyle w:val="AERbodytext"/>
      </w:pPr>
    </w:p>
    <w:p w:rsidR="00B3178E" w:rsidRDefault="00B3178E" w:rsidP="00B3178E">
      <w:pPr>
        <w:pStyle w:val="AERbodytext"/>
      </w:pPr>
    </w:p>
    <w:p w:rsidR="00B3178E" w:rsidRDefault="00B3178E" w:rsidP="00B3178E">
      <w:pPr>
        <w:pStyle w:val="AERbodytext"/>
      </w:pPr>
    </w:p>
    <w:p w:rsidR="00B3178E" w:rsidRDefault="00B3178E" w:rsidP="00B3178E">
      <w:pPr>
        <w:pStyle w:val="AERbodytext"/>
      </w:pPr>
    </w:p>
    <w:p w:rsidR="00B3178E" w:rsidRDefault="00B3178E" w:rsidP="00B3178E">
      <w:pPr>
        <w:pStyle w:val="AERbodytext"/>
      </w:pPr>
    </w:p>
    <w:p w:rsidR="00B3178E" w:rsidRDefault="00B3178E" w:rsidP="00B3178E">
      <w:pPr>
        <w:pStyle w:val="AERbodytext"/>
      </w:pPr>
    </w:p>
    <w:p w:rsidR="00B3178E" w:rsidRDefault="00B3178E" w:rsidP="00B3178E">
      <w:pPr>
        <w:pStyle w:val="AERbodytext"/>
      </w:pPr>
    </w:p>
    <w:p w:rsidR="00B3178E" w:rsidRDefault="00B3178E" w:rsidP="00B3178E">
      <w:pPr>
        <w:pStyle w:val="AERbodytext"/>
      </w:pPr>
    </w:p>
    <w:p w:rsidR="00B3178E" w:rsidRPr="005E6780" w:rsidRDefault="00B3178E" w:rsidP="00B3178E">
      <w:pPr>
        <w:pStyle w:val="Heading7"/>
      </w:pPr>
      <w:bookmarkStart w:id="26" w:name="_Toc404616789"/>
      <w:proofErr w:type="spellStart"/>
      <w:r>
        <w:t>TUoS</w:t>
      </w:r>
      <w:proofErr w:type="spellEnd"/>
      <w:r w:rsidRPr="005E6780">
        <w:t xml:space="preserve"> </w:t>
      </w:r>
      <w:proofErr w:type="spellStart"/>
      <w:r w:rsidRPr="005E6780">
        <w:t>under</w:t>
      </w:r>
      <w:r>
        <w:t>s</w:t>
      </w:r>
      <w:proofErr w:type="spellEnd"/>
      <w:r w:rsidRPr="005E6780">
        <w:t xml:space="preserve"> and over</w:t>
      </w:r>
      <w:r>
        <w:t>s</w:t>
      </w:r>
      <w:r w:rsidRPr="005E6780">
        <w:t xml:space="preserve"> </w:t>
      </w:r>
      <w:r>
        <w:t>account</w:t>
      </w:r>
      <w:bookmarkEnd w:id="26"/>
    </w:p>
    <w:p w:rsidR="00B3178E" w:rsidRPr="005E6780" w:rsidRDefault="00B3178E" w:rsidP="00B3178E">
      <w:pPr>
        <w:pStyle w:val="AERbodytext"/>
      </w:pPr>
      <w:r w:rsidRPr="005E6780">
        <w:t xml:space="preserve">To demonstrate compliance with its distribution determination in the forthcoming regulatory control period, </w:t>
      </w:r>
      <w:r>
        <w:t>we</w:t>
      </w:r>
      <w:r w:rsidRPr="005E6780">
        <w:t xml:space="preserve"> require </w:t>
      </w:r>
      <w:r>
        <w:t>Endeavour Energy</w:t>
      </w:r>
      <w:r w:rsidRPr="005E6780">
        <w:t xml:space="preserve"> to maintain a </w:t>
      </w:r>
      <w:proofErr w:type="spellStart"/>
      <w:r w:rsidRPr="005E6780">
        <w:t>TU</w:t>
      </w:r>
      <w:r>
        <w:t>o</w:t>
      </w:r>
      <w:r w:rsidRPr="005E6780">
        <w:t>S</w:t>
      </w:r>
      <w:proofErr w:type="spellEnd"/>
      <w:r w:rsidRPr="005E6780">
        <w:t xml:space="preserve"> </w:t>
      </w:r>
      <w:proofErr w:type="spellStart"/>
      <w:r w:rsidRPr="005E6780">
        <w:t>unders</w:t>
      </w:r>
      <w:proofErr w:type="spellEnd"/>
      <w:r w:rsidRPr="005E6780">
        <w:t xml:space="preserve"> and overs account. </w:t>
      </w:r>
      <w:r>
        <w:t xml:space="preserve">It </w:t>
      </w:r>
      <w:r w:rsidRPr="005E6780">
        <w:t xml:space="preserve">must provide information on this account to </w:t>
      </w:r>
      <w:r>
        <w:t>us in</w:t>
      </w:r>
      <w:r w:rsidRPr="005E6780">
        <w:t xml:space="preserve"> its annual pricing proposal.</w:t>
      </w:r>
      <w:r>
        <w:rPr>
          <w:rStyle w:val="FootnoteReference"/>
        </w:rPr>
        <w:footnoteReference w:id="27"/>
      </w:r>
      <w:r w:rsidRPr="005E6780">
        <w:t xml:space="preserve"> </w:t>
      </w:r>
    </w:p>
    <w:p w:rsidR="00B3178E" w:rsidRDefault="00B3178E" w:rsidP="00B3178E">
      <w:pPr>
        <w:pStyle w:val="AERbodytext"/>
      </w:pPr>
      <w:r>
        <w:t>Endeavour Energy</w:t>
      </w:r>
      <w:r w:rsidRPr="005E6780">
        <w:t xml:space="preserve"> must provide the amounts for the following entries in </w:t>
      </w:r>
      <w:r>
        <w:t>its</w:t>
      </w:r>
      <w:r w:rsidRPr="005E6780">
        <w:t xml:space="preserve"> </w:t>
      </w:r>
      <w:proofErr w:type="spellStart"/>
      <w:r w:rsidRPr="005E6780">
        <w:t>TU</w:t>
      </w:r>
      <w:r>
        <w:t>o</w:t>
      </w:r>
      <w:r w:rsidRPr="005E6780">
        <w:t>S</w:t>
      </w:r>
      <w:proofErr w:type="spellEnd"/>
      <w:r w:rsidRPr="005E6780">
        <w:t xml:space="preserve"> </w:t>
      </w:r>
      <w:proofErr w:type="spellStart"/>
      <w:r w:rsidRPr="005E6780">
        <w:t>unders</w:t>
      </w:r>
      <w:proofErr w:type="spellEnd"/>
      <w:r w:rsidRPr="005E6780">
        <w:t xml:space="preserve"> and overs account for the most recently completed regulatory year (t-2), the current regulatory year (t-1) and the next regulatory year (t):</w:t>
      </w:r>
    </w:p>
    <w:p w:rsidR="00B3178E" w:rsidRPr="005E6780" w:rsidRDefault="00B3178E" w:rsidP="00B3178E">
      <w:pPr>
        <w:pStyle w:val="AERnumberedlistfirststyle"/>
      </w:pPr>
      <w:r w:rsidRPr="005E6780">
        <w:t>opening balance for year t-2, year t-1 and year t;</w:t>
      </w:r>
    </w:p>
    <w:p w:rsidR="00B3178E" w:rsidRPr="005E6780" w:rsidRDefault="00B3178E" w:rsidP="00B3178E">
      <w:pPr>
        <w:pStyle w:val="AERnumberedlistfirststyle"/>
      </w:pPr>
      <w:proofErr w:type="gramStart"/>
      <w:r w:rsidRPr="005E6780">
        <w:t>an</w:t>
      </w:r>
      <w:proofErr w:type="gramEnd"/>
      <w:r w:rsidRPr="005E6780">
        <w:t xml:space="preserve"> interest charge for one year on the opening balance in year t-2 and an interest charge for one year on the opening balance in year t-1. These adjustments are to be calculated using the approved nominal WACC. No such interest charge applies to the opening balance for year t;</w:t>
      </w:r>
    </w:p>
    <w:p w:rsidR="00B3178E" w:rsidRPr="005E6780" w:rsidRDefault="00B3178E" w:rsidP="00B3178E">
      <w:pPr>
        <w:pStyle w:val="AERnumberedlistfirststyle"/>
      </w:pPr>
      <w:r w:rsidRPr="005E6780">
        <w:t>the amou</w:t>
      </w:r>
      <w:r>
        <w:t xml:space="preserve">nt of revenue recovered from </w:t>
      </w:r>
      <w:proofErr w:type="spellStart"/>
      <w:r>
        <w:t>TUo</w:t>
      </w:r>
      <w:r w:rsidRPr="005E6780">
        <w:t>S</w:t>
      </w:r>
      <w:proofErr w:type="spellEnd"/>
      <w:r w:rsidRPr="005E6780">
        <w:t xml:space="preserve"> charges applied in respect of that year, less any under/over adjustment approved by the </w:t>
      </w:r>
      <w:r>
        <w:t>AER</w:t>
      </w:r>
      <w:r w:rsidRPr="005E6780">
        <w:t xml:space="preserve"> for year t-2 (in relation to year t-3) and year t-1, less the amounts of all transmission related payments made by </w:t>
      </w:r>
      <w:r>
        <w:t>Endeavour Energy</w:t>
      </w:r>
      <w:r w:rsidRPr="005E6780">
        <w:t xml:space="preserve"> in respect of that year;</w:t>
      </w:r>
    </w:p>
    <w:p w:rsidR="00B3178E" w:rsidRPr="005E6780" w:rsidRDefault="00B3178E" w:rsidP="00B3178E">
      <w:pPr>
        <w:pStyle w:val="AERnumberedlistfirststyle"/>
      </w:pPr>
      <w:proofErr w:type="gramStart"/>
      <w:r w:rsidRPr="005E6780">
        <w:t>an</w:t>
      </w:r>
      <w:proofErr w:type="gramEnd"/>
      <w:r w:rsidRPr="005E6780">
        <w:t xml:space="preserve"> interest charge for one year related to the net amounts in item 3 for year t-2 and an interest charge for one year for year t-1. These adjustments are to be calculated using the approved nominal WACC. No such interest charge applies to the net amount in item 2 for year t;</w:t>
      </w:r>
    </w:p>
    <w:p w:rsidR="00B3178E" w:rsidRPr="005E6780" w:rsidRDefault="00B3178E" w:rsidP="00B3178E">
      <w:pPr>
        <w:pStyle w:val="AERnumberedlistfirststyle"/>
      </w:pPr>
      <w:proofErr w:type="gramStart"/>
      <w:r w:rsidRPr="005E6780">
        <w:t>the</w:t>
      </w:r>
      <w:proofErr w:type="gramEnd"/>
      <w:r w:rsidRPr="005E6780">
        <w:t xml:space="preserve"> total of items 1-4 to derive the closing balance for each year.</w:t>
      </w:r>
    </w:p>
    <w:p w:rsidR="00B3178E" w:rsidRPr="005E6780" w:rsidRDefault="00B3178E" w:rsidP="00B3178E">
      <w:pPr>
        <w:pStyle w:val="AERbodytext"/>
      </w:pPr>
      <w:r>
        <w:t>Endeavour Energy</w:t>
      </w:r>
      <w:r w:rsidRPr="005E6780">
        <w:t xml:space="preserve"> must provide details of calculations in the format set out in </w:t>
      </w:r>
      <w:r w:rsidR="00D96230">
        <w:t>T</w:t>
      </w:r>
      <w:r w:rsidRPr="005E6780">
        <w:t xml:space="preserve">able </w:t>
      </w:r>
      <w:r>
        <w:t>B</w:t>
      </w:r>
      <w:r w:rsidR="00FF4F3B">
        <w:t>–</w:t>
      </w:r>
      <w:r>
        <w:t>1</w:t>
      </w:r>
      <w:r w:rsidRPr="005E6780">
        <w:t>. Amounts provided for the most recently completed regulatory year (t-2) must be audited. Amounts provided for the current regulatory year (t-1) will be regarded as an estimate. Amounts for the next regulatory year (t) will be regarded as a forecast.</w:t>
      </w:r>
      <w:r w:rsidR="00863E2F">
        <w:t xml:space="preserve"> This is normal regulatory practice.</w:t>
      </w:r>
    </w:p>
    <w:p w:rsidR="00B3178E" w:rsidRDefault="00B3178E" w:rsidP="00B3178E">
      <w:pPr>
        <w:pStyle w:val="AERbodytext"/>
      </w:pPr>
      <w:r w:rsidRPr="005E6780">
        <w:t>In proposing variations to</w:t>
      </w:r>
      <w:r>
        <w:t xml:space="preserve"> the amount and structure of </w:t>
      </w:r>
      <w:proofErr w:type="spellStart"/>
      <w:r>
        <w:t>TUo</w:t>
      </w:r>
      <w:r w:rsidRPr="005E6780">
        <w:t>S</w:t>
      </w:r>
      <w:proofErr w:type="spellEnd"/>
      <w:r w:rsidRPr="005E6780">
        <w:t xml:space="preserve"> charges, </w:t>
      </w:r>
      <w:r>
        <w:t>Endeavour Energy</w:t>
      </w:r>
      <w:r w:rsidRPr="005E6780">
        <w:t xml:space="preserve"> is to achieve a zero expected balance on its </w:t>
      </w:r>
      <w:proofErr w:type="spellStart"/>
      <w:r w:rsidRPr="005E6780">
        <w:t>TU</w:t>
      </w:r>
      <w:r>
        <w:t>o</w:t>
      </w:r>
      <w:r w:rsidRPr="005E6780">
        <w:t>S</w:t>
      </w:r>
      <w:proofErr w:type="spellEnd"/>
      <w:r w:rsidRPr="005E6780">
        <w:t xml:space="preserve"> </w:t>
      </w:r>
      <w:proofErr w:type="spellStart"/>
      <w:r w:rsidRPr="005E6780">
        <w:t>unders</w:t>
      </w:r>
      <w:proofErr w:type="spellEnd"/>
      <w:r w:rsidRPr="005E6780">
        <w:t xml:space="preserve"> and overs account at the end of each of the forecast years in its annual pricing proposals in the forthcoming regulatory control period.</w:t>
      </w:r>
    </w:p>
    <w:p w:rsidR="00B3178E" w:rsidRDefault="00B3178E" w:rsidP="00B3178E">
      <w:pPr>
        <w:pStyle w:val="AERbodytext"/>
      </w:pPr>
    </w:p>
    <w:p w:rsidR="00B3178E" w:rsidRDefault="00B3178E" w:rsidP="00B3178E">
      <w:pPr>
        <w:pStyle w:val="AERbodytext"/>
      </w:pPr>
    </w:p>
    <w:p w:rsidR="00B3178E" w:rsidRDefault="00B3178E" w:rsidP="00B3178E">
      <w:pPr>
        <w:pStyle w:val="AERbodytext"/>
      </w:pPr>
    </w:p>
    <w:p w:rsidR="00B3178E" w:rsidRDefault="00B3178E" w:rsidP="00B3178E">
      <w:pPr>
        <w:pStyle w:val="AERbodytext"/>
      </w:pPr>
    </w:p>
    <w:p w:rsidR="00B3178E" w:rsidRDefault="00B3178E" w:rsidP="00B3178E">
      <w:pPr>
        <w:pStyle w:val="AERbodytext"/>
      </w:pPr>
    </w:p>
    <w:p w:rsidR="00B3178E" w:rsidRDefault="00B3178E" w:rsidP="00B3178E">
      <w:pPr>
        <w:pStyle w:val="AERbodytext"/>
      </w:pPr>
    </w:p>
    <w:p w:rsidR="00B3178E" w:rsidRDefault="00B3178E" w:rsidP="00B3178E">
      <w:pPr>
        <w:pStyle w:val="AERbodytext"/>
      </w:pPr>
    </w:p>
    <w:p w:rsidR="00B3178E" w:rsidRPr="005E6780" w:rsidRDefault="00B3178E" w:rsidP="00B3178E">
      <w:pPr>
        <w:pStyle w:val="AERbodytext"/>
      </w:pPr>
    </w:p>
    <w:p w:rsidR="00B3178E" w:rsidRPr="00A47F79" w:rsidRDefault="00B3178E" w:rsidP="00B3178E">
      <w:pPr>
        <w:rPr>
          <w:rStyle w:val="AERtextbold"/>
        </w:rPr>
      </w:pPr>
      <w:r w:rsidRPr="00A47F79">
        <w:rPr>
          <w:rStyle w:val="AERtextbold"/>
        </w:rPr>
        <w:t>Table B</w:t>
      </w:r>
      <w:r w:rsidR="00FF4F3B">
        <w:rPr>
          <w:rStyle w:val="AERtextbold"/>
        </w:rPr>
        <w:t>–</w:t>
      </w:r>
      <w:r w:rsidRPr="00A47F79">
        <w:rPr>
          <w:rStyle w:val="AERtextbold"/>
        </w:rPr>
        <w:t>1:</w:t>
      </w:r>
      <w:r w:rsidRPr="00A47F79">
        <w:rPr>
          <w:rStyle w:val="AERtextbold"/>
        </w:rPr>
        <w:tab/>
        <w:t xml:space="preserve">Example calculation of </w:t>
      </w:r>
      <w:proofErr w:type="spellStart"/>
      <w:r w:rsidRPr="00A47F79">
        <w:rPr>
          <w:rStyle w:val="AERtextbold"/>
        </w:rPr>
        <w:t>TU</w:t>
      </w:r>
      <w:r w:rsidR="002C0B83">
        <w:rPr>
          <w:rStyle w:val="AERtextbold"/>
        </w:rPr>
        <w:t>o</w:t>
      </w:r>
      <w:r w:rsidRPr="00A47F79">
        <w:rPr>
          <w:rStyle w:val="AERtextbold"/>
        </w:rPr>
        <w:t>S</w:t>
      </w:r>
      <w:proofErr w:type="spellEnd"/>
      <w:r w:rsidRPr="00A47F79">
        <w:rPr>
          <w:rStyle w:val="AERtextbold"/>
        </w:rPr>
        <w:t xml:space="preserve"> </w:t>
      </w:r>
      <w:proofErr w:type="spellStart"/>
      <w:r w:rsidRPr="00A47F79">
        <w:rPr>
          <w:rStyle w:val="AERtextbold"/>
        </w:rPr>
        <w:t>unders</w:t>
      </w:r>
      <w:proofErr w:type="spellEnd"/>
      <w:r w:rsidRPr="00A47F79">
        <w:rPr>
          <w:rStyle w:val="AERtextbold"/>
        </w:rPr>
        <w:t xml:space="preserve"> and overs account ($000, nominal)</w:t>
      </w:r>
    </w:p>
    <w:tbl>
      <w:tblPr>
        <w:tblStyle w:val="AERtable-text"/>
        <w:tblW w:w="5000" w:type="pct"/>
        <w:tblLook w:val="04A0" w:firstRow="1" w:lastRow="0" w:firstColumn="1" w:lastColumn="0" w:noHBand="0" w:noVBand="1"/>
      </w:tblPr>
      <w:tblGrid>
        <w:gridCol w:w="5000"/>
        <w:gridCol w:w="1414"/>
        <w:gridCol w:w="1414"/>
        <w:gridCol w:w="1414"/>
      </w:tblGrid>
      <w:tr w:rsidR="00B3178E" w:rsidTr="0055520E">
        <w:trPr>
          <w:cnfStyle w:val="100000000000" w:firstRow="1" w:lastRow="0" w:firstColumn="0" w:lastColumn="0" w:oddVBand="0" w:evenVBand="0" w:oddHBand="0" w:evenHBand="0" w:firstRowFirstColumn="0" w:firstRowLastColumn="0" w:lastRowFirstColumn="0" w:lastRowLastColumn="0"/>
        </w:trPr>
        <w:tc>
          <w:tcPr>
            <w:tcW w:w="2705" w:type="pct"/>
          </w:tcPr>
          <w:p w:rsidR="00B3178E" w:rsidRPr="00C366E5" w:rsidRDefault="00B3178E" w:rsidP="00B3178E">
            <w:pPr>
              <w:pStyle w:val="AERbodytext"/>
            </w:pPr>
          </w:p>
        </w:tc>
        <w:tc>
          <w:tcPr>
            <w:tcW w:w="765" w:type="pct"/>
            <w:vAlign w:val="top"/>
          </w:tcPr>
          <w:p w:rsidR="00B3178E" w:rsidRPr="00B3178E" w:rsidRDefault="00B3178E" w:rsidP="00B3178E">
            <w:pPr>
              <w:pStyle w:val="AERtabletextright"/>
            </w:pPr>
            <w:r>
              <w:t>Y</w:t>
            </w:r>
            <w:r w:rsidRPr="00B3178E">
              <w:t>ear t–2 (actual)</w:t>
            </w:r>
          </w:p>
        </w:tc>
        <w:tc>
          <w:tcPr>
            <w:tcW w:w="765" w:type="pct"/>
            <w:vAlign w:val="top"/>
          </w:tcPr>
          <w:p w:rsidR="00B3178E" w:rsidRPr="00B3178E" w:rsidRDefault="00B3178E" w:rsidP="00B3178E">
            <w:pPr>
              <w:pStyle w:val="AERtabletextright"/>
            </w:pPr>
            <w:r>
              <w:t>Y</w:t>
            </w:r>
            <w:r w:rsidRPr="00B3178E">
              <w:t>ear t-1 (estimate)</w:t>
            </w:r>
          </w:p>
        </w:tc>
        <w:tc>
          <w:tcPr>
            <w:tcW w:w="765" w:type="pct"/>
            <w:vAlign w:val="top"/>
          </w:tcPr>
          <w:p w:rsidR="00B3178E" w:rsidRPr="00B3178E" w:rsidRDefault="00B3178E" w:rsidP="00B3178E">
            <w:pPr>
              <w:pStyle w:val="AERtabletextright"/>
            </w:pPr>
            <w:r>
              <w:t>Y</w:t>
            </w:r>
            <w:r w:rsidRPr="00B3178E">
              <w:t xml:space="preserve">ear </w:t>
            </w:r>
            <w:proofErr w:type="spellStart"/>
            <w:r w:rsidRPr="00B3178E">
              <w:t>t</w:t>
            </w:r>
            <w:proofErr w:type="spellEnd"/>
            <w:r w:rsidRPr="00B3178E">
              <w:t xml:space="preserve"> (forecast)</w:t>
            </w:r>
          </w:p>
        </w:tc>
      </w:tr>
      <w:tr w:rsidR="00B3178E" w:rsidTr="0055520E">
        <w:trPr>
          <w:trHeight w:val="373"/>
        </w:trPr>
        <w:tc>
          <w:tcPr>
            <w:tcW w:w="2705" w:type="pct"/>
            <w:vAlign w:val="top"/>
          </w:tcPr>
          <w:p w:rsidR="00B3178E" w:rsidRPr="00B3178E" w:rsidRDefault="00B3178E" w:rsidP="00863E2F">
            <w:pPr>
              <w:pStyle w:val="AERtabletextleft"/>
            </w:pPr>
            <w:r w:rsidRPr="00C57F5F">
              <w:t xml:space="preserve">Revenue from </w:t>
            </w:r>
            <w:proofErr w:type="spellStart"/>
            <w:r w:rsidRPr="00C57F5F">
              <w:t>TU</w:t>
            </w:r>
            <w:r w:rsidR="00863E2F">
              <w:t>o</w:t>
            </w:r>
            <w:r w:rsidRPr="00C57F5F">
              <w:t>S</w:t>
            </w:r>
            <w:proofErr w:type="spellEnd"/>
            <w:r w:rsidRPr="00C57F5F">
              <w:t xml:space="preserve"> charges</w:t>
            </w:r>
          </w:p>
        </w:tc>
        <w:tc>
          <w:tcPr>
            <w:tcW w:w="765" w:type="pct"/>
          </w:tcPr>
          <w:p w:rsidR="00B3178E" w:rsidRPr="00B3178E" w:rsidRDefault="00B3178E" w:rsidP="00B3178E">
            <w:pPr>
              <w:pStyle w:val="AERtabletextright"/>
            </w:pPr>
            <w:r w:rsidRPr="00C57F5F">
              <w:t>40,077</w:t>
            </w:r>
          </w:p>
        </w:tc>
        <w:tc>
          <w:tcPr>
            <w:tcW w:w="765" w:type="pct"/>
          </w:tcPr>
          <w:p w:rsidR="00B3178E" w:rsidRPr="00B3178E" w:rsidRDefault="00B3178E" w:rsidP="00B3178E">
            <w:pPr>
              <w:pStyle w:val="AERtabletextright"/>
            </w:pPr>
            <w:r w:rsidRPr="00C57F5F">
              <w:t>34,944</w:t>
            </w:r>
          </w:p>
        </w:tc>
        <w:tc>
          <w:tcPr>
            <w:tcW w:w="765" w:type="pct"/>
          </w:tcPr>
          <w:p w:rsidR="00B3178E" w:rsidRPr="00B3178E" w:rsidRDefault="00B3178E" w:rsidP="00B3178E">
            <w:pPr>
              <w:pStyle w:val="AERtabletextright"/>
            </w:pPr>
            <w:r w:rsidRPr="00C57F5F">
              <w:t>36,706</w:t>
            </w:r>
            <w:r w:rsidRPr="00B3178E">
              <w:rPr>
                <w:rStyle w:val="AERsuperscript"/>
              </w:rPr>
              <w:t xml:space="preserve"> a</w:t>
            </w:r>
          </w:p>
        </w:tc>
      </w:tr>
      <w:tr w:rsidR="00B3178E" w:rsidTr="0055520E">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B3178E" w:rsidRPr="00B3178E" w:rsidRDefault="00B3178E" w:rsidP="00B3178E">
            <w:pPr>
              <w:pStyle w:val="AERtabletextleft"/>
            </w:pPr>
            <w:r w:rsidRPr="00C57F5F">
              <w:t>Less total transmission related payments</w:t>
            </w:r>
          </w:p>
        </w:tc>
        <w:tc>
          <w:tcPr>
            <w:tcW w:w="765" w:type="pct"/>
          </w:tcPr>
          <w:p w:rsidR="00B3178E" w:rsidRPr="00B3178E" w:rsidRDefault="00B3178E" w:rsidP="00B3178E">
            <w:pPr>
              <w:pStyle w:val="AERtabletextright"/>
            </w:pPr>
            <w:r w:rsidRPr="00C57F5F">
              <w:t>34,365</w:t>
            </w:r>
          </w:p>
        </w:tc>
        <w:tc>
          <w:tcPr>
            <w:tcW w:w="765" w:type="pct"/>
          </w:tcPr>
          <w:p w:rsidR="00B3178E" w:rsidRPr="00B3178E" w:rsidRDefault="00B3178E" w:rsidP="00B3178E">
            <w:pPr>
              <w:pStyle w:val="AERtabletextright"/>
            </w:pPr>
            <w:r w:rsidRPr="00C57F5F">
              <w:t>38,734</w:t>
            </w:r>
          </w:p>
        </w:tc>
        <w:tc>
          <w:tcPr>
            <w:tcW w:w="765" w:type="pct"/>
          </w:tcPr>
          <w:p w:rsidR="00B3178E" w:rsidRPr="00B3178E" w:rsidRDefault="00B3178E" w:rsidP="00B3178E">
            <w:pPr>
              <w:pStyle w:val="AERtabletextright"/>
            </w:pPr>
            <w:r w:rsidRPr="00C57F5F">
              <w:t>39,200</w:t>
            </w:r>
          </w:p>
        </w:tc>
      </w:tr>
      <w:tr w:rsidR="00B3178E" w:rsidTr="0055520E">
        <w:tc>
          <w:tcPr>
            <w:tcW w:w="2705" w:type="pct"/>
            <w:vAlign w:val="top"/>
          </w:tcPr>
          <w:p w:rsidR="00B3178E" w:rsidRPr="00B3178E" w:rsidRDefault="00B3178E" w:rsidP="00B3178E">
            <w:pPr>
              <w:pStyle w:val="AERtabletextleft"/>
            </w:pPr>
            <w:r w:rsidRPr="00C57F5F">
              <w:t xml:space="preserve">Transmission </w:t>
            </w:r>
            <w:r w:rsidRPr="00B3178E">
              <w:t>charges to be paid to TNSP</w:t>
            </w:r>
          </w:p>
        </w:tc>
        <w:tc>
          <w:tcPr>
            <w:tcW w:w="765" w:type="pct"/>
          </w:tcPr>
          <w:p w:rsidR="00B3178E" w:rsidRPr="00B3178E" w:rsidRDefault="00B3178E" w:rsidP="00B3178E">
            <w:pPr>
              <w:pStyle w:val="AERtabletextright"/>
            </w:pPr>
            <w:r w:rsidRPr="00C57F5F">
              <w:t>33,793</w:t>
            </w:r>
          </w:p>
        </w:tc>
        <w:tc>
          <w:tcPr>
            <w:tcW w:w="765" w:type="pct"/>
          </w:tcPr>
          <w:p w:rsidR="00B3178E" w:rsidRPr="00B3178E" w:rsidRDefault="00B3178E" w:rsidP="00B3178E">
            <w:pPr>
              <w:pStyle w:val="AERtabletextright"/>
            </w:pPr>
            <w:r w:rsidRPr="00C57F5F">
              <w:t>38,000</w:t>
            </w:r>
          </w:p>
        </w:tc>
        <w:tc>
          <w:tcPr>
            <w:tcW w:w="765" w:type="pct"/>
          </w:tcPr>
          <w:p w:rsidR="00B3178E" w:rsidRPr="00B3178E" w:rsidRDefault="00B3178E" w:rsidP="00B3178E">
            <w:pPr>
              <w:pStyle w:val="AERtabletextright"/>
            </w:pPr>
            <w:r w:rsidRPr="00C57F5F">
              <w:t>38,400</w:t>
            </w:r>
          </w:p>
        </w:tc>
      </w:tr>
      <w:tr w:rsidR="00B3178E" w:rsidTr="0055520E">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B3178E" w:rsidRPr="00B3178E" w:rsidRDefault="00863E2F" w:rsidP="00B3178E">
            <w:pPr>
              <w:pStyle w:val="AERtabletextleft"/>
            </w:pPr>
            <w:r>
              <w:t xml:space="preserve">Avoided </w:t>
            </w:r>
            <w:proofErr w:type="spellStart"/>
            <w:r>
              <w:t>TUo</w:t>
            </w:r>
            <w:r w:rsidR="00B3178E" w:rsidRPr="00C57F5F">
              <w:t>S</w:t>
            </w:r>
            <w:proofErr w:type="spellEnd"/>
            <w:r w:rsidR="00B3178E" w:rsidRPr="00C57F5F">
              <w:t xml:space="preserve"> payments </w:t>
            </w:r>
          </w:p>
        </w:tc>
        <w:tc>
          <w:tcPr>
            <w:tcW w:w="765" w:type="pct"/>
          </w:tcPr>
          <w:p w:rsidR="00B3178E" w:rsidRPr="00B3178E" w:rsidRDefault="00B3178E" w:rsidP="00B3178E">
            <w:pPr>
              <w:pStyle w:val="AERtabletextright"/>
            </w:pPr>
            <w:r w:rsidRPr="00C57F5F">
              <w:t>572</w:t>
            </w:r>
          </w:p>
        </w:tc>
        <w:tc>
          <w:tcPr>
            <w:tcW w:w="765" w:type="pct"/>
          </w:tcPr>
          <w:p w:rsidR="00B3178E" w:rsidRPr="00B3178E" w:rsidRDefault="00B3178E" w:rsidP="00B3178E">
            <w:pPr>
              <w:pStyle w:val="AERtabletextright"/>
            </w:pPr>
            <w:r w:rsidRPr="00C57F5F">
              <w:t>734</w:t>
            </w:r>
          </w:p>
        </w:tc>
        <w:tc>
          <w:tcPr>
            <w:tcW w:w="765" w:type="pct"/>
          </w:tcPr>
          <w:p w:rsidR="00B3178E" w:rsidRPr="00B3178E" w:rsidRDefault="00B3178E" w:rsidP="00B3178E">
            <w:pPr>
              <w:pStyle w:val="AERtabletextright"/>
            </w:pPr>
            <w:r w:rsidRPr="00C57F5F">
              <w:t>800</w:t>
            </w:r>
          </w:p>
        </w:tc>
      </w:tr>
      <w:tr w:rsidR="00B3178E" w:rsidTr="0055520E">
        <w:tc>
          <w:tcPr>
            <w:tcW w:w="2705" w:type="pct"/>
            <w:vAlign w:val="top"/>
          </w:tcPr>
          <w:p w:rsidR="00B3178E" w:rsidRPr="00B3178E" w:rsidRDefault="00B3178E" w:rsidP="00B3178E">
            <w:pPr>
              <w:pStyle w:val="AERtabletextleft"/>
            </w:pPr>
            <w:r w:rsidRPr="00C57F5F">
              <w:t>Under/over recovery for regulatory year</w:t>
            </w:r>
          </w:p>
        </w:tc>
        <w:tc>
          <w:tcPr>
            <w:tcW w:w="765" w:type="pct"/>
          </w:tcPr>
          <w:p w:rsidR="00B3178E" w:rsidRPr="00B3178E" w:rsidRDefault="00B3178E" w:rsidP="00B3178E">
            <w:pPr>
              <w:pStyle w:val="AERtabletextright"/>
            </w:pPr>
            <w:r w:rsidRPr="00C57F5F">
              <w:t>5,712</w:t>
            </w:r>
          </w:p>
        </w:tc>
        <w:tc>
          <w:tcPr>
            <w:tcW w:w="765" w:type="pct"/>
          </w:tcPr>
          <w:p w:rsidR="00B3178E" w:rsidRPr="00B3178E" w:rsidRDefault="00B3178E" w:rsidP="00B3178E">
            <w:pPr>
              <w:pStyle w:val="AERtabletextright"/>
            </w:pPr>
            <w:r w:rsidRPr="00C57F5F">
              <w:t>-3,790</w:t>
            </w:r>
          </w:p>
        </w:tc>
        <w:tc>
          <w:tcPr>
            <w:tcW w:w="765" w:type="pct"/>
          </w:tcPr>
          <w:p w:rsidR="00B3178E" w:rsidRPr="00B3178E" w:rsidRDefault="00B3178E" w:rsidP="00B3178E">
            <w:pPr>
              <w:pStyle w:val="AERtabletextright"/>
            </w:pPr>
            <w:r w:rsidRPr="00C57F5F">
              <w:t>-2,494</w:t>
            </w:r>
          </w:p>
        </w:tc>
      </w:tr>
      <w:tr w:rsidR="00B3178E" w:rsidTr="0055520E">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B3178E" w:rsidRPr="00B3178E" w:rsidRDefault="00B3178E" w:rsidP="00863E2F">
            <w:pPr>
              <w:pStyle w:val="AERtabletextleft"/>
            </w:pPr>
            <w:proofErr w:type="spellStart"/>
            <w:r w:rsidRPr="00C57F5F">
              <w:t>TU</w:t>
            </w:r>
            <w:r w:rsidR="00863E2F">
              <w:t>o</w:t>
            </w:r>
            <w:r w:rsidRPr="00C57F5F">
              <w:t>S</w:t>
            </w:r>
            <w:proofErr w:type="spellEnd"/>
            <w:r w:rsidRPr="00C57F5F">
              <w:t xml:space="preserve"> </w:t>
            </w:r>
            <w:proofErr w:type="spellStart"/>
            <w:r w:rsidRPr="00C57F5F">
              <w:t>unders</w:t>
            </w:r>
            <w:proofErr w:type="spellEnd"/>
            <w:r w:rsidRPr="00C57F5F">
              <w:t xml:space="preserve"> and overs account</w:t>
            </w:r>
          </w:p>
        </w:tc>
        <w:tc>
          <w:tcPr>
            <w:tcW w:w="765" w:type="pct"/>
          </w:tcPr>
          <w:p w:rsidR="00B3178E" w:rsidRPr="00C57F5F" w:rsidRDefault="00B3178E" w:rsidP="00B3178E">
            <w:pPr>
              <w:pStyle w:val="AERtabletextright"/>
            </w:pPr>
          </w:p>
        </w:tc>
        <w:tc>
          <w:tcPr>
            <w:tcW w:w="765" w:type="pct"/>
          </w:tcPr>
          <w:p w:rsidR="00B3178E" w:rsidRPr="00C57F5F" w:rsidRDefault="00B3178E" w:rsidP="00B3178E">
            <w:pPr>
              <w:pStyle w:val="AERtabletextright"/>
            </w:pPr>
          </w:p>
        </w:tc>
        <w:tc>
          <w:tcPr>
            <w:tcW w:w="765" w:type="pct"/>
          </w:tcPr>
          <w:p w:rsidR="00B3178E" w:rsidRPr="00C57F5F" w:rsidRDefault="00B3178E" w:rsidP="00B3178E">
            <w:pPr>
              <w:pStyle w:val="AERtabletextright"/>
            </w:pPr>
          </w:p>
        </w:tc>
      </w:tr>
      <w:tr w:rsidR="00B3178E" w:rsidTr="0055520E">
        <w:tc>
          <w:tcPr>
            <w:tcW w:w="2705" w:type="pct"/>
            <w:vAlign w:val="top"/>
          </w:tcPr>
          <w:p w:rsidR="00B3178E" w:rsidRPr="00B3178E" w:rsidRDefault="00B3178E" w:rsidP="00B3178E">
            <w:pPr>
              <w:pStyle w:val="AERtabletextleft"/>
            </w:pPr>
            <w:r w:rsidRPr="00C57F5F">
              <w:t>Nominal WACC</w:t>
            </w:r>
          </w:p>
        </w:tc>
        <w:tc>
          <w:tcPr>
            <w:tcW w:w="765" w:type="pct"/>
          </w:tcPr>
          <w:p w:rsidR="00B3178E" w:rsidRPr="00B3178E" w:rsidRDefault="00B3178E" w:rsidP="00B3178E">
            <w:pPr>
              <w:pStyle w:val="AERtabletextright"/>
            </w:pPr>
            <w:r w:rsidRPr="00C57F5F">
              <w:t>8.28%</w:t>
            </w:r>
          </w:p>
        </w:tc>
        <w:tc>
          <w:tcPr>
            <w:tcW w:w="765" w:type="pct"/>
          </w:tcPr>
          <w:p w:rsidR="00B3178E" w:rsidRPr="00B3178E" w:rsidRDefault="00B3178E" w:rsidP="00B3178E">
            <w:pPr>
              <w:pStyle w:val="AERtabletextright"/>
            </w:pPr>
            <w:r w:rsidRPr="00C57F5F">
              <w:t>8.28%</w:t>
            </w:r>
          </w:p>
        </w:tc>
        <w:tc>
          <w:tcPr>
            <w:tcW w:w="765" w:type="pct"/>
          </w:tcPr>
          <w:p w:rsidR="00B3178E" w:rsidRPr="00B3178E" w:rsidRDefault="00B3178E" w:rsidP="00B3178E">
            <w:pPr>
              <w:pStyle w:val="AERtabletextright"/>
            </w:pPr>
            <w:proofErr w:type="spellStart"/>
            <w:r w:rsidRPr="00C57F5F">
              <w:t>na</w:t>
            </w:r>
            <w:proofErr w:type="spellEnd"/>
          </w:p>
        </w:tc>
      </w:tr>
      <w:tr w:rsidR="00B3178E" w:rsidTr="0055520E">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B3178E" w:rsidRPr="00B3178E" w:rsidRDefault="00B3178E" w:rsidP="00B3178E">
            <w:pPr>
              <w:pStyle w:val="AERtabletextleft"/>
            </w:pPr>
            <w:r w:rsidRPr="00C57F5F">
              <w:t>Opening balance</w:t>
            </w:r>
          </w:p>
        </w:tc>
        <w:tc>
          <w:tcPr>
            <w:tcW w:w="765" w:type="pct"/>
          </w:tcPr>
          <w:p w:rsidR="00B3178E" w:rsidRPr="00B3178E" w:rsidRDefault="00B3178E" w:rsidP="00B3178E">
            <w:pPr>
              <w:pStyle w:val="AERtabletextright"/>
            </w:pPr>
            <w:r w:rsidRPr="00C57F5F">
              <w:t>0</w:t>
            </w:r>
          </w:p>
        </w:tc>
        <w:tc>
          <w:tcPr>
            <w:tcW w:w="765" w:type="pct"/>
          </w:tcPr>
          <w:p w:rsidR="00B3178E" w:rsidRPr="00B3178E" w:rsidRDefault="00B3178E" w:rsidP="00B3178E">
            <w:pPr>
              <w:pStyle w:val="AERtabletextright"/>
            </w:pPr>
            <w:r w:rsidRPr="00C57F5F">
              <w:t>5,948</w:t>
            </w:r>
          </w:p>
        </w:tc>
        <w:tc>
          <w:tcPr>
            <w:tcW w:w="765" w:type="pct"/>
          </w:tcPr>
          <w:p w:rsidR="00B3178E" w:rsidRPr="00B3178E" w:rsidRDefault="00B3178E" w:rsidP="00B3178E">
            <w:pPr>
              <w:pStyle w:val="AERtabletextright"/>
            </w:pPr>
            <w:r w:rsidRPr="00C57F5F">
              <w:t>2,494</w:t>
            </w:r>
          </w:p>
        </w:tc>
      </w:tr>
      <w:tr w:rsidR="00B3178E" w:rsidTr="0055520E">
        <w:tc>
          <w:tcPr>
            <w:tcW w:w="2705" w:type="pct"/>
            <w:vAlign w:val="top"/>
          </w:tcPr>
          <w:p w:rsidR="00B3178E" w:rsidRPr="00B3178E" w:rsidRDefault="00B3178E" w:rsidP="00B3178E">
            <w:pPr>
              <w:pStyle w:val="AERtabletextleft"/>
            </w:pPr>
            <w:r w:rsidRPr="00C57F5F">
              <w:t xml:space="preserve">Interest on </w:t>
            </w:r>
            <w:r w:rsidRPr="00B3178E">
              <w:t>opening balance</w:t>
            </w:r>
          </w:p>
        </w:tc>
        <w:tc>
          <w:tcPr>
            <w:tcW w:w="765" w:type="pct"/>
          </w:tcPr>
          <w:p w:rsidR="00B3178E" w:rsidRPr="00B3178E" w:rsidRDefault="00B3178E" w:rsidP="00B3178E">
            <w:pPr>
              <w:pStyle w:val="AERtabletextright"/>
            </w:pPr>
            <w:r w:rsidRPr="00C57F5F">
              <w:t>0</w:t>
            </w:r>
          </w:p>
        </w:tc>
        <w:tc>
          <w:tcPr>
            <w:tcW w:w="765" w:type="pct"/>
          </w:tcPr>
          <w:p w:rsidR="00B3178E" w:rsidRPr="00B3178E" w:rsidRDefault="00B3178E" w:rsidP="00B3178E">
            <w:pPr>
              <w:pStyle w:val="AERtabletextright"/>
            </w:pPr>
            <w:r w:rsidRPr="00C57F5F">
              <w:t xml:space="preserve">                   493 </w:t>
            </w:r>
          </w:p>
        </w:tc>
        <w:tc>
          <w:tcPr>
            <w:tcW w:w="765" w:type="pct"/>
          </w:tcPr>
          <w:p w:rsidR="00B3178E" w:rsidRPr="00B3178E" w:rsidRDefault="00B3178E" w:rsidP="00B3178E">
            <w:pPr>
              <w:pStyle w:val="AERtabletextright"/>
            </w:pPr>
            <w:r w:rsidRPr="00C57F5F">
              <w:t xml:space="preserve"> </w:t>
            </w:r>
            <w:proofErr w:type="spellStart"/>
            <w:r w:rsidRPr="00C57F5F">
              <w:t>na</w:t>
            </w:r>
            <w:proofErr w:type="spellEnd"/>
            <w:r w:rsidRPr="00C57F5F">
              <w:t xml:space="preserve"> </w:t>
            </w:r>
          </w:p>
        </w:tc>
      </w:tr>
      <w:tr w:rsidR="00B3178E" w:rsidTr="0055520E">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B3178E" w:rsidRPr="00B3178E" w:rsidRDefault="00B3178E" w:rsidP="00B3178E">
            <w:pPr>
              <w:pStyle w:val="AERtabletextleft"/>
            </w:pPr>
            <w:r w:rsidRPr="00C57F5F">
              <w:t>Under/over recovery for regulatory year</w:t>
            </w:r>
          </w:p>
        </w:tc>
        <w:tc>
          <w:tcPr>
            <w:tcW w:w="765" w:type="pct"/>
          </w:tcPr>
          <w:p w:rsidR="00B3178E" w:rsidRPr="00B3178E" w:rsidRDefault="00B3178E" w:rsidP="00B3178E">
            <w:pPr>
              <w:pStyle w:val="AERtabletextright"/>
            </w:pPr>
            <w:r w:rsidRPr="00C57F5F">
              <w:t>5,712</w:t>
            </w:r>
          </w:p>
        </w:tc>
        <w:tc>
          <w:tcPr>
            <w:tcW w:w="765" w:type="pct"/>
          </w:tcPr>
          <w:p w:rsidR="00B3178E" w:rsidRPr="00B3178E" w:rsidRDefault="00B3178E" w:rsidP="00B3178E">
            <w:pPr>
              <w:pStyle w:val="AERtabletextright"/>
            </w:pPr>
            <w:r w:rsidRPr="00C57F5F">
              <w:t>-3,790</w:t>
            </w:r>
          </w:p>
        </w:tc>
        <w:tc>
          <w:tcPr>
            <w:tcW w:w="765" w:type="pct"/>
          </w:tcPr>
          <w:p w:rsidR="00B3178E" w:rsidRPr="00B3178E" w:rsidRDefault="00B3178E" w:rsidP="00B3178E">
            <w:pPr>
              <w:pStyle w:val="AERtabletextright"/>
            </w:pPr>
            <w:r w:rsidRPr="00C57F5F">
              <w:t>-2,494</w:t>
            </w:r>
          </w:p>
        </w:tc>
      </w:tr>
      <w:tr w:rsidR="00B3178E" w:rsidTr="0055520E">
        <w:tc>
          <w:tcPr>
            <w:tcW w:w="2705" w:type="pct"/>
            <w:vAlign w:val="top"/>
          </w:tcPr>
          <w:p w:rsidR="00B3178E" w:rsidRPr="00B3178E" w:rsidRDefault="00B3178E" w:rsidP="00B3178E">
            <w:pPr>
              <w:pStyle w:val="AERtabletextleft"/>
            </w:pPr>
            <w:r w:rsidRPr="00C57F5F">
              <w:t>Interest on under/over recovery for regulatory year</w:t>
            </w:r>
          </w:p>
        </w:tc>
        <w:tc>
          <w:tcPr>
            <w:tcW w:w="765" w:type="pct"/>
          </w:tcPr>
          <w:p w:rsidR="00B3178E" w:rsidRPr="00B3178E" w:rsidRDefault="00B3178E" w:rsidP="00B3178E">
            <w:pPr>
              <w:pStyle w:val="AERtabletextright"/>
            </w:pPr>
            <w:r w:rsidRPr="00C57F5F">
              <w:t>236</w:t>
            </w:r>
          </w:p>
        </w:tc>
        <w:tc>
          <w:tcPr>
            <w:tcW w:w="765" w:type="pct"/>
          </w:tcPr>
          <w:p w:rsidR="00B3178E" w:rsidRPr="00B3178E" w:rsidRDefault="00B3178E" w:rsidP="00B3178E">
            <w:pPr>
              <w:pStyle w:val="AERtabletextright"/>
            </w:pPr>
            <w:r w:rsidRPr="00C57F5F">
              <w:t>-157</w:t>
            </w:r>
          </w:p>
        </w:tc>
        <w:tc>
          <w:tcPr>
            <w:tcW w:w="765" w:type="pct"/>
          </w:tcPr>
          <w:p w:rsidR="00B3178E" w:rsidRPr="00B3178E" w:rsidRDefault="00B3178E" w:rsidP="00B3178E">
            <w:pPr>
              <w:pStyle w:val="AERtabletextright"/>
            </w:pPr>
            <w:proofErr w:type="spellStart"/>
            <w:r w:rsidRPr="00C57F5F">
              <w:t>na</w:t>
            </w:r>
            <w:proofErr w:type="spellEnd"/>
          </w:p>
        </w:tc>
      </w:tr>
      <w:tr w:rsidR="00B3178E" w:rsidTr="0055520E">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B3178E" w:rsidRPr="00B3178E" w:rsidRDefault="00B3178E" w:rsidP="00B3178E">
            <w:pPr>
              <w:pStyle w:val="AERtabletextleft"/>
            </w:pPr>
            <w:r w:rsidRPr="00C57F5F">
              <w:t>Closing balance</w:t>
            </w:r>
          </w:p>
        </w:tc>
        <w:tc>
          <w:tcPr>
            <w:tcW w:w="765" w:type="pct"/>
          </w:tcPr>
          <w:p w:rsidR="00B3178E" w:rsidRPr="00B3178E" w:rsidRDefault="00B3178E" w:rsidP="00B3178E">
            <w:pPr>
              <w:pStyle w:val="AERtabletextright"/>
            </w:pPr>
            <w:r w:rsidRPr="00C57F5F">
              <w:t>5,948</w:t>
            </w:r>
          </w:p>
        </w:tc>
        <w:tc>
          <w:tcPr>
            <w:tcW w:w="765" w:type="pct"/>
          </w:tcPr>
          <w:p w:rsidR="00B3178E" w:rsidRPr="00B3178E" w:rsidRDefault="00B3178E" w:rsidP="00B3178E">
            <w:pPr>
              <w:pStyle w:val="AERtabletextright"/>
            </w:pPr>
            <w:r w:rsidRPr="00C57F5F">
              <w:t>2,494</w:t>
            </w:r>
          </w:p>
        </w:tc>
        <w:tc>
          <w:tcPr>
            <w:tcW w:w="765" w:type="pct"/>
          </w:tcPr>
          <w:p w:rsidR="00B3178E" w:rsidRPr="00B3178E" w:rsidRDefault="00B3178E" w:rsidP="00B3178E">
            <w:pPr>
              <w:pStyle w:val="AERtabletextright"/>
            </w:pPr>
            <w:r w:rsidRPr="00C57F5F">
              <w:t>0</w:t>
            </w:r>
            <w:r w:rsidRPr="00B3178E">
              <w:rPr>
                <w:rStyle w:val="AERsuperscript"/>
              </w:rPr>
              <w:t>b</w:t>
            </w:r>
          </w:p>
        </w:tc>
      </w:tr>
    </w:tbl>
    <w:p w:rsidR="00B3178E" w:rsidRPr="00C366E5" w:rsidRDefault="00B3178E" w:rsidP="00B3178E">
      <w:pPr>
        <w:pStyle w:val="AERtablesource"/>
      </w:pPr>
      <w:r w:rsidRPr="00C366E5">
        <w:t>Notes:</w:t>
      </w:r>
      <w:r w:rsidRPr="00C366E5">
        <w:tab/>
        <w:t xml:space="preserve">(a) Forecast revenue from </w:t>
      </w:r>
      <w:proofErr w:type="spellStart"/>
      <w:r w:rsidRPr="00C366E5">
        <w:t>TU</w:t>
      </w:r>
      <w:r>
        <w:t>o</w:t>
      </w:r>
      <w:r w:rsidRPr="00C366E5">
        <w:t>S</w:t>
      </w:r>
      <w:proofErr w:type="spellEnd"/>
      <w:r w:rsidRPr="00C366E5">
        <w:t xml:space="preserve"> charges will be set to achieve an expected zero balance in the </w:t>
      </w:r>
      <w:proofErr w:type="spellStart"/>
      <w:r>
        <w:t>TUoS</w:t>
      </w:r>
      <w:proofErr w:type="spellEnd"/>
      <w:r w:rsidRPr="00C366E5">
        <w:t xml:space="preserve"> </w:t>
      </w:r>
      <w:proofErr w:type="spellStart"/>
      <w:r w:rsidRPr="00C366E5">
        <w:t>unders</w:t>
      </w:r>
      <w:proofErr w:type="spellEnd"/>
      <w:r w:rsidRPr="00C366E5">
        <w:t xml:space="preserve"> and overs account for year t.</w:t>
      </w:r>
    </w:p>
    <w:p w:rsidR="00B3178E" w:rsidRDefault="00B3178E" w:rsidP="00B3178E">
      <w:pPr>
        <w:pStyle w:val="AERtablesource"/>
      </w:pPr>
      <w:r>
        <w:tab/>
        <w:t xml:space="preserve">(b) </w:t>
      </w:r>
      <w:r w:rsidRPr="00C57F5F">
        <w:t xml:space="preserve">This figure will be the under/over adjustment approved by the regulator for year t-1 for the annual price approval process in two </w:t>
      </w:r>
      <w:r w:rsidR="001525C7" w:rsidRPr="00C57F5F">
        <w:t>years' time</w:t>
      </w:r>
      <w:r w:rsidRPr="00C57F5F">
        <w:t>.</w:t>
      </w:r>
      <w:r>
        <w:t xml:space="preserve"> </w:t>
      </w:r>
    </w:p>
    <w:p w:rsidR="00B3178E" w:rsidRDefault="00B3178E" w:rsidP="00B3178E">
      <w:pPr>
        <w:pStyle w:val="Heading7"/>
      </w:pPr>
      <w:bookmarkStart w:id="27" w:name="_Toc404616790"/>
      <w:r>
        <w:t>Reporting on recovery of jurisdictional schemes</w:t>
      </w:r>
      <w:bookmarkEnd w:id="27"/>
    </w:p>
    <w:p w:rsidR="00B3178E" w:rsidRPr="005E6780" w:rsidRDefault="00B3178E" w:rsidP="00B3178E">
      <w:pPr>
        <w:pStyle w:val="AERbodytext"/>
      </w:pPr>
      <w:r w:rsidRPr="005E6780">
        <w:t xml:space="preserve">To demonstrate compliance with its distribution determination in the forthcoming regulatory control period, </w:t>
      </w:r>
      <w:r>
        <w:t>we</w:t>
      </w:r>
      <w:r w:rsidRPr="005E6780">
        <w:t xml:space="preserve"> require </w:t>
      </w:r>
      <w:r>
        <w:t>Endeavour Energy</w:t>
      </w:r>
      <w:r w:rsidRPr="005E6780">
        <w:t xml:space="preserve"> to maintain a </w:t>
      </w:r>
      <w:r>
        <w:t xml:space="preserve">jurisdictional scheme </w:t>
      </w:r>
      <w:r w:rsidRPr="005E6780">
        <w:t xml:space="preserve">unders and overs account. </w:t>
      </w:r>
      <w:r>
        <w:t xml:space="preserve">It </w:t>
      </w:r>
      <w:r w:rsidRPr="005E6780">
        <w:t xml:space="preserve">must provide information on this account to </w:t>
      </w:r>
      <w:r>
        <w:t>us in</w:t>
      </w:r>
      <w:r w:rsidRPr="005E6780">
        <w:t xml:space="preserve"> its</w:t>
      </w:r>
      <w:r>
        <w:t xml:space="preserve"> </w:t>
      </w:r>
      <w:r w:rsidRPr="005E6780">
        <w:t>annual pricing proposal.</w:t>
      </w:r>
      <w:r>
        <w:rPr>
          <w:rStyle w:val="FootnoteReference"/>
        </w:rPr>
        <w:footnoteReference w:id="28"/>
      </w:r>
      <w:r w:rsidRPr="005E6780">
        <w:t xml:space="preserve"> </w:t>
      </w:r>
    </w:p>
    <w:p w:rsidR="00B3178E" w:rsidRPr="005E6780" w:rsidRDefault="00B3178E" w:rsidP="00B3178E">
      <w:pPr>
        <w:pStyle w:val="AERbodytext"/>
      </w:pPr>
      <w:r>
        <w:t>Endeavour Energy</w:t>
      </w:r>
      <w:r w:rsidRPr="005E6780">
        <w:t xml:space="preserve"> must provide the amounts for the following entries in </w:t>
      </w:r>
      <w:r>
        <w:t>its</w:t>
      </w:r>
      <w:r w:rsidRPr="005E6780">
        <w:t xml:space="preserve"> </w:t>
      </w:r>
      <w:r>
        <w:t xml:space="preserve">jurisdictional schemes </w:t>
      </w:r>
      <w:r w:rsidRPr="005E6780">
        <w:t>unders and overs account for the most recently completed regulatory year (t-2), the current regulatory year (t-1) and the next regulatory year (t):</w:t>
      </w:r>
    </w:p>
    <w:p w:rsidR="00B3178E" w:rsidRPr="005E6780" w:rsidRDefault="00B3178E" w:rsidP="00B3178E">
      <w:pPr>
        <w:pStyle w:val="AERnumberedlistfirststyle"/>
      </w:pPr>
      <w:r w:rsidRPr="005E6780">
        <w:t>opening balance for year t-2, year t-1 and year t;</w:t>
      </w:r>
    </w:p>
    <w:p w:rsidR="00B3178E" w:rsidRPr="005E6780" w:rsidRDefault="00B3178E" w:rsidP="00B3178E">
      <w:pPr>
        <w:pStyle w:val="AERnumberedlistfirststyle"/>
      </w:pPr>
      <w:proofErr w:type="gramStart"/>
      <w:r w:rsidRPr="005E6780">
        <w:t>an</w:t>
      </w:r>
      <w:proofErr w:type="gramEnd"/>
      <w:r w:rsidRPr="005E6780">
        <w:t xml:space="preserve"> interest charge for one year on the opening balance in year t-2 and an interest charge for one year on the opening balance in year t-1. These adjustments are to be calculated using the approved nominal WACC. No such interest charge applies to the opening balance for year t;</w:t>
      </w:r>
    </w:p>
    <w:p w:rsidR="00B3178E" w:rsidRPr="005E6780" w:rsidRDefault="00B3178E" w:rsidP="00B3178E">
      <w:pPr>
        <w:pStyle w:val="AERnumberedlistfirststyle"/>
      </w:pPr>
      <w:r>
        <w:t xml:space="preserve">either </w:t>
      </w:r>
      <w:r w:rsidRPr="005E6780">
        <w:t>the amou</w:t>
      </w:r>
      <w:r>
        <w:t xml:space="preserve">nt of revenue recovered from jurisdictional </w:t>
      </w:r>
      <w:r w:rsidRPr="005E6780">
        <w:t>charges applied in respect of that year</w:t>
      </w:r>
      <w:r>
        <w:t xml:space="preserve"> </w:t>
      </w:r>
      <w:r w:rsidRPr="00F4525C">
        <w:t xml:space="preserve">or </w:t>
      </w:r>
      <w:r>
        <w:t xml:space="preserve">the amount </w:t>
      </w:r>
      <w:r w:rsidRPr="00F4525C">
        <w:t>included  in the operating expenditure allowance within the 2009–14 Distribution Determination</w:t>
      </w:r>
      <w:r>
        <w:t xml:space="preserve"> </w:t>
      </w:r>
      <w:r w:rsidRPr="00F4525C">
        <w:t>(as in the case of 2012</w:t>
      </w:r>
      <w:r>
        <w:t>–</w:t>
      </w:r>
      <w:r w:rsidRPr="00F4525C">
        <w:t>13 and 2013</w:t>
      </w:r>
      <w:r>
        <w:t>–</w:t>
      </w:r>
      <w:r w:rsidRPr="00F4525C">
        <w:t>14)</w:t>
      </w:r>
      <w:r w:rsidRPr="005E6780">
        <w:t xml:space="preserve">, less any under/over adjustment approved by the </w:t>
      </w:r>
      <w:r>
        <w:t>AER</w:t>
      </w:r>
      <w:r w:rsidRPr="005E6780">
        <w:t xml:space="preserve"> for year t-2 (in relation to year t-3) and year t-1, less the amounts of all </w:t>
      </w:r>
      <w:r>
        <w:t xml:space="preserve">jurisdictional scheme </w:t>
      </w:r>
      <w:r w:rsidRPr="005E6780">
        <w:t xml:space="preserve">related payments made by </w:t>
      </w:r>
      <w:r>
        <w:t>Endeavour Energy</w:t>
      </w:r>
      <w:r w:rsidRPr="005E6780">
        <w:t xml:space="preserve"> in respect of that year;</w:t>
      </w:r>
    </w:p>
    <w:p w:rsidR="00B3178E" w:rsidRPr="005E6780" w:rsidRDefault="00B3178E" w:rsidP="00B3178E">
      <w:pPr>
        <w:pStyle w:val="AERnumberedlistfirststyle"/>
      </w:pPr>
      <w:proofErr w:type="gramStart"/>
      <w:r w:rsidRPr="005E6780">
        <w:t>an</w:t>
      </w:r>
      <w:proofErr w:type="gramEnd"/>
      <w:r w:rsidRPr="005E6780">
        <w:t xml:space="preserve"> interest charge for one year related to the net amounts in item 3 for year t-2 and an interest charge for one year for year t-1. These adjustments are to be calculated using the approved nominal WACC. No such interest charge applies to the net amount in item 2 for year t;</w:t>
      </w:r>
    </w:p>
    <w:p w:rsidR="00B3178E" w:rsidRDefault="00B3178E" w:rsidP="00B3178E">
      <w:pPr>
        <w:pStyle w:val="AERnumberedlistfirststyle"/>
      </w:pPr>
      <w:proofErr w:type="gramStart"/>
      <w:r w:rsidRPr="005E6780">
        <w:t>the</w:t>
      </w:r>
      <w:proofErr w:type="gramEnd"/>
      <w:r w:rsidRPr="005E6780">
        <w:t xml:space="preserve"> total of items 1-4 to derive the closing balance for each year.</w:t>
      </w:r>
    </w:p>
    <w:p w:rsidR="00C65A70" w:rsidRDefault="00D96230" w:rsidP="00685CB3">
      <w:r>
        <w:t xml:space="preserve">An example of </w:t>
      </w:r>
      <w:r w:rsidRPr="00D96230">
        <w:t xml:space="preserve">the </w:t>
      </w:r>
      <w:r w:rsidR="001525C7">
        <w:t xml:space="preserve">reporting </w:t>
      </w:r>
      <w:r w:rsidRPr="00D96230">
        <w:t xml:space="preserve">format </w:t>
      </w:r>
      <w:r>
        <w:t xml:space="preserve">is </w:t>
      </w:r>
      <w:r w:rsidRPr="00D96230">
        <w:t xml:space="preserve">set out in </w:t>
      </w:r>
      <w:r>
        <w:t>T</w:t>
      </w:r>
      <w:r w:rsidRPr="00D96230">
        <w:t xml:space="preserve">able </w:t>
      </w:r>
      <w:r>
        <w:t>C</w:t>
      </w:r>
      <w:r w:rsidR="00FF4F3B">
        <w:t>–</w:t>
      </w:r>
      <w:r>
        <w:t>1</w:t>
      </w:r>
      <w:r w:rsidRPr="00D96230">
        <w:t>.</w:t>
      </w:r>
    </w:p>
    <w:p w:rsidR="00B3178E" w:rsidRDefault="00B3178E" w:rsidP="00685CB3"/>
    <w:p w:rsidR="00B3178E" w:rsidRDefault="00B3178E" w:rsidP="00685CB3"/>
    <w:p w:rsidR="00B3178E" w:rsidRDefault="00B3178E" w:rsidP="00685CB3"/>
    <w:p w:rsidR="00B3178E" w:rsidRDefault="00B3178E" w:rsidP="00685CB3"/>
    <w:p w:rsidR="00B3178E" w:rsidRDefault="00B3178E" w:rsidP="00685CB3"/>
    <w:p w:rsidR="00B3178E" w:rsidRDefault="00B3178E" w:rsidP="00685CB3"/>
    <w:p w:rsidR="00B3178E" w:rsidRDefault="00B3178E" w:rsidP="00685CB3"/>
    <w:p w:rsidR="00B3178E" w:rsidRDefault="00B3178E" w:rsidP="00685CB3"/>
    <w:p w:rsidR="00B3178E" w:rsidRDefault="00B3178E" w:rsidP="00685CB3"/>
    <w:p w:rsidR="00B3178E" w:rsidRDefault="00B3178E" w:rsidP="00685CB3"/>
    <w:p w:rsidR="00B3178E" w:rsidRDefault="00B3178E" w:rsidP="00685CB3"/>
    <w:p w:rsidR="00B3178E" w:rsidRDefault="00B3178E" w:rsidP="00B3178E">
      <w:pPr>
        <w:pStyle w:val="AERbodytext"/>
      </w:pPr>
    </w:p>
    <w:p w:rsidR="00B3178E" w:rsidRPr="00A47F79" w:rsidRDefault="00B3178E" w:rsidP="00B3178E">
      <w:pPr>
        <w:rPr>
          <w:rStyle w:val="AERtextbold"/>
        </w:rPr>
      </w:pPr>
      <w:r>
        <w:rPr>
          <w:rStyle w:val="AERtextbold"/>
        </w:rPr>
        <w:t>Table C</w:t>
      </w:r>
      <w:r w:rsidR="00FF4F3B">
        <w:rPr>
          <w:rStyle w:val="AERtextbold"/>
        </w:rPr>
        <w:t>–</w:t>
      </w:r>
      <w:r w:rsidRPr="00A47F79">
        <w:rPr>
          <w:rStyle w:val="AERtextbold"/>
        </w:rPr>
        <w:t>1:</w:t>
      </w:r>
      <w:r w:rsidRPr="00A47F79">
        <w:rPr>
          <w:rStyle w:val="AERtextbold"/>
        </w:rPr>
        <w:tab/>
        <w:t>Example calculation of jurisdictional unders and overs account ($000, nominal)</w:t>
      </w:r>
    </w:p>
    <w:tbl>
      <w:tblPr>
        <w:tblStyle w:val="AERtable-text"/>
        <w:tblW w:w="5000" w:type="pct"/>
        <w:tblLook w:val="04A0" w:firstRow="1" w:lastRow="0" w:firstColumn="1" w:lastColumn="0" w:noHBand="0" w:noVBand="1"/>
      </w:tblPr>
      <w:tblGrid>
        <w:gridCol w:w="5000"/>
        <w:gridCol w:w="1414"/>
        <w:gridCol w:w="1414"/>
        <w:gridCol w:w="1414"/>
      </w:tblGrid>
      <w:tr w:rsidR="00B3178E" w:rsidTr="0055520E">
        <w:trPr>
          <w:cnfStyle w:val="100000000000" w:firstRow="1" w:lastRow="0" w:firstColumn="0" w:lastColumn="0" w:oddVBand="0" w:evenVBand="0" w:oddHBand="0" w:evenHBand="0" w:firstRowFirstColumn="0" w:firstRowLastColumn="0" w:lastRowFirstColumn="0" w:lastRowLastColumn="0"/>
        </w:trPr>
        <w:tc>
          <w:tcPr>
            <w:tcW w:w="2705" w:type="pct"/>
          </w:tcPr>
          <w:p w:rsidR="00B3178E" w:rsidRPr="00C366E5" w:rsidRDefault="00B3178E" w:rsidP="00B3178E">
            <w:pPr>
              <w:pStyle w:val="AERbodytext"/>
            </w:pPr>
          </w:p>
        </w:tc>
        <w:tc>
          <w:tcPr>
            <w:tcW w:w="765" w:type="pct"/>
            <w:vAlign w:val="top"/>
          </w:tcPr>
          <w:p w:rsidR="00B3178E" w:rsidRPr="00B3178E" w:rsidRDefault="00B3178E" w:rsidP="00B3178E">
            <w:pPr>
              <w:pStyle w:val="AERtabletextright"/>
            </w:pPr>
            <w:r>
              <w:t>Y</w:t>
            </w:r>
            <w:r w:rsidRPr="00B3178E">
              <w:t>ear t–2 (actual)</w:t>
            </w:r>
          </w:p>
        </w:tc>
        <w:tc>
          <w:tcPr>
            <w:tcW w:w="765" w:type="pct"/>
            <w:vAlign w:val="top"/>
          </w:tcPr>
          <w:p w:rsidR="00B3178E" w:rsidRPr="00B3178E" w:rsidRDefault="00B3178E" w:rsidP="00B3178E">
            <w:pPr>
              <w:pStyle w:val="AERtabletextright"/>
            </w:pPr>
            <w:r>
              <w:t>Y</w:t>
            </w:r>
            <w:r w:rsidRPr="00B3178E">
              <w:t>ear t-1 (estimate)</w:t>
            </w:r>
          </w:p>
        </w:tc>
        <w:tc>
          <w:tcPr>
            <w:tcW w:w="765" w:type="pct"/>
            <w:vAlign w:val="top"/>
          </w:tcPr>
          <w:p w:rsidR="00B3178E" w:rsidRPr="00B3178E" w:rsidRDefault="00B3178E" w:rsidP="00B3178E">
            <w:pPr>
              <w:pStyle w:val="AERtabletextright"/>
            </w:pPr>
            <w:r>
              <w:t>Y</w:t>
            </w:r>
            <w:r w:rsidRPr="00B3178E">
              <w:t xml:space="preserve">ear </w:t>
            </w:r>
            <w:proofErr w:type="spellStart"/>
            <w:r w:rsidRPr="00B3178E">
              <w:t>t</w:t>
            </w:r>
            <w:proofErr w:type="spellEnd"/>
            <w:r w:rsidRPr="00B3178E">
              <w:t xml:space="preserve"> (forecast)</w:t>
            </w:r>
          </w:p>
        </w:tc>
      </w:tr>
      <w:tr w:rsidR="00B3178E" w:rsidTr="0055520E">
        <w:trPr>
          <w:trHeight w:val="373"/>
        </w:trPr>
        <w:tc>
          <w:tcPr>
            <w:tcW w:w="2705" w:type="pct"/>
            <w:vAlign w:val="top"/>
          </w:tcPr>
          <w:p w:rsidR="00B3178E" w:rsidRPr="00B3178E" w:rsidRDefault="00B3178E" w:rsidP="00B3178E">
            <w:pPr>
              <w:pStyle w:val="AERtabletextleft"/>
            </w:pPr>
            <w:r w:rsidRPr="0017781C">
              <w:t>Revenue from jurisdictional schemes</w:t>
            </w:r>
          </w:p>
        </w:tc>
        <w:tc>
          <w:tcPr>
            <w:tcW w:w="765" w:type="pct"/>
            <w:vAlign w:val="top"/>
          </w:tcPr>
          <w:p w:rsidR="00B3178E" w:rsidRPr="00B3178E" w:rsidRDefault="00B3178E" w:rsidP="00B3178E">
            <w:pPr>
              <w:pStyle w:val="AERtabletextright"/>
            </w:pPr>
            <w:r w:rsidRPr="0017781C">
              <w:t xml:space="preserve">        19,777 </w:t>
            </w:r>
          </w:p>
        </w:tc>
        <w:tc>
          <w:tcPr>
            <w:tcW w:w="765" w:type="pct"/>
            <w:vAlign w:val="top"/>
          </w:tcPr>
          <w:p w:rsidR="00B3178E" w:rsidRPr="00B3178E" w:rsidRDefault="00B3178E" w:rsidP="00B3178E">
            <w:pPr>
              <w:pStyle w:val="AERtabletextright"/>
            </w:pPr>
            <w:r w:rsidRPr="0017781C">
              <w:t xml:space="preserve">   23,121 </w:t>
            </w:r>
          </w:p>
        </w:tc>
        <w:tc>
          <w:tcPr>
            <w:tcW w:w="765" w:type="pct"/>
            <w:vAlign w:val="top"/>
          </w:tcPr>
          <w:p w:rsidR="00B3178E" w:rsidRPr="00B3178E" w:rsidRDefault="00B3178E" w:rsidP="00B3178E">
            <w:pPr>
              <w:pStyle w:val="AERtabletextright"/>
            </w:pPr>
            <w:r w:rsidRPr="0017781C">
              <w:t xml:space="preserve">             26,881 </w:t>
            </w:r>
          </w:p>
        </w:tc>
      </w:tr>
      <w:tr w:rsidR="00B3178E" w:rsidTr="0055520E">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B3178E" w:rsidRPr="00B3178E" w:rsidRDefault="00B3178E" w:rsidP="00B3178E">
            <w:r w:rsidRPr="0017781C">
              <w:t xml:space="preserve">Jurisdictional scheme 1 payments </w:t>
            </w:r>
          </w:p>
        </w:tc>
        <w:tc>
          <w:tcPr>
            <w:tcW w:w="765" w:type="pct"/>
            <w:vAlign w:val="top"/>
          </w:tcPr>
          <w:p w:rsidR="00B3178E" w:rsidRPr="00B3178E" w:rsidRDefault="00B3178E" w:rsidP="00B3178E">
            <w:pPr>
              <w:pStyle w:val="AERtabletextright"/>
            </w:pPr>
            <w:r w:rsidRPr="0017781C">
              <w:t xml:space="preserve">        14,159 </w:t>
            </w:r>
          </w:p>
        </w:tc>
        <w:tc>
          <w:tcPr>
            <w:tcW w:w="765" w:type="pct"/>
            <w:vAlign w:val="top"/>
          </w:tcPr>
          <w:p w:rsidR="00B3178E" w:rsidRPr="00B3178E" w:rsidRDefault="00B3178E" w:rsidP="00B3178E">
            <w:pPr>
              <w:pStyle w:val="AERtabletextright"/>
            </w:pPr>
            <w:r w:rsidRPr="0017781C">
              <w:t xml:space="preserve">  13,954 </w:t>
            </w:r>
          </w:p>
        </w:tc>
        <w:tc>
          <w:tcPr>
            <w:tcW w:w="765" w:type="pct"/>
            <w:vAlign w:val="top"/>
          </w:tcPr>
          <w:p w:rsidR="00B3178E" w:rsidRPr="00B3178E" w:rsidRDefault="00B3178E" w:rsidP="00B3178E">
            <w:pPr>
              <w:pStyle w:val="AERtabletextright"/>
            </w:pPr>
            <w:r w:rsidRPr="0017781C">
              <w:t xml:space="preserve">              13,961 </w:t>
            </w:r>
          </w:p>
        </w:tc>
      </w:tr>
      <w:tr w:rsidR="00B3178E" w:rsidTr="0055520E">
        <w:tc>
          <w:tcPr>
            <w:tcW w:w="2705" w:type="pct"/>
            <w:vAlign w:val="top"/>
          </w:tcPr>
          <w:p w:rsidR="00B3178E" w:rsidRPr="00B3178E" w:rsidRDefault="00B3178E" w:rsidP="00B3178E">
            <w:r w:rsidRPr="0017781C">
              <w:t xml:space="preserve">Jurisdictional scheme 2 payments </w:t>
            </w:r>
          </w:p>
        </w:tc>
        <w:tc>
          <w:tcPr>
            <w:tcW w:w="765" w:type="pct"/>
            <w:vAlign w:val="top"/>
          </w:tcPr>
          <w:p w:rsidR="00B3178E" w:rsidRPr="00B3178E" w:rsidRDefault="00B3178E" w:rsidP="00B3178E">
            <w:pPr>
              <w:pStyle w:val="AERtabletextright"/>
            </w:pPr>
            <w:r w:rsidRPr="0017781C">
              <w:t xml:space="preserve">         6,113 </w:t>
            </w:r>
          </w:p>
        </w:tc>
        <w:tc>
          <w:tcPr>
            <w:tcW w:w="765" w:type="pct"/>
            <w:vAlign w:val="top"/>
          </w:tcPr>
          <w:p w:rsidR="00B3178E" w:rsidRPr="00B3178E" w:rsidRDefault="00B3178E" w:rsidP="00B3178E">
            <w:pPr>
              <w:pStyle w:val="AERtabletextright"/>
            </w:pPr>
            <w:r w:rsidRPr="0017781C">
              <w:t xml:space="preserve">   7,005 </w:t>
            </w:r>
          </w:p>
        </w:tc>
        <w:tc>
          <w:tcPr>
            <w:tcW w:w="765" w:type="pct"/>
            <w:vAlign w:val="top"/>
          </w:tcPr>
          <w:p w:rsidR="00B3178E" w:rsidRPr="00B3178E" w:rsidRDefault="00B3178E" w:rsidP="00B3178E">
            <w:pPr>
              <w:pStyle w:val="AERtabletextright"/>
            </w:pPr>
            <w:r w:rsidRPr="0017781C">
              <w:t xml:space="preserve">              14,680 </w:t>
            </w:r>
          </w:p>
        </w:tc>
      </w:tr>
      <w:tr w:rsidR="00B3178E" w:rsidTr="0055520E">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B3178E" w:rsidRPr="00B3178E" w:rsidRDefault="00B3178E" w:rsidP="00B3178E">
            <w:pPr>
              <w:pStyle w:val="AERtabletextleft"/>
            </w:pPr>
            <w:r w:rsidRPr="0017781C">
              <w:t>Total payments form jurisdictional scheme</w:t>
            </w:r>
          </w:p>
        </w:tc>
        <w:tc>
          <w:tcPr>
            <w:tcW w:w="765" w:type="pct"/>
            <w:vAlign w:val="top"/>
          </w:tcPr>
          <w:p w:rsidR="00B3178E" w:rsidRPr="00B3178E" w:rsidRDefault="00B3178E" w:rsidP="00B3178E">
            <w:pPr>
              <w:pStyle w:val="AERtabletextright"/>
            </w:pPr>
            <w:r w:rsidRPr="0017781C">
              <w:t xml:space="preserve">       20,272 </w:t>
            </w:r>
          </w:p>
        </w:tc>
        <w:tc>
          <w:tcPr>
            <w:tcW w:w="765" w:type="pct"/>
            <w:vAlign w:val="top"/>
          </w:tcPr>
          <w:p w:rsidR="00B3178E" w:rsidRPr="00B3178E" w:rsidRDefault="00B3178E" w:rsidP="00B3178E">
            <w:pPr>
              <w:pStyle w:val="AERtabletextright"/>
            </w:pPr>
            <w:r w:rsidRPr="0017781C">
              <w:t xml:space="preserve"> 20,959 </w:t>
            </w:r>
          </w:p>
        </w:tc>
        <w:tc>
          <w:tcPr>
            <w:tcW w:w="765" w:type="pct"/>
            <w:vAlign w:val="top"/>
          </w:tcPr>
          <w:p w:rsidR="00B3178E" w:rsidRPr="00B3178E" w:rsidRDefault="00B3178E" w:rsidP="00B3178E">
            <w:pPr>
              <w:pStyle w:val="AERtabletextright"/>
            </w:pPr>
            <w:r w:rsidRPr="0017781C">
              <w:t xml:space="preserve">              28,641 </w:t>
            </w:r>
          </w:p>
        </w:tc>
      </w:tr>
      <w:tr w:rsidR="00B3178E" w:rsidTr="0055520E">
        <w:tc>
          <w:tcPr>
            <w:tcW w:w="2705" w:type="pct"/>
            <w:vAlign w:val="top"/>
          </w:tcPr>
          <w:p w:rsidR="00B3178E" w:rsidRPr="00B3178E" w:rsidRDefault="00B3178E" w:rsidP="00B3178E">
            <w:pPr>
              <w:pStyle w:val="AERtabletextleft"/>
            </w:pPr>
            <w:r w:rsidRPr="0017781C">
              <w:t>Over (under) recovery for financial year</w:t>
            </w:r>
          </w:p>
        </w:tc>
        <w:tc>
          <w:tcPr>
            <w:tcW w:w="765" w:type="pct"/>
            <w:vAlign w:val="top"/>
          </w:tcPr>
          <w:p w:rsidR="00B3178E" w:rsidRPr="00B3178E" w:rsidRDefault="00B3178E" w:rsidP="00B3178E">
            <w:pPr>
              <w:pStyle w:val="AERtabletextright"/>
            </w:pPr>
            <w:r w:rsidRPr="0017781C">
              <w:t>-495</w:t>
            </w:r>
          </w:p>
        </w:tc>
        <w:tc>
          <w:tcPr>
            <w:tcW w:w="765" w:type="pct"/>
            <w:vAlign w:val="top"/>
          </w:tcPr>
          <w:p w:rsidR="00B3178E" w:rsidRPr="00B3178E" w:rsidRDefault="00B3178E" w:rsidP="00B3178E">
            <w:pPr>
              <w:pStyle w:val="AERtabletextright"/>
            </w:pPr>
            <w:r w:rsidRPr="0017781C">
              <w:t>2162</w:t>
            </w:r>
          </w:p>
        </w:tc>
        <w:tc>
          <w:tcPr>
            <w:tcW w:w="765" w:type="pct"/>
            <w:vAlign w:val="top"/>
          </w:tcPr>
          <w:p w:rsidR="00B3178E" w:rsidRPr="00B3178E" w:rsidRDefault="00B3178E" w:rsidP="00B3178E">
            <w:pPr>
              <w:pStyle w:val="AERtabletextright"/>
            </w:pPr>
            <w:r w:rsidRPr="0017781C">
              <w:t>-1760</w:t>
            </w:r>
          </w:p>
        </w:tc>
      </w:tr>
      <w:tr w:rsidR="00B3178E" w:rsidTr="0055520E">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B3178E" w:rsidRPr="00B3178E" w:rsidRDefault="00B3178E" w:rsidP="00B3178E">
            <w:pPr>
              <w:rPr>
                <w:rStyle w:val="AERtextbold"/>
              </w:rPr>
            </w:pPr>
            <w:r w:rsidRPr="0017781C">
              <w:rPr>
                <w:rStyle w:val="AERtextbold"/>
              </w:rPr>
              <w:t>Overs and unders account</w:t>
            </w:r>
          </w:p>
        </w:tc>
        <w:tc>
          <w:tcPr>
            <w:tcW w:w="765" w:type="pct"/>
            <w:vAlign w:val="top"/>
          </w:tcPr>
          <w:p w:rsidR="00B3178E" w:rsidRPr="00B3178E" w:rsidRDefault="00B3178E" w:rsidP="00B3178E">
            <w:pPr>
              <w:pStyle w:val="AERtabletextright"/>
            </w:pPr>
            <w:r w:rsidRPr="0017781C">
              <w:t xml:space="preserve"> </w:t>
            </w:r>
          </w:p>
        </w:tc>
        <w:tc>
          <w:tcPr>
            <w:tcW w:w="765" w:type="pct"/>
            <w:vAlign w:val="top"/>
          </w:tcPr>
          <w:p w:rsidR="00B3178E" w:rsidRPr="00B3178E" w:rsidRDefault="00B3178E" w:rsidP="00B3178E">
            <w:pPr>
              <w:pStyle w:val="AERtabletextright"/>
            </w:pPr>
            <w:r w:rsidRPr="0017781C">
              <w:t xml:space="preserve"> </w:t>
            </w:r>
          </w:p>
        </w:tc>
        <w:tc>
          <w:tcPr>
            <w:tcW w:w="765" w:type="pct"/>
            <w:vAlign w:val="top"/>
          </w:tcPr>
          <w:p w:rsidR="00B3178E" w:rsidRPr="00B3178E" w:rsidRDefault="00B3178E" w:rsidP="00B3178E">
            <w:pPr>
              <w:pStyle w:val="AERtabletextright"/>
            </w:pPr>
            <w:r w:rsidRPr="0017781C">
              <w:t xml:space="preserve"> </w:t>
            </w:r>
          </w:p>
        </w:tc>
      </w:tr>
      <w:tr w:rsidR="00B3178E" w:rsidTr="0055520E">
        <w:tc>
          <w:tcPr>
            <w:tcW w:w="2705" w:type="pct"/>
            <w:vAlign w:val="top"/>
          </w:tcPr>
          <w:p w:rsidR="00B3178E" w:rsidRPr="00B3178E" w:rsidRDefault="00B3178E" w:rsidP="00B3178E">
            <w:r w:rsidRPr="0017781C">
              <w:t>Annual rate of interest applicable to balances</w:t>
            </w:r>
          </w:p>
        </w:tc>
        <w:tc>
          <w:tcPr>
            <w:tcW w:w="765" w:type="pct"/>
            <w:vAlign w:val="top"/>
          </w:tcPr>
          <w:p w:rsidR="00B3178E" w:rsidRPr="00B3178E" w:rsidRDefault="00B3178E" w:rsidP="00B3178E">
            <w:pPr>
              <w:pStyle w:val="AERtabletextright"/>
            </w:pPr>
            <w:r w:rsidRPr="0017781C">
              <w:t>8.79%</w:t>
            </w:r>
          </w:p>
        </w:tc>
        <w:tc>
          <w:tcPr>
            <w:tcW w:w="765" w:type="pct"/>
            <w:vAlign w:val="top"/>
          </w:tcPr>
          <w:p w:rsidR="00B3178E" w:rsidRPr="00B3178E" w:rsidRDefault="00B3178E" w:rsidP="00B3178E">
            <w:pPr>
              <w:pStyle w:val="AERtabletextright"/>
            </w:pPr>
            <w:r w:rsidRPr="0017781C">
              <w:t>8.79%</w:t>
            </w:r>
          </w:p>
        </w:tc>
        <w:tc>
          <w:tcPr>
            <w:tcW w:w="765" w:type="pct"/>
            <w:vAlign w:val="top"/>
          </w:tcPr>
          <w:p w:rsidR="00B3178E" w:rsidRPr="00B3178E" w:rsidRDefault="00B3178E" w:rsidP="00B3178E">
            <w:pPr>
              <w:pStyle w:val="AERtabletextright"/>
            </w:pPr>
            <w:r w:rsidRPr="0017781C">
              <w:t>8.06%</w:t>
            </w:r>
          </w:p>
        </w:tc>
      </w:tr>
      <w:tr w:rsidR="00B3178E" w:rsidTr="0055520E">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B3178E" w:rsidRPr="00B3178E" w:rsidRDefault="00B3178E" w:rsidP="00B3178E">
            <w:r w:rsidRPr="0017781C">
              <w:t xml:space="preserve">Opening balance </w:t>
            </w:r>
          </w:p>
        </w:tc>
        <w:tc>
          <w:tcPr>
            <w:tcW w:w="765" w:type="pct"/>
            <w:vAlign w:val="top"/>
          </w:tcPr>
          <w:p w:rsidR="00B3178E" w:rsidRPr="00B3178E" w:rsidRDefault="00B3178E" w:rsidP="00B3178E">
            <w:pPr>
              <w:pStyle w:val="AERtabletextright"/>
            </w:pPr>
            <w:r w:rsidRPr="0017781C">
              <w:t xml:space="preserve">           -   </w:t>
            </w:r>
          </w:p>
        </w:tc>
        <w:tc>
          <w:tcPr>
            <w:tcW w:w="765" w:type="pct"/>
            <w:vAlign w:val="top"/>
          </w:tcPr>
          <w:p w:rsidR="00B3178E" w:rsidRPr="00B3178E" w:rsidRDefault="00B3178E" w:rsidP="00B3178E">
            <w:pPr>
              <w:pStyle w:val="AERtabletextright"/>
            </w:pPr>
            <w:r w:rsidRPr="0017781C">
              <w:t xml:space="preserve">-     517 </w:t>
            </w:r>
          </w:p>
        </w:tc>
        <w:tc>
          <w:tcPr>
            <w:tcW w:w="765" w:type="pct"/>
            <w:vAlign w:val="top"/>
          </w:tcPr>
          <w:p w:rsidR="00B3178E" w:rsidRPr="00B3178E" w:rsidRDefault="00B3178E" w:rsidP="00B3178E">
            <w:pPr>
              <w:pStyle w:val="AERtabletextright"/>
            </w:pPr>
            <w:r w:rsidRPr="0017781C">
              <w:t xml:space="preserve">                 1,693 </w:t>
            </w:r>
          </w:p>
        </w:tc>
      </w:tr>
      <w:tr w:rsidR="00B3178E" w:rsidTr="0055520E">
        <w:tc>
          <w:tcPr>
            <w:tcW w:w="2705" w:type="pct"/>
            <w:vAlign w:val="top"/>
          </w:tcPr>
          <w:p w:rsidR="00B3178E" w:rsidRPr="00B3178E" w:rsidRDefault="00B3178E" w:rsidP="00B3178E">
            <w:r w:rsidRPr="0017781C">
              <w:t xml:space="preserve">Interest on opening balance </w:t>
            </w:r>
          </w:p>
        </w:tc>
        <w:tc>
          <w:tcPr>
            <w:tcW w:w="765" w:type="pct"/>
            <w:vAlign w:val="top"/>
          </w:tcPr>
          <w:p w:rsidR="00B3178E" w:rsidRPr="00B3178E" w:rsidRDefault="00B3178E" w:rsidP="00B3178E">
            <w:pPr>
              <w:pStyle w:val="AERtabletextright"/>
            </w:pPr>
            <w:r w:rsidRPr="0017781C">
              <w:t xml:space="preserve">           -   </w:t>
            </w:r>
          </w:p>
        </w:tc>
        <w:tc>
          <w:tcPr>
            <w:tcW w:w="765" w:type="pct"/>
            <w:vAlign w:val="top"/>
          </w:tcPr>
          <w:p w:rsidR="00B3178E" w:rsidRPr="00B3178E" w:rsidRDefault="00B3178E" w:rsidP="00B3178E">
            <w:pPr>
              <w:pStyle w:val="AERtabletextright"/>
            </w:pPr>
            <w:r w:rsidRPr="0017781C">
              <w:t xml:space="preserve">-     45 </w:t>
            </w:r>
          </w:p>
        </w:tc>
        <w:tc>
          <w:tcPr>
            <w:tcW w:w="765" w:type="pct"/>
            <w:vAlign w:val="top"/>
          </w:tcPr>
          <w:p w:rsidR="00B3178E" w:rsidRPr="00B3178E" w:rsidRDefault="00B3178E" w:rsidP="00B3178E">
            <w:pPr>
              <w:pStyle w:val="AERtabletextright"/>
            </w:pPr>
            <w:r w:rsidRPr="0017781C">
              <w:t xml:space="preserve">                    136 </w:t>
            </w:r>
          </w:p>
        </w:tc>
      </w:tr>
      <w:tr w:rsidR="00B3178E" w:rsidTr="0055520E">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B3178E" w:rsidRPr="00B3178E" w:rsidRDefault="00B3178E" w:rsidP="00B3178E">
            <w:r w:rsidRPr="0017781C">
              <w:t xml:space="preserve">Over/ under recovery for financial year </w:t>
            </w:r>
          </w:p>
        </w:tc>
        <w:tc>
          <w:tcPr>
            <w:tcW w:w="765" w:type="pct"/>
            <w:vAlign w:val="top"/>
          </w:tcPr>
          <w:p w:rsidR="00B3178E" w:rsidRPr="00B3178E" w:rsidRDefault="00B3178E" w:rsidP="00B3178E">
            <w:pPr>
              <w:pStyle w:val="AERtabletextright"/>
            </w:pPr>
            <w:r w:rsidRPr="0017781C">
              <w:t xml:space="preserve">-        495 </w:t>
            </w:r>
          </w:p>
        </w:tc>
        <w:tc>
          <w:tcPr>
            <w:tcW w:w="765" w:type="pct"/>
            <w:vAlign w:val="top"/>
          </w:tcPr>
          <w:p w:rsidR="00B3178E" w:rsidRPr="00B3178E" w:rsidRDefault="00B3178E" w:rsidP="00B3178E">
            <w:pPr>
              <w:pStyle w:val="AERtabletextright"/>
            </w:pPr>
            <w:r w:rsidRPr="0017781C">
              <w:t xml:space="preserve">    2,162 </w:t>
            </w:r>
          </w:p>
        </w:tc>
        <w:tc>
          <w:tcPr>
            <w:tcW w:w="765" w:type="pct"/>
            <w:vAlign w:val="top"/>
          </w:tcPr>
          <w:p w:rsidR="00B3178E" w:rsidRPr="00B3178E" w:rsidRDefault="00B3178E" w:rsidP="00B3178E">
            <w:pPr>
              <w:pStyle w:val="AERtabletextright"/>
            </w:pPr>
            <w:r w:rsidRPr="0017781C">
              <w:t xml:space="preserve">-1,760 </w:t>
            </w:r>
          </w:p>
        </w:tc>
      </w:tr>
      <w:tr w:rsidR="00B3178E" w:rsidTr="0055520E">
        <w:tc>
          <w:tcPr>
            <w:tcW w:w="2705" w:type="pct"/>
            <w:vAlign w:val="top"/>
          </w:tcPr>
          <w:p w:rsidR="00B3178E" w:rsidRPr="00B3178E" w:rsidRDefault="00B3178E" w:rsidP="00B3178E">
            <w:r w:rsidRPr="0017781C">
              <w:t xml:space="preserve">Interest on over/ under recovery </w:t>
            </w:r>
          </w:p>
        </w:tc>
        <w:tc>
          <w:tcPr>
            <w:tcW w:w="765" w:type="pct"/>
            <w:vAlign w:val="top"/>
          </w:tcPr>
          <w:p w:rsidR="00B3178E" w:rsidRPr="00B3178E" w:rsidRDefault="00B3178E" w:rsidP="00B3178E">
            <w:pPr>
              <w:pStyle w:val="AERtabletextright"/>
            </w:pPr>
            <w:r w:rsidRPr="0017781C">
              <w:t xml:space="preserve">-          22 </w:t>
            </w:r>
          </w:p>
        </w:tc>
        <w:tc>
          <w:tcPr>
            <w:tcW w:w="765" w:type="pct"/>
            <w:vAlign w:val="top"/>
          </w:tcPr>
          <w:p w:rsidR="00B3178E" w:rsidRPr="00B3178E" w:rsidRDefault="00B3178E" w:rsidP="00B3178E">
            <w:pPr>
              <w:pStyle w:val="AERtabletextright"/>
            </w:pPr>
            <w:r w:rsidRPr="0017781C">
              <w:t xml:space="preserve">       93 </w:t>
            </w:r>
          </w:p>
        </w:tc>
        <w:tc>
          <w:tcPr>
            <w:tcW w:w="765" w:type="pct"/>
            <w:vAlign w:val="top"/>
          </w:tcPr>
          <w:p w:rsidR="00B3178E" w:rsidRPr="00B3178E" w:rsidRDefault="00B3178E" w:rsidP="00B3178E">
            <w:pPr>
              <w:pStyle w:val="AERtabletextright"/>
            </w:pPr>
            <w:r w:rsidRPr="0017781C">
              <w:t xml:space="preserve">-69 </w:t>
            </w:r>
          </w:p>
        </w:tc>
      </w:tr>
      <w:tr w:rsidR="00B3178E" w:rsidTr="0055520E">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B3178E" w:rsidRPr="00B3178E" w:rsidRDefault="00B3178E" w:rsidP="00B3178E">
            <w:r w:rsidRPr="0017781C">
              <w:t xml:space="preserve">Closing balance </w:t>
            </w:r>
          </w:p>
        </w:tc>
        <w:tc>
          <w:tcPr>
            <w:tcW w:w="765" w:type="pct"/>
            <w:vAlign w:val="top"/>
          </w:tcPr>
          <w:p w:rsidR="00B3178E" w:rsidRPr="00B3178E" w:rsidRDefault="00B3178E" w:rsidP="00B3178E">
            <w:pPr>
              <w:pStyle w:val="AERtabletextright"/>
            </w:pPr>
            <w:r w:rsidRPr="0017781C">
              <w:t xml:space="preserve">-          517 </w:t>
            </w:r>
          </w:p>
        </w:tc>
        <w:tc>
          <w:tcPr>
            <w:tcW w:w="765" w:type="pct"/>
            <w:vAlign w:val="top"/>
          </w:tcPr>
          <w:p w:rsidR="00B3178E" w:rsidRPr="00B3178E" w:rsidRDefault="00B3178E" w:rsidP="00B3178E">
            <w:pPr>
              <w:pStyle w:val="AERtabletextright"/>
            </w:pPr>
            <w:r w:rsidRPr="0017781C">
              <w:t xml:space="preserve">    1,693 </w:t>
            </w:r>
          </w:p>
        </w:tc>
        <w:tc>
          <w:tcPr>
            <w:tcW w:w="765" w:type="pct"/>
            <w:vAlign w:val="top"/>
          </w:tcPr>
          <w:p w:rsidR="00B3178E" w:rsidRPr="00B3178E" w:rsidRDefault="00B3178E" w:rsidP="00B3178E">
            <w:pPr>
              <w:pStyle w:val="AERtabletextright"/>
            </w:pPr>
            <w:r w:rsidRPr="0017781C">
              <w:t xml:space="preserve">0 </w:t>
            </w:r>
          </w:p>
        </w:tc>
      </w:tr>
    </w:tbl>
    <w:p w:rsidR="00B3178E" w:rsidRDefault="00B3178E" w:rsidP="00B3178E">
      <w:pPr>
        <w:pStyle w:val="AERnumberedlistfirststyle"/>
        <w:numPr>
          <w:ilvl w:val="0"/>
          <w:numId w:val="0"/>
        </w:numPr>
        <w:ind w:left="357" w:hanging="357"/>
      </w:pPr>
    </w:p>
    <w:p w:rsidR="00B3178E" w:rsidRDefault="00B3178E" w:rsidP="00685CB3"/>
    <w:p w:rsidR="00B3178E" w:rsidRDefault="00B3178E" w:rsidP="00685CB3"/>
    <w:p w:rsidR="00B3178E" w:rsidRDefault="00B3178E" w:rsidP="00685CB3"/>
    <w:p w:rsidR="00B3178E" w:rsidRDefault="00B3178E" w:rsidP="00685CB3"/>
    <w:p w:rsidR="00B3178E" w:rsidRPr="00B3178E" w:rsidRDefault="00B3178E" w:rsidP="00B3178E">
      <w:pPr>
        <w:pStyle w:val="Heading7"/>
      </w:pPr>
      <w:bookmarkStart w:id="28" w:name="_Toc404616791"/>
      <w:r w:rsidRPr="00B3178E">
        <w:t xml:space="preserve">Assigning </w:t>
      </w:r>
      <w:r w:rsidR="00334D6C">
        <w:t xml:space="preserve">retail </w:t>
      </w:r>
      <w:r w:rsidRPr="00B3178E">
        <w:t>customers to tariff classes</w:t>
      </w:r>
      <w:bookmarkEnd w:id="28"/>
      <w:r w:rsidRPr="00B3178E">
        <w:t xml:space="preserve"> </w:t>
      </w:r>
    </w:p>
    <w:p w:rsidR="00B3178E" w:rsidRPr="000E4089" w:rsidRDefault="00B3178E" w:rsidP="00B3178E">
      <w:r w:rsidRPr="000E4089">
        <w:t xml:space="preserve">We are required to decide on the principles governing assignment or reassignment of </w:t>
      </w:r>
      <w:r w:rsidR="00334D6C">
        <w:t>retail customer</w:t>
      </w:r>
      <w:r w:rsidRPr="000E4089">
        <w:t>s to tariff classes.</w:t>
      </w:r>
      <w:r w:rsidRPr="000E4089">
        <w:rPr>
          <w:rStyle w:val="FootnoteReference"/>
        </w:rPr>
        <w:footnoteReference w:id="29"/>
      </w:r>
      <w:r w:rsidRPr="000E4089">
        <w:t xml:space="preserve"> </w:t>
      </w:r>
      <w:r>
        <w:t>Endeavour Energy</w:t>
      </w:r>
      <w:r w:rsidRPr="000E4089">
        <w:t xml:space="preserve"> proposes to assign </w:t>
      </w:r>
      <w:r w:rsidR="00334D6C">
        <w:t>retail customer</w:t>
      </w:r>
      <w:r w:rsidRPr="000E4089">
        <w:t xml:space="preserve">s into one of </w:t>
      </w:r>
      <w:r>
        <w:t>three</w:t>
      </w:r>
      <w:r w:rsidRPr="000E4089">
        <w:t xml:space="preserve"> classes of network users, namely:</w:t>
      </w:r>
    </w:p>
    <w:p w:rsidR="00B3178E" w:rsidRPr="000E4089" w:rsidRDefault="00B3178E" w:rsidP="00B3178E">
      <w:pPr>
        <w:pStyle w:val="AERbulletlistfirststyle"/>
      </w:pPr>
      <w:r w:rsidRPr="000E4089">
        <w:t>residential</w:t>
      </w:r>
    </w:p>
    <w:p w:rsidR="00B3178E" w:rsidRPr="000E4089" w:rsidRDefault="00B3178E" w:rsidP="00B3178E">
      <w:pPr>
        <w:pStyle w:val="AERbulletlistfirststyle"/>
      </w:pPr>
      <w:r>
        <w:t xml:space="preserve">small businesses </w:t>
      </w:r>
    </w:p>
    <w:p w:rsidR="00B3178E" w:rsidRDefault="00B3178E" w:rsidP="00B3178E">
      <w:pPr>
        <w:pStyle w:val="AERbulletlistfirststyle"/>
      </w:pPr>
      <w:proofErr w:type="gramStart"/>
      <w:r>
        <w:t>large</w:t>
      </w:r>
      <w:proofErr w:type="gramEnd"/>
      <w:r>
        <w:t xml:space="preserve"> businesses</w:t>
      </w:r>
      <w:r w:rsidRPr="000E4089">
        <w:t>.</w:t>
      </w:r>
    </w:p>
    <w:p w:rsidR="00B3178E" w:rsidRPr="00B3178E" w:rsidRDefault="00B3178E" w:rsidP="00863E2F">
      <w:r w:rsidRPr="00863E2F">
        <w:t xml:space="preserve">Endeavour Energy's tariff structures also vary depending on the type of meter installed at the </w:t>
      </w:r>
      <w:r w:rsidR="00334D6C">
        <w:t>retail customer</w:t>
      </w:r>
      <w:r w:rsidRPr="00863E2F">
        <w:t xml:space="preserve">’s premises for example interval meters (type 5) enable it to charge </w:t>
      </w:r>
      <w:r w:rsidR="00334D6C">
        <w:t>retail customer</w:t>
      </w:r>
      <w:r w:rsidRPr="00863E2F">
        <w:t>s a price depending on the time they use electricity (time of</w:t>
      </w:r>
      <w:r w:rsidRPr="00B3178E">
        <w:t xml:space="preserve"> use pricing).</w:t>
      </w:r>
      <w:r w:rsidRPr="00B3178E">
        <w:rPr>
          <w:rStyle w:val="FootnoteReference"/>
        </w:rPr>
        <w:footnoteReference w:id="30"/>
      </w:r>
    </w:p>
    <w:p w:rsidR="00B3178E" w:rsidRPr="000E4089" w:rsidRDefault="00B3178E" w:rsidP="00B3178E">
      <w:r>
        <w:t>Endeavour Energy</w:t>
      </w:r>
      <w:r w:rsidRPr="000E4089">
        <w:t xml:space="preserve"> proposed to assign </w:t>
      </w:r>
      <w:r w:rsidR="00334D6C">
        <w:t>retail customer</w:t>
      </w:r>
      <w:r w:rsidRPr="000E4089">
        <w:t xml:space="preserve">s into these classes in accordance with the requirements of the NER by taking into account: </w:t>
      </w:r>
    </w:p>
    <w:p w:rsidR="00B3178E" w:rsidRPr="000E4089" w:rsidRDefault="00B3178E" w:rsidP="00B3178E">
      <w:pPr>
        <w:pStyle w:val="AERbulletlistfirststyle"/>
      </w:pPr>
      <w:r w:rsidRPr="000E4089">
        <w:t>customer type, taking into account supply voltage and annual consumption;</w:t>
      </w:r>
    </w:p>
    <w:p w:rsidR="00B3178E" w:rsidRPr="000E4089" w:rsidRDefault="00B3178E" w:rsidP="00B3178E">
      <w:pPr>
        <w:pStyle w:val="AERbulletlistfirststyle"/>
      </w:pPr>
      <w:r w:rsidRPr="000E4089">
        <w:t>whether the connection is existing or new</w:t>
      </w:r>
    </w:p>
    <w:p w:rsidR="00B3178E" w:rsidRPr="000E4089" w:rsidRDefault="00B3178E" w:rsidP="00B3178E">
      <w:pPr>
        <w:pStyle w:val="AERbulletlistfirststyle"/>
      </w:pPr>
      <w:proofErr w:type="gramStart"/>
      <w:r w:rsidRPr="000E4089">
        <w:t>the</w:t>
      </w:r>
      <w:proofErr w:type="gramEnd"/>
      <w:r w:rsidRPr="000E4089">
        <w:t xml:space="preserve"> type of meter installed at the connection point.</w:t>
      </w:r>
      <w:r w:rsidRPr="000E4089">
        <w:rPr>
          <w:rStyle w:val="FootnoteReference"/>
        </w:rPr>
        <w:footnoteReference w:id="31"/>
      </w:r>
    </w:p>
    <w:p w:rsidR="00B3178E" w:rsidRPr="000E4089" w:rsidRDefault="00B3178E" w:rsidP="00B3178E">
      <w:r w:rsidRPr="000E4089">
        <w:t xml:space="preserve">Our decision on the principles that </w:t>
      </w:r>
      <w:r>
        <w:t>Endeavour Energy</w:t>
      </w:r>
      <w:r w:rsidRPr="000E4089">
        <w:t xml:space="preserve"> </w:t>
      </w:r>
      <w:r w:rsidR="00A05DFA">
        <w:t xml:space="preserve">must </w:t>
      </w:r>
      <w:r w:rsidRPr="000E4089">
        <w:t xml:space="preserve">adhere to </w:t>
      </w:r>
      <w:r w:rsidR="00A05DFA">
        <w:t>when</w:t>
      </w:r>
      <w:r w:rsidRPr="000E4089">
        <w:t xml:space="preserve"> assigning </w:t>
      </w:r>
      <w:r w:rsidR="00334D6C">
        <w:t>retail customer</w:t>
      </w:r>
      <w:r w:rsidRPr="000E4089">
        <w:t xml:space="preserve">s to tariff classes is outlined </w:t>
      </w:r>
      <w:r w:rsidR="00A05DFA">
        <w:t>in this section</w:t>
      </w:r>
      <w:r w:rsidRPr="000E4089">
        <w:t>.</w:t>
      </w:r>
    </w:p>
    <w:p w:rsidR="00B3178E" w:rsidRDefault="00B3178E" w:rsidP="00B3178E">
      <w:pPr>
        <w:pStyle w:val="Heading8"/>
      </w:pPr>
      <w:bookmarkStart w:id="29" w:name="_Toc387916743"/>
      <w:bookmarkStart w:id="30" w:name="_Toc404616792"/>
      <w:r>
        <w:t>AER's assessment approach</w:t>
      </w:r>
      <w:bookmarkEnd w:id="29"/>
      <w:bookmarkEnd w:id="30"/>
    </w:p>
    <w:p w:rsidR="00B3178E" w:rsidRPr="00813B40" w:rsidRDefault="00B3178E" w:rsidP="00B3178E">
      <w:pPr>
        <w:pStyle w:val="AERbodytext"/>
      </w:pPr>
      <w:r>
        <w:t xml:space="preserve">We apply the principles set out in clause 6.18.4 of the NER </w:t>
      </w:r>
      <w:r w:rsidRPr="00813B40">
        <w:t xml:space="preserve">when formulating the provisions which </w:t>
      </w:r>
      <w:r>
        <w:t xml:space="preserve">Endeavour Energy </w:t>
      </w:r>
      <w:r w:rsidRPr="00813B40">
        <w:t xml:space="preserve">must apply with assignment or re-assigning </w:t>
      </w:r>
      <w:r>
        <w:t xml:space="preserve">retail </w:t>
      </w:r>
      <w:r w:rsidRPr="00813B40">
        <w:t>customers to tariff classes</w:t>
      </w:r>
      <w:r>
        <w:t xml:space="preserve">. </w:t>
      </w:r>
      <w:r w:rsidRPr="00813B40">
        <w:t xml:space="preserve">A </w:t>
      </w:r>
      <w:r>
        <w:t>distributor's</w:t>
      </w:r>
      <w:r w:rsidRPr="00813B40">
        <w:t xml:space="preserve"> decision to assign a </w:t>
      </w:r>
      <w:r>
        <w:t xml:space="preserve">retail </w:t>
      </w:r>
      <w:r w:rsidRPr="00813B40">
        <w:t xml:space="preserve">customer to a particular tariff class or to re-assign a </w:t>
      </w:r>
      <w:r>
        <w:t xml:space="preserve">retail </w:t>
      </w:r>
      <w:r w:rsidRPr="00813B40">
        <w:t>customer from one tariff class to another should be subject to an effective system of assessment and review.</w:t>
      </w:r>
    </w:p>
    <w:p w:rsidR="00B3178E" w:rsidRDefault="00B3178E" w:rsidP="00B3178E">
      <w:pPr>
        <w:pStyle w:val="Heading8"/>
      </w:pPr>
      <w:bookmarkStart w:id="31" w:name="_Toc404616793"/>
      <w:r>
        <w:t>Reasons for draft decision</w:t>
      </w:r>
      <w:bookmarkEnd w:id="31"/>
    </w:p>
    <w:p w:rsidR="00B3178E" w:rsidRDefault="00B3178E" w:rsidP="00B3178E">
      <w:r>
        <w:t>We do not approve Endeavour Energy's proposed p</w:t>
      </w:r>
      <w:r w:rsidRPr="00C502E6">
        <w:t xml:space="preserve">rocedure for assigning </w:t>
      </w:r>
      <w:r>
        <w:t xml:space="preserve">retail </w:t>
      </w:r>
      <w:r w:rsidRPr="00C502E6">
        <w:t>customers to tariff classes</w:t>
      </w:r>
      <w:r>
        <w:t xml:space="preserve"> because it should be amended to allow retail customers additional protection when they object to being assigned and/or re-assigned to a particular of tariff class.</w:t>
      </w:r>
    </w:p>
    <w:p w:rsidR="00B3178E" w:rsidRDefault="00B3178E" w:rsidP="00B3178E">
      <w:pPr>
        <w:pStyle w:val="Heading8"/>
      </w:pPr>
      <w:bookmarkStart w:id="32" w:name="_Toc404616794"/>
      <w:r>
        <w:t xml:space="preserve">Reassignment existing </w:t>
      </w:r>
      <w:r w:rsidR="00334D6C">
        <w:t>retail customer</w:t>
      </w:r>
      <w:r>
        <w:t>s to a different tariff class</w:t>
      </w:r>
      <w:bookmarkEnd w:id="32"/>
    </w:p>
    <w:p w:rsidR="00BF7937" w:rsidRDefault="00B3178E" w:rsidP="00B3178E">
      <w:pPr>
        <w:pStyle w:val="AERbodytext"/>
      </w:pPr>
      <w:r>
        <w:t xml:space="preserve">Endeavour Energy's </w:t>
      </w:r>
      <w:r w:rsidR="00BF7937">
        <w:t xml:space="preserve">submitted that </w:t>
      </w:r>
      <w:r w:rsidRPr="008B2B18">
        <w:t>th</w:t>
      </w:r>
      <w:r w:rsidR="00BF7937">
        <w:t xml:space="preserve">e AEMC's draft rules concerning the tariff structure statement would </w:t>
      </w:r>
      <w:r w:rsidR="00956021">
        <w:t>supersede</w:t>
      </w:r>
      <w:r w:rsidR="00BF7937">
        <w:t xml:space="preserve"> the need for the AER to make a decision concerning the procedures to assign and re-assign retail customers</w:t>
      </w:r>
      <w:r w:rsidRPr="008B2B18">
        <w:t>.</w:t>
      </w:r>
      <w:r w:rsidR="00BF7937">
        <w:t xml:space="preserve"> Endeavour proposal also remove the provisions for:</w:t>
      </w:r>
    </w:p>
    <w:p w:rsidR="00B3178E" w:rsidRDefault="00BF7937" w:rsidP="00BF7937">
      <w:pPr>
        <w:pStyle w:val="AERbulletlistfirststyle"/>
      </w:pPr>
      <w:r>
        <w:t>o</w:t>
      </w:r>
      <w:r w:rsidRPr="00BF7937">
        <w:t>bjections to proposed assignments and reassignments</w:t>
      </w:r>
      <w:r>
        <w:t xml:space="preserve"> </w:t>
      </w:r>
      <w:r w:rsidR="00B3178E">
        <w:t xml:space="preserve"> </w:t>
      </w:r>
    </w:p>
    <w:p w:rsidR="00BF7937" w:rsidRPr="00BF7937" w:rsidRDefault="00BF7937" w:rsidP="00BF7937">
      <w:pPr>
        <w:pStyle w:val="AERbulletlistfirststyle"/>
      </w:pPr>
      <w:proofErr w:type="gramStart"/>
      <w:r>
        <w:t>s</w:t>
      </w:r>
      <w:r w:rsidRPr="00BF7937">
        <w:t>ystem</w:t>
      </w:r>
      <w:proofErr w:type="gramEnd"/>
      <w:r w:rsidRPr="00BF7937">
        <w:t xml:space="preserve"> of assessment and review of the basis on which a retail customer is charged</w:t>
      </w:r>
      <w:r>
        <w:t>.</w:t>
      </w:r>
      <w:r w:rsidR="00956021">
        <w:rPr>
          <w:rStyle w:val="FootnoteReference"/>
        </w:rPr>
        <w:footnoteReference w:id="32"/>
      </w:r>
    </w:p>
    <w:p w:rsidR="00BA0A94" w:rsidRDefault="00B3178E" w:rsidP="00B3178E">
      <w:pPr>
        <w:pStyle w:val="AERbodytext"/>
      </w:pPr>
      <w:r w:rsidRPr="00B7767E">
        <w:t xml:space="preserve">We do not approve </w:t>
      </w:r>
      <w:r>
        <w:t>Endeavour Energy</w:t>
      </w:r>
      <w:r w:rsidRPr="00B7767E">
        <w:t xml:space="preserve">'s proposal </w:t>
      </w:r>
      <w:r>
        <w:t>because</w:t>
      </w:r>
      <w:r w:rsidR="00BA0A94">
        <w:t>:</w:t>
      </w:r>
    </w:p>
    <w:p w:rsidR="00804386" w:rsidRPr="00804386" w:rsidRDefault="00804386" w:rsidP="00804386">
      <w:pPr>
        <w:pStyle w:val="AERbulletlistfirststyle"/>
      </w:pPr>
      <w:proofErr w:type="gramStart"/>
      <w:r w:rsidRPr="00804386">
        <w:t>we</w:t>
      </w:r>
      <w:proofErr w:type="gramEnd"/>
      <w:r w:rsidRPr="00804386">
        <w:t xml:space="preserve"> are considering Endeavour Energy's proposal under the NER provisions applicable at the time Endeavour Energy submitted its regulatory proposal. In our view, this is the legally correct approach, and this version will generally apply to our draft and final determinations (even where the NER are amended following the regulatory proposal), unless specific provision to the contrary is set out in any amending rule(s)</w:t>
      </w:r>
    </w:p>
    <w:p w:rsidR="00804386" w:rsidRPr="00804386" w:rsidRDefault="00804386" w:rsidP="00804386">
      <w:pPr>
        <w:pStyle w:val="AERbulletlistfirststyle"/>
      </w:pPr>
      <w:r w:rsidRPr="00804386">
        <w:t>therefore, we cannot make a decision on the basis of proposed future amendments to the NER which have not yet been implemented (such amendments currently being considered by the AMEC relating to the requirement for a tariff structure statement, and the AER's need to approve this)</w:t>
      </w:r>
    </w:p>
    <w:p w:rsidR="00804386" w:rsidRPr="00804386" w:rsidRDefault="00804386" w:rsidP="00804386">
      <w:pPr>
        <w:pStyle w:val="AERbulletlistfirststyle"/>
      </w:pPr>
      <w:proofErr w:type="gramStart"/>
      <w:r w:rsidRPr="00804386">
        <w:t>its</w:t>
      </w:r>
      <w:proofErr w:type="gramEnd"/>
      <w:r w:rsidRPr="00804386">
        <w:t xml:space="preserve"> proposal to remove the relevant provisions that would allow retail customers to object, request further information or find other mediation methods would restrict retail </w:t>
      </w:r>
      <w:r w:rsidR="001525C7" w:rsidRPr="00804386">
        <w:t>customers'</w:t>
      </w:r>
      <w:r w:rsidRPr="00804386">
        <w:t xml:space="preserve"> flexibility to seek recourse should they not agree with a tariff assignment or reassignment. This is contrary to the principles in NER clause 6.18.4(4)</w:t>
      </w:r>
    </w:p>
    <w:p w:rsidR="00BA0A94" w:rsidRPr="00BF7937" w:rsidRDefault="00804386" w:rsidP="00BA0A94">
      <w:pPr>
        <w:pStyle w:val="AERbulletlistfirststyle"/>
      </w:pPr>
      <w:proofErr w:type="gramStart"/>
      <w:r w:rsidRPr="00804386">
        <w:t>it</w:t>
      </w:r>
      <w:proofErr w:type="gramEnd"/>
      <w:r w:rsidRPr="00804386">
        <w:t xml:space="preserve"> did not explain why it considers that the removal of the system of assessment and review of the basis on which a retail customer is charged is justified</w:t>
      </w:r>
      <w:r w:rsidR="00BA0A94">
        <w:t>.</w:t>
      </w:r>
      <w:r w:rsidR="00BA0A94">
        <w:rPr>
          <w:rStyle w:val="FootnoteReference"/>
        </w:rPr>
        <w:footnoteReference w:id="33"/>
      </w:r>
    </w:p>
    <w:p w:rsidR="00B3178E" w:rsidRPr="00301EFB" w:rsidRDefault="00B3178E" w:rsidP="00B3178E">
      <w:pPr>
        <w:pStyle w:val="AERbodytext"/>
      </w:pPr>
      <w:r w:rsidRPr="00301EFB">
        <w:t xml:space="preserve">The procedures to be applied by </w:t>
      </w:r>
      <w:r>
        <w:t>Endeavour</w:t>
      </w:r>
      <w:r w:rsidRPr="00301EFB">
        <w:t xml:space="preserve"> Energy for assigning retail customers to tariff classes or re-assigning retail customers from one tariff class to another are specified </w:t>
      </w:r>
      <w:r>
        <w:t>below</w:t>
      </w:r>
      <w:r w:rsidRPr="00301EFB">
        <w:t>.</w:t>
      </w:r>
    </w:p>
    <w:p w:rsidR="00B3178E" w:rsidRPr="00BB6021" w:rsidRDefault="00B3178E" w:rsidP="00B3178E">
      <w:pPr>
        <w:pStyle w:val="Heading8"/>
      </w:pPr>
      <w:bookmarkStart w:id="33" w:name="_Toc404616795"/>
      <w:r w:rsidRPr="00BB6021">
        <w:t xml:space="preserve">Procedures for assigning or reassigning </w:t>
      </w:r>
      <w:r>
        <w:t xml:space="preserve">retail </w:t>
      </w:r>
      <w:r w:rsidRPr="00BB6021">
        <w:t>customers to tariff classes</w:t>
      </w:r>
      <w:bookmarkEnd w:id="33"/>
    </w:p>
    <w:p w:rsidR="00B3178E" w:rsidRPr="00BB6021" w:rsidRDefault="00B3178E" w:rsidP="00B3178E">
      <w:r w:rsidRPr="00BB6021">
        <w:t>The procedures outlined in this section apply to all direct control services.</w:t>
      </w:r>
    </w:p>
    <w:p w:rsidR="00B3178E" w:rsidRPr="00BB6021" w:rsidRDefault="00B3178E" w:rsidP="00B3178E">
      <w:pPr>
        <w:rPr>
          <w:rStyle w:val="AERtextbold"/>
        </w:rPr>
      </w:pPr>
      <w:r w:rsidRPr="00BB6021">
        <w:rPr>
          <w:rStyle w:val="AERtextbold"/>
        </w:rPr>
        <w:t xml:space="preserve">Assignment of existing </w:t>
      </w:r>
      <w:r>
        <w:rPr>
          <w:rStyle w:val="AERtextbold"/>
        </w:rPr>
        <w:t xml:space="preserve">retail </w:t>
      </w:r>
      <w:r w:rsidRPr="00BB6021">
        <w:rPr>
          <w:rStyle w:val="AERtextbold"/>
        </w:rPr>
        <w:t>customers to tariff classes at the commencement of the forthcoming regulatory control period</w:t>
      </w:r>
    </w:p>
    <w:p w:rsidR="00B3178E" w:rsidRPr="00BB6021" w:rsidRDefault="00B3178E" w:rsidP="00B3178E">
      <w:pPr>
        <w:pStyle w:val="AERnumberedlistfirststyle"/>
      </w:pPr>
      <w:r>
        <w:t>Endeavour Energy</w:t>
      </w:r>
      <w:r w:rsidRPr="00BB6021">
        <w:t xml:space="preserve">'s </w:t>
      </w:r>
      <w:r>
        <w:t xml:space="preserve">retail </w:t>
      </w:r>
      <w:r w:rsidRPr="00BB6021">
        <w:t xml:space="preserve">customers will be taken to be “assigned” to the tariff class which </w:t>
      </w:r>
      <w:r>
        <w:t>Endeavour Energy</w:t>
      </w:r>
      <w:r w:rsidRPr="00BB6021">
        <w:t xml:space="preserve"> was charging that </w:t>
      </w:r>
      <w:r>
        <w:t>retail customer</w:t>
      </w:r>
      <w:r w:rsidRPr="00BB6021">
        <w:t xml:space="preserve"> immediately prior to 1 July 2015 if:</w:t>
      </w:r>
    </w:p>
    <w:p w:rsidR="00B3178E" w:rsidRPr="00BB6021" w:rsidRDefault="00B3178E" w:rsidP="00B3178E">
      <w:pPr>
        <w:pStyle w:val="AERbulletlistfirststyle"/>
      </w:pPr>
      <w:r w:rsidRPr="00BB6021">
        <w:t xml:space="preserve">they were an </w:t>
      </w:r>
      <w:r>
        <w:t>Endeavour Energy</w:t>
      </w:r>
      <w:r w:rsidRPr="00BB6021">
        <w:t xml:space="preserve"> </w:t>
      </w:r>
      <w:r>
        <w:t>retail customer</w:t>
      </w:r>
      <w:r w:rsidRPr="00BB6021">
        <w:t xml:space="preserve"> prior to 1 July 2015</w:t>
      </w:r>
    </w:p>
    <w:p w:rsidR="00B3178E" w:rsidRPr="00BB6021" w:rsidRDefault="00B3178E" w:rsidP="00B3178E">
      <w:pPr>
        <w:pStyle w:val="AERbulletlistfirststyle"/>
      </w:pPr>
      <w:proofErr w:type="gramStart"/>
      <w:r w:rsidRPr="00BB6021">
        <w:t>continue</w:t>
      </w:r>
      <w:proofErr w:type="gramEnd"/>
      <w:r w:rsidRPr="00BB6021">
        <w:t xml:space="preserve"> to be a </w:t>
      </w:r>
      <w:r>
        <w:t>retail customer</w:t>
      </w:r>
      <w:r w:rsidRPr="00BB6021">
        <w:t xml:space="preserve"> of </w:t>
      </w:r>
      <w:r>
        <w:t>Endeavour Energy</w:t>
      </w:r>
      <w:r w:rsidRPr="00BB6021">
        <w:t xml:space="preserve"> as at 1 July 2015.</w:t>
      </w:r>
    </w:p>
    <w:p w:rsidR="00B3178E" w:rsidRPr="00BB6021" w:rsidRDefault="00B3178E" w:rsidP="00B3178E">
      <w:pPr>
        <w:rPr>
          <w:rStyle w:val="AERtextbold"/>
        </w:rPr>
      </w:pPr>
      <w:r w:rsidRPr="00BB6021">
        <w:rPr>
          <w:rStyle w:val="AERtextbold"/>
        </w:rPr>
        <w:t xml:space="preserve">Assignment of new </w:t>
      </w:r>
      <w:r>
        <w:rPr>
          <w:rStyle w:val="AERtextbold"/>
        </w:rPr>
        <w:t>retail customer</w:t>
      </w:r>
      <w:r w:rsidRPr="00BB6021">
        <w:rPr>
          <w:rStyle w:val="AERtextbold"/>
        </w:rPr>
        <w:t>s to a tariff class during the forthcoming regulatory control period</w:t>
      </w:r>
    </w:p>
    <w:p w:rsidR="00B3178E" w:rsidRPr="00BB6021" w:rsidRDefault="00B3178E" w:rsidP="00B3178E">
      <w:pPr>
        <w:pStyle w:val="AERnumberedlistfirststyle"/>
      </w:pPr>
      <w:r w:rsidRPr="00BB6021">
        <w:t xml:space="preserve">If, after 1 July 2015, </w:t>
      </w:r>
      <w:r>
        <w:t>Endeavour Energy</w:t>
      </w:r>
      <w:r w:rsidRPr="00BB6021">
        <w:t xml:space="preserve"> becomes aware that a person will become a </w:t>
      </w:r>
      <w:r>
        <w:t>retail customer</w:t>
      </w:r>
      <w:r w:rsidRPr="00BB6021">
        <w:t xml:space="preserve"> of </w:t>
      </w:r>
      <w:r>
        <w:t>Endeavour Energy</w:t>
      </w:r>
      <w:r w:rsidRPr="00BB6021">
        <w:t xml:space="preserve">, then </w:t>
      </w:r>
      <w:r>
        <w:t>Endeavour Energy</w:t>
      </w:r>
      <w:r w:rsidRPr="00BB6021">
        <w:t xml:space="preserve"> must determine the tariff class to which the new </w:t>
      </w:r>
      <w:r>
        <w:t>retail customer</w:t>
      </w:r>
      <w:r w:rsidRPr="00BB6021">
        <w:t xml:space="preserve"> will be assigned.</w:t>
      </w:r>
    </w:p>
    <w:p w:rsidR="00B3178E" w:rsidRPr="00BB6021" w:rsidRDefault="00B3178E" w:rsidP="00B3178E">
      <w:pPr>
        <w:pStyle w:val="AERnumberedlistfirststyle"/>
      </w:pPr>
      <w:r w:rsidRPr="00BB6021">
        <w:t xml:space="preserve">In determining the tariff class to which a </w:t>
      </w:r>
      <w:r>
        <w:t>retail customer</w:t>
      </w:r>
      <w:r w:rsidRPr="00BB6021">
        <w:t xml:space="preserve"> or potential </w:t>
      </w:r>
      <w:r>
        <w:t>retail customer</w:t>
      </w:r>
      <w:r w:rsidRPr="00BB6021">
        <w:t xml:space="preserve"> will be assigned, or reassigned, in accordance with paragraphs 2 or 5 of this section, </w:t>
      </w:r>
      <w:r>
        <w:t>Endeavour Energy</w:t>
      </w:r>
      <w:r w:rsidRPr="00BB6021">
        <w:t xml:space="preserve"> must take into account one or more of the following factors:</w:t>
      </w:r>
      <w:r w:rsidRPr="00BB6021">
        <w:rPr>
          <w:rStyle w:val="FootnoteReference"/>
        </w:rPr>
        <w:footnoteReference w:id="34"/>
      </w:r>
      <w:r w:rsidRPr="00BB6021">
        <w:t xml:space="preserve"> </w:t>
      </w:r>
    </w:p>
    <w:p w:rsidR="00B3178E" w:rsidRPr="00BB6021" w:rsidRDefault="00B3178E" w:rsidP="00B3178E">
      <w:pPr>
        <w:pStyle w:val="AERnumberedlistsecondstyle"/>
      </w:pPr>
      <w:r w:rsidRPr="00BB6021">
        <w:t xml:space="preserve">the nature and extent of the </w:t>
      </w:r>
      <w:r>
        <w:t>retail customer</w:t>
      </w:r>
      <w:r w:rsidRPr="00BB6021">
        <w:t>’s usage</w:t>
      </w:r>
    </w:p>
    <w:p w:rsidR="00B3178E" w:rsidRPr="00BB6021" w:rsidRDefault="00B3178E" w:rsidP="00B3178E">
      <w:pPr>
        <w:pStyle w:val="AERnumberedlistsecondstyle"/>
      </w:pPr>
      <w:r w:rsidRPr="00BB6021">
        <w:t xml:space="preserve">the nature of the </w:t>
      </w:r>
      <w:r>
        <w:t>retail customer</w:t>
      </w:r>
      <w:r w:rsidRPr="00BB6021">
        <w:t>’s connection to the network</w:t>
      </w:r>
      <w:r w:rsidRPr="00BB6021">
        <w:rPr>
          <w:rStyle w:val="FootnoteReference"/>
        </w:rPr>
        <w:footnoteReference w:id="35"/>
      </w:r>
      <w:r w:rsidRPr="00BB6021">
        <w:t xml:space="preserve">   </w:t>
      </w:r>
    </w:p>
    <w:p w:rsidR="00B3178E" w:rsidRPr="00BB6021" w:rsidRDefault="00B3178E" w:rsidP="00B3178E">
      <w:pPr>
        <w:pStyle w:val="AERnumberedlistsecondstyle"/>
      </w:pPr>
      <w:proofErr w:type="gramStart"/>
      <w:r w:rsidRPr="00BB6021">
        <w:t>whether</w:t>
      </w:r>
      <w:proofErr w:type="gramEnd"/>
      <w:r w:rsidRPr="00BB6021">
        <w:t xml:space="preserve"> remotely-read interval metering or other similar metering technology has been installed at the </w:t>
      </w:r>
      <w:r>
        <w:t>retail customer</w:t>
      </w:r>
      <w:r w:rsidRPr="00BB6021">
        <w:t>'s premises as a result of a regulatory obligation or requirement.</w:t>
      </w:r>
    </w:p>
    <w:p w:rsidR="00B3178E" w:rsidRPr="00BB6021" w:rsidRDefault="00B3178E" w:rsidP="00B3178E">
      <w:pPr>
        <w:pStyle w:val="AERnumberedlistfirststyle"/>
      </w:pPr>
      <w:r w:rsidRPr="00BB6021">
        <w:t xml:space="preserve">In addition to the requirements of paragraph 3 above, </w:t>
      </w:r>
      <w:r>
        <w:t>Endeavour Energy</w:t>
      </w:r>
      <w:r w:rsidRPr="00BB6021">
        <w:t xml:space="preserve">, when assigning or reassigning a </w:t>
      </w:r>
      <w:r>
        <w:t>retail customer</w:t>
      </w:r>
      <w:r w:rsidRPr="00BB6021">
        <w:t xml:space="preserve"> to a tariff class, must ensure:</w:t>
      </w:r>
    </w:p>
    <w:p w:rsidR="00B3178E" w:rsidRPr="00BB6021" w:rsidRDefault="00B3178E" w:rsidP="00B3178E">
      <w:pPr>
        <w:pStyle w:val="AERnumberedlistsecondstyle"/>
      </w:pPr>
      <w:r>
        <w:t>retail customer</w:t>
      </w:r>
      <w:r w:rsidRPr="00BB6021">
        <w:t>s with similar connection and usage profiles are treated equally</w:t>
      </w:r>
      <w:r w:rsidRPr="00BB6021">
        <w:rPr>
          <w:rStyle w:val="FootnoteReference"/>
        </w:rPr>
        <w:footnoteReference w:id="36"/>
      </w:r>
      <w:r w:rsidRPr="00BB6021">
        <w:t xml:space="preserve"> </w:t>
      </w:r>
    </w:p>
    <w:p w:rsidR="00B3178E" w:rsidRPr="00BB6021" w:rsidRDefault="00B3178E" w:rsidP="00B3178E">
      <w:pPr>
        <w:pStyle w:val="AERnumberedlistsecondstyle"/>
      </w:pPr>
      <w:proofErr w:type="gramStart"/>
      <w:r>
        <w:t>retail</w:t>
      </w:r>
      <w:proofErr w:type="gramEnd"/>
      <w:r>
        <w:t xml:space="preserve"> customer</w:t>
      </w:r>
      <w:r w:rsidRPr="00BB6021">
        <w:t xml:space="preserve">s who have micro–generation facilities are not treated less favourably than </w:t>
      </w:r>
      <w:r>
        <w:t>retail customer</w:t>
      </w:r>
      <w:r w:rsidRPr="00BB6021">
        <w:t>s with similar load profiles without such facilities.</w:t>
      </w:r>
      <w:r w:rsidRPr="00BB6021">
        <w:rPr>
          <w:rStyle w:val="FootnoteReference"/>
        </w:rPr>
        <w:footnoteReference w:id="37"/>
      </w:r>
      <w:r w:rsidRPr="00BB6021">
        <w:t xml:space="preserve"> </w:t>
      </w:r>
    </w:p>
    <w:p w:rsidR="00B3178E" w:rsidRDefault="00B3178E" w:rsidP="00B3178E">
      <w:pPr>
        <w:rPr>
          <w:rStyle w:val="AERtextbold"/>
        </w:rPr>
      </w:pPr>
      <w:r w:rsidRPr="00BB6021">
        <w:rPr>
          <w:rStyle w:val="AERtextbold"/>
        </w:rPr>
        <w:t xml:space="preserve">Reassignment of existing </w:t>
      </w:r>
      <w:r>
        <w:rPr>
          <w:rStyle w:val="AERtextbold"/>
        </w:rPr>
        <w:t>retail customer</w:t>
      </w:r>
      <w:r w:rsidRPr="00BB6021">
        <w:rPr>
          <w:rStyle w:val="AERtextbold"/>
        </w:rPr>
        <w:t>s to another existing or a new tariff during the next regulatory control period</w:t>
      </w:r>
    </w:p>
    <w:p w:rsidR="00B3178E" w:rsidRPr="00BB6021" w:rsidRDefault="00B3178E" w:rsidP="00B3178E">
      <w:pPr>
        <w:pStyle w:val="AERnumberedlistfirststyle"/>
      </w:pPr>
      <w:r>
        <w:t>Endeavour Energy</w:t>
      </w:r>
      <w:r w:rsidRPr="00BB6021">
        <w:t xml:space="preserve"> may reassign a </w:t>
      </w:r>
      <w:r>
        <w:t>retail customer</w:t>
      </w:r>
      <w:r w:rsidRPr="00BB6021">
        <w:t xml:space="preserve"> to another tariff class if the existing </w:t>
      </w:r>
      <w:r>
        <w:t>retail customer</w:t>
      </w:r>
      <w:r w:rsidRPr="00BB6021">
        <w:t xml:space="preserve">'s load characteristics or connection characteristics (or both) have changed such that it is no longer appropriate for that </w:t>
      </w:r>
      <w:r>
        <w:t>retail customer</w:t>
      </w:r>
      <w:r w:rsidRPr="00BB6021">
        <w:t xml:space="preserve"> to be assigned to the tariff class to which the </w:t>
      </w:r>
      <w:r>
        <w:t>retail customer</w:t>
      </w:r>
      <w:r w:rsidRPr="00BB6021">
        <w:t xml:space="preserve"> is currently assigned or a </w:t>
      </w:r>
      <w:r>
        <w:t>retail customer</w:t>
      </w:r>
      <w:r w:rsidRPr="00BB6021">
        <w:t xml:space="preserve"> no longer has the same or materially similar load or connection characteristics as other </w:t>
      </w:r>
      <w:r>
        <w:t>retail customer</w:t>
      </w:r>
      <w:r w:rsidRPr="00BB6021">
        <w:t xml:space="preserve">s on the </w:t>
      </w:r>
      <w:r>
        <w:t>retail customer</w:t>
      </w:r>
      <w:r w:rsidRPr="00BB6021">
        <w:t xml:space="preserve">’s existing tariff class, then it may reassign that </w:t>
      </w:r>
      <w:r>
        <w:t>retail customer</w:t>
      </w:r>
      <w:r w:rsidRPr="00BB6021">
        <w:t xml:space="preserve"> to another tariff class. In determining the tariff class to which a </w:t>
      </w:r>
      <w:r>
        <w:t>retail customer</w:t>
      </w:r>
      <w:r w:rsidRPr="00BB6021">
        <w:t xml:space="preserve"> will be reassigned, </w:t>
      </w:r>
      <w:r>
        <w:t>Endeavour Energy</w:t>
      </w:r>
      <w:r w:rsidRPr="00BB6021">
        <w:t xml:space="preserve"> must take into account paragraphs 3 and 4 above.</w:t>
      </w:r>
    </w:p>
    <w:p w:rsidR="00B3178E" w:rsidRPr="00BB6021" w:rsidRDefault="00B3178E" w:rsidP="00B3178E">
      <w:pPr>
        <w:rPr>
          <w:rStyle w:val="AERtextbold"/>
        </w:rPr>
      </w:pPr>
      <w:r w:rsidRPr="00BB6021">
        <w:rPr>
          <w:rStyle w:val="AERtextbold"/>
        </w:rPr>
        <w:t>Objections to proposed assignments and reassignments</w:t>
      </w:r>
    </w:p>
    <w:p w:rsidR="00B3178E" w:rsidRPr="00BB6021" w:rsidRDefault="00B3178E" w:rsidP="00B3178E">
      <w:pPr>
        <w:pStyle w:val="AERnumberedlistfirststyle"/>
      </w:pPr>
      <w:r>
        <w:t>Endeavour Energy</w:t>
      </w:r>
      <w:r w:rsidRPr="00BB6021">
        <w:t xml:space="preserve"> must notify a </w:t>
      </w:r>
      <w:r>
        <w:t>retail customer</w:t>
      </w:r>
      <w:r w:rsidRPr="00BB6021">
        <w:t xml:space="preserve"> in writing of the tariff class to which the </w:t>
      </w:r>
      <w:r>
        <w:t>retail customer</w:t>
      </w:r>
      <w:r w:rsidRPr="00BB6021">
        <w:t xml:space="preserve"> has been assigned or reassigned, prior to the assignment or reassignment occurring.</w:t>
      </w:r>
    </w:p>
    <w:p w:rsidR="00B3178E" w:rsidRPr="00BB6021" w:rsidRDefault="00B3178E" w:rsidP="00B3178E">
      <w:pPr>
        <w:pStyle w:val="AERnumberedlistfirststyle"/>
      </w:pPr>
      <w:r w:rsidRPr="00BB6021">
        <w:t xml:space="preserve">A notice under paragraph 6 above must include advice informing the </w:t>
      </w:r>
      <w:r>
        <w:t>retail customer</w:t>
      </w:r>
      <w:r w:rsidRPr="00BB6021">
        <w:t xml:space="preserve"> that they may request further information from </w:t>
      </w:r>
      <w:r>
        <w:t>Endeavour Energy</w:t>
      </w:r>
      <w:r w:rsidRPr="00BB6021">
        <w:t xml:space="preserve"> and that the </w:t>
      </w:r>
      <w:r>
        <w:t>retail customer</w:t>
      </w:r>
      <w:r w:rsidRPr="00BB6021">
        <w:t xml:space="preserve"> may object to the proposed reassignment. This notice must specifically include:</w:t>
      </w:r>
    </w:p>
    <w:p w:rsidR="00B3178E" w:rsidRPr="00BB6021" w:rsidRDefault="00B3178E" w:rsidP="00B3178E">
      <w:pPr>
        <w:pStyle w:val="AERnumberedlistsecondstyle"/>
      </w:pPr>
      <w:r w:rsidRPr="00BB6021">
        <w:t xml:space="preserve">a </w:t>
      </w:r>
      <w:r>
        <w:t>written document describing Endeavour Energy</w:t>
      </w:r>
      <w:r w:rsidRPr="00BB6021">
        <w:t>’s internal procedures for reviewing objections</w:t>
      </w:r>
      <w:r>
        <w:t>, if the retail customer provides express consent, a soft copy of such information via email</w:t>
      </w:r>
    </w:p>
    <w:p w:rsidR="00B3178E" w:rsidRPr="00BB6021" w:rsidRDefault="00B3178E" w:rsidP="00B3178E">
      <w:pPr>
        <w:pStyle w:val="AERnumberedlistsecondstyle"/>
      </w:pPr>
      <w:r w:rsidRPr="00BB6021">
        <w:t xml:space="preserve">that if the objection is not resolved to the satisfaction of the </w:t>
      </w:r>
      <w:r>
        <w:t>retail customer</w:t>
      </w:r>
      <w:r w:rsidRPr="00BB6021">
        <w:t xml:space="preserve"> under </w:t>
      </w:r>
      <w:r>
        <w:t>Endeavour Energy</w:t>
      </w:r>
      <w:r w:rsidRPr="00BB6021">
        <w:t>’s internal review system</w:t>
      </w:r>
      <w:r>
        <w:t xml:space="preserve"> within a reasonable timeframe</w:t>
      </w:r>
      <w:r w:rsidRPr="00BB6021">
        <w:t>, then</w:t>
      </w:r>
      <w:r>
        <w:t>,</w:t>
      </w:r>
      <w:r w:rsidRPr="00BB6021">
        <w:t xml:space="preserve"> to the extent resolution of such disputes are within the jurisdiction of the Energy and Water Ombudsman</w:t>
      </w:r>
      <w:r>
        <w:t xml:space="preserve"> or like officer,</w:t>
      </w:r>
      <w:r w:rsidRPr="00BB6021">
        <w:t xml:space="preserve"> the </w:t>
      </w:r>
      <w:r>
        <w:t>retail customer</w:t>
      </w:r>
      <w:r w:rsidRPr="00BB6021">
        <w:t xml:space="preserve"> is entitled to escalate the matter to such a body</w:t>
      </w:r>
    </w:p>
    <w:p w:rsidR="00B3178E" w:rsidRPr="00BB6021" w:rsidRDefault="00B3178E" w:rsidP="00B3178E">
      <w:pPr>
        <w:pStyle w:val="AERnumberedlistsecondstyle"/>
      </w:pPr>
      <w:r w:rsidRPr="00BB6021">
        <w:t xml:space="preserve">that if the objection is not resolved to the satisfaction of the </w:t>
      </w:r>
      <w:r>
        <w:t>retail customer</w:t>
      </w:r>
      <w:r w:rsidRPr="00BB6021">
        <w:t xml:space="preserve"> under </w:t>
      </w:r>
      <w:r>
        <w:t>Endeavour Energy</w:t>
      </w:r>
      <w:r w:rsidRPr="00BB6021">
        <w:t xml:space="preserve">’s internal review system and the body noted in clause 7.b. above, then the </w:t>
      </w:r>
      <w:r>
        <w:t>retail customer</w:t>
      </w:r>
      <w:r w:rsidRPr="00BB6021">
        <w:t xml:space="preserve"> is entitled to seek a decision of the AER via the dispute resolution process available under Part 10 of the NEL.</w:t>
      </w:r>
    </w:p>
    <w:p w:rsidR="00B3178E" w:rsidRPr="00BB6021" w:rsidRDefault="00B3178E" w:rsidP="00B3178E">
      <w:pPr>
        <w:pStyle w:val="AERnumberedlistfirststyle"/>
      </w:pPr>
      <w:r w:rsidRPr="00BB6021">
        <w:t xml:space="preserve">If, in response to a notice issued in accordance with paragraph 7 above, </w:t>
      </w:r>
      <w:r>
        <w:t>Endeavour Energy</w:t>
      </w:r>
      <w:r w:rsidRPr="00BB6021">
        <w:t xml:space="preserve"> receives a request for further information from a </w:t>
      </w:r>
      <w:r>
        <w:t>retail customer</w:t>
      </w:r>
      <w:r w:rsidRPr="00BB6021">
        <w:t>, then it must provide such information</w:t>
      </w:r>
      <w:r>
        <w:t xml:space="preserve"> within a reasonable timeframe</w:t>
      </w:r>
      <w:r w:rsidRPr="00BB6021">
        <w:t xml:space="preserve">. If </w:t>
      </w:r>
      <w:r>
        <w:t xml:space="preserve">Endeavour Energy reasonably claims confidentiality over </w:t>
      </w:r>
      <w:r w:rsidRPr="00BB6021">
        <w:t xml:space="preserve">any of the information requested by the </w:t>
      </w:r>
      <w:r>
        <w:t>retail customer,</w:t>
      </w:r>
      <w:r w:rsidRPr="00BB6021">
        <w:t xml:space="preserve"> then it is not required to provide that information to the </w:t>
      </w:r>
      <w:r>
        <w:t>retail customer</w:t>
      </w:r>
      <w:r w:rsidRPr="00BB6021">
        <w:t>.</w:t>
      </w:r>
      <w:r>
        <w:t xml:space="preserve"> If the retail customer disagrees with such confidentiality claims, he or she may have resort to the dispute resolution procedures referred to in sections 7(a)—(b) above, mutatis mutandis.</w:t>
      </w:r>
    </w:p>
    <w:p w:rsidR="00B3178E" w:rsidRPr="00BB6021" w:rsidRDefault="00B3178E" w:rsidP="00B3178E">
      <w:pPr>
        <w:pStyle w:val="AERnumberedlistfirststyle"/>
      </w:pPr>
      <w:r w:rsidRPr="00BB6021">
        <w:t xml:space="preserve">If, in response to a notice issued in accordance with paragraph 7 above, a </w:t>
      </w:r>
      <w:r>
        <w:t>retail customer</w:t>
      </w:r>
      <w:r w:rsidRPr="00BB6021">
        <w:t xml:space="preserve"> makes an objection to </w:t>
      </w:r>
      <w:r>
        <w:t>Endeavour Energy</w:t>
      </w:r>
      <w:r w:rsidRPr="00BB6021">
        <w:t xml:space="preserve"> about the proposed assignment or reassignment, </w:t>
      </w:r>
      <w:r>
        <w:t>Endeavour Energy</w:t>
      </w:r>
      <w:r w:rsidRPr="00BB6021">
        <w:t xml:space="preserve"> must reconsider the proposed assignment or reassignment. In doing so </w:t>
      </w:r>
      <w:r>
        <w:t>Endeavour Energy</w:t>
      </w:r>
      <w:r w:rsidRPr="00BB6021">
        <w:t xml:space="preserve"> must take into consideration the factors in paragraphs 3 and 4 above, and notify the </w:t>
      </w:r>
      <w:r>
        <w:t>retail customer</w:t>
      </w:r>
      <w:r w:rsidRPr="00BB6021">
        <w:t xml:space="preserve"> in writing of its decision and the reasons for that decision.</w:t>
      </w:r>
    </w:p>
    <w:p w:rsidR="00B3178E" w:rsidRPr="00BB6021" w:rsidRDefault="00B3178E" w:rsidP="00B3178E">
      <w:pPr>
        <w:pStyle w:val="AERnumberedlistfirststyle"/>
      </w:pPr>
      <w:r w:rsidRPr="00BB6021">
        <w:t xml:space="preserve">If a </w:t>
      </w:r>
      <w:r>
        <w:t>retail customer</w:t>
      </w:r>
      <w:r w:rsidRPr="00BB6021">
        <w:t xml:space="preserve">’s objection to a tariff class assignment or reassignment is upheld by the relevant body noted in paragraph 7 b and c above, then any adjustment which needs to be made to tariffs will be done by </w:t>
      </w:r>
      <w:r>
        <w:t>Endeavour Energy</w:t>
      </w:r>
      <w:r w:rsidRPr="00BB6021">
        <w:t xml:space="preserve"> as part of the next annual review of prices.</w:t>
      </w:r>
    </w:p>
    <w:p w:rsidR="00B3178E" w:rsidRPr="00BB6021" w:rsidRDefault="00B3178E" w:rsidP="00B3178E">
      <w:pPr>
        <w:pStyle w:val="AERnumberedlistfirststyle"/>
      </w:pPr>
      <w:r w:rsidRPr="00BB6021">
        <w:t xml:space="preserve">If a </w:t>
      </w:r>
      <w:r>
        <w:t>retail customer</w:t>
      </w:r>
      <w:r w:rsidRPr="00BB6021">
        <w:t xml:space="preserve"> objects to </w:t>
      </w:r>
      <w:r>
        <w:t>Endeavour Energy</w:t>
      </w:r>
      <w:r w:rsidRPr="00BB6021">
        <w:t xml:space="preserve">'s tariff class assignment </w:t>
      </w:r>
      <w:r>
        <w:t>Endeavour Energy</w:t>
      </w:r>
      <w:r w:rsidRPr="00BB6021">
        <w:t xml:space="preserve"> must provide the information set out in paragraph 7 above and adopt and comply with the arrangements set out in paragraphs 8, 9 and 10 above in respect of requests for further information by the </w:t>
      </w:r>
      <w:r>
        <w:t>retail customer</w:t>
      </w:r>
      <w:r w:rsidRPr="00BB6021">
        <w:t xml:space="preserve"> and resolution of the objection. </w:t>
      </w:r>
    </w:p>
    <w:p w:rsidR="00B3178E" w:rsidRPr="00BB6021" w:rsidRDefault="00B3178E" w:rsidP="00B3178E">
      <w:pPr>
        <w:rPr>
          <w:rStyle w:val="AERtextbold"/>
        </w:rPr>
      </w:pPr>
      <w:r w:rsidRPr="00BB6021">
        <w:rPr>
          <w:rStyle w:val="AERtextbold"/>
        </w:rPr>
        <w:t xml:space="preserve">System of assessment and review of the basis on which a </w:t>
      </w:r>
      <w:r>
        <w:rPr>
          <w:rStyle w:val="AERtextbold"/>
        </w:rPr>
        <w:t>retail customer</w:t>
      </w:r>
      <w:r w:rsidRPr="00BB6021">
        <w:rPr>
          <w:rStyle w:val="AERtextbold"/>
        </w:rPr>
        <w:t xml:space="preserve"> is charged</w:t>
      </w:r>
    </w:p>
    <w:p w:rsidR="00B3178E" w:rsidRPr="00BB6021" w:rsidRDefault="00B3178E" w:rsidP="00B3178E">
      <w:pPr>
        <w:pStyle w:val="AERnumberedlistfirststyle"/>
      </w:pPr>
      <w:r w:rsidRPr="00BB6021">
        <w:t xml:space="preserve">Where the charging parameters for a particular tariff result in a basis of charge varies according to the </w:t>
      </w:r>
      <w:r>
        <w:t>retail customer</w:t>
      </w:r>
      <w:r w:rsidRPr="00BB6021">
        <w:t xml:space="preserve">’s usage or load profile, </w:t>
      </w:r>
      <w:r>
        <w:t>Endeavour Energy</w:t>
      </w:r>
      <w:r w:rsidRPr="00BB6021">
        <w:t xml:space="preserve"> must set out in its annual pricing proposal a method by which it will review and assess the basis on which a </w:t>
      </w:r>
      <w:r>
        <w:t>retail customer</w:t>
      </w:r>
      <w:r w:rsidRPr="00BB6021">
        <w:t xml:space="preserve"> is charged.</w:t>
      </w:r>
    </w:p>
    <w:p w:rsidR="00B3178E" w:rsidRPr="00BB6021" w:rsidRDefault="00B3178E" w:rsidP="00B3178E">
      <w:pPr>
        <w:pStyle w:val="AERnumberedlistfirststyle"/>
      </w:pPr>
      <w:r w:rsidRPr="00BB6021">
        <w:t xml:space="preserve">If the AER considers the method provided under paragraph 12 above does not provide for an appropriate system of assessment and review by </w:t>
      </w:r>
      <w:r>
        <w:t>Endeavour Energy</w:t>
      </w:r>
      <w:r w:rsidRPr="00BB6021">
        <w:t xml:space="preserve"> of the basis on which a </w:t>
      </w:r>
      <w:r>
        <w:t>retail customer</w:t>
      </w:r>
      <w:r w:rsidRPr="00BB6021">
        <w:t xml:space="preserve"> is charged, the AER may, at any time, request additional information or request </w:t>
      </w:r>
      <w:r>
        <w:t>Endeavour Energy</w:t>
      </w:r>
      <w:r w:rsidRPr="00BB6021">
        <w:t xml:space="preserve"> to submit a revised pricing method.</w:t>
      </w:r>
    </w:p>
    <w:p w:rsidR="00B3178E" w:rsidRPr="00BB6021" w:rsidRDefault="00B3178E" w:rsidP="00B3178E">
      <w:pPr>
        <w:pStyle w:val="AERnumberedlistfirststyle"/>
      </w:pPr>
      <w:r w:rsidRPr="00BB6021">
        <w:t xml:space="preserve">If the AER considers </w:t>
      </w:r>
      <w:r>
        <w:t>Endeavour Energy</w:t>
      </w:r>
      <w:r w:rsidRPr="00BB6021">
        <w:t xml:space="preserve">'s method for reviewing and assessing the </w:t>
      </w:r>
      <w:proofErr w:type="gramStart"/>
      <w:r w:rsidRPr="00BB6021">
        <w:t>basis</w:t>
      </w:r>
      <w:proofErr w:type="gramEnd"/>
      <w:r w:rsidRPr="00BB6021">
        <w:t xml:space="preserve"> on which a </w:t>
      </w:r>
      <w:r>
        <w:t>retail customer</w:t>
      </w:r>
      <w:r w:rsidRPr="00BB6021">
        <w:t xml:space="preserve"> is charged, provided in accordance with paragraph 12 and 13 above, is not reasonable it will advise </w:t>
      </w:r>
      <w:r>
        <w:t>Endeavour Energy</w:t>
      </w:r>
      <w:r w:rsidRPr="00BB6021">
        <w:t xml:space="preserve"> in writing.</w:t>
      </w:r>
    </w:p>
    <w:p w:rsidR="00B3178E" w:rsidRPr="00BB6021" w:rsidRDefault="00B3178E" w:rsidP="00B3178E"/>
    <w:p w:rsidR="00B3178E" w:rsidRPr="00685CB3" w:rsidRDefault="00B3178E" w:rsidP="00B3178E"/>
    <w:p w:rsidR="00B3178E" w:rsidRPr="00685CB3" w:rsidRDefault="00B3178E" w:rsidP="00B3178E"/>
    <w:p w:rsidR="00B3178E" w:rsidRPr="00685CB3" w:rsidRDefault="00B3178E" w:rsidP="00685CB3"/>
    <w:sectPr w:rsidR="00B3178E" w:rsidRPr="00685CB3" w:rsidSect="00117CFA">
      <w:footerReference w:type="even" r:id="rId60"/>
      <w:footerReference w:type="default" r:id="rId61"/>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CFA" w:rsidRPr="00AB4345" w:rsidRDefault="00117CFA" w:rsidP="00AB4345">
      <w:r>
        <w:separator/>
      </w:r>
    </w:p>
  </w:endnote>
  <w:endnote w:type="continuationSeparator" w:id="0">
    <w:p w:rsidR="00117CFA" w:rsidRPr="00AB4345" w:rsidRDefault="00117CFA"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117CFA" w:rsidRPr="00824CC8" w:rsidRDefault="00117CFA" w:rsidP="00824CC8">
        <w:pPr>
          <w:pStyle w:val="Footer"/>
        </w:pPr>
        <w:r w:rsidRPr="00824CC8">
          <w:fldChar w:fldCharType="begin"/>
        </w:r>
        <w:r w:rsidRPr="00824CC8">
          <w:instrText xml:space="preserve"> PAGE   \* MERGEFORMAT </w:instrText>
        </w:r>
        <w:r w:rsidRPr="00824CC8">
          <w:fldChar w:fldCharType="separate"/>
        </w:r>
        <w:r w:rsidR="00E64D67">
          <w:rPr>
            <w:noProof/>
          </w:rPr>
          <w:t>14-2</w:t>
        </w:r>
        <w:r w:rsidRPr="00824CC8">
          <w:fldChar w:fldCharType="end"/>
        </w:r>
        <w:r w:rsidRPr="00824CC8">
          <w:tab/>
        </w:r>
        <w:r w:rsidR="00373B7F">
          <w:t xml:space="preserve">                      </w:t>
        </w:r>
        <w:r>
          <w:rPr>
            <w:rStyle w:val="AERbody"/>
          </w:rPr>
          <w:t>Attachment 1</w:t>
        </w:r>
        <w:r w:rsidR="00914017">
          <w:rPr>
            <w:rStyle w:val="AERbody"/>
          </w:rPr>
          <w:t>4</w:t>
        </w:r>
        <w:r>
          <w:rPr>
            <w:rStyle w:val="AERbody"/>
          </w:rPr>
          <w:t xml:space="preserve">: </w:t>
        </w:r>
        <w:r w:rsidRPr="00117CFA">
          <w:rPr>
            <w:rStyle w:val="AERbody"/>
          </w:rPr>
          <w:t>Control mechanism</w:t>
        </w:r>
        <w:r w:rsidR="00373B7F">
          <w:rPr>
            <w:rStyle w:val="AERbody"/>
          </w:rPr>
          <w:t>s</w:t>
        </w:r>
        <w:r w:rsidRPr="00210880">
          <w:rPr>
            <w:rStyle w:val="AERbody"/>
          </w:rPr>
          <w:t xml:space="preserve"> | </w:t>
        </w:r>
        <w:r>
          <w:rPr>
            <w:rStyle w:val="AERbody"/>
          </w:rPr>
          <w:t>Endeavour Energy draft decision</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CFA" w:rsidRPr="00824CC8" w:rsidRDefault="00373B7F" w:rsidP="00824CC8">
    <w:pPr>
      <w:pStyle w:val="Footer"/>
      <w:rPr>
        <w:rStyle w:val="AERbody"/>
      </w:rPr>
    </w:pPr>
    <w:r>
      <w:rPr>
        <w:rStyle w:val="AERbody"/>
      </w:rPr>
      <w:t>Attachment 1</w:t>
    </w:r>
    <w:r w:rsidR="00FF4F3B">
      <w:rPr>
        <w:rStyle w:val="AERbody"/>
      </w:rPr>
      <w:t>4</w:t>
    </w:r>
    <w:r>
      <w:rPr>
        <w:rStyle w:val="AERbody"/>
      </w:rPr>
      <w:t xml:space="preserve">: </w:t>
    </w:r>
    <w:r w:rsidRPr="00117CFA">
      <w:rPr>
        <w:rStyle w:val="AERbody"/>
      </w:rPr>
      <w:t>Control mechanism</w:t>
    </w:r>
    <w:r>
      <w:rPr>
        <w:rStyle w:val="AERbody"/>
      </w:rPr>
      <w:t>s</w:t>
    </w:r>
    <w:r w:rsidRPr="00210880">
      <w:rPr>
        <w:rStyle w:val="AERbody"/>
      </w:rPr>
      <w:t xml:space="preserve"> | </w:t>
    </w:r>
    <w:r>
      <w:rPr>
        <w:rStyle w:val="AERbody"/>
      </w:rPr>
      <w:t>Endeavour Energy draft decision</w:t>
    </w:r>
    <w:r w:rsidR="00117CFA" w:rsidRPr="00210880">
      <w:rPr>
        <w:rStyle w:val="AERbody"/>
      </w:rPr>
      <w:tab/>
    </w:r>
    <w:r w:rsidR="00117CFA" w:rsidRPr="00824CC8">
      <w:rPr>
        <w:rStyle w:val="AERbody"/>
      </w:rPr>
      <w:fldChar w:fldCharType="begin"/>
    </w:r>
    <w:r w:rsidR="00117CFA" w:rsidRPr="00824CC8">
      <w:rPr>
        <w:rStyle w:val="AERbody"/>
      </w:rPr>
      <w:instrText xml:space="preserve"> PAGE   \* MERGEFORMAT </w:instrText>
    </w:r>
    <w:r w:rsidR="00117CFA" w:rsidRPr="00824CC8">
      <w:rPr>
        <w:rStyle w:val="AERbody"/>
      </w:rPr>
      <w:fldChar w:fldCharType="separate"/>
    </w:r>
    <w:r w:rsidR="00E64D67">
      <w:rPr>
        <w:rStyle w:val="AERbody"/>
        <w:noProof/>
      </w:rPr>
      <w:t>14-1</w:t>
    </w:r>
    <w:r w:rsidR="00117CFA"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CFA" w:rsidRPr="00AB4345" w:rsidRDefault="00117CFA" w:rsidP="00AB4345">
      <w:r>
        <w:separator/>
      </w:r>
    </w:p>
  </w:footnote>
  <w:footnote w:type="continuationSeparator" w:id="0">
    <w:p w:rsidR="00117CFA" w:rsidRPr="00AB4345" w:rsidRDefault="00117CFA" w:rsidP="00AB4345">
      <w:r>
        <w:continuationSeparator/>
      </w:r>
    </w:p>
  </w:footnote>
  <w:footnote w:id="1">
    <w:p w:rsidR="00117CFA" w:rsidRDefault="00117CFA" w:rsidP="00B3178E">
      <w:pPr>
        <w:pStyle w:val="FootnoteText"/>
      </w:pPr>
      <w:r>
        <w:rPr>
          <w:rStyle w:val="FootnoteReference"/>
        </w:rPr>
        <w:footnoteRef/>
      </w:r>
      <w:r>
        <w:t xml:space="preserve"> </w:t>
      </w:r>
      <w:r>
        <w:tab/>
        <w:t xml:space="preserve">AER, </w:t>
      </w:r>
      <w:r w:rsidRPr="009171FB">
        <w:rPr>
          <w:rStyle w:val="AERtextitalic"/>
        </w:rPr>
        <w:t xml:space="preserve">Stage 1 Framework and approach paper </w:t>
      </w:r>
      <w:r>
        <w:rPr>
          <w:rStyle w:val="AERtextitalic"/>
        </w:rPr>
        <w:t>Ausgrid</w:t>
      </w:r>
      <w:r w:rsidRPr="009171FB">
        <w:rPr>
          <w:rStyle w:val="AERtextitalic"/>
        </w:rPr>
        <w:t>, Endeavour Energy and E</w:t>
      </w:r>
      <w:r>
        <w:rPr>
          <w:rStyle w:val="AERtextitalic"/>
        </w:rPr>
        <w:t>ssential</w:t>
      </w:r>
      <w:r w:rsidRPr="009171FB">
        <w:rPr>
          <w:rStyle w:val="AERtextitalic"/>
        </w:rPr>
        <w:t xml:space="preserve"> Energy</w:t>
      </w:r>
      <w:r>
        <w:t>, March 2013, p. 43.</w:t>
      </w:r>
    </w:p>
  </w:footnote>
  <w:footnote w:id="2">
    <w:p w:rsidR="00117CFA" w:rsidRDefault="00117CFA" w:rsidP="00B3178E">
      <w:pPr>
        <w:pStyle w:val="FootnoteText"/>
      </w:pPr>
      <w:r>
        <w:rPr>
          <w:rStyle w:val="FootnoteReference"/>
        </w:rPr>
        <w:footnoteRef/>
      </w:r>
      <w:r>
        <w:t xml:space="preserve"> </w:t>
      </w:r>
      <w:r>
        <w:tab/>
        <w:t xml:space="preserve">NER, cl </w:t>
      </w:r>
      <w:r w:rsidRPr="00A14046">
        <w:t>6.12.1</w:t>
      </w:r>
    </w:p>
  </w:footnote>
  <w:footnote w:id="3">
    <w:p w:rsidR="00117CFA" w:rsidRDefault="00117CFA" w:rsidP="00B3178E">
      <w:pPr>
        <w:pStyle w:val="FootnoteText"/>
      </w:pPr>
      <w:r>
        <w:rPr>
          <w:rStyle w:val="FootnoteReference"/>
        </w:rPr>
        <w:footnoteRef/>
      </w:r>
      <w:r>
        <w:t xml:space="preserve"> </w:t>
      </w:r>
      <w:r>
        <w:tab/>
        <w:t xml:space="preserve">NER, </w:t>
      </w:r>
      <w:proofErr w:type="spellStart"/>
      <w:r>
        <w:t>cll</w:t>
      </w:r>
      <w:proofErr w:type="spellEnd"/>
      <w:r>
        <w:t xml:space="preserve"> 6.12.1(17) and 6.12.1(20)</w:t>
      </w:r>
    </w:p>
  </w:footnote>
  <w:footnote w:id="4">
    <w:p w:rsidR="00117CFA" w:rsidRDefault="00117CFA" w:rsidP="00B3178E">
      <w:pPr>
        <w:pStyle w:val="FootnoteText"/>
      </w:pPr>
      <w:r>
        <w:rPr>
          <w:rStyle w:val="FootnoteReference"/>
        </w:rPr>
        <w:footnoteRef/>
      </w:r>
      <w:r>
        <w:t xml:space="preserve"> </w:t>
      </w:r>
      <w:r>
        <w:tab/>
        <w:t>Endeavour Energy</w:t>
      </w:r>
      <w:r w:rsidRPr="009503B1">
        <w:t xml:space="preserve">, </w:t>
      </w:r>
      <w:r w:rsidRPr="009171FB">
        <w:rPr>
          <w:rStyle w:val="AERtextitalic"/>
        </w:rPr>
        <w:t>Regulatory Proposal to the Australian Energy regulator, 1 July 2014 to 30 June 2019</w:t>
      </w:r>
      <w:r w:rsidRPr="009503B1">
        <w:t xml:space="preserve">, May 2014, </w:t>
      </w:r>
      <w:r>
        <w:br/>
      </w:r>
      <w:proofErr w:type="gramStart"/>
      <w:r w:rsidRPr="009503B1">
        <w:t>p</w:t>
      </w:r>
      <w:proofErr w:type="gramEnd"/>
      <w:r w:rsidRPr="009503B1">
        <w:t xml:space="preserve">. </w:t>
      </w:r>
      <w:r>
        <w:t>26</w:t>
      </w:r>
      <w:r w:rsidRPr="009503B1">
        <w:t xml:space="preserve">. </w:t>
      </w:r>
      <w:bookmarkStart w:id="12" w:name="_GoBack"/>
      <w:bookmarkEnd w:id="12"/>
    </w:p>
  </w:footnote>
  <w:footnote w:id="5">
    <w:p w:rsidR="00117CFA" w:rsidRPr="0055520E" w:rsidRDefault="00117CFA" w:rsidP="0055520E">
      <w:pPr>
        <w:pStyle w:val="FootnoteText"/>
      </w:pPr>
      <w:r>
        <w:rPr>
          <w:rStyle w:val="FootnoteReference"/>
        </w:rPr>
        <w:footnoteRef/>
      </w:r>
      <w:r>
        <w:t xml:space="preserve"> </w:t>
      </w:r>
      <w:r>
        <w:tab/>
        <w:t xml:space="preserve">Endeavour Energy, </w:t>
      </w:r>
      <w:r w:rsidRPr="009171FB">
        <w:rPr>
          <w:rStyle w:val="AERtextitalic"/>
        </w:rPr>
        <w:t>Regulatory Proposal to the Australian Energy regulator, 1 July 2014 to 30 June 2019</w:t>
      </w:r>
      <w:r w:rsidRPr="0055520E">
        <w:t xml:space="preserve">, May 2014, </w:t>
      </w:r>
    </w:p>
    <w:p w:rsidR="00117CFA" w:rsidRDefault="00117CFA" w:rsidP="0055520E">
      <w:pPr>
        <w:pStyle w:val="FootnoteText"/>
      </w:pPr>
      <w:r>
        <w:tab/>
      </w:r>
      <w:proofErr w:type="gramStart"/>
      <w:r w:rsidRPr="0055520E">
        <w:t>p. 26.</w:t>
      </w:r>
      <w:proofErr w:type="gramEnd"/>
    </w:p>
  </w:footnote>
  <w:footnote w:id="6">
    <w:p w:rsidR="00117CFA" w:rsidRDefault="00117CFA" w:rsidP="00B3178E">
      <w:pPr>
        <w:pStyle w:val="FootnoteText"/>
      </w:pPr>
      <w:r>
        <w:rPr>
          <w:rStyle w:val="FootnoteReference"/>
        </w:rPr>
        <w:footnoteRef/>
      </w:r>
      <w:r>
        <w:t xml:space="preserve"> </w:t>
      </w:r>
      <w:r>
        <w:tab/>
      </w:r>
      <w:r w:rsidRPr="009503B1">
        <w:t xml:space="preserve">AER, </w:t>
      </w:r>
      <w:r w:rsidRPr="009171FB">
        <w:rPr>
          <w:rStyle w:val="AERtextitalic"/>
        </w:rPr>
        <w:t xml:space="preserve">Stage 1 Framework and approach paper </w:t>
      </w:r>
      <w:r>
        <w:rPr>
          <w:rStyle w:val="AERtextitalic"/>
        </w:rPr>
        <w:t>Ausgrid</w:t>
      </w:r>
      <w:r w:rsidRPr="009171FB">
        <w:rPr>
          <w:rStyle w:val="AERtextitalic"/>
        </w:rPr>
        <w:t>, E</w:t>
      </w:r>
      <w:r>
        <w:rPr>
          <w:rStyle w:val="AERtextitalic"/>
        </w:rPr>
        <w:t xml:space="preserve">ndeavour </w:t>
      </w:r>
      <w:r w:rsidRPr="009171FB">
        <w:rPr>
          <w:rStyle w:val="AERtextitalic"/>
        </w:rPr>
        <w:t>Energy and E</w:t>
      </w:r>
      <w:r>
        <w:rPr>
          <w:rStyle w:val="AERtextitalic"/>
        </w:rPr>
        <w:t xml:space="preserve">ssential </w:t>
      </w:r>
      <w:r w:rsidRPr="009171FB">
        <w:rPr>
          <w:rStyle w:val="AERtextitalic"/>
        </w:rPr>
        <w:t>Energy</w:t>
      </w:r>
      <w:r w:rsidRPr="009503B1">
        <w:t>, March 2013, p. 43.</w:t>
      </w:r>
    </w:p>
  </w:footnote>
  <w:footnote w:id="7">
    <w:p w:rsidR="00117CFA" w:rsidRDefault="00117CFA" w:rsidP="00B3178E">
      <w:pPr>
        <w:pStyle w:val="FootnoteText"/>
      </w:pPr>
      <w:r>
        <w:rPr>
          <w:rStyle w:val="FootnoteReference"/>
        </w:rPr>
        <w:footnoteRef/>
      </w:r>
      <w:r>
        <w:t xml:space="preserve"> </w:t>
      </w:r>
      <w:r>
        <w:tab/>
        <w:t>Endeavour Energy</w:t>
      </w:r>
      <w:r w:rsidRPr="009503B1">
        <w:t xml:space="preserve">, </w:t>
      </w:r>
      <w:r w:rsidRPr="009171FB">
        <w:rPr>
          <w:rStyle w:val="AERtextitalic"/>
        </w:rPr>
        <w:t>Regulatory Proposal to the Australian Energy regulator, 1 July 2014 to 30 June 2019, Attachment 9.03 compliance with control mechanisms</w:t>
      </w:r>
      <w:r>
        <w:t>, May 2014, pp. 2–5</w:t>
      </w:r>
    </w:p>
  </w:footnote>
  <w:footnote w:id="8">
    <w:p w:rsidR="00117CFA" w:rsidRDefault="00117CFA" w:rsidP="00B3178E">
      <w:pPr>
        <w:pStyle w:val="FootnoteText"/>
      </w:pPr>
      <w:r>
        <w:rPr>
          <w:rStyle w:val="FootnoteReference"/>
        </w:rPr>
        <w:footnoteRef/>
      </w:r>
      <w:r>
        <w:t xml:space="preserve"> </w:t>
      </w:r>
      <w:r>
        <w:tab/>
      </w:r>
    </w:p>
  </w:footnote>
  <w:footnote w:id="9">
    <w:p w:rsidR="00117CFA" w:rsidRDefault="00117CFA">
      <w:pPr>
        <w:pStyle w:val="FootnoteText"/>
      </w:pPr>
      <w:r>
        <w:rPr>
          <w:rStyle w:val="FootnoteReference"/>
        </w:rPr>
        <w:footnoteRef/>
      </w:r>
      <w:r>
        <w:t xml:space="preserve"> </w:t>
      </w:r>
      <w:r>
        <w:tab/>
      </w:r>
      <w:r w:rsidRPr="00804386">
        <w:t xml:space="preserve">Endeavour Energy, </w:t>
      </w:r>
      <w:r w:rsidRPr="009171FB">
        <w:rPr>
          <w:rStyle w:val="AERtextitalic"/>
        </w:rPr>
        <w:t>Regulatory Proposal to the Australian Energy regulator, 1 July 2014 to 30 June 2019, Attachment 9.03 Compliance with control mechanisms</w:t>
      </w:r>
      <w:r w:rsidRPr="00804386">
        <w:t xml:space="preserve">, May 2014, </w:t>
      </w:r>
      <w:proofErr w:type="gramStart"/>
      <w:r w:rsidRPr="00804386">
        <w:t>p</w:t>
      </w:r>
      <w:proofErr w:type="gramEnd"/>
      <w:r w:rsidRPr="00804386">
        <w:t>. 3.</w:t>
      </w:r>
    </w:p>
  </w:footnote>
  <w:footnote w:id="10">
    <w:p w:rsidR="00117CFA" w:rsidRDefault="00117CFA" w:rsidP="00804386">
      <w:pPr>
        <w:pStyle w:val="FootnoteText"/>
      </w:pPr>
      <w:r>
        <w:rPr>
          <w:rStyle w:val="FootnoteReference"/>
        </w:rPr>
        <w:footnoteRef/>
      </w:r>
      <w:r>
        <w:t xml:space="preserve"> </w:t>
      </w:r>
      <w:r>
        <w:tab/>
        <w:t xml:space="preserve">AER, </w:t>
      </w:r>
      <w:r w:rsidRPr="009171FB">
        <w:rPr>
          <w:rStyle w:val="AERtextitalic"/>
        </w:rPr>
        <w:t xml:space="preserve">Proposed amendment Electricity transmission and distribution network service </w:t>
      </w:r>
      <w:proofErr w:type="gramStart"/>
      <w:r w:rsidRPr="009171FB">
        <w:rPr>
          <w:rStyle w:val="AERtextitalic"/>
        </w:rPr>
        <w:t>providers</w:t>
      </w:r>
      <w:proofErr w:type="gramEnd"/>
      <w:r w:rsidRPr="009171FB">
        <w:rPr>
          <w:rStyle w:val="AERtextitalic"/>
        </w:rPr>
        <w:t xml:space="preserve"> Post-tax revenue models</w:t>
      </w:r>
      <w:r>
        <w:t>, October 2013, p. 18.</w:t>
      </w:r>
    </w:p>
  </w:footnote>
  <w:footnote w:id="11">
    <w:p w:rsidR="00117CFA" w:rsidRDefault="00117CFA">
      <w:pPr>
        <w:pStyle w:val="FootnoteText"/>
      </w:pPr>
      <w:r>
        <w:rPr>
          <w:rStyle w:val="FootnoteReference"/>
        </w:rPr>
        <w:footnoteRef/>
      </w:r>
      <w:r>
        <w:t xml:space="preserve"> </w:t>
      </w:r>
      <w:r>
        <w:tab/>
      </w:r>
      <w:r w:rsidRPr="00F56467">
        <w:t xml:space="preserve">Endeavour Energy, </w:t>
      </w:r>
      <w:r w:rsidRPr="009171FB">
        <w:rPr>
          <w:rStyle w:val="AERtextitalic"/>
        </w:rPr>
        <w:t>Regulatory Proposal to the Australian Energy regulator, 1 July 2014 to 30 June 2019, Attachment 9.03 compliance with control mechanisms</w:t>
      </w:r>
      <w:r w:rsidRPr="00F56467">
        <w:t xml:space="preserve">, May 2014, </w:t>
      </w:r>
      <w:proofErr w:type="gramStart"/>
      <w:r w:rsidRPr="00F56467">
        <w:t>p</w:t>
      </w:r>
      <w:proofErr w:type="gramEnd"/>
      <w:r w:rsidRPr="00F56467">
        <w:t>. 3.</w:t>
      </w:r>
    </w:p>
  </w:footnote>
  <w:footnote w:id="12">
    <w:p w:rsidR="00117CFA" w:rsidRDefault="00117CFA">
      <w:pPr>
        <w:pStyle w:val="FootnoteText"/>
      </w:pPr>
      <w:r>
        <w:rPr>
          <w:rStyle w:val="FootnoteReference"/>
        </w:rPr>
        <w:footnoteRef/>
      </w:r>
      <w:r>
        <w:t xml:space="preserve"> </w:t>
      </w:r>
      <w:r>
        <w:tab/>
      </w:r>
      <w:r w:rsidRPr="00F56467">
        <w:t xml:space="preserve">Endeavour Energy, </w:t>
      </w:r>
      <w:r w:rsidRPr="009171FB">
        <w:rPr>
          <w:rStyle w:val="AERtextitalic"/>
        </w:rPr>
        <w:t>Regulatory Proposal to the Australian Energy regulator, 1 July 2014 to 30 June 2019, Attachment 9.03 Compliance with control mechanisms</w:t>
      </w:r>
      <w:r w:rsidRPr="00F56467">
        <w:t xml:space="preserve">, May 2014, </w:t>
      </w:r>
      <w:proofErr w:type="gramStart"/>
      <w:r w:rsidRPr="00F56467">
        <w:t>p</w:t>
      </w:r>
      <w:proofErr w:type="gramEnd"/>
      <w:r w:rsidRPr="00F56467">
        <w:t>. 3.</w:t>
      </w:r>
    </w:p>
  </w:footnote>
  <w:footnote w:id="13">
    <w:p w:rsidR="00117CFA" w:rsidRDefault="00117CFA" w:rsidP="00EC398C">
      <w:pPr>
        <w:pStyle w:val="FootnoteText"/>
      </w:pPr>
      <w:r>
        <w:rPr>
          <w:rStyle w:val="FootnoteReference"/>
        </w:rPr>
        <w:footnoteRef/>
      </w:r>
      <w:r>
        <w:t xml:space="preserve"> </w:t>
      </w:r>
      <w:r>
        <w:tab/>
        <w:t>Costs unrecovered upon a customer’s departure from Endeavour Energy's metering services.</w:t>
      </w:r>
    </w:p>
  </w:footnote>
  <w:footnote w:id="14">
    <w:p w:rsidR="00117CFA" w:rsidRDefault="00117CFA" w:rsidP="00B3178E">
      <w:pPr>
        <w:pStyle w:val="FootnoteText"/>
      </w:pPr>
      <w:r>
        <w:rPr>
          <w:rStyle w:val="FootnoteReference"/>
        </w:rPr>
        <w:footnoteRef/>
      </w:r>
      <w:r>
        <w:t xml:space="preserve"> </w:t>
      </w:r>
      <w:r>
        <w:tab/>
      </w:r>
      <w:proofErr w:type="gramStart"/>
      <w:r w:rsidRPr="00982936">
        <w:t xml:space="preserve">AER, </w:t>
      </w:r>
      <w:r w:rsidRPr="009171FB">
        <w:rPr>
          <w:rStyle w:val="AERtextitalic"/>
        </w:rPr>
        <w:t>Final decision New South Wales distribution determination 2009–10 to 2013–14</w:t>
      </w:r>
      <w:r w:rsidRPr="00982936">
        <w:t>, April 2009, pp. 462–463.</w:t>
      </w:r>
      <w:proofErr w:type="gramEnd"/>
    </w:p>
  </w:footnote>
  <w:footnote w:id="15">
    <w:p w:rsidR="00117CFA" w:rsidRDefault="00117CFA" w:rsidP="00B3178E">
      <w:pPr>
        <w:pStyle w:val="FootnoteText"/>
      </w:pPr>
      <w:r>
        <w:rPr>
          <w:rStyle w:val="FootnoteReference"/>
        </w:rPr>
        <w:footnoteRef/>
      </w:r>
      <w:r>
        <w:t xml:space="preserve"> </w:t>
      </w:r>
      <w:r>
        <w:tab/>
        <w:t>Endeavour Energy</w:t>
      </w:r>
      <w:r w:rsidRPr="003F38D8">
        <w:t xml:space="preserve">, </w:t>
      </w:r>
      <w:r w:rsidRPr="009171FB">
        <w:rPr>
          <w:rStyle w:val="AERtextitalic"/>
        </w:rPr>
        <w:t>Regulatory proposal to the Australian Energy Regulator 1 July 2015-30 June 19</w:t>
      </w:r>
      <w:r w:rsidRPr="00C52306">
        <w:rPr>
          <w:rStyle w:val="AERtextitalic"/>
        </w:rPr>
        <w:t>, Attachment 9.03 Compliance with Control Mechanisms</w:t>
      </w:r>
      <w:r w:rsidRPr="003F38D8">
        <w:t xml:space="preserve">, May 2014, </w:t>
      </w:r>
      <w:proofErr w:type="gramStart"/>
      <w:r w:rsidRPr="003F38D8">
        <w:t>p</w:t>
      </w:r>
      <w:proofErr w:type="gramEnd"/>
      <w:r w:rsidRPr="003F38D8">
        <w:t>.</w:t>
      </w:r>
      <w:r>
        <w:t xml:space="preserve"> 4.</w:t>
      </w:r>
      <w:r w:rsidRPr="003F38D8">
        <w:t xml:space="preserve"> </w:t>
      </w:r>
    </w:p>
  </w:footnote>
  <w:footnote w:id="16">
    <w:p w:rsidR="00117CFA" w:rsidRDefault="00117CFA" w:rsidP="00B3178E">
      <w:pPr>
        <w:pStyle w:val="FootnoteText"/>
      </w:pPr>
      <w:r>
        <w:rPr>
          <w:rStyle w:val="FootnoteReference"/>
        </w:rPr>
        <w:footnoteRef/>
      </w:r>
      <w:r>
        <w:t xml:space="preserve"> </w:t>
      </w:r>
      <w:r>
        <w:tab/>
      </w:r>
      <w:proofErr w:type="gramStart"/>
      <w:r>
        <w:t xml:space="preserve">AER, </w:t>
      </w:r>
      <w:r w:rsidRPr="009171FB">
        <w:rPr>
          <w:rStyle w:val="AERtextitalic"/>
        </w:rPr>
        <w:t>Energex Distribution determination 2010–11 to 2014–15</w:t>
      </w:r>
      <w:r>
        <w:t>, May 2010, p. 3.</w:t>
      </w:r>
      <w:proofErr w:type="gramEnd"/>
    </w:p>
  </w:footnote>
  <w:footnote w:id="17">
    <w:p w:rsidR="00117CFA" w:rsidRDefault="00117CFA" w:rsidP="00B3178E">
      <w:pPr>
        <w:pStyle w:val="FootnoteText"/>
      </w:pPr>
      <w:r>
        <w:rPr>
          <w:rStyle w:val="FootnoteReference"/>
        </w:rPr>
        <w:footnoteRef/>
      </w:r>
      <w:r>
        <w:t xml:space="preserve"> </w:t>
      </w:r>
      <w:r>
        <w:tab/>
      </w:r>
      <w:proofErr w:type="gramStart"/>
      <w:r>
        <w:t xml:space="preserve">NER, </w:t>
      </w:r>
      <w:r w:rsidRPr="00D068FE">
        <w:t>cl. 6.12.1 (</w:t>
      </w:r>
      <w:r>
        <w:t>19</w:t>
      </w:r>
      <w:r w:rsidRPr="00D068FE">
        <w:t>).</w:t>
      </w:r>
      <w:proofErr w:type="gramEnd"/>
    </w:p>
  </w:footnote>
  <w:footnote w:id="18">
    <w:p w:rsidR="00117CFA" w:rsidRDefault="00117CFA" w:rsidP="00B3178E">
      <w:pPr>
        <w:pStyle w:val="FootnoteText"/>
      </w:pPr>
      <w:r>
        <w:rPr>
          <w:rStyle w:val="FootnoteReference"/>
        </w:rPr>
        <w:footnoteRef/>
      </w:r>
      <w:r>
        <w:t xml:space="preserve"> </w:t>
      </w:r>
      <w:r>
        <w:tab/>
        <w:t>Endeavour</w:t>
      </w:r>
      <w:r w:rsidRPr="002A1D04">
        <w:t xml:space="preserve"> Energy, </w:t>
      </w:r>
      <w:r w:rsidRPr="009171FB">
        <w:rPr>
          <w:rStyle w:val="AERtextitalic"/>
        </w:rPr>
        <w:t xml:space="preserve">Regulatory Proposal to the Australian Energy regulator, 1 July 2014 to 30 June 2019, </w:t>
      </w:r>
      <w:proofErr w:type="gramStart"/>
      <w:r w:rsidRPr="009171FB">
        <w:rPr>
          <w:rStyle w:val="AERtextitalic"/>
        </w:rPr>
        <w:t>Attachment</w:t>
      </w:r>
      <w:proofErr w:type="gramEnd"/>
      <w:r w:rsidRPr="009171FB">
        <w:rPr>
          <w:rStyle w:val="AERtextitalic"/>
        </w:rPr>
        <w:t xml:space="preserve"> 9.01 compliance model</w:t>
      </w:r>
      <w:r w:rsidRPr="002A1D04">
        <w:t>.</w:t>
      </w:r>
    </w:p>
  </w:footnote>
  <w:footnote w:id="19">
    <w:p w:rsidR="00117CFA" w:rsidRDefault="00117CFA" w:rsidP="00B3178E">
      <w:pPr>
        <w:pStyle w:val="FootnoteText"/>
      </w:pPr>
      <w:r>
        <w:rPr>
          <w:rStyle w:val="FootnoteReference"/>
        </w:rPr>
        <w:footnoteRef/>
      </w:r>
      <w:r>
        <w:t xml:space="preserve"> </w:t>
      </w:r>
      <w:r>
        <w:tab/>
      </w:r>
      <w:proofErr w:type="gramStart"/>
      <w:r>
        <w:t xml:space="preserve">AER, </w:t>
      </w:r>
      <w:r w:rsidRPr="009171FB">
        <w:rPr>
          <w:rStyle w:val="AERtextitalic"/>
        </w:rPr>
        <w:t>Final decision New South Wales distribution determination 2009–10 to 2013–14</w:t>
      </w:r>
      <w:r>
        <w:t>, April 2009, pp. 462–463.</w:t>
      </w:r>
      <w:proofErr w:type="gramEnd"/>
    </w:p>
  </w:footnote>
  <w:footnote w:id="20">
    <w:p w:rsidR="00117CFA" w:rsidRDefault="00117CFA" w:rsidP="00B3178E">
      <w:pPr>
        <w:pStyle w:val="FootnoteText"/>
      </w:pPr>
      <w:r>
        <w:rPr>
          <w:rStyle w:val="FootnoteReference"/>
        </w:rPr>
        <w:footnoteRef/>
      </w:r>
      <w:r>
        <w:t xml:space="preserve"> </w:t>
      </w:r>
      <w:r>
        <w:tab/>
      </w:r>
      <w:proofErr w:type="gramStart"/>
      <w:r>
        <w:t xml:space="preserve">NER, cl. </w:t>
      </w:r>
      <w:r w:rsidRPr="00AF1D39">
        <w:t>6.12.1 (20)</w:t>
      </w:r>
      <w:r>
        <w:t>.</w:t>
      </w:r>
      <w:proofErr w:type="gramEnd"/>
    </w:p>
  </w:footnote>
  <w:footnote w:id="21">
    <w:p w:rsidR="00117CFA" w:rsidRDefault="00117CFA" w:rsidP="00B3178E">
      <w:pPr>
        <w:pStyle w:val="FootnoteText"/>
      </w:pPr>
      <w:r>
        <w:rPr>
          <w:rStyle w:val="FootnoteReference"/>
        </w:rPr>
        <w:footnoteRef/>
      </w:r>
      <w:r>
        <w:t xml:space="preserve"> </w:t>
      </w:r>
      <w:r>
        <w:tab/>
      </w:r>
      <w:r w:rsidRPr="00AD01C0">
        <w:t xml:space="preserve">The first is the NSW solar bonus scheme, the second is the NSW climate change fund, each of which are recognised under rule </w:t>
      </w:r>
      <w:proofErr w:type="gramStart"/>
      <w:r w:rsidRPr="00AD01C0">
        <w:t>6.18.7A(</w:t>
      </w:r>
      <w:proofErr w:type="gramEnd"/>
      <w:r w:rsidRPr="00AD01C0">
        <w:t>e)(2) and (3) respectively.</w:t>
      </w:r>
    </w:p>
  </w:footnote>
  <w:footnote w:id="22">
    <w:p w:rsidR="00117CFA" w:rsidRDefault="00117CFA" w:rsidP="00B3178E">
      <w:pPr>
        <w:pStyle w:val="FootnoteText"/>
      </w:pPr>
      <w:r>
        <w:rPr>
          <w:rStyle w:val="FootnoteReference"/>
        </w:rPr>
        <w:footnoteRef/>
      </w:r>
      <w:r>
        <w:t xml:space="preserve"> </w:t>
      </w:r>
      <w:r>
        <w:tab/>
      </w:r>
      <w:r w:rsidRPr="00AD01C0">
        <w:t xml:space="preserve">AER 2014, </w:t>
      </w:r>
      <w:r w:rsidRPr="009171FB">
        <w:rPr>
          <w:rStyle w:val="AERtextitalic"/>
        </w:rPr>
        <w:t xml:space="preserve">Placeholder determination for the transitional regulatory </w:t>
      </w:r>
      <w:proofErr w:type="gramStart"/>
      <w:r w:rsidRPr="009171FB">
        <w:rPr>
          <w:rStyle w:val="AERtextitalic"/>
        </w:rPr>
        <w:t>control</w:t>
      </w:r>
      <w:proofErr w:type="gramEnd"/>
      <w:r w:rsidRPr="009171FB">
        <w:rPr>
          <w:rStyle w:val="AERtextitalic"/>
        </w:rPr>
        <w:t xml:space="preserve"> period 2014-15 Endeavour Energy</w:t>
      </w:r>
      <w:r w:rsidRPr="00AD01C0">
        <w:t>, April</w:t>
      </w:r>
      <w:r>
        <w:t xml:space="preserve"> 2014</w:t>
      </w:r>
      <w:r w:rsidRPr="00AD01C0">
        <w:t>, p.</w:t>
      </w:r>
      <w:r>
        <w:t xml:space="preserve"> </w:t>
      </w:r>
      <w:r w:rsidRPr="00AD01C0">
        <w:t>5</w:t>
      </w:r>
      <w:r>
        <w:t>.</w:t>
      </w:r>
    </w:p>
  </w:footnote>
  <w:footnote w:id="23">
    <w:p w:rsidR="00117CFA" w:rsidRDefault="00117CFA" w:rsidP="00B3178E">
      <w:pPr>
        <w:pStyle w:val="FootnoteText"/>
      </w:pPr>
      <w:r>
        <w:rPr>
          <w:rStyle w:val="FootnoteReference"/>
        </w:rPr>
        <w:footnoteRef/>
      </w:r>
      <w:r>
        <w:t xml:space="preserve"> </w:t>
      </w:r>
      <w:r>
        <w:tab/>
        <w:t xml:space="preserve">In the formulas in the STPIS attachment, </w:t>
      </w:r>
      <w:proofErr w:type="gramStart"/>
      <w:r>
        <w:t>the</w:t>
      </w:r>
      <w:r w:rsidRPr="00E71BA6">
        <w:rPr>
          <w:rStyle w:val="AERbody"/>
        </w:rPr>
        <w:object w:dxaOrig="560" w:dyaOrig="360">
          <v:shape id="_x0000_i1051" type="#_x0000_t75" style="width:19.3pt;height:13.15pt" o:ole="">
            <v:imagedata r:id="rId1" o:title=""/>
          </v:shape>
          <o:OLEObject Type="Embed" ProgID="Equation.3" ShapeID="_x0000_i1051" DrawAspect="Content" ObjectID="_1478531576" r:id="rId2"/>
        </w:object>
      </w:r>
      <w:r>
        <w:t>is</w:t>
      </w:r>
      <w:proofErr w:type="gramEnd"/>
      <w:r>
        <w:t xml:space="preserve"> equivalent to </w:t>
      </w:r>
      <w:r w:rsidRPr="00E71BA6">
        <w:rPr>
          <w:rStyle w:val="AERbody"/>
        </w:rPr>
        <w:object w:dxaOrig="440" w:dyaOrig="360">
          <v:shape id="_x0000_i1053" type="#_x0000_t75" style="width:15.8pt;height:13.15pt" o:ole="">
            <v:imagedata r:id="rId3" o:title=""/>
          </v:shape>
          <o:OLEObject Type="Embed" ProgID="Equation.3" ShapeID="_x0000_i1053" DrawAspect="Content" ObjectID="_1478531577" r:id="rId4"/>
        </w:object>
      </w:r>
      <w:r>
        <w:t xml:space="preserve"> in this chapter. Calculations of the S factor adjustment are to be made accordingly. </w:t>
      </w:r>
    </w:p>
  </w:footnote>
  <w:footnote w:id="24">
    <w:p w:rsidR="00117CFA" w:rsidRDefault="00117CFA" w:rsidP="00B3178E">
      <w:pPr>
        <w:pStyle w:val="FootnoteText"/>
      </w:pPr>
      <w:r>
        <w:rPr>
          <w:rStyle w:val="FootnoteReference"/>
        </w:rPr>
        <w:footnoteRef/>
      </w:r>
      <w:r>
        <w:t xml:space="preserve"> </w:t>
      </w:r>
      <w:r>
        <w:tab/>
        <w:t>NER, cl. 6.18.6</w:t>
      </w:r>
    </w:p>
  </w:footnote>
  <w:footnote w:id="25">
    <w:p w:rsidR="00117CFA" w:rsidRDefault="00117CFA" w:rsidP="00B3178E">
      <w:pPr>
        <w:pStyle w:val="FootnoteText"/>
      </w:pPr>
      <w:r>
        <w:rPr>
          <w:rStyle w:val="FootnoteReference"/>
        </w:rPr>
        <w:footnoteRef/>
      </w:r>
      <w:r>
        <w:t xml:space="preserve"> </w:t>
      </w:r>
      <w:r>
        <w:tab/>
        <w:t xml:space="preserve">In the formulas in the STPIS attachment, </w:t>
      </w:r>
      <w:proofErr w:type="gramStart"/>
      <w:r>
        <w:t>the</w:t>
      </w:r>
      <w:r w:rsidRPr="00E71BA6">
        <w:rPr>
          <w:rStyle w:val="AERbody"/>
        </w:rPr>
        <w:object w:dxaOrig="560" w:dyaOrig="360">
          <v:shape id="_x0000_i1055" type="#_x0000_t75" style="width:19.3pt;height:13.15pt" o:ole="">
            <v:imagedata r:id="rId1" o:title=""/>
          </v:shape>
          <o:OLEObject Type="Embed" ProgID="Equation.3" ShapeID="_x0000_i1055" DrawAspect="Content" ObjectID="_1478531578" r:id="rId5"/>
        </w:object>
      </w:r>
      <w:r>
        <w:t>is</w:t>
      </w:r>
      <w:proofErr w:type="gramEnd"/>
      <w:r>
        <w:t xml:space="preserve"> equivalent to </w:t>
      </w:r>
      <w:r w:rsidRPr="00E71BA6">
        <w:rPr>
          <w:rStyle w:val="AERbody"/>
        </w:rPr>
        <w:object w:dxaOrig="440" w:dyaOrig="360">
          <v:shape id="_x0000_i1057" type="#_x0000_t75" style="width:15.8pt;height:13.15pt" o:ole="">
            <v:imagedata r:id="rId3" o:title=""/>
          </v:shape>
          <o:OLEObject Type="Embed" ProgID="Equation.3" ShapeID="_x0000_i1057" DrawAspect="Content" ObjectID="_1478531579" r:id="rId6"/>
        </w:object>
      </w:r>
      <w:r>
        <w:t xml:space="preserve"> in this formula. Calculations of the S factor adjustment are to be made accordingly. </w:t>
      </w:r>
    </w:p>
  </w:footnote>
  <w:footnote w:id="26">
    <w:p w:rsidR="00117CFA" w:rsidRDefault="00117CFA" w:rsidP="00B3178E">
      <w:pPr>
        <w:pStyle w:val="FootnoteText"/>
      </w:pPr>
      <w:r>
        <w:rPr>
          <w:rStyle w:val="FootnoteReference"/>
        </w:rPr>
        <w:footnoteRef/>
      </w:r>
      <w:r>
        <w:t xml:space="preserve"> </w:t>
      </w:r>
      <w:r>
        <w:tab/>
      </w:r>
      <w:proofErr w:type="gramStart"/>
      <w:r>
        <w:t xml:space="preserve">NER, cl. </w:t>
      </w:r>
      <w:r w:rsidRPr="00D068FE">
        <w:t>6.12.1(1</w:t>
      </w:r>
      <w:r>
        <w:t>9</w:t>
      </w:r>
      <w:r w:rsidRPr="00D068FE">
        <w:t>)</w:t>
      </w:r>
      <w:r>
        <w:t>.</w:t>
      </w:r>
      <w:proofErr w:type="gramEnd"/>
      <w:r>
        <w:t xml:space="preserve"> </w:t>
      </w:r>
    </w:p>
  </w:footnote>
  <w:footnote w:id="27">
    <w:p w:rsidR="00117CFA" w:rsidRDefault="00117CFA" w:rsidP="00B3178E">
      <w:pPr>
        <w:pStyle w:val="FootnoteText"/>
      </w:pPr>
      <w:r>
        <w:rPr>
          <w:rStyle w:val="FootnoteReference"/>
        </w:rPr>
        <w:footnoteRef/>
      </w:r>
      <w:r>
        <w:t xml:space="preserve"> </w:t>
      </w:r>
      <w:r>
        <w:tab/>
      </w:r>
      <w:proofErr w:type="gramStart"/>
      <w:r>
        <w:t xml:space="preserve">NER, cl. </w:t>
      </w:r>
      <w:r w:rsidRPr="00D068FE">
        <w:t>6.12.1(19)</w:t>
      </w:r>
      <w:r>
        <w:t>.</w:t>
      </w:r>
      <w:proofErr w:type="gramEnd"/>
    </w:p>
  </w:footnote>
  <w:footnote w:id="28">
    <w:p w:rsidR="00117CFA" w:rsidRDefault="00117CFA" w:rsidP="00B3178E">
      <w:pPr>
        <w:pStyle w:val="FootnoteText"/>
      </w:pPr>
      <w:r>
        <w:rPr>
          <w:rStyle w:val="FootnoteReference"/>
        </w:rPr>
        <w:footnoteRef/>
      </w:r>
      <w:r>
        <w:t xml:space="preserve"> </w:t>
      </w:r>
      <w:r>
        <w:tab/>
        <w:t xml:space="preserve">NER, cl. </w:t>
      </w:r>
      <w:proofErr w:type="gramStart"/>
      <w:r w:rsidRPr="002A27D6">
        <w:t>6.18.7A(</w:t>
      </w:r>
      <w:proofErr w:type="gramEnd"/>
      <w:r w:rsidRPr="002A27D6">
        <w:t>a) to (c)</w:t>
      </w:r>
      <w:r>
        <w:t>.</w:t>
      </w:r>
    </w:p>
  </w:footnote>
  <w:footnote w:id="29">
    <w:p w:rsidR="00117CFA" w:rsidRDefault="00117CFA" w:rsidP="00B3178E">
      <w:pPr>
        <w:pStyle w:val="FootnoteText"/>
      </w:pPr>
      <w:r>
        <w:rPr>
          <w:rStyle w:val="FootnoteReference"/>
        </w:rPr>
        <w:footnoteRef/>
      </w:r>
      <w:r>
        <w:t xml:space="preserve"> </w:t>
      </w:r>
      <w:r>
        <w:tab/>
      </w:r>
      <w:r w:rsidRPr="00D823B9">
        <w:t>NER, Clause 6.12.1(17).</w:t>
      </w:r>
    </w:p>
  </w:footnote>
  <w:footnote w:id="30">
    <w:p w:rsidR="00117CFA" w:rsidRDefault="00117CFA" w:rsidP="00B3178E">
      <w:pPr>
        <w:pStyle w:val="FootnoteText"/>
      </w:pPr>
      <w:r>
        <w:rPr>
          <w:rStyle w:val="FootnoteReference"/>
        </w:rPr>
        <w:footnoteRef/>
      </w:r>
      <w:r>
        <w:t xml:space="preserve"> </w:t>
      </w:r>
      <w:r>
        <w:tab/>
      </w:r>
      <w:r w:rsidRPr="00335704">
        <w:t xml:space="preserve">Endeavour Energy, </w:t>
      </w:r>
      <w:r w:rsidRPr="009171FB">
        <w:rPr>
          <w:rStyle w:val="AERtextitalic"/>
        </w:rPr>
        <w:t>Regulatory Proposal to the Australian Energy regulator, 1 July 2014 to 30 June 2019</w:t>
      </w:r>
      <w:r w:rsidRPr="00335704">
        <w:t xml:space="preserve">, May 2014, </w:t>
      </w:r>
      <w:proofErr w:type="gramStart"/>
      <w:r w:rsidRPr="00335704">
        <w:t>p</w:t>
      </w:r>
      <w:proofErr w:type="gramEnd"/>
      <w:r w:rsidRPr="00335704">
        <w:t>. 146.</w:t>
      </w:r>
    </w:p>
  </w:footnote>
  <w:footnote w:id="31">
    <w:p w:rsidR="00117CFA" w:rsidRDefault="00117CFA" w:rsidP="00B3178E">
      <w:pPr>
        <w:pStyle w:val="FootnoteText"/>
      </w:pPr>
      <w:r>
        <w:rPr>
          <w:rStyle w:val="FootnoteReference"/>
        </w:rPr>
        <w:footnoteRef/>
      </w:r>
      <w:r>
        <w:t xml:space="preserve"> </w:t>
      </w:r>
      <w:r>
        <w:tab/>
        <w:t>Endeavour Energy</w:t>
      </w:r>
      <w:r w:rsidRPr="00BB6021">
        <w:t xml:space="preserve">, </w:t>
      </w:r>
      <w:r w:rsidRPr="009171FB">
        <w:rPr>
          <w:rStyle w:val="AERtextitalic"/>
        </w:rPr>
        <w:t>Regulatory Proposal to the Australian Energy regulator, 1 July 2014 to 30 June 2019</w:t>
      </w:r>
      <w:r w:rsidRPr="00BB6021">
        <w:t xml:space="preserve">, </w:t>
      </w:r>
      <w:r>
        <w:t xml:space="preserve">May 2014, </w:t>
      </w:r>
      <w:proofErr w:type="gramStart"/>
      <w:r w:rsidRPr="00BB6021">
        <w:t>p</w:t>
      </w:r>
      <w:proofErr w:type="gramEnd"/>
      <w:r w:rsidRPr="00BB6021">
        <w:t xml:space="preserve">. </w:t>
      </w:r>
      <w:r>
        <w:t>147</w:t>
      </w:r>
      <w:r w:rsidRPr="00BB6021">
        <w:t>.</w:t>
      </w:r>
    </w:p>
  </w:footnote>
  <w:footnote w:id="32">
    <w:p w:rsidR="00117CFA" w:rsidRDefault="00117CFA">
      <w:pPr>
        <w:pStyle w:val="FootnoteText"/>
      </w:pPr>
      <w:r>
        <w:rPr>
          <w:rStyle w:val="FootnoteReference"/>
        </w:rPr>
        <w:footnoteRef/>
      </w:r>
      <w:r>
        <w:t xml:space="preserve"> </w:t>
      </w:r>
      <w:r>
        <w:tab/>
      </w:r>
      <w:r w:rsidRPr="00956021">
        <w:t xml:space="preserve">Endeavour Energy, </w:t>
      </w:r>
      <w:r w:rsidRPr="009171FB">
        <w:rPr>
          <w:rStyle w:val="AERtextitalic"/>
        </w:rPr>
        <w:t>AER Reference No: AER Endeavour Energy 032</w:t>
      </w:r>
      <w:r>
        <w:t>, September 2014, pp. 1–2.</w:t>
      </w:r>
    </w:p>
  </w:footnote>
  <w:footnote w:id="33">
    <w:p w:rsidR="00117CFA" w:rsidRDefault="00117CFA">
      <w:pPr>
        <w:pStyle w:val="FootnoteText"/>
      </w:pPr>
      <w:r>
        <w:rPr>
          <w:rStyle w:val="FootnoteReference"/>
        </w:rPr>
        <w:footnoteRef/>
      </w:r>
      <w:r>
        <w:t xml:space="preserve"> </w:t>
      </w:r>
      <w:r>
        <w:tab/>
        <w:t xml:space="preserve">Endeavour Energy, </w:t>
      </w:r>
      <w:r w:rsidRPr="009171FB">
        <w:rPr>
          <w:rStyle w:val="AERtextitalic"/>
        </w:rPr>
        <w:t>AER Reference No: AER Endeavour Energy 032</w:t>
      </w:r>
      <w:r>
        <w:t>, September 2014, pp. 1–2.</w:t>
      </w:r>
    </w:p>
  </w:footnote>
  <w:footnote w:id="34">
    <w:p w:rsidR="00117CFA" w:rsidRDefault="00117CFA" w:rsidP="00B3178E">
      <w:pPr>
        <w:pStyle w:val="FootnoteText"/>
      </w:pPr>
      <w:r>
        <w:rPr>
          <w:rStyle w:val="FootnoteReference"/>
        </w:rPr>
        <w:footnoteRef/>
      </w:r>
      <w:r>
        <w:t xml:space="preserve"> </w:t>
      </w:r>
      <w:r>
        <w:tab/>
      </w:r>
      <w:r w:rsidRPr="00C8215C">
        <w:t>NER, Clause 6.18.4(a</w:t>
      </w:r>
      <w:proofErr w:type="gramStart"/>
      <w:r w:rsidRPr="00C8215C">
        <w:t>)(</w:t>
      </w:r>
      <w:proofErr w:type="spellStart"/>
      <w:proofErr w:type="gramEnd"/>
      <w:r w:rsidRPr="00C8215C">
        <w:t>i</w:t>
      </w:r>
      <w:proofErr w:type="spellEnd"/>
      <w:r w:rsidRPr="00C8215C">
        <w:t>).</w:t>
      </w:r>
      <w:r>
        <w:t xml:space="preserve"> </w:t>
      </w:r>
    </w:p>
  </w:footnote>
  <w:footnote w:id="35">
    <w:p w:rsidR="00117CFA" w:rsidRDefault="00117CFA" w:rsidP="00B3178E">
      <w:pPr>
        <w:pStyle w:val="FootnoteText"/>
      </w:pPr>
      <w:r>
        <w:rPr>
          <w:rStyle w:val="FootnoteReference"/>
        </w:rPr>
        <w:footnoteRef/>
      </w:r>
      <w:r>
        <w:t xml:space="preserve"> </w:t>
      </w:r>
      <w:r>
        <w:tab/>
      </w:r>
      <w:r w:rsidRPr="00C8215C">
        <w:t>The AER interprets 'nature' to include the installation of any technology capable of supporting time based tariffs.</w:t>
      </w:r>
    </w:p>
  </w:footnote>
  <w:footnote w:id="36">
    <w:p w:rsidR="00117CFA" w:rsidRDefault="00117CFA" w:rsidP="00B3178E">
      <w:pPr>
        <w:pStyle w:val="FootnoteText"/>
      </w:pPr>
      <w:r>
        <w:rPr>
          <w:rStyle w:val="FootnoteReference"/>
        </w:rPr>
        <w:footnoteRef/>
      </w:r>
      <w:r>
        <w:t xml:space="preserve"> </w:t>
      </w:r>
      <w:r>
        <w:tab/>
      </w:r>
      <w:r w:rsidRPr="00C8215C">
        <w:t>NER, Clause 6.18.4(2).</w:t>
      </w:r>
    </w:p>
  </w:footnote>
  <w:footnote w:id="37">
    <w:p w:rsidR="00117CFA" w:rsidRDefault="00117CFA" w:rsidP="00B3178E">
      <w:pPr>
        <w:pStyle w:val="FootnoteText"/>
      </w:pPr>
      <w:r>
        <w:rPr>
          <w:rStyle w:val="FootnoteReference"/>
        </w:rPr>
        <w:footnoteRef/>
      </w:r>
      <w:r>
        <w:t xml:space="preserve"> </w:t>
      </w:r>
      <w:r>
        <w:tab/>
      </w:r>
      <w:r w:rsidRPr="00C8215C">
        <w:t>NER, Clause 6.18.4(3).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4"/>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39D4CB02"/>
    <w:numStyleLink w:val="AERnumberedlist"/>
  </w:abstractNum>
  <w:abstractNum w:abstractNumId="23">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39D4CB02"/>
    <w:numStyleLink w:val="AERnumberedlist"/>
  </w:abstractNum>
  <w:abstractNum w:abstractNumId="26">
    <w:nsid w:val="5D386EA7"/>
    <w:multiLevelType w:val="multilevel"/>
    <w:tmpl w:val="950A1C52"/>
    <w:numStyleLink w:val="AERHeadings"/>
  </w:abstractNum>
  <w:abstractNum w:abstractNumId="27">
    <w:nsid w:val="5DCC1B18"/>
    <w:multiLevelType w:val="multilevel"/>
    <w:tmpl w:val="39D4CB02"/>
    <w:numStyleLink w:val="AERnumberedlist"/>
  </w:abstractNum>
  <w:abstractNum w:abstractNumId="28">
    <w:nsid w:val="68247CF7"/>
    <w:multiLevelType w:val="multilevel"/>
    <w:tmpl w:val="950A1C52"/>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95980"/>
    <w:multiLevelType w:val="multilevel"/>
    <w:tmpl w:val="950A1C52"/>
    <w:numStyleLink w:val="AERHeadings"/>
  </w:abstractNum>
  <w:abstractNum w:abstractNumId="31">
    <w:nsid w:val="74F81DDF"/>
    <w:multiLevelType w:val="multilevel"/>
    <w:tmpl w:val="950A1C52"/>
    <w:numStyleLink w:val="AERHeadings"/>
  </w:abstractNum>
  <w:abstractNum w:abstractNumId="32">
    <w:nsid w:val="787F66A4"/>
    <w:multiLevelType w:val="multilevel"/>
    <w:tmpl w:val="950A1C52"/>
    <w:numStyleLink w:val="AERHeadings"/>
  </w:abstractNum>
  <w:abstractNum w:abstractNumId="33">
    <w:nsid w:val="7AAC6DD7"/>
    <w:multiLevelType w:val="multilevel"/>
    <w:tmpl w:val="950A1C52"/>
    <w:numStyleLink w:val="AERHeadings"/>
  </w:abstractNum>
  <w:abstractNum w:abstractNumId="34">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950A1C52"/>
    <w:numStyleLink w:val="AERHeadings"/>
  </w:abstractNum>
  <w:abstractNum w:abstractNumId="36">
    <w:nsid w:val="7CDA0F5F"/>
    <w:multiLevelType w:val="multilevel"/>
    <w:tmpl w:val="950A1C52"/>
    <w:numStyleLink w:val="AERHeadings"/>
  </w:abstractNum>
  <w:num w:numId="1">
    <w:abstractNumId w:val="29"/>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4"/>
  </w:num>
  <w:num w:numId="10">
    <w:abstractNumId w:val="21"/>
    <w:lvlOverride w:ilvl="0">
      <w:startOverride w:val="1"/>
    </w:lvlOverride>
  </w:num>
  <w:num w:numId="11">
    <w:abstractNumId w:val="1"/>
  </w:num>
  <w:num w:numId="12">
    <w:abstractNumId w:val="21"/>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1"/>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6"/>
  </w:num>
  <w:num w:numId="28">
    <w:abstractNumId w:val="17"/>
  </w:num>
  <w:num w:numId="29">
    <w:abstractNumId w:val="10"/>
  </w:num>
  <w:num w:numId="30">
    <w:abstractNumId w:val="5"/>
  </w:num>
  <w:num w:numId="31">
    <w:abstractNumId w:val="0"/>
  </w:num>
  <w:num w:numId="32">
    <w:abstractNumId w:val="6"/>
  </w:num>
  <w:num w:numId="33">
    <w:abstractNumId w:val="32"/>
  </w:num>
  <w:num w:numId="34">
    <w:abstractNumId w:val="28"/>
  </w:num>
  <w:num w:numId="35">
    <w:abstractNumId w:val="30"/>
  </w:num>
  <w:num w:numId="36">
    <w:abstractNumId w:val="35"/>
  </w:num>
  <w:num w:numId="37">
    <w:abstractNumId w:val="26"/>
  </w:num>
  <w:num w:numId="38">
    <w:abstractNumId w:val="12"/>
  </w:num>
  <w:num w:numId="39">
    <w:abstractNumId w:val="13"/>
  </w:num>
  <w:num w:numId="40">
    <w:abstractNumId w:val="20"/>
  </w:num>
  <w:num w:numId="41">
    <w:abstractNumId w:val="25"/>
  </w:num>
  <w:num w:numId="42">
    <w:abstractNumId w:val="4"/>
  </w:num>
  <w:num w:numId="43">
    <w:abstractNumId w:val="33"/>
  </w:num>
  <w:num w:numId="44">
    <w:abstractNumId w:val="23"/>
  </w:num>
  <w:num w:numId="45">
    <w:abstractNumId w:val="19"/>
  </w:num>
  <w:num w:numId="46">
    <w:abstractNumId w:val="14"/>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removePersonalInformation/>
  <w:removeDateAndTime/>
  <w:proofState w:spelling="clean" w:grammar="clean"/>
  <w:documentProtection w:formatting="1" w:enforcement="0"/>
  <w:defaultTabStop w:val="720"/>
  <w:evenAndOddHeaders/>
  <w:drawingGridHorizontalSpacing w:val="10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0C052F"/>
    <w:rsid w:val="00011129"/>
    <w:rsid w:val="00022606"/>
    <w:rsid w:val="00040599"/>
    <w:rsid w:val="00040749"/>
    <w:rsid w:val="000809DD"/>
    <w:rsid w:val="000A1CC2"/>
    <w:rsid w:val="000A5342"/>
    <w:rsid w:val="000B15CA"/>
    <w:rsid w:val="000C052F"/>
    <w:rsid w:val="000C3430"/>
    <w:rsid w:val="000D03C2"/>
    <w:rsid w:val="000D04B1"/>
    <w:rsid w:val="000D401F"/>
    <w:rsid w:val="000D76C0"/>
    <w:rsid w:val="000E1A25"/>
    <w:rsid w:val="000E6418"/>
    <w:rsid w:val="000F3A6A"/>
    <w:rsid w:val="001033B3"/>
    <w:rsid w:val="00105636"/>
    <w:rsid w:val="00117CFA"/>
    <w:rsid w:val="0013022D"/>
    <w:rsid w:val="00131287"/>
    <w:rsid w:val="001525C7"/>
    <w:rsid w:val="001543D2"/>
    <w:rsid w:val="001708CC"/>
    <w:rsid w:val="00174026"/>
    <w:rsid w:val="001856EE"/>
    <w:rsid w:val="00194C3C"/>
    <w:rsid w:val="001B6619"/>
    <w:rsid w:val="001C12E5"/>
    <w:rsid w:val="001E108B"/>
    <w:rsid w:val="001F40A1"/>
    <w:rsid w:val="002023C1"/>
    <w:rsid w:val="0020711E"/>
    <w:rsid w:val="00210880"/>
    <w:rsid w:val="002257B9"/>
    <w:rsid w:val="0023137D"/>
    <w:rsid w:val="002471E6"/>
    <w:rsid w:val="002513DC"/>
    <w:rsid w:val="00266710"/>
    <w:rsid w:val="00276465"/>
    <w:rsid w:val="002805B8"/>
    <w:rsid w:val="002938CE"/>
    <w:rsid w:val="002B6640"/>
    <w:rsid w:val="002C0B83"/>
    <w:rsid w:val="002D61AC"/>
    <w:rsid w:val="002E4720"/>
    <w:rsid w:val="00303452"/>
    <w:rsid w:val="0030684D"/>
    <w:rsid w:val="003324F7"/>
    <w:rsid w:val="00334D6C"/>
    <w:rsid w:val="00334F88"/>
    <w:rsid w:val="003707DB"/>
    <w:rsid w:val="00373B7F"/>
    <w:rsid w:val="00375AEC"/>
    <w:rsid w:val="00376236"/>
    <w:rsid w:val="0037652C"/>
    <w:rsid w:val="003800E4"/>
    <w:rsid w:val="00380FF5"/>
    <w:rsid w:val="003957AC"/>
    <w:rsid w:val="003A6174"/>
    <w:rsid w:val="004030AB"/>
    <w:rsid w:val="00411433"/>
    <w:rsid w:val="00412282"/>
    <w:rsid w:val="004256BA"/>
    <w:rsid w:val="00431999"/>
    <w:rsid w:val="00433475"/>
    <w:rsid w:val="00435682"/>
    <w:rsid w:val="00436C61"/>
    <w:rsid w:val="00437835"/>
    <w:rsid w:val="00443C8E"/>
    <w:rsid w:val="00456081"/>
    <w:rsid w:val="00464F5D"/>
    <w:rsid w:val="0047454F"/>
    <w:rsid w:val="00474FBD"/>
    <w:rsid w:val="00491D7D"/>
    <w:rsid w:val="00495B64"/>
    <w:rsid w:val="004964DB"/>
    <w:rsid w:val="004C115A"/>
    <w:rsid w:val="004C3F45"/>
    <w:rsid w:val="004E40EF"/>
    <w:rsid w:val="004E73F7"/>
    <w:rsid w:val="004F76A0"/>
    <w:rsid w:val="005005E5"/>
    <w:rsid w:val="00500E7F"/>
    <w:rsid w:val="0052179D"/>
    <w:rsid w:val="00525604"/>
    <w:rsid w:val="005456A9"/>
    <w:rsid w:val="0055520E"/>
    <w:rsid w:val="00555D52"/>
    <w:rsid w:val="005566D7"/>
    <w:rsid w:val="00561F7F"/>
    <w:rsid w:val="00566B35"/>
    <w:rsid w:val="005732CC"/>
    <w:rsid w:val="00575422"/>
    <w:rsid w:val="005938C6"/>
    <w:rsid w:val="005A0431"/>
    <w:rsid w:val="005B3752"/>
    <w:rsid w:val="005B61C2"/>
    <w:rsid w:val="005D26B7"/>
    <w:rsid w:val="005D4AA1"/>
    <w:rsid w:val="005D4BC1"/>
    <w:rsid w:val="005E3E0C"/>
    <w:rsid w:val="0060146C"/>
    <w:rsid w:val="0060207D"/>
    <w:rsid w:val="00602557"/>
    <w:rsid w:val="006039F2"/>
    <w:rsid w:val="006061B0"/>
    <w:rsid w:val="0060732E"/>
    <w:rsid w:val="006076A9"/>
    <w:rsid w:val="006341BE"/>
    <w:rsid w:val="0065125A"/>
    <w:rsid w:val="006544EA"/>
    <w:rsid w:val="0066569F"/>
    <w:rsid w:val="00685CB3"/>
    <w:rsid w:val="0069004B"/>
    <w:rsid w:val="006B08EB"/>
    <w:rsid w:val="006B481F"/>
    <w:rsid w:val="006F638E"/>
    <w:rsid w:val="00703755"/>
    <w:rsid w:val="00703E42"/>
    <w:rsid w:val="007368AD"/>
    <w:rsid w:val="00751D2A"/>
    <w:rsid w:val="00755095"/>
    <w:rsid w:val="00775840"/>
    <w:rsid w:val="007765C7"/>
    <w:rsid w:val="00796A07"/>
    <w:rsid w:val="007F10E3"/>
    <w:rsid w:val="007F2C0E"/>
    <w:rsid w:val="00804386"/>
    <w:rsid w:val="00804AEB"/>
    <w:rsid w:val="0081277C"/>
    <w:rsid w:val="00824CC8"/>
    <w:rsid w:val="00836D17"/>
    <w:rsid w:val="00840A55"/>
    <w:rsid w:val="00841E25"/>
    <w:rsid w:val="0084378B"/>
    <w:rsid w:val="008464CD"/>
    <w:rsid w:val="008515EE"/>
    <w:rsid w:val="008614D3"/>
    <w:rsid w:val="00861C4E"/>
    <w:rsid w:val="00863E2F"/>
    <w:rsid w:val="00866D21"/>
    <w:rsid w:val="00872D85"/>
    <w:rsid w:val="00883DDA"/>
    <w:rsid w:val="00891FF9"/>
    <w:rsid w:val="00893367"/>
    <w:rsid w:val="00893D07"/>
    <w:rsid w:val="008B7956"/>
    <w:rsid w:val="008C3722"/>
    <w:rsid w:val="008C3B67"/>
    <w:rsid w:val="008C3F48"/>
    <w:rsid w:val="008C4CDB"/>
    <w:rsid w:val="008D49B4"/>
    <w:rsid w:val="008D7498"/>
    <w:rsid w:val="00914017"/>
    <w:rsid w:val="009171FB"/>
    <w:rsid w:val="00932E96"/>
    <w:rsid w:val="009362D9"/>
    <w:rsid w:val="009418E6"/>
    <w:rsid w:val="0094235F"/>
    <w:rsid w:val="0094279F"/>
    <w:rsid w:val="00946B98"/>
    <w:rsid w:val="0095052A"/>
    <w:rsid w:val="009516DF"/>
    <w:rsid w:val="00956021"/>
    <w:rsid w:val="009658F0"/>
    <w:rsid w:val="00965CB5"/>
    <w:rsid w:val="009660DE"/>
    <w:rsid w:val="00971655"/>
    <w:rsid w:val="00971C63"/>
    <w:rsid w:val="00972175"/>
    <w:rsid w:val="00981803"/>
    <w:rsid w:val="009A4AE9"/>
    <w:rsid w:val="009C71D5"/>
    <w:rsid w:val="009D0222"/>
    <w:rsid w:val="009F78B3"/>
    <w:rsid w:val="009F7CE4"/>
    <w:rsid w:val="00A05DFA"/>
    <w:rsid w:val="00A11162"/>
    <w:rsid w:val="00A15EEC"/>
    <w:rsid w:val="00A43227"/>
    <w:rsid w:val="00A46CCD"/>
    <w:rsid w:val="00A65133"/>
    <w:rsid w:val="00A652C5"/>
    <w:rsid w:val="00A678D9"/>
    <w:rsid w:val="00A85C5A"/>
    <w:rsid w:val="00A96A08"/>
    <w:rsid w:val="00AA0161"/>
    <w:rsid w:val="00AB1D08"/>
    <w:rsid w:val="00AB4345"/>
    <w:rsid w:val="00AB5BD7"/>
    <w:rsid w:val="00AC0135"/>
    <w:rsid w:val="00AC070D"/>
    <w:rsid w:val="00AC1B94"/>
    <w:rsid w:val="00AC3EAE"/>
    <w:rsid w:val="00AD0616"/>
    <w:rsid w:val="00AD34FF"/>
    <w:rsid w:val="00AD4DE6"/>
    <w:rsid w:val="00AE6DBC"/>
    <w:rsid w:val="00AF3E95"/>
    <w:rsid w:val="00AF4D64"/>
    <w:rsid w:val="00AF7C67"/>
    <w:rsid w:val="00B15FE9"/>
    <w:rsid w:val="00B3178E"/>
    <w:rsid w:val="00B51641"/>
    <w:rsid w:val="00B51883"/>
    <w:rsid w:val="00B61FD4"/>
    <w:rsid w:val="00B674DB"/>
    <w:rsid w:val="00B82E8D"/>
    <w:rsid w:val="00B9264D"/>
    <w:rsid w:val="00B94D99"/>
    <w:rsid w:val="00BA0A94"/>
    <w:rsid w:val="00BB3FA1"/>
    <w:rsid w:val="00BB62BB"/>
    <w:rsid w:val="00BC05C5"/>
    <w:rsid w:val="00BC67B1"/>
    <w:rsid w:val="00BD04BE"/>
    <w:rsid w:val="00BE0630"/>
    <w:rsid w:val="00BE6F28"/>
    <w:rsid w:val="00BF29FA"/>
    <w:rsid w:val="00BF7937"/>
    <w:rsid w:val="00C04D2B"/>
    <w:rsid w:val="00C0562E"/>
    <w:rsid w:val="00C12543"/>
    <w:rsid w:val="00C26747"/>
    <w:rsid w:val="00C52306"/>
    <w:rsid w:val="00C557F2"/>
    <w:rsid w:val="00C61499"/>
    <w:rsid w:val="00C65A70"/>
    <w:rsid w:val="00C737C5"/>
    <w:rsid w:val="00C916CC"/>
    <w:rsid w:val="00CA13E9"/>
    <w:rsid w:val="00CA3540"/>
    <w:rsid w:val="00CA6DED"/>
    <w:rsid w:val="00CC49D4"/>
    <w:rsid w:val="00CE6F5A"/>
    <w:rsid w:val="00CE7A66"/>
    <w:rsid w:val="00CF42CF"/>
    <w:rsid w:val="00D01345"/>
    <w:rsid w:val="00D102E9"/>
    <w:rsid w:val="00D15A15"/>
    <w:rsid w:val="00D1688F"/>
    <w:rsid w:val="00D2117F"/>
    <w:rsid w:val="00D25317"/>
    <w:rsid w:val="00D66E8B"/>
    <w:rsid w:val="00D85715"/>
    <w:rsid w:val="00D8706C"/>
    <w:rsid w:val="00D96230"/>
    <w:rsid w:val="00DA4C62"/>
    <w:rsid w:val="00DB6A17"/>
    <w:rsid w:val="00DC464D"/>
    <w:rsid w:val="00DD4E84"/>
    <w:rsid w:val="00DD5520"/>
    <w:rsid w:val="00DE22F1"/>
    <w:rsid w:val="00DF16C2"/>
    <w:rsid w:val="00E00F76"/>
    <w:rsid w:val="00E21E75"/>
    <w:rsid w:val="00E519DC"/>
    <w:rsid w:val="00E64D67"/>
    <w:rsid w:val="00E6571F"/>
    <w:rsid w:val="00E807DA"/>
    <w:rsid w:val="00E84E3A"/>
    <w:rsid w:val="00E94C06"/>
    <w:rsid w:val="00E95A4A"/>
    <w:rsid w:val="00EA05AF"/>
    <w:rsid w:val="00EB5CDF"/>
    <w:rsid w:val="00EC398C"/>
    <w:rsid w:val="00EC43B9"/>
    <w:rsid w:val="00ED4D69"/>
    <w:rsid w:val="00EE362F"/>
    <w:rsid w:val="00EF0E19"/>
    <w:rsid w:val="00F0029B"/>
    <w:rsid w:val="00F114AE"/>
    <w:rsid w:val="00F41944"/>
    <w:rsid w:val="00F43CA0"/>
    <w:rsid w:val="00F54216"/>
    <w:rsid w:val="00F55030"/>
    <w:rsid w:val="00F56467"/>
    <w:rsid w:val="00F60211"/>
    <w:rsid w:val="00F7696F"/>
    <w:rsid w:val="00F8209B"/>
    <w:rsid w:val="00F8634A"/>
    <w:rsid w:val="00F97CD9"/>
    <w:rsid w:val="00FA0576"/>
    <w:rsid w:val="00FB50B4"/>
    <w:rsid w:val="00FD4B97"/>
    <w:rsid w:val="00FE55EB"/>
    <w:rsid w:val="00FE7541"/>
    <w:rsid w:val="00FF4F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C557F2"/>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2"/>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basedOn w:val="DefaultParagraphFont"/>
    <w:uiPriority w:val="99"/>
    <w:semiHidden/>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216157">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138378699">
      <w:bodyDiv w:val="1"/>
      <w:marLeft w:val="0"/>
      <w:marRight w:val="0"/>
      <w:marTop w:val="0"/>
      <w:marBottom w:val="0"/>
      <w:divBdr>
        <w:top w:val="none" w:sz="0" w:space="0" w:color="auto"/>
        <w:left w:val="none" w:sz="0" w:space="0" w:color="auto"/>
        <w:bottom w:val="none" w:sz="0" w:space="0" w:color="auto"/>
        <w:right w:val="none" w:sz="0" w:space="0" w:color="auto"/>
      </w:divBdr>
    </w:div>
    <w:div w:id="162623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8.wmf"/><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oleObject" Target="embeddings/oleObject18.bin"/><Relationship Id="rId47" Type="http://schemas.openxmlformats.org/officeDocument/2006/relationships/image" Target="media/image22.wmf"/><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1.wmf"/><Relationship Id="rId41" Type="http://schemas.openxmlformats.org/officeDocument/2006/relationships/image" Target="media/image19.wmf"/><Relationship Id="rId54" Type="http://schemas.openxmlformats.org/officeDocument/2006/relationships/image" Target="media/image25.wmf"/><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oleObject" Target="embeddings/oleObject24.bin"/><Relationship Id="rId58" Type="http://schemas.openxmlformats.org/officeDocument/2006/relationships/image" Target="media/image27.wmf"/><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22.bin"/><Relationship Id="rId57" Type="http://schemas.openxmlformats.org/officeDocument/2006/relationships/oleObject" Target="embeddings/oleObject28.bin"/><Relationship Id="rId61" Type="http://schemas.openxmlformats.org/officeDocument/2006/relationships/footer" Target="footer2.xml"/><Relationship Id="rId10" Type="http://schemas.openxmlformats.org/officeDocument/2006/relationships/hyperlink" Target="mailto:AERInquiry@aer.gov.au" TargetMode="Externa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image" Target="media/image24.wmf"/><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image" Target="media/image26.wmf"/><Relationship Id="rId8" Type="http://schemas.openxmlformats.org/officeDocument/2006/relationships/image" Target="media/image1.jpeg"/><Relationship Id="rId51" Type="http://schemas.openxmlformats.org/officeDocument/2006/relationships/oleObject" Target="embeddings/oleObject23.bin"/><Relationship Id="rId3" Type="http://schemas.microsoft.com/office/2007/relationships/stylesWithEffects" Target="stylesWithEffect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9.bin"/></Relationships>
</file>

<file path=word/_rels/footnotes.xml.rels><?xml version="1.0" encoding="UTF-8" standalone="yes"?>
<Relationships xmlns="http://schemas.openxmlformats.org/package/2006/relationships"><Relationship Id="rId3" Type="http://schemas.openxmlformats.org/officeDocument/2006/relationships/image" Target="media/image16.wmf"/><Relationship Id="rId2" Type="http://schemas.openxmlformats.org/officeDocument/2006/relationships/oleObject" Target="embeddings/oleObject14.bin"/><Relationship Id="rId1" Type="http://schemas.openxmlformats.org/officeDocument/2006/relationships/image" Target="media/image15.wmf"/><Relationship Id="rId6" Type="http://schemas.openxmlformats.org/officeDocument/2006/relationships/oleObject" Target="embeddings/oleObject27.bin"/><Relationship Id="rId5" Type="http://schemas.openxmlformats.org/officeDocument/2006/relationships/oleObject" Target="embeddings/oleObject26.bin"/><Relationship Id="rId4"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F8F95478.dotm</Template>
  <TotalTime>0</TotalTime>
  <Pages>25</Pages>
  <Words>6962</Words>
  <Characters>39685</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46554</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2014-11-26T07:25:00Z</dcterms:created>
  <dcterms:modified xsi:type="dcterms:W3CDTF">2014-11-26T07:26:00Z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8298981</vt:lpwstr>
  </property>
</Properties>
</file>