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36" w:rsidRDefault="00775E36" w:rsidP="00775E36">
      <w:bookmarkStart w:id="0" w:name="_Toc387916729"/>
      <w:bookmarkStart w:id="1" w:name="_Toc387916795"/>
      <w:r w:rsidRPr="00D3259C">
        <w:rPr>
          <w:noProof/>
        </w:rPr>
        <w:drawing>
          <wp:anchor distT="0" distB="0" distL="114300" distR="114300" simplePos="0" relativeHeight="251659264" behindDoc="1" locked="0" layoutInCell="1" allowOverlap="1" wp14:anchorId="7E086228" wp14:editId="22AA918B">
            <wp:simplePos x="0" y="0"/>
            <wp:positionH relativeFrom="column">
              <wp:posOffset>-909985</wp:posOffset>
            </wp:positionH>
            <wp:positionV relativeFrom="paragraph">
              <wp:posOffset>-1001099</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775E36" w:rsidRDefault="00775E36" w:rsidP="00775E36"/>
    <w:p w:rsidR="00775E36" w:rsidRDefault="00775E36" w:rsidP="00775E36"/>
    <w:p w:rsidR="00775E36" w:rsidRDefault="00775E36" w:rsidP="00775E36"/>
    <w:p w:rsidR="00775E36" w:rsidRDefault="00775E36" w:rsidP="00775E36"/>
    <w:p w:rsidR="00775E36" w:rsidRPr="000A33B4" w:rsidRDefault="00775E36" w:rsidP="00775E36">
      <w:pPr>
        <w:pStyle w:val="AERtitle1"/>
      </w:pPr>
    </w:p>
    <w:p w:rsidR="00775E36" w:rsidRPr="000A33B4" w:rsidRDefault="00775E36" w:rsidP="00775E36">
      <w:pPr>
        <w:pStyle w:val="AERtitle1"/>
      </w:pPr>
    </w:p>
    <w:p w:rsidR="00775E36" w:rsidRPr="000A33B4" w:rsidRDefault="00775E36" w:rsidP="00775E36">
      <w:pPr>
        <w:pStyle w:val="AERtitle1"/>
      </w:pPr>
    </w:p>
    <w:p w:rsidR="00775E36" w:rsidRPr="000A33B4" w:rsidRDefault="00775E36" w:rsidP="00775E36">
      <w:pPr>
        <w:pStyle w:val="AERtitle1"/>
      </w:pPr>
      <w:r>
        <w:t>Draft Decision</w:t>
      </w:r>
    </w:p>
    <w:p w:rsidR="00775E36" w:rsidRDefault="00775E36" w:rsidP="00775E36">
      <w:pPr>
        <w:pStyle w:val="AERtitle1"/>
      </w:pPr>
      <w:r>
        <w:t>Ausgrid distribution determination</w:t>
      </w:r>
    </w:p>
    <w:p w:rsidR="00775E36" w:rsidRPr="000A33B4" w:rsidRDefault="00775E36" w:rsidP="00775E36">
      <w:pPr>
        <w:pStyle w:val="AERtitle1"/>
      </w:pPr>
      <w:r>
        <w:t>2015–16</w:t>
      </w:r>
      <w:r w:rsidRPr="000A33B4">
        <w:t xml:space="preserve"> to 201</w:t>
      </w:r>
      <w:r>
        <w:t>8–</w:t>
      </w:r>
      <w:r w:rsidRPr="000A33B4">
        <w:t>1</w:t>
      </w:r>
      <w:r>
        <w:t>9</w:t>
      </w:r>
    </w:p>
    <w:p w:rsidR="00775E36" w:rsidRPr="000A33B4" w:rsidRDefault="00775E36" w:rsidP="00775E36">
      <w:pPr>
        <w:pStyle w:val="AERtitle1"/>
      </w:pPr>
      <w:r>
        <w:t>Attachment 2: Regulatory asset base</w:t>
      </w:r>
    </w:p>
    <w:p w:rsidR="00775E36" w:rsidRDefault="00775E36" w:rsidP="007D4FB2">
      <w:pPr>
        <w:pStyle w:val="AERbodytext"/>
        <w:numPr>
          <w:ilvl w:val="0"/>
          <w:numId w:val="0"/>
        </w:numPr>
      </w:pPr>
    </w:p>
    <w:p w:rsidR="007D4FB2" w:rsidRDefault="007D4FB2" w:rsidP="007D4FB2">
      <w:pPr>
        <w:pStyle w:val="AERbodytext"/>
        <w:numPr>
          <w:ilvl w:val="0"/>
          <w:numId w:val="0"/>
        </w:numPr>
      </w:pPr>
    </w:p>
    <w:p w:rsidR="007D4FB2" w:rsidRPr="000A33B4" w:rsidRDefault="007D4FB2" w:rsidP="007D4FB2">
      <w:pPr>
        <w:pStyle w:val="AERbodytext"/>
        <w:numPr>
          <w:ilvl w:val="0"/>
          <w:numId w:val="0"/>
        </w:numPr>
      </w:pPr>
    </w:p>
    <w:p w:rsidR="00775E36" w:rsidRPr="000A33B4" w:rsidRDefault="00775E36" w:rsidP="00775E36">
      <w:pPr>
        <w:pStyle w:val="AERtitle2"/>
      </w:pPr>
      <w:r w:rsidRPr="000A33B4">
        <w:t>November 2014</w:t>
      </w:r>
    </w:p>
    <w:p w:rsidR="00775E36" w:rsidRPr="000A33B4" w:rsidRDefault="00775E36" w:rsidP="00775E36">
      <w:pPr>
        <w:pStyle w:val="AERbodytext"/>
      </w:pPr>
    </w:p>
    <w:p w:rsidR="00775E36" w:rsidRPr="000A33B4" w:rsidRDefault="00775E36" w:rsidP="00775E36">
      <w:pPr>
        <w:pStyle w:val="AERbodytext"/>
      </w:pPr>
    </w:p>
    <w:p w:rsidR="00775E36" w:rsidRPr="000A33B4" w:rsidRDefault="00775E36" w:rsidP="00775E36">
      <w:pPr>
        <w:pStyle w:val="AERbodytext"/>
      </w:pPr>
      <w:r w:rsidRPr="000A33B4">
        <w:br w:type="page"/>
      </w:r>
    </w:p>
    <w:p w:rsidR="00775E36" w:rsidRPr="000A33B4" w:rsidRDefault="00775E36" w:rsidP="00775E36">
      <w:pPr>
        <w:pStyle w:val="AERbodytextnospace"/>
        <w:rPr>
          <w:rStyle w:val="AERtextbold"/>
        </w:rPr>
      </w:pPr>
      <w:r w:rsidRPr="000A33B4">
        <w:rPr>
          <w:rStyle w:val="AERtextbold"/>
        </w:rPr>
        <w:lastRenderedPageBreak/>
        <w:t>© Commonwealth of Australia 2014</w:t>
      </w:r>
    </w:p>
    <w:p w:rsidR="00775E36" w:rsidRPr="000A33B4" w:rsidRDefault="00775E36" w:rsidP="00775E36">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775E36" w:rsidRPr="000A33B4" w:rsidRDefault="00775E36" w:rsidP="00775E36">
      <w:pPr>
        <w:pStyle w:val="AERbulletlistfirststyle"/>
      </w:pPr>
      <w:r w:rsidRPr="000A33B4">
        <w:t>the Commonwealth Coat of Arms</w:t>
      </w:r>
    </w:p>
    <w:p w:rsidR="00775E36" w:rsidRDefault="00775E36" w:rsidP="00775E36">
      <w:pPr>
        <w:pStyle w:val="AERbulletlistfirststyle"/>
      </w:pPr>
      <w:r w:rsidRPr="000A33B4">
        <w:t>the ACCC and AER logos</w:t>
      </w:r>
    </w:p>
    <w:p w:rsidR="00775E36" w:rsidRPr="000A33B4" w:rsidRDefault="00775E36" w:rsidP="00775E36">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775E36" w:rsidRPr="000A33B4" w:rsidRDefault="00775E36" w:rsidP="00775E36">
      <w:pPr>
        <w:pStyle w:val="AERbodytext"/>
      </w:pPr>
      <w:r w:rsidRPr="000A33B4">
        <w:t>The details of the relevant licence conditions are available on the Creative Commons website, as is the full legal code for the CC BY 3.0 AU licence.</w:t>
      </w:r>
    </w:p>
    <w:p w:rsidR="00775E36" w:rsidRPr="000A33B4" w:rsidRDefault="00775E36" w:rsidP="00775E36">
      <w:pPr>
        <w:pStyle w:val="AERbodytext"/>
      </w:pPr>
      <w:r w:rsidRPr="000A33B4">
        <w:t>Requests and inquiries concerning reproduction and rights should be addressed to the Director, Corporate Communications, ACCC, GPO Box 3131, Canberra ACT 2601, or</w:t>
      </w:r>
    </w:p>
    <w:p w:rsidR="00775E36" w:rsidRPr="000A33B4" w:rsidRDefault="00775E36" w:rsidP="00775E36">
      <w:pPr>
        <w:pStyle w:val="AERbodytext"/>
      </w:pPr>
      <w:r w:rsidRPr="000A33B4">
        <w:t xml:space="preserve"> </w:t>
      </w:r>
      <w:r>
        <w:tab/>
      </w:r>
      <w:hyperlink r:id="rId9" w:history="1">
        <w:r w:rsidRPr="000A33B4">
          <w:t>publishing.unit@accc.gov.au</w:t>
        </w:r>
      </w:hyperlink>
      <w:r w:rsidRPr="000A33B4">
        <w:t xml:space="preserve"> .</w:t>
      </w:r>
    </w:p>
    <w:p w:rsidR="00775E36" w:rsidRPr="000A33B4" w:rsidRDefault="00775E36" w:rsidP="00775E36">
      <w:pPr>
        <w:pStyle w:val="AERbodytext"/>
      </w:pPr>
      <w:r w:rsidRPr="000A33B4">
        <w:t>Inquiries about this document should be addressed to:</w:t>
      </w:r>
    </w:p>
    <w:p w:rsidR="00775E36" w:rsidRPr="000A33B4" w:rsidRDefault="00775E36" w:rsidP="00775E36">
      <w:pPr>
        <w:pStyle w:val="AERbodytextnospace"/>
      </w:pPr>
      <w:r w:rsidRPr="000A33B4">
        <w:t>Australian Energy Regulator</w:t>
      </w:r>
    </w:p>
    <w:p w:rsidR="00775E36" w:rsidRPr="000A33B4" w:rsidRDefault="00775E36" w:rsidP="00775E36">
      <w:pPr>
        <w:pStyle w:val="AERbodytextnospace"/>
      </w:pPr>
      <w:r w:rsidRPr="000A33B4">
        <w:t>GPO Box 520</w:t>
      </w:r>
    </w:p>
    <w:p w:rsidR="00775E36" w:rsidRPr="000A33B4" w:rsidRDefault="00775E36" w:rsidP="00775E36">
      <w:pPr>
        <w:pStyle w:val="AERbodytextnospace"/>
      </w:pPr>
      <w:r w:rsidRPr="000A33B4">
        <w:t>Melbourne  Vic  3001</w:t>
      </w:r>
    </w:p>
    <w:p w:rsidR="00775E36" w:rsidRPr="000A33B4" w:rsidRDefault="00775E36" w:rsidP="00775E36">
      <w:pPr>
        <w:pStyle w:val="AERbodytextnospace"/>
      </w:pPr>
      <w:r w:rsidRPr="000A33B4">
        <w:t>Tel: (03) 9290 1444</w:t>
      </w:r>
    </w:p>
    <w:p w:rsidR="00775E36" w:rsidRPr="000A33B4" w:rsidRDefault="00775E36" w:rsidP="00775E36">
      <w:pPr>
        <w:pStyle w:val="AERbodytextnospace"/>
      </w:pPr>
      <w:r w:rsidRPr="000A33B4">
        <w:t>Fax: (03) 9290 1457</w:t>
      </w:r>
    </w:p>
    <w:p w:rsidR="00775E36" w:rsidRPr="000A33B4" w:rsidRDefault="00775E36" w:rsidP="00775E36">
      <w:pPr>
        <w:pStyle w:val="AERbodytextnospace"/>
      </w:pPr>
      <w:r w:rsidRPr="000A33B4">
        <w:t xml:space="preserve">Email: </w:t>
      </w:r>
      <w:hyperlink r:id="rId10" w:history="1">
        <w:r w:rsidRPr="000A33B4">
          <w:rPr>
            <w:rStyle w:val="Hyperlink"/>
          </w:rPr>
          <w:t>AERInquiry@aer.gov.au</w:t>
        </w:r>
      </w:hyperlink>
    </w:p>
    <w:p w:rsidR="00775E36" w:rsidRPr="000A33B4" w:rsidRDefault="00775E36" w:rsidP="00775E36">
      <w:pPr>
        <w:pStyle w:val="AERbodytext"/>
      </w:pPr>
    </w:p>
    <w:p w:rsidR="00775E36" w:rsidRDefault="00775E36" w:rsidP="00775E36">
      <w:pPr>
        <w:pStyle w:val="AERbodytext"/>
        <w:rPr>
          <w:rStyle w:val="AERbody"/>
        </w:rPr>
      </w:pPr>
      <w:r w:rsidRPr="000A33B4">
        <w:t>AER reference</w:t>
      </w:r>
      <w:r w:rsidRPr="000A33B4">
        <w:rPr>
          <w:rStyle w:val="AERbody"/>
        </w:rPr>
        <w:t xml:space="preserve">:  </w:t>
      </w:r>
      <w:r w:rsidR="00703C06">
        <w:rPr>
          <w:rStyle w:val="AERbody"/>
        </w:rPr>
        <w:t>5229</w:t>
      </w:r>
      <w:r>
        <w:rPr>
          <w:rStyle w:val="AERbody"/>
        </w:rPr>
        <w:t>4</w:t>
      </w:r>
    </w:p>
    <w:p w:rsidR="00775E36" w:rsidRDefault="00775E36" w:rsidP="00775E36">
      <w:pPr>
        <w:pStyle w:val="UnnumberedHeading"/>
      </w:pPr>
      <w:bookmarkStart w:id="2" w:name="_Toc404356950"/>
      <w:r>
        <w:lastRenderedPageBreak/>
        <w:t>Note</w:t>
      </w:r>
      <w:bookmarkEnd w:id="2"/>
    </w:p>
    <w:p w:rsidR="00775E36" w:rsidRDefault="00775E36" w:rsidP="00775E36">
      <w:pPr>
        <w:pStyle w:val="AERbodytext"/>
      </w:pPr>
      <w:r>
        <w:t>This attachment forms part of the AER's draft decision on Ausgrid’s 2015–19 distribution determination. It should be read with other parts of the draft decision.</w:t>
      </w:r>
    </w:p>
    <w:p w:rsidR="00775E36" w:rsidRDefault="00775E36" w:rsidP="00775E36">
      <w:pPr>
        <w:pStyle w:val="AERbodytext"/>
      </w:pPr>
      <w:r>
        <w:t>The draft decision includes the following documents:</w:t>
      </w:r>
    </w:p>
    <w:p w:rsidR="00775E36" w:rsidRDefault="00775E36" w:rsidP="00775E36">
      <w:pPr>
        <w:pStyle w:val="AERbodytext"/>
      </w:pPr>
      <w:r>
        <w:t>Overview</w:t>
      </w:r>
    </w:p>
    <w:p w:rsidR="00775E36" w:rsidRDefault="00775E36" w:rsidP="00775E36">
      <w:pPr>
        <w:pStyle w:val="AERbodytext"/>
      </w:pPr>
      <w:r>
        <w:t>Attachment 1 – Annual revenue requirement</w:t>
      </w:r>
    </w:p>
    <w:p w:rsidR="00775E36" w:rsidRDefault="00775E36" w:rsidP="00775E36">
      <w:pPr>
        <w:pStyle w:val="AERbodytext"/>
      </w:pPr>
      <w:r>
        <w:t>Attachment 2 – Regulatory asset base</w:t>
      </w:r>
    </w:p>
    <w:p w:rsidR="00775E36" w:rsidRDefault="00775E36" w:rsidP="00775E36">
      <w:pPr>
        <w:pStyle w:val="AERbodytext"/>
      </w:pPr>
      <w:r>
        <w:t>Attachment 3 – Rate of return</w:t>
      </w:r>
    </w:p>
    <w:p w:rsidR="00775E36" w:rsidRDefault="00775E36" w:rsidP="00775E36">
      <w:pPr>
        <w:pStyle w:val="AERbodytext"/>
      </w:pPr>
      <w:r>
        <w:t>Attachment 4 – Value of imputation credits</w:t>
      </w:r>
    </w:p>
    <w:p w:rsidR="00775E36" w:rsidRDefault="00775E36" w:rsidP="00775E36">
      <w:pPr>
        <w:pStyle w:val="AERbodytext"/>
      </w:pPr>
      <w:r>
        <w:t>Attachment 5 – Regulatory depreciation</w:t>
      </w:r>
    </w:p>
    <w:p w:rsidR="00775E36" w:rsidRDefault="00775E36" w:rsidP="00775E36">
      <w:pPr>
        <w:pStyle w:val="AERbodytext"/>
      </w:pPr>
      <w:r>
        <w:t xml:space="preserve">Attachment 6 – Capital expenditure </w:t>
      </w:r>
    </w:p>
    <w:p w:rsidR="00775E36" w:rsidRDefault="00775E36" w:rsidP="00775E36">
      <w:pPr>
        <w:pStyle w:val="AERbodytext"/>
      </w:pPr>
      <w:r>
        <w:t>Attachment 7 – Operating expenditure</w:t>
      </w:r>
    </w:p>
    <w:p w:rsidR="00775E36" w:rsidRDefault="00775E36" w:rsidP="00775E36">
      <w:pPr>
        <w:pStyle w:val="AERbodytext"/>
      </w:pPr>
      <w:r>
        <w:t>Attachment 8 – Corporate income tax</w:t>
      </w:r>
    </w:p>
    <w:p w:rsidR="00775E36" w:rsidRDefault="00775E36" w:rsidP="00775E36">
      <w:pPr>
        <w:pStyle w:val="AERbodytext"/>
      </w:pPr>
      <w:r>
        <w:t>Attachment 9 – Efficiency benefit sharing scheme</w:t>
      </w:r>
    </w:p>
    <w:p w:rsidR="00775E36" w:rsidRDefault="00775E36" w:rsidP="00775E36">
      <w:pPr>
        <w:pStyle w:val="AERbodytext"/>
      </w:pPr>
      <w:r>
        <w:t>Attachment 10 – Capital expenditure sharing scheme</w:t>
      </w:r>
    </w:p>
    <w:p w:rsidR="00775E36" w:rsidRDefault="00775E36" w:rsidP="00775E36">
      <w:pPr>
        <w:pStyle w:val="AERbodytext"/>
      </w:pPr>
      <w:r>
        <w:t>Attachment 11 – Service target performance incentive scheme</w:t>
      </w:r>
    </w:p>
    <w:p w:rsidR="00775E36" w:rsidRDefault="00775E36" w:rsidP="00775E36">
      <w:pPr>
        <w:pStyle w:val="AERbodytext"/>
      </w:pPr>
      <w:r>
        <w:t>Attachment 12 – Demand management incentive scheme</w:t>
      </w:r>
    </w:p>
    <w:p w:rsidR="00775E36" w:rsidRDefault="00775E36" w:rsidP="00775E36">
      <w:pPr>
        <w:pStyle w:val="AERbodytext"/>
      </w:pPr>
      <w:r>
        <w:t>Attachment 13 – Classification of services</w:t>
      </w:r>
    </w:p>
    <w:p w:rsidR="00775E36" w:rsidRDefault="00775E36" w:rsidP="00775E36">
      <w:pPr>
        <w:pStyle w:val="AERbodytext"/>
      </w:pPr>
      <w:r>
        <w:t>Attachment 14 – Control mechanism</w:t>
      </w:r>
    </w:p>
    <w:p w:rsidR="00775E36" w:rsidRDefault="00775E36" w:rsidP="00775E36">
      <w:pPr>
        <w:pStyle w:val="AERbodytext"/>
      </w:pPr>
      <w:r>
        <w:t>Attachment 15 – Pass through events</w:t>
      </w:r>
    </w:p>
    <w:p w:rsidR="00775E36" w:rsidRDefault="00775E36" w:rsidP="00775E36">
      <w:pPr>
        <w:pStyle w:val="AERbodytext"/>
      </w:pPr>
      <w:r>
        <w:t>Attachment 16 – Alternative control services</w:t>
      </w:r>
    </w:p>
    <w:p w:rsidR="00775E36" w:rsidRDefault="00775E36" w:rsidP="00775E36">
      <w:pPr>
        <w:pStyle w:val="AERbodytext"/>
      </w:pPr>
      <w:r>
        <w:t>Attachment 17 – Negotiated services framework and criteria</w:t>
      </w:r>
    </w:p>
    <w:p w:rsidR="00775E36" w:rsidRPr="008B6C33" w:rsidRDefault="00775E36" w:rsidP="00775E36">
      <w:pPr>
        <w:pStyle w:val="AERbodytext"/>
      </w:pPr>
      <w:r>
        <w:t>Attachment 18 – Connection methodology</w:t>
      </w:r>
    </w:p>
    <w:p w:rsidR="00775E36" w:rsidRPr="000A33B4" w:rsidRDefault="00775E36" w:rsidP="00775E36">
      <w:pPr>
        <w:pStyle w:val="AERbodytext"/>
      </w:pPr>
      <w:r>
        <w:t>Attachment 19 – Pricing methodology</w:t>
      </w:r>
    </w:p>
    <w:p w:rsidR="00775E36" w:rsidRPr="00223CC4" w:rsidRDefault="00775E36" w:rsidP="00775E36">
      <w:r>
        <w:br w:type="page"/>
      </w:r>
    </w:p>
    <w:p w:rsidR="00775E36" w:rsidRDefault="00775E36" w:rsidP="00775E36">
      <w:pPr>
        <w:pStyle w:val="UnnumberedHeading"/>
      </w:pPr>
      <w:bookmarkStart w:id="3" w:name="_Toc404356951"/>
      <w:r>
        <w:lastRenderedPageBreak/>
        <w:t>Contents</w:t>
      </w:r>
      <w:bookmarkEnd w:id="3"/>
    </w:p>
    <w:sdt>
      <w:sdtPr>
        <w:rPr>
          <w:b w:val="0"/>
          <w:bCs w:val="0"/>
        </w:rPr>
        <w:id w:val="1388831217"/>
        <w:docPartObj>
          <w:docPartGallery w:val="Table of Contents"/>
          <w:docPartUnique/>
        </w:docPartObj>
      </w:sdtPr>
      <w:sdtEndPr>
        <w:rPr>
          <w:b/>
          <w:bCs/>
        </w:rPr>
      </w:sdtEndPr>
      <w:sdtContent>
        <w:p w:rsidR="00775E36" w:rsidRDefault="00775E36">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356950" w:history="1">
            <w:r w:rsidRPr="00F95B4B">
              <w:rPr>
                <w:rStyle w:val="Hyperlink"/>
                <w:noProof/>
              </w:rPr>
              <w:t>Note</w:t>
            </w:r>
            <w:r>
              <w:rPr>
                <w:noProof/>
                <w:webHidden/>
              </w:rPr>
              <w:tab/>
            </w:r>
            <w:r>
              <w:rPr>
                <w:noProof/>
                <w:webHidden/>
              </w:rPr>
              <w:fldChar w:fldCharType="begin"/>
            </w:r>
            <w:r>
              <w:rPr>
                <w:noProof/>
                <w:webHidden/>
              </w:rPr>
              <w:instrText xml:space="preserve"> PAGEREF _Toc404356950 \h </w:instrText>
            </w:r>
            <w:r>
              <w:rPr>
                <w:noProof/>
                <w:webHidden/>
              </w:rPr>
            </w:r>
            <w:r>
              <w:rPr>
                <w:noProof/>
                <w:webHidden/>
              </w:rPr>
              <w:fldChar w:fldCharType="separate"/>
            </w:r>
            <w:r>
              <w:rPr>
                <w:noProof/>
                <w:webHidden/>
              </w:rPr>
              <w:t>2-3</w:t>
            </w:r>
            <w:r>
              <w:rPr>
                <w:noProof/>
                <w:webHidden/>
              </w:rPr>
              <w:fldChar w:fldCharType="end"/>
            </w:r>
          </w:hyperlink>
        </w:p>
        <w:p w:rsidR="00775E36" w:rsidRDefault="00AD3FD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56951" w:history="1">
            <w:r w:rsidR="00775E36" w:rsidRPr="00F95B4B">
              <w:rPr>
                <w:rStyle w:val="Hyperlink"/>
                <w:noProof/>
              </w:rPr>
              <w:t>Contents</w:t>
            </w:r>
            <w:r w:rsidR="00775E36">
              <w:rPr>
                <w:noProof/>
                <w:webHidden/>
              </w:rPr>
              <w:tab/>
            </w:r>
            <w:r w:rsidR="00775E36">
              <w:rPr>
                <w:noProof/>
                <w:webHidden/>
              </w:rPr>
              <w:fldChar w:fldCharType="begin"/>
            </w:r>
            <w:r w:rsidR="00775E36">
              <w:rPr>
                <w:noProof/>
                <w:webHidden/>
              </w:rPr>
              <w:instrText xml:space="preserve"> PAGEREF _Toc404356951 \h </w:instrText>
            </w:r>
            <w:r w:rsidR="00775E36">
              <w:rPr>
                <w:noProof/>
                <w:webHidden/>
              </w:rPr>
            </w:r>
            <w:r w:rsidR="00775E36">
              <w:rPr>
                <w:noProof/>
                <w:webHidden/>
              </w:rPr>
              <w:fldChar w:fldCharType="separate"/>
            </w:r>
            <w:r w:rsidR="00775E36">
              <w:rPr>
                <w:noProof/>
                <w:webHidden/>
              </w:rPr>
              <w:t>2-4</w:t>
            </w:r>
            <w:r w:rsidR="00775E36">
              <w:rPr>
                <w:noProof/>
                <w:webHidden/>
              </w:rPr>
              <w:fldChar w:fldCharType="end"/>
            </w:r>
          </w:hyperlink>
        </w:p>
        <w:p w:rsidR="00775E36" w:rsidRDefault="00AD3FDB">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56952" w:history="1">
            <w:r w:rsidR="00775E36" w:rsidRPr="00F95B4B">
              <w:rPr>
                <w:rStyle w:val="Hyperlink"/>
                <w:noProof/>
              </w:rPr>
              <w:t>Shortened forms</w:t>
            </w:r>
            <w:r w:rsidR="00775E36">
              <w:rPr>
                <w:noProof/>
                <w:webHidden/>
              </w:rPr>
              <w:tab/>
            </w:r>
            <w:r w:rsidR="00775E36">
              <w:rPr>
                <w:noProof/>
                <w:webHidden/>
              </w:rPr>
              <w:fldChar w:fldCharType="begin"/>
            </w:r>
            <w:r w:rsidR="00775E36">
              <w:rPr>
                <w:noProof/>
                <w:webHidden/>
              </w:rPr>
              <w:instrText xml:space="preserve"> PAGEREF _Toc404356952 \h </w:instrText>
            </w:r>
            <w:r w:rsidR="00775E36">
              <w:rPr>
                <w:noProof/>
                <w:webHidden/>
              </w:rPr>
            </w:r>
            <w:r w:rsidR="00775E36">
              <w:rPr>
                <w:noProof/>
                <w:webHidden/>
              </w:rPr>
              <w:fldChar w:fldCharType="separate"/>
            </w:r>
            <w:r w:rsidR="00775E36">
              <w:rPr>
                <w:noProof/>
                <w:webHidden/>
              </w:rPr>
              <w:t>2-5</w:t>
            </w:r>
            <w:r w:rsidR="00775E36">
              <w:rPr>
                <w:noProof/>
                <w:webHidden/>
              </w:rPr>
              <w:fldChar w:fldCharType="end"/>
            </w:r>
          </w:hyperlink>
        </w:p>
        <w:p w:rsidR="00775E36" w:rsidRDefault="00AD3FDB">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56953" w:history="1">
            <w:r w:rsidR="00775E36" w:rsidRPr="00F95B4B">
              <w:rPr>
                <w:rStyle w:val="Hyperlink"/>
                <w:noProof/>
              </w:rPr>
              <w:t>2</w:t>
            </w:r>
            <w:r w:rsidR="00775E36">
              <w:rPr>
                <w:rFonts w:asciiTheme="minorHAnsi" w:eastAsiaTheme="minorEastAsia" w:hAnsiTheme="minorHAnsi" w:cstheme="minorBidi"/>
                <w:b w:val="0"/>
                <w:bCs w:val="0"/>
                <w:noProof/>
                <w:sz w:val="22"/>
                <w:szCs w:val="22"/>
                <w:lang w:eastAsia="en-AU"/>
              </w:rPr>
              <w:tab/>
            </w:r>
            <w:r w:rsidR="00775E36" w:rsidRPr="00F95B4B">
              <w:rPr>
                <w:rStyle w:val="Hyperlink"/>
                <w:noProof/>
              </w:rPr>
              <w:t>Regulatory asset base</w:t>
            </w:r>
            <w:r w:rsidR="00775E36">
              <w:rPr>
                <w:noProof/>
                <w:webHidden/>
              </w:rPr>
              <w:tab/>
            </w:r>
            <w:r w:rsidR="00775E36">
              <w:rPr>
                <w:noProof/>
                <w:webHidden/>
              </w:rPr>
              <w:fldChar w:fldCharType="begin"/>
            </w:r>
            <w:r w:rsidR="00775E36">
              <w:rPr>
                <w:noProof/>
                <w:webHidden/>
              </w:rPr>
              <w:instrText xml:space="preserve"> PAGEREF _Toc404356953 \h </w:instrText>
            </w:r>
            <w:r w:rsidR="00775E36">
              <w:rPr>
                <w:noProof/>
                <w:webHidden/>
              </w:rPr>
            </w:r>
            <w:r w:rsidR="00775E36">
              <w:rPr>
                <w:noProof/>
                <w:webHidden/>
              </w:rPr>
              <w:fldChar w:fldCharType="separate"/>
            </w:r>
            <w:r w:rsidR="00775E36">
              <w:rPr>
                <w:noProof/>
                <w:webHidden/>
              </w:rPr>
              <w:t>2-7</w:t>
            </w:r>
            <w:r w:rsidR="00775E36">
              <w:rPr>
                <w:noProof/>
                <w:webHidden/>
              </w:rPr>
              <w:fldChar w:fldCharType="end"/>
            </w:r>
          </w:hyperlink>
        </w:p>
        <w:p w:rsidR="00775E36" w:rsidRDefault="00AD3F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56954" w:history="1">
            <w:r w:rsidR="00775E36" w:rsidRPr="00F95B4B">
              <w:rPr>
                <w:rStyle w:val="Hyperlink"/>
                <w:noProof/>
              </w:rPr>
              <w:t>2.1</w:t>
            </w:r>
            <w:r w:rsidR="00775E36">
              <w:rPr>
                <w:rFonts w:asciiTheme="minorHAnsi" w:eastAsiaTheme="minorEastAsia" w:hAnsiTheme="minorHAnsi" w:cstheme="minorBidi"/>
                <w:iCs w:val="0"/>
                <w:noProof/>
                <w:sz w:val="22"/>
                <w:szCs w:val="22"/>
                <w:lang w:eastAsia="en-AU"/>
              </w:rPr>
              <w:tab/>
            </w:r>
            <w:r w:rsidR="00775E36" w:rsidRPr="00F95B4B">
              <w:rPr>
                <w:rStyle w:val="Hyperlink"/>
                <w:noProof/>
              </w:rPr>
              <w:t>Draft decision</w:t>
            </w:r>
            <w:r w:rsidR="00775E36">
              <w:rPr>
                <w:noProof/>
                <w:webHidden/>
              </w:rPr>
              <w:tab/>
            </w:r>
            <w:r w:rsidR="00775E36">
              <w:rPr>
                <w:noProof/>
                <w:webHidden/>
              </w:rPr>
              <w:fldChar w:fldCharType="begin"/>
            </w:r>
            <w:r w:rsidR="00775E36">
              <w:rPr>
                <w:noProof/>
                <w:webHidden/>
              </w:rPr>
              <w:instrText xml:space="preserve"> PAGEREF _Toc404356954 \h </w:instrText>
            </w:r>
            <w:r w:rsidR="00775E36">
              <w:rPr>
                <w:noProof/>
                <w:webHidden/>
              </w:rPr>
            </w:r>
            <w:r w:rsidR="00775E36">
              <w:rPr>
                <w:noProof/>
                <w:webHidden/>
              </w:rPr>
              <w:fldChar w:fldCharType="separate"/>
            </w:r>
            <w:r w:rsidR="00775E36">
              <w:rPr>
                <w:noProof/>
                <w:webHidden/>
              </w:rPr>
              <w:t>2-7</w:t>
            </w:r>
            <w:r w:rsidR="00775E36">
              <w:rPr>
                <w:noProof/>
                <w:webHidden/>
              </w:rPr>
              <w:fldChar w:fldCharType="end"/>
            </w:r>
          </w:hyperlink>
        </w:p>
        <w:p w:rsidR="00775E36" w:rsidRDefault="00AD3F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56955" w:history="1">
            <w:r w:rsidR="00775E36" w:rsidRPr="00F95B4B">
              <w:rPr>
                <w:rStyle w:val="Hyperlink"/>
                <w:noProof/>
              </w:rPr>
              <w:t>2.2</w:t>
            </w:r>
            <w:r w:rsidR="00775E36">
              <w:rPr>
                <w:rFonts w:asciiTheme="minorHAnsi" w:eastAsiaTheme="minorEastAsia" w:hAnsiTheme="minorHAnsi" w:cstheme="minorBidi"/>
                <w:iCs w:val="0"/>
                <w:noProof/>
                <w:sz w:val="22"/>
                <w:szCs w:val="22"/>
                <w:lang w:eastAsia="en-AU"/>
              </w:rPr>
              <w:tab/>
            </w:r>
            <w:r w:rsidR="00775E36" w:rsidRPr="00F95B4B">
              <w:rPr>
                <w:rStyle w:val="Hyperlink"/>
                <w:noProof/>
              </w:rPr>
              <w:t>Ausgrid's proposal</w:t>
            </w:r>
            <w:r w:rsidR="00775E36">
              <w:rPr>
                <w:noProof/>
                <w:webHidden/>
              </w:rPr>
              <w:tab/>
            </w:r>
            <w:r w:rsidR="00775E36">
              <w:rPr>
                <w:noProof/>
                <w:webHidden/>
              </w:rPr>
              <w:fldChar w:fldCharType="begin"/>
            </w:r>
            <w:r w:rsidR="00775E36">
              <w:rPr>
                <w:noProof/>
                <w:webHidden/>
              </w:rPr>
              <w:instrText xml:space="preserve"> PAGEREF _Toc404356955 \h </w:instrText>
            </w:r>
            <w:r w:rsidR="00775E36">
              <w:rPr>
                <w:noProof/>
                <w:webHidden/>
              </w:rPr>
            </w:r>
            <w:r w:rsidR="00775E36">
              <w:rPr>
                <w:noProof/>
                <w:webHidden/>
              </w:rPr>
              <w:fldChar w:fldCharType="separate"/>
            </w:r>
            <w:r w:rsidR="00775E36">
              <w:rPr>
                <w:noProof/>
                <w:webHidden/>
              </w:rPr>
              <w:t>2-10</w:t>
            </w:r>
            <w:r w:rsidR="00775E36">
              <w:rPr>
                <w:noProof/>
                <w:webHidden/>
              </w:rPr>
              <w:fldChar w:fldCharType="end"/>
            </w:r>
          </w:hyperlink>
        </w:p>
        <w:p w:rsidR="00775E36" w:rsidRDefault="00AD3F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56956" w:history="1">
            <w:r w:rsidR="00775E36" w:rsidRPr="00F95B4B">
              <w:rPr>
                <w:rStyle w:val="Hyperlink"/>
                <w:noProof/>
              </w:rPr>
              <w:t>2.3</w:t>
            </w:r>
            <w:r w:rsidR="00775E36">
              <w:rPr>
                <w:rFonts w:asciiTheme="minorHAnsi" w:eastAsiaTheme="minorEastAsia" w:hAnsiTheme="minorHAnsi" w:cstheme="minorBidi"/>
                <w:iCs w:val="0"/>
                <w:noProof/>
                <w:sz w:val="22"/>
                <w:szCs w:val="22"/>
                <w:lang w:eastAsia="en-AU"/>
              </w:rPr>
              <w:tab/>
            </w:r>
            <w:r w:rsidR="00775E36" w:rsidRPr="00F95B4B">
              <w:rPr>
                <w:rStyle w:val="Hyperlink"/>
                <w:noProof/>
              </w:rPr>
              <w:t>AER's assessment approach</w:t>
            </w:r>
            <w:r w:rsidR="00775E36">
              <w:rPr>
                <w:noProof/>
                <w:webHidden/>
              </w:rPr>
              <w:tab/>
            </w:r>
            <w:r w:rsidR="00775E36">
              <w:rPr>
                <w:noProof/>
                <w:webHidden/>
              </w:rPr>
              <w:fldChar w:fldCharType="begin"/>
            </w:r>
            <w:r w:rsidR="00775E36">
              <w:rPr>
                <w:noProof/>
                <w:webHidden/>
              </w:rPr>
              <w:instrText xml:space="preserve"> PAGEREF _Toc404356956 \h </w:instrText>
            </w:r>
            <w:r w:rsidR="00775E36">
              <w:rPr>
                <w:noProof/>
                <w:webHidden/>
              </w:rPr>
            </w:r>
            <w:r w:rsidR="00775E36">
              <w:rPr>
                <w:noProof/>
                <w:webHidden/>
              </w:rPr>
              <w:fldChar w:fldCharType="separate"/>
            </w:r>
            <w:r w:rsidR="00775E36">
              <w:rPr>
                <w:noProof/>
                <w:webHidden/>
              </w:rPr>
              <w:t>2-13</w:t>
            </w:r>
            <w:r w:rsidR="00775E36">
              <w:rPr>
                <w:noProof/>
                <w:webHidden/>
              </w:rPr>
              <w:fldChar w:fldCharType="end"/>
            </w:r>
          </w:hyperlink>
        </w:p>
        <w:p w:rsidR="00775E36" w:rsidRDefault="00AD3FD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6957" w:history="1">
            <w:r w:rsidR="00775E36" w:rsidRPr="00F95B4B">
              <w:rPr>
                <w:rStyle w:val="Hyperlink"/>
                <w:noProof/>
              </w:rPr>
              <w:t>2.3.1</w:t>
            </w:r>
            <w:r w:rsidR="00775E36">
              <w:rPr>
                <w:rFonts w:asciiTheme="minorHAnsi" w:eastAsiaTheme="minorEastAsia" w:hAnsiTheme="minorHAnsi" w:cstheme="minorBidi"/>
                <w:noProof/>
                <w:sz w:val="22"/>
                <w:szCs w:val="22"/>
                <w:lang w:eastAsia="en-AU"/>
              </w:rPr>
              <w:tab/>
            </w:r>
            <w:r w:rsidR="00775E36" w:rsidRPr="00F95B4B">
              <w:rPr>
                <w:rStyle w:val="Hyperlink"/>
                <w:noProof/>
              </w:rPr>
              <w:t>Interrelationships</w:t>
            </w:r>
            <w:r w:rsidR="00775E36">
              <w:rPr>
                <w:noProof/>
                <w:webHidden/>
              </w:rPr>
              <w:tab/>
            </w:r>
            <w:r w:rsidR="00775E36">
              <w:rPr>
                <w:noProof/>
                <w:webHidden/>
              </w:rPr>
              <w:fldChar w:fldCharType="begin"/>
            </w:r>
            <w:r w:rsidR="00775E36">
              <w:rPr>
                <w:noProof/>
                <w:webHidden/>
              </w:rPr>
              <w:instrText xml:space="preserve"> PAGEREF _Toc404356957 \h </w:instrText>
            </w:r>
            <w:r w:rsidR="00775E36">
              <w:rPr>
                <w:noProof/>
                <w:webHidden/>
              </w:rPr>
            </w:r>
            <w:r w:rsidR="00775E36">
              <w:rPr>
                <w:noProof/>
                <w:webHidden/>
              </w:rPr>
              <w:fldChar w:fldCharType="separate"/>
            </w:r>
            <w:r w:rsidR="00775E36">
              <w:rPr>
                <w:noProof/>
                <w:webHidden/>
              </w:rPr>
              <w:t>2-14</w:t>
            </w:r>
            <w:r w:rsidR="00775E36">
              <w:rPr>
                <w:noProof/>
                <w:webHidden/>
              </w:rPr>
              <w:fldChar w:fldCharType="end"/>
            </w:r>
          </w:hyperlink>
        </w:p>
        <w:p w:rsidR="00775E36" w:rsidRDefault="00AD3FDB">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56958" w:history="1">
            <w:r w:rsidR="00775E36" w:rsidRPr="00F95B4B">
              <w:rPr>
                <w:rStyle w:val="Hyperlink"/>
                <w:noProof/>
              </w:rPr>
              <w:t>2.4</w:t>
            </w:r>
            <w:r w:rsidR="00775E36">
              <w:rPr>
                <w:rFonts w:asciiTheme="minorHAnsi" w:eastAsiaTheme="minorEastAsia" w:hAnsiTheme="minorHAnsi" w:cstheme="minorBidi"/>
                <w:iCs w:val="0"/>
                <w:noProof/>
                <w:sz w:val="22"/>
                <w:szCs w:val="22"/>
                <w:lang w:eastAsia="en-AU"/>
              </w:rPr>
              <w:tab/>
            </w:r>
            <w:r w:rsidR="00775E36" w:rsidRPr="00F95B4B">
              <w:rPr>
                <w:rStyle w:val="Hyperlink"/>
                <w:noProof/>
              </w:rPr>
              <w:t>Reasons for draft decision</w:t>
            </w:r>
            <w:r w:rsidR="00775E36">
              <w:rPr>
                <w:noProof/>
                <w:webHidden/>
              </w:rPr>
              <w:tab/>
            </w:r>
            <w:r w:rsidR="00775E36">
              <w:rPr>
                <w:noProof/>
                <w:webHidden/>
              </w:rPr>
              <w:fldChar w:fldCharType="begin"/>
            </w:r>
            <w:r w:rsidR="00775E36">
              <w:rPr>
                <w:noProof/>
                <w:webHidden/>
              </w:rPr>
              <w:instrText xml:space="preserve"> PAGEREF _Toc404356958 \h </w:instrText>
            </w:r>
            <w:r w:rsidR="00775E36">
              <w:rPr>
                <w:noProof/>
                <w:webHidden/>
              </w:rPr>
            </w:r>
            <w:r w:rsidR="00775E36">
              <w:rPr>
                <w:noProof/>
                <w:webHidden/>
              </w:rPr>
              <w:fldChar w:fldCharType="separate"/>
            </w:r>
            <w:r w:rsidR="00775E36">
              <w:rPr>
                <w:noProof/>
                <w:webHidden/>
              </w:rPr>
              <w:t>2-17</w:t>
            </w:r>
            <w:r w:rsidR="00775E36">
              <w:rPr>
                <w:noProof/>
                <w:webHidden/>
              </w:rPr>
              <w:fldChar w:fldCharType="end"/>
            </w:r>
          </w:hyperlink>
        </w:p>
        <w:p w:rsidR="00775E36" w:rsidRDefault="00AD3FD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6959" w:history="1">
            <w:r w:rsidR="00775E36" w:rsidRPr="00F95B4B">
              <w:rPr>
                <w:rStyle w:val="Hyperlink"/>
                <w:noProof/>
              </w:rPr>
              <w:t>2.4.1</w:t>
            </w:r>
            <w:r w:rsidR="00775E36">
              <w:rPr>
                <w:rFonts w:asciiTheme="minorHAnsi" w:eastAsiaTheme="minorEastAsia" w:hAnsiTheme="minorHAnsi" w:cstheme="minorBidi"/>
                <w:noProof/>
                <w:sz w:val="22"/>
                <w:szCs w:val="22"/>
                <w:lang w:eastAsia="en-AU"/>
              </w:rPr>
              <w:tab/>
            </w:r>
            <w:r w:rsidR="00775E36" w:rsidRPr="00F95B4B">
              <w:rPr>
                <w:rStyle w:val="Hyperlink"/>
                <w:noProof/>
              </w:rPr>
              <w:t>Opening RAB as at 1 July 2014</w:t>
            </w:r>
            <w:r w:rsidR="00775E36">
              <w:rPr>
                <w:noProof/>
                <w:webHidden/>
              </w:rPr>
              <w:tab/>
            </w:r>
            <w:r w:rsidR="00775E36">
              <w:rPr>
                <w:noProof/>
                <w:webHidden/>
              </w:rPr>
              <w:fldChar w:fldCharType="begin"/>
            </w:r>
            <w:r w:rsidR="00775E36">
              <w:rPr>
                <w:noProof/>
                <w:webHidden/>
              </w:rPr>
              <w:instrText xml:space="preserve"> PAGEREF _Toc404356959 \h </w:instrText>
            </w:r>
            <w:r w:rsidR="00775E36">
              <w:rPr>
                <w:noProof/>
                <w:webHidden/>
              </w:rPr>
            </w:r>
            <w:r w:rsidR="00775E36">
              <w:rPr>
                <w:noProof/>
                <w:webHidden/>
              </w:rPr>
              <w:fldChar w:fldCharType="separate"/>
            </w:r>
            <w:r w:rsidR="00775E36">
              <w:rPr>
                <w:noProof/>
                <w:webHidden/>
              </w:rPr>
              <w:t>2-17</w:t>
            </w:r>
            <w:r w:rsidR="00775E36">
              <w:rPr>
                <w:noProof/>
                <w:webHidden/>
              </w:rPr>
              <w:fldChar w:fldCharType="end"/>
            </w:r>
          </w:hyperlink>
        </w:p>
        <w:p w:rsidR="00775E36" w:rsidRDefault="00AD3FD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6960" w:history="1">
            <w:r w:rsidR="00775E36" w:rsidRPr="00F95B4B">
              <w:rPr>
                <w:rStyle w:val="Hyperlink"/>
                <w:noProof/>
              </w:rPr>
              <w:t>2.4.2</w:t>
            </w:r>
            <w:r w:rsidR="00775E36">
              <w:rPr>
                <w:rFonts w:asciiTheme="minorHAnsi" w:eastAsiaTheme="minorEastAsia" w:hAnsiTheme="minorHAnsi" w:cstheme="minorBidi"/>
                <w:noProof/>
                <w:sz w:val="22"/>
                <w:szCs w:val="22"/>
                <w:lang w:eastAsia="en-AU"/>
              </w:rPr>
              <w:tab/>
            </w:r>
            <w:r w:rsidR="00775E36" w:rsidRPr="00F95B4B">
              <w:rPr>
                <w:rStyle w:val="Hyperlink"/>
                <w:noProof/>
              </w:rPr>
              <w:t>Forecast closing RAB as at 30 June 2019</w:t>
            </w:r>
            <w:r w:rsidR="00775E36">
              <w:rPr>
                <w:noProof/>
                <w:webHidden/>
              </w:rPr>
              <w:tab/>
            </w:r>
            <w:r w:rsidR="00775E36">
              <w:rPr>
                <w:noProof/>
                <w:webHidden/>
              </w:rPr>
              <w:fldChar w:fldCharType="begin"/>
            </w:r>
            <w:r w:rsidR="00775E36">
              <w:rPr>
                <w:noProof/>
                <w:webHidden/>
              </w:rPr>
              <w:instrText xml:space="preserve"> PAGEREF _Toc404356960 \h </w:instrText>
            </w:r>
            <w:r w:rsidR="00775E36">
              <w:rPr>
                <w:noProof/>
                <w:webHidden/>
              </w:rPr>
            </w:r>
            <w:r w:rsidR="00775E36">
              <w:rPr>
                <w:noProof/>
                <w:webHidden/>
              </w:rPr>
              <w:fldChar w:fldCharType="separate"/>
            </w:r>
            <w:r w:rsidR="00775E36">
              <w:rPr>
                <w:noProof/>
                <w:webHidden/>
              </w:rPr>
              <w:t>2-22</w:t>
            </w:r>
            <w:r w:rsidR="00775E36">
              <w:rPr>
                <w:noProof/>
                <w:webHidden/>
              </w:rPr>
              <w:fldChar w:fldCharType="end"/>
            </w:r>
          </w:hyperlink>
        </w:p>
        <w:p w:rsidR="00775E36" w:rsidRDefault="00AD3FDB">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6961" w:history="1">
            <w:r w:rsidR="00775E36" w:rsidRPr="00F95B4B">
              <w:rPr>
                <w:rStyle w:val="Hyperlink"/>
                <w:noProof/>
              </w:rPr>
              <w:t>2.4.3</w:t>
            </w:r>
            <w:r w:rsidR="00775E36">
              <w:rPr>
                <w:rFonts w:asciiTheme="minorHAnsi" w:eastAsiaTheme="minorEastAsia" w:hAnsiTheme="minorHAnsi" w:cstheme="minorBidi"/>
                <w:noProof/>
                <w:sz w:val="22"/>
                <w:szCs w:val="22"/>
                <w:lang w:eastAsia="en-AU"/>
              </w:rPr>
              <w:tab/>
            </w:r>
            <w:r w:rsidR="00775E36" w:rsidRPr="00F95B4B">
              <w:rPr>
                <w:rStyle w:val="Hyperlink"/>
                <w:noProof/>
              </w:rPr>
              <w:t>Application of depreciation approach in RAB roll forward for next reset</w:t>
            </w:r>
            <w:r w:rsidR="00775E36">
              <w:rPr>
                <w:noProof/>
                <w:webHidden/>
              </w:rPr>
              <w:tab/>
            </w:r>
            <w:r w:rsidR="00775E36">
              <w:rPr>
                <w:noProof/>
                <w:webHidden/>
              </w:rPr>
              <w:fldChar w:fldCharType="begin"/>
            </w:r>
            <w:r w:rsidR="00775E36">
              <w:rPr>
                <w:noProof/>
                <w:webHidden/>
              </w:rPr>
              <w:instrText xml:space="preserve"> PAGEREF _Toc404356961 \h </w:instrText>
            </w:r>
            <w:r w:rsidR="00775E36">
              <w:rPr>
                <w:noProof/>
                <w:webHidden/>
              </w:rPr>
            </w:r>
            <w:r w:rsidR="00775E36">
              <w:rPr>
                <w:noProof/>
                <w:webHidden/>
              </w:rPr>
              <w:fldChar w:fldCharType="separate"/>
            </w:r>
            <w:r w:rsidR="00775E36">
              <w:rPr>
                <w:noProof/>
                <w:webHidden/>
              </w:rPr>
              <w:t>2-23</w:t>
            </w:r>
            <w:r w:rsidR="00775E36">
              <w:rPr>
                <w:noProof/>
                <w:webHidden/>
              </w:rPr>
              <w:fldChar w:fldCharType="end"/>
            </w:r>
          </w:hyperlink>
        </w:p>
        <w:p w:rsidR="00775E36" w:rsidRDefault="00775E36" w:rsidP="00775E36">
          <w:pPr>
            <w:pStyle w:val="TOC1"/>
            <w:tabs>
              <w:tab w:val="right" w:leader="dot" w:pos="9016"/>
            </w:tabs>
          </w:pPr>
          <w:r>
            <w:rPr>
              <w:lang w:val="en-US" w:eastAsia="ja-JP"/>
            </w:rPr>
            <w:fldChar w:fldCharType="end"/>
          </w:r>
        </w:p>
      </w:sdtContent>
    </w:sdt>
    <w:p w:rsidR="00775E36" w:rsidRDefault="00775E36" w:rsidP="00775E36"/>
    <w:p w:rsidR="00775E36" w:rsidRDefault="00775E36" w:rsidP="00775E36"/>
    <w:p w:rsidR="00775E36" w:rsidRDefault="00775E36" w:rsidP="00775E36"/>
    <w:p w:rsidR="00775E36" w:rsidRDefault="00775E36" w:rsidP="00775E36"/>
    <w:p w:rsidR="00775E36" w:rsidRDefault="00775E36" w:rsidP="00775E36">
      <w:pPr>
        <w:pStyle w:val="UnnumberedHeading"/>
      </w:pPr>
      <w:bookmarkStart w:id="4" w:name="_Toc402538524"/>
      <w:bookmarkStart w:id="5" w:name="_Toc404356952"/>
      <w:r>
        <w:lastRenderedPageBreak/>
        <w:t>Shortened forms</w:t>
      </w:r>
      <w:bookmarkEnd w:id="4"/>
      <w:bookmarkEnd w:id="5"/>
    </w:p>
    <w:tbl>
      <w:tblPr>
        <w:tblStyle w:val="AERtable-numbers"/>
        <w:tblW w:w="0" w:type="auto"/>
        <w:tblLook w:val="04A0" w:firstRow="1" w:lastRow="0" w:firstColumn="1" w:lastColumn="0" w:noHBand="0" w:noVBand="1"/>
      </w:tblPr>
      <w:tblGrid>
        <w:gridCol w:w="4621"/>
        <w:gridCol w:w="4621"/>
      </w:tblGrid>
      <w:tr w:rsidR="00775E36" w:rsidTr="00B66B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bookmarkEnd w:id="0"/>
          <w:p w:rsidR="00775E36" w:rsidRDefault="00775E36" w:rsidP="00B66BC0">
            <w:pPr>
              <w:pStyle w:val="AERbodytext"/>
            </w:pPr>
            <w:r>
              <w:t>Shortened form</w:t>
            </w:r>
          </w:p>
        </w:tc>
        <w:tc>
          <w:tcPr>
            <w:tcW w:w="4621" w:type="dxa"/>
          </w:tcPr>
          <w:p w:rsidR="00775E36" w:rsidRDefault="00775E36" w:rsidP="00B66BC0">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AARR</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AEMC</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AEMO</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AER</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ASRR</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augex</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capex</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CCP</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CESS</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CPI</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CPI-X</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DRP</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DMIA</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DMIS</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distributor</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DUoS</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EBSS</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ERP</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expenditure assessment guideline</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expenditure forecast assessment guideline for electricity distribution</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F&amp;A</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MRP</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lastRenderedPageBreak/>
              <w:t>NEL</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NEM</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NEO</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NER</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NSP</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opex</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PPI</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PTRM</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RAB</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RBA</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repex</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RFM</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RIN</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RPP</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SAIDI</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SAIFI</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SLCAPM</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775E36" w:rsidTr="00B66BC0">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STPIS</w:t>
            </w:r>
          </w:p>
        </w:tc>
        <w:tc>
          <w:tcPr>
            <w:tcW w:w="4621" w:type="dxa"/>
          </w:tcPr>
          <w:p w:rsidR="00775E36" w:rsidRDefault="00775E36" w:rsidP="00B66BC0">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775E36" w:rsidTr="00B66B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775E36" w:rsidRDefault="00775E36" w:rsidP="00B66BC0">
            <w:pPr>
              <w:pStyle w:val="AERbodytext"/>
            </w:pPr>
            <w:r>
              <w:t>WACC</w:t>
            </w:r>
          </w:p>
        </w:tc>
        <w:tc>
          <w:tcPr>
            <w:tcW w:w="4621" w:type="dxa"/>
          </w:tcPr>
          <w:p w:rsidR="00775E36" w:rsidRDefault="00775E36" w:rsidP="00B66BC0">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97003" w:rsidRDefault="00D97003" w:rsidP="00775E36">
      <w:pPr>
        <w:pStyle w:val="Heading1"/>
      </w:pPr>
      <w:bookmarkStart w:id="6" w:name="_Toc404356953"/>
      <w:r>
        <w:lastRenderedPageBreak/>
        <w:t>Regulatory asset base</w:t>
      </w:r>
      <w:bookmarkEnd w:id="1"/>
      <w:bookmarkEnd w:id="6"/>
    </w:p>
    <w:p w:rsidR="003E2D82" w:rsidRPr="003E2D82" w:rsidRDefault="003E2D82" w:rsidP="008528F2">
      <w:pPr>
        <w:pStyle w:val="AERbodytext"/>
      </w:pPr>
      <w:r>
        <w:rPr>
          <w:rStyle w:val="AERbody"/>
        </w:rPr>
        <w:t>We are</w:t>
      </w:r>
      <w:r w:rsidRPr="003E2D82">
        <w:rPr>
          <w:rStyle w:val="AERbody"/>
        </w:rPr>
        <w:t xml:space="preserve"> required to make a decision on </w:t>
      </w:r>
      <w:r w:rsidR="00D242AD">
        <w:rPr>
          <w:rStyle w:val="AERbody"/>
        </w:rPr>
        <w:t>Ausgrid</w:t>
      </w:r>
      <w:r>
        <w:rPr>
          <w:rStyle w:val="AERbody"/>
        </w:rPr>
        <w:t>'s</w:t>
      </w:r>
      <w:r w:rsidRPr="003E2D82">
        <w:rPr>
          <w:rStyle w:val="AERbody"/>
        </w:rPr>
        <w:t xml:space="preserve"> opening regulatory asset base</w:t>
      </w:r>
      <w:r w:rsidR="009236C6">
        <w:rPr>
          <w:rStyle w:val="AERbody"/>
        </w:rPr>
        <w:t>s</w:t>
      </w:r>
      <w:r w:rsidRPr="003E2D82">
        <w:rPr>
          <w:rStyle w:val="AERbody"/>
        </w:rPr>
        <w:t xml:space="preserve"> (RAB</w:t>
      </w:r>
      <w:r w:rsidR="009236C6">
        <w:rPr>
          <w:rStyle w:val="AERbody"/>
        </w:rPr>
        <w:t>s</w:t>
      </w:r>
      <w:r w:rsidRPr="003E2D82">
        <w:rPr>
          <w:rStyle w:val="AERbody"/>
        </w:rPr>
        <w:t xml:space="preserve">) </w:t>
      </w:r>
      <w:r w:rsidR="007211B9">
        <w:rPr>
          <w:rStyle w:val="AERbody"/>
        </w:rPr>
        <w:t xml:space="preserve">as </w:t>
      </w:r>
      <w:r w:rsidRPr="003E2D82">
        <w:rPr>
          <w:rStyle w:val="AERbody"/>
        </w:rPr>
        <w:t xml:space="preserve">at </w:t>
      </w:r>
      <w:r w:rsidR="007211B9">
        <w:rPr>
          <w:rStyle w:val="AERbody"/>
        </w:rPr>
        <w:t>1 July 2014</w:t>
      </w:r>
      <w:r w:rsidR="009236C6">
        <w:rPr>
          <w:rStyle w:val="AERbody"/>
        </w:rPr>
        <w:t xml:space="preserve"> for its distribution and transmission networks</w:t>
      </w:r>
      <w:r w:rsidRPr="003E2D82">
        <w:rPr>
          <w:rStyle w:val="AERbody"/>
        </w:rPr>
        <w:t>.</w:t>
      </w:r>
      <w:r w:rsidRPr="00B24F2B">
        <w:rPr>
          <w:rStyle w:val="AERsuperscript"/>
        </w:rPr>
        <w:footnoteReference w:id="1"/>
      </w:r>
      <w:r w:rsidRPr="00B24F2B">
        <w:rPr>
          <w:rStyle w:val="AERbody"/>
        </w:rPr>
        <w:t xml:space="preserve"> </w:t>
      </w:r>
      <w:r w:rsidR="008528F2" w:rsidRPr="008528F2">
        <w:rPr>
          <w:rStyle w:val="AERbody"/>
        </w:rPr>
        <w:t xml:space="preserve">We use the RAB </w:t>
      </w:r>
      <w:r w:rsidR="007211B9">
        <w:rPr>
          <w:rStyle w:val="AERbody"/>
        </w:rPr>
        <w:t xml:space="preserve">at the start of </w:t>
      </w:r>
      <w:r w:rsidR="008528F2" w:rsidRPr="008528F2">
        <w:rPr>
          <w:rStyle w:val="AERbody"/>
        </w:rPr>
        <w:t>each regulatory year to determine the return of capital (regulatory depreciation) and return on capital building block allowances.</w:t>
      </w:r>
      <w:r w:rsidR="008528F2">
        <w:rPr>
          <w:rStyle w:val="AERbody"/>
        </w:rPr>
        <w:t xml:space="preserve"> </w:t>
      </w:r>
      <w:r w:rsidRPr="003E2D82">
        <w:rPr>
          <w:rStyle w:val="AERbody"/>
        </w:rPr>
        <w:t xml:space="preserve">This attachment presents </w:t>
      </w:r>
      <w:r w:rsidR="008528F2">
        <w:rPr>
          <w:rStyle w:val="AERbody"/>
        </w:rPr>
        <w:t>our draft decision</w:t>
      </w:r>
      <w:r w:rsidRPr="003E2D82">
        <w:rPr>
          <w:rStyle w:val="AERbody"/>
        </w:rPr>
        <w:t xml:space="preserve"> o</w:t>
      </w:r>
      <w:r w:rsidR="008528F2">
        <w:rPr>
          <w:rStyle w:val="AERbody"/>
        </w:rPr>
        <w:t>n</w:t>
      </w:r>
      <w:r w:rsidRPr="003E2D82">
        <w:rPr>
          <w:rStyle w:val="AERbody"/>
        </w:rPr>
        <w:t xml:space="preserve"> </w:t>
      </w:r>
      <w:r w:rsidR="008C63CD">
        <w:rPr>
          <w:rStyle w:val="AERbody"/>
        </w:rPr>
        <w:t xml:space="preserve">the </w:t>
      </w:r>
      <w:r w:rsidRPr="003E2D82">
        <w:rPr>
          <w:rStyle w:val="AERbody"/>
        </w:rPr>
        <w:t>opening RAB</w:t>
      </w:r>
      <w:r w:rsidR="008C63CD">
        <w:rPr>
          <w:rStyle w:val="AERbody"/>
        </w:rPr>
        <w:t xml:space="preserve"> value</w:t>
      </w:r>
      <w:r w:rsidR="009654E8">
        <w:rPr>
          <w:rStyle w:val="AERbody"/>
        </w:rPr>
        <w:t>s</w:t>
      </w:r>
      <w:r w:rsidRPr="003E2D82">
        <w:rPr>
          <w:rStyle w:val="AERbody"/>
        </w:rPr>
        <w:t xml:space="preserve"> as at 1 July 201</w:t>
      </w:r>
      <w:r>
        <w:rPr>
          <w:rStyle w:val="AERbody"/>
        </w:rPr>
        <w:t>4</w:t>
      </w:r>
      <w:r w:rsidRPr="003E2D82">
        <w:rPr>
          <w:rStyle w:val="AERbody"/>
        </w:rPr>
        <w:t xml:space="preserve"> and roll forward </w:t>
      </w:r>
      <w:r w:rsidR="007211B9">
        <w:rPr>
          <w:rStyle w:val="AERbody"/>
        </w:rPr>
        <w:t xml:space="preserve">of </w:t>
      </w:r>
      <w:r w:rsidR="008C63CD">
        <w:rPr>
          <w:rStyle w:val="AERbody"/>
        </w:rPr>
        <w:t>the forecast</w:t>
      </w:r>
      <w:r w:rsidRPr="003E2D82">
        <w:rPr>
          <w:rStyle w:val="AERbody"/>
        </w:rPr>
        <w:t xml:space="preserve"> RAB</w:t>
      </w:r>
      <w:r w:rsidR="008C63CD">
        <w:rPr>
          <w:rStyle w:val="AERbody"/>
        </w:rPr>
        <w:t xml:space="preserve"> value</w:t>
      </w:r>
      <w:r w:rsidR="009654E8">
        <w:rPr>
          <w:rStyle w:val="AERbody"/>
        </w:rPr>
        <w:t>s</w:t>
      </w:r>
      <w:r w:rsidRPr="003E2D82">
        <w:rPr>
          <w:rStyle w:val="AERbody"/>
        </w:rPr>
        <w:t xml:space="preserve"> over the </w:t>
      </w:r>
      <w:r w:rsidR="006E263A">
        <w:rPr>
          <w:rStyle w:val="AERbody"/>
        </w:rPr>
        <w:t>2014–19</w:t>
      </w:r>
      <w:r w:rsidRPr="003E2D82">
        <w:rPr>
          <w:rStyle w:val="AERbody"/>
        </w:rPr>
        <w:t xml:space="preserve"> regulatory control period.</w:t>
      </w:r>
    </w:p>
    <w:p w:rsidR="00D97003" w:rsidRDefault="00D97003" w:rsidP="00775E36">
      <w:pPr>
        <w:pStyle w:val="Heading2"/>
        <w:numPr>
          <w:ilvl w:val="2"/>
          <w:numId w:val="45"/>
        </w:numPr>
      </w:pPr>
      <w:bookmarkStart w:id="7" w:name="_Toc387916796"/>
      <w:bookmarkStart w:id="8" w:name="_Toc404356954"/>
      <w:r>
        <w:t>D</w:t>
      </w:r>
      <w:r w:rsidRPr="00525604">
        <w:t>raft decision</w:t>
      </w:r>
      <w:bookmarkEnd w:id="7"/>
      <w:bookmarkEnd w:id="8"/>
    </w:p>
    <w:p w:rsidR="00E57533" w:rsidRDefault="0039763D" w:rsidP="00565550">
      <w:pPr>
        <w:pStyle w:val="AERbodytext"/>
        <w:numPr>
          <w:ilvl w:val="0"/>
          <w:numId w:val="0"/>
        </w:numPr>
      </w:pPr>
      <w:r>
        <w:t>We do not accept Ausgrid's proposed opening RAB</w:t>
      </w:r>
      <w:r w:rsidR="008C63CD">
        <w:t>s</w:t>
      </w:r>
      <w:r>
        <w:t xml:space="preserve"> as at 1 July 2014 of $12 2</w:t>
      </w:r>
      <w:r w:rsidR="002B6F60">
        <w:t>79.8</w:t>
      </w:r>
      <w:r>
        <w:t> million ($ nominal) and $2 09</w:t>
      </w:r>
      <w:r w:rsidR="002B6F60">
        <w:t>0.9</w:t>
      </w:r>
      <w:r w:rsidRPr="0039763D">
        <w:t> million ($ nominal)</w:t>
      </w:r>
      <w:r>
        <w:t xml:space="preserve"> for its distribution and transmission networks respectively.</w:t>
      </w:r>
      <w:r w:rsidRPr="0039763D">
        <w:rPr>
          <w:rStyle w:val="FootnoteReference"/>
        </w:rPr>
        <w:footnoteReference w:id="2"/>
      </w:r>
      <w:r w:rsidRPr="0039763D">
        <w:t xml:space="preserve"> We have instead determined opening RAB value</w:t>
      </w:r>
      <w:r w:rsidR="008C63CD">
        <w:t>s</w:t>
      </w:r>
      <w:r w:rsidRPr="0039763D">
        <w:t xml:space="preserve"> as at 1 July 2014</w:t>
      </w:r>
      <w:r w:rsidR="00184CEF">
        <w:t xml:space="preserve"> </w:t>
      </w:r>
      <w:r w:rsidRPr="0039763D">
        <w:t>of $</w:t>
      </w:r>
      <w:r w:rsidR="00404BCB">
        <w:t xml:space="preserve">12 </w:t>
      </w:r>
      <w:r w:rsidR="00FA7DC2">
        <w:t>25</w:t>
      </w:r>
      <w:r w:rsidR="002B6F60">
        <w:t>1.7</w:t>
      </w:r>
      <w:r w:rsidR="00FA7DC2" w:rsidRPr="0039763D">
        <w:t> </w:t>
      </w:r>
      <w:r w:rsidRPr="0039763D">
        <w:t xml:space="preserve">million ($ nominal) </w:t>
      </w:r>
      <w:r>
        <w:t xml:space="preserve">and </w:t>
      </w:r>
      <w:r w:rsidRPr="0039763D">
        <w:t>$</w:t>
      </w:r>
      <w:r w:rsidR="00404BCB">
        <w:t>2</w:t>
      </w:r>
      <w:r w:rsidR="00F31A4D">
        <w:t> </w:t>
      </w:r>
      <w:r w:rsidR="00404BCB">
        <w:t>03</w:t>
      </w:r>
      <w:r w:rsidR="002B6F60">
        <w:t>5.7</w:t>
      </w:r>
      <w:r w:rsidRPr="0039763D">
        <w:t> million ($ nominal)</w:t>
      </w:r>
      <w:r>
        <w:t xml:space="preserve"> for its distribution and transmission networks respectively</w:t>
      </w:r>
      <w:r w:rsidR="00E57533" w:rsidRPr="0039763D">
        <w:t>.</w:t>
      </w:r>
    </w:p>
    <w:p w:rsidR="00832EE9" w:rsidRDefault="00E57533" w:rsidP="00565550">
      <w:pPr>
        <w:pStyle w:val="AERbodytext"/>
        <w:numPr>
          <w:ilvl w:val="0"/>
          <w:numId w:val="0"/>
        </w:numPr>
      </w:pPr>
      <w:r>
        <w:t xml:space="preserve">For Ausgrid's distribution network </w:t>
      </w:r>
      <w:r w:rsidR="00F31A4D">
        <w:t>RAB,</w:t>
      </w:r>
      <w:r w:rsidR="008C63CD">
        <w:t xml:space="preserve"> w</w:t>
      </w:r>
      <w:r w:rsidR="009654E8">
        <w:t>e</w:t>
      </w:r>
      <w:r w:rsidR="00832EE9">
        <w:t xml:space="preserve"> have made the following adjustments:</w:t>
      </w:r>
    </w:p>
    <w:p w:rsidR="00832EE9" w:rsidRDefault="009654E8" w:rsidP="00832EE9">
      <w:pPr>
        <w:pStyle w:val="AERbulletlistfirststyle"/>
      </w:pPr>
      <w:r>
        <w:t>u</w:t>
      </w:r>
      <w:r w:rsidR="00832EE9">
        <w:t>pdated the 1 July 200</w:t>
      </w:r>
      <w:r w:rsidR="00294FEA">
        <w:t>9</w:t>
      </w:r>
      <w:r w:rsidR="00832EE9">
        <w:t xml:space="preserve"> </w:t>
      </w:r>
      <w:r w:rsidR="00F31A4D">
        <w:t xml:space="preserve">opening </w:t>
      </w:r>
      <w:r w:rsidR="00832EE9">
        <w:t xml:space="preserve">RAB </w:t>
      </w:r>
      <w:r w:rsidR="00F31A4D">
        <w:t xml:space="preserve">value </w:t>
      </w:r>
      <w:r w:rsidR="00832EE9">
        <w:t>to adopt the allocation of work-in-progress</w:t>
      </w:r>
      <w:r w:rsidR="004D180F">
        <w:t xml:space="preserve"> </w:t>
      </w:r>
      <w:r w:rsidR="008C63CD">
        <w:t xml:space="preserve">amounts </w:t>
      </w:r>
      <w:r w:rsidR="00832EE9">
        <w:t xml:space="preserve">approved in the </w:t>
      </w:r>
      <w:r w:rsidR="008C63CD">
        <w:t xml:space="preserve">2009 </w:t>
      </w:r>
      <w:r w:rsidR="00832EE9">
        <w:t>decision</w:t>
      </w:r>
    </w:p>
    <w:p w:rsidR="00832EE9" w:rsidRDefault="009654E8" w:rsidP="00832EE9">
      <w:pPr>
        <w:pStyle w:val="AERbulletlistfirststyle"/>
      </w:pPr>
      <w:r>
        <w:t>u</w:t>
      </w:r>
      <w:r w:rsidR="00832EE9">
        <w:t>pdated the 2008</w:t>
      </w:r>
      <w:r w:rsidR="00F31A4D">
        <w:t>–</w:t>
      </w:r>
      <w:r w:rsidR="00832EE9">
        <w:t xml:space="preserve">09 actual capex allocation to reflect the asset classes approved in the </w:t>
      </w:r>
      <w:r w:rsidR="008C63CD">
        <w:t>2009 decision</w:t>
      </w:r>
    </w:p>
    <w:p w:rsidR="00832EE9" w:rsidRDefault="008C63CD" w:rsidP="00832EE9">
      <w:pPr>
        <w:pStyle w:val="AERbulletlistfirststyle"/>
      </w:pPr>
      <w:r>
        <w:t>corrections</w:t>
      </w:r>
      <w:r w:rsidR="00832EE9">
        <w:t xml:space="preserve"> to Ausgrid's actual net capex for errors </w:t>
      </w:r>
      <w:r>
        <w:t>associated with</w:t>
      </w:r>
      <w:r w:rsidR="00832EE9">
        <w:t xml:space="preserve"> the value of disposals and capital contributions</w:t>
      </w:r>
      <w:r w:rsidR="00F275EF">
        <w:t xml:space="preserve">, including </w:t>
      </w:r>
      <w:r>
        <w:t xml:space="preserve">updates for the </w:t>
      </w:r>
      <w:r w:rsidR="00F275EF">
        <w:t>estimated value of capex for 2013</w:t>
      </w:r>
      <w:r>
        <w:t>–</w:t>
      </w:r>
      <w:r w:rsidR="00F275EF">
        <w:t>14</w:t>
      </w:r>
    </w:p>
    <w:p w:rsidR="00015580" w:rsidRDefault="00015580" w:rsidP="00832EE9">
      <w:pPr>
        <w:pStyle w:val="AERbulletlistfirststyle"/>
      </w:pPr>
      <w:r>
        <w:t xml:space="preserve">reduced the proposed value for equity raising cost </w:t>
      </w:r>
      <w:r w:rsidR="00224377">
        <w:t>for</w:t>
      </w:r>
      <w:r>
        <w:t xml:space="preserve"> 2009–10 by half year's inflation</w:t>
      </w:r>
    </w:p>
    <w:p w:rsidR="007B0828" w:rsidRDefault="007B0828" w:rsidP="00832EE9">
      <w:pPr>
        <w:pStyle w:val="AERbulletlistfirststyle"/>
      </w:pPr>
      <w:r>
        <w:t xml:space="preserve">corrections to Ausgrid's reclassification of assets between distribution and transmission </w:t>
      </w:r>
    </w:p>
    <w:p w:rsidR="007E68BC" w:rsidRDefault="009654E8" w:rsidP="00385669">
      <w:pPr>
        <w:pStyle w:val="AERbulletlistfirststyle"/>
      </w:pPr>
      <w:proofErr w:type="gramStart"/>
      <w:r>
        <w:t>c</w:t>
      </w:r>
      <w:r w:rsidR="008C63CD">
        <w:t>orrections</w:t>
      </w:r>
      <w:proofErr w:type="gramEnd"/>
      <w:r w:rsidR="008C63CD">
        <w:t xml:space="preserve"> to c</w:t>
      </w:r>
      <w:r w:rsidR="00832EE9">
        <w:t xml:space="preserve">alculation and formula errors identified in the proposed </w:t>
      </w:r>
      <w:r w:rsidR="00F31A4D">
        <w:t>roll forward model (</w:t>
      </w:r>
      <w:r w:rsidR="00832EE9">
        <w:t>RFM</w:t>
      </w:r>
      <w:r w:rsidR="00F31A4D">
        <w:t>)</w:t>
      </w:r>
      <w:r w:rsidR="00832EE9">
        <w:t>.</w:t>
      </w:r>
    </w:p>
    <w:p w:rsidR="007E68BC" w:rsidRDefault="00E57533" w:rsidP="007E68BC">
      <w:pPr>
        <w:pStyle w:val="AERbodytext"/>
      </w:pPr>
      <w:r>
        <w:t xml:space="preserve">For Ausgrid's </w:t>
      </w:r>
      <w:r w:rsidR="00F31A4D">
        <w:t>t</w:t>
      </w:r>
      <w:r>
        <w:t>ransmission network RAB</w:t>
      </w:r>
      <w:r w:rsidR="00F31A4D">
        <w:t>,</w:t>
      </w:r>
      <w:r>
        <w:t xml:space="preserve"> we have made the following adjustments</w:t>
      </w:r>
      <w:r w:rsidR="007E68BC">
        <w:t>:</w:t>
      </w:r>
    </w:p>
    <w:p w:rsidR="00E57533" w:rsidRDefault="007E68BC" w:rsidP="007E68BC">
      <w:pPr>
        <w:pStyle w:val="AERbulletlistfirststyle"/>
      </w:pPr>
      <w:r>
        <w:t>u</w:t>
      </w:r>
      <w:r w:rsidR="00F77FD5">
        <w:t>pdat</w:t>
      </w:r>
      <w:r>
        <w:t xml:space="preserve">ed </w:t>
      </w:r>
      <w:r w:rsidR="00F77FD5">
        <w:t xml:space="preserve">the nominal </w:t>
      </w:r>
      <w:r w:rsidR="00F31A4D">
        <w:t>rate of return input for the 2004–08 regulatory control period to reflect the approved value</w:t>
      </w:r>
    </w:p>
    <w:p w:rsidR="007E68BC" w:rsidRDefault="007E68BC" w:rsidP="007E68BC">
      <w:pPr>
        <w:pStyle w:val="AERbulletlistfirststyle"/>
      </w:pPr>
      <w:r>
        <w:t xml:space="preserve">reduced the proposed value </w:t>
      </w:r>
      <w:r w:rsidR="00F31A4D">
        <w:t>for equity raising cost</w:t>
      </w:r>
      <w:r>
        <w:t xml:space="preserve"> </w:t>
      </w:r>
      <w:r w:rsidR="00224377">
        <w:t>for</w:t>
      </w:r>
      <w:r>
        <w:t xml:space="preserve"> 2009–10 by half year</w:t>
      </w:r>
      <w:r w:rsidR="00015580">
        <w:t>'</w:t>
      </w:r>
      <w:r>
        <w:t>s inflation</w:t>
      </w:r>
    </w:p>
    <w:p w:rsidR="007E68BC" w:rsidRDefault="007E68BC" w:rsidP="007E68BC">
      <w:pPr>
        <w:pStyle w:val="AERbulletlistfirststyle"/>
      </w:pPr>
      <w:r>
        <w:t>adjusted the proposed CPI for 2011–12 to 1.58 per cent</w:t>
      </w:r>
      <w:r w:rsidR="0013695A" w:rsidRPr="0013695A">
        <w:t xml:space="preserve"> </w:t>
      </w:r>
      <w:r w:rsidR="0013695A">
        <w:t>from 1.63 per cent</w:t>
      </w:r>
    </w:p>
    <w:p w:rsidR="007E68BC" w:rsidRDefault="00605B00" w:rsidP="007E68BC">
      <w:pPr>
        <w:pStyle w:val="AERbulletlistfirststyle"/>
      </w:pPr>
      <w:r>
        <w:t xml:space="preserve">corrections to </w:t>
      </w:r>
      <w:r w:rsidR="007E68BC">
        <w:t xml:space="preserve">Ausgrid's actual net capex </w:t>
      </w:r>
      <w:r>
        <w:t>for errors associated with the value of capital contributions, including updates for the estimated value of capex for 2013–14</w:t>
      </w:r>
    </w:p>
    <w:p w:rsidR="007E68BC" w:rsidRDefault="007E68BC" w:rsidP="007E68BC">
      <w:pPr>
        <w:pStyle w:val="AERbulletlistfirststyle"/>
      </w:pPr>
      <w:proofErr w:type="gramStart"/>
      <w:r>
        <w:t>corrections</w:t>
      </w:r>
      <w:proofErr w:type="gramEnd"/>
      <w:r>
        <w:t xml:space="preserve"> to Ausgrid's reclassification of assets between distribution and transmission</w:t>
      </w:r>
      <w:r w:rsidR="00F31A4D">
        <w:t>.</w:t>
      </w:r>
      <w:r>
        <w:t xml:space="preserve"> </w:t>
      </w:r>
    </w:p>
    <w:p w:rsidR="00E165D9" w:rsidRDefault="00832EE9" w:rsidP="007E68BC">
      <w:pPr>
        <w:pStyle w:val="AERbulletlistfirststyle"/>
        <w:numPr>
          <w:ilvl w:val="0"/>
          <w:numId w:val="0"/>
        </w:numPr>
      </w:pPr>
      <w:r w:rsidRPr="00832EE9">
        <w:t>To determine the opening RAB</w:t>
      </w:r>
      <w:r w:rsidR="009654E8">
        <w:t>s</w:t>
      </w:r>
      <w:r w:rsidRPr="00832EE9">
        <w:t xml:space="preserve"> as at 1 July 2014</w:t>
      </w:r>
      <w:r w:rsidR="008C63CD">
        <w:t>,</w:t>
      </w:r>
      <w:r w:rsidRPr="00832EE9">
        <w:t xml:space="preserve"> we have rolled forward the RAB</w:t>
      </w:r>
      <w:r w:rsidR="009654E8">
        <w:t>s</w:t>
      </w:r>
      <w:r w:rsidRPr="00832EE9">
        <w:t xml:space="preserve"> over the </w:t>
      </w:r>
      <w:r w:rsidR="00BF6286">
        <w:br/>
      </w:r>
      <w:r w:rsidRPr="00832EE9">
        <w:t xml:space="preserve">2009–14 regulatory control period to determine a closing RAB value at 30 June 2014. </w:t>
      </w:r>
      <w:r w:rsidR="009654E8" w:rsidRPr="00832EE9">
        <w:t>Th</w:t>
      </w:r>
      <w:r w:rsidR="009654E8">
        <w:t>e</w:t>
      </w:r>
      <w:r w:rsidR="009654E8" w:rsidRPr="00832EE9">
        <w:t xml:space="preserve"> </w:t>
      </w:r>
      <w:r w:rsidRPr="00832EE9">
        <w:t>roll</w:t>
      </w:r>
      <w:r w:rsidR="00F31A4D">
        <w:t xml:space="preserve"> </w:t>
      </w:r>
      <w:r w:rsidRPr="00832EE9">
        <w:t>forward</w:t>
      </w:r>
      <w:r w:rsidR="00FA7DC2">
        <w:t xml:space="preserve"> of the distribution and transmission RABs</w:t>
      </w:r>
      <w:r w:rsidRPr="00832EE9">
        <w:t xml:space="preserve"> include adjustment</w:t>
      </w:r>
      <w:r w:rsidR="009654E8">
        <w:t>s</w:t>
      </w:r>
      <w:r w:rsidRPr="00832EE9">
        <w:t xml:space="preserve"> at the end of the 2009–14 period to account for the difference between actual 2008–09 capex and the estimate approved at the </w:t>
      </w:r>
      <w:r w:rsidR="00E165D9">
        <w:t>2009</w:t>
      </w:r>
      <w:r w:rsidRPr="00832EE9">
        <w:t xml:space="preserve"> </w:t>
      </w:r>
      <w:r w:rsidRPr="00832EE9">
        <w:lastRenderedPageBreak/>
        <w:t>determination.</w:t>
      </w:r>
      <w:r w:rsidRPr="00832EE9">
        <w:rPr>
          <w:rStyle w:val="FootnoteReference"/>
        </w:rPr>
        <w:footnoteReference w:id="3"/>
      </w:r>
      <w:r w:rsidRPr="00832EE9">
        <w:t xml:space="preserve"> </w:t>
      </w:r>
      <w:r w:rsidR="00FA7DC2">
        <w:t xml:space="preserve">For </w:t>
      </w:r>
      <w:r w:rsidR="008C63CD">
        <w:t xml:space="preserve">the </w:t>
      </w:r>
      <w:r w:rsidR="00FA7DC2">
        <w:t>distribution</w:t>
      </w:r>
      <w:r w:rsidR="008C63CD">
        <w:t xml:space="preserve"> RAB</w:t>
      </w:r>
      <w:r w:rsidR="00FA7DC2">
        <w:t>,</w:t>
      </w:r>
      <w:r w:rsidR="00FA7DC2" w:rsidRPr="00FA7DC2">
        <w:t xml:space="preserve"> </w:t>
      </w:r>
      <w:r w:rsidR="00FA7DC2">
        <w:t>f</w:t>
      </w:r>
      <w:r w:rsidR="00E165D9">
        <w:t>rom 1 July 2014</w:t>
      </w:r>
      <w:r w:rsidR="009654E8">
        <w:t xml:space="preserve">, </w:t>
      </w:r>
      <w:r w:rsidR="00E165D9">
        <w:t>m</w:t>
      </w:r>
      <w:r w:rsidRPr="00832EE9">
        <w:t xml:space="preserve">etering </w:t>
      </w:r>
      <w:r w:rsidR="008C63CD">
        <w:t>will be classified as an alternative</w:t>
      </w:r>
      <w:r w:rsidRPr="00832EE9">
        <w:t xml:space="preserve"> control service </w:t>
      </w:r>
      <w:r w:rsidR="008C63CD">
        <w:t>and therefore</w:t>
      </w:r>
      <w:r w:rsidRPr="00832EE9">
        <w:t xml:space="preserve"> metering assets </w:t>
      </w:r>
      <w:r w:rsidR="008C63CD">
        <w:t>are to be excluded</w:t>
      </w:r>
      <w:r w:rsidRPr="00832EE9">
        <w:t xml:space="preserve"> from the </w:t>
      </w:r>
      <w:r w:rsidR="00FB1AFF">
        <w:t>standard control services RAB</w:t>
      </w:r>
      <w:r w:rsidRPr="00832EE9">
        <w:t>.</w:t>
      </w:r>
      <w:r w:rsidR="0039763D">
        <w:t xml:space="preserve"> </w:t>
      </w:r>
      <w:r w:rsidR="00E73486">
        <w:t xml:space="preserve">The opening </w:t>
      </w:r>
      <w:r w:rsidR="007E68BC">
        <w:t xml:space="preserve">distribution and transmission </w:t>
      </w:r>
      <w:r w:rsidR="00E73486">
        <w:t>RABs have been adjusted to reflect a change in classification of assets</w:t>
      </w:r>
      <w:r w:rsidR="00F31A4D">
        <w:t xml:space="preserve"> between distribution and transmission</w:t>
      </w:r>
      <w:r w:rsidR="00E73486">
        <w:t>.</w:t>
      </w:r>
      <w:r w:rsidR="00E73486">
        <w:rPr>
          <w:rStyle w:val="FootnoteReference"/>
        </w:rPr>
        <w:footnoteReference w:id="4"/>
      </w:r>
      <w:r w:rsidR="007E68BC">
        <w:t xml:space="preserve"> </w:t>
      </w:r>
      <w:r w:rsidR="00E73486">
        <w:t>The</w:t>
      </w:r>
      <w:r w:rsidR="007E68BC">
        <w:t xml:space="preserve"> </w:t>
      </w:r>
      <w:r w:rsidR="00E73486">
        <w:t>adjustment of $</w:t>
      </w:r>
      <w:r w:rsidR="007E68BC">
        <w:t>9.2</w:t>
      </w:r>
      <w:r w:rsidR="00E73486">
        <w:t xml:space="preserve"> million (</w:t>
      </w:r>
      <w:r w:rsidR="007E68BC">
        <w:t>$</w:t>
      </w:r>
      <w:r w:rsidR="00BF6286">
        <w:t> </w:t>
      </w:r>
      <w:r w:rsidR="00E73486">
        <w:t>nominal) reflect</w:t>
      </w:r>
      <w:r w:rsidR="007E68BC">
        <w:t>s</w:t>
      </w:r>
      <w:r w:rsidR="00E73486">
        <w:t xml:space="preserve"> th</w:t>
      </w:r>
      <w:r w:rsidR="007E68BC">
        <w:t xml:space="preserve">e net value of </w:t>
      </w:r>
      <w:r w:rsidR="00E73486">
        <w:t>assets mov</w:t>
      </w:r>
      <w:r w:rsidR="00F31A4D">
        <w:t>ing from</w:t>
      </w:r>
      <w:r w:rsidR="00E73486">
        <w:t xml:space="preserve"> </w:t>
      </w:r>
      <w:r w:rsidR="007E68BC">
        <w:t xml:space="preserve">transmission </w:t>
      </w:r>
      <w:r w:rsidR="008F36EA">
        <w:t xml:space="preserve">and </w:t>
      </w:r>
      <w:r w:rsidR="00E73486">
        <w:t>distribution.</w:t>
      </w:r>
    </w:p>
    <w:p w:rsidR="0039763D" w:rsidRDefault="002879BA" w:rsidP="00565550">
      <w:pPr>
        <w:pStyle w:val="AERbodytext"/>
        <w:numPr>
          <w:ilvl w:val="0"/>
          <w:numId w:val="0"/>
        </w:numPr>
      </w:pPr>
      <w:r>
        <w:fldChar w:fldCharType="begin"/>
      </w:r>
      <w:r>
        <w:instrText xml:space="preserve"> REF _Ref404633051 \h </w:instrText>
      </w:r>
      <w:r>
        <w:fldChar w:fldCharType="separate"/>
      </w:r>
      <w:r>
        <w:t xml:space="preserve">Table </w:t>
      </w:r>
      <w:r>
        <w:rPr>
          <w:noProof/>
        </w:rPr>
        <w:t>2</w:t>
      </w:r>
      <w:r>
        <w:noBreakHyphen/>
      </w:r>
      <w:r>
        <w:rPr>
          <w:noProof/>
        </w:rPr>
        <w:t>1</w:t>
      </w:r>
      <w:r>
        <w:fldChar w:fldCharType="end"/>
      </w:r>
      <w:r w:rsidR="0039763D">
        <w:t xml:space="preserve"> and </w:t>
      </w:r>
      <w:r>
        <w:fldChar w:fldCharType="begin"/>
      </w:r>
      <w:r>
        <w:instrText xml:space="preserve"> REF _Ref404633112 \h </w:instrText>
      </w:r>
      <w:r>
        <w:fldChar w:fldCharType="separate"/>
      </w:r>
      <w:r>
        <w:t xml:space="preserve">Table </w:t>
      </w:r>
      <w:r>
        <w:rPr>
          <w:noProof/>
        </w:rPr>
        <w:t>2</w:t>
      </w:r>
      <w:r>
        <w:noBreakHyphen/>
      </w:r>
      <w:r>
        <w:rPr>
          <w:noProof/>
        </w:rPr>
        <w:t>2</w:t>
      </w:r>
      <w:r>
        <w:fldChar w:fldCharType="end"/>
      </w:r>
      <w:r w:rsidR="0039763D">
        <w:t xml:space="preserve"> </w:t>
      </w:r>
      <w:r w:rsidR="0039763D" w:rsidRPr="0039763D">
        <w:t xml:space="preserve">set out our draft decision on the roll forward of the RAB values </w:t>
      </w:r>
      <w:r w:rsidR="0039763D">
        <w:t>over the</w:t>
      </w:r>
      <w:r w:rsidR="0039763D" w:rsidRPr="0039763D">
        <w:t xml:space="preserve"> 2009–14 regulatory control period for </w:t>
      </w:r>
      <w:r w:rsidR="0039763D">
        <w:t>Ausgrid</w:t>
      </w:r>
      <w:r w:rsidR="0039763D" w:rsidRPr="0039763D">
        <w:t>'s</w:t>
      </w:r>
      <w:r w:rsidR="0039763D">
        <w:t xml:space="preserve"> distribution and transmission networks respectively</w:t>
      </w:r>
      <w:r w:rsidR="0039763D" w:rsidRPr="0039763D">
        <w:t>.</w:t>
      </w:r>
    </w:p>
    <w:p w:rsidR="00284F1D" w:rsidRDefault="002879BA" w:rsidP="002879BA">
      <w:pPr>
        <w:pStyle w:val="Caption"/>
      </w:pPr>
      <w:bookmarkStart w:id="9" w:name="_Ref404633051"/>
      <w:r>
        <w:t xml:space="preserve">Table </w:t>
      </w:r>
      <w:r w:rsidR="00AD3FDB">
        <w:fldChar w:fldCharType="begin"/>
      </w:r>
      <w:r w:rsidR="00AD3FDB">
        <w:instrText xml:space="preserve"> STYLEREF 1 \s </w:instrText>
      </w:r>
      <w:r w:rsidR="00AD3FDB">
        <w:fldChar w:fldCharType="separate"/>
      </w:r>
      <w:r>
        <w:rPr>
          <w:noProof/>
        </w:rPr>
        <w:t>2</w:t>
      </w:r>
      <w:r w:rsidR="00AD3FDB">
        <w:rPr>
          <w:noProof/>
        </w:rPr>
        <w:fldChar w:fldCharType="end"/>
      </w:r>
      <w:r>
        <w:noBreakHyphen/>
      </w:r>
      <w:r w:rsidR="00AD3FDB">
        <w:fldChar w:fldCharType="begin"/>
      </w:r>
      <w:r w:rsidR="00AD3FDB">
        <w:instrText xml:space="preserve"> SEQ Table \* ARABIC \s 1 </w:instrText>
      </w:r>
      <w:r w:rsidR="00AD3FDB">
        <w:fldChar w:fldCharType="separate"/>
      </w:r>
      <w:r>
        <w:rPr>
          <w:noProof/>
        </w:rPr>
        <w:t>1</w:t>
      </w:r>
      <w:r w:rsidR="00AD3FDB">
        <w:rPr>
          <w:noProof/>
        </w:rPr>
        <w:fldChar w:fldCharType="end"/>
      </w:r>
      <w:bookmarkEnd w:id="9"/>
      <w:r w:rsidR="00284F1D">
        <w:tab/>
      </w:r>
      <w:r w:rsidR="00284F1D" w:rsidRPr="00284F1D">
        <w:t xml:space="preserve">AER's draft decision on </w:t>
      </w:r>
      <w:r w:rsidR="00284F1D">
        <w:t>Ausgrid</w:t>
      </w:r>
      <w:r w:rsidR="00284F1D" w:rsidRPr="00284F1D">
        <w:t xml:space="preserve">'s RAB for the 2009–14 regulatory control period </w:t>
      </w:r>
      <w:r w:rsidR="00284F1D">
        <w:t xml:space="preserve">– </w:t>
      </w:r>
      <w:r w:rsidR="001855E4">
        <w:t>d</w:t>
      </w:r>
      <w:r w:rsidR="00284F1D">
        <w:t xml:space="preserve">istribution </w:t>
      </w:r>
      <w:r w:rsidR="00284F1D" w:rsidRPr="00284F1D">
        <w:t>($ million, nominal)</w:t>
      </w:r>
    </w:p>
    <w:tbl>
      <w:tblPr>
        <w:tblStyle w:val="AERtable-numbers"/>
        <w:tblW w:w="5000" w:type="pct"/>
        <w:tblLayout w:type="fixed"/>
        <w:tblLook w:val="04A0" w:firstRow="1" w:lastRow="0" w:firstColumn="1" w:lastColumn="0" w:noHBand="0" w:noVBand="1"/>
      </w:tblPr>
      <w:tblGrid>
        <w:gridCol w:w="3369"/>
        <w:gridCol w:w="1135"/>
        <w:gridCol w:w="1274"/>
        <w:gridCol w:w="1135"/>
        <w:gridCol w:w="1275"/>
        <w:gridCol w:w="1054"/>
      </w:tblGrid>
      <w:tr w:rsidR="009236C6" w:rsidRPr="00565550" w:rsidTr="009236C6">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23" w:type="pct"/>
            <w:noWrap/>
            <w:hideMark/>
          </w:tcPr>
          <w:p w:rsidR="00565550" w:rsidRPr="00565550" w:rsidRDefault="00565550" w:rsidP="00565550">
            <w:pPr>
              <w:pStyle w:val="AERtabletextleft"/>
            </w:pPr>
            <w:r w:rsidRPr="00565550">
              <w:t> </w:t>
            </w:r>
          </w:p>
        </w:tc>
        <w:tc>
          <w:tcPr>
            <w:tcW w:w="614"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2009–10</w:t>
            </w:r>
          </w:p>
        </w:tc>
        <w:tc>
          <w:tcPr>
            <w:tcW w:w="689"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2010–11</w:t>
            </w:r>
          </w:p>
        </w:tc>
        <w:tc>
          <w:tcPr>
            <w:tcW w:w="614"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2011–12</w:t>
            </w:r>
          </w:p>
        </w:tc>
        <w:tc>
          <w:tcPr>
            <w:tcW w:w="690"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2012–13</w:t>
            </w:r>
          </w:p>
        </w:tc>
        <w:tc>
          <w:tcPr>
            <w:tcW w:w="570"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2013–14</w:t>
            </w:r>
            <w:r w:rsidR="008A0472" w:rsidRPr="008A0472">
              <w:rPr>
                <w:rStyle w:val="AERsuperscript"/>
              </w:rPr>
              <w:t>a</w:t>
            </w:r>
          </w:p>
        </w:tc>
      </w:tr>
      <w:tr w:rsidR="009236C6" w:rsidRPr="00BF6286" w:rsidTr="00E57533">
        <w:trPr>
          <w:trHeight w:val="221"/>
        </w:trPr>
        <w:tc>
          <w:tcPr>
            <w:cnfStyle w:val="001000000000" w:firstRow="0" w:lastRow="0" w:firstColumn="1" w:lastColumn="0" w:oddVBand="0" w:evenVBand="0" w:oddHBand="0" w:evenHBand="0" w:firstRowFirstColumn="0" w:firstRowLastColumn="0" w:lastRowFirstColumn="0" w:lastRowLastColumn="0"/>
            <w:tcW w:w="1823" w:type="pct"/>
            <w:noWrap/>
            <w:hideMark/>
          </w:tcPr>
          <w:p w:rsidR="00565550" w:rsidRPr="00775E36" w:rsidRDefault="00565550" w:rsidP="00BF6286">
            <w:pPr>
              <w:pStyle w:val="AERtabletextleft"/>
              <w:rPr>
                <w:rStyle w:val="AERtextbold"/>
                <w:b w:val="0"/>
              </w:rPr>
            </w:pPr>
            <w:r w:rsidRPr="00775E36">
              <w:rPr>
                <w:rStyle w:val="AERtextbold"/>
                <w:b w:val="0"/>
              </w:rPr>
              <w:t>Opening RAB</w:t>
            </w:r>
          </w:p>
        </w:tc>
        <w:tc>
          <w:tcPr>
            <w:tcW w:w="614" w:type="pct"/>
            <w:noWrap/>
            <w:hideMark/>
          </w:tcPr>
          <w:p w:rsidR="00565550" w:rsidRPr="00BF6286" w:rsidRDefault="00404BCB" w:rsidP="00775E3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7297.2</w:t>
            </w:r>
          </w:p>
        </w:tc>
        <w:tc>
          <w:tcPr>
            <w:tcW w:w="689" w:type="pct"/>
            <w:noWrap/>
            <w:hideMark/>
          </w:tcPr>
          <w:p w:rsidR="00565550" w:rsidRPr="00775E36" w:rsidRDefault="00404BCB" w:rsidP="00775E3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775E36">
              <w:rPr>
                <w:rStyle w:val="AERtextbold"/>
                <w:b w:val="0"/>
              </w:rPr>
              <w:t>8297.9</w:t>
            </w:r>
          </w:p>
        </w:tc>
        <w:tc>
          <w:tcPr>
            <w:tcW w:w="614" w:type="pct"/>
            <w:noWrap/>
            <w:hideMark/>
          </w:tcPr>
          <w:p w:rsidR="00565550" w:rsidRPr="00775E36" w:rsidRDefault="00404BCB" w:rsidP="00775E3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775E36">
              <w:rPr>
                <w:rStyle w:val="AERtextbold"/>
                <w:b w:val="0"/>
              </w:rPr>
              <w:t>9531.2</w:t>
            </w:r>
          </w:p>
        </w:tc>
        <w:tc>
          <w:tcPr>
            <w:tcW w:w="690" w:type="pct"/>
            <w:noWrap/>
            <w:hideMark/>
          </w:tcPr>
          <w:p w:rsidR="00565550" w:rsidRPr="00775E36" w:rsidRDefault="00404BCB" w:rsidP="00775E3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775E36">
              <w:rPr>
                <w:rStyle w:val="AERtextbold"/>
                <w:b w:val="0"/>
              </w:rPr>
              <w:t>10875.0</w:t>
            </w:r>
          </w:p>
        </w:tc>
        <w:tc>
          <w:tcPr>
            <w:tcW w:w="570" w:type="pct"/>
            <w:noWrap/>
            <w:hideMark/>
          </w:tcPr>
          <w:p w:rsidR="00565550" w:rsidRPr="00775E36" w:rsidRDefault="00404BCB" w:rsidP="00775E3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775E36">
              <w:rPr>
                <w:rStyle w:val="AERtextbold"/>
                <w:b w:val="0"/>
              </w:rPr>
              <w:t>11681.6</w:t>
            </w:r>
          </w:p>
        </w:tc>
      </w:tr>
      <w:tr w:rsidR="009236C6" w:rsidRPr="00565550" w:rsidTr="009236C6">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23" w:type="pct"/>
            <w:noWrap/>
            <w:hideMark/>
          </w:tcPr>
          <w:p w:rsidR="00565550" w:rsidRPr="00565550" w:rsidRDefault="00565550" w:rsidP="008A0472">
            <w:pPr>
              <w:pStyle w:val="AERtabletextleft"/>
            </w:pPr>
            <w:r w:rsidRPr="00565550">
              <w:t xml:space="preserve">Capital </w:t>
            </w:r>
            <w:proofErr w:type="spellStart"/>
            <w:r w:rsidRPr="00565550">
              <w:t>expenditure</w:t>
            </w:r>
            <w:r w:rsidR="008A0472" w:rsidRPr="008A0472">
              <w:rPr>
                <w:rStyle w:val="AERsuperscript"/>
              </w:rPr>
              <w:t>b</w:t>
            </w:r>
            <w:proofErr w:type="spellEnd"/>
          </w:p>
        </w:tc>
        <w:tc>
          <w:tcPr>
            <w:tcW w:w="614"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1129.2</w:t>
            </w:r>
          </w:p>
        </w:tc>
        <w:tc>
          <w:tcPr>
            <w:tcW w:w="689"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1304.7</w:t>
            </w:r>
          </w:p>
        </w:tc>
        <w:tc>
          <w:tcPr>
            <w:tcW w:w="614"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1390.9</w:t>
            </w:r>
          </w:p>
        </w:tc>
        <w:tc>
          <w:tcPr>
            <w:tcW w:w="690"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1049.2</w:t>
            </w:r>
          </w:p>
        </w:tc>
        <w:tc>
          <w:tcPr>
            <w:tcW w:w="570"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605.4</w:t>
            </w:r>
          </w:p>
        </w:tc>
      </w:tr>
      <w:tr w:rsidR="009236C6" w:rsidRPr="00565550" w:rsidTr="00E57533">
        <w:trPr>
          <w:trHeight w:val="221"/>
        </w:trPr>
        <w:tc>
          <w:tcPr>
            <w:cnfStyle w:val="001000000000" w:firstRow="0" w:lastRow="0" w:firstColumn="1" w:lastColumn="0" w:oddVBand="0" w:evenVBand="0" w:oddHBand="0" w:evenHBand="0" w:firstRowFirstColumn="0" w:firstRowLastColumn="0" w:lastRowFirstColumn="0" w:lastRowLastColumn="0"/>
            <w:tcW w:w="1823" w:type="pct"/>
            <w:noWrap/>
            <w:hideMark/>
          </w:tcPr>
          <w:p w:rsidR="00565550" w:rsidRPr="00565550" w:rsidRDefault="00565550" w:rsidP="00565550">
            <w:pPr>
              <w:pStyle w:val="AERtabletextleft"/>
            </w:pPr>
            <w:r w:rsidRPr="00565550">
              <w:t>Inflation indexation on opening RAB</w:t>
            </w:r>
          </w:p>
        </w:tc>
        <w:tc>
          <w:tcPr>
            <w:tcW w:w="614" w:type="pct"/>
            <w:noWrap/>
            <w:hideMark/>
          </w:tcPr>
          <w:p w:rsidR="00565550" w:rsidRPr="00565550" w:rsidRDefault="00404BCB" w:rsidP="00565550">
            <w:pPr>
              <w:pStyle w:val="AERtabletextright"/>
              <w:cnfStyle w:val="000000000000" w:firstRow="0" w:lastRow="0" w:firstColumn="0" w:lastColumn="0" w:oddVBand="0" w:evenVBand="0" w:oddHBand="0" w:evenHBand="0" w:firstRowFirstColumn="0" w:firstRowLastColumn="0" w:lastRowFirstColumn="0" w:lastRowLastColumn="0"/>
            </w:pPr>
            <w:r>
              <w:t>132.8</w:t>
            </w:r>
          </w:p>
        </w:tc>
        <w:tc>
          <w:tcPr>
            <w:tcW w:w="689" w:type="pct"/>
            <w:noWrap/>
            <w:hideMark/>
          </w:tcPr>
          <w:p w:rsidR="00565550" w:rsidRPr="00565550" w:rsidRDefault="00404BCB" w:rsidP="00565550">
            <w:pPr>
              <w:pStyle w:val="AERtabletextright"/>
              <w:cnfStyle w:val="000000000000" w:firstRow="0" w:lastRow="0" w:firstColumn="0" w:lastColumn="0" w:oddVBand="0" w:evenVBand="0" w:oddHBand="0" w:evenHBand="0" w:firstRowFirstColumn="0" w:firstRowLastColumn="0" w:lastRowFirstColumn="0" w:lastRowLastColumn="0"/>
            </w:pPr>
            <w:r>
              <w:t>236.1</w:t>
            </w:r>
          </w:p>
        </w:tc>
        <w:tc>
          <w:tcPr>
            <w:tcW w:w="614" w:type="pct"/>
            <w:noWrap/>
            <w:hideMark/>
          </w:tcPr>
          <w:p w:rsidR="00565550" w:rsidRPr="00565550" w:rsidRDefault="00404BCB" w:rsidP="00565550">
            <w:pPr>
              <w:pStyle w:val="AERtabletextright"/>
              <w:cnfStyle w:val="000000000000" w:firstRow="0" w:lastRow="0" w:firstColumn="0" w:lastColumn="0" w:oddVBand="0" w:evenVBand="0" w:oddHBand="0" w:evenHBand="0" w:firstRowFirstColumn="0" w:firstRowLastColumn="0" w:lastRowFirstColumn="0" w:lastRowLastColumn="0"/>
            </w:pPr>
            <w:r>
              <w:t>323.0</w:t>
            </w:r>
          </w:p>
        </w:tc>
        <w:tc>
          <w:tcPr>
            <w:tcW w:w="690" w:type="pct"/>
            <w:noWrap/>
            <w:hideMark/>
          </w:tcPr>
          <w:p w:rsidR="00565550" w:rsidRPr="00565550" w:rsidRDefault="00404BCB" w:rsidP="00565550">
            <w:pPr>
              <w:pStyle w:val="AERtabletextright"/>
              <w:cnfStyle w:val="000000000000" w:firstRow="0" w:lastRow="0" w:firstColumn="0" w:lastColumn="0" w:oddVBand="0" w:evenVBand="0" w:oddHBand="0" w:evenHBand="0" w:firstRowFirstColumn="0" w:firstRowLastColumn="0" w:lastRowFirstColumn="0" w:lastRowLastColumn="0"/>
            </w:pPr>
            <w:r>
              <w:t>191.7</w:t>
            </w:r>
          </w:p>
        </w:tc>
        <w:tc>
          <w:tcPr>
            <w:tcW w:w="570" w:type="pct"/>
            <w:noWrap/>
            <w:hideMark/>
          </w:tcPr>
          <w:p w:rsidR="00565550" w:rsidRPr="00565550" w:rsidRDefault="00404BCB" w:rsidP="00565550">
            <w:pPr>
              <w:pStyle w:val="AERtabletextright"/>
              <w:cnfStyle w:val="000000000000" w:firstRow="0" w:lastRow="0" w:firstColumn="0" w:lastColumn="0" w:oddVBand="0" w:evenVBand="0" w:oddHBand="0" w:evenHBand="0" w:firstRowFirstColumn="0" w:firstRowLastColumn="0" w:lastRowFirstColumn="0" w:lastRowLastColumn="0"/>
            </w:pPr>
            <w:r>
              <w:t>286.2</w:t>
            </w:r>
          </w:p>
        </w:tc>
      </w:tr>
      <w:tr w:rsidR="009236C6" w:rsidRPr="00565550" w:rsidTr="009236C6">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23" w:type="pct"/>
            <w:noWrap/>
            <w:hideMark/>
          </w:tcPr>
          <w:p w:rsidR="00565550" w:rsidRPr="00565550" w:rsidRDefault="00565550" w:rsidP="00565550">
            <w:pPr>
              <w:pStyle w:val="AERtabletextleft"/>
            </w:pPr>
            <w:r w:rsidRPr="003750C0">
              <w:rPr>
                <w:rStyle w:val="AERtextitalic"/>
              </w:rPr>
              <w:t>Less:</w:t>
            </w:r>
            <w:r w:rsidRPr="00565550">
              <w:t xml:space="preserve"> straight-line depreciation</w:t>
            </w:r>
          </w:p>
        </w:tc>
        <w:tc>
          <w:tcPr>
            <w:tcW w:w="614"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261.3</w:t>
            </w:r>
          </w:p>
        </w:tc>
        <w:tc>
          <w:tcPr>
            <w:tcW w:w="689"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307.5</w:t>
            </w:r>
          </w:p>
        </w:tc>
        <w:tc>
          <w:tcPr>
            <w:tcW w:w="614"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370.2</w:t>
            </w:r>
          </w:p>
        </w:tc>
        <w:tc>
          <w:tcPr>
            <w:tcW w:w="690"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434.2</w:t>
            </w:r>
          </w:p>
        </w:tc>
        <w:tc>
          <w:tcPr>
            <w:tcW w:w="570"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448.6</w:t>
            </w:r>
          </w:p>
        </w:tc>
      </w:tr>
      <w:tr w:rsidR="009236C6" w:rsidRPr="00BF6286" w:rsidTr="00E57533">
        <w:trPr>
          <w:trHeight w:val="221"/>
        </w:trPr>
        <w:tc>
          <w:tcPr>
            <w:cnfStyle w:val="001000000000" w:firstRow="0" w:lastRow="0" w:firstColumn="1" w:lastColumn="0" w:oddVBand="0" w:evenVBand="0" w:oddHBand="0" w:evenHBand="0" w:firstRowFirstColumn="0" w:firstRowLastColumn="0" w:lastRowFirstColumn="0" w:lastRowLastColumn="0"/>
            <w:tcW w:w="1823" w:type="pct"/>
            <w:noWrap/>
            <w:hideMark/>
          </w:tcPr>
          <w:p w:rsidR="00565550" w:rsidRPr="00BF6286" w:rsidRDefault="00565550" w:rsidP="00BF6286">
            <w:pPr>
              <w:pStyle w:val="AERtabletextleft"/>
              <w:rPr>
                <w:rStyle w:val="AERtextbold"/>
                <w:b w:val="0"/>
              </w:rPr>
            </w:pPr>
            <w:r w:rsidRPr="00BF6286">
              <w:rPr>
                <w:rStyle w:val="AERtextbold"/>
                <w:b w:val="0"/>
              </w:rPr>
              <w:t>Closing RAB</w:t>
            </w:r>
          </w:p>
        </w:tc>
        <w:tc>
          <w:tcPr>
            <w:tcW w:w="614"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8297.9</w:t>
            </w:r>
          </w:p>
        </w:tc>
        <w:tc>
          <w:tcPr>
            <w:tcW w:w="689"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9531.2</w:t>
            </w:r>
          </w:p>
        </w:tc>
        <w:tc>
          <w:tcPr>
            <w:tcW w:w="614"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10875.0</w:t>
            </w:r>
          </w:p>
        </w:tc>
        <w:tc>
          <w:tcPr>
            <w:tcW w:w="690"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11681.6</w:t>
            </w:r>
          </w:p>
        </w:tc>
        <w:tc>
          <w:tcPr>
            <w:tcW w:w="570"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12124.7</w:t>
            </w:r>
          </w:p>
        </w:tc>
      </w:tr>
      <w:tr w:rsidR="009236C6" w:rsidRPr="00565550" w:rsidTr="009236C6">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23" w:type="pct"/>
            <w:hideMark/>
          </w:tcPr>
          <w:p w:rsidR="009236C6" w:rsidRDefault="00565550" w:rsidP="00C45EFB">
            <w:pPr>
              <w:pStyle w:val="AERtabletextleft"/>
            </w:pPr>
            <w:r w:rsidRPr="00565550">
              <w:t xml:space="preserve">Difference between estimated and actual </w:t>
            </w:r>
          </w:p>
          <w:p w:rsidR="00565550" w:rsidRPr="00565550" w:rsidRDefault="00565550" w:rsidP="00C45EFB">
            <w:pPr>
              <w:pStyle w:val="AERtabletextleft"/>
            </w:pPr>
            <w:r w:rsidRPr="00565550">
              <w:t xml:space="preserve">capex </w:t>
            </w:r>
            <w:r w:rsidR="00FB1AFF">
              <w:t>(1 July 2008 to 30 June 2009)</w:t>
            </w:r>
          </w:p>
        </w:tc>
        <w:tc>
          <w:tcPr>
            <w:tcW w:w="614" w:type="pct"/>
            <w:noWrap/>
            <w:hideMark/>
          </w:tcPr>
          <w:p w:rsidR="00565550" w:rsidRPr="00565550" w:rsidRDefault="00565550" w:rsidP="00565550">
            <w:pPr>
              <w:pStyle w:val="AERtabletextright"/>
              <w:cnfStyle w:val="000000010000" w:firstRow="0" w:lastRow="0" w:firstColumn="0" w:lastColumn="0" w:oddVBand="0" w:evenVBand="0" w:oddHBand="0" w:evenHBand="1" w:firstRowFirstColumn="0" w:firstRowLastColumn="0" w:lastRowFirstColumn="0" w:lastRowLastColumn="0"/>
            </w:pPr>
          </w:p>
        </w:tc>
        <w:tc>
          <w:tcPr>
            <w:tcW w:w="689" w:type="pct"/>
            <w:noWrap/>
            <w:hideMark/>
          </w:tcPr>
          <w:p w:rsidR="00565550" w:rsidRPr="00565550" w:rsidRDefault="00565550" w:rsidP="00565550">
            <w:pPr>
              <w:pStyle w:val="AERtabletextright"/>
              <w:cnfStyle w:val="000000010000" w:firstRow="0" w:lastRow="0" w:firstColumn="0" w:lastColumn="0" w:oddVBand="0" w:evenVBand="0" w:oddHBand="0" w:evenHBand="1" w:firstRowFirstColumn="0" w:firstRowLastColumn="0" w:lastRowFirstColumn="0" w:lastRowLastColumn="0"/>
            </w:pPr>
          </w:p>
        </w:tc>
        <w:tc>
          <w:tcPr>
            <w:tcW w:w="614" w:type="pct"/>
            <w:noWrap/>
            <w:hideMark/>
          </w:tcPr>
          <w:p w:rsidR="00565550" w:rsidRPr="00565550" w:rsidRDefault="00565550" w:rsidP="00565550">
            <w:pPr>
              <w:pStyle w:val="AERtabletextright"/>
              <w:cnfStyle w:val="000000010000" w:firstRow="0" w:lastRow="0" w:firstColumn="0" w:lastColumn="0" w:oddVBand="0" w:evenVBand="0" w:oddHBand="0" w:evenHBand="1" w:firstRowFirstColumn="0" w:firstRowLastColumn="0" w:lastRowFirstColumn="0" w:lastRowLastColumn="0"/>
            </w:pPr>
          </w:p>
        </w:tc>
        <w:tc>
          <w:tcPr>
            <w:tcW w:w="690" w:type="pct"/>
            <w:noWrap/>
            <w:hideMark/>
          </w:tcPr>
          <w:p w:rsidR="00565550" w:rsidRPr="00565550" w:rsidRDefault="00565550" w:rsidP="00565550">
            <w:pPr>
              <w:pStyle w:val="AERtabletextright"/>
              <w:cnfStyle w:val="000000010000" w:firstRow="0" w:lastRow="0" w:firstColumn="0" w:lastColumn="0" w:oddVBand="0" w:evenVBand="0" w:oddHBand="0" w:evenHBand="1" w:firstRowFirstColumn="0" w:firstRowLastColumn="0" w:lastRowFirstColumn="0" w:lastRowLastColumn="0"/>
            </w:pPr>
          </w:p>
        </w:tc>
        <w:tc>
          <w:tcPr>
            <w:tcW w:w="570"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239.1</w:t>
            </w:r>
          </w:p>
        </w:tc>
      </w:tr>
      <w:tr w:rsidR="009236C6" w:rsidRPr="00565550" w:rsidTr="00E57533">
        <w:trPr>
          <w:trHeight w:val="221"/>
        </w:trPr>
        <w:tc>
          <w:tcPr>
            <w:cnfStyle w:val="001000000000" w:firstRow="0" w:lastRow="0" w:firstColumn="1" w:lastColumn="0" w:oddVBand="0" w:evenVBand="0" w:oddHBand="0" w:evenHBand="0" w:firstRowFirstColumn="0" w:firstRowLastColumn="0" w:lastRowFirstColumn="0" w:lastRowLastColumn="0"/>
            <w:tcW w:w="1823" w:type="pct"/>
            <w:hideMark/>
          </w:tcPr>
          <w:p w:rsidR="00565550" w:rsidRPr="00565550" w:rsidRDefault="00565550" w:rsidP="00565550">
            <w:pPr>
              <w:pStyle w:val="AERtabletextleft"/>
            </w:pPr>
            <w:r w:rsidRPr="00565550">
              <w:t>Return on difference for 2008–09 capex</w:t>
            </w:r>
          </w:p>
        </w:tc>
        <w:tc>
          <w:tcPr>
            <w:tcW w:w="614" w:type="pct"/>
            <w:noWrap/>
            <w:hideMark/>
          </w:tcPr>
          <w:p w:rsidR="00565550" w:rsidRPr="00565550" w:rsidRDefault="00565550" w:rsidP="00565550">
            <w:pPr>
              <w:pStyle w:val="AERtabletextright"/>
              <w:cnfStyle w:val="000000000000" w:firstRow="0" w:lastRow="0" w:firstColumn="0" w:lastColumn="0" w:oddVBand="0" w:evenVBand="0" w:oddHBand="0" w:evenHBand="0" w:firstRowFirstColumn="0" w:firstRowLastColumn="0" w:lastRowFirstColumn="0" w:lastRowLastColumn="0"/>
            </w:pPr>
          </w:p>
        </w:tc>
        <w:tc>
          <w:tcPr>
            <w:tcW w:w="689" w:type="pct"/>
            <w:noWrap/>
            <w:hideMark/>
          </w:tcPr>
          <w:p w:rsidR="00565550" w:rsidRPr="00565550" w:rsidRDefault="00565550" w:rsidP="00565550">
            <w:pPr>
              <w:pStyle w:val="AERtabletextright"/>
              <w:cnfStyle w:val="000000000000" w:firstRow="0" w:lastRow="0" w:firstColumn="0" w:lastColumn="0" w:oddVBand="0" w:evenVBand="0" w:oddHBand="0" w:evenHBand="0" w:firstRowFirstColumn="0" w:firstRowLastColumn="0" w:lastRowFirstColumn="0" w:lastRowLastColumn="0"/>
            </w:pPr>
          </w:p>
        </w:tc>
        <w:tc>
          <w:tcPr>
            <w:tcW w:w="614" w:type="pct"/>
            <w:noWrap/>
            <w:hideMark/>
          </w:tcPr>
          <w:p w:rsidR="00565550" w:rsidRPr="00565550" w:rsidRDefault="00565550" w:rsidP="00565550">
            <w:pPr>
              <w:pStyle w:val="AERtabletextright"/>
              <w:cnfStyle w:val="000000000000" w:firstRow="0" w:lastRow="0" w:firstColumn="0" w:lastColumn="0" w:oddVBand="0" w:evenVBand="0" w:oddHBand="0" w:evenHBand="0" w:firstRowFirstColumn="0" w:firstRowLastColumn="0" w:lastRowFirstColumn="0" w:lastRowLastColumn="0"/>
            </w:pPr>
          </w:p>
        </w:tc>
        <w:tc>
          <w:tcPr>
            <w:tcW w:w="690" w:type="pct"/>
            <w:noWrap/>
            <w:hideMark/>
          </w:tcPr>
          <w:p w:rsidR="00565550" w:rsidRPr="00565550" w:rsidRDefault="00565550" w:rsidP="00565550">
            <w:pPr>
              <w:pStyle w:val="AERtabletextright"/>
              <w:cnfStyle w:val="000000000000" w:firstRow="0" w:lastRow="0" w:firstColumn="0" w:lastColumn="0" w:oddVBand="0" w:evenVBand="0" w:oddHBand="0" w:evenHBand="0" w:firstRowFirstColumn="0" w:firstRowLastColumn="0" w:lastRowFirstColumn="0" w:lastRowLastColumn="0"/>
            </w:pPr>
          </w:p>
        </w:tc>
        <w:tc>
          <w:tcPr>
            <w:tcW w:w="570" w:type="pct"/>
            <w:noWrap/>
            <w:hideMark/>
          </w:tcPr>
          <w:p w:rsidR="00565550" w:rsidRPr="00565550" w:rsidRDefault="00404BCB" w:rsidP="00565550">
            <w:pPr>
              <w:pStyle w:val="AERtabletextright"/>
              <w:cnfStyle w:val="000000000000" w:firstRow="0" w:lastRow="0" w:firstColumn="0" w:lastColumn="0" w:oddVBand="0" w:evenVBand="0" w:oddHBand="0" w:evenHBand="0" w:firstRowFirstColumn="0" w:firstRowLastColumn="0" w:lastRowFirstColumn="0" w:lastRowLastColumn="0"/>
            </w:pPr>
            <w:r>
              <w:t>145.9</w:t>
            </w:r>
          </w:p>
        </w:tc>
      </w:tr>
      <w:tr w:rsidR="009236C6" w:rsidRPr="00BF6286" w:rsidTr="009236C6">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23" w:type="pct"/>
            <w:noWrap/>
            <w:hideMark/>
          </w:tcPr>
          <w:p w:rsidR="00565550" w:rsidRPr="00BF6286" w:rsidRDefault="00565550" w:rsidP="00BF6286">
            <w:pPr>
              <w:pStyle w:val="AERtabletextleft"/>
              <w:rPr>
                <w:rStyle w:val="AERtextbold"/>
                <w:b w:val="0"/>
              </w:rPr>
            </w:pPr>
            <w:r w:rsidRPr="00BF6286">
              <w:rPr>
                <w:rStyle w:val="AERtextbold"/>
                <w:b w:val="0"/>
              </w:rPr>
              <w:t>Closing RAB as at 30 June 2014</w:t>
            </w:r>
          </w:p>
        </w:tc>
        <w:tc>
          <w:tcPr>
            <w:tcW w:w="614" w:type="pct"/>
            <w:noWrap/>
            <w:hideMark/>
          </w:tcPr>
          <w:p w:rsidR="00565550" w:rsidRPr="00BF6286" w:rsidRDefault="00565550"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p>
        </w:tc>
        <w:tc>
          <w:tcPr>
            <w:tcW w:w="689" w:type="pct"/>
            <w:noWrap/>
            <w:hideMark/>
          </w:tcPr>
          <w:p w:rsidR="00565550" w:rsidRPr="00BF6286" w:rsidRDefault="00565550"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p>
        </w:tc>
        <w:tc>
          <w:tcPr>
            <w:tcW w:w="614" w:type="pct"/>
            <w:noWrap/>
            <w:hideMark/>
          </w:tcPr>
          <w:p w:rsidR="00565550" w:rsidRPr="00BF6286" w:rsidRDefault="00565550"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p>
        </w:tc>
        <w:tc>
          <w:tcPr>
            <w:tcW w:w="690" w:type="pct"/>
            <w:noWrap/>
            <w:hideMark/>
          </w:tcPr>
          <w:p w:rsidR="00565550" w:rsidRPr="00BF6286" w:rsidRDefault="00565550"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p>
        </w:tc>
        <w:tc>
          <w:tcPr>
            <w:tcW w:w="570" w:type="pct"/>
            <w:noWrap/>
            <w:hideMark/>
          </w:tcPr>
          <w:p w:rsidR="00565550" w:rsidRPr="00BF6286" w:rsidRDefault="00404BCB"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F6286">
              <w:rPr>
                <w:rStyle w:val="AERtextbold"/>
                <w:b w:val="0"/>
              </w:rPr>
              <w:t>12509.7</w:t>
            </w:r>
          </w:p>
        </w:tc>
      </w:tr>
      <w:tr w:rsidR="009236C6" w:rsidRPr="008A0472" w:rsidTr="00E57533">
        <w:trPr>
          <w:trHeight w:val="221"/>
        </w:trPr>
        <w:tc>
          <w:tcPr>
            <w:cnfStyle w:val="001000000000" w:firstRow="0" w:lastRow="0" w:firstColumn="1" w:lastColumn="0" w:oddVBand="0" w:evenVBand="0" w:oddHBand="0" w:evenHBand="0" w:firstRowFirstColumn="0" w:firstRowLastColumn="0" w:lastRowFirstColumn="0" w:lastRowLastColumn="0"/>
            <w:tcW w:w="1823" w:type="pct"/>
            <w:noWrap/>
          </w:tcPr>
          <w:p w:rsidR="00404BCB" w:rsidRPr="008C63CD" w:rsidRDefault="008F36EA" w:rsidP="00F31A4D">
            <w:pPr>
              <w:pStyle w:val="AERtabletextleft"/>
              <w:rPr>
                <w:rStyle w:val="AERtextbold"/>
                <w:b w:val="0"/>
              </w:rPr>
            </w:pPr>
            <w:r w:rsidRPr="00380F49">
              <w:rPr>
                <w:rStyle w:val="AERtextbold"/>
                <w:b w:val="0"/>
              </w:rPr>
              <w:t xml:space="preserve">Dual function </w:t>
            </w:r>
            <w:r w:rsidR="00404BCB" w:rsidRPr="00F31A4D">
              <w:rPr>
                <w:rStyle w:val="AERtextbold"/>
                <w:b w:val="0"/>
              </w:rPr>
              <w:t>assets</w:t>
            </w:r>
            <w:r w:rsidR="009236C6" w:rsidRPr="00F31A4D">
              <w:rPr>
                <w:rStyle w:val="AERtextbold"/>
                <w:b w:val="0"/>
              </w:rPr>
              <w:t xml:space="preserve"> mov</w:t>
            </w:r>
            <w:r w:rsidRPr="00380F49">
              <w:rPr>
                <w:rStyle w:val="AERtextbold"/>
                <w:b w:val="0"/>
              </w:rPr>
              <w:t>ed</w:t>
            </w:r>
            <w:r w:rsidR="009236C6" w:rsidRPr="00F31A4D">
              <w:rPr>
                <w:rStyle w:val="AERtextbold"/>
                <w:b w:val="0"/>
              </w:rPr>
              <w:t xml:space="preserve"> </w:t>
            </w:r>
            <w:r w:rsidR="00F31A4D" w:rsidRPr="00380F49">
              <w:rPr>
                <w:rStyle w:val="AERtextbold"/>
                <w:b w:val="0"/>
              </w:rPr>
              <w:t xml:space="preserve">from transmission </w:t>
            </w:r>
            <w:r w:rsidR="009236C6" w:rsidRPr="00F31A4D">
              <w:rPr>
                <w:rStyle w:val="AERtextbold"/>
                <w:b w:val="0"/>
              </w:rPr>
              <w:t>to distribution</w:t>
            </w:r>
          </w:p>
        </w:tc>
        <w:tc>
          <w:tcPr>
            <w:tcW w:w="614" w:type="pct"/>
            <w:noWrap/>
          </w:tcPr>
          <w:p w:rsidR="00404BCB" w:rsidRPr="008A0472" w:rsidRDefault="00404BCB" w:rsidP="0056555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89" w:type="pct"/>
            <w:noWrap/>
          </w:tcPr>
          <w:p w:rsidR="00404BCB" w:rsidRPr="008A0472" w:rsidRDefault="00404BCB" w:rsidP="0056555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14" w:type="pct"/>
            <w:noWrap/>
          </w:tcPr>
          <w:p w:rsidR="00404BCB" w:rsidRPr="008A0472" w:rsidRDefault="00404BCB" w:rsidP="0056555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90" w:type="pct"/>
            <w:noWrap/>
          </w:tcPr>
          <w:p w:rsidR="00404BCB" w:rsidRPr="008A0472" w:rsidRDefault="00404BCB" w:rsidP="0056555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570" w:type="pct"/>
            <w:noWrap/>
          </w:tcPr>
          <w:p w:rsidR="00404BCB" w:rsidRPr="001855E4" w:rsidRDefault="00404BCB" w:rsidP="00FA7DC2">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1855E4">
              <w:rPr>
                <w:rStyle w:val="AERtextbold"/>
                <w:b w:val="0"/>
              </w:rPr>
              <w:t>9.2</w:t>
            </w:r>
          </w:p>
        </w:tc>
      </w:tr>
      <w:tr w:rsidR="009236C6" w:rsidRPr="008A0472" w:rsidTr="009236C6">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23" w:type="pct"/>
            <w:noWrap/>
          </w:tcPr>
          <w:p w:rsidR="007C7EAA" w:rsidRPr="0039763D" w:rsidRDefault="007C7EAA" w:rsidP="00FB1AFF">
            <w:pPr>
              <w:pStyle w:val="AERtabletextleft"/>
              <w:rPr>
                <w:rStyle w:val="AERtextbold"/>
                <w:b w:val="0"/>
              </w:rPr>
            </w:pPr>
            <w:r w:rsidRPr="0039763D">
              <w:rPr>
                <w:rStyle w:val="AERtextbold"/>
                <w:b w:val="0"/>
              </w:rPr>
              <w:t xml:space="preserve">Meters </w:t>
            </w:r>
            <w:r w:rsidRPr="00FB1AFF">
              <w:rPr>
                <w:rStyle w:val="AERtextbold"/>
                <w:b w:val="0"/>
              </w:rPr>
              <w:t xml:space="preserve">moved to </w:t>
            </w:r>
            <w:r w:rsidR="00FB1AFF" w:rsidRPr="00EB5AC8">
              <w:rPr>
                <w:rStyle w:val="AERtextbold"/>
                <w:b w:val="0"/>
              </w:rPr>
              <w:t xml:space="preserve">alternative control </w:t>
            </w:r>
            <w:r w:rsidR="00FB1AFF" w:rsidRPr="00214D8A">
              <w:rPr>
                <w:rStyle w:val="AERtextbold"/>
                <w:b w:val="0"/>
              </w:rPr>
              <w:t>services</w:t>
            </w:r>
          </w:p>
        </w:tc>
        <w:tc>
          <w:tcPr>
            <w:tcW w:w="614" w:type="pct"/>
            <w:noWrap/>
          </w:tcPr>
          <w:p w:rsidR="007C7EAA" w:rsidRPr="007C7EAA" w:rsidRDefault="007C7EAA"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89" w:type="pct"/>
            <w:noWrap/>
          </w:tcPr>
          <w:p w:rsidR="007C7EAA" w:rsidRPr="007C7EAA" w:rsidRDefault="007C7EAA"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14" w:type="pct"/>
            <w:noWrap/>
          </w:tcPr>
          <w:p w:rsidR="007C7EAA" w:rsidRPr="007C7EAA" w:rsidRDefault="007C7EAA"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90" w:type="pct"/>
            <w:noWrap/>
          </w:tcPr>
          <w:p w:rsidR="007C7EAA" w:rsidRPr="007C7EAA" w:rsidRDefault="007C7EAA"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570" w:type="pct"/>
            <w:noWrap/>
            <w:vAlign w:val="bottom"/>
          </w:tcPr>
          <w:p w:rsidR="007C7EAA" w:rsidRPr="007C7EAA" w:rsidRDefault="00404BCB" w:rsidP="00404BCB">
            <w:pPr>
              <w:pStyle w:val="AERtabletextright"/>
              <w:cnfStyle w:val="000000010000" w:firstRow="0" w:lastRow="0" w:firstColumn="0" w:lastColumn="0" w:oddVBand="0" w:evenVBand="0" w:oddHBand="0" w:evenHBand="1" w:firstRowFirstColumn="0" w:firstRowLastColumn="0" w:lastRowFirstColumn="0" w:lastRowLastColumn="0"/>
            </w:pPr>
            <w:r>
              <w:t>267.2</w:t>
            </w:r>
          </w:p>
        </w:tc>
      </w:tr>
      <w:tr w:rsidR="009236C6" w:rsidRPr="007C7EAA" w:rsidTr="00E57533">
        <w:trPr>
          <w:trHeight w:val="221"/>
        </w:trPr>
        <w:tc>
          <w:tcPr>
            <w:cnfStyle w:val="001000000000" w:firstRow="0" w:lastRow="0" w:firstColumn="1" w:lastColumn="0" w:oddVBand="0" w:evenVBand="0" w:oddHBand="0" w:evenHBand="0" w:firstRowFirstColumn="0" w:firstRowLastColumn="0" w:lastRowFirstColumn="0" w:lastRowLastColumn="0"/>
            <w:tcW w:w="1823" w:type="pct"/>
            <w:noWrap/>
          </w:tcPr>
          <w:p w:rsidR="007C7EAA" w:rsidRPr="007C7EAA" w:rsidRDefault="007C7EAA" w:rsidP="007C7EAA">
            <w:pPr>
              <w:pStyle w:val="AERtabletextleft"/>
              <w:rPr>
                <w:rStyle w:val="AERtextbold"/>
              </w:rPr>
            </w:pPr>
            <w:r w:rsidRPr="007C7EAA">
              <w:rPr>
                <w:rStyle w:val="AERtextbold"/>
              </w:rPr>
              <w:t>Opening RAB as at 1 July 2014</w:t>
            </w:r>
          </w:p>
        </w:tc>
        <w:tc>
          <w:tcPr>
            <w:tcW w:w="614" w:type="pct"/>
            <w:noWrap/>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89" w:type="pct"/>
            <w:noWrap/>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14" w:type="pct"/>
            <w:noWrap/>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90" w:type="pct"/>
            <w:noWrap/>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570" w:type="pct"/>
            <w:noWrap/>
            <w:vAlign w:val="bottom"/>
          </w:tcPr>
          <w:p w:rsidR="007C7EAA" w:rsidRPr="007C7EAA" w:rsidRDefault="00404BCB" w:rsidP="00404BCB">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12251.7</w:t>
            </w:r>
          </w:p>
        </w:tc>
      </w:tr>
    </w:tbl>
    <w:p w:rsidR="00565550" w:rsidRDefault="00284F1D" w:rsidP="00284F1D">
      <w:pPr>
        <w:pStyle w:val="AERtablesource"/>
      </w:pPr>
      <w:r>
        <w:t>Source:</w:t>
      </w:r>
      <w:r>
        <w:tab/>
      </w:r>
      <w:r w:rsidR="008A0472">
        <w:t>AER analysis</w:t>
      </w:r>
      <w:r w:rsidR="00FB1AFF">
        <w:t>.</w:t>
      </w:r>
    </w:p>
    <w:p w:rsidR="008A0472" w:rsidRPr="008A0472" w:rsidRDefault="008A0472" w:rsidP="008A0472">
      <w:pPr>
        <w:pStyle w:val="AERtablesource"/>
      </w:pPr>
      <w:r w:rsidRPr="008A0472">
        <w:t>(a):</w:t>
      </w:r>
      <w:r w:rsidRPr="008A0472">
        <w:tab/>
        <w:t xml:space="preserve">Based on </w:t>
      </w:r>
      <w:r w:rsidR="00FB1AFF">
        <w:t>updated</w:t>
      </w:r>
      <w:r w:rsidR="00FB1AFF" w:rsidRPr="008A0472">
        <w:t xml:space="preserve"> </w:t>
      </w:r>
      <w:r w:rsidR="00FB1AFF">
        <w:t xml:space="preserve">final </w:t>
      </w:r>
      <w:r w:rsidRPr="008A0472">
        <w:t>capex</w:t>
      </w:r>
      <w:r w:rsidR="00FB1AFF">
        <w:t>, subject to auditing</w:t>
      </w:r>
      <w:r w:rsidRPr="008A0472">
        <w:t xml:space="preserve">. </w:t>
      </w:r>
      <w:r w:rsidR="00FB1AFF">
        <w:t>We will update the RAB</w:t>
      </w:r>
      <w:r w:rsidR="00FB1AFF" w:rsidRPr="002B4DA4">
        <w:t xml:space="preserve"> roll forward </w:t>
      </w:r>
      <w:r w:rsidR="00FB1AFF">
        <w:t>in the final decision</w:t>
      </w:r>
      <w:r w:rsidR="00FB1AFF" w:rsidRPr="002B4DA4">
        <w:t>.</w:t>
      </w:r>
    </w:p>
    <w:p w:rsidR="008A0472" w:rsidRPr="008A0472" w:rsidRDefault="008A0472" w:rsidP="008A0472">
      <w:pPr>
        <w:pStyle w:val="AERtablesource"/>
      </w:pPr>
      <w:r w:rsidRPr="008A0472">
        <w:t>(b):</w:t>
      </w:r>
      <w:r w:rsidRPr="008A0472">
        <w:tab/>
        <w:t>Net of disposals and capital contributions</w:t>
      </w:r>
      <w:r w:rsidR="00FB1AFF">
        <w:t>, and adjusted for CPI</w:t>
      </w:r>
      <w:r w:rsidRPr="008A0472">
        <w:t>.</w:t>
      </w:r>
    </w:p>
    <w:p w:rsidR="00BF6286" w:rsidRDefault="00BF6286">
      <w:pPr>
        <w:rPr>
          <w:rFonts w:ascii="Gautami" w:hAnsi="Gautami"/>
          <w:b/>
          <w:bCs/>
          <w:sz w:val="20"/>
          <w:szCs w:val="18"/>
          <w:lang w:eastAsia="en-US"/>
        </w:rPr>
      </w:pPr>
      <w:bookmarkStart w:id="10" w:name="_Ref395533869"/>
      <w:r>
        <w:br w:type="page"/>
      </w:r>
    </w:p>
    <w:p w:rsidR="00284F1D" w:rsidRDefault="00284F1D" w:rsidP="00284F1D">
      <w:pPr>
        <w:pStyle w:val="Caption"/>
      </w:pPr>
      <w:bookmarkStart w:id="11" w:name="_Ref404633112"/>
      <w:r>
        <w:lastRenderedPageBreak/>
        <w:t xml:space="preserve">Table </w:t>
      </w:r>
      <w:r w:rsidR="00AD3FDB">
        <w:fldChar w:fldCharType="begin"/>
      </w:r>
      <w:r w:rsidR="00AD3FDB">
        <w:instrText xml:space="preserve"> STYLEREF 1 \s </w:instrText>
      </w:r>
      <w:r w:rsidR="00AD3FDB">
        <w:fldChar w:fldCharType="separate"/>
      </w:r>
      <w:r w:rsidR="002879BA">
        <w:rPr>
          <w:noProof/>
        </w:rPr>
        <w:t>2</w:t>
      </w:r>
      <w:r w:rsidR="00AD3FDB">
        <w:rPr>
          <w:noProof/>
        </w:rPr>
        <w:fldChar w:fldCharType="end"/>
      </w:r>
      <w:r w:rsidR="002879BA">
        <w:noBreakHyphen/>
      </w:r>
      <w:r w:rsidR="00AD3FDB">
        <w:fldChar w:fldCharType="begin"/>
      </w:r>
      <w:r w:rsidR="00AD3FDB">
        <w:instrText xml:space="preserve"> SEQ Table \* ARABIC \s 1 </w:instrText>
      </w:r>
      <w:r w:rsidR="00AD3FDB">
        <w:fldChar w:fldCharType="separate"/>
      </w:r>
      <w:r w:rsidR="002879BA">
        <w:rPr>
          <w:noProof/>
        </w:rPr>
        <w:t>2</w:t>
      </w:r>
      <w:r w:rsidR="00AD3FDB">
        <w:rPr>
          <w:noProof/>
        </w:rPr>
        <w:fldChar w:fldCharType="end"/>
      </w:r>
      <w:bookmarkEnd w:id="10"/>
      <w:bookmarkEnd w:id="11"/>
      <w:r>
        <w:tab/>
      </w:r>
      <w:r w:rsidRPr="00284F1D">
        <w:t xml:space="preserve">AER's draft decision on Ausgrid's RAB for the 2009–14 regulatory control period – </w:t>
      </w:r>
      <w:r w:rsidR="001855E4">
        <w:t>t</w:t>
      </w:r>
      <w:r>
        <w:t xml:space="preserve">ransmission </w:t>
      </w:r>
      <w:r w:rsidRPr="00284F1D">
        <w:t>($ million, nominal)</w:t>
      </w:r>
    </w:p>
    <w:tbl>
      <w:tblPr>
        <w:tblStyle w:val="AERtable-numbers"/>
        <w:tblW w:w="5000" w:type="pct"/>
        <w:tblLayout w:type="fixed"/>
        <w:tblLook w:val="04A0" w:firstRow="1" w:lastRow="0" w:firstColumn="1" w:lastColumn="0" w:noHBand="0" w:noVBand="1"/>
      </w:tblPr>
      <w:tblGrid>
        <w:gridCol w:w="3509"/>
        <w:gridCol w:w="995"/>
        <w:gridCol w:w="1274"/>
        <w:gridCol w:w="1135"/>
        <w:gridCol w:w="1275"/>
        <w:gridCol w:w="1054"/>
      </w:tblGrid>
      <w:tr w:rsidR="009236C6" w:rsidRPr="00565550" w:rsidTr="00E5753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pct"/>
            <w:noWrap/>
            <w:hideMark/>
          </w:tcPr>
          <w:p w:rsidR="00565550" w:rsidRPr="00565550" w:rsidRDefault="00565550" w:rsidP="00565550">
            <w:pPr>
              <w:pStyle w:val="AERtabletextleft"/>
            </w:pPr>
            <w:r w:rsidRPr="00565550">
              <w:t> </w:t>
            </w:r>
          </w:p>
        </w:tc>
        <w:tc>
          <w:tcPr>
            <w:tcW w:w="538"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2009–10</w:t>
            </w:r>
          </w:p>
        </w:tc>
        <w:tc>
          <w:tcPr>
            <w:tcW w:w="689"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2010–11</w:t>
            </w:r>
          </w:p>
        </w:tc>
        <w:tc>
          <w:tcPr>
            <w:tcW w:w="614"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2011–12</w:t>
            </w:r>
          </w:p>
        </w:tc>
        <w:tc>
          <w:tcPr>
            <w:tcW w:w="690"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2012–13</w:t>
            </w:r>
          </w:p>
        </w:tc>
        <w:tc>
          <w:tcPr>
            <w:tcW w:w="570"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2013–14</w:t>
            </w:r>
            <w:r w:rsidR="008A0472" w:rsidRPr="008A0472">
              <w:rPr>
                <w:rStyle w:val="AERsuperscript"/>
              </w:rPr>
              <w:t>a</w:t>
            </w:r>
          </w:p>
        </w:tc>
      </w:tr>
      <w:tr w:rsidR="009236C6" w:rsidRPr="00BF6286" w:rsidTr="00E57533">
        <w:trPr>
          <w:trHeight w:val="300"/>
        </w:trPr>
        <w:tc>
          <w:tcPr>
            <w:cnfStyle w:val="001000000000" w:firstRow="0" w:lastRow="0" w:firstColumn="1" w:lastColumn="0" w:oddVBand="0" w:evenVBand="0" w:oddHBand="0" w:evenHBand="0" w:firstRowFirstColumn="0" w:firstRowLastColumn="0" w:lastRowFirstColumn="0" w:lastRowLastColumn="0"/>
            <w:tcW w:w="1898" w:type="pct"/>
            <w:noWrap/>
            <w:hideMark/>
          </w:tcPr>
          <w:p w:rsidR="00565550" w:rsidRPr="00BF6286" w:rsidRDefault="00565550" w:rsidP="00BF6286">
            <w:pPr>
              <w:pStyle w:val="AERtabletextleft"/>
              <w:rPr>
                <w:rStyle w:val="AERtextbold"/>
                <w:b w:val="0"/>
              </w:rPr>
            </w:pPr>
            <w:r w:rsidRPr="00BF6286">
              <w:rPr>
                <w:rStyle w:val="AERtextbold"/>
                <w:b w:val="0"/>
              </w:rPr>
              <w:t>Opening RAB</w:t>
            </w:r>
          </w:p>
        </w:tc>
        <w:tc>
          <w:tcPr>
            <w:tcW w:w="538"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1028.5</w:t>
            </w:r>
          </w:p>
        </w:tc>
        <w:tc>
          <w:tcPr>
            <w:tcW w:w="689"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1264.1</w:t>
            </w:r>
          </w:p>
        </w:tc>
        <w:tc>
          <w:tcPr>
            <w:tcW w:w="614"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1544.8</w:t>
            </w:r>
          </w:p>
        </w:tc>
        <w:tc>
          <w:tcPr>
            <w:tcW w:w="690"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1862.1</w:t>
            </w:r>
          </w:p>
        </w:tc>
        <w:tc>
          <w:tcPr>
            <w:tcW w:w="570"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2066.6</w:t>
            </w:r>
          </w:p>
        </w:tc>
      </w:tr>
      <w:tr w:rsidR="009236C6" w:rsidRPr="00565550" w:rsidTr="00E5753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pct"/>
            <w:noWrap/>
            <w:hideMark/>
          </w:tcPr>
          <w:p w:rsidR="00565550" w:rsidRPr="00565550" w:rsidRDefault="008A0472" w:rsidP="00565550">
            <w:pPr>
              <w:pStyle w:val="AERtabletextleft"/>
            </w:pPr>
            <w:r>
              <w:t xml:space="preserve">Capital </w:t>
            </w:r>
            <w:proofErr w:type="spellStart"/>
            <w:r>
              <w:t>expenditure</w:t>
            </w:r>
            <w:r w:rsidRPr="008A0472">
              <w:rPr>
                <w:rStyle w:val="AERsuperscript"/>
              </w:rPr>
              <w:t>b</w:t>
            </w:r>
            <w:proofErr w:type="spellEnd"/>
          </w:p>
        </w:tc>
        <w:tc>
          <w:tcPr>
            <w:tcW w:w="538"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235.4</w:t>
            </w:r>
          </w:p>
        </w:tc>
        <w:tc>
          <w:tcPr>
            <w:tcW w:w="689"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276.1</w:t>
            </w:r>
          </w:p>
        </w:tc>
        <w:tc>
          <w:tcPr>
            <w:tcW w:w="614"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340.3</w:t>
            </w:r>
          </w:p>
        </w:tc>
        <w:tc>
          <w:tcPr>
            <w:tcW w:w="690"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216.4</w:t>
            </w:r>
          </w:p>
        </w:tc>
        <w:tc>
          <w:tcPr>
            <w:tcW w:w="570"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86.3</w:t>
            </w:r>
          </w:p>
        </w:tc>
      </w:tr>
      <w:tr w:rsidR="009236C6" w:rsidRPr="00565550" w:rsidTr="00E57533">
        <w:trPr>
          <w:trHeight w:val="300"/>
        </w:trPr>
        <w:tc>
          <w:tcPr>
            <w:cnfStyle w:val="001000000000" w:firstRow="0" w:lastRow="0" w:firstColumn="1" w:lastColumn="0" w:oddVBand="0" w:evenVBand="0" w:oddHBand="0" w:evenHBand="0" w:firstRowFirstColumn="0" w:firstRowLastColumn="0" w:lastRowFirstColumn="0" w:lastRowLastColumn="0"/>
            <w:tcW w:w="1898" w:type="pct"/>
            <w:noWrap/>
            <w:hideMark/>
          </w:tcPr>
          <w:p w:rsidR="00565550" w:rsidRPr="00565550" w:rsidRDefault="00565550" w:rsidP="00565550">
            <w:pPr>
              <w:pStyle w:val="AERtabletextleft"/>
            </w:pPr>
            <w:r w:rsidRPr="00565550">
              <w:t>Inflation indexation on opening RAB</w:t>
            </w:r>
          </w:p>
        </w:tc>
        <w:tc>
          <w:tcPr>
            <w:tcW w:w="538" w:type="pct"/>
            <w:noWrap/>
            <w:hideMark/>
          </w:tcPr>
          <w:p w:rsidR="00565550" w:rsidRPr="00565550" w:rsidRDefault="00404BCB" w:rsidP="00565550">
            <w:pPr>
              <w:pStyle w:val="AERtabletextright"/>
              <w:cnfStyle w:val="000000000000" w:firstRow="0" w:lastRow="0" w:firstColumn="0" w:lastColumn="0" w:oddVBand="0" w:evenVBand="0" w:oddHBand="0" w:evenHBand="0" w:firstRowFirstColumn="0" w:firstRowLastColumn="0" w:lastRowFirstColumn="0" w:lastRowLastColumn="0"/>
            </w:pPr>
            <w:r>
              <w:t>29.7</w:t>
            </w:r>
          </w:p>
        </w:tc>
        <w:tc>
          <w:tcPr>
            <w:tcW w:w="689" w:type="pct"/>
            <w:noWrap/>
            <w:hideMark/>
          </w:tcPr>
          <w:p w:rsidR="00565550" w:rsidRPr="00565550" w:rsidRDefault="00404BCB" w:rsidP="00565550">
            <w:pPr>
              <w:pStyle w:val="AERtabletextright"/>
              <w:cnfStyle w:val="000000000000" w:firstRow="0" w:lastRow="0" w:firstColumn="0" w:lastColumn="0" w:oddVBand="0" w:evenVBand="0" w:oddHBand="0" w:evenHBand="0" w:firstRowFirstColumn="0" w:firstRowLastColumn="0" w:lastRowFirstColumn="0" w:lastRowLastColumn="0"/>
            </w:pPr>
            <w:r>
              <w:t>42.1</w:t>
            </w:r>
          </w:p>
        </w:tc>
        <w:tc>
          <w:tcPr>
            <w:tcW w:w="614" w:type="pct"/>
            <w:noWrap/>
            <w:hideMark/>
          </w:tcPr>
          <w:p w:rsidR="00565550" w:rsidRPr="00565550" w:rsidRDefault="00404BCB" w:rsidP="00565550">
            <w:pPr>
              <w:pStyle w:val="AERtabletextright"/>
              <w:cnfStyle w:val="000000000000" w:firstRow="0" w:lastRow="0" w:firstColumn="0" w:lastColumn="0" w:oddVBand="0" w:evenVBand="0" w:oddHBand="0" w:evenHBand="0" w:firstRowFirstColumn="0" w:firstRowLastColumn="0" w:lastRowFirstColumn="0" w:lastRowLastColumn="0"/>
            </w:pPr>
            <w:r>
              <w:t>24.5</w:t>
            </w:r>
          </w:p>
        </w:tc>
        <w:tc>
          <w:tcPr>
            <w:tcW w:w="690" w:type="pct"/>
            <w:noWrap/>
            <w:hideMark/>
          </w:tcPr>
          <w:p w:rsidR="00565550" w:rsidRPr="00565550" w:rsidRDefault="00404BCB" w:rsidP="00565550">
            <w:pPr>
              <w:pStyle w:val="AERtabletextright"/>
              <w:cnfStyle w:val="000000000000" w:firstRow="0" w:lastRow="0" w:firstColumn="0" w:lastColumn="0" w:oddVBand="0" w:evenVBand="0" w:oddHBand="0" w:evenHBand="0" w:firstRowFirstColumn="0" w:firstRowLastColumn="0" w:lastRowFirstColumn="0" w:lastRowLastColumn="0"/>
            </w:pPr>
            <w:r>
              <w:t>46.6</w:t>
            </w:r>
          </w:p>
        </w:tc>
        <w:tc>
          <w:tcPr>
            <w:tcW w:w="570" w:type="pct"/>
            <w:noWrap/>
            <w:hideMark/>
          </w:tcPr>
          <w:p w:rsidR="00565550" w:rsidRPr="00565550" w:rsidRDefault="00404BCB" w:rsidP="00565550">
            <w:pPr>
              <w:pStyle w:val="AERtabletextright"/>
              <w:cnfStyle w:val="000000000000" w:firstRow="0" w:lastRow="0" w:firstColumn="0" w:lastColumn="0" w:oddVBand="0" w:evenVBand="0" w:oddHBand="0" w:evenHBand="0" w:firstRowFirstColumn="0" w:firstRowLastColumn="0" w:lastRowFirstColumn="0" w:lastRowLastColumn="0"/>
            </w:pPr>
            <w:r>
              <w:t>60.5</w:t>
            </w:r>
          </w:p>
        </w:tc>
      </w:tr>
      <w:tr w:rsidR="009236C6" w:rsidRPr="00565550" w:rsidTr="00E5753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pct"/>
            <w:noWrap/>
            <w:hideMark/>
          </w:tcPr>
          <w:p w:rsidR="00565550" w:rsidRPr="00565550" w:rsidRDefault="00565550" w:rsidP="00565550">
            <w:pPr>
              <w:pStyle w:val="AERtabletextleft"/>
            </w:pPr>
            <w:r w:rsidRPr="003750C0">
              <w:rPr>
                <w:rStyle w:val="AERtextitalic"/>
              </w:rPr>
              <w:t>Less:</w:t>
            </w:r>
            <w:r w:rsidRPr="00565550">
              <w:t xml:space="preserve"> straight-line depreciation</w:t>
            </w:r>
          </w:p>
        </w:tc>
        <w:tc>
          <w:tcPr>
            <w:tcW w:w="538"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29.5</w:t>
            </w:r>
          </w:p>
        </w:tc>
        <w:tc>
          <w:tcPr>
            <w:tcW w:w="689"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37.5</w:t>
            </w:r>
          </w:p>
        </w:tc>
        <w:tc>
          <w:tcPr>
            <w:tcW w:w="614"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47.5</w:t>
            </w:r>
          </w:p>
        </w:tc>
        <w:tc>
          <w:tcPr>
            <w:tcW w:w="690"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58.5</w:t>
            </w:r>
          </w:p>
        </w:tc>
        <w:tc>
          <w:tcPr>
            <w:tcW w:w="570" w:type="pct"/>
            <w:noWrap/>
            <w:hideMark/>
          </w:tcPr>
          <w:p w:rsidR="00565550" w:rsidRPr="00565550" w:rsidRDefault="00404BCB" w:rsidP="00565550">
            <w:pPr>
              <w:pStyle w:val="AERtabletextright"/>
              <w:cnfStyle w:val="000000010000" w:firstRow="0" w:lastRow="0" w:firstColumn="0" w:lastColumn="0" w:oddVBand="0" w:evenVBand="0" w:oddHBand="0" w:evenHBand="1" w:firstRowFirstColumn="0" w:firstRowLastColumn="0" w:lastRowFirstColumn="0" w:lastRowLastColumn="0"/>
            </w:pPr>
            <w:r>
              <w:t>63.3</w:t>
            </w:r>
          </w:p>
        </w:tc>
      </w:tr>
      <w:tr w:rsidR="009236C6" w:rsidRPr="00BF6286" w:rsidTr="00E57533">
        <w:trPr>
          <w:trHeight w:val="300"/>
        </w:trPr>
        <w:tc>
          <w:tcPr>
            <w:cnfStyle w:val="001000000000" w:firstRow="0" w:lastRow="0" w:firstColumn="1" w:lastColumn="0" w:oddVBand="0" w:evenVBand="0" w:oddHBand="0" w:evenHBand="0" w:firstRowFirstColumn="0" w:firstRowLastColumn="0" w:lastRowFirstColumn="0" w:lastRowLastColumn="0"/>
            <w:tcW w:w="1898" w:type="pct"/>
            <w:noWrap/>
            <w:hideMark/>
          </w:tcPr>
          <w:p w:rsidR="00565550" w:rsidRPr="00BF6286" w:rsidRDefault="00565550" w:rsidP="00BF6286">
            <w:pPr>
              <w:pStyle w:val="AERtabletextleft"/>
              <w:rPr>
                <w:rStyle w:val="AERtextbold"/>
                <w:b w:val="0"/>
              </w:rPr>
            </w:pPr>
            <w:r w:rsidRPr="00BF6286">
              <w:rPr>
                <w:rStyle w:val="AERtextbold"/>
                <w:b w:val="0"/>
              </w:rPr>
              <w:t>Closing RAB</w:t>
            </w:r>
          </w:p>
        </w:tc>
        <w:tc>
          <w:tcPr>
            <w:tcW w:w="538"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1264.1</w:t>
            </w:r>
          </w:p>
        </w:tc>
        <w:tc>
          <w:tcPr>
            <w:tcW w:w="689"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1544.8</w:t>
            </w:r>
          </w:p>
        </w:tc>
        <w:tc>
          <w:tcPr>
            <w:tcW w:w="614"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1862.1</w:t>
            </w:r>
          </w:p>
        </w:tc>
        <w:tc>
          <w:tcPr>
            <w:tcW w:w="690"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2066.6</w:t>
            </w:r>
          </w:p>
        </w:tc>
        <w:tc>
          <w:tcPr>
            <w:tcW w:w="570" w:type="pct"/>
            <w:noWrap/>
            <w:hideMark/>
          </w:tcPr>
          <w:p w:rsidR="00565550" w:rsidRPr="00BF6286" w:rsidRDefault="00404BCB"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2150.1</w:t>
            </w:r>
          </w:p>
        </w:tc>
      </w:tr>
      <w:tr w:rsidR="009236C6" w:rsidRPr="00565550" w:rsidTr="00E5753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pct"/>
            <w:hideMark/>
          </w:tcPr>
          <w:p w:rsidR="009236C6" w:rsidRDefault="00EF35B6" w:rsidP="00565550">
            <w:pPr>
              <w:pStyle w:val="AERtabletextleft"/>
            </w:pPr>
            <w:r w:rsidRPr="00565550">
              <w:t xml:space="preserve">Difference between estimated and actual </w:t>
            </w:r>
          </w:p>
          <w:p w:rsidR="00565550" w:rsidRPr="00565550" w:rsidRDefault="00EF35B6" w:rsidP="00565550">
            <w:pPr>
              <w:pStyle w:val="AERtabletextleft"/>
            </w:pPr>
            <w:r w:rsidRPr="00EF35B6">
              <w:t>capex</w:t>
            </w:r>
            <w:r w:rsidR="00FB1AFF" w:rsidRPr="00565550">
              <w:t xml:space="preserve"> </w:t>
            </w:r>
            <w:r w:rsidR="00FB1AFF" w:rsidRPr="00FB1AFF">
              <w:t>(1 July 2008 to 30 June 2009)</w:t>
            </w:r>
          </w:p>
        </w:tc>
        <w:tc>
          <w:tcPr>
            <w:tcW w:w="538" w:type="pct"/>
            <w:noWrap/>
            <w:hideMark/>
          </w:tcPr>
          <w:p w:rsidR="00565550" w:rsidRPr="00565550" w:rsidRDefault="00565550" w:rsidP="00EF35B6">
            <w:pPr>
              <w:pStyle w:val="AERtabletextrigh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9" w:type="pct"/>
            <w:noWrap/>
            <w:hideMark/>
          </w:tcPr>
          <w:p w:rsidR="00565550" w:rsidRPr="00565550" w:rsidRDefault="00565550" w:rsidP="00565550">
            <w:pPr>
              <w:pStyle w:val="AERtabletextright"/>
              <w:cnfStyle w:val="000000010000" w:firstRow="0" w:lastRow="0" w:firstColumn="0" w:lastColumn="0" w:oddVBand="0" w:evenVBand="0" w:oddHBand="0" w:evenHBand="1" w:firstRowFirstColumn="0" w:firstRowLastColumn="0" w:lastRowFirstColumn="0" w:lastRowLastColumn="0"/>
            </w:pPr>
          </w:p>
        </w:tc>
        <w:tc>
          <w:tcPr>
            <w:tcW w:w="614" w:type="pct"/>
            <w:noWrap/>
            <w:hideMark/>
          </w:tcPr>
          <w:p w:rsidR="00565550" w:rsidRPr="00565550" w:rsidRDefault="00565550" w:rsidP="00565550">
            <w:pPr>
              <w:pStyle w:val="AERtabletextright"/>
              <w:cnfStyle w:val="000000010000" w:firstRow="0" w:lastRow="0" w:firstColumn="0" w:lastColumn="0" w:oddVBand="0" w:evenVBand="0" w:oddHBand="0" w:evenHBand="1" w:firstRowFirstColumn="0" w:firstRowLastColumn="0" w:lastRowFirstColumn="0" w:lastRowLastColumn="0"/>
            </w:pPr>
          </w:p>
        </w:tc>
        <w:tc>
          <w:tcPr>
            <w:tcW w:w="690" w:type="pct"/>
            <w:noWrap/>
            <w:hideMark/>
          </w:tcPr>
          <w:p w:rsidR="00565550" w:rsidRPr="00565550" w:rsidRDefault="00565550" w:rsidP="00565550">
            <w:pPr>
              <w:pStyle w:val="AERtabletextright"/>
              <w:cnfStyle w:val="000000010000" w:firstRow="0" w:lastRow="0" w:firstColumn="0" w:lastColumn="0" w:oddVBand="0" w:evenVBand="0" w:oddHBand="0" w:evenHBand="1" w:firstRowFirstColumn="0" w:firstRowLastColumn="0" w:lastRowFirstColumn="0" w:lastRowLastColumn="0"/>
            </w:pPr>
          </w:p>
        </w:tc>
        <w:tc>
          <w:tcPr>
            <w:tcW w:w="570" w:type="pct"/>
            <w:noWrap/>
            <w:hideMark/>
          </w:tcPr>
          <w:p w:rsidR="00565550" w:rsidRPr="00565550" w:rsidRDefault="00D80BC1" w:rsidP="00565550">
            <w:pPr>
              <w:pStyle w:val="AERtabletextright"/>
              <w:cnfStyle w:val="000000010000" w:firstRow="0" w:lastRow="0" w:firstColumn="0" w:lastColumn="0" w:oddVBand="0" w:evenVBand="0" w:oddHBand="0" w:evenHBand="1" w:firstRowFirstColumn="0" w:firstRowLastColumn="0" w:lastRowFirstColumn="0" w:lastRowLastColumn="0"/>
            </w:pPr>
            <w:r>
              <w:t>–</w:t>
            </w:r>
            <w:r w:rsidR="00404BCB">
              <w:t>64.7</w:t>
            </w:r>
          </w:p>
        </w:tc>
      </w:tr>
      <w:tr w:rsidR="009236C6" w:rsidRPr="00565550" w:rsidTr="00E57533">
        <w:trPr>
          <w:trHeight w:val="300"/>
        </w:trPr>
        <w:tc>
          <w:tcPr>
            <w:cnfStyle w:val="001000000000" w:firstRow="0" w:lastRow="0" w:firstColumn="1" w:lastColumn="0" w:oddVBand="0" w:evenVBand="0" w:oddHBand="0" w:evenHBand="0" w:firstRowFirstColumn="0" w:firstRowLastColumn="0" w:lastRowFirstColumn="0" w:lastRowLastColumn="0"/>
            <w:tcW w:w="1898" w:type="pct"/>
            <w:hideMark/>
          </w:tcPr>
          <w:p w:rsidR="00565550" w:rsidRPr="00565550" w:rsidRDefault="00565550" w:rsidP="00565550">
            <w:pPr>
              <w:pStyle w:val="AERtabletextleft"/>
            </w:pPr>
            <w:r w:rsidRPr="00565550">
              <w:t>Return on difference for 2008–09 capex</w:t>
            </w:r>
          </w:p>
        </w:tc>
        <w:tc>
          <w:tcPr>
            <w:tcW w:w="538" w:type="pct"/>
            <w:noWrap/>
            <w:hideMark/>
          </w:tcPr>
          <w:p w:rsidR="00565550" w:rsidRPr="00565550" w:rsidRDefault="00565550" w:rsidP="00565550">
            <w:pPr>
              <w:pStyle w:val="AERtabletextright"/>
              <w:cnfStyle w:val="000000000000" w:firstRow="0" w:lastRow="0" w:firstColumn="0" w:lastColumn="0" w:oddVBand="0" w:evenVBand="0" w:oddHBand="0" w:evenHBand="0" w:firstRowFirstColumn="0" w:firstRowLastColumn="0" w:lastRowFirstColumn="0" w:lastRowLastColumn="0"/>
            </w:pPr>
          </w:p>
        </w:tc>
        <w:tc>
          <w:tcPr>
            <w:tcW w:w="689" w:type="pct"/>
            <w:noWrap/>
            <w:hideMark/>
          </w:tcPr>
          <w:p w:rsidR="00565550" w:rsidRPr="00565550" w:rsidRDefault="00565550" w:rsidP="00565550">
            <w:pPr>
              <w:pStyle w:val="AERtabletextright"/>
              <w:cnfStyle w:val="000000000000" w:firstRow="0" w:lastRow="0" w:firstColumn="0" w:lastColumn="0" w:oddVBand="0" w:evenVBand="0" w:oddHBand="0" w:evenHBand="0" w:firstRowFirstColumn="0" w:firstRowLastColumn="0" w:lastRowFirstColumn="0" w:lastRowLastColumn="0"/>
            </w:pPr>
          </w:p>
        </w:tc>
        <w:tc>
          <w:tcPr>
            <w:tcW w:w="614" w:type="pct"/>
            <w:noWrap/>
            <w:hideMark/>
          </w:tcPr>
          <w:p w:rsidR="00565550" w:rsidRPr="00565550" w:rsidRDefault="00565550" w:rsidP="00565550">
            <w:pPr>
              <w:pStyle w:val="AERtabletextright"/>
              <w:cnfStyle w:val="000000000000" w:firstRow="0" w:lastRow="0" w:firstColumn="0" w:lastColumn="0" w:oddVBand="0" w:evenVBand="0" w:oddHBand="0" w:evenHBand="0" w:firstRowFirstColumn="0" w:firstRowLastColumn="0" w:lastRowFirstColumn="0" w:lastRowLastColumn="0"/>
            </w:pPr>
          </w:p>
        </w:tc>
        <w:tc>
          <w:tcPr>
            <w:tcW w:w="690" w:type="pct"/>
            <w:noWrap/>
            <w:hideMark/>
          </w:tcPr>
          <w:p w:rsidR="00565550" w:rsidRPr="00565550" w:rsidRDefault="00565550" w:rsidP="00565550">
            <w:pPr>
              <w:pStyle w:val="AERtabletextright"/>
              <w:cnfStyle w:val="000000000000" w:firstRow="0" w:lastRow="0" w:firstColumn="0" w:lastColumn="0" w:oddVBand="0" w:evenVBand="0" w:oddHBand="0" w:evenHBand="0" w:firstRowFirstColumn="0" w:firstRowLastColumn="0" w:lastRowFirstColumn="0" w:lastRowLastColumn="0"/>
            </w:pPr>
          </w:p>
        </w:tc>
        <w:tc>
          <w:tcPr>
            <w:tcW w:w="570" w:type="pct"/>
            <w:noWrap/>
            <w:hideMark/>
          </w:tcPr>
          <w:p w:rsidR="00565550" w:rsidRPr="00565550" w:rsidRDefault="00D80BC1" w:rsidP="00565550">
            <w:pPr>
              <w:pStyle w:val="AERtabletextright"/>
              <w:cnfStyle w:val="000000000000" w:firstRow="0" w:lastRow="0" w:firstColumn="0" w:lastColumn="0" w:oddVBand="0" w:evenVBand="0" w:oddHBand="0" w:evenHBand="0" w:firstRowFirstColumn="0" w:firstRowLastColumn="0" w:lastRowFirstColumn="0" w:lastRowLastColumn="0"/>
            </w:pPr>
            <w:r>
              <w:t>–</w:t>
            </w:r>
            <w:r w:rsidR="00404BCB">
              <w:t>40.5</w:t>
            </w:r>
          </w:p>
        </w:tc>
      </w:tr>
      <w:tr w:rsidR="009236C6" w:rsidRPr="00BF6286" w:rsidTr="00E5753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pct"/>
            <w:noWrap/>
            <w:hideMark/>
          </w:tcPr>
          <w:p w:rsidR="00565550" w:rsidRPr="00BF6286" w:rsidRDefault="00404BCB" w:rsidP="00BF6286">
            <w:pPr>
              <w:pStyle w:val="AERtabletextleft"/>
              <w:rPr>
                <w:rStyle w:val="AERtextbold"/>
                <w:b w:val="0"/>
              </w:rPr>
            </w:pPr>
            <w:r w:rsidRPr="00BF6286">
              <w:rPr>
                <w:rStyle w:val="AERtextbold"/>
                <w:b w:val="0"/>
              </w:rPr>
              <w:t xml:space="preserve">Closing </w:t>
            </w:r>
            <w:r w:rsidR="00565550" w:rsidRPr="00BF6286">
              <w:rPr>
                <w:rStyle w:val="AERtextbold"/>
                <w:b w:val="0"/>
              </w:rPr>
              <w:t xml:space="preserve">RAB as at </w:t>
            </w:r>
            <w:r w:rsidRPr="00BF6286">
              <w:rPr>
                <w:rStyle w:val="AERtextbold"/>
                <w:b w:val="0"/>
              </w:rPr>
              <w:t xml:space="preserve">30 </w:t>
            </w:r>
            <w:r w:rsidR="00565550" w:rsidRPr="00BF6286">
              <w:rPr>
                <w:rStyle w:val="AERtextbold"/>
                <w:b w:val="0"/>
              </w:rPr>
              <w:t>Ju</w:t>
            </w:r>
            <w:r w:rsidRPr="00BF6286">
              <w:rPr>
                <w:rStyle w:val="AERtextbold"/>
                <w:b w:val="0"/>
              </w:rPr>
              <w:t>ne</w:t>
            </w:r>
            <w:r w:rsidR="00565550" w:rsidRPr="00BF6286">
              <w:rPr>
                <w:rStyle w:val="AERtextbold"/>
                <w:b w:val="0"/>
              </w:rPr>
              <w:t xml:space="preserve"> 2014</w:t>
            </w:r>
          </w:p>
        </w:tc>
        <w:tc>
          <w:tcPr>
            <w:tcW w:w="538" w:type="pct"/>
            <w:noWrap/>
            <w:hideMark/>
          </w:tcPr>
          <w:p w:rsidR="00565550" w:rsidRPr="00BF6286" w:rsidRDefault="00565550"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p>
        </w:tc>
        <w:tc>
          <w:tcPr>
            <w:tcW w:w="689" w:type="pct"/>
            <w:noWrap/>
            <w:hideMark/>
          </w:tcPr>
          <w:p w:rsidR="00565550" w:rsidRPr="00BF6286" w:rsidRDefault="00565550"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p>
        </w:tc>
        <w:tc>
          <w:tcPr>
            <w:tcW w:w="614" w:type="pct"/>
            <w:noWrap/>
            <w:hideMark/>
          </w:tcPr>
          <w:p w:rsidR="00565550" w:rsidRPr="00BF6286" w:rsidRDefault="00565550"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p>
        </w:tc>
        <w:tc>
          <w:tcPr>
            <w:tcW w:w="690" w:type="pct"/>
            <w:noWrap/>
            <w:hideMark/>
          </w:tcPr>
          <w:p w:rsidR="00565550" w:rsidRPr="00BF6286" w:rsidRDefault="00565550"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p>
        </w:tc>
        <w:tc>
          <w:tcPr>
            <w:tcW w:w="570" w:type="pct"/>
            <w:noWrap/>
            <w:hideMark/>
          </w:tcPr>
          <w:p w:rsidR="00565550" w:rsidRPr="00BF6286" w:rsidRDefault="00404BCB"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F6286">
              <w:rPr>
                <w:rStyle w:val="AERtextbold"/>
                <w:b w:val="0"/>
              </w:rPr>
              <w:t>2045.0</w:t>
            </w:r>
          </w:p>
        </w:tc>
      </w:tr>
      <w:tr w:rsidR="009236C6" w:rsidRPr="008A0472" w:rsidTr="00E57533">
        <w:trPr>
          <w:trHeight w:val="300"/>
        </w:trPr>
        <w:tc>
          <w:tcPr>
            <w:cnfStyle w:val="001000000000" w:firstRow="0" w:lastRow="0" w:firstColumn="1" w:lastColumn="0" w:oddVBand="0" w:evenVBand="0" w:oddHBand="0" w:evenHBand="0" w:firstRowFirstColumn="0" w:firstRowLastColumn="0" w:lastRowFirstColumn="0" w:lastRowLastColumn="0"/>
            <w:tcW w:w="1898" w:type="pct"/>
            <w:noWrap/>
          </w:tcPr>
          <w:p w:rsidR="009236C6" w:rsidRPr="00380F49" w:rsidRDefault="008F36EA" w:rsidP="00F31A4D">
            <w:pPr>
              <w:pStyle w:val="AERtabletextleft"/>
              <w:rPr>
                <w:rStyle w:val="AERtextbold"/>
                <w:b w:val="0"/>
              </w:rPr>
            </w:pPr>
            <w:r w:rsidRPr="00380F49">
              <w:rPr>
                <w:rStyle w:val="AERtextbold"/>
                <w:b w:val="0"/>
              </w:rPr>
              <w:t xml:space="preserve">Dual function </w:t>
            </w:r>
            <w:r w:rsidR="00404BCB" w:rsidRPr="00F31A4D">
              <w:rPr>
                <w:rStyle w:val="AERtextbold"/>
                <w:b w:val="0"/>
              </w:rPr>
              <w:t>assets</w:t>
            </w:r>
            <w:r w:rsidR="009236C6" w:rsidRPr="00F31A4D">
              <w:rPr>
                <w:rStyle w:val="AERtextbold"/>
                <w:b w:val="0"/>
              </w:rPr>
              <w:t xml:space="preserve"> mov</w:t>
            </w:r>
            <w:r w:rsidRPr="00380F49">
              <w:rPr>
                <w:rStyle w:val="AERtextbold"/>
                <w:b w:val="0"/>
              </w:rPr>
              <w:t>ed</w:t>
            </w:r>
            <w:r w:rsidR="009236C6" w:rsidRPr="00F31A4D">
              <w:rPr>
                <w:rStyle w:val="AERtextbold"/>
                <w:b w:val="0"/>
              </w:rPr>
              <w:t xml:space="preserve"> </w:t>
            </w:r>
          </w:p>
          <w:p w:rsidR="00404BCB" w:rsidRPr="009236C6" w:rsidRDefault="009236C6" w:rsidP="00F31A4D">
            <w:pPr>
              <w:pStyle w:val="AERtabletextleft"/>
              <w:rPr>
                <w:rStyle w:val="AERtextbold"/>
                <w:b w:val="0"/>
              </w:rPr>
            </w:pPr>
            <w:r w:rsidRPr="00F31A4D">
              <w:rPr>
                <w:rStyle w:val="AERtextbold"/>
                <w:b w:val="0"/>
              </w:rPr>
              <w:t>from transmission</w:t>
            </w:r>
            <w:r w:rsidR="00F31A4D" w:rsidRPr="00380F49">
              <w:rPr>
                <w:rStyle w:val="AERtextbold"/>
                <w:b w:val="0"/>
              </w:rPr>
              <w:t xml:space="preserve"> to distribution</w:t>
            </w:r>
          </w:p>
        </w:tc>
        <w:tc>
          <w:tcPr>
            <w:tcW w:w="538" w:type="pct"/>
            <w:noWrap/>
          </w:tcPr>
          <w:p w:rsidR="00404BCB" w:rsidRPr="008A0472" w:rsidRDefault="00404BCB" w:rsidP="0056555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89" w:type="pct"/>
            <w:noWrap/>
          </w:tcPr>
          <w:p w:rsidR="00404BCB" w:rsidRPr="008A0472" w:rsidRDefault="00404BCB" w:rsidP="0056555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14" w:type="pct"/>
            <w:noWrap/>
          </w:tcPr>
          <w:p w:rsidR="00404BCB" w:rsidRPr="008A0472" w:rsidRDefault="00404BCB" w:rsidP="0056555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690" w:type="pct"/>
            <w:noWrap/>
          </w:tcPr>
          <w:p w:rsidR="00404BCB" w:rsidRPr="008A0472" w:rsidRDefault="00404BCB" w:rsidP="00565550">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570" w:type="pct"/>
            <w:noWrap/>
          </w:tcPr>
          <w:p w:rsidR="00404BCB" w:rsidRPr="001855E4" w:rsidRDefault="00D80BC1" w:rsidP="00FA7DC2">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Pr>
                <w:rStyle w:val="AERtextbold"/>
              </w:rPr>
              <w:t>–</w:t>
            </w:r>
            <w:r w:rsidR="00404BCB" w:rsidRPr="001855E4">
              <w:rPr>
                <w:rStyle w:val="AERtextbold"/>
                <w:b w:val="0"/>
              </w:rPr>
              <w:t>9.2</w:t>
            </w:r>
          </w:p>
        </w:tc>
      </w:tr>
      <w:tr w:rsidR="009236C6" w:rsidRPr="008A0472" w:rsidTr="00E5753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8" w:type="pct"/>
            <w:noWrap/>
          </w:tcPr>
          <w:p w:rsidR="00404BCB" w:rsidRPr="008A0472" w:rsidRDefault="00404BCB" w:rsidP="00565550">
            <w:pPr>
              <w:pStyle w:val="AERtabletextleft"/>
              <w:rPr>
                <w:rStyle w:val="AERtextbold"/>
              </w:rPr>
            </w:pPr>
            <w:r w:rsidRPr="00404BCB">
              <w:rPr>
                <w:rStyle w:val="AERtextbold"/>
              </w:rPr>
              <w:t>Opening RAB as at 1 July 2014</w:t>
            </w:r>
          </w:p>
        </w:tc>
        <w:tc>
          <w:tcPr>
            <w:tcW w:w="538" w:type="pct"/>
            <w:noWrap/>
          </w:tcPr>
          <w:p w:rsidR="00404BCB" w:rsidRPr="008A0472" w:rsidRDefault="00404BCB" w:rsidP="0056555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89" w:type="pct"/>
            <w:noWrap/>
          </w:tcPr>
          <w:p w:rsidR="00404BCB" w:rsidRPr="008A0472" w:rsidRDefault="00404BCB" w:rsidP="0056555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14" w:type="pct"/>
            <w:noWrap/>
          </w:tcPr>
          <w:p w:rsidR="00404BCB" w:rsidRPr="008A0472" w:rsidRDefault="00404BCB" w:rsidP="0056555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90" w:type="pct"/>
            <w:noWrap/>
          </w:tcPr>
          <w:p w:rsidR="00404BCB" w:rsidRPr="008A0472" w:rsidRDefault="00404BCB" w:rsidP="0056555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570" w:type="pct"/>
            <w:noWrap/>
          </w:tcPr>
          <w:p w:rsidR="00404BCB" w:rsidRDefault="00404BCB" w:rsidP="0056555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2035.7</w:t>
            </w:r>
          </w:p>
        </w:tc>
      </w:tr>
    </w:tbl>
    <w:p w:rsidR="008A0472" w:rsidRPr="008A0472" w:rsidRDefault="008A0472" w:rsidP="008A0472">
      <w:pPr>
        <w:pStyle w:val="AERtablesource"/>
      </w:pPr>
      <w:r w:rsidRPr="008A0472">
        <w:t>Source:</w:t>
      </w:r>
      <w:r w:rsidRPr="008A0472">
        <w:tab/>
      </w:r>
      <w:r>
        <w:t>AER analysis</w:t>
      </w:r>
      <w:r w:rsidR="00FB1AFF">
        <w:t>.</w:t>
      </w:r>
    </w:p>
    <w:p w:rsidR="008A0472" w:rsidRPr="008A0472" w:rsidRDefault="008A0472" w:rsidP="008A0472">
      <w:pPr>
        <w:pStyle w:val="AERtablesource"/>
      </w:pPr>
      <w:r w:rsidRPr="008A0472">
        <w:t>(a):</w:t>
      </w:r>
      <w:r w:rsidRPr="008A0472">
        <w:tab/>
      </w:r>
      <w:r w:rsidR="00FB1AFF" w:rsidRPr="008A0472">
        <w:t xml:space="preserve">Based on </w:t>
      </w:r>
      <w:r w:rsidR="00FB1AFF">
        <w:t>updated</w:t>
      </w:r>
      <w:r w:rsidR="00FB1AFF" w:rsidRPr="008A0472">
        <w:t xml:space="preserve"> </w:t>
      </w:r>
      <w:r w:rsidR="00FB1AFF">
        <w:t xml:space="preserve">final </w:t>
      </w:r>
      <w:r w:rsidR="00FB1AFF" w:rsidRPr="008A0472">
        <w:t>capex</w:t>
      </w:r>
      <w:r w:rsidR="00FB1AFF">
        <w:t>, subject to auditing</w:t>
      </w:r>
      <w:r w:rsidR="00FB1AFF" w:rsidRPr="008A0472">
        <w:t xml:space="preserve">. </w:t>
      </w:r>
      <w:r w:rsidR="00FB1AFF">
        <w:t>We will update the RAB</w:t>
      </w:r>
      <w:r w:rsidR="00FB1AFF" w:rsidRPr="002B4DA4">
        <w:t xml:space="preserve"> roll forward </w:t>
      </w:r>
      <w:r w:rsidR="00FB1AFF">
        <w:t>in the final decision</w:t>
      </w:r>
      <w:r w:rsidR="00FB1AFF" w:rsidRPr="002B4DA4">
        <w:t>.</w:t>
      </w:r>
    </w:p>
    <w:p w:rsidR="008A0472" w:rsidRPr="008A0472" w:rsidRDefault="008A0472" w:rsidP="008A0472">
      <w:pPr>
        <w:pStyle w:val="AERtablesource"/>
      </w:pPr>
      <w:r w:rsidRPr="008A0472">
        <w:t>(b):</w:t>
      </w:r>
      <w:r w:rsidRPr="008A0472">
        <w:tab/>
        <w:t>Net of disposals and capital contributions</w:t>
      </w:r>
      <w:r w:rsidR="00FB1AFF">
        <w:t>, and adjusted for CPI</w:t>
      </w:r>
      <w:r w:rsidRPr="008A0472">
        <w:t>.</w:t>
      </w:r>
    </w:p>
    <w:p w:rsidR="0039763D" w:rsidRDefault="0039763D" w:rsidP="0039763D">
      <w:pPr>
        <w:pStyle w:val="AERbodytext"/>
      </w:pPr>
      <w:r>
        <w:t>We determine forecast closing RAB value</w:t>
      </w:r>
      <w:r w:rsidR="00FB1AFF">
        <w:t>s</w:t>
      </w:r>
      <w:r>
        <w:t xml:space="preserve"> at 30 June 2019 of $</w:t>
      </w:r>
      <w:r w:rsidR="00B50DE1">
        <w:t>13 850</w:t>
      </w:r>
      <w:r w:rsidR="00974841">
        <w:t>.9</w:t>
      </w:r>
      <w:r>
        <w:t> million ($ nominal) and $</w:t>
      </w:r>
      <w:r w:rsidR="00B50DE1">
        <w:t>2323</w:t>
      </w:r>
      <w:r w:rsidR="00974841">
        <w:t>.0</w:t>
      </w:r>
      <w:r>
        <w:t xml:space="preserve"> million ($ nominal) for </w:t>
      </w:r>
      <w:r w:rsidR="00FB1AFF">
        <w:t>Ausgrid's</w:t>
      </w:r>
      <w:r>
        <w:t xml:space="preserve"> distribution and transmission networks respectively. This represents </w:t>
      </w:r>
      <w:r w:rsidR="003D104E">
        <w:t>reduction</w:t>
      </w:r>
      <w:r w:rsidR="00FB1AFF">
        <w:t>s</w:t>
      </w:r>
      <w:r w:rsidR="003D104E">
        <w:t xml:space="preserve"> of $</w:t>
      </w:r>
      <w:r w:rsidR="00B50DE1">
        <w:t>1890.4</w:t>
      </w:r>
      <w:r w:rsidR="003D104E">
        <w:t xml:space="preserve"> million (or </w:t>
      </w:r>
      <w:r w:rsidR="00B50DE1">
        <w:t>12</w:t>
      </w:r>
      <w:r w:rsidR="003D104E">
        <w:t xml:space="preserve"> per cent) and $</w:t>
      </w:r>
      <w:r w:rsidR="00B50DE1">
        <w:t>282.1</w:t>
      </w:r>
      <w:r w:rsidR="003D104E">
        <w:t xml:space="preserve"> million (or </w:t>
      </w:r>
      <w:r w:rsidR="00B50DE1">
        <w:t>11</w:t>
      </w:r>
      <w:r w:rsidR="003D104E">
        <w:t xml:space="preserve"> per cent)</w:t>
      </w:r>
      <w:r>
        <w:t xml:space="preserve"> </w:t>
      </w:r>
      <w:r w:rsidR="003D104E">
        <w:t>from Ausgrid's proposal for its distribution and transmission networks respectively</w:t>
      </w:r>
      <w:r>
        <w:t xml:space="preserve">. </w:t>
      </w:r>
      <w:r w:rsidR="003D104E">
        <w:t>Our</w:t>
      </w:r>
      <w:r>
        <w:t xml:space="preserve"> draft decision </w:t>
      </w:r>
      <w:r w:rsidR="009A556D">
        <w:t xml:space="preserve">on the forecast closing </w:t>
      </w:r>
      <w:r>
        <w:t>RAB</w:t>
      </w:r>
      <w:r w:rsidR="00FA7DC2">
        <w:t>s</w:t>
      </w:r>
      <w:r>
        <w:t xml:space="preserve"> reflect </w:t>
      </w:r>
      <w:r w:rsidRPr="00442DEB">
        <w:t xml:space="preserve">the </w:t>
      </w:r>
      <w:r>
        <w:t xml:space="preserve">amended </w:t>
      </w:r>
      <w:r w:rsidRPr="00442DEB">
        <w:t>opening RAB</w:t>
      </w:r>
      <w:r w:rsidR="00FA7DC2">
        <w:t>s</w:t>
      </w:r>
      <w:r w:rsidRPr="00442DEB">
        <w:t xml:space="preserve"> </w:t>
      </w:r>
      <w:r>
        <w:t>as at 1 July 2014</w:t>
      </w:r>
      <w:r w:rsidR="009A556D">
        <w:t>,</w:t>
      </w:r>
      <w:r>
        <w:t xml:space="preserve"> and our draft decision on forecast capex </w:t>
      </w:r>
      <w:r w:rsidR="009A556D">
        <w:t xml:space="preserve">(attachment </w:t>
      </w:r>
      <w:r w:rsidR="00B50DE1">
        <w:t>6</w:t>
      </w:r>
      <w:r w:rsidR="009A556D">
        <w:t xml:space="preserve">) </w:t>
      </w:r>
      <w:r>
        <w:t xml:space="preserve">and forecast regulatory depreciation </w:t>
      </w:r>
      <w:r w:rsidR="009A556D">
        <w:t>(</w:t>
      </w:r>
      <w:r>
        <w:t xml:space="preserve">attachment </w:t>
      </w:r>
      <w:r w:rsidR="00B50DE1">
        <w:t>5</w:t>
      </w:r>
      <w:r w:rsidR="009A556D">
        <w:t>)</w:t>
      </w:r>
      <w:r>
        <w:t>.</w:t>
      </w:r>
    </w:p>
    <w:p w:rsidR="00242766" w:rsidRDefault="002879BA" w:rsidP="0039763D">
      <w:pPr>
        <w:pStyle w:val="AERbodytext"/>
        <w:numPr>
          <w:ilvl w:val="0"/>
          <w:numId w:val="0"/>
        </w:numPr>
      </w:pPr>
      <w:r>
        <w:fldChar w:fldCharType="begin"/>
      </w:r>
      <w:r>
        <w:instrText xml:space="preserve"> REF _Ref404633148 \h </w:instrText>
      </w:r>
      <w:r>
        <w:fldChar w:fldCharType="separate"/>
      </w:r>
      <w:r>
        <w:t xml:space="preserve">Table </w:t>
      </w:r>
      <w:r>
        <w:rPr>
          <w:noProof/>
        </w:rPr>
        <w:t>2</w:t>
      </w:r>
      <w:r>
        <w:noBreakHyphen/>
      </w:r>
      <w:r>
        <w:rPr>
          <w:noProof/>
        </w:rPr>
        <w:t>3</w:t>
      </w:r>
      <w:r>
        <w:fldChar w:fldCharType="end"/>
      </w:r>
      <w:r w:rsidR="003D104E">
        <w:t xml:space="preserve"> and </w:t>
      </w:r>
      <w:r>
        <w:fldChar w:fldCharType="begin"/>
      </w:r>
      <w:r>
        <w:instrText xml:space="preserve"> REF _Ref395534093 \h </w:instrText>
      </w:r>
      <w:r>
        <w:fldChar w:fldCharType="separate"/>
      </w:r>
      <w:r>
        <w:t xml:space="preserve">Table </w:t>
      </w:r>
      <w:r>
        <w:rPr>
          <w:noProof/>
        </w:rPr>
        <w:t>2</w:t>
      </w:r>
      <w:r>
        <w:noBreakHyphen/>
      </w:r>
      <w:r>
        <w:rPr>
          <w:noProof/>
        </w:rPr>
        <w:t>4</w:t>
      </w:r>
      <w:r>
        <w:fldChar w:fldCharType="end"/>
      </w:r>
      <w:r w:rsidR="003D104E">
        <w:t xml:space="preserve"> </w:t>
      </w:r>
      <w:r w:rsidR="0039763D" w:rsidRPr="0039763D">
        <w:t xml:space="preserve">set out our draft decision on the forecast RAB values </w:t>
      </w:r>
      <w:r w:rsidR="003D104E">
        <w:t xml:space="preserve">over the </w:t>
      </w:r>
      <w:r w:rsidR="003D104E" w:rsidRPr="0039763D">
        <w:t>2014–1</w:t>
      </w:r>
      <w:r w:rsidR="003D104E" w:rsidRPr="003D104E">
        <w:t xml:space="preserve">9 regulatory control period </w:t>
      </w:r>
      <w:r w:rsidR="0039763D" w:rsidRPr="0039763D">
        <w:t xml:space="preserve">for </w:t>
      </w:r>
      <w:r w:rsidR="003D104E">
        <w:t>Ausgrid</w:t>
      </w:r>
      <w:r w:rsidR="0039763D" w:rsidRPr="0039763D">
        <w:t>'s</w:t>
      </w:r>
      <w:r w:rsidR="003D104E">
        <w:t xml:space="preserve"> distribution and transmission networks respectively</w:t>
      </w:r>
      <w:r w:rsidR="0039763D" w:rsidRPr="0039763D">
        <w:t>.</w:t>
      </w:r>
    </w:p>
    <w:p w:rsidR="00BF6286" w:rsidRDefault="00BF6286">
      <w:pPr>
        <w:rPr>
          <w:rFonts w:ascii="Gautami" w:hAnsi="Gautami"/>
          <w:b/>
          <w:bCs/>
          <w:sz w:val="20"/>
          <w:szCs w:val="18"/>
          <w:lang w:eastAsia="en-US"/>
        </w:rPr>
      </w:pPr>
      <w:bookmarkStart w:id="12" w:name="_Ref395534088"/>
      <w:r>
        <w:br w:type="page"/>
      </w:r>
    </w:p>
    <w:p w:rsidR="00A5617E" w:rsidRDefault="00284F1D" w:rsidP="00284F1D">
      <w:pPr>
        <w:pStyle w:val="Caption"/>
      </w:pPr>
      <w:bookmarkStart w:id="13" w:name="_Ref404633148"/>
      <w:r>
        <w:lastRenderedPageBreak/>
        <w:t xml:space="preserve">Table </w:t>
      </w:r>
      <w:r w:rsidR="00AD3FDB">
        <w:fldChar w:fldCharType="begin"/>
      </w:r>
      <w:r w:rsidR="00AD3FDB">
        <w:instrText xml:space="preserve"> STYLEREF 1 \s </w:instrText>
      </w:r>
      <w:r w:rsidR="00AD3FDB">
        <w:fldChar w:fldCharType="separate"/>
      </w:r>
      <w:r w:rsidR="002879BA">
        <w:rPr>
          <w:noProof/>
        </w:rPr>
        <w:t>2</w:t>
      </w:r>
      <w:r w:rsidR="00AD3FDB">
        <w:rPr>
          <w:noProof/>
        </w:rPr>
        <w:fldChar w:fldCharType="end"/>
      </w:r>
      <w:r w:rsidR="002879BA">
        <w:noBreakHyphen/>
      </w:r>
      <w:r w:rsidR="00AD3FDB">
        <w:fldChar w:fldCharType="begin"/>
      </w:r>
      <w:r w:rsidR="00AD3FDB">
        <w:instrText xml:space="preserve"> SEQ Table \* ARABIC \s 1 </w:instrText>
      </w:r>
      <w:r w:rsidR="00AD3FDB">
        <w:fldChar w:fldCharType="separate"/>
      </w:r>
      <w:r w:rsidR="002879BA">
        <w:rPr>
          <w:noProof/>
        </w:rPr>
        <w:t>3</w:t>
      </w:r>
      <w:r w:rsidR="00AD3FDB">
        <w:rPr>
          <w:noProof/>
        </w:rPr>
        <w:fldChar w:fldCharType="end"/>
      </w:r>
      <w:bookmarkEnd w:id="12"/>
      <w:bookmarkEnd w:id="13"/>
      <w:r>
        <w:tab/>
      </w:r>
      <w:r w:rsidRPr="00284F1D">
        <w:t xml:space="preserve">AER's draft decision on </w:t>
      </w:r>
      <w:r>
        <w:t>Ausgrid'</w:t>
      </w:r>
      <w:r w:rsidRPr="00284F1D">
        <w:t xml:space="preserve">s RAB for the 2014–19 regulatory control period </w:t>
      </w:r>
      <w:r>
        <w:t xml:space="preserve">– </w:t>
      </w:r>
      <w:r w:rsidR="001855E4">
        <w:t>d</w:t>
      </w:r>
      <w:r>
        <w:t xml:space="preserve">istribution </w:t>
      </w:r>
      <w:r w:rsidRPr="00284F1D">
        <w:t>($ million, nominal)</w:t>
      </w:r>
    </w:p>
    <w:tbl>
      <w:tblPr>
        <w:tblStyle w:val="AERtable-numbers"/>
        <w:tblW w:w="5000" w:type="pct"/>
        <w:tblLook w:val="04A0" w:firstRow="1" w:lastRow="0" w:firstColumn="1" w:lastColumn="0" w:noHBand="0" w:noVBand="1"/>
      </w:tblPr>
      <w:tblGrid>
        <w:gridCol w:w="3677"/>
        <w:gridCol w:w="1113"/>
        <w:gridCol w:w="1113"/>
        <w:gridCol w:w="1113"/>
        <w:gridCol w:w="1113"/>
        <w:gridCol w:w="1113"/>
      </w:tblGrid>
      <w:tr w:rsidR="00A5617E" w:rsidRPr="00A5617E" w:rsidTr="00284F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A5617E" w:rsidRPr="00A5617E" w:rsidRDefault="00A5617E" w:rsidP="00A5617E">
            <w:pPr>
              <w:pStyle w:val="AERtabletextleft"/>
            </w:pPr>
            <w:r w:rsidRPr="00A5617E">
              <w:t> </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2014–15</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2015–16</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2016–17</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2017–18</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2018–19</w:t>
            </w:r>
          </w:p>
        </w:tc>
      </w:tr>
      <w:tr w:rsidR="00D77959" w:rsidRPr="00BF6286" w:rsidTr="00D77959">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77959" w:rsidRPr="00BF6286" w:rsidRDefault="00D77959" w:rsidP="00BF6286">
            <w:pPr>
              <w:pStyle w:val="AERtabletextleft"/>
              <w:rPr>
                <w:rStyle w:val="AERtextbold"/>
                <w:b w:val="0"/>
              </w:rPr>
            </w:pPr>
            <w:r w:rsidRPr="00BF6286">
              <w:rPr>
                <w:rStyle w:val="AERtextbold"/>
                <w:b w:val="0"/>
              </w:rPr>
              <w:t>Opening RAB</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12251.7</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12611.9</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12948.1</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13226.5</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13553.2</w:t>
            </w:r>
          </w:p>
        </w:tc>
      </w:tr>
      <w:tr w:rsidR="00D77959" w:rsidRPr="00A5617E" w:rsidTr="00D7795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77959" w:rsidRPr="00D77959" w:rsidRDefault="00D77959" w:rsidP="00D77959">
            <w:pPr>
              <w:pStyle w:val="AERtabletextleft"/>
            </w:pPr>
            <w:r w:rsidRPr="00D77959">
              <w:t xml:space="preserve">Capital </w:t>
            </w:r>
            <w:proofErr w:type="spellStart"/>
            <w:r w:rsidRPr="00D77959">
              <w:t>expenditure</w:t>
            </w:r>
            <w:r w:rsidRPr="00D77959">
              <w:rPr>
                <w:rStyle w:val="AERsuperscript"/>
              </w:rPr>
              <w:t>a</w:t>
            </w:r>
            <w:proofErr w:type="spellEnd"/>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492.8</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489.4</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452.3</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470.3</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442.7</w:t>
            </w:r>
          </w:p>
        </w:tc>
      </w:tr>
      <w:tr w:rsidR="00D77959" w:rsidRPr="00A5617E" w:rsidTr="00D77959">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77959" w:rsidRPr="00D77959" w:rsidRDefault="00D77959" w:rsidP="00D77959">
            <w:pPr>
              <w:pStyle w:val="AERtabletextleft"/>
            </w:pPr>
            <w:r w:rsidRPr="00D77959">
              <w:t>Inflation indexation on opening RAB</w:t>
            </w:r>
          </w:p>
        </w:tc>
        <w:tc>
          <w:tcPr>
            <w:tcW w:w="602" w:type="pct"/>
            <w:noWrap/>
            <w:vAlign w:val="top"/>
            <w:hideMark/>
          </w:tcPr>
          <w:p w:rsidR="00D77959" w:rsidRPr="00D77959" w:rsidRDefault="00D77959" w:rsidP="00D77959">
            <w:pPr>
              <w:pStyle w:val="AERtabletextright"/>
              <w:cnfStyle w:val="000000000000" w:firstRow="0" w:lastRow="0" w:firstColumn="0" w:lastColumn="0" w:oddVBand="0" w:evenVBand="0" w:oddHBand="0" w:evenHBand="0" w:firstRowFirstColumn="0" w:firstRowLastColumn="0" w:lastRowFirstColumn="0" w:lastRowLastColumn="0"/>
            </w:pPr>
            <w:r w:rsidRPr="00D77959">
              <w:t>306.3</w:t>
            </w:r>
          </w:p>
        </w:tc>
        <w:tc>
          <w:tcPr>
            <w:tcW w:w="602" w:type="pct"/>
            <w:noWrap/>
            <w:vAlign w:val="top"/>
            <w:hideMark/>
          </w:tcPr>
          <w:p w:rsidR="00D77959" w:rsidRPr="00D77959" w:rsidRDefault="00D77959" w:rsidP="00D77959">
            <w:pPr>
              <w:pStyle w:val="AERtabletextright"/>
              <w:cnfStyle w:val="000000000000" w:firstRow="0" w:lastRow="0" w:firstColumn="0" w:lastColumn="0" w:oddVBand="0" w:evenVBand="0" w:oddHBand="0" w:evenHBand="0" w:firstRowFirstColumn="0" w:firstRowLastColumn="0" w:lastRowFirstColumn="0" w:lastRowLastColumn="0"/>
            </w:pPr>
            <w:r w:rsidRPr="00D77959">
              <w:t>315.3</w:t>
            </w:r>
          </w:p>
        </w:tc>
        <w:tc>
          <w:tcPr>
            <w:tcW w:w="602" w:type="pct"/>
            <w:noWrap/>
            <w:vAlign w:val="top"/>
            <w:hideMark/>
          </w:tcPr>
          <w:p w:rsidR="00D77959" w:rsidRPr="00D77959" w:rsidRDefault="00D77959" w:rsidP="00D77959">
            <w:pPr>
              <w:pStyle w:val="AERtabletextright"/>
              <w:cnfStyle w:val="000000000000" w:firstRow="0" w:lastRow="0" w:firstColumn="0" w:lastColumn="0" w:oddVBand="0" w:evenVBand="0" w:oddHBand="0" w:evenHBand="0" w:firstRowFirstColumn="0" w:firstRowLastColumn="0" w:lastRowFirstColumn="0" w:lastRowLastColumn="0"/>
            </w:pPr>
            <w:r w:rsidRPr="00D77959">
              <w:t>323.7</w:t>
            </w:r>
          </w:p>
        </w:tc>
        <w:tc>
          <w:tcPr>
            <w:tcW w:w="602" w:type="pct"/>
            <w:noWrap/>
            <w:vAlign w:val="top"/>
            <w:hideMark/>
          </w:tcPr>
          <w:p w:rsidR="00D77959" w:rsidRPr="00D77959" w:rsidRDefault="00D77959" w:rsidP="00D77959">
            <w:pPr>
              <w:pStyle w:val="AERtabletextright"/>
              <w:cnfStyle w:val="000000000000" w:firstRow="0" w:lastRow="0" w:firstColumn="0" w:lastColumn="0" w:oddVBand="0" w:evenVBand="0" w:oddHBand="0" w:evenHBand="0" w:firstRowFirstColumn="0" w:firstRowLastColumn="0" w:lastRowFirstColumn="0" w:lastRowLastColumn="0"/>
            </w:pPr>
            <w:r w:rsidRPr="00D77959">
              <w:t>330.7</w:t>
            </w:r>
          </w:p>
        </w:tc>
        <w:tc>
          <w:tcPr>
            <w:tcW w:w="602" w:type="pct"/>
            <w:noWrap/>
            <w:vAlign w:val="top"/>
            <w:hideMark/>
          </w:tcPr>
          <w:p w:rsidR="00D77959" w:rsidRPr="00D77959" w:rsidRDefault="00D77959" w:rsidP="00D77959">
            <w:pPr>
              <w:pStyle w:val="AERtabletextright"/>
              <w:cnfStyle w:val="000000000000" w:firstRow="0" w:lastRow="0" w:firstColumn="0" w:lastColumn="0" w:oddVBand="0" w:evenVBand="0" w:oddHBand="0" w:evenHBand="0" w:firstRowFirstColumn="0" w:firstRowLastColumn="0" w:lastRowFirstColumn="0" w:lastRowLastColumn="0"/>
            </w:pPr>
            <w:r w:rsidRPr="00D77959">
              <w:t>338.8</w:t>
            </w:r>
          </w:p>
        </w:tc>
      </w:tr>
      <w:tr w:rsidR="00D77959" w:rsidRPr="00A5617E" w:rsidTr="00D7795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77959" w:rsidRPr="00D77959" w:rsidRDefault="00D77959" w:rsidP="00D77959">
            <w:pPr>
              <w:pStyle w:val="AERtabletextleft"/>
            </w:pPr>
            <w:r w:rsidRPr="003750C0">
              <w:rPr>
                <w:rStyle w:val="AERtextitalic"/>
              </w:rPr>
              <w:t>Less:</w:t>
            </w:r>
            <w:r w:rsidRPr="00D77959">
              <w:t xml:space="preserve"> straight-line depreciation</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438.8</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468.5</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497.6</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474.2</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483.8</w:t>
            </w:r>
          </w:p>
        </w:tc>
      </w:tr>
      <w:tr w:rsidR="00D77959" w:rsidRPr="00BF6286" w:rsidTr="00D77959">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77959" w:rsidRPr="00BF6286" w:rsidRDefault="00D77959" w:rsidP="00BF6286">
            <w:pPr>
              <w:pStyle w:val="AERtabletextleft"/>
              <w:rPr>
                <w:rStyle w:val="AERtextbold"/>
                <w:b w:val="0"/>
              </w:rPr>
            </w:pPr>
            <w:r w:rsidRPr="00BF6286">
              <w:rPr>
                <w:rStyle w:val="AERtextbold"/>
                <w:b w:val="0"/>
              </w:rPr>
              <w:t>Closing RAB</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12611.9</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12948.1</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13226.5</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13553.2</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13850.9</w:t>
            </w:r>
          </w:p>
        </w:tc>
      </w:tr>
    </w:tbl>
    <w:p w:rsidR="008A0472" w:rsidRPr="008A0472" w:rsidRDefault="008A0472" w:rsidP="008A0472">
      <w:pPr>
        <w:pStyle w:val="AERtablesource"/>
      </w:pPr>
      <w:r w:rsidRPr="008A0472">
        <w:t>Source:</w:t>
      </w:r>
      <w:r w:rsidRPr="008A0472">
        <w:tab/>
        <w:t>AER analysis</w:t>
      </w:r>
      <w:r w:rsidR="009A556D">
        <w:t>.</w:t>
      </w:r>
    </w:p>
    <w:p w:rsidR="008A0472" w:rsidRPr="008A0472" w:rsidRDefault="008A0472" w:rsidP="008A0472">
      <w:pPr>
        <w:pStyle w:val="AERtablesource"/>
      </w:pPr>
      <w:r w:rsidRPr="008A0472">
        <w:t>(</w:t>
      </w:r>
      <w:proofErr w:type="gramStart"/>
      <w:r w:rsidRPr="008A0472">
        <w:t>a</w:t>
      </w:r>
      <w:proofErr w:type="gramEnd"/>
      <w:r w:rsidRPr="008A0472">
        <w:t>):</w:t>
      </w:r>
      <w:r w:rsidRPr="008A0472">
        <w:tab/>
        <w:t xml:space="preserve">Net of </w:t>
      </w:r>
      <w:r w:rsidR="009A556D">
        <w:t xml:space="preserve">forecast </w:t>
      </w:r>
      <w:r w:rsidRPr="008A0472">
        <w:t>disposals and capital contributions.</w:t>
      </w:r>
    </w:p>
    <w:p w:rsidR="00284F1D" w:rsidRDefault="00284F1D" w:rsidP="00284F1D">
      <w:pPr>
        <w:pStyle w:val="Caption"/>
      </w:pPr>
      <w:bookmarkStart w:id="14" w:name="_Ref395534093"/>
      <w:r>
        <w:t xml:space="preserve">Table </w:t>
      </w:r>
      <w:r w:rsidR="00AD3FDB">
        <w:fldChar w:fldCharType="begin"/>
      </w:r>
      <w:r w:rsidR="00AD3FDB">
        <w:instrText xml:space="preserve"> STYLEREF 1 \s </w:instrText>
      </w:r>
      <w:r w:rsidR="00AD3FDB">
        <w:fldChar w:fldCharType="separate"/>
      </w:r>
      <w:r w:rsidR="002879BA">
        <w:rPr>
          <w:noProof/>
        </w:rPr>
        <w:t>2</w:t>
      </w:r>
      <w:r w:rsidR="00AD3FDB">
        <w:rPr>
          <w:noProof/>
        </w:rPr>
        <w:fldChar w:fldCharType="end"/>
      </w:r>
      <w:r w:rsidR="002879BA">
        <w:noBreakHyphen/>
      </w:r>
      <w:r w:rsidR="00AD3FDB">
        <w:fldChar w:fldCharType="begin"/>
      </w:r>
      <w:r w:rsidR="00AD3FDB">
        <w:instrText xml:space="preserve"> SEQ Table \* ARABIC \s 1 </w:instrText>
      </w:r>
      <w:r w:rsidR="00AD3FDB">
        <w:fldChar w:fldCharType="separate"/>
      </w:r>
      <w:r w:rsidR="002879BA">
        <w:rPr>
          <w:noProof/>
        </w:rPr>
        <w:t>4</w:t>
      </w:r>
      <w:r w:rsidR="00AD3FDB">
        <w:rPr>
          <w:noProof/>
        </w:rPr>
        <w:fldChar w:fldCharType="end"/>
      </w:r>
      <w:bookmarkEnd w:id="14"/>
      <w:r>
        <w:tab/>
      </w:r>
      <w:r w:rsidRPr="00284F1D">
        <w:t xml:space="preserve">AER's draft decision on Ausgrid's RAB for the 2014–19 regulatory control period – </w:t>
      </w:r>
      <w:r w:rsidR="001855E4">
        <w:t>t</w:t>
      </w:r>
      <w:r>
        <w:t>ransmission</w:t>
      </w:r>
      <w:r w:rsidRPr="00284F1D">
        <w:t xml:space="preserve"> ($ million, nominal)</w:t>
      </w:r>
    </w:p>
    <w:tbl>
      <w:tblPr>
        <w:tblStyle w:val="AERtable-numbers"/>
        <w:tblW w:w="5000" w:type="pct"/>
        <w:tblLook w:val="04A0" w:firstRow="1" w:lastRow="0" w:firstColumn="1" w:lastColumn="0" w:noHBand="0" w:noVBand="1"/>
      </w:tblPr>
      <w:tblGrid>
        <w:gridCol w:w="3677"/>
        <w:gridCol w:w="1113"/>
        <w:gridCol w:w="1113"/>
        <w:gridCol w:w="1113"/>
        <w:gridCol w:w="1113"/>
        <w:gridCol w:w="1113"/>
      </w:tblGrid>
      <w:tr w:rsidR="00A5617E" w:rsidRPr="00A5617E" w:rsidTr="00284F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A5617E" w:rsidRPr="00A5617E" w:rsidRDefault="00A5617E" w:rsidP="00A5617E">
            <w:pPr>
              <w:pStyle w:val="AERtabletextleft"/>
            </w:pPr>
            <w:r w:rsidRPr="00A5617E">
              <w:t> </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2014–15</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2015–16</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2016–17</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2017–18</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2018–19</w:t>
            </w:r>
          </w:p>
        </w:tc>
      </w:tr>
      <w:tr w:rsidR="00D77959" w:rsidRPr="00BF6286" w:rsidTr="00D77959">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77959" w:rsidRPr="00BF6286" w:rsidRDefault="00D77959" w:rsidP="00BF6286">
            <w:pPr>
              <w:pStyle w:val="AERtabletextleft"/>
              <w:rPr>
                <w:rStyle w:val="AERtextbold"/>
                <w:b w:val="0"/>
              </w:rPr>
            </w:pPr>
            <w:r w:rsidRPr="00BF6286">
              <w:rPr>
                <w:rStyle w:val="AERtextbold"/>
                <w:b w:val="0"/>
              </w:rPr>
              <w:t>Opening RAB</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2035.7</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2119.4</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2196.4</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2237.1</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2286.6</w:t>
            </w:r>
          </w:p>
        </w:tc>
      </w:tr>
      <w:tr w:rsidR="00D77959" w:rsidRPr="00A5617E" w:rsidTr="00D7795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77959" w:rsidRPr="00D77959" w:rsidRDefault="00D77959" w:rsidP="00D77959">
            <w:pPr>
              <w:pStyle w:val="AERtabletextleft"/>
            </w:pPr>
            <w:r w:rsidRPr="00D77959">
              <w:t xml:space="preserve">Capital </w:t>
            </w:r>
            <w:proofErr w:type="spellStart"/>
            <w:r w:rsidRPr="00D77959">
              <w:t>expenditure</w:t>
            </w:r>
            <w:r w:rsidRPr="00D77959">
              <w:rPr>
                <w:rStyle w:val="AERsuperscript"/>
              </w:rPr>
              <w:t>a</w:t>
            </w:r>
            <w:proofErr w:type="spellEnd"/>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95.8</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92.1</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59.0</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65.2</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51.6</w:t>
            </w:r>
          </w:p>
        </w:tc>
      </w:tr>
      <w:tr w:rsidR="00D77959" w:rsidRPr="00A5617E" w:rsidTr="00D77959">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77959" w:rsidRPr="00D77959" w:rsidRDefault="00D77959" w:rsidP="00D77959">
            <w:pPr>
              <w:pStyle w:val="AERtabletextleft"/>
            </w:pPr>
            <w:r w:rsidRPr="00D77959">
              <w:t>Inflation indexation on opening RAB</w:t>
            </w:r>
          </w:p>
        </w:tc>
        <w:tc>
          <w:tcPr>
            <w:tcW w:w="602" w:type="pct"/>
            <w:noWrap/>
            <w:vAlign w:val="top"/>
            <w:hideMark/>
          </w:tcPr>
          <w:p w:rsidR="00D77959" w:rsidRPr="00D77959" w:rsidRDefault="00D77959" w:rsidP="00D77959">
            <w:pPr>
              <w:pStyle w:val="AERtabletextright"/>
              <w:cnfStyle w:val="000000000000" w:firstRow="0" w:lastRow="0" w:firstColumn="0" w:lastColumn="0" w:oddVBand="0" w:evenVBand="0" w:oddHBand="0" w:evenHBand="0" w:firstRowFirstColumn="0" w:firstRowLastColumn="0" w:lastRowFirstColumn="0" w:lastRowLastColumn="0"/>
            </w:pPr>
            <w:r w:rsidRPr="00D77959">
              <w:t>50.9</w:t>
            </w:r>
          </w:p>
        </w:tc>
        <w:tc>
          <w:tcPr>
            <w:tcW w:w="602" w:type="pct"/>
            <w:noWrap/>
            <w:vAlign w:val="top"/>
            <w:hideMark/>
          </w:tcPr>
          <w:p w:rsidR="00D77959" w:rsidRPr="00D77959" w:rsidRDefault="00D77959" w:rsidP="00D77959">
            <w:pPr>
              <w:pStyle w:val="AERtabletextright"/>
              <w:cnfStyle w:val="000000000000" w:firstRow="0" w:lastRow="0" w:firstColumn="0" w:lastColumn="0" w:oddVBand="0" w:evenVBand="0" w:oddHBand="0" w:evenHBand="0" w:firstRowFirstColumn="0" w:firstRowLastColumn="0" w:lastRowFirstColumn="0" w:lastRowLastColumn="0"/>
            </w:pPr>
            <w:r w:rsidRPr="00D77959">
              <w:t>53.0</w:t>
            </w:r>
          </w:p>
        </w:tc>
        <w:tc>
          <w:tcPr>
            <w:tcW w:w="602" w:type="pct"/>
            <w:noWrap/>
            <w:vAlign w:val="top"/>
            <w:hideMark/>
          </w:tcPr>
          <w:p w:rsidR="00D77959" w:rsidRPr="00D77959" w:rsidRDefault="00D77959" w:rsidP="00D77959">
            <w:pPr>
              <w:pStyle w:val="AERtabletextright"/>
              <w:cnfStyle w:val="000000000000" w:firstRow="0" w:lastRow="0" w:firstColumn="0" w:lastColumn="0" w:oddVBand="0" w:evenVBand="0" w:oddHBand="0" w:evenHBand="0" w:firstRowFirstColumn="0" w:firstRowLastColumn="0" w:lastRowFirstColumn="0" w:lastRowLastColumn="0"/>
            </w:pPr>
            <w:r w:rsidRPr="00D77959">
              <w:t>54.9</w:t>
            </w:r>
          </w:p>
        </w:tc>
        <w:tc>
          <w:tcPr>
            <w:tcW w:w="602" w:type="pct"/>
            <w:noWrap/>
            <w:vAlign w:val="top"/>
            <w:hideMark/>
          </w:tcPr>
          <w:p w:rsidR="00D77959" w:rsidRPr="00D77959" w:rsidRDefault="00D77959" w:rsidP="00D77959">
            <w:pPr>
              <w:pStyle w:val="AERtabletextright"/>
              <w:cnfStyle w:val="000000000000" w:firstRow="0" w:lastRow="0" w:firstColumn="0" w:lastColumn="0" w:oddVBand="0" w:evenVBand="0" w:oddHBand="0" w:evenHBand="0" w:firstRowFirstColumn="0" w:firstRowLastColumn="0" w:lastRowFirstColumn="0" w:lastRowLastColumn="0"/>
            </w:pPr>
            <w:r w:rsidRPr="00D77959">
              <w:t>55.9</w:t>
            </w:r>
          </w:p>
        </w:tc>
        <w:tc>
          <w:tcPr>
            <w:tcW w:w="602" w:type="pct"/>
            <w:noWrap/>
            <w:vAlign w:val="top"/>
            <w:hideMark/>
          </w:tcPr>
          <w:p w:rsidR="00D77959" w:rsidRPr="00D77959" w:rsidRDefault="00D77959" w:rsidP="00D77959">
            <w:pPr>
              <w:pStyle w:val="AERtabletextright"/>
              <w:cnfStyle w:val="000000000000" w:firstRow="0" w:lastRow="0" w:firstColumn="0" w:lastColumn="0" w:oddVBand="0" w:evenVBand="0" w:oddHBand="0" w:evenHBand="0" w:firstRowFirstColumn="0" w:firstRowLastColumn="0" w:lastRowFirstColumn="0" w:lastRowLastColumn="0"/>
            </w:pPr>
            <w:r w:rsidRPr="00D77959">
              <w:t>57.2</w:t>
            </w:r>
          </w:p>
        </w:tc>
      </w:tr>
      <w:tr w:rsidR="00D77959" w:rsidRPr="00A5617E" w:rsidTr="00D7795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77959" w:rsidRPr="00D77959" w:rsidRDefault="00D77959" w:rsidP="00D77959">
            <w:pPr>
              <w:pStyle w:val="AERtabletextleft"/>
            </w:pPr>
            <w:r w:rsidRPr="003750C0">
              <w:rPr>
                <w:rStyle w:val="AERtextitalic"/>
              </w:rPr>
              <w:t>Less:</w:t>
            </w:r>
            <w:r w:rsidRPr="00D77959">
              <w:t xml:space="preserve"> straight-line depreciation</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63.0</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68.1</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73.2</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71.5</w:t>
            </w:r>
          </w:p>
        </w:tc>
        <w:tc>
          <w:tcPr>
            <w:tcW w:w="602" w:type="pct"/>
            <w:noWrap/>
            <w:vAlign w:val="top"/>
            <w:hideMark/>
          </w:tcPr>
          <w:p w:rsidR="00D77959" w:rsidRPr="00D77959" w:rsidRDefault="00D77959" w:rsidP="00D77959">
            <w:pPr>
              <w:pStyle w:val="AERtabletextright"/>
              <w:cnfStyle w:val="000000010000" w:firstRow="0" w:lastRow="0" w:firstColumn="0" w:lastColumn="0" w:oddVBand="0" w:evenVBand="0" w:oddHBand="0" w:evenHBand="1" w:firstRowFirstColumn="0" w:firstRowLastColumn="0" w:lastRowFirstColumn="0" w:lastRowLastColumn="0"/>
            </w:pPr>
            <w:r w:rsidRPr="00D77959">
              <w:t>72.5</w:t>
            </w:r>
          </w:p>
        </w:tc>
      </w:tr>
      <w:tr w:rsidR="00D77959" w:rsidRPr="00BF6286" w:rsidTr="00D77959">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D77959" w:rsidRPr="00BF6286" w:rsidRDefault="00D77959" w:rsidP="00BF6286">
            <w:pPr>
              <w:pStyle w:val="AERtabletextleft"/>
              <w:rPr>
                <w:rStyle w:val="AERtextbold"/>
                <w:b w:val="0"/>
              </w:rPr>
            </w:pPr>
            <w:r w:rsidRPr="00BF6286">
              <w:rPr>
                <w:rStyle w:val="AERtextbold"/>
                <w:b w:val="0"/>
              </w:rPr>
              <w:t>Closing RAB</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2119.4</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2196.4</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2237.1</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2286.6</w:t>
            </w:r>
          </w:p>
        </w:tc>
        <w:tc>
          <w:tcPr>
            <w:tcW w:w="602" w:type="pct"/>
            <w:noWrap/>
            <w:vAlign w:val="top"/>
            <w:hideMark/>
          </w:tcPr>
          <w:p w:rsidR="00D77959" w:rsidRPr="00BF6286" w:rsidRDefault="00D77959"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t>2323.0</w:t>
            </w:r>
          </w:p>
        </w:tc>
      </w:tr>
    </w:tbl>
    <w:p w:rsidR="008A0472" w:rsidRPr="008A0472" w:rsidRDefault="008A0472" w:rsidP="008A0472">
      <w:pPr>
        <w:pStyle w:val="AERtablesource"/>
      </w:pPr>
      <w:r w:rsidRPr="008A0472">
        <w:t>Source:</w:t>
      </w:r>
      <w:r w:rsidRPr="008A0472">
        <w:tab/>
        <w:t>AER analysis</w:t>
      </w:r>
    </w:p>
    <w:p w:rsidR="008A0472" w:rsidRDefault="008A0472" w:rsidP="008A0472">
      <w:pPr>
        <w:pStyle w:val="AERtablesource"/>
      </w:pPr>
      <w:r w:rsidRPr="008A0472">
        <w:t>(</w:t>
      </w:r>
      <w:proofErr w:type="gramStart"/>
      <w:r w:rsidRPr="008A0472">
        <w:t>a</w:t>
      </w:r>
      <w:proofErr w:type="gramEnd"/>
      <w:r w:rsidRPr="008A0472">
        <w:t>):</w:t>
      </w:r>
      <w:r w:rsidRPr="008A0472">
        <w:tab/>
        <w:t xml:space="preserve">Net of </w:t>
      </w:r>
      <w:r w:rsidR="009A556D">
        <w:t xml:space="preserve">forecast </w:t>
      </w:r>
      <w:r w:rsidRPr="008A0472">
        <w:t>disposals and capital contributions.</w:t>
      </w:r>
    </w:p>
    <w:p w:rsidR="00D242AD" w:rsidRPr="00D242AD" w:rsidRDefault="00D242AD" w:rsidP="00D242AD">
      <w:pPr>
        <w:pStyle w:val="AERbodytext"/>
      </w:pPr>
      <w:r w:rsidRPr="002B4DA4">
        <w:t xml:space="preserve">We determine that the forecast depreciation approach is to be used to establish the </w:t>
      </w:r>
      <w:r>
        <w:t xml:space="preserve">opening </w:t>
      </w:r>
      <w:r w:rsidRPr="002B4DA4">
        <w:t>RAB</w:t>
      </w:r>
      <w:r w:rsidR="00933215">
        <w:t xml:space="preserve">s for </w:t>
      </w:r>
      <w:r w:rsidR="00E5784C">
        <w:t>A</w:t>
      </w:r>
      <w:r w:rsidR="00933215">
        <w:t>usgrid's distribution and transmission network</w:t>
      </w:r>
      <w:r w:rsidR="009A556D">
        <w:t>s</w:t>
      </w:r>
      <w:r w:rsidRPr="002B4DA4">
        <w:t xml:space="preserve"> at the commencement of the 2019</w:t>
      </w:r>
      <w:r w:rsidR="00E5784C">
        <w:t>–</w:t>
      </w:r>
      <w:r w:rsidRPr="002B4DA4">
        <w:t>24 regulatory control period.</w:t>
      </w:r>
      <w:r w:rsidR="00DA0B99">
        <w:rPr>
          <w:rStyle w:val="FootnoteReference"/>
        </w:rPr>
        <w:footnoteReference w:id="5"/>
      </w:r>
      <w:r w:rsidRPr="002B4DA4">
        <w:t xml:space="preserve"> </w:t>
      </w:r>
      <w:r w:rsidR="00E165D9">
        <w:t>This will apply to the 2014</w:t>
      </w:r>
      <w:r w:rsidR="009A556D">
        <w:t>–</w:t>
      </w:r>
      <w:r w:rsidR="00E165D9">
        <w:t>19</w:t>
      </w:r>
      <w:r w:rsidR="00F31A4D" w:rsidRPr="00F31A4D">
        <w:t xml:space="preserve"> </w:t>
      </w:r>
      <w:r w:rsidR="00F31A4D">
        <w:t>period</w:t>
      </w:r>
      <w:r w:rsidR="00E165D9">
        <w:t>, including the 2014</w:t>
      </w:r>
      <w:r w:rsidR="009A556D">
        <w:t>–</w:t>
      </w:r>
      <w:r w:rsidR="00E165D9">
        <w:t xml:space="preserve">15 transitional regulatory control period. We consider this approach will provide sufficient incentives for Ausgrid to achieve </w:t>
      </w:r>
      <w:r w:rsidR="009A556D">
        <w:t xml:space="preserve">capex </w:t>
      </w:r>
      <w:r w:rsidR="00E165D9">
        <w:t xml:space="preserve">efficiency gains over those periods. </w:t>
      </w:r>
      <w:r w:rsidR="0084525A">
        <w:t>Ausgrid is not currently subject to a capital expenditure efficiency scheme (CESS)</w:t>
      </w:r>
      <w:r w:rsidR="009A556D">
        <w:t>, but we</w:t>
      </w:r>
      <w:r w:rsidR="0084525A">
        <w:t xml:space="preserve"> will apply</w:t>
      </w:r>
      <w:r w:rsidR="009A556D">
        <w:t xml:space="preserve"> the CESS</w:t>
      </w:r>
      <w:r w:rsidR="0084525A">
        <w:t xml:space="preserve"> to Ausgrid over the </w:t>
      </w:r>
      <w:r w:rsidR="009A556D">
        <w:t>subsequent (2015–19)</w:t>
      </w:r>
      <w:r w:rsidR="0084525A">
        <w:t xml:space="preserve"> regulatory </w:t>
      </w:r>
      <w:r w:rsidR="009A556D">
        <w:t xml:space="preserve">control </w:t>
      </w:r>
      <w:r w:rsidR="0084525A">
        <w:t>period.</w:t>
      </w:r>
      <w:r>
        <w:t xml:space="preserve"> </w:t>
      </w:r>
    </w:p>
    <w:p w:rsidR="00D97003" w:rsidRDefault="00D242AD" w:rsidP="00D97003">
      <w:pPr>
        <w:pStyle w:val="Heading2"/>
      </w:pPr>
      <w:bookmarkStart w:id="15" w:name="_Toc404356955"/>
      <w:r>
        <w:t>Ausgrid</w:t>
      </w:r>
      <w:r w:rsidR="00613D7D">
        <w:t xml:space="preserve">'s </w:t>
      </w:r>
      <w:r w:rsidR="00FE69C2">
        <w:t>proposal</w:t>
      </w:r>
      <w:bookmarkEnd w:id="15"/>
    </w:p>
    <w:p w:rsidR="008273CE" w:rsidRDefault="00D242AD" w:rsidP="00C839CF">
      <w:pPr>
        <w:pStyle w:val="AERbodytext"/>
      </w:pPr>
      <w:r>
        <w:t xml:space="preserve">Ausgrid </w:t>
      </w:r>
      <w:r w:rsidR="008273CE">
        <w:t xml:space="preserve">used our </w:t>
      </w:r>
      <w:r w:rsidR="00FB47DC">
        <w:t>roll forward model (</w:t>
      </w:r>
      <w:r w:rsidR="008273CE">
        <w:t>RFM</w:t>
      </w:r>
      <w:r w:rsidR="00FB47DC">
        <w:t>)</w:t>
      </w:r>
      <w:r w:rsidR="008273CE">
        <w:t xml:space="preserve"> to establish </w:t>
      </w:r>
      <w:r w:rsidR="00236972">
        <w:t xml:space="preserve">the </w:t>
      </w:r>
      <w:r w:rsidR="008273CE">
        <w:t>opening RAB</w:t>
      </w:r>
      <w:r w:rsidR="00236972">
        <w:t>s</w:t>
      </w:r>
      <w:r w:rsidR="008273CE">
        <w:t xml:space="preserve"> as at 1 July 2014 </w:t>
      </w:r>
      <w:r w:rsidR="001855E4">
        <w:t xml:space="preserve">for </w:t>
      </w:r>
      <w:r w:rsidR="00FB47DC">
        <w:t xml:space="preserve">its </w:t>
      </w:r>
      <w:r w:rsidR="001855E4">
        <w:t xml:space="preserve">distribution and transmission </w:t>
      </w:r>
      <w:r w:rsidR="00FB47DC">
        <w:t xml:space="preserve">networks </w:t>
      </w:r>
      <w:r w:rsidR="008273CE">
        <w:t xml:space="preserve">and our </w:t>
      </w:r>
      <w:r w:rsidR="00FB47DC">
        <w:t>post-tax revenue model (</w:t>
      </w:r>
      <w:r w:rsidR="008273CE">
        <w:t>PTRM</w:t>
      </w:r>
      <w:r w:rsidR="00FB47DC">
        <w:t>)</w:t>
      </w:r>
      <w:r w:rsidR="008273CE">
        <w:t xml:space="preserve"> to roll forward the</w:t>
      </w:r>
      <w:r w:rsidR="001855E4">
        <w:t>se</w:t>
      </w:r>
      <w:r w:rsidR="008273CE">
        <w:t xml:space="preserve"> RAB</w:t>
      </w:r>
      <w:r w:rsidR="00236972">
        <w:t>s</w:t>
      </w:r>
      <w:r w:rsidR="008273CE">
        <w:t xml:space="preserve"> over the 2014–19 regulatory control </w:t>
      </w:r>
      <w:proofErr w:type="gramStart"/>
      <w:r w:rsidR="008273CE">
        <w:t>period</w:t>
      </w:r>
      <w:proofErr w:type="gramEnd"/>
      <w:r w:rsidR="008273CE">
        <w:t>.</w:t>
      </w:r>
    </w:p>
    <w:p w:rsidR="004B2F26" w:rsidRDefault="001E7F3A" w:rsidP="00D93F05">
      <w:pPr>
        <w:pStyle w:val="AERbodytext"/>
        <w:numPr>
          <w:ilvl w:val="0"/>
          <w:numId w:val="0"/>
        </w:numPr>
      </w:pPr>
      <w:r>
        <w:t xml:space="preserve">Ausgrid </w:t>
      </w:r>
      <w:r w:rsidRPr="001E7F3A">
        <w:t>proposed op</w:t>
      </w:r>
      <w:r>
        <w:t xml:space="preserve">ening </w:t>
      </w:r>
      <w:r w:rsidR="0084525A">
        <w:t>RAB value</w:t>
      </w:r>
      <w:r w:rsidR="00FB47DC">
        <w:t>s</w:t>
      </w:r>
      <w:r w:rsidR="0084525A">
        <w:t xml:space="preserve"> </w:t>
      </w:r>
      <w:r w:rsidRPr="001E7F3A">
        <w:t>as at 1 July 20</w:t>
      </w:r>
      <w:r w:rsidR="0029139A">
        <w:t>09</w:t>
      </w:r>
      <w:r>
        <w:t xml:space="preserve"> of $</w:t>
      </w:r>
      <w:r w:rsidR="0029139A">
        <w:t>7 297</w:t>
      </w:r>
      <w:r w:rsidR="002B6F60">
        <w:t>.2</w:t>
      </w:r>
      <w:r w:rsidR="0029139A">
        <w:t> </w:t>
      </w:r>
      <w:r>
        <w:t xml:space="preserve">million </w:t>
      </w:r>
      <w:r w:rsidRPr="001E7F3A">
        <w:t>($</w:t>
      </w:r>
      <w:r>
        <w:t> </w:t>
      </w:r>
      <w:r w:rsidRPr="001E7F3A">
        <w:t xml:space="preserve">nominal) </w:t>
      </w:r>
      <w:r>
        <w:t>and $</w:t>
      </w:r>
      <w:r w:rsidR="004132A9">
        <w:t>1 028</w:t>
      </w:r>
      <w:r w:rsidR="002B6F60">
        <w:t>.5</w:t>
      </w:r>
      <w:r w:rsidR="0029139A">
        <w:t> </w:t>
      </w:r>
      <w:r>
        <w:t>million ($ nominal) for its distribution and transmission networks respectively</w:t>
      </w:r>
      <w:r w:rsidRPr="001E7F3A">
        <w:t>.</w:t>
      </w:r>
      <w:r>
        <w:t xml:space="preserve"> </w:t>
      </w:r>
      <w:r w:rsidR="0029139A">
        <w:t>Rolling forward these RABs</w:t>
      </w:r>
      <w:r w:rsidR="00FB47DC">
        <w:t xml:space="preserve"> using depreciation based on actual capex</w:t>
      </w:r>
      <w:r w:rsidR="00B97C84">
        <w:t>,</w:t>
      </w:r>
      <w:r w:rsidR="0029139A">
        <w:t xml:space="preserve"> </w:t>
      </w:r>
      <w:r w:rsidR="00FB47DC">
        <w:t>Ausgrid</w:t>
      </w:r>
      <w:r w:rsidR="0029139A">
        <w:t xml:space="preserve"> </w:t>
      </w:r>
      <w:r w:rsidRPr="001E7F3A">
        <w:t xml:space="preserve">proposed </w:t>
      </w:r>
      <w:r w:rsidR="0029139A">
        <w:t>closing</w:t>
      </w:r>
      <w:r w:rsidRPr="001E7F3A">
        <w:t xml:space="preserve"> RAB</w:t>
      </w:r>
      <w:r w:rsidR="00FB47DC">
        <w:t>s</w:t>
      </w:r>
      <w:r w:rsidRPr="001E7F3A">
        <w:t xml:space="preserve"> as at </w:t>
      </w:r>
      <w:r>
        <w:t>30</w:t>
      </w:r>
      <w:r w:rsidRPr="001E7F3A">
        <w:t xml:space="preserve"> </w:t>
      </w:r>
      <w:r>
        <w:t>June</w:t>
      </w:r>
      <w:r w:rsidRPr="001E7F3A">
        <w:t xml:space="preserve"> 201</w:t>
      </w:r>
      <w:r w:rsidR="0029139A">
        <w:t>4</w:t>
      </w:r>
      <w:r w:rsidRPr="001E7F3A">
        <w:t xml:space="preserve"> of $</w:t>
      </w:r>
      <w:r w:rsidR="0029139A">
        <w:t>12 5</w:t>
      </w:r>
      <w:r w:rsidR="002B6F60">
        <w:t>95</w:t>
      </w:r>
      <w:r w:rsidR="0029139A">
        <w:t> </w:t>
      </w:r>
      <w:r w:rsidRPr="001E7F3A">
        <w:t>million (</w:t>
      </w:r>
      <w:r>
        <w:t>$ </w:t>
      </w:r>
      <w:r w:rsidRPr="001E7F3A">
        <w:t xml:space="preserve">nominal) </w:t>
      </w:r>
      <w:r>
        <w:t>and $</w:t>
      </w:r>
      <w:r w:rsidR="004132A9">
        <w:t>2 094 </w:t>
      </w:r>
      <w:r>
        <w:t xml:space="preserve">million ($ nominal) </w:t>
      </w:r>
      <w:r w:rsidRPr="001E7F3A">
        <w:t>for</w:t>
      </w:r>
      <w:r w:rsidR="0029139A">
        <w:t xml:space="preserve"> its distribution and transmission networks</w:t>
      </w:r>
      <w:r w:rsidR="00B97C84">
        <w:t xml:space="preserve"> respectively</w:t>
      </w:r>
      <w:r w:rsidR="0029139A">
        <w:t xml:space="preserve">. </w:t>
      </w:r>
      <w:r w:rsidR="004B2F26">
        <w:t xml:space="preserve">The proposed closing RABs have been adjusted for reclassification of dual function assets. The adjustments reflect </w:t>
      </w:r>
      <w:r w:rsidR="008F36EA">
        <w:t xml:space="preserve">a net movement in </w:t>
      </w:r>
      <w:r w:rsidR="004B2F26">
        <w:t xml:space="preserve">assets from transmission to distribution. </w:t>
      </w:r>
    </w:p>
    <w:p w:rsidR="0029139A" w:rsidRDefault="002879BA" w:rsidP="00D93F05">
      <w:pPr>
        <w:pStyle w:val="AERbodytext"/>
        <w:numPr>
          <w:ilvl w:val="0"/>
          <w:numId w:val="0"/>
        </w:numPr>
      </w:pPr>
      <w:r>
        <w:lastRenderedPageBreak/>
        <w:fldChar w:fldCharType="begin"/>
      </w:r>
      <w:r>
        <w:instrText xml:space="preserve"> REF _Ref392854993 \h </w:instrText>
      </w:r>
      <w:r>
        <w:fldChar w:fldCharType="separate"/>
      </w:r>
      <w:r>
        <w:t xml:space="preserve">Table </w:t>
      </w:r>
      <w:r>
        <w:rPr>
          <w:noProof/>
        </w:rPr>
        <w:t>2</w:t>
      </w:r>
      <w:r>
        <w:noBreakHyphen/>
      </w:r>
      <w:r>
        <w:rPr>
          <w:noProof/>
        </w:rPr>
        <w:t>5</w:t>
      </w:r>
      <w:r>
        <w:fldChar w:fldCharType="end"/>
      </w:r>
      <w:r w:rsidR="0029139A" w:rsidRPr="0029139A">
        <w:t xml:space="preserve"> and </w:t>
      </w:r>
      <w:r>
        <w:fldChar w:fldCharType="begin"/>
      </w:r>
      <w:r>
        <w:instrText xml:space="preserve"> REF _Ref404633237 \h </w:instrText>
      </w:r>
      <w:r>
        <w:fldChar w:fldCharType="separate"/>
      </w:r>
      <w:r>
        <w:t xml:space="preserve">Table </w:t>
      </w:r>
      <w:r>
        <w:rPr>
          <w:noProof/>
        </w:rPr>
        <w:t>2</w:t>
      </w:r>
      <w:r>
        <w:noBreakHyphen/>
      </w:r>
      <w:r>
        <w:rPr>
          <w:noProof/>
        </w:rPr>
        <w:t>6</w:t>
      </w:r>
      <w:r>
        <w:fldChar w:fldCharType="end"/>
      </w:r>
      <w:r w:rsidR="0029139A" w:rsidRPr="0029139A">
        <w:t xml:space="preserve"> present </w:t>
      </w:r>
      <w:r w:rsidR="0029139A">
        <w:t>Ausgrid</w:t>
      </w:r>
      <w:r w:rsidR="0029139A" w:rsidRPr="0029139A">
        <w:t xml:space="preserve">'s proposed roll forward of </w:t>
      </w:r>
      <w:r w:rsidR="00FB47DC">
        <w:t>its</w:t>
      </w:r>
      <w:r w:rsidR="0029139A" w:rsidRPr="0029139A">
        <w:t xml:space="preserve"> RAB</w:t>
      </w:r>
      <w:r w:rsidR="00FB47DC">
        <w:t>s</w:t>
      </w:r>
      <w:r w:rsidR="0029139A" w:rsidRPr="0029139A">
        <w:t xml:space="preserve"> </w:t>
      </w:r>
      <w:r w:rsidR="00B97C84">
        <w:t>over</w:t>
      </w:r>
      <w:r w:rsidR="00B97C84" w:rsidRPr="0029139A">
        <w:t xml:space="preserve"> </w:t>
      </w:r>
      <w:r w:rsidR="0029139A" w:rsidRPr="0029139A">
        <w:t xml:space="preserve">the 2009–14 regulatory control </w:t>
      </w:r>
      <w:proofErr w:type="gramStart"/>
      <w:r w:rsidR="0029139A" w:rsidRPr="0029139A">
        <w:t>period</w:t>
      </w:r>
      <w:proofErr w:type="gramEnd"/>
      <w:r w:rsidR="00103C51">
        <w:t xml:space="preserve"> for its distribution and transmission networks respectively.</w:t>
      </w:r>
      <w:r w:rsidR="00B97C84">
        <w:t xml:space="preserve"> </w:t>
      </w:r>
      <w:r w:rsidR="00431A5F" w:rsidRPr="00D23605">
        <w:rPr>
          <w:rStyle w:val="AERbody"/>
        </w:rPr>
        <w:t>The removal of metering assets from its distribution RAB at 1 July 2014 result</w:t>
      </w:r>
      <w:r w:rsidR="00FB47DC">
        <w:rPr>
          <w:rStyle w:val="AERbody"/>
        </w:rPr>
        <w:t>ed</w:t>
      </w:r>
      <w:r w:rsidR="00431A5F" w:rsidRPr="00D23605">
        <w:rPr>
          <w:rStyle w:val="AERbody"/>
        </w:rPr>
        <w:t xml:space="preserve"> in a proposed opening RAB as at 1</w:t>
      </w:r>
      <w:r w:rsidR="00BF6286">
        <w:rPr>
          <w:rStyle w:val="AERbody"/>
        </w:rPr>
        <w:t> </w:t>
      </w:r>
      <w:r w:rsidR="00431A5F" w:rsidRPr="00D23605">
        <w:rPr>
          <w:rStyle w:val="AERbody"/>
        </w:rPr>
        <w:t>July 2014 of $12 2</w:t>
      </w:r>
      <w:r w:rsidR="002B6F60">
        <w:rPr>
          <w:rStyle w:val="AERbody"/>
        </w:rPr>
        <w:t>79.8</w:t>
      </w:r>
      <w:r w:rsidR="00431A5F" w:rsidRPr="00431A5F">
        <w:rPr>
          <w:rStyle w:val="AERbody"/>
        </w:rPr>
        <w:t> million ($ nominal)</w:t>
      </w:r>
      <w:r w:rsidR="00FB47DC">
        <w:rPr>
          <w:rStyle w:val="AERbody"/>
        </w:rPr>
        <w:t xml:space="preserve"> for its distribution network</w:t>
      </w:r>
      <w:r w:rsidR="00431A5F" w:rsidRPr="00431A5F">
        <w:rPr>
          <w:rStyle w:val="AERbody"/>
        </w:rPr>
        <w:t>.</w:t>
      </w:r>
      <w:r w:rsidR="00431A5F" w:rsidRPr="00431A5F">
        <w:rPr>
          <w:rStyle w:val="AERsuperscript"/>
        </w:rPr>
        <w:footnoteReference w:id="6"/>
      </w:r>
      <w:r w:rsidR="00431A5F" w:rsidRPr="00431A5F">
        <w:rPr>
          <w:rStyle w:val="AERbody"/>
        </w:rPr>
        <w:t xml:space="preserve"> </w:t>
      </w:r>
    </w:p>
    <w:p w:rsidR="00103C51" w:rsidRPr="004132A9" w:rsidRDefault="0067382C" w:rsidP="0067382C">
      <w:pPr>
        <w:pStyle w:val="Caption"/>
        <w:rPr>
          <w:rStyle w:val="AERtexthighlight"/>
          <w:shd w:val="clear" w:color="auto" w:fill="auto"/>
        </w:rPr>
      </w:pPr>
      <w:bookmarkStart w:id="16" w:name="_Ref392854993"/>
      <w:r>
        <w:t xml:space="preserve">Table </w:t>
      </w:r>
      <w:r w:rsidR="00AD3FDB">
        <w:fldChar w:fldCharType="begin"/>
      </w:r>
      <w:r w:rsidR="00AD3FDB">
        <w:instrText xml:space="preserve"> STYLEREF 1 \s </w:instrText>
      </w:r>
      <w:r w:rsidR="00AD3FDB">
        <w:fldChar w:fldCharType="separate"/>
      </w:r>
      <w:r w:rsidR="002879BA">
        <w:rPr>
          <w:noProof/>
        </w:rPr>
        <w:t>2</w:t>
      </w:r>
      <w:r w:rsidR="00AD3FDB">
        <w:rPr>
          <w:noProof/>
        </w:rPr>
        <w:fldChar w:fldCharType="end"/>
      </w:r>
      <w:r w:rsidR="002879BA">
        <w:noBreakHyphen/>
      </w:r>
      <w:r w:rsidR="00AD3FDB">
        <w:fldChar w:fldCharType="begin"/>
      </w:r>
      <w:r w:rsidR="00AD3FDB">
        <w:instrText xml:space="preserve"> SEQ Table \* ARABIC \s 1 </w:instrText>
      </w:r>
      <w:r w:rsidR="00AD3FDB">
        <w:fldChar w:fldCharType="separate"/>
      </w:r>
      <w:r w:rsidR="002879BA">
        <w:rPr>
          <w:noProof/>
        </w:rPr>
        <w:t>5</w:t>
      </w:r>
      <w:r w:rsidR="00AD3FDB">
        <w:rPr>
          <w:noProof/>
        </w:rPr>
        <w:fldChar w:fldCharType="end"/>
      </w:r>
      <w:bookmarkEnd w:id="16"/>
      <w:r>
        <w:tab/>
      </w:r>
      <w:r w:rsidR="004132A9">
        <w:t>Ausgrid</w:t>
      </w:r>
      <w:r w:rsidR="004132A9" w:rsidRPr="004132A9">
        <w:t>'s proposed RAB for the 200</w:t>
      </w:r>
      <w:r w:rsidR="004132A9">
        <w:t xml:space="preserve">9–14 regulatory control period </w:t>
      </w:r>
      <w:r w:rsidR="004132A9" w:rsidRPr="004132A9">
        <w:t>($million, nominal)</w:t>
      </w:r>
      <w:r w:rsidR="004132A9">
        <w:t xml:space="preserve"> </w:t>
      </w:r>
      <w:r w:rsidR="00FB47DC">
        <w:t>–</w:t>
      </w:r>
      <w:r w:rsidR="004132A9">
        <w:t xml:space="preserve"> distribution</w:t>
      </w:r>
    </w:p>
    <w:tbl>
      <w:tblPr>
        <w:tblStyle w:val="AERtable-numbers"/>
        <w:tblW w:w="9123" w:type="dxa"/>
        <w:tblLook w:val="04A0" w:firstRow="1" w:lastRow="0" w:firstColumn="1" w:lastColumn="0" w:noHBand="0" w:noVBand="1"/>
      </w:tblPr>
      <w:tblGrid>
        <w:gridCol w:w="3598"/>
        <w:gridCol w:w="29"/>
        <w:gridCol w:w="1099"/>
        <w:gridCol w:w="1100"/>
        <w:gridCol w:w="1099"/>
        <w:gridCol w:w="1099"/>
        <w:gridCol w:w="1099"/>
      </w:tblGrid>
      <w:tr w:rsidR="0011410F" w:rsidRPr="0011410F" w:rsidTr="0028138C">
        <w:trPr>
          <w:cnfStyle w:val="100000000000" w:firstRow="1" w:lastRow="0" w:firstColumn="0" w:lastColumn="0" w:oddVBand="0" w:evenVBand="0" w:oddHBand="0" w:evenHBand="0" w:firstRowFirstColumn="0" w:firstRowLastColumn="0" w:lastRowFirstColumn="0" w:lastRowLastColumn="0"/>
          <w:trHeight w:val="282"/>
          <w:tblHeader/>
        </w:trPr>
        <w:tc>
          <w:tcPr>
            <w:cnfStyle w:val="001000000000" w:firstRow="0" w:lastRow="0" w:firstColumn="1" w:lastColumn="0" w:oddVBand="0" w:evenVBand="0" w:oddHBand="0" w:evenHBand="0" w:firstRowFirstColumn="0" w:firstRowLastColumn="0" w:lastRowFirstColumn="0" w:lastRowLastColumn="0"/>
            <w:tcW w:w="3627" w:type="dxa"/>
            <w:gridSpan w:val="2"/>
            <w:noWrap/>
            <w:hideMark/>
          </w:tcPr>
          <w:p w:rsidR="0011410F" w:rsidRPr="0011410F" w:rsidRDefault="0011410F" w:rsidP="0011410F">
            <w:pPr>
              <w:pStyle w:val="AERtabletextleft"/>
            </w:pPr>
            <w:r w:rsidRPr="0011410F">
              <w:t> </w:t>
            </w:r>
          </w:p>
        </w:tc>
        <w:tc>
          <w:tcPr>
            <w:tcW w:w="1099"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2009–10</w:t>
            </w:r>
          </w:p>
        </w:tc>
        <w:tc>
          <w:tcPr>
            <w:tcW w:w="1100"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2010–11</w:t>
            </w:r>
          </w:p>
        </w:tc>
        <w:tc>
          <w:tcPr>
            <w:tcW w:w="1099"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2011–12</w:t>
            </w:r>
          </w:p>
        </w:tc>
        <w:tc>
          <w:tcPr>
            <w:tcW w:w="1099"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2012–13</w:t>
            </w:r>
          </w:p>
        </w:tc>
        <w:tc>
          <w:tcPr>
            <w:tcW w:w="1099"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2013–14</w:t>
            </w:r>
            <w:r w:rsidR="00F41773" w:rsidRPr="00F41773">
              <w:rPr>
                <w:rStyle w:val="AERsuperscript"/>
              </w:rPr>
              <w:t>a</w:t>
            </w:r>
          </w:p>
        </w:tc>
      </w:tr>
      <w:tr w:rsidR="0028138C" w:rsidRPr="00BF6286" w:rsidTr="0028138C">
        <w:trPr>
          <w:trHeight w:val="282"/>
        </w:trPr>
        <w:tc>
          <w:tcPr>
            <w:cnfStyle w:val="001000000000" w:firstRow="0" w:lastRow="0" w:firstColumn="1" w:lastColumn="0" w:oddVBand="0" w:evenVBand="0" w:oddHBand="0" w:evenHBand="0" w:firstRowFirstColumn="0" w:firstRowLastColumn="0" w:lastRowFirstColumn="0" w:lastRowLastColumn="0"/>
            <w:tcW w:w="3627" w:type="dxa"/>
            <w:gridSpan w:val="2"/>
            <w:noWrap/>
            <w:hideMark/>
          </w:tcPr>
          <w:p w:rsidR="0028138C" w:rsidRPr="00BF6286" w:rsidRDefault="0028138C" w:rsidP="00BF6286">
            <w:pPr>
              <w:pStyle w:val="AERtabletextleft"/>
              <w:rPr>
                <w:rStyle w:val="AERtextbold"/>
                <w:b w:val="0"/>
              </w:rPr>
            </w:pPr>
            <w:r w:rsidRPr="00BF6286">
              <w:rPr>
                <w:rStyle w:val="AERtextbold"/>
                <w:b w:val="0"/>
              </w:rPr>
              <w:t>Opening RAB</w:t>
            </w:r>
          </w:p>
        </w:tc>
        <w:tc>
          <w:tcPr>
            <w:tcW w:w="1099"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7297.2</w:t>
            </w:r>
          </w:p>
        </w:tc>
        <w:tc>
          <w:tcPr>
            <w:tcW w:w="1100"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8297.8</w:t>
            </w:r>
          </w:p>
        </w:tc>
        <w:tc>
          <w:tcPr>
            <w:tcW w:w="1099"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9527.5</w:t>
            </w:r>
          </w:p>
        </w:tc>
        <w:tc>
          <w:tcPr>
            <w:tcW w:w="1099"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10867.4</w:t>
            </w:r>
          </w:p>
        </w:tc>
        <w:tc>
          <w:tcPr>
            <w:tcW w:w="1099"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11655.3</w:t>
            </w:r>
          </w:p>
        </w:tc>
      </w:tr>
      <w:tr w:rsidR="0028138C" w:rsidRPr="0011410F" w:rsidTr="0028138C">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27" w:type="dxa"/>
            <w:gridSpan w:val="2"/>
            <w:noWrap/>
            <w:hideMark/>
          </w:tcPr>
          <w:p w:rsidR="0028138C" w:rsidRPr="0028138C" w:rsidRDefault="00F41773" w:rsidP="0028138C">
            <w:pPr>
              <w:pStyle w:val="AERtabletextleft"/>
            </w:pPr>
            <w:r>
              <w:t xml:space="preserve">Capital </w:t>
            </w:r>
            <w:proofErr w:type="spellStart"/>
            <w:r>
              <w:t>expenditure</w:t>
            </w:r>
            <w:r w:rsidRPr="00F41773">
              <w:rPr>
                <w:rStyle w:val="AERsuperscript"/>
              </w:rPr>
              <w:t>b</w:t>
            </w:r>
            <w:proofErr w:type="spellEnd"/>
          </w:p>
        </w:tc>
        <w:tc>
          <w:tcPr>
            <w:tcW w:w="1099"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1130.1</w:t>
            </w:r>
          </w:p>
        </w:tc>
        <w:tc>
          <w:tcPr>
            <w:tcW w:w="1100"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1302.2</w:t>
            </w:r>
          </w:p>
        </w:tc>
        <w:tc>
          <w:tcPr>
            <w:tcW w:w="1099"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1388.2</w:t>
            </w:r>
          </w:p>
        </w:tc>
        <w:tc>
          <w:tcPr>
            <w:tcW w:w="1099"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1</w:t>
            </w:r>
            <w:r>
              <w:t> </w:t>
            </w:r>
            <w:r w:rsidRPr="0028138C">
              <w:t>031.5</w:t>
            </w:r>
          </w:p>
        </w:tc>
        <w:tc>
          <w:tcPr>
            <w:tcW w:w="1099"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654.9</w:t>
            </w:r>
          </w:p>
        </w:tc>
      </w:tr>
      <w:tr w:rsidR="0028138C" w:rsidRPr="0011410F" w:rsidTr="0028138C">
        <w:trPr>
          <w:trHeight w:val="282"/>
        </w:trPr>
        <w:tc>
          <w:tcPr>
            <w:cnfStyle w:val="001000000000" w:firstRow="0" w:lastRow="0" w:firstColumn="1" w:lastColumn="0" w:oddVBand="0" w:evenVBand="0" w:oddHBand="0" w:evenHBand="0" w:firstRowFirstColumn="0" w:firstRowLastColumn="0" w:lastRowFirstColumn="0" w:lastRowLastColumn="0"/>
            <w:tcW w:w="3627" w:type="dxa"/>
            <w:gridSpan w:val="2"/>
            <w:noWrap/>
            <w:hideMark/>
          </w:tcPr>
          <w:p w:rsidR="0028138C" w:rsidRPr="0028138C" w:rsidRDefault="0028138C" w:rsidP="0028138C">
            <w:pPr>
              <w:pStyle w:val="AERtabletextleft"/>
            </w:pPr>
            <w:r w:rsidRPr="0028138C">
              <w:t>Inflation indexation on opening RAB</w:t>
            </w:r>
          </w:p>
        </w:tc>
        <w:tc>
          <w:tcPr>
            <w:tcW w:w="1099"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132.8</w:t>
            </w:r>
          </w:p>
        </w:tc>
        <w:tc>
          <w:tcPr>
            <w:tcW w:w="1100"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236.1</w:t>
            </w:r>
          </w:p>
        </w:tc>
        <w:tc>
          <w:tcPr>
            <w:tcW w:w="1099"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322.9</w:t>
            </w:r>
          </w:p>
        </w:tc>
        <w:tc>
          <w:tcPr>
            <w:tcW w:w="1099"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191.6</w:t>
            </w:r>
          </w:p>
        </w:tc>
        <w:tc>
          <w:tcPr>
            <w:tcW w:w="1099"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285.5</w:t>
            </w:r>
          </w:p>
        </w:tc>
      </w:tr>
      <w:tr w:rsidR="0028138C" w:rsidRPr="0011410F" w:rsidTr="0028138C">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27" w:type="dxa"/>
            <w:gridSpan w:val="2"/>
            <w:noWrap/>
            <w:hideMark/>
          </w:tcPr>
          <w:p w:rsidR="0028138C" w:rsidRPr="0028138C" w:rsidRDefault="0028138C" w:rsidP="0028138C">
            <w:pPr>
              <w:pStyle w:val="AERtabletextleft"/>
            </w:pPr>
            <w:r w:rsidRPr="003750C0">
              <w:rPr>
                <w:rStyle w:val="AERtextitalic"/>
              </w:rPr>
              <w:t>Less:</w:t>
            </w:r>
            <w:r w:rsidRPr="0028138C">
              <w:t xml:space="preserve"> straight-line depreciation</w:t>
            </w:r>
          </w:p>
        </w:tc>
        <w:tc>
          <w:tcPr>
            <w:tcW w:w="1099"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262.3</w:t>
            </w:r>
          </w:p>
        </w:tc>
        <w:tc>
          <w:tcPr>
            <w:tcW w:w="1100"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308.6</w:t>
            </w:r>
          </w:p>
        </w:tc>
        <w:tc>
          <w:tcPr>
            <w:tcW w:w="1099"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371.2</w:t>
            </w:r>
          </w:p>
        </w:tc>
        <w:tc>
          <w:tcPr>
            <w:tcW w:w="1099"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435.2</w:t>
            </w:r>
          </w:p>
        </w:tc>
        <w:tc>
          <w:tcPr>
            <w:tcW w:w="1099"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448.0</w:t>
            </w:r>
          </w:p>
        </w:tc>
      </w:tr>
      <w:tr w:rsidR="0028138C" w:rsidRPr="00BF6286" w:rsidTr="0028138C">
        <w:trPr>
          <w:trHeight w:val="282"/>
        </w:trPr>
        <w:tc>
          <w:tcPr>
            <w:cnfStyle w:val="001000000000" w:firstRow="0" w:lastRow="0" w:firstColumn="1" w:lastColumn="0" w:oddVBand="0" w:evenVBand="0" w:oddHBand="0" w:evenHBand="0" w:firstRowFirstColumn="0" w:firstRowLastColumn="0" w:lastRowFirstColumn="0" w:lastRowLastColumn="0"/>
            <w:tcW w:w="3627" w:type="dxa"/>
            <w:gridSpan w:val="2"/>
            <w:noWrap/>
            <w:hideMark/>
          </w:tcPr>
          <w:p w:rsidR="0028138C" w:rsidRPr="00BF6286" w:rsidRDefault="0028138C" w:rsidP="00BF6286">
            <w:pPr>
              <w:pStyle w:val="AERtabletextleft"/>
              <w:rPr>
                <w:rStyle w:val="AERtextbold"/>
                <w:b w:val="0"/>
              </w:rPr>
            </w:pPr>
            <w:r w:rsidRPr="00BF6286">
              <w:rPr>
                <w:rStyle w:val="AERtextbold"/>
                <w:b w:val="0"/>
              </w:rPr>
              <w:t>Closing RAB</w:t>
            </w:r>
          </w:p>
        </w:tc>
        <w:tc>
          <w:tcPr>
            <w:tcW w:w="1099"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8297.8</w:t>
            </w:r>
          </w:p>
        </w:tc>
        <w:tc>
          <w:tcPr>
            <w:tcW w:w="1100"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9527.5</w:t>
            </w:r>
          </w:p>
        </w:tc>
        <w:tc>
          <w:tcPr>
            <w:tcW w:w="1099"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10867.4</w:t>
            </w:r>
          </w:p>
        </w:tc>
        <w:tc>
          <w:tcPr>
            <w:tcW w:w="1099"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11655.3</w:t>
            </w:r>
          </w:p>
        </w:tc>
        <w:tc>
          <w:tcPr>
            <w:tcW w:w="1099"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12147.7</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598" w:type="dxa"/>
            <w:noWrap/>
            <w:hideMark/>
          </w:tcPr>
          <w:p w:rsidR="0028138C" w:rsidRPr="0028138C" w:rsidRDefault="00C839CF" w:rsidP="00FB47DC">
            <w:pPr>
              <w:pStyle w:val="AERtabletextleft"/>
            </w:pPr>
            <w:r w:rsidRPr="00565550">
              <w:t xml:space="preserve">Difference between estimated and actual </w:t>
            </w:r>
            <w:r w:rsidRPr="00C839CF">
              <w:t>capex</w:t>
            </w:r>
            <w:r w:rsidR="00FB47DC">
              <w:t xml:space="preserve"> (1 July 2008 to 30 June 2009)</w:t>
            </w:r>
          </w:p>
        </w:tc>
        <w:tc>
          <w:tcPr>
            <w:tcW w:w="4426" w:type="dxa"/>
            <w:gridSpan w:val="5"/>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p>
        </w:tc>
        <w:tc>
          <w:tcPr>
            <w:tcW w:w="1099"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242.0</w:t>
            </w:r>
          </w:p>
        </w:tc>
      </w:tr>
      <w:tr w:rsidR="0028138C" w:rsidRPr="0011410F" w:rsidTr="0028138C">
        <w:trPr>
          <w:trHeight w:val="282"/>
        </w:trPr>
        <w:tc>
          <w:tcPr>
            <w:cnfStyle w:val="001000000000" w:firstRow="0" w:lastRow="0" w:firstColumn="1" w:lastColumn="0" w:oddVBand="0" w:evenVBand="0" w:oddHBand="0" w:evenHBand="0" w:firstRowFirstColumn="0" w:firstRowLastColumn="0" w:lastRowFirstColumn="0" w:lastRowLastColumn="0"/>
            <w:tcW w:w="3598" w:type="dxa"/>
            <w:noWrap/>
            <w:hideMark/>
          </w:tcPr>
          <w:p w:rsidR="0028138C" w:rsidRPr="0028138C" w:rsidRDefault="0028138C" w:rsidP="0028138C">
            <w:pPr>
              <w:pStyle w:val="AERtabletextleft"/>
            </w:pPr>
            <w:r w:rsidRPr="0028138C">
              <w:t>Return on difference for 2008–09 capex</w:t>
            </w:r>
          </w:p>
        </w:tc>
        <w:tc>
          <w:tcPr>
            <w:tcW w:w="2228" w:type="dxa"/>
            <w:gridSpan w:val="3"/>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p>
        </w:tc>
        <w:tc>
          <w:tcPr>
            <w:tcW w:w="1099" w:type="dxa"/>
            <w:noWrap/>
            <w:vAlign w:val="bottom"/>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p>
        </w:tc>
        <w:tc>
          <w:tcPr>
            <w:tcW w:w="1099" w:type="dxa"/>
            <w:noWrap/>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 </w:t>
            </w:r>
          </w:p>
        </w:tc>
        <w:tc>
          <w:tcPr>
            <w:tcW w:w="1099" w:type="dxa"/>
            <w:noWrap/>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14</w:t>
            </w:r>
            <w:r>
              <w:t>7.7</w:t>
            </w:r>
          </w:p>
        </w:tc>
      </w:tr>
      <w:tr w:rsidR="0011410F" w:rsidRPr="00BF6286" w:rsidTr="0028138C">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598" w:type="dxa"/>
            <w:noWrap/>
            <w:hideMark/>
          </w:tcPr>
          <w:p w:rsidR="0011410F" w:rsidRPr="00BF6286" w:rsidRDefault="0011410F" w:rsidP="00BF6286">
            <w:pPr>
              <w:pStyle w:val="AERtabletextleft"/>
              <w:rPr>
                <w:rStyle w:val="AERtextbold"/>
                <w:b w:val="0"/>
              </w:rPr>
            </w:pPr>
            <w:r w:rsidRPr="00BF6286">
              <w:rPr>
                <w:rStyle w:val="AERtextbold"/>
                <w:b w:val="0"/>
              </w:rPr>
              <w:t>Closing RAB as at 30 June 2014</w:t>
            </w:r>
          </w:p>
        </w:tc>
        <w:tc>
          <w:tcPr>
            <w:tcW w:w="1128" w:type="dxa"/>
            <w:gridSpan w:val="2"/>
          </w:tcPr>
          <w:p w:rsidR="0011410F" w:rsidRPr="00BF6286" w:rsidRDefault="0011410F"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p>
        </w:tc>
        <w:tc>
          <w:tcPr>
            <w:tcW w:w="1100" w:type="dxa"/>
            <w:noWrap/>
            <w:hideMark/>
          </w:tcPr>
          <w:p w:rsidR="0011410F" w:rsidRPr="00BF6286" w:rsidRDefault="0011410F"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F6286">
              <w:rPr>
                <w:rStyle w:val="AERtextbold"/>
                <w:b w:val="0"/>
              </w:rPr>
              <w:t> </w:t>
            </w:r>
          </w:p>
        </w:tc>
        <w:tc>
          <w:tcPr>
            <w:tcW w:w="1099" w:type="dxa"/>
            <w:noWrap/>
            <w:hideMark/>
          </w:tcPr>
          <w:p w:rsidR="0011410F" w:rsidRPr="00BF6286" w:rsidRDefault="0011410F"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F6286">
              <w:rPr>
                <w:rStyle w:val="AERtextbold"/>
                <w:b w:val="0"/>
              </w:rPr>
              <w:t> </w:t>
            </w:r>
          </w:p>
        </w:tc>
        <w:tc>
          <w:tcPr>
            <w:tcW w:w="1099" w:type="dxa"/>
            <w:noWrap/>
            <w:hideMark/>
          </w:tcPr>
          <w:p w:rsidR="0011410F" w:rsidRPr="00BF6286" w:rsidRDefault="0011410F"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F6286">
              <w:rPr>
                <w:rStyle w:val="AERtextbold"/>
                <w:b w:val="0"/>
              </w:rPr>
              <w:t> </w:t>
            </w:r>
          </w:p>
        </w:tc>
        <w:tc>
          <w:tcPr>
            <w:tcW w:w="1099" w:type="dxa"/>
            <w:noWrap/>
            <w:hideMark/>
          </w:tcPr>
          <w:p w:rsidR="0011410F" w:rsidRPr="00BF6286" w:rsidRDefault="0028138C"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F6286">
              <w:rPr>
                <w:rStyle w:val="AERtextbold"/>
                <w:b w:val="0"/>
              </w:rPr>
              <w:t>12537.4</w:t>
            </w:r>
          </w:p>
        </w:tc>
      </w:tr>
      <w:tr w:rsidR="007C7EAA" w:rsidRPr="0028138C" w:rsidTr="00813287">
        <w:trPr>
          <w:trHeight w:val="282"/>
        </w:trPr>
        <w:tc>
          <w:tcPr>
            <w:cnfStyle w:val="001000000000" w:firstRow="0" w:lastRow="0" w:firstColumn="1" w:lastColumn="0" w:oddVBand="0" w:evenVBand="0" w:oddHBand="0" w:evenHBand="0" w:firstRowFirstColumn="0" w:firstRowLastColumn="0" w:lastRowFirstColumn="0" w:lastRowLastColumn="0"/>
            <w:tcW w:w="3598" w:type="dxa"/>
            <w:noWrap/>
          </w:tcPr>
          <w:p w:rsidR="007C7EAA" w:rsidRPr="00FB47DC" w:rsidRDefault="007C7EAA" w:rsidP="00FB47DC">
            <w:pPr>
              <w:pStyle w:val="AERtabletextleft"/>
              <w:rPr>
                <w:rStyle w:val="AERtextbold"/>
                <w:b w:val="0"/>
              </w:rPr>
            </w:pPr>
            <w:r w:rsidRPr="00FB47DC">
              <w:rPr>
                <w:rStyle w:val="AERtextbold"/>
                <w:b w:val="0"/>
              </w:rPr>
              <w:t xml:space="preserve">Meters moved to </w:t>
            </w:r>
            <w:r w:rsidR="00FB47DC" w:rsidRPr="00EB5AC8">
              <w:rPr>
                <w:rStyle w:val="AERtextbold"/>
                <w:b w:val="0"/>
              </w:rPr>
              <w:t>alternative control services</w:t>
            </w:r>
          </w:p>
        </w:tc>
        <w:tc>
          <w:tcPr>
            <w:tcW w:w="1128" w:type="dxa"/>
            <w:gridSpan w:val="2"/>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00" w:type="dxa"/>
            <w:noWrap/>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99" w:type="dxa"/>
            <w:noWrap/>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99" w:type="dxa"/>
            <w:noWrap/>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99" w:type="dxa"/>
            <w:noWrap/>
            <w:vAlign w:val="bottom"/>
          </w:tcPr>
          <w:p w:rsidR="007C7EAA" w:rsidRPr="007C7EAA" w:rsidRDefault="001333D9" w:rsidP="00890FA6">
            <w:pPr>
              <w:pStyle w:val="AERtabletextright"/>
              <w:cnfStyle w:val="000000000000" w:firstRow="0" w:lastRow="0" w:firstColumn="0" w:lastColumn="0" w:oddVBand="0" w:evenVBand="0" w:oddHBand="0" w:evenHBand="0" w:firstRowFirstColumn="0" w:firstRowLastColumn="0" w:lastRowFirstColumn="0" w:lastRowLastColumn="0"/>
            </w:pPr>
            <w:r>
              <w:t>–</w:t>
            </w:r>
            <w:r w:rsidR="007C7EAA" w:rsidRPr="007C7EAA">
              <w:t>2</w:t>
            </w:r>
            <w:r w:rsidR="00890FA6">
              <w:t>60.8</w:t>
            </w:r>
          </w:p>
        </w:tc>
      </w:tr>
      <w:tr w:rsidR="00890FA6" w:rsidRPr="0028138C" w:rsidTr="00813287">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598" w:type="dxa"/>
            <w:noWrap/>
          </w:tcPr>
          <w:p w:rsidR="00890FA6" w:rsidRPr="00380F49" w:rsidRDefault="008F36EA" w:rsidP="00380F49">
            <w:pPr>
              <w:pStyle w:val="AERtabletextleft"/>
              <w:rPr>
                <w:rStyle w:val="AERtextbold"/>
                <w:b w:val="0"/>
              </w:rPr>
            </w:pPr>
            <w:r w:rsidRPr="0016173D">
              <w:rPr>
                <w:rStyle w:val="AERtextbold"/>
                <w:b w:val="0"/>
              </w:rPr>
              <w:t>Dual function</w:t>
            </w:r>
            <w:r w:rsidR="00890FA6" w:rsidRPr="00380F49">
              <w:rPr>
                <w:rStyle w:val="AERtextbold"/>
                <w:b w:val="0"/>
              </w:rPr>
              <w:t xml:space="preserve"> assets</w:t>
            </w:r>
            <w:r w:rsidR="00D80BC1" w:rsidRPr="00380F49">
              <w:rPr>
                <w:rStyle w:val="AERtextbold"/>
                <w:b w:val="0"/>
              </w:rPr>
              <w:t xml:space="preserve"> mov</w:t>
            </w:r>
            <w:r w:rsidRPr="0016173D">
              <w:rPr>
                <w:rStyle w:val="AERtextbold"/>
                <w:b w:val="0"/>
              </w:rPr>
              <w:t>ed</w:t>
            </w:r>
            <w:r w:rsidR="00D80BC1" w:rsidRPr="00380F49">
              <w:rPr>
                <w:rStyle w:val="AERtextbold"/>
                <w:b w:val="0"/>
              </w:rPr>
              <w:t xml:space="preserve"> </w:t>
            </w:r>
            <w:r w:rsidR="00380F49" w:rsidRPr="0016173D">
              <w:rPr>
                <w:rStyle w:val="AERtextbold"/>
                <w:b w:val="0"/>
              </w:rPr>
              <w:t xml:space="preserve">from transmission </w:t>
            </w:r>
            <w:r w:rsidR="00D80BC1" w:rsidRPr="00380F49">
              <w:rPr>
                <w:rStyle w:val="AERtextbold"/>
                <w:b w:val="0"/>
              </w:rPr>
              <w:t xml:space="preserve">to distribution </w:t>
            </w:r>
          </w:p>
        </w:tc>
        <w:tc>
          <w:tcPr>
            <w:tcW w:w="1128" w:type="dxa"/>
            <w:gridSpan w:val="2"/>
          </w:tcPr>
          <w:p w:rsidR="00890FA6" w:rsidRPr="007C7EAA" w:rsidRDefault="00890FA6"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00" w:type="dxa"/>
            <w:noWrap/>
          </w:tcPr>
          <w:p w:rsidR="00890FA6" w:rsidRPr="007C7EAA" w:rsidRDefault="00890FA6"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99" w:type="dxa"/>
            <w:noWrap/>
          </w:tcPr>
          <w:p w:rsidR="00890FA6" w:rsidRPr="007C7EAA" w:rsidRDefault="00890FA6"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99" w:type="dxa"/>
            <w:noWrap/>
          </w:tcPr>
          <w:p w:rsidR="00890FA6" w:rsidRPr="007C7EAA" w:rsidRDefault="00890FA6"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99" w:type="dxa"/>
            <w:noWrap/>
            <w:vAlign w:val="bottom"/>
          </w:tcPr>
          <w:p w:rsidR="00890FA6" w:rsidRDefault="00890FA6" w:rsidP="00890FA6">
            <w:pPr>
              <w:pStyle w:val="AERtabletextright"/>
              <w:cnfStyle w:val="000000010000" w:firstRow="0" w:lastRow="0" w:firstColumn="0" w:lastColumn="0" w:oddVBand="0" w:evenVBand="0" w:oddHBand="0" w:evenHBand="1" w:firstRowFirstColumn="0" w:firstRowLastColumn="0" w:lastRowFirstColumn="0" w:lastRowLastColumn="0"/>
            </w:pPr>
            <w:r>
              <w:t>3.2</w:t>
            </w:r>
          </w:p>
        </w:tc>
      </w:tr>
      <w:tr w:rsidR="007C7EAA" w:rsidRPr="0028138C" w:rsidTr="00813287">
        <w:trPr>
          <w:trHeight w:val="282"/>
        </w:trPr>
        <w:tc>
          <w:tcPr>
            <w:cnfStyle w:val="001000000000" w:firstRow="0" w:lastRow="0" w:firstColumn="1" w:lastColumn="0" w:oddVBand="0" w:evenVBand="0" w:oddHBand="0" w:evenHBand="0" w:firstRowFirstColumn="0" w:firstRowLastColumn="0" w:lastRowFirstColumn="0" w:lastRowLastColumn="0"/>
            <w:tcW w:w="3598" w:type="dxa"/>
            <w:noWrap/>
          </w:tcPr>
          <w:p w:rsidR="007C7EAA" w:rsidRPr="007C7EAA" w:rsidRDefault="007C7EAA" w:rsidP="007C7EAA">
            <w:pPr>
              <w:pStyle w:val="AERtabletextleft"/>
              <w:rPr>
                <w:rStyle w:val="AERtextbold"/>
              </w:rPr>
            </w:pPr>
            <w:r w:rsidRPr="007C7EAA">
              <w:rPr>
                <w:rStyle w:val="AERtextbold"/>
              </w:rPr>
              <w:t>Opening RAB as at 1 July 2014</w:t>
            </w:r>
          </w:p>
        </w:tc>
        <w:tc>
          <w:tcPr>
            <w:tcW w:w="1128" w:type="dxa"/>
            <w:gridSpan w:val="2"/>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00" w:type="dxa"/>
            <w:noWrap/>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99" w:type="dxa"/>
            <w:noWrap/>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99" w:type="dxa"/>
            <w:noWrap/>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099" w:type="dxa"/>
            <w:noWrap/>
            <w:vAlign w:val="bottom"/>
          </w:tcPr>
          <w:p w:rsidR="007C7EAA" w:rsidRPr="007C7EAA" w:rsidRDefault="00BF6286"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12</w:t>
            </w:r>
            <w:r w:rsidR="007C7EAA" w:rsidRPr="007C7EAA">
              <w:rPr>
                <w:rStyle w:val="AERtextbold"/>
              </w:rPr>
              <w:t>279.8</w:t>
            </w:r>
          </w:p>
        </w:tc>
      </w:tr>
    </w:tbl>
    <w:p w:rsidR="004132A9" w:rsidRPr="00F41773" w:rsidRDefault="005F0C76" w:rsidP="00E542A1">
      <w:pPr>
        <w:pStyle w:val="AERtablesource"/>
        <w:rPr>
          <w:rStyle w:val="AERtexthighlight"/>
          <w:shd w:val="clear" w:color="auto" w:fill="auto"/>
        </w:rPr>
      </w:pPr>
      <w:r w:rsidRPr="00F41773">
        <w:rPr>
          <w:rStyle w:val="AERtexthighlight"/>
          <w:shd w:val="clear" w:color="auto" w:fill="auto"/>
        </w:rPr>
        <w:t>Source:</w:t>
      </w:r>
      <w:r w:rsidRPr="00F41773">
        <w:rPr>
          <w:rStyle w:val="AERtexthighlight"/>
          <w:shd w:val="clear" w:color="auto" w:fill="auto"/>
        </w:rPr>
        <w:tab/>
      </w:r>
      <w:r w:rsidR="00F41773" w:rsidRPr="00F41773">
        <w:rPr>
          <w:rStyle w:val="AERtexthighlight"/>
          <w:shd w:val="clear" w:color="auto" w:fill="auto"/>
        </w:rPr>
        <w:t xml:space="preserve">Ausgrid, </w:t>
      </w:r>
      <w:r w:rsidR="00F41773" w:rsidRPr="00F41773">
        <w:rPr>
          <w:rStyle w:val="AERtextitalic"/>
        </w:rPr>
        <w:t>Regulatory proposal</w:t>
      </w:r>
      <w:r w:rsidR="00F41773" w:rsidRPr="00F41773">
        <w:rPr>
          <w:rStyle w:val="AERtexthighlight"/>
          <w:shd w:val="clear" w:color="auto" w:fill="auto"/>
        </w:rPr>
        <w:t xml:space="preserve">, May 2014, </w:t>
      </w:r>
      <w:r w:rsidR="006F6035" w:rsidRPr="006F6035">
        <w:rPr>
          <w:rStyle w:val="AERtexthighlight"/>
          <w:shd w:val="clear" w:color="auto" w:fill="auto"/>
        </w:rPr>
        <w:t>Attachment 4.0</w:t>
      </w:r>
      <w:r w:rsidR="006F6035" w:rsidRPr="00E542A1">
        <w:rPr>
          <w:rStyle w:val="AERtexthighlight"/>
          <w:shd w:val="clear" w:color="auto" w:fill="auto"/>
        </w:rPr>
        <w:t>3</w:t>
      </w:r>
      <w:r w:rsidR="00F41773" w:rsidRPr="00E542A1">
        <w:rPr>
          <w:rStyle w:val="AERtexthighlight"/>
          <w:shd w:val="clear" w:color="auto" w:fill="auto"/>
        </w:rPr>
        <w:t>.</w:t>
      </w:r>
    </w:p>
    <w:p w:rsidR="00F41773" w:rsidRDefault="00F41773" w:rsidP="00F41773">
      <w:pPr>
        <w:pStyle w:val="AERtablesource"/>
      </w:pPr>
      <w:r>
        <w:t>(a)</w:t>
      </w:r>
      <w:r w:rsidR="00295142">
        <w:t>:</w:t>
      </w:r>
      <w:r>
        <w:tab/>
      </w:r>
      <w:r w:rsidRPr="00F41773">
        <w:t xml:space="preserve">Based on estimated capex. </w:t>
      </w:r>
    </w:p>
    <w:p w:rsidR="00F41773" w:rsidRDefault="00F41773" w:rsidP="00F41773">
      <w:pPr>
        <w:pStyle w:val="AERtablesource"/>
      </w:pPr>
      <w:r>
        <w:t>(b)</w:t>
      </w:r>
      <w:r w:rsidR="00295142">
        <w:t>:</w:t>
      </w:r>
      <w:r>
        <w:tab/>
      </w:r>
      <w:r w:rsidRPr="00F41773">
        <w:t>Net of disposals and capital contributions</w:t>
      </w:r>
      <w:r w:rsidR="00D80BC1">
        <w:t>, and adjusted for CPI</w:t>
      </w:r>
      <w:r w:rsidRPr="00F41773">
        <w:t>.</w:t>
      </w:r>
    </w:p>
    <w:p w:rsidR="00BF6286" w:rsidRDefault="00BF6286">
      <w:pPr>
        <w:rPr>
          <w:rFonts w:ascii="Gautami" w:hAnsi="Gautami"/>
          <w:b/>
          <w:bCs/>
          <w:sz w:val="20"/>
          <w:szCs w:val="18"/>
          <w:lang w:eastAsia="en-US"/>
        </w:rPr>
      </w:pPr>
      <w:bookmarkStart w:id="17" w:name="_Ref392854644"/>
      <w:r>
        <w:br w:type="page"/>
      </w:r>
    </w:p>
    <w:p w:rsidR="004132A9" w:rsidRPr="004132A9" w:rsidRDefault="004132A9" w:rsidP="004132A9">
      <w:pPr>
        <w:pStyle w:val="Caption"/>
      </w:pPr>
      <w:bookmarkStart w:id="18" w:name="_Ref404633237"/>
      <w:bookmarkStart w:id="19" w:name="_GoBack"/>
      <w:bookmarkEnd w:id="19"/>
      <w:r>
        <w:lastRenderedPageBreak/>
        <w:t xml:space="preserve">Table </w:t>
      </w:r>
      <w:r w:rsidR="00AD3FDB">
        <w:fldChar w:fldCharType="begin"/>
      </w:r>
      <w:r w:rsidR="00AD3FDB">
        <w:instrText xml:space="preserve"> STYLEREF 1 \s </w:instrText>
      </w:r>
      <w:r w:rsidR="00AD3FDB">
        <w:fldChar w:fldCharType="separate"/>
      </w:r>
      <w:r w:rsidR="002879BA">
        <w:rPr>
          <w:noProof/>
        </w:rPr>
        <w:t>2</w:t>
      </w:r>
      <w:r w:rsidR="00AD3FDB">
        <w:rPr>
          <w:noProof/>
        </w:rPr>
        <w:fldChar w:fldCharType="end"/>
      </w:r>
      <w:r w:rsidR="002879BA">
        <w:noBreakHyphen/>
      </w:r>
      <w:r w:rsidR="00AD3FDB">
        <w:fldChar w:fldCharType="begin"/>
      </w:r>
      <w:r w:rsidR="00AD3FDB">
        <w:instrText xml:space="preserve"> SEQ Table \* ARABIC \s 1 </w:instrText>
      </w:r>
      <w:r w:rsidR="00AD3FDB">
        <w:fldChar w:fldCharType="separate"/>
      </w:r>
      <w:r w:rsidR="002879BA">
        <w:rPr>
          <w:noProof/>
        </w:rPr>
        <w:t>6</w:t>
      </w:r>
      <w:r w:rsidR="00AD3FDB">
        <w:rPr>
          <w:noProof/>
        </w:rPr>
        <w:fldChar w:fldCharType="end"/>
      </w:r>
      <w:bookmarkEnd w:id="17"/>
      <w:bookmarkEnd w:id="18"/>
      <w:r>
        <w:tab/>
        <w:t>Ausg</w:t>
      </w:r>
      <w:r w:rsidRPr="004132A9">
        <w:t>rid's proposed RAB for the 2009–14 regulatory control period ($</w:t>
      </w:r>
      <w:r w:rsidR="0094492C">
        <w:t xml:space="preserve"> </w:t>
      </w:r>
      <w:r w:rsidRPr="004132A9">
        <w:t>million, nominal)</w:t>
      </w:r>
      <w:r>
        <w:t xml:space="preserve"> </w:t>
      </w:r>
      <w:r w:rsidR="00D80BC1">
        <w:t>–</w:t>
      </w:r>
      <w:r>
        <w:t xml:space="preserve"> transmission</w:t>
      </w:r>
    </w:p>
    <w:tbl>
      <w:tblPr>
        <w:tblStyle w:val="AERtable-numbers"/>
        <w:tblW w:w="9143" w:type="dxa"/>
        <w:tblLook w:val="04A0" w:firstRow="1" w:lastRow="0" w:firstColumn="1" w:lastColumn="0" w:noHBand="0" w:noVBand="1"/>
      </w:tblPr>
      <w:tblGrid>
        <w:gridCol w:w="3638"/>
        <w:gridCol w:w="1101"/>
        <w:gridCol w:w="1101"/>
        <w:gridCol w:w="1101"/>
        <w:gridCol w:w="1101"/>
        <w:gridCol w:w="1101"/>
      </w:tblGrid>
      <w:tr w:rsidR="0011410F" w:rsidRPr="0011410F" w:rsidTr="0011410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11410F" w:rsidRPr="0011410F" w:rsidRDefault="0011410F" w:rsidP="0011410F">
            <w:pPr>
              <w:pStyle w:val="AERtabletextleft"/>
            </w:pPr>
            <w:r w:rsidRPr="0011410F">
              <w:t> </w:t>
            </w:r>
          </w:p>
        </w:tc>
        <w:tc>
          <w:tcPr>
            <w:tcW w:w="1101"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2009–10</w:t>
            </w:r>
          </w:p>
        </w:tc>
        <w:tc>
          <w:tcPr>
            <w:tcW w:w="1101"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2010–11</w:t>
            </w:r>
          </w:p>
        </w:tc>
        <w:tc>
          <w:tcPr>
            <w:tcW w:w="1101"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2011–12</w:t>
            </w:r>
          </w:p>
        </w:tc>
        <w:tc>
          <w:tcPr>
            <w:tcW w:w="1101"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2012–13</w:t>
            </w:r>
          </w:p>
        </w:tc>
        <w:tc>
          <w:tcPr>
            <w:tcW w:w="1101"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2013–14</w:t>
            </w:r>
            <w:r w:rsidR="006F6035" w:rsidRPr="006F6035">
              <w:rPr>
                <w:rStyle w:val="AERsuperscript"/>
              </w:rPr>
              <w:t>a</w:t>
            </w:r>
          </w:p>
        </w:tc>
      </w:tr>
      <w:tr w:rsidR="0028138C" w:rsidRPr="00BF6286" w:rsidTr="00C642D4">
        <w:trPr>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BF6286" w:rsidRDefault="0028138C" w:rsidP="00BF6286">
            <w:pPr>
              <w:pStyle w:val="AERtabletextleft"/>
              <w:rPr>
                <w:rStyle w:val="AERtextbold"/>
                <w:b w:val="0"/>
              </w:rPr>
            </w:pPr>
            <w:r w:rsidRPr="00BF6286">
              <w:rPr>
                <w:rStyle w:val="AERtextbold"/>
                <w:b w:val="0"/>
              </w:rPr>
              <w:t>Opening RAB</w:t>
            </w:r>
          </w:p>
        </w:tc>
        <w:tc>
          <w:tcPr>
            <w:tcW w:w="1101"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1028.5</w:t>
            </w:r>
          </w:p>
        </w:tc>
        <w:tc>
          <w:tcPr>
            <w:tcW w:w="1101"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1264.2</w:t>
            </w:r>
          </w:p>
        </w:tc>
        <w:tc>
          <w:tcPr>
            <w:tcW w:w="1101"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1545.0</w:t>
            </w:r>
          </w:p>
        </w:tc>
        <w:tc>
          <w:tcPr>
            <w:tcW w:w="1101"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1862.9</w:t>
            </w:r>
          </w:p>
        </w:tc>
        <w:tc>
          <w:tcPr>
            <w:tcW w:w="1101"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2062.9</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28138C" w:rsidRDefault="0028138C" w:rsidP="006F6035">
            <w:pPr>
              <w:pStyle w:val="AERtabletextleft"/>
            </w:pPr>
            <w:r w:rsidRPr="0028138C">
              <w:t xml:space="preserve">Capital </w:t>
            </w:r>
            <w:proofErr w:type="spellStart"/>
            <w:r w:rsidRPr="0028138C">
              <w:t>expenditure</w:t>
            </w:r>
            <w:r w:rsidR="006F6035" w:rsidRPr="006F6035">
              <w:rPr>
                <w:rStyle w:val="AERsuperscript"/>
              </w:rPr>
              <w:t>b</w:t>
            </w:r>
            <w:proofErr w:type="spellEnd"/>
          </w:p>
        </w:tc>
        <w:tc>
          <w:tcPr>
            <w:tcW w:w="1101"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235.5</w:t>
            </w:r>
          </w:p>
        </w:tc>
        <w:tc>
          <w:tcPr>
            <w:tcW w:w="1101"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276.1</w:t>
            </w:r>
          </w:p>
        </w:tc>
        <w:tc>
          <w:tcPr>
            <w:tcW w:w="1101"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340.3</w:t>
            </w:r>
          </w:p>
        </w:tc>
        <w:tc>
          <w:tcPr>
            <w:tcW w:w="1101"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211.9</w:t>
            </w:r>
          </w:p>
        </w:tc>
        <w:tc>
          <w:tcPr>
            <w:tcW w:w="1101"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150.0</w:t>
            </w:r>
          </w:p>
        </w:tc>
      </w:tr>
      <w:tr w:rsidR="0028138C" w:rsidRPr="0011410F" w:rsidTr="00C642D4">
        <w:trPr>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28138C" w:rsidRDefault="0028138C" w:rsidP="0028138C">
            <w:pPr>
              <w:pStyle w:val="AERtabletextleft"/>
            </w:pPr>
            <w:r w:rsidRPr="0028138C">
              <w:t>Inflation indexation on opening RAB</w:t>
            </w:r>
          </w:p>
        </w:tc>
        <w:tc>
          <w:tcPr>
            <w:tcW w:w="1101"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29.7</w:t>
            </w:r>
          </w:p>
        </w:tc>
        <w:tc>
          <w:tcPr>
            <w:tcW w:w="1101"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42.1</w:t>
            </w:r>
          </w:p>
        </w:tc>
        <w:tc>
          <w:tcPr>
            <w:tcW w:w="1101"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25.1</w:t>
            </w:r>
          </w:p>
        </w:tc>
        <w:tc>
          <w:tcPr>
            <w:tcW w:w="1101"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46.6</w:t>
            </w:r>
          </w:p>
        </w:tc>
        <w:tc>
          <w:tcPr>
            <w:tcW w:w="1101"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51.6</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28138C" w:rsidRDefault="0028138C" w:rsidP="0028138C">
            <w:pPr>
              <w:pStyle w:val="AERtabletextleft"/>
            </w:pPr>
            <w:r w:rsidRPr="003750C0">
              <w:rPr>
                <w:rStyle w:val="AERtextitalic"/>
              </w:rPr>
              <w:t>Less:</w:t>
            </w:r>
            <w:r w:rsidRPr="0028138C">
              <w:t xml:space="preserve"> straight-line depreciation</w:t>
            </w:r>
          </w:p>
        </w:tc>
        <w:tc>
          <w:tcPr>
            <w:tcW w:w="1101"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29.5</w:t>
            </w:r>
          </w:p>
        </w:tc>
        <w:tc>
          <w:tcPr>
            <w:tcW w:w="1101"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37.5</w:t>
            </w:r>
          </w:p>
        </w:tc>
        <w:tc>
          <w:tcPr>
            <w:tcW w:w="1101"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47.5</w:t>
            </w:r>
          </w:p>
        </w:tc>
        <w:tc>
          <w:tcPr>
            <w:tcW w:w="1101"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58.6</w:t>
            </w:r>
          </w:p>
        </w:tc>
        <w:tc>
          <w:tcPr>
            <w:tcW w:w="1101"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63.3</w:t>
            </w:r>
          </w:p>
        </w:tc>
      </w:tr>
      <w:tr w:rsidR="0028138C" w:rsidRPr="00BF6286" w:rsidTr="00C642D4">
        <w:trPr>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BF6286" w:rsidRDefault="0028138C" w:rsidP="00BF6286">
            <w:pPr>
              <w:pStyle w:val="AERtabletextleft"/>
              <w:rPr>
                <w:rStyle w:val="AERtextbold"/>
                <w:b w:val="0"/>
              </w:rPr>
            </w:pPr>
            <w:r w:rsidRPr="00BF6286">
              <w:rPr>
                <w:rStyle w:val="AERtextbold"/>
                <w:b w:val="0"/>
              </w:rPr>
              <w:t>Closing RAB</w:t>
            </w:r>
          </w:p>
        </w:tc>
        <w:tc>
          <w:tcPr>
            <w:tcW w:w="1101"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1264.2</w:t>
            </w:r>
          </w:p>
        </w:tc>
        <w:tc>
          <w:tcPr>
            <w:tcW w:w="1101"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1545.0</w:t>
            </w:r>
          </w:p>
        </w:tc>
        <w:tc>
          <w:tcPr>
            <w:tcW w:w="1101"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1862.9</w:t>
            </w:r>
          </w:p>
        </w:tc>
        <w:tc>
          <w:tcPr>
            <w:tcW w:w="1101"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2062.9</w:t>
            </w:r>
          </w:p>
        </w:tc>
        <w:tc>
          <w:tcPr>
            <w:tcW w:w="1101"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2201.2</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28138C" w:rsidRDefault="00C839CF" w:rsidP="00D80BC1">
            <w:pPr>
              <w:pStyle w:val="AERtabletextleft"/>
            </w:pPr>
            <w:r w:rsidRPr="00565550">
              <w:t xml:space="preserve">Difference between estimated and actual </w:t>
            </w:r>
            <w:r w:rsidRPr="00C839CF">
              <w:t>capex</w:t>
            </w:r>
            <w:r w:rsidR="00D80BC1">
              <w:t xml:space="preserve"> (1 July 2008 and 30 June 2009)</w:t>
            </w:r>
          </w:p>
        </w:tc>
        <w:tc>
          <w:tcPr>
            <w:tcW w:w="4404" w:type="dxa"/>
            <w:gridSpan w:val="4"/>
            <w:vAlign w:val="bottom"/>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 </w:t>
            </w:r>
          </w:p>
        </w:tc>
        <w:tc>
          <w:tcPr>
            <w:tcW w:w="1101" w:type="dxa"/>
            <w:noWrap/>
            <w:vAlign w:val="bottom"/>
            <w:hideMark/>
          </w:tcPr>
          <w:p w:rsidR="0028138C" w:rsidRPr="0028138C" w:rsidRDefault="009809B9" w:rsidP="0028138C">
            <w:pPr>
              <w:pStyle w:val="AERtabletextright"/>
              <w:cnfStyle w:val="000000010000" w:firstRow="0" w:lastRow="0" w:firstColumn="0" w:lastColumn="0" w:oddVBand="0" w:evenVBand="0" w:oddHBand="0" w:evenHBand="1" w:firstRowFirstColumn="0" w:firstRowLastColumn="0" w:lastRowFirstColumn="0" w:lastRowLastColumn="0"/>
            </w:pPr>
            <w:r>
              <w:t>–</w:t>
            </w:r>
            <w:r w:rsidR="0028138C" w:rsidRPr="0028138C">
              <w:t>66.1</w:t>
            </w:r>
          </w:p>
        </w:tc>
      </w:tr>
      <w:tr w:rsidR="0028138C" w:rsidRPr="0011410F" w:rsidTr="0028138C">
        <w:trPr>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28138C" w:rsidRDefault="0028138C" w:rsidP="0028138C">
            <w:pPr>
              <w:pStyle w:val="AERtabletextleft"/>
            </w:pPr>
            <w:r w:rsidRPr="0028138C">
              <w:t>Return on difference for 2008–09 capex</w:t>
            </w:r>
          </w:p>
        </w:tc>
        <w:tc>
          <w:tcPr>
            <w:tcW w:w="2202" w:type="dxa"/>
            <w:gridSpan w:val="2"/>
            <w:vAlign w:val="bottom"/>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 </w:t>
            </w:r>
          </w:p>
        </w:tc>
        <w:tc>
          <w:tcPr>
            <w:tcW w:w="1101" w:type="dxa"/>
            <w:noWrap/>
            <w:vAlign w:val="bottom"/>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p>
        </w:tc>
        <w:tc>
          <w:tcPr>
            <w:tcW w:w="1101"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 </w:t>
            </w:r>
          </w:p>
        </w:tc>
        <w:tc>
          <w:tcPr>
            <w:tcW w:w="1101" w:type="dxa"/>
            <w:noWrap/>
            <w:vAlign w:val="bottom"/>
            <w:hideMark/>
          </w:tcPr>
          <w:p w:rsidR="0028138C" w:rsidRPr="0028138C" w:rsidRDefault="009809B9" w:rsidP="0028138C">
            <w:pPr>
              <w:pStyle w:val="AERtabletextright"/>
              <w:cnfStyle w:val="000000000000" w:firstRow="0" w:lastRow="0" w:firstColumn="0" w:lastColumn="0" w:oddVBand="0" w:evenVBand="0" w:oddHBand="0" w:evenHBand="0" w:firstRowFirstColumn="0" w:firstRowLastColumn="0" w:lastRowFirstColumn="0" w:lastRowLastColumn="0"/>
            </w:pPr>
            <w:r>
              <w:t>–</w:t>
            </w:r>
            <w:r w:rsidR="0028138C" w:rsidRPr="0028138C">
              <w:t>41.0</w:t>
            </w:r>
          </w:p>
        </w:tc>
      </w:tr>
      <w:tr w:rsidR="0028138C" w:rsidRPr="00BF6286" w:rsidTr="00C642D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BF6286" w:rsidRDefault="00890FA6" w:rsidP="00BF6286">
            <w:pPr>
              <w:pStyle w:val="AERtabletextleft"/>
              <w:rPr>
                <w:rStyle w:val="AERtextbold"/>
                <w:b w:val="0"/>
              </w:rPr>
            </w:pPr>
            <w:r w:rsidRPr="00BF6286">
              <w:rPr>
                <w:rStyle w:val="AERtextbold"/>
                <w:b w:val="0"/>
              </w:rPr>
              <w:t xml:space="preserve">Closing </w:t>
            </w:r>
            <w:r w:rsidR="0028138C" w:rsidRPr="00BF6286">
              <w:rPr>
                <w:rStyle w:val="AERtextbold"/>
                <w:b w:val="0"/>
              </w:rPr>
              <w:t xml:space="preserve">RAB as at </w:t>
            </w:r>
            <w:r w:rsidRPr="00BF6286">
              <w:rPr>
                <w:rStyle w:val="AERtextbold"/>
                <w:b w:val="0"/>
              </w:rPr>
              <w:t>30</w:t>
            </w:r>
            <w:r w:rsidR="0028138C" w:rsidRPr="00BF6286">
              <w:rPr>
                <w:rStyle w:val="AERtextbold"/>
                <w:b w:val="0"/>
              </w:rPr>
              <w:t xml:space="preserve"> Ju</w:t>
            </w:r>
            <w:r w:rsidRPr="00BF6286">
              <w:rPr>
                <w:rStyle w:val="AERtextbold"/>
                <w:b w:val="0"/>
              </w:rPr>
              <w:t>ne</w:t>
            </w:r>
            <w:r w:rsidR="0028138C" w:rsidRPr="00BF6286">
              <w:rPr>
                <w:rStyle w:val="AERtextbold"/>
                <w:b w:val="0"/>
              </w:rPr>
              <w:t xml:space="preserve"> 2014</w:t>
            </w:r>
          </w:p>
        </w:tc>
        <w:tc>
          <w:tcPr>
            <w:tcW w:w="1101" w:type="dxa"/>
            <w:vAlign w:val="bottom"/>
          </w:tcPr>
          <w:p w:rsidR="0028138C" w:rsidRPr="00BF6286" w:rsidRDefault="0028138C"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F6286">
              <w:rPr>
                <w:rStyle w:val="AERtextbold"/>
                <w:b w:val="0"/>
              </w:rPr>
              <w:t> </w:t>
            </w:r>
          </w:p>
        </w:tc>
        <w:tc>
          <w:tcPr>
            <w:tcW w:w="1101" w:type="dxa"/>
            <w:noWrap/>
            <w:vAlign w:val="bottom"/>
            <w:hideMark/>
          </w:tcPr>
          <w:p w:rsidR="0028138C" w:rsidRPr="00BF6286" w:rsidRDefault="0028138C"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F6286">
              <w:rPr>
                <w:rStyle w:val="AERtextbold"/>
                <w:b w:val="0"/>
              </w:rPr>
              <w:t> </w:t>
            </w:r>
          </w:p>
        </w:tc>
        <w:tc>
          <w:tcPr>
            <w:tcW w:w="1101" w:type="dxa"/>
            <w:noWrap/>
            <w:vAlign w:val="bottom"/>
            <w:hideMark/>
          </w:tcPr>
          <w:p w:rsidR="0028138C" w:rsidRPr="00BF6286" w:rsidRDefault="0028138C"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F6286">
              <w:rPr>
                <w:rStyle w:val="AERtextbold"/>
                <w:b w:val="0"/>
              </w:rPr>
              <w:t> </w:t>
            </w:r>
          </w:p>
        </w:tc>
        <w:tc>
          <w:tcPr>
            <w:tcW w:w="1101" w:type="dxa"/>
            <w:noWrap/>
            <w:vAlign w:val="bottom"/>
            <w:hideMark/>
          </w:tcPr>
          <w:p w:rsidR="0028138C" w:rsidRPr="00BF6286" w:rsidRDefault="0028138C"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F6286">
              <w:rPr>
                <w:rStyle w:val="AERtextbold"/>
                <w:b w:val="0"/>
              </w:rPr>
              <w:t> </w:t>
            </w:r>
          </w:p>
        </w:tc>
        <w:tc>
          <w:tcPr>
            <w:tcW w:w="1101" w:type="dxa"/>
            <w:noWrap/>
            <w:vAlign w:val="bottom"/>
            <w:hideMark/>
          </w:tcPr>
          <w:p w:rsidR="0028138C" w:rsidRPr="00BF6286" w:rsidRDefault="0028138C" w:rsidP="00BF6286">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F6286">
              <w:rPr>
                <w:rStyle w:val="AERtextbold"/>
                <w:b w:val="0"/>
              </w:rPr>
              <w:t>2094.1</w:t>
            </w:r>
          </w:p>
        </w:tc>
      </w:tr>
      <w:tr w:rsidR="00890FA6" w:rsidRPr="0028138C" w:rsidTr="00C642D4">
        <w:trPr>
          <w:trHeight w:val="284"/>
        </w:trPr>
        <w:tc>
          <w:tcPr>
            <w:cnfStyle w:val="001000000000" w:firstRow="0" w:lastRow="0" w:firstColumn="1" w:lastColumn="0" w:oddVBand="0" w:evenVBand="0" w:oddHBand="0" w:evenHBand="0" w:firstRowFirstColumn="0" w:firstRowLastColumn="0" w:lastRowFirstColumn="0" w:lastRowLastColumn="0"/>
            <w:tcW w:w="3638" w:type="dxa"/>
            <w:noWrap/>
          </w:tcPr>
          <w:p w:rsidR="00890FA6" w:rsidRPr="00380F49" w:rsidRDefault="00491544" w:rsidP="00380F49">
            <w:pPr>
              <w:pStyle w:val="AERtabletextleft"/>
              <w:rPr>
                <w:rStyle w:val="AERtextbold"/>
                <w:b w:val="0"/>
              </w:rPr>
            </w:pPr>
            <w:r w:rsidRPr="0016173D">
              <w:rPr>
                <w:rStyle w:val="AERtextbold"/>
                <w:b w:val="0"/>
              </w:rPr>
              <w:t xml:space="preserve">Dual function </w:t>
            </w:r>
            <w:r w:rsidR="00890FA6" w:rsidRPr="00380F49">
              <w:rPr>
                <w:rStyle w:val="AERtextbold"/>
                <w:b w:val="0"/>
              </w:rPr>
              <w:t xml:space="preserve"> assets</w:t>
            </w:r>
            <w:r w:rsidR="00D80BC1" w:rsidRPr="00380F49">
              <w:rPr>
                <w:rStyle w:val="AERtextbold"/>
                <w:b w:val="0"/>
              </w:rPr>
              <w:t xml:space="preserve"> mov</w:t>
            </w:r>
            <w:r w:rsidRPr="0016173D">
              <w:rPr>
                <w:rStyle w:val="AERtextbold"/>
                <w:b w:val="0"/>
              </w:rPr>
              <w:t>ed</w:t>
            </w:r>
            <w:r w:rsidR="00D80BC1" w:rsidRPr="00380F49">
              <w:rPr>
                <w:rStyle w:val="AERtextbold"/>
                <w:b w:val="0"/>
              </w:rPr>
              <w:t xml:space="preserve"> from transmission</w:t>
            </w:r>
            <w:r w:rsidR="00380F49" w:rsidRPr="0016173D">
              <w:rPr>
                <w:rStyle w:val="AERtextbold"/>
                <w:b w:val="0"/>
              </w:rPr>
              <w:t xml:space="preserve"> to distribution</w:t>
            </w:r>
          </w:p>
        </w:tc>
        <w:tc>
          <w:tcPr>
            <w:tcW w:w="1101" w:type="dxa"/>
            <w:vAlign w:val="bottom"/>
          </w:tcPr>
          <w:p w:rsidR="00890FA6" w:rsidRPr="0028138C" w:rsidRDefault="00890FA6" w:rsidP="0028138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01" w:type="dxa"/>
            <w:noWrap/>
            <w:vAlign w:val="bottom"/>
          </w:tcPr>
          <w:p w:rsidR="00890FA6" w:rsidRPr="0028138C" w:rsidRDefault="00890FA6" w:rsidP="0028138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01" w:type="dxa"/>
            <w:noWrap/>
            <w:vAlign w:val="bottom"/>
          </w:tcPr>
          <w:p w:rsidR="00890FA6" w:rsidRPr="0028138C" w:rsidRDefault="00890FA6" w:rsidP="0028138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01" w:type="dxa"/>
            <w:noWrap/>
            <w:vAlign w:val="bottom"/>
          </w:tcPr>
          <w:p w:rsidR="00890FA6" w:rsidRPr="0028138C" w:rsidRDefault="00890FA6" w:rsidP="0028138C">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01" w:type="dxa"/>
            <w:noWrap/>
            <w:vAlign w:val="bottom"/>
          </w:tcPr>
          <w:p w:rsidR="00890FA6" w:rsidRPr="00890FA6" w:rsidRDefault="00890FA6" w:rsidP="00890FA6">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890FA6">
              <w:rPr>
                <w:rStyle w:val="AERtextbold"/>
                <w:b w:val="0"/>
              </w:rPr>
              <w:t>–3.2</w:t>
            </w:r>
          </w:p>
        </w:tc>
      </w:tr>
      <w:tr w:rsidR="00890FA6" w:rsidRPr="0028138C" w:rsidTr="00C642D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38" w:type="dxa"/>
            <w:noWrap/>
          </w:tcPr>
          <w:p w:rsidR="00890FA6" w:rsidRPr="0028138C" w:rsidRDefault="00890FA6" w:rsidP="0028138C">
            <w:pPr>
              <w:pStyle w:val="AERtabletextleft"/>
              <w:rPr>
                <w:rStyle w:val="AERtextbold"/>
              </w:rPr>
            </w:pPr>
            <w:r w:rsidRPr="00890FA6">
              <w:rPr>
                <w:rStyle w:val="AERtextbold"/>
              </w:rPr>
              <w:t>Opening RAB as at 1 July 2014</w:t>
            </w:r>
          </w:p>
        </w:tc>
        <w:tc>
          <w:tcPr>
            <w:tcW w:w="1101" w:type="dxa"/>
            <w:vAlign w:val="bottom"/>
          </w:tcPr>
          <w:p w:rsidR="00890FA6" w:rsidRPr="0028138C" w:rsidRDefault="00890FA6" w:rsidP="0028138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01" w:type="dxa"/>
            <w:noWrap/>
            <w:vAlign w:val="bottom"/>
          </w:tcPr>
          <w:p w:rsidR="00890FA6" w:rsidRPr="0028138C" w:rsidRDefault="00890FA6" w:rsidP="0028138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01" w:type="dxa"/>
            <w:noWrap/>
            <w:vAlign w:val="bottom"/>
          </w:tcPr>
          <w:p w:rsidR="00890FA6" w:rsidRPr="0028138C" w:rsidRDefault="00890FA6" w:rsidP="0028138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01" w:type="dxa"/>
            <w:noWrap/>
            <w:vAlign w:val="bottom"/>
          </w:tcPr>
          <w:p w:rsidR="00890FA6" w:rsidRPr="0028138C" w:rsidRDefault="00890FA6" w:rsidP="0028138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01" w:type="dxa"/>
            <w:noWrap/>
            <w:vAlign w:val="bottom"/>
          </w:tcPr>
          <w:p w:rsidR="00890FA6" w:rsidRPr="0028138C" w:rsidRDefault="00BF6286" w:rsidP="0028138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2</w:t>
            </w:r>
            <w:r w:rsidR="00890FA6">
              <w:rPr>
                <w:rStyle w:val="AERtextbold"/>
              </w:rPr>
              <w:t>090.9</w:t>
            </w:r>
          </w:p>
        </w:tc>
      </w:tr>
    </w:tbl>
    <w:p w:rsidR="00C642D4" w:rsidRPr="00C642D4" w:rsidRDefault="00C642D4" w:rsidP="00FC0432">
      <w:pPr>
        <w:pStyle w:val="AERtablesource"/>
        <w:rPr>
          <w:rStyle w:val="AERtexthighlight"/>
          <w:shd w:val="clear" w:color="auto" w:fill="auto"/>
        </w:rPr>
      </w:pPr>
      <w:r w:rsidRPr="00C642D4">
        <w:rPr>
          <w:rStyle w:val="AERtexthighlight"/>
          <w:shd w:val="clear" w:color="auto" w:fill="auto"/>
        </w:rPr>
        <w:t>Source:</w:t>
      </w:r>
      <w:r w:rsidRPr="00C642D4">
        <w:rPr>
          <w:rStyle w:val="AERtexthighlight"/>
          <w:shd w:val="clear" w:color="auto" w:fill="auto"/>
        </w:rPr>
        <w:tab/>
        <w:t xml:space="preserve">Ausgrid, </w:t>
      </w:r>
      <w:r w:rsidRPr="00C642D4">
        <w:rPr>
          <w:rStyle w:val="AERtextitalic"/>
        </w:rPr>
        <w:t>Regulatory proposal</w:t>
      </w:r>
      <w:r w:rsidRPr="00C642D4">
        <w:rPr>
          <w:rStyle w:val="AERtexthighlight"/>
          <w:shd w:val="clear" w:color="auto" w:fill="auto"/>
        </w:rPr>
        <w:t xml:space="preserve">, May 2014, </w:t>
      </w:r>
      <w:r w:rsidR="006F6035" w:rsidRPr="006F6035">
        <w:rPr>
          <w:rStyle w:val="AERtexthighlight"/>
          <w:shd w:val="clear" w:color="auto" w:fill="auto"/>
        </w:rPr>
        <w:t>Attachment 4.0</w:t>
      </w:r>
      <w:r w:rsidR="006F6035" w:rsidRPr="00FC0432">
        <w:rPr>
          <w:rStyle w:val="AERtexthighlight"/>
          <w:shd w:val="clear" w:color="auto" w:fill="auto"/>
        </w:rPr>
        <w:t>4</w:t>
      </w:r>
      <w:r w:rsidRPr="00C642D4">
        <w:rPr>
          <w:rStyle w:val="AERtexthighlight"/>
          <w:shd w:val="clear" w:color="auto" w:fill="auto"/>
        </w:rPr>
        <w:t>.</w:t>
      </w:r>
    </w:p>
    <w:p w:rsidR="00C642D4" w:rsidRPr="00C642D4" w:rsidRDefault="00C642D4" w:rsidP="00C642D4">
      <w:pPr>
        <w:pStyle w:val="AERtablesource"/>
      </w:pPr>
      <w:r w:rsidRPr="00C642D4">
        <w:t>(a)</w:t>
      </w:r>
      <w:r w:rsidR="00295142">
        <w:t>:</w:t>
      </w:r>
      <w:r w:rsidRPr="00C642D4">
        <w:tab/>
        <w:t xml:space="preserve">Based on estimated capex. </w:t>
      </w:r>
    </w:p>
    <w:p w:rsidR="00D23605" w:rsidRPr="00D23605" w:rsidRDefault="00C642D4" w:rsidP="00D23605">
      <w:pPr>
        <w:pStyle w:val="AERtablesource"/>
        <w:rPr>
          <w:rStyle w:val="AERbody"/>
          <w:sz w:val="16"/>
        </w:rPr>
      </w:pPr>
      <w:r w:rsidRPr="00C642D4">
        <w:t>(b)</w:t>
      </w:r>
      <w:r w:rsidR="00295142">
        <w:t>:</w:t>
      </w:r>
      <w:r w:rsidRPr="00C642D4">
        <w:tab/>
        <w:t>Net of disposals and capital contributions</w:t>
      </w:r>
      <w:r w:rsidR="00D80BC1">
        <w:t>, and adjusted for CPI</w:t>
      </w:r>
      <w:r w:rsidR="00D23605">
        <w:t>.</w:t>
      </w:r>
    </w:p>
    <w:p w:rsidR="00B17F18" w:rsidRPr="00D23605" w:rsidRDefault="00861A28" w:rsidP="00D23605">
      <w:pPr>
        <w:pStyle w:val="AERbodytext"/>
        <w:rPr>
          <w:rStyle w:val="AERbody"/>
        </w:rPr>
      </w:pPr>
      <w:r w:rsidRPr="00D23605">
        <w:rPr>
          <w:rStyle w:val="AERbody"/>
        </w:rPr>
        <w:t>Ausgrid</w:t>
      </w:r>
      <w:r w:rsidR="00B17F18" w:rsidRPr="00D23605">
        <w:rPr>
          <w:rStyle w:val="AERbody"/>
        </w:rPr>
        <w:t xml:space="preserve"> proposed </w:t>
      </w:r>
      <w:r w:rsidR="001855E4">
        <w:rPr>
          <w:rStyle w:val="AERbody"/>
        </w:rPr>
        <w:t xml:space="preserve">forecast </w:t>
      </w:r>
      <w:r w:rsidR="00B17F18" w:rsidRPr="00D23605">
        <w:rPr>
          <w:rStyle w:val="AERbody"/>
        </w:rPr>
        <w:t>closing RAB</w:t>
      </w:r>
      <w:r w:rsidR="00D80BC1">
        <w:rPr>
          <w:rStyle w:val="AERbody"/>
        </w:rPr>
        <w:t>s</w:t>
      </w:r>
      <w:r w:rsidR="00B17F18" w:rsidRPr="00D23605">
        <w:rPr>
          <w:rStyle w:val="AERbody"/>
        </w:rPr>
        <w:t xml:space="preserve"> as at 30 June 2019 of $15 741</w:t>
      </w:r>
      <w:r w:rsidR="002B6F60">
        <w:rPr>
          <w:rStyle w:val="AERbody"/>
        </w:rPr>
        <w:t>.3</w:t>
      </w:r>
      <w:r w:rsidR="00B17F18" w:rsidRPr="00D23605">
        <w:rPr>
          <w:rStyle w:val="AERbody"/>
        </w:rPr>
        <w:t> million ($ nominal) and $</w:t>
      </w:r>
      <w:r w:rsidR="002B4AF4" w:rsidRPr="00D23605">
        <w:rPr>
          <w:rStyle w:val="AERbody"/>
        </w:rPr>
        <w:t>2 605</w:t>
      </w:r>
      <w:r w:rsidR="002B6F60">
        <w:rPr>
          <w:rStyle w:val="AERbody"/>
        </w:rPr>
        <w:t>.1</w:t>
      </w:r>
      <w:r w:rsidR="00B17F18" w:rsidRPr="00D23605">
        <w:rPr>
          <w:rStyle w:val="AERbody"/>
        </w:rPr>
        <w:t xml:space="preserve"> million ($ nominal) for its distribution and transmission networks respectively. </w:t>
      </w:r>
      <w:r w:rsidRPr="00D23605">
        <w:rPr>
          <w:rStyle w:val="AERbody"/>
        </w:rPr>
        <w:t xml:space="preserve">These values reflect its proposed </w:t>
      </w:r>
      <w:r w:rsidR="00D80BC1">
        <w:rPr>
          <w:rStyle w:val="AERbody"/>
        </w:rPr>
        <w:t xml:space="preserve">opening RAB, </w:t>
      </w:r>
      <w:r w:rsidRPr="00D23605">
        <w:rPr>
          <w:rStyle w:val="AERbody"/>
        </w:rPr>
        <w:t xml:space="preserve">forecast capex, </w:t>
      </w:r>
      <w:r w:rsidR="00D80BC1">
        <w:rPr>
          <w:rStyle w:val="AERbody"/>
        </w:rPr>
        <w:t xml:space="preserve">forecast </w:t>
      </w:r>
      <w:r w:rsidRPr="00D23605">
        <w:rPr>
          <w:rStyle w:val="AERbody"/>
        </w:rPr>
        <w:t xml:space="preserve">inflation and depreciation </w:t>
      </w:r>
      <w:r w:rsidR="00D80BC1">
        <w:rPr>
          <w:rStyle w:val="AERbody"/>
        </w:rPr>
        <w:t xml:space="preserve">(based on forecast capex) </w:t>
      </w:r>
      <w:r w:rsidRPr="00D23605">
        <w:rPr>
          <w:rStyle w:val="AERbody"/>
        </w:rPr>
        <w:t xml:space="preserve">over the 2014–19 regulatory control </w:t>
      </w:r>
      <w:proofErr w:type="gramStart"/>
      <w:r w:rsidRPr="00D23605">
        <w:rPr>
          <w:rStyle w:val="AERbody"/>
        </w:rPr>
        <w:t>period</w:t>
      </w:r>
      <w:proofErr w:type="gramEnd"/>
      <w:r w:rsidRPr="00D23605">
        <w:rPr>
          <w:rStyle w:val="AERbody"/>
        </w:rPr>
        <w:t xml:space="preserve">. </w:t>
      </w:r>
      <w:r w:rsidR="00431A5F">
        <w:rPr>
          <w:rStyle w:val="AERbody"/>
        </w:rPr>
        <w:t>Its</w:t>
      </w:r>
      <w:r w:rsidR="00431A5F" w:rsidRPr="00D23605">
        <w:rPr>
          <w:rStyle w:val="AERbody"/>
        </w:rPr>
        <w:t xml:space="preserve"> </w:t>
      </w:r>
      <w:r w:rsidRPr="00D23605">
        <w:rPr>
          <w:rStyle w:val="AERbody"/>
        </w:rPr>
        <w:t>projected distribution and transmission RABs over the 2014–19 regulatory con</w:t>
      </w:r>
      <w:r w:rsidR="00C839CF">
        <w:rPr>
          <w:rStyle w:val="AERbody"/>
        </w:rPr>
        <w:t xml:space="preserve">trol </w:t>
      </w:r>
      <w:proofErr w:type="gramStart"/>
      <w:r w:rsidR="00C839CF">
        <w:rPr>
          <w:rStyle w:val="AERbody"/>
        </w:rPr>
        <w:t>period</w:t>
      </w:r>
      <w:proofErr w:type="gramEnd"/>
      <w:r w:rsidR="00C839CF">
        <w:rPr>
          <w:rStyle w:val="AERbody"/>
        </w:rPr>
        <w:t xml:space="preserve"> are shown in </w:t>
      </w:r>
      <w:r w:rsidR="002879BA">
        <w:rPr>
          <w:rStyle w:val="AERbody"/>
        </w:rPr>
        <w:fldChar w:fldCharType="begin"/>
      </w:r>
      <w:r w:rsidR="002879BA">
        <w:rPr>
          <w:rStyle w:val="AERbody"/>
        </w:rPr>
        <w:instrText xml:space="preserve"> REF _Ref392854833 \h </w:instrText>
      </w:r>
      <w:r w:rsidR="002879BA">
        <w:rPr>
          <w:rStyle w:val="AERbody"/>
        </w:rPr>
      </w:r>
      <w:r w:rsidR="002879BA">
        <w:rPr>
          <w:rStyle w:val="AERbody"/>
        </w:rPr>
        <w:fldChar w:fldCharType="separate"/>
      </w:r>
      <w:r w:rsidR="002879BA">
        <w:t xml:space="preserve">Table </w:t>
      </w:r>
      <w:r w:rsidR="002879BA">
        <w:rPr>
          <w:noProof/>
        </w:rPr>
        <w:t>2</w:t>
      </w:r>
      <w:r w:rsidR="002879BA">
        <w:noBreakHyphen/>
      </w:r>
      <w:r w:rsidR="002879BA">
        <w:rPr>
          <w:noProof/>
        </w:rPr>
        <w:t>7</w:t>
      </w:r>
      <w:r w:rsidR="002879BA">
        <w:rPr>
          <w:rStyle w:val="AERbody"/>
        </w:rPr>
        <w:fldChar w:fldCharType="end"/>
      </w:r>
      <w:r w:rsidR="0067382C" w:rsidRPr="00D23605">
        <w:rPr>
          <w:rStyle w:val="AERbody"/>
        </w:rPr>
        <w:t xml:space="preserve"> </w:t>
      </w:r>
      <w:r w:rsidRPr="00D23605">
        <w:rPr>
          <w:rStyle w:val="AERbody"/>
        </w:rPr>
        <w:t xml:space="preserve">and </w:t>
      </w:r>
      <w:r w:rsidR="002879BA">
        <w:rPr>
          <w:rStyle w:val="AERbody"/>
        </w:rPr>
        <w:fldChar w:fldCharType="begin"/>
      </w:r>
      <w:r w:rsidR="002879BA">
        <w:rPr>
          <w:rStyle w:val="AERbody"/>
        </w:rPr>
        <w:instrText xml:space="preserve"> REF _Ref404633273 \h </w:instrText>
      </w:r>
      <w:r w:rsidR="002879BA">
        <w:rPr>
          <w:rStyle w:val="AERbody"/>
        </w:rPr>
      </w:r>
      <w:r w:rsidR="002879BA">
        <w:rPr>
          <w:rStyle w:val="AERbody"/>
        </w:rPr>
        <w:fldChar w:fldCharType="separate"/>
      </w:r>
      <w:r w:rsidR="002879BA">
        <w:t xml:space="preserve">Table </w:t>
      </w:r>
      <w:r w:rsidR="002879BA">
        <w:rPr>
          <w:noProof/>
        </w:rPr>
        <w:t>2</w:t>
      </w:r>
      <w:r w:rsidR="002879BA">
        <w:noBreakHyphen/>
      </w:r>
      <w:r w:rsidR="002879BA">
        <w:rPr>
          <w:noProof/>
        </w:rPr>
        <w:t>8</w:t>
      </w:r>
      <w:r w:rsidR="002879BA">
        <w:rPr>
          <w:rStyle w:val="AERbody"/>
        </w:rPr>
        <w:fldChar w:fldCharType="end"/>
      </w:r>
      <w:r w:rsidR="0084525A">
        <w:rPr>
          <w:rStyle w:val="AERbody"/>
        </w:rPr>
        <w:t xml:space="preserve">, </w:t>
      </w:r>
      <w:r w:rsidRPr="00D23605">
        <w:rPr>
          <w:rStyle w:val="AERbody"/>
        </w:rPr>
        <w:t xml:space="preserve">respectively. </w:t>
      </w:r>
    </w:p>
    <w:p w:rsidR="00861A28" w:rsidRPr="0067382C" w:rsidRDefault="0067382C" w:rsidP="0067382C">
      <w:pPr>
        <w:pStyle w:val="Caption"/>
      </w:pPr>
      <w:bookmarkStart w:id="20" w:name="_Ref392854833"/>
      <w:r>
        <w:t xml:space="preserve">Table </w:t>
      </w:r>
      <w:r w:rsidR="00AD3FDB">
        <w:fldChar w:fldCharType="begin"/>
      </w:r>
      <w:r w:rsidR="00AD3FDB">
        <w:instrText xml:space="preserve"> STYLEREF 1 \s </w:instrText>
      </w:r>
      <w:r w:rsidR="00AD3FDB">
        <w:fldChar w:fldCharType="separate"/>
      </w:r>
      <w:r w:rsidR="002879BA">
        <w:rPr>
          <w:noProof/>
        </w:rPr>
        <w:t>2</w:t>
      </w:r>
      <w:r w:rsidR="00AD3FDB">
        <w:rPr>
          <w:noProof/>
        </w:rPr>
        <w:fldChar w:fldCharType="end"/>
      </w:r>
      <w:r w:rsidR="002879BA">
        <w:noBreakHyphen/>
      </w:r>
      <w:r w:rsidR="00AD3FDB">
        <w:fldChar w:fldCharType="begin"/>
      </w:r>
      <w:r w:rsidR="00AD3FDB">
        <w:instrText xml:space="preserve"> SEQ Table \* ARABIC \s 1 </w:instrText>
      </w:r>
      <w:r w:rsidR="00AD3FDB">
        <w:fldChar w:fldCharType="separate"/>
      </w:r>
      <w:r w:rsidR="002879BA">
        <w:rPr>
          <w:noProof/>
        </w:rPr>
        <w:t>7</w:t>
      </w:r>
      <w:r w:rsidR="00AD3FDB">
        <w:rPr>
          <w:noProof/>
        </w:rPr>
        <w:fldChar w:fldCharType="end"/>
      </w:r>
      <w:bookmarkEnd w:id="20"/>
      <w:r>
        <w:tab/>
      </w:r>
      <w:r w:rsidRPr="0067382C">
        <w:t>Ausgrid's proposed RAB for the 20</w:t>
      </w:r>
      <w:r>
        <w:t>14</w:t>
      </w:r>
      <w:r w:rsidRPr="0067382C">
        <w:t>–1</w:t>
      </w:r>
      <w:r>
        <w:t>9</w:t>
      </w:r>
      <w:r w:rsidRPr="0067382C">
        <w:t xml:space="preserve"> regulatory control period ($</w:t>
      </w:r>
      <w:r w:rsidR="0094492C">
        <w:t xml:space="preserve"> </w:t>
      </w:r>
      <w:r w:rsidRPr="0067382C">
        <w:t xml:space="preserve">million, nominal) </w:t>
      </w:r>
      <w:r w:rsidR="00D80BC1">
        <w:t>–</w:t>
      </w:r>
      <w:r w:rsidRPr="0067382C">
        <w:t xml:space="preserve"> </w:t>
      </w:r>
      <w:r>
        <w:t>distribution</w:t>
      </w:r>
    </w:p>
    <w:tbl>
      <w:tblPr>
        <w:tblStyle w:val="AERtable-numbers"/>
        <w:tblW w:w="9156" w:type="dxa"/>
        <w:tblLook w:val="04A0" w:firstRow="1" w:lastRow="0" w:firstColumn="1" w:lastColumn="0" w:noHBand="0" w:noVBand="1"/>
      </w:tblPr>
      <w:tblGrid>
        <w:gridCol w:w="3641"/>
        <w:gridCol w:w="1103"/>
        <w:gridCol w:w="1103"/>
        <w:gridCol w:w="1103"/>
        <w:gridCol w:w="1103"/>
        <w:gridCol w:w="1103"/>
      </w:tblGrid>
      <w:tr w:rsidR="0011410F" w:rsidRPr="0011410F" w:rsidTr="0011410F">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41" w:type="dxa"/>
            <w:noWrap/>
            <w:hideMark/>
          </w:tcPr>
          <w:p w:rsidR="0011410F" w:rsidRPr="0011410F" w:rsidRDefault="0011410F" w:rsidP="0011410F">
            <w:pPr>
              <w:pStyle w:val="AERtabletextleft"/>
            </w:pPr>
            <w:r w:rsidRPr="0011410F">
              <w:t> </w:t>
            </w:r>
          </w:p>
        </w:tc>
        <w:tc>
          <w:tcPr>
            <w:tcW w:w="1103"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2014–15</w:t>
            </w:r>
          </w:p>
        </w:tc>
        <w:tc>
          <w:tcPr>
            <w:tcW w:w="1103"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2015–16</w:t>
            </w:r>
          </w:p>
        </w:tc>
        <w:tc>
          <w:tcPr>
            <w:tcW w:w="1103"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2016–17</w:t>
            </w:r>
          </w:p>
        </w:tc>
        <w:tc>
          <w:tcPr>
            <w:tcW w:w="1103"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2017–18</w:t>
            </w:r>
          </w:p>
        </w:tc>
        <w:tc>
          <w:tcPr>
            <w:tcW w:w="1103"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2018–19</w:t>
            </w:r>
          </w:p>
        </w:tc>
      </w:tr>
      <w:tr w:rsidR="0028138C" w:rsidRPr="00BF6286" w:rsidTr="00C642D4">
        <w:trPr>
          <w:trHeight w:val="282"/>
        </w:trPr>
        <w:tc>
          <w:tcPr>
            <w:cnfStyle w:val="001000000000" w:firstRow="0" w:lastRow="0" w:firstColumn="1" w:lastColumn="0" w:oddVBand="0" w:evenVBand="0" w:oddHBand="0" w:evenHBand="0" w:firstRowFirstColumn="0" w:firstRowLastColumn="0" w:lastRowFirstColumn="0" w:lastRowLastColumn="0"/>
            <w:tcW w:w="3641" w:type="dxa"/>
            <w:noWrap/>
            <w:hideMark/>
          </w:tcPr>
          <w:p w:rsidR="0028138C" w:rsidRPr="00BF6286" w:rsidRDefault="0028138C" w:rsidP="00BF6286">
            <w:pPr>
              <w:pStyle w:val="AERtabletextleft"/>
              <w:rPr>
                <w:rStyle w:val="AERtextbold"/>
                <w:b w:val="0"/>
              </w:rPr>
            </w:pPr>
            <w:r w:rsidRPr="00BF6286">
              <w:rPr>
                <w:rStyle w:val="AERtextbold"/>
                <w:b w:val="0"/>
              </w:rPr>
              <w:t>Opening RAB</w:t>
            </w:r>
          </w:p>
        </w:tc>
        <w:tc>
          <w:tcPr>
            <w:tcW w:w="1103"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12279.8</w:t>
            </w:r>
          </w:p>
        </w:tc>
        <w:tc>
          <w:tcPr>
            <w:tcW w:w="1103"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13035.9</w:t>
            </w:r>
          </w:p>
        </w:tc>
        <w:tc>
          <w:tcPr>
            <w:tcW w:w="1103"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13797.1</w:t>
            </w:r>
          </w:p>
        </w:tc>
        <w:tc>
          <w:tcPr>
            <w:tcW w:w="1103"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14466.4</w:t>
            </w:r>
          </w:p>
        </w:tc>
        <w:tc>
          <w:tcPr>
            <w:tcW w:w="1103"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15139.6</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41" w:type="dxa"/>
            <w:noWrap/>
            <w:hideMark/>
          </w:tcPr>
          <w:p w:rsidR="0028138C" w:rsidRPr="0028138C" w:rsidRDefault="0028138C" w:rsidP="00FC0432">
            <w:pPr>
              <w:pStyle w:val="AERtabletextleft"/>
            </w:pPr>
            <w:r w:rsidRPr="0028138C">
              <w:t xml:space="preserve">Capital </w:t>
            </w:r>
            <w:proofErr w:type="spellStart"/>
            <w:r w:rsidRPr="0028138C">
              <w:t>expenditure</w:t>
            </w:r>
            <w:r w:rsidR="00FC0432" w:rsidRPr="00FC0432">
              <w:rPr>
                <w:rStyle w:val="AERsuperscript"/>
              </w:rPr>
              <w:t>a</w:t>
            </w:r>
            <w:proofErr w:type="spellEnd"/>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879.4</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905.2</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834.5</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823.6</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765.7</w:t>
            </w:r>
          </w:p>
        </w:tc>
      </w:tr>
      <w:tr w:rsidR="0028138C" w:rsidRPr="0011410F" w:rsidTr="00C642D4">
        <w:trPr>
          <w:trHeight w:val="282"/>
        </w:trPr>
        <w:tc>
          <w:tcPr>
            <w:cnfStyle w:val="001000000000" w:firstRow="0" w:lastRow="0" w:firstColumn="1" w:lastColumn="0" w:oddVBand="0" w:evenVBand="0" w:oddHBand="0" w:evenHBand="0" w:firstRowFirstColumn="0" w:firstRowLastColumn="0" w:lastRowFirstColumn="0" w:lastRowLastColumn="0"/>
            <w:tcW w:w="3641" w:type="dxa"/>
            <w:noWrap/>
            <w:hideMark/>
          </w:tcPr>
          <w:p w:rsidR="0028138C" w:rsidRPr="0028138C" w:rsidRDefault="0028138C" w:rsidP="0028138C">
            <w:pPr>
              <w:pStyle w:val="AERtabletextleft"/>
            </w:pPr>
            <w:r w:rsidRPr="0028138C">
              <w:t>Inflation indexation on opening RAB</w:t>
            </w:r>
          </w:p>
        </w:tc>
        <w:tc>
          <w:tcPr>
            <w:tcW w:w="1103"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307.0</w:t>
            </w:r>
          </w:p>
        </w:tc>
        <w:tc>
          <w:tcPr>
            <w:tcW w:w="1103"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325.9</w:t>
            </w:r>
          </w:p>
        </w:tc>
        <w:tc>
          <w:tcPr>
            <w:tcW w:w="1103"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344.9</w:t>
            </w:r>
          </w:p>
        </w:tc>
        <w:tc>
          <w:tcPr>
            <w:tcW w:w="1103"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361.7</w:t>
            </w:r>
          </w:p>
        </w:tc>
        <w:tc>
          <w:tcPr>
            <w:tcW w:w="1103"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378.5</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41" w:type="dxa"/>
            <w:noWrap/>
            <w:hideMark/>
          </w:tcPr>
          <w:p w:rsidR="0028138C" w:rsidRPr="0028138C" w:rsidRDefault="0028138C" w:rsidP="0028138C">
            <w:pPr>
              <w:pStyle w:val="AERtabletextleft"/>
            </w:pPr>
            <w:r w:rsidRPr="003750C0">
              <w:rPr>
                <w:rStyle w:val="AERtextitalic"/>
              </w:rPr>
              <w:t>Less:</w:t>
            </w:r>
            <w:r w:rsidRPr="0028138C">
              <w:t xml:space="preserve"> straight-line depreciation</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430.3</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470.0</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510.1</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512.0</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542.5</w:t>
            </w:r>
          </w:p>
        </w:tc>
      </w:tr>
      <w:tr w:rsidR="0028138C" w:rsidRPr="00BF6286" w:rsidTr="00C642D4">
        <w:trPr>
          <w:trHeight w:val="282"/>
        </w:trPr>
        <w:tc>
          <w:tcPr>
            <w:cnfStyle w:val="001000000000" w:firstRow="0" w:lastRow="0" w:firstColumn="1" w:lastColumn="0" w:oddVBand="0" w:evenVBand="0" w:oddHBand="0" w:evenHBand="0" w:firstRowFirstColumn="0" w:firstRowLastColumn="0" w:lastRowFirstColumn="0" w:lastRowLastColumn="0"/>
            <w:tcW w:w="3641" w:type="dxa"/>
            <w:noWrap/>
            <w:hideMark/>
          </w:tcPr>
          <w:p w:rsidR="0028138C" w:rsidRPr="00BF6286" w:rsidRDefault="0028138C" w:rsidP="00BF6286">
            <w:pPr>
              <w:pStyle w:val="AERtabletextleft"/>
              <w:rPr>
                <w:rStyle w:val="AERtextbold"/>
                <w:b w:val="0"/>
              </w:rPr>
            </w:pPr>
            <w:r w:rsidRPr="00BF6286">
              <w:rPr>
                <w:rStyle w:val="AERtextbold"/>
                <w:b w:val="0"/>
              </w:rPr>
              <w:t>Closing RAB</w:t>
            </w:r>
          </w:p>
        </w:tc>
        <w:tc>
          <w:tcPr>
            <w:tcW w:w="1103"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13035.9</w:t>
            </w:r>
          </w:p>
        </w:tc>
        <w:tc>
          <w:tcPr>
            <w:tcW w:w="1103"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13797.1</w:t>
            </w:r>
          </w:p>
        </w:tc>
        <w:tc>
          <w:tcPr>
            <w:tcW w:w="1103"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14466.4</w:t>
            </w:r>
          </w:p>
        </w:tc>
        <w:tc>
          <w:tcPr>
            <w:tcW w:w="1103"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15139.6</w:t>
            </w:r>
          </w:p>
        </w:tc>
        <w:tc>
          <w:tcPr>
            <w:tcW w:w="1103"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15741.3</w:t>
            </w:r>
          </w:p>
        </w:tc>
      </w:tr>
    </w:tbl>
    <w:p w:rsidR="006F6035" w:rsidRDefault="006F6035" w:rsidP="006F6035">
      <w:pPr>
        <w:pStyle w:val="AERtablesource"/>
        <w:rPr>
          <w:rStyle w:val="AERtexthighlight"/>
        </w:rPr>
      </w:pPr>
      <w:bookmarkStart w:id="21" w:name="_Ref392854837"/>
      <w:r w:rsidRPr="006F6035">
        <w:rPr>
          <w:rStyle w:val="AERtexthighlight"/>
          <w:shd w:val="clear" w:color="auto" w:fill="auto"/>
        </w:rPr>
        <w:t>Source:</w:t>
      </w:r>
      <w:r w:rsidRPr="006F6035">
        <w:rPr>
          <w:rStyle w:val="AERtexthighlight"/>
          <w:shd w:val="clear" w:color="auto" w:fill="auto"/>
        </w:rPr>
        <w:tab/>
        <w:t xml:space="preserve">Ausgrid, </w:t>
      </w:r>
      <w:r w:rsidRPr="006F6035">
        <w:rPr>
          <w:rStyle w:val="AERtextitalic"/>
        </w:rPr>
        <w:t>Regulatory proposal</w:t>
      </w:r>
      <w:r w:rsidRPr="006F6035">
        <w:rPr>
          <w:rStyle w:val="AERtexthighlight"/>
          <w:shd w:val="clear" w:color="auto" w:fill="auto"/>
        </w:rPr>
        <w:t>, May 2014, Attachment 4.01.</w:t>
      </w:r>
    </w:p>
    <w:p w:rsidR="006F6035" w:rsidRPr="006F6035" w:rsidRDefault="006F6035" w:rsidP="006F6035">
      <w:pPr>
        <w:pStyle w:val="AERtablesource"/>
      </w:pPr>
      <w:r w:rsidRPr="006F6035">
        <w:t>(</w:t>
      </w:r>
      <w:proofErr w:type="gramStart"/>
      <w:r w:rsidR="00FC0432">
        <w:t>a</w:t>
      </w:r>
      <w:proofErr w:type="gramEnd"/>
      <w:r w:rsidRPr="006F6035">
        <w:t>)</w:t>
      </w:r>
      <w:r w:rsidR="00295142">
        <w:t>:</w:t>
      </w:r>
      <w:r w:rsidRPr="006F6035">
        <w:tab/>
        <w:t>Net of disposals and capital contributions.</w:t>
      </w:r>
    </w:p>
    <w:p w:rsidR="00BF6286" w:rsidRDefault="00BF6286">
      <w:pPr>
        <w:rPr>
          <w:rFonts w:ascii="Gautami" w:hAnsi="Gautami"/>
          <w:b/>
          <w:bCs/>
          <w:sz w:val="20"/>
          <w:szCs w:val="18"/>
          <w:lang w:eastAsia="en-US"/>
        </w:rPr>
      </w:pPr>
      <w:bookmarkStart w:id="22" w:name="_Ref397502503"/>
      <w:bookmarkStart w:id="23" w:name="_Ref397502464"/>
      <w:r>
        <w:br w:type="page"/>
      </w:r>
    </w:p>
    <w:p w:rsidR="004132A9" w:rsidRPr="0067382C" w:rsidRDefault="0067382C" w:rsidP="0067382C">
      <w:pPr>
        <w:pStyle w:val="Caption"/>
      </w:pPr>
      <w:bookmarkStart w:id="24" w:name="_Ref404633273"/>
      <w:r>
        <w:lastRenderedPageBreak/>
        <w:t xml:space="preserve">Table </w:t>
      </w:r>
      <w:r w:rsidR="00AD3FDB">
        <w:fldChar w:fldCharType="begin"/>
      </w:r>
      <w:r w:rsidR="00AD3FDB">
        <w:instrText xml:space="preserve"> STYLEREF 1 \s </w:instrText>
      </w:r>
      <w:r w:rsidR="00AD3FDB">
        <w:fldChar w:fldCharType="separate"/>
      </w:r>
      <w:r w:rsidR="002879BA">
        <w:rPr>
          <w:noProof/>
        </w:rPr>
        <w:t>2</w:t>
      </w:r>
      <w:r w:rsidR="00AD3FDB">
        <w:rPr>
          <w:noProof/>
        </w:rPr>
        <w:fldChar w:fldCharType="end"/>
      </w:r>
      <w:r w:rsidR="002879BA">
        <w:noBreakHyphen/>
      </w:r>
      <w:r w:rsidR="00AD3FDB">
        <w:fldChar w:fldCharType="begin"/>
      </w:r>
      <w:r w:rsidR="00AD3FDB">
        <w:instrText xml:space="preserve"> SEQ Table \* ARABIC \s 1 </w:instrText>
      </w:r>
      <w:r w:rsidR="00AD3FDB">
        <w:fldChar w:fldCharType="separate"/>
      </w:r>
      <w:r w:rsidR="002879BA">
        <w:rPr>
          <w:noProof/>
        </w:rPr>
        <w:t>8</w:t>
      </w:r>
      <w:r w:rsidR="00AD3FDB">
        <w:rPr>
          <w:noProof/>
        </w:rPr>
        <w:fldChar w:fldCharType="end"/>
      </w:r>
      <w:bookmarkEnd w:id="21"/>
      <w:bookmarkEnd w:id="22"/>
      <w:bookmarkEnd w:id="24"/>
      <w:r>
        <w:tab/>
      </w:r>
      <w:r w:rsidRPr="0067382C">
        <w:t>Aus</w:t>
      </w:r>
      <w:r>
        <w:t>grid's proposed RAB for the 2014</w:t>
      </w:r>
      <w:r w:rsidRPr="0067382C">
        <w:t>–1</w:t>
      </w:r>
      <w:r>
        <w:t>9</w:t>
      </w:r>
      <w:r w:rsidRPr="0067382C">
        <w:t xml:space="preserve"> regulatory control period ($</w:t>
      </w:r>
      <w:r w:rsidR="0094492C">
        <w:t xml:space="preserve"> </w:t>
      </w:r>
      <w:r w:rsidRPr="0067382C">
        <w:t xml:space="preserve">million, nominal) </w:t>
      </w:r>
      <w:r w:rsidR="00D80BC1">
        <w:t>–</w:t>
      </w:r>
      <w:r w:rsidRPr="0067382C">
        <w:t xml:space="preserve"> transmission</w:t>
      </w:r>
      <w:bookmarkEnd w:id="23"/>
    </w:p>
    <w:tbl>
      <w:tblPr>
        <w:tblStyle w:val="AERtable-numbers"/>
        <w:tblW w:w="9165" w:type="dxa"/>
        <w:tblLook w:val="04A0" w:firstRow="1" w:lastRow="0" w:firstColumn="1" w:lastColumn="0" w:noHBand="0" w:noVBand="1"/>
      </w:tblPr>
      <w:tblGrid>
        <w:gridCol w:w="3645"/>
        <w:gridCol w:w="1104"/>
        <w:gridCol w:w="1104"/>
        <w:gridCol w:w="1104"/>
        <w:gridCol w:w="1104"/>
        <w:gridCol w:w="1104"/>
      </w:tblGrid>
      <w:tr w:rsidR="0011410F" w:rsidRPr="0011410F" w:rsidTr="0011410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45" w:type="dxa"/>
            <w:noWrap/>
            <w:hideMark/>
          </w:tcPr>
          <w:p w:rsidR="0011410F" w:rsidRPr="0011410F" w:rsidRDefault="0011410F" w:rsidP="0011410F">
            <w:pPr>
              <w:pStyle w:val="AERtabletextleft"/>
            </w:pPr>
            <w:r w:rsidRPr="0011410F">
              <w:t> </w:t>
            </w:r>
          </w:p>
        </w:tc>
        <w:tc>
          <w:tcPr>
            <w:tcW w:w="1104"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2014–15</w:t>
            </w:r>
          </w:p>
        </w:tc>
        <w:tc>
          <w:tcPr>
            <w:tcW w:w="1104"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2015–16</w:t>
            </w:r>
          </w:p>
        </w:tc>
        <w:tc>
          <w:tcPr>
            <w:tcW w:w="1104"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2016–17</w:t>
            </w:r>
          </w:p>
        </w:tc>
        <w:tc>
          <w:tcPr>
            <w:tcW w:w="1104"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2017–18</w:t>
            </w:r>
          </w:p>
        </w:tc>
        <w:tc>
          <w:tcPr>
            <w:tcW w:w="1104"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2018–19</w:t>
            </w:r>
          </w:p>
        </w:tc>
      </w:tr>
      <w:tr w:rsidR="0028138C" w:rsidRPr="00BF6286" w:rsidTr="00C642D4">
        <w:trPr>
          <w:trHeight w:val="28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BF6286" w:rsidRDefault="0028138C" w:rsidP="00BF6286">
            <w:pPr>
              <w:pStyle w:val="AERtabletextleft"/>
              <w:rPr>
                <w:rStyle w:val="AERtextbold"/>
                <w:b w:val="0"/>
              </w:rPr>
            </w:pPr>
            <w:r w:rsidRPr="00BF6286">
              <w:rPr>
                <w:rStyle w:val="AERtextbold"/>
                <w:b w:val="0"/>
              </w:rPr>
              <w:t>Opening RAB</w:t>
            </w:r>
          </w:p>
        </w:tc>
        <w:tc>
          <w:tcPr>
            <w:tcW w:w="1104"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2090.9</w:t>
            </w:r>
          </w:p>
        </w:tc>
        <w:tc>
          <w:tcPr>
            <w:tcW w:w="1104"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2236.4</w:t>
            </w:r>
          </w:p>
        </w:tc>
        <w:tc>
          <w:tcPr>
            <w:tcW w:w="1104"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2378.7</w:t>
            </w:r>
          </w:p>
        </w:tc>
        <w:tc>
          <w:tcPr>
            <w:tcW w:w="1104"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2457.2</w:t>
            </w:r>
          </w:p>
        </w:tc>
        <w:tc>
          <w:tcPr>
            <w:tcW w:w="1104"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2544.7</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28138C" w:rsidRDefault="0028138C" w:rsidP="0028138C">
            <w:pPr>
              <w:pStyle w:val="AERtabletextleft"/>
            </w:pPr>
            <w:r w:rsidRPr="0028138C">
              <w:t xml:space="preserve">Capital </w:t>
            </w:r>
            <w:proofErr w:type="spellStart"/>
            <w:r w:rsidRPr="0028138C">
              <w:t>expenditure</w:t>
            </w:r>
            <w:r w:rsidR="00FC0432" w:rsidRPr="00FC0432">
              <w:rPr>
                <w:rStyle w:val="AERsuperscript"/>
              </w:rPr>
              <w:t>a</w:t>
            </w:r>
            <w:proofErr w:type="spellEnd"/>
            <w:r w:rsidRPr="0028138C">
              <w:t xml:space="preserve"> </w:t>
            </w:r>
          </w:p>
        </w:tc>
        <w:tc>
          <w:tcPr>
            <w:tcW w:w="1104"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157.9</w:t>
            </w:r>
          </w:p>
        </w:tc>
        <w:tc>
          <w:tcPr>
            <w:tcW w:w="1104"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158.0</w:t>
            </w:r>
          </w:p>
        </w:tc>
        <w:tc>
          <w:tcPr>
            <w:tcW w:w="1104"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97.9</w:t>
            </w:r>
          </w:p>
        </w:tc>
        <w:tc>
          <w:tcPr>
            <w:tcW w:w="1104"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103.6</w:t>
            </w:r>
          </w:p>
        </w:tc>
        <w:tc>
          <w:tcPr>
            <w:tcW w:w="1104"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78.5</w:t>
            </w:r>
          </w:p>
        </w:tc>
      </w:tr>
      <w:tr w:rsidR="0028138C" w:rsidRPr="0011410F" w:rsidTr="00C642D4">
        <w:trPr>
          <w:trHeight w:val="28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28138C" w:rsidRDefault="0028138C" w:rsidP="0028138C">
            <w:pPr>
              <w:pStyle w:val="AERtabletextleft"/>
            </w:pPr>
            <w:r w:rsidRPr="0028138C">
              <w:t>Inflation indexation on opening RAB</w:t>
            </w:r>
          </w:p>
        </w:tc>
        <w:tc>
          <w:tcPr>
            <w:tcW w:w="1104"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52.3</w:t>
            </w:r>
          </w:p>
        </w:tc>
        <w:tc>
          <w:tcPr>
            <w:tcW w:w="1104"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55.9</w:t>
            </w:r>
          </w:p>
        </w:tc>
        <w:tc>
          <w:tcPr>
            <w:tcW w:w="1104"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59.5</w:t>
            </w:r>
          </w:p>
        </w:tc>
        <w:tc>
          <w:tcPr>
            <w:tcW w:w="1104"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61.4</w:t>
            </w:r>
          </w:p>
        </w:tc>
        <w:tc>
          <w:tcPr>
            <w:tcW w:w="1104"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63.6</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28138C" w:rsidRDefault="0028138C" w:rsidP="0028138C">
            <w:pPr>
              <w:pStyle w:val="AERtabletextleft"/>
            </w:pPr>
            <w:r w:rsidRPr="003750C0">
              <w:rPr>
                <w:rStyle w:val="AERtextitalic"/>
              </w:rPr>
              <w:t>Less:</w:t>
            </w:r>
            <w:r w:rsidRPr="0028138C">
              <w:t xml:space="preserve"> straight-line depreciation</w:t>
            </w:r>
          </w:p>
        </w:tc>
        <w:tc>
          <w:tcPr>
            <w:tcW w:w="1104"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64.7</w:t>
            </w:r>
          </w:p>
        </w:tc>
        <w:tc>
          <w:tcPr>
            <w:tcW w:w="1104"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71.6</w:t>
            </w:r>
          </w:p>
        </w:tc>
        <w:tc>
          <w:tcPr>
            <w:tcW w:w="1104"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78.8</w:t>
            </w:r>
          </w:p>
        </w:tc>
        <w:tc>
          <w:tcPr>
            <w:tcW w:w="1104"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77.6</w:t>
            </w:r>
          </w:p>
        </w:tc>
        <w:tc>
          <w:tcPr>
            <w:tcW w:w="1104"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81.8</w:t>
            </w:r>
          </w:p>
        </w:tc>
      </w:tr>
      <w:tr w:rsidR="0028138C" w:rsidRPr="00BF6286" w:rsidTr="00C642D4">
        <w:trPr>
          <w:trHeight w:val="28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BF6286" w:rsidRDefault="0028138C" w:rsidP="00BF6286">
            <w:pPr>
              <w:pStyle w:val="AERtabletextleft"/>
              <w:rPr>
                <w:rStyle w:val="AERtextbold"/>
                <w:b w:val="0"/>
              </w:rPr>
            </w:pPr>
            <w:r w:rsidRPr="00BF6286">
              <w:rPr>
                <w:rStyle w:val="AERtextbold"/>
                <w:b w:val="0"/>
              </w:rPr>
              <w:t>Closing RAB</w:t>
            </w:r>
          </w:p>
        </w:tc>
        <w:tc>
          <w:tcPr>
            <w:tcW w:w="1104"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2236.4</w:t>
            </w:r>
          </w:p>
        </w:tc>
        <w:tc>
          <w:tcPr>
            <w:tcW w:w="1104"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2378.7</w:t>
            </w:r>
          </w:p>
        </w:tc>
        <w:tc>
          <w:tcPr>
            <w:tcW w:w="1104"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2457.2</w:t>
            </w:r>
          </w:p>
        </w:tc>
        <w:tc>
          <w:tcPr>
            <w:tcW w:w="1104"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2544.7</w:t>
            </w:r>
          </w:p>
        </w:tc>
        <w:tc>
          <w:tcPr>
            <w:tcW w:w="1104" w:type="dxa"/>
            <w:noWrap/>
            <w:vAlign w:val="bottom"/>
            <w:hideMark/>
          </w:tcPr>
          <w:p w:rsidR="0028138C" w:rsidRPr="00BF6286" w:rsidRDefault="0028138C" w:rsidP="00BF6286">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F6286">
              <w:rPr>
                <w:rStyle w:val="AERtextbold"/>
                <w:b w:val="0"/>
              </w:rPr>
              <w:t>2605.1</w:t>
            </w:r>
          </w:p>
        </w:tc>
      </w:tr>
    </w:tbl>
    <w:p w:rsidR="004132A9" w:rsidRDefault="006F6035" w:rsidP="006F6035">
      <w:pPr>
        <w:pStyle w:val="AERtablesource"/>
        <w:rPr>
          <w:rStyle w:val="AERtexthighlight"/>
        </w:rPr>
      </w:pPr>
      <w:r w:rsidRPr="006F6035">
        <w:rPr>
          <w:rStyle w:val="AERtexthighlight"/>
          <w:shd w:val="clear" w:color="auto" w:fill="auto"/>
        </w:rPr>
        <w:t>Source:</w:t>
      </w:r>
      <w:r w:rsidRPr="006F6035">
        <w:rPr>
          <w:rStyle w:val="AERtexthighlight"/>
          <w:shd w:val="clear" w:color="auto" w:fill="auto"/>
        </w:rPr>
        <w:tab/>
        <w:t xml:space="preserve">Ausgrid, </w:t>
      </w:r>
      <w:r w:rsidRPr="006F6035">
        <w:rPr>
          <w:rStyle w:val="AERtextitalic"/>
        </w:rPr>
        <w:t>Regulatory proposal</w:t>
      </w:r>
      <w:r w:rsidRPr="006F6035">
        <w:rPr>
          <w:rStyle w:val="AERtexthighlight"/>
          <w:shd w:val="clear" w:color="auto" w:fill="auto"/>
        </w:rPr>
        <w:t>, May 2014, Attachment 4.02.</w:t>
      </w:r>
    </w:p>
    <w:p w:rsidR="006F6035" w:rsidRDefault="006F6035" w:rsidP="006F6035">
      <w:pPr>
        <w:pStyle w:val="AERtablesource"/>
      </w:pPr>
      <w:r w:rsidRPr="006F6035">
        <w:t>(</w:t>
      </w:r>
      <w:proofErr w:type="gramStart"/>
      <w:r w:rsidR="00FC0432">
        <w:t>a</w:t>
      </w:r>
      <w:proofErr w:type="gramEnd"/>
      <w:r w:rsidRPr="006F6035">
        <w:t>)</w:t>
      </w:r>
      <w:r w:rsidR="00295142">
        <w:t>:</w:t>
      </w:r>
      <w:r w:rsidRPr="006F6035">
        <w:tab/>
        <w:t>Net of disposals and capital contributions.</w:t>
      </w:r>
    </w:p>
    <w:p w:rsidR="00D242AD" w:rsidRPr="00D242AD" w:rsidRDefault="00D242AD" w:rsidP="00D242AD">
      <w:pPr>
        <w:pStyle w:val="AERbodytext"/>
      </w:pPr>
      <w:r>
        <w:t>Ausgrid p</w:t>
      </w:r>
      <w:r w:rsidRPr="00830BA6">
        <w:t xml:space="preserve">roposed to apply </w:t>
      </w:r>
      <w:r>
        <w:t xml:space="preserve">a </w:t>
      </w:r>
      <w:r w:rsidRPr="00830BA6">
        <w:t>forecast depreciation approach to establish the RAB</w:t>
      </w:r>
      <w:r w:rsidR="00D80BC1">
        <w:t>s</w:t>
      </w:r>
      <w:r w:rsidRPr="00830BA6">
        <w:t xml:space="preserve"> at the commencement of 2019–24 regulatory control </w:t>
      </w:r>
      <w:proofErr w:type="gramStart"/>
      <w:r w:rsidRPr="00830BA6">
        <w:t>period</w:t>
      </w:r>
      <w:proofErr w:type="gramEnd"/>
      <w:r w:rsidRPr="00830BA6">
        <w:t xml:space="preserve">, consistent with the approach set out in </w:t>
      </w:r>
      <w:r w:rsidR="00D80BC1">
        <w:t>our</w:t>
      </w:r>
      <w:r w:rsidR="00D80BC1" w:rsidRPr="00830BA6">
        <w:t xml:space="preserve"> </w:t>
      </w:r>
      <w:r w:rsidR="00D80BC1">
        <w:t>S</w:t>
      </w:r>
      <w:r w:rsidRPr="00830BA6">
        <w:t>tage 2 framework and approach.</w:t>
      </w:r>
      <w:r w:rsidRPr="00830BA6">
        <w:rPr>
          <w:rStyle w:val="FootnoteReference"/>
        </w:rPr>
        <w:footnoteReference w:id="7"/>
      </w:r>
    </w:p>
    <w:p w:rsidR="00D97003" w:rsidRDefault="00D97003" w:rsidP="00D97003">
      <w:pPr>
        <w:pStyle w:val="Heading2"/>
      </w:pPr>
      <w:bookmarkStart w:id="25" w:name="_Toc387916798"/>
      <w:bookmarkStart w:id="26" w:name="_Toc404356956"/>
      <w:r>
        <w:t>AER's assessment approach</w:t>
      </w:r>
      <w:bookmarkEnd w:id="25"/>
      <w:bookmarkEnd w:id="26"/>
    </w:p>
    <w:p w:rsidR="0075167F" w:rsidRDefault="008528F2" w:rsidP="0075167F">
      <w:pPr>
        <w:pStyle w:val="AERbodytext"/>
      </w:pPr>
      <w:r>
        <w:t>We are</w:t>
      </w:r>
      <w:r w:rsidR="0075167F" w:rsidRPr="0075167F">
        <w:t xml:space="preserve"> required to roll forward </w:t>
      </w:r>
      <w:r w:rsidR="008F68CF">
        <w:t xml:space="preserve">the </w:t>
      </w:r>
      <w:r w:rsidR="00D80BC1">
        <w:t>service provider</w:t>
      </w:r>
      <w:r w:rsidR="0075167F" w:rsidRPr="0075167F">
        <w:t xml:space="preserve">'s RAB </w:t>
      </w:r>
      <w:r w:rsidR="00D80BC1">
        <w:t xml:space="preserve">during the </w:t>
      </w:r>
      <w:r w:rsidR="008F68CF">
        <w:t>2009</w:t>
      </w:r>
      <w:r w:rsidR="00D2419B">
        <w:t>–</w:t>
      </w:r>
      <w:r w:rsidR="008F68CF">
        <w:t xml:space="preserve">14 </w:t>
      </w:r>
      <w:r w:rsidR="00D80BC1">
        <w:t xml:space="preserve">regulatory control period </w:t>
      </w:r>
      <w:r w:rsidR="0075167F" w:rsidRPr="0075167F">
        <w:t xml:space="preserve">to establish the opening RAB </w:t>
      </w:r>
      <w:r w:rsidR="008F68CF">
        <w:t>at 1 July 2014</w:t>
      </w:r>
      <w:r w:rsidR="0075167F" w:rsidRPr="0075167F">
        <w:t>. This value can be adjusted for any differences in the forecast and actual capex, disposals and capital contributions. It may also be adjusted to reflect any changes in the use of the assets, with only assets used in the provision of standard control services to be included in the RAB.</w:t>
      </w:r>
      <w:r w:rsidR="0075167F">
        <w:rPr>
          <w:rStyle w:val="FootnoteReference"/>
        </w:rPr>
        <w:footnoteReference w:id="8"/>
      </w:r>
    </w:p>
    <w:p w:rsidR="0075167F" w:rsidRDefault="0075167F" w:rsidP="0075167F">
      <w:pPr>
        <w:pStyle w:val="AERbodytext"/>
      </w:pPr>
      <w:r w:rsidRPr="0075167F">
        <w:t xml:space="preserve">To determine the opening RAB, </w:t>
      </w:r>
      <w:r>
        <w:t>we</w:t>
      </w:r>
      <w:r w:rsidRPr="0075167F">
        <w:t xml:space="preserve"> ha</w:t>
      </w:r>
      <w:r>
        <w:t>ve</w:t>
      </w:r>
      <w:r w:rsidRPr="0075167F">
        <w:t xml:space="preserve"> developed an asset base </w:t>
      </w:r>
      <w:r>
        <w:t>RFM</w:t>
      </w:r>
      <w:r w:rsidRPr="0075167F">
        <w:t xml:space="preserve"> in accordance with the requirements of the NER.</w:t>
      </w:r>
      <w:r>
        <w:rPr>
          <w:rStyle w:val="FootnoteReference"/>
        </w:rPr>
        <w:footnoteReference w:id="9"/>
      </w:r>
      <w:r w:rsidRPr="0075167F">
        <w:t xml:space="preserve"> A </w:t>
      </w:r>
      <w:r>
        <w:t>service provider</w:t>
      </w:r>
      <w:r w:rsidRPr="0075167F">
        <w:t xml:space="preserve"> must use the RFM in preparing its regulatory proposal. The RFM rolls forward the RAB from the beginning of the final year of the </w:t>
      </w:r>
      <w:r>
        <w:t xml:space="preserve">2004–09 </w:t>
      </w:r>
      <w:r w:rsidRPr="0075167F">
        <w:t xml:space="preserve">regulatory control </w:t>
      </w:r>
      <w:proofErr w:type="gramStart"/>
      <w:r w:rsidRPr="0075167F">
        <w:t>period</w:t>
      </w:r>
      <w:proofErr w:type="gramEnd"/>
      <w:r w:rsidRPr="0075167F">
        <w:t xml:space="preserve">, through the </w:t>
      </w:r>
      <w:r>
        <w:t xml:space="preserve">2009–14 </w:t>
      </w:r>
      <w:r w:rsidRPr="0075167F">
        <w:t xml:space="preserve">regulatory control period, to the beginning of the </w:t>
      </w:r>
      <w:r w:rsidR="00E5784C">
        <w:t xml:space="preserve">next </w:t>
      </w:r>
      <w:r w:rsidRPr="0075167F">
        <w:t xml:space="preserve">period. </w:t>
      </w:r>
      <w:r w:rsidR="005F3B98">
        <w:t>T</w:t>
      </w:r>
      <w:r w:rsidR="00D80BC1">
        <w:t xml:space="preserve">he five regulatory years </w:t>
      </w:r>
      <w:proofErr w:type="gramStart"/>
      <w:r w:rsidR="00D80BC1">
        <w:t>between</w:t>
      </w:r>
      <w:r w:rsidR="00B02C3A">
        <w:t xml:space="preserve"> </w:t>
      </w:r>
      <w:r w:rsidR="00D80BC1">
        <w:t>2014–19</w:t>
      </w:r>
      <w:proofErr w:type="gramEnd"/>
      <w:r w:rsidR="00D80BC1">
        <w:t xml:space="preserve"> are split over two regulatory control periods (a transitional regulatory control period from 2014–15 and then a subsequent regulatory control period from </w:t>
      </w:r>
      <w:r w:rsidR="00BF6286">
        <w:br/>
      </w:r>
      <w:r w:rsidR="00D80BC1">
        <w:t>2015–19)</w:t>
      </w:r>
      <w:r w:rsidR="00E5784C">
        <w:t>. However</w:t>
      </w:r>
      <w:r w:rsidR="00D80BC1">
        <w:t>, the NER expressly provides that when we determine the opening value of the RAB for this five year period we should do so as if the two periods were combined.</w:t>
      </w:r>
      <w:r w:rsidR="00D80BC1">
        <w:rPr>
          <w:rStyle w:val="FootnoteReference"/>
        </w:rPr>
        <w:footnoteReference w:id="10"/>
      </w:r>
      <w:r w:rsidR="00D80BC1">
        <w:t xml:space="preserve"> </w:t>
      </w:r>
      <w:r w:rsidRPr="0075167F">
        <w:t>The roll forward occurs for each year by:</w:t>
      </w:r>
    </w:p>
    <w:p w:rsidR="0075167F" w:rsidRPr="0075167F" w:rsidRDefault="00D80BC1" w:rsidP="0075167F">
      <w:pPr>
        <w:pStyle w:val="AERbulletlistfirststyle"/>
      </w:pPr>
      <w:r>
        <w:t>A</w:t>
      </w:r>
      <w:r w:rsidR="0075167F" w:rsidRPr="0075167F">
        <w:t xml:space="preserve">dding an inflation (indexation) adjustment </w:t>
      </w:r>
      <w:r w:rsidR="00FC1C7A">
        <w:t xml:space="preserve">to the opening RAB </w:t>
      </w:r>
      <w:r w:rsidR="0075167F" w:rsidRPr="0075167F">
        <w:t>for the relevant year. This adjustment must be consistent with the inflation factor used in the control mechanism.</w:t>
      </w:r>
      <w:r w:rsidR="0075167F">
        <w:rPr>
          <w:rStyle w:val="FootnoteReference"/>
        </w:rPr>
        <w:footnoteReference w:id="11"/>
      </w:r>
    </w:p>
    <w:p w:rsidR="0075167F" w:rsidRPr="0075167F" w:rsidRDefault="00423581" w:rsidP="00D53863">
      <w:pPr>
        <w:pStyle w:val="AERbulletlistfirststyle"/>
      </w:pPr>
      <w:r>
        <w:t>A</w:t>
      </w:r>
      <w:r w:rsidR="0075167F" w:rsidRPr="0075167F">
        <w:t>dding capex</w:t>
      </w:r>
      <w:r w:rsidR="009C544E">
        <w:t xml:space="preserve"> to the RAB</w:t>
      </w:r>
      <w:r w:rsidR="0075167F" w:rsidRPr="0075167F">
        <w:t xml:space="preserve"> for the relevant year.</w:t>
      </w:r>
      <w:r w:rsidR="0075167F">
        <w:rPr>
          <w:rStyle w:val="FootnoteReference"/>
        </w:rPr>
        <w:footnoteReference w:id="12"/>
      </w:r>
      <w:r w:rsidR="0075167F" w:rsidRPr="0075167F">
        <w:t xml:space="preserve"> </w:t>
      </w:r>
      <w:r w:rsidR="008F68CF">
        <w:t>In future determinations, t</w:t>
      </w:r>
      <w:r>
        <w:t>he NER allows us to review a service provider</w:t>
      </w:r>
      <w:r w:rsidRPr="00BA2044">
        <w:t>'s past capex and exclude inefficient past capex from being rolled into the RAB.</w:t>
      </w:r>
      <w:r>
        <w:rPr>
          <w:rStyle w:val="FootnoteReference"/>
        </w:rPr>
        <w:footnoteReference w:id="13"/>
      </w:r>
      <w:r w:rsidRPr="00BA2044">
        <w:t xml:space="preserve"> We note that under the transitional rules, the review of past capex does not apply to </w:t>
      </w:r>
      <w:r>
        <w:t>Ausgrid</w:t>
      </w:r>
      <w:r w:rsidRPr="00BA2044">
        <w:t xml:space="preserve"> </w:t>
      </w:r>
      <w:r w:rsidR="008F68CF">
        <w:t>prior to 1 July 2015</w:t>
      </w:r>
      <w:r w:rsidRPr="00BA2044">
        <w:t>.</w:t>
      </w:r>
      <w:r>
        <w:rPr>
          <w:rStyle w:val="FootnoteReference"/>
        </w:rPr>
        <w:footnoteReference w:id="14"/>
      </w:r>
      <w:r>
        <w:t xml:space="preserve"> </w:t>
      </w:r>
      <w:r w:rsidRPr="00BA2044">
        <w:t xml:space="preserve">Therefore, for the purposes of this draft decision, we will add </w:t>
      </w:r>
      <w:r>
        <w:t>Ausgrid's</w:t>
      </w:r>
      <w:r w:rsidRPr="00BA2044">
        <w:t xml:space="preserve"> actual or estimated capex in the </w:t>
      </w:r>
      <w:r w:rsidR="00861998">
        <w:t>2009</w:t>
      </w:r>
      <w:r w:rsidR="00D2419B">
        <w:t>–</w:t>
      </w:r>
      <w:r w:rsidR="00861998">
        <w:t>14</w:t>
      </w:r>
      <w:r w:rsidR="00861998" w:rsidRPr="00BA2044">
        <w:t xml:space="preserve"> </w:t>
      </w:r>
      <w:r w:rsidRPr="00BA2044">
        <w:t xml:space="preserve">regulatory control </w:t>
      </w:r>
      <w:proofErr w:type="gramStart"/>
      <w:r w:rsidRPr="00BA2044">
        <w:t>period</w:t>
      </w:r>
      <w:proofErr w:type="gramEnd"/>
      <w:r w:rsidRPr="00BA2044">
        <w:t xml:space="preserve"> to the RAB. </w:t>
      </w:r>
      <w:r w:rsidR="00850BFE">
        <w:t>We</w:t>
      </w:r>
      <w:r w:rsidR="0075167F" w:rsidRPr="0075167F">
        <w:t xml:space="preserve"> check actual capex amounts against </w:t>
      </w:r>
      <w:r>
        <w:t xml:space="preserve">audited </w:t>
      </w:r>
      <w:r w:rsidR="00850BFE">
        <w:t>annual</w:t>
      </w:r>
      <w:r w:rsidR="0018730B">
        <w:t xml:space="preserve"> reporting</w:t>
      </w:r>
      <w:r w:rsidR="00850BFE">
        <w:t xml:space="preserve"> </w:t>
      </w:r>
      <w:r w:rsidR="0075167F" w:rsidRPr="0075167F">
        <w:t xml:space="preserve">regulatory </w:t>
      </w:r>
      <w:r w:rsidR="00850BFE">
        <w:t>information notice</w:t>
      </w:r>
      <w:r w:rsidR="0075167F" w:rsidRPr="0075167F">
        <w:t xml:space="preserve"> </w:t>
      </w:r>
      <w:r w:rsidR="00850BFE">
        <w:t xml:space="preserve">(RIN) </w:t>
      </w:r>
      <w:r w:rsidR="0075167F" w:rsidRPr="0075167F">
        <w:lastRenderedPageBreak/>
        <w:t xml:space="preserve">data and generally accept the capex reported in those </w:t>
      </w:r>
      <w:r w:rsidR="00850BFE">
        <w:t>RINs</w:t>
      </w:r>
      <w:r w:rsidR="0075167F" w:rsidRPr="0075167F">
        <w:t xml:space="preserve"> in rolling forward the RAB. However, there may be instances where adjustments are </w:t>
      </w:r>
      <w:r w:rsidR="00850BFE">
        <w:t>required</w:t>
      </w:r>
      <w:r w:rsidR="0075167F" w:rsidRPr="0075167F">
        <w:t xml:space="preserve"> to the </w:t>
      </w:r>
      <w:r w:rsidR="0018730B">
        <w:t xml:space="preserve">annual reporting </w:t>
      </w:r>
      <w:r w:rsidR="00850BFE">
        <w:t>RIN</w:t>
      </w:r>
      <w:r w:rsidR="0075167F" w:rsidRPr="0075167F">
        <w:t xml:space="preserve"> data because it is not fit for purpose due to a particular issue.</w:t>
      </w:r>
      <w:r w:rsidR="00D53863">
        <w:t xml:space="preserve"> </w:t>
      </w:r>
    </w:p>
    <w:p w:rsidR="0075167F" w:rsidRPr="0075167F" w:rsidRDefault="00423581" w:rsidP="006B735D">
      <w:pPr>
        <w:pStyle w:val="AERbulletlistfirststyle"/>
      </w:pPr>
      <w:r>
        <w:t>S</w:t>
      </w:r>
      <w:r w:rsidR="0075167F" w:rsidRPr="0075167F">
        <w:t xml:space="preserve">ubtracting depreciation </w:t>
      </w:r>
      <w:r w:rsidR="009C544E">
        <w:t xml:space="preserve">from the RAB </w:t>
      </w:r>
      <w:r w:rsidR="0075167F" w:rsidRPr="0075167F">
        <w:t>for the relevant year</w:t>
      </w:r>
      <w:r w:rsidRPr="00423581">
        <w:t xml:space="preserve"> </w:t>
      </w:r>
      <w:r w:rsidRPr="00DF0243">
        <w:t xml:space="preserve">calculated in accordance with the </w:t>
      </w:r>
      <w:r w:rsidR="000F4EFE">
        <w:t xml:space="preserve">relevant </w:t>
      </w:r>
      <w:r>
        <w:t>distribution</w:t>
      </w:r>
      <w:r w:rsidRPr="00DF0243">
        <w:t xml:space="preserve"> determination for </w:t>
      </w:r>
      <w:r w:rsidR="000F4EFE">
        <w:t>that year</w:t>
      </w:r>
      <w:r w:rsidRPr="0075167F">
        <w:t>.</w:t>
      </w:r>
      <w:r>
        <w:rPr>
          <w:rStyle w:val="FootnoteReference"/>
        </w:rPr>
        <w:footnoteReference w:id="15"/>
      </w:r>
      <w:r w:rsidR="0075167F" w:rsidRPr="0075167F">
        <w:t xml:space="preserve"> Depreciation based on forecast or actual capex can be used to roll forward the RAB.</w:t>
      </w:r>
      <w:r w:rsidR="00DA0B99">
        <w:rPr>
          <w:rStyle w:val="FootnoteReference"/>
        </w:rPr>
        <w:footnoteReference w:id="16"/>
      </w:r>
      <w:r w:rsidR="0075167F" w:rsidRPr="0075167F">
        <w:t xml:space="preserve"> By default the RFM applies the depreciation approach based on actual capex, although this can be modified to apply a</w:t>
      </w:r>
      <w:r w:rsidR="0075167F">
        <w:t xml:space="preserve"> depreciation approach </w:t>
      </w:r>
      <w:r w:rsidR="00D2419B">
        <w:t xml:space="preserve">based on forecast capex </w:t>
      </w:r>
      <w:r w:rsidR="00850BFE">
        <w:t xml:space="preserve">if </w:t>
      </w:r>
      <w:r w:rsidR="0075167F" w:rsidRPr="0075167F">
        <w:t>necessary.</w:t>
      </w:r>
      <w:r w:rsidR="006B735D">
        <w:t xml:space="preserve"> </w:t>
      </w:r>
      <w:r w:rsidR="006B735D" w:rsidRPr="006B735D">
        <w:t xml:space="preserve">For this draft decision, we use depreciation based on actual capex for rolling forward </w:t>
      </w:r>
      <w:r>
        <w:t>Ausgrid</w:t>
      </w:r>
      <w:r w:rsidR="006B735D" w:rsidRPr="006B735D">
        <w:t xml:space="preserve">'s RAB </w:t>
      </w:r>
      <w:r w:rsidR="006B735D">
        <w:t>values over the 2009–14 regulatory control period</w:t>
      </w:r>
      <w:r w:rsidR="006B735D" w:rsidRPr="006B735D">
        <w:t>.</w:t>
      </w:r>
      <w:r w:rsidR="006B735D">
        <w:rPr>
          <w:rStyle w:val="FootnoteReference"/>
        </w:rPr>
        <w:footnoteReference w:id="17"/>
      </w:r>
    </w:p>
    <w:p w:rsidR="0075167F" w:rsidRDefault="00423581" w:rsidP="0075167F">
      <w:pPr>
        <w:pStyle w:val="AERbulletlistfirststyle"/>
      </w:pPr>
      <w:r>
        <w:t>S</w:t>
      </w:r>
      <w:r w:rsidR="0075167F" w:rsidRPr="0075167F">
        <w:t>ubtracting any disposals and capital contrib</w:t>
      </w:r>
      <w:r w:rsidR="00850BFE">
        <w:t>utions</w:t>
      </w:r>
      <w:r w:rsidR="009C544E">
        <w:t xml:space="preserve"> from the RAB</w:t>
      </w:r>
      <w:r w:rsidR="00850BFE">
        <w:t xml:space="preserve"> for the relevant year.</w:t>
      </w:r>
      <w:r w:rsidR="00850BFE">
        <w:rPr>
          <w:rStyle w:val="FootnoteReference"/>
        </w:rPr>
        <w:footnoteReference w:id="18"/>
      </w:r>
      <w:r w:rsidR="0075167F" w:rsidRPr="0075167F">
        <w:t xml:space="preserve"> </w:t>
      </w:r>
      <w:r w:rsidR="00850BFE">
        <w:t xml:space="preserve">We </w:t>
      </w:r>
      <w:r w:rsidR="0075167F" w:rsidRPr="0075167F">
        <w:t xml:space="preserve">will check these amounts against </w:t>
      </w:r>
      <w:r w:rsidR="0018730B">
        <w:t xml:space="preserve">annual reporting </w:t>
      </w:r>
      <w:r w:rsidR="00850BFE">
        <w:t xml:space="preserve">RIN </w:t>
      </w:r>
      <w:r w:rsidR="0075167F" w:rsidRPr="0075167F">
        <w:t>data.</w:t>
      </w:r>
    </w:p>
    <w:p w:rsidR="00850BFE" w:rsidRDefault="00850BFE" w:rsidP="00850BFE">
      <w:pPr>
        <w:pStyle w:val="AERbulletlistfirststyle"/>
        <w:numPr>
          <w:ilvl w:val="0"/>
          <w:numId w:val="0"/>
        </w:numPr>
        <w:rPr>
          <w:rStyle w:val="AERbody"/>
        </w:rPr>
      </w:pPr>
      <w:r w:rsidRPr="00850BFE">
        <w:rPr>
          <w:rStyle w:val="AERbody"/>
        </w:rPr>
        <w:t xml:space="preserve">These annual adjustments give the closing RAB for any particular year, </w:t>
      </w:r>
      <w:r w:rsidR="00423581">
        <w:rPr>
          <w:rStyle w:val="AERbody"/>
        </w:rPr>
        <w:t>which</w:t>
      </w:r>
      <w:r w:rsidRPr="00850BFE">
        <w:rPr>
          <w:rStyle w:val="AERbody"/>
        </w:rPr>
        <w:t xml:space="preserve"> then becomes the opening RAB for the following year. Through this process the RFM rolls forward the RAB to the end of the </w:t>
      </w:r>
      <w:r w:rsidR="00206C0B">
        <w:rPr>
          <w:rStyle w:val="AERbody"/>
        </w:rPr>
        <w:t xml:space="preserve">2009–14 </w:t>
      </w:r>
      <w:r w:rsidRPr="00850BFE">
        <w:rPr>
          <w:rStyle w:val="AERbody"/>
        </w:rPr>
        <w:t xml:space="preserve">regulatory control </w:t>
      </w:r>
      <w:proofErr w:type="gramStart"/>
      <w:r w:rsidRPr="00850BFE">
        <w:rPr>
          <w:rStyle w:val="AERbody"/>
        </w:rPr>
        <w:t>period</w:t>
      </w:r>
      <w:proofErr w:type="gramEnd"/>
      <w:r w:rsidRPr="00850BFE">
        <w:rPr>
          <w:rStyle w:val="AERbody"/>
        </w:rPr>
        <w:t xml:space="preserve">. The PTRM used to calculate the annual revenue requirement for the </w:t>
      </w:r>
      <w:r w:rsidR="00206C0B">
        <w:rPr>
          <w:rStyle w:val="AERbody"/>
        </w:rPr>
        <w:t xml:space="preserve">2014–19 </w:t>
      </w:r>
      <w:r w:rsidRPr="00850BFE">
        <w:rPr>
          <w:rStyle w:val="AERbody"/>
        </w:rPr>
        <w:t xml:space="preserve">period generally adopts the same </w:t>
      </w:r>
      <w:r w:rsidR="00206C0B">
        <w:rPr>
          <w:rStyle w:val="AERbody"/>
        </w:rPr>
        <w:t xml:space="preserve">RAB </w:t>
      </w:r>
      <w:r w:rsidRPr="00850BFE">
        <w:rPr>
          <w:rStyle w:val="AERbody"/>
        </w:rPr>
        <w:t>roll forward approach as the RFM, although the annual adjustments to the RAB are based on forecasts, rather than actual amounts.</w:t>
      </w:r>
    </w:p>
    <w:p w:rsidR="00DA0B99" w:rsidRDefault="00DA0B99" w:rsidP="008C0388">
      <w:pPr>
        <w:pStyle w:val="AERbodytext"/>
        <w:rPr>
          <w:rStyle w:val="AERbody"/>
        </w:rPr>
      </w:pPr>
      <w:r w:rsidRPr="008C0388">
        <w:rPr>
          <w:rStyle w:val="AERbody"/>
        </w:rPr>
        <w:t>We are required to decide whether depreciation for establishing the service provider's RAB as at the commencement of the 2019–24 regulatory control period is to be based on actual or forecast capex.</w:t>
      </w:r>
      <w:r>
        <w:rPr>
          <w:rStyle w:val="FootnoteReference"/>
        </w:rPr>
        <w:footnoteReference w:id="19"/>
      </w:r>
      <w:r w:rsidRPr="008C0388">
        <w:rPr>
          <w:rStyle w:val="AERbody"/>
        </w:rPr>
        <w:t xml:space="preserve"> </w:t>
      </w:r>
    </w:p>
    <w:p w:rsidR="00DA0B99" w:rsidRDefault="00206C0B" w:rsidP="008C0388">
      <w:pPr>
        <w:pStyle w:val="AERbodytext"/>
        <w:rPr>
          <w:rStyle w:val="AERbody"/>
        </w:rPr>
      </w:pPr>
      <w:r w:rsidRPr="00206C0B">
        <w:rPr>
          <w:rStyle w:val="AERbody"/>
        </w:rPr>
        <w:t>The opening RAB for the 20</w:t>
      </w:r>
      <w:r>
        <w:rPr>
          <w:rStyle w:val="AERbody"/>
        </w:rPr>
        <w:t>19</w:t>
      </w:r>
      <w:r w:rsidRPr="00206C0B">
        <w:rPr>
          <w:rStyle w:val="AERbody"/>
        </w:rPr>
        <w:t>–2</w:t>
      </w:r>
      <w:r>
        <w:rPr>
          <w:rStyle w:val="AERbody"/>
        </w:rPr>
        <w:t>4</w:t>
      </w:r>
      <w:r w:rsidRPr="00206C0B">
        <w:rPr>
          <w:rStyle w:val="AERbody"/>
        </w:rPr>
        <w:t xml:space="preserve"> regulatory control period can be determined using depreciation based either on forecast or actual capex incurred during the </w:t>
      </w:r>
      <w:r w:rsidR="00423581">
        <w:rPr>
          <w:rStyle w:val="AERbody"/>
        </w:rPr>
        <w:t>2014–19</w:t>
      </w:r>
      <w:r w:rsidR="00423581" w:rsidRPr="00206C0B">
        <w:rPr>
          <w:rStyle w:val="AERbody"/>
        </w:rPr>
        <w:t xml:space="preserve"> </w:t>
      </w:r>
      <w:r w:rsidRPr="00206C0B">
        <w:rPr>
          <w:rStyle w:val="AERbody"/>
        </w:rPr>
        <w:t>period. To</w:t>
      </w:r>
      <w:r>
        <w:rPr>
          <w:rStyle w:val="AERbody"/>
        </w:rPr>
        <w:t xml:space="preserve"> </w:t>
      </w:r>
      <w:r w:rsidRPr="00206C0B">
        <w:rPr>
          <w:rStyle w:val="AERbody"/>
        </w:rPr>
        <w:t xml:space="preserve">roll forward the RAB using depreciation based on forecast capex, </w:t>
      </w:r>
      <w:r>
        <w:rPr>
          <w:rStyle w:val="AERbody"/>
        </w:rPr>
        <w:t>we</w:t>
      </w:r>
      <w:r w:rsidRPr="00206C0B">
        <w:rPr>
          <w:rStyle w:val="AERbody"/>
        </w:rPr>
        <w:t xml:space="preserve"> would use the forecast depreciation contained in the PTRM for the </w:t>
      </w:r>
      <w:r w:rsidR="00423581">
        <w:rPr>
          <w:rStyle w:val="AERbody"/>
        </w:rPr>
        <w:t>2014–19</w:t>
      </w:r>
      <w:r w:rsidR="00423581" w:rsidRPr="00206C0B">
        <w:rPr>
          <w:rStyle w:val="AERbody"/>
        </w:rPr>
        <w:t xml:space="preserve"> </w:t>
      </w:r>
      <w:r w:rsidRPr="00206C0B">
        <w:rPr>
          <w:rStyle w:val="AERbody"/>
        </w:rPr>
        <w:t xml:space="preserve">period, adjusted for actual inflation. If the approach to roll forward the RAB using depreciation based on actual capex was adopted, </w:t>
      </w:r>
      <w:r>
        <w:rPr>
          <w:rStyle w:val="AERbody"/>
        </w:rPr>
        <w:t>we</w:t>
      </w:r>
      <w:r w:rsidRPr="00206C0B">
        <w:rPr>
          <w:rStyle w:val="AERbody"/>
        </w:rPr>
        <w:t xml:space="preserve"> would recalculate the depreciation based on actual capex incurred during the 201</w:t>
      </w:r>
      <w:r>
        <w:rPr>
          <w:rStyle w:val="AERbody"/>
        </w:rPr>
        <w:t>4</w:t>
      </w:r>
      <w:r w:rsidRPr="00206C0B">
        <w:rPr>
          <w:rStyle w:val="AERbody"/>
        </w:rPr>
        <w:t>–1</w:t>
      </w:r>
      <w:r>
        <w:rPr>
          <w:rStyle w:val="AERbody"/>
        </w:rPr>
        <w:t>9</w:t>
      </w:r>
      <w:r w:rsidRPr="00206C0B">
        <w:rPr>
          <w:rStyle w:val="AERbody"/>
        </w:rPr>
        <w:t xml:space="preserve"> period. </w:t>
      </w:r>
    </w:p>
    <w:p w:rsidR="008C0388" w:rsidRPr="008C0388" w:rsidRDefault="008C0388" w:rsidP="008C0388">
      <w:pPr>
        <w:pStyle w:val="AERbodytext"/>
        <w:rPr>
          <w:rStyle w:val="AERbody"/>
        </w:rPr>
      </w:pPr>
      <w:r w:rsidRPr="008C0388">
        <w:rPr>
          <w:rStyle w:val="AERbody"/>
        </w:rPr>
        <w:t>Our decision on whether to use actual or forecast depreciation must be consistent with the capex incentive objective. We must have regard to:</w:t>
      </w:r>
      <w:r w:rsidR="00EC7B7E">
        <w:rPr>
          <w:rStyle w:val="FootnoteReference"/>
        </w:rPr>
        <w:footnoteReference w:id="20"/>
      </w:r>
      <w:r w:rsidRPr="008C0388">
        <w:rPr>
          <w:rStyle w:val="AERbody"/>
        </w:rPr>
        <w:t xml:space="preserve"> </w:t>
      </w:r>
    </w:p>
    <w:p w:rsidR="008C0388" w:rsidRPr="008C0388" w:rsidRDefault="008C0388" w:rsidP="008C0388">
      <w:pPr>
        <w:pStyle w:val="AERbulletlistfirststyle"/>
        <w:rPr>
          <w:rStyle w:val="AERbody"/>
        </w:rPr>
      </w:pPr>
      <w:r w:rsidRPr="008C0388">
        <w:rPr>
          <w:rStyle w:val="AERbody"/>
        </w:rPr>
        <w:t>any other incentives the service provider has to undertake efficient capex</w:t>
      </w:r>
    </w:p>
    <w:p w:rsidR="008C0388" w:rsidRPr="008C0388" w:rsidRDefault="008C0388" w:rsidP="008C0388">
      <w:pPr>
        <w:pStyle w:val="AERbulletlistfirststyle"/>
        <w:rPr>
          <w:rStyle w:val="AERbody"/>
        </w:rPr>
      </w:pPr>
      <w:r w:rsidRPr="008C0388">
        <w:rPr>
          <w:rStyle w:val="AERbody"/>
        </w:rPr>
        <w:t>substitution possibilities between assets with different lives</w:t>
      </w:r>
    </w:p>
    <w:p w:rsidR="008C0388" w:rsidRPr="008C0388" w:rsidRDefault="008C0388" w:rsidP="008C0388">
      <w:pPr>
        <w:pStyle w:val="AERbulletlistfirststyle"/>
        <w:rPr>
          <w:rStyle w:val="AERbody"/>
        </w:rPr>
      </w:pPr>
      <w:r w:rsidRPr="008C0388">
        <w:rPr>
          <w:rStyle w:val="AERbody"/>
        </w:rPr>
        <w:t>the extent of overspending and inefficient overspending relative to the allowed forecast</w:t>
      </w:r>
    </w:p>
    <w:p w:rsidR="008C0388" w:rsidRPr="008C0388" w:rsidRDefault="008C0388" w:rsidP="008C0388">
      <w:pPr>
        <w:pStyle w:val="AERbulletlistfirststyle"/>
        <w:rPr>
          <w:rStyle w:val="AERbody"/>
        </w:rPr>
      </w:pPr>
      <w:r w:rsidRPr="008C0388">
        <w:rPr>
          <w:rStyle w:val="AERbody"/>
        </w:rPr>
        <w:t>the capex incentive guideline</w:t>
      </w:r>
    </w:p>
    <w:p w:rsidR="00206C0B" w:rsidRPr="008C0388" w:rsidRDefault="008C0388" w:rsidP="008C0388">
      <w:pPr>
        <w:pStyle w:val="AERbulletlistfirststyle"/>
        <w:rPr>
          <w:rStyle w:val="AERbody"/>
        </w:rPr>
      </w:pPr>
      <w:proofErr w:type="gramStart"/>
      <w:r w:rsidRPr="008C0388">
        <w:rPr>
          <w:rStyle w:val="AERbody"/>
        </w:rPr>
        <w:t>the</w:t>
      </w:r>
      <w:proofErr w:type="gramEnd"/>
      <w:r w:rsidRPr="008C0388">
        <w:rPr>
          <w:rStyle w:val="AERbody"/>
        </w:rPr>
        <w:t xml:space="preserve"> capital expenditure factors.</w:t>
      </w:r>
    </w:p>
    <w:p w:rsidR="00D97003" w:rsidRDefault="00D97003" w:rsidP="00D97003">
      <w:pPr>
        <w:pStyle w:val="Heading3"/>
      </w:pPr>
      <w:bookmarkStart w:id="27" w:name="_Toc387916799"/>
      <w:bookmarkStart w:id="28" w:name="_Toc404356957"/>
      <w:r w:rsidRPr="00E94C06">
        <w:t>Interrelationships</w:t>
      </w:r>
      <w:bookmarkEnd w:id="27"/>
      <w:bookmarkEnd w:id="28"/>
      <w:r w:rsidRPr="00E94C06">
        <w:t xml:space="preserve"> </w:t>
      </w:r>
    </w:p>
    <w:p w:rsidR="008C3A61" w:rsidRPr="008C3A61" w:rsidRDefault="008C3A61" w:rsidP="008C3A61">
      <w:pPr>
        <w:pStyle w:val="AERbodytext"/>
      </w:pPr>
      <w:r w:rsidRPr="008C3A61">
        <w:t xml:space="preserve">The RAB is an input into the determination of the return on capital and depreciation (return of capital) </w:t>
      </w:r>
      <w:r w:rsidR="000F4EFE">
        <w:t xml:space="preserve">building block </w:t>
      </w:r>
      <w:r w:rsidRPr="008C3A61">
        <w:t>allowances.</w:t>
      </w:r>
      <w:r>
        <w:rPr>
          <w:rStyle w:val="FootnoteReference"/>
        </w:rPr>
        <w:footnoteReference w:id="21"/>
      </w:r>
      <w:r w:rsidRPr="008C3A61">
        <w:t xml:space="preserve"> Factors that influence the RAB will therefore flow through to these </w:t>
      </w:r>
      <w:r w:rsidRPr="008C3A61">
        <w:lastRenderedPageBreak/>
        <w:t>building block components and the annual revenue requirement. Other things being equal, a higher RAB increases both the return on capital and depreciation allowances.</w:t>
      </w:r>
    </w:p>
    <w:p w:rsidR="008C3A61" w:rsidRPr="008C3A61" w:rsidRDefault="008C3A61" w:rsidP="008C3A61">
      <w:pPr>
        <w:pStyle w:val="AERbodytext"/>
      </w:pPr>
      <w:r w:rsidRPr="008C3A61">
        <w:t>The RAB is determined by various factors, including;</w:t>
      </w:r>
    </w:p>
    <w:p w:rsidR="008C3A61" w:rsidRPr="008C3A61" w:rsidRDefault="00766801" w:rsidP="008C3A61">
      <w:pPr>
        <w:pStyle w:val="AERbulletlistfirststyle"/>
      </w:pPr>
      <w:r>
        <w:t>t</w:t>
      </w:r>
      <w:r w:rsidR="008C3A61" w:rsidRPr="008C3A61">
        <w:t>he opening RAB (meaning the value of existing assets at the beginning of the regulatory control period)</w:t>
      </w:r>
    </w:p>
    <w:p w:rsidR="008C3A61" w:rsidRPr="008C3A61" w:rsidRDefault="00EC7B7E" w:rsidP="008C3A61">
      <w:pPr>
        <w:pStyle w:val="AERbulletlistfirststyle"/>
      </w:pPr>
      <w:r>
        <w:t xml:space="preserve">net </w:t>
      </w:r>
      <w:r w:rsidR="00766801">
        <w:t>c</w:t>
      </w:r>
      <w:r w:rsidR="008C3A61" w:rsidRPr="008C3A61">
        <w:t>apex</w:t>
      </w:r>
      <w:r w:rsidR="008C3A61">
        <w:rPr>
          <w:rStyle w:val="FootnoteReference"/>
        </w:rPr>
        <w:footnoteReference w:id="22"/>
      </w:r>
    </w:p>
    <w:p w:rsidR="008C3A61" w:rsidRPr="008C3A61" w:rsidRDefault="00766801" w:rsidP="008C3A61">
      <w:pPr>
        <w:pStyle w:val="AERbulletlistfirststyle"/>
      </w:pPr>
      <w:r>
        <w:t>d</w:t>
      </w:r>
      <w:r w:rsidR="008C3A61" w:rsidRPr="008C3A61">
        <w:t>epreciation</w:t>
      </w:r>
    </w:p>
    <w:p w:rsidR="008C3A61" w:rsidRPr="008C3A61" w:rsidRDefault="00766801" w:rsidP="008C3A61">
      <w:pPr>
        <w:pStyle w:val="AERbulletlistfirststyle"/>
      </w:pPr>
      <w:proofErr w:type="gramStart"/>
      <w:r>
        <w:t>i</w:t>
      </w:r>
      <w:r w:rsidR="008C3A61" w:rsidRPr="008C3A61">
        <w:t>ndexation</w:t>
      </w:r>
      <w:proofErr w:type="gramEnd"/>
      <w:r w:rsidR="008C3A61" w:rsidRPr="008C3A61">
        <w:t xml:space="preserve"> adjustment – so the RAB is presented in nominal terms, consistent with the </w:t>
      </w:r>
      <w:r w:rsidR="00A803F5">
        <w:t>rate of return</w:t>
      </w:r>
      <w:r w:rsidR="008C3A61" w:rsidRPr="008C3A61">
        <w:t>.</w:t>
      </w:r>
    </w:p>
    <w:p w:rsidR="008C3A61" w:rsidRPr="008C3A61" w:rsidRDefault="008C3A61" w:rsidP="008C3A61">
      <w:pPr>
        <w:pStyle w:val="AERbodytext"/>
      </w:pPr>
      <w:r w:rsidRPr="008C3A61">
        <w:t xml:space="preserve">The opening RAB depends on the value of existing assets and will depend on actual </w:t>
      </w:r>
      <w:r w:rsidR="00EC7B7E">
        <w:t xml:space="preserve">net </w:t>
      </w:r>
      <w:r w:rsidRPr="008C3A61">
        <w:t xml:space="preserve">capex, actual inflation outcomes and depreciation in the past. </w:t>
      </w:r>
    </w:p>
    <w:p w:rsidR="008C3A61" w:rsidRPr="008C3A61" w:rsidRDefault="008C3A61" w:rsidP="008C3A61">
      <w:pPr>
        <w:pStyle w:val="AERbodytext"/>
      </w:pPr>
      <w:r w:rsidRPr="008C3A61">
        <w:t xml:space="preserve">The RAB when projected to the end of the regulatory control period increases due to both </w:t>
      </w:r>
      <w:r w:rsidR="00740574">
        <w:t xml:space="preserve">forecast </w:t>
      </w:r>
      <w:r w:rsidRPr="008C3A61">
        <w:t xml:space="preserve">new capex and the indexation adjustment. The size of the indexation adjustment depends on expected inflation (which also affects the nominal rate of return or WACC) and the size of the RAB at the start of each year. </w:t>
      </w:r>
    </w:p>
    <w:p w:rsidR="008C3A61" w:rsidRDefault="008C3A61" w:rsidP="008C3A61">
      <w:pPr>
        <w:pStyle w:val="AERbodytext"/>
      </w:pPr>
      <w:r w:rsidRPr="008C3A61">
        <w:t xml:space="preserve">Depreciation reduces the RAB. The depreciation allowance depends on the size of the opening RAB and the forecast </w:t>
      </w:r>
      <w:r w:rsidR="00EC7B7E">
        <w:t xml:space="preserve">net </w:t>
      </w:r>
      <w:r w:rsidRPr="008C3A61">
        <w:t xml:space="preserve">capex. By convention, the indexation adjustment is also offset against depreciation to prevent double counting of inflation in the RAB and </w:t>
      </w:r>
      <w:r w:rsidR="00A803F5">
        <w:t>rate of return</w:t>
      </w:r>
      <w:r w:rsidRPr="008C3A61">
        <w:t>, which are both presented in nominal terms. This reduces the apparent depreciation building block that feeds into the annual revenue requirement.</w:t>
      </w:r>
    </w:p>
    <w:p w:rsidR="00E651B8" w:rsidRPr="009179D3" w:rsidRDefault="00321739" w:rsidP="00E651B8">
      <w:pPr>
        <w:pStyle w:val="AERbodytext"/>
      </w:pPr>
      <w:r>
        <w:fldChar w:fldCharType="begin"/>
      </w:r>
      <w:r>
        <w:instrText xml:space="preserve"> REF _Ref404633432 \h </w:instrText>
      </w:r>
      <w:r>
        <w:fldChar w:fldCharType="separate"/>
      </w:r>
      <w:r>
        <w:t xml:space="preserve">Figure </w:t>
      </w:r>
      <w:r>
        <w:rPr>
          <w:noProof/>
        </w:rPr>
        <w:t>2</w:t>
      </w:r>
      <w:r>
        <w:noBreakHyphen/>
      </w:r>
      <w:r>
        <w:rPr>
          <w:noProof/>
        </w:rPr>
        <w:t>1</w:t>
      </w:r>
      <w:r>
        <w:fldChar w:fldCharType="end"/>
      </w:r>
      <w:r w:rsidR="00D242AD">
        <w:t xml:space="preserve"> </w:t>
      </w:r>
      <w:r w:rsidR="00E651B8" w:rsidRPr="009179D3">
        <w:t xml:space="preserve">shows the key drivers of the change in </w:t>
      </w:r>
      <w:r w:rsidR="00E651B8">
        <w:t xml:space="preserve">the distribution </w:t>
      </w:r>
      <w:r w:rsidR="00E651B8" w:rsidRPr="009179D3">
        <w:t xml:space="preserve">RAB over the </w:t>
      </w:r>
      <w:r w:rsidR="00766801">
        <w:t xml:space="preserve">2014–19 </w:t>
      </w:r>
      <w:proofErr w:type="gramStart"/>
      <w:r w:rsidR="00E651B8" w:rsidRPr="009179D3">
        <w:t>period</w:t>
      </w:r>
      <w:proofErr w:type="gramEnd"/>
      <w:r w:rsidR="00E651B8" w:rsidRPr="009179D3">
        <w:t xml:space="preserve"> as proposed by </w:t>
      </w:r>
      <w:r w:rsidR="00E651B8">
        <w:t>Ausgrid</w:t>
      </w:r>
      <w:r w:rsidR="00E651B8" w:rsidRPr="009179D3">
        <w:t xml:space="preserve">. Overall, the closing RAB </w:t>
      </w:r>
      <w:r w:rsidR="00766801">
        <w:t xml:space="preserve">at the end of the 2014–19 period </w:t>
      </w:r>
      <w:r w:rsidR="00E651B8" w:rsidRPr="009179D3">
        <w:t>wo</w:t>
      </w:r>
      <w:r w:rsidR="00E651B8">
        <w:t>uld be 28</w:t>
      </w:r>
      <w:r w:rsidR="00E651B8" w:rsidRPr="009179D3">
        <w:t xml:space="preserve"> per cent higher than the opening RAB</w:t>
      </w:r>
      <w:r w:rsidR="00766801" w:rsidRPr="00766801">
        <w:t xml:space="preserve"> </w:t>
      </w:r>
      <w:r w:rsidR="00766801">
        <w:t>at the start of that period</w:t>
      </w:r>
      <w:r w:rsidR="00E651B8" w:rsidRPr="009179D3">
        <w:t xml:space="preserve"> based on the proposal</w:t>
      </w:r>
      <w:r w:rsidR="005951F7">
        <w:t>, in nominal terms</w:t>
      </w:r>
      <w:r w:rsidR="00E651B8" w:rsidRPr="009179D3">
        <w:t xml:space="preserve">. </w:t>
      </w:r>
      <w:r w:rsidR="00EC7B7E">
        <w:t>The proposed f</w:t>
      </w:r>
      <w:r w:rsidR="00E651B8" w:rsidRPr="009179D3">
        <w:t xml:space="preserve">orecast </w:t>
      </w:r>
      <w:r w:rsidR="00EC7B7E">
        <w:t xml:space="preserve">net </w:t>
      </w:r>
      <w:r w:rsidR="00E651B8" w:rsidRPr="009179D3">
        <w:t xml:space="preserve">capex increases the RAB by about </w:t>
      </w:r>
      <w:r w:rsidR="00E651B8">
        <w:t>34</w:t>
      </w:r>
      <w:r w:rsidR="00E651B8" w:rsidRPr="009179D3">
        <w:t xml:space="preserve"> per cent, while in</w:t>
      </w:r>
      <w:r w:rsidR="00E651B8">
        <w:t>flation increases it by about 14</w:t>
      </w:r>
      <w:r w:rsidR="00E651B8" w:rsidRPr="009179D3">
        <w:t xml:space="preserve"> per cent. Depreciation, on the other hand, reduces the RAB by about </w:t>
      </w:r>
      <w:r w:rsidR="00E651B8">
        <w:t>2</w:t>
      </w:r>
      <w:r w:rsidR="00766801">
        <w:t>0</w:t>
      </w:r>
      <w:r w:rsidR="00E651B8" w:rsidRPr="009179D3">
        <w:t xml:space="preserve"> per cent. </w:t>
      </w:r>
    </w:p>
    <w:p w:rsidR="00380F49" w:rsidRPr="005C6CB9" w:rsidRDefault="00321739" w:rsidP="00380F49">
      <w:pPr>
        <w:pStyle w:val="AERbodytext"/>
      </w:pPr>
      <w:r>
        <w:fldChar w:fldCharType="begin"/>
      </w:r>
      <w:r>
        <w:instrText xml:space="preserve"> REF _Ref398112331 \h </w:instrText>
      </w:r>
      <w:r>
        <w:fldChar w:fldCharType="separate"/>
      </w:r>
      <w:r>
        <w:t xml:space="preserve">Figure </w:t>
      </w:r>
      <w:r>
        <w:rPr>
          <w:noProof/>
        </w:rPr>
        <w:t>2</w:t>
      </w:r>
      <w:r>
        <w:noBreakHyphen/>
      </w:r>
      <w:r>
        <w:rPr>
          <w:noProof/>
        </w:rPr>
        <w:t>2</w:t>
      </w:r>
      <w:r>
        <w:fldChar w:fldCharType="end"/>
      </w:r>
      <w:r w:rsidR="00380F49">
        <w:t xml:space="preserve"> </w:t>
      </w:r>
      <w:r w:rsidR="00380F49" w:rsidRPr="005C6CB9">
        <w:t xml:space="preserve">shows the key drivers of the change in the </w:t>
      </w:r>
      <w:r w:rsidR="00380F49">
        <w:t>transmissio</w:t>
      </w:r>
      <w:r w:rsidR="00380F49" w:rsidRPr="005C6CB9">
        <w:t>n RAB over the 2014</w:t>
      </w:r>
      <w:r w:rsidR="00380F49">
        <w:t>–</w:t>
      </w:r>
      <w:r w:rsidR="00380F49" w:rsidRPr="005C6CB9">
        <w:t xml:space="preserve">19 </w:t>
      </w:r>
      <w:proofErr w:type="gramStart"/>
      <w:r w:rsidR="00380F49" w:rsidRPr="005C6CB9">
        <w:t>period</w:t>
      </w:r>
      <w:proofErr w:type="gramEnd"/>
      <w:r w:rsidR="00380F49" w:rsidRPr="005C6CB9">
        <w:t xml:space="preserve"> as proposed by Ausgrid. Overall, the closing RAB at the end of the 2014</w:t>
      </w:r>
      <w:r w:rsidR="00380F49">
        <w:t>–</w:t>
      </w:r>
      <w:r w:rsidR="00380F49" w:rsidRPr="005C6CB9">
        <w:t>19 period would be 2</w:t>
      </w:r>
      <w:r w:rsidR="00380F49">
        <w:t>5</w:t>
      </w:r>
      <w:r w:rsidR="00380F49" w:rsidRPr="005C6CB9">
        <w:t xml:space="preserve"> per cent higher than the opening RAB at the start of that period based on the proposal</w:t>
      </w:r>
      <w:r w:rsidR="00740574">
        <w:t>, in nominal terms</w:t>
      </w:r>
      <w:r w:rsidR="00380F49" w:rsidRPr="005C6CB9">
        <w:t xml:space="preserve">. The proposed forecast net capex increases the RAB by about </w:t>
      </w:r>
      <w:r w:rsidR="00380F49">
        <w:t>29</w:t>
      </w:r>
      <w:r w:rsidR="00380F49" w:rsidRPr="005C6CB9">
        <w:t xml:space="preserve"> per cent, while inflation increases it by about 14 per cent. Depreciation, on the other hand, reduces the RAB by about </w:t>
      </w:r>
      <w:r w:rsidR="00380F49">
        <w:t>18</w:t>
      </w:r>
      <w:r w:rsidR="00380F49" w:rsidRPr="005C6CB9">
        <w:t xml:space="preserve"> per cent. </w:t>
      </w:r>
    </w:p>
    <w:p w:rsidR="00E651B8" w:rsidRPr="009179D3" w:rsidRDefault="00E651B8" w:rsidP="00E651B8">
      <w:pPr>
        <w:pStyle w:val="AERbodytext"/>
      </w:pPr>
      <w:r w:rsidRPr="009179D3">
        <w:t>The RAB</w:t>
      </w:r>
      <w:r w:rsidR="00380F49">
        <w:t>s</w:t>
      </w:r>
      <w:r w:rsidRPr="009179D3">
        <w:t xml:space="preserve"> would rise in real terms over the </w:t>
      </w:r>
      <w:r w:rsidR="00766801">
        <w:t xml:space="preserve">2014–19 </w:t>
      </w:r>
      <w:r w:rsidRPr="009179D3">
        <w:t xml:space="preserve">period based on </w:t>
      </w:r>
      <w:r>
        <w:t>Ausgrid</w:t>
      </w:r>
      <w:r w:rsidRPr="009179D3">
        <w:t>'s proposal. We consider the depreciation amount</w:t>
      </w:r>
      <w:r w:rsidR="00380F49">
        <w:t>s</w:t>
      </w:r>
      <w:r w:rsidRPr="009179D3">
        <w:t xml:space="preserve"> to be generally reasonable, give</w:t>
      </w:r>
      <w:r w:rsidR="00221C1E">
        <w:t>n</w:t>
      </w:r>
      <w:r w:rsidRPr="009179D3">
        <w:t xml:space="preserve"> that it largely depends on the opening RAB</w:t>
      </w:r>
      <w:r w:rsidR="00380F49">
        <w:t>s</w:t>
      </w:r>
      <w:r w:rsidRPr="009179D3">
        <w:t xml:space="preserve"> (which </w:t>
      </w:r>
      <w:r w:rsidR="00766801">
        <w:t xml:space="preserve">in turn </w:t>
      </w:r>
      <w:r w:rsidRPr="009179D3">
        <w:t xml:space="preserve">depends on capex in the past). However, we do have concerns with the size of the forecast </w:t>
      </w:r>
      <w:r w:rsidR="00EC7B7E">
        <w:t xml:space="preserve">net </w:t>
      </w:r>
      <w:r w:rsidRPr="009179D3">
        <w:t xml:space="preserve">capex. </w:t>
      </w:r>
      <w:r w:rsidR="00321739">
        <w:fldChar w:fldCharType="begin"/>
      </w:r>
      <w:r w:rsidR="00321739">
        <w:instrText xml:space="preserve"> REF _Ref404633432 \h </w:instrText>
      </w:r>
      <w:r w:rsidR="00321739">
        <w:fldChar w:fldCharType="separate"/>
      </w:r>
      <w:r w:rsidR="00321739">
        <w:t xml:space="preserve">Figure </w:t>
      </w:r>
      <w:r w:rsidR="00321739">
        <w:rPr>
          <w:noProof/>
        </w:rPr>
        <w:t>2</w:t>
      </w:r>
      <w:r w:rsidR="00321739">
        <w:noBreakHyphen/>
      </w:r>
      <w:r w:rsidR="00321739">
        <w:rPr>
          <w:noProof/>
        </w:rPr>
        <w:t>1</w:t>
      </w:r>
      <w:r w:rsidR="00321739">
        <w:fldChar w:fldCharType="end"/>
      </w:r>
      <w:r w:rsidR="00380F49">
        <w:t xml:space="preserve"> and</w:t>
      </w:r>
      <w:r w:rsidR="00D242AD">
        <w:t xml:space="preserve"> </w:t>
      </w:r>
      <w:r w:rsidR="00321739">
        <w:fldChar w:fldCharType="begin"/>
      </w:r>
      <w:r w:rsidR="00321739">
        <w:instrText xml:space="preserve"> REF _Ref398112331 \h </w:instrText>
      </w:r>
      <w:r w:rsidR="00321739">
        <w:fldChar w:fldCharType="separate"/>
      </w:r>
      <w:r w:rsidR="00321739">
        <w:t xml:space="preserve">Figure </w:t>
      </w:r>
      <w:r w:rsidR="00321739">
        <w:rPr>
          <w:noProof/>
        </w:rPr>
        <w:t>2</w:t>
      </w:r>
      <w:r w:rsidR="00321739">
        <w:noBreakHyphen/>
      </w:r>
      <w:r w:rsidR="00321739">
        <w:rPr>
          <w:noProof/>
        </w:rPr>
        <w:t>2</w:t>
      </w:r>
      <w:r w:rsidR="00321739">
        <w:fldChar w:fldCharType="end"/>
      </w:r>
      <w:r w:rsidR="00380F49">
        <w:t xml:space="preserve"> </w:t>
      </w:r>
      <w:r w:rsidRPr="009179D3">
        <w:t xml:space="preserve">show forecast </w:t>
      </w:r>
      <w:r w:rsidR="00EC7B7E">
        <w:t xml:space="preserve">net </w:t>
      </w:r>
      <w:r w:rsidRPr="009179D3">
        <w:t xml:space="preserve">capex is the largest driver of the increase in the </w:t>
      </w:r>
      <w:r w:rsidR="00EB5AC8">
        <w:t xml:space="preserve">distribution </w:t>
      </w:r>
      <w:r w:rsidR="00380F49">
        <w:t xml:space="preserve">and transmission </w:t>
      </w:r>
      <w:r w:rsidRPr="009179D3">
        <w:t>RAB</w:t>
      </w:r>
      <w:r w:rsidR="00380F49">
        <w:t>s,</w:t>
      </w:r>
      <w:r w:rsidRPr="009179D3">
        <w:t xml:space="preserve"> and we have considered whether it is </w:t>
      </w:r>
      <w:r w:rsidRPr="009179D3">
        <w:lastRenderedPageBreak/>
        <w:t xml:space="preserve">appropriate that the forecast </w:t>
      </w:r>
      <w:r w:rsidR="00EC7B7E">
        <w:t xml:space="preserve">net </w:t>
      </w:r>
      <w:r w:rsidRPr="009179D3">
        <w:t xml:space="preserve">capex exceed depreciation as </w:t>
      </w:r>
      <w:r>
        <w:t>Ausgrid</w:t>
      </w:r>
      <w:r w:rsidRPr="009179D3">
        <w:t xml:space="preserve"> </w:t>
      </w:r>
      <w:r w:rsidR="008C0388">
        <w:t xml:space="preserve">has </w:t>
      </w:r>
      <w:r w:rsidRPr="009179D3">
        <w:t>propose</w:t>
      </w:r>
      <w:r w:rsidR="008C0388">
        <w:t>d</w:t>
      </w:r>
      <w:r w:rsidRPr="009179D3">
        <w:t xml:space="preserve">. Refer to attachment </w:t>
      </w:r>
      <w:r w:rsidR="00B50DE1">
        <w:t>6</w:t>
      </w:r>
      <w:r w:rsidRPr="009179D3">
        <w:t xml:space="preserve"> for the discussion on forecast capex.</w:t>
      </w:r>
    </w:p>
    <w:p w:rsidR="00E651B8" w:rsidRDefault="00321739" w:rsidP="00321739">
      <w:pPr>
        <w:pStyle w:val="Caption"/>
      </w:pPr>
      <w:bookmarkStart w:id="29" w:name="_Ref404633432"/>
      <w:r>
        <w:t xml:space="preserve">Figure </w:t>
      </w:r>
      <w:r w:rsidR="00AD3FDB">
        <w:fldChar w:fldCharType="begin"/>
      </w:r>
      <w:r w:rsidR="00AD3FDB">
        <w:instrText xml:space="preserve"> STYLEREF 1 \s </w:instrText>
      </w:r>
      <w:r w:rsidR="00AD3FDB">
        <w:fldChar w:fldCharType="separate"/>
      </w:r>
      <w:r>
        <w:rPr>
          <w:noProof/>
        </w:rPr>
        <w:t>2</w:t>
      </w:r>
      <w:r w:rsidR="00AD3FDB">
        <w:rPr>
          <w:noProof/>
        </w:rPr>
        <w:fldChar w:fldCharType="end"/>
      </w:r>
      <w:r>
        <w:noBreakHyphen/>
      </w:r>
      <w:r w:rsidR="00AD3FDB">
        <w:fldChar w:fldCharType="begin"/>
      </w:r>
      <w:r w:rsidR="00AD3FDB">
        <w:instrText xml:space="preserve"> SEQ Figure \* ARABIC \s 1 </w:instrText>
      </w:r>
      <w:r w:rsidR="00AD3FDB">
        <w:fldChar w:fldCharType="separate"/>
      </w:r>
      <w:r>
        <w:rPr>
          <w:noProof/>
        </w:rPr>
        <w:t>1</w:t>
      </w:r>
      <w:r w:rsidR="00AD3FDB">
        <w:rPr>
          <w:noProof/>
        </w:rPr>
        <w:fldChar w:fldCharType="end"/>
      </w:r>
      <w:bookmarkEnd w:id="29"/>
      <w:r w:rsidR="00D242AD">
        <w:tab/>
      </w:r>
      <w:r w:rsidR="00E651B8" w:rsidRPr="009179D3">
        <w:t>Key drivers of changes in RAB</w:t>
      </w:r>
      <w:r w:rsidR="00EB5AC8">
        <w:t xml:space="preserve"> </w:t>
      </w:r>
      <w:r w:rsidR="00380F49">
        <w:t>–</w:t>
      </w:r>
      <w:r w:rsidR="00EB5AC8">
        <w:t xml:space="preserve"> distribution</w:t>
      </w:r>
      <w:r w:rsidR="00E651B8" w:rsidRPr="009179D3">
        <w:t xml:space="preserve"> ($</w:t>
      </w:r>
      <w:r w:rsidR="0094492C">
        <w:t xml:space="preserve"> </w:t>
      </w:r>
      <w:r w:rsidR="00E651B8" w:rsidRPr="009179D3">
        <w:t>m</w:t>
      </w:r>
      <w:r w:rsidR="0094492C">
        <w:t>illion</w:t>
      </w:r>
      <w:r w:rsidR="00E651B8" w:rsidRPr="009179D3">
        <w:t>, nominal)</w:t>
      </w:r>
    </w:p>
    <w:p w:rsidR="00E651B8" w:rsidRDefault="00C476C3" w:rsidP="00C476C3">
      <w:pPr>
        <w:pStyle w:val="AERbodytext"/>
      </w:pPr>
      <w:r w:rsidRPr="00C476C3">
        <w:rPr>
          <w:noProof/>
          <w:lang w:eastAsia="en-AU"/>
        </w:rPr>
        <w:drawing>
          <wp:inline distT="0" distB="0" distL="0" distR="0" wp14:anchorId="049E4276" wp14:editId="46686EDA">
            <wp:extent cx="5731510" cy="3239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39172"/>
                    </a:xfrm>
                    <a:prstGeom prst="rect">
                      <a:avLst/>
                    </a:prstGeom>
                    <a:noFill/>
                    <a:ln>
                      <a:noFill/>
                    </a:ln>
                  </pic:spPr>
                </pic:pic>
              </a:graphicData>
            </a:graphic>
          </wp:inline>
        </w:drawing>
      </w:r>
    </w:p>
    <w:p w:rsidR="00304791" w:rsidRDefault="00304791" w:rsidP="00304791">
      <w:pPr>
        <w:pStyle w:val="AERtablesource"/>
      </w:pPr>
      <w:r>
        <w:t>Source:</w:t>
      </w:r>
      <w:r>
        <w:tab/>
        <w:t>AER analysis</w:t>
      </w:r>
    </w:p>
    <w:p w:rsidR="005C6CB9" w:rsidRDefault="005C6CB9" w:rsidP="005C6CB9">
      <w:pPr>
        <w:pStyle w:val="Caption"/>
      </w:pPr>
      <w:bookmarkStart w:id="30" w:name="_Ref398112331"/>
      <w:r>
        <w:t xml:space="preserve">Figure </w:t>
      </w:r>
      <w:r w:rsidR="00AD3FDB">
        <w:fldChar w:fldCharType="begin"/>
      </w:r>
      <w:r w:rsidR="00AD3FDB">
        <w:instrText xml:space="preserve"> STYLEREF 1 \s </w:instrText>
      </w:r>
      <w:r w:rsidR="00AD3FDB">
        <w:fldChar w:fldCharType="separate"/>
      </w:r>
      <w:r w:rsidR="00321739">
        <w:rPr>
          <w:noProof/>
        </w:rPr>
        <w:t>2</w:t>
      </w:r>
      <w:r w:rsidR="00AD3FDB">
        <w:rPr>
          <w:noProof/>
        </w:rPr>
        <w:fldChar w:fldCharType="end"/>
      </w:r>
      <w:r w:rsidR="00321739">
        <w:noBreakHyphen/>
      </w:r>
      <w:r w:rsidR="00AD3FDB">
        <w:fldChar w:fldCharType="begin"/>
      </w:r>
      <w:r w:rsidR="00AD3FDB">
        <w:instrText xml:space="preserve"> SEQ Figure \* ARABIC \s 1 </w:instrText>
      </w:r>
      <w:r w:rsidR="00AD3FDB">
        <w:fldChar w:fldCharType="separate"/>
      </w:r>
      <w:r w:rsidR="00321739">
        <w:rPr>
          <w:noProof/>
        </w:rPr>
        <w:t>2</w:t>
      </w:r>
      <w:r w:rsidR="00AD3FDB">
        <w:rPr>
          <w:noProof/>
        </w:rPr>
        <w:fldChar w:fldCharType="end"/>
      </w:r>
      <w:bookmarkEnd w:id="30"/>
      <w:r>
        <w:t xml:space="preserve"> </w:t>
      </w:r>
      <w:r>
        <w:tab/>
        <w:t xml:space="preserve">Key drivers of change in RAB </w:t>
      </w:r>
      <w:r w:rsidR="00380F49">
        <w:t>–</w:t>
      </w:r>
      <w:r>
        <w:t xml:space="preserve"> transmission ($</w:t>
      </w:r>
      <w:r w:rsidR="0094492C">
        <w:t xml:space="preserve"> </w:t>
      </w:r>
      <w:r>
        <w:t>m</w:t>
      </w:r>
      <w:r w:rsidR="0094492C">
        <w:t>il</w:t>
      </w:r>
      <w:r w:rsidR="00F15D53">
        <w:t>l</w:t>
      </w:r>
      <w:r w:rsidR="0094492C">
        <w:t>ion</w:t>
      </w:r>
      <w:r>
        <w:t xml:space="preserve">, nominal) </w:t>
      </w:r>
    </w:p>
    <w:p w:rsidR="005C6CB9" w:rsidRDefault="005C6CB9" w:rsidP="005C6CB9">
      <w:pPr>
        <w:pStyle w:val="AERbodytext"/>
      </w:pPr>
      <w:r w:rsidRPr="005C6CB9">
        <w:rPr>
          <w:noProof/>
          <w:lang w:eastAsia="en-AU"/>
        </w:rPr>
        <w:drawing>
          <wp:inline distT="0" distB="0" distL="0" distR="0" wp14:anchorId="2F716DB3" wp14:editId="2D8A30F6">
            <wp:extent cx="5731510" cy="32589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58923"/>
                    </a:xfrm>
                    <a:prstGeom prst="rect">
                      <a:avLst/>
                    </a:prstGeom>
                    <a:noFill/>
                    <a:ln>
                      <a:noFill/>
                    </a:ln>
                  </pic:spPr>
                </pic:pic>
              </a:graphicData>
            </a:graphic>
          </wp:inline>
        </w:drawing>
      </w:r>
    </w:p>
    <w:p w:rsidR="00304791" w:rsidRDefault="00304791" w:rsidP="00304791">
      <w:pPr>
        <w:pStyle w:val="AERtablesource"/>
      </w:pPr>
      <w:r>
        <w:t>Source:</w:t>
      </w:r>
      <w:r>
        <w:tab/>
        <w:t>AER analysis</w:t>
      </w:r>
    </w:p>
    <w:p w:rsidR="00E651B8" w:rsidRPr="008C3A61" w:rsidRDefault="00E651B8" w:rsidP="00E651B8">
      <w:pPr>
        <w:pStyle w:val="AERbodytext"/>
      </w:pPr>
      <w:r w:rsidRPr="009179D3">
        <w:lastRenderedPageBreak/>
        <w:t xml:space="preserve">A </w:t>
      </w:r>
      <w:r w:rsidR="00E75843">
        <w:t>ten</w:t>
      </w:r>
      <w:r w:rsidR="00E75843" w:rsidRPr="009179D3">
        <w:t xml:space="preserve"> </w:t>
      </w:r>
      <w:r w:rsidRPr="009179D3">
        <w:t xml:space="preserve">per cent increase in the </w:t>
      </w:r>
      <w:r w:rsidR="00E75843">
        <w:t xml:space="preserve">opening </w:t>
      </w:r>
      <w:r w:rsidRPr="009179D3">
        <w:t xml:space="preserve">RAB causes revenues to increase by about </w:t>
      </w:r>
      <w:r w:rsidR="007822DD">
        <w:t>6.4</w:t>
      </w:r>
      <w:r w:rsidRPr="009179D3">
        <w:t xml:space="preserve"> per cent. However, the </w:t>
      </w:r>
      <w:r w:rsidR="00E75843">
        <w:t>impact on revenues of the annual change in RAB depends on</w:t>
      </w:r>
      <w:r w:rsidRPr="009179D3">
        <w:t xml:space="preserve"> the source of the RAB </w:t>
      </w:r>
      <w:r w:rsidR="00E75843">
        <w:t>change</w:t>
      </w:r>
      <w:r w:rsidRPr="009179D3">
        <w:t>, as some drivers affect more than one building block cost.</w:t>
      </w:r>
      <w:r>
        <w:rPr>
          <w:rStyle w:val="FootnoteReference"/>
        </w:rPr>
        <w:footnoteReference w:id="23"/>
      </w:r>
    </w:p>
    <w:p w:rsidR="00D97003" w:rsidRDefault="00D97003" w:rsidP="00D97003">
      <w:pPr>
        <w:pStyle w:val="Heading2"/>
      </w:pPr>
      <w:bookmarkStart w:id="31" w:name="_Toc387916800"/>
      <w:bookmarkStart w:id="32" w:name="_Toc404356958"/>
      <w:r>
        <w:t>Reasons for draft decision</w:t>
      </w:r>
      <w:bookmarkEnd w:id="31"/>
      <w:bookmarkEnd w:id="32"/>
    </w:p>
    <w:p w:rsidR="007C1810" w:rsidRPr="007C1810" w:rsidRDefault="007C1810" w:rsidP="007C1810">
      <w:pPr>
        <w:pStyle w:val="AERbodytext"/>
      </w:pPr>
      <w:r>
        <w:t xml:space="preserve">We have determined Ausgrid's opening </w:t>
      </w:r>
      <w:r w:rsidR="00221C1E">
        <w:t xml:space="preserve">distribution and transmission </w:t>
      </w:r>
      <w:r>
        <w:t>RAB</w:t>
      </w:r>
      <w:r w:rsidR="00221C1E">
        <w:t>s</w:t>
      </w:r>
      <w:r>
        <w:t xml:space="preserve"> to be $</w:t>
      </w:r>
      <w:r w:rsidR="00E44112">
        <w:t>1</w:t>
      </w:r>
      <w:r w:rsidR="00221C1E">
        <w:t>2 25</w:t>
      </w:r>
      <w:r w:rsidR="002B6F60">
        <w:t>1.7</w:t>
      </w:r>
      <w:r>
        <w:t xml:space="preserve"> million </w:t>
      </w:r>
      <w:r w:rsidR="00221C1E">
        <w:t>and $2 03</w:t>
      </w:r>
      <w:r w:rsidR="002B6F60">
        <w:t>5.7</w:t>
      </w:r>
      <w:r w:rsidR="00221C1E">
        <w:t xml:space="preserve"> million ($ nominal) respectively, </w:t>
      </w:r>
      <w:r>
        <w:t>as at 1 July 2014. This represents decrease</w:t>
      </w:r>
      <w:r w:rsidR="00F15D53">
        <w:t>s</w:t>
      </w:r>
      <w:r>
        <w:t xml:space="preserve"> of $</w:t>
      </w:r>
      <w:r w:rsidR="00D77959">
        <w:t>28.1</w:t>
      </w:r>
      <w:r w:rsidR="00BF6286">
        <w:t> </w:t>
      </w:r>
      <w:r>
        <w:t>million o</w:t>
      </w:r>
      <w:r w:rsidR="00D64CE9">
        <w:t>r</w:t>
      </w:r>
      <w:r>
        <w:t xml:space="preserve"> </w:t>
      </w:r>
      <w:r w:rsidR="00FC367F">
        <w:t>0.</w:t>
      </w:r>
      <w:r w:rsidR="00D77959">
        <w:t>2</w:t>
      </w:r>
      <w:r>
        <w:t xml:space="preserve"> per cent </w:t>
      </w:r>
      <w:r w:rsidR="00F15D53">
        <w:t>and $</w:t>
      </w:r>
      <w:r w:rsidR="00D77959">
        <w:t>55.2</w:t>
      </w:r>
      <w:r w:rsidR="00F15D53">
        <w:t xml:space="preserve"> ($ nominal) or </w:t>
      </w:r>
      <w:r w:rsidR="00D77959">
        <w:t>2.</w:t>
      </w:r>
      <w:r w:rsidR="009815EC">
        <w:t>6</w:t>
      </w:r>
      <w:r w:rsidR="00F15D53">
        <w:t xml:space="preserve"> per cent </w:t>
      </w:r>
      <w:r>
        <w:t>from the proposed value</w:t>
      </w:r>
      <w:r w:rsidR="00F15D53">
        <w:t>s respectively</w:t>
      </w:r>
      <w:r>
        <w:t xml:space="preserve">. We have forecast closing </w:t>
      </w:r>
      <w:r w:rsidR="00221C1E">
        <w:t xml:space="preserve">distribution and transmission </w:t>
      </w:r>
      <w:r>
        <w:t>RAB value</w:t>
      </w:r>
      <w:r w:rsidR="00221C1E">
        <w:t>s</w:t>
      </w:r>
      <w:r>
        <w:t xml:space="preserve"> of $</w:t>
      </w:r>
      <w:r w:rsidR="00D77959">
        <w:t>1385</w:t>
      </w:r>
      <w:r w:rsidR="00264422">
        <w:t>0.9</w:t>
      </w:r>
      <w:r>
        <w:t xml:space="preserve"> million </w:t>
      </w:r>
      <w:r w:rsidR="00221C1E">
        <w:t>and $</w:t>
      </w:r>
      <w:r w:rsidR="00D77959">
        <w:t>2323</w:t>
      </w:r>
      <w:r w:rsidR="00264422">
        <w:t>.0</w:t>
      </w:r>
      <w:r w:rsidR="00221C1E">
        <w:t xml:space="preserve"> million ($ nominal) respectively, </w:t>
      </w:r>
      <w:r>
        <w:t>as at 30 June 2019. This represents reduction</w:t>
      </w:r>
      <w:r w:rsidR="00F15D53">
        <w:t>s</w:t>
      </w:r>
      <w:r>
        <w:t xml:space="preserve"> of $</w:t>
      </w:r>
      <w:r w:rsidR="00D77959">
        <w:t>1890.4</w:t>
      </w:r>
      <w:r>
        <w:t xml:space="preserve"> million </w:t>
      </w:r>
      <w:r w:rsidR="00F15D53">
        <w:t xml:space="preserve">or </w:t>
      </w:r>
      <w:r w:rsidR="00D77959">
        <w:t>12.0</w:t>
      </w:r>
      <w:r w:rsidR="00F15D53">
        <w:t xml:space="preserve"> per cent and $</w:t>
      </w:r>
      <w:r w:rsidR="00D77959">
        <w:t>282.1</w:t>
      </w:r>
      <w:r w:rsidR="00F15D53">
        <w:t xml:space="preserve"> million </w:t>
      </w:r>
      <w:r>
        <w:t xml:space="preserve">($ nominal) or </w:t>
      </w:r>
      <w:r w:rsidR="00D77959">
        <w:t>10.8</w:t>
      </w:r>
      <w:r>
        <w:t xml:space="preserve"> per cent compared to Ausgrid</w:t>
      </w:r>
      <w:r w:rsidR="00F15D53">
        <w:t>'s</w:t>
      </w:r>
      <w:r>
        <w:t xml:space="preserve"> proposal</w:t>
      </w:r>
      <w:r w:rsidR="00F15D53">
        <w:t xml:space="preserve"> respectively</w:t>
      </w:r>
      <w:r>
        <w:t xml:space="preserve">. The reasons for our decision are discussed below. </w:t>
      </w:r>
    </w:p>
    <w:p w:rsidR="00D97003" w:rsidRPr="00380F49" w:rsidRDefault="00A803F5" w:rsidP="00380F49">
      <w:pPr>
        <w:pStyle w:val="Heading3"/>
      </w:pPr>
      <w:bookmarkStart w:id="33" w:name="_Ref394911405"/>
      <w:bookmarkStart w:id="34" w:name="_Toc404356959"/>
      <w:r w:rsidRPr="00380F49">
        <w:t>Opening RAB</w:t>
      </w:r>
      <w:r w:rsidR="00C22174" w:rsidRPr="00380F49">
        <w:t xml:space="preserve"> as at 1 July 2014</w:t>
      </w:r>
      <w:bookmarkEnd w:id="33"/>
      <w:bookmarkEnd w:id="34"/>
    </w:p>
    <w:p w:rsidR="00A834AC" w:rsidRDefault="00D242AD" w:rsidP="004B2F26">
      <w:pPr>
        <w:pStyle w:val="AERbodytext"/>
      </w:pPr>
      <w:r>
        <w:t>To determine the opening RAB</w:t>
      </w:r>
      <w:r w:rsidR="0054178A">
        <w:t>s</w:t>
      </w:r>
      <w:r w:rsidR="00A834AC">
        <w:t xml:space="preserve"> as at 1 July 2014 </w:t>
      </w:r>
      <w:r>
        <w:t xml:space="preserve">we have rolled forward </w:t>
      </w:r>
      <w:r w:rsidR="00DA5127">
        <w:t xml:space="preserve">the </w:t>
      </w:r>
      <w:r w:rsidR="0098641C">
        <w:t xml:space="preserve">distribution and transmission </w:t>
      </w:r>
      <w:r w:rsidR="00DA5127">
        <w:t>RAB</w:t>
      </w:r>
      <w:r w:rsidR="0098641C">
        <w:t>s</w:t>
      </w:r>
      <w:r w:rsidR="00DA5127">
        <w:t xml:space="preserve"> </w:t>
      </w:r>
      <w:r w:rsidR="00A834AC">
        <w:t>over the 2009–14 regulatory control period to determine closing RAB value</w:t>
      </w:r>
      <w:r w:rsidR="0098641C">
        <w:t>s</w:t>
      </w:r>
      <w:r w:rsidR="00A834AC">
        <w:t xml:space="preserve"> at </w:t>
      </w:r>
      <w:r w:rsidR="00BF6286">
        <w:br/>
      </w:r>
      <w:r w:rsidR="00A834AC">
        <w:t xml:space="preserve">30 June 2014. As </w:t>
      </w:r>
      <w:r w:rsidR="00A834AC" w:rsidRPr="00CF1E29">
        <w:t xml:space="preserve">metering </w:t>
      </w:r>
      <w:r w:rsidR="00A834AC">
        <w:t>is</w:t>
      </w:r>
      <w:r w:rsidR="00A834AC" w:rsidRPr="00CF1E29">
        <w:t xml:space="preserve"> to be </w:t>
      </w:r>
      <w:r w:rsidR="0098641C">
        <w:t xml:space="preserve">classified as alternative </w:t>
      </w:r>
      <w:r w:rsidR="00A834AC" w:rsidRPr="00CF1E29">
        <w:t xml:space="preserve">control services </w:t>
      </w:r>
      <w:r w:rsidR="00A834AC">
        <w:t xml:space="preserve">from 1 July 2014, the metering assets must be removed from the closing </w:t>
      </w:r>
      <w:r>
        <w:t xml:space="preserve">distribution </w:t>
      </w:r>
      <w:r w:rsidR="00A834AC">
        <w:t>RAB</w:t>
      </w:r>
      <w:r w:rsidR="00D538E6">
        <w:t xml:space="preserve"> as at 30 June 2014</w:t>
      </w:r>
      <w:r>
        <w:t xml:space="preserve"> to determine the </w:t>
      </w:r>
      <w:r w:rsidR="0098641C">
        <w:t xml:space="preserve">standard control services </w:t>
      </w:r>
      <w:r>
        <w:t>opening RAB</w:t>
      </w:r>
      <w:r w:rsidR="00A834AC">
        <w:t xml:space="preserve"> as at 1 July 2014</w:t>
      </w:r>
      <w:r w:rsidR="00A834AC" w:rsidRPr="00CF1E29">
        <w:t>.</w:t>
      </w:r>
      <w:r w:rsidR="00A834AC">
        <w:t xml:space="preserve"> Ausgrid's transmission RAB does not include any metering assets</w:t>
      </w:r>
      <w:r w:rsidR="00380F49">
        <w:t xml:space="preserve"> and</w:t>
      </w:r>
      <w:r w:rsidR="00A834AC">
        <w:t xml:space="preserve"> therefore no adjustment is required.</w:t>
      </w:r>
      <w:r w:rsidR="004D180F">
        <w:t xml:space="preserve"> </w:t>
      </w:r>
      <w:r w:rsidR="004B2F26" w:rsidRPr="004B2F26">
        <w:t>The opening distribution and transmission RABs have been adjusted to reflect a change in classification of dual functions assets.  The adjustment of $9.2 million ($</w:t>
      </w:r>
      <w:r w:rsidR="0094492C">
        <w:t xml:space="preserve"> </w:t>
      </w:r>
      <w:r w:rsidR="004B2F26" w:rsidRPr="004B2F26">
        <w:t>nominal) reflects the net value of assets mov</w:t>
      </w:r>
      <w:r w:rsidR="00380F49">
        <w:t>ing from</w:t>
      </w:r>
      <w:r w:rsidR="004B2F26" w:rsidRPr="004B2F26">
        <w:t xml:space="preserve"> transmission </w:t>
      </w:r>
      <w:r w:rsidR="00ED44AF">
        <w:t>to</w:t>
      </w:r>
      <w:r w:rsidR="004B2F26" w:rsidRPr="004B2F26">
        <w:t xml:space="preserve"> distribution</w:t>
      </w:r>
      <w:r w:rsidR="004B2F26">
        <w:t>.</w:t>
      </w:r>
    </w:p>
    <w:p w:rsidR="00A834AC" w:rsidRDefault="00B44334" w:rsidP="00FA1C2B">
      <w:pPr>
        <w:pStyle w:val="AERbodytext"/>
      </w:pPr>
      <w:r w:rsidRPr="00B44334">
        <w:t>We approve opening RAB value</w:t>
      </w:r>
      <w:r w:rsidR="0098641C">
        <w:t>s</w:t>
      </w:r>
      <w:r w:rsidRPr="00B44334">
        <w:t xml:space="preserve"> of $</w:t>
      </w:r>
      <w:r w:rsidR="00F272C7">
        <w:t>12 251</w:t>
      </w:r>
      <w:r w:rsidR="004B2810">
        <w:t>.7</w:t>
      </w:r>
      <w:r>
        <w:t xml:space="preserve"> million for Ausgrid</w:t>
      </w:r>
      <w:r w:rsidR="008A3684">
        <w:t>'</w:t>
      </w:r>
      <w:r>
        <w:t>s distribution network and $</w:t>
      </w:r>
      <w:r w:rsidR="00BF6286">
        <w:t>2</w:t>
      </w:r>
      <w:r w:rsidR="00F272C7">
        <w:t>035</w:t>
      </w:r>
      <w:r w:rsidR="004B2810">
        <w:t>.7</w:t>
      </w:r>
      <w:r w:rsidR="00BF6286">
        <w:t> </w:t>
      </w:r>
      <w:r>
        <w:t>million (</w:t>
      </w:r>
      <w:r w:rsidR="0094492C">
        <w:t xml:space="preserve">$ </w:t>
      </w:r>
      <w:r>
        <w:t xml:space="preserve">nominal) for its </w:t>
      </w:r>
      <w:r w:rsidR="0054178A">
        <w:t>t</w:t>
      </w:r>
      <w:r>
        <w:t>ransmission network</w:t>
      </w:r>
      <w:r w:rsidR="0008629D">
        <w:t>,</w:t>
      </w:r>
      <w:r>
        <w:t xml:space="preserve"> as at 1 July 2014. </w:t>
      </w:r>
    </w:p>
    <w:p w:rsidR="00B44334" w:rsidRDefault="00B44334" w:rsidP="0044052B">
      <w:pPr>
        <w:pStyle w:val="HeadingBoldBlue"/>
      </w:pPr>
      <w:r>
        <w:t>Distribution</w:t>
      </w:r>
    </w:p>
    <w:p w:rsidR="00B44334" w:rsidRDefault="00B44334" w:rsidP="00BE6FB4">
      <w:pPr>
        <w:pStyle w:val="AERbodytext"/>
      </w:pPr>
      <w:r>
        <w:t>We do not accept Ausgrid</w:t>
      </w:r>
      <w:r w:rsidR="00A04EB2">
        <w:t>'</w:t>
      </w:r>
      <w:r>
        <w:t>s proposed opening RAB of $</w:t>
      </w:r>
      <w:r w:rsidR="00F272C7">
        <w:t xml:space="preserve">12 </w:t>
      </w:r>
      <w:r w:rsidR="00DA5127">
        <w:t>279</w:t>
      </w:r>
      <w:r w:rsidR="004B2810">
        <w:t>.8</w:t>
      </w:r>
      <w:r w:rsidR="00A04EB2">
        <w:t> </w:t>
      </w:r>
      <w:r>
        <w:t>million (</w:t>
      </w:r>
      <w:r w:rsidR="00A04EB2">
        <w:t>$ </w:t>
      </w:r>
      <w:r>
        <w:t xml:space="preserve">nominal) </w:t>
      </w:r>
      <w:r w:rsidR="00BE6FB4">
        <w:t>as at 1 July 2014.</w:t>
      </w:r>
      <w:r w:rsidR="00BE6FB4" w:rsidRPr="00BE6FB4">
        <w:t xml:space="preserve"> Instead we have determined an opening RAB value of $</w:t>
      </w:r>
      <w:r w:rsidR="00BE6FB4">
        <w:t>12 251</w:t>
      </w:r>
      <w:r w:rsidR="004B2810">
        <w:t>.7</w:t>
      </w:r>
      <w:r w:rsidR="00BE6FB4" w:rsidRPr="00BE6FB4">
        <w:t xml:space="preserve"> million ($ nominal) as at 1 July 2014, a</w:t>
      </w:r>
      <w:r w:rsidR="00BE6FB4">
        <w:t xml:space="preserve"> decrease </w:t>
      </w:r>
      <w:r w:rsidR="00BE6FB4" w:rsidRPr="00BE6FB4">
        <w:t>of $</w:t>
      </w:r>
      <w:r w:rsidR="00DA5127">
        <w:t>28.1</w:t>
      </w:r>
      <w:r w:rsidR="00BE6FB4" w:rsidRPr="00BE6FB4">
        <w:t xml:space="preserve"> million ($ </w:t>
      </w:r>
      <w:r w:rsidR="00BE6FB4">
        <w:t>nominal</w:t>
      </w:r>
      <w:r w:rsidR="00BE6FB4" w:rsidRPr="00BE6FB4">
        <w:t xml:space="preserve">) or </w:t>
      </w:r>
      <w:r w:rsidR="00DA5127">
        <w:t>0.2</w:t>
      </w:r>
      <w:r w:rsidR="00BE6FB4" w:rsidRPr="00BE6FB4">
        <w:t xml:space="preserve"> per cent from </w:t>
      </w:r>
      <w:r w:rsidR="00BE6FB4">
        <w:t>Ausgrid</w:t>
      </w:r>
      <w:r w:rsidR="00BE6FB4" w:rsidRPr="00BE6FB4">
        <w:t>'s proposal</w:t>
      </w:r>
      <w:r w:rsidR="00052915">
        <w:t xml:space="preserve">. This is </w:t>
      </w:r>
      <w:r>
        <w:t xml:space="preserve">because we </w:t>
      </w:r>
      <w:r w:rsidR="00DA5127">
        <w:t>amended A</w:t>
      </w:r>
      <w:r>
        <w:t>usgrid</w:t>
      </w:r>
      <w:r w:rsidR="00A04EB2">
        <w:t>'</w:t>
      </w:r>
      <w:r>
        <w:t xml:space="preserve">s </w:t>
      </w:r>
      <w:r w:rsidR="00DA5127">
        <w:t>RAB</w:t>
      </w:r>
      <w:r w:rsidR="00380F49">
        <w:t xml:space="preserve"> roll forward</w:t>
      </w:r>
      <w:r w:rsidR="00DA5127">
        <w:t xml:space="preserve"> for the following</w:t>
      </w:r>
      <w:r>
        <w:t>:</w:t>
      </w:r>
    </w:p>
    <w:p w:rsidR="00605B00" w:rsidRDefault="00294FEA" w:rsidP="00DA5127">
      <w:pPr>
        <w:pStyle w:val="AERbulletlistfirststyle"/>
      </w:pPr>
      <w:r>
        <w:t xml:space="preserve">Reallocation of </w:t>
      </w:r>
      <w:r w:rsidR="00221C1E">
        <w:t xml:space="preserve">work-in-progress </w:t>
      </w:r>
      <w:r w:rsidR="00015580">
        <w:t xml:space="preserve">amounts </w:t>
      </w:r>
      <w:r>
        <w:t>as at 30 June 200</w:t>
      </w:r>
      <w:r w:rsidR="00015580">
        <w:t>9</w:t>
      </w:r>
      <w:r>
        <w:t xml:space="preserve"> </w:t>
      </w:r>
      <w:r w:rsidR="00221C1E">
        <w:t xml:space="preserve">across </w:t>
      </w:r>
      <w:r>
        <w:t>Ausgrid's system assets</w:t>
      </w:r>
      <w:r w:rsidR="00015580">
        <w:t xml:space="preserve"> to be consistent with those</w:t>
      </w:r>
      <w:r>
        <w:t xml:space="preserve"> </w:t>
      </w:r>
      <w:r w:rsidR="00A05244" w:rsidRPr="00DA5127">
        <w:t xml:space="preserve">approved </w:t>
      </w:r>
      <w:r w:rsidR="00015580">
        <w:t>in</w:t>
      </w:r>
      <w:r w:rsidR="00A05244" w:rsidRPr="00DA5127">
        <w:t xml:space="preserve"> the </w:t>
      </w:r>
      <w:r w:rsidR="007C5F60">
        <w:t xml:space="preserve">2009 </w:t>
      </w:r>
      <w:r w:rsidR="00A05244" w:rsidRPr="00DA5127">
        <w:t>determination</w:t>
      </w:r>
      <w:r w:rsidR="007C5F60">
        <w:t>.</w:t>
      </w:r>
      <w:r>
        <w:t xml:space="preserve"> </w:t>
      </w:r>
    </w:p>
    <w:p w:rsidR="00B44334" w:rsidRPr="00DA5127" w:rsidRDefault="0004390E" w:rsidP="00DA5127">
      <w:pPr>
        <w:pStyle w:val="AERbulletlistfirststyle"/>
      </w:pPr>
      <w:r>
        <w:t>R</w:t>
      </w:r>
      <w:r w:rsidR="007C5F60">
        <w:t>e</w:t>
      </w:r>
      <w:r w:rsidR="00B44334" w:rsidRPr="00DA5127">
        <w:t xml:space="preserve">allocation of actual capex for 2008–09 </w:t>
      </w:r>
      <w:r w:rsidR="007C5F60">
        <w:t>into</w:t>
      </w:r>
      <w:r w:rsidR="00B44334" w:rsidRPr="00DA5127">
        <w:t xml:space="preserve"> </w:t>
      </w:r>
      <w:r w:rsidR="00015580">
        <w:t xml:space="preserve">certain </w:t>
      </w:r>
      <w:r w:rsidR="00B44334" w:rsidRPr="00DA5127">
        <w:t xml:space="preserve">asset classes </w:t>
      </w:r>
      <w:r w:rsidR="007C5F60">
        <w:t>that were consistent with those</w:t>
      </w:r>
      <w:r w:rsidR="00B44334" w:rsidRPr="00DA5127">
        <w:t xml:space="preserve"> approved </w:t>
      </w:r>
      <w:r w:rsidR="007C5F60">
        <w:t xml:space="preserve">for that period. </w:t>
      </w:r>
    </w:p>
    <w:p w:rsidR="00DA5127" w:rsidRPr="00DA5127" w:rsidRDefault="00224377" w:rsidP="00DA5127">
      <w:pPr>
        <w:pStyle w:val="AERbulletlistfirststyle"/>
      </w:pPr>
      <w:r>
        <w:t>Reduced t</w:t>
      </w:r>
      <w:r w:rsidR="00B44334" w:rsidRPr="00DA5127">
        <w:t xml:space="preserve">he proposed value of </w:t>
      </w:r>
      <w:r w:rsidR="00A05244" w:rsidRPr="00DA5127">
        <w:t>e</w:t>
      </w:r>
      <w:r w:rsidR="00B44334" w:rsidRPr="00DA5127">
        <w:t xml:space="preserve">quity raising cost </w:t>
      </w:r>
      <w:r w:rsidR="007C5F60">
        <w:t>for</w:t>
      </w:r>
      <w:r w:rsidR="00B44334" w:rsidRPr="00DA5127">
        <w:t xml:space="preserve"> 2009</w:t>
      </w:r>
      <w:r w:rsidR="007C5F60">
        <w:t>–</w:t>
      </w:r>
      <w:r w:rsidR="00B44334" w:rsidRPr="00DA5127">
        <w:t>10</w:t>
      </w:r>
      <w:r w:rsidR="00015580">
        <w:t xml:space="preserve"> to remove half year's inflation</w:t>
      </w:r>
      <w:r>
        <w:t>.</w:t>
      </w:r>
    </w:p>
    <w:p w:rsidR="00F275EF" w:rsidRDefault="00224377" w:rsidP="00F275EF">
      <w:pPr>
        <w:pStyle w:val="AERbulletlistfirststyle"/>
      </w:pPr>
      <w:r>
        <w:t>Updated t</w:t>
      </w:r>
      <w:r w:rsidR="007C5F60">
        <w:t>he</w:t>
      </w:r>
      <w:r w:rsidR="00F275EF" w:rsidRPr="00F275EF">
        <w:t xml:space="preserve"> </w:t>
      </w:r>
      <w:r w:rsidR="00F275EF">
        <w:t xml:space="preserve">proposed </w:t>
      </w:r>
      <w:r w:rsidR="00F275EF" w:rsidRPr="00F275EF">
        <w:t xml:space="preserve">actual net capex </w:t>
      </w:r>
      <w:r w:rsidR="00F275EF">
        <w:t xml:space="preserve">to </w:t>
      </w:r>
      <w:r w:rsidR="007C5F60">
        <w:t>correct for</w:t>
      </w:r>
      <w:r w:rsidR="00F275EF">
        <w:t xml:space="preserve"> reporting errors </w:t>
      </w:r>
      <w:r w:rsidR="00F275EF" w:rsidRPr="00F275EF">
        <w:t>in the value of</w:t>
      </w:r>
      <w:r w:rsidR="007C5F60">
        <w:t xml:space="preserve"> asset</w:t>
      </w:r>
      <w:r w:rsidR="00F275EF" w:rsidRPr="00F275EF">
        <w:t xml:space="preserve"> disposals and capital contributions</w:t>
      </w:r>
      <w:r>
        <w:t>.</w:t>
      </w:r>
    </w:p>
    <w:p w:rsidR="00B44334" w:rsidRDefault="00224377" w:rsidP="00F275EF">
      <w:pPr>
        <w:pStyle w:val="AERbulletlistfirststyle"/>
      </w:pPr>
      <w:r>
        <w:lastRenderedPageBreak/>
        <w:t>Updated t</w:t>
      </w:r>
      <w:r w:rsidR="007C5F60">
        <w:t>he</w:t>
      </w:r>
      <w:r w:rsidR="00F275EF">
        <w:t xml:space="preserve"> proposed </w:t>
      </w:r>
      <w:r w:rsidR="00F275EF" w:rsidRPr="00F275EF">
        <w:t>estimated value of capex for 2013</w:t>
      </w:r>
      <w:r w:rsidR="007C5F60">
        <w:t>–</w:t>
      </w:r>
      <w:r w:rsidR="00F275EF" w:rsidRPr="00F275EF">
        <w:t>14</w:t>
      </w:r>
      <w:r w:rsidR="007C5F60">
        <w:t xml:space="preserve"> to reflect actuals, subject to auditing</w:t>
      </w:r>
      <w:r w:rsidR="00B44334" w:rsidRPr="00DA5127">
        <w:t>.</w:t>
      </w:r>
      <w:r w:rsidR="007C5F60">
        <w:t xml:space="preserve"> We will receive the audited numbers </w:t>
      </w:r>
      <w:r>
        <w:t xml:space="preserve">in late 2014 </w:t>
      </w:r>
      <w:r w:rsidR="007C5F60">
        <w:t>and check them before making our final decision.</w:t>
      </w:r>
    </w:p>
    <w:p w:rsidR="004B2F26" w:rsidRPr="00DA5127" w:rsidRDefault="004B2F26" w:rsidP="00F275EF">
      <w:pPr>
        <w:pStyle w:val="AERbulletlistfirststyle"/>
      </w:pPr>
      <w:r>
        <w:t xml:space="preserve">The proposed </w:t>
      </w:r>
      <w:r w:rsidR="00491544">
        <w:t xml:space="preserve">net movement </w:t>
      </w:r>
      <w:r>
        <w:t xml:space="preserve">of </w:t>
      </w:r>
      <w:r w:rsidR="00491544">
        <w:t xml:space="preserve">dual function </w:t>
      </w:r>
      <w:r>
        <w:t xml:space="preserve">assets </w:t>
      </w:r>
      <w:r w:rsidR="004875F7">
        <w:t xml:space="preserve">between distribution and </w:t>
      </w:r>
      <w:r w:rsidR="004D180F">
        <w:t xml:space="preserve">transmission </w:t>
      </w:r>
      <w:r w:rsidR="004875F7">
        <w:t xml:space="preserve">was updated </w:t>
      </w:r>
      <w:r w:rsidR="00491544">
        <w:t>due to an error identified by</w:t>
      </w:r>
      <w:r w:rsidR="004875F7">
        <w:t xml:space="preserve"> Ausgrid</w:t>
      </w:r>
      <w:r w:rsidR="00491544">
        <w:t xml:space="preserve"> in its</w:t>
      </w:r>
      <w:r w:rsidR="004875F7">
        <w:t xml:space="preserve"> the original </w:t>
      </w:r>
      <w:r w:rsidR="00491544">
        <w:t>proposal</w:t>
      </w:r>
      <w:r w:rsidR="004875F7">
        <w:t>.</w:t>
      </w:r>
      <w:r>
        <w:t xml:space="preserve"> </w:t>
      </w:r>
    </w:p>
    <w:p w:rsidR="0044052B" w:rsidRPr="00DA5127" w:rsidRDefault="007C5F60" w:rsidP="00DA5127">
      <w:pPr>
        <w:pStyle w:val="AERbulletlistfirststyle"/>
      </w:pPr>
      <w:r>
        <w:t>R</w:t>
      </w:r>
      <w:r w:rsidR="00955803" w:rsidRPr="00DA5127">
        <w:t>emove</w:t>
      </w:r>
      <w:r>
        <w:t>d an</w:t>
      </w:r>
      <w:r w:rsidR="00955803" w:rsidRPr="00DA5127">
        <w:t xml:space="preserve"> </w:t>
      </w:r>
      <w:r>
        <w:t xml:space="preserve">updated amount of </w:t>
      </w:r>
      <w:r w:rsidR="00955803" w:rsidRPr="00DA5127">
        <w:t>metering assets from the RAB as at 30 June 2014.</w:t>
      </w:r>
    </w:p>
    <w:p w:rsidR="00A05244" w:rsidRDefault="0054178A" w:rsidP="00955803">
      <w:pPr>
        <w:pStyle w:val="AERbulletlistfirststyle"/>
        <w:numPr>
          <w:ilvl w:val="0"/>
          <w:numId w:val="0"/>
        </w:numPr>
      </w:pPr>
      <w:r>
        <w:t>These adjustments are discussed further below.</w:t>
      </w:r>
    </w:p>
    <w:p w:rsidR="00A05244" w:rsidRDefault="00A05244" w:rsidP="0044052B">
      <w:pPr>
        <w:pStyle w:val="HeadingOrange"/>
      </w:pPr>
      <w:r>
        <w:t>Opening RAB as at 1 July 200</w:t>
      </w:r>
      <w:r w:rsidR="00F275EF">
        <w:t>9</w:t>
      </w:r>
    </w:p>
    <w:p w:rsidR="005C340A" w:rsidRDefault="00A05244" w:rsidP="00A05244">
      <w:pPr>
        <w:pStyle w:val="AERbulletlistfirststyle"/>
        <w:numPr>
          <w:ilvl w:val="0"/>
          <w:numId w:val="0"/>
        </w:numPr>
      </w:pPr>
      <w:r>
        <w:t>The AER</w:t>
      </w:r>
      <w:r w:rsidR="00D64CE9">
        <w:t>'</w:t>
      </w:r>
      <w:r>
        <w:t xml:space="preserve">s </w:t>
      </w:r>
      <w:r w:rsidR="00FE5D43">
        <w:t>RFM</w:t>
      </w:r>
      <w:r>
        <w:t xml:space="preserve"> </w:t>
      </w:r>
      <w:r w:rsidR="00FE5D43">
        <w:t xml:space="preserve">calculates </w:t>
      </w:r>
      <w:r>
        <w:t>the approved forecast RAB to be updated for actual cap</w:t>
      </w:r>
      <w:r w:rsidR="00015580">
        <w:t>ex</w:t>
      </w:r>
      <w:r w:rsidR="00FE5D43">
        <w:t>, depreciation a</w:t>
      </w:r>
      <w:r>
        <w:t xml:space="preserve">nd inflation. The </w:t>
      </w:r>
      <w:r w:rsidR="00015580">
        <w:t xml:space="preserve">2009 </w:t>
      </w:r>
      <w:r>
        <w:t>decision approved a</w:t>
      </w:r>
      <w:r w:rsidR="00F8511A">
        <w:t>n estimated</w:t>
      </w:r>
      <w:r w:rsidR="004D180F">
        <w:t xml:space="preserve"> </w:t>
      </w:r>
      <w:r>
        <w:t>opening RAB of $</w:t>
      </w:r>
      <w:r w:rsidR="005C340A">
        <w:t>7</w:t>
      </w:r>
      <w:r w:rsidR="00F8511A">
        <w:t xml:space="preserve"> </w:t>
      </w:r>
      <w:r w:rsidR="005C340A">
        <w:t>297</w:t>
      </w:r>
      <w:r w:rsidR="004B2810">
        <w:t>.2</w:t>
      </w:r>
      <w:r w:rsidR="005C340A">
        <w:t xml:space="preserve"> </w:t>
      </w:r>
      <w:r>
        <w:t>million (</w:t>
      </w:r>
      <w:r w:rsidR="00015580">
        <w:t xml:space="preserve">$ </w:t>
      </w:r>
      <w:r>
        <w:t>nominal)</w:t>
      </w:r>
      <w:r w:rsidR="00FE5D43">
        <w:t xml:space="preserve"> as at 1 July 200</w:t>
      </w:r>
      <w:r w:rsidR="00054F94">
        <w:t>9</w:t>
      </w:r>
      <w:r>
        <w:t xml:space="preserve">. </w:t>
      </w:r>
      <w:r w:rsidR="00D64CE9">
        <w:t>We</w:t>
      </w:r>
      <w:r w:rsidR="005C340A">
        <w:t xml:space="preserve"> agree with Ausgrid</w:t>
      </w:r>
      <w:r w:rsidR="00F8511A">
        <w:t>'</w:t>
      </w:r>
      <w:r w:rsidR="005C340A">
        <w:t>s pr</w:t>
      </w:r>
      <w:r w:rsidR="00054F94">
        <w:t>o</w:t>
      </w:r>
      <w:r w:rsidR="005C340A">
        <w:t xml:space="preserve">posed </w:t>
      </w:r>
      <w:r w:rsidR="00F8511A">
        <w:t xml:space="preserve">estimated </w:t>
      </w:r>
      <w:r w:rsidR="005C340A">
        <w:t>opening RAB value as at 1 July 200</w:t>
      </w:r>
      <w:r w:rsidR="00054F94">
        <w:t>9</w:t>
      </w:r>
      <w:r w:rsidR="005C340A">
        <w:t>. However</w:t>
      </w:r>
      <w:r w:rsidR="00054F94">
        <w:t xml:space="preserve">, there are </w:t>
      </w:r>
      <w:r w:rsidR="005C340A">
        <w:t>notable differences in A</w:t>
      </w:r>
      <w:r w:rsidR="00054F94">
        <w:t>u</w:t>
      </w:r>
      <w:r w:rsidR="005C340A">
        <w:t>sgrid</w:t>
      </w:r>
      <w:r w:rsidR="00015580">
        <w:t>'s</w:t>
      </w:r>
      <w:r w:rsidR="005C340A">
        <w:t xml:space="preserve"> </w:t>
      </w:r>
      <w:r w:rsidR="00054F94">
        <w:t>approach to calculating this value that affect</w:t>
      </w:r>
      <w:r w:rsidR="00015580">
        <w:t>s</w:t>
      </w:r>
      <w:r w:rsidR="00054F94">
        <w:t xml:space="preserve"> how the value of the opening RAB has been rolled forward. </w:t>
      </w:r>
      <w:r w:rsidR="00D64CE9">
        <w:t>We</w:t>
      </w:r>
      <w:r w:rsidR="00054F94">
        <w:t xml:space="preserve"> u</w:t>
      </w:r>
      <w:r w:rsidR="00D64CE9">
        <w:t xml:space="preserve">pdated </w:t>
      </w:r>
      <w:r w:rsidR="00054F94">
        <w:t xml:space="preserve">Ausgrid's </w:t>
      </w:r>
      <w:r w:rsidR="00D64CE9">
        <w:t>proposed RFM</w:t>
      </w:r>
      <w:r w:rsidR="00054F94">
        <w:t xml:space="preserve"> for its distribution network</w:t>
      </w:r>
      <w:r w:rsidR="004D180F">
        <w:t xml:space="preserve"> consistent with our 2009 determination and </w:t>
      </w:r>
      <w:r w:rsidR="00054F94">
        <w:t>to improve the transparency of the</w:t>
      </w:r>
      <w:r w:rsidR="00015580">
        <w:t xml:space="preserve"> roll forward</w:t>
      </w:r>
      <w:r w:rsidR="00054F94">
        <w:t xml:space="preserve"> calculations</w:t>
      </w:r>
      <w:r w:rsidR="00015580">
        <w:t>,</w:t>
      </w:r>
      <w:r w:rsidR="00054F94">
        <w:t xml:space="preserve"> including:</w:t>
      </w:r>
    </w:p>
    <w:p w:rsidR="00054F94" w:rsidRDefault="00054F94" w:rsidP="00054F94">
      <w:pPr>
        <w:pStyle w:val="AERbulletlistfirststyle"/>
      </w:pPr>
      <w:r>
        <w:t xml:space="preserve">The adjustment for the difference in actual and </w:t>
      </w:r>
      <w:r w:rsidR="006F570A">
        <w:t>estimated</w:t>
      </w:r>
      <w:r>
        <w:t xml:space="preserve"> capex in 2003</w:t>
      </w:r>
      <w:r w:rsidR="006F570A">
        <w:t>–</w:t>
      </w:r>
      <w:r>
        <w:t xml:space="preserve">04, the final year of the previous regulatory </w:t>
      </w:r>
      <w:r w:rsidR="00F272C7">
        <w:t xml:space="preserve">control </w:t>
      </w:r>
      <w:r>
        <w:t>period</w:t>
      </w:r>
      <w:r w:rsidR="006F570A">
        <w:t>.</w:t>
      </w:r>
    </w:p>
    <w:p w:rsidR="00054F94" w:rsidRDefault="00054F94" w:rsidP="00054F94">
      <w:pPr>
        <w:pStyle w:val="AERbulletlistfirststyle"/>
      </w:pPr>
      <w:r>
        <w:t xml:space="preserve">The approach to allocating work-in-progress </w:t>
      </w:r>
      <w:r w:rsidR="006F570A">
        <w:t xml:space="preserve">amounts </w:t>
      </w:r>
      <w:r w:rsidR="00D64CE9">
        <w:t>at the end of 2008</w:t>
      </w:r>
      <w:r w:rsidR="006F570A">
        <w:t>–</w:t>
      </w:r>
      <w:r w:rsidR="00D64CE9">
        <w:t xml:space="preserve">09 to </w:t>
      </w:r>
      <w:r>
        <w:t>transition from recognition of capex from as-commissioned to as-incurred appr</w:t>
      </w:r>
      <w:r w:rsidR="00D64CE9">
        <w:t>oach</w:t>
      </w:r>
      <w:r w:rsidR="006F570A">
        <w:t>.</w:t>
      </w:r>
    </w:p>
    <w:p w:rsidR="00054F94" w:rsidRDefault="00054F94" w:rsidP="00054F94">
      <w:pPr>
        <w:pStyle w:val="AERbulletlistfirststyle"/>
      </w:pPr>
      <w:r>
        <w:t>Updating the RAB for actual capex in 2008</w:t>
      </w:r>
      <w:r w:rsidR="006F570A">
        <w:t>–</w:t>
      </w:r>
      <w:r>
        <w:t>09</w:t>
      </w:r>
      <w:r w:rsidR="00AC2839">
        <w:t>,</w:t>
      </w:r>
      <w:r>
        <w:t xml:space="preserve"> the final year of the current regulatory </w:t>
      </w:r>
      <w:r w:rsidR="006F570A">
        <w:t xml:space="preserve">control </w:t>
      </w:r>
      <w:r>
        <w:t>period.</w:t>
      </w:r>
    </w:p>
    <w:p w:rsidR="006F0095" w:rsidRDefault="00955803" w:rsidP="00E53CE1">
      <w:pPr>
        <w:pStyle w:val="AERbulletlistfirststyle"/>
        <w:numPr>
          <w:ilvl w:val="0"/>
          <w:numId w:val="0"/>
        </w:numPr>
      </w:pPr>
      <w:r>
        <w:t xml:space="preserve">The </w:t>
      </w:r>
      <w:r w:rsidR="006F570A">
        <w:t>2009 determination involved</w:t>
      </w:r>
      <w:r>
        <w:t xml:space="preserve"> transition</w:t>
      </w:r>
      <w:r w:rsidR="006F570A">
        <w:t>ing</w:t>
      </w:r>
      <w:r>
        <w:t xml:space="preserve"> Ausgrid </w:t>
      </w:r>
      <w:r w:rsidR="006F570A">
        <w:t>to</w:t>
      </w:r>
      <w:r>
        <w:t xml:space="preserve"> recogni</w:t>
      </w:r>
      <w:r w:rsidR="006F570A">
        <w:t>se</w:t>
      </w:r>
      <w:r>
        <w:t xml:space="preserve"> capex from as-commissioned to as-incurred basis. The recognition of capex on an as-incurred basis required that outstanding work-in-progress</w:t>
      </w:r>
      <w:r w:rsidR="006F570A">
        <w:t xml:space="preserve"> amounts</w:t>
      </w:r>
      <w:r>
        <w:t xml:space="preserve"> be allocated to existing asset classes.</w:t>
      </w:r>
      <w:r w:rsidR="00987378">
        <w:rPr>
          <w:rStyle w:val="FootnoteReference"/>
        </w:rPr>
        <w:footnoteReference w:id="24"/>
      </w:r>
      <w:r>
        <w:t xml:space="preserve"> </w:t>
      </w:r>
      <w:r w:rsidR="006F570A">
        <w:t>We</w:t>
      </w:r>
      <w:r>
        <w:t xml:space="preserve"> approved </w:t>
      </w:r>
      <w:r w:rsidR="00AC2839">
        <w:t xml:space="preserve">this allocation </w:t>
      </w:r>
      <w:r w:rsidR="006F570A">
        <w:t>as set out in the 2009 determination model</w:t>
      </w:r>
      <w:r>
        <w:t xml:space="preserve">. </w:t>
      </w:r>
      <w:r w:rsidR="00A841DB">
        <w:t>Ausgrid's</w:t>
      </w:r>
      <w:r>
        <w:t xml:space="preserve"> proposed RFM </w:t>
      </w:r>
      <w:r w:rsidR="00AC2839">
        <w:t>re</w:t>
      </w:r>
      <w:r>
        <w:t>allocate</w:t>
      </w:r>
      <w:r w:rsidR="00A841DB">
        <w:t xml:space="preserve">d </w:t>
      </w:r>
      <w:r>
        <w:t xml:space="preserve">the </w:t>
      </w:r>
      <w:r w:rsidR="006F570A">
        <w:t>work-in-progress amounts</w:t>
      </w:r>
      <w:r>
        <w:t xml:space="preserve"> across </w:t>
      </w:r>
      <w:r w:rsidR="00A87A2C">
        <w:t xml:space="preserve">all </w:t>
      </w:r>
      <w:r>
        <w:t>asset classes to roll</w:t>
      </w:r>
      <w:r w:rsidR="006F570A">
        <w:t xml:space="preserve"> </w:t>
      </w:r>
      <w:r>
        <w:t xml:space="preserve">forward the </w:t>
      </w:r>
      <w:r w:rsidR="006F570A">
        <w:t>RAB</w:t>
      </w:r>
      <w:r>
        <w:t xml:space="preserve"> from 1 July 2009 to 30 June 2014</w:t>
      </w:r>
      <w:r w:rsidR="006F570A">
        <w:t>, which differed from the allocation set out in the 2009 determination</w:t>
      </w:r>
      <w:r>
        <w:t xml:space="preserve">. </w:t>
      </w:r>
      <w:r w:rsidR="00A841DB">
        <w:t xml:space="preserve">We </w:t>
      </w:r>
      <w:r w:rsidR="006F570A">
        <w:t xml:space="preserve">therefore </w:t>
      </w:r>
      <w:r w:rsidR="00A841DB">
        <w:t xml:space="preserve">adjusted Ausgrid's RFM to reflect the approved allocation of </w:t>
      </w:r>
      <w:r w:rsidR="006F570A">
        <w:t xml:space="preserve">work-in-progress amounts </w:t>
      </w:r>
      <w:r w:rsidR="00A841DB">
        <w:t>to Ausgrid's system assets</w:t>
      </w:r>
      <w:r w:rsidR="00290197">
        <w:t>.</w:t>
      </w:r>
      <w:r w:rsidR="00E02DB3">
        <w:rPr>
          <w:rStyle w:val="FootnoteReference"/>
        </w:rPr>
        <w:footnoteReference w:id="25"/>
      </w:r>
      <w:r w:rsidR="00290197">
        <w:t xml:space="preserve"> Our adjustment to the opening value of asset classes affects the depreciation in the RFM and final closing RAB</w:t>
      </w:r>
      <w:r w:rsidR="00AC2839">
        <w:t xml:space="preserve"> </w:t>
      </w:r>
      <w:r w:rsidR="00D16AE7">
        <w:t xml:space="preserve">because Ausgrid's </w:t>
      </w:r>
      <w:r w:rsidR="00AC2839">
        <w:t xml:space="preserve">reallocation </w:t>
      </w:r>
      <w:r w:rsidR="000D2C14">
        <w:t xml:space="preserve">of </w:t>
      </w:r>
      <w:r w:rsidR="006F570A">
        <w:t>work-in-progress amounts</w:t>
      </w:r>
      <w:r w:rsidR="000D2C14">
        <w:t xml:space="preserve"> </w:t>
      </w:r>
      <w:r w:rsidR="00D16AE7">
        <w:t xml:space="preserve">was across </w:t>
      </w:r>
      <w:r w:rsidR="00AC2839">
        <w:t xml:space="preserve">shorter lived </w:t>
      </w:r>
      <w:r w:rsidR="00D16AE7">
        <w:t xml:space="preserve">non-system </w:t>
      </w:r>
      <w:r w:rsidR="00AC2839">
        <w:t>assets</w:t>
      </w:r>
      <w:r w:rsidR="00290197">
        <w:t>. Our adjustment increase</w:t>
      </w:r>
      <w:r w:rsidR="00D16AE7">
        <w:t>s</w:t>
      </w:r>
      <w:r w:rsidR="00290197">
        <w:t xml:space="preserve"> t</w:t>
      </w:r>
      <w:r w:rsidR="00D16AE7">
        <w:t>he</w:t>
      </w:r>
      <w:r w:rsidR="00290197">
        <w:t xml:space="preserve"> </w:t>
      </w:r>
      <w:r w:rsidR="00A52036">
        <w:t xml:space="preserve">proposed </w:t>
      </w:r>
      <w:r w:rsidR="00290197">
        <w:t xml:space="preserve">opening RAB as at 1 July 2014 </w:t>
      </w:r>
      <w:r w:rsidR="00D16AE7">
        <w:t>by</w:t>
      </w:r>
      <w:r w:rsidR="00290197">
        <w:t xml:space="preserve"> $0.8</w:t>
      </w:r>
      <w:r w:rsidR="00771043">
        <w:t> </w:t>
      </w:r>
      <w:r w:rsidR="00290197">
        <w:t>million (</w:t>
      </w:r>
      <w:r w:rsidR="00771043">
        <w:t>$ </w:t>
      </w:r>
      <w:r w:rsidR="00290197">
        <w:t>nominal)</w:t>
      </w:r>
      <w:r w:rsidR="006279F1">
        <w:t xml:space="preserve"> because of the lower actual depreciation.</w:t>
      </w:r>
      <w:r w:rsidR="0005673F" w:rsidRPr="0005673F">
        <w:t xml:space="preserve"> </w:t>
      </w:r>
      <w:r w:rsidR="00044233">
        <w:t>Our</w:t>
      </w:r>
      <w:r w:rsidR="0005673F" w:rsidRPr="0005673F">
        <w:t xml:space="preserve"> adjustment for the all</w:t>
      </w:r>
      <w:r w:rsidR="0005673F">
        <w:t>ocation</w:t>
      </w:r>
      <w:r w:rsidR="0005673F" w:rsidRPr="0005673F">
        <w:t xml:space="preserve"> of </w:t>
      </w:r>
      <w:r w:rsidR="006F570A">
        <w:t>the work-in-progress amounts</w:t>
      </w:r>
      <w:r w:rsidR="0005673F">
        <w:t xml:space="preserve"> main</w:t>
      </w:r>
      <w:r w:rsidR="00044233">
        <w:t>t</w:t>
      </w:r>
      <w:r w:rsidR="0005673F">
        <w:t>ains the v</w:t>
      </w:r>
      <w:r w:rsidR="00044233">
        <w:t xml:space="preserve">alue of the </w:t>
      </w:r>
      <w:r w:rsidR="0005673F">
        <w:t xml:space="preserve">opening RAB </w:t>
      </w:r>
      <w:r w:rsidR="006F570A">
        <w:t xml:space="preserve">as </w:t>
      </w:r>
      <w:r w:rsidR="0005673F">
        <w:t xml:space="preserve">approved </w:t>
      </w:r>
      <w:r w:rsidR="006F570A">
        <w:t>in</w:t>
      </w:r>
      <w:r w:rsidR="0005673F">
        <w:t xml:space="preserve"> the </w:t>
      </w:r>
      <w:r w:rsidR="006F570A">
        <w:t>2009</w:t>
      </w:r>
      <w:r w:rsidR="00044233">
        <w:t xml:space="preserve"> decision</w:t>
      </w:r>
      <w:r w:rsidR="00D16AE7">
        <w:rPr>
          <w:rStyle w:val="FootnoteReference"/>
        </w:rPr>
        <w:footnoteReference w:id="26"/>
      </w:r>
      <w:r w:rsidR="00044233">
        <w:t xml:space="preserve"> </w:t>
      </w:r>
      <w:r w:rsidR="003E3DFC">
        <w:t xml:space="preserve">and that depreciation to reduce the RAB is in accordance with the </w:t>
      </w:r>
      <w:r w:rsidR="006F570A">
        <w:t>2009</w:t>
      </w:r>
      <w:r w:rsidR="003E3DFC">
        <w:t xml:space="preserve"> decision</w:t>
      </w:r>
      <w:r w:rsidR="006F570A">
        <w:t>.</w:t>
      </w:r>
      <w:r w:rsidR="00D16AE7">
        <w:rPr>
          <w:rStyle w:val="FootnoteReference"/>
        </w:rPr>
        <w:footnoteReference w:id="27"/>
      </w:r>
      <w:r w:rsidR="00044233">
        <w:t xml:space="preserve">  </w:t>
      </w:r>
    </w:p>
    <w:p w:rsidR="00EB1E44" w:rsidRDefault="00EB1E44" w:rsidP="00E53CE1">
      <w:pPr>
        <w:pStyle w:val="AERbulletlistfirststyle"/>
        <w:numPr>
          <w:ilvl w:val="0"/>
          <w:numId w:val="0"/>
        </w:numPr>
      </w:pPr>
      <w:r>
        <w:t xml:space="preserve">Our </w:t>
      </w:r>
      <w:r w:rsidR="006F570A">
        <w:t xml:space="preserve">other </w:t>
      </w:r>
      <w:r>
        <w:t xml:space="preserve">adjustment </w:t>
      </w:r>
      <w:r w:rsidR="006F570A">
        <w:t xml:space="preserve">is </w:t>
      </w:r>
      <w:r w:rsidRPr="00EB1E44">
        <w:t xml:space="preserve">to reallocate the 2008–09 actual capex </w:t>
      </w:r>
      <w:r w:rsidR="00FF63A5">
        <w:t>to be</w:t>
      </w:r>
      <w:r w:rsidRPr="00EB1E44">
        <w:t xml:space="preserve"> consistent with the approved asset classes </w:t>
      </w:r>
      <w:r w:rsidR="00D2610C">
        <w:t>for the 200</w:t>
      </w:r>
      <w:r w:rsidR="00FF63A5">
        <w:t>4</w:t>
      </w:r>
      <w:r w:rsidR="00D2610C">
        <w:t xml:space="preserve">–09 regulatory control </w:t>
      </w:r>
      <w:proofErr w:type="gramStart"/>
      <w:r w:rsidR="00D2610C">
        <w:t>period</w:t>
      </w:r>
      <w:proofErr w:type="gramEnd"/>
      <w:r w:rsidRPr="00EB1E44">
        <w:t>.</w:t>
      </w:r>
      <w:r>
        <w:rPr>
          <w:rStyle w:val="FootnoteReference"/>
        </w:rPr>
        <w:footnoteReference w:id="28"/>
      </w:r>
      <w:r w:rsidRPr="00EB1E44">
        <w:t xml:space="preserve"> </w:t>
      </w:r>
      <w:r w:rsidR="00E53CE1">
        <w:t xml:space="preserve">The </w:t>
      </w:r>
      <w:r w:rsidR="00E53CE1" w:rsidRPr="00E53CE1">
        <w:t>2008</w:t>
      </w:r>
      <w:r w:rsidR="00FF63A5">
        <w:t>–</w:t>
      </w:r>
      <w:r w:rsidR="00E53CE1" w:rsidRPr="00E53CE1">
        <w:t>09 regulatory accounts report actual capex of $23.9 million (</w:t>
      </w:r>
      <w:r w:rsidR="0094492C">
        <w:t xml:space="preserve">$ </w:t>
      </w:r>
      <w:r w:rsidR="00E53CE1" w:rsidRPr="00E53CE1">
        <w:t xml:space="preserve">nominal) against the </w:t>
      </w:r>
      <w:r w:rsidR="00FF63A5">
        <w:t>'C</w:t>
      </w:r>
      <w:r w:rsidR="00E53CE1" w:rsidRPr="00E53CE1">
        <w:t>ustomer metering and load control</w:t>
      </w:r>
      <w:r w:rsidR="00FF63A5">
        <w:t>'</w:t>
      </w:r>
      <w:r w:rsidR="00E53CE1" w:rsidRPr="00E53CE1">
        <w:t xml:space="preserve"> asset class, </w:t>
      </w:r>
      <w:r w:rsidR="00E53CE1" w:rsidRPr="00E53CE1">
        <w:lastRenderedPageBreak/>
        <w:t>and actual capex of $37.6 million (</w:t>
      </w:r>
      <w:r w:rsidR="0094492C">
        <w:t xml:space="preserve">$ </w:t>
      </w:r>
      <w:r w:rsidR="00E53CE1" w:rsidRPr="00E53CE1">
        <w:t xml:space="preserve">nominal) against the </w:t>
      </w:r>
      <w:r w:rsidR="00FF63A5">
        <w:t>'C</w:t>
      </w:r>
      <w:r w:rsidR="00E53CE1" w:rsidRPr="00E53CE1">
        <w:t>ommunications</w:t>
      </w:r>
      <w:r w:rsidR="00FF63A5">
        <w:t>'</w:t>
      </w:r>
      <w:r w:rsidR="00E53CE1" w:rsidRPr="00E53CE1">
        <w:t xml:space="preserve"> asset class. </w:t>
      </w:r>
      <w:r w:rsidR="00E53CE1">
        <w:t xml:space="preserve">Our adjustment </w:t>
      </w:r>
      <w:r w:rsidR="00A52036">
        <w:t xml:space="preserve">provides </w:t>
      </w:r>
      <w:r w:rsidRPr="00EB1E44">
        <w:t xml:space="preserve">that at the end of the roll forward period (30 June 2014) the value of </w:t>
      </w:r>
      <w:r w:rsidR="00E53CE1">
        <w:t xml:space="preserve">the approved asset classes are </w:t>
      </w:r>
      <w:r w:rsidRPr="00EB1E44">
        <w:t xml:space="preserve">adjusted for the difference between forecast and actual capex (and the return on that difference) </w:t>
      </w:r>
      <w:r w:rsidR="00E53CE1">
        <w:t>consistent with</w:t>
      </w:r>
      <w:r w:rsidR="00FF63A5">
        <w:t xml:space="preserve"> the</w:t>
      </w:r>
      <w:r w:rsidR="00E53CE1">
        <w:t xml:space="preserve"> </w:t>
      </w:r>
      <w:r w:rsidR="00FF63A5">
        <w:t>2009</w:t>
      </w:r>
      <w:r w:rsidR="00E53CE1">
        <w:t xml:space="preserve"> determination.</w:t>
      </w:r>
      <w:r w:rsidRPr="00EB1E44">
        <w:rPr>
          <w:rStyle w:val="FootnoteReference"/>
        </w:rPr>
        <w:footnoteReference w:id="29"/>
      </w:r>
      <w:r w:rsidRPr="00EB1E44">
        <w:t xml:space="preserve"> </w:t>
      </w:r>
    </w:p>
    <w:p w:rsidR="00C3697B" w:rsidRDefault="00C3697B" w:rsidP="0044052B">
      <w:pPr>
        <w:pStyle w:val="HeadingOrange"/>
      </w:pPr>
      <w:r>
        <w:t>Actual capex</w:t>
      </w:r>
      <w:r w:rsidR="00D21CDF">
        <w:t xml:space="preserve"> for 2009–10 to 2012–13</w:t>
      </w:r>
    </w:p>
    <w:p w:rsidR="00C3697B" w:rsidRDefault="00C3697B" w:rsidP="00A05244">
      <w:pPr>
        <w:pStyle w:val="AERbulletlistfirststyle"/>
        <w:numPr>
          <w:ilvl w:val="0"/>
          <w:numId w:val="0"/>
        </w:numPr>
      </w:pPr>
      <w:r>
        <w:t>We have updated Ausgrid's proposed RFM to correct for errors that affect the value of actual net capex from 2009</w:t>
      </w:r>
      <w:r w:rsidR="00142AA4">
        <w:t>–</w:t>
      </w:r>
      <w:r>
        <w:t>10 to 2012</w:t>
      </w:r>
      <w:r w:rsidR="00142AA4">
        <w:t>–</w:t>
      </w:r>
      <w:r>
        <w:t>13.</w:t>
      </w:r>
      <w:r w:rsidR="00F44F36">
        <w:rPr>
          <w:rStyle w:val="FootnoteReference"/>
        </w:rPr>
        <w:footnoteReference w:id="30"/>
      </w:r>
      <w:r>
        <w:t xml:space="preserve"> This include</w:t>
      </w:r>
      <w:r w:rsidR="00142AA4">
        <w:t>d</w:t>
      </w:r>
      <w:r>
        <w:t xml:space="preserve"> updates to the value of actual capex (gross), the value of disposals and capital contributions. We</w:t>
      </w:r>
      <w:r w:rsidRPr="00C3697B">
        <w:t xml:space="preserve"> reviewed Ausgrid's proposed actual capex against its regulatory accounts and annual regulatory information notices (RIN) for the period from 2008</w:t>
      </w:r>
      <w:r w:rsidR="00142AA4">
        <w:t>–</w:t>
      </w:r>
      <w:r w:rsidRPr="00C3697B">
        <w:t>09 to 2012</w:t>
      </w:r>
      <w:r w:rsidR="00142AA4">
        <w:t>–</w:t>
      </w:r>
      <w:r w:rsidRPr="00C3697B">
        <w:t>13</w:t>
      </w:r>
      <w:r>
        <w:t xml:space="preserve">. We identified </w:t>
      </w:r>
      <w:r w:rsidR="00ED1506">
        <w:t xml:space="preserve">the following </w:t>
      </w:r>
      <w:r>
        <w:t xml:space="preserve">discrepancies </w:t>
      </w:r>
      <w:r w:rsidR="00D2610C">
        <w:t>and errors in Ausgrid's proposed actual capex inputs</w:t>
      </w:r>
      <w:r>
        <w:t>:</w:t>
      </w:r>
    </w:p>
    <w:p w:rsidR="00C3697B" w:rsidRDefault="00142AA4" w:rsidP="00DA3B03">
      <w:pPr>
        <w:pStyle w:val="AERbulletlistfirststyle"/>
      </w:pPr>
      <w:r>
        <w:t>t</w:t>
      </w:r>
      <w:r w:rsidR="00DA3B03">
        <w:t>he value of equity raising cost</w:t>
      </w:r>
    </w:p>
    <w:p w:rsidR="00DA3B03" w:rsidRDefault="00142AA4" w:rsidP="00DA3B03">
      <w:pPr>
        <w:pStyle w:val="AERbulletlistfirststyle"/>
      </w:pPr>
      <w:r>
        <w:t>t</w:t>
      </w:r>
      <w:r w:rsidR="00DA3B03">
        <w:t xml:space="preserve">he value of asset disposals </w:t>
      </w:r>
    </w:p>
    <w:p w:rsidR="00DA3B03" w:rsidRDefault="00142AA4" w:rsidP="00DA3B03">
      <w:pPr>
        <w:pStyle w:val="AERbulletlistfirststyle"/>
      </w:pPr>
      <w:proofErr w:type="gramStart"/>
      <w:r>
        <w:t>t</w:t>
      </w:r>
      <w:r w:rsidR="00DA3B03">
        <w:t>he</w:t>
      </w:r>
      <w:proofErr w:type="gramEnd"/>
      <w:r w:rsidR="00DA3B03">
        <w:t xml:space="preserve"> value of capital contributions.</w:t>
      </w:r>
    </w:p>
    <w:p w:rsidR="003F4A12" w:rsidRDefault="00DA3B03" w:rsidP="00A32D32">
      <w:pPr>
        <w:pStyle w:val="AERbulletlistfirststyle"/>
        <w:numPr>
          <w:ilvl w:val="0"/>
          <w:numId w:val="0"/>
        </w:numPr>
      </w:pPr>
      <w:r>
        <w:t xml:space="preserve">We </w:t>
      </w:r>
      <w:r w:rsidR="003F4A12">
        <w:t>d</w:t>
      </w:r>
      <w:r w:rsidR="00C10266">
        <w:t>o</w:t>
      </w:r>
      <w:r w:rsidR="003F4A12">
        <w:t xml:space="preserve"> not accept Ausgrid</w:t>
      </w:r>
      <w:r w:rsidR="00142AA4">
        <w:t>'s</w:t>
      </w:r>
      <w:r w:rsidR="003F4A12">
        <w:t xml:space="preserve"> proposed value of </w:t>
      </w:r>
      <w:r w:rsidR="00142AA4">
        <w:t>equity raising cost</w:t>
      </w:r>
      <w:r w:rsidR="00D2610C">
        <w:t xml:space="preserve"> </w:t>
      </w:r>
      <w:r w:rsidR="003F4A12">
        <w:t>for 2009</w:t>
      </w:r>
      <w:r w:rsidR="00142AA4">
        <w:t>–</w:t>
      </w:r>
      <w:r w:rsidR="003F4A12">
        <w:t>10 of $</w:t>
      </w:r>
      <w:r w:rsidR="00F275EF">
        <w:t>26.7</w:t>
      </w:r>
      <w:r w:rsidR="003F4A12">
        <w:t xml:space="preserve"> million (</w:t>
      </w:r>
      <w:r w:rsidR="0094492C">
        <w:t>$</w:t>
      </w:r>
      <w:r w:rsidR="00BF6286">
        <w:t> </w:t>
      </w:r>
      <w:r w:rsidR="003F4A12">
        <w:t xml:space="preserve">nominal). </w:t>
      </w:r>
      <w:r w:rsidR="00C10266">
        <w:t xml:space="preserve">The </w:t>
      </w:r>
      <w:r w:rsidR="00142AA4">
        <w:t>2009</w:t>
      </w:r>
      <w:r w:rsidR="00C10266">
        <w:t xml:space="preserve"> decision </w:t>
      </w:r>
      <w:r w:rsidR="006768EA">
        <w:t>PTRM</w:t>
      </w:r>
      <w:r w:rsidR="00C10266">
        <w:t xml:space="preserve"> </w:t>
      </w:r>
      <w:r w:rsidR="00C10266" w:rsidRPr="00C10266">
        <w:t>recognised capex as end</w:t>
      </w:r>
      <w:r w:rsidR="00142AA4">
        <w:t xml:space="preserve"> </w:t>
      </w:r>
      <w:r w:rsidR="00C10266" w:rsidRPr="00C10266">
        <w:t>of year value in real 2008</w:t>
      </w:r>
      <w:r w:rsidR="00142AA4">
        <w:t>–</w:t>
      </w:r>
      <w:r w:rsidR="00C10266" w:rsidRPr="00C10266">
        <w:t xml:space="preserve">09 dollar terms. The AER's RFM requires the input of capex in nominal dollars terms. </w:t>
      </w:r>
      <w:r w:rsidR="003F4A12">
        <w:t>A</w:t>
      </w:r>
      <w:r w:rsidR="003F4A12" w:rsidRPr="003F4A12">
        <w:t xml:space="preserve">usgrid's proposed value of </w:t>
      </w:r>
      <w:r w:rsidR="00142AA4">
        <w:t>equity raising cost</w:t>
      </w:r>
      <w:r w:rsidR="003F4A12" w:rsidRPr="003F4A12">
        <w:t xml:space="preserve"> </w:t>
      </w:r>
      <w:r w:rsidR="00C10266" w:rsidRPr="003F4A12">
        <w:t>include</w:t>
      </w:r>
      <w:r w:rsidR="00C10266">
        <w:t>s</w:t>
      </w:r>
      <w:r w:rsidR="00C10266" w:rsidRPr="003F4A12">
        <w:t xml:space="preserve"> </w:t>
      </w:r>
      <w:r w:rsidR="003F4A12" w:rsidRPr="003F4A12">
        <w:t>a full year</w:t>
      </w:r>
      <w:r w:rsidR="00142AA4">
        <w:t>'s</w:t>
      </w:r>
      <w:r w:rsidR="003F4A12" w:rsidRPr="003F4A12">
        <w:t xml:space="preserve"> of inflation to convert from end of year real 2008</w:t>
      </w:r>
      <w:r w:rsidR="00142AA4">
        <w:t>–</w:t>
      </w:r>
      <w:r w:rsidR="003F4A12" w:rsidRPr="003F4A12">
        <w:t>09 value to middle of year nominal 2009</w:t>
      </w:r>
      <w:r w:rsidR="00142AA4">
        <w:t>–</w:t>
      </w:r>
      <w:r w:rsidR="003F4A12" w:rsidRPr="003F4A12">
        <w:t>10 value.</w:t>
      </w:r>
      <w:r w:rsidR="003F4A12">
        <w:t xml:space="preserve"> </w:t>
      </w:r>
      <w:r w:rsidR="00C10266">
        <w:t>To co</w:t>
      </w:r>
      <w:r w:rsidR="009D0A7C">
        <w:t>n</w:t>
      </w:r>
      <w:r w:rsidR="00C10266">
        <w:t>vert t</w:t>
      </w:r>
      <w:r w:rsidR="00D2610C">
        <w:t>h</w:t>
      </w:r>
      <w:r w:rsidR="00142AA4">
        <w:t xml:space="preserve">e equity </w:t>
      </w:r>
      <w:proofErr w:type="gramStart"/>
      <w:r w:rsidR="00142AA4">
        <w:t>raising</w:t>
      </w:r>
      <w:proofErr w:type="gramEnd"/>
      <w:r w:rsidR="00142AA4">
        <w:t xml:space="preserve"> cost</w:t>
      </w:r>
      <w:r w:rsidR="00C10266">
        <w:t xml:space="preserve"> to a nominal mid</w:t>
      </w:r>
      <w:r w:rsidR="00D2610C">
        <w:t>-</w:t>
      </w:r>
      <w:r w:rsidR="00C10266">
        <w:t>year value (as required by the RFM)</w:t>
      </w:r>
      <w:r w:rsidR="00142AA4">
        <w:t>,</w:t>
      </w:r>
      <w:r w:rsidR="00C10266">
        <w:t xml:space="preserve"> only </w:t>
      </w:r>
      <w:r w:rsidR="00A32D32">
        <w:t>six month</w:t>
      </w:r>
      <w:r w:rsidR="00142AA4">
        <w:t>s of</w:t>
      </w:r>
      <w:r w:rsidR="00A32D32">
        <w:t xml:space="preserve"> inflation</w:t>
      </w:r>
      <w:r w:rsidR="00142AA4">
        <w:t xml:space="preserve"> is required to be applied</w:t>
      </w:r>
      <w:r w:rsidR="00A32D32">
        <w:t xml:space="preserve">. </w:t>
      </w:r>
      <w:r w:rsidR="00ED407A">
        <w:t>We consider t</w:t>
      </w:r>
      <w:r w:rsidR="00A32D32">
        <w:t>h</w:t>
      </w:r>
      <w:r w:rsidR="00142AA4">
        <w:t>e</w:t>
      </w:r>
      <w:r w:rsidR="00A32D32">
        <w:t xml:space="preserve"> </w:t>
      </w:r>
      <w:r w:rsidR="00ED407A">
        <w:t xml:space="preserve">revised </w:t>
      </w:r>
      <w:r w:rsidR="00142AA4">
        <w:t>equity raising cost</w:t>
      </w:r>
      <w:r w:rsidR="00ED407A">
        <w:t xml:space="preserve"> </w:t>
      </w:r>
      <w:r w:rsidR="004E6985">
        <w:t xml:space="preserve">better </w:t>
      </w:r>
      <w:r w:rsidR="00A32D32">
        <w:t xml:space="preserve">represents the value </w:t>
      </w:r>
      <w:r w:rsidR="00ED407A">
        <w:t xml:space="preserve">as approved </w:t>
      </w:r>
      <w:r w:rsidR="00142AA4">
        <w:t>in the 2009 determination</w:t>
      </w:r>
      <w:r w:rsidR="00ED407A">
        <w:t xml:space="preserve">. </w:t>
      </w:r>
    </w:p>
    <w:p w:rsidR="003F4A12" w:rsidRDefault="003F4A12" w:rsidP="00DA3B03">
      <w:pPr>
        <w:pStyle w:val="AERbulletlistfirststyle"/>
        <w:numPr>
          <w:ilvl w:val="0"/>
          <w:numId w:val="0"/>
        </w:numPr>
      </w:pPr>
      <w:r>
        <w:t xml:space="preserve">We </w:t>
      </w:r>
      <w:r w:rsidR="00A32D32">
        <w:t xml:space="preserve">do not accept </w:t>
      </w:r>
      <w:r>
        <w:t>Ausgrid</w:t>
      </w:r>
      <w:r w:rsidR="00A32D32">
        <w:t xml:space="preserve">'s proposed </w:t>
      </w:r>
      <w:r>
        <w:t xml:space="preserve">value of disposals </w:t>
      </w:r>
      <w:r w:rsidR="00A32D32">
        <w:t xml:space="preserve">used to roll forward the RAB over the </w:t>
      </w:r>
      <w:r w:rsidR="00BF6286">
        <w:br/>
      </w:r>
      <w:r w:rsidR="00F720F4">
        <w:t>2008–1</w:t>
      </w:r>
      <w:r w:rsidR="00ED1506">
        <w:t>3</w:t>
      </w:r>
      <w:r w:rsidR="00ED1506" w:rsidRPr="00ED1506">
        <w:t xml:space="preserve"> </w:t>
      </w:r>
      <w:proofErr w:type="gramStart"/>
      <w:r w:rsidR="00ED1506" w:rsidRPr="00ED1506">
        <w:t>period</w:t>
      </w:r>
      <w:proofErr w:type="gramEnd"/>
      <w:r w:rsidR="00A32D32">
        <w:t xml:space="preserve">. </w:t>
      </w:r>
      <w:r>
        <w:t xml:space="preserve">We </w:t>
      </w:r>
      <w:r w:rsidR="00B80743">
        <w:t>reviewed the proposed level of disposals against Ausgrid's regulatory accounts and annual RINs for th</w:t>
      </w:r>
      <w:r w:rsidR="004E6985">
        <w:t>at</w:t>
      </w:r>
      <w:r w:rsidR="00B80743">
        <w:t xml:space="preserve"> period</w:t>
      </w:r>
      <w:r w:rsidR="00ED407A">
        <w:t xml:space="preserve"> and found several discrepancies</w:t>
      </w:r>
      <w:r w:rsidR="00B80743">
        <w:t xml:space="preserve">. We </w:t>
      </w:r>
      <w:r w:rsidR="00ED407A">
        <w:t xml:space="preserve">asked </w:t>
      </w:r>
      <w:r w:rsidR="00B80743">
        <w:t xml:space="preserve">Ausgrid about </w:t>
      </w:r>
      <w:r w:rsidR="00ED407A">
        <w:t>these discrepancies. It</w:t>
      </w:r>
      <w:r w:rsidR="00B80743">
        <w:t xml:space="preserve"> advised that the </w:t>
      </w:r>
      <w:r w:rsidR="00FA040E">
        <w:t xml:space="preserve">written down value of assets were reported as </w:t>
      </w:r>
      <w:r w:rsidR="00B80743">
        <w:t>disposals in the annual RINs from 2010</w:t>
      </w:r>
      <w:r w:rsidR="004E6985">
        <w:t>–</w:t>
      </w:r>
      <w:r w:rsidR="00B80743">
        <w:t>11 to 2012</w:t>
      </w:r>
      <w:r w:rsidR="004E6985">
        <w:t>–</w:t>
      </w:r>
      <w:r w:rsidR="00B80743">
        <w:t xml:space="preserve">13. Ausgrid </w:t>
      </w:r>
      <w:r w:rsidR="00FA040E">
        <w:t>provided the gross proceeds from sale as the revised value of disposals for the period from 2010</w:t>
      </w:r>
      <w:r w:rsidR="004E6985">
        <w:t>–</w:t>
      </w:r>
      <w:r w:rsidR="00FA040E">
        <w:t>11 to 2013</w:t>
      </w:r>
      <w:r w:rsidR="004E6985">
        <w:t>–</w:t>
      </w:r>
      <w:r w:rsidR="00FA040E">
        <w:t>14.</w:t>
      </w:r>
      <w:r w:rsidR="00FA040E">
        <w:rPr>
          <w:rStyle w:val="FootnoteReference"/>
        </w:rPr>
        <w:footnoteReference w:id="31"/>
      </w:r>
      <w:r w:rsidR="00A32D32">
        <w:t xml:space="preserve"> </w:t>
      </w:r>
      <w:r w:rsidR="004E6985">
        <w:t xml:space="preserve">We have adopted these revised values for the purposes of the draft decision. </w:t>
      </w:r>
      <w:r w:rsidR="00BE7875">
        <w:t>We</w:t>
      </w:r>
      <w:r w:rsidR="00ED407A">
        <w:t xml:space="preserve"> consider that gross proceeds from sale should generally be used </w:t>
      </w:r>
      <w:r w:rsidR="004E6985">
        <w:t>in</w:t>
      </w:r>
      <w:r w:rsidR="00ED407A">
        <w:t xml:space="preserve"> the RAB</w:t>
      </w:r>
      <w:r w:rsidR="004E6985">
        <w:t xml:space="preserve"> roll forward</w:t>
      </w:r>
      <w:r w:rsidR="00ED407A">
        <w:t>. This means that any loss on sale of the assets against the written down value of assets will be recovered from customers</w:t>
      </w:r>
      <w:r w:rsidR="001D22F3">
        <w:t xml:space="preserve"> (with the unrecovered proportion o</w:t>
      </w:r>
      <w:r w:rsidR="004E6985">
        <w:t>f residual value</w:t>
      </w:r>
      <w:r w:rsidR="001D22F3">
        <w:t xml:space="preserve"> remaining in the RAB)</w:t>
      </w:r>
      <w:r w:rsidR="00ED407A">
        <w:t>, while any profit will be offset against the RAB for the benefit of customers.</w:t>
      </w:r>
      <w:r w:rsidR="009D7A31">
        <w:t xml:space="preserve"> </w:t>
      </w:r>
      <w:r w:rsidR="001D22F3">
        <w:t>This ensures that the service provider recovers no more or less tha</w:t>
      </w:r>
      <w:r w:rsidR="00F62B8A">
        <w:t>n</w:t>
      </w:r>
      <w:r w:rsidR="001D22F3">
        <w:t xml:space="preserve"> </w:t>
      </w:r>
      <w:r w:rsidR="009A40C7">
        <w:t>the real value of the asset when it was first included in the RAB.</w:t>
      </w:r>
      <w:r w:rsidR="009D7A31">
        <w:rPr>
          <w:rStyle w:val="FootnoteReference"/>
        </w:rPr>
        <w:footnoteReference w:id="32"/>
      </w:r>
      <w:r w:rsidR="00ED407A">
        <w:t xml:space="preserve"> </w:t>
      </w:r>
    </w:p>
    <w:p w:rsidR="00DA3B03" w:rsidRDefault="00BE7875" w:rsidP="00DA3B03">
      <w:pPr>
        <w:pStyle w:val="AERbulletlistfirststyle"/>
        <w:numPr>
          <w:ilvl w:val="0"/>
          <w:numId w:val="0"/>
        </w:numPr>
      </w:pPr>
      <w:r>
        <w:t>W</w:t>
      </w:r>
      <w:r w:rsidR="00451C57">
        <w:t>e</w:t>
      </w:r>
      <w:r>
        <w:t xml:space="preserve"> do not accept Ausgrid's proposed value of capital contributions used to roll</w:t>
      </w:r>
      <w:r w:rsidR="004E6985">
        <w:t xml:space="preserve"> </w:t>
      </w:r>
      <w:r>
        <w:t xml:space="preserve">forward the RAB over the </w:t>
      </w:r>
      <w:r w:rsidR="006B345E">
        <w:t>2009–1</w:t>
      </w:r>
      <w:r w:rsidR="00ED1506">
        <w:t>3</w:t>
      </w:r>
      <w:r w:rsidR="006B345E">
        <w:t xml:space="preserve"> </w:t>
      </w:r>
      <w:proofErr w:type="gramStart"/>
      <w:r w:rsidR="006B345E">
        <w:t>period</w:t>
      </w:r>
      <w:proofErr w:type="gramEnd"/>
      <w:r w:rsidR="00451C57">
        <w:t xml:space="preserve">. We </w:t>
      </w:r>
      <w:r w:rsidR="00495337">
        <w:t>identified i</w:t>
      </w:r>
      <w:r w:rsidR="00451C57">
        <w:t xml:space="preserve">nconsistencies in the value of capital contributions reported </w:t>
      </w:r>
      <w:r w:rsidR="00B7259E">
        <w:t xml:space="preserve">between the </w:t>
      </w:r>
      <w:r w:rsidR="00451C57">
        <w:t>annual RIN, reset RIN and proposed RFM</w:t>
      </w:r>
      <w:r w:rsidR="00495337">
        <w:t xml:space="preserve"> and requested further information from Ausgrid</w:t>
      </w:r>
      <w:r w:rsidR="00451C57">
        <w:t>. Ausgrid advised th</w:t>
      </w:r>
      <w:r w:rsidR="00495337">
        <w:t>e</w:t>
      </w:r>
      <w:r w:rsidR="00451C57">
        <w:t xml:space="preserve"> </w:t>
      </w:r>
      <w:r w:rsidR="00495337">
        <w:t xml:space="preserve">proposed </w:t>
      </w:r>
      <w:r w:rsidR="00B7259E">
        <w:t>RFM incorrectly included amounts of depreciated capital contributions</w:t>
      </w:r>
      <w:r w:rsidR="00372126">
        <w:t xml:space="preserve"> </w:t>
      </w:r>
      <w:r w:rsidR="00072E6A">
        <w:t>in relation to</w:t>
      </w:r>
      <w:r w:rsidR="00ED3022">
        <w:t xml:space="preserve"> </w:t>
      </w:r>
      <w:r w:rsidR="006B345E">
        <w:t>government grants allocated to the provision of standard control services</w:t>
      </w:r>
      <w:r w:rsidR="00B7259E">
        <w:t xml:space="preserve">. </w:t>
      </w:r>
      <w:r w:rsidR="00821CDB">
        <w:t xml:space="preserve">Ausgrid's proposed depreciated value for capital contributions </w:t>
      </w:r>
      <w:r w:rsidR="006B345E">
        <w:t xml:space="preserve">relates to </w:t>
      </w:r>
      <w:r w:rsidR="00BE2EC3">
        <w:t>its</w:t>
      </w:r>
      <w:r w:rsidR="00B7259E">
        <w:t xml:space="preserve"> accounting treatment of government grants that recognises the grant as revenue over the life of </w:t>
      </w:r>
      <w:r w:rsidR="00BE2EC3">
        <w:t xml:space="preserve">the </w:t>
      </w:r>
      <w:r w:rsidR="00B7259E">
        <w:t>related assets.</w:t>
      </w:r>
      <w:r w:rsidR="00372126">
        <w:t xml:space="preserve"> For </w:t>
      </w:r>
      <w:r w:rsidR="00372126">
        <w:lastRenderedPageBreak/>
        <w:t xml:space="preserve">regulatory purposes, however, such grants are </w:t>
      </w:r>
      <w:r w:rsidR="00BE2EC3">
        <w:t xml:space="preserve">to be </w:t>
      </w:r>
      <w:r w:rsidR="00372126">
        <w:t>removed from the RAB immediately.</w:t>
      </w:r>
      <w:r w:rsidR="00B7259E">
        <w:rPr>
          <w:rStyle w:val="FootnoteReference"/>
        </w:rPr>
        <w:footnoteReference w:id="33"/>
      </w:r>
      <w:r w:rsidR="00451C57">
        <w:t xml:space="preserve"> </w:t>
      </w:r>
      <w:r w:rsidR="00ED3022">
        <w:t>Ausgrid provided revised value</w:t>
      </w:r>
      <w:r w:rsidR="00BE2EC3">
        <w:t>s</w:t>
      </w:r>
      <w:r w:rsidR="00ED3022">
        <w:t xml:space="preserve"> of capital contribution</w:t>
      </w:r>
      <w:r w:rsidR="00BE2EC3">
        <w:t>s</w:t>
      </w:r>
      <w:r w:rsidR="00ED3022">
        <w:t xml:space="preserve"> and actual gross capex for the 2009</w:t>
      </w:r>
      <w:r w:rsidR="00ED1506">
        <w:t>–</w:t>
      </w:r>
      <w:r w:rsidR="00ED3022">
        <w:t>1</w:t>
      </w:r>
      <w:r w:rsidR="00ED1506">
        <w:t>3</w:t>
      </w:r>
      <w:r w:rsidR="00ED3022">
        <w:t xml:space="preserve"> </w:t>
      </w:r>
      <w:proofErr w:type="gramStart"/>
      <w:r w:rsidR="00ED3022">
        <w:t>period</w:t>
      </w:r>
      <w:proofErr w:type="gramEnd"/>
      <w:r w:rsidR="00ED3022">
        <w:t>.</w:t>
      </w:r>
      <w:r w:rsidR="00037EC7">
        <w:rPr>
          <w:rStyle w:val="FootnoteReference"/>
        </w:rPr>
        <w:footnoteReference w:id="34"/>
      </w:r>
      <w:r w:rsidR="00ED3022">
        <w:t xml:space="preserve"> We accept </w:t>
      </w:r>
      <w:r w:rsidR="00ED1506">
        <w:t>these</w:t>
      </w:r>
      <w:r w:rsidR="00ED3022">
        <w:t xml:space="preserve"> revised values because the adjusted actual gross capex includes the correct</w:t>
      </w:r>
      <w:r w:rsidR="0013695A">
        <w:t>ed</w:t>
      </w:r>
      <w:r w:rsidR="00ED3022">
        <w:t xml:space="preserve"> value of capital contributions.</w:t>
      </w:r>
      <w:r w:rsidR="00ED3022" w:rsidDel="00ED3022">
        <w:t xml:space="preserve"> </w:t>
      </w:r>
    </w:p>
    <w:p w:rsidR="00372126" w:rsidRDefault="005C0024" w:rsidP="00ED3022">
      <w:pPr>
        <w:pStyle w:val="HeadingOrange"/>
      </w:pPr>
      <w:r>
        <w:t>Estimated capex for 2013</w:t>
      </w:r>
      <w:r w:rsidR="00DA749A">
        <w:softHyphen/>
      </w:r>
      <w:r w:rsidR="00DA749A">
        <w:softHyphen/>
        <w:t>–</w:t>
      </w:r>
      <w:r>
        <w:t>14</w:t>
      </w:r>
    </w:p>
    <w:p w:rsidR="005C0024" w:rsidRDefault="00495337" w:rsidP="00A05244">
      <w:pPr>
        <w:pStyle w:val="AERbulletlistfirststyle"/>
        <w:numPr>
          <w:ilvl w:val="0"/>
          <w:numId w:val="0"/>
        </w:numPr>
      </w:pPr>
      <w:r>
        <w:t xml:space="preserve">In response to our </w:t>
      </w:r>
      <w:r w:rsidR="00DA749A">
        <w:t xml:space="preserve">queries </w:t>
      </w:r>
      <w:r>
        <w:t xml:space="preserve">on the </w:t>
      </w:r>
      <w:r w:rsidR="00DA749A">
        <w:t xml:space="preserve">proposed </w:t>
      </w:r>
      <w:r>
        <w:t xml:space="preserve">RFM, Ausgrid </w:t>
      </w:r>
      <w:r w:rsidR="00DA749A">
        <w:t xml:space="preserve">also </w:t>
      </w:r>
      <w:r>
        <w:t>provided revised estimates</w:t>
      </w:r>
      <w:r w:rsidR="00DA749A">
        <w:t xml:space="preserve"> of inputs</w:t>
      </w:r>
      <w:r>
        <w:t xml:space="preserve"> </w:t>
      </w:r>
      <w:r w:rsidR="00DA749A">
        <w:t>for 2013</w:t>
      </w:r>
      <w:r w:rsidR="00DA749A" w:rsidRPr="00DA749A">
        <w:t>–14</w:t>
      </w:r>
      <w:r w:rsidR="00DA749A">
        <w:t xml:space="preserve"> reflecting</w:t>
      </w:r>
      <w:r>
        <w:t xml:space="preserve"> actual capex, disposals and capital contributions. We have a</w:t>
      </w:r>
      <w:r w:rsidR="00DA749A">
        <w:t>dopted</w:t>
      </w:r>
      <w:r>
        <w:t xml:space="preserve"> these values in the RFM</w:t>
      </w:r>
      <w:r w:rsidR="00DA749A">
        <w:t xml:space="preserve"> for the draft decision and will treat them as revised estimates</w:t>
      </w:r>
      <w:r>
        <w:t xml:space="preserve">. </w:t>
      </w:r>
      <w:proofErr w:type="gramStart"/>
      <w:r w:rsidR="00DA749A">
        <w:t>The revised</w:t>
      </w:r>
      <w:r>
        <w:t xml:space="preserve"> </w:t>
      </w:r>
      <w:r w:rsidR="00BE6FB4">
        <w:t xml:space="preserve">net </w:t>
      </w:r>
      <w:r>
        <w:t xml:space="preserve">capex </w:t>
      </w:r>
      <w:r w:rsidR="00DA749A">
        <w:t>for</w:t>
      </w:r>
      <w:r>
        <w:t xml:space="preserve"> 2013</w:t>
      </w:r>
      <w:r w:rsidR="00DA749A">
        <w:t>–</w:t>
      </w:r>
      <w:r>
        <w:t xml:space="preserve">14 </w:t>
      </w:r>
      <w:r w:rsidR="00DA749A">
        <w:t xml:space="preserve">changes </w:t>
      </w:r>
      <w:r>
        <w:t>to $</w:t>
      </w:r>
      <w:r w:rsidR="00BE6FB4">
        <w:t>577.2</w:t>
      </w:r>
      <w:r>
        <w:t xml:space="preserve"> million (</w:t>
      </w:r>
      <w:r w:rsidR="0094492C">
        <w:t xml:space="preserve">$ </w:t>
      </w:r>
      <w:r>
        <w:t>nominal)</w:t>
      </w:r>
      <w:r w:rsidR="00DA749A">
        <w:t xml:space="preserve"> from $</w:t>
      </w:r>
      <w:r w:rsidR="00DA749A" w:rsidRPr="00DA749A">
        <w:t>624.4 million</w:t>
      </w:r>
      <w:r w:rsidR="0094492C">
        <w:t xml:space="preserve"> ($ nominal)</w:t>
      </w:r>
      <w:r>
        <w:t>.</w:t>
      </w:r>
      <w:proofErr w:type="gramEnd"/>
      <w:r w:rsidR="00E74169">
        <w:t xml:space="preserve"> </w:t>
      </w:r>
      <w:r w:rsidR="00DA749A">
        <w:t>We will check t</w:t>
      </w:r>
      <w:r w:rsidR="00E74169">
        <w:t xml:space="preserve">hese </w:t>
      </w:r>
      <w:r w:rsidR="00DA749A">
        <w:t>values with the audited annual reporting RIN</w:t>
      </w:r>
      <w:r w:rsidR="00D21CDF">
        <w:t xml:space="preserve"> to be received in late 2014 as part of </w:t>
      </w:r>
      <w:r w:rsidR="00E74169">
        <w:t>the final decision.</w:t>
      </w:r>
    </w:p>
    <w:p w:rsidR="005C0024" w:rsidRDefault="005C0024" w:rsidP="00ED3022">
      <w:pPr>
        <w:pStyle w:val="HeadingOrange"/>
      </w:pPr>
      <w:r>
        <w:t>Dual function assets</w:t>
      </w:r>
    </w:p>
    <w:p w:rsidR="00B32350" w:rsidRDefault="005A787A" w:rsidP="00A05244">
      <w:pPr>
        <w:pStyle w:val="AERbulletlistfirststyle"/>
        <w:numPr>
          <w:ilvl w:val="0"/>
          <w:numId w:val="0"/>
        </w:numPr>
      </w:pPr>
      <w:r>
        <w:t>We accept Ausgrid's proposed reclassification of dual function assets</w:t>
      </w:r>
      <w:r w:rsidR="002B0C17">
        <w:t xml:space="preserve"> between distribution and transmission</w:t>
      </w:r>
      <w:r>
        <w:t xml:space="preserve">. </w:t>
      </w:r>
      <w:r w:rsidR="002B0C17">
        <w:t>It reflects</w:t>
      </w:r>
      <w:r>
        <w:t xml:space="preserve"> Ausgrid's revised cost allocation methodology (CAM) </w:t>
      </w:r>
      <w:r w:rsidR="002B0C17">
        <w:t xml:space="preserve">approved by the AER </w:t>
      </w:r>
      <w:r>
        <w:t xml:space="preserve">in May 2014. </w:t>
      </w:r>
      <w:r w:rsidR="002B0C17">
        <w:t>The revised CAM took effect from</w:t>
      </w:r>
      <w:r w:rsidR="00B32350">
        <w:t xml:space="preserve"> 1 July 2014. </w:t>
      </w:r>
      <w:r w:rsidR="002B0C17">
        <w:t xml:space="preserve">However, </w:t>
      </w:r>
      <w:r w:rsidR="0044052B">
        <w:t xml:space="preserve">Ausgrid </w:t>
      </w:r>
      <w:r w:rsidR="00CF1C7B">
        <w:t xml:space="preserve">advised that </w:t>
      </w:r>
      <w:r w:rsidR="002B0C17">
        <w:t xml:space="preserve">it </w:t>
      </w:r>
      <w:r w:rsidR="00CF1C7B">
        <w:t xml:space="preserve">identified an error in the proposed allocation </w:t>
      </w:r>
      <w:r w:rsidR="0044052B">
        <w:t xml:space="preserve">of dual function assets as at </w:t>
      </w:r>
      <w:r w:rsidR="002B0C17">
        <w:t>1 July</w:t>
      </w:r>
      <w:r w:rsidR="0044052B">
        <w:t xml:space="preserve"> 2014</w:t>
      </w:r>
      <w:r w:rsidR="00CF1C7B">
        <w:t>.</w:t>
      </w:r>
      <w:r w:rsidR="0044052B">
        <w:t xml:space="preserve"> </w:t>
      </w:r>
      <w:r w:rsidR="002879BA">
        <w:fldChar w:fldCharType="begin"/>
      </w:r>
      <w:r w:rsidR="002879BA">
        <w:instrText xml:space="preserve"> REF _Ref398025965 \h </w:instrText>
      </w:r>
      <w:r w:rsidR="002879BA">
        <w:fldChar w:fldCharType="separate"/>
      </w:r>
      <w:r w:rsidR="002879BA">
        <w:t xml:space="preserve">Table </w:t>
      </w:r>
      <w:r w:rsidR="002879BA">
        <w:rPr>
          <w:noProof/>
        </w:rPr>
        <w:t>2</w:t>
      </w:r>
      <w:r w:rsidR="002879BA">
        <w:noBreakHyphen/>
      </w:r>
      <w:r w:rsidR="002879BA">
        <w:rPr>
          <w:noProof/>
        </w:rPr>
        <w:t>9</w:t>
      </w:r>
      <w:r w:rsidR="002879BA">
        <w:fldChar w:fldCharType="end"/>
      </w:r>
      <w:r w:rsidR="00B32350">
        <w:t xml:space="preserve"> presents </w:t>
      </w:r>
      <w:r w:rsidR="0044052B">
        <w:t>Ausgrid</w:t>
      </w:r>
      <w:r w:rsidR="00B32350">
        <w:t>'s</w:t>
      </w:r>
      <w:r w:rsidR="0044052B">
        <w:t xml:space="preserve"> </w:t>
      </w:r>
      <w:r w:rsidR="00B32350">
        <w:t xml:space="preserve">proposed and revised allocation of </w:t>
      </w:r>
      <w:r w:rsidR="002B0C17">
        <w:t>dual function</w:t>
      </w:r>
      <w:r w:rsidR="00B32350">
        <w:t xml:space="preserve"> assets.</w:t>
      </w:r>
    </w:p>
    <w:p w:rsidR="00B32350" w:rsidRDefault="00B32350" w:rsidP="00B32350">
      <w:pPr>
        <w:pStyle w:val="Caption"/>
      </w:pPr>
      <w:bookmarkStart w:id="35" w:name="_Ref398025965"/>
      <w:r>
        <w:t xml:space="preserve">Table </w:t>
      </w:r>
      <w:r w:rsidR="00AD3FDB">
        <w:fldChar w:fldCharType="begin"/>
      </w:r>
      <w:r w:rsidR="00AD3FDB">
        <w:instrText xml:space="preserve"> STYLEREF 1 \s </w:instrText>
      </w:r>
      <w:r w:rsidR="00AD3FDB">
        <w:fldChar w:fldCharType="separate"/>
      </w:r>
      <w:r w:rsidR="002879BA">
        <w:rPr>
          <w:noProof/>
        </w:rPr>
        <w:t>2</w:t>
      </w:r>
      <w:r w:rsidR="00AD3FDB">
        <w:rPr>
          <w:noProof/>
        </w:rPr>
        <w:fldChar w:fldCharType="end"/>
      </w:r>
      <w:r w:rsidR="002879BA">
        <w:noBreakHyphen/>
      </w:r>
      <w:r w:rsidR="00AD3FDB">
        <w:fldChar w:fldCharType="begin"/>
      </w:r>
      <w:r w:rsidR="00AD3FDB">
        <w:instrText xml:space="preserve"> SEQ Table \* ARABIC \s 1 </w:instrText>
      </w:r>
      <w:r w:rsidR="00AD3FDB">
        <w:fldChar w:fldCharType="separate"/>
      </w:r>
      <w:r w:rsidR="002879BA">
        <w:rPr>
          <w:noProof/>
        </w:rPr>
        <w:t>9</w:t>
      </w:r>
      <w:r w:rsidR="00AD3FDB">
        <w:rPr>
          <w:noProof/>
        </w:rPr>
        <w:fldChar w:fldCharType="end"/>
      </w:r>
      <w:bookmarkEnd w:id="35"/>
      <w:r>
        <w:tab/>
        <w:t xml:space="preserve">Ausgrid's </w:t>
      </w:r>
      <w:r w:rsidR="002B0C17">
        <w:t>movement in dual function</w:t>
      </w:r>
      <w:r>
        <w:t xml:space="preserve"> assets </w:t>
      </w:r>
    </w:p>
    <w:tbl>
      <w:tblPr>
        <w:tblStyle w:val="AERtable-numbers"/>
        <w:tblW w:w="9125" w:type="dxa"/>
        <w:tblLayout w:type="fixed"/>
        <w:tblLook w:val="04A0" w:firstRow="1" w:lastRow="0" w:firstColumn="1" w:lastColumn="0" w:noHBand="0" w:noVBand="1"/>
      </w:tblPr>
      <w:tblGrid>
        <w:gridCol w:w="2541"/>
        <w:gridCol w:w="2410"/>
        <w:gridCol w:w="2268"/>
        <w:gridCol w:w="1906"/>
      </w:tblGrid>
      <w:tr w:rsidR="008C7D37" w:rsidRPr="0011410F" w:rsidTr="00F62B8A">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41" w:type="dxa"/>
            <w:noWrap/>
            <w:hideMark/>
          </w:tcPr>
          <w:p w:rsidR="008C7D37" w:rsidRPr="0011410F" w:rsidRDefault="008C7D37" w:rsidP="008C7D37">
            <w:pPr>
              <w:pStyle w:val="AERtabletextleft"/>
            </w:pPr>
            <w:r w:rsidRPr="0011410F">
              <w:t> </w:t>
            </w:r>
          </w:p>
        </w:tc>
        <w:tc>
          <w:tcPr>
            <w:tcW w:w="2410" w:type="dxa"/>
            <w:noWrap/>
            <w:hideMark/>
          </w:tcPr>
          <w:p w:rsidR="008C7D37" w:rsidRPr="0011410F" w:rsidRDefault="002B0C17" w:rsidP="00875385">
            <w:pPr>
              <w:pStyle w:val="AERtabletextright"/>
              <w:cnfStyle w:val="100000000000" w:firstRow="1" w:lastRow="0" w:firstColumn="0" w:lastColumn="0" w:oddVBand="0" w:evenVBand="0" w:oddHBand="0" w:evenHBand="0" w:firstRowFirstColumn="0" w:firstRowLastColumn="0" w:lastRowFirstColumn="0" w:lastRowLastColumn="0"/>
            </w:pPr>
            <w:r>
              <w:t xml:space="preserve">Moved </w:t>
            </w:r>
            <w:r w:rsidR="008C7D37">
              <w:t xml:space="preserve">from </w:t>
            </w:r>
            <w:r w:rsidR="00875385">
              <w:t xml:space="preserve">transmission to </w:t>
            </w:r>
            <w:r w:rsidR="008C7D37">
              <w:t>distribution</w:t>
            </w:r>
          </w:p>
        </w:tc>
        <w:tc>
          <w:tcPr>
            <w:tcW w:w="2268" w:type="dxa"/>
            <w:noWrap/>
            <w:hideMark/>
          </w:tcPr>
          <w:p w:rsidR="008C7D37" w:rsidRPr="0011410F" w:rsidRDefault="002B0C17" w:rsidP="00875385">
            <w:pPr>
              <w:pStyle w:val="AERtabletextright"/>
              <w:cnfStyle w:val="100000000000" w:firstRow="1" w:lastRow="0" w:firstColumn="0" w:lastColumn="0" w:oddVBand="0" w:evenVBand="0" w:oddHBand="0" w:evenHBand="0" w:firstRowFirstColumn="0" w:firstRowLastColumn="0" w:lastRowFirstColumn="0" w:lastRowLastColumn="0"/>
            </w:pPr>
            <w:r>
              <w:t xml:space="preserve">Moved </w:t>
            </w:r>
            <w:r w:rsidR="008C7D37">
              <w:t>from</w:t>
            </w:r>
            <w:r w:rsidR="00875385">
              <w:t xml:space="preserve"> distribution to </w:t>
            </w:r>
            <w:r w:rsidR="008C7D37">
              <w:t xml:space="preserve"> transmission</w:t>
            </w:r>
          </w:p>
        </w:tc>
        <w:tc>
          <w:tcPr>
            <w:tcW w:w="1906" w:type="dxa"/>
            <w:noWrap/>
            <w:hideMark/>
          </w:tcPr>
          <w:p w:rsidR="008C7D37" w:rsidRPr="0011410F" w:rsidRDefault="008C7D37" w:rsidP="008C7D37">
            <w:pPr>
              <w:pStyle w:val="AERtabletextright"/>
              <w:cnfStyle w:val="100000000000" w:firstRow="1" w:lastRow="0" w:firstColumn="0" w:lastColumn="0" w:oddVBand="0" w:evenVBand="0" w:oddHBand="0" w:evenHBand="0" w:firstRowFirstColumn="0" w:firstRowLastColumn="0" w:lastRowFirstColumn="0" w:lastRowLastColumn="0"/>
            </w:pPr>
            <w:r>
              <w:t>Net change</w:t>
            </w:r>
          </w:p>
        </w:tc>
      </w:tr>
      <w:tr w:rsidR="008C7D37" w:rsidRPr="0028138C" w:rsidTr="00F62B8A">
        <w:trPr>
          <w:trHeight w:val="278"/>
        </w:trPr>
        <w:tc>
          <w:tcPr>
            <w:cnfStyle w:val="001000000000" w:firstRow="0" w:lastRow="0" w:firstColumn="1" w:lastColumn="0" w:oddVBand="0" w:evenVBand="0" w:oddHBand="0" w:evenHBand="0" w:firstRowFirstColumn="0" w:firstRowLastColumn="0" w:lastRowFirstColumn="0" w:lastRowLastColumn="0"/>
            <w:tcW w:w="2541" w:type="dxa"/>
            <w:noWrap/>
            <w:hideMark/>
          </w:tcPr>
          <w:p w:rsidR="008C7D37" w:rsidRPr="00F62B8A" w:rsidRDefault="008C7D37" w:rsidP="00D21CDF">
            <w:pPr>
              <w:pStyle w:val="AERtabletextleft"/>
              <w:rPr>
                <w:rStyle w:val="AERtextbold"/>
                <w:b w:val="0"/>
              </w:rPr>
            </w:pPr>
            <w:r w:rsidRPr="00744AA6">
              <w:rPr>
                <w:rStyle w:val="AERtextbold"/>
                <w:b w:val="0"/>
              </w:rPr>
              <w:t xml:space="preserve">Ausgrid's proposed </w:t>
            </w:r>
            <w:r w:rsidR="002B0C17" w:rsidRPr="00744AA6">
              <w:rPr>
                <w:rStyle w:val="AERtextbold"/>
                <w:b w:val="0"/>
              </w:rPr>
              <w:t>movement</w:t>
            </w:r>
          </w:p>
        </w:tc>
        <w:tc>
          <w:tcPr>
            <w:tcW w:w="2410" w:type="dxa"/>
            <w:noWrap/>
            <w:vAlign w:val="bottom"/>
          </w:tcPr>
          <w:p w:rsidR="008C7D37" w:rsidRPr="00875385" w:rsidRDefault="00875385" w:rsidP="0087538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875385">
              <w:rPr>
                <w:rStyle w:val="AERtextbold"/>
                <w:b w:val="0"/>
              </w:rPr>
              <w:t>54.5</w:t>
            </w:r>
          </w:p>
        </w:tc>
        <w:tc>
          <w:tcPr>
            <w:tcW w:w="2268" w:type="dxa"/>
            <w:noWrap/>
            <w:vAlign w:val="bottom"/>
          </w:tcPr>
          <w:p w:rsidR="008C7D37" w:rsidRPr="00875385" w:rsidRDefault="00875385" w:rsidP="0087538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875385">
              <w:rPr>
                <w:rStyle w:val="AERtextbold"/>
                <w:b w:val="0"/>
              </w:rPr>
              <w:t>57.7</w:t>
            </w:r>
          </w:p>
        </w:tc>
        <w:tc>
          <w:tcPr>
            <w:tcW w:w="1906" w:type="dxa"/>
            <w:noWrap/>
            <w:vAlign w:val="bottom"/>
          </w:tcPr>
          <w:p w:rsidR="008C7D37" w:rsidRPr="00875385" w:rsidRDefault="00875385" w:rsidP="00875385">
            <w:pPr>
              <w:pStyle w:val="AERtabletextright"/>
              <w:cnfStyle w:val="000000000000" w:firstRow="0" w:lastRow="0" w:firstColumn="0" w:lastColumn="0" w:oddVBand="0" w:evenVBand="0" w:oddHBand="0" w:evenHBand="0" w:firstRowFirstColumn="0" w:firstRowLastColumn="0" w:lastRowFirstColumn="0" w:lastRowLastColumn="0"/>
              <w:rPr>
                <w:rStyle w:val="AERtextbold"/>
                <w:b w:val="0"/>
              </w:rPr>
            </w:pPr>
            <w:r w:rsidRPr="00875385">
              <w:rPr>
                <w:rStyle w:val="AERtextbold"/>
                <w:b w:val="0"/>
              </w:rPr>
              <w:t>3.2</w:t>
            </w:r>
          </w:p>
        </w:tc>
      </w:tr>
      <w:tr w:rsidR="008C7D37" w:rsidRPr="0011410F" w:rsidTr="00F62B8A">
        <w:trPr>
          <w:cnfStyle w:val="000000010000" w:firstRow="0" w:lastRow="0" w:firstColumn="0" w:lastColumn="0" w:oddVBand="0" w:evenVBand="0" w:oddHBand="0" w:evenHBand="1"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41" w:type="dxa"/>
            <w:noWrap/>
            <w:hideMark/>
          </w:tcPr>
          <w:p w:rsidR="008C7D37" w:rsidRPr="00ED44AF" w:rsidRDefault="008C7D37" w:rsidP="00D21CDF">
            <w:pPr>
              <w:pStyle w:val="AERtabletextleft"/>
              <w:rPr>
                <w:rStyle w:val="AERtextbold"/>
                <w:b w:val="0"/>
              </w:rPr>
            </w:pPr>
            <w:r w:rsidRPr="00744AA6">
              <w:rPr>
                <w:rStyle w:val="AERtextbold"/>
                <w:b w:val="0"/>
              </w:rPr>
              <w:t xml:space="preserve">Ausgrid's revised </w:t>
            </w:r>
            <w:r w:rsidR="002B0C17" w:rsidRPr="00744AA6">
              <w:rPr>
                <w:rStyle w:val="AERtextbold"/>
                <w:b w:val="0"/>
              </w:rPr>
              <w:t xml:space="preserve">movement </w:t>
            </w:r>
          </w:p>
        </w:tc>
        <w:tc>
          <w:tcPr>
            <w:tcW w:w="2410" w:type="dxa"/>
            <w:noWrap/>
            <w:vAlign w:val="bottom"/>
          </w:tcPr>
          <w:p w:rsidR="008C7D37" w:rsidRPr="00875385" w:rsidRDefault="00875385" w:rsidP="00875385">
            <w:pPr>
              <w:pStyle w:val="AERtabletextright"/>
              <w:cnfStyle w:val="000000010000" w:firstRow="0" w:lastRow="0" w:firstColumn="0" w:lastColumn="0" w:oddVBand="0" w:evenVBand="0" w:oddHBand="0" w:evenHBand="1" w:firstRowFirstColumn="0" w:firstRowLastColumn="0" w:lastRowFirstColumn="0" w:lastRowLastColumn="0"/>
            </w:pPr>
            <w:r w:rsidRPr="00875385">
              <w:t>60.6</w:t>
            </w:r>
          </w:p>
        </w:tc>
        <w:tc>
          <w:tcPr>
            <w:tcW w:w="2268" w:type="dxa"/>
            <w:noWrap/>
            <w:vAlign w:val="bottom"/>
          </w:tcPr>
          <w:p w:rsidR="008C7D37" w:rsidRPr="00875385" w:rsidRDefault="00875385" w:rsidP="00875385">
            <w:pPr>
              <w:pStyle w:val="AERtabletextright"/>
              <w:cnfStyle w:val="000000010000" w:firstRow="0" w:lastRow="0" w:firstColumn="0" w:lastColumn="0" w:oddVBand="0" w:evenVBand="0" w:oddHBand="0" w:evenHBand="1" w:firstRowFirstColumn="0" w:firstRowLastColumn="0" w:lastRowFirstColumn="0" w:lastRowLastColumn="0"/>
            </w:pPr>
            <w:r w:rsidRPr="00875385">
              <w:t>51.3</w:t>
            </w:r>
          </w:p>
        </w:tc>
        <w:tc>
          <w:tcPr>
            <w:tcW w:w="1906" w:type="dxa"/>
            <w:noWrap/>
            <w:vAlign w:val="bottom"/>
          </w:tcPr>
          <w:p w:rsidR="008C7D37" w:rsidRPr="00875385" w:rsidRDefault="00875385" w:rsidP="00875385">
            <w:pPr>
              <w:pStyle w:val="AERtabletextright"/>
              <w:cnfStyle w:val="000000010000" w:firstRow="0" w:lastRow="0" w:firstColumn="0" w:lastColumn="0" w:oddVBand="0" w:evenVBand="0" w:oddHBand="0" w:evenHBand="1" w:firstRowFirstColumn="0" w:firstRowLastColumn="0" w:lastRowFirstColumn="0" w:lastRowLastColumn="0"/>
            </w:pPr>
            <w:r w:rsidRPr="00875385">
              <w:t>9.3</w:t>
            </w:r>
          </w:p>
        </w:tc>
      </w:tr>
    </w:tbl>
    <w:p w:rsidR="00875385" w:rsidRDefault="00875385" w:rsidP="00875385">
      <w:pPr>
        <w:pStyle w:val="AERtablesource"/>
      </w:pPr>
      <w:r>
        <w:t>Source:</w:t>
      </w:r>
      <w:r>
        <w:tab/>
        <w:t xml:space="preserve">Ausgrid, </w:t>
      </w:r>
      <w:r w:rsidRPr="00875385">
        <w:rPr>
          <w:rStyle w:val="AERtextitalic"/>
        </w:rPr>
        <w:t>Regulatory proposal - Attachments 4.03 and Attachment 4.04</w:t>
      </w:r>
      <w:r>
        <w:t>, June 2014.</w:t>
      </w:r>
    </w:p>
    <w:p w:rsidR="008C7D37" w:rsidRDefault="00875385" w:rsidP="00875385">
      <w:pPr>
        <w:pStyle w:val="AERtablesource"/>
      </w:pPr>
      <w:r>
        <w:tab/>
        <w:t xml:space="preserve">Ausgrid, </w:t>
      </w:r>
      <w:r w:rsidR="00D21CDF">
        <w:rPr>
          <w:rStyle w:val="AERtextitalic"/>
        </w:rPr>
        <w:t>E</w:t>
      </w:r>
      <w:r w:rsidRPr="00875385">
        <w:rPr>
          <w:rStyle w:val="AERtextitalic"/>
        </w:rPr>
        <w:t>mail response to AER AUSGRID 024</w:t>
      </w:r>
      <w:r>
        <w:t xml:space="preserve">, received </w:t>
      </w:r>
      <w:r w:rsidR="00F62B8A">
        <w:t>29 August 2014</w:t>
      </w:r>
      <w:r>
        <w:t xml:space="preserve">. </w:t>
      </w:r>
    </w:p>
    <w:p w:rsidR="00955803" w:rsidRDefault="00BE6FB4" w:rsidP="00BE6FB4">
      <w:pPr>
        <w:pStyle w:val="AERbodytext"/>
      </w:pPr>
      <w:r w:rsidRPr="00BE6FB4">
        <w:t xml:space="preserve">We also reviewed the other key inputs into </w:t>
      </w:r>
      <w:r w:rsidR="001536EC">
        <w:t xml:space="preserve">Ausgrid's </w:t>
      </w:r>
      <w:r w:rsidRPr="00BE6FB4">
        <w:t xml:space="preserve">proposed RFM, such as CPI, rate of return, </w:t>
      </w:r>
      <w:r w:rsidR="00D21CDF">
        <w:t xml:space="preserve">and </w:t>
      </w:r>
      <w:r w:rsidRPr="00BE6FB4">
        <w:t>asset lives. We found these were correct and they reconcile with relevant data sources such as ABS data, annual reporting RIN data and the 2009–14 decision models.</w:t>
      </w:r>
    </w:p>
    <w:p w:rsidR="00B41120" w:rsidRDefault="00B41120" w:rsidP="00B41120">
      <w:pPr>
        <w:pStyle w:val="HeadingOrange"/>
      </w:pPr>
      <w:r>
        <w:t>Removal of metering assets as at 1 July 2014</w:t>
      </w:r>
    </w:p>
    <w:p w:rsidR="00B41120" w:rsidRDefault="00B41120" w:rsidP="00B41120">
      <w:pPr>
        <w:pStyle w:val="AERbodytext"/>
      </w:pPr>
      <w:r>
        <w:t>We do not accept Ausgrid's proposed adjustment of $260.</w:t>
      </w:r>
      <w:r w:rsidR="008D1C26">
        <w:t>8</w:t>
      </w:r>
      <w:r>
        <w:t xml:space="preserve"> million (nominal) to remove metering assets from the closing distribution RAB as at 30 June 2014. Our adjustments to Ausgrid's distribution RAB discussed above </w:t>
      </w:r>
      <w:r w:rsidR="008D1C26">
        <w:t xml:space="preserve">altered </w:t>
      </w:r>
      <w:r>
        <w:t xml:space="preserve">the closing value of asset classes </w:t>
      </w:r>
      <w:r w:rsidR="00961531">
        <w:t xml:space="preserve">and therefore </w:t>
      </w:r>
      <w:r>
        <w:t xml:space="preserve">affected the </w:t>
      </w:r>
      <w:r w:rsidR="00961531">
        <w:t>amount</w:t>
      </w:r>
      <w:r>
        <w:t xml:space="preserve"> of </w:t>
      </w:r>
      <w:r w:rsidR="00961531">
        <w:t xml:space="preserve">metering </w:t>
      </w:r>
      <w:r w:rsidR="008D1C26">
        <w:t xml:space="preserve">assets to </w:t>
      </w:r>
      <w:r w:rsidR="00961531">
        <w:t xml:space="preserve">be removed due to the change in classification of </w:t>
      </w:r>
      <w:r>
        <w:t xml:space="preserve">metering </w:t>
      </w:r>
      <w:r w:rsidR="008D1C26">
        <w:t>services</w:t>
      </w:r>
      <w:r w:rsidR="00961531">
        <w:t xml:space="preserve"> to alternative control services</w:t>
      </w:r>
      <w:r>
        <w:t>. In response to our enquiries regarding the distribution RAB roll forward Ausgrid provided a revised adjustment of $</w:t>
      </w:r>
      <w:r w:rsidR="008D1C26">
        <w:t>26</w:t>
      </w:r>
      <w:r w:rsidR="009A7467">
        <w:t>7</w:t>
      </w:r>
      <w:r w:rsidR="008D1C26">
        <w:t xml:space="preserve">.2 million (nominal) </w:t>
      </w:r>
      <w:r>
        <w:t>to remove metering assets from the distribution RAB.</w:t>
      </w:r>
      <w:r w:rsidR="008D1C26">
        <w:rPr>
          <w:rStyle w:val="FootnoteReference"/>
        </w:rPr>
        <w:footnoteReference w:id="35"/>
      </w:r>
      <w:r w:rsidR="008D1C26">
        <w:t xml:space="preserve"> </w:t>
      </w:r>
      <w:r w:rsidR="00C476C3">
        <w:t xml:space="preserve">We </w:t>
      </w:r>
      <w:r w:rsidR="00B151B5">
        <w:t xml:space="preserve">have reviewed the appropriateness of </w:t>
      </w:r>
      <w:r w:rsidR="00C476C3">
        <w:t>Ausgrid's revised allocation of distribution assets to be moved to metering alternative control services</w:t>
      </w:r>
      <w:r w:rsidR="00B151B5">
        <w:t xml:space="preserve"> and will adopt this for the purposes of the draft decision</w:t>
      </w:r>
      <w:r w:rsidR="00C476C3">
        <w:t xml:space="preserve">. </w:t>
      </w:r>
      <w:r w:rsidR="008D1C26">
        <w:t xml:space="preserve">Refer to attachment </w:t>
      </w:r>
      <w:r w:rsidR="00B50DE1">
        <w:t>16</w:t>
      </w:r>
      <w:r w:rsidR="008D1C26">
        <w:t xml:space="preserve"> for </w:t>
      </w:r>
      <w:r w:rsidR="00961531">
        <w:t>further discussion</w:t>
      </w:r>
      <w:r w:rsidR="008D1C26">
        <w:t xml:space="preserve"> </w:t>
      </w:r>
      <w:r w:rsidR="00961531">
        <w:t xml:space="preserve">on our decision regarding </w:t>
      </w:r>
      <w:r w:rsidR="008D1C26">
        <w:t xml:space="preserve">Ausgrid's metering alternatives control services.  </w:t>
      </w:r>
      <w:r>
        <w:t xml:space="preserve">   </w:t>
      </w:r>
    </w:p>
    <w:p w:rsidR="00B44334" w:rsidRDefault="00B44334" w:rsidP="0044052B">
      <w:pPr>
        <w:pStyle w:val="HeadingBoldBlue"/>
      </w:pPr>
      <w:r>
        <w:lastRenderedPageBreak/>
        <w:t>Transmission</w:t>
      </w:r>
    </w:p>
    <w:p w:rsidR="00B44334" w:rsidRDefault="00B44334" w:rsidP="006E1160">
      <w:pPr>
        <w:pStyle w:val="AERbodytext"/>
      </w:pPr>
      <w:r w:rsidRPr="00B44334">
        <w:t>We do not accept Ausgrid</w:t>
      </w:r>
      <w:r w:rsidR="00A13D2D">
        <w:t>'</w:t>
      </w:r>
      <w:r w:rsidRPr="00B44334">
        <w:t>s proposed opening RAB of $</w:t>
      </w:r>
      <w:r w:rsidR="00CF1C7B">
        <w:t>2 09</w:t>
      </w:r>
      <w:r w:rsidR="00115D57">
        <w:t>0.9</w:t>
      </w:r>
      <w:r w:rsidRPr="00B44334">
        <w:t xml:space="preserve"> million (</w:t>
      </w:r>
      <w:r w:rsidR="002534D7">
        <w:t xml:space="preserve">$ </w:t>
      </w:r>
      <w:r w:rsidRPr="00B44334">
        <w:t>nominal)</w:t>
      </w:r>
      <w:r w:rsidR="00C00A13">
        <w:t xml:space="preserve"> as at 1 July 2014</w:t>
      </w:r>
      <w:r w:rsidR="006E1160">
        <w:t xml:space="preserve">. </w:t>
      </w:r>
      <w:r w:rsidR="006E1160" w:rsidRPr="006E1160">
        <w:t>Instead we have determined an opening RAB value of $</w:t>
      </w:r>
      <w:r w:rsidR="00CF1C7B">
        <w:t>2 03</w:t>
      </w:r>
      <w:r w:rsidR="00115D57">
        <w:t>5.7</w:t>
      </w:r>
      <w:r w:rsidR="006E1160" w:rsidRPr="006E1160">
        <w:t xml:space="preserve"> million ($ nominal) as at 1 July 2014, a</w:t>
      </w:r>
      <w:r w:rsidR="006E1160">
        <w:t xml:space="preserve"> </w:t>
      </w:r>
      <w:r w:rsidR="00CF1C7B">
        <w:t>decrease</w:t>
      </w:r>
      <w:r w:rsidR="006E1160">
        <w:t xml:space="preserve"> of </w:t>
      </w:r>
      <w:r w:rsidR="006E1160" w:rsidRPr="006E1160">
        <w:t>$</w:t>
      </w:r>
      <w:r w:rsidR="00CF1C7B">
        <w:t>55.2</w:t>
      </w:r>
      <w:r w:rsidR="006E1160" w:rsidRPr="006E1160">
        <w:t xml:space="preserve"> million ($ nominal) or </w:t>
      </w:r>
      <w:r w:rsidR="00CF1C7B">
        <w:t>2.6</w:t>
      </w:r>
      <w:r w:rsidR="006E1160" w:rsidRPr="006E1160">
        <w:t xml:space="preserve"> per cent from Ausgrid's proposal. </w:t>
      </w:r>
      <w:r w:rsidR="00CF1C7B">
        <w:t xml:space="preserve">This is because we amended Ausgrid's RAB </w:t>
      </w:r>
      <w:r w:rsidR="00C00A13">
        <w:t xml:space="preserve">roll forward </w:t>
      </w:r>
      <w:r w:rsidR="00CF1C7B">
        <w:t>for the following</w:t>
      </w:r>
      <w:r w:rsidRPr="00B44334">
        <w:t>:</w:t>
      </w:r>
    </w:p>
    <w:p w:rsidR="008C54CB" w:rsidRPr="008C54CB" w:rsidRDefault="00224377" w:rsidP="008C54CB">
      <w:pPr>
        <w:pStyle w:val="AERbulletlistfirststyle"/>
      </w:pPr>
      <w:r>
        <w:t>Updated the</w:t>
      </w:r>
      <w:r w:rsidR="008C54CB" w:rsidRPr="008C54CB">
        <w:t xml:space="preserve"> proposed actual net capex to </w:t>
      </w:r>
      <w:r>
        <w:t>correct for</w:t>
      </w:r>
      <w:r w:rsidR="008C54CB" w:rsidRPr="008C54CB">
        <w:t xml:space="preserve"> reporting errors in the value of </w:t>
      </w:r>
      <w:r>
        <w:t xml:space="preserve">asset </w:t>
      </w:r>
      <w:r w:rsidR="008C54CB" w:rsidRPr="008C54CB">
        <w:t>disposals and capital contributions</w:t>
      </w:r>
      <w:r>
        <w:t>.</w:t>
      </w:r>
    </w:p>
    <w:p w:rsidR="007C602A" w:rsidRDefault="007C602A" w:rsidP="007C602A">
      <w:pPr>
        <w:pStyle w:val="AERbulletlistfirststyle"/>
      </w:pPr>
      <w:r w:rsidRPr="007C602A">
        <w:t xml:space="preserve">Reduced the proposed value </w:t>
      </w:r>
      <w:r w:rsidR="00C00A13">
        <w:t>for equity raising cost</w:t>
      </w:r>
      <w:r w:rsidRPr="007C602A">
        <w:t xml:space="preserve"> </w:t>
      </w:r>
      <w:r w:rsidR="00224377">
        <w:t>for</w:t>
      </w:r>
      <w:r w:rsidRPr="007C602A">
        <w:t xml:space="preserve"> 2009</w:t>
      </w:r>
      <w:r w:rsidR="00C00A13">
        <w:t>–</w:t>
      </w:r>
      <w:r w:rsidRPr="007C602A">
        <w:t>10 by half year</w:t>
      </w:r>
      <w:r w:rsidR="00C00A13">
        <w:t>'</w:t>
      </w:r>
      <w:r w:rsidRPr="007C602A">
        <w:t xml:space="preserve">s inflation </w:t>
      </w:r>
    </w:p>
    <w:p w:rsidR="007C602A" w:rsidRPr="007C602A" w:rsidRDefault="007C602A" w:rsidP="007C602A">
      <w:pPr>
        <w:pStyle w:val="AERbulletlistfirststyle"/>
      </w:pPr>
      <w:r w:rsidRPr="007C602A">
        <w:t>Updated Ausgrid's proposed estimated value of capex for 2013</w:t>
      </w:r>
      <w:r w:rsidR="00224377">
        <w:t>–</w:t>
      </w:r>
      <w:r w:rsidRPr="007C602A">
        <w:t>14.</w:t>
      </w:r>
    </w:p>
    <w:p w:rsidR="006E1160" w:rsidRDefault="006E1160" w:rsidP="006E1160">
      <w:pPr>
        <w:pStyle w:val="AERbulletlistfirststyle"/>
      </w:pPr>
      <w:r>
        <w:t>Updat</w:t>
      </w:r>
      <w:r w:rsidR="00C00A13">
        <w:t>ed the</w:t>
      </w:r>
      <w:r>
        <w:t xml:space="preserve"> nominal</w:t>
      </w:r>
      <w:r w:rsidR="00C00A13">
        <w:t xml:space="preserve"> rate of return input for the 2004–08 regulatory control </w:t>
      </w:r>
      <w:proofErr w:type="gramStart"/>
      <w:r w:rsidR="00C00A13">
        <w:t>period</w:t>
      </w:r>
      <w:proofErr w:type="gramEnd"/>
      <w:r w:rsidR="00C00A13">
        <w:t xml:space="preserve"> to reflect the approved value</w:t>
      </w:r>
      <w:r w:rsidR="00224377">
        <w:t>.</w:t>
      </w:r>
    </w:p>
    <w:p w:rsidR="006E1160" w:rsidRDefault="00CF1C7B" w:rsidP="006E1160">
      <w:pPr>
        <w:pStyle w:val="AERbulletlistfirststyle"/>
      </w:pPr>
      <w:r>
        <w:t>Adjusted t</w:t>
      </w:r>
      <w:r w:rsidR="006E1160">
        <w:t>he proposed CPI for 2011</w:t>
      </w:r>
      <w:r w:rsidR="00C00A13">
        <w:t>–</w:t>
      </w:r>
      <w:r w:rsidR="006E1160">
        <w:t xml:space="preserve">12 </w:t>
      </w:r>
      <w:r>
        <w:t>to 1.58 per cent</w:t>
      </w:r>
      <w:r w:rsidR="00F2090C" w:rsidRPr="00F2090C">
        <w:t xml:space="preserve"> </w:t>
      </w:r>
      <w:r w:rsidR="00F2090C">
        <w:t>from 1.63 per cent</w:t>
      </w:r>
      <w:r w:rsidR="00C00A13">
        <w:t>.</w:t>
      </w:r>
    </w:p>
    <w:p w:rsidR="005C0024" w:rsidRPr="00CF1C7B" w:rsidRDefault="005C0024" w:rsidP="00DC605C">
      <w:pPr>
        <w:pStyle w:val="AERbodytext"/>
      </w:pPr>
      <w:r>
        <w:t>These adjustments are discussed further below.</w:t>
      </w:r>
    </w:p>
    <w:p w:rsidR="008C54CB" w:rsidRDefault="008C54CB" w:rsidP="008C54CB">
      <w:pPr>
        <w:pStyle w:val="HeadingOrange"/>
      </w:pPr>
      <w:r>
        <w:t>Actual capex</w:t>
      </w:r>
      <w:r w:rsidR="00224377">
        <w:t xml:space="preserve"> for 2009–10 to 2012–13</w:t>
      </w:r>
    </w:p>
    <w:p w:rsidR="002534D7" w:rsidRDefault="008C54CB" w:rsidP="008C54CB">
      <w:pPr>
        <w:pStyle w:val="AERbodytext"/>
      </w:pPr>
      <w:r w:rsidRPr="008C54CB">
        <w:t>We do not accept Ausgrid's proposed value</w:t>
      </w:r>
      <w:r w:rsidR="00224377">
        <w:t>s</w:t>
      </w:r>
      <w:r w:rsidRPr="008C54CB">
        <w:t xml:space="preserve"> of actual capex, disposal</w:t>
      </w:r>
      <w:r w:rsidR="00224377">
        <w:t>s</w:t>
      </w:r>
      <w:r w:rsidRPr="008C54CB">
        <w:t xml:space="preserve"> and capital contributions. </w:t>
      </w:r>
      <w:r w:rsidR="0073632F">
        <w:t>Ausgrid provided revised value</w:t>
      </w:r>
      <w:r w:rsidR="00224377">
        <w:t>s</w:t>
      </w:r>
      <w:r w:rsidR="0073632F">
        <w:t xml:space="preserve"> of capital contribution</w:t>
      </w:r>
      <w:r w:rsidR="00224377">
        <w:t>s</w:t>
      </w:r>
      <w:r w:rsidR="0073632F">
        <w:t xml:space="preserve"> and actual gross capex for the 2009–10 to 201</w:t>
      </w:r>
      <w:r w:rsidR="00224377">
        <w:t>2</w:t>
      </w:r>
      <w:r w:rsidR="0073632F">
        <w:t>–1</w:t>
      </w:r>
      <w:r w:rsidR="00224377">
        <w:t>3</w:t>
      </w:r>
      <w:r w:rsidR="0073632F">
        <w:t xml:space="preserve"> </w:t>
      </w:r>
      <w:proofErr w:type="gramStart"/>
      <w:r w:rsidR="0073632F">
        <w:t>period</w:t>
      </w:r>
      <w:proofErr w:type="gramEnd"/>
      <w:r w:rsidR="0073632F">
        <w:t xml:space="preserve">. We accept Ausgrid's revised values of actual gross capex for </w:t>
      </w:r>
      <w:r w:rsidR="00961531">
        <w:t>this period</w:t>
      </w:r>
      <w:r w:rsidR="0073632F">
        <w:t xml:space="preserve"> because the</w:t>
      </w:r>
      <w:r w:rsidR="00961531">
        <w:t>y</w:t>
      </w:r>
      <w:r w:rsidR="0073632F">
        <w:t xml:space="preserve"> include the correct</w:t>
      </w:r>
      <w:r w:rsidR="00961531">
        <w:t>ed</w:t>
      </w:r>
      <w:r w:rsidR="0073632F">
        <w:t xml:space="preserve"> the value</w:t>
      </w:r>
      <w:r w:rsidR="00961531">
        <w:t>s</w:t>
      </w:r>
      <w:r w:rsidR="0073632F">
        <w:t xml:space="preserve"> of capital contributions.</w:t>
      </w:r>
      <w:r w:rsidR="007C602A">
        <w:rPr>
          <w:rStyle w:val="FootnoteReference"/>
        </w:rPr>
        <w:footnoteReference w:id="36"/>
      </w:r>
    </w:p>
    <w:p w:rsidR="008C54CB" w:rsidRPr="008C54CB" w:rsidRDefault="00961531" w:rsidP="008C54CB">
      <w:pPr>
        <w:pStyle w:val="AERbodytext"/>
      </w:pPr>
      <w:r>
        <w:t>However, w</w:t>
      </w:r>
      <w:r w:rsidR="001977D5">
        <w:t xml:space="preserve">e do not accept Ausgrid's proposed value of capital contributions </w:t>
      </w:r>
      <w:r>
        <w:t>for</w:t>
      </w:r>
      <w:r w:rsidR="001977D5">
        <w:t xml:space="preserve"> the 'Buildings' assets class for 2012–13. </w:t>
      </w:r>
      <w:r w:rsidR="008C54CB" w:rsidRPr="008C54CB">
        <w:t xml:space="preserve">Ausgrid advised that the proposed RFM incorrectly attributed </w:t>
      </w:r>
      <w:r w:rsidR="00A0439D">
        <w:t xml:space="preserve">capital contributions to the </w:t>
      </w:r>
      <w:r w:rsidR="00224377">
        <w:t>'B</w:t>
      </w:r>
      <w:r w:rsidR="00A0439D">
        <w:t>uildings</w:t>
      </w:r>
      <w:r w:rsidR="00224377">
        <w:t>'</w:t>
      </w:r>
      <w:r w:rsidR="00A0439D">
        <w:t xml:space="preserve"> asset class </w:t>
      </w:r>
      <w:r w:rsidR="00224377">
        <w:t>for</w:t>
      </w:r>
      <w:r w:rsidR="00A0439D">
        <w:t xml:space="preserve"> 2012</w:t>
      </w:r>
      <w:r w:rsidR="00224377">
        <w:t>–</w:t>
      </w:r>
      <w:r w:rsidR="00A0439D">
        <w:t xml:space="preserve">13. </w:t>
      </w:r>
      <w:r>
        <w:t>It stat</w:t>
      </w:r>
      <w:r w:rsidR="00787313">
        <w:t>ed the capital contribution of $0.82 million (</w:t>
      </w:r>
      <w:r w:rsidR="0094492C">
        <w:t xml:space="preserve">$ </w:t>
      </w:r>
      <w:r w:rsidR="00787313">
        <w:t xml:space="preserve">nominal) was </w:t>
      </w:r>
      <w:r w:rsidR="00F62B8A">
        <w:t xml:space="preserve">from a government grant Ausgrid received in a previous period, and </w:t>
      </w:r>
      <w:r w:rsidR="00787313">
        <w:t xml:space="preserve">IPART included </w:t>
      </w:r>
      <w:r>
        <w:t xml:space="preserve">the </w:t>
      </w:r>
      <w:r w:rsidR="00F62B8A">
        <w:t xml:space="preserve">value of the grant </w:t>
      </w:r>
      <w:r w:rsidR="00787313">
        <w:t>in the distribution RAB at zero value</w:t>
      </w:r>
      <w:r w:rsidR="00F62B8A">
        <w:t>.</w:t>
      </w:r>
      <w:r w:rsidR="00F62B8A">
        <w:rPr>
          <w:rStyle w:val="FootnoteReference"/>
        </w:rPr>
        <w:footnoteReference w:id="37"/>
      </w:r>
      <w:r w:rsidR="00F62B8A">
        <w:t xml:space="preserve"> Therefore, the capital contribution </w:t>
      </w:r>
      <w:r w:rsidR="00787313">
        <w:t>should not have been included in the proposed transmission RFM</w:t>
      </w:r>
      <w:r w:rsidR="008C54CB" w:rsidRPr="008C54CB">
        <w:t xml:space="preserve">.  </w:t>
      </w:r>
      <w:r w:rsidR="00787313" w:rsidDel="0073632F">
        <w:rPr>
          <w:rStyle w:val="CommentReference"/>
          <w:rFonts w:eastAsia="Calibri"/>
        </w:rPr>
        <w:t xml:space="preserve"> </w:t>
      </w:r>
    </w:p>
    <w:p w:rsidR="005004B5" w:rsidRDefault="008C54CB" w:rsidP="005004B5">
      <w:pPr>
        <w:pStyle w:val="AERbodytext"/>
      </w:pPr>
      <w:r w:rsidRPr="008C54CB">
        <w:t xml:space="preserve">We </w:t>
      </w:r>
      <w:r w:rsidR="00961531">
        <w:t xml:space="preserve">also </w:t>
      </w:r>
      <w:r w:rsidR="00F62B8A">
        <w:t>do not accept Ausgrid's proposed value of disposals used to roll forward the RAB over the 2009–1</w:t>
      </w:r>
      <w:r w:rsidR="00961531">
        <w:t>3</w:t>
      </w:r>
      <w:r w:rsidR="00F62B8A">
        <w:t xml:space="preserve"> </w:t>
      </w:r>
      <w:proofErr w:type="gramStart"/>
      <w:r w:rsidR="00F62B8A">
        <w:t>period</w:t>
      </w:r>
      <w:proofErr w:type="gramEnd"/>
      <w:r w:rsidR="00F62B8A">
        <w:t xml:space="preserve">. For the same reasons </w:t>
      </w:r>
      <w:r w:rsidR="0013695A">
        <w:t xml:space="preserve">as </w:t>
      </w:r>
      <w:r w:rsidR="00F62B8A">
        <w:t>discussed</w:t>
      </w:r>
      <w:r w:rsidR="0013695A">
        <w:t xml:space="preserve"> above</w:t>
      </w:r>
      <w:r w:rsidR="00F62B8A">
        <w:t xml:space="preserve"> for Ausgrid's distribution RAB, we have amended the value of disposals </w:t>
      </w:r>
      <w:r w:rsidRPr="008C54CB">
        <w:t xml:space="preserve">from that proposed by Ausgrid to reflect the value attributable to proceeds from sale. </w:t>
      </w:r>
      <w:r w:rsidR="001977D5">
        <w:t xml:space="preserve">We </w:t>
      </w:r>
      <w:r w:rsidR="0013695A">
        <w:t xml:space="preserve">therefore </w:t>
      </w:r>
      <w:r w:rsidR="001977D5">
        <w:t>a</w:t>
      </w:r>
      <w:r w:rsidR="0013695A">
        <w:t>dopt</w:t>
      </w:r>
      <w:r w:rsidR="001977D5">
        <w:t xml:space="preserve"> the revised value of disposals </w:t>
      </w:r>
      <w:r w:rsidRPr="008C54CB">
        <w:t xml:space="preserve">Ausgrid provided </w:t>
      </w:r>
      <w:r w:rsidR="001977D5">
        <w:t>for</w:t>
      </w:r>
      <w:r w:rsidRPr="008C54CB">
        <w:t xml:space="preserve"> its transmission network</w:t>
      </w:r>
      <w:r w:rsidR="001977D5">
        <w:t xml:space="preserve"> for the 20</w:t>
      </w:r>
      <w:r w:rsidR="0013695A">
        <w:t>09</w:t>
      </w:r>
      <w:r w:rsidR="001977D5">
        <w:t>–13</w:t>
      </w:r>
      <w:r w:rsidR="0013695A">
        <w:t xml:space="preserve"> </w:t>
      </w:r>
      <w:proofErr w:type="gramStart"/>
      <w:r w:rsidR="0013695A">
        <w:t>period</w:t>
      </w:r>
      <w:proofErr w:type="gramEnd"/>
      <w:r w:rsidRPr="008C54CB">
        <w:t>.</w:t>
      </w:r>
      <w:r w:rsidR="0073632F">
        <w:rPr>
          <w:rStyle w:val="FootnoteReference"/>
        </w:rPr>
        <w:footnoteReference w:id="38"/>
      </w:r>
      <w:r w:rsidRPr="008C54CB">
        <w:t xml:space="preserve"> </w:t>
      </w:r>
    </w:p>
    <w:p w:rsidR="006C6C67" w:rsidRDefault="006C6C67" w:rsidP="00A0439D">
      <w:pPr>
        <w:pStyle w:val="HeadingOrange"/>
      </w:pPr>
      <w:r>
        <w:t>Equity raising cost capex</w:t>
      </w:r>
    </w:p>
    <w:p w:rsidR="005004B5" w:rsidRDefault="005004B5" w:rsidP="005004B5">
      <w:pPr>
        <w:pStyle w:val="AERbodytext"/>
      </w:pPr>
      <w:r>
        <w:t xml:space="preserve">We do not accept </w:t>
      </w:r>
      <w:r w:rsidR="00231BBC">
        <w:t xml:space="preserve">Ausgrid's </w:t>
      </w:r>
      <w:r>
        <w:t xml:space="preserve">proposed value </w:t>
      </w:r>
      <w:r w:rsidR="00231BBC">
        <w:t>of equity raising cost for</w:t>
      </w:r>
      <w:r>
        <w:t xml:space="preserve"> 2009</w:t>
      </w:r>
      <w:r w:rsidR="00231BBC">
        <w:t>–</w:t>
      </w:r>
      <w:r>
        <w:t>10 of $6.3 million (</w:t>
      </w:r>
      <w:r w:rsidR="0094492C">
        <w:t>$</w:t>
      </w:r>
      <w:r w:rsidR="00BF6286">
        <w:t> </w:t>
      </w:r>
      <w:r>
        <w:t xml:space="preserve">nominal). </w:t>
      </w:r>
      <w:r w:rsidR="00231BBC">
        <w:t xml:space="preserve">For the same reasons as discussed above for </w:t>
      </w:r>
      <w:r>
        <w:t xml:space="preserve">Ausgrid's </w:t>
      </w:r>
      <w:r w:rsidR="00231BBC">
        <w:t>distribution RAB</w:t>
      </w:r>
      <w:r>
        <w:t xml:space="preserve"> we have amended the </w:t>
      </w:r>
      <w:r w:rsidR="00231BBC">
        <w:t>equity raising cost</w:t>
      </w:r>
      <w:r>
        <w:t xml:space="preserve"> value to $6.2 million (</w:t>
      </w:r>
      <w:r w:rsidR="0094492C">
        <w:t xml:space="preserve">$ </w:t>
      </w:r>
      <w:r>
        <w:t xml:space="preserve">nominal) </w:t>
      </w:r>
      <w:r w:rsidR="00231BBC">
        <w:t>to better represent the value as approved in the 2009 determination</w:t>
      </w:r>
      <w:r>
        <w:t xml:space="preserve">. </w:t>
      </w:r>
    </w:p>
    <w:p w:rsidR="008C54CB" w:rsidRDefault="008C54CB" w:rsidP="008C54CB">
      <w:pPr>
        <w:pStyle w:val="HeadingOrange"/>
      </w:pPr>
      <w:r w:rsidRPr="008C54CB">
        <w:lastRenderedPageBreak/>
        <w:t>Estimated capex for 2013–14</w:t>
      </w:r>
    </w:p>
    <w:p w:rsidR="008C54CB" w:rsidRPr="008C54CB" w:rsidRDefault="00231BBC" w:rsidP="005D0F5C">
      <w:pPr>
        <w:pStyle w:val="AERbodytext"/>
      </w:pPr>
      <w:r>
        <w:t>For the same reasons as discu</w:t>
      </w:r>
      <w:r w:rsidR="00744AA6">
        <w:t>s</w:t>
      </w:r>
      <w:r>
        <w:t>sed above for Ausgrid's distribution RAB w</w:t>
      </w:r>
      <w:r w:rsidR="008C54CB" w:rsidRPr="008C54CB">
        <w:t xml:space="preserve">e </w:t>
      </w:r>
      <w:r>
        <w:t>have adopted</w:t>
      </w:r>
      <w:r w:rsidR="008C54CB" w:rsidRPr="008C54CB">
        <w:t xml:space="preserve"> the revised </w:t>
      </w:r>
      <w:r>
        <w:t>values of</w:t>
      </w:r>
      <w:r w:rsidR="008C54CB" w:rsidRPr="008C54CB">
        <w:t xml:space="preserve"> estimated capex, disposals and capital contributions </w:t>
      </w:r>
      <w:r>
        <w:t xml:space="preserve">for 2013–14 </w:t>
      </w:r>
      <w:r w:rsidR="008C54CB" w:rsidRPr="008C54CB">
        <w:t>provided by Ausgrid.</w:t>
      </w:r>
      <w:r w:rsidR="005D0F5C">
        <w:rPr>
          <w:rStyle w:val="FootnoteReference"/>
        </w:rPr>
        <w:footnoteReference w:id="39"/>
      </w:r>
      <w:r w:rsidR="008C54CB" w:rsidRPr="008C54CB">
        <w:t xml:space="preserve"> </w:t>
      </w:r>
      <w:r w:rsidR="00787313">
        <w:t>The revised net capex for 2013–14 changes to $</w:t>
      </w:r>
      <w:r w:rsidR="00A52036">
        <w:t>82.1</w:t>
      </w:r>
      <w:r w:rsidR="00787313">
        <w:t xml:space="preserve"> million (</w:t>
      </w:r>
      <w:r w:rsidR="0094492C">
        <w:t xml:space="preserve">$ </w:t>
      </w:r>
      <w:r w:rsidR="00787313">
        <w:t>nominal) from $</w:t>
      </w:r>
      <w:r w:rsidR="0078047C">
        <w:t>142.9</w:t>
      </w:r>
      <w:r w:rsidR="00787313" w:rsidRPr="00DA749A">
        <w:t xml:space="preserve"> million</w:t>
      </w:r>
      <w:r w:rsidR="00987378">
        <w:t xml:space="preserve"> (</w:t>
      </w:r>
      <w:r w:rsidR="0094492C">
        <w:t xml:space="preserve">$ </w:t>
      </w:r>
      <w:r w:rsidR="00987378">
        <w:t>nominal)</w:t>
      </w:r>
      <w:r w:rsidR="00787313">
        <w:t>.</w:t>
      </w:r>
      <w:r w:rsidR="0013695A">
        <w:t xml:space="preserve"> </w:t>
      </w:r>
      <w:r w:rsidR="00265B96">
        <w:t>We will check</w:t>
      </w:r>
      <w:r w:rsidR="008C54CB" w:rsidRPr="008C54CB">
        <w:t xml:space="preserve"> these </w:t>
      </w:r>
      <w:r w:rsidR="00265B96">
        <w:t xml:space="preserve">values with the </w:t>
      </w:r>
      <w:r w:rsidR="008C54CB" w:rsidRPr="008C54CB">
        <w:t xml:space="preserve">audited </w:t>
      </w:r>
      <w:r w:rsidR="00265B96">
        <w:t>annual reporting RIN to be received in late 2014 as part of</w:t>
      </w:r>
      <w:r w:rsidR="008C54CB" w:rsidRPr="008C54CB">
        <w:t xml:space="preserve"> the final decision.</w:t>
      </w:r>
      <w:r w:rsidR="005D0F5C" w:rsidRPr="005D0F5C">
        <w:t xml:space="preserve"> </w:t>
      </w:r>
    </w:p>
    <w:p w:rsidR="005D0F5C" w:rsidRDefault="00231BBC" w:rsidP="005D0F5C">
      <w:pPr>
        <w:pStyle w:val="HeadingOrange"/>
      </w:pPr>
      <w:r>
        <w:t>Rate of return and inflation</w:t>
      </w:r>
      <w:r w:rsidR="005D0F5C">
        <w:t xml:space="preserve"> input </w:t>
      </w:r>
      <w:r>
        <w:t>amendments</w:t>
      </w:r>
    </w:p>
    <w:p w:rsidR="00694238" w:rsidRDefault="00CA5C56" w:rsidP="00FA1C2B">
      <w:pPr>
        <w:pStyle w:val="AERbodytext"/>
      </w:pPr>
      <w:r>
        <w:t xml:space="preserve">We do not accept the proposed </w:t>
      </w:r>
      <w:r w:rsidR="00231BBC">
        <w:t>rate of return input</w:t>
      </w:r>
      <w:r>
        <w:t xml:space="preserve"> for 2008</w:t>
      </w:r>
      <w:r w:rsidR="00231BBC">
        <w:t>–</w:t>
      </w:r>
      <w:r>
        <w:t xml:space="preserve">09 of 9.67 per cent. </w:t>
      </w:r>
      <w:r w:rsidR="00F661C2">
        <w:t xml:space="preserve">On 21 December 2007, the AER reopened and substituted </w:t>
      </w:r>
      <w:r w:rsidR="005C0024">
        <w:t xml:space="preserve">a previous </w:t>
      </w:r>
      <w:r w:rsidR="00F661C2">
        <w:t>ACCC's decision</w:t>
      </w:r>
      <w:r w:rsidR="0013695A">
        <w:t>,</w:t>
      </w:r>
      <w:r w:rsidR="00F661C2">
        <w:t xml:space="preserve"> </w:t>
      </w:r>
      <w:r w:rsidR="005C0024">
        <w:t xml:space="preserve">and </w:t>
      </w:r>
      <w:r w:rsidR="00F661C2">
        <w:t>set</w:t>
      </w:r>
      <w:r w:rsidR="005C0024">
        <w:t xml:space="preserve"> a revised</w:t>
      </w:r>
      <w:r w:rsidR="00F661C2">
        <w:t xml:space="preserve"> </w:t>
      </w:r>
      <w:r w:rsidR="00DC605C">
        <w:t xml:space="preserve">nominal </w:t>
      </w:r>
      <w:r w:rsidR="0013695A">
        <w:t>rate of return</w:t>
      </w:r>
      <w:r w:rsidR="00DC605C">
        <w:t xml:space="preserve"> of 9.08 per cent</w:t>
      </w:r>
      <w:r w:rsidR="00F661C2">
        <w:t>.</w:t>
      </w:r>
      <w:r w:rsidR="005D0F5C">
        <w:rPr>
          <w:rStyle w:val="FootnoteReference"/>
        </w:rPr>
        <w:footnoteReference w:id="40"/>
      </w:r>
      <w:r w:rsidR="00F661C2">
        <w:t xml:space="preserve"> </w:t>
      </w:r>
      <w:r w:rsidR="00694238">
        <w:t xml:space="preserve">Therefore, we have amended Ausgrid's </w:t>
      </w:r>
      <w:r w:rsidR="00231BBC">
        <w:t xml:space="preserve">proposed </w:t>
      </w:r>
      <w:r w:rsidR="00694238">
        <w:t xml:space="preserve">RFM to reflect </w:t>
      </w:r>
      <w:r w:rsidR="0013695A">
        <w:t>this rate of return input</w:t>
      </w:r>
      <w:r w:rsidR="00694238">
        <w:t>.</w:t>
      </w:r>
    </w:p>
    <w:p w:rsidR="002D1FAF" w:rsidRPr="00FA1C2B" w:rsidRDefault="005D0F5C" w:rsidP="002D1FAF">
      <w:pPr>
        <w:pStyle w:val="AERbodytext"/>
      </w:pPr>
      <w:r w:rsidRPr="005D0F5C">
        <w:t xml:space="preserve">We do not accept Ausgrid's proposed </w:t>
      </w:r>
      <w:r w:rsidR="0013695A">
        <w:t xml:space="preserve">actual </w:t>
      </w:r>
      <w:r w:rsidRPr="005D0F5C">
        <w:t xml:space="preserve">inflation </w:t>
      </w:r>
      <w:r w:rsidR="0013695A">
        <w:t xml:space="preserve">input </w:t>
      </w:r>
      <w:r w:rsidRPr="005D0F5C">
        <w:t>for 2011</w:t>
      </w:r>
      <w:r w:rsidR="0013695A">
        <w:t>–</w:t>
      </w:r>
      <w:r w:rsidRPr="005D0F5C">
        <w:t>12. We have amended Ausgrid's proposed value of CPI for 20</w:t>
      </w:r>
      <w:r w:rsidR="0013695A">
        <w:t>1</w:t>
      </w:r>
      <w:r w:rsidRPr="005D0F5C">
        <w:t>1</w:t>
      </w:r>
      <w:r w:rsidR="0013695A">
        <w:t>–</w:t>
      </w:r>
      <w:r w:rsidRPr="005D0F5C">
        <w:t>12 to 1.58 per cent</w:t>
      </w:r>
      <w:r w:rsidR="0013695A" w:rsidRPr="0013695A">
        <w:t xml:space="preserve"> </w:t>
      </w:r>
      <w:r w:rsidR="0013695A" w:rsidRPr="005D0F5C">
        <w:t>from 1.63 per cent</w:t>
      </w:r>
      <w:r w:rsidRPr="005D0F5C">
        <w:t xml:space="preserve">. Our amended value is the inflation rate consistent with that used for pricing </w:t>
      </w:r>
      <w:r w:rsidR="0013695A">
        <w:t>purposes in accordance with the control mechanism formula</w:t>
      </w:r>
      <w:r w:rsidR="00F2090C">
        <w:t>.</w:t>
      </w:r>
      <w:r w:rsidR="00F2090C">
        <w:rPr>
          <w:rStyle w:val="FootnoteReference"/>
        </w:rPr>
        <w:footnoteReference w:id="41"/>
      </w:r>
      <w:r w:rsidRPr="005D0F5C">
        <w:t xml:space="preserve"> </w:t>
      </w:r>
      <w:r w:rsidR="00C317FD">
        <w:t xml:space="preserve"> </w:t>
      </w:r>
    </w:p>
    <w:p w:rsidR="00D742BB" w:rsidRPr="006F570A" w:rsidRDefault="00A803F5" w:rsidP="00380F49">
      <w:pPr>
        <w:pStyle w:val="Heading3"/>
      </w:pPr>
      <w:bookmarkStart w:id="36" w:name="_Toc404356960"/>
      <w:r w:rsidRPr="00380F49">
        <w:t>Forecast closing RAB</w:t>
      </w:r>
      <w:r w:rsidR="00C22174" w:rsidRPr="006F570A">
        <w:t xml:space="preserve"> as at 30 June 2019</w:t>
      </w:r>
      <w:bookmarkEnd w:id="36"/>
    </w:p>
    <w:p w:rsidR="004E3D3F" w:rsidRDefault="00443636" w:rsidP="00443636">
      <w:pPr>
        <w:pStyle w:val="AERbodytext"/>
      </w:pPr>
      <w:r w:rsidRPr="00443636">
        <w:t>We forecast closing RAB value</w:t>
      </w:r>
      <w:r w:rsidR="00766801">
        <w:t>s</w:t>
      </w:r>
      <w:r w:rsidRPr="00443636">
        <w:t xml:space="preserve"> of $</w:t>
      </w:r>
      <w:r w:rsidR="00745F4B">
        <w:t>1385</w:t>
      </w:r>
      <w:r w:rsidR="00115D57">
        <w:t>0.9</w:t>
      </w:r>
      <w:r w:rsidRPr="00443636">
        <w:t xml:space="preserve"> million </w:t>
      </w:r>
      <w:r w:rsidR="00D075F6">
        <w:t>and $</w:t>
      </w:r>
      <w:r w:rsidR="00745F4B">
        <w:t>2323</w:t>
      </w:r>
      <w:r w:rsidR="00115D57">
        <w:t>.0</w:t>
      </w:r>
      <w:r w:rsidR="00D075F6">
        <w:t xml:space="preserve"> million </w:t>
      </w:r>
      <w:r w:rsidRPr="00443636">
        <w:t>by 30 June 201</w:t>
      </w:r>
      <w:r>
        <w:t>9</w:t>
      </w:r>
      <w:r w:rsidRPr="00443636">
        <w:t xml:space="preserve"> for </w:t>
      </w:r>
      <w:r>
        <w:t>Ausgrid</w:t>
      </w:r>
      <w:r w:rsidR="00D075F6">
        <w:t>'s distribution and transmission network, respectively</w:t>
      </w:r>
      <w:r>
        <w:t xml:space="preserve">. </w:t>
      </w:r>
    </w:p>
    <w:p w:rsidR="00443636" w:rsidRPr="00443636" w:rsidRDefault="00D075F6" w:rsidP="00443636">
      <w:pPr>
        <w:pStyle w:val="AERbodytext"/>
      </w:pPr>
      <w:r>
        <w:t xml:space="preserve">For </w:t>
      </w:r>
      <w:r w:rsidR="008A3684">
        <w:t>Ausgrid's</w:t>
      </w:r>
      <w:r>
        <w:t xml:space="preserve"> distribution RAB </w:t>
      </w:r>
      <w:r w:rsidR="004E3D3F">
        <w:t>our decision results in</w:t>
      </w:r>
      <w:r w:rsidR="00443636" w:rsidRPr="00443636">
        <w:t xml:space="preserve"> a </w:t>
      </w:r>
      <w:r>
        <w:t>reduction of $</w:t>
      </w:r>
      <w:r w:rsidR="00745F4B">
        <w:t>1890.4</w:t>
      </w:r>
      <w:r>
        <w:t xml:space="preserve"> million (</w:t>
      </w:r>
      <w:r w:rsidR="0094492C">
        <w:t xml:space="preserve">$ </w:t>
      </w:r>
      <w:r>
        <w:t xml:space="preserve">nominal) or </w:t>
      </w:r>
      <w:r w:rsidR="00745F4B">
        <w:t>12.0</w:t>
      </w:r>
      <w:r w:rsidR="00443636" w:rsidRPr="00443636">
        <w:t xml:space="preserve"> per cent </w:t>
      </w:r>
      <w:r w:rsidR="004E3D3F">
        <w:t>compared to</w:t>
      </w:r>
      <w:r w:rsidR="00443636" w:rsidRPr="00443636">
        <w:t xml:space="preserve"> </w:t>
      </w:r>
      <w:r w:rsidR="00443636">
        <w:t>Ausgrid</w:t>
      </w:r>
      <w:r w:rsidR="00443636" w:rsidRPr="00443636">
        <w:t xml:space="preserve">'s proposal. To determine </w:t>
      </w:r>
      <w:r w:rsidR="00DA1389">
        <w:t xml:space="preserve">Ausgrid's </w:t>
      </w:r>
      <w:r w:rsidR="00443636" w:rsidRPr="00443636">
        <w:t xml:space="preserve">forecast </w:t>
      </w:r>
      <w:r w:rsidR="00DA1389">
        <w:t xml:space="preserve">distribution </w:t>
      </w:r>
      <w:r w:rsidR="00443636" w:rsidRPr="00443636">
        <w:t>RAB value, we amended the following PTRM inputs:</w:t>
      </w:r>
    </w:p>
    <w:p w:rsidR="00443636" w:rsidRPr="00443636" w:rsidRDefault="00443636" w:rsidP="00443636">
      <w:pPr>
        <w:pStyle w:val="AERbulletlistfirststyle"/>
      </w:pPr>
      <w:r w:rsidRPr="00443636">
        <w:t xml:space="preserve">We reduced </w:t>
      </w:r>
      <w:r>
        <w:t>Ausg</w:t>
      </w:r>
      <w:r w:rsidRPr="00443636">
        <w:t>rid's proposed opening RAB as at 1 July 2014 by $</w:t>
      </w:r>
      <w:r w:rsidR="00745F4B">
        <w:t>28.1</w:t>
      </w:r>
      <w:r w:rsidRPr="00443636">
        <w:t xml:space="preserve"> million </w:t>
      </w:r>
      <w:r w:rsidR="0094492C">
        <w:t xml:space="preserve">($ nominal) </w:t>
      </w:r>
      <w:r w:rsidRPr="00443636">
        <w:t xml:space="preserve">or </w:t>
      </w:r>
      <w:r w:rsidR="00745F4B">
        <w:t>0.2</w:t>
      </w:r>
      <w:r w:rsidRPr="00443636">
        <w:t xml:space="preserve"> per cent.</w:t>
      </w:r>
    </w:p>
    <w:p w:rsidR="00443636" w:rsidRPr="00443636" w:rsidRDefault="00443636" w:rsidP="00443636">
      <w:pPr>
        <w:pStyle w:val="AERbulletlistfirststyle"/>
      </w:pPr>
      <w:r w:rsidRPr="00443636">
        <w:t xml:space="preserve">We reduced </w:t>
      </w:r>
      <w:r>
        <w:t>Ausg</w:t>
      </w:r>
      <w:r w:rsidRPr="00443636">
        <w:t xml:space="preserve">rid's proposed forecast capex </w:t>
      </w:r>
      <w:r w:rsidR="0066416D">
        <w:t xml:space="preserve">allowance </w:t>
      </w:r>
      <w:r w:rsidRPr="00443636">
        <w:t>by $</w:t>
      </w:r>
      <w:r w:rsidR="00527FE8">
        <w:t>1860.</w:t>
      </w:r>
      <w:r w:rsidR="00264422">
        <w:t>9</w:t>
      </w:r>
      <w:r w:rsidRPr="00443636">
        <w:t xml:space="preserve"> million </w:t>
      </w:r>
      <w:r w:rsidR="0094492C">
        <w:t xml:space="preserve">($ nominal) </w:t>
      </w:r>
      <w:r w:rsidRPr="00443636">
        <w:t xml:space="preserve">or </w:t>
      </w:r>
      <w:r w:rsidR="00527FE8">
        <w:t>44</w:t>
      </w:r>
      <w:r w:rsidR="00BF6286">
        <w:t> </w:t>
      </w:r>
      <w:r w:rsidRPr="00443636">
        <w:t xml:space="preserve">per cent (attachment </w:t>
      </w:r>
      <w:r w:rsidR="00527FE8">
        <w:t>6</w:t>
      </w:r>
      <w:r w:rsidRPr="00443636">
        <w:t>).</w:t>
      </w:r>
    </w:p>
    <w:p w:rsidR="00A834AC" w:rsidRDefault="00443636" w:rsidP="00443636">
      <w:pPr>
        <w:pStyle w:val="AERbulletlistfirststyle"/>
      </w:pPr>
      <w:r>
        <w:t>We increased Ausg</w:t>
      </w:r>
      <w:r w:rsidRPr="00443636">
        <w:t>rid's proposed forecast regulatory depreciation allowance by $</w:t>
      </w:r>
      <w:r w:rsidR="00527FE8">
        <w:t>1.4</w:t>
      </w:r>
      <w:r w:rsidR="00577AEC">
        <w:t xml:space="preserve"> </w:t>
      </w:r>
      <w:r w:rsidRPr="00443636">
        <w:t xml:space="preserve">million </w:t>
      </w:r>
      <w:r w:rsidR="0094492C">
        <w:t>($</w:t>
      </w:r>
      <w:r w:rsidR="00BF6286">
        <w:t> </w:t>
      </w:r>
      <w:r w:rsidR="0094492C">
        <w:t xml:space="preserve">nominal) </w:t>
      </w:r>
      <w:r w:rsidRPr="00443636">
        <w:t xml:space="preserve">or </w:t>
      </w:r>
      <w:r w:rsidR="00527FE8">
        <w:t>0.2</w:t>
      </w:r>
      <w:r w:rsidRPr="00443636">
        <w:t xml:space="preserve"> per cent (attachment </w:t>
      </w:r>
      <w:r w:rsidR="00527FE8">
        <w:t>5</w:t>
      </w:r>
      <w:r w:rsidRPr="00443636">
        <w:t>).</w:t>
      </w:r>
    </w:p>
    <w:p w:rsidR="00D075F6" w:rsidRPr="00D075F6" w:rsidRDefault="00D075F6" w:rsidP="00D075F6">
      <w:pPr>
        <w:pStyle w:val="AERbodytext"/>
      </w:pPr>
      <w:r w:rsidRPr="00D075F6">
        <w:t xml:space="preserve">For Ausgrid's </w:t>
      </w:r>
      <w:r>
        <w:t xml:space="preserve">transmission </w:t>
      </w:r>
      <w:r w:rsidRPr="00D075F6">
        <w:t xml:space="preserve">RAB </w:t>
      </w:r>
      <w:r w:rsidR="004E3D3F">
        <w:t>our decision results in</w:t>
      </w:r>
      <w:r w:rsidRPr="00D075F6">
        <w:t xml:space="preserve"> a reduction of $</w:t>
      </w:r>
      <w:r w:rsidR="00115D57">
        <w:t>282.1</w:t>
      </w:r>
      <w:r w:rsidRPr="00D075F6">
        <w:t xml:space="preserve"> million (</w:t>
      </w:r>
      <w:r w:rsidR="0094492C">
        <w:t xml:space="preserve">$ </w:t>
      </w:r>
      <w:r w:rsidRPr="00D075F6">
        <w:t xml:space="preserve">nominal) or </w:t>
      </w:r>
      <w:r w:rsidR="00115D57">
        <w:t>10.8</w:t>
      </w:r>
      <w:r w:rsidRPr="00D075F6">
        <w:t xml:space="preserve"> per cent </w:t>
      </w:r>
      <w:r w:rsidR="004E3D3F">
        <w:t>compared to</w:t>
      </w:r>
      <w:r w:rsidRPr="00D075F6">
        <w:t xml:space="preserve"> Ausgrid's proposal. To determine Ausgrid's forecast </w:t>
      </w:r>
      <w:r>
        <w:t>transmission</w:t>
      </w:r>
      <w:r w:rsidRPr="00D075F6">
        <w:t xml:space="preserve"> RAB value, we amended the following PTRM inputs:</w:t>
      </w:r>
    </w:p>
    <w:p w:rsidR="00D075F6" w:rsidRPr="00D075F6" w:rsidRDefault="00D075F6" w:rsidP="00D075F6">
      <w:pPr>
        <w:pStyle w:val="AERbulletlistfirststyle"/>
      </w:pPr>
      <w:r w:rsidRPr="00D075F6">
        <w:t>We reduced Ausgrid's proposed opening RAB as at 1 July 2014 by $</w:t>
      </w:r>
      <w:r w:rsidR="00527FE8">
        <w:t>55.2</w:t>
      </w:r>
      <w:r w:rsidRPr="00D075F6">
        <w:t xml:space="preserve"> million </w:t>
      </w:r>
      <w:r w:rsidR="0094492C">
        <w:t xml:space="preserve">($ nominal) </w:t>
      </w:r>
      <w:r w:rsidRPr="00D075F6">
        <w:t xml:space="preserve">or </w:t>
      </w:r>
      <w:r w:rsidR="00527FE8">
        <w:t>2.6</w:t>
      </w:r>
      <w:r w:rsidRPr="00D075F6">
        <w:t xml:space="preserve"> per cent.</w:t>
      </w:r>
    </w:p>
    <w:p w:rsidR="00D075F6" w:rsidRPr="00D075F6" w:rsidRDefault="00D075F6" w:rsidP="00D075F6">
      <w:pPr>
        <w:pStyle w:val="AERbulletlistfirststyle"/>
      </w:pPr>
      <w:r w:rsidRPr="00D075F6">
        <w:t xml:space="preserve">We reduced Ausgrid's proposed forecast capex </w:t>
      </w:r>
      <w:r w:rsidR="0066416D">
        <w:t xml:space="preserve">allowance </w:t>
      </w:r>
      <w:r w:rsidRPr="00D075F6">
        <w:t>by $</w:t>
      </w:r>
      <w:r w:rsidR="00527FE8">
        <w:t>232.3</w:t>
      </w:r>
      <w:r w:rsidRPr="00D075F6">
        <w:t xml:space="preserve"> million </w:t>
      </w:r>
      <w:r w:rsidR="0094492C">
        <w:t xml:space="preserve">($ nominal) </w:t>
      </w:r>
      <w:r w:rsidRPr="00D075F6">
        <w:t xml:space="preserve">or </w:t>
      </w:r>
      <w:r w:rsidR="00527FE8">
        <w:t>39.0</w:t>
      </w:r>
      <w:r w:rsidR="00BF6286">
        <w:t> </w:t>
      </w:r>
      <w:r w:rsidRPr="00D075F6">
        <w:t xml:space="preserve">per cent (attachment </w:t>
      </w:r>
      <w:r w:rsidR="00527FE8">
        <w:t>6</w:t>
      </w:r>
      <w:r w:rsidRPr="00D075F6">
        <w:t>).</w:t>
      </w:r>
    </w:p>
    <w:p w:rsidR="00D075F6" w:rsidRPr="00D075F6" w:rsidRDefault="00D075F6" w:rsidP="00D075F6">
      <w:pPr>
        <w:pStyle w:val="AERbulletlistfirststyle"/>
      </w:pPr>
      <w:r w:rsidRPr="00D075F6">
        <w:lastRenderedPageBreak/>
        <w:t>We reduced Ausgrid's proposed forecast regulatory depreciation allowance by $</w:t>
      </w:r>
      <w:r w:rsidR="00527FE8">
        <w:t>5.4</w:t>
      </w:r>
      <w:r w:rsidRPr="00D075F6">
        <w:t xml:space="preserve"> million or </w:t>
      </w:r>
      <w:r w:rsidR="00527FE8">
        <w:t>6.6</w:t>
      </w:r>
      <w:r w:rsidR="00BF6286">
        <w:t> </w:t>
      </w:r>
      <w:r w:rsidRPr="00D075F6">
        <w:t xml:space="preserve">per cent (attachment </w:t>
      </w:r>
      <w:r w:rsidR="00527FE8">
        <w:t>5</w:t>
      </w:r>
      <w:r w:rsidRPr="00D075F6">
        <w:t>).</w:t>
      </w:r>
    </w:p>
    <w:p w:rsidR="00A803F5" w:rsidRDefault="0066416D" w:rsidP="00A803F5">
      <w:pPr>
        <w:pStyle w:val="Heading3"/>
      </w:pPr>
      <w:bookmarkStart w:id="37" w:name="_Toc404356961"/>
      <w:r>
        <w:t>Application of d</w:t>
      </w:r>
      <w:r w:rsidR="00C22174" w:rsidRPr="00C22174">
        <w:t xml:space="preserve">epreciation approach </w:t>
      </w:r>
      <w:r>
        <w:t>in RAB</w:t>
      </w:r>
      <w:r w:rsidR="00C22174" w:rsidRPr="00C22174">
        <w:t xml:space="preserve"> roll forward </w:t>
      </w:r>
      <w:r>
        <w:t>for next reset</w:t>
      </w:r>
      <w:bookmarkEnd w:id="37"/>
    </w:p>
    <w:p w:rsidR="00591424" w:rsidRPr="00591424" w:rsidRDefault="00591424" w:rsidP="00591424">
      <w:pPr>
        <w:pStyle w:val="AERbodytext"/>
      </w:pPr>
      <w:r w:rsidRPr="00591424">
        <w:t xml:space="preserve">Consistent with our Stage 2 framework and approach paper and </w:t>
      </w:r>
      <w:r w:rsidR="00DA1389">
        <w:t>Ausgrid</w:t>
      </w:r>
      <w:r w:rsidRPr="00591424">
        <w:t xml:space="preserve">'s proposal, we determine that the forecast depreciation approach is to be used to establish the RAB at the commencement of </w:t>
      </w:r>
      <w:r w:rsidR="00DA1389">
        <w:t>Ausgrid</w:t>
      </w:r>
      <w:r w:rsidRPr="00591424">
        <w:t>'s 2019</w:t>
      </w:r>
      <w:r w:rsidR="00DA1389">
        <w:t>–</w:t>
      </w:r>
      <w:r w:rsidRPr="00591424">
        <w:t xml:space="preserve">24 regulatory control </w:t>
      </w:r>
      <w:proofErr w:type="gramStart"/>
      <w:r w:rsidRPr="00591424">
        <w:t>period</w:t>
      </w:r>
      <w:proofErr w:type="gramEnd"/>
      <w:r w:rsidRPr="00591424">
        <w:t>.</w:t>
      </w:r>
      <w:r w:rsidR="00DA1389">
        <w:rPr>
          <w:rStyle w:val="FootnoteReference"/>
        </w:rPr>
        <w:footnoteReference w:id="42"/>
      </w:r>
      <w:r w:rsidRPr="00591424">
        <w:t xml:space="preserve"> This approach will apply to both the transitional and subsequent regulatory control periods for </w:t>
      </w:r>
      <w:r w:rsidR="00DA1389">
        <w:t>Ausgrid</w:t>
      </w:r>
      <w:r w:rsidRPr="00591424">
        <w:t>.</w:t>
      </w:r>
      <w:r w:rsidR="00DA1389">
        <w:rPr>
          <w:rStyle w:val="FootnoteReference"/>
        </w:rPr>
        <w:footnoteReference w:id="43"/>
      </w:r>
      <w:r w:rsidRPr="00591424">
        <w:t xml:space="preserve">  We consider this approach will provide sufficient incentives for </w:t>
      </w:r>
      <w:r w:rsidR="00DA1389">
        <w:t>Ausgrid</w:t>
      </w:r>
      <w:r w:rsidRPr="00591424">
        <w:t xml:space="preserve"> to achieve capex efficiency gains over the relevant regulatory control periods.</w:t>
      </w:r>
    </w:p>
    <w:p w:rsidR="00591424" w:rsidRPr="00591424" w:rsidRDefault="00591424" w:rsidP="00591424">
      <w:pPr>
        <w:pStyle w:val="AERbodytext"/>
      </w:pPr>
      <w:r w:rsidRPr="00591424">
        <w:t>We had regard to the relevant factors in the NER in developing the approach to choosing the depreciation approach set out in our capex incentives guideline.</w:t>
      </w:r>
      <w:r w:rsidR="00DA1389">
        <w:rPr>
          <w:rStyle w:val="FootnoteReference"/>
        </w:rPr>
        <w:footnoteReference w:id="44"/>
      </w:r>
      <w:r w:rsidRPr="00591424">
        <w:t xml:space="preserve"> Our approach is to apply forecast depreciation except where: </w:t>
      </w:r>
    </w:p>
    <w:p w:rsidR="00591424" w:rsidRPr="00591424" w:rsidRDefault="00591424" w:rsidP="00591424">
      <w:pPr>
        <w:pStyle w:val="AERbulletlistfirststyle"/>
      </w:pPr>
      <w:r w:rsidRPr="00591424">
        <w:t>there is no CESS in place and therefore the power of the capex incentive may need to be strengthened, or</w:t>
      </w:r>
    </w:p>
    <w:p w:rsidR="00591424" w:rsidRPr="00591424" w:rsidRDefault="00591424" w:rsidP="00591424">
      <w:pPr>
        <w:pStyle w:val="AERbulletlistfirststyle"/>
      </w:pPr>
      <w:proofErr w:type="gramStart"/>
      <w:r w:rsidRPr="00591424">
        <w:t>a</w:t>
      </w:r>
      <w:proofErr w:type="gramEnd"/>
      <w:r w:rsidRPr="00591424">
        <w:t xml:space="preserve"> service provider's past capex performance demonstrates evidence of persistent overspending or inefficiency, thus requiring a higher powered incentive.</w:t>
      </w:r>
    </w:p>
    <w:p w:rsidR="00591424" w:rsidRPr="00591424" w:rsidRDefault="00591424" w:rsidP="00591424">
      <w:pPr>
        <w:pStyle w:val="AERbodytext"/>
      </w:pPr>
      <w:r w:rsidRPr="00591424">
        <w:t>In making our decision on whether to use actual depreciation in either of these circumstances we have considered:</w:t>
      </w:r>
    </w:p>
    <w:p w:rsidR="00591424" w:rsidRPr="00591424" w:rsidRDefault="00591424" w:rsidP="00591424">
      <w:pPr>
        <w:pStyle w:val="AERbulletlistfirststyle"/>
      </w:pPr>
      <w:r w:rsidRPr="00591424">
        <w:t>the substitutability between capex and opex and the balance of incentives between these</w:t>
      </w:r>
    </w:p>
    <w:p w:rsidR="00591424" w:rsidRPr="00591424" w:rsidRDefault="00591424" w:rsidP="00591424">
      <w:pPr>
        <w:pStyle w:val="AERbulletlistfirststyle"/>
      </w:pPr>
      <w:r w:rsidRPr="00591424">
        <w:t>the balance of incentives with service outcomes</w:t>
      </w:r>
    </w:p>
    <w:p w:rsidR="00591424" w:rsidRPr="00591424" w:rsidRDefault="00591424" w:rsidP="00591424">
      <w:pPr>
        <w:pStyle w:val="AERbulletlistfirststyle"/>
      </w:pPr>
      <w:proofErr w:type="gramStart"/>
      <w:r w:rsidRPr="00591424">
        <w:t>the</w:t>
      </w:r>
      <w:proofErr w:type="gramEnd"/>
      <w:r w:rsidRPr="00591424">
        <w:t xml:space="preserve"> substitutability of assets of different asset lives.</w:t>
      </w:r>
    </w:p>
    <w:p w:rsidR="00DA1389" w:rsidRDefault="00591424" w:rsidP="00591424">
      <w:pPr>
        <w:pStyle w:val="AERbodytext"/>
      </w:pPr>
      <w:r w:rsidRPr="00591424">
        <w:t>We have chosen forecast depreciation because, in combination with the CESS, it will provide a 30 per cent reward for capex underspends and 30 per cent penalty for capex overspends, which is consistent for all asset classes. In developing our capex incentives guideline, we considered this to be a sufficient incentive for a service provider to achieve efficiency gains over the regulatory control period in most circumstances</w:t>
      </w:r>
      <w:r w:rsidR="00DA1389">
        <w:t>.</w:t>
      </w:r>
    </w:p>
    <w:p w:rsidR="00EF0E19" w:rsidRPr="00D97003" w:rsidRDefault="00591424" w:rsidP="00591424">
      <w:pPr>
        <w:pStyle w:val="AERbodytext"/>
      </w:pPr>
      <w:r w:rsidRPr="00591424">
        <w:t xml:space="preserve">As discussed in attachment </w:t>
      </w:r>
      <w:r w:rsidR="00527FE8">
        <w:t>10</w:t>
      </w:r>
      <w:r w:rsidRPr="00591424">
        <w:t xml:space="preserve">, </w:t>
      </w:r>
      <w:r w:rsidR="00DA1389">
        <w:t>Ausgrid</w:t>
      </w:r>
      <w:r w:rsidRPr="00591424">
        <w:t xml:space="preserve"> is not currently subject to a CESS but we will apply the CESS to </w:t>
      </w:r>
      <w:r w:rsidR="00DA1389">
        <w:t>Ausgrid</w:t>
      </w:r>
      <w:r w:rsidRPr="00591424">
        <w:t xml:space="preserve"> from 1 July 2015. The CESS does not apply to </w:t>
      </w:r>
      <w:r w:rsidR="00DA1389">
        <w:t>Ausgrid</w:t>
      </w:r>
      <w:r w:rsidRPr="00591424">
        <w:t xml:space="preserve"> for the 2014–15 transitional regulatory control </w:t>
      </w:r>
      <w:proofErr w:type="gramStart"/>
      <w:r w:rsidRPr="00591424">
        <w:t>period</w:t>
      </w:r>
      <w:proofErr w:type="gramEnd"/>
      <w:r w:rsidR="00C93632" w:rsidRPr="00591424">
        <w:t>.</w:t>
      </w:r>
      <w:r w:rsidR="00DA1389">
        <w:rPr>
          <w:rStyle w:val="FootnoteReference"/>
        </w:rPr>
        <w:footnoteReference w:id="45"/>
      </w:r>
      <w:r w:rsidR="00C93632" w:rsidRPr="00591424">
        <w:t xml:space="preserve"> We consider the </w:t>
      </w:r>
      <w:r w:rsidRPr="00591424">
        <w:t xml:space="preserve">use of </w:t>
      </w:r>
      <w:r w:rsidR="0066416D">
        <w:t xml:space="preserve">a </w:t>
      </w:r>
      <w:r w:rsidRPr="00591424">
        <w:t>forecast depr</w:t>
      </w:r>
      <w:r w:rsidR="00DA1389">
        <w:t>e</w:t>
      </w:r>
      <w:r w:rsidRPr="00591424">
        <w:t>ciation appr</w:t>
      </w:r>
      <w:r w:rsidR="00DA1389">
        <w:t>oach</w:t>
      </w:r>
      <w:r w:rsidRPr="00591424">
        <w:t xml:space="preserve"> in combination with the </w:t>
      </w:r>
      <w:r w:rsidR="008A3684" w:rsidRPr="00591424">
        <w:t>application</w:t>
      </w:r>
      <w:r w:rsidRPr="00591424">
        <w:t xml:space="preserve"> </w:t>
      </w:r>
      <w:r w:rsidR="008A3684" w:rsidRPr="00591424">
        <w:t>of</w:t>
      </w:r>
      <w:r w:rsidRPr="00591424">
        <w:t xml:space="preserve"> CESS and </w:t>
      </w:r>
      <w:r w:rsidR="0066416D">
        <w:t xml:space="preserve">our </w:t>
      </w:r>
      <w:r w:rsidRPr="00591424">
        <w:t>other ex post capex measures are suffici</w:t>
      </w:r>
      <w:r w:rsidR="00DA1389">
        <w:t>ent</w:t>
      </w:r>
      <w:r w:rsidRPr="00591424">
        <w:t xml:space="preserve"> to achieve the capex incentive objective</w:t>
      </w:r>
      <w:r w:rsidR="00C93632" w:rsidRPr="00F214ED">
        <w:t>.</w:t>
      </w:r>
      <w:r w:rsidR="00C93632">
        <w:rPr>
          <w:rStyle w:val="FootnoteReference"/>
        </w:rPr>
        <w:footnoteReference w:id="46"/>
      </w:r>
    </w:p>
    <w:sectPr w:rsidR="00EF0E19" w:rsidRPr="00D97003" w:rsidSect="00775E36">
      <w:footerReference w:type="even" r:id="rId13"/>
      <w:footerReference w:type="default" r:id="rId14"/>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EC" w:rsidRPr="00AB4345" w:rsidRDefault="009815EC" w:rsidP="00AB4345">
      <w:r>
        <w:separator/>
      </w:r>
    </w:p>
  </w:endnote>
  <w:endnote w:type="continuationSeparator" w:id="0">
    <w:p w:rsidR="009815EC" w:rsidRPr="00AB4345" w:rsidRDefault="009815EC"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9815EC" w:rsidRPr="00824CC8" w:rsidRDefault="009815EC" w:rsidP="00824CC8">
        <w:pPr>
          <w:pStyle w:val="Footer"/>
        </w:pPr>
        <w:r w:rsidRPr="00824CC8">
          <w:fldChar w:fldCharType="begin"/>
        </w:r>
        <w:r w:rsidRPr="00824CC8">
          <w:instrText xml:space="preserve"> PAGE   \* MERGEFORMAT </w:instrText>
        </w:r>
        <w:r w:rsidRPr="00824CC8">
          <w:fldChar w:fldCharType="separate"/>
        </w:r>
        <w:r w:rsidR="00AD3FDB">
          <w:rPr>
            <w:noProof/>
          </w:rPr>
          <w:t>2-12</w:t>
        </w:r>
        <w:r w:rsidRPr="00824CC8">
          <w:fldChar w:fldCharType="end"/>
        </w:r>
        <w:r w:rsidRPr="00824CC8">
          <w:tab/>
        </w:r>
        <w:r w:rsidR="003750C0">
          <w:t xml:space="preserve">                                                      </w:t>
        </w:r>
        <w:r w:rsidR="00775E36" w:rsidRPr="00775E36">
          <w:rPr>
            <w:rStyle w:val="AERbody"/>
          </w:rPr>
          <w:t xml:space="preserve">Attachment 2: Regulatory asset base </w:t>
        </w:r>
        <w:r w:rsidRPr="00824CC8">
          <w:rPr>
            <w:rStyle w:val="AERbody"/>
          </w:rPr>
          <w:t xml:space="preserve">| </w:t>
        </w:r>
        <w:r w:rsidR="00775E36">
          <w:rPr>
            <w:rStyle w:val="AERbody"/>
          </w:rPr>
          <w:t>Ausgrid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5EC" w:rsidRPr="00824CC8" w:rsidRDefault="00775E36" w:rsidP="00824CC8">
    <w:pPr>
      <w:pStyle w:val="Footer"/>
      <w:rPr>
        <w:rStyle w:val="AERbody"/>
      </w:rPr>
    </w:pPr>
    <w:r>
      <w:rPr>
        <w:rStyle w:val="AERbody"/>
      </w:rPr>
      <w:t>Ausgrid draft decision</w:t>
    </w:r>
    <w:r w:rsidR="009815EC" w:rsidRPr="00210880">
      <w:rPr>
        <w:rStyle w:val="AERbody"/>
      </w:rPr>
      <w:t xml:space="preserve"> | </w:t>
    </w:r>
    <w:r w:rsidRPr="00775E36">
      <w:rPr>
        <w:rStyle w:val="AERbody"/>
      </w:rPr>
      <w:t>Attachment 2: Regulatory asset base</w:t>
    </w:r>
    <w:r w:rsidR="009815EC" w:rsidRPr="00210880">
      <w:rPr>
        <w:rStyle w:val="AERbody"/>
      </w:rPr>
      <w:tab/>
    </w:r>
    <w:r w:rsidR="009815EC" w:rsidRPr="00824CC8">
      <w:rPr>
        <w:rStyle w:val="AERbody"/>
      </w:rPr>
      <w:fldChar w:fldCharType="begin"/>
    </w:r>
    <w:r w:rsidR="009815EC" w:rsidRPr="00824CC8">
      <w:rPr>
        <w:rStyle w:val="AERbody"/>
      </w:rPr>
      <w:instrText xml:space="preserve"> PAGE   \* MERGEFORMAT </w:instrText>
    </w:r>
    <w:r w:rsidR="009815EC" w:rsidRPr="00824CC8">
      <w:rPr>
        <w:rStyle w:val="AERbody"/>
      </w:rPr>
      <w:fldChar w:fldCharType="separate"/>
    </w:r>
    <w:r w:rsidR="00AD3FDB">
      <w:rPr>
        <w:rStyle w:val="AERbody"/>
        <w:noProof/>
      </w:rPr>
      <w:t>2-13</w:t>
    </w:r>
    <w:r w:rsidR="009815EC"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EC" w:rsidRPr="00AB4345" w:rsidRDefault="009815EC" w:rsidP="00AB4345">
      <w:r>
        <w:separator/>
      </w:r>
    </w:p>
  </w:footnote>
  <w:footnote w:type="continuationSeparator" w:id="0">
    <w:p w:rsidR="009815EC" w:rsidRPr="00AB4345" w:rsidRDefault="009815EC" w:rsidP="00AB4345">
      <w:r>
        <w:continuationSeparator/>
      </w:r>
    </w:p>
  </w:footnote>
  <w:footnote w:id="1">
    <w:p w:rsidR="009815EC" w:rsidRDefault="009815EC" w:rsidP="003E2D82">
      <w:pPr>
        <w:pStyle w:val="FootnoteText"/>
      </w:pPr>
      <w:r>
        <w:rPr>
          <w:rStyle w:val="FootnoteReference"/>
        </w:rPr>
        <w:footnoteRef/>
      </w:r>
      <w:r>
        <w:t xml:space="preserve"> </w:t>
      </w:r>
      <w:r>
        <w:tab/>
      </w:r>
      <w:proofErr w:type="gramStart"/>
      <w:r w:rsidRPr="003540A6">
        <w:t xml:space="preserve">NER, </w:t>
      </w:r>
      <w:r>
        <w:t>cl</w:t>
      </w:r>
      <w:r w:rsidRPr="003540A6">
        <w:t xml:space="preserve"> 6.12.1(6)</w:t>
      </w:r>
      <w:r>
        <w:t>.</w:t>
      </w:r>
      <w:proofErr w:type="gramEnd"/>
      <w:r>
        <w:t xml:space="preserve">  See also NER cl 11.56.4(f)</w:t>
      </w:r>
      <w:r w:rsidRPr="003540A6">
        <w:t>.</w:t>
      </w:r>
    </w:p>
  </w:footnote>
  <w:footnote w:id="2">
    <w:p w:rsidR="009815EC" w:rsidRDefault="009815EC" w:rsidP="0039763D">
      <w:pPr>
        <w:pStyle w:val="FootnoteText"/>
      </w:pPr>
      <w:r>
        <w:rPr>
          <w:rStyle w:val="FootnoteReference"/>
        </w:rPr>
        <w:footnoteRef/>
      </w:r>
      <w:r>
        <w:t xml:space="preserve"> </w:t>
      </w:r>
      <w:r>
        <w:tab/>
      </w:r>
      <w:proofErr w:type="gramStart"/>
      <w:r>
        <w:t>Ausgrid</w:t>
      </w:r>
      <w:r w:rsidRPr="00DC4EE3">
        <w:t xml:space="preserve">, </w:t>
      </w:r>
      <w:r w:rsidRPr="00DC4EE3">
        <w:rPr>
          <w:rStyle w:val="AERtextitalic"/>
        </w:rPr>
        <w:t>Regulatory proposal</w:t>
      </w:r>
      <w:r w:rsidRPr="00DC4EE3">
        <w:t>, May 2014, Attachment 4.0</w:t>
      </w:r>
      <w:r>
        <w:t>3 &amp; Attachment 4.04</w:t>
      </w:r>
      <w:r w:rsidRPr="00DC4EE3">
        <w:t>.</w:t>
      </w:r>
      <w:proofErr w:type="gramEnd"/>
    </w:p>
  </w:footnote>
  <w:footnote w:id="3">
    <w:p w:rsidR="009815EC" w:rsidRDefault="009815EC" w:rsidP="00832EE9">
      <w:pPr>
        <w:pStyle w:val="FootnoteText"/>
      </w:pPr>
      <w:r>
        <w:rPr>
          <w:rStyle w:val="FootnoteReference"/>
        </w:rPr>
        <w:footnoteRef/>
      </w:r>
      <w:r>
        <w:t xml:space="preserve"> </w:t>
      </w:r>
      <w:r>
        <w:tab/>
        <w:t>The end of period adjustment will be positive (negative) if actual capex is higher (lower) than the estimate approved at the 2009–14 determination.</w:t>
      </w:r>
    </w:p>
  </w:footnote>
  <w:footnote w:id="4">
    <w:p w:rsidR="009815EC" w:rsidRDefault="009815EC">
      <w:pPr>
        <w:pStyle w:val="FootnoteText"/>
      </w:pPr>
      <w:r>
        <w:rPr>
          <w:rStyle w:val="FootnoteReference"/>
        </w:rPr>
        <w:footnoteRef/>
      </w:r>
      <w:r>
        <w:t xml:space="preserve"> </w:t>
      </w:r>
      <w:r>
        <w:tab/>
        <w:t xml:space="preserve">The AER approved Ausgrid's revised CAM in May 2014. The reclassification of assets between Ausgrid's distribution and transmission network is compliant with clause 6.26(b) of NER, which requires the AER to divide the approved revenue of the DNSP into two portions based on the DNSPs approved CAM. </w:t>
      </w:r>
    </w:p>
  </w:footnote>
  <w:footnote w:id="5">
    <w:p w:rsidR="009815EC" w:rsidRDefault="009815EC">
      <w:pPr>
        <w:pStyle w:val="FootnoteText"/>
      </w:pPr>
      <w:r>
        <w:rPr>
          <w:rStyle w:val="FootnoteReference"/>
        </w:rPr>
        <w:footnoteRef/>
      </w:r>
      <w:r>
        <w:t xml:space="preserve"> </w:t>
      </w:r>
      <w:r>
        <w:tab/>
      </w:r>
      <w:proofErr w:type="gramStart"/>
      <w:r w:rsidRPr="003540A6">
        <w:t xml:space="preserve">NER, </w:t>
      </w:r>
      <w:r>
        <w:t>cl</w:t>
      </w:r>
      <w:r w:rsidRPr="003540A6">
        <w:t xml:space="preserve"> 6.12.1(</w:t>
      </w:r>
      <w:r>
        <w:t>8</w:t>
      </w:r>
      <w:r w:rsidRPr="003540A6">
        <w:t>).</w:t>
      </w:r>
      <w:proofErr w:type="gramEnd"/>
    </w:p>
  </w:footnote>
  <w:footnote w:id="6">
    <w:p w:rsidR="009815EC" w:rsidRDefault="009815EC" w:rsidP="00431A5F">
      <w:pPr>
        <w:pStyle w:val="FootnoteText"/>
      </w:pPr>
      <w:r>
        <w:rPr>
          <w:rStyle w:val="FootnoteReference"/>
        </w:rPr>
        <w:footnoteRef/>
      </w:r>
      <w:r>
        <w:t xml:space="preserve"> </w:t>
      </w:r>
      <w:r>
        <w:tab/>
      </w:r>
      <w:r w:rsidRPr="00B67E97">
        <w:t>From 1 July 2014 metering will be treated as an alternative control service and therefore metering assets are to be excluded from the standard control services RAB.</w:t>
      </w:r>
    </w:p>
  </w:footnote>
  <w:footnote w:id="7">
    <w:p w:rsidR="009815EC" w:rsidRDefault="009815EC" w:rsidP="00D242AD">
      <w:pPr>
        <w:pStyle w:val="FootnoteText"/>
      </w:pPr>
      <w:r>
        <w:rPr>
          <w:rStyle w:val="FootnoteReference"/>
        </w:rPr>
        <w:footnoteRef/>
      </w:r>
      <w:r>
        <w:t xml:space="preserve"> </w:t>
      </w:r>
      <w:r>
        <w:tab/>
      </w:r>
      <w:proofErr w:type="gramStart"/>
      <w:r>
        <w:t>Ausgrid</w:t>
      </w:r>
      <w:r w:rsidRPr="00830BA6">
        <w:t xml:space="preserve">, </w:t>
      </w:r>
      <w:r w:rsidRPr="00830BA6">
        <w:rPr>
          <w:rStyle w:val="AERtextitalic"/>
        </w:rPr>
        <w:t>Regulatory proposal</w:t>
      </w:r>
      <w:r w:rsidRPr="00830BA6">
        <w:t xml:space="preserve">, May 2014, p. </w:t>
      </w:r>
      <w:r>
        <w:t>19</w:t>
      </w:r>
      <w:r w:rsidRPr="00830BA6">
        <w:t>.</w:t>
      </w:r>
      <w:proofErr w:type="gramEnd"/>
      <w:r>
        <w:t xml:space="preserve"> </w:t>
      </w:r>
    </w:p>
  </w:footnote>
  <w:footnote w:id="8">
    <w:p w:rsidR="009815EC" w:rsidRDefault="009815EC" w:rsidP="0075167F">
      <w:pPr>
        <w:pStyle w:val="FootnoteText"/>
      </w:pPr>
      <w:r>
        <w:rPr>
          <w:rStyle w:val="FootnoteReference"/>
        </w:rPr>
        <w:footnoteRef/>
      </w:r>
      <w:r>
        <w:t xml:space="preserve"> </w:t>
      </w:r>
      <w:r>
        <w:tab/>
      </w:r>
      <w:proofErr w:type="gramStart"/>
      <w:r>
        <w:t>NER, cl</w:t>
      </w:r>
      <w:r w:rsidRPr="0075167F">
        <w:t xml:space="preserve"> S6.2.1.</w:t>
      </w:r>
      <w:proofErr w:type="gramEnd"/>
    </w:p>
  </w:footnote>
  <w:footnote w:id="9">
    <w:p w:rsidR="009815EC" w:rsidRDefault="009815EC">
      <w:pPr>
        <w:pStyle w:val="FootnoteText"/>
      </w:pPr>
      <w:r>
        <w:rPr>
          <w:rStyle w:val="FootnoteReference"/>
        </w:rPr>
        <w:footnoteRef/>
      </w:r>
      <w:r>
        <w:t xml:space="preserve"> </w:t>
      </w:r>
      <w:r>
        <w:tab/>
      </w:r>
      <w:proofErr w:type="gramStart"/>
      <w:r w:rsidRPr="0075167F">
        <w:t>NER, cl 6.5.1.</w:t>
      </w:r>
      <w:proofErr w:type="gramEnd"/>
    </w:p>
  </w:footnote>
  <w:footnote w:id="10">
    <w:p w:rsidR="009815EC" w:rsidRDefault="009815EC" w:rsidP="00D80BC1">
      <w:pPr>
        <w:pStyle w:val="FootnoteText"/>
      </w:pPr>
      <w:r>
        <w:rPr>
          <w:rStyle w:val="FootnoteReference"/>
        </w:rPr>
        <w:footnoteRef/>
      </w:r>
      <w:r>
        <w:t xml:space="preserve"> </w:t>
      </w:r>
      <w:r>
        <w:tab/>
        <w:t xml:space="preserve">NER, </w:t>
      </w:r>
      <w:proofErr w:type="spellStart"/>
      <w:r>
        <w:t>cls</w:t>
      </w:r>
      <w:proofErr w:type="spellEnd"/>
      <w:r>
        <w:t xml:space="preserve"> 11.56.4(c)(4)-(6) and (f)</w:t>
      </w:r>
    </w:p>
  </w:footnote>
  <w:footnote w:id="11">
    <w:p w:rsidR="009815EC" w:rsidRDefault="009815EC">
      <w:pPr>
        <w:pStyle w:val="FootnoteText"/>
      </w:pPr>
      <w:r>
        <w:rPr>
          <w:rStyle w:val="FootnoteReference"/>
        </w:rPr>
        <w:footnoteRef/>
      </w:r>
      <w:r>
        <w:t xml:space="preserve"> </w:t>
      </w:r>
      <w:r>
        <w:tab/>
      </w:r>
      <w:r w:rsidRPr="0075167F">
        <w:t>NER, cl 6.5.1(e</w:t>
      </w:r>
      <w:proofErr w:type="gramStart"/>
      <w:r w:rsidRPr="0075167F">
        <w:t>)(</w:t>
      </w:r>
      <w:proofErr w:type="gramEnd"/>
      <w:r w:rsidRPr="0075167F">
        <w:t>3).</w:t>
      </w:r>
    </w:p>
  </w:footnote>
  <w:footnote w:id="12">
    <w:p w:rsidR="009815EC" w:rsidRDefault="009815EC">
      <w:pPr>
        <w:pStyle w:val="FootnoteText"/>
      </w:pPr>
      <w:r>
        <w:rPr>
          <w:rStyle w:val="FootnoteReference"/>
        </w:rPr>
        <w:footnoteRef/>
      </w:r>
      <w:r>
        <w:t xml:space="preserve"> </w:t>
      </w:r>
      <w:r>
        <w:tab/>
      </w:r>
      <w:r w:rsidRPr="0075167F">
        <w:t xml:space="preserve">NER, cl </w:t>
      </w:r>
      <w:proofErr w:type="gramStart"/>
      <w:r w:rsidRPr="0075167F">
        <w:t>S6.2.1(</w:t>
      </w:r>
      <w:proofErr w:type="gramEnd"/>
      <w:r w:rsidRPr="0075167F">
        <w:t>e)(4).</w:t>
      </w:r>
    </w:p>
  </w:footnote>
  <w:footnote w:id="13">
    <w:p w:rsidR="009815EC" w:rsidRDefault="009815EC" w:rsidP="00423581">
      <w:pPr>
        <w:pStyle w:val="FootnoteText"/>
      </w:pPr>
      <w:r>
        <w:rPr>
          <w:rStyle w:val="FootnoteReference"/>
        </w:rPr>
        <w:footnoteRef/>
      </w:r>
      <w:r>
        <w:t xml:space="preserve"> </w:t>
      </w:r>
      <w:r>
        <w:tab/>
      </w:r>
      <w:proofErr w:type="gramStart"/>
      <w:r>
        <w:t>NER, cl S6.2.2A.</w:t>
      </w:r>
      <w:proofErr w:type="gramEnd"/>
    </w:p>
  </w:footnote>
  <w:footnote w:id="14">
    <w:p w:rsidR="009815EC" w:rsidRDefault="009815EC" w:rsidP="00423581">
      <w:pPr>
        <w:pStyle w:val="FootnoteText"/>
      </w:pPr>
      <w:r>
        <w:rPr>
          <w:rStyle w:val="FootnoteReference"/>
        </w:rPr>
        <w:footnoteRef/>
      </w:r>
      <w:r>
        <w:t xml:space="preserve"> </w:t>
      </w:r>
      <w:r>
        <w:tab/>
      </w:r>
      <w:proofErr w:type="gramStart"/>
      <w:r>
        <w:t xml:space="preserve">NER, </w:t>
      </w:r>
      <w:proofErr w:type="spellStart"/>
      <w:r>
        <w:t>cls</w:t>
      </w:r>
      <w:proofErr w:type="spellEnd"/>
      <w:r>
        <w:t xml:space="preserve"> 11.56.5 and 11.62.</w:t>
      </w:r>
      <w:proofErr w:type="gramEnd"/>
    </w:p>
  </w:footnote>
  <w:footnote w:id="15">
    <w:p w:rsidR="009815EC" w:rsidRDefault="009815EC" w:rsidP="00423581">
      <w:pPr>
        <w:pStyle w:val="FootnoteText"/>
      </w:pPr>
      <w:r>
        <w:rPr>
          <w:rStyle w:val="FootnoteReference"/>
        </w:rPr>
        <w:footnoteRef/>
      </w:r>
      <w:r>
        <w:t xml:space="preserve"> </w:t>
      </w:r>
      <w:r>
        <w:tab/>
      </w:r>
      <w:r w:rsidRPr="00850BFE">
        <w:t xml:space="preserve">NER, cl </w:t>
      </w:r>
      <w:proofErr w:type="gramStart"/>
      <w:r w:rsidRPr="00850BFE">
        <w:t>S6.2.1(</w:t>
      </w:r>
      <w:proofErr w:type="gramEnd"/>
      <w:r w:rsidRPr="00850BFE">
        <w:t>e)(5).</w:t>
      </w:r>
    </w:p>
  </w:footnote>
  <w:footnote w:id="16">
    <w:p w:rsidR="009815EC" w:rsidRDefault="009815EC">
      <w:pPr>
        <w:pStyle w:val="FootnoteText"/>
      </w:pPr>
      <w:r>
        <w:rPr>
          <w:rStyle w:val="FootnoteReference"/>
        </w:rPr>
        <w:footnoteRef/>
      </w:r>
      <w:r>
        <w:t xml:space="preserve"> </w:t>
      </w:r>
      <w:r>
        <w:tab/>
      </w:r>
      <w:proofErr w:type="gramStart"/>
      <w:r w:rsidRPr="003540A6">
        <w:t xml:space="preserve">NER, </w:t>
      </w:r>
      <w:r>
        <w:t>cl 6.12.1(8</w:t>
      </w:r>
      <w:r w:rsidRPr="003540A6">
        <w:t>).</w:t>
      </w:r>
      <w:proofErr w:type="gramEnd"/>
    </w:p>
  </w:footnote>
  <w:footnote w:id="17">
    <w:p w:rsidR="009815EC" w:rsidRDefault="009815EC">
      <w:pPr>
        <w:pStyle w:val="FootnoteText"/>
      </w:pPr>
      <w:r>
        <w:rPr>
          <w:rStyle w:val="FootnoteReference"/>
        </w:rPr>
        <w:footnoteRef/>
      </w:r>
      <w:r>
        <w:t xml:space="preserve"> </w:t>
      </w:r>
      <w:r>
        <w:tab/>
      </w:r>
      <w:r w:rsidRPr="006B735D">
        <w:t xml:space="preserve">The use of actual depreciation is consistent with the depreciation approach established in the 2009 </w:t>
      </w:r>
      <w:r>
        <w:t xml:space="preserve">distribution </w:t>
      </w:r>
      <w:r w:rsidRPr="006B735D">
        <w:t xml:space="preserve">determinations for </w:t>
      </w:r>
      <w:r>
        <w:t>NSW service providers</w:t>
      </w:r>
      <w:r w:rsidRPr="006B735D">
        <w:t>.</w:t>
      </w:r>
    </w:p>
  </w:footnote>
  <w:footnote w:id="18">
    <w:p w:rsidR="009815EC" w:rsidRDefault="009815EC">
      <w:pPr>
        <w:pStyle w:val="FootnoteText"/>
      </w:pPr>
      <w:r>
        <w:rPr>
          <w:rStyle w:val="FootnoteReference"/>
        </w:rPr>
        <w:footnoteRef/>
      </w:r>
      <w:r>
        <w:t xml:space="preserve"> </w:t>
      </w:r>
      <w:r>
        <w:tab/>
        <w:t>NER, cl</w:t>
      </w:r>
      <w:r w:rsidRPr="00850BFE">
        <w:t xml:space="preserve"> </w:t>
      </w:r>
      <w:proofErr w:type="gramStart"/>
      <w:r w:rsidRPr="00850BFE">
        <w:t>S6.2.1(</w:t>
      </w:r>
      <w:proofErr w:type="gramEnd"/>
      <w:r w:rsidRPr="00850BFE">
        <w:t>e)(6).</w:t>
      </w:r>
    </w:p>
  </w:footnote>
  <w:footnote w:id="19">
    <w:p w:rsidR="009815EC" w:rsidRDefault="009815EC" w:rsidP="00DA0B99">
      <w:pPr>
        <w:pStyle w:val="FootnoteText"/>
      </w:pPr>
      <w:r>
        <w:rPr>
          <w:rStyle w:val="FootnoteReference"/>
        </w:rPr>
        <w:footnoteRef/>
      </w:r>
      <w:r>
        <w:t xml:space="preserve"> </w:t>
      </w:r>
      <w:r>
        <w:tab/>
      </w:r>
      <w:proofErr w:type="gramStart"/>
      <w:r>
        <w:t>NER, cl S6.2.2B.</w:t>
      </w:r>
      <w:proofErr w:type="gramEnd"/>
    </w:p>
  </w:footnote>
  <w:footnote w:id="20">
    <w:p w:rsidR="009815EC" w:rsidRDefault="009815EC">
      <w:pPr>
        <w:pStyle w:val="FootnoteText"/>
      </w:pPr>
      <w:r>
        <w:rPr>
          <w:rStyle w:val="FootnoteReference"/>
        </w:rPr>
        <w:footnoteRef/>
      </w:r>
      <w:r>
        <w:t xml:space="preserve"> </w:t>
      </w:r>
      <w:r>
        <w:tab/>
      </w:r>
      <w:proofErr w:type="gramStart"/>
      <w:r>
        <w:t>NER, cl. S6.2.2B(c).</w:t>
      </w:r>
      <w:proofErr w:type="gramEnd"/>
    </w:p>
  </w:footnote>
  <w:footnote w:id="21">
    <w:p w:rsidR="009815EC" w:rsidRDefault="009815EC">
      <w:pPr>
        <w:pStyle w:val="FootnoteText"/>
      </w:pPr>
      <w:r>
        <w:rPr>
          <w:rStyle w:val="FootnoteReference"/>
        </w:rPr>
        <w:footnoteRef/>
      </w:r>
      <w:r>
        <w:t xml:space="preserve"> </w:t>
      </w:r>
      <w:r>
        <w:tab/>
        <w:t>The size of the RAB also impacts the benchmark debt raising cost allowance. However, this amount is usually relatively small and therefore not a significant determinant of revenues overall.</w:t>
      </w:r>
    </w:p>
  </w:footnote>
  <w:footnote w:id="22">
    <w:p w:rsidR="009815EC" w:rsidRDefault="009815EC">
      <w:pPr>
        <w:pStyle w:val="FootnoteText"/>
      </w:pPr>
      <w:r>
        <w:rPr>
          <w:rStyle w:val="FootnoteReference"/>
        </w:rPr>
        <w:footnoteRef/>
      </w:r>
      <w:r>
        <w:t xml:space="preserve"> </w:t>
      </w:r>
      <w:r>
        <w:tab/>
        <w:t>Net capex is gross capex less disposals and capital contributions. The rate of return or WACC also influences the size of the capex. This is because the capex is not depreciated in the year it is first incurred, but added to the RAB at the end of the year. Instead, the capex amount is escalated by half a WACC to arrive at an end of year value. It then begins depreciating the following year.</w:t>
      </w:r>
    </w:p>
  </w:footnote>
  <w:footnote w:id="23">
    <w:p w:rsidR="009815EC" w:rsidRDefault="009815EC" w:rsidP="00E651B8">
      <w:pPr>
        <w:pStyle w:val="FootnoteText"/>
      </w:pPr>
      <w:r>
        <w:rPr>
          <w:rStyle w:val="FootnoteReference"/>
        </w:rPr>
        <w:footnoteRef/>
      </w:r>
      <w:r>
        <w:t xml:space="preserve"> </w:t>
      </w:r>
      <w:r>
        <w:tab/>
      </w:r>
      <w:r w:rsidRPr="002C733C">
        <w:t>If capex causes the RAB increase, return on capital, depreciation, and debt raising costs all increase too. If a reduction in depreciation causes the RAB increase, revenue could increase or decrease. In this case, the higher return on capital is offset (perhaps more than offset) by the reduction in depreciation allowance. Inflation naturally increases the RAB in nominal terms. However, the real impact from changing the inflation forecast is inconsequential as revenues are updated annual by actual inflation and the X factor, which is generally unaffected by the assumed forecast inflation rate.</w:t>
      </w:r>
    </w:p>
  </w:footnote>
  <w:footnote w:id="24">
    <w:p w:rsidR="009815EC" w:rsidRDefault="009815EC">
      <w:pPr>
        <w:pStyle w:val="FootnoteText"/>
      </w:pPr>
      <w:r>
        <w:rPr>
          <w:rStyle w:val="FootnoteReference"/>
        </w:rPr>
        <w:footnoteRef/>
      </w:r>
      <w:r>
        <w:t xml:space="preserve"> </w:t>
      </w:r>
      <w:r>
        <w:tab/>
        <w:t xml:space="preserve">Our 2009 determination approved the allocation of work-in-progress amounts as at 30 June 2009 across existing assets classes applied to the following system asset classes: Sub-transmission lines and cables, Cable tunnel (dx), Distribution lines and cables, Substations, Transformers, Low voltage lines and cables, and Total communications. </w:t>
      </w:r>
    </w:p>
  </w:footnote>
  <w:footnote w:id="25">
    <w:p w:rsidR="009815EC" w:rsidRDefault="009815EC">
      <w:pPr>
        <w:pStyle w:val="FootnoteText"/>
      </w:pPr>
      <w:r>
        <w:rPr>
          <w:rStyle w:val="FootnoteReference"/>
        </w:rPr>
        <w:footnoteRef/>
      </w:r>
      <w:r>
        <w:t xml:space="preserve"> </w:t>
      </w:r>
      <w:r>
        <w:tab/>
        <w:t xml:space="preserve">Ausgrid was advised of this adjustment and did not object to it. Ausgrid, </w:t>
      </w:r>
      <w:r w:rsidRPr="00135BB9">
        <w:rPr>
          <w:rStyle w:val="AERtextitalic"/>
        </w:rPr>
        <w:t>Email response to AER information request AER AUSGRID 004 - RFM WIP allocation</w:t>
      </w:r>
      <w:r>
        <w:t>, 14 July 2014</w:t>
      </w:r>
    </w:p>
  </w:footnote>
  <w:footnote w:id="26">
    <w:p w:rsidR="009815EC" w:rsidRDefault="009815EC">
      <w:pPr>
        <w:pStyle w:val="FootnoteText"/>
      </w:pPr>
      <w:r>
        <w:rPr>
          <w:rStyle w:val="FootnoteReference"/>
        </w:rPr>
        <w:footnoteRef/>
      </w:r>
      <w:r>
        <w:t xml:space="preserve"> </w:t>
      </w:r>
      <w:r>
        <w:tab/>
        <w:t xml:space="preserve">NER, cl. </w:t>
      </w:r>
      <w:proofErr w:type="gramStart"/>
      <w:r>
        <w:t>S6.2.1(</w:t>
      </w:r>
      <w:proofErr w:type="gramEnd"/>
      <w:r>
        <w:t>e).</w:t>
      </w:r>
    </w:p>
  </w:footnote>
  <w:footnote w:id="27">
    <w:p w:rsidR="009815EC" w:rsidRDefault="009815EC">
      <w:pPr>
        <w:pStyle w:val="FootnoteText"/>
      </w:pPr>
      <w:r>
        <w:rPr>
          <w:rStyle w:val="FootnoteReference"/>
        </w:rPr>
        <w:footnoteRef/>
      </w:r>
      <w:r>
        <w:t xml:space="preserve"> </w:t>
      </w:r>
      <w:r>
        <w:tab/>
        <w:t xml:space="preserve">NER, cl. </w:t>
      </w:r>
      <w:proofErr w:type="gramStart"/>
      <w:r>
        <w:t>S6.2.1(</w:t>
      </w:r>
      <w:proofErr w:type="gramEnd"/>
      <w:r>
        <w:t>e)(5).</w:t>
      </w:r>
    </w:p>
  </w:footnote>
  <w:footnote w:id="28">
    <w:p w:rsidR="009815EC" w:rsidRDefault="009815EC">
      <w:pPr>
        <w:pStyle w:val="FootnoteText"/>
      </w:pPr>
      <w:r>
        <w:rPr>
          <w:rStyle w:val="FootnoteReference"/>
        </w:rPr>
        <w:footnoteRef/>
      </w:r>
      <w:r>
        <w:t xml:space="preserve"> </w:t>
      </w:r>
      <w:r>
        <w:tab/>
        <w:t xml:space="preserve">Ausgrid (EnergyAustralia) was previously regulated by IPART for the 2004–05 to 2008–09 regulatory control </w:t>
      </w:r>
      <w:proofErr w:type="gramStart"/>
      <w:r>
        <w:t>period</w:t>
      </w:r>
      <w:proofErr w:type="gramEnd"/>
      <w:r>
        <w:t xml:space="preserve">. </w:t>
      </w:r>
    </w:p>
  </w:footnote>
  <w:footnote w:id="29">
    <w:p w:rsidR="009815EC" w:rsidRDefault="009815EC" w:rsidP="00EB1E44">
      <w:pPr>
        <w:pStyle w:val="FootnoteText"/>
      </w:pPr>
      <w:r>
        <w:rPr>
          <w:rStyle w:val="FootnoteReference"/>
        </w:rPr>
        <w:footnoteRef/>
      </w:r>
      <w:r>
        <w:t xml:space="preserve"> </w:t>
      </w:r>
      <w:r>
        <w:tab/>
        <w:t>NER, cl. 6.2.1(e</w:t>
      </w:r>
      <w:proofErr w:type="gramStart"/>
      <w:r>
        <w:t>)(</w:t>
      </w:r>
      <w:proofErr w:type="gramEnd"/>
      <w:r>
        <w:t>3).</w:t>
      </w:r>
    </w:p>
  </w:footnote>
  <w:footnote w:id="30">
    <w:p w:rsidR="009815EC" w:rsidRDefault="009815EC">
      <w:pPr>
        <w:pStyle w:val="FootnoteText"/>
      </w:pPr>
      <w:r>
        <w:rPr>
          <w:rStyle w:val="FootnoteReference"/>
        </w:rPr>
        <w:footnoteRef/>
      </w:r>
      <w:r>
        <w:t xml:space="preserve"> </w:t>
      </w:r>
      <w:r>
        <w:tab/>
        <w:t xml:space="preserve">We have actual expenditure data reported in annual RINs submitted by Ausgrid up to the 2012–13 regulatory </w:t>
      </w:r>
      <w:proofErr w:type="gramStart"/>
      <w:r>
        <w:t>year</w:t>
      </w:r>
      <w:proofErr w:type="gramEnd"/>
      <w:r>
        <w:t xml:space="preserve">. At this stage, Ausgrid has provided estimates of actual expenditure for 2013–14 regulatory </w:t>
      </w:r>
      <w:proofErr w:type="gramStart"/>
      <w:r>
        <w:t>year</w:t>
      </w:r>
      <w:proofErr w:type="gramEnd"/>
      <w:r>
        <w:t xml:space="preserve">. The audited annual reporting RIN is to be received in late 2014. Therefore, we will update the actual capex for 2013–14 in the final decision.  </w:t>
      </w:r>
    </w:p>
  </w:footnote>
  <w:footnote w:id="31">
    <w:p w:rsidR="009815EC" w:rsidRDefault="009815EC">
      <w:pPr>
        <w:pStyle w:val="FootnoteText"/>
      </w:pPr>
      <w:r>
        <w:rPr>
          <w:rStyle w:val="FootnoteReference"/>
        </w:rPr>
        <w:footnoteRef/>
      </w:r>
      <w:r>
        <w:t xml:space="preserve"> </w:t>
      </w:r>
      <w:r>
        <w:tab/>
        <w:t xml:space="preserve">Ausgrid, </w:t>
      </w:r>
      <w:r w:rsidRPr="00135BB9">
        <w:rPr>
          <w:rStyle w:val="AERtextitalic"/>
        </w:rPr>
        <w:t>Email response to AER information request AER AUSGRID 0</w:t>
      </w:r>
      <w:r>
        <w:rPr>
          <w:rStyle w:val="AERtextitalic"/>
        </w:rPr>
        <w:t>24</w:t>
      </w:r>
      <w:r>
        <w:t>, 20 August 2014.</w:t>
      </w:r>
    </w:p>
  </w:footnote>
  <w:footnote w:id="32">
    <w:p w:rsidR="009815EC" w:rsidRDefault="009815EC">
      <w:pPr>
        <w:pStyle w:val="FootnoteText"/>
      </w:pPr>
      <w:r>
        <w:rPr>
          <w:rStyle w:val="FootnoteReference"/>
        </w:rPr>
        <w:footnoteRef/>
      </w:r>
      <w:r>
        <w:t xml:space="preserve"> </w:t>
      </w:r>
      <w:r>
        <w:tab/>
        <w:t xml:space="preserve">NER, </w:t>
      </w:r>
      <w:proofErr w:type="gramStart"/>
      <w:r>
        <w:t>cl.6.5.5(</w:t>
      </w:r>
      <w:proofErr w:type="gramEnd"/>
      <w:r>
        <w:t>b)(2).</w:t>
      </w:r>
    </w:p>
  </w:footnote>
  <w:footnote w:id="33">
    <w:p w:rsidR="009815EC" w:rsidRDefault="009815EC">
      <w:pPr>
        <w:pStyle w:val="FootnoteText"/>
      </w:pPr>
      <w:r>
        <w:rPr>
          <w:rStyle w:val="FootnoteReference"/>
        </w:rPr>
        <w:footnoteRef/>
      </w:r>
      <w:r>
        <w:t xml:space="preserve"> </w:t>
      </w:r>
      <w:r>
        <w:tab/>
        <w:t xml:space="preserve">Ausgrid, </w:t>
      </w:r>
      <w:r w:rsidRPr="00135BB9">
        <w:rPr>
          <w:rStyle w:val="AERtextitalic"/>
        </w:rPr>
        <w:t>Email response to AER information request AER AUSGRID 0</w:t>
      </w:r>
      <w:r>
        <w:rPr>
          <w:rStyle w:val="AERtextitalic"/>
        </w:rPr>
        <w:t>18</w:t>
      </w:r>
      <w:r>
        <w:t>, 6 August 2014.</w:t>
      </w:r>
    </w:p>
  </w:footnote>
  <w:footnote w:id="34">
    <w:p w:rsidR="009815EC" w:rsidRDefault="009815EC">
      <w:pPr>
        <w:pStyle w:val="FootnoteText"/>
      </w:pPr>
      <w:r>
        <w:rPr>
          <w:rStyle w:val="FootnoteReference"/>
        </w:rPr>
        <w:footnoteRef/>
      </w:r>
      <w:r>
        <w:t xml:space="preserve"> </w:t>
      </w:r>
      <w:r>
        <w:tab/>
      </w:r>
      <w:r w:rsidRPr="00037EC7">
        <w:t xml:space="preserve">Ausgrid, </w:t>
      </w:r>
      <w:r w:rsidRPr="00037EC7">
        <w:rPr>
          <w:rStyle w:val="AERtextitalic"/>
        </w:rPr>
        <w:t>Email response to AER information request AER AUSGRID 024</w:t>
      </w:r>
      <w:r w:rsidRPr="00037EC7">
        <w:t>, 2</w:t>
      </w:r>
      <w:r>
        <w:t>9</w:t>
      </w:r>
      <w:r w:rsidRPr="00037EC7">
        <w:t xml:space="preserve"> August 2014.</w:t>
      </w:r>
    </w:p>
  </w:footnote>
  <w:footnote w:id="35">
    <w:p w:rsidR="009815EC" w:rsidRDefault="009815EC">
      <w:pPr>
        <w:pStyle w:val="FootnoteText"/>
      </w:pPr>
      <w:r>
        <w:rPr>
          <w:rStyle w:val="FootnoteReference"/>
        </w:rPr>
        <w:footnoteRef/>
      </w:r>
      <w:r>
        <w:t xml:space="preserve"> </w:t>
      </w:r>
      <w:r>
        <w:tab/>
        <w:t xml:space="preserve">Ausgrid, </w:t>
      </w:r>
      <w:r w:rsidRPr="00C476C3">
        <w:rPr>
          <w:rStyle w:val="AERtextitalic"/>
        </w:rPr>
        <w:t>Email response to AER AUSGRID 024</w:t>
      </w:r>
      <w:r>
        <w:t>, received 29 August 2014.</w:t>
      </w:r>
    </w:p>
  </w:footnote>
  <w:footnote w:id="36">
    <w:p w:rsidR="009815EC" w:rsidRDefault="009815EC">
      <w:pPr>
        <w:pStyle w:val="FootnoteText"/>
      </w:pPr>
      <w:r>
        <w:rPr>
          <w:rStyle w:val="FootnoteReference"/>
        </w:rPr>
        <w:footnoteRef/>
      </w:r>
      <w:r>
        <w:t xml:space="preserve"> </w:t>
      </w:r>
      <w:r>
        <w:tab/>
      </w:r>
      <w:r w:rsidRPr="007C602A">
        <w:t xml:space="preserve">Ausgrid, </w:t>
      </w:r>
      <w:r w:rsidRPr="007C602A">
        <w:rPr>
          <w:rStyle w:val="AERtextitalic"/>
        </w:rPr>
        <w:t>Email response to AER AUSGRID 024</w:t>
      </w:r>
      <w:r w:rsidRPr="007C602A">
        <w:t xml:space="preserve">, received on </w:t>
      </w:r>
      <w:r>
        <w:t>6</w:t>
      </w:r>
      <w:r w:rsidRPr="007C602A">
        <w:t xml:space="preserve"> August 2014.</w:t>
      </w:r>
    </w:p>
  </w:footnote>
  <w:footnote w:id="37">
    <w:p w:rsidR="009815EC" w:rsidRDefault="009815EC">
      <w:pPr>
        <w:pStyle w:val="FootnoteText"/>
      </w:pPr>
      <w:r>
        <w:rPr>
          <w:rStyle w:val="FootnoteReference"/>
        </w:rPr>
        <w:footnoteRef/>
      </w:r>
      <w:r>
        <w:t xml:space="preserve"> </w:t>
      </w:r>
      <w:r>
        <w:tab/>
      </w:r>
      <w:r w:rsidRPr="007C602A">
        <w:t xml:space="preserve">Ausgrid, </w:t>
      </w:r>
      <w:r w:rsidRPr="007C602A">
        <w:rPr>
          <w:rStyle w:val="AERtextitalic"/>
        </w:rPr>
        <w:t>Email response to AER AUSGRID 0</w:t>
      </w:r>
      <w:r>
        <w:rPr>
          <w:rStyle w:val="AERtextitalic"/>
        </w:rPr>
        <w:t>18</w:t>
      </w:r>
      <w:r w:rsidRPr="007C602A">
        <w:t>, received on 29 August 2014.</w:t>
      </w:r>
    </w:p>
  </w:footnote>
  <w:footnote w:id="38">
    <w:p w:rsidR="009815EC" w:rsidRDefault="009815EC">
      <w:pPr>
        <w:pStyle w:val="FootnoteText"/>
      </w:pPr>
      <w:r>
        <w:rPr>
          <w:rStyle w:val="FootnoteReference"/>
        </w:rPr>
        <w:footnoteRef/>
      </w:r>
      <w:r>
        <w:t xml:space="preserve"> </w:t>
      </w:r>
      <w:r>
        <w:tab/>
      </w:r>
      <w:r w:rsidRPr="0073632F">
        <w:t xml:space="preserve">Ausgrid, </w:t>
      </w:r>
      <w:r w:rsidRPr="0073632F">
        <w:rPr>
          <w:rStyle w:val="AERtextitalic"/>
        </w:rPr>
        <w:t>Email response to AER AUSGRID 024</w:t>
      </w:r>
      <w:r w:rsidRPr="0073632F">
        <w:t>, received on 2</w:t>
      </w:r>
      <w:r>
        <w:t>9</w:t>
      </w:r>
      <w:r w:rsidRPr="0073632F">
        <w:t xml:space="preserve"> August 2014.</w:t>
      </w:r>
    </w:p>
  </w:footnote>
  <w:footnote w:id="39">
    <w:p w:rsidR="009815EC" w:rsidRDefault="009815EC">
      <w:pPr>
        <w:pStyle w:val="FootnoteText"/>
      </w:pPr>
      <w:r>
        <w:rPr>
          <w:rStyle w:val="FootnoteReference"/>
        </w:rPr>
        <w:footnoteRef/>
      </w:r>
      <w:r>
        <w:t xml:space="preserve"> </w:t>
      </w:r>
      <w:r>
        <w:tab/>
      </w:r>
      <w:r w:rsidRPr="005D0F5C">
        <w:t xml:space="preserve">Ausgrid, </w:t>
      </w:r>
      <w:r w:rsidRPr="006768EA">
        <w:rPr>
          <w:rStyle w:val="AERtextitalic"/>
        </w:rPr>
        <w:t>Email response to AER AUSGRID 024</w:t>
      </w:r>
      <w:r w:rsidRPr="005D0F5C">
        <w:t>, received on 2</w:t>
      </w:r>
      <w:r>
        <w:t>9</w:t>
      </w:r>
      <w:r w:rsidRPr="005D0F5C">
        <w:t xml:space="preserve"> August 2014.</w:t>
      </w:r>
    </w:p>
  </w:footnote>
  <w:footnote w:id="40">
    <w:p w:rsidR="009815EC" w:rsidRDefault="009815EC">
      <w:pPr>
        <w:pStyle w:val="FootnoteText"/>
      </w:pPr>
      <w:r>
        <w:rPr>
          <w:rStyle w:val="FootnoteReference"/>
        </w:rPr>
        <w:footnoteRef/>
      </w:r>
      <w:r>
        <w:t xml:space="preserve"> </w:t>
      </w:r>
      <w:r>
        <w:tab/>
      </w:r>
      <w:proofErr w:type="gramStart"/>
      <w:r w:rsidRPr="005D0F5C">
        <w:t xml:space="preserve">AER, </w:t>
      </w:r>
      <w:r w:rsidRPr="005D0F5C">
        <w:rPr>
          <w:rStyle w:val="AERtextitalic"/>
        </w:rPr>
        <w:t>Application by EnergyAustralia to re-open its 2004/05 – 2008/09 revenue cap - Decision</w:t>
      </w:r>
      <w:r w:rsidRPr="005D0F5C">
        <w:t>, 21 December 2007, pp.</w:t>
      </w:r>
      <w:r>
        <w:t xml:space="preserve"> </w:t>
      </w:r>
      <w:r w:rsidRPr="005D0F5C">
        <w:t>6–7.</w:t>
      </w:r>
      <w:proofErr w:type="gramEnd"/>
    </w:p>
  </w:footnote>
  <w:footnote w:id="41">
    <w:p w:rsidR="009815EC" w:rsidRDefault="009815EC" w:rsidP="00F2090C">
      <w:pPr>
        <w:pStyle w:val="FootnoteText"/>
      </w:pPr>
      <w:r>
        <w:rPr>
          <w:rStyle w:val="FootnoteReference"/>
        </w:rPr>
        <w:footnoteRef/>
      </w:r>
      <w:r>
        <w:t xml:space="preserve">  </w:t>
      </w:r>
      <w:r>
        <w:tab/>
        <w:t xml:space="preserve">The inflation measure applied is the CPI weighted average of Australia's eight capital cities specified in the form of control used to adjust prices. The form of control formula for Ausgrid's transmission network applies a March to March quarter measure of CPI, whereas Ausgrid's distribution network applies average CPI based on the sum of four quarters from December to December. </w:t>
      </w:r>
    </w:p>
  </w:footnote>
  <w:footnote w:id="42">
    <w:p w:rsidR="009815EC" w:rsidRDefault="009815EC">
      <w:pPr>
        <w:pStyle w:val="FootnoteText"/>
      </w:pPr>
      <w:r>
        <w:rPr>
          <w:rStyle w:val="FootnoteReference"/>
        </w:rPr>
        <w:footnoteRef/>
      </w:r>
      <w:r>
        <w:t xml:space="preserve"> </w:t>
      </w:r>
      <w:r>
        <w:tab/>
      </w:r>
      <w:r w:rsidRPr="00DA1389">
        <w:t>AER,</w:t>
      </w:r>
      <w:r w:rsidRPr="00DA1389">
        <w:rPr>
          <w:rStyle w:val="AERtextitalic"/>
        </w:rPr>
        <w:t xml:space="preserve"> Stage 2 framework and approach paper, January 2014</w:t>
      </w:r>
      <w:r w:rsidRPr="00DA1389">
        <w:t>, p. 37.</w:t>
      </w:r>
    </w:p>
  </w:footnote>
  <w:footnote w:id="43">
    <w:p w:rsidR="009815EC" w:rsidRDefault="009815EC">
      <w:pPr>
        <w:pStyle w:val="FootnoteText"/>
      </w:pPr>
      <w:r>
        <w:rPr>
          <w:rStyle w:val="FootnoteReference"/>
        </w:rPr>
        <w:footnoteRef/>
      </w:r>
      <w:r>
        <w:t xml:space="preserve"> </w:t>
      </w:r>
      <w:r>
        <w:tab/>
      </w:r>
      <w:r w:rsidRPr="00DA1389">
        <w:t xml:space="preserve">The transitional regulatory control period for </w:t>
      </w:r>
      <w:r>
        <w:t>Ausgrid</w:t>
      </w:r>
      <w:r w:rsidRPr="00DA1389">
        <w:t xml:space="preserve"> is 2014–15. </w:t>
      </w:r>
      <w:r>
        <w:t>Ausgrid</w:t>
      </w:r>
      <w:r w:rsidRPr="00DA1389">
        <w:t>'s subsequent regulatory control period is from 2015–16 to 2017–19.</w:t>
      </w:r>
    </w:p>
  </w:footnote>
  <w:footnote w:id="44">
    <w:p w:rsidR="009815EC" w:rsidRDefault="009815EC">
      <w:pPr>
        <w:pStyle w:val="FootnoteText"/>
      </w:pPr>
      <w:r>
        <w:rPr>
          <w:rStyle w:val="FootnoteReference"/>
        </w:rPr>
        <w:footnoteRef/>
      </w:r>
      <w:r>
        <w:t xml:space="preserve"> </w:t>
      </w:r>
      <w:r>
        <w:tab/>
      </w:r>
      <w:proofErr w:type="gramStart"/>
      <w:r w:rsidRPr="00DA1389">
        <w:t>AER,</w:t>
      </w:r>
      <w:r>
        <w:t xml:space="preserve"> </w:t>
      </w:r>
      <w:r w:rsidRPr="00DA1389">
        <w:rPr>
          <w:rStyle w:val="AERtextitalic"/>
        </w:rPr>
        <w:t>Capital expenditure incentive guideline for electricity network service providers</w:t>
      </w:r>
      <w:r w:rsidRPr="00DA1389">
        <w:t>, November 2013, p.</w:t>
      </w:r>
      <w:r>
        <w:t>1</w:t>
      </w:r>
      <w:r w:rsidRPr="00DA1389">
        <w:t>2.</w:t>
      </w:r>
      <w:proofErr w:type="gramEnd"/>
    </w:p>
  </w:footnote>
  <w:footnote w:id="45">
    <w:p w:rsidR="009815EC" w:rsidRDefault="009815EC">
      <w:pPr>
        <w:pStyle w:val="FootnoteText"/>
      </w:pPr>
      <w:r>
        <w:rPr>
          <w:rStyle w:val="FootnoteReference"/>
        </w:rPr>
        <w:footnoteRef/>
      </w:r>
      <w:r>
        <w:t xml:space="preserve"> </w:t>
      </w:r>
      <w:r>
        <w:tab/>
      </w:r>
      <w:r w:rsidRPr="00DA1389">
        <w:t>NER, cl 11.56.3(a</w:t>
      </w:r>
      <w:proofErr w:type="gramStart"/>
      <w:r w:rsidRPr="00DA1389">
        <w:t>)(</w:t>
      </w:r>
      <w:proofErr w:type="gramEnd"/>
      <w:r w:rsidRPr="00DA1389">
        <w:t>3).</w:t>
      </w:r>
    </w:p>
  </w:footnote>
  <w:footnote w:id="46">
    <w:p w:rsidR="009815EC" w:rsidRDefault="009815EC" w:rsidP="00C93632">
      <w:pPr>
        <w:pStyle w:val="FootnoteText"/>
      </w:pPr>
      <w:r>
        <w:rPr>
          <w:rStyle w:val="FootnoteReference"/>
        </w:rPr>
        <w:footnoteRef/>
      </w:r>
      <w:r>
        <w:t xml:space="preserve"> </w:t>
      </w:r>
      <w:r>
        <w:tab/>
        <w:t xml:space="preserve">Our ex post capex measures are set out in the capex incentives guideline, AER, </w:t>
      </w:r>
      <w:r w:rsidRPr="00CA0D0A">
        <w:rPr>
          <w:rStyle w:val="AERtextitalic"/>
        </w:rPr>
        <w:t>Capital expenditure incentive guideline for electricity network service providers</w:t>
      </w:r>
      <w:r>
        <w:t xml:space="preserve">, November 2013, pp. 13–19, 20–21. The guideline also sets out how all our capex incentive measures </w:t>
      </w:r>
      <w:r w:rsidRPr="008269B2">
        <w:t>are consistent with the capex incentive objective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2"/>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SCBRFS001\home$\sminh\nsw_ act electricity dnsps res (AER2014-000423).docx"/>
  </w:docVars>
  <w:rsids>
    <w:rsidRoot w:val="000C052F"/>
    <w:rsid w:val="00011129"/>
    <w:rsid w:val="000154C5"/>
    <w:rsid w:val="00015580"/>
    <w:rsid w:val="00015ED0"/>
    <w:rsid w:val="00022606"/>
    <w:rsid w:val="00033158"/>
    <w:rsid w:val="00037EC7"/>
    <w:rsid w:val="00040599"/>
    <w:rsid w:val="00040749"/>
    <w:rsid w:val="0004390E"/>
    <w:rsid w:val="00043CD2"/>
    <w:rsid w:val="00044233"/>
    <w:rsid w:val="00052915"/>
    <w:rsid w:val="00054F94"/>
    <w:rsid w:val="0005673F"/>
    <w:rsid w:val="00072E6A"/>
    <w:rsid w:val="000734CE"/>
    <w:rsid w:val="00073609"/>
    <w:rsid w:val="0008629D"/>
    <w:rsid w:val="0008665C"/>
    <w:rsid w:val="00091FCA"/>
    <w:rsid w:val="000A1CC2"/>
    <w:rsid w:val="000A5342"/>
    <w:rsid w:val="000B15CA"/>
    <w:rsid w:val="000B6680"/>
    <w:rsid w:val="000C052F"/>
    <w:rsid w:val="000C3430"/>
    <w:rsid w:val="000D03C2"/>
    <w:rsid w:val="000D04B1"/>
    <w:rsid w:val="000D2C14"/>
    <w:rsid w:val="000D401F"/>
    <w:rsid w:val="000D66FE"/>
    <w:rsid w:val="000D76C0"/>
    <w:rsid w:val="000D7D34"/>
    <w:rsid w:val="000E1A25"/>
    <w:rsid w:val="000E23C0"/>
    <w:rsid w:val="000E6418"/>
    <w:rsid w:val="000F3A6A"/>
    <w:rsid w:val="000F4EFE"/>
    <w:rsid w:val="000F4F06"/>
    <w:rsid w:val="00100583"/>
    <w:rsid w:val="001033B3"/>
    <w:rsid w:val="00103C51"/>
    <w:rsid w:val="001046E4"/>
    <w:rsid w:val="00105636"/>
    <w:rsid w:val="0011410F"/>
    <w:rsid w:val="00115D57"/>
    <w:rsid w:val="00126DC3"/>
    <w:rsid w:val="0013022D"/>
    <w:rsid w:val="001307A7"/>
    <w:rsid w:val="00131287"/>
    <w:rsid w:val="001333D9"/>
    <w:rsid w:val="00135BB9"/>
    <w:rsid w:val="0013695A"/>
    <w:rsid w:val="00142AA4"/>
    <w:rsid w:val="00152B15"/>
    <w:rsid w:val="001536EC"/>
    <w:rsid w:val="001543D2"/>
    <w:rsid w:val="00154466"/>
    <w:rsid w:val="001569BC"/>
    <w:rsid w:val="0016173D"/>
    <w:rsid w:val="001626F5"/>
    <w:rsid w:val="0016513A"/>
    <w:rsid w:val="001708CC"/>
    <w:rsid w:val="001732A0"/>
    <w:rsid w:val="00174026"/>
    <w:rsid w:val="00184CEF"/>
    <w:rsid w:val="001855E4"/>
    <w:rsid w:val="001856EE"/>
    <w:rsid w:val="0018730B"/>
    <w:rsid w:val="00191742"/>
    <w:rsid w:val="00191E55"/>
    <w:rsid w:val="00194C3C"/>
    <w:rsid w:val="00194F95"/>
    <w:rsid w:val="001977D5"/>
    <w:rsid w:val="001A2661"/>
    <w:rsid w:val="001B6619"/>
    <w:rsid w:val="001C0AAC"/>
    <w:rsid w:val="001C12E5"/>
    <w:rsid w:val="001C306C"/>
    <w:rsid w:val="001D22F3"/>
    <w:rsid w:val="001E02B1"/>
    <w:rsid w:val="001E2350"/>
    <w:rsid w:val="001E7F3A"/>
    <w:rsid w:val="001F0313"/>
    <w:rsid w:val="001F20B7"/>
    <w:rsid w:val="002023C1"/>
    <w:rsid w:val="002044B6"/>
    <w:rsid w:val="00206C0B"/>
    <w:rsid w:val="0020711E"/>
    <w:rsid w:val="00210880"/>
    <w:rsid w:val="00214D8A"/>
    <w:rsid w:val="00221C1E"/>
    <w:rsid w:val="0022204D"/>
    <w:rsid w:val="00222180"/>
    <w:rsid w:val="00224377"/>
    <w:rsid w:val="002257B9"/>
    <w:rsid w:val="00227541"/>
    <w:rsid w:val="00230049"/>
    <w:rsid w:val="0023137D"/>
    <w:rsid w:val="00231BBC"/>
    <w:rsid w:val="00236972"/>
    <w:rsid w:val="002379DF"/>
    <w:rsid w:val="0024024D"/>
    <w:rsid w:val="0024225C"/>
    <w:rsid w:val="00242766"/>
    <w:rsid w:val="002471E6"/>
    <w:rsid w:val="002534D7"/>
    <w:rsid w:val="002573BD"/>
    <w:rsid w:val="00264422"/>
    <w:rsid w:val="00265B96"/>
    <w:rsid w:val="00266710"/>
    <w:rsid w:val="00273EDE"/>
    <w:rsid w:val="002805B8"/>
    <w:rsid w:val="0028138C"/>
    <w:rsid w:val="00284F1D"/>
    <w:rsid w:val="00287237"/>
    <w:rsid w:val="002879BA"/>
    <w:rsid w:val="00290197"/>
    <w:rsid w:val="00291335"/>
    <w:rsid w:val="0029139A"/>
    <w:rsid w:val="002938CE"/>
    <w:rsid w:val="00294FEA"/>
    <w:rsid w:val="00295142"/>
    <w:rsid w:val="002A7C4A"/>
    <w:rsid w:val="002A7D6D"/>
    <w:rsid w:val="002B0C17"/>
    <w:rsid w:val="002B29FA"/>
    <w:rsid w:val="002B4AF4"/>
    <w:rsid w:val="002B4DA4"/>
    <w:rsid w:val="002B6640"/>
    <w:rsid w:val="002B6F60"/>
    <w:rsid w:val="002D1FAF"/>
    <w:rsid w:val="002D4E99"/>
    <w:rsid w:val="002D61AC"/>
    <w:rsid w:val="002E4720"/>
    <w:rsid w:val="002F3F10"/>
    <w:rsid w:val="003009D3"/>
    <w:rsid w:val="00303452"/>
    <w:rsid w:val="00304791"/>
    <w:rsid w:val="00314144"/>
    <w:rsid w:val="0031436B"/>
    <w:rsid w:val="00321739"/>
    <w:rsid w:val="00322B83"/>
    <w:rsid w:val="003309C8"/>
    <w:rsid w:val="003324F7"/>
    <w:rsid w:val="00334F88"/>
    <w:rsid w:val="003372A5"/>
    <w:rsid w:val="00341E4F"/>
    <w:rsid w:val="00360CE9"/>
    <w:rsid w:val="003707DB"/>
    <w:rsid w:val="00372126"/>
    <w:rsid w:val="003750C0"/>
    <w:rsid w:val="00375AEC"/>
    <w:rsid w:val="00376236"/>
    <w:rsid w:val="0037652C"/>
    <w:rsid w:val="003800E4"/>
    <w:rsid w:val="00380F49"/>
    <w:rsid w:val="00380FF5"/>
    <w:rsid w:val="00382264"/>
    <w:rsid w:val="00385669"/>
    <w:rsid w:val="003948FF"/>
    <w:rsid w:val="00395F47"/>
    <w:rsid w:val="0039763D"/>
    <w:rsid w:val="003A2F38"/>
    <w:rsid w:val="003A6174"/>
    <w:rsid w:val="003D104E"/>
    <w:rsid w:val="003E2D82"/>
    <w:rsid w:val="003E3DFC"/>
    <w:rsid w:val="003F0BBA"/>
    <w:rsid w:val="003F1F29"/>
    <w:rsid w:val="003F264C"/>
    <w:rsid w:val="003F4A12"/>
    <w:rsid w:val="004030AB"/>
    <w:rsid w:val="00404BCB"/>
    <w:rsid w:val="00411433"/>
    <w:rsid w:val="00411672"/>
    <w:rsid w:val="00412282"/>
    <w:rsid w:val="004132A9"/>
    <w:rsid w:val="0042248C"/>
    <w:rsid w:val="00423581"/>
    <w:rsid w:val="00423AD4"/>
    <w:rsid w:val="004256BA"/>
    <w:rsid w:val="00431999"/>
    <w:rsid w:val="00431A5F"/>
    <w:rsid w:val="004332BE"/>
    <w:rsid w:val="00433475"/>
    <w:rsid w:val="00435682"/>
    <w:rsid w:val="00436C61"/>
    <w:rsid w:val="004374BD"/>
    <w:rsid w:val="0044052B"/>
    <w:rsid w:val="00442DEB"/>
    <w:rsid w:val="00443636"/>
    <w:rsid w:val="0044698A"/>
    <w:rsid w:val="00451C57"/>
    <w:rsid w:val="00456081"/>
    <w:rsid w:val="004568BF"/>
    <w:rsid w:val="00463C80"/>
    <w:rsid w:val="00464F5D"/>
    <w:rsid w:val="00465C58"/>
    <w:rsid w:val="00466FC8"/>
    <w:rsid w:val="0047404D"/>
    <w:rsid w:val="00474FBD"/>
    <w:rsid w:val="004875F7"/>
    <w:rsid w:val="00491544"/>
    <w:rsid w:val="00491D7D"/>
    <w:rsid w:val="00495337"/>
    <w:rsid w:val="004964DB"/>
    <w:rsid w:val="004A59F5"/>
    <w:rsid w:val="004B2810"/>
    <w:rsid w:val="004B2F26"/>
    <w:rsid w:val="004C115A"/>
    <w:rsid w:val="004C3502"/>
    <w:rsid w:val="004C3F45"/>
    <w:rsid w:val="004D180F"/>
    <w:rsid w:val="004E3D3F"/>
    <w:rsid w:val="004E40EF"/>
    <w:rsid w:val="004E6985"/>
    <w:rsid w:val="004E73F7"/>
    <w:rsid w:val="004F39E4"/>
    <w:rsid w:val="004F4C0B"/>
    <w:rsid w:val="004F76A0"/>
    <w:rsid w:val="005004B5"/>
    <w:rsid w:val="00500D71"/>
    <w:rsid w:val="00500E7F"/>
    <w:rsid w:val="00516F7A"/>
    <w:rsid w:val="0052179D"/>
    <w:rsid w:val="00525604"/>
    <w:rsid w:val="00527FE8"/>
    <w:rsid w:val="0054178A"/>
    <w:rsid w:val="00541A86"/>
    <w:rsid w:val="005456A9"/>
    <w:rsid w:val="00546CAD"/>
    <w:rsid w:val="00555D52"/>
    <w:rsid w:val="005566D7"/>
    <w:rsid w:val="00561F7F"/>
    <w:rsid w:val="00564868"/>
    <w:rsid w:val="0056522A"/>
    <w:rsid w:val="00565550"/>
    <w:rsid w:val="005656B6"/>
    <w:rsid w:val="00566B35"/>
    <w:rsid w:val="005732CC"/>
    <w:rsid w:val="00573FFE"/>
    <w:rsid w:val="00575422"/>
    <w:rsid w:val="00577AEC"/>
    <w:rsid w:val="005837BD"/>
    <w:rsid w:val="00591424"/>
    <w:rsid w:val="005938C6"/>
    <w:rsid w:val="005951F7"/>
    <w:rsid w:val="005A0431"/>
    <w:rsid w:val="005A787A"/>
    <w:rsid w:val="005B3752"/>
    <w:rsid w:val="005B61C2"/>
    <w:rsid w:val="005B77C4"/>
    <w:rsid w:val="005C0024"/>
    <w:rsid w:val="005C0617"/>
    <w:rsid w:val="005C3160"/>
    <w:rsid w:val="005C340A"/>
    <w:rsid w:val="005C5E57"/>
    <w:rsid w:val="005C6CB9"/>
    <w:rsid w:val="005D0F5C"/>
    <w:rsid w:val="005D26B7"/>
    <w:rsid w:val="005D4871"/>
    <w:rsid w:val="005D4AA1"/>
    <w:rsid w:val="005D6AB3"/>
    <w:rsid w:val="005E3E0C"/>
    <w:rsid w:val="005E63D9"/>
    <w:rsid w:val="005F0C76"/>
    <w:rsid w:val="005F3B98"/>
    <w:rsid w:val="0060146C"/>
    <w:rsid w:val="0060207D"/>
    <w:rsid w:val="006039F2"/>
    <w:rsid w:val="00605B00"/>
    <w:rsid w:val="006061B0"/>
    <w:rsid w:val="0060732E"/>
    <w:rsid w:val="006076A9"/>
    <w:rsid w:val="00613D7D"/>
    <w:rsid w:val="00627782"/>
    <w:rsid w:val="006279F1"/>
    <w:rsid w:val="006311E5"/>
    <w:rsid w:val="006340BC"/>
    <w:rsid w:val="006341BE"/>
    <w:rsid w:val="00636AA7"/>
    <w:rsid w:val="0065125A"/>
    <w:rsid w:val="0065338D"/>
    <w:rsid w:val="006544EA"/>
    <w:rsid w:val="0066182D"/>
    <w:rsid w:val="0066416D"/>
    <w:rsid w:val="0066569F"/>
    <w:rsid w:val="0067382C"/>
    <w:rsid w:val="006768EA"/>
    <w:rsid w:val="006810E6"/>
    <w:rsid w:val="0069004B"/>
    <w:rsid w:val="00692EAC"/>
    <w:rsid w:val="00694238"/>
    <w:rsid w:val="006B08EB"/>
    <w:rsid w:val="006B259C"/>
    <w:rsid w:val="006B345E"/>
    <w:rsid w:val="006B481F"/>
    <w:rsid w:val="006B735D"/>
    <w:rsid w:val="006C6C67"/>
    <w:rsid w:val="006D0BC4"/>
    <w:rsid w:val="006E1160"/>
    <w:rsid w:val="006E20F5"/>
    <w:rsid w:val="006E263A"/>
    <w:rsid w:val="006E48C2"/>
    <w:rsid w:val="006F0095"/>
    <w:rsid w:val="006F295B"/>
    <w:rsid w:val="006F3204"/>
    <w:rsid w:val="006F570A"/>
    <w:rsid w:val="006F6035"/>
    <w:rsid w:val="006F638E"/>
    <w:rsid w:val="00701E79"/>
    <w:rsid w:val="00703C06"/>
    <w:rsid w:val="00703E42"/>
    <w:rsid w:val="00706B77"/>
    <w:rsid w:val="0071040D"/>
    <w:rsid w:val="007211B9"/>
    <w:rsid w:val="0073632F"/>
    <w:rsid w:val="007368AD"/>
    <w:rsid w:val="00740574"/>
    <w:rsid w:val="00744AA6"/>
    <w:rsid w:val="00745F4B"/>
    <w:rsid w:val="0075167F"/>
    <w:rsid w:val="00751D2A"/>
    <w:rsid w:val="0075488E"/>
    <w:rsid w:val="00755095"/>
    <w:rsid w:val="00766801"/>
    <w:rsid w:val="00771043"/>
    <w:rsid w:val="00772101"/>
    <w:rsid w:val="00775E36"/>
    <w:rsid w:val="00775F7A"/>
    <w:rsid w:val="00776717"/>
    <w:rsid w:val="0078047C"/>
    <w:rsid w:val="00780F55"/>
    <w:rsid w:val="007822DD"/>
    <w:rsid w:val="00782C50"/>
    <w:rsid w:val="00787313"/>
    <w:rsid w:val="00787879"/>
    <w:rsid w:val="00794E98"/>
    <w:rsid w:val="00796A07"/>
    <w:rsid w:val="007A1A6B"/>
    <w:rsid w:val="007B0828"/>
    <w:rsid w:val="007B29DE"/>
    <w:rsid w:val="007C1810"/>
    <w:rsid w:val="007C3916"/>
    <w:rsid w:val="007C5F60"/>
    <w:rsid w:val="007C602A"/>
    <w:rsid w:val="007C7EAA"/>
    <w:rsid w:val="007D05BB"/>
    <w:rsid w:val="007D4FB2"/>
    <w:rsid w:val="007E4010"/>
    <w:rsid w:val="007E68BC"/>
    <w:rsid w:val="007F10E3"/>
    <w:rsid w:val="007F2C0E"/>
    <w:rsid w:val="008010DC"/>
    <w:rsid w:val="008020B0"/>
    <w:rsid w:val="00804AEB"/>
    <w:rsid w:val="00813287"/>
    <w:rsid w:val="00821CDB"/>
    <w:rsid w:val="00824CC8"/>
    <w:rsid w:val="00826E71"/>
    <w:rsid w:val="008273CE"/>
    <w:rsid w:val="00830BA6"/>
    <w:rsid w:val="00832EE9"/>
    <w:rsid w:val="00836191"/>
    <w:rsid w:val="00836D17"/>
    <w:rsid w:val="00840A55"/>
    <w:rsid w:val="00841E25"/>
    <w:rsid w:val="00842C40"/>
    <w:rsid w:val="0084378B"/>
    <w:rsid w:val="0084525A"/>
    <w:rsid w:val="008464CD"/>
    <w:rsid w:val="00850BFE"/>
    <w:rsid w:val="008515EE"/>
    <w:rsid w:val="008528F2"/>
    <w:rsid w:val="00861998"/>
    <w:rsid w:val="00861A28"/>
    <w:rsid w:val="00861C4E"/>
    <w:rsid w:val="00866D21"/>
    <w:rsid w:val="00872D85"/>
    <w:rsid w:val="00875385"/>
    <w:rsid w:val="00883DDA"/>
    <w:rsid w:val="00886213"/>
    <w:rsid w:val="00890FA6"/>
    <w:rsid w:val="0089116F"/>
    <w:rsid w:val="00891FF9"/>
    <w:rsid w:val="00893367"/>
    <w:rsid w:val="00893D07"/>
    <w:rsid w:val="008A0472"/>
    <w:rsid w:val="008A3684"/>
    <w:rsid w:val="008B29D4"/>
    <w:rsid w:val="008B2F14"/>
    <w:rsid w:val="008B7956"/>
    <w:rsid w:val="008C0388"/>
    <w:rsid w:val="008C3722"/>
    <w:rsid w:val="008C3A61"/>
    <w:rsid w:val="008C3B67"/>
    <w:rsid w:val="008C3F48"/>
    <w:rsid w:val="008C4CDB"/>
    <w:rsid w:val="008C54CB"/>
    <w:rsid w:val="008C63CD"/>
    <w:rsid w:val="008C7D37"/>
    <w:rsid w:val="008D1C26"/>
    <w:rsid w:val="008D49B4"/>
    <w:rsid w:val="008D53D4"/>
    <w:rsid w:val="008D7498"/>
    <w:rsid w:val="008E0DAB"/>
    <w:rsid w:val="008F36EA"/>
    <w:rsid w:val="008F68CF"/>
    <w:rsid w:val="008F7D5D"/>
    <w:rsid w:val="0091153D"/>
    <w:rsid w:val="009153B4"/>
    <w:rsid w:val="009236C6"/>
    <w:rsid w:val="00932E96"/>
    <w:rsid w:val="00933215"/>
    <w:rsid w:val="009360BF"/>
    <w:rsid w:val="009418E6"/>
    <w:rsid w:val="0094235F"/>
    <w:rsid w:val="0094279F"/>
    <w:rsid w:val="0094492C"/>
    <w:rsid w:val="00945874"/>
    <w:rsid w:val="00946745"/>
    <w:rsid w:val="00946B98"/>
    <w:rsid w:val="0095052A"/>
    <w:rsid w:val="009516DF"/>
    <w:rsid w:val="00955101"/>
    <w:rsid w:val="00955803"/>
    <w:rsid w:val="00960073"/>
    <w:rsid w:val="00961531"/>
    <w:rsid w:val="0096233B"/>
    <w:rsid w:val="00963512"/>
    <w:rsid w:val="009654E8"/>
    <w:rsid w:val="009658F0"/>
    <w:rsid w:val="00967156"/>
    <w:rsid w:val="00971655"/>
    <w:rsid w:val="00971C63"/>
    <w:rsid w:val="00972175"/>
    <w:rsid w:val="00974841"/>
    <w:rsid w:val="00976181"/>
    <w:rsid w:val="009809B9"/>
    <w:rsid w:val="009815EC"/>
    <w:rsid w:val="00985F38"/>
    <w:rsid w:val="0098641C"/>
    <w:rsid w:val="00987378"/>
    <w:rsid w:val="009A40C7"/>
    <w:rsid w:val="009A4AE9"/>
    <w:rsid w:val="009A556D"/>
    <w:rsid w:val="009A7467"/>
    <w:rsid w:val="009C544E"/>
    <w:rsid w:val="009C71D5"/>
    <w:rsid w:val="009D0222"/>
    <w:rsid w:val="009D0A7C"/>
    <w:rsid w:val="009D3D0B"/>
    <w:rsid w:val="009D3ED4"/>
    <w:rsid w:val="009D7A31"/>
    <w:rsid w:val="009E4C3F"/>
    <w:rsid w:val="009F1B63"/>
    <w:rsid w:val="009F6E34"/>
    <w:rsid w:val="009F757F"/>
    <w:rsid w:val="009F7CE4"/>
    <w:rsid w:val="00A0439D"/>
    <w:rsid w:val="00A04EB2"/>
    <w:rsid w:val="00A051AA"/>
    <w:rsid w:val="00A05244"/>
    <w:rsid w:val="00A0628E"/>
    <w:rsid w:val="00A11162"/>
    <w:rsid w:val="00A13D2D"/>
    <w:rsid w:val="00A152A8"/>
    <w:rsid w:val="00A17BCF"/>
    <w:rsid w:val="00A27139"/>
    <w:rsid w:val="00A32D32"/>
    <w:rsid w:val="00A43227"/>
    <w:rsid w:val="00A44D18"/>
    <w:rsid w:val="00A467C5"/>
    <w:rsid w:val="00A46CCD"/>
    <w:rsid w:val="00A47AD7"/>
    <w:rsid w:val="00A52036"/>
    <w:rsid w:val="00A5617E"/>
    <w:rsid w:val="00A6323D"/>
    <w:rsid w:val="00A65133"/>
    <w:rsid w:val="00A652C5"/>
    <w:rsid w:val="00A72C3A"/>
    <w:rsid w:val="00A803F5"/>
    <w:rsid w:val="00A834AC"/>
    <w:rsid w:val="00A841DB"/>
    <w:rsid w:val="00A85C5A"/>
    <w:rsid w:val="00A87A2C"/>
    <w:rsid w:val="00A946E0"/>
    <w:rsid w:val="00A96A08"/>
    <w:rsid w:val="00AA0161"/>
    <w:rsid w:val="00AB1BD0"/>
    <w:rsid w:val="00AB1D08"/>
    <w:rsid w:val="00AB4345"/>
    <w:rsid w:val="00AB5BD7"/>
    <w:rsid w:val="00AC0135"/>
    <w:rsid w:val="00AC070D"/>
    <w:rsid w:val="00AC0B2B"/>
    <w:rsid w:val="00AC1B94"/>
    <w:rsid w:val="00AC2839"/>
    <w:rsid w:val="00AD0616"/>
    <w:rsid w:val="00AD2407"/>
    <w:rsid w:val="00AD34FF"/>
    <w:rsid w:val="00AD3FDB"/>
    <w:rsid w:val="00AD4DE6"/>
    <w:rsid w:val="00AE6DBC"/>
    <w:rsid w:val="00AF3E95"/>
    <w:rsid w:val="00AF66C0"/>
    <w:rsid w:val="00AF7C67"/>
    <w:rsid w:val="00B02C3A"/>
    <w:rsid w:val="00B079AB"/>
    <w:rsid w:val="00B13151"/>
    <w:rsid w:val="00B151B5"/>
    <w:rsid w:val="00B15FE9"/>
    <w:rsid w:val="00B17F18"/>
    <w:rsid w:val="00B21B2F"/>
    <w:rsid w:val="00B22775"/>
    <w:rsid w:val="00B3082D"/>
    <w:rsid w:val="00B32350"/>
    <w:rsid w:val="00B35173"/>
    <w:rsid w:val="00B41120"/>
    <w:rsid w:val="00B44334"/>
    <w:rsid w:val="00B45399"/>
    <w:rsid w:val="00B50DE1"/>
    <w:rsid w:val="00B51883"/>
    <w:rsid w:val="00B54142"/>
    <w:rsid w:val="00B56CA3"/>
    <w:rsid w:val="00B577E2"/>
    <w:rsid w:val="00B61FD4"/>
    <w:rsid w:val="00B62296"/>
    <w:rsid w:val="00B65D27"/>
    <w:rsid w:val="00B66E0B"/>
    <w:rsid w:val="00B674DB"/>
    <w:rsid w:val="00B67E97"/>
    <w:rsid w:val="00B718A1"/>
    <w:rsid w:val="00B7259E"/>
    <w:rsid w:val="00B80743"/>
    <w:rsid w:val="00B817CE"/>
    <w:rsid w:val="00B82E8D"/>
    <w:rsid w:val="00B919C4"/>
    <w:rsid w:val="00B9264D"/>
    <w:rsid w:val="00B94838"/>
    <w:rsid w:val="00B94D99"/>
    <w:rsid w:val="00B97C84"/>
    <w:rsid w:val="00BA27AD"/>
    <w:rsid w:val="00BB3FA1"/>
    <w:rsid w:val="00BB62BB"/>
    <w:rsid w:val="00BC05C5"/>
    <w:rsid w:val="00BD04BE"/>
    <w:rsid w:val="00BD3B7E"/>
    <w:rsid w:val="00BE0630"/>
    <w:rsid w:val="00BE2E83"/>
    <w:rsid w:val="00BE2EC3"/>
    <w:rsid w:val="00BE6F28"/>
    <w:rsid w:val="00BE6FB4"/>
    <w:rsid w:val="00BE7875"/>
    <w:rsid w:val="00BF29FA"/>
    <w:rsid w:val="00BF6286"/>
    <w:rsid w:val="00C00A13"/>
    <w:rsid w:val="00C04D2B"/>
    <w:rsid w:val="00C07C8D"/>
    <w:rsid w:val="00C10266"/>
    <w:rsid w:val="00C1211B"/>
    <w:rsid w:val="00C149F6"/>
    <w:rsid w:val="00C22174"/>
    <w:rsid w:val="00C258F8"/>
    <w:rsid w:val="00C317FD"/>
    <w:rsid w:val="00C35B13"/>
    <w:rsid w:val="00C3697B"/>
    <w:rsid w:val="00C45EFB"/>
    <w:rsid w:val="00C476C3"/>
    <w:rsid w:val="00C537E9"/>
    <w:rsid w:val="00C557F2"/>
    <w:rsid w:val="00C642D4"/>
    <w:rsid w:val="00C64D9C"/>
    <w:rsid w:val="00C654C6"/>
    <w:rsid w:val="00C65A70"/>
    <w:rsid w:val="00C737C5"/>
    <w:rsid w:val="00C738A1"/>
    <w:rsid w:val="00C839CF"/>
    <w:rsid w:val="00C93632"/>
    <w:rsid w:val="00CA009A"/>
    <w:rsid w:val="00CA3540"/>
    <w:rsid w:val="00CA5C56"/>
    <w:rsid w:val="00CA6DED"/>
    <w:rsid w:val="00CB7F96"/>
    <w:rsid w:val="00CC49D4"/>
    <w:rsid w:val="00CE6F5A"/>
    <w:rsid w:val="00CF1C7B"/>
    <w:rsid w:val="00CF1E29"/>
    <w:rsid w:val="00CF42CF"/>
    <w:rsid w:val="00D01345"/>
    <w:rsid w:val="00D075F6"/>
    <w:rsid w:val="00D102E9"/>
    <w:rsid w:val="00D1688F"/>
    <w:rsid w:val="00D16AE7"/>
    <w:rsid w:val="00D2117F"/>
    <w:rsid w:val="00D21CDF"/>
    <w:rsid w:val="00D23605"/>
    <w:rsid w:val="00D2419B"/>
    <w:rsid w:val="00D242AD"/>
    <w:rsid w:val="00D25317"/>
    <w:rsid w:val="00D2610C"/>
    <w:rsid w:val="00D46D6A"/>
    <w:rsid w:val="00D51426"/>
    <w:rsid w:val="00D52FE7"/>
    <w:rsid w:val="00D53863"/>
    <w:rsid w:val="00D538E6"/>
    <w:rsid w:val="00D56958"/>
    <w:rsid w:val="00D64CE9"/>
    <w:rsid w:val="00D65814"/>
    <w:rsid w:val="00D66E8B"/>
    <w:rsid w:val="00D742BB"/>
    <w:rsid w:val="00D77959"/>
    <w:rsid w:val="00D80BC1"/>
    <w:rsid w:val="00D85715"/>
    <w:rsid w:val="00D8706C"/>
    <w:rsid w:val="00D93F05"/>
    <w:rsid w:val="00D97003"/>
    <w:rsid w:val="00DA0B99"/>
    <w:rsid w:val="00DA1389"/>
    <w:rsid w:val="00DA3B03"/>
    <w:rsid w:val="00DA4C62"/>
    <w:rsid w:val="00DA5127"/>
    <w:rsid w:val="00DA749A"/>
    <w:rsid w:val="00DB131C"/>
    <w:rsid w:val="00DB6A17"/>
    <w:rsid w:val="00DC141E"/>
    <w:rsid w:val="00DC4EE3"/>
    <w:rsid w:val="00DC605C"/>
    <w:rsid w:val="00DD2690"/>
    <w:rsid w:val="00DD3279"/>
    <w:rsid w:val="00DD430F"/>
    <w:rsid w:val="00DD4E84"/>
    <w:rsid w:val="00DD5520"/>
    <w:rsid w:val="00DE09E2"/>
    <w:rsid w:val="00DE22F1"/>
    <w:rsid w:val="00DE32BD"/>
    <w:rsid w:val="00DF000A"/>
    <w:rsid w:val="00DF16C2"/>
    <w:rsid w:val="00E00F76"/>
    <w:rsid w:val="00E02DB3"/>
    <w:rsid w:val="00E05035"/>
    <w:rsid w:val="00E10368"/>
    <w:rsid w:val="00E116F8"/>
    <w:rsid w:val="00E165D9"/>
    <w:rsid w:val="00E21E75"/>
    <w:rsid w:val="00E24D2D"/>
    <w:rsid w:val="00E41DB1"/>
    <w:rsid w:val="00E44112"/>
    <w:rsid w:val="00E519DC"/>
    <w:rsid w:val="00E53CE1"/>
    <w:rsid w:val="00E542A1"/>
    <w:rsid w:val="00E57533"/>
    <w:rsid w:val="00E5784C"/>
    <w:rsid w:val="00E651B8"/>
    <w:rsid w:val="00E6571F"/>
    <w:rsid w:val="00E73486"/>
    <w:rsid w:val="00E74169"/>
    <w:rsid w:val="00E75843"/>
    <w:rsid w:val="00E807DA"/>
    <w:rsid w:val="00E8146B"/>
    <w:rsid w:val="00E84E3A"/>
    <w:rsid w:val="00E9015A"/>
    <w:rsid w:val="00E90D53"/>
    <w:rsid w:val="00E926A5"/>
    <w:rsid w:val="00E94C06"/>
    <w:rsid w:val="00EA05AF"/>
    <w:rsid w:val="00EB1E44"/>
    <w:rsid w:val="00EB5AC8"/>
    <w:rsid w:val="00EB5CDF"/>
    <w:rsid w:val="00EC43B9"/>
    <w:rsid w:val="00EC7B7E"/>
    <w:rsid w:val="00ED1506"/>
    <w:rsid w:val="00ED3022"/>
    <w:rsid w:val="00ED400D"/>
    <w:rsid w:val="00ED407A"/>
    <w:rsid w:val="00ED44AF"/>
    <w:rsid w:val="00ED4D69"/>
    <w:rsid w:val="00EE362F"/>
    <w:rsid w:val="00EF0E19"/>
    <w:rsid w:val="00EF35B6"/>
    <w:rsid w:val="00EF55F9"/>
    <w:rsid w:val="00F114AE"/>
    <w:rsid w:val="00F15D53"/>
    <w:rsid w:val="00F2090C"/>
    <w:rsid w:val="00F20D95"/>
    <w:rsid w:val="00F214ED"/>
    <w:rsid w:val="00F272C7"/>
    <w:rsid w:val="00F275EF"/>
    <w:rsid w:val="00F31A4D"/>
    <w:rsid w:val="00F31D3E"/>
    <w:rsid w:val="00F41773"/>
    <w:rsid w:val="00F43CA0"/>
    <w:rsid w:val="00F44F36"/>
    <w:rsid w:val="00F46AA3"/>
    <w:rsid w:val="00F470DA"/>
    <w:rsid w:val="00F54216"/>
    <w:rsid w:val="00F54635"/>
    <w:rsid w:val="00F55030"/>
    <w:rsid w:val="00F62B8A"/>
    <w:rsid w:val="00F661C2"/>
    <w:rsid w:val="00F67BF9"/>
    <w:rsid w:val="00F720F4"/>
    <w:rsid w:val="00F7696F"/>
    <w:rsid w:val="00F77FD5"/>
    <w:rsid w:val="00F8209B"/>
    <w:rsid w:val="00F8511A"/>
    <w:rsid w:val="00F8634A"/>
    <w:rsid w:val="00F92D37"/>
    <w:rsid w:val="00F95E26"/>
    <w:rsid w:val="00F9682D"/>
    <w:rsid w:val="00F97CD9"/>
    <w:rsid w:val="00FA040E"/>
    <w:rsid w:val="00FA0576"/>
    <w:rsid w:val="00FA1C2B"/>
    <w:rsid w:val="00FA7DC2"/>
    <w:rsid w:val="00FB1AFF"/>
    <w:rsid w:val="00FB2A15"/>
    <w:rsid w:val="00FB3C09"/>
    <w:rsid w:val="00FB47DC"/>
    <w:rsid w:val="00FB50B4"/>
    <w:rsid w:val="00FB64CF"/>
    <w:rsid w:val="00FC0432"/>
    <w:rsid w:val="00FC1C7A"/>
    <w:rsid w:val="00FC367F"/>
    <w:rsid w:val="00FD2771"/>
    <w:rsid w:val="00FD4B97"/>
    <w:rsid w:val="00FE234B"/>
    <w:rsid w:val="00FE55EB"/>
    <w:rsid w:val="00FE5D43"/>
    <w:rsid w:val="00FE69C2"/>
    <w:rsid w:val="00FF0353"/>
    <w:rsid w:val="00FF25DB"/>
    <w:rsid w:val="00FF63A5"/>
    <w:rsid w:val="00FF6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466FC8"/>
    <w:rPr>
      <w:rFonts w:ascii="Times New Roman" w:eastAsia="Times New Roman" w:hAnsi="Times New Roman"/>
      <w:sz w:val="24"/>
      <w:szCs w:val="24"/>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after="240" w:line="200" w:lineRule="atLeast"/>
      <w:ind w:left="1077" w:right="663" w:hanging="357"/>
      <w:jc w:val="both"/>
    </w:pPr>
    <w:rPr>
      <w:rFonts w:ascii="Gautami" w:hAnsi="Gautami"/>
      <w:sz w:val="16"/>
      <w:szCs w:val="16"/>
      <w:lang w:eastAsia="en-US"/>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jc w:val="both"/>
    </w:pPr>
    <w:rPr>
      <w:rFonts w:ascii="Gautami" w:eastAsia="Calibri" w:hAnsi="Gautami"/>
      <w:sz w:val="20"/>
      <w:szCs w:val="20"/>
      <w:lang w:eastAsia="en-US"/>
    </w:r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jc w:val="both"/>
    </w:pPr>
    <w:rPr>
      <w:rFonts w:ascii="Gautami" w:eastAsia="Calibri" w:hAnsi="Gautami"/>
      <w:sz w:val="20"/>
      <w:szCs w:val="20"/>
      <w:lang w:eastAsia="en-US"/>
    </w:r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spacing w:after="240" w:line="288" w:lineRule="auto"/>
      <w:ind w:left="720"/>
      <w:contextualSpacing/>
      <w:jc w:val="both"/>
    </w:pPr>
    <w:rPr>
      <w:rFonts w:ascii="Gautami" w:eastAsia="Calibri" w:hAnsi="Gautami"/>
      <w:sz w:val="20"/>
      <w:szCs w:val="20"/>
      <w:lang w:eastAsia="en-US"/>
    </w:r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line="288" w:lineRule="auto"/>
    </w:pPr>
    <w:rPr>
      <w:rFonts w:ascii="Gautami" w:eastAsia="Calibri" w:hAnsi="Gautami"/>
      <w:b/>
      <w:bCs/>
      <w:sz w:val="20"/>
      <w:szCs w:val="20"/>
      <w:lang w:eastAsia="en-US"/>
    </w:rPr>
  </w:style>
  <w:style w:type="paragraph" w:styleId="TOC2">
    <w:name w:val="toc 2"/>
    <w:basedOn w:val="Normal"/>
    <w:next w:val="Normal"/>
    <w:autoRedefine/>
    <w:uiPriority w:val="39"/>
    <w:unhideWhenUsed/>
    <w:qFormat/>
    <w:rsid w:val="00AF3E95"/>
    <w:pPr>
      <w:spacing w:before="120" w:line="288" w:lineRule="auto"/>
      <w:ind w:left="200"/>
    </w:pPr>
    <w:rPr>
      <w:rFonts w:ascii="Gautami" w:eastAsia="Calibri" w:hAnsi="Gautami"/>
      <w:iCs/>
      <w:sz w:val="20"/>
      <w:szCs w:val="20"/>
      <w:lang w:eastAsia="en-US"/>
    </w:rPr>
  </w:style>
  <w:style w:type="paragraph" w:styleId="TOC3">
    <w:name w:val="toc 3"/>
    <w:basedOn w:val="Normal"/>
    <w:next w:val="Normal"/>
    <w:autoRedefine/>
    <w:uiPriority w:val="39"/>
    <w:unhideWhenUsed/>
    <w:qFormat/>
    <w:rsid w:val="00AF3E95"/>
    <w:pPr>
      <w:spacing w:line="288" w:lineRule="auto"/>
      <w:ind w:left="400"/>
    </w:pPr>
    <w:rPr>
      <w:rFonts w:ascii="Gautami" w:eastAsia="Calibri" w:hAnsi="Gautami"/>
      <w:sz w:val="20"/>
      <w:szCs w:val="20"/>
      <w:lang w:eastAsia="en-US"/>
    </w:r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jc w:val="both"/>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line="288" w:lineRule="auto"/>
      <w:ind w:left="600"/>
    </w:pPr>
    <w:rPr>
      <w:rFonts w:ascii="Calibri" w:eastAsia="Calibri" w:hAnsi="Calibri"/>
      <w:sz w:val="20"/>
      <w:szCs w:val="20"/>
      <w:lang w:eastAsia="en-US"/>
    </w:rPr>
  </w:style>
  <w:style w:type="paragraph" w:styleId="TOC5">
    <w:name w:val="toc 5"/>
    <w:basedOn w:val="Normal"/>
    <w:next w:val="Normal"/>
    <w:autoRedefine/>
    <w:uiPriority w:val="39"/>
    <w:semiHidden/>
    <w:locked/>
    <w:rsid w:val="00AF3E95"/>
    <w:pPr>
      <w:spacing w:line="288" w:lineRule="auto"/>
      <w:ind w:left="800"/>
    </w:pPr>
    <w:rPr>
      <w:rFonts w:ascii="Calibri" w:eastAsia="Calibri" w:hAnsi="Calibri"/>
      <w:sz w:val="20"/>
      <w:szCs w:val="20"/>
      <w:lang w:eastAsia="en-US"/>
    </w:rPr>
  </w:style>
  <w:style w:type="paragraph" w:styleId="TOC6">
    <w:name w:val="toc 6"/>
    <w:basedOn w:val="Normal"/>
    <w:next w:val="Normal"/>
    <w:autoRedefine/>
    <w:uiPriority w:val="39"/>
    <w:semiHidden/>
    <w:locked/>
    <w:rsid w:val="00AF3E95"/>
    <w:pPr>
      <w:spacing w:line="288" w:lineRule="auto"/>
      <w:ind w:left="1000"/>
    </w:pPr>
    <w:rPr>
      <w:rFonts w:ascii="Calibri" w:eastAsia="Calibri" w:hAnsi="Calibri"/>
      <w:sz w:val="20"/>
      <w:szCs w:val="20"/>
      <w:lang w:eastAsia="en-US"/>
    </w:rPr>
  </w:style>
  <w:style w:type="paragraph" w:styleId="TOC7">
    <w:name w:val="toc 7"/>
    <w:basedOn w:val="Normal"/>
    <w:next w:val="Normal"/>
    <w:autoRedefine/>
    <w:uiPriority w:val="39"/>
    <w:semiHidden/>
    <w:locked/>
    <w:rsid w:val="00AF3E95"/>
    <w:pPr>
      <w:spacing w:line="288" w:lineRule="auto"/>
      <w:ind w:left="1200"/>
    </w:pPr>
    <w:rPr>
      <w:rFonts w:ascii="Calibri" w:eastAsia="Calibri" w:hAnsi="Calibri"/>
      <w:sz w:val="20"/>
      <w:szCs w:val="20"/>
      <w:lang w:eastAsia="en-US"/>
    </w:rPr>
  </w:style>
  <w:style w:type="paragraph" w:styleId="TOC8">
    <w:name w:val="toc 8"/>
    <w:basedOn w:val="Normal"/>
    <w:next w:val="Normal"/>
    <w:autoRedefine/>
    <w:uiPriority w:val="39"/>
    <w:semiHidden/>
    <w:locked/>
    <w:rsid w:val="00AF3E95"/>
    <w:pPr>
      <w:spacing w:line="288" w:lineRule="auto"/>
      <w:ind w:left="1400"/>
    </w:pPr>
    <w:rPr>
      <w:rFonts w:ascii="Calibri" w:eastAsia="Calibri" w:hAnsi="Calibri"/>
      <w:sz w:val="20"/>
      <w:szCs w:val="20"/>
      <w:lang w:eastAsia="en-US"/>
    </w:rPr>
  </w:style>
  <w:style w:type="paragraph" w:styleId="TOC9">
    <w:name w:val="toc 9"/>
    <w:basedOn w:val="Normal"/>
    <w:next w:val="Normal"/>
    <w:autoRedefine/>
    <w:uiPriority w:val="39"/>
    <w:semiHidden/>
    <w:locked/>
    <w:rsid w:val="00AF3E95"/>
    <w:pPr>
      <w:spacing w:line="288" w:lineRule="auto"/>
      <w:ind w:left="1600"/>
    </w:pPr>
    <w:rPr>
      <w:rFonts w:ascii="Calibri" w:eastAsia="Calibri" w:hAnsi="Calibri"/>
      <w:sz w:val="20"/>
      <w:szCs w:val="20"/>
      <w:lang w:eastAsia="en-US"/>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after="240"/>
      <w:jc w:val="both"/>
    </w:pPr>
    <w:rPr>
      <w:rFonts w:ascii="Gautami" w:eastAsia="Calibri" w:hAnsi="Gautami"/>
      <w:sz w:val="20"/>
      <w:szCs w:val="20"/>
      <w:lang w:eastAsia="en-US"/>
    </w:r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8265">
      <w:bodyDiv w:val="1"/>
      <w:marLeft w:val="0"/>
      <w:marRight w:val="0"/>
      <w:marTop w:val="0"/>
      <w:marBottom w:val="0"/>
      <w:divBdr>
        <w:top w:val="none" w:sz="0" w:space="0" w:color="auto"/>
        <w:left w:val="none" w:sz="0" w:space="0" w:color="auto"/>
        <w:bottom w:val="none" w:sz="0" w:space="0" w:color="auto"/>
        <w:right w:val="none" w:sz="0" w:space="0" w:color="auto"/>
      </w:divBdr>
    </w:div>
    <w:div w:id="132449550">
      <w:bodyDiv w:val="1"/>
      <w:marLeft w:val="0"/>
      <w:marRight w:val="0"/>
      <w:marTop w:val="0"/>
      <w:marBottom w:val="0"/>
      <w:divBdr>
        <w:top w:val="none" w:sz="0" w:space="0" w:color="auto"/>
        <w:left w:val="none" w:sz="0" w:space="0" w:color="auto"/>
        <w:bottom w:val="none" w:sz="0" w:space="0" w:color="auto"/>
        <w:right w:val="none" w:sz="0" w:space="0" w:color="auto"/>
      </w:divBdr>
    </w:div>
    <w:div w:id="173227495">
      <w:bodyDiv w:val="1"/>
      <w:marLeft w:val="0"/>
      <w:marRight w:val="0"/>
      <w:marTop w:val="0"/>
      <w:marBottom w:val="0"/>
      <w:divBdr>
        <w:top w:val="none" w:sz="0" w:space="0" w:color="auto"/>
        <w:left w:val="none" w:sz="0" w:space="0" w:color="auto"/>
        <w:bottom w:val="none" w:sz="0" w:space="0" w:color="auto"/>
        <w:right w:val="none" w:sz="0" w:space="0" w:color="auto"/>
      </w:divBdr>
    </w:div>
    <w:div w:id="201091878">
      <w:bodyDiv w:val="1"/>
      <w:marLeft w:val="0"/>
      <w:marRight w:val="0"/>
      <w:marTop w:val="0"/>
      <w:marBottom w:val="0"/>
      <w:divBdr>
        <w:top w:val="none" w:sz="0" w:space="0" w:color="auto"/>
        <w:left w:val="none" w:sz="0" w:space="0" w:color="auto"/>
        <w:bottom w:val="none" w:sz="0" w:space="0" w:color="auto"/>
        <w:right w:val="none" w:sz="0" w:space="0" w:color="auto"/>
      </w:divBdr>
    </w:div>
    <w:div w:id="337510674">
      <w:bodyDiv w:val="1"/>
      <w:marLeft w:val="0"/>
      <w:marRight w:val="0"/>
      <w:marTop w:val="0"/>
      <w:marBottom w:val="0"/>
      <w:divBdr>
        <w:top w:val="none" w:sz="0" w:space="0" w:color="auto"/>
        <w:left w:val="none" w:sz="0" w:space="0" w:color="auto"/>
        <w:bottom w:val="none" w:sz="0" w:space="0" w:color="auto"/>
        <w:right w:val="none" w:sz="0" w:space="0" w:color="auto"/>
      </w:divBdr>
    </w:div>
    <w:div w:id="379475376">
      <w:bodyDiv w:val="1"/>
      <w:marLeft w:val="0"/>
      <w:marRight w:val="0"/>
      <w:marTop w:val="0"/>
      <w:marBottom w:val="0"/>
      <w:divBdr>
        <w:top w:val="none" w:sz="0" w:space="0" w:color="auto"/>
        <w:left w:val="none" w:sz="0" w:space="0" w:color="auto"/>
        <w:bottom w:val="none" w:sz="0" w:space="0" w:color="auto"/>
        <w:right w:val="none" w:sz="0" w:space="0" w:color="auto"/>
      </w:divBdr>
    </w:div>
    <w:div w:id="432630024">
      <w:bodyDiv w:val="1"/>
      <w:marLeft w:val="0"/>
      <w:marRight w:val="0"/>
      <w:marTop w:val="0"/>
      <w:marBottom w:val="0"/>
      <w:divBdr>
        <w:top w:val="none" w:sz="0" w:space="0" w:color="auto"/>
        <w:left w:val="none" w:sz="0" w:space="0" w:color="auto"/>
        <w:bottom w:val="none" w:sz="0" w:space="0" w:color="auto"/>
        <w:right w:val="none" w:sz="0" w:space="0" w:color="auto"/>
      </w:divBdr>
    </w:div>
    <w:div w:id="493178925">
      <w:bodyDiv w:val="1"/>
      <w:marLeft w:val="0"/>
      <w:marRight w:val="0"/>
      <w:marTop w:val="0"/>
      <w:marBottom w:val="0"/>
      <w:divBdr>
        <w:top w:val="none" w:sz="0" w:space="0" w:color="auto"/>
        <w:left w:val="none" w:sz="0" w:space="0" w:color="auto"/>
        <w:bottom w:val="none" w:sz="0" w:space="0" w:color="auto"/>
        <w:right w:val="none" w:sz="0" w:space="0" w:color="auto"/>
      </w:divBdr>
    </w:div>
    <w:div w:id="568659833">
      <w:bodyDiv w:val="1"/>
      <w:marLeft w:val="0"/>
      <w:marRight w:val="0"/>
      <w:marTop w:val="0"/>
      <w:marBottom w:val="0"/>
      <w:divBdr>
        <w:top w:val="none" w:sz="0" w:space="0" w:color="auto"/>
        <w:left w:val="none" w:sz="0" w:space="0" w:color="auto"/>
        <w:bottom w:val="none" w:sz="0" w:space="0" w:color="auto"/>
        <w:right w:val="none" w:sz="0" w:space="0" w:color="auto"/>
      </w:divBdr>
    </w:div>
    <w:div w:id="705760845">
      <w:bodyDiv w:val="1"/>
      <w:marLeft w:val="0"/>
      <w:marRight w:val="0"/>
      <w:marTop w:val="0"/>
      <w:marBottom w:val="0"/>
      <w:divBdr>
        <w:top w:val="none" w:sz="0" w:space="0" w:color="auto"/>
        <w:left w:val="none" w:sz="0" w:space="0" w:color="auto"/>
        <w:bottom w:val="none" w:sz="0" w:space="0" w:color="auto"/>
        <w:right w:val="none" w:sz="0" w:space="0" w:color="auto"/>
      </w:divBdr>
    </w:div>
    <w:div w:id="711152404">
      <w:bodyDiv w:val="1"/>
      <w:marLeft w:val="0"/>
      <w:marRight w:val="0"/>
      <w:marTop w:val="0"/>
      <w:marBottom w:val="0"/>
      <w:divBdr>
        <w:top w:val="none" w:sz="0" w:space="0" w:color="auto"/>
        <w:left w:val="none" w:sz="0" w:space="0" w:color="auto"/>
        <w:bottom w:val="none" w:sz="0" w:space="0" w:color="auto"/>
        <w:right w:val="none" w:sz="0" w:space="0" w:color="auto"/>
      </w:divBdr>
    </w:div>
    <w:div w:id="842741529">
      <w:bodyDiv w:val="1"/>
      <w:marLeft w:val="0"/>
      <w:marRight w:val="0"/>
      <w:marTop w:val="0"/>
      <w:marBottom w:val="0"/>
      <w:divBdr>
        <w:top w:val="none" w:sz="0" w:space="0" w:color="auto"/>
        <w:left w:val="none" w:sz="0" w:space="0" w:color="auto"/>
        <w:bottom w:val="none" w:sz="0" w:space="0" w:color="auto"/>
        <w:right w:val="none" w:sz="0" w:space="0" w:color="auto"/>
      </w:divBdr>
    </w:div>
    <w:div w:id="978073352">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00502507">
      <w:bodyDiv w:val="1"/>
      <w:marLeft w:val="0"/>
      <w:marRight w:val="0"/>
      <w:marTop w:val="0"/>
      <w:marBottom w:val="0"/>
      <w:divBdr>
        <w:top w:val="none" w:sz="0" w:space="0" w:color="auto"/>
        <w:left w:val="none" w:sz="0" w:space="0" w:color="auto"/>
        <w:bottom w:val="none" w:sz="0" w:space="0" w:color="auto"/>
        <w:right w:val="none" w:sz="0" w:space="0" w:color="auto"/>
      </w:divBdr>
    </w:div>
    <w:div w:id="1010984485">
      <w:bodyDiv w:val="1"/>
      <w:marLeft w:val="0"/>
      <w:marRight w:val="0"/>
      <w:marTop w:val="0"/>
      <w:marBottom w:val="0"/>
      <w:divBdr>
        <w:top w:val="none" w:sz="0" w:space="0" w:color="auto"/>
        <w:left w:val="none" w:sz="0" w:space="0" w:color="auto"/>
        <w:bottom w:val="none" w:sz="0" w:space="0" w:color="auto"/>
        <w:right w:val="none" w:sz="0" w:space="0" w:color="auto"/>
      </w:divBdr>
    </w:div>
    <w:div w:id="1287006057">
      <w:bodyDiv w:val="1"/>
      <w:marLeft w:val="0"/>
      <w:marRight w:val="0"/>
      <w:marTop w:val="0"/>
      <w:marBottom w:val="0"/>
      <w:divBdr>
        <w:top w:val="none" w:sz="0" w:space="0" w:color="auto"/>
        <w:left w:val="none" w:sz="0" w:space="0" w:color="auto"/>
        <w:bottom w:val="none" w:sz="0" w:space="0" w:color="auto"/>
        <w:right w:val="none" w:sz="0" w:space="0" w:color="auto"/>
      </w:divBdr>
    </w:div>
    <w:div w:id="1288585902">
      <w:bodyDiv w:val="1"/>
      <w:marLeft w:val="0"/>
      <w:marRight w:val="0"/>
      <w:marTop w:val="0"/>
      <w:marBottom w:val="0"/>
      <w:divBdr>
        <w:top w:val="none" w:sz="0" w:space="0" w:color="auto"/>
        <w:left w:val="none" w:sz="0" w:space="0" w:color="auto"/>
        <w:bottom w:val="none" w:sz="0" w:space="0" w:color="auto"/>
        <w:right w:val="none" w:sz="0" w:space="0" w:color="auto"/>
      </w:divBdr>
    </w:div>
    <w:div w:id="1374378410">
      <w:bodyDiv w:val="1"/>
      <w:marLeft w:val="0"/>
      <w:marRight w:val="0"/>
      <w:marTop w:val="0"/>
      <w:marBottom w:val="0"/>
      <w:divBdr>
        <w:top w:val="none" w:sz="0" w:space="0" w:color="auto"/>
        <w:left w:val="none" w:sz="0" w:space="0" w:color="auto"/>
        <w:bottom w:val="none" w:sz="0" w:space="0" w:color="auto"/>
        <w:right w:val="none" w:sz="0" w:space="0" w:color="auto"/>
      </w:divBdr>
    </w:div>
    <w:div w:id="1428846382">
      <w:bodyDiv w:val="1"/>
      <w:marLeft w:val="0"/>
      <w:marRight w:val="0"/>
      <w:marTop w:val="0"/>
      <w:marBottom w:val="0"/>
      <w:divBdr>
        <w:top w:val="none" w:sz="0" w:space="0" w:color="auto"/>
        <w:left w:val="none" w:sz="0" w:space="0" w:color="auto"/>
        <w:bottom w:val="none" w:sz="0" w:space="0" w:color="auto"/>
        <w:right w:val="none" w:sz="0" w:space="0" w:color="auto"/>
      </w:divBdr>
    </w:div>
    <w:div w:id="1621254507">
      <w:bodyDiv w:val="1"/>
      <w:marLeft w:val="0"/>
      <w:marRight w:val="0"/>
      <w:marTop w:val="0"/>
      <w:marBottom w:val="0"/>
      <w:divBdr>
        <w:top w:val="none" w:sz="0" w:space="0" w:color="auto"/>
        <w:left w:val="none" w:sz="0" w:space="0" w:color="auto"/>
        <w:bottom w:val="none" w:sz="0" w:space="0" w:color="auto"/>
        <w:right w:val="none" w:sz="0" w:space="0" w:color="auto"/>
      </w:divBdr>
    </w:div>
    <w:div w:id="1719472542">
      <w:bodyDiv w:val="1"/>
      <w:marLeft w:val="0"/>
      <w:marRight w:val="0"/>
      <w:marTop w:val="0"/>
      <w:marBottom w:val="0"/>
      <w:divBdr>
        <w:top w:val="none" w:sz="0" w:space="0" w:color="auto"/>
        <w:left w:val="none" w:sz="0" w:space="0" w:color="auto"/>
        <w:bottom w:val="none" w:sz="0" w:space="0" w:color="auto"/>
        <w:right w:val="none" w:sz="0" w:space="0" w:color="auto"/>
      </w:divBdr>
    </w:div>
    <w:div w:id="1752198900">
      <w:bodyDiv w:val="1"/>
      <w:marLeft w:val="0"/>
      <w:marRight w:val="0"/>
      <w:marTop w:val="0"/>
      <w:marBottom w:val="0"/>
      <w:divBdr>
        <w:top w:val="none" w:sz="0" w:space="0" w:color="auto"/>
        <w:left w:val="none" w:sz="0" w:space="0" w:color="auto"/>
        <w:bottom w:val="none" w:sz="0" w:space="0" w:color="auto"/>
        <w:right w:val="none" w:sz="0" w:space="0" w:color="auto"/>
      </w:divBdr>
    </w:div>
    <w:div w:id="1788543196">
      <w:bodyDiv w:val="1"/>
      <w:marLeft w:val="0"/>
      <w:marRight w:val="0"/>
      <w:marTop w:val="0"/>
      <w:marBottom w:val="0"/>
      <w:divBdr>
        <w:top w:val="none" w:sz="0" w:space="0" w:color="auto"/>
        <w:left w:val="none" w:sz="0" w:space="0" w:color="auto"/>
        <w:bottom w:val="none" w:sz="0" w:space="0" w:color="auto"/>
        <w:right w:val="none" w:sz="0" w:space="0" w:color="auto"/>
      </w:divBdr>
    </w:div>
    <w:div w:id="1811246034">
      <w:bodyDiv w:val="1"/>
      <w:marLeft w:val="0"/>
      <w:marRight w:val="0"/>
      <w:marTop w:val="0"/>
      <w:marBottom w:val="0"/>
      <w:divBdr>
        <w:top w:val="none" w:sz="0" w:space="0" w:color="auto"/>
        <w:left w:val="none" w:sz="0" w:space="0" w:color="auto"/>
        <w:bottom w:val="none" w:sz="0" w:space="0" w:color="auto"/>
        <w:right w:val="none" w:sz="0" w:space="0" w:color="auto"/>
      </w:divBdr>
    </w:div>
    <w:div w:id="1821461535">
      <w:bodyDiv w:val="1"/>
      <w:marLeft w:val="0"/>
      <w:marRight w:val="0"/>
      <w:marTop w:val="0"/>
      <w:marBottom w:val="0"/>
      <w:divBdr>
        <w:top w:val="none" w:sz="0" w:space="0" w:color="auto"/>
        <w:left w:val="none" w:sz="0" w:space="0" w:color="auto"/>
        <w:bottom w:val="none" w:sz="0" w:space="0" w:color="auto"/>
        <w:right w:val="none" w:sz="0" w:space="0" w:color="auto"/>
      </w:divBdr>
    </w:div>
    <w:div w:id="1834374335">
      <w:bodyDiv w:val="1"/>
      <w:marLeft w:val="0"/>
      <w:marRight w:val="0"/>
      <w:marTop w:val="0"/>
      <w:marBottom w:val="0"/>
      <w:divBdr>
        <w:top w:val="none" w:sz="0" w:space="0" w:color="auto"/>
        <w:left w:val="none" w:sz="0" w:space="0" w:color="auto"/>
        <w:bottom w:val="none" w:sz="0" w:space="0" w:color="auto"/>
        <w:right w:val="none" w:sz="0" w:space="0" w:color="auto"/>
      </w:divBdr>
    </w:div>
    <w:div w:id="1876382865">
      <w:bodyDiv w:val="1"/>
      <w:marLeft w:val="0"/>
      <w:marRight w:val="0"/>
      <w:marTop w:val="0"/>
      <w:marBottom w:val="0"/>
      <w:divBdr>
        <w:top w:val="none" w:sz="0" w:space="0" w:color="auto"/>
        <w:left w:val="none" w:sz="0" w:space="0" w:color="auto"/>
        <w:bottom w:val="none" w:sz="0" w:space="0" w:color="auto"/>
        <w:right w:val="none" w:sz="0" w:space="0" w:color="auto"/>
      </w:divBdr>
    </w:div>
    <w:div w:id="1957130653">
      <w:bodyDiv w:val="1"/>
      <w:marLeft w:val="0"/>
      <w:marRight w:val="0"/>
      <w:marTop w:val="0"/>
      <w:marBottom w:val="0"/>
      <w:divBdr>
        <w:top w:val="none" w:sz="0" w:space="0" w:color="auto"/>
        <w:left w:val="none" w:sz="0" w:space="0" w:color="auto"/>
        <w:bottom w:val="none" w:sz="0" w:space="0" w:color="auto"/>
        <w:right w:val="none" w:sz="0" w:space="0" w:color="auto"/>
      </w:divBdr>
    </w:div>
    <w:div w:id="1959799618">
      <w:bodyDiv w:val="1"/>
      <w:marLeft w:val="0"/>
      <w:marRight w:val="0"/>
      <w:marTop w:val="0"/>
      <w:marBottom w:val="0"/>
      <w:divBdr>
        <w:top w:val="none" w:sz="0" w:space="0" w:color="auto"/>
        <w:left w:val="none" w:sz="0" w:space="0" w:color="auto"/>
        <w:bottom w:val="none" w:sz="0" w:space="0" w:color="auto"/>
        <w:right w:val="none" w:sz="0" w:space="0" w:color="auto"/>
      </w:divBdr>
    </w:div>
    <w:div w:id="1972323361">
      <w:bodyDiv w:val="1"/>
      <w:marLeft w:val="0"/>
      <w:marRight w:val="0"/>
      <w:marTop w:val="0"/>
      <w:marBottom w:val="0"/>
      <w:divBdr>
        <w:top w:val="none" w:sz="0" w:space="0" w:color="auto"/>
        <w:left w:val="none" w:sz="0" w:space="0" w:color="auto"/>
        <w:bottom w:val="none" w:sz="0" w:space="0" w:color="auto"/>
        <w:right w:val="none" w:sz="0" w:space="0" w:color="auto"/>
      </w:divBdr>
    </w:div>
    <w:div w:id="2039119816">
      <w:bodyDiv w:val="1"/>
      <w:marLeft w:val="0"/>
      <w:marRight w:val="0"/>
      <w:marTop w:val="0"/>
      <w:marBottom w:val="0"/>
      <w:divBdr>
        <w:top w:val="none" w:sz="0" w:space="0" w:color="auto"/>
        <w:left w:val="none" w:sz="0" w:space="0" w:color="auto"/>
        <w:bottom w:val="none" w:sz="0" w:space="0" w:color="auto"/>
        <w:right w:val="none" w:sz="0" w:space="0" w:color="auto"/>
      </w:divBdr>
    </w:div>
    <w:div w:id="20896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A6505FC1.dotm</Template>
  <TotalTime>0</TotalTime>
  <Pages>23</Pages>
  <Words>6911</Words>
  <Characters>39393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46212</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2014-11-26T06:44:00Z</dcterms:created>
  <dcterms:modified xsi:type="dcterms:W3CDTF">2014-11-26T06:44:00Z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8196051</vt:lpwstr>
  </property>
</Properties>
</file>