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D32" w:rsidRDefault="00346D32" w:rsidP="00346D32">
      <w:bookmarkStart w:id="0" w:name="_Toc387916729"/>
      <w:bookmarkStart w:id="1" w:name="_GoBack"/>
      <w:bookmarkEnd w:id="1"/>
      <w:r w:rsidRPr="00D3259C">
        <w:rPr>
          <w:noProof/>
          <w:lang w:eastAsia="en-AU"/>
        </w:rPr>
        <w:drawing>
          <wp:anchor distT="0" distB="0" distL="114300" distR="114300" simplePos="0" relativeHeight="251659264" behindDoc="1" locked="0" layoutInCell="1" allowOverlap="1" wp14:anchorId="251F6625" wp14:editId="409E6FAF">
            <wp:simplePos x="0" y="0"/>
            <wp:positionH relativeFrom="column">
              <wp:posOffset>-909985</wp:posOffset>
            </wp:positionH>
            <wp:positionV relativeFrom="paragraph">
              <wp:posOffset>-1001099</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346D32" w:rsidRDefault="00346D32" w:rsidP="00346D32"/>
    <w:p w:rsidR="00346D32" w:rsidRDefault="00346D32" w:rsidP="00346D32"/>
    <w:p w:rsidR="00346D32" w:rsidRDefault="00346D32" w:rsidP="00346D32"/>
    <w:p w:rsidR="00346D32" w:rsidRDefault="00346D32" w:rsidP="00346D32"/>
    <w:p w:rsidR="00346D32" w:rsidRPr="000A33B4" w:rsidRDefault="00346D32" w:rsidP="00346D32">
      <w:pPr>
        <w:pStyle w:val="AERtitle1"/>
      </w:pPr>
    </w:p>
    <w:p w:rsidR="00346D32" w:rsidRPr="000A33B4" w:rsidRDefault="00346D32" w:rsidP="00346D32">
      <w:pPr>
        <w:pStyle w:val="AERtitle1"/>
      </w:pPr>
    </w:p>
    <w:p w:rsidR="00346D32" w:rsidRPr="000A33B4" w:rsidRDefault="00346D32" w:rsidP="00346D32">
      <w:pPr>
        <w:pStyle w:val="AERtitle1"/>
      </w:pPr>
    </w:p>
    <w:p w:rsidR="00346D32" w:rsidRPr="000A33B4" w:rsidRDefault="00346D32" w:rsidP="00346D32">
      <w:pPr>
        <w:pStyle w:val="AERtitle1"/>
      </w:pPr>
      <w:r>
        <w:t>Draft Decision</w:t>
      </w:r>
    </w:p>
    <w:p w:rsidR="00346D32" w:rsidRDefault="00346D32" w:rsidP="00346D32">
      <w:pPr>
        <w:pStyle w:val="AERtitle1"/>
      </w:pPr>
      <w:r>
        <w:t>Ausgrid distribution determination</w:t>
      </w:r>
    </w:p>
    <w:p w:rsidR="00346D32" w:rsidRPr="000A33B4" w:rsidRDefault="00346D32" w:rsidP="00346D32">
      <w:pPr>
        <w:pStyle w:val="AERtitle1"/>
      </w:pPr>
      <w:r>
        <w:t>2015–16</w:t>
      </w:r>
      <w:r w:rsidRPr="000A33B4">
        <w:t xml:space="preserve"> to 201</w:t>
      </w:r>
      <w:r>
        <w:t>8–</w:t>
      </w:r>
      <w:r w:rsidRPr="000A33B4">
        <w:t>1</w:t>
      </w:r>
      <w:r>
        <w:t>9</w:t>
      </w:r>
    </w:p>
    <w:p w:rsidR="00346D32" w:rsidRPr="000A33B4" w:rsidRDefault="00346D32" w:rsidP="00346D32">
      <w:pPr>
        <w:pStyle w:val="AERtitle1"/>
      </w:pPr>
      <w:r>
        <w:t>Attachment 1: Annual revenue requirement</w:t>
      </w:r>
    </w:p>
    <w:p w:rsidR="00346D32" w:rsidRPr="000A33B4" w:rsidRDefault="00346D32" w:rsidP="00346D32">
      <w:pPr>
        <w:pStyle w:val="AERbodytext"/>
      </w:pPr>
    </w:p>
    <w:p w:rsidR="00346D32" w:rsidRPr="000A33B4" w:rsidRDefault="00346D32" w:rsidP="00346D32">
      <w:pPr>
        <w:pStyle w:val="AERtitle2"/>
      </w:pPr>
      <w:r w:rsidRPr="000A33B4">
        <w:t>November 2014</w:t>
      </w:r>
    </w:p>
    <w:p w:rsidR="00346D32" w:rsidRPr="000A33B4" w:rsidRDefault="00346D32" w:rsidP="00346D32">
      <w:pPr>
        <w:pStyle w:val="AERbodytext"/>
      </w:pPr>
    </w:p>
    <w:p w:rsidR="00346D32" w:rsidRPr="000A33B4" w:rsidRDefault="00346D32" w:rsidP="00346D32">
      <w:pPr>
        <w:pStyle w:val="AERbodytext"/>
      </w:pPr>
    </w:p>
    <w:p w:rsidR="00346D32" w:rsidRPr="000A33B4" w:rsidRDefault="00346D32" w:rsidP="00346D32">
      <w:pPr>
        <w:pStyle w:val="AERbodytext"/>
      </w:pPr>
      <w:r w:rsidRPr="000A33B4">
        <w:br w:type="page"/>
      </w:r>
    </w:p>
    <w:p w:rsidR="00346D32" w:rsidRPr="000A33B4" w:rsidRDefault="00346D32" w:rsidP="00346D32">
      <w:pPr>
        <w:pStyle w:val="AERbodytextnospace"/>
        <w:rPr>
          <w:rStyle w:val="AERtextbold"/>
        </w:rPr>
      </w:pPr>
      <w:r w:rsidRPr="000A33B4">
        <w:rPr>
          <w:rStyle w:val="AERtextbold"/>
        </w:rPr>
        <w:lastRenderedPageBreak/>
        <w:t>© Commonwealth of Australia 2014</w:t>
      </w:r>
    </w:p>
    <w:p w:rsidR="00346D32" w:rsidRPr="000A33B4" w:rsidRDefault="00346D32" w:rsidP="00346D32">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346D32" w:rsidRPr="000A33B4" w:rsidRDefault="00346D32" w:rsidP="00346D32">
      <w:pPr>
        <w:pStyle w:val="AERbulletlistfirststyle"/>
      </w:pPr>
      <w:r w:rsidRPr="000A33B4">
        <w:t>the Commonwealth Coat of Arms</w:t>
      </w:r>
    </w:p>
    <w:p w:rsidR="00346D32" w:rsidRDefault="00346D32" w:rsidP="00346D32">
      <w:pPr>
        <w:pStyle w:val="AERbulletlistfirststyle"/>
      </w:pPr>
      <w:r w:rsidRPr="000A33B4">
        <w:t>the ACCC and AER logos</w:t>
      </w:r>
    </w:p>
    <w:p w:rsidR="00346D32" w:rsidRPr="000A33B4" w:rsidRDefault="00346D32" w:rsidP="00346D32">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346D32" w:rsidRPr="000A33B4" w:rsidRDefault="00346D32" w:rsidP="00346D32">
      <w:pPr>
        <w:pStyle w:val="AERbodytext"/>
      </w:pPr>
      <w:r w:rsidRPr="000A33B4">
        <w:t>The details of the relevant licence conditions are available on the Creative Commons website, as is the full legal code for the CC BY 3.0 AU licence.</w:t>
      </w:r>
    </w:p>
    <w:p w:rsidR="00346D32" w:rsidRPr="000A33B4" w:rsidRDefault="00346D32" w:rsidP="00346D32">
      <w:pPr>
        <w:pStyle w:val="AERbodytext"/>
      </w:pPr>
      <w:r w:rsidRPr="000A33B4">
        <w:t>Requests and inquiries concerning reproduction and rights should be addressed to the Director, Corporate Communications, ACCC, GPO Box 3131, Canberra ACT 2601, or</w:t>
      </w:r>
    </w:p>
    <w:p w:rsidR="00346D32" w:rsidRPr="000A33B4" w:rsidRDefault="00346D32" w:rsidP="00346D32">
      <w:pPr>
        <w:pStyle w:val="AERbodytext"/>
      </w:pPr>
      <w:r w:rsidRPr="000A33B4">
        <w:t xml:space="preserve"> </w:t>
      </w:r>
      <w:r>
        <w:tab/>
      </w:r>
      <w:hyperlink r:id="rId9" w:history="1">
        <w:r w:rsidRPr="000A33B4">
          <w:t>publishing.unit@accc.gov.au</w:t>
        </w:r>
      </w:hyperlink>
      <w:r w:rsidRPr="000A33B4">
        <w:t xml:space="preserve"> .</w:t>
      </w:r>
    </w:p>
    <w:p w:rsidR="00346D32" w:rsidRPr="000A33B4" w:rsidRDefault="00346D32" w:rsidP="00346D32">
      <w:pPr>
        <w:pStyle w:val="AERbodytext"/>
      </w:pPr>
      <w:r w:rsidRPr="000A33B4">
        <w:t>Inquiries about this document should be addressed to:</w:t>
      </w:r>
    </w:p>
    <w:p w:rsidR="00346D32" w:rsidRPr="000A33B4" w:rsidRDefault="00346D32" w:rsidP="00346D32">
      <w:pPr>
        <w:pStyle w:val="AERbodytextnospace"/>
      </w:pPr>
      <w:r w:rsidRPr="000A33B4">
        <w:t>Australian Energy Regulator</w:t>
      </w:r>
    </w:p>
    <w:p w:rsidR="00346D32" w:rsidRPr="000A33B4" w:rsidRDefault="00346D32" w:rsidP="00346D32">
      <w:pPr>
        <w:pStyle w:val="AERbodytextnospace"/>
      </w:pPr>
      <w:r w:rsidRPr="000A33B4">
        <w:t>GPO Box 520</w:t>
      </w:r>
    </w:p>
    <w:p w:rsidR="00346D32" w:rsidRPr="000A33B4" w:rsidRDefault="00346D32" w:rsidP="00346D32">
      <w:pPr>
        <w:pStyle w:val="AERbodytextnospace"/>
      </w:pPr>
      <w:r w:rsidRPr="000A33B4">
        <w:t>Melbourne  Vic  3001</w:t>
      </w:r>
    </w:p>
    <w:p w:rsidR="00346D32" w:rsidRPr="000A33B4" w:rsidRDefault="00346D32" w:rsidP="00346D32">
      <w:pPr>
        <w:pStyle w:val="AERbodytextnospace"/>
      </w:pPr>
      <w:r w:rsidRPr="000A33B4">
        <w:t>Tel: (03) 9290 1444</w:t>
      </w:r>
    </w:p>
    <w:p w:rsidR="00346D32" w:rsidRPr="000A33B4" w:rsidRDefault="00346D32" w:rsidP="00346D32">
      <w:pPr>
        <w:pStyle w:val="AERbodytextnospace"/>
      </w:pPr>
      <w:r w:rsidRPr="000A33B4">
        <w:t>Fax: (03) 9290 1457</w:t>
      </w:r>
    </w:p>
    <w:p w:rsidR="00346D32" w:rsidRPr="000A33B4" w:rsidRDefault="00346D32" w:rsidP="00346D32">
      <w:pPr>
        <w:pStyle w:val="AERbodytextnospace"/>
      </w:pPr>
      <w:r w:rsidRPr="000A33B4">
        <w:t xml:space="preserve">Email: </w:t>
      </w:r>
      <w:hyperlink r:id="rId10" w:history="1">
        <w:r w:rsidRPr="000A33B4">
          <w:rPr>
            <w:rStyle w:val="Hyperlink"/>
          </w:rPr>
          <w:t>AERInquiry@aer.gov.au</w:t>
        </w:r>
      </w:hyperlink>
    </w:p>
    <w:p w:rsidR="00346D32" w:rsidRPr="000A33B4" w:rsidRDefault="00346D32" w:rsidP="00346D32">
      <w:pPr>
        <w:pStyle w:val="AERbodytext"/>
      </w:pPr>
    </w:p>
    <w:p w:rsidR="00346D32" w:rsidRDefault="00346D32" w:rsidP="00346D32">
      <w:pPr>
        <w:pStyle w:val="AERbodytext"/>
        <w:rPr>
          <w:rStyle w:val="AERbody"/>
        </w:rPr>
      </w:pPr>
      <w:r w:rsidRPr="000A33B4">
        <w:t>AER reference</w:t>
      </w:r>
      <w:r w:rsidRPr="000A33B4">
        <w:rPr>
          <w:rStyle w:val="AERbody"/>
        </w:rPr>
        <w:t xml:space="preserve">:  </w:t>
      </w:r>
      <w:r w:rsidR="00A82897">
        <w:rPr>
          <w:rStyle w:val="AERbody"/>
        </w:rPr>
        <w:t>5229</w:t>
      </w:r>
      <w:r>
        <w:rPr>
          <w:rStyle w:val="AERbody"/>
        </w:rPr>
        <w:t>4</w:t>
      </w:r>
    </w:p>
    <w:p w:rsidR="00346D32" w:rsidRDefault="00346D32" w:rsidP="00346D32">
      <w:pPr>
        <w:pStyle w:val="UnnumberedHeading"/>
        <w:numPr>
          <w:ilvl w:val="0"/>
          <w:numId w:val="2"/>
        </w:numPr>
      </w:pPr>
      <w:bookmarkStart w:id="2" w:name="_Toc404354899"/>
      <w:r>
        <w:lastRenderedPageBreak/>
        <w:t>Note</w:t>
      </w:r>
      <w:bookmarkEnd w:id="2"/>
    </w:p>
    <w:p w:rsidR="00346D32" w:rsidRDefault="00346D32" w:rsidP="00346D32">
      <w:pPr>
        <w:pStyle w:val="AERbodytext"/>
      </w:pPr>
      <w:r>
        <w:t xml:space="preserve">This attachment forms part of the AER's draft decision on </w:t>
      </w:r>
      <w:r w:rsidR="000A7330">
        <w:t>Ausgrid</w:t>
      </w:r>
      <w:r>
        <w:t>’s 2015–19 distribution determination. It should be read with other parts of the draft decision.</w:t>
      </w:r>
    </w:p>
    <w:p w:rsidR="00346D32" w:rsidRDefault="00346D32" w:rsidP="00346D32">
      <w:pPr>
        <w:pStyle w:val="AERbodytext"/>
      </w:pPr>
      <w:r>
        <w:t>The draft decision includes the following documents:</w:t>
      </w:r>
    </w:p>
    <w:p w:rsidR="00346D32" w:rsidRDefault="00346D32" w:rsidP="00346D32">
      <w:pPr>
        <w:pStyle w:val="AERbodytext"/>
      </w:pPr>
      <w:r>
        <w:t>Overview</w:t>
      </w:r>
    </w:p>
    <w:p w:rsidR="00346D32" w:rsidRDefault="00346D32" w:rsidP="00346D32">
      <w:pPr>
        <w:pStyle w:val="AERbodytext"/>
      </w:pPr>
      <w:r>
        <w:t>Attachment 1 – Annual revenue requirement</w:t>
      </w:r>
    </w:p>
    <w:p w:rsidR="00346D32" w:rsidRDefault="00346D32" w:rsidP="00346D32">
      <w:pPr>
        <w:pStyle w:val="AERbodytext"/>
      </w:pPr>
      <w:r>
        <w:t>Attachment 2 – Regulatory asset base</w:t>
      </w:r>
    </w:p>
    <w:p w:rsidR="00346D32" w:rsidRDefault="00346D32" w:rsidP="00346D32">
      <w:pPr>
        <w:pStyle w:val="AERbodytext"/>
      </w:pPr>
      <w:r>
        <w:t>Attachment 3 – Rate of return</w:t>
      </w:r>
    </w:p>
    <w:p w:rsidR="00346D32" w:rsidRDefault="00346D32" w:rsidP="00346D32">
      <w:pPr>
        <w:pStyle w:val="AERbodytext"/>
      </w:pPr>
      <w:r>
        <w:t>Attachment 4 – Value of imputation credits</w:t>
      </w:r>
    </w:p>
    <w:p w:rsidR="00346D32" w:rsidRDefault="00346D32" w:rsidP="00346D32">
      <w:pPr>
        <w:pStyle w:val="AERbodytext"/>
      </w:pPr>
      <w:r>
        <w:t>Attachment 5 – Regulatory depreciation</w:t>
      </w:r>
    </w:p>
    <w:p w:rsidR="00346D32" w:rsidRDefault="00346D32" w:rsidP="00346D32">
      <w:pPr>
        <w:pStyle w:val="AERbodytext"/>
      </w:pPr>
      <w:r>
        <w:t xml:space="preserve">Attachment 6 – Capital expenditure </w:t>
      </w:r>
    </w:p>
    <w:p w:rsidR="00346D32" w:rsidRDefault="00346D32" w:rsidP="00346D32">
      <w:pPr>
        <w:pStyle w:val="AERbodytext"/>
      </w:pPr>
      <w:r>
        <w:t>Attachment 7 – Operating expenditure</w:t>
      </w:r>
    </w:p>
    <w:p w:rsidR="00346D32" w:rsidRDefault="00346D32" w:rsidP="00346D32">
      <w:pPr>
        <w:pStyle w:val="AERbodytext"/>
      </w:pPr>
      <w:r>
        <w:t>Attachment 8 – Corporate income tax</w:t>
      </w:r>
    </w:p>
    <w:p w:rsidR="00346D32" w:rsidRDefault="00346D32" w:rsidP="00346D32">
      <w:pPr>
        <w:pStyle w:val="AERbodytext"/>
      </w:pPr>
      <w:r>
        <w:t>Attachment 9 – Efficiency benefit sharing scheme</w:t>
      </w:r>
    </w:p>
    <w:p w:rsidR="00346D32" w:rsidRDefault="00346D32" w:rsidP="00346D32">
      <w:pPr>
        <w:pStyle w:val="AERbodytext"/>
      </w:pPr>
      <w:r>
        <w:t>Attachment 10 – Capital expenditure sharing scheme</w:t>
      </w:r>
    </w:p>
    <w:p w:rsidR="00346D32" w:rsidRDefault="00346D32" w:rsidP="00346D32">
      <w:pPr>
        <w:pStyle w:val="AERbodytext"/>
      </w:pPr>
      <w:r>
        <w:t>Attachment 11 – Service target performance incentive scheme</w:t>
      </w:r>
    </w:p>
    <w:p w:rsidR="00346D32" w:rsidRDefault="00346D32" w:rsidP="00346D32">
      <w:pPr>
        <w:pStyle w:val="AERbodytext"/>
      </w:pPr>
      <w:r>
        <w:t>Attachment 12 – Demand management incentive scheme</w:t>
      </w:r>
    </w:p>
    <w:p w:rsidR="00346D32" w:rsidRDefault="00346D32" w:rsidP="00346D32">
      <w:pPr>
        <w:pStyle w:val="AERbodytext"/>
      </w:pPr>
      <w:r>
        <w:t>Attachment 13 – Classification of services</w:t>
      </w:r>
    </w:p>
    <w:p w:rsidR="00346D32" w:rsidRDefault="00346D32" w:rsidP="00346D32">
      <w:pPr>
        <w:pStyle w:val="AERbodytext"/>
      </w:pPr>
      <w:r>
        <w:t>Attachment 14 – Control mechanism</w:t>
      </w:r>
    </w:p>
    <w:p w:rsidR="00346D32" w:rsidRDefault="00346D32" w:rsidP="00346D32">
      <w:pPr>
        <w:pStyle w:val="AERbodytext"/>
      </w:pPr>
      <w:r>
        <w:t>Attachment 15 – Pass through events</w:t>
      </w:r>
    </w:p>
    <w:p w:rsidR="00346D32" w:rsidRDefault="00346D32" w:rsidP="00346D32">
      <w:pPr>
        <w:pStyle w:val="AERbodytext"/>
      </w:pPr>
      <w:r>
        <w:t>Attachment 16 – Alternative control services</w:t>
      </w:r>
    </w:p>
    <w:p w:rsidR="00346D32" w:rsidRDefault="00346D32" w:rsidP="00346D32">
      <w:pPr>
        <w:pStyle w:val="AERbodytext"/>
      </w:pPr>
      <w:r>
        <w:t>Attachment 17 – Negotiated services framework and criteria</w:t>
      </w:r>
    </w:p>
    <w:p w:rsidR="00346D32" w:rsidRPr="008B6C33" w:rsidRDefault="00346D32" w:rsidP="00346D32">
      <w:pPr>
        <w:pStyle w:val="AERbodytext"/>
      </w:pPr>
      <w:r>
        <w:t>Attachment 18 – Connection methodology</w:t>
      </w:r>
    </w:p>
    <w:p w:rsidR="00346D32" w:rsidRPr="000A33B4" w:rsidRDefault="00346D32" w:rsidP="00346D32">
      <w:pPr>
        <w:pStyle w:val="AERbodytext"/>
      </w:pPr>
      <w:r>
        <w:t>Attachment 19 – Pricing methodology</w:t>
      </w:r>
    </w:p>
    <w:p w:rsidR="00346D32" w:rsidRPr="00223CC4" w:rsidRDefault="00346D32" w:rsidP="00346D32">
      <w:r>
        <w:br w:type="page"/>
      </w:r>
    </w:p>
    <w:p w:rsidR="00346D32" w:rsidRDefault="00346D32" w:rsidP="00346D32">
      <w:pPr>
        <w:pStyle w:val="UnnumberedHeading"/>
        <w:numPr>
          <w:ilvl w:val="0"/>
          <w:numId w:val="2"/>
        </w:numPr>
      </w:pPr>
      <w:bookmarkStart w:id="3" w:name="_Toc404354900"/>
      <w:r>
        <w:lastRenderedPageBreak/>
        <w:t>Contents</w:t>
      </w:r>
      <w:bookmarkEnd w:id="3"/>
    </w:p>
    <w:sdt>
      <w:sdtPr>
        <w:rPr>
          <w:b w:val="0"/>
          <w:bCs w:val="0"/>
        </w:rPr>
        <w:id w:val="1388831217"/>
        <w:docPartObj>
          <w:docPartGallery w:val="Table of Contents"/>
          <w:docPartUnique/>
        </w:docPartObj>
      </w:sdtPr>
      <w:sdtEndPr>
        <w:rPr>
          <w:b/>
          <w:bCs/>
        </w:rPr>
      </w:sdtEndPr>
      <w:sdtContent>
        <w:p w:rsidR="000A7330" w:rsidRDefault="00346D32">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"1-3" \h \z \u \t "Heading 7,1,Heading 8,2,Heading 9,3" </w:instrText>
          </w:r>
          <w:r>
            <w:rPr>
              <w:lang w:val="en-US" w:eastAsia="ja-JP"/>
            </w:rPr>
            <w:fldChar w:fldCharType="separate"/>
          </w:r>
          <w:hyperlink w:anchor="_Toc404354899" w:history="1">
            <w:r w:rsidR="000A7330" w:rsidRPr="008A7EDE">
              <w:rPr>
                <w:rStyle w:val="Hyperlink"/>
                <w:noProof/>
              </w:rPr>
              <w:t>Note</w:t>
            </w:r>
            <w:r w:rsidR="000A7330">
              <w:rPr>
                <w:noProof/>
                <w:webHidden/>
              </w:rPr>
              <w:tab/>
            </w:r>
            <w:r w:rsidR="000A7330">
              <w:rPr>
                <w:noProof/>
                <w:webHidden/>
              </w:rPr>
              <w:fldChar w:fldCharType="begin"/>
            </w:r>
            <w:r w:rsidR="000A7330">
              <w:rPr>
                <w:noProof/>
                <w:webHidden/>
              </w:rPr>
              <w:instrText xml:space="preserve"> PAGEREF _Toc404354899 \h </w:instrText>
            </w:r>
            <w:r w:rsidR="000A7330">
              <w:rPr>
                <w:noProof/>
                <w:webHidden/>
              </w:rPr>
            </w:r>
            <w:r w:rsidR="000A7330">
              <w:rPr>
                <w:noProof/>
                <w:webHidden/>
              </w:rPr>
              <w:fldChar w:fldCharType="separate"/>
            </w:r>
            <w:r w:rsidR="00382E4F">
              <w:rPr>
                <w:noProof/>
                <w:webHidden/>
              </w:rPr>
              <w:t>1-3</w:t>
            </w:r>
            <w:r w:rsidR="000A7330">
              <w:rPr>
                <w:noProof/>
                <w:webHidden/>
              </w:rPr>
              <w:fldChar w:fldCharType="end"/>
            </w:r>
          </w:hyperlink>
        </w:p>
        <w:p w:rsidR="000A7330" w:rsidRDefault="00E9143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54900" w:history="1">
            <w:r w:rsidR="000A7330" w:rsidRPr="008A7EDE">
              <w:rPr>
                <w:rStyle w:val="Hyperlink"/>
                <w:noProof/>
              </w:rPr>
              <w:t>Contents</w:t>
            </w:r>
            <w:r w:rsidR="000A7330">
              <w:rPr>
                <w:noProof/>
                <w:webHidden/>
              </w:rPr>
              <w:tab/>
            </w:r>
            <w:r w:rsidR="000A7330">
              <w:rPr>
                <w:noProof/>
                <w:webHidden/>
              </w:rPr>
              <w:fldChar w:fldCharType="begin"/>
            </w:r>
            <w:r w:rsidR="000A7330">
              <w:rPr>
                <w:noProof/>
                <w:webHidden/>
              </w:rPr>
              <w:instrText xml:space="preserve"> PAGEREF _Toc404354900 \h </w:instrText>
            </w:r>
            <w:r w:rsidR="000A7330">
              <w:rPr>
                <w:noProof/>
                <w:webHidden/>
              </w:rPr>
            </w:r>
            <w:r w:rsidR="000A7330">
              <w:rPr>
                <w:noProof/>
                <w:webHidden/>
              </w:rPr>
              <w:fldChar w:fldCharType="separate"/>
            </w:r>
            <w:r w:rsidR="00382E4F">
              <w:rPr>
                <w:noProof/>
                <w:webHidden/>
              </w:rPr>
              <w:t>1-4</w:t>
            </w:r>
            <w:r w:rsidR="000A7330">
              <w:rPr>
                <w:noProof/>
                <w:webHidden/>
              </w:rPr>
              <w:fldChar w:fldCharType="end"/>
            </w:r>
          </w:hyperlink>
        </w:p>
        <w:p w:rsidR="000A7330" w:rsidRDefault="00E9143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54901" w:history="1">
            <w:r w:rsidR="000A7330" w:rsidRPr="008A7EDE">
              <w:rPr>
                <w:rStyle w:val="Hyperlink"/>
                <w:noProof/>
              </w:rPr>
              <w:t>Shortened forms</w:t>
            </w:r>
            <w:r w:rsidR="000A7330">
              <w:rPr>
                <w:noProof/>
                <w:webHidden/>
              </w:rPr>
              <w:tab/>
            </w:r>
            <w:r w:rsidR="000A7330">
              <w:rPr>
                <w:noProof/>
                <w:webHidden/>
              </w:rPr>
              <w:fldChar w:fldCharType="begin"/>
            </w:r>
            <w:r w:rsidR="000A7330">
              <w:rPr>
                <w:noProof/>
                <w:webHidden/>
              </w:rPr>
              <w:instrText xml:space="preserve"> PAGEREF _Toc404354901 \h </w:instrText>
            </w:r>
            <w:r w:rsidR="000A7330">
              <w:rPr>
                <w:noProof/>
                <w:webHidden/>
              </w:rPr>
            </w:r>
            <w:r w:rsidR="000A7330">
              <w:rPr>
                <w:noProof/>
                <w:webHidden/>
              </w:rPr>
              <w:fldChar w:fldCharType="separate"/>
            </w:r>
            <w:r w:rsidR="00382E4F">
              <w:rPr>
                <w:noProof/>
                <w:webHidden/>
              </w:rPr>
              <w:t>1-5</w:t>
            </w:r>
            <w:r w:rsidR="000A7330">
              <w:rPr>
                <w:noProof/>
                <w:webHidden/>
              </w:rPr>
              <w:fldChar w:fldCharType="end"/>
            </w:r>
          </w:hyperlink>
        </w:p>
        <w:p w:rsidR="000A7330" w:rsidRDefault="00E9143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354902" w:history="1">
            <w:r w:rsidR="000A7330" w:rsidRPr="008A7EDE">
              <w:rPr>
                <w:rStyle w:val="Hyperlink"/>
                <w:noProof/>
              </w:rPr>
              <w:t>1</w:t>
            </w:r>
            <w:r w:rsidR="000A7330">
              <w:rPr>
                <w:rFonts w:asciiTheme="minorHAnsi" w:eastAsiaTheme="minorEastAsia" w:hAnsiTheme="minorHAnsi" w:cstheme="minorBidi"/>
                <w:b w:val="0"/>
                <w:bCs w:val="0"/>
                <w:noProof/>
                <w:sz w:val="22"/>
                <w:szCs w:val="22"/>
                <w:lang w:eastAsia="en-AU"/>
              </w:rPr>
              <w:tab/>
            </w:r>
            <w:r w:rsidR="000A7330" w:rsidRPr="008A7EDE">
              <w:rPr>
                <w:rStyle w:val="Hyperlink"/>
                <w:noProof/>
              </w:rPr>
              <w:t>Annual revenue requirement</w:t>
            </w:r>
            <w:r w:rsidR="000A7330">
              <w:rPr>
                <w:noProof/>
                <w:webHidden/>
              </w:rPr>
              <w:tab/>
            </w:r>
            <w:r w:rsidR="000A7330">
              <w:rPr>
                <w:noProof/>
                <w:webHidden/>
              </w:rPr>
              <w:fldChar w:fldCharType="begin"/>
            </w:r>
            <w:r w:rsidR="000A7330">
              <w:rPr>
                <w:noProof/>
                <w:webHidden/>
              </w:rPr>
              <w:instrText xml:space="preserve"> PAGEREF _Toc404354902 \h </w:instrText>
            </w:r>
            <w:r w:rsidR="000A7330">
              <w:rPr>
                <w:noProof/>
                <w:webHidden/>
              </w:rPr>
            </w:r>
            <w:r w:rsidR="000A7330">
              <w:rPr>
                <w:noProof/>
                <w:webHidden/>
              </w:rPr>
              <w:fldChar w:fldCharType="separate"/>
            </w:r>
            <w:r w:rsidR="00382E4F">
              <w:rPr>
                <w:noProof/>
                <w:webHidden/>
              </w:rPr>
              <w:t>1-7</w:t>
            </w:r>
            <w:r w:rsidR="000A7330">
              <w:rPr>
                <w:noProof/>
                <w:webHidden/>
              </w:rPr>
              <w:fldChar w:fldCharType="end"/>
            </w:r>
          </w:hyperlink>
        </w:p>
        <w:p w:rsidR="000A7330" w:rsidRDefault="00E9143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54903" w:history="1">
            <w:r w:rsidR="000A7330" w:rsidRPr="008A7EDE">
              <w:rPr>
                <w:rStyle w:val="Hyperlink"/>
                <w:noProof/>
              </w:rPr>
              <w:t>1.1</w:t>
            </w:r>
            <w:r w:rsidR="000A7330">
              <w:rPr>
                <w:rFonts w:asciiTheme="minorHAnsi" w:eastAsiaTheme="minorEastAsia" w:hAnsiTheme="minorHAnsi" w:cstheme="minorBidi"/>
                <w:iCs w:val="0"/>
                <w:noProof/>
                <w:sz w:val="22"/>
                <w:szCs w:val="22"/>
                <w:lang w:eastAsia="en-AU"/>
              </w:rPr>
              <w:tab/>
            </w:r>
            <w:r w:rsidR="000A7330" w:rsidRPr="008A7EDE">
              <w:rPr>
                <w:rStyle w:val="Hyperlink"/>
                <w:noProof/>
              </w:rPr>
              <w:t>Draft decision</w:t>
            </w:r>
            <w:r w:rsidR="000A7330">
              <w:rPr>
                <w:noProof/>
                <w:webHidden/>
              </w:rPr>
              <w:tab/>
            </w:r>
            <w:r w:rsidR="000A7330">
              <w:rPr>
                <w:noProof/>
                <w:webHidden/>
              </w:rPr>
              <w:fldChar w:fldCharType="begin"/>
            </w:r>
            <w:r w:rsidR="000A7330">
              <w:rPr>
                <w:noProof/>
                <w:webHidden/>
              </w:rPr>
              <w:instrText xml:space="preserve"> PAGEREF _Toc404354903 \h </w:instrText>
            </w:r>
            <w:r w:rsidR="000A7330">
              <w:rPr>
                <w:noProof/>
                <w:webHidden/>
              </w:rPr>
            </w:r>
            <w:r w:rsidR="000A7330">
              <w:rPr>
                <w:noProof/>
                <w:webHidden/>
              </w:rPr>
              <w:fldChar w:fldCharType="separate"/>
            </w:r>
            <w:r w:rsidR="00382E4F">
              <w:rPr>
                <w:noProof/>
                <w:webHidden/>
              </w:rPr>
              <w:t>1-7</w:t>
            </w:r>
            <w:r w:rsidR="000A7330">
              <w:rPr>
                <w:noProof/>
                <w:webHidden/>
              </w:rPr>
              <w:fldChar w:fldCharType="end"/>
            </w:r>
          </w:hyperlink>
        </w:p>
        <w:p w:rsidR="000A7330" w:rsidRDefault="00E9143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54904" w:history="1">
            <w:r w:rsidR="000A7330" w:rsidRPr="008A7EDE">
              <w:rPr>
                <w:rStyle w:val="Hyperlink"/>
                <w:noProof/>
              </w:rPr>
              <w:t>1.2</w:t>
            </w:r>
            <w:r w:rsidR="000A7330">
              <w:rPr>
                <w:rFonts w:asciiTheme="minorHAnsi" w:eastAsiaTheme="minorEastAsia" w:hAnsiTheme="minorHAnsi" w:cstheme="minorBidi"/>
                <w:iCs w:val="0"/>
                <w:noProof/>
                <w:sz w:val="22"/>
                <w:szCs w:val="22"/>
                <w:lang w:eastAsia="en-AU"/>
              </w:rPr>
              <w:tab/>
            </w:r>
            <w:r w:rsidR="000A7330" w:rsidRPr="008A7EDE">
              <w:rPr>
                <w:rStyle w:val="Hyperlink"/>
                <w:noProof/>
              </w:rPr>
              <w:t>Ausgrid's proposal</w:t>
            </w:r>
            <w:r w:rsidR="000A7330">
              <w:rPr>
                <w:noProof/>
                <w:webHidden/>
              </w:rPr>
              <w:tab/>
            </w:r>
            <w:r w:rsidR="000A7330">
              <w:rPr>
                <w:noProof/>
                <w:webHidden/>
              </w:rPr>
              <w:fldChar w:fldCharType="begin"/>
            </w:r>
            <w:r w:rsidR="000A7330">
              <w:rPr>
                <w:noProof/>
                <w:webHidden/>
              </w:rPr>
              <w:instrText xml:space="preserve"> PAGEREF _Toc404354904 \h </w:instrText>
            </w:r>
            <w:r w:rsidR="000A7330">
              <w:rPr>
                <w:noProof/>
                <w:webHidden/>
              </w:rPr>
            </w:r>
            <w:r w:rsidR="000A7330">
              <w:rPr>
                <w:noProof/>
                <w:webHidden/>
              </w:rPr>
              <w:fldChar w:fldCharType="separate"/>
            </w:r>
            <w:r w:rsidR="00382E4F">
              <w:rPr>
                <w:noProof/>
                <w:webHidden/>
              </w:rPr>
              <w:t>1-10</w:t>
            </w:r>
            <w:r w:rsidR="000A7330">
              <w:rPr>
                <w:noProof/>
                <w:webHidden/>
              </w:rPr>
              <w:fldChar w:fldCharType="end"/>
            </w:r>
          </w:hyperlink>
        </w:p>
        <w:p w:rsidR="000A7330" w:rsidRDefault="00E9143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54905" w:history="1">
            <w:r w:rsidR="000A7330" w:rsidRPr="008A7EDE">
              <w:rPr>
                <w:rStyle w:val="Hyperlink"/>
                <w:noProof/>
              </w:rPr>
              <w:t>1.3</w:t>
            </w:r>
            <w:r w:rsidR="000A7330">
              <w:rPr>
                <w:rFonts w:asciiTheme="minorHAnsi" w:eastAsiaTheme="minorEastAsia" w:hAnsiTheme="minorHAnsi" w:cstheme="minorBidi"/>
                <w:iCs w:val="0"/>
                <w:noProof/>
                <w:sz w:val="22"/>
                <w:szCs w:val="22"/>
                <w:lang w:eastAsia="en-AU"/>
              </w:rPr>
              <w:tab/>
            </w:r>
            <w:r w:rsidR="000A7330" w:rsidRPr="008A7EDE">
              <w:rPr>
                <w:rStyle w:val="Hyperlink"/>
                <w:noProof/>
              </w:rPr>
              <w:t>AER's assessment approach</w:t>
            </w:r>
            <w:r w:rsidR="000A7330">
              <w:rPr>
                <w:noProof/>
                <w:webHidden/>
              </w:rPr>
              <w:tab/>
            </w:r>
            <w:r w:rsidR="000A7330">
              <w:rPr>
                <w:noProof/>
                <w:webHidden/>
              </w:rPr>
              <w:fldChar w:fldCharType="begin"/>
            </w:r>
            <w:r w:rsidR="000A7330">
              <w:rPr>
                <w:noProof/>
                <w:webHidden/>
              </w:rPr>
              <w:instrText xml:space="preserve"> PAGEREF _Toc404354905 \h </w:instrText>
            </w:r>
            <w:r w:rsidR="000A7330">
              <w:rPr>
                <w:noProof/>
                <w:webHidden/>
              </w:rPr>
            </w:r>
            <w:r w:rsidR="000A7330">
              <w:rPr>
                <w:noProof/>
                <w:webHidden/>
              </w:rPr>
              <w:fldChar w:fldCharType="separate"/>
            </w:r>
            <w:r w:rsidR="00382E4F">
              <w:rPr>
                <w:noProof/>
                <w:webHidden/>
              </w:rPr>
              <w:t>1-11</w:t>
            </w:r>
            <w:r w:rsidR="000A7330">
              <w:rPr>
                <w:noProof/>
                <w:webHidden/>
              </w:rPr>
              <w:fldChar w:fldCharType="end"/>
            </w:r>
          </w:hyperlink>
        </w:p>
        <w:p w:rsidR="000A7330" w:rsidRDefault="00E9143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54906" w:history="1">
            <w:r w:rsidR="000A7330" w:rsidRPr="008A7EDE">
              <w:rPr>
                <w:rStyle w:val="Hyperlink"/>
                <w:noProof/>
              </w:rPr>
              <w:t>1.3.1</w:t>
            </w:r>
            <w:r w:rsidR="000A7330">
              <w:rPr>
                <w:rFonts w:asciiTheme="minorHAnsi" w:eastAsiaTheme="minorEastAsia" w:hAnsiTheme="minorHAnsi" w:cstheme="minorBidi"/>
                <w:noProof/>
                <w:sz w:val="22"/>
                <w:szCs w:val="22"/>
                <w:lang w:eastAsia="en-AU"/>
              </w:rPr>
              <w:tab/>
            </w:r>
            <w:r w:rsidR="000A7330" w:rsidRPr="008A7EDE">
              <w:rPr>
                <w:rStyle w:val="Hyperlink"/>
                <w:noProof/>
              </w:rPr>
              <w:t>The building block costs</w:t>
            </w:r>
            <w:r w:rsidR="000A7330">
              <w:rPr>
                <w:noProof/>
                <w:webHidden/>
              </w:rPr>
              <w:tab/>
            </w:r>
            <w:r w:rsidR="000A7330">
              <w:rPr>
                <w:noProof/>
                <w:webHidden/>
              </w:rPr>
              <w:fldChar w:fldCharType="begin"/>
            </w:r>
            <w:r w:rsidR="000A7330">
              <w:rPr>
                <w:noProof/>
                <w:webHidden/>
              </w:rPr>
              <w:instrText xml:space="preserve"> PAGEREF _Toc404354906 \h </w:instrText>
            </w:r>
            <w:r w:rsidR="000A7330">
              <w:rPr>
                <w:noProof/>
                <w:webHidden/>
              </w:rPr>
            </w:r>
            <w:r w:rsidR="000A7330">
              <w:rPr>
                <w:noProof/>
                <w:webHidden/>
              </w:rPr>
              <w:fldChar w:fldCharType="separate"/>
            </w:r>
            <w:r w:rsidR="00382E4F">
              <w:rPr>
                <w:noProof/>
                <w:webHidden/>
              </w:rPr>
              <w:t>1-12</w:t>
            </w:r>
            <w:r w:rsidR="000A7330">
              <w:rPr>
                <w:noProof/>
                <w:webHidden/>
              </w:rPr>
              <w:fldChar w:fldCharType="end"/>
            </w:r>
          </w:hyperlink>
        </w:p>
        <w:p w:rsidR="000A7330" w:rsidRDefault="00E9143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54907" w:history="1">
            <w:r w:rsidR="000A7330" w:rsidRPr="008A7EDE">
              <w:rPr>
                <w:rStyle w:val="Hyperlink"/>
                <w:noProof/>
              </w:rPr>
              <w:t>1.3.2</w:t>
            </w:r>
            <w:r w:rsidR="000A7330">
              <w:rPr>
                <w:rFonts w:asciiTheme="minorHAnsi" w:eastAsiaTheme="minorEastAsia" w:hAnsiTheme="minorHAnsi" w:cstheme="minorBidi"/>
                <w:noProof/>
                <w:sz w:val="22"/>
                <w:szCs w:val="22"/>
                <w:lang w:eastAsia="en-AU"/>
              </w:rPr>
              <w:tab/>
            </w:r>
            <w:r w:rsidR="000A7330" w:rsidRPr="008A7EDE">
              <w:rPr>
                <w:rStyle w:val="Hyperlink"/>
                <w:noProof/>
              </w:rPr>
              <w:t>Placeholder revenue true-up for 2014–15</w:t>
            </w:r>
            <w:r w:rsidR="000A7330">
              <w:rPr>
                <w:noProof/>
                <w:webHidden/>
              </w:rPr>
              <w:tab/>
            </w:r>
            <w:r w:rsidR="000A7330">
              <w:rPr>
                <w:noProof/>
                <w:webHidden/>
              </w:rPr>
              <w:fldChar w:fldCharType="begin"/>
            </w:r>
            <w:r w:rsidR="000A7330">
              <w:rPr>
                <w:noProof/>
                <w:webHidden/>
              </w:rPr>
              <w:instrText xml:space="preserve"> PAGEREF _Toc404354907 \h </w:instrText>
            </w:r>
            <w:r w:rsidR="000A7330">
              <w:rPr>
                <w:noProof/>
                <w:webHidden/>
              </w:rPr>
            </w:r>
            <w:r w:rsidR="000A7330">
              <w:rPr>
                <w:noProof/>
                <w:webHidden/>
              </w:rPr>
              <w:fldChar w:fldCharType="separate"/>
            </w:r>
            <w:r w:rsidR="00382E4F">
              <w:rPr>
                <w:noProof/>
                <w:webHidden/>
              </w:rPr>
              <w:t>1-12</w:t>
            </w:r>
            <w:r w:rsidR="000A7330">
              <w:rPr>
                <w:noProof/>
                <w:webHidden/>
              </w:rPr>
              <w:fldChar w:fldCharType="end"/>
            </w:r>
          </w:hyperlink>
        </w:p>
        <w:p w:rsidR="000A7330" w:rsidRDefault="00E9143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54908" w:history="1">
            <w:r w:rsidR="000A7330" w:rsidRPr="008A7EDE">
              <w:rPr>
                <w:rStyle w:val="Hyperlink"/>
                <w:noProof/>
              </w:rPr>
              <w:t>1.4</w:t>
            </w:r>
            <w:r w:rsidR="000A7330">
              <w:rPr>
                <w:rFonts w:asciiTheme="minorHAnsi" w:eastAsiaTheme="minorEastAsia" w:hAnsiTheme="minorHAnsi" w:cstheme="minorBidi"/>
                <w:iCs w:val="0"/>
                <w:noProof/>
                <w:sz w:val="22"/>
                <w:szCs w:val="22"/>
                <w:lang w:eastAsia="en-AU"/>
              </w:rPr>
              <w:tab/>
            </w:r>
            <w:r w:rsidR="000A7330" w:rsidRPr="008A7EDE">
              <w:rPr>
                <w:rStyle w:val="Hyperlink"/>
                <w:noProof/>
              </w:rPr>
              <w:t>Reasons for draft decision</w:t>
            </w:r>
            <w:r w:rsidR="000A7330">
              <w:rPr>
                <w:noProof/>
                <w:webHidden/>
              </w:rPr>
              <w:tab/>
            </w:r>
            <w:r w:rsidR="000A7330">
              <w:rPr>
                <w:noProof/>
                <w:webHidden/>
              </w:rPr>
              <w:fldChar w:fldCharType="begin"/>
            </w:r>
            <w:r w:rsidR="000A7330">
              <w:rPr>
                <w:noProof/>
                <w:webHidden/>
              </w:rPr>
              <w:instrText xml:space="preserve"> PAGEREF _Toc404354908 \h </w:instrText>
            </w:r>
            <w:r w:rsidR="000A7330">
              <w:rPr>
                <w:noProof/>
                <w:webHidden/>
              </w:rPr>
            </w:r>
            <w:r w:rsidR="000A7330">
              <w:rPr>
                <w:noProof/>
                <w:webHidden/>
              </w:rPr>
              <w:fldChar w:fldCharType="separate"/>
            </w:r>
            <w:r w:rsidR="00382E4F">
              <w:rPr>
                <w:noProof/>
                <w:webHidden/>
              </w:rPr>
              <w:t>1-13</w:t>
            </w:r>
            <w:r w:rsidR="000A7330">
              <w:rPr>
                <w:noProof/>
                <w:webHidden/>
              </w:rPr>
              <w:fldChar w:fldCharType="end"/>
            </w:r>
          </w:hyperlink>
        </w:p>
        <w:p w:rsidR="000A7330" w:rsidRDefault="00E9143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54909" w:history="1">
            <w:r w:rsidR="000A7330" w:rsidRPr="008A7EDE">
              <w:rPr>
                <w:rStyle w:val="Hyperlink"/>
                <w:noProof/>
              </w:rPr>
              <w:t>1.4.1</w:t>
            </w:r>
            <w:r w:rsidR="000A7330">
              <w:rPr>
                <w:rFonts w:asciiTheme="minorHAnsi" w:eastAsiaTheme="minorEastAsia" w:hAnsiTheme="minorHAnsi" w:cstheme="minorBidi"/>
                <w:noProof/>
                <w:sz w:val="22"/>
                <w:szCs w:val="22"/>
                <w:lang w:eastAsia="en-AU"/>
              </w:rPr>
              <w:tab/>
            </w:r>
            <w:r w:rsidR="000A7330" w:rsidRPr="008A7EDE">
              <w:rPr>
                <w:rStyle w:val="Hyperlink"/>
                <w:noProof/>
              </w:rPr>
              <w:t>Revenue adjustment for transitional year</w:t>
            </w:r>
            <w:r w:rsidR="000A7330">
              <w:rPr>
                <w:noProof/>
                <w:webHidden/>
              </w:rPr>
              <w:tab/>
            </w:r>
            <w:r w:rsidR="000A7330">
              <w:rPr>
                <w:noProof/>
                <w:webHidden/>
              </w:rPr>
              <w:fldChar w:fldCharType="begin"/>
            </w:r>
            <w:r w:rsidR="000A7330">
              <w:rPr>
                <w:noProof/>
                <w:webHidden/>
              </w:rPr>
              <w:instrText xml:space="preserve"> PAGEREF _Toc404354909 \h </w:instrText>
            </w:r>
            <w:r w:rsidR="000A7330">
              <w:rPr>
                <w:noProof/>
                <w:webHidden/>
              </w:rPr>
            </w:r>
            <w:r w:rsidR="000A7330">
              <w:rPr>
                <w:noProof/>
                <w:webHidden/>
              </w:rPr>
              <w:fldChar w:fldCharType="separate"/>
            </w:r>
            <w:r w:rsidR="00382E4F">
              <w:rPr>
                <w:noProof/>
                <w:webHidden/>
              </w:rPr>
              <w:t>1-15</w:t>
            </w:r>
            <w:r w:rsidR="000A7330">
              <w:rPr>
                <w:noProof/>
                <w:webHidden/>
              </w:rPr>
              <w:fldChar w:fldCharType="end"/>
            </w:r>
          </w:hyperlink>
        </w:p>
        <w:p w:rsidR="000A7330" w:rsidRDefault="00E9143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54910" w:history="1">
            <w:r w:rsidR="000A7330" w:rsidRPr="008A7EDE">
              <w:rPr>
                <w:rStyle w:val="Hyperlink"/>
                <w:noProof/>
              </w:rPr>
              <w:t>1.4.2</w:t>
            </w:r>
            <w:r w:rsidR="000A7330">
              <w:rPr>
                <w:rFonts w:asciiTheme="minorHAnsi" w:eastAsiaTheme="minorEastAsia" w:hAnsiTheme="minorHAnsi" w:cstheme="minorBidi"/>
                <w:noProof/>
                <w:sz w:val="22"/>
                <w:szCs w:val="22"/>
                <w:lang w:eastAsia="en-AU"/>
              </w:rPr>
              <w:tab/>
            </w:r>
            <w:r w:rsidR="000A7330" w:rsidRPr="008A7EDE">
              <w:rPr>
                <w:rStyle w:val="Hyperlink"/>
                <w:noProof/>
              </w:rPr>
              <w:t>Indicative average distribution price impact</w:t>
            </w:r>
            <w:r w:rsidR="000A7330">
              <w:rPr>
                <w:noProof/>
                <w:webHidden/>
              </w:rPr>
              <w:tab/>
            </w:r>
            <w:r w:rsidR="000A7330">
              <w:rPr>
                <w:noProof/>
                <w:webHidden/>
              </w:rPr>
              <w:fldChar w:fldCharType="begin"/>
            </w:r>
            <w:r w:rsidR="000A7330">
              <w:rPr>
                <w:noProof/>
                <w:webHidden/>
              </w:rPr>
              <w:instrText xml:space="preserve"> PAGEREF _Toc404354910 \h </w:instrText>
            </w:r>
            <w:r w:rsidR="000A7330">
              <w:rPr>
                <w:noProof/>
                <w:webHidden/>
              </w:rPr>
            </w:r>
            <w:r w:rsidR="000A7330">
              <w:rPr>
                <w:noProof/>
                <w:webHidden/>
              </w:rPr>
              <w:fldChar w:fldCharType="separate"/>
            </w:r>
            <w:r w:rsidR="00382E4F">
              <w:rPr>
                <w:noProof/>
                <w:webHidden/>
              </w:rPr>
              <w:t>1-17</w:t>
            </w:r>
            <w:r w:rsidR="000A7330">
              <w:rPr>
                <w:noProof/>
                <w:webHidden/>
              </w:rPr>
              <w:fldChar w:fldCharType="end"/>
            </w:r>
          </w:hyperlink>
        </w:p>
        <w:p w:rsidR="000A7330" w:rsidRDefault="00E9143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54911" w:history="1">
            <w:r w:rsidR="000A7330" w:rsidRPr="008A7EDE">
              <w:rPr>
                <w:rStyle w:val="Hyperlink"/>
                <w:noProof/>
              </w:rPr>
              <w:t>1.4.3</w:t>
            </w:r>
            <w:r w:rsidR="000A7330">
              <w:rPr>
                <w:rFonts w:asciiTheme="minorHAnsi" w:eastAsiaTheme="minorEastAsia" w:hAnsiTheme="minorHAnsi" w:cstheme="minorBidi"/>
                <w:noProof/>
                <w:sz w:val="22"/>
                <w:szCs w:val="22"/>
                <w:lang w:eastAsia="en-AU"/>
              </w:rPr>
              <w:tab/>
            </w:r>
            <w:r w:rsidR="000A7330" w:rsidRPr="008A7EDE">
              <w:rPr>
                <w:rStyle w:val="Hyperlink"/>
                <w:noProof/>
              </w:rPr>
              <w:t>Shared assets</w:t>
            </w:r>
            <w:r w:rsidR="000A7330">
              <w:rPr>
                <w:noProof/>
                <w:webHidden/>
              </w:rPr>
              <w:tab/>
            </w:r>
            <w:r w:rsidR="000A7330">
              <w:rPr>
                <w:noProof/>
                <w:webHidden/>
              </w:rPr>
              <w:fldChar w:fldCharType="begin"/>
            </w:r>
            <w:r w:rsidR="000A7330">
              <w:rPr>
                <w:noProof/>
                <w:webHidden/>
              </w:rPr>
              <w:instrText xml:space="preserve"> PAGEREF _Toc404354911 \h </w:instrText>
            </w:r>
            <w:r w:rsidR="000A7330">
              <w:rPr>
                <w:noProof/>
                <w:webHidden/>
              </w:rPr>
            </w:r>
            <w:r w:rsidR="000A7330">
              <w:rPr>
                <w:noProof/>
                <w:webHidden/>
              </w:rPr>
              <w:fldChar w:fldCharType="separate"/>
            </w:r>
            <w:r w:rsidR="00382E4F">
              <w:rPr>
                <w:noProof/>
                <w:webHidden/>
              </w:rPr>
              <w:t>1-22</w:t>
            </w:r>
            <w:r w:rsidR="000A7330">
              <w:rPr>
                <w:noProof/>
                <w:webHidden/>
              </w:rPr>
              <w:fldChar w:fldCharType="end"/>
            </w:r>
          </w:hyperlink>
        </w:p>
        <w:p w:rsidR="00346D32" w:rsidRDefault="00346D32" w:rsidP="00346D32">
          <w:pPr>
            <w:pStyle w:val="TOC1"/>
            <w:tabs>
              <w:tab w:val="right" w:leader="dot" w:pos="9016"/>
            </w:tabs>
          </w:pPr>
          <w:r>
            <w:rPr>
              <w:lang w:val="en-US" w:eastAsia="ja-JP"/>
            </w:rPr>
            <w:fldChar w:fldCharType="end"/>
          </w:r>
        </w:p>
      </w:sdtContent>
    </w:sdt>
    <w:p w:rsidR="00346D32" w:rsidRDefault="00346D32" w:rsidP="00346D32"/>
    <w:p w:rsidR="00346D32" w:rsidRDefault="00346D32" w:rsidP="00346D32"/>
    <w:p w:rsidR="00346D32" w:rsidRDefault="00346D32" w:rsidP="00346D32"/>
    <w:p w:rsidR="00346D32" w:rsidRDefault="00346D32" w:rsidP="00346D32"/>
    <w:p w:rsidR="00346D32" w:rsidRDefault="00346D32" w:rsidP="00346D32">
      <w:pPr>
        <w:pStyle w:val="UnnumberedHeading"/>
        <w:numPr>
          <w:ilvl w:val="0"/>
          <w:numId w:val="2"/>
        </w:numPr>
      </w:pPr>
      <w:bookmarkStart w:id="4" w:name="_Toc402538524"/>
      <w:bookmarkStart w:id="5" w:name="_Toc404354901"/>
      <w:r>
        <w:lastRenderedPageBreak/>
        <w:t>Shortened forms</w:t>
      </w:r>
      <w:bookmarkEnd w:id="4"/>
      <w:bookmarkEnd w:id="5"/>
    </w:p>
    <w:tbl>
      <w:tblPr>
        <w:tblStyle w:val="AERtable-numbers"/>
        <w:tblW w:w="0" w:type="auto"/>
        <w:tblLook w:val="04A0" w:firstRow="1" w:lastRow="0" w:firstColumn="1" w:lastColumn="0" w:noHBand="0" w:noVBand="1"/>
      </w:tblPr>
      <w:tblGrid>
        <w:gridCol w:w="4621"/>
        <w:gridCol w:w="4621"/>
      </w:tblGrid>
      <w:tr w:rsidR="00346D32" w:rsidTr="00B66B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bookmarkEnd w:id="0"/>
          <w:p w:rsidR="00346D32" w:rsidRDefault="00346D32" w:rsidP="00B66BC0">
            <w:pPr>
              <w:pStyle w:val="AERbodytext"/>
            </w:pPr>
            <w:r>
              <w:t>Shortened form</w:t>
            </w:r>
          </w:p>
        </w:tc>
        <w:tc>
          <w:tcPr>
            <w:tcW w:w="4621" w:type="dxa"/>
          </w:tcPr>
          <w:p w:rsidR="00346D32" w:rsidRDefault="00346D32" w:rsidP="00B66BC0">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AARR</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AEMC</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AEMO</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AER</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ASRR</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augex</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capex</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CCP</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CESS</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CPI</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CPI-X</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DRP</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DMIA</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DMIS</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distributor</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DUoS</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EBSS</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ERP</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expenditure assessment guideline</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 xml:space="preserve">expenditure forecast assessment guideline for electricity </w:t>
            </w:r>
            <w:r w:rsidR="000B6509">
              <w:t>distribution</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F&amp;A</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MRP</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lastRenderedPageBreak/>
              <w:t>NEL</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NEM</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NEO</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NER</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NSP</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opex</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PPI</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PTRM</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RAB</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RBA</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repex</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RFM</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RIN</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RPP</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SAIDI</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SAIFI</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SLCAPM</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346D32" w:rsidTr="00B66BC0">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STPIS</w:t>
            </w:r>
          </w:p>
        </w:tc>
        <w:tc>
          <w:tcPr>
            <w:tcW w:w="4621" w:type="dxa"/>
          </w:tcPr>
          <w:p w:rsidR="00346D32" w:rsidRDefault="00346D32" w:rsidP="00B66BC0">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346D32"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D32" w:rsidRDefault="00346D32" w:rsidP="00B66BC0">
            <w:pPr>
              <w:pStyle w:val="AERbodytext"/>
            </w:pPr>
            <w:r>
              <w:t>WACC</w:t>
            </w:r>
          </w:p>
        </w:tc>
        <w:tc>
          <w:tcPr>
            <w:tcW w:w="4621" w:type="dxa"/>
          </w:tcPr>
          <w:p w:rsidR="00346D32" w:rsidRDefault="00346D32" w:rsidP="00B66BC0">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525604" w:rsidRDefault="002E3DA4" w:rsidP="00F37EDD">
      <w:pPr>
        <w:pStyle w:val="Heading1"/>
      </w:pPr>
      <w:bookmarkStart w:id="6" w:name="_Toc404354902"/>
      <w:r>
        <w:lastRenderedPageBreak/>
        <w:t>Annual revenue requirement</w:t>
      </w:r>
      <w:bookmarkEnd w:id="6"/>
    </w:p>
    <w:p w:rsidR="0094506C" w:rsidRDefault="0094506C" w:rsidP="0094506C">
      <w:pPr>
        <w:pStyle w:val="AERbodytext"/>
      </w:pPr>
      <w:r w:rsidRPr="0094506C">
        <w:t xml:space="preserve">The annual revenue requirement (ARR) is the amount that </w:t>
      </w:r>
      <w:r>
        <w:t>Ausgrid</w:t>
      </w:r>
      <w:r w:rsidRPr="0094506C">
        <w:t xml:space="preserve"> can recover from the provision of standard control services for each year of the regulatory control period. It is the sum of the various building block costs for each year of that period before smoothing. The ARRs are smoothed across the period to reduce fluctuations between years and to determine expected revenues for each year. These expected revenues are the amounts that </w:t>
      </w:r>
      <w:r>
        <w:t>Ausgrid</w:t>
      </w:r>
      <w:r w:rsidRPr="0094506C">
        <w:t xml:space="preserve"> will target for annual pricing purposes. This attachment sets out our draft decision on </w:t>
      </w:r>
      <w:r>
        <w:t>Ausgrid</w:t>
      </w:r>
      <w:r w:rsidRPr="0094506C">
        <w:t xml:space="preserve">'s ARRs </w:t>
      </w:r>
      <w:r w:rsidR="005F5692">
        <w:t xml:space="preserve">for the 2014–19 period </w:t>
      </w:r>
      <w:r w:rsidRPr="0094506C">
        <w:t>and expected revenues for the 201</w:t>
      </w:r>
      <w:r w:rsidR="005F5692">
        <w:t>5</w:t>
      </w:r>
      <w:r w:rsidR="00393B46">
        <w:t>–</w:t>
      </w:r>
      <w:r w:rsidRPr="0094506C">
        <w:t xml:space="preserve">19 </w:t>
      </w:r>
      <w:r w:rsidR="005F5692">
        <w:t xml:space="preserve">regulatory control </w:t>
      </w:r>
      <w:r w:rsidRPr="0094506C">
        <w:t>period.</w:t>
      </w:r>
    </w:p>
    <w:p w:rsidR="00525604" w:rsidRDefault="00525604" w:rsidP="00F54216">
      <w:pPr>
        <w:pStyle w:val="Heading2"/>
      </w:pPr>
      <w:bookmarkStart w:id="7" w:name="_Toc390936377"/>
      <w:bookmarkStart w:id="8" w:name="_Toc404354903"/>
      <w:r>
        <w:t>D</w:t>
      </w:r>
      <w:r w:rsidRPr="00525604">
        <w:t>raft decision</w:t>
      </w:r>
      <w:bookmarkEnd w:id="7"/>
      <w:bookmarkEnd w:id="8"/>
    </w:p>
    <w:p w:rsidR="005F5692" w:rsidRDefault="0094506C" w:rsidP="00AC0E54">
      <w:pPr>
        <w:pStyle w:val="AERbodytext"/>
      </w:pPr>
      <w:r w:rsidRPr="0094506C">
        <w:t xml:space="preserve">We do not accept </w:t>
      </w:r>
      <w:r>
        <w:t>Ausgrid</w:t>
      </w:r>
      <w:r w:rsidRPr="0094506C">
        <w:t>'s proposed total revenue requirement</w:t>
      </w:r>
      <w:r w:rsidR="00393B46">
        <w:t>s</w:t>
      </w:r>
      <w:r w:rsidR="00393B46">
        <w:rPr>
          <w:rStyle w:val="FootnoteReference"/>
        </w:rPr>
        <w:footnoteReference w:id="1"/>
      </w:r>
      <w:r>
        <w:t xml:space="preserve"> </w:t>
      </w:r>
      <w:r w:rsidRPr="0094506C">
        <w:t>of $</w:t>
      </w:r>
      <w:r w:rsidR="007915C9">
        <w:t xml:space="preserve">10763.2 </w:t>
      </w:r>
      <w:r w:rsidRPr="0094506C">
        <w:t xml:space="preserve">million </w:t>
      </w:r>
      <w:r w:rsidR="007915C9">
        <w:t>and</w:t>
      </w:r>
      <w:r w:rsidR="003C5E75">
        <w:t xml:space="preserve"> </w:t>
      </w:r>
      <w:r w:rsidR="007915C9">
        <w:t>$</w:t>
      </w:r>
      <w:r w:rsidR="00CB3CAC">
        <w:t>1448.7</w:t>
      </w:r>
      <w:r w:rsidR="003C5E75">
        <w:t> </w:t>
      </w:r>
      <w:r w:rsidR="007915C9">
        <w:t xml:space="preserve">million </w:t>
      </w:r>
      <w:r w:rsidRPr="0094506C">
        <w:t>($ nominal) over the 2014–19 period</w:t>
      </w:r>
      <w:r w:rsidR="007915C9">
        <w:t xml:space="preserve"> for its distribution and transmission networks respectively</w:t>
      </w:r>
      <w:r w:rsidRPr="0094506C">
        <w:t xml:space="preserve">. For the reasons discussed in the attachments to this draft determination, our decisions on </w:t>
      </w:r>
      <w:r>
        <w:t>Ausgrid</w:t>
      </w:r>
      <w:r w:rsidRPr="0094506C">
        <w:t>'s proposed building block components</w:t>
      </w:r>
      <w:r>
        <w:t xml:space="preserve"> </w:t>
      </w:r>
      <w:r w:rsidRPr="0094506C">
        <w:t xml:space="preserve">costs have a consequential impact on its ARR. </w:t>
      </w:r>
    </w:p>
    <w:p w:rsidR="002E3DA4" w:rsidRDefault="0094506C" w:rsidP="00AC0E54">
      <w:pPr>
        <w:pStyle w:val="AERbodytext"/>
      </w:pPr>
      <w:r w:rsidRPr="0094506C">
        <w:t xml:space="preserve">We determine a total revenue requirement for </w:t>
      </w:r>
      <w:r w:rsidR="002E3DA4">
        <w:t>the 2014–19 period, ref</w:t>
      </w:r>
      <w:r w:rsidR="003A4421">
        <w:t xml:space="preserve">lecting </w:t>
      </w:r>
      <w:r w:rsidR="002E3DA4">
        <w:t>our draft decision on the various building block costs, of:</w:t>
      </w:r>
    </w:p>
    <w:p w:rsidR="003A4421" w:rsidRDefault="0094506C" w:rsidP="00106E5F">
      <w:pPr>
        <w:pStyle w:val="AERbulletlistfirststyle"/>
      </w:pPr>
      <w:r w:rsidRPr="0094506C">
        <w:t>$</w:t>
      </w:r>
      <w:r w:rsidR="00BD38CA">
        <w:t>7801.7</w:t>
      </w:r>
      <w:r w:rsidR="000248F8">
        <w:t xml:space="preserve"> </w:t>
      </w:r>
      <w:r w:rsidR="007915C9">
        <w:t xml:space="preserve">million </w:t>
      </w:r>
      <w:r w:rsidR="002E3DA4">
        <w:t>($ nominal) for Ausgrid's distribution network. This is a reduction of $</w:t>
      </w:r>
      <w:r w:rsidR="00BD38CA">
        <w:t>2961.5</w:t>
      </w:r>
      <w:r w:rsidR="003C5E75">
        <w:t> </w:t>
      </w:r>
      <w:r w:rsidR="002E3DA4">
        <w:t>million ($ nominal) or 2</w:t>
      </w:r>
      <w:r w:rsidR="00E02D39">
        <w:t>8</w:t>
      </w:r>
      <w:r w:rsidR="002E3DA4">
        <w:t xml:space="preserve"> per cent to Ausgrid's proposal</w:t>
      </w:r>
      <w:r w:rsidR="003A4421">
        <w:t>.</w:t>
      </w:r>
    </w:p>
    <w:p w:rsidR="003A4421" w:rsidRDefault="007915C9" w:rsidP="00106E5F">
      <w:pPr>
        <w:pStyle w:val="AERbulletlistfirststyle"/>
      </w:pPr>
      <w:r>
        <w:t>$</w:t>
      </w:r>
      <w:r w:rsidR="002E3DA4">
        <w:t>10</w:t>
      </w:r>
      <w:r w:rsidR="00CB3CAC">
        <w:t>4</w:t>
      </w:r>
      <w:r w:rsidR="00BD38CA">
        <w:t>6.7</w:t>
      </w:r>
      <w:r w:rsidR="003C5E75">
        <w:t xml:space="preserve"> </w:t>
      </w:r>
      <w:r>
        <w:t xml:space="preserve">million </w:t>
      </w:r>
      <w:r w:rsidR="0094506C" w:rsidRPr="0094506C">
        <w:t xml:space="preserve">($ nominal) for </w:t>
      </w:r>
      <w:r w:rsidR="003A4421">
        <w:t xml:space="preserve">Ausgrid's transmission </w:t>
      </w:r>
      <w:r>
        <w:t>network</w:t>
      </w:r>
      <w:r w:rsidR="003A4421">
        <w:t xml:space="preserve">. This is a reduction </w:t>
      </w:r>
      <w:r w:rsidR="0094506C" w:rsidRPr="0094506C">
        <w:t>of $</w:t>
      </w:r>
      <w:r w:rsidR="003A4421">
        <w:t>40</w:t>
      </w:r>
      <w:r w:rsidR="00BD38CA">
        <w:t>2.0</w:t>
      </w:r>
      <w:r w:rsidR="003C5E75">
        <w:t> </w:t>
      </w:r>
      <w:r w:rsidR="0094506C" w:rsidRPr="0094506C">
        <w:t xml:space="preserve">million ($ nominal) </w:t>
      </w:r>
      <w:r w:rsidR="003A4421">
        <w:t xml:space="preserve">or </w:t>
      </w:r>
      <w:r w:rsidR="002E3DA4">
        <w:t>2</w:t>
      </w:r>
      <w:r w:rsidR="003A4421">
        <w:t>8</w:t>
      </w:r>
      <w:r w:rsidR="002E3DA4" w:rsidRPr="0094506C">
        <w:t xml:space="preserve"> </w:t>
      </w:r>
      <w:r w:rsidR="0094506C" w:rsidRPr="0094506C">
        <w:t xml:space="preserve">per cent </w:t>
      </w:r>
      <w:r w:rsidR="003A4421">
        <w:t xml:space="preserve">to </w:t>
      </w:r>
      <w:r w:rsidR="0094506C">
        <w:t>Ausgrid</w:t>
      </w:r>
      <w:r w:rsidR="0094506C" w:rsidRPr="0094506C">
        <w:t>'s proposal</w:t>
      </w:r>
      <w:r w:rsidR="003A4421">
        <w:t>.</w:t>
      </w:r>
    </w:p>
    <w:p w:rsidR="005E106D" w:rsidRDefault="003A4421" w:rsidP="00AC0E54">
      <w:pPr>
        <w:pStyle w:val="AERbodytext"/>
      </w:pPr>
      <w:r>
        <w:t>To account for the placeholder revenues</w:t>
      </w:r>
      <w:r w:rsidR="006472EA">
        <w:rPr>
          <w:rStyle w:val="FootnoteReference"/>
        </w:rPr>
        <w:footnoteReference w:id="2"/>
      </w:r>
      <w:r>
        <w:t xml:space="preserve"> ($1956.4 and $252.3 for Ausgrid's distribution and transmission networks respectively) for 2014–15 that we approved in our transitional determination, we have calculated the difference to be adjusted between the placeholder revenues and our ARRs ($1</w:t>
      </w:r>
      <w:r w:rsidR="00BD38CA">
        <w:t>541.9</w:t>
      </w:r>
      <w:r>
        <w:t xml:space="preserve"> and $195.</w:t>
      </w:r>
      <w:r w:rsidR="00BD38CA">
        <w:t>8</w:t>
      </w:r>
      <w:r>
        <w:t xml:space="preserve"> respectively) for 2014–15. </w:t>
      </w:r>
      <w:r w:rsidR="007A5B03">
        <w:t xml:space="preserve">Our draft decision </w:t>
      </w:r>
      <w:r>
        <w:t>is that these adjustments amount to $</w:t>
      </w:r>
      <w:r w:rsidR="009A6294">
        <w:t>4</w:t>
      </w:r>
      <w:r w:rsidR="00BD38CA">
        <w:t>14.5</w:t>
      </w:r>
      <w:r w:rsidR="009A6294">
        <w:t xml:space="preserve"> million and $56.</w:t>
      </w:r>
      <w:r w:rsidR="00BD38CA">
        <w:t>5</w:t>
      </w:r>
      <w:r w:rsidR="009A6294">
        <w:t xml:space="preserve"> million ($nominal) in relation to Ausgrid's distributio</w:t>
      </w:r>
      <w:r w:rsidR="006472EA">
        <w:t>n</w:t>
      </w:r>
      <w:r w:rsidR="009A6294">
        <w:t xml:space="preserve"> and transmission networks respectively. </w:t>
      </w:r>
      <w:r w:rsidR="007A5B03">
        <w:t>We have applied th</w:t>
      </w:r>
      <w:r w:rsidR="006472EA">
        <w:t>e</w:t>
      </w:r>
      <w:r w:rsidR="007A5B03">
        <w:t>s</w:t>
      </w:r>
      <w:r w:rsidR="006472EA">
        <w:t>e</w:t>
      </w:r>
      <w:r w:rsidR="007A5B03">
        <w:t xml:space="preserve"> adjustment</w:t>
      </w:r>
      <w:r w:rsidR="009A6294">
        <w:t>s</w:t>
      </w:r>
      <w:r w:rsidR="007A5B03">
        <w:t xml:space="preserve"> as part of the smoothing process to establish the annual expected revenues for the</w:t>
      </w:r>
      <w:r w:rsidR="003C5E75">
        <w:t xml:space="preserve"> </w:t>
      </w:r>
      <w:r w:rsidR="007A5B03">
        <w:t xml:space="preserve">2015–19 regulatory control </w:t>
      </w:r>
      <w:proofErr w:type="gramStart"/>
      <w:r w:rsidR="007A5B03">
        <w:t>period</w:t>
      </w:r>
      <w:proofErr w:type="gramEnd"/>
      <w:r w:rsidR="007A5B03">
        <w:t xml:space="preserve">. </w:t>
      </w:r>
    </w:p>
    <w:p w:rsidR="00AC0E54" w:rsidRDefault="00AC0E54" w:rsidP="00AC0E54">
      <w:pPr>
        <w:pStyle w:val="AERbodytext"/>
      </w:pPr>
      <w:r w:rsidRPr="00AC0E54">
        <w:t xml:space="preserve">As a result of our smoothing of the ARRs, our draft decision </w:t>
      </w:r>
      <w:r w:rsidR="009A6294">
        <w:t xml:space="preserve">on the annual expected revenue and X factor (distribution and transmission networks) for each regulatory year of the 2015–19 regulatory control </w:t>
      </w:r>
      <w:proofErr w:type="gramStart"/>
      <w:r w:rsidR="009A6294">
        <w:t>period</w:t>
      </w:r>
      <w:proofErr w:type="gramEnd"/>
      <w:r w:rsidR="009A6294">
        <w:t xml:space="preserve"> is set out in </w:t>
      </w:r>
      <w:r w:rsidR="009A6294">
        <w:fldChar w:fldCharType="begin"/>
      </w:r>
      <w:r w:rsidR="009A6294">
        <w:instrText xml:space="preserve"> REF _Ref403478009 \h </w:instrText>
      </w:r>
      <w:r w:rsidR="009A6294">
        <w:fldChar w:fldCharType="separate"/>
      </w:r>
      <w:r w:rsidR="00382E4F">
        <w:t xml:space="preserve">Table </w:t>
      </w:r>
      <w:r w:rsidR="00382E4F">
        <w:rPr>
          <w:noProof/>
        </w:rPr>
        <w:t>1</w:t>
      </w:r>
      <w:r w:rsidR="00382E4F">
        <w:t>.</w:t>
      </w:r>
      <w:r w:rsidR="00382E4F">
        <w:rPr>
          <w:noProof/>
        </w:rPr>
        <w:t>1</w:t>
      </w:r>
      <w:r w:rsidR="009A6294">
        <w:fldChar w:fldCharType="end"/>
      </w:r>
      <w:r w:rsidR="009A6294">
        <w:t xml:space="preserve"> and </w:t>
      </w:r>
      <w:r w:rsidR="009A6294">
        <w:fldChar w:fldCharType="begin"/>
      </w:r>
      <w:r w:rsidR="009A6294">
        <w:instrText xml:space="preserve"> REF _Ref403478012 \h </w:instrText>
      </w:r>
      <w:r w:rsidR="009A6294">
        <w:fldChar w:fldCharType="separate"/>
      </w:r>
      <w:r w:rsidR="00382E4F">
        <w:t xml:space="preserve">Table </w:t>
      </w:r>
      <w:r w:rsidR="00382E4F">
        <w:rPr>
          <w:noProof/>
        </w:rPr>
        <w:t>1</w:t>
      </w:r>
      <w:r w:rsidR="00382E4F">
        <w:t>.</w:t>
      </w:r>
      <w:r w:rsidR="00382E4F">
        <w:rPr>
          <w:noProof/>
        </w:rPr>
        <w:t>2</w:t>
      </w:r>
      <w:r w:rsidR="009A6294">
        <w:fldChar w:fldCharType="end"/>
      </w:r>
      <w:r w:rsidR="009A6294">
        <w:t xml:space="preserve">. Our draft decision </w:t>
      </w:r>
      <w:r w:rsidRPr="00AC0E54">
        <w:t>is to approve total expected revenues (smoothed) of $</w:t>
      </w:r>
      <w:r w:rsidR="002371CC">
        <w:t>5</w:t>
      </w:r>
      <w:r w:rsidR="00BD38CA">
        <w:t>779.5</w:t>
      </w:r>
      <w:r w:rsidRPr="00AC0E54">
        <w:t xml:space="preserve"> million </w:t>
      </w:r>
      <w:r w:rsidR="009A6294">
        <w:t>and $</w:t>
      </w:r>
      <w:r w:rsidR="002371CC">
        <w:t>785.</w:t>
      </w:r>
      <w:r w:rsidR="00BD38CA">
        <w:t>7</w:t>
      </w:r>
      <w:r w:rsidR="009A6294">
        <w:t xml:space="preserve"> million </w:t>
      </w:r>
      <w:r w:rsidRPr="00AC0E54">
        <w:t>($ nominal) for the 201</w:t>
      </w:r>
      <w:r w:rsidR="009A6294">
        <w:t>5</w:t>
      </w:r>
      <w:r w:rsidRPr="00AC0E54">
        <w:t xml:space="preserve">–19 </w:t>
      </w:r>
      <w:r w:rsidR="009A6294">
        <w:t xml:space="preserve">regulatory control </w:t>
      </w:r>
      <w:r w:rsidRPr="00AC0E54">
        <w:t>period</w:t>
      </w:r>
      <w:r w:rsidR="009A6294">
        <w:t xml:space="preserve"> in relation to Ausgrid's distribution and transmission networks respectively</w:t>
      </w:r>
      <w:r w:rsidRPr="00AC0E54">
        <w:t>.</w:t>
      </w:r>
    </w:p>
    <w:p w:rsidR="0094506C" w:rsidRDefault="008F09E2" w:rsidP="0094506C">
      <w:pPr>
        <w:pStyle w:val="AERbodytext"/>
      </w:pPr>
      <w:r>
        <w:fldChar w:fldCharType="begin"/>
      </w:r>
      <w:r>
        <w:instrText xml:space="preserve"> REF _Ref401571149 \h </w:instrText>
      </w:r>
      <w:r>
        <w:fldChar w:fldCharType="separate"/>
      </w:r>
      <w:r w:rsidR="00382E4F">
        <w:t xml:space="preserve">Figure </w:t>
      </w:r>
      <w:r w:rsidR="00382E4F">
        <w:rPr>
          <w:noProof/>
        </w:rPr>
        <w:t>1</w:t>
      </w:r>
      <w:r w:rsidR="00382E4F">
        <w:t>.</w:t>
      </w:r>
      <w:r w:rsidR="00382E4F">
        <w:rPr>
          <w:noProof/>
        </w:rPr>
        <w:t>1</w:t>
      </w:r>
      <w:r>
        <w:fldChar w:fldCharType="end"/>
      </w:r>
      <w:r w:rsidR="0094506C">
        <w:t xml:space="preserve"> </w:t>
      </w:r>
      <w:r w:rsidR="00AC0E54">
        <w:t xml:space="preserve">and </w:t>
      </w:r>
      <w:r w:rsidR="00CE4D1A">
        <w:fldChar w:fldCharType="begin"/>
      </w:r>
      <w:r w:rsidR="00CE4D1A">
        <w:instrText xml:space="preserve"> REF _Ref404354066 \h </w:instrText>
      </w:r>
      <w:r w:rsidR="00CE4D1A">
        <w:fldChar w:fldCharType="separate"/>
      </w:r>
      <w:r w:rsidR="00382E4F">
        <w:t xml:space="preserve">Figure </w:t>
      </w:r>
      <w:r w:rsidR="00382E4F">
        <w:rPr>
          <w:noProof/>
        </w:rPr>
        <w:t>1</w:t>
      </w:r>
      <w:r w:rsidR="00382E4F">
        <w:t>.</w:t>
      </w:r>
      <w:r w:rsidR="00382E4F">
        <w:rPr>
          <w:noProof/>
        </w:rPr>
        <w:t>2</w:t>
      </w:r>
      <w:r w:rsidR="00CE4D1A">
        <w:fldChar w:fldCharType="end"/>
      </w:r>
      <w:r w:rsidR="00CE4D1A">
        <w:t xml:space="preserve"> </w:t>
      </w:r>
      <w:r w:rsidR="0094506C" w:rsidRPr="0094506C">
        <w:t xml:space="preserve">show the difference between </w:t>
      </w:r>
      <w:r w:rsidR="0094506C">
        <w:t>Ausgrid</w:t>
      </w:r>
      <w:r w:rsidR="0094506C" w:rsidRPr="0094506C">
        <w:t>'s proposal and our draft decision</w:t>
      </w:r>
      <w:r w:rsidR="00AC0E54">
        <w:t xml:space="preserve"> for its </w:t>
      </w:r>
      <w:r w:rsidR="006472EA">
        <w:t>d</w:t>
      </w:r>
      <w:r w:rsidR="00AC0E54">
        <w:t xml:space="preserve">istribution and </w:t>
      </w:r>
      <w:r w:rsidR="006472EA">
        <w:t>t</w:t>
      </w:r>
      <w:r w:rsidR="00AC0E54">
        <w:t>ransmission networks respectively</w:t>
      </w:r>
      <w:r w:rsidR="0094506C" w:rsidRPr="0094506C">
        <w:t>.</w:t>
      </w:r>
    </w:p>
    <w:p w:rsidR="0094506C" w:rsidRDefault="008F09E2" w:rsidP="008F09E2">
      <w:pPr>
        <w:pStyle w:val="Caption"/>
      </w:pPr>
      <w:bookmarkStart w:id="9" w:name="_Ref401571149"/>
      <w:proofErr w:type="gramStart"/>
      <w:r>
        <w:lastRenderedPageBreak/>
        <w:t xml:space="preserve">Figure </w:t>
      </w:r>
      <w:proofErr w:type="gramEnd"/>
      <w:r w:rsidR="00382E4F">
        <w:fldChar w:fldCharType="begin"/>
      </w:r>
      <w:r w:rsidR="00382E4F">
        <w:instrText xml:space="preserve"> STYLEREF 1 \s </w:instrText>
      </w:r>
      <w:r w:rsidR="00382E4F">
        <w:fldChar w:fldCharType="separate"/>
      </w:r>
      <w:r w:rsidR="00382E4F">
        <w:rPr>
          <w:noProof/>
        </w:rPr>
        <w:t>1</w:t>
      </w:r>
      <w:r w:rsidR="00382E4F">
        <w:rPr>
          <w:noProof/>
        </w:rPr>
        <w:fldChar w:fldCharType="end"/>
      </w:r>
      <w:proofErr w:type="gramStart"/>
      <w:r w:rsidR="00CE4D1A">
        <w:t>.</w:t>
      </w:r>
      <w:proofErr w:type="gramEnd"/>
      <w:r w:rsidR="00382E4F">
        <w:fldChar w:fldCharType="begin"/>
      </w:r>
      <w:r w:rsidR="00382E4F">
        <w:instrText xml:space="preserve"> SEQ Figure \* ARABIC \s 1 </w:instrText>
      </w:r>
      <w:r w:rsidR="00382E4F">
        <w:fldChar w:fldCharType="separate"/>
      </w:r>
      <w:r w:rsidR="00382E4F">
        <w:rPr>
          <w:noProof/>
        </w:rPr>
        <w:t>1</w:t>
      </w:r>
      <w:r w:rsidR="00382E4F">
        <w:rPr>
          <w:noProof/>
        </w:rPr>
        <w:fldChar w:fldCharType="end"/>
      </w:r>
      <w:bookmarkEnd w:id="9"/>
      <w:r>
        <w:tab/>
        <w:t xml:space="preserve">AER's draft decision On Ausgrid's revenues for the 2014–19 period </w:t>
      </w:r>
      <w:r w:rsidR="006472EA">
        <w:t xml:space="preserve">– distribution </w:t>
      </w:r>
      <w:r>
        <w:t xml:space="preserve">($million, nominal) </w:t>
      </w:r>
    </w:p>
    <w:p w:rsidR="008F09E2" w:rsidRDefault="0021112A" w:rsidP="0021112A">
      <w:pPr>
        <w:pStyle w:val="AERbodytext"/>
      </w:pPr>
      <w:r w:rsidRPr="0021112A">
        <w:rPr>
          <w:noProof/>
          <w:lang w:eastAsia="en-AU"/>
        </w:rPr>
        <w:drawing>
          <wp:inline distT="0" distB="0" distL="0" distR="0" wp14:anchorId="6F9C7296" wp14:editId="5FE4D808">
            <wp:extent cx="5372100" cy="3228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3228975"/>
                    </a:xfrm>
                    <a:prstGeom prst="rect">
                      <a:avLst/>
                    </a:prstGeom>
                    <a:noFill/>
                    <a:ln>
                      <a:noFill/>
                    </a:ln>
                  </pic:spPr>
                </pic:pic>
              </a:graphicData>
            </a:graphic>
          </wp:inline>
        </w:drawing>
      </w:r>
    </w:p>
    <w:p w:rsidR="009A6294" w:rsidRDefault="009A6294" w:rsidP="009A6294">
      <w:pPr>
        <w:pStyle w:val="AERtablesource"/>
      </w:pPr>
      <w:bookmarkStart w:id="10" w:name="_Ref401571161"/>
      <w:r>
        <w:t>Source:</w:t>
      </w:r>
      <w:r>
        <w:tab/>
        <w:t xml:space="preserve">Ausgrid, </w:t>
      </w:r>
      <w:r w:rsidRPr="009A6294">
        <w:rPr>
          <w:rStyle w:val="AERtextitalic"/>
        </w:rPr>
        <w:t>Regulatory proposal</w:t>
      </w:r>
      <w:r>
        <w:t xml:space="preserve">, June 2014. </w:t>
      </w:r>
      <w:proofErr w:type="gramStart"/>
      <w:r>
        <w:t>Attachment 4.01.</w:t>
      </w:r>
      <w:proofErr w:type="gramEnd"/>
    </w:p>
    <w:p w:rsidR="009A6294" w:rsidRDefault="009A6294" w:rsidP="009A6294">
      <w:pPr>
        <w:pStyle w:val="AERtablesource"/>
      </w:pPr>
      <w:r>
        <w:tab/>
      </w:r>
      <w:proofErr w:type="gramStart"/>
      <w:r>
        <w:t>AER analysis.</w:t>
      </w:r>
      <w:proofErr w:type="gramEnd"/>
    </w:p>
    <w:p w:rsidR="00AC0E54" w:rsidRDefault="008F09E2" w:rsidP="008F09E2">
      <w:pPr>
        <w:pStyle w:val="Caption"/>
      </w:pPr>
      <w:bookmarkStart w:id="11" w:name="_Ref404354066"/>
      <w:proofErr w:type="gramStart"/>
      <w:r>
        <w:t xml:space="preserve">Figure </w:t>
      </w:r>
      <w:proofErr w:type="gramEnd"/>
      <w:r w:rsidR="00382E4F">
        <w:fldChar w:fldCharType="begin"/>
      </w:r>
      <w:r w:rsidR="00382E4F">
        <w:instrText xml:space="preserve"> STYLEREF 1 \s </w:instrText>
      </w:r>
      <w:r w:rsidR="00382E4F">
        <w:fldChar w:fldCharType="separate"/>
      </w:r>
      <w:r w:rsidR="00382E4F">
        <w:rPr>
          <w:noProof/>
        </w:rPr>
        <w:t>1</w:t>
      </w:r>
      <w:r w:rsidR="00382E4F">
        <w:rPr>
          <w:noProof/>
        </w:rPr>
        <w:fldChar w:fldCharType="end"/>
      </w:r>
      <w:proofErr w:type="gramStart"/>
      <w:r w:rsidR="00CE4D1A">
        <w:t>.</w:t>
      </w:r>
      <w:proofErr w:type="gramEnd"/>
      <w:r w:rsidR="00382E4F">
        <w:fldChar w:fldCharType="begin"/>
      </w:r>
      <w:r w:rsidR="00382E4F">
        <w:instrText xml:space="preserve"> SEQ Figure \* ARABIC \s 1 </w:instrText>
      </w:r>
      <w:r w:rsidR="00382E4F">
        <w:fldChar w:fldCharType="separate"/>
      </w:r>
      <w:r w:rsidR="00382E4F">
        <w:rPr>
          <w:noProof/>
        </w:rPr>
        <w:t>2</w:t>
      </w:r>
      <w:r w:rsidR="00382E4F">
        <w:rPr>
          <w:noProof/>
        </w:rPr>
        <w:fldChar w:fldCharType="end"/>
      </w:r>
      <w:bookmarkEnd w:id="10"/>
      <w:bookmarkEnd w:id="11"/>
      <w:r>
        <w:tab/>
        <w:t>AER's draft decision on Ausgrid's reven</w:t>
      </w:r>
      <w:r w:rsidR="007A5B03">
        <w:t>ues</w:t>
      </w:r>
      <w:r>
        <w:t xml:space="preserve"> for the 2014–19 period </w:t>
      </w:r>
      <w:r w:rsidR="006472EA">
        <w:t xml:space="preserve">– transmission </w:t>
      </w:r>
      <w:r>
        <w:t xml:space="preserve">($million, nominal) </w:t>
      </w:r>
    </w:p>
    <w:p w:rsidR="008F09E2" w:rsidRDefault="0021112A" w:rsidP="0021112A">
      <w:pPr>
        <w:pStyle w:val="AERbodytext"/>
      </w:pPr>
      <w:r w:rsidRPr="0021112A">
        <w:rPr>
          <w:noProof/>
          <w:lang w:eastAsia="en-AU"/>
        </w:rPr>
        <w:drawing>
          <wp:inline distT="0" distB="0" distL="0" distR="0" wp14:anchorId="5F1FE4FC" wp14:editId="65A0789D">
            <wp:extent cx="5562600" cy="3228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0" cy="3228975"/>
                    </a:xfrm>
                    <a:prstGeom prst="rect">
                      <a:avLst/>
                    </a:prstGeom>
                    <a:noFill/>
                    <a:ln>
                      <a:noFill/>
                    </a:ln>
                  </pic:spPr>
                </pic:pic>
              </a:graphicData>
            </a:graphic>
          </wp:inline>
        </w:drawing>
      </w:r>
    </w:p>
    <w:p w:rsidR="009A6294" w:rsidRPr="009A6294" w:rsidRDefault="009A6294" w:rsidP="009A6294">
      <w:pPr>
        <w:pStyle w:val="AERtablesource"/>
      </w:pPr>
      <w:r w:rsidRPr="009A6294">
        <w:t>Source:</w:t>
      </w:r>
      <w:r w:rsidRPr="009A6294">
        <w:tab/>
        <w:t xml:space="preserve">Ausgrid, </w:t>
      </w:r>
      <w:r w:rsidRPr="002371CC">
        <w:rPr>
          <w:rStyle w:val="AERtextitalic"/>
        </w:rPr>
        <w:t>Regulatory proposal</w:t>
      </w:r>
      <w:r w:rsidRPr="009A6294">
        <w:t xml:space="preserve">, June 2014. </w:t>
      </w:r>
      <w:proofErr w:type="gramStart"/>
      <w:r w:rsidRPr="009A6294">
        <w:t>Attachment 4.0</w:t>
      </w:r>
      <w:r>
        <w:t>2</w:t>
      </w:r>
      <w:r w:rsidR="00B23683">
        <w:t>.</w:t>
      </w:r>
      <w:proofErr w:type="gramEnd"/>
    </w:p>
    <w:p w:rsidR="009A6294" w:rsidRDefault="009A6294" w:rsidP="009A6294">
      <w:pPr>
        <w:pStyle w:val="AERtablesource"/>
      </w:pPr>
      <w:r w:rsidRPr="009A6294">
        <w:tab/>
      </w:r>
      <w:proofErr w:type="gramStart"/>
      <w:r w:rsidRPr="009A6294">
        <w:t>AER analysis.</w:t>
      </w:r>
      <w:proofErr w:type="gramEnd"/>
    </w:p>
    <w:p w:rsidR="007224A7" w:rsidRDefault="009A6294" w:rsidP="0094506C">
      <w:pPr>
        <w:pStyle w:val="AERbodytext"/>
      </w:pPr>
      <w:r>
        <w:lastRenderedPageBreak/>
        <w:fldChar w:fldCharType="begin"/>
      </w:r>
      <w:r>
        <w:instrText xml:space="preserve"> REF _Ref403478009 \h </w:instrText>
      </w:r>
      <w:r>
        <w:fldChar w:fldCharType="separate"/>
      </w:r>
      <w:r w:rsidR="00382E4F">
        <w:t xml:space="preserve">Table </w:t>
      </w:r>
      <w:r w:rsidR="00382E4F">
        <w:rPr>
          <w:noProof/>
        </w:rPr>
        <w:t>1</w:t>
      </w:r>
      <w:r w:rsidR="00382E4F">
        <w:t>.</w:t>
      </w:r>
      <w:r w:rsidR="00382E4F">
        <w:rPr>
          <w:noProof/>
        </w:rPr>
        <w:t>1</w:t>
      </w:r>
      <w:r>
        <w:fldChar w:fldCharType="end"/>
      </w:r>
      <w:r w:rsidR="007224A7">
        <w:t xml:space="preserve"> </w:t>
      </w:r>
      <w:r w:rsidR="00AC0E54">
        <w:t xml:space="preserve"> and </w:t>
      </w:r>
      <w:r>
        <w:fldChar w:fldCharType="begin"/>
      </w:r>
      <w:r>
        <w:instrText xml:space="preserve"> REF _Ref403478012 \h </w:instrText>
      </w:r>
      <w:r>
        <w:fldChar w:fldCharType="separate"/>
      </w:r>
      <w:r w:rsidR="00382E4F">
        <w:t xml:space="preserve">Table </w:t>
      </w:r>
      <w:r w:rsidR="00382E4F">
        <w:rPr>
          <w:noProof/>
        </w:rPr>
        <w:t>1</w:t>
      </w:r>
      <w:r w:rsidR="00382E4F">
        <w:t>.</w:t>
      </w:r>
      <w:r w:rsidR="00382E4F">
        <w:rPr>
          <w:noProof/>
        </w:rPr>
        <w:t>2</w:t>
      </w:r>
      <w:r>
        <w:fldChar w:fldCharType="end"/>
      </w:r>
      <w:r w:rsidR="00AC0E54">
        <w:t xml:space="preserve"> </w:t>
      </w:r>
      <w:r w:rsidR="007224A7">
        <w:t>show our draft decision on the building block costs and the calculation of the ARR</w:t>
      </w:r>
      <w:r w:rsidR="007A5B03">
        <w:t xml:space="preserve">, annual expected revenue and X factor </w:t>
      </w:r>
      <w:r w:rsidR="007224A7">
        <w:t xml:space="preserve">for each year of the 2014–19 </w:t>
      </w:r>
      <w:proofErr w:type="gramStart"/>
      <w:r w:rsidR="007224A7">
        <w:t>period</w:t>
      </w:r>
      <w:proofErr w:type="gramEnd"/>
      <w:r w:rsidR="006472EA">
        <w:t xml:space="preserve"> for Ausgrid's distribution and transmission networks respectively</w:t>
      </w:r>
      <w:r w:rsidR="007224A7">
        <w:t>.</w:t>
      </w:r>
    </w:p>
    <w:p w:rsidR="007224A7" w:rsidRDefault="008F09E2" w:rsidP="008F09E2">
      <w:pPr>
        <w:pStyle w:val="Caption"/>
      </w:pPr>
      <w:bookmarkStart w:id="12" w:name="_Ref403478009"/>
      <w:proofErr w:type="gramStart"/>
      <w:r>
        <w:t xml:space="preserve">Table </w:t>
      </w:r>
      <w:proofErr w:type="gramEnd"/>
      <w:r w:rsidR="00382E4F">
        <w:fldChar w:fldCharType="begin"/>
      </w:r>
      <w:r w:rsidR="00382E4F">
        <w:instrText xml:space="preserve"> STYLEREF 1 \s </w:instrText>
      </w:r>
      <w:r w:rsidR="00382E4F">
        <w:fldChar w:fldCharType="separate"/>
      </w:r>
      <w:r w:rsidR="00382E4F">
        <w:rPr>
          <w:noProof/>
        </w:rPr>
        <w:t>1</w:t>
      </w:r>
      <w:r w:rsidR="00382E4F">
        <w:rPr>
          <w:noProof/>
        </w:rPr>
        <w:fldChar w:fldCharType="end"/>
      </w:r>
      <w:proofErr w:type="gramStart"/>
      <w:r w:rsidR="00CE4D1A">
        <w:t>.</w:t>
      </w:r>
      <w:proofErr w:type="gramEnd"/>
      <w:r w:rsidR="00382E4F">
        <w:fldChar w:fldCharType="begin"/>
      </w:r>
      <w:r w:rsidR="00382E4F">
        <w:instrText xml:space="preserve"> SEQ Table \* ARABIC \s 1 </w:instrText>
      </w:r>
      <w:r w:rsidR="00382E4F">
        <w:fldChar w:fldCharType="separate"/>
      </w:r>
      <w:r w:rsidR="00382E4F">
        <w:rPr>
          <w:noProof/>
        </w:rPr>
        <w:t>1</w:t>
      </w:r>
      <w:r w:rsidR="00382E4F">
        <w:rPr>
          <w:noProof/>
        </w:rPr>
        <w:fldChar w:fldCharType="end"/>
      </w:r>
      <w:bookmarkEnd w:id="12"/>
      <w:r>
        <w:tab/>
        <w:t xml:space="preserve">AER's draft decision on Ausgrid's revenues for 2014–19 period </w:t>
      </w:r>
      <w:r w:rsidR="006472EA">
        <w:t xml:space="preserve">– distribution </w:t>
      </w:r>
      <w:r>
        <w:t xml:space="preserve">($million, nominal) </w:t>
      </w:r>
    </w:p>
    <w:tbl>
      <w:tblPr>
        <w:tblStyle w:val="AERtable-numbers"/>
        <w:tblW w:w="9242" w:type="dxa"/>
        <w:tblLayout w:type="fixed"/>
        <w:tblLook w:val="04A0" w:firstRow="1" w:lastRow="0" w:firstColumn="1" w:lastColumn="0" w:noHBand="0" w:noVBand="1"/>
      </w:tblPr>
      <w:tblGrid>
        <w:gridCol w:w="3227"/>
        <w:gridCol w:w="992"/>
        <w:gridCol w:w="992"/>
        <w:gridCol w:w="1134"/>
        <w:gridCol w:w="993"/>
        <w:gridCol w:w="992"/>
        <w:gridCol w:w="912"/>
      </w:tblGrid>
      <w:tr w:rsidR="00854273" w:rsidRPr="00356B64" w:rsidTr="00CE4D1A">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227" w:type="dxa"/>
            <w:noWrap/>
            <w:hideMark/>
          </w:tcPr>
          <w:p w:rsidR="0023470D" w:rsidRPr="003E0B0C" w:rsidRDefault="0023470D" w:rsidP="003E0B0C">
            <w:pPr>
              <w:pStyle w:val="AERtabletextleft"/>
            </w:pPr>
            <w:r w:rsidRPr="003E0B0C">
              <w:t> </w:t>
            </w:r>
          </w:p>
        </w:tc>
        <w:tc>
          <w:tcPr>
            <w:tcW w:w="992" w:type="dxa"/>
            <w:noWrap/>
            <w:hideMark/>
          </w:tcPr>
          <w:p w:rsidR="0023470D" w:rsidRPr="003E0B0C"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rsidRPr="003E0B0C">
              <w:t>201</w:t>
            </w:r>
            <w:r>
              <w:t>4–</w:t>
            </w:r>
            <w:r w:rsidRPr="003E0B0C">
              <w:t>1</w:t>
            </w:r>
            <w:r>
              <w:t>5</w:t>
            </w:r>
          </w:p>
        </w:tc>
        <w:tc>
          <w:tcPr>
            <w:tcW w:w="992" w:type="dxa"/>
            <w:noWrap/>
            <w:hideMark/>
          </w:tcPr>
          <w:p w:rsidR="0023470D" w:rsidRPr="003E0B0C"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134" w:type="dxa"/>
          </w:tcPr>
          <w:p w:rsidR="0023470D" w:rsidRPr="003E0B0C"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993" w:type="dxa"/>
          </w:tcPr>
          <w:p w:rsidR="0023470D" w:rsidRPr="003E0B0C" w:rsidRDefault="0023470D" w:rsidP="003E0B0C">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992" w:type="dxa"/>
          </w:tcPr>
          <w:p w:rsidR="0023470D" w:rsidRPr="003E0B0C" w:rsidRDefault="0023470D" w:rsidP="003E0B0C">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912" w:type="dxa"/>
          </w:tcPr>
          <w:p w:rsidR="0023470D" w:rsidRPr="003E0B0C" w:rsidRDefault="0023470D" w:rsidP="003E0B0C">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854273" w:rsidRPr="00356B64" w:rsidTr="00CE4D1A">
        <w:trPr>
          <w:trHeight w:val="190"/>
        </w:trPr>
        <w:tc>
          <w:tcPr>
            <w:cnfStyle w:val="001000000000" w:firstRow="0" w:lastRow="0" w:firstColumn="1" w:lastColumn="0" w:oddVBand="0" w:evenVBand="0" w:oddHBand="0" w:evenHBand="0" w:firstRowFirstColumn="0" w:firstRowLastColumn="0" w:lastRowFirstColumn="0" w:lastRowLastColumn="0"/>
            <w:tcW w:w="3227" w:type="dxa"/>
            <w:noWrap/>
            <w:vAlign w:val="top"/>
            <w:hideMark/>
          </w:tcPr>
          <w:p w:rsidR="00BD38CA" w:rsidRPr="00BD38CA" w:rsidRDefault="00BD38CA" w:rsidP="00BD38CA">
            <w:pPr>
              <w:pStyle w:val="AERtabletextleft"/>
            </w:pPr>
            <w:r w:rsidRPr="00BD38CA">
              <w:t>Return on capital</w:t>
            </w:r>
          </w:p>
        </w:tc>
        <w:tc>
          <w:tcPr>
            <w:tcW w:w="992" w:type="dxa"/>
            <w:noWrap/>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875.5</w:t>
            </w:r>
          </w:p>
        </w:tc>
        <w:tc>
          <w:tcPr>
            <w:tcW w:w="992" w:type="dxa"/>
            <w:noWrap/>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901.2</w:t>
            </w:r>
          </w:p>
        </w:tc>
        <w:tc>
          <w:tcPr>
            <w:tcW w:w="1134"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925.3</w:t>
            </w:r>
          </w:p>
        </w:tc>
        <w:tc>
          <w:tcPr>
            <w:tcW w:w="993"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945.2</w:t>
            </w:r>
          </w:p>
        </w:tc>
        <w:tc>
          <w:tcPr>
            <w:tcW w:w="992"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968.5</w:t>
            </w:r>
          </w:p>
        </w:tc>
        <w:tc>
          <w:tcPr>
            <w:tcW w:w="912"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4615.7</w:t>
            </w:r>
          </w:p>
        </w:tc>
      </w:tr>
      <w:tr w:rsidR="00854273" w:rsidRPr="00356B64" w:rsidTr="00CE4D1A">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227" w:type="dxa"/>
            <w:noWrap/>
            <w:vAlign w:val="top"/>
          </w:tcPr>
          <w:p w:rsidR="00BD38CA" w:rsidRPr="00BD38CA" w:rsidRDefault="00BD38CA" w:rsidP="00BD38CA">
            <w:pPr>
              <w:pStyle w:val="AERtabletextleft"/>
            </w:pPr>
            <w:r w:rsidRPr="00BD38CA">
              <w:t>Regulatory depreciation</w:t>
            </w:r>
          </w:p>
        </w:tc>
        <w:tc>
          <w:tcPr>
            <w:tcW w:w="992" w:type="dxa"/>
            <w:noWrap/>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132.6</w:t>
            </w:r>
          </w:p>
        </w:tc>
        <w:tc>
          <w:tcPr>
            <w:tcW w:w="992" w:type="dxa"/>
            <w:noWrap/>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153.2</w:t>
            </w:r>
          </w:p>
        </w:tc>
        <w:tc>
          <w:tcPr>
            <w:tcW w:w="1134"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173.9</w:t>
            </w:r>
          </w:p>
        </w:tc>
        <w:tc>
          <w:tcPr>
            <w:tcW w:w="993"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143.6</w:t>
            </w:r>
          </w:p>
        </w:tc>
        <w:tc>
          <w:tcPr>
            <w:tcW w:w="992"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145.0</w:t>
            </w:r>
          </w:p>
        </w:tc>
        <w:tc>
          <w:tcPr>
            <w:tcW w:w="912"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748.2</w:t>
            </w:r>
          </w:p>
        </w:tc>
      </w:tr>
      <w:tr w:rsidR="00854273" w:rsidRPr="00356B64" w:rsidTr="00CE4D1A">
        <w:trPr>
          <w:trHeight w:val="190"/>
        </w:trPr>
        <w:tc>
          <w:tcPr>
            <w:cnfStyle w:val="001000000000" w:firstRow="0" w:lastRow="0" w:firstColumn="1" w:lastColumn="0" w:oddVBand="0" w:evenVBand="0" w:oddHBand="0" w:evenHBand="0" w:firstRowFirstColumn="0" w:firstRowLastColumn="0" w:lastRowFirstColumn="0" w:lastRowLastColumn="0"/>
            <w:tcW w:w="3227" w:type="dxa"/>
            <w:noWrap/>
            <w:vAlign w:val="top"/>
          </w:tcPr>
          <w:p w:rsidR="00BD38CA" w:rsidRPr="00BD38CA" w:rsidRDefault="00BD38CA" w:rsidP="00BD38CA">
            <w:pPr>
              <w:pStyle w:val="AERtabletextleft"/>
            </w:pPr>
            <w:r w:rsidRPr="00BD38CA">
              <w:t>Operating expenditure</w:t>
            </w:r>
          </w:p>
        </w:tc>
        <w:tc>
          <w:tcPr>
            <w:tcW w:w="992" w:type="dxa"/>
            <w:noWrap/>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328.5</w:t>
            </w:r>
          </w:p>
        </w:tc>
        <w:tc>
          <w:tcPr>
            <w:tcW w:w="992" w:type="dxa"/>
            <w:noWrap/>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341.3</w:t>
            </w:r>
          </w:p>
        </w:tc>
        <w:tc>
          <w:tcPr>
            <w:tcW w:w="1134"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357.3</w:t>
            </w:r>
          </w:p>
        </w:tc>
        <w:tc>
          <w:tcPr>
            <w:tcW w:w="993"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360.1</w:t>
            </w:r>
          </w:p>
        </w:tc>
        <w:tc>
          <w:tcPr>
            <w:tcW w:w="992"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375.4</w:t>
            </w:r>
          </w:p>
        </w:tc>
        <w:tc>
          <w:tcPr>
            <w:tcW w:w="912"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1762.6</w:t>
            </w:r>
          </w:p>
        </w:tc>
      </w:tr>
      <w:tr w:rsidR="00854273" w:rsidRPr="00356B64" w:rsidTr="00CE4D1A">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227" w:type="dxa"/>
            <w:noWrap/>
            <w:vAlign w:val="top"/>
          </w:tcPr>
          <w:p w:rsidR="00BD38CA" w:rsidRPr="00BD38CA" w:rsidRDefault="00BD38CA" w:rsidP="00BD38CA">
            <w:pPr>
              <w:pStyle w:val="AERtabletextleft"/>
            </w:pPr>
            <w:r w:rsidRPr="00BD38CA">
              <w:t>Efficiency benefit sharing scheme (carryover amounts)</w:t>
            </w:r>
          </w:p>
        </w:tc>
        <w:tc>
          <w:tcPr>
            <w:tcW w:w="992" w:type="dxa"/>
            <w:noWrap/>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80.2</w:t>
            </w:r>
          </w:p>
        </w:tc>
        <w:tc>
          <w:tcPr>
            <w:tcW w:w="992" w:type="dxa"/>
            <w:noWrap/>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74.2</w:t>
            </w:r>
          </w:p>
        </w:tc>
        <w:tc>
          <w:tcPr>
            <w:tcW w:w="1134"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59.7</w:t>
            </w:r>
          </w:p>
        </w:tc>
        <w:tc>
          <w:tcPr>
            <w:tcW w:w="993"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42.4</w:t>
            </w:r>
          </w:p>
        </w:tc>
        <w:tc>
          <w:tcPr>
            <w:tcW w:w="992"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0.0</w:t>
            </w:r>
          </w:p>
        </w:tc>
        <w:tc>
          <w:tcPr>
            <w:tcW w:w="912"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256.5</w:t>
            </w:r>
          </w:p>
        </w:tc>
      </w:tr>
      <w:tr w:rsidR="00854273" w:rsidRPr="00356B64" w:rsidTr="00CE4D1A">
        <w:trPr>
          <w:trHeight w:val="190"/>
        </w:trPr>
        <w:tc>
          <w:tcPr>
            <w:cnfStyle w:val="001000000000" w:firstRow="0" w:lastRow="0" w:firstColumn="1" w:lastColumn="0" w:oddVBand="0" w:evenVBand="0" w:oddHBand="0" w:evenHBand="0" w:firstRowFirstColumn="0" w:firstRowLastColumn="0" w:lastRowFirstColumn="0" w:lastRowLastColumn="0"/>
            <w:tcW w:w="3227" w:type="dxa"/>
            <w:noWrap/>
            <w:vAlign w:val="top"/>
          </w:tcPr>
          <w:p w:rsidR="00BD38CA" w:rsidRPr="00BD38CA" w:rsidRDefault="00BD38CA" w:rsidP="00BD38CA">
            <w:pPr>
              <w:pStyle w:val="AERtabletextleft"/>
            </w:pPr>
            <w:r w:rsidRPr="00BD38CA">
              <w:t>Net tax allowance</w:t>
            </w:r>
          </w:p>
        </w:tc>
        <w:tc>
          <w:tcPr>
            <w:tcW w:w="992" w:type="dxa"/>
            <w:noWrap/>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61.9</w:t>
            </w:r>
          </w:p>
        </w:tc>
        <w:tc>
          <w:tcPr>
            <w:tcW w:w="992" w:type="dxa"/>
            <w:noWrap/>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68.3</w:t>
            </w:r>
          </w:p>
        </w:tc>
        <w:tc>
          <w:tcPr>
            <w:tcW w:w="1134"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79.5</w:t>
            </w:r>
          </w:p>
        </w:tc>
        <w:tc>
          <w:tcPr>
            <w:tcW w:w="993"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73.3</w:t>
            </w:r>
          </w:p>
        </w:tc>
        <w:tc>
          <w:tcPr>
            <w:tcW w:w="992"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72.4</w:t>
            </w:r>
          </w:p>
        </w:tc>
        <w:tc>
          <w:tcPr>
            <w:tcW w:w="912"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355.4</w:t>
            </w:r>
          </w:p>
        </w:tc>
      </w:tr>
      <w:tr w:rsidR="00854273" w:rsidRPr="00356B64" w:rsidTr="00CE4D1A">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227" w:type="dxa"/>
            <w:noWrap/>
            <w:vAlign w:val="top"/>
          </w:tcPr>
          <w:p w:rsidR="00BD38CA" w:rsidRPr="00B16151" w:rsidRDefault="00BD38CA" w:rsidP="00B16151">
            <w:pPr>
              <w:pStyle w:val="AERtabletextleft"/>
            </w:pPr>
            <w:r w:rsidRPr="00E57F38">
              <w:rPr>
                <w:rStyle w:val="AERtextbold"/>
                <w:b w:val="0"/>
              </w:rPr>
              <w:t xml:space="preserve">Metering, ANS &amp; ERW net </w:t>
            </w:r>
            <w:proofErr w:type="spellStart"/>
            <w:r w:rsidRPr="00E57F38">
              <w:rPr>
                <w:rStyle w:val="AERtextbold"/>
                <w:b w:val="0"/>
              </w:rPr>
              <w:t>costs</w:t>
            </w:r>
            <w:r w:rsidRPr="00B16151">
              <w:rPr>
                <w:rStyle w:val="AERsuperscript"/>
              </w:rPr>
              <w:t>a</w:t>
            </w:r>
            <w:proofErr w:type="spellEnd"/>
          </w:p>
        </w:tc>
        <w:tc>
          <w:tcPr>
            <w:tcW w:w="992" w:type="dxa"/>
            <w:noWrap/>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63.3</w:t>
            </w:r>
          </w:p>
        </w:tc>
        <w:tc>
          <w:tcPr>
            <w:tcW w:w="992" w:type="dxa"/>
            <w:noWrap/>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0.0</w:t>
            </w:r>
          </w:p>
        </w:tc>
        <w:tc>
          <w:tcPr>
            <w:tcW w:w="1134"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0.0</w:t>
            </w:r>
          </w:p>
        </w:tc>
        <w:tc>
          <w:tcPr>
            <w:tcW w:w="993"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0.0</w:t>
            </w:r>
          </w:p>
        </w:tc>
        <w:tc>
          <w:tcPr>
            <w:tcW w:w="992"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0.0</w:t>
            </w:r>
          </w:p>
        </w:tc>
        <w:tc>
          <w:tcPr>
            <w:tcW w:w="912"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63.3</w:t>
            </w:r>
          </w:p>
        </w:tc>
      </w:tr>
      <w:tr w:rsidR="00854273" w:rsidRPr="00356B64" w:rsidTr="00CE4D1A">
        <w:trPr>
          <w:trHeight w:val="190"/>
        </w:trPr>
        <w:tc>
          <w:tcPr>
            <w:cnfStyle w:val="001000000000" w:firstRow="0" w:lastRow="0" w:firstColumn="1" w:lastColumn="0" w:oddVBand="0" w:evenVBand="0" w:oddHBand="0" w:evenHBand="0" w:firstRowFirstColumn="0" w:firstRowLastColumn="0" w:lastRowFirstColumn="0" w:lastRowLastColumn="0"/>
            <w:tcW w:w="3227" w:type="dxa"/>
            <w:noWrap/>
            <w:vAlign w:val="top"/>
            <w:hideMark/>
          </w:tcPr>
          <w:p w:rsidR="00BD38CA" w:rsidRPr="00BD38CA" w:rsidRDefault="00BD38CA" w:rsidP="00BD38CA">
            <w:pPr>
              <w:pStyle w:val="AERtabletextleft"/>
            </w:pPr>
            <w:r w:rsidRPr="00BD38CA">
              <w:t>Annual revenue requirement (unsmoothed)</w:t>
            </w:r>
          </w:p>
        </w:tc>
        <w:tc>
          <w:tcPr>
            <w:tcW w:w="992" w:type="dxa"/>
            <w:noWrap/>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1541.9</w:t>
            </w:r>
          </w:p>
        </w:tc>
        <w:tc>
          <w:tcPr>
            <w:tcW w:w="992" w:type="dxa"/>
            <w:noWrap/>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1538.2</w:t>
            </w:r>
          </w:p>
        </w:tc>
        <w:tc>
          <w:tcPr>
            <w:tcW w:w="1134"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1595.8</w:t>
            </w:r>
          </w:p>
        </w:tc>
        <w:tc>
          <w:tcPr>
            <w:tcW w:w="993"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1564.5</w:t>
            </w:r>
          </w:p>
        </w:tc>
        <w:tc>
          <w:tcPr>
            <w:tcW w:w="992"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1561.3</w:t>
            </w:r>
          </w:p>
        </w:tc>
        <w:tc>
          <w:tcPr>
            <w:tcW w:w="912"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7801.7</w:t>
            </w:r>
          </w:p>
        </w:tc>
      </w:tr>
      <w:tr w:rsidR="00854273" w:rsidRPr="00B16151" w:rsidTr="00CE4D1A">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227" w:type="dxa"/>
            <w:noWrap/>
            <w:vAlign w:val="top"/>
            <w:hideMark/>
          </w:tcPr>
          <w:p w:rsidR="00BD38CA" w:rsidRPr="00CE4D1A" w:rsidRDefault="00BD38CA" w:rsidP="00CE4D1A">
            <w:pPr>
              <w:pStyle w:val="AERtabletextleft"/>
              <w:rPr>
                <w:rStyle w:val="AERtextbold"/>
              </w:rPr>
            </w:pPr>
            <w:r w:rsidRPr="00CE4D1A">
              <w:rPr>
                <w:rStyle w:val="AERtextbold"/>
              </w:rPr>
              <w:t>Annual expected revenue (smoothed)</w:t>
            </w:r>
          </w:p>
        </w:tc>
        <w:tc>
          <w:tcPr>
            <w:tcW w:w="992" w:type="dxa"/>
            <w:noWrap/>
            <w:vAlign w:val="top"/>
          </w:tcPr>
          <w:p w:rsidR="00BD38CA" w:rsidRPr="00CE4D1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E4D1A">
              <w:rPr>
                <w:rStyle w:val="AERtextbold"/>
              </w:rPr>
              <w:t>1956.4</w:t>
            </w:r>
          </w:p>
        </w:tc>
        <w:tc>
          <w:tcPr>
            <w:tcW w:w="992" w:type="dxa"/>
            <w:noWrap/>
            <w:vAlign w:val="top"/>
          </w:tcPr>
          <w:p w:rsidR="00BD38CA" w:rsidRPr="00CE4D1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E4D1A">
              <w:rPr>
                <w:rStyle w:val="AERtextbold"/>
              </w:rPr>
              <w:t>1391.8</w:t>
            </w:r>
          </w:p>
        </w:tc>
        <w:tc>
          <w:tcPr>
            <w:tcW w:w="1134" w:type="dxa"/>
            <w:vAlign w:val="top"/>
          </w:tcPr>
          <w:p w:rsidR="00BD38CA" w:rsidRPr="00CE4D1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E4D1A">
              <w:rPr>
                <w:rStyle w:val="AERtextbold"/>
              </w:rPr>
              <w:t>1426.6</w:t>
            </w:r>
          </w:p>
        </w:tc>
        <w:tc>
          <w:tcPr>
            <w:tcW w:w="993" w:type="dxa"/>
            <w:vAlign w:val="top"/>
          </w:tcPr>
          <w:p w:rsidR="00BD38CA" w:rsidRPr="00CE4D1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E4D1A">
              <w:rPr>
                <w:rStyle w:val="AERtextbold"/>
              </w:rPr>
              <w:t>1462.3</w:t>
            </w:r>
          </w:p>
        </w:tc>
        <w:tc>
          <w:tcPr>
            <w:tcW w:w="992" w:type="dxa"/>
            <w:vAlign w:val="top"/>
          </w:tcPr>
          <w:p w:rsidR="00BD38CA" w:rsidRPr="00CE4D1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E4D1A">
              <w:rPr>
                <w:rStyle w:val="AERtextbold"/>
              </w:rPr>
              <w:t>1498.8</w:t>
            </w:r>
          </w:p>
        </w:tc>
        <w:tc>
          <w:tcPr>
            <w:tcW w:w="912" w:type="dxa"/>
            <w:vAlign w:val="top"/>
          </w:tcPr>
          <w:p w:rsidR="00BD38CA" w:rsidRPr="00CE4D1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E4D1A">
              <w:rPr>
                <w:rStyle w:val="AERtextbold"/>
              </w:rPr>
              <w:t>7735.9</w:t>
            </w:r>
          </w:p>
        </w:tc>
      </w:tr>
      <w:tr w:rsidR="00854273" w:rsidRPr="00356B64" w:rsidTr="00CE4D1A">
        <w:trPr>
          <w:trHeight w:val="190"/>
        </w:trPr>
        <w:tc>
          <w:tcPr>
            <w:cnfStyle w:val="001000000000" w:firstRow="0" w:lastRow="0" w:firstColumn="1" w:lastColumn="0" w:oddVBand="0" w:evenVBand="0" w:oddHBand="0" w:evenHBand="0" w:firstRowFirstColumn="0" w:firstRowLastColumn="0" w:lastRowFirstColumn="0" w:lastRowLastColumn="0"/>
            <w:tcW w:w="3227" w:type="dxa"/>
            <w:noWrap/>
            <w:vAlign w:val="top"/>
            <w:hideMark/>
          </w:tcPr>
          <w:p w:rsidR="00BD38CA" w:rsidRPr="00BD38CA" w:rsidRDefault="00BD38CA" w:rsidP="00CE4D1A">
            <w:pPr>
              <w:pStyle w:val="AERtabletextleft"/>
            </w:pPr>
            <w:r w:rsidRPr="00BD38CA">
              <w:t>X factor</w:t>
            </w:r>
          </w:p>
        </w:tc>
        <w:tc>
          <w:tcPr>
            <w:tcW w:w="992" w:type="dxa"/>
            <w:noWrap/>
            <w:vAlign w:val="top"/>
          </w:tcPr>
          <w:p w:rsidR="00BD38CA" w:rsidRPr="00BD38CA" w:rsidRDefault="0025192B" w:rsidP="0025192B">
            <w:pPr>
              <w:pStyle w:val="AERtabletextright"/>
              <w:cnfStyle w:val="000000000000" w:firstRow="0" w:lastRow="0" w:firstColumn="0" w:lastColumn="0" w:oddVBand="0" w:evenVBand="0" w:oddHBand="0" w:evenHBand="0" w:firstRowFirstColumn="0" w:firstRowLastColumn="0" w:lastRowFirstColumn="0" w:lastRowLastColumn="0"/>
            </w:pPr>
            <w:r>
              <w:t>n/</w:t>
            </w:r>
            <w:proofErr w:type="spellStart"/>
            <w:r>
              <w:t>a</w:t>
            </w:r>
            <w:r w:rsidRPr="00CE4D1A">
              <w:rPr>
                <w:rStyle w:val="AERsuperscript"/>
              </w:rPr>
              <w:t>b</w:t>
            </w:r>
            <w:proofErr w:type="spellEnd"/>
          </w:p>
        </w:tc>
        <w:tc>
          <w:tcPr>
            <w:tcW w:w="992" w:type="dxa"/>
            <w:noWrap/>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30.6</w:t>
            </w:r>
            <w:r w:rsidR="00E02D39">
              <w:t>0</w:t>
            </w:r>
            <w:r w:rsidRPr="00BD38CA">
              <w:t>%</w:t>
            </w:r>
          </w:p>
        </w:tc>
        <w:tc>
          <w:tcPr>
            <w:tcW w:w="1134" w:type="dxa"/>
            <w:vAlign w:val="top"/>
          </w:tcPr>
          <w:p w:rsidR="00BD38CA" w:rsidRPr="00CE4D1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rsidRPr="00BD38CA">
              <w:t>0.0</w:t>
            </w:r>
            <w:r w:rsidR="00E02D39">
              <w:t>0</w:t>
            </w:r>
            <w:r w:rsidRPr="00BD38CA">
              <w:t>%</w:t>
            </w:r>
            <w:r w:rsidR="0025192B">
              <w:rPr>
                <w:rStyle w:val="AERsuperscript"/>
              </w:rPr>
              <w:t>c</w:t>
            </w:r>
          </w:p>
        </w:tc>
        <w:tc>
          <w:tcPr>
            <w:tcW w:w="993" w:type="dxa"/>
            <w:vAlign w:val="top"/>
          </w:tcPr>
          <w:p w:rsidR="00BD38CA" w:rsidRPr="00CE4D1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rsidRPr="00BD38CA">
              <w:t>0.0</w:t>
            </w:r>
            <w:r w:rsidR="00E02D39">
              <w:t>0</w:t>
            </w:r>
            <w:r w:rsidRPr="00BD38CA">
              <w:t>%</w:t>
            </w:r>
            <w:r w:rsidR="0025192B">
              <w:rPr>
                <w:rStyle w:val="AERsuperscript"/>
              </w:rPr>
              <w:t>c</w:t>
            </w:r>
          </w:p>
        </w:tc>
        <w:tc>
          <w:tcPr>
            <w:tcW w:w="992" w:type="dxa"/>
            <w:vAlign w:val="top"/>
          </w:tcPr>
          <w:p w:rsidR="00BD38CA" w:rsidRPr="00CE4D1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rsidRPr="00BD38CA">
              <w:t>0.0</w:t>
            </w:r>
            <w:r w:rsidR="00E02D39">
              <w:t>0</w:t>
            </w:r>
            <w:r w:rsidRPr="00BD38CA">
              <w:t>%</w:t>
            </w:r>
            <w:r w:rsidR="0025192B">
              <w:rPr>
                <w:rStyle w:val="AERsuperscript"/>
              </w:rPr>
              <w:t>c</w:t>
            </w:r>
          </w:p>
        </w:tc>
        <w:tc>
          <w:tcPr>
            <w:tcW w:w="912"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12.6%</w:t>
            </w:r>
          </w:p>
        </w:tc>
      </w:tr>
    </w:tbl>
    <w:p w:rsidR="004647BC" w:rsidRDefault="0023470D" w:rsidP="004647BC">
      <w:pPr>
        <w:pStyle w:val="AERtablesource"/>
      </w:pPr>
      <w:r>
        <w:t xml:space="preserve">Source: </w:t>
      </w:r>
      <w:r>
        <w:tab/>
        <w:t>AER analysis</w:t>
      </w:r>
      <w:r w:rsidR="00D14242">
        <w:t>.</w:t>
      </w:r>
      <w:r w:rsidR="004647BC" w:rsidRPr="004647BC">
        <w:t xml:space="preserve"> </w:t>
      </w:r>
    </w:p>
    <w:p w:rsidR="0025192B" w:rsidRDefault="004647BC" w:rsidP="004647BC">
      <w:pPr>
        <w:pStyle w:val="AERtablesource"/>
      </w:pPr>
      <w:r>
        <w:t>(a)</w:t>
      </w:r>
      <w:r>
        <w:tab/>
      </w:r>
      <w:r w:rsidRPr="005B601A">
        <w:t>These are the efficient net costs of metering and ancillary network services</w:t>
      </w:r>
      <w:r>
        <w:t xml:space="preserve"> and emergency recoverable works</w:t>
      </w:r>
      <w:r w:rsidRPr="005B601A">
        <w:t xml:space="preserve"> as determined by the AER. They reflect the difference between the costs and any offsetting revenues recovered by the service provider through separate charges.</w:t>
      </w:r>
      <w:r>
        <w:t xml:space="preserve"> </w:t>
      </w:r>
    </w:p>
    <w:p w:rsidR="004647BC" w:rsidRDefault="0025192B" w:rsidP="004647BC">
      <w:pPr>
        <w:pStyle w:val="AERtablesource"/>
      </w:pPr>
      <w:r>
        <w:t>(b)</w:t>
      </w:r>
      <w:r>
        <w:tab/>
        <w:t xml:space="preserve">In our transitional decision, we determined the placeholder revenue for 2014–15. In this draft decision to update the 2014–15 revenue for our assessment of efficient costs we determined X factors for the final four years of the </w:t>
      </w:r>
      <w:r>
        <w:br/>
        <w:t>2014–19 period. This is to adjust Ausgrid's total revenue requirement for the 2015–19 regulatory control period for the difference between the placeholder revenue and our decision on Ausgrid's efficient costs for 2014–15.</w:t>
      </w:r>
    </w:p>
    <w:p w:rsidR="004647BC" w:rsidRPr="004647BC" w:rsidRDefault="004647BC" w:rsidP="00BA6A6F">
      <w:pPr>
        <w:pStyle w:val="AERtablesource"/>
      </w:pPr>
      <w:r>
        <w:t>(</w:t>
      </w:r>
      <w:r w:rsidR="0025192B">
        <w:t>c</w:t>
      </w:r>
      <w:r>
        <w:t>)</w:t>
      </w:r>
      <w:r>
        <w:tab/>
      </w:r>
      <w:r w:rsidRPr="001C2DB8">
        <w:t>The X factor will be revised to reflect the annual return on debt update.</w:t>
      </w:r>
    </w:p>
    <w:p w:rsidR="00AC0E54" w:rsidRDefault="008F09E2" w:rsidP="008F09E2">
      <w:pPr>
        <w:pStyle w:val="Caption"/>
      </w:pPr>
      <w:bookmarkStart w:id="13" w:name="_Ref403478012"/>
      <w:proofErr w:type="gramStart"/>
      <w:r>
        <w:t xml:space="preserve">Table </w:t>
      </w:r>
      <w:proofErr w:type="gramEnd"/>
      <w:r w:rsidR="00382E4F">
        <w:fldChar w:fldCharType="begin"/>
      </w:r>
      <w:r w:rsidR="00382E4F">
        <w:instrText xml:space="preserve"> STYLEREF 1 \s </w:instrText>
      </w:r>
      <w:r w:rsidR="00382E4F">
        <w:fldChar w:fldCharType="separate"/>
      </w:r>
      <w:r w:rsidR="00382E4F">
        <w:rPr>
          <w:noProof/>
        </w:rPr>
        <w:t>1</w:t>
      </w:r>
      <w:r w:rsidR="00382E4F">
        <w:rPr>
          <w:noProof/>
        </w:rPr>
        <w:fldChar w:fldCharType="end"/>
      </w:r>
      <w:proofErr w:type="gramStart"/>
      <w:r w:rsidR="00CE4D1A">
        <w:t>.</w:t>
      </w:r>
      <w:proofErr w:type="gramEnd"/>
      <w:r w:rsidR="00382E4F">
        <w:fldChar w:fldCharType="begin"/>
      </w:r>
      <w:r w:rsidR="00382E4F">
        <w:instrText xml:space="preserve"> SEQ Table \* ARABIC \s 1 </w:instrText>
      </w:r>
      <w:r w:rsidR="00382E4F">
        <w:fldChar w:fldCharType="separate"/>
      </w:r>
      <w:r w:rsidR="00382E4F">
        <w:rPr>
          <w:noProof/>
        </w:rPr>
        <w:t>2</w:t>
      </w:r>
      <w:r w:rsidR="00382E4F">
        <w:rPr>
          <w:noProof/>
        </w:rPr>
        <w:fldChar w:fldCharType="end"/>
      </w:r>
      <w:bookmarkEnd w:id="13"/>
      <w:r>
        <w:tab/>
        <w:t xml:space="preserve">AER's draft decision on Ausgrid's revenues for 2014–19 period </w:t>
      </w:r>
      <w:r w:rsidR="006472EA">
        <w:t xml:space="preserve">– transmission </w:t>
      </w:r>
      <w:r>
        <w:t xml:space="preserve">($million, nominal) </w:t>
      </w:r>
    </w:p>
    <w:tbl>
      <w:tblPr>
        <w:tblStyle w:val="AERtable-numbers"/>
        <w:tblW w:w="9242" w:type="dxa"/>
        <w:tblLayout w:type="fixed"/>
        <w:tblLook w:val="04A0" w:firstRow="1" w:lastRow="0" w:firstColumn="1" w:lastColumn="0" w:noHBand="0" w:noVBand="1"/>
      </w:tblPr>
      <w:tblGrid>
        <w:gridCol w:w="3211"/>
        <w:gridCol w:w="977"/>
        <w:gridCol w:w="1023"/>
        <w:gridCol w:w="1134"/>
        <w:gridCol w:w="993"/>
        <w:gridCol w:w="992"/>
        <w:gridCol w:w="912"/>
      </w:tblGrid>
      <w:tr w:rsidR="00854273" w:rsidRPr="00356B64" w:rsidTr="00CE4D1A">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211" w:type="dxa"/>
            <w:noWrap/>
            <w:hideMark/>
          </w:tcPr>
          <w:p w:rsidR="0023470D" w:rsidRPr="0023470D" w:rsidRDefault="0023470D" w:rsidP="0023470D">
            <w:pPr>
              <w:pStyle w:val="AERtabletextleft"/>
            </w:pPr>
            <w:r w:rsidRPr="003E0B0C">
              <w:t> </w:t>
            </w:r>
          </w:p>
        </w:tc>
        <w:tc>
          <w:tcPr>
            <w:tcW w:w="977" w:type="dxa"/>
            <w:noWrap/>
            <w:hideMark/>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rsidRPr="003E0B0C">
              <w:t>201</w:t>
            </w:r>
            <w:r w:rsidRPr="0023470D">
              <w:t>4–15</w:t>
            </w:r>
          </w:p>
        </w:tc>
        <w:tc>
          <w:tcPr>
            <w:tcW w:w="1023" w:type="dxa"/>
            <w:noWrap/>
            <w:hideMark/>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t>2</w:t>
            </w:r>
            <w:r w:rsidRPr="0023470D">
              <w:t>015–16</w:t>
            </w:r>
          </w:p>
        </w:tc>
        <w:tc>
          <w:tcPr>
            <w:tcW w:w="1134" w:type="dxa"/>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t>2016</w:t>
            </w:r>
            <w:r w:rsidRPr="0023470D">
              <w:t>–17</w:t>
            </w:r>
          </w:p>
        </w:tc>
        <w:tc>
          <w:tcPr>
            <w:tcW w:w="993" w:type="dxa"/>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992" w:type="dxa"/>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912" w:type="dxa"/>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854273" w:rsidRPr="00356B64" w:rsidTr="00CE4D1A">
        <w:trPr>
          <w:trHeight w:val="190"/>
        </w:trPr>
        <w:tc>
          <w:tcPr>
            <w:cnfStyle w:val="001000000000" w:firstRow="0" w:lastRow="0" w:firstColumn="1" w:lastColumn="0" w:oddVBand="0" w:evenVBand="0" w:oddHBand="0" w:evenHBand="0" w:firstRowFirstColumn="0" w:firstRowLastColumn="0" w:lastRowFirstColumn="0" w:lastRowLastColumn="0"/>
            <w:tcW w:w="3211" w:type="dxa"/>
            <w:noWrap/>
            <w:vAlign w:val="top"/>
            <w:hideMark/>
          </w:tcPr>
          <w:p w:rsidR="00BD38CA" w:rsidRPr="00BD38CA" w:rsidRDefault="00BD38CA" w:rsidP="00BD38CA">
            <w:pPr>
              <w:pStyle w:val="AERtabletextleft"/>
            </w:pPr>
            <w:r w:rsidRPr="00BD38CA">
              <w:t>Return on capital</w:t>
            </w:r>
          </w:p>
        </w:tc>
        <w:tc>
          <w:tcPr>
            <w:tcW w:w="977" w:type="dxa"/>
            <w:noWrap/>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145.5</w:t>
            </w:r>
          </w:p>
        </w:tc>
        <w:tc>
          <w:tcPr>
            <w:tcW w:w="1023" w:type="dxa"/>
            <w:noWrap/>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151.4</w:t>
            </w:r>
          </w:p>
        </w:tc>
        <w:tc>
          <w:tcPr>
            <w:tcW w:w="1134"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157.0</w:t>
            </w:r>
          </w:p>
        </w:tc>
        <w:tc>
          <w:tcPr>
            <w:tcW w:w="993"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159.9</w:t>
            </w:r>
          </w:p>
        </w:tc>
        <w:tc>
          <w:tcPr>
            <w:tcW w:w="992"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163.4</w:t>
            </w:r>
          </w:p>
        </w:tc>
        <w:tc>
          <w:tcPr>
            <w:tcW w:w="912"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777.1</w:t>
            </w:r>
          </w:p>
        </w:tc>
      </w:tr>
      <w:tr w:rsidR="00854273" w:rsidRPr="00356B64" w:rsidTr="00CE4D1A">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211" w:type="dxa"/>
            <w:noWrap/>
            <w:vAlign w:val="top"/>
          </w:tcPr>
          <w:p w:rsidR="00BD38CA" w:rsidRPr="00BD38CA" w:rsidRDefault="00BD38CA" w:rsidP="00BD38CA">
            <w:pPr>
              <w:pStyle w:val="AERtabletextleft"/>
            </w:pPr>
            <w:r w:rsidRPr="00BD38CA">
              <w:t>Regulatory depreciation</w:t>
            </w:r>
          </w:p>
        </w:tc>
        <w:tc>
          <w:tcPr>
            <w:tcW w:w="977" w:type="dxa"/>
            <w:noWrap/>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12.2</w:t>
            </w:r>
          </w:p>
        </w:tc>
        <w:tc>
          <w:tcPr>
            <w:tcW w:w="1023" w:type="dxa"/>
            <w:noWrap/>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15.1</w:t>
            </w:r>
          </w:p>
        </w:tc>
        <w:tc>
          <w:tcPr>
            <w:tcW w:w="1134"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18.3</w:t>
            </w:r>
          </w:p>
        </w:tc>
        <w:tc>
          <w:tcPr>
            <w:tcW w:w="993"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15.6</w:t>
            </w:r>
          </w:p>
        </w:tc>
        <w:tc>
          <w:tcPr>
            <w:tcW w:w="992"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15.3</w:t>
            </w:r>
          </w:p>
        </w:tc>
        <w:tc>
          <w:tcPr>
            <w:tcW w:w="912"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76.5</w:t>
            </w:r>
          </w:p>
        </w:tc>
      </w:tr>
      <w:tr w:rsidR="00854273" w:rsidRPr="00356B64" w:rsidTr="00CE4D1A">
        <w:trPr>
          <w:trHeight w:val="190"/>
        </w:trPr>
        <w:tc>
          <w:tcPr>
            <w:cnfStyle w:val="001000000000" w:firstRow="0" w:lastRow="0" w:firstColumn="1" w:lastColumn="0" w:oddVBand="0" w:evenVBand="0" w:oddHBand="0" w:evenHBand="0" w:firstRowFirstColumn="0" w:firstRowLastColumn="0" w:lastRowFirstColumn="0" w:lastRowLastColumn="0"/>
            <w:tcW w:w="3211" w:type="dxa"/>
            <w:noWrap/>
            <w:vAlign w:val="top"/>
          </w:tcPr>
          <w:p w:rsidR="00BD38CA" w:rsidRPr="00BD38CA" w:rsidRDefault="00BD38CA" w:rsidP="00BD38CA">
            <w:pPr>
              <w:pStyle w:val="AERtabletextleft"/>
            </w:pPr>
            <w:r w:rsidRPr="00BD38CA">
              <w:t>Operating expenditure</w:t>
            </w:r>
          </w:p>
        </w:tc>
        <w:tc>
          <w:tcPr>
            <w:tcW w:w="977" w:type="dxa"/>
            <w:noWrap/>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25.9</w:t>
            </w:r>
          </w:p>
        </w:tc>
        <w:tc>
          <w:tcPr>
            <w:tcW w:w="1023" w:type="dxa"/>
            <w:noWrap/>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27.0</w:t>
            </w:r>
          </w:p>
        </w:tc>
        <w:tc>
          <w:tcPr>
            <w:tcW w:w="1134"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28.4</w:t>
            </w:r>
          </w:p>
        </w:tc>
        <w:tc>
          <w:tcPr>
            <w:tcW w:w="993"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27.9</w:t>
            </w:r>
          </w:p>
        </w:tc>
        <w:tc>
          <w:tcPr>
            <w:tcW w:w="992"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29.1</w:t>
            </w:r>
          </w:p>
        </w:tc>
        <w:tc>
          <w:tcPr>
            <w:tcW w:w="912"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138.3</w:t>
            </w:r>
          </w:p>
        </w:tc>
      </w:tr>
      <w:tr w:rsidR="00854273" w:rsidRPr="00356B64" w:rsidTr="00CE4D1A">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211" w:type="dxa"/>
            <w:noWrap/>
            <w:vAlign w:val="top"/>
          </w:tcPr>
          <w:p w:rsidR="00BD38CA" w:rsidRPr="00BD38CA" w:rsidRDefault="00BD38CA" w:rsidP="00BD38CA">
            <w:pPr>
              <w:pStyle w:val="AERtabletextleft"/>
            </w:pPr>
            <w:r w:rsidRPr="00BD38CA">
              <w:t>Efficiency benefit sharing scheme (carryover amounts)</w:t>
            </w:r>
          </w:p>
        </w:tc>
        <w:tc>
          <w:tcPr>
            <w:tcW w:w="977" w:type="dxa"/>
            <w:noWrap/>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5.8</w:t>
            </w:r>
          </w:p>
        </w:tc>
        <w:tc>
          <w:tcPr>
            <w:tcW w:w="1023" w:type="dxa"/>
            <w:noWrap/>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5.4</w:t>
            </w:r>
          </w:p>
        </w:tc>
        <w:tc>
          <w:tcPr>
            <w:tcW w:w="1134"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4.3</w:t>
            </w:r>
          </w:p>
        </w:tc>
        <w:tc>
          <w:tcPr>
            <w:tcW w:w="993"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3.1</w:t>
            </w:r>
          </w:p>
        </w:tc>
        <w:tc>
          <w:tcPr>
            <w:tcW w:w="992"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0.0</w:t>
            </w:r>
          </w:p>
        </w:tc>
        <w:tc>
          <w:tcPr>
            <w:tcW w:w="912"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18.6</w:t>
            </w:r>
          </w:p>
        </w:tc>
      </w:tr>
      <w:tr w:rsidR="00854273" w:rsidRPr="00356B64" w:rsidTr="00CE4D1A">
        <w:trPr>
          <w:trHeight w:val="190"/>
        </w:trPr>
        <w:tc>
          <w:tcPr>
            <w:cnfStyle w:val="001000000000" w:firstRow="0" w:lastRow="0" w:firstColumn="1" w:lastColumn="0" w:oddVBand="0" w:evenVBand="0" w:oddHBand="0" w:evenHBand="0" w:firstRowFirstColumn="0" w:firstRowLastColumn="0" w:lastRowFirstColumn="0" w:lastRowLastColumn="0"/>
            <w:tcW w:w="3211" w:type="dxa"/>
            <w:noWrap/>
            <w:vAlign w:val="top"/>
          </w:tcPr>
          <w:p w:rsidR="00BD38CA" w:rsidRPr="00BD38CA" w:rsidRDefault="00BD38CA" w:rsidP="00BD38CA">
            <w:pPr>
              <w:pStyle w:val="AERtabletextleft"/>
            </w:pPr>
            <w:r w:rsidRPr="00BD38CA">
              <w:t>Net tax allowance</w:t>
            </w:r>
          </w:p>
        </w:tc>
        <w:tc>
          <w:tcPr>
            <w:tcW w:w="977" w:type="dxa"/>
            <w:noWrap/>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6.4</w:t>
            </w:r>
          </w:p>
        </w:tc>
        <w:tc>
          <w:tcPr>
            <w:tcW w:w="1023" w:type="dxa"/>
            <w:noWrap/>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6.9</w:t>
            </w:r>
          </w:p>
        </w:tc>
        <w:tc>
          <w:tcPr>
            <w:tcW w:w="1134"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7.8</w:t>
            </w:r>
          </w:p>
        </w:tc>
        <w:tc>
          <w:tcPr>
            <w:tcW w:w="993"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7.6</w:t>
            </w:r>
          </w:p>
        </w:tc>
        <w:tc>
          <w:tcPr>
            <w:tcW w:w="992"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7.4</w:t>
            </w:r>
          </w:p>
        </w:tc>
        <w:tc>
          <w:tcPr>
            <w:tcW w:w="912" w:type="dxa"/>
            <w:vAlign w:val="top"/>
          </w:tcPr>
          <w:p w:rsidR="00BD38CA" w:rsidRPr="00BD38C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pPr>
            <w:r w:rsidRPr="00BD38CA">
              <w:t>36.2</w:t>
            </w:r>
          </w:p>
        </w:tc>
      </w:tr>
      <w:tr w:rsidR="00854273" w:rsidRPr="00356B64" w:rsidTr="00CE4D1A">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211" w:type="dxa"/>
            <w:noWrap/>
            <w:vAlign w:val="top"/>
            <w:hideMark/>
          </w:tcPr>
          <w:p w:rsidR="00BD38CA" w:rsidRPr="00BD38CA" w:rsidRDefault="00BD38CA" w:rsidP="00BD38CA">
            <w:pPr>
              <w:pStyle w:val="AERtabletextleft"/>
            </w:pPr>
            <w:r w:rsidRPr="00BD38CA">
              <w:t>Annual revenue requirement (unsmoothed)</w:t>
            </w:r>
          </w:p>
        </w:tc>
        <w:tc>
          <w:tcPr>
            <w:tcW w:w="977" w:type="dxa"/>
            <w:noWrap/>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195.8</w:t>
            </w:r>
          </w:p>
        </w:tc>
        <w:tc>
          <w:tcPr>
            <w:tcW w:w="1023" w:type="dxa"/>
            <w:noWrap/>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205.8</w:t>
            </w:r>
          </w:p>
        </w:tc>
        <w:tc>
          <w:tcPr>
            <w:tcW w:w="1134"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215.8</w:t>
            </w:r>
          </w:p>
        </w:tc>
        <w:tc>
          <w:tcPr>
            <w:tcW w:w="993"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214.1</w:t>
            </w:r>
          </w:p>
        </w:tc>
        <w:tc>
          <w:tcPr>
            <w:tcW w:w="992"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215.2</w:t>
            </w:r>
          </w:p>
        </w:tc>
        <w:tc>
          <w:tcPr>
            <w:tcW w:w="912"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1046.7</w:t>
            </w:r>
          </w:p>
        </w:tc>
      </w:tr>
      <w:tr w:rsidR="00854273" w:rsidRPr="00B16151" w:rsidTr="00CE4D1A">
        <w:trPr>
          <w:trHeight w:val="190"/>
        </w:trPr>
        <w:tc>
          <w:tcPr>
            <w:cnfStyle w:val="001000000000" w:firstRow="0" w:lastRow="0" w:firstColumn="1" w:lastColumn="0" w:oddVBand="0" w:evenVBand="0" w:oddHBand="0" w:evenHBand="0" w:firstRowFirstColumn="0" w:firstRowLastColumn="0" w:lastRowFirstColumn="0" w:lastRowLastColumn="0"/>
            <w:tcW w:w="3211" w:type="dxa"/>
            <w:noWrap/>
            <w:vAlign w:val="top"/>
            <w:hideMark/>
          </w:tcPr>
          <w:p w:rsidR="00BD38CA" w:rsidRPr="00CE4D1A" w:rsidRDefault="00BD38CA" w:rsidP="00CE4D1A">
            <w:pPr>
              <w:pStyle w:val="AERtabletextleft"/>
              <w:rPr>
                <w:rStyle w:val="AERtextbold"/>
              </w:rPr>
            </w:pPr>
            <w:r w:rsidRPr="00CE4D1A">
              <w:rPr>
                <w:rStyle w:val="AERtextbold"/>
              </w:rPr>
              <w:t>Annual expected revenue (smoothed)</w:t>
            </w:r>
          </w:p>
        </w:tc>
        <w:tc>
          <w:tcPr>
            <w:tcW w:w="977" w:type="dxa"/>
            <w:noWrap/>
            <w:vAlign w:val="top"/>
          </w:tcPr>
          <w:p w:rsidR="00BD38CA" w:rsidRPr="00CE4D1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E4D1A">
              <w:rPr>
                <w:rStyle w:val="AERtextbold"/>
              </w:rPr>
              <w:t>252.3</w:t>
            </w:r>
          </w:p>
        </w:tc>
        <w:tc>
          <w:tcPr>
            <w:tcW w:w="1023" w:type="dxa"/>
            <w:noWrap/>
            <w:vAlign w:val="top"/>
          </w:tcPr>
          <w:p w:rsidR="00BD38CA" w:rsidRPr="00CE4D1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E4D1A">
              <w:rPr>
                <w:rStyle w:val="AERtextbold"/>
              </w:rPr>
              <w:t>184.9</w:t>
            </w:r>
          </w:p>
        </w:tc>
        <w:tc>
          <w:tcPr>
            <w:tcW w:w="1134" w:type="dxa"/>
            <w:vAlign w:val="top"/>
          </w:tcPr>
          <w:p w:rsidR="00BD38CA" w:rsidRPr="00CE4D1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E4D1A">
              <w:rPr>
                <w:rStyle w:val="AERtextbold"/>
              </w:rPr>
              <w:t>192.4</w:t>
            </w:r>
          </w:p>
        </w:tc>
        <w:tc>
          <w:tcPr>
            <w:tcW w:w="993" w:type="dxa"/>
            <w:vAlign w:val="top"/>
          </w:tcPr>
          <w:p w:rsidR="00BD38CA" w:rsidRPr="00CE4D1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E4D1A">
              <w:rPr>
                <w:rStyle w:val="AERtextbold"/>
              </w:rPr>
              <w:t>200.2</w:t>
            </w:r>
          </w:p>
        </w:tc>
        <w:tc>
          <w:tcPr>
            <w:tcW w:w="992" w:type="dxa"/>
            <w:vAlign w:val="top"/>
          </w:tcPr>
          <w:p w:rsidR="00BD38CA" w:rsidRPr="00CE4D1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E4D1A">
              <w:rPr>
                <w:rStyle w:val="AERtextbold"/>
              </w:rPr>
              <w:t>208.2</w:t>
            </w:r>
          </w:p>
        </w:tc>
        <w:tc>
          <w:tcPr>
            <w:tcW w:w="912" w:type="dxa"/>
            <w:vAlign w:val="top"/>
          </w:tcPr>
          <w:p w:rsidR="00BD38CA" w:rsidRPr="00CE4D1A" w:rsidRDefault="00BD38CA" w:rsidP="00BD38C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E4D1A">
              <w:rPr>
                <w:rStyle w:val="AERtextbold"/>
              </w:rPr>
              <w:t>1038.0</w:t>
            </w:r>
          </w:p>
        </w:tc>
      </w:tr>
      <w:tr w:rsidR="00854273" w:rsidRPr="00356B64" w:rsidTr="00CE4D1A">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211" w:type="dxa"/>
            <w:noWrap/>
            <w:vAlign w:val="top"/>
            <w:hideMark/>
          </w:tcPr>
          <w:p w:rsidR="00BD38CA" w:rsidRPr="00BD38CA" w:rsidRDefault="00BD38CA" w:rsidP="00CE4D1A">
            <w:pPr>
              <w:pStyle w:val="AERtabletextleft"/>
            </w:pPr>
            <w:r w:rsidRPr="00BD38CA">
              <w:t>X factor</w:t>
            </w:r>
          </w:p>
        </w:tc>
        <w:tc>
          <w:tcPr>
            <w:tcW w:w="977" w:type="dxa"/>
            <w:noWrap/>
            <w:vAlign w:val="top"/>
          </w:tcPr>
          <w:p w:rsidR="00BD38CA" w:rsidRPr="00BD38CA" w:rsidRDefault="0025192B" w:rsidP="0025192B">
            <w:pPr>
              <w:pStyle w:val="AERtabletextright"/>
              <w:cnfStyle w:val="000000010000" w:firstRow="0" w:lastRow="0" w:firstColumn="0" w:lastColumn="0" w:oddVBand="0" w:evenVBand="0" w:oddHBand="0" w:evenHBand="1" w:firstRowFirstColumn="0" w:firstRowLastColumn="0" w:lastRowFirstColumn="0" w:lastRowLastColumn="0"/>
            </w:pPr>
            <w:r>
              <w:t>n/</w:t>
            </w:r>
            <w:proofErr w:type="spellStart"/>
            <w:r>
              <w:t>a</w:t>
            </w:r>
            <w:r>
              <w:rPr>
                <w:rStyle w:val="AERsuperscript"/>
              </w:rPr>
              <w:t>a</w:t>
            </w:r>
            <w:proofErr w:type="spellEnd"/>
          </w:p>
        </w:tc>
        <w:tc>
          <w:tcPr>
            <w:tcW w:w="1023" w:type="dxa"/>
            <w:noWrap/>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28.</w:t>
            </w:r>
            <w:r w:rsidR="00E02D39">
              <w:t>49</w:t>
            </w:r>
            <w:r w:rsidRPr="00BD38CA">
              <w:t>%</w:t>
            </w:r>
          </w:p>
        </w:tc>
        <w:tc>
          <w:tcPr>
            <w:tcW w:w="1134" w:type="dxa"/>
            <w:vAlign w:val="top"/>
          </w:tcPr>
          <w:p w:rsidR="00BD38CA" w:rsidRPr="00CE4D1A" w:rsidRDefault="00854273" w:rsidP="00BD38CA">
            <w:pPr>
              <w:pStyle w:val="AERtabletextright"/>
              <w:cnfStyle w:val="000000010000" w:firstRow="0" w:lastRow="0" w:firstColumn="0" w:lastColumn="0" w:oddVBand="0" w:evenVBand="0" w:oddHBand="0" w:evenHBand="1" w:firstRowFirstColumn="0" w:firstRowLastColumn="0" w:lastRowFirstColumn="0" w:lastRowLastColumn="0"/>
              <w:rPr>
                <w:rStyle w:val="AERsuperscript"/>
              </w:rPr>
            </w:pPr>
            <w:r>
              <w:t>–</w:t>
            </w:r>
            <w:r w:rsidR="00BD38CA" w:rsidRPr="00BD38CA">
              <w:t>1.5</w:t>
            </w:r>
            <w:r w:rsidR="00E02D39">
              <w:t>0</w:t>
            </w:r>
            <w:r w:rsidR="00BD38CA" w:rsidRPr="00BD38CA">
              <w:t>%</w:t>
            </w:r>
            <w:r w:rsidR="0025192B">
              <w:rPr>
                <w:rStyle w:val="AERsuperscript"/>
              </w:rPr>
              <w:t>b</w:t>
            </w:r>
          </w:p>
        </w:tc>
        <w:tc>
          <w:tcPr>
            <w:tcW w:w="993" w:type="dxa"/>
            <w:vAlign w:val="top"/>
          </w:tcPr>
          <w:p w:rsidR="00BD38CA" w:rsidRPr="00CE4D1A" w:rsidRDefault="00854273" w:rsidP="00BD38CA">
            <w:pPr>
              <w:pStyle w:val="AERtabletextright"/>
              <w:cnfStyle w:val="000000010000" w:firstRow="0" w:lastRow="0" w:firstColumn="0" w:lastColumn="0" w:oddVBand="0" w:evenVBand="0" w:oddHBand="0" w:evenHBand="1" w:firstRowFirstColumn="0" w:firstRowLastColumn="0" w:lastRowFirstColumn="0" w:lastRowLastColumn="0"/>
              <w:rPr>
                <w:rStyle w:val="AERsuperscript"/>
              </w:rPr>
            </w:pPr>
            <w:r>
              <w:t>–</w:t>
            </w:r>
            <w:r w:rsidR="00BD38CA" w:rsidRPr="00BD38CA">
              <w:t>1.5</w:t>
            </w:r>
            <w:r w:rsidR="00E02D39">
              <w:t>0</w:t>
            </w:r>
            <w:r w:rsidR="00BD38CA" w:rsidRPr="00BD38CA">
              <w:t>%</w:t>
            </w:r>
            <w:r w:rsidR="0025192B">
              <w:rPr>
                <w:rStyle w:val="AERsuperscript"/>
              </w:rPr>
              <w:t>b</w:t>
            </w:r>
          </w:p>
        </w:tc>
        <w:tc>
          <w:tcPr>
            <w:tcW w:w="992" w:type="dxa"/>
            <w:vAlign w:val="top"/>
          </w:tcPr>
          <w:p w:rsidR="00BD38CA" w:rsidRPr="00CE4D1A" w:rsidRDefault="00854273" w:rsidP="00BD38CA">
            <w:pPr>
              <w:pStyle w:val="AERtabletextright"/>
              <w:cnfStyle w:val="000000010000" w:firstRow="0" w:lastRow="0" w:firstColumn="0" w:lastColumn="0" w:oddVBand="0" w:evenVBand="0" w:oddHBand="0" w:evenHBand="1" w:firstRowFirstColumn="0" w:firstRowLastColumn="0" w:lastRowFirstColumn="0" w:lastRowLastColumn="0"/>
              <w:rPr>
                <w:rStyle w:val="AERsuperscript"/>
              </w:rPr>
            </w:pPr>
            <w:r>
              <w:t>–</w:t>
            </w:r>
            <w:r w:rsidR="00BD38CA" w:rsidRPr="00BD38CA">
              <w:t>1.5</w:t>
            </w:r>
            <w:r w:rsidR="00E02D39">
              <w:t>0</w:t>
            </w:r>
            <w:r w:rsidR="00BD38CA" w:rsidRPr="00BD38CA">
              <w:t>%</w:t>
            </w:r>
            <w:r w:rsidR="0025192B">
              <w:rPr>
                <w:rStyle w:val="AERsuperscript"/>
              </w:rPr>
              <w:t>b</w:t>
            </w:r>
          </w:p>
        </w:tc>
        <w:tc>
          <w:tcPr>
            <w:tcW w:w="912" w:type="dxa"/>
            <w:vAlign w:val="top"/>
          </w:tcPr>
          <w:p w:rsidR="00BD38CA" w:rsidRPr="00BD38CA" w:rsidRDefault="00BD38CA" w:rsidP="00BD38CA">
            <w:pPr>
              <w:pStyle w:val="AERtabletextright"/>
              <w:cnfStyle w:val="000000010000" w:firstRow="0" w:lastRow="0" w:firstColumn="0" w:lastColumn="0" w:oddVBand="0" w:evenVBand="0" w:oddHBand="0" w:evenHBand="1" w:firstRowFirstColumn="0" w:firstRowLastColumn="0" w:lastRowFirstColumn="0" w:lastRowLastColumn="0"/>
            </w:pPr>
            <w:r w:rsidRPr="00BD38CA">
              <w:t>n/a</w:t>
            </w:r>
          </w:p>
        </w:tc>
      </w:tr>
    </w:tbl>
    <w:p w:rsidR="0025192B" w:rsidRDefault="0023470D" w:rsidP="0025192B">
      <w:pPr>
        <w:pStyle w:val="AERtablesource"/>
      </w:pPr>
      <w:r>
        <w:t>Source:</w:t>
      </w:r>
      <w:r>
        <w:tab/>
        <w:t>AER analysis</w:t>
      </w:r>
      <w:r w:rsidR="00D14242">
        <w:t>.</w:t>
      </w:r>
      <w:r w:rsidR="00BA6A6F" w:rsidRPr="00BA6A6F">
        <w:t xml:space="preserve"> </w:t>
      </w:r>
    </w:p>
    <w:p w:rsidR="003E0B0C" w:rsidRDefault="0025192B" w:rsidP="0023470D">
      <w:pPr>
        <w:pStyle w:val="AERtablesource"/>
      </w:pPr>
      <w:r>
        <w:t>(a)</w:t>
      </w:r>
      <w:r>
        <w:tab/>
        <w:t xml:space="preserve">In our transitional decision, we determined the placeholder revenue for 2014–15. In this draft decision to update the 2014–15 revenue for our assessment of efficient costs we determined X factors for the final four years of the </w:t>
      </w:r>
      <w:r>
        <w:br/>
      </w:r>
      <w:r>
        <w:lastRenderedPageBreak/>
        <w:t>2014–19 period. This is to adjust Ausgrid's total revenue requirement for the 2015–19 regulatory control period for the difference between the placeholder revenue and our decision on Ausgrid's efficient costs for 2014–15.</w:t>
      </w:r>
      <w:r w:rsidDel="0025192B">
        <w:t xml:space="preserve"> </w:t>
      </w:r>
      <w:r w:rsidR="00BA6A6F">
        <w:t>(</w:t>
      </w:r>
      <w:r>
        <w:t>b</w:t>
      </w:r>
      <w:r w:rsidR="00BA6A6F" w:rsidRPr="00BA6A6F">
        <w:t>)</w:t>
      </w:r>
      <w:r w:rsidR="00BA6A6F" w:rsidRPr="00BA6A6F">
        <w:tab/>
        <w:t>The X factor will be revised to reflect the annual return on debt update.</w:t>
      </w:r>
    </w:p>
    <w:p w:rsidR="00F8634A" w:rsidRPr="00F8634A" w:rsidRDefault="007224A7" w:rsidP="00F8634A">
      <w:pPr>
        <w:pStyle w:val="Heading2"/>
      </w:pPr>
      <w:bookmarkStart w:id="14" w:name="_Toc390936378"/>
      <w:bookmarkStart w:id="15" w:name="_Toc404354904"/>
      <w:r>
        <w:t xml:space="preserve">Ausgrid's </w:t>
      </w:r>
      <w:r w:rsidR="00F8634A" w:rsidRPr="00F8634A">
        <w:t>proposal</w:t>
      </w:r>
      <w:bookmarkEnd w:id="14"/>
      <w:bookmarkEnd w:id="15"/>
    </w:p>
    <w:p w:rsidR="007224A7" w:rsidRDefault="007224A7" w:rsidP="00F8634A">
      <w:pPr>
        <w:pStyle w:val="AERbodytext"/>
      </w:pPr>
      <w:r>
        <w:t>Ausgrid proposed a total revenue requirement of $</w:t>
      </w:r>
      <w:r w:rsidR="00AC0E54">
        <w:t>10763.2</w:t>
      </w:r>
      <w:r w:rsidR="001840F7">
        <w:t xml:space="preserve"> </w:t>
      </w:r>
      <w:r>
        <w:t xml:space="preserve">million </w:t>
      </w:r>
      <w:r w:rsidR="00AC0E54">
        <w:t xml:space="preserve">($ nominal) </w:t>
      </w:r>
      <w:r>
        <w:t>for its distribution network and $</w:t>
      </w:r>
      <w:r w:rsidR="00AC0E54">
        <w:t>144</w:t>
      </w:r>
      <w:r w:rsidR="00CB3CAC">
        <w:t>8</w:t>
      </w:r>
      <w:r w:rsidR="00AC0E54">
        <w:t>.7</w:t>
      </w:r>
      <w:r>
        <w:t xml:space="preserve">million ($ nominal) for its transmission network. </w:t>
      </w:r>
      <w:r w:rsidR="009A3021">
        <w:fldChar w:fldCharType="begin"/>
      </w:r>
      <w:r w:rsidR="009A3021">
        <w:instrText xml:space="preserve"> REF _Ref401571489 \h </w:instrText>
      </w:r>
      <w:r w:rsidR="009A3021">
        <w:fldChar w:fldCharType="separate"/>
      </w:r>
      <w:r w:rsidR="00382E4F">
        <w:t xml:space="preserve">Table </w:t>
      </w:r>
      <w:r w:rsidR="00382E4F">
        <w:rPr>
          <w:noProof/>
        </w:rPr>
        <w:t>1</w:t>
      </w:r>
      <w:r w:rsidR="00382E4F">
        <w:t>.</w:t>
      </w:r>
      <w:r w:rsidR="00382E4F">
        <w:rPr>
          <w:noProof/>
        </w:rPr>
        <w:t>3</w:t>
      </w:r>
      <w:r w:rsidR="009A3021">
        <w:fldChar w:fldCharType="end"/>
      </w:r>
      <w:r w:rsidR="009A3021">
        <w:t xml:space="preserve"> </w:t>
      </w:r>
      <w:r>
        <w:t xml:space="preserve">and </w:t>
      </w:r>
      <w:r w:rsidR="009A3021">
        <w:fldChar w:fldCharType="begin"/>
      </w:r>
      <w:r w:rsidR="009A3021">
        <w:instrText xml:space="preserve"> REF _Ref401571505 \h </w:instrText>
      </w:r>
      <w:r w:rsidR="009A3021">
        <w:fldChar w:fldCharType="separate"/>
      </w:r>
      <w:r w:rsidR="00382E4F">
        <w:t xml:space="preserve">Table </w:t>
      </w:r>
      <w:r w:rsidR="00382E4F">
        <w:rPr>
          <w:noProof/>
        </w:rPr>
        <w:t>1</w:t>
      </w:r>
      <w:r w:rsidR="00382E4F">
        <w:t>.</w:t>
      </w:r>
      <w:r w:rsidR="00382E4F">
        <w:rPr>
          <w:noProof/>
        </w:rPr>
        <w:t>4</w:t>
      </w:r>
      <w:r w:rsidR="009A3021">
        <w:fldChar w:fldCharType="end"/>
      </w:r>
      <w:r w:rsidR="009A3021">
        <w:t xml:space="preserve"> </w:t>
      </w:r>
      <w:r>
        <w:t>show Ausgrid</w:t>
      </w:r>
      <w:r w:rsidR="009372B0">
        <w:t>'s proposed building block costs and calculation of ARR and expected revenues for each year of the 2014–19 period.</w:t>
      </w:r>
      <w:r>
        <w:t xml:space="preserve"> </w:t>
      </w:r>
    </w:p>
    <w:p w:rsidR="0023470D" w:rsidRDefault="009A3021" w:rsidP="009A3021">
      <w:pPr>
        <w:pStyle w:val="Caption"/>
      </w:pPr>
      <w:bookmarkStart w:id="16" w:name="_Ref401571489"/>
      <w:proofErr w:type="gramStart"/>
      <w:r>
        <w:t xml:space="preserve">Table </w:t>
      </w:r>
      <w:proofErr w:type="gramEnd"/>
      <w:r w:rsidR="00382E4F">
        <w:fldChar w:fldCharType="begin"/>
      </w:r>
      <w:r w:rsidR="00382E4F">
        <w:instrText xml:space="preserve"> STYLEREF 1 \s </w:instrText>
      </w:r>
      <w:r w:rsidR="00382E4F">
        <w:fldChar w:fldCharType="separate"/>
      </w:r>
      <w:r w:rsidR="00382E4F">
        <w:rPr>
          <w:noProof/>
        </w:rPr>
        <w:t>1</w:t>
      </w:r>
      <w:r w:rsidR="00382E4F">
        <w:rPr>
          <w:noProof/>
        </w:rPr>
        <w:fldChar w:fldCharType="end"/>
      </w:r>
      <w:proofErr w:type="gramStart"/>
      <w:r w:rsidR="00CE4D1A">
        <w:t>.</w:t>
      </w:r>
      <w:proofErr w:type="gramEnd"/>
      <w:r w:rsidR="00382E4F">
        <w:fldChar w:fldCharType="begin"/>
      </w:r>
      <w:r w:rsidR="00382E4F">
        <w:instrText xml:space="preserve"> SEQ Table \* ARABIC \s 1 </w:instrText>
      </w:r>
      <w:r w:rsidR="00382E4F">
        <w:fldChar w:fldCharType="separate"/>
      </w:r>
      <w:r w:rsidR="00382E4F">
        <w:rPr>
          <w:noProof/>
        </w:rPr>
        <w:t>3</w:t>
      </w:r>
      <w:r w:rsidR="00382E4F">
        <w:rPr>
          <w:noProof/>
        </w:rPr>
        <w:fldChar w:fldCharType="end"/>
      </w:r>
      <w:bookmarkEnd w:id="16"/>
      <w:r>
        <w:tab/>
        <w:t xml:space="preserve">Ausgrid's proposed revenues for the 2014–19 period </w:t>
      </w:r>
      <w:r w:rsidR="001840F7">
        <w:t xml:space="preserve">– distribution </w:t>
      </w:r>
      <w:r>
        <w:t xml:space="preserve">($million, nominal) </w:t>
      </w:r>
    </w:p>
    <w:tbl>
      <w:tblPr>
        <w:tblStyle w:val="AERtable-numbers"/>
        <w:tblW w:w="9242" w:type="dxa"/>
        <w:tblLook w:val="04A0" w:firstRow="1" w:lastRow="0" w:firstColumn="1" w:lastColumn="0" w:noHBand="0" w:noVBand="1"/>
      </w:tblPr>
      <w:tblGrid>
        <w:gridCol w:w="3350"/>
        <w:gridCol w:w="1578"/>
        <w:gridCol w:w="938"/>
        <w:gridCol w:w="844"/>
        <w:gridCol w:w="844"/>
        <w:gridCol w:w="844"/>
        <w:gridCol w:w="844"/>
      </w:tblGrid>
      <w:tr w:rsidR="0023470D" w:rsidRPr="00356B64" w:rsidTr="003509CA">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hideMark/>
          </w:tcPr>
          <w:p w:rsidR="0023470D" w:rsidRPr="0023470D" w:rsidRDefault="0023470D" w:rsidP="0023470D">
            <w:pPr>
              <w:pStyle w:val="AERtabletextleft"/>
            </w:pPr>
            <w:r w:rsidRPr="003E0B0C">
              <w:t> </w:t>
            </w:r>
          </w:p>
        </w:tc>
        <w:tc>
          <w:tcPr>
            <w:tcW w:w="1578" w:type="dxa"/>
            <w:noWrap/>
            <w:hideMark/>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rsidRPr="003E0B0C">
              <w:t>201</w:t>
            </w:r>
            <w:r w:rsidRPr="0023470D">
              <w:t>4–15</w:t>
            </w:r>
          </w:p>
        </w:tc>
        <w:tc>
          <w:tcPr>
            <w:tcW w:w="938" w:type="dxa"/>
            <w:noWrap/>
            <w:hideMark/>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t>2</w:t>
            </w:r>
            <w:r w:rsidRPr="0023470D">
              <w:t>015–16</w:t>
            </w:r>
          </w:p>
        </w:tc>
        <w:tc>
          <w:tcPr>
            <w:tcW w:w="844" w:type="dxa"/>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t>2016</w:t>
            </w:r>
            <w:r w:rsidRPr="0023470D">
              <w:t>–17</w:t>
            </w:r>
          </w:p>
        </w:tc>
        <w:tc>
          <w:tcPr>
            <w:tcW w:w="844" w:type="dxa"/>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844" w:type="dxa"/>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844" w:type="dxa"/>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3509CA" w:rsidRPr="00356B64" w:rsidTr="003509CA">
        <w:trPr>
          <w:trHeight w:val="190"/>
        </w:trPr>
        <w:tc>
          <w:tcPr>
            <w:cnfStyle w:val="001000000000" w:firstRow="0" w:lastRow="0" w:firstColumn="1" w:lastColumn="0" w:oddVBand="0" w:evenVBand="0" w:oddHBand="0" w:evenHBand="0" w:firstRowFirstColumn="0" w:firstRowLastColumn="0" w:lastRowFirstColumn="0" w:lastRowLastColumn="0"/>
            <w:tcW w:w="3350" w:type="dxa"/>
            <w:noWrap/>
            <w:vAlign w:val="top"/>
            <w:hideMark/>
          </w:tcPr>
          <w:p w:rsidR="003509CA" w:rsidRPr="003509CA" w:rsidRDefault="003509CA" w:rsidP="003509CA">
            <w:pPr>
              <w:pStyle w:val="AERtabletextleft"/>
            </w:pPr>
            <w:r w:rsidRPr="003509CA">
              <w:t>Return on capital</w:t>
            </w:r>
          </w:p>
        </w:tc>
        <w:tc>
          <w:tcPr>
            <w:tcW w:w="1578" w:type="dxa"/>
            <w:noWrap/>
            <w:vAlign w:val="top"/>
          </w:tcPr>
          <w:p w:rsidR="003509CA" w:rsidRPr="003509CA" w:rsidRDefault="003509CA" w:rsidP="003509CA">
            <w:pPr>
              <w:pStyle w:val="AERtabletextright"/>
              <w:cnfStyle w:val="000000000000" w:firstRow="0" w:lastRow="0" w:firstColumn="0" w:lastColumn="0" w:oddVBand="0" w:evenVBand="0" w:oddHBand="0" w:evenHBand="0" w:firstRowFirstColumn="0" w:firstRowLastColumn="0" w:lastRowFirstColumn="0" w:lastRowLastColumn="0"/>
            </w:pPr>
            <w:r w:rsidRPr="003509CA">
              <w:t>1084.6</w:t>
            </w:r>
          </w:p>
        </w:tc>
        <w:tc>
          <w:tcPr>
            <w:tcW w:w="938" w:type="dxa"/>
            <w:noWrap/>
            <w:vAlign w:val="top"/>
          </w:tcPr>
          <w:p w:rsidR="003509CA" w:rsidRPr="00B23683" w:rsidRDefault="003509CA" w:rsidP="003509CA">
            <w:pPr>
              <w:pStyle w:val="AERtabletextright"/>
              <w:cnfStyle w:val="000000000000" w:firstRow="0" w:lastRow="0" w:firstColumn="0" w:lastColumn="0" w:oddVBand="0" w:evenVBand="0" w:oddHBand="0" w:evenHBand="0" w:firstRowFirstColumn="0" w:firstRowLastColumn="0" w:lastRowFirstColumn="0" w:lastRowLastColumn="0"/>
            </w:pPr>
            <w:r w:rsidRPr="003509CA">
              <w:t>1151.3</w:t>
            </w:r>
          </w:p>
        </w:tc>
        <w:tc>
          <w:tcPr>
            <w:tcW w:w="844" w:type="dxa"/>
            <w:vAlign w:val="top"/>
          </w:tcPr>
          <w:p w:rsidR="003509CA" w:rsidRPr="00FD5190" w:rsidRDefault="003509CA" w:rsidP="00494EBC">
            <w:pPr>
              <w:pStyle w:val="AERtabletextright"/>
              <w:cnfStyle w:val="000000000000" w:firstRow="0" w:lastRow="0" w:firstColumn="0" w:lastColumn="0" w:oddVBand="0" w:evenVBand="0" w:oddHBand="0" w:evenHBand="0" w:firstRowFirstColumn="0" w:firstRowLastColumn="0" w:lastRowFirstColumn="0" w:lastRowLastColumn="0"/>
            </w:pPr>
            <w:r w:rsidRPr="00494EBC">
              <w:t>1218.6</w:t>
            </w:r>
          </w:p>
        </w:tc>
        <w:tc>
          <w:tcPr>
            <w:tcW w:w="844" w:type="dxa"/>
            <w:vAlign w:val="top"/>
          </w:tcPr>
          <w:p w:rsidR="003509CA" w:rsidRPr="002371CC" w:rsidRDefault="003509CA" w:rsidP="00FD5190">
            <w:pPr>
              <w:pStyle w:val="AERtabletextright"/>
              <w:cnfStyle w:val="000000000000" w:firstRow="0" w:lastRow="0" w:firstColumn="0" w:lastColumn="0" w:oddVBand="0" w:evenVBand="0" w:oddHBand="0" w:evenHBand="0" w:firstRowFirstColumn="0" w:firstRowLastColumn="0" w:lastRowFirstColumn="0" w:lastRowLastColumn="0"/>
            </w:pPr>
            <w:r w:rsidRPr="002371CC">
              <w:t>1277.7</w:t>
            </w:r>
          </w:p>
        </w:tc>
        <w:tc>
          <w:tcPr>
            <w:tcW w:w="844" w:type="dxa"/>
            <w:vAlign w:val="top"/>
          </w:tcPr>
          <w:p w:rsidR="003509CA" w:rsidRPr="00106E5F" w:rsidRDefault="003509CA" w:rsidP="00106E5F">
            <w:pPr>
              <w:pStyle w:val="AERtabletextright"/>
              <w:cnfStyle w:val="000000000000" w:firstRow="0" w:lastRow="0" w:firstColumn="0" w:lastColumn="0" w:oddVBand="0" w:evenVBand="0" w:oddHBand="0" w:evenHBand="0" w:firstRowFirstColumn="0" w:firstRowLastColumn="0" w:lastRowFirstColumn="0" w:lastRowLastColumn="0"/>
            </w:pPr>
            <w:r w:rsidRPr="00106E5F">
              <w:t>1337.1</w:t>
            </w:r>
          </w:p>
        </w:tc>
        <w:tc>
          <w:tcPr>
            <w:tcW w:w="844" w:type="dxa"/>
            <w:vAlign w:val="top"/>
          </w:tcPr>
          <w:p w:rsidR="003509CA" w:rsidRPr="00106E5F" w:rsidRDefault="003509CA" w:rsidP="00106E5F">
            <w:pPr>
              <w:pStyle w:val="AERtabletextright"/>
              <w:cnfStyle w:val="000000000000" w:firstRow="0" w:lastRow="0" w:firstColumn="0" w:lastColumn="0" w:oddVBand="0" w:evenVBand="0" w:oddHBand="0" w:evenHBand="0" w:firstRowFirstColumn="0" w:firstRowLastColumn="0" w:lastRowFirstColumn="0" w:lastRowLastColumn="0"/>
            </w:pPr>
            <w:r w:rsidRPr="00106E5F">
              <w:t>6069.2</w:t>
            </w:r>
          </w:p>
        </w:tc>
      </w:tr>
      <w:tr w:rsidR="003509CA" w:rsidRPr="00356B64" w:rsidTr="003509CA">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vAlign w:val="top"/>
          </w:tcPr>
          <w:p w:rsidR="003509CA" w:rsidRPr="003509CA" w:rsidRDefault="003509CA" w:rsidP="003509CA">
            <w:pPr>
              <w:pStyle w:val="AERtabletextleft"/>
            </w:pPr>
            <w:r w:rsidRPr="003509CA">
              <w:t>Regulatory depreciation</w:t>
            </w:r>
          </w:p>
        </w:tc>
        <w:tc>
          <w:tcPr>
            <w:tcW w:w="1578" w:type="dxa"/>
            <w:noWrap/>
            <w:vAlign w:val="top"/>
          </w:tcPr>
          <w:p w:rsidR="003509CA" w:rsidRPr="003509CA" w:rsidRDefault="003509CA" w:rsidP="003509CA">
            <w:pPr>
              <w:pStyle w:val="AERtabletextright"/>
              <w:cnfStyle w:val="000000010000" w:firstRow="0" w:lastRow="0" w:firstColumn="0" w:lastColumn="0" w:oddVBand="0" w:evenVBand="0" w:oddHBand="0" w:evenHBand="1" w:firstRowFirstColumn="0" w:firstRowLastColumn="0" w:lastRowFirstColumn="0" w:lastRowLastColumn="0"/>
            </w:pPr>
            <w:r w:rsidRPr="003509CA">
              <w:t>123.3</w:t>
            </w:r>
          </w:p>
        </w:tc>
        <w:tc>
          <w:tcPr>
            <w:tcW w:w="938" w:type="dxa"/>
            <w:noWrap/>
            <w:vAlign w:val="top"/>
          </w:tcPr>
          <w:p w:rsidR="003509CA" w:rsidRPr="00B23683" w:rsidRDefault="003509CA" w:rsidP="003509CA">
            <w:pPr>
              <w:pStyle w:val="AERtabletextright"/>
              <w:cnfStyle w:val="000000010000" w:firstRow="0" w:lastRow="0" w:firstColumn="0" w:lastColumn="0" w:oddVBand="0" w:evenVBand="0" w:oddHBand="0" w:evenHBand="1" w:firstRowFirstColumn="0" w:firstRowLastColumn="0" w:lastRowFirstColumn="0" w:lastRowLastColumn="0"/>
            </w:pPr>
            <w:r w:rsidRPr="003509CA">
              <w:t>144.1</w:t>
            </w:r>
          </w:p>
        </w:tc>
        <w:tc>
          <w:tcPr>
            <w:tcW w:w="844" w:type="dxa"/>
            <w:vAlign w:val="top"/>
          </w:tcPr>
          <w:p w:rsidR="003509CA" w:rsidRPr="00FD5190" w:rsidRDefault="003509CA" w:rsidP="00494EBC">
            <w:pPr>
              <w:pStyle w:val="AERtabletextright"/>
              <w:cnfStyle w:val="000000010000" w:firstRow="0" w:lastRow="0" w:firstColumn="0" w:lastColumn="0" w:oddVBand="0" w:evenVBand="0" w:oddHBand="0" w:evenHBand="1" w:firstRowFirstColumn="0" w:firstRowLastColumn="0" w:lastRowFirstColumn="0" w:lastRowLastColumn="0"/>
            </w:pPr>
            <w:r w:rsidRPr="00494EBC">
              <w:t>165.1</w:t>
            </w:r>
          </w:p>
        </w:tc>
        <w:tc>
          <w:tcPr>
            <w:tcW w:w="844" w:type="dxa"/>
            <w:vAlign w:val="top"/>
          </w:tcPr>
          <w:p w:rsidR="003509CA" w:rsidRPr="002371CC" w:rsidRDefault="003509CA" w:rsidP="00FD5190">
            <w:pPr>
              <w:pStyle w:val="AERtabletextright"/>
              <w:cnfStyle w:val="000000010000" w:firstRow="0" w:lastRow="0" w:firstColumn="0" w:lastColumn="0" w:oddVBand="0" w:evenVBand="0" w:oddHBand="0" w:evenHBand="1" w:firstRowFirstColumn="0" w:firstRowLastColumn="0" w:lastRowFirstColumn="0" w:lastRowLastColumn="0"/>
            </w:pPr>
            <w:r w:rsidRPr="002371CC">
              <w:t>150.3</w:t>
            </w:r>
          </w:p>
        </w:tc>
        <w:tc>
          <w:tcPr>
            <w:tcW w:w="844" w:type="dxa"/>
            <w:vAlign w:val="top"/>
          </w:tcPr>
          <w:p w:rsidR="003509CA" w:rsidRPr="00106E5F" w:rsidRDefault="003509CA" w:rsidP="00106E5F">
            <w:pPr>
              <w:pStyle w:val="AERtabletextright"/>
              <w:cnfStyle w:val="000000010000" w:firstRow="0" w:lastRow="0" w:firstColumn="0" w:lastColumn="0" w:oddVBand="0" w:evenVBand="0" w:oddHBand="0" w:evenHBand="1" w:firstRowFirstColumn="0" w:firstRowLastColumn="0" w:lastRowFirstColumn="0" w:lastRowLastColumn="0"/>
            </w:pPr>
            <w:r w:rsidRPr="00106E5F">
              <w:t>164.0</w:t>
            </w:r>
          </w:p>
        </w:tc>
        <w:tc>
          <w:tcPr>
            <w:tcW w:w="844" w:type="dxa"/>
            <w:vAlign w:val="top"/>
          </w:tcPr>
          <w:p w:rsidR="003509CA" w:rsidRPr="00106E5F" w:rsidRDefault="003509CA" w:rsidP="00106E5F">
            <w:pPr>
              <w:pStyle w:val="AERtabletextright"/>
              <w:cnfStyle w:val="000000010000" w:firstRow="0" w:lastRow="0" w:firstColumn="0" w:lastColumn="0" w:oddVBand="0" w:evenVBand="0" w:oddHBand="0" w:evenHBand="1" w:firstRowFirstColumn="0" w:firstRowLastColumn="0" w:lastRowFirstColumn="0" w:lastRowLastColumn="0"/>
            </w:pPr>
            <w:r w:rsidRPr="00106E5F">
              <w:t>746.9</w:t>
            </w:r>
          </w:p>
        </w:tc>
      </w:tr>
      <w:tr w:rsidR="003509CA" w:rsidRPr="00356B64" w:rsidTr="003509CA">
        <w:trPr>
          <w:trHeight w:val="190"/>
        </w:trPr>
        <w:tc>
          <w:tcPr>
            <w:cnfStyle w:val="001000000000" w:firstRow="0" w:lastRow="0" w:firstColumn="1" w:lastColumn="0" w:oddVBand="0" w:evenVBand="0" w:oddHBand="0" w:evenHBand="0" w:firstRowFirstColumn="0" w:firstRowLastColumn="0" w:lastRowFirstColumn="0" w:lastRowLastColumn="0"/>
            <w:tcW w:w="3350" w:type="dxa"/>
            <w:noWrap/>
            <w:vAlign w:val="top"/>
          </w:tcPr>
          <w:p w:rsidR="003509CA" w:rsidRPr="003509CA" w:rsidRDefault="003509CA" w:rsidP="003509CA">
            <w:pPr>
              <w:pStyle w:val="AERtabletextleft"/>
            </w:pPr>
            <w:r w:rsidRPr="003509CA">
              <w:t>Operating expenditure</w:t>
            </w:r>
          </w:p>
        </w:tc>
        <w:tc>
          <w:tcPr>
            <w:tcW w:w="1578" w:type="dxa"/>
            <w:noWrap/>
            <w:vAlign w:val="top"/>
          </w:tcPr>
          <w:p w:rsidR="003509CA" w:rsidRPr="003509CA" w:rsidRDefault="003509CA" w:rsidP="003509CA">
            <w:pPr>
              <w:pStyle w:val="AERtabletextright"/>
              <w:cnfStyle w:val="000000000000" w:firstRow="0" w:lastRow="0" w:firstColumn="0" w:lastColumn="0" w:oddVBand="0" w:evenVBand="0" w:oddHBand="0" w:evenHBand="0" w:firstRowFirstColumn="0" w:firstRowLastColumn="0" w:lastRowFirstColumn="0" w:lastRowLastColumn="0"/>
            </w:pPr>
            <w:r w:rsidRPr="003509CA">
              <w:t>546.6</w:t>
            </w:r>
          </w:p>
        </w:tc>
        <w:tc>
          <w:tcPr>
            <w:tcW w:w="938" w:type="dxa"/>
            <w:noWrap/>
            <w:vAlign w:val="top"/>
          </w:tcPr>
          <w:p w:rsidR="003509CA" w:rsidRPr="00B23683" w:rsidRDefault="003509CA" w:rsidP="003509CA">
            <w:pPr>
              <w:pStyle w:val="AERtabletextright"/>
              <w:cnfStyle w:val="000000000000" w:firstRow="0" w:lastRow="0" w:firstColumn="0" w:lastColumn="0" w:oddVBand="0" w:evenVBand="0" w:oddHBand="0" w:evenHBand="0" w:firstRowFirstColumn="0" w:firstRowLastColumn="0" w:lastRowFirstColumn="0" w:lastRowLastColumn="0"/>
            </w:pPr>
            <w:r w:rsidRPr="003509CA">
              <w:t>558.8</w:t>
            </w:r>
          </w:p>
        </w:tc>
        <w:tc>
          <w:tcPr>
            <w:tcW w:w="844" w:type="dxa"/>
            <w:vAlign w:val="top"/>
          </w:tcPr>
          <w:p w:rsidR="003509CA" w:rsidRPr="00FD5190" w:rsidRDefault="003509CA" w:rsidP="00494EBC">
            <w:pPr>
              <w:pStyle w:val="AERtabletextright"/>
              <w:cnfStyle w:val="000000000000" w:firstRow="0" w:lastRow="0" w:firstColumn="0" w:lastColumn="0" w:oddVBand="0" w:evenVBand="0" w:oddHBand="0" w:evenHBand="0" w:firstRowFirstColumn="0" w:firstRowLastColumn="0" w:lastRowFirstColumn="0" w:lastRowLastColumn="0"/>
            </w:pPr>
            <w:r w:rsidRPr="00494EBC">
              <w:t>582.1</w:t>
            </w:r>
          </w:p>
        </w:tc>
        <w:tc>
          <w:tcPr>
            <w:tcW w:w="844" w:type="dxa"/>
            <w:vAlign w:val="top"/>
          </w:tcPr>
          <w:p w:rsidR="003509CA" w:rsidRPr="002371CC" w:rsidRDefault="003509CA" w:rsidP="00FD5190">
            <w:pPr>
              <w:pStyle w:val="AERtabletextright"/>
              <w:cnfStyle w:val="000000000000" w:firstRow="0" w:lastRow="0" w:firstColumn="0" w:lastColumn="0" w:oddVBand="0" w:evenVBand="0" w:oddHBand="0" w:evenHBand="0" w:firstRowFirstColumn="0" w:firstRowLastColumn="0" w:lastRowFirstColumn="0" w:lastRowLastColumn="0"/>
            </w:pPr>
            <w:r w:rsidRPr="002371CC">
              <w:t>592.4</w:t>
            </w:r>
          </w:p>
        </w:tc>
        <w:tc>
          <w:tcPr>
            <w:tcW w:w="844" w:type="dxa"/>
            <w:vAlign w:val="top"/>
          </w:tcPr>
          <w:p w:rsidR="003509CA" w:rsidRPr="00106E5F" w:rsidRDefault="003509CA" w:rsidP="00106E5F">
            <w:pPr>
              <w:pStyle w:val="AERtabletextright"/>
              <w:cnfStyle w:val="000000000000" w:firstRow="0" w:lastRow="0" w:firstColumn="0" w:lastColumn="0" w:oddVBand="0" w:evenVBand="0" w:oddHBand="0" w:evenHBand="0" w:firstRowFirstColumn="0" w:firstRowLastColumn="0" w:lastRowFirstColumn="0" w:lastRowLastColumn="0"/>
            </w:pPr>
            <w:r w:rsidRPr="00106E5F">
              <w:t>607.0</w:t>
            </w:r>
          </w:p>
        </w:tc>
        <w:tc>
          <w:tcPr>
            <w:tcW w:w="844" w:type="dxa"/>
            <w:vAlign w:val="top"/>
          </w:tcPr>
          <w:p w:rsidR="003509CA" w:rsidRPr="00106E5F" w:rsidRDefault="003509CA" w:rsidP="00106E5F">
            <w:pPr>
              <w:pStyle w:val="AERtabletextright"/>
              <w:cnfStyle w:val="000000000000" w:firstRow="0" w:lastRow="0" w:firstColumn="0" w:lastColumn="0" w:oddVBand="0" w:evenVBand="0" w:oddHBand="0" w:evenHBand="0" w:firstRowFirstColumn="0" w:firstRowLastColumn="0" w:lastRowFirstColumn="0" w:lastRowLastColumn="0"/>
            </w:pPr>
            <w:r w:rsidRPr="00106E5F">
              <w:t>2886.9</w:t>
            </w:r>
          </w:p>
        </w:tc>
      </w:tr>
      <w:tr w:rsidR="003509CA" w:rsidRPr="00356B64" w:rsidTr="003509CA">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vAlign w:val="top"/>
          </w:tcPr>
          <w:p w:rsidR="003509CA" w:rsidRPr="003509CA" w:rsidRDefault="003509CA" w:rsidP="003509CA">
            <w:pPr>
              <w:pStyle w:val="AERtabletextleft"/>
            </w:pPr>
            <w:r w:rsidRPr="003509CA">
              <w:t>Efficiency benefit sharing scheme (carryover amounts)</w:t>
            </w:r>
          </w:p>
        </w:tc>
        <w:tc>
          <w:tcPr>
            <w:tcW w:w="1578" w:type="dxa"/>
            <w:noWrap/>
            <w:vAlign w:val="top"/>
          </w:tcPr>
          <w:p w:rsidR="003509CA" w:rsidRPr="003509CA" w:rsidRDefault="003509CA" w:rsidP="003509CA">
            <w:pPr>
              <w:pStyle w:val="AERtabletextright"/>
              <w:cnfStyle w:val="000000010000" w:firstRow="0" w:lastRow="0" w:firstColumn="0" w:lastColumn="0" w:oddVBand="0" w:evenVBand="0" w:oddHBand="0" w:evenHBand="1" w:firstRowFirstColumn="0" w:firstRowLastColumn="0" w:lastRowFirstColumn="0" w:lastRowLastColumn="0"/>
            </w:pPr>
            <w:r w:rsidRPr="003509CA">
              <w:t>95.3</w:t>
            </w:r>
          </w:p>
        </w:tc>
        <w:tc>
          <w:tcPr>
            <w:tcW w:w="938" w:type="dxa"/>
            <w:noWrap/>
            <w:vAlign w:val="top"/>
          </w:tcPr>
          <w:p w:rsidR="003509CA" w:rsidRPr="00B23683" w:rsidRDefault="003509CA" w:rsidP="003509CA">
            <w:pPr>
              <w:pStyle w:val="AERtabletextright"/>
              <w:cnfStyle w:val="000000010000" w:firstRow="0" w:lastRow="0" w:firstColumn="0" w:lastColumn="0" w:oddVBand="0" w:evenVBand="0" w:oddHBand="0" w:evenHBand="1" w:firstRowFirstColumn="0" w:firstRowLastColumn="0" w:lastRowFirstColumn="0" w:lastRowLastColumn="0"/>
            </w:pPr>
            <w:r w:rsidRPr="003509CA">
              <w:t>106.7</w:t>
            </w:r>
          </w:p>
        </w:tc>
        <w:tc>
          <w:tcPr>
            <w:tcW w:w="844" w:type="dxa"/>
            <w:vAlign w:val="top"/>
          </w:tcPr>
          <w:p w:rsidR="003509CA" w:rsidRPr="00FD5190" w:rsidRDefault="003509CA" w:rsidP="00494EBC">
            <w:pPr>
              <w:pStyle w:val="AERtabletextright"/>
              <w:cnfStyle w:val="000000010000" w:firstRow="0" w:lastRow="0" w:firstColumn="0" w:lastColumn="0" w:oddVBand="0" w:evenVBand="0" w:oddHBand="0" w:evenHBand="1" w:firstRowFirstColumn="0" w:firstRowLastColumn="0" w:lastRowFirstColumn="0" w:lastRowLastColumn="0"/>
            </w:pPr>
            <w:r w:rsidRPr="00494EBC">
              <w:t>83.7</w:t>
            </w:r>
          </w:p>
        </w:tc>
        <w:tc>
          <w:tcPr>
            <w:tcW w:w="844" w:type="dxa"/>
            <w:vAlign w:val="top"/>
          </w:tcPr>
          <w:p w:rsidR="003509CA" w:rsidRPr="002371CC" w:rsidRDefault="003509CA" w:rsidP="00FD5190">
            <w:pPr>
              <w:pStyle w:val="AERtabletextright"/>
              <w:cnfStyle w:val="000000010000" w:firstRow="0" w:lastRow="0" w:firstColumn="0" w:lastColumn="0" w:oddVBand="0" w:evenVBand="0" w:oddHBand="0" w:evenHBand="1" w:firstRowFirstColumn="0" w:firstRowLastColumn="0" w:lastRowFirstColumn="0" w:lastRowLastColumn="0"/>
            </w:pPr>
            <w:r w:rsidRPr="002371CC">
              <w:t>138.2</w:t>
            </w:r>
          </w:p>
        </w:tc>
        <w:tc>
          <w:tcPr>
            <w:tcW w:w="844" w:type="dxa"/>
            <w:vAlign w:val="top"/>
          </w:tcPr>
          <w:p w:rsidR="003509CA" w:rsidRPr="00106E5F" w:rsidRDefault="003509CA" w:rsidP="00106E5F">
            <w:pPr>
              <w:pStyle w:val="AERtabletextright"/>
              <w:cnfStyle w:val="000000010000" w:firstRow="0" w:lastRow="0" w:firstColumn="0" w:lastColumn="0" w:oddVBand="0" w:evenVBand="0" w:oddHBand="0" w:evenHBand="1" w:firstRowFirstColumn="0" w:firstRowLastColumn="0" w:lastRowFirstColumn="0" w:lastRowLastColumn="0"/>
            </w:pPr>
            <w:r w:rsidRPr="00106E5F">
              <w:t>0.0</w:t>
            </w:r>
          </w:p>
        </w:tc>
        <w:tc>
          <w:tcPr>
            <w:tcW w:w="844" w:type="dxa"/>
            <w:vAlign w:val="top"/>
          </w:tcPr>
          <w:p w:rsidR="003509CA" w:rsidRPr="00106E5F" w:rsidRDefault="003509CA" w:rsidP="00106E5F">
            <w:pPr>
              <w:pStyle w:val="AERtabletextright"/>
              <w:cnfStyle w:val="000000010000" w:firstRow="0" w:lastRow="0" w:firstColumn="0" w:lastColumn="0" w:oddVBand="0" w:evenVBand="0" w:oddHBand="0" w:evenHBand="1" w:firstRowFirstColumn="0" w:firstRowLastColumn="0" w:lastRowFirstColumn="0" w:lastRowLastColumn="0"/>
            </w:pPr>
            <w:r w:rsidRPr="00106E5F">
              <w:t>423.9</w:t>
            </w:r>
          </w:p>
        </w:tc>
      </w:tr>
      <w:tr w:rsidR="003509CA" w:rsidRPr="00356B64" w:rsidTr="003509CA">
        <w:trPr>
          <w:trHeight w:val="190"/>
        </w:trPr>
        <w:tc>
          <w:tcPr>
            <w:cnfStyle w:val="001000000000" w:firstRow="0" w:lastRow="0" w:firstColumn="1" w:lastColumn="0" w:oddVBand="0" w:evenVBand="0" w:oddHBand="0" w:evenHBand="0" w:firstRowFirstColumn="0" w:firstRowLastColumn="0" w:lastRowFirstColumn="0" w:lastRowLastColumn="0"/>
            <w:tcW w:w="3350" w:type="dxa"/>
            <w:noWrap/>
            <w:vAlign w:val="top"/>
          </w:tcPr>
          <w:p w:rsidR="003509CA" w:rsidRPr="003509CA" w:rsidRDefault="003509CA" w:rsidP="003509CA">
            <w:pPr>
              <w:pStyle w:val="AERtabletextleft"/>
            </w:pPr>
            <w:r w:rsidRPr="003509CA">
              <w:t>Net tax allowance</w:t>
            </w:r>
          </w:p>
        </w:tc>
        <w:tc>
          <w:tcPr>
            <w:tcW w:w="1578" w:type="dxa"/>
            <w:noWrap/>
            <w:vAlign w:val="top"/>
          </w:tcPr>
          <w:p w:rsidR="003509CA" w:rsidRPr="003509CA" w:rsidRDefault="003509CA" w:rsidP="003509CA">
            <w:pPr>
              <w:pStyle w:val="AERtabletextright"/>
              <w:cnfStyle w:val="000000000000" w:firstRow="0" w:lastRow="0" w:firstColumn="0" w:lastColumn="0" w:oddVBand="0" w:evenVBand="0" w:oddHBand="0" w:evenHBand="0" w:firstRowFirstColumn="0" w:firstRowLastColumn="0" w:lastRowFirstColumn="0" w:lastRowLastColumn="0"/>
            </w:pPr>
            <w:r w:rsidRPr="003509CA">
              <w:t>107.3</w:t>
            </w:r>
          </w:p>
        </w:tc>
        <w:tc>
          <w:tcPr>
            <w:tcW w:w="938" w:type="dxa"/>
            <w:noWrap/>
            <w:vAlign w:val="top"/>
          </w:tcPr>
          <w:p w:rsidR="003509CA" w:rsidRPr="00B23683" w:rsidRDefault="003509CA" w:rsidP="003509CA">
            <w:pPr>
              <w:pStyle w:val="AERtabletextright"/>
              <w:cnfStyle w:val="000000000000" w:firstRow="0" w:lastRow="0" w:firstColumn="0" w:lastColumn="0" w:oddVBand="0" w:evenVBand="0" w:oddHBand="0" w:evenHBand="0" w:firstRowFirstColumn="0" w:firstRowLastColumn="0" w:lastRowFirstColumn="0" w:lastRowLastColumn="0"/>
            </w:pPr>
            <w:r w:rsidRPr="003509CA">
              <w:t>118.2</w:t>
            </w:r>
          </w:p>
        </w:tc>
        <w:tc>
          <w:tcPr>
            <w:tcW w:w="844" w:type="dxa"/>
            <w:vAlign w:val="top"/>
          </w:tcPr>
          <w:p w:rsidR="003509CA" w:rsidRPr="00FD5190" w:rsidRDefault="003509CA" w:rsidP="00494EBC">
            <w:pPr>
              <w:pStyle w:val="AERtabletextright"/>
              <w:cnfStyle w:val="000000000000" w:firstRow="0" w:lastRow="0" w:firstColumn="0" w:lastColumn="0" w:oddVBand="0" w:evenVBand="0" w:oddHBand="0" w:evenHBand="0" w:firstRowFirstColumn="0" w:firstRowLastColumn="0" w:lastRowFirstColumn="0" w:lastRowLastColumn="0"/>
            </w:pPr>
            <w:r w:rsidRPr="00494EBC">
              <w:t>137.6</w:t>
            </w:r>
          </w:p>
        </w:tc>
        <w:tc>
          <w:tcPr>
            <w:tcW w:w="844" w:type="dxa"/>
            <w:vAlign w:val="top"/>
          </w:tcPr>
          <w:p w:rsidR="003509CA" w:rsidRPr="002371CC" w:rsidRDefault="003509CA" w:rsidP="00FD5190">
            <w:pPr>
              <w:pStyle w:val="AERtabletextright"/>
              <w:cnfStyle w:val="000000000000" w:firstRow="0" w:lastRow="0" w:firstColumn="0" w:lastColumn="0" w:oddVBand="0" w:evenVBand="0" w:oddHBand="0" w:evenHBand="0" w:firstRowFirstColumn="0" w:firstRowLastColumn="0" w:lastRowFirstColumn="0" w:lastRowLastColumn="0"/>
            </w:pPr>
            <w:r w:rsidRPr="002371CC">
              <w:t>134.9</w:t>
            </w:r>
          </w:p>
        </w:tc>
        <w:tc>
          <w:tcPr>
            <w:tcW w:w="844" w:type="dxa"/>
            <w:vAlign w:val="top"/>
          </w:tcPr>
          <w:p w:rsidR="003509CA" w:rsidRPr="00106E5F" w:rsidRDefault="003509CA" w:rsidP="00106E5F">
            <w:pPr>
              <w:pStyle w:val="AERtabletextright"/>
              <w:cnfStyle w:val="000000000000" w:firstRow="0" w:lastRow="0" w:firstColumn="0" w:lastColumn="0" w:oddVBand="0" w:evenVBand="0" w:oddHBand="0" w:evenHBand="0" w:firstRowFirstColumn="0" w:firstRowLastColumn="0" w:lastRowFirstColumn="0" w:lastRowLastColumn="0"/>
            </w:pPr>
            <w:r w:rsidRPr="00106E5F">
              <w:t>138.3</w:t>
            </w:r>
          </w:p>
        </w:tc>
        <w:tc>
          <w:tcPr>
            <w:tcW w:w="844" w:type="dxa"/>
            <w:vAlign w:val="top"/>
          </w:tcPr>
          <w:p w:rsidR="003509CA" w:rsidRPr="00106E5F" w:rsidRDefault="003509CA" w:rsidP="00106E5F">
            <w:pPr>
              <w:pStyle w:val="AERtabletextright"/>
              <w:cnfStyle w:val="000000000000" w:firstRow="0" w:lastRow="0" w:firstColumn="0" w:lastColumn="0" w:oddVBand="0" w:evenVBand="0" w:oddHBand="0" w:evenHBand="0" w:firstRowFirstColumn="0" w:firstRowLastColumn="0" w:lastRowFirstColumn="0" w:lastRowLastColumn="0"/>
            </w:pPr>
            <w:r w:rsidRPr="00106E5F">
              <w:t>636.3</w:t>
            </w:r>
          </w:p>
        </w:tc>
      </w:tr>
      <w:tr w:rsidR="003509CA" w:rsidRPr="00356B64" w:rsidTr="003509CA">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vAlign w:val="top"/>
            <w:hideMark/>
          </w:tcPr>
          <w:p w:rsidR="003509CA" w:rsidRPr="003509CA" w:rsidRDefault="003509CA" w:rsidP="003509CA">
            <w:pPr>
              <w:pStyle w:val="AERtabletextleft"/>
            </w:pPr>
            <w:r w:rsidRPr="003509CA">
              <w:t>Annual revenue requirement (unsmoothed)</w:t>
            </w:r>
          </w:p>
        </w:tc>
        <w:tc>
          <w:tcPr>
            <w:tcW w:w="1578" w:type="dxa"/>
            <w:noWrap/>
            <w:vAlign w:val="top"/>
          </w:tcPr>
          <w:p w:rsidR="003509CA" w:rsidRPr="003509CA" w:rsidRDefault="003509CA" w:rsidP="003509CA">
            <w:pPr>
              <w:pStyle w:val="AERtabletextright"/>
              <w:cnfStyle w:val="000000010000" w:firstRow="0" w:lastRow="0" w:firstColumn="0" w:lastColumn="0" w:oddVBand="0" w:evenVBand="0" w:oddHBand="0" w:evenHBand="1" w:firstRowFirstColumn="0" w:firstRowLastColumn="0" w:lastRowFirstColumn="0" w:lastRowLastColumn="0"/>
            </w:pPr>
            <w:r w:rsidRPr="003509CA">
              <w:t>1957.1</w:t>
            </w:r>
          </w:p>
        </w:tc>
        <w:tc>
          <w:tcPr>
            <w:tcW w:w="938" w:type="dxa"/>
            <w:noWrap/>
            <w:vAlign w:val="top"/>
          </w:tcPr>
          <w:p w:rsidR="003509CA" w:rsidRPr="00B23683" w:rsidRDefault="003509CA" w:rsidP="003509CA">
            <w:pPr>
              <w:pStyle w:val="AERtabletextright"/>
              <w:cnfStyle w:val="000000010000" w:firstRow="0" w:lastRow="0" w:firstColumn="0" w:lastColumn="0" w:oddVBand="0" w:evenVBand="0" w:oddHBand="0" w:evenHBand="1" w:firstRowFirstColumn="0" w:firstRowLastColumn="0" w:lastRowFirstColumn="0" w:lastRowLastColumn="0"/>
            </w:pPr>
            <w:r w:rsidRPr="003509CA">
              <w:t>2079.1</w:t>
            </w:r>
          </w:p>
        </w:tc>
        <w:tc>
          <w:tcPr>
            <w:tcW w:w="844" w:type="dxa"/>
            <w:vAlign w:val="top"/>
          </w:tcPr>
          <w:p w:rsidR="003509CA" w:rsidRPr="00FD5190" w:rsidRDefault="003509CA" w:rsidP="00494EBC">
            <w:pPr>
              <w:pStyle w:val="AERtabletextright"/>
              <w:cnfStyle w:val="000000010000" w:firstRow="0" w:lastRow="0" w:firstColumn="0" w:lastColumn="0" w:oddVBand="0" w:evenVBand="0" w:oddHBand="0" w:evenHBand="1" w:firstRowFirstColumn="0" w:firstRowLastColumn="0" w:lastRowFirstColumn="0" w:lastRowLastColumn="0"/>
            </w:pPr>
            <w:r w:rsidRPr="00494EBC">
              <w:t>2187.1</w:t>
            </w:r>
          </w:p>
        </w:tc>
        <w:tc>
          <w:tcPr>
            <w:tcW w:w="844" w:type="dxa"/>
            <w:vAlign w:val="top"/>
          </w:tcPr>
          <w:p w:rsidR="003509CA" w:rsidRPr="002371CC" w:rsidRDefault="003509CA" w:rsidP="00FD5190">
            <w:pPr>
              <w:pStyle w:val="AERtabletextright"/>
              <w:cnfStyle w:val="000000010000" w:firstRow="0" w:lastRow="0" w:firstColumn="0" w:lastColumn="0" w:oddVBand="0" w:evenVBand="0" w:oddHBand="0" w:evenHBand="1" w:firstRowFirstColumn="0" w:firstRowLastColumn="0" w:lastRowFirstColumn="0" w:lastRowLastColumn="0"/>
            </w:pPr>
            <w:r w:rsidRPr="002371CC">
              <w:t>2293.5</w:t>
            </w:r>
          </w:p>
        </w:tc>
        <w:tc>
          <w:tcPr>
            <w:tcW w:w="844" w:type="dxa"/>
            <w:vAlign w:val="top"/>
          </w:tcPr>
          <w:p w:rsidR="003509CA" w:rsidRPr="00106E5F" w:rsidRDefault="003509CA" w:rsidP="00106E5F">
            <w:pPr>
              <w:pStyle w:val="AERtabletextright"/>
              <w:cnfStyle w:val="000000010000" w:firstRow="0" w:lastRow="0" w:firstColumn="0" w:lastColumn="0" w:oddVBand="0" w:evenVBand="0" w:oddHBand="0" w:evenHBand="1" w:firstRowFirstColumn="0" w:firstRowLastColumn="0" w:lastRowFirstColumn="0" w:lastRowLastColumn="0"/>
            </w:pPr>
            <w:r w:rsidRPr="00106E5F">
              <w:t>2246.4</w:t>
            </w:r>
          </w:p>
        </w:tc>
        <w:tc>
          <w:tcPr>
            <w:tcW w:w="844" w:type="dxa"/>
            <w:vAlign w:val="top"/>
          </w:tcPr>
          <w:p w:rsidR="003509CA" w:rsidRPr="00106E5F" w:rsidRDefault="003509CA" w:rsidP="00106E5F">
            <w:pPr>
              <w:pStyle w:val="AERtabletextright"/>
              <w:cnfStyle w:val="000000010000" w:firstRow="0" w:lastRow="0" w:firstColumn="0" w:lastColumn="0" w:oddVBand="0" w:evenVBand="0" w:oddHBand="0" w:evenHBand="1" w:firstRowFirstColumn="0" w:firstRowLastColumn="0" w:lastRowFirstColumn="0" w:lastRowLastColumn="0"/>
            </w:pPr>
            <w:r w:rsidRPr="00106E5F">
              <w:t>10763.2</w:t>
            </w:r>
          </w:p>
        </w:tc>
      </w:tr>
      <w:tr w:rsidR="001840F7" w:rsidRPr="00B16151" w:rsidTr="00CB3CAC">
        <w:trPr>
          <w:trHeight w:val="190"/>
        </w:trPr>
        <w:tc>
          <w:tcPr>
            <w:cnfStyle w:val="001000000000" w:firstRow="0" w:lastRow="0" w:firstColumn="1" w:lastColumn="0" w:oddVBand="0" w:evenVBand="0" w:oddHBand="0" w:evenHBand="0" w:firstRowFirstColumn="0" w:firstRowLastColumn="0" w:lastRowFirstColumn="0" w:lastRowLastColumn="0"/>
            <w:tcW w:w="3350" w:type="dxa"/>
            <w:noWrap/>
            <w:vAlign w:val="top"/>
            <w:hideMark/>
          </w:tcPr>
          <w:p w:rsidR="001840F7" w:rsidRPr="00CE4D1A" w:rsidRDefault="001840F7" w:rsidP="001840F7">
            <w:pPr>
              <w:pStyle w:val="AERtabletextleft"/>
              <w:jc w:val="both"/>
              <w:rPr>
                <w:rStyle w:val="AERtextbold"/>
              </w:rPr>
            </w:pPr>
            <w:r w:rsidRPr="00CE4D1A">
              <w:rPr>
                <w:rStyle w:val="AERtextbold"/>
              </w:rPr>
              <w:t>Annual expected revenue (smoothed)</w:t>
            </w:r>
          </w:p>
        </w:tc>
        <w:tc>
          <w:tcPr>
            <w:tcW w:w="1578" w:type="dxa"/>
            <w:noWrap/>
            <w:vAlign w:val="top"/>
          </w:tcPr>
          <w:p w:rsidR="001840F7" w:rsidRPr="00CE4D1A" w:rsidRDefault="001840F7" w:rsidP="001840F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E4D1A">
              <w:rPr>
                <w:rStyle w:val="AERtextbold"/>
              </w:rPr>
              <w:t>2039.0</w:t>
            </w:r>
          </w:p>
        </w:tc>
        <w:tc>
          <w:tcPr>
            <w:tcW w:w="938" w:type="dxa"/>
            <w:noWrap/>
            <w:vAlign w:val="top"/>
          </w:tcPr>
          <w:p w:rsidR="001840F7" w:rsidRPr="00CE4D1A" w:rsidRDefault="001840F7" w:rsidP="001840F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E4D1A">
              <w:rPr>
                <w:rStyle w:val="AERtextbold"/>
              </w:rPr>
              <w:t>2090.5</w:t>
            </w:r>
          </w:p>
        </w:tc>
        <w:tc>
          <w:tcPr>
            <w:tcW w:w="844" w:type="dxa"/>
            <w:vAlign w:val="top"/>
          </w:tcPr>
          <w:p w:rsidR="001840F7" w:rsidRPr="00CE4D1A" w:rsidRDefault="001840F7" w:rsidP="001840F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E4D1A">
              <w:rPr>
                <w:rStyle w:val="AERtextbold"/>
              </w:rPr>
              <w:t>2135.9</w:t>
            </w:r>
          </w:p>
        </w:tc>
        <w:tc>
          <w:tcPr>
            <w:tcW w:w="844" w:type="dxa"/>
            <w:vAlign w:val="top"/>
          </w:tcPr>
          <w:p w:rsidR="001840F7" w:rsidRPr="00CE4D1A" w:rsidRDefault="001840F7" w:rsidP="001840F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E4D1A">
              <w:rPr>
                <w:rStyle w:val="AERtextbold"/>
              </w:rPr>
              <w:t>2202.8</w:t>
            </w:r>
          </w:p>
        </w:tc>
        <w:tc>
          <w:tcPr>
            <w:tcW w:w="844" w:type="dxa"/>
            <w:vAlign w:val="top"/>
          </w:tcPr>
          <w:p w:rsidR="001840F7" w:rsidRPr="00CE4D1A" w:rsidRDefault="001840F7" w:rsidP="001840F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E4D1A">
              <w:rPr>
                <w:rStyle w:val="AERtextbold"/>
              </w:rPr>
              <w:t>2276.2</w:t>
            </w:r>
          </w:p>
        </w:tc>
        <w:tc>
          <w:tcPr>
            <w:tcW w:w="844" w:type="dxa"/>
            <w:vAlign w:val="top"/>
          </w:tcPr>
          <w:p w:rsidR="001840F7" w:rsidRPr="00CE4D1A" w:rsidRDefault="001840F7" w:rsidP="001840F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E4D1A">
              <w:rPr>
                <w:rStyle w:val="AERtextbold"/>
              </w:rPr>
              <w:t>10744.3</w:t>
            </w:r>
          </w:p>
        </w:tc>
      </w:tr>
      <w:tr w:rsidR="003509CA" w:rsidRPr="00356B64" w:rsidTr="003509CA">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vAlign w:val="top"/>
            <w:hideMark/>
          </w:tcPr>
          <w:p w:rsidR="003509CA" w:rsidRPr="003509CA" w:rsidRDefault="003509CA" w:rsidP="00CE4D1A">
            <w:pPr>
              <w:pStyle w:val="AERtabletextleft"/>
            </w:pPr>
            <w:r w:rsidRPr="003509CA">
              <w:t>X factor</w:t>
            </w:r>
          </w:p>
        </w:tc>
        <w:tc>
          <w:tcPr>
            <w:tcW w:w="1578" w:type="dxa"/>
            <w:noWrap/>
            <w:vAlign w:val="top"/>
          </w:tcPr>
          <w:p w:rsidR="003509CA" w:rsidRPr="003509CA" w:rsidRDefault="003509CA" w:rsidP="003509CA">
            <w:pPr>
              <w:pStyle w:val="AERtabletextright"/>
              <w:cnfStyle w:val="000000010000" w:firstRow="0" w:lastRow="0" w:firstColumn="0" w:lastColumn="0" w:oddVBand="0" w:evenVBand="0" w:oddHBand="0" w:evenHBand="1" w:firstRowFirstColumn="0" w:firstRowLastColumn="0" w:lastRowFirstColumn="0" w:lastRowLastColumn="0"/>
            </w:pPr>
            <w:r w:rsidRPr="003509CA">
              <w:t>5.66%</w:t>
            </w:r>
          </w:p>
        </w:tc>
        <w:tc>
          <w:tcPr>
            <w:tcW w:w="938" w:type="dxa"/>
            <w:noWrap/>
            <w:vAlign w:val="top"/>
          </w:tcPr>
          <w:p w:rsidR="003509CA" w:rsidRPr="00B23683" w:rsidRDefault="00854273">
            <w:pPr>
              <w:pStyle w:val="AERtabletextright"/>
              <w:cnfStyle w:val="000000010000" w:firstRow="0" w:lastRow="0" w:firstColumn="0" w:lastColumn="0" w:oddVBand="0" w:evenVBand="0" w:oddHBand="0" w:evenHBand="1" w:firstRowFirstColumn="0" w:firstRowLastColumn="0" w:lastRowFirstColumn="0" w:lastRowLastColumn="0"/>
            </w:pPr>
            <w:r>
              <w:t>–</w:t>
            </w:r>
            <w:r w:rsidR="003509CA" w:rsidRPr="003509CA">
              <w:t>0.03%</w:t>
            </w:r>
          </w:p>
        </w:tc>
        <w:tc>
          <w:tcPr>
            <w:tcW w:w="844" w:type="dxa"/>
            <w:vAlign w:val="top"/>
          </w:tcPr>
          <w:p w:rsidR="003509CA" w:rsidRPr="00FD5190" w:rsidRDefault="003509CA" w:rsidP="00494EBC">
            <w:pPr>
              <w:pStyle w:val="AERtabletextright"/>
              <w:cnfStyle w:val="000000010000" w:firstRow="0" w:lastRow="0" w:firstColumn="0" w:lastColumn="0" w:oddVBand="0" w:evenVBand="0" w:oddHBand="0" w:evenHBand="1" w:firstRowFirstColumn="0" w:firstRowLastColumn="0" w:lastRowFirstColumn="0" w:lastRowLastColumn="0"/>
            </w:pPr>
            <w:r w:rsidRPr="00494EBC">
              <w:t>0.32%</w:t>
            </w:r>
          </w:p>
        </w:tc>
        <w:tc>
          <w:tcPr>
            <w:tcW w:w="844" w:type="dxa"/>
            <w:vAlign w:val="top"/>
          </w:tcPr>
          <w:p w:rsidR="003509CA" w:rsidRPr="002371CC" w:rsidRDefault="00854273" w:rsidP="00FD5190">
            <w:pPr>
              <w:pStyle w:val="AERtabletextright"/>
              <w:cnfStyle w:val="000000010000" w:firstRow="0" w:lastRow="0" w:firstColumn="0" w:lastColumn="0" w:oddVBand="0" w:evenVBand="0" w:oddHBand="0" w:evenHBand="1" w:firstRowFirstColumn="0" w:firstRowLastColumn="0" w:lastRowFirstColumn="0" w:lastRowLastColumn="0"/>
            </w:pPr>
            <w:r>
              <w:t>–</w:t>
            </w:r>
            <w:r w:rsidR="003509CA" w:rsidRPr="002371CC">
              <w:t>0.62%</w:t>
            </w:r>
          </w:p>
        </w:tc>
        <w:tc>
          <w:tcPr>
            <w:tcW w:w="844" w:type="dxa"/>
            <w:vAlign w:val="top"/>
          </w:tcPr>
          <w:p w:rsidR="003509CA" w:rsidRPr="00106E5F" w:rsidRDefault="00854273" w:rsidP="00106E5F">
            <w:pPr>
              <w:pStyle w:val="AERtabletextright"/>
              <w:cnfStyle w:val="000000010000" w:firstRow="0" w:lastRow="0" w:firstColumn="0" w:lastColumn="0" w:oddVBand="0" w:evenVBand="0" w:oddHBand="0" w:evenHBand="1" w:firstRowFirstColumn="0" w:firstRowLastColumn="0" w:lastRowFirstColumn="0" w:lastRowLastColumn="0"/>
            </w:pPr>
            <w:r>
              <w:t>–</w:t>
            </w:r>
            <w:r w:rsidR="003509CA" w:rsidRPr="00106E5F">
              <w:t>0.81%</w:t>
            </w:r>
          </w:p>
        </w:tc>
        <w:tc>
          <w:tcPr>
            <w:tcW w:w="844" w:type="dxa"/>
            <w:vAlign w:val="top"/>
          </w:tcPr>
          <w:p w:rsidR="003509CA" w:rsidRPr="00106E5F" w:rsidRDefault="003509CA" w:rsidP="00106E5F">
            <w:pPr>
              <w:pStyle w:val="AERtabletextright"/>
              <w:cnfStyle w:val="000000010000" w:firstRow="0" w:lastRow="0" w:firstColumn="0" w:lastColumn="0" w:oddVBand="0" w:evenVBand="0" w:oddHBand="0" w:evenHBand="1" w:firstRowFirstColumn="0" w:firstRowLastColumn="0" w:lastRowFirstColumn="0" w:lastRowLastColumn="0"/>
            </w:pPr>
            <w:r w:rsidRPr="00106E5F">
              <w:t>n/a</w:t>
            </w:r>
          </w:p>
        </w:tc>
      </w:tr>
    </w:tbl>
    <w:p w:rsidR="0023470D" w:rsidRDefault="0023470D" w:rsidP="00B23683">
      <w:pPr>
        <w:pStyle w:val="AERtablesource"/>
      </w:pPr>
      <w:r>
        <w:t>Source:</w:t>
      </w:r>
      <w:r w:rsidR="00B23683">
        <w:tab/>
      </w:r>
      <w:r w:rsidR="00B23683" w:rsidRPr="00B23683">
        <w:t xml:space="preserve">Ausgrid, </w:t>
      </w:r>
      <w:r w:rsidR="00B23683" w:rsidRPr="00B23683">
        <w:rPr>
          <w:rStyle w:val="AERtextitalic"/>
        </w:rPr>
        <w:t>Regulatory proposal</w:t>
      </w:r>
      <w:r w:rsidR="00B23683" w:rsidRPr="00B23683">
        <w:t xml:space="preserve">, June 2014. </w:t>
      </w:r>
      <w:proofErr w:type="gramStart"/>
      <w:r w:rsidR="00B23683" w:rsidRPr="00B23683">
        <w:t>Attachment 4.0</w:t>
      </w:r>
      <w:r w:rsidR="00B23683">
        <w:t>1</w:t>
      </w:r>
      <w:r w:rsidR="00B23683" w:rsidRPr="00B23683">
        <w:t>.</w:t>
      </w:r>
      <w:proofErr w:type="gramEnd"/>
    </w:p>
    <w:p w:rsidR="0023470D" w:rsidRDefault="009A3021" w:rsidP="009A3021">
      <w:pPr>
        <w:pStyle w:val="Caption"/>
      </w:pPr>
      <w:bookmarkStart w:id="17" w:name="_Ref401571505"/>
      <w:proofErr w:type="gramStart"/>
      <w:r>
        <w:t xml:space="preserve">Table </w:t>
      </w:r>
      <w:proofErr w:type="gramEnd"/>
      <w:r w:rsidR="00382E4F">
        <w:fldChar w:fldCharType="begin"/>
      </w:r>
      <w:r w:rsidR="00382E4F">
        <w:instrText xml:space="preserve"> STYLEREF 1 \s </w:instrText>
      </w:r>
      <w:r w:rsidR="00382E4F">
        <w:fldChar w:fldCharType="separate"/>
      </w:r>
      <w:r w:rsidR="00382E4F">
        <w:rPr>
          <w:noProof/>
        </w:rPr>
        <w:t>1</w:t>
      </w:r>
      <w:r w:rsidR="00382E4F">
        <w:rPr>
          <w:noProof/>
        </w:rPr>
        <w:fldChar w:fldCharType="end"/>
      </w:r>
      <w:proofErr w:type="gramStart"/>
      <w:r w:rsidR="00CE4D1A">
        <w:t>.</w:t>
      </w:r>
      <w:proofErr w:type="gramEnd"/>
      <w:r w:rsidR="00382E4F">
        <w:fldChar w:fldCharType="begin"/>
      </w:r>
      <w:r w:rsidR="00382E4F">
        <w:instrText xml:space="preserve"> SEQ Table \* ARABIC \s 1 </w:instrText>
      </w:r>
      <w:r w:rsidR="00382E4F">
        <w:fldChar w:fldCharType="separate"/>
      </w:r>
      <w:r w:rsidR="00382E4F">
        <w:rPr>
          <w:noProof/>
        </w:rPr>
        <w:t>4</w:t>
      </w:r>
      <w:r w:rsidR="00382E4F">
        <w:rPr>
          <w:noProof/>
        </w:rPr>
        <w:fldChar w:fldCharType="end"/>
      </w:r>
      <w:bookmarkEnd w:id="17"/>
      <w:r>
        <w:tab/>
        <w:t xml:space="preserve">Ausgrid's proposed revenues for the 2014–19 period </w:t>
      </w:r>
      <w:r w:rsidR="001840F7">
        <w:t xml:space="preserve">– transmission </w:t>
      </w:r>
      <w:r>
        <w:t xml:space="preserve">($million, nominal) </w:t>
      </w:r>
    </w:p>
    <w:tbl>
      <w:tblPr>
        <w:tblStyle w:val="AERtable-numbers"/>
        <w:tblW w:w="9242" w:type="dxa"/>
        <w:tblLook w:val="04A0" w:firstRow="1" w:lastRow="0" w:firstColumn="1" w:lastColumn="0" w:noHBand="0" w:noVBand="1"/>
      </w:tblPr>
      <w:tblGrid>
        <w:gridCol w:w="3350"/>
        <w:gridCol w:w="1601"/>
        <w:gridCol w:w="915"/>
        <w:gridCol w:w="844"/>
        <w:gridCol w:w="844"/>
        <w:gridCol w:w="844"/>
        <w:gridCol w:w="844"/>
      </w:tblGrid>
      <w:tr w:rsidR="0023470D" w:rsidRPr="00356B64" w:rsidTr="00B23683">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hideMark/>
          </w:tcPr>
          <w:p w:rsidR="0023470D" w:rsidRPr="0023470D" w:rsidRDefault="0023470D" w:rsidP="0023470D">
            <w:pPr>
              <w:pStyle w:val="AERtabletextleft"/>
            </w:pPr>
            <w:r w:rsidRPr="003E0B0C">
              <w:t> </w:t>
            </w:r>
          </w:p>
        </w:tc>
        <w:tc>
          <w:tcPr>
            <w:tcW w:w="1601" w:type="dxa"/>
            <w:noWrap/>
            <w:hideMark/>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rsidRPr="003E0B0C">
              <w:t>201</w:t>
            </w:r>
            <w:r w:rsidRPr="0023470D">
              <w:t>4–15</w:t>
            </w:r>
          </w:p>
        </w:tc>
        <w:tc>
          <w:tcPr>
            <w:tcW w:w="915" w:type="dxa"/>
            <w:noWrap/>
            <w:hideMark/>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t>2</w:t>
            </w:r>
            <w:r w:rsidRPr="0023470D">
              <w:t>015–16</w:t>
            </w:r>
          </w:p>
        </w:tc>
        <w:tc>
          <w:tcPr>
            <w:tcW w:w="844" w:type="dxa"/>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t>2016</w:t>
            </w:r>
            <w:r w:rsidRPr="0023470D">
              <w:t>–17</w:t>
            </w:r>
          </w:p>
        </w:tc>
        <w:tc>
          <w:tcPr>
            <w:tcW w:w="844" w:type="dxa"/>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844" w:type="dxa"/>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844" w:type="dxa"/>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B23683" w:rsidRPr="00356B64" w:rsidTr="00B23683">
        <w:trPr>
          <w:trHeight w:val="190"/>
        </w:trPr>
        <w:tc>
          <w:tcPr>
            <w:cnfStyle w:val="001000000000" w:firstRow="0" w:lastRow="0" w:firstColumn="1" w:lastColumn="0" w:oddVBand="0" w:evenVBand="0" w:oddHBand="0" w:evenHBand="0" w:firstRowFirstColumn="0" w:firstRowLastColumn="0" w:lastRowFirstColumn="0" w:lastRowLastColumn="0"/>
            <w:tcW w:w="3350" w:type="dxa"/>
            <w:noWrap/>
            <w:vAlign w:val="top"/>
            <w:hideMark/>
          </w:tcPr>
          <w:p w:rsidR="00B23683" w:rsidRPr="00B23683" w:rsidRDefault="00B23683" w:rsidP="00B23683">
            <w:pPr>
              <w:pStyle w:val="AERtabletextleft"/>
            </w:pPr>
            <w:r w:rsidRPr="00B23683">
              <w:t>Return on capital</w:t>
            </w:r>
          </w:p>
        </w:tc>
        <w:tc>
          <w:tcPr>
            <w:tcW w:w="1601" w:type="dxa"/>
            <w:noWrap/>
            <w:vAlign w:val="top"/>
          </w:tcPr>
          <w:p w:rsidR="00B23683" w:rsidRPr="00B23683" w:rsidRDefault="00B23683" w:rsidP="00B23683">
            <w:pPr>
              <w:pStyle w:val="AERtabletextright"/>
              <w:cnfStyle w:val="000000000000" w:firstRow="0" w:lastRow="0" w:firstColumn="0" w:lastColumn="0" w:oddVBand="0" w:evenVBand="0" w:oddHBand="0" w:evenHBand="0" w:firstRowFirstColumn="0" w:firstRowLastColumn="0" w:lastRowFirstColumn="0" w:lastRowLastColumn="0"/>
            </w:pPr>
            <w:r w:rsidRPr="00B23683">
              <w:t>184.7</w:t>
            </w:r>
          </w:p>
        </w:tc>
        <w:tc>
          <w:tcPr>
            <w:tcW w:w="915" w:type="dxa"/>
            <w:noWrap/>
            <w:vAlign w:val="top"/>
          </w:tcPr>
          <w:p w:rsidR="00B23683" w:rsidRPr="00B23683" w:rsidRDefault="00B23683" w:rsidP="00B23683">
            <w:pPr>
              <w:pStyle w:val="AERtabletextright"/>
              <w:cnfStyle w:val="000000000000" w:firstRow="0" w:lastRow="0" w:firstColumn="0" w:lastColumn="0" w:oddVBand="0" w:evenVBand="0" w:oddHBand="0" w:evenHBand="0" w:firstRowFirstColumn="0" w:firstRowLastColumn="0" w:lastRowFirstColumn="0" w:lastRowLastColumn="0"/>
            </w:pPr>
            <w:r w:rsidRPr="00B23683">
              <w:t>197.5</w:t>
            </w:r>
          </w:p>
        </w:tc>
        <w:tc>
          <w:tcPr>
            <w:tcW w:w="844" w:type="dxa"/>
            <w:vAlign w:val="top"/>
          </w:tcPr>
          <w:p w:rsidR="00B23683" w:rsidRPr="00B23683" w:rsidRDefault="00B23683" w:rsidP="00B23683">
            <w:pPr>
              <w:pStyle w:val="AERtabletextright"/>
              <w:cnfStyle w:val="000000000000" w:firstRow="0" w:lastRow="0" w:firstColumn="0" w:lastColumn="0" w:oddVBand="0" w:evenVBand="0" w:oddHBand="0" w:evenHBand="0" w:firstRowFirstColumn="0" w:firstRowLastColumn="0" w:lastRowFirstColumn="0" w:lastRowLastColumn="0"/>
            </w:pPr>
            <w:r w:rsidRPr="00B23683">
              <w:t>210.1</w:t>
            </w:r>
          </w:p>
        </w:tc>
        <w:tc>
          <w:tcPr>
            <w:tcW w:w="844" w:type="dxa"/>
            <w:vAlign w:val="top"/>
          </w:tcPr>
          <w:p w:rsidR="00B23683" w:rsidRPr="00FD5190" w:rsidRDefault="00B23683" w:rsidP="00494EBC">
            <w:pPr>
              <w:pStyle w:val="AERtabletextright"/>
              <w:cnfStyle w:val="000000000000" w:firstRow="0" w:lastRow="0" w:firstColumn="0" w:lastColumn="0" w:oddVBand="0" w:evenVBand="0" w:oddHBand="0" w:evenHBand="0" w:firstRowFirstColumn="0" w:firstRowLastColumn="0" w:lastRowFirstColumn="0" w:lastRowLastColumn="0"/>
            </w:pPr>
            <w:r w:rsidRPr="00494EBC">
              <w:t>217.0</w:t>
            </w:r>
          </w:p>
        </w:tc>
        <w:tc>
          <w:tcPr>
            <w:tcW w:w="844" w:type="dxa"/>
            <w:vAlign w:val="top"/>
          </w:tcPr>
          <w:p w:rsidR="00B23683" w:rsidRPr="002371CC" w:rsidRDefault="00B23683" w:rsidP="00FD5190">
            <w:pPr>
              <w:pStyle w:val="AERtabletextright"/>
              <w:cnfStyle w:val="000000000000" w:firstRow="0" w:lastRow="0" w:firstColumn="0" w:lastColumn="0" w:oddVBand="0" w:evenVBand="0" w:oddHBand="0" w:evenHBand="0" w:firstRowFirstColumn="0" w:firstRowLastColumn="0" w:lastRowFirstColumn="0" w:lastRowLastColumn="0"/>
            </w:pPr>
            <w:r w:rsidRPr="002371CC">
              <w:t>224.8</w:t>
            </w:r>
          </w:p>
        </w:tc>
        <w:tc>
          <w:tcPr>
            <w:tcW w:w="844" w:type="dxa"/>
            <w:vAlign w:val="top"/>
          </w:tcPr>
          <w:p w:rsidR="00B23683" w:rsidRPr="00106E5F" w:rsidRDefault="00B23683" w:rsidP="00106E5F">
            <w:pPr>
              <w:pStyle w:val="AERtabletextright"/>
              <w:cnfStyle w:val="000000000000" w:firstRow="0" w:lastRow="0" w:firstColumn="0" w:lastColumn="0" w:oddVBand="0" w:evenVBand="0" w:oddHBand="0" w:evenHBand="0" w:firstRowFirstColumn="0" w:firstRowLastColumn="0" w:lastRowFirstColumn="0" w:lastRowLastColumn="0"/>
            </w:pPr>
            <w:r w:rsidRPr="00106E5F">
              <w:t>1034.1</w:t>
            </w:r>
          </w:p>
        </w:tc>
      </w:tr>
      <w:tr w:rsidR="00B23683" w:rsidRPr="00356B64" w:rsidTr="00B23683">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vAlign w:val="top"/>
          </w:tcPr>
          <w:p w:rsidR="00B23683" w:rsidRPr="00B23683" w:rsidRDefault="00B23683" w:rsidP="00B23683">
            <w:pPr>
              <w:pStyle w:val="AERtabletextleft"/>
            </w:pPr>
            <w:r w:rsidRPr="00B23683">
              <w:t>Regulatory depreciation</w:t>
            </w:r>
          </w:p>
        </w:tc>
        <w:tc>
          <w:tcPr>
            <w:tcW w:w="1601" w:type="dxa"/>
            <w:noWrap/>
            <w:vAlign w:val="top"/>
          </w:tcPr>
          <w:p w:rsidR="00B23683" w:rsidRPr="00B23683" w:rsidRDefault="00B23683" w:rsidP="00B23683">
            <w:pPr>
              <w:pStyle w:val="AERtabletextright"/>
              <w:cnfStyle w:val="000000010000" w:firstRow="0" w:lastRow="0" w:firstColumn="0" w:lastColumn="0" w:oddVBand="0" w:evenVBand="0" w:oddHBand="0" w:evenHBand="1" w:firstRowFirstColumn="0" w:firstRowLastColumn="0" w:lastRowFirstColumn="0" w:lastRowLastColumn="0"/>
            </w:pPr>
            <w:r w:rsidRPr="00B23683">
              <w:t>12.4</w:t>
            </w:r>
          </w:p>
        </w:tc>
        <w:tc>
          <w:tcPr>
            <w:tcW w:w="915" w:type="dxa"/>
            <w:noWrap/>
            <w:vAlign w:val="top"/>
          </w:tcPr>
          <w:p w:rsidR="00B23683" w:rsidRPr="00B23683" w:rsidRDefault="00B23683" w:rsidP="00B23683">
            <w:pPr>
              <w:pStyle w:val="AERtabletextright"/>
              <w:cnfStyle w:val="000000010000" w:firstRow="0" w:lastRow="0" w:firstColumn="0" w:lastColumn="0" w:oddVBand="0" w:evenVBand="0" w:oddHBand="0" w:evenHBand="1" w:firstRowFirstColumn="0" w:firstRowLastColumn="0" w:lastRowFirstColumn="0" w:lastRowLastColumn="0"/>
            </w:pPr>
            <w:r w:rsidRPr="00B23683">
              <w:t>15.7</w:t>
            </w:r>
          </w:p>
        </w:tc>
        <w:tc>
          <w:tcPr>
            <w:tcW w:w="844" w:type="dxa"/>
            <w:vAlign w:val="top"/>
          </w:tcPr>
          <w:p w:rsidR="00B23683" w:rsidRPr="00B23683" w:rsidRDefault="00B23683" w:rsidP="00B23683">
            <w:pPr>
              <w:pStyle w:val="AERtabletextright"/>
              <w:cnfStyle w:val="000000010000" w:firstRow="0" w:lastRow="0" w:firstColumn="0" w:lastColumn="0" w:oddVBand="0" w:evenVBand="0" w:oddHBand="0" w:evenHBand="1" w:firstRowFirstColumn="0" w:firstRowLastColumn="0" w:lastRowFirstColumn="0" w:lastRowLastColumn="0"/>
            </w:pPr>
            <w:r w:rsidRPr="00B23683">
              <w:t>19.3</w:t>
            </w:r>
          </w:p>
        </w:tc>
        <w:tc>
          <w:tcPr>
            <w:tcW w:w="844" w:type="dxa"/>
            <w:vAlign w:val="top"/>
          </w:tcPr>
          <w:p w:rsidR="00B23683" w:rsidRPr="00FD5190" w:rsidRDefault="00B23683" w:rsidP="00494EBC">
            <w:pPr>
              <w:pStyle w:val="AERtabletextright"/>
              <w:cnfStyle w:val="000000010000" w:firstRow="0" w:lastRow="0" w:firstColumn="0" w:lastColumn="0" w:oddVBand="0" w:evenVBand="0" w:oddHBand="0" w:evenHBand="1" w:firstRowFirstColumn="0" w:firstRowLastColumn="0" w:lastRowFirstColumn="0" w:lastRowLastColumn="0"/>
            </w:pPr>
            <w:r w:rsidRPr="00494EBC">
              <w:t>16.1</w:t>
            </w:r>
          </w:p>
        </w:tc>
        <w:tc>
          <w:tcPr>
            <w:tcW w:w="844" w:type="dxa"/>
            <w:vAlign w:val="top"/>
          </w:tcPr>
          <w:p w:rsidR="00B23683" w:rsidRPr="002371CC" w:rsidRDefault="00B23683" w:rsidP="00FD5190">
            <w:pPr>
              <w:pStyle w:val="AERtabletextright"/>
              <w:cnfStyle w:val="000000010000" w:firstRow="0" w:lastRow="0" w:firstColumn="0" w:lastColumn="0" w:oddVBand="0" w:evenVBand="0" w:oddHBand="0" w:evenHBand="1" w:firstRowFirstColumn="0" w:firstRowLastColumn="0" w:lastRowFirstColumn="0" w:lastRowLastColumn="0"/>
            </w:pPr>
            <w:r w:rsidRPr="002371CC">
              <w:t>18.2</w:t>
            </w:r>
          </w:p>
        </w:tc>
        <w:tc>
          <w:tcPr>
            <w:tcW w:w="844" w:type="dxa"/>
            <w:vAlign w:val="top"/>
          </w:tcPr>
          <w:p w:rsidR="00B23683" w:rsidRPr="00106E5F" w:rsidRDefault="00B23683" w:rsidP="00106E5F">
            <w:pPr>
              <w:pStyle w:val="AERtabletextright"/>
              <w:cnfStyle w:val="000000010000" w:firstRow="0" w:lastRow="0" w:firstColumn="0" w:lastColumn="0" w:oddVBand="0" w:evenVBand="0" w:oddHBand="0" w:evenHBand="1" w:firstRowFirstColumn="0" w:firstRowLastColumn="0" w:lastRowFirstColumn="0" w:lastRowLastColumn="0"/>
            </w:pPr>
            <w:r w:rsidRPr="00106E5F">
              <w:t>81.9</w:t>
            </w:r>
          </w:p>
        </w:tc>
      </w:tr>
      <w:tr w:rsidR="00B23683" w:rsidRPr="00356B64" w:rsidTr="00B23683">
        <w:trPr>
          <w:trHeight w:val="190"/>
        </w:trPr>
        <w:tc>
          <w:tcPr>
            <w:cnfStyle w:val="001000000000" w:firstRow="0" w:lastRow="0" w:firstColumn="1" w:lastColumn="0" w:oddVBand="0" w:evenVBand="0" w:oddHBand="0" w:evenHBand="0" w:firstRowFirstColumn="0" w:firstRowLastColumn="0" w:lastRowFirstColumn="0" w:lastRowLastColumn="0"/>
            <w:tcW w:w="3350" w:type="dxa"/>
            <w:noWrap/>
            <w:vAlign w:val="top"/>
          </w:tcPr>
          <w:p w:rsidR="00B23683" w:rsidRPr="00B23683" w:rsidRDefault="00B23683" w:rsidP="00B23683">
            <w:pPr>
              <w:pStyle w:val="AERtabletextleft"/>
            </w:pPr>
            <w:r w:rsidRPr="00B23683">
              <w:t>Operating expenditure</w:t>
            </w:r>
          </w:p>
        </w:tc>
        <w:tc>
          <w:tcPr>
            <w:tcW w:w="1601" w:type="dxa"/>
            <w:noWrap/>
            <w:vAlign w:val="top"/>
          </w:tcPr>
          <w:p w:rsidR="00B23683" w:rsidRPr="00B23683" w:rsidRDefault="00B23683" w:rsidP="00B23683">
            <w:pPr>
              <w:pStyle w:val="AERtabletextright"/>
              <w:cnfStyle w:val="000000000000" w:firstRow="0" w:lastRow="0" w:firstColumn="0" w:lastColumn="0" w:oddVBand="0" w:evenVBand="0" w:oddHBand="0" w:evenHBand="0" w:firstRowFirstColumn="0" w:firstRowLastColumn="0" w:lastRowFirstColumn="0" w:lastRowLastColumn="0"/>
            </w:pPr>
            <w:r w:rsidRPr="00B23683">
              <w:t>42.9</w:t>
            </w:r>
          </w:p>
        </w:tc>
        <w:tc>
          <w:tcPr>
            <w:tcW w:w="915" w:type="dxa"/>
            <w:noWrap/>
            <w:vAlign w:val="top"/>
          </w:tcPr>
          <w:p w:rsidR="00B23683" w:rsidRPr="00B23683" w:rsidRDefault="00B23683" w:rsidP="00B23683">
            <w:pPr>
              <w:pStyle w:val="AERtabletextright"/>
              <w:cnfStyle w:val="000000000000" w:firstRow="0" w:lastRow="0" w:firstColumn="0" w:lastColumn="0" w:oddVBand="0" w:evenVBand="0" w:oddHBand="0" w:evenHBand="0" w:firstRowFirstColumn="0" w:firstRowLastColumn="0" w:lastRowFirstColumn="0" w:lastRowLastColumn="0"/>
            </w:pPr>
            <w:r w:rsidRPr="00B23683">
              <w:t>44.2</w:t>
            </w:r>
          </w:p>
        </w:tc>
        <w:tc>
          <w:tcPr>
            <w:tcW w:w="844" w:type="dxa"/>
            <w:vAlign w:val="top"/>
          </w:tcPr>
          <w:p w:rsidR="00B23683" w:rsidRPr="00B23683" w:rsidRDefault="00B23683" w:rsidP="00B23683">
            <w:pPr>
              <w:pStyle w:val="AERtabletextright"/>
              <w:cnfStyle w:val="000000000000" w:firstRow="0" w:lastRow="0" w:firstColumn="0" w:lastColumn="0" w:oddVBand="0" w:evenVBand="0" w:oddHBand="0" w:evenHBand="0" w:firstRowFirstColumn="0" w:firstRowLastColumn="0" w:lastRowFirstColumn="0" w:lastRowLastColumn="0"/>
            </w:pPr>
            <w:r w:rsidRPr="00B23683">
              <w:t>46.2</w:t>
            </w:r>
          </w:p>
        </w:tc>
        <w:tc>
          <w:tcPr>
            <w:tcW w:w="844" w:type="dxa"/>
            <w:vAlign w:val="top"/>
          </w:tcPr>
          <w:p w:rsidR="00B23683" w:rsidRPr="00FD5190" w:rsidRDefault="00B23683" w:rsidP="00494EBC">
            <w:pPr>
              <w:pStyle w:val="AERtabletextright"/>
              <w:cnfStyle w:val="000000000000" w:firstRow="0" w:lastRow="0" w:firstColumn="0" w:lastColumn="0" w:oddVBand="0" w:evenVBand="0" w:oddHBand="0" w:evenHBand="0" w:firstRowFirstColumn="0" w:firstRowLastColumn="0" w:lastRowFirstColumn="0" w:lastRowLastColumn="0"/>
            </w:pPr>
            <w:r w:rsidRPr="00494EBC">
              <w:t>45.9</w:t>
            </w:r>
          </w:p>
        </w:tc>
        <w:tc>
          <w:tcPr>
            <w:tcW w:w="844" w:type="dxa"/>
            <w:vAlign w:val="top"/>
          </w:tcPr>
          <w:p w:rsidR="00B23683" w:rsidRPr="002371CC" w:rsidRDefault="00B23683" w:rsidP="00FD5190">
            <w:pPr>
              <w:pStyle w:val="AERtabletextright"/>
              <w:cnfStyle w:val="000000000000" w:firstRow="0" w:lastRow="0" w:firstColumn="0" w:lastColumn="0" w:oddVBand="0" w:evenVBand="0" w:oddHBand="0" w:evenHBand="0" w:firstRowFirstColumn="0" w:firstRowLastColumn="0" w:lastRowFirstColumn="0" w:lastRowLastColumn="0"/>
            </w:pPr>
            <w:r w:rsidRPr="002371CC">
              <w:t>46.9</w:t>
            </w:r>
          </w:p>
        </w:tc>
        <w:tc>
          <w:tcPr>
            <w:tcW w:w="844" w:type="dxa"/>
            <w:vAlign w:val="top"/>
          </w:tcPr>
          <w:p w:rsidR="00B23683" w:rsidRPr="00106E5F" w:rsidRDefault="00B23683" w:rsidP="00106E5F">
            <w:pPr>
              <w:pStyle w:val="AERtabletextright"/>
              <w:cnfStyle w:val="000000000000" w:firstRow="0" w:lastRow="0" w:firstColumn="0" w:lastColumn="0" w:oddVBand="0" w:evenVBand="0" w:oddHBand="0" w:evenHBand="0" w:firstRowFirstColumn="0" w:firstRowLastColumn="0" w:lastRowFirstColumn="0" w:lastRowLastColumn="0"/>
            </w:pPr>
            <w:r w:rsidRPr="00106E5F">
              <w:t>226.0</w:t>
            </w:r>
          </w:p>
        </w:tc>
      </w:tr>
      <w:tr w:rsidR="00B23683" w:rsidRPr="00356B64" w:rsidTr="00B23683">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vAlign w:val="top"/>
          </w:tcPr>
          <w:p w:rsidR="00B23683" w:rsidRPr="00B23683" w:rsidRDefault="00B23683" w:rsidP="00B23683">
            <w:pPr>
              <w:pStyle w:val="AERtabletextleft"/>
            </w:pPr>
            <w:r w:rsidRPr="00B23683">
              <w:t>Efficiency benefit sharing scheme (carryover amounts)</w:t>
            </w:r>
          </w:p>
        </w:tc>
        <w:tc>
          <w:tcPr>
            <w:tcW w:w="1601" w:type="dxa"/>
            <w:noWrap/>
            <w:vAlign w:val="top"/>
          </w:tcPr>
          <w:p w:rsidR="00B23683" w:rsidRPr="00B23683" w:rsidRDefault="00B23683" w:rsidP="00B23683">
            <w:pPr>
              <w:pStyle w:val="AERtabletextright"/>
              <w:cnfStyle w:val="000000010000" w:firstRow="0" w:lastRow="0" w:firstColumn="0" w:lastColumn="0" w:oddVBand="0" w:evenVBand="0" w:oddHBand="0" w:evenHBand="1" w:firstRowFirstColumn="0" w:firstRowLastColumn="0" w:lastRowFirstColumn="0" w:lastRowLastColumn="0"/>
            </w:pPr>
            <w:r w:rsidRPr="00B23683">
              <w:t>6.9</w:t>
            </w:r>
          </w:p>
        </w:tc>
        <w:tc>
          <w:tcPr>
            <w:tcW w:w="915" w:type="dxa"/>
            <w:noWrap/>
            <w:vAlign w:val="top"/>
          </w:tcPr>
          <w:p w:rsidR="00B23683" w:rsidRPr="00B23683" w:rsidRDefault="00B23683" w:rsidP="00B23683">
            <w:pPr>
              <w:pStyle w:val="AERtabletextright"/>
              <w:cnfStyle w:val="000000010000" w:firstRow="0" w:lastRow="0" w:firstColumn="0" w:lastColumn="0" w:oddVBand="0" w:evenVBand="0" w:oddHBand="0" w:evenHBand="1" w:firstRowFirstColumn="0" w:firstRowLastColumn="0" w:lastRowFirstColumn="0" w:lastRowLastColumn="0"/>
            </w:pPr>
            <w:r w:rsidRPr="00B23683">
              <w:t>7.8</w:t>
            </w:r>
          </w:p>
        </w:tc>
        <w:tc>
          <w:tcPr>
            <w:tcW w:w="844" w:type="dxa"/>
            <w:vAlign w:val="top"/>
          </w:tcPr>
          <w:p w:rsidR="00B23683" w:rsidRPr="00B23683" w:rsidRDefault="00B23683" w:rsidP="00B23683">
            <w:pPr>
              <w:pStyle w:val="AERtabletextright"/>
              <w:cnfStyle w:val="000000010000" w:firstRow="0" w:lastRow="0" w:firstColumn="0" w:lastColumn="0" w:oddVBand="0" w:evenVBand="0" w:oddHBand="0" w:evenHBand="1" w:firstRowFirstColumn="0" w:firstRowLastColumn="0" w:lastRowFirstColumn="0" w:lastRowLastColumn="0"/>
            </w:pPr>
            <w:r w:rsidRPr="00B23683">
              <w:t>6.1</w:t>
            </w:r>
          </w:p>
        </w:tc>
        <w:tc>
          <w:tcPr>
            <w:tcW w:w="844" w:type="dxa"/>
            <w:vAlign w:val="top"/>
          </w:tcPr>
          <w:p w:rsidR="00B23683" w:rsidRPr="00FD5190" w:rsidRDefault="00B23683" w:rsidP="00494EBC">
            <w:pPr>
              <w:pStyle w:val="AERtabletextright"/>
              <w:cnfStyle w:val="000000010000" w:firstRow="0" w:lastRow="0" w:firstColumn="0" w:lastColumn="0" w:oddVBand="0" w:evenVBand="0" w:oddHBand="0" w:evenHBand="1" w:firstRowFirstColumn="0" w:firstRowLastColumn="0" w:lastRowFirstColumn="0" w:lastRowLastColumn="0"/>
            </w:pPr>
            <w:r w:rsidRPr="00494EBC">
              <w:t>10.0</w:t>
            </w:r>
          </w:p>
        </w:tc>
        <w:tc>
          <w:tcPr>
            <w:tcW w:w="844" w:type="dxa"/>
            <w:vAlign w:val="top"/>
          </w:tcPr>
          <w:p w:rsidR="00B23683" w:rsidRPr="002371CC" w:rsidRDefault="00B23683" w:rsidP="00FD5190">
            <w:pPr>
              <w:pStyle w:val="AERtabletextright"/>
              <w:cnfStyle w:val="000000010000" w:firstRow="0" w:lastRow="0" w:firstColumn="0" w:lastColumn="0" w:oddVBand="0" w:evenVBand="0" w:oddHBand="0" w:evenHBand="1" w:firstRowFirstColumn="0" w:firstRowLastColumn="0" w:lastRowFirstColumn="0" w:lastRowLastColumn="0"/>
            </w:pPr>
            <w:r w:rsidRPr="002371CC">
              <w:t>0.0</w:t>
            </w:r>
          </w:p>
        </w:tc>
        <w:tc>
          <w:tcPr>
            <w:tcW w:w="844" w:type="dxa"/>
            <w:vAlign w:val="top"/>
          </w:tcPr>
          <w:p w:rsidR="00B23683" w:rsidRPr="00106E5F" w:rsidRDefault="00B23683" w:rsidP="00106E5F">
            <w:pPr>
              <w:pStyle w:val="AERtabletextright"/>
              <w:cnfStyle w:val="000000010000" w:firstRow="0" w:lastRow="0" w:firstColumn="0" w:lastColumn="0" w:oddVBand="0" w:evenVBand="0" w:oddHBand="0" w:evenHBand="1" w:firstRowFirstColumn="0" w:firstRowLastColumn="0" w:lastRowFirstColumn="0" w:lastRowLastColumn="0"/>
            </w:pPr>
            <w:r w:rsidRPr="00106E5F">
              <w:t>30.8</w:t>
            </w:r>
          </w:p>
        </w:tc>
      </w:tr>
      <w:tr w:rsidR="00B23683" w:rsidRPr="00356B64" w:rsidTr="00B23683">
        <w:trPr>
          <w:trHeight w:val="190"/>
        </w:trPr>
        <w:tc>
          <w:tcPr>
            <w:cnfStyle w:val="001000000000" w:firstRow="0" w:lastRow="0" w:firstColumn="1" w:lastColumn="0" w:oddVBand="0" w:evenVBand="0" w:oddHBand="0" w:evenHBand="0" w:firstRowFirstColumn="0" w:firstRowLastColumn="0" w:lastRowFirstColumn="0" w:lastRowLastColumn="0"/>
            <w:tcW w:w="3350" w:type="dxa"/>
            <w:noWrap/>
            <w:vAlign w:val="top"/>
          </w:tcPr>
          <w:p w:rsidR="00B23683" w:rsidRPr="00B23683" w:rsidRDefault="00B23683" w:rsidP="00B23683">
            <w:pPr>
              <w:pStyle w:val="AERtabletextleft"/>
            </w:pPr>
            <w:r w:rsidRPr="00B23683">
              <w:t>Net tax allowance</w:t>
            </w:r>
          </w:p>
        </w:tc>
        <w:tc>
          <w:tcPr>
            <w:tcW w:w="1601" w:type="dxa"/>
            <w:noWrap/>
            <w:vAlign w:val="top"/>
          </w:tcPr>
          <w:p w:rsidR="00B23683" w:rsidRPr="00B23683" w:rsidRDefault="00B23683" w:rsidP="00B23683">
            <w:pPr>
              <w:pStyle w:val="AERtabletextright"/>
              <w:cnfStyle w:val="000000000000" w:firstRow="0" w:lastRow="0" w:firstColumn="0" w:lastColumn="0" w:oddVBand="0" w:evenVBand="0" w:oddHBand="0" w:evenHBand="0" w:firstRowFirstColumn="0" w:firstRowLastColumn="0" w:lastRowFirstColumn="0" w:lastRowLastColumn="0"/>
            </w:pPr>
            <w:r w:rsidRPr="00B23683">
              <w:t>13.4</w:t>
            </w:r>
          </w:p>
        </w:tc>
        <w:tc>
          <w:tcPr>
            <w:tcW w:w="915" w:type="dxa"/>
            <w:noWrap/>
            <w:vAlign w:val="top"/>
          </w:tcPr>
          <w:p w:rsidR="00B23683" w:rsidRPr="00B23683" w:rsidRDefault="00B23683" w:rsidP="00B23683">
            <w:pPr>
              <w:pStyle w:val="AERtabletextright"/>
              <w:cnfStyle w:val="000000000000" w:firstRow="0" w:lastRow="0" w:firstColumn="0" w:lastColumn="0" w:oddVBand="0" w:evenVBand="0" w:oddHBand="0" w:evenHBand="0" w:firstRowFirstColumn="0" w:firstRowLastColumn="0" w:lastRowFirstColumn="0" w:lastRowLastColumn="0"/>
            </w:pPr>
            <w:r w:rsidRPr="00B23683">
              <w:t>14.4</w:t>
            </w:r>
          </w:p>
        </w:tc>
        <w:tc>
          <w:tcPr>
            <w:tcW w:w="844" w:type="dxa"/>
            <w:vAlign w:val="top"/>
          </w:tcPr>
          <w:p w:rsidR="00B23683" w:rsidRPr="00B23683" w:rsidRDefault="00B23683" w:rsidP="00B23683">
            <w:pPr>
              <w:pStyle w:val="AERtabletextright"/>
              <w:cnfStyle w:val="000000000000" w:firstRow="0" w:lastRow="0" w:firstColumn="0" w:lastColumn="0" w:oddVBand="0" w:evenVBand="0" w:oddHBand="0" w:evenHBand="0" w:firstRowFirstColumn="0" w:firstRowLastColumn="0" w:lastRowFirstColumn="0" w:lastRowLastColumn="0"/>
            </w:pPr>
            <w:r w:rsidRPr="00B23683">
              <w:t>16.2</w:t>
            </w:r>
          </w:p>
        </w:tc>
        <w:tc>
          <w:tcPr>
            <w:tcW w:w="844" w:type="dxa"/>
            <w:vAlign w:val="top"/>
          </w:tcPr>
          <w:p w:rsidR="00B23683" w:rsidRPr="00FD5190" w:rsidRDefault="00B23683" w:rsidP="00494EBC">
            <w:pPr>
              <w:pStyle w:val="AERtabletextright"/>
              <w:cnfStyle w:val="000000000000" w:firstRow="0" w:lastRow="0" w:firstColumn="0" w:lastColumn="0" w:oddVBand="0" w:evenVBand="0" w:oddHBand="0" w:evenHBand="0" w:firstRowFirstColumn="0" w:firstRowLastColumn="0" w:lastRowFirstColumn="0" w:lastRowLastColumn="0"/>
            </w:pPr>
            <w:r w:rsidRPr="00494EBC">
              <w:t>15.8</w:t>
            </w:r>
          </w:p>
        </w:tc>
        <w:tc>
          <w:tcPr>
            <w:tcW w:w="844" w:type="dxa"/>
            <w:vAlign w:val="top"/>
          </w:tcPr>
          <w:p w:rsidR="00B23683" w:rsidRPr="002371CC" w:rsidRDefault="00B23683" w:rsidP="00FD5190">
            <w:pPr>
              <w:pStyle w:val="AERtabletextright"/>
              <w:cnfStyle w:val="000000000000" w:firstRow="0" w:lastRow="0" w:firstColumn="0" w:lastColumn="0" w:oddVBand="0" w:evenVBand="0" w:oddHBand="0" w:evenHBand="0" w:firstRowFirstColumn="0" w:firstRowLastColumn="0" w:lastRowFirstColumn="0" w:lastRowLastColumn="0"/>
            </w:pPr>
            <w:r w:rsidRPr="002371CC">
              <w:t>16.2</w:t>
            </w:r>
          </w:p>
        </w:tc>
        <w:tc>
          <w:tcPr>
            <w:tcW w:w="844" w:type="dxa"/>
            <w:vAlign w:val="top"/>
          </w:tcPr>
          <w:p w:rsidR="00B23683" w:rsidRPr="00106E5F" w:rsidRDefault="00B23683" w:rsidP="00106E5F">
            <w:pPr>
              <w:pStyle w:val="AERtabletextright"/>
              <w:cnfStyle w:val="000000000000" w:firstRow="0" w:lastRow="0" w:firstColumn="0" w:lastColumn="0" w:oddVBand="0" w:evenVBand="0" w:oddHBand="0" w:evenHBand="0" w:firstRowFirstColumn="0" w:firstRowLastColumn="0" w:lastRowFirstColumn="0" w:lastRowLastColumn="0"/>
            </w:pPr>
            <w:r w:rsidRPr="00106E5F">
              <w:t>76.0</w:t>
            </w:r>
          </w:p>
        </w:tc>
      </w:tr>
      <w:tr w:rsidR="00B23683" w:rsidRPr="00356B64" w:rsidTr="00B23683">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vAlign w:val="top"/>
            <w:hideMark/>
          </w:tcPr>
          <w:p w:rsidR="00B23683" w:rsidRPr="00B23683" w:rsidRDefault="00B23683" w:rsidP="00B23683">
            <w:pPr>
              <w:pStyle w:val="AERtabletextleft"/>
            </w:pPr>
            <w:r w:rsidRPr="00B23683">
              <w:t>Annual revenue requirement (unsmoothed)</w:t>
            </w:r>
          </w:p>
        </w:tc>
        <w:tc>
          <w:tcPr>
            <w:tcW w:w="1601" w:type="dxa"/>
            <w:noWrap/>
            <w:vAlign w:val="top"/>
          </w:tcPr>
          <w:p w:rsidR="00B23683" w:rsidRPr="00B23683" w:rsidRDefault="00B23683" w:rsidP="00B23683">
            <w:pPr>
              <w:pStyle w:val="AERtabletextright"/>
              <w:cnfStyle w:val="000000010000" w:firstRow="0" w:lastRow="0" w:firstColumn="0" w:lastColumn="0" w:oddVBand="0" w:evenVBand="0" w:oddHBand="0" w:evenHBand="1" w:firstRowFirstColumn="0" w:firstRowLastColumn="0" w:lastRowFirstColumn="0" w:lastRowLastColumn="0"/>
            </w:pPr>
            <w:r w:rsidRPr="00B23683">
              <w:t>260.3</w:t>
            </w:r>
          </w:p>
        </w:tc>
        <w:tc>
          <w:tcPr>
            <w:tcW w:w="915" w:type="dxa"/>
            <w:noWrap/>
            <w:vAlign w:val="top"/>
          </w:tcPr>
          <w:p w:rsidR="00B23683" w:rsidRPr="00B23683" w:rsidRDefault="00B23683" w:rsidP="00B23683">
            <w:pPr>
              <w:pStyle w:val="AERtabletextright"/>
              <w:cnfStyle w:val="000000010000" w:firstRow="0" w:lastRow="0" w:firstColumn="0" w:lastColumn="0" w:oddVBand="0" w:evenVBand="0" w:oddHBand="0" w:evenHBand="1" w:firstRowFirstColumn="0" w:firstRowLastColumn="0" w:lastRowFirstColumn="0" w:lastRowLastColumn="0"/>
            </w:pPr>
            <w:r w:rsidRPr="00B23683">
              <w:t>279.6</w:t>
            </w:r>
          </w:p>
        </w:tc>
        <w:tc>
          <w:tcPr>
            <w:tcW w:w="844" w:type="dxa"/>
            <w:vAlign w:val="top"/>
          </w:tcPr>
          <w:p w:rsidR="00B23683" w:rsidRPr="00B23683" w:rsidRDefault="00B23683" w:rsidP="00B23683">
            <w:pPr>
              <w:pStyle w:val="AERtabletextright"/>
              <w:cnfStyle w:val="000000010000" w:firstRow="0" w:lastRow="0" w:firstColumn="0" w:lastColumn="0" w:oddVBand="0" w:evenVBand="0" w:oddHBand="0" w:evenHBand="1" w:firstRowFirstColumn="0" w:firstRowLastColumn="0" w:lastRowFirstColumn="0" w:lastRowLastColumn="0"/>
            </w:pPr>
            <w:r w:rsidRPr="00B23683">
              <w:t>297.9</w:t>
            </w:r>
          </w:p>
        </w:tc>
        <w:tc>
          <w:tcPr>
            <w:tcW w:w="844" w:type="dxa"/>
            <w:vAlign w:val="top"/>
          </w:tcPr>
          <w:p w:rsidR="00B23683" w:rsidRPr="00FD5190" w:rsidRDefault="00B23683" w:rsidP="00494EBC">
            <w:pPr>
              <w:pStyle w:val="AERtabletextright"/>
              <w:cnfStyle w:val="000000010000" w:firstRow="0" w:lastRow="0" w:firstColumn="0" w:lastColumn="0" w:oddVBand="0" w:evenVBand="0" w:oddHBand="0" w:evenHBand="1" w:firstRowFirstColumn="0" w:firstRowLastColumn="0" w:lastRowFirstColumn="0" w:lastRowLastColumn="0"/>
            </w:pPr>
            <w:r w:rsidRPr="00494EBC">
              <w:t>304.9</w:t>
            </w:r>
          </w:p>
        </w:tc>
        <w:tc>
          <w:tcPr>
            <w:tcW w:w="844" w:type="dxa"/>
            <w:vAlign w:val="top"/>
          </w:tcPr>
          <w:p w:rsidR="00B23683" w:rsidRPr="002371CC" w:rsidRDefault="00B23683" w:rsidP="00FD5190">
            <w:pPr>
              <w:pStyle w:val="AERtabletextright"/>
              <w:cnfStyle w:val="000000010000" w:firstRow="0" w:lastRow="0" w:firstColumn="0" w:lastColumn="0" w:oddVBand="0" w:evenVBand="0" w:oddHBand="0" w:evenHBand="1" w:firstRowFirstColumn="0" w:firstRowLastColumn="0" w:lastRowFirstColumn="0" w:lastRowLastColumn="0"/>
            </w:pPr>
            <w:r w:rsidRPr="002371CC">
              <w:t>306.1</w:t>
            </w:r>
          </w:p>
        </w:tc>
        <w:tc>
          <w:tcPr>
            <w:tcW w:w="844" w:type="dxa"/>
            <w:vAlign w:val="top"/>
          </w:tcPr>
          <w:p w:rsidR="00B23683" w:rsidRPr="00106E5F" w:rsidRDefault="00B23683" w:rsidP="00106E5F">
            <w:pPr>
              <w:pStyle w:val="AERtabletextright"/>
              <w:cnfStyle w:val="000000010000" w:firstRow="0" w:lastRow="0" w:firstColumn="0" w:lastColumn="0" w:oddVBand="0" w:evenVBand="0" w:oddHBand="0" w:evenHBand="1" w:firstRowFirstColumn="0" w:firstRowLastColumn="0" w:lastRowFirstColumn="0" w:lastRowLastColumn="0"/>
            </w:pPr>
            <w:r w:rsidRPr="00106E5F">
              <w:t>1448.7</w:t>
            </w:r>
          </w:p>
        </w:tc>
      </w:tr>
      <w:tr w:rsidR="001840F7" w:rsidRPr="00B16151" w:rsidTr="00CB3CAC">
        <w:trPr>
          <w:trHeight w:val="190"/>
        </w:trPr>
        <w:tc>
          <w:tcPr>
            <w:cnfStyle w:val="001000000000" w:firstRow="0" w:lastRow="0" w:firstColumn="1" w:lastColumn="0" w:oddVBand="0" w:evenVBand="0" w:oddHBand="0" w:evenHBand="0" w:firstRowFirstColumn="0" w:firstRowLastColumn="0" w:lastRowFirstColumn="0" w:lastRowLastColumn="0"/>
            <w:tcW w:w="3350" w:type="dxa"/>
            <w:noWrap/>
            <w:vAlign w:val="top"/>
            <w:hideMark/>
          </w:tcPr>
          <w:p w:rsidR="001840F7" w:rsidRPr="00CE4D1A" w:rsidRDefault="001840F7" w:rsidP="001840F7">
            <w:pPr>
              <w:pStyle w:val="AERtabletextleft"/>
              <w:jc w:val="both"/>
              <w:rPr>
                <w:rStyle w:val="AERtextbold"/>
              </w:rPr>
            </w:pPr>
            <w:r w:rsidRPr="00CE4D1A">
              <w:rPr>
                <w:rStyle w:val="AERtextbold"/>
              </w:rPr>
              <w:t>Annual expected revenue (smoothed)</w:t>
            </w:r>
          </w:p>
        </w:tc>
        <w:tc>
          <w:tcPr>
            <w:tcW w:w="1601" w:type="dxa"/>
            <w:noWrap/>
            <w:vAlign w:val="top"/>
          </w:tcPr>
          <w:p w:rsidR="001840F7" w:rsidRPr="00CE4D1A" w:rsidRDefault="001840F7" w:rsidP="001840F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E4D1A">
              <w:rPr>
                <w:rStyle w:val="AERtextbold"/>
              </w:rPr>
              <w:t>274.9</w:t>
            </w:r>
          </w:p>
        </w:tc>
        <w:tc>
          <w:tcPr>
            <w:tcW w:w="915" w:type="dxa"/>
            <w:noWrap/>
            <w:vAlign w:val="top"/>
          </w:tcPr>
          <w:p w:rsidR="001840F7" w:rsidRPr="00CE4D1A" w:rsidRDefault="001840F7" w:rsidP="001840F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E4D1A">
              <w:rPr>
                <w:rStyle w:val="AERtextbold"/>
              </w:rPr>
              <w:t>281.7</w:t>
            </w:r>
          </w:p>
        </w:tc>
        <w:tc>
          <w:tcPr>
            <w:tcW w:w="844" w:type="dxa"/>
            <w:vAlign w:val="top"/>
          </w:tcPr>
          <w:p w:rsidR="001840F7" w:rsidRPr="00CE4D1A" w:rsidRDefault="001840F7" w:rsidP="001840F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E4D1A">
              <w:rPr>
                <w:rStyle w:val="AERtextbold"/>
              </w:rPr>
              <w:t>288.8</w:t>
            </w:r>
          </w:p>
        </w:tc>
        <w:tc>
          <w:tcPr>
            <w:tcW w:w="844" w:type="dxa"/>
            <w:vAlign w:val="top"/>
          </w:tcPr>
          <w:p w:rsidR="001840F7" w:rsidRPr="00CE4D1A" w:rsidRDefault="001840F7" w:rsidP="001840F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E4D1A">
              <w:rPr>
                <w:rStyle w:val="AERtextbold"/>
              </w:rPr>
              <w:t>296.0</w:t>
            </w:r>
          </w:p>
        </w:tc>
        <w:tc>
          <w:tcPr>
            <w:tcW w:w="844" w:type="dxa"/>
            <w:vAlign w:val="top"/>
          </w:tcPr>
          <w:p w:rsidR="001840F7" w:rsidRPr="00CE4D1A" w:rsidRDefault="001840F7" w:rsidP="001840F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E4D1A">
              <w:rPr>
                <w:rStyle w:val="AERtextbold"/>
              </w:rPr>
              <w:t>303.4</w:t>
            </w:r>
          </w:p>
        </w:tc>
        <w:tc>
          <w:tcPr>
            <w:tcW w:w="844" w:type="dxa"/>
            <w:vAlign w:val="top"/>
          </w:tcPr>
          <w:p w:rsidR="001840F7" w:rsidRPr="00CE4D1A" w:rsidRDefault="001840F7" w:rsidP="001840F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E4D1A">
              <w:rPr>
                <w:rStyle w:val="AERtextbold"/>
              </w:rPr>
              <w:t>1444.7</w:t>
            </w:r>
          </w:p>
        </w:tc>
      </w:tr>
      <w:tr w:rsidR="00B23683" w:rsidRPr="00356B64" w:rsidTr="00B23683">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vAlign w:val="top"/>
            <w:hideMark/>
          </w:tcPr>
          <w:p w:rsidR="00B23683" w:rsidRPr="00B23683" w:rsidRDefault="00B23683" w:rsidP="00CE4D1A">
            <w:pPr>
              <w:pStyle w:val="AERtabletextleft"/>
            </w:pPr>
            <w:r w:rsidRPr="00B23683">
              <w:t>X factor</w:t>
            </w:r>
          </w:p>
        </w:tc>
        <w:tc>
          <w:tcPr>
            <w:tcW w:w="1601" w:type="dxa"/>
            <w:noWrap/>
            <w:vAlign w:val="top"/>
          </w:tcPr>
          <w:p w:rsidR="00B23683" w:rsidRPr="00B23683" w:rsidRDefault="00B23683" w:rsidP="00B23683">
            <w:pPr>
              <w:pStyle w:val="AERtabletextright"/>
              <w:cnfStyle w:val="000000010000" w:firstRow="0" w:lastRow="0" w:firstColumn="0" w:lastColumn="0" w:oddVBand="0" w:evenVBand="0" w:oddHBand="0" w:evenHBand="1" w:firstRowFirstColumn="0" w:firstRowLastColumn="0" w:lastRowFirstColumn="0" w:lastRowLastColumn="0"/>
            </w:pPr>
            <w:r w:rsidRPr="00B23683">
              <w:t>0.11%</w:t>
            </w:r>
          </w:p>
        </w:tc>
        <w:tc>
          <w:tcPr>
            <w:tcW w:w="915" w:type="dxa"/>
            <w:noWrap/>
            <w:vAlign w:val="top"/>
          </w:tcPr>
          <w:p w:rsidR="00B23683" w:rsidRPr="00B23683" w:rsidRDefault="00B23683" w:rsidP="00B23683">
            <w:pPr>
              <w:pStyle w:val="AERtabletextright"/>
              <w:cnfStyle w:val="000000010000" w:firstRow="0" w:lastRow="0" w:firstColumn="0" w:lastColumn="0" w:oddVBand="0" w:evenVBand="0" w:oddHBand="0" w:evenHBand="1" w:firstRowFirstColumn="0" w:firstRowLastColumn="0" w:lastRowFirstColumn="0" w:lastRowLastColumn="0"/>
            </w:pPr>
            <w:r w:rsidRPr="00B23683">
              <w:t>0.00%</w:t>
            </w:r>
          </w:p>
        </w:tc>
        <w:tc>
          <w:tcPr>
            <w:tcW w:w="844" w:type="dxa"/>
            <w:vAlign w:val="top"/>
          </w:tcPr>
          <w:p w:rsidR="00B23683" w:rsidRPr="00B23683" w:rsidRDefault="00B23683" w:rsidP="00B23683">
            <w:pPr>
              <w:pStyle w:val="AERtabletextright"/>
              <w:cnfStyle w:val="000000010000" w:firstRow="0" w:lastRow="0" w:firstColumn="0" w:lastColumn="0" w:oddVBand="0" w:evenVBand="0" w:oddHBand="0" w:evenHBand="1" w:firstRowFirstColumn="0" w:firstRowLastColumn="0" w:lastRowFirstColumn="0" w:lastRowLastColumn="0"/>
            </w:pPr>
            <w:r w:rsidRPr="00B23683">
              <w:t>0.00%</w:t>
            </w:r>
          </w:p>
        </w:tc>
        <w:tc>
          <w:tcPr>
            <w:tcW w:w="844" w:type="dxa"/>
            <w:vAlign w:val="top"/>
          </w:tcPr>
          <w:p w:rsidR="00B23683" w:rsidRPr="00FD5190" w:rsidRDefault="00B23683" w:rsidP="00494EBC">
            <w:pPr>
              <w:pStyle w:val="AERtabletextright"/>
              <w:cnfStyle w:val="000000010000" w:firstRow="0" w:lastRow="0" w:firstColumn="0" w:lastColumn="0" w:oddVBand="0" w:evenVBand="0" w:oddHBand="0" w:evenHBand="1" w:firstRowFirstColumn="0" w:firstRowLastColumn="0" w:lastRowFirstColumn="0" w:lastRowLastColumn="0"/>
            </w:pPr>
            <w:r w:rsidRPr="00494EBC">
              <w:t>0.00%</w:t>
            </w:r>
          </w:p>
        </w:tc>
        <w:tc>
          <w:tcPr>
            <w:tcW w:w="844" w:type="dxa"/>
            <w:vAlign w:val="top"/>
          </w:tcPr>
          <w:p w:rsidR="00B23683" w:rsidRPr="002371CC" w:rsidRDefault="00B23683" w:rsidP="00FD5190">
            <w:pPr>
              <w:pStyle w:val="AERtabletextright"/>
              <w:cnfStyle w:val="000000010000" w:firstRow="0" w:lastRow="0" w:firstColumn="0" w:lastColumn="0" w:oddVBand="0" w:evenVBand="0" w:oddHBand="0" w:evenHBand="1" w:firstRowFirstColumn="0" w:firstRowLastColumn="0" w:lastRowFirstColumn="0" w:lastRowLastColumn="0"/>
            </w:pPr>
            <w:r w:rsidRPr="002371CC">
              <w:t>0.00%</w:t>
            </w:r>
          </w:p>
        </w:tc>
        <w:tc>
          <w:tcPr>
            <w:tcW w:w="844" w:type="dxa"/>
            <w:vAlign w:val="top"/>
          </w:tcPr>
          <w:p w:rsidR="00B23683" w:rsidRPr="00106E5F" w:rsidRDefault="00B23683" w:rsidP="00106E5F">
            <w:pPr>
              <w:pStyle w:val="AERtabletextright"/>
              <w:cnfStyle w:val="000000010000" w:firstRow="0" w:lastRow="0" w:firstColumn="0" w:lastColumn="0" w:oddVBand="0" w:evenVBand="0" w:oddHBand="0" w:evenHBand="1" w:firstRowFirstColumn="0" w:firstRowLastColumn="0" w:lastRowFirstColumn="0" w:lastRowLastColumn="0"/>
            </w:pPr>
            <w:r w:rsidRPr="00106E5F">
              <w:t>n/a</w:t>
            </w:r>
          </w:p>
        </w:tc>
      </w:tr>
    </w:tbl>
    <w:p w:rsidR="0023470D" w:rsidRPr="00F8634A" w:rsidRDefault="0023470D" w:rsidP="00B23683">
      <w:pPr>
        <w:pStyle w:val="AERtablesource"/>
      </w:pPr>
      <w:r>
        <w:t>Source:</w:t>
      </w:r>
      <w:r w:rsidR="00B23683">
        <w:t xml:space="preserve"> </w:t>
      </w:r>
      <w:r w:rsidR="001840F7">
        <w:tab/>
      </w:r>
      <w:r w:rsidR="00B23683" w:rsidRPr="00B23683">
        <w:t xml:space="preserve">Ausgrid, </w:t>
      </w:r>
      <w:r w:rsidR="00B23683" w:rsidRPr="00B23683">
        <w:rPr>
          <w:rStyle w:val="AERtextitalic"/>
        </w:rPr>
        <w:t>Regulatory proposal</w:t>
      </w:r>
      <w:r w:rsidR="00B23683" w:rsidRPr="00B23683">
        <w:t xml:space="preserve">, June 2014. </w:t>
      </w:r>
      <w:proofErr w:type="gramStart"/>
      <w:r w:rsidR="00B23683" w:rsidRPr="00B23683">
        <w:t>Attachment 4.0</w:t>
      </w:r>
      <w:r w:rsidR="00B23683">
        <w:t>2</w:t>
      </w:r>
      <w:r w:rsidR="00B23683" w:rsidRPr="00B23683">
        <w:t>.</w:t>
      </w:r>
      <w:proofErr w:type="gramEnd"/>
    </w:p>
    <w:p w:rsidR="004B25F4" w:rsidRDefault="00525604" w:rsidP="004B25F4">
      <w:pPr>
        <w:pStyle w:val="Heading2"/>
      </w:pPr>
      <w:bookmarkStart w:id="18" w:name="_Toc390936379"/>
      <w:bookmarkStart w:id="19" w:name="_Toc404354905"/>
      <w:r>
        <w:lastRenderedPageBreak/>
        <w:t>AER's assessment approach</w:t>
      </w:r>
      <w:bookmarkStart w:id="20" w:name="_Toc387916832"/>
      <w:bookmarkEnd w:id="18"/>
      <w:bookmarkEnd w:id="19"/>
    </w:p>
    <w:p w:rsidR="00007AC9" w:rsidRDefault="009372B0" w:rsidP="009372B0">
      <w:pPr>
        <w:pStyle w:val="AERbodytext"/>
      </w:pPr>
      <w:r w:rsidRPr="009372B0">
        <w:t xml:space="preserve">We are required to determine the ARR for </w:t>
      </w:r>
      <w:r w:rsidR="006B089D">
        <w:t>Ausgrid</w:t>
      </w:r>
      <w:r w:rsidRPr="009372B0">
        <w:t xml:space="preserve"> for each regulatory year of the 2014–19 </w:t>
      </w:r>
      <w:proofErr w:type="gramStart"/>
      <w:r w:rsidRPr="009372B0">
        <w:t>period</w:t>
      </w:r>
      <w:proofErr w:type="gramEnd"/>
      <w:r w:rsidRPr="009372B0">
        <w:t>.</w:t>
      </w:r>
      <w:r>
        <w:rPr>
          <w:rStyle w:val="FootnoteReference"/>
        </w:rPr>
        <w:footnoteReference w:id="3"/>
      </w:r>
      <w:r w:rsidRPr="009372B0">
        <w:t xml:space="preserve">  T</w:t>
      </w:r>
      <w:r w:rsidR="007A5B03">
        <w:t xml:space="preserve">he process for determining Ausgrid's total revenue requirements for the 2014–19 </w:t>
      </w:r>
      <w:proofErr w:type="gramStart"/>
      <w:r w:rsidR="007A5B03">
        <w:t>period</w:t>
      </w:r>
      <w:proofErr w:type="gramEnd"/>
      <w:r w:rsidR="007A5B03">
        <w:t xml:space="preserve"> is affected by the transitional rules that apply to this determination.</w:t>
      </w:r>
      <w:r w:rsidR="00B23683">
        <w:t xml:space="preserve"> </w:t>
      </w:r>
      <w:r w:rsidR="007A5B03">
        <w:t>We previously approved amount</w:t>
      </w:r>
      <w:r w:rsidR="00B23683">
        <w:t>s</w:t>
      </w:r>
      <w:r w:rsidR="007A5B03">
        <w:t xml:space="preserve"> of $</w:t>
      </w:r>
      <w:r w:rsidR="00B23683">
        <w:t>1956.4</w:t>
      </w:r>
      <w:r w:rsidR="007A5B03">
        <w:t xml:space="preserve"> million </w:t>
      </w:r>
      <w:r w:rsidR="00B23683">
        <w:t xml:space="preserve">and $252.3 million ($ nominal) </w:t>
      </w:r>
      <w:r w:rsidR="007A5B03">
        <w:t>as the p</w:t>
      </w:r>
      <w:r w:rsidR="00007AC9">
        <w:t>lace</w:t>
      </w:r>
      <w:r w:rsidR="007A5B03">
        <w:t>holder revenue</w:t>
      </w:r>
      <w:r w:rsidR="00B23683">
        <w:t>s</w:t>
      </w:r>
      <w:r w:rsidR="007A5B03">
        <w:t xml:space="preserve"> for 2014–15 </w:t>
      </w:r>
      <w:r w:rsidR="001840F7">
        <w:t>in relation to</w:t>
      </w:r>
      <w:r w:rsidR="007A5B03">
        <w:t xml:space="preserve"> Ausgrid</w:t>
      </w:r>
      <w:r w:rsidR="00B23683">
        <w:t>'s distribution and transmission networks respectively</w:t>
      </w:r>
      <w:r w:rsidR="00007AC9">
        <w:t>,</w:t>
      </w:r>
      <w:r w:rsidR="00007AC9">
        <w:rPr>
          <w:rStyle w:val="FootnoteReference"/>
        </w:rPr>
        <w:footnoteReference w:id="4"/>
      </w:r>
      <w:r w:rsidR="00007AC9">
        <w:t xml:space="preserve"> until a full assessment </w:t>
      </w:r>
      <w:r w:rsidRPr="009372B0">
        <w:t>o</w:t>
      </w:r>
      <w:r w:rsidR="00007AC9">
        <w:t>f costs for the 2014–15 year could be carried out in the current determination.</w:t>
      </w:r>
    </w:p>
    <w:p w:rsidR="009372B0" w:rsidRPr="009372B0" w:rsidRDefault="00007AC9" w:rsidP="009372B0">
      <w:pPr>
        <w:pStyle w:val="AERbodytext"/>
      </w:pPr>
      <w:r>
        <w:t>In this determination we first calculate ARR's for each year of 2014–19 period, including the 2014–15 transitional year. To</w:t>
      </w:r>
      <w:r w:rsidR="009372B0" w:rsidRPr="009372B0">
        <w:t xml:space="preserve"> do this we consider the various costs facing the service provider and the trade-offs and interactions between these costs, service quality and across years. This reflects the AER's holistic assessment of the service provider's proposal.</w:t>
      </w:r>
    </w:p>
    <w:p w:rsidR="009372B0" w:rsidRPr="009372B0" w:rsidRDefault="009372B0" w:rsidP="009372B0">
      <w:pPr>
        <w:pStyle w:val="AERbodytext"/>
      </w:pPr>
      <w:r w:rsidRPr="009372B0">
        <w:t>The ARR for each year is the sum of the building block costs. These building block costs are set out in section</w:t>
      </w:r>
      <w:r w:rsidR="001840F7">
        <w:t xml:space="preserve"> </w:t>
      </w:r>
      <w:r w:rsidR="001840F7">
        <w:fldChar w:fldCharType="begin"/>
      </w:r>
      <w:r w:rsidR="001840F7">
        <w:instrText xml:space="preserve"> REF _Ref403552774 \r \h </w:instrText>
      </w:r>
      <w:r w:rsidR="001840F7">
        <w:fldChar w:fldCharType="separate"/>
      </w:r>
      <w:r w:rsidR="00382E4F">
        <w:t>1.3.1</w:t>
      </w:r>
      <w:r w:rsidR="001840F7">
        <w:fldChar w:fldCharType="end"/>
      </w:r>
      <w:r w:rsidRPr="009372B0">
        <w:t xml:space="preserve">. The AER's post-tax revenue model (PTRM) brings together these building block costs and calculates the resulting ARRs. </w:t>
      </w:r>
    </w:p>
    <w:p w:rsidR="009372B0" w:rsidRDefault="009372B0" w:rsidP="009372B0">
      <w:pPr>
        <w:pStyle w:val="AERbodytext"/>
      </w:pPr>
      <w:r w:rsidRPr="009372B0">
        <w:t>We understand the trade-offs that occur between building block costs and test the sensitivity of these costs to their various driver elements. These trade-offs are discussed in the interrelationships section of the various attachments to this draft decision and are reflected in the calculations made in the PTRM developed by the AER.</w:t>
      </w:r>
      <w:r>
        <w:rPr>
          <w:rStyle w:val="FootnoteReference"/>
        </w:rPr>
        <w:footnoteReference w:id="5"/>
      </w:r>
      <w:r w:rsidRPr="009372B0">
        <w:t xml:space="preserve"> Such understanding allows </w:t>
      </w:r>
      <w:r w:rsidR="00007AC9">
        <w:t xml:space="preserve">the </w:t>
      </w:r>
      <w:r w:rsidRPr="009372B0">
        <w:t xml:space="preserve">AER to exercise judgement in determining the final inputs into the PTRM and the ARRs that result from this modelling. </w:t>
      </w:r>
    </w:p>
    <w:p w:rsidR="00007AC9" w:rsidRPr="009372B0" w:rsidRDefault="00007AC9" w:rsidP="009372B0">
      <w:pPr>
        <w:pStyle w:val="AERbodytext"/>
      </w:pPr>
      <w:r>
        <w:t>The difference between the ARR we determine for 2014–15 and our previously determined placeholder revenue gives rise to the required true-up adjustment amount under the transitional rules.</w:t>
      </w:r>
      <w:r>
        <w:rPr>
          <w:rStyle w:val="FootnoteReference"/>
        </w:rPr>
        <w:footnoteReference w:id="6"/>
      </w:r>
      <w:r>
        <w:t xml:space="preserve"> The true-up adjustment amount is applied as part of smoothing the ARRs to establish the annual expected revenue for each year of the 2015–19 regulatory control </w:t>
      </w:r>
      <w:proofErr w:type="gramStart"/>
      <w:r>
        <w:t>period</w:t>
      </w:r>
      <w:proofErr w:type="gramEnd"/>
      <w:r>
        <w:t xml:space="preserve">.  </w:t>
      </w:r>
    </w:p>
    <w:p w:rsidR="00FF7EDF" w:rsidRDefault="009372B0" w:rsidP="009372B0">
      <w:pPr>
        <w:pStyle w:val="AERbodytext"/>
      </w:pPr>
      <w:r w:rsidRPr="009372B0">
        <w:t>Having determined the total revenue requirement</w:t>
      </w:r>
      <w:r w:rsidR="00B23683">
        <w:t xml:space="preserve"> for the 2014–19 </w:t>
      </w:r>
      <w:proofErr w:type="gramStart"/>
      <w:r w:rsidR="00B23683">
        <w:t>period</w:t>
      </w:r>
      <w:proofErr w:type="gramEnd"/>
      <w:r w:rsidRPr="009372B0">
        <w:t xml:space="preserve">, the ARRs </w:t>
      </w:r>
      <w:r w:rsidR="00B23683">
        <w:t xml:space="preserve">for each regulatory year </w:t>
      </w:r>
      <w:r w:rsidRPr="009372B0">
        <w:t>are smoothed across the 201</w:t>
      </w:r>
      <w:r w:rsidR="00B23683">
        <w:t>5</w:t>
      </w:r>
      <w:r w:rsidRPr="009372B0">
        <w:t xml:space="preserve">–19 </w:t>
      </w:r>
      <w:r w:rsidR="00B23683">
        <w:t xml:space="preserve">regulatory control </w:t>
      </w:r>
      <w:r w:rsidRPr="009372B0">
        <w:t>period</w:t>
      </w:r>
      <w:r w:rsidR="00007AC9">
        <w:t xml:space="preserve"> </w:t>
      </w:r>
      <w:r w:rsidRPr="009372B0">
        <w:t>to reduce revenue variations between years and to come up with the expected revenue for each year.</w:t>
      </w:r>
      <w:r w:rsidR="00FF7EDF">
        <w:rPr>
          <w:rStyle w:val="FootnoteReference"/>
        </w:rPr>
        <w:footnoteReference w:id="7"/>
      </w:r>
      <w:r w:rsidRPr="009372B0">
        <w:t xml:space="preserve"> This is done through the determination of the X factors</w:t>
      </w:r>
      <w:r w:rsidR="00FF7EDF">
        <w:t xml:space="preserve"> and application of our true-up adjustment</w:t>
      </w:r>
      <w:r w:rsidRPr="009372B0">
        <w:t>.</w:t>
      </w:r>
      <w:r>
        <w:rPr>
          <w:rStyle w:val="FootnoteReference"/>
        </w:rPr>
        <w:footnoteReference w:id="8"/>
      </w:r>
      <w:r w:rsidRPr="009372B0">
        <w:t xml:space="preserve"> The X factor must equalise (in net present value terms) the total expected revenues to be earned by the service provider with the total revenue requirement for the 2014–19 period.</w:t>
      </w:r>
      <w:r>
        <w:rPr>
          <w:rStyle w:val="FootnoteReference"/>
        </w:rPr>
        <w:footnoteReference w:id="9"/>
      </w:r>
      <w:r w:rsidRPr="009372B0">
        <w:t xml:space="preserve"> The X factor must usually minimise, as far as reasonably possible, the variance between the expected revenue and ARR for the last regulatory year of the period.</w:t>
      </w:r>
      <w:r>
        <w:rPr>
          <w:rStyle w:val="FootnoteReference"/>
        </w:rPr>
        <w:footnoteReference w:id="10"/>
      </w:r>
      <w:r w:rsidRPr="009372B0">
        <w:t xml:space="preserve">  </w:t>
      </w:r>
    </w:p>
    <w:p w:rsidR="00894AAF" w:rsidRPr="00894AAF" w:rsidRDefault="009372B0" w:rsidP="00894AAF">
      <w:pPr>
        <w:pStyle w:val="AERbodytext"/>
      </w:pPr>
      <w:r w:rsidRPr="009372B0">
        <w:t xml:space="preserve">For this draft decision, the expected revenue in the last year of the regulatory control period are not required to be as close as reasonably possible to the ARR for that year, due to the transitional </w:t>
      </w:r>
      <w:r w:rsidRPr="009372B0">
        <w:lastRenderedPageBreak/>
        <w:t>provisions.</w:t>
      </w:r>
      <w:r>
        <w:rPr>
          <w:rStyle w:val="FootnoteReference"/>
        </w:rPr>
        <w:footnoteReference w:id="11"/>
      </w:r>
      <w:r w:rsidRPr="009372B0">
        <w:t xml:space="preserve"> </w:t>
      </w:r>
      <w:r w:rsidR="00894AAF" w:rsidRPr="00894AAF">
        <w:t>Typically, we would target a divergence of less than 3 per cent between the expected revenue and ARR for the last year of the regulatory control period, if this can promote smoother price changes over the regulatory control period. However, due to the shortened regulatory control period and th</w:t>
      </w:r>
      <w:r w:rsidR="00894AAF">
        <w:t>e required true-up for 2014–15</w:t>
      </w:r>
      <w:r w:rsidR="00894AAF">
        <w:rPr>
          <w:rStyle w:val="FootnoteReference"/>
        </w:rPr>
        <w:footnoteReference w:id="12"/>
      </w:r>
      <w:r w:rsidR="00894AAF">
        <w:t>,</w:t>
      </w:r>
      <w:r w:rsidR="00894AAF" w:rsidRPr="00894AAF">
        <w:t xml:space="preserve"> we have allowed the divergence in the final year revenues to exceed 3 per cent in certain cases. This helps minimise the prospect of a significant price decrease followed by significant price increases over the 2015–19 regulatory control period. We will review the smoothing for the final decision if necessary.</w:t>
      </w:r>
    </w:p>
    <w:p w:rsidR="000004AE" w:rsidRPr="000004AE" w:rsidRDefault="009372B0" w:rsidP="009372B0">
      <w:pPr>
        <w:pStyle w:val="AERbodytext"/>
      </w:pPr>
      <w:r w:rsidRPr="009372B0">
        <w:t>The building block costs (and the elements that drive those costs) used to determine the unsmoothed ARR are set out below.</w:t>
      </w:r>
    </w:p>
    <w:p w:rsidR="004B25F4" w:rsidRDefault="009372B0" w:rsidP="004B25F4">
      <w:pPr>
        <w:pStyle w:val="Heading3"/>
      </w:pPr>
      <w:bookmarkStart w:id="21" w:name="_Ref403552774"/>
      <w:bookmarkStart w:id="22" w:name="_Toc404354906"/>
      <w:r>
        <w:t>The building block costs</w:t>
      </w:r>
      <w:bookmarkEnd w:id="20"/>
      <w:bookmarkEnd w:id="21"/>
      <w:bookmarkEnd w:id="22"/>
      <w:r w:rsidR="004B25F4" w:rsidRPr="00E94C06">
        <w:t xml:space="preserve"> </w:t>
      </w:r>
    </w:p>
    <w:p w:rsidR="009372B0" w:rsidRDefault="009372B0" w:rsidP="009372B0">
      <w:pPr>
        <w:pStyle w:val="AERbodytext"/>
      </w:pPr>
      <w:r w:rsidRPr="009372B0">
        <w:t>The efficient costs to be recovered by a service provider can be thought of as being made up of various building block costs. Our draft decision assesses each of the building block costs and the elements that drive these costs. The building block costs are approved reflecting trade-offs and interactions between the cost elements, service quality and across years.</w:t>
      </w:r>
      <w:r>
        <w:t xml:space="preserve"> </w:t>
      </w:r>
      <w:r w:rsidR="009A3021">
        <w:fldChar w:fldCharType="begin"/>
      </w:r>
      <w:r w:rsidR="009A3021">
        <w:instrText xml:space="preserve"> REF _Ref401571577 \h </w:instrText>
      </w:r>
      <w:r w:rsidR="009A3021">
        <w:fldChar w:fldCharType="separate"/>
      </w:r>
      <w:r w:rsidR="00382E4F">
        <w:t xml:space="preserve">Table </w:t>
      </w:r>
      <w:r w:rsidR="00382E4F">
        <w:rPr>
          <w:noProof/>
        </w:rPr>
        <w:t>1</w:t>
      </w:r>
      <w:r w:rsidR="00382E4F">
        <w:t>.</w:t>
      </w:r>
      <w:r w:rsidR="00382E4F">
        <w:rPr>
          <w:noProof/>
        </w:rPr>
        <w:t>5</w:t>
      </w:r>
      <w:r w:rsidR="009A3021">
        <w:fldChar w:fldCharType="end"/>
      </w:r>
      <w:r w:rsidR="009A3021">
        <w:t xml:space="preserve"> </w:t>
      </w:r>
      <w:r w:rsidRPr="009372B0">
        <w:t>shows the building block costs that form the ARR for each year and where discussion on the elements that drive these costs can be found within this draft decision.</w:t>
      </w:r>
    </w:p>
    <w:p w:rsidR="0023470D" w:rsidRDefault="009A3021" w:rsidP="009A3021">
      <w:pPr>
        <w:pStyle w:val="Caption"/>
      </w:pPr>
      <w:bookmarkStart w:id="23" w:name="_Ref401571577"/>
      <w:proofErr w:type="gramStart"/>
      <w:r>
        <w:t xml:space="preserve">Table </w:t>
      </w:r>
      <w:proofErr w:type="gramEnd"/>
      <w:r w:rsidR="00382E4F">
        <w:fldChar w:fldCharType="begin"/>
      </w:r>
      <w:r w:rsidR="00382E4F">
        <w:instrText xml:space="preserve"> STYLEREF 1 \s </w:instrText>
      </w:r>
      <w:r w:rsidR="00382E4F">
        <w:fldChar w:fldCharType="separate"/>
      </w:r>
      <w:r w:rsidR="00382E4F">
        <w:rPr>
          <w:noProof/>
        </w:rPr>
        <w:t>1</w:t>
      </w:r>
      <w:r w:rsidR="00382E4F">
        <w:rPr>
          <w:noProof/>
        </w:rPr>
        <w:fldChar w:fldCharType="end"/>
      </w:r>
      <w:proofErr w:type="gramStart"/>
      <w:r w:rsidR="00CE4D1A">
        <w:t>.</w:t>
      </w:r>
      <w:proofErr w:type="gramEnd"/>
      <w:r w:rsidR="00382E4F">
        <w:fldChar w:fldCharType="begin"/>
      </w:r>
      <w:r w:rsidR="00382E4F">
        <w:instrText xml:space="preserve"> SEQ Table \* ARABIC \s 1 </w:instrText>
      </w:r>
      <w:r w:rsidR="00382E4F">
        <w:fldChar w:fldCharType="separate"/>
      </w:r>
      <w:r w:rsidR="00382E4F">
        <w:rPr>
          <w:noProof/>
        </w:rPr>
        <w:t>5</w:t>
      </w:r>
      <w:r w:rsidR="00382E4F">
        <w:rPr>
          <w:noProof/>
        </w:rPr>
        <w:fldChar w:fldCharType="end"/>
      </w:r>
      <w:bookmarkEnd w:id="23"/>
      <w:r>
        <w:tab/>
      </w:r>
      <w:r w:rsidR="0023470D">
        <w:t>Building block costs</w:t>
      </w:r>
    </w:p>
    <w:tbl>
      <w:tblPr>
        <w:tblStyle w:val="AERtable-numbers"/>
        <w:tblW w:w="9063" w:type="dxa"/>
        <w:tblLook w:val="04A0" w:firstRow="1" w:lastRow="0" w:firstColumn="1" w:lastColumn="0" w:noHBand="0" w:noVBand="1"/>
      </w:tblPr>
      <w:tblGrid>
        <w:gridCol w:w="3959"/>
        <w:gridCol w:w="5104"/>
      </w:tblGrid>
      <w:tr w:rsidR="0023470D" w:rsidRPr="00356B64" w:rsidTr="0023470D">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959" w:type="dxa"/>
            <w:noWrap/>
            <w:hideMark/>
          </w:tcPr>
          <w:p w:rsidR="0023470D" w:rsidRPr="0023470D" w:rsidRDefault="0023470D" w:rsidP="0023470D">
            <w:pPr>
              <w:pStyle w:val="AERtabletextleft"/>
            </w:pPr>
            <w:r w:rsidRPr="003E0B0C">
              <w:t> </w:t>
            </w:r>
            <w:r>
              <w:t>Building block costs</w:t>
            </w:r>
          </w:p>
        </w:tc>
        <w:tc>
          <w:tcPr>
            <w:tcW w:w="5104" w:type="dxa"/>
            <w:noWrap/>
            <w:hideMark/>
          </w:tcPr>
          <w:p w:rsidR="0023470D" w:rsidRPr="0023470D" w:rsidRDefault="0023470D" w:rsidP="0023470D">
            <w:pPr>
              <w:pStyle w:val="AERtabletextright"/>
              <w:cnfStyle w:val="100000000000" w:firstRow="1" w:lastRow="0" w:firstColumn="0" w:lastColumn="0" w:oddVBand="0" w:evenVBand="0" w:oddHBand="0" w:evenHBand="0" w:firstRowFirstColumn="0" w:firstRowLastColumn="0" w:lastRowFirstColumn="0" w:lastRowLastColumn="0"/>
            </w:pPr>
            <w:r>
              <w:t>Attachments where elements are discussed</w:t>
            </w:r>
          </w:p>
        </w:tc>
      </w:tr>
      <w:tr w:rsidR="0023470D" w:rsidRPr="00E77F29" w:rsidTr="0023470D">
        <w:trPr>
          <w:trHeight w:val="196"/>
        </w:trPr>
        <w:tc>
          <w:tcPr>
            <w:cnfStyle w:val="001000000000" w:firstRow="0" w:lastRow="0" w:firstColumn="1" w:lastColumn="0" w:oddVBand="0" w:evenVBand="0" w:oddHBand="0" w:evenHBand="0" w:firstRowFirstColumn="0" w:firstRowLastColumn="0" w:lastRowFirstColumn="0" w:lastRowLastColumn="0"/>
            <w:tcW w:w="3959" w:type="dxa"/>
            <w:noWrap/>
            <w:vAlign w:val="top"/>
          </w:tcPr>
          <w:p w:rsidR="0023470D" w:rsidRPr="0023470D" w:rsidRDefault="0023470D" w:rsidP="00E77F29">
            <w:pPr>
              <w:pStyle w:val="AERtabletextleft"/>
            </w:pPr>
            <w:r w:rsidRPr="0023470D">
              <w:t>Return on capital</w:t>
            </w:r>
          </w:p>
        </w:tc>
        <w:tc>
          <w:tcPr>
            <w:tcW w:w="5104" w:type="dxa"/>
            <w:noWrap/>
            <w:hideMark/>
          </w:tcPr>
          <w:p w:rsidR="0023470D" w:rsidRPr="00E77F29" w:rsidRDefault="0023470D" w:rsidP="00E77F29">
            <w:pPr>
              <w:pStyle w:val="AERtabletextright"/>
              <w:cnfStyle w:val="000000000000" w:firstRow="0" w:lastRow="0" w:firstColumn="0" w:lastColumn="0" w:oddVBand="0" w:evenVBand="0" w:oddHBand="0" w:evenHBand="0" w:firstRowFirstColumn="0" w:firstRowLastColumn="0" w:lastRowFirstColumn="0" w:lastRowLastColumn="0"/>
            </w:pPr>
            <w:r w:rsidRPr="00E77F29">
              <w:t xml:space="preserve">Regulatory asset base (attachment </w:t>
            </w:r>
            <w:r w:rsidR="00F95EA9">
              <w:t>2</w:t>
            </w:r>
            <w:r w:rsidRPr="00E77F29">
              <w:t>)</w:t>
            </w:r>
          </w:p>
          <w:p w:rsidR="0023470D" w:rsidRPr="00E77F29" w:rsidRDefault="0023470D" w:rsidP="00E77F29">
            <w:pPr>
              <w:pStyle w:val="AERtabletextright"/>
              <w:cnfStyle w:val="000000000000" w:firstRow="0" w:lastRow="0" w:firstColumn="0" w:lastColumn="0" w:oddVBand="0" w:evenVBand="0" w:oddHBand="0" w:evenHBand="0" w:firstRowFirstColumn="0" w:firstRowLastColumn="0" w:lastRowFirstColumn="0" w:lastRowLastColumn="0"/>
            </w:pPr>
            <w:r w:rsidRPr="00E77F29">
              <w:t xml:space="preserve">Capex (attachment </w:t>
            </w:r>
            <w:r w:rsidR="00F95EA9">
              <w:t>6</w:t>
            </w:r>
            <w:r w:rsidRPr="00E77F29">
              <w:t xml:space="preserve">) </w:t>
            </w:r>
          </w:p>
          <w:p w:rsidR="0023470D" w:rsidRPr="00E77F29" w:rsidRDefault="0023470D" w:rsidP="00F95EA9">
            <w:pPr>
              <w:pStyle w:val="AERtabletextright"/>
              <w:cnfStyle w:val="000000000000" w:firstRow="0" w:lastRow="0" w:firstColumn="0" w:lastColumn="0" w:oddVBand="0" w:evenVBand="0" w:oddHBand="0" w:evenHBand="0" w:firstRowFirstColumn="0" w:firstRowLastColumn="0" w:lastRowFirstColumn="0" w:lastRowLastColumn="0"/>
            </w:pPr>
            <w:r w:rsidRPr="00E77F29">
              <w:t xml:space="preserve">Rate of return (attachment </w:t>
            </w:r>
            <w:r w:rsidR="00F95EA9">
              <w:t>3</w:t>
            </w:r>
            <w:r w:rsidRPr="00E77F29">
              <w:t>)</w:t>
            </w:r>
          </w:p>
        </w:tc>
      </w:tr>
      <w:tr w:rsidR="0023470D" w:rsidRPr="00356B64" w:rsidTr="0023470D">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959" w:type="dxa"/>
            <w:noWrap/>
            <w:vAlign w:val="top"/>
          </w:tcPr>
          <w:p w:rsidR="0023470D" w:rsidRPr="0023470D" w:rsidRDefault="0023470D" w:rsidP="00E77F29">
            <w:pPr>
              <w:pStyle w:val="AERtabletextleft"/>
            </w:pPr>
            <w:r w:rsidRPr="0023470D">
              <w:t>Regulatory depreciation (return of capital)</w:t>
            </w:r>
          </w:p>
        </w:tc>
        <w:tc>
          <w:tcPr>
            <w:tcW w:w="5104" w:type="dxa"/>
            <w:noWrap/>
            <w:hideMark/>
          </w:tcPr>
          <w:p w:rsidR="0023470D" w:rsidRPr="00E77F29" w:rsidRDefault="0023470D" w:rsidP="00E77F29">
            <w:pPr>
              <w:pStyle w:val="AERtabletextright"/>
              <w:cnfStyle w:val="000000010000" w:firstRow="0" w:lastRow="0" w:firstColumn="0" w:lastColumn="0" w:oddVBand="0" w:evenVBand="0" w:oddHBand="0" w:evenHBand="1" w:firstRowFirstColumn="0" w:firstRowLastColumn="0" w:lastRowFirstColumn="0" w:lastRowLastColumn="0"/>
            </w:pPr>
            <w:r w:rsidRPr="00E77F29">
              <w:t xml:space="preserve">Regulatory asset base (attachment </w:t>
            </w:r>
            <w:r w:rsidR="00F95EA9">
              <w:t>2</w:t>
            </w:r>
            <w:r w:rsidRPr="00E77F29">
              <w:t>)</w:t>
            </w:r>
          </w:p>
          <w:p w:rsidR="0023470D" w:rsidRPr="00E77F29" w:rsidRDefault="0023470D" w:rsidP="00E77F29">
            <w:pPr>
              <w:pStyle w:val="AERtabletextright"/>
              <w:cnfStyle w:val="000000010000" w:firstRow="0" w:lastRow="0" w:firstColumn="0" w:lastColumn="0" w:oddVBand="0" w:evenVBand="0" w:oddHBand="0" w:evenHBand="1" w:firstRowFirstColumn="0" w:firstRowLastColumn="0" w:lastRowFirstColumn="0" w:lastRowLastColumn="0"/>
            </w:pPr>
            <w:r w:rsidRPr="00E77F29">
              <w:t xml:space="preserve">Capex (attachment </w:t>
            </w:r>
            <w:r w:rsidR="00F95EA9">
              <w:t>6</w:t>
            </w:r>
            <w:r w:rsidRPr="00E77F29">
              <w:t xml:space="preserve">) </w:t>
            </w:r>
          </w:p>
          <w:p w:rsidR="0023470D" w:rsidRPr="00E77F29" w:rsidRDefault="0023470D" w:rsidP="00F95EA9">
            <w:pPr>
              <w:pStyle w:val="AERtabletextright"/>
              <w:cnfStyle w:val="000000010000" w:firstRow="0" w:lastRow="0" w:firstColumn="0" w:lastColumn="0" w:oddVBand="0" w:evenVBand="0" w:oddHBand="0" w:evenHBand="1" w:firstRowFirstColumn="0" w:firstRowLastColumn="0" w:lastRowFirstColumn="0" w:lastRowLastColumn="0"/>
            </w:pPr>
            <w:r w:rsidRPr="00E77F29">
              <w:t xml:space="preserve">Rate of return (attachment </w:t>
            </w:r>
            <w:r w:rsidR="00F95EA9">
              <w:t>3</w:t>
            </w:r>
            <w:r w:rsidRPr="00E77F29">
              <w:t>) </w:t>
            </w:r>
          </w:p>
        </w:tc>
      </w:tr>
      <w:tr w:rsidR="0023470D" w:rsidRPr="00356B64" w:rsidTr="0023470D">
        <w:trPr>
          <w:trHeight w:val="196"/>
        </w:trPr>
        <w:tc>
          <w:tcPr>
            <w:cnfStyle w:val="001000000000" w:firstRow="0" w:lastRow="0" w:firstColumn="1" w:lastColumn="0" w:oddVBand="0" w:evenVBand="0" w:oddHBand="0" w:evenHBand="0" w:firstRowFirstColumn="0" w:firstRowLastColumn="0" w:lastRowFirstColumn="0" w:lastRowLastColumn="0"/>
            <w:tcW w:w="3959" w:type="dxa"/>
            <w:noWrap/>
            <w:vAlign w:val="top"/>
          </w:tcPr>
          <w:p w:rsidR="0023470D" w:rsidRPr="0023470D" w:rsidRDefault="0023470D" w:rsidP="00E77F29">
            <w:pPr>
              <w:pStyle w:val="AERtabletextleft"/>
            </w:pPr>
            <w:r w:rsidRPr="0023470D">
              <w:t>Operating expenditure (opex)</w:t>
            </w:r>
          </w:p>
        </w:tc>
        <w:tc>
          <w:tcPr>
            <w:tcW w:w="5104" w:type="dxa"/>
            <w:noWrap/>
            <w:hideMark/>
          </w:tcPr>
          <w:p w:rsidR="0023470D" w:rsidRPr="00E77F29" w:rsidRDefault="00E77F29" w:rsidP="00F95EA9">
            <w:pPr>
              <w:pStyle w:val="AERtabletextright"/>
              <w:cnfStyle w:val="000000000000" w:firstRow="0" w:lastRow="0" w:firstColumn="0" w:lastColumn="0" w:oddVBand="0" w:evenVBand="0" w:oddHBand="0" w:evenHBand="0" w:firstRowFirstColumn="0" w:firstRowLastColumn="0" w:lastRowFirstColumn="0" w:lastRowLastColumn="0"/>
            </w:pPr>
            <w:r w:rsidRPr="00E77F29">
              <w:t>Opex</w:t>
            </w:r>
            <w:r w:rsidR="0023470D" w:rsidRPr="00E77F29">
              <w:t xml:space="preserve"> (attachment </w:t>
            </w:r>
            <w:r w:rsidR="00F95EA9">
              <w:t>7</w:t>
            </w:r>
            <w:r w:rsidR="0023470D" w:rsidRPr="00E77F29">
              <w:t>)</w:t>
            </w:r>
          </w:p>
        </w:tc>
      </w:tr>
      <w:tr w:rsidR="0023470D" w:rsidRPr="00356B64" w:rsidTr="0023470D">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959" w:type="dxa"/>
            <w:noWrap/>
            <w:vAlign w:val="top"/>
          </w:tcPr>
          <w:p w:rsidR="0023470D" w:rsidRPr="0023470D" w:rsidRDefault="0023470D" w:rsidP="00E77F29">
            <w:pPr>
              <w:pStyle w:val="AERtabletextleft"/>
            </w:pPr>
            <w:r w:rsidRPr="0023470D">
              <w:t>Efficiency benefits/penalties</w:t>
            </w:r>
          </w:p>
        </w:tc>
        <w:tc>
          <w:tcPr>
            <w:tcW w:w="5104" w:type="dxa"/>
            <w:noWrap/>
            <w:hideMark/>
          </w:tcPr>
          <w:p w:rsidR="0023470D" w:rsidRPr="00E77F29" w:rsidRDefault="0023470D" w:rsidP="00F95EA9">
            <w:pPr>
              <w:pStyle w:val="AERtabletextright"/>
              <w:cnfStyle w:val="000000010000" w:firstRow="0" w:lastRow="0" w:firstColumn="0" w:lastColumn="0" w:oddVBand="0" w:evenVBand="0" w:oddHBand="0" w:evenHBand="1" w:firstRowFirstColumn="0" w:firstRowLastColumn="0" w:lastRowFirstColumn="0" w:lastRowLastColumn="0"/>
            </w:pPr>
            <w:r w:rsidRPr="00E77F29">
              <w:t xml:space="preserve">Efficiency benefit sharing scheme (attachment </w:t>
            </w:r>
            <w:r w:rsidR="00F95EA9">
              <w:t>9</w:t>
            </w:r>
            <w:r w:rsidRPr="00E77F29">
              <w:t>) </w:t>
            </w:r>
          </w:p>
        </w:tc>
      </w:tr>
      <w:tr w:rsidR="0023470D" w:rsidRPr="00356B64" w:rsidTr="0023470D">
        <w:trPr>
          <w:trHeight w:val="196"/>
        </w:trPr>
        <w:tc>
          <w:tcPr>
            <w:cnfStyle w:val="001000000000" w:firstRow="0" w:lastRow="0" w:firstColumn="1" w:lastColumn="0" w:oddVBand="0" w:evenVBand="0" w:oddHBand="0" w:evenHBand="0" w:firstRowFirstColumn="0" w:firstRowLastColumn="0" w:lastRowFirstColumn="0" w:lastRowLastColumn="0"/>
            <w:tcW w:w="3959" w:type="dxa"/>
            <w:noWrap/>
            <w:vAlign w:val="top"/>
          </w:tcPr>
          <w:p w:rsidR="0023470D" w:rsidRPr="0023470D" w:rsidRDefault="0023470D" w:rsidP="00E77F29">
            <w:pPr>
              <w:pStyle w:val="AERtabletextleft"/>
            </w:pPr>
            <w:r w:rsidRPr="0023470D">
              <w:t>Estimated cost of corporate tax</w:t>
            </w:r>
          </w:p>
        </w:tc>
        <w:tc>
          <w:tcPr>
            <w:tcW w:w="5104" w:type="dxa"/>
            <w:noWrap/>
          </w:tcPr>
          <w:p w:rsidR="0023470D" w:rsidRPr="00E77F29" w:rsidRDefault="0023470D" w:rsidP="00E77F29">
            <w:pPr>
              <w:pStyle w:val="AERtabletextright"/>
              <w:cnfStyle w:val="000000000000" w:firstRow="0" w:lastRow="0" w:firstColumn="0" w:lastColumn="0" w:oddVBand="0" w:evenVBand="0" w:oddHBand="0" w:evenHBand="0" w:firstRowFirstColumn="0" w:firstRowLastColumn="0" w:lastRowFirstColumn="0" w:lastRowLastColumn="0"/>
            </w:pPr>
            <w:r w:rsidRPr="00E77F29">
              <w:t xml:space="preserve">Corporate income tax  (attachment </w:t>
            </w:r>
            <w:r w:rsidR="00F95EA9">
              <w:t>8</w:t>
            </w:r>
            <w:r w:rsidRPr="00E77F29">
              <w:t xml:space="preserve">) </w:t>
            </w:r>
          </w:p>
          <w:p w:rsidR="0023470D" w:rsidRPr="00E77F29" w:rsidRDefault="0023470D" w:rsidP="00F95EA9">
            <w:pPr>
              <w:pStyle w:val="AERtabletextright"/>
              <w:cnfStyle w:val="000000000000" w:firstRow="0" w:lastRow="0" w:firstColumn="0" w:lastColumn="0" w:oddVBand="0" w:evenVBand="0" w:oddHBand="0" w:evenHBand="0" w:firstRowFirstColumn="0" w:firstRowLastColumn="0" w:lastRowFirstColumn="0" w:lastRowLastColumn="0"/>
            </w:pPr>
            <w:r w:rsidRPr="00E77F29">
              <w:t xml:space="preserve">Rate of return (attachment </w:t>
            </w:r>
            <w:r w:rsidR="00F95EA9">
              <w:t>4</w:t>
            </w:r>
            <w:r w:rsidRPr="00E77F29">
              <w:t>)</w:t>
            </w:r>
          </w:p>
        </w:tc>
      </w:tr>
    </w:tbl>
    <w:p w:rsidR="0023470D" w:rsidRDefault="0023470D" w:rsidP="0023470D">
      <w:pPr>
        <w:pStyle w:val="AERbodytext"/>
        <w:numPr>
          <w:ilvl w:val="0"/>
          <w:numId w:val="0"/>
        </w:numPr>
      </w:pPr>
    </w:p>
    <w:p w:rsidR="00F37EDD" w:rsidRDefault="00F37EDD" w:rsidP="00F37EDD">
      <w:pPr>
        <w:pStyle w:val="Heading3"/>
      </w:pPr>
      <w:bookmarkStart w:id="24" w:name="_Toc404354907"/>
      <w:r w:rsidRPr="00F37EDD">
        <w:t>Placeholder revenue true-up for</w:t>
      </w:r>
      <w:r>
        <w:t xml:space="preserve"> </w:t>
      </w:r>
      <w:r w:rsidR="009372B0">
        <w:t>2014–15</w:t>
      </w:r>
      <w:bookmarkEnd w:id="24"/>
    </w:p>
    <w:p w:rsidR="009372B0" w:rsidRPr="009372B0" w:rsidRDefault="009372B0" w:rsidP="009372B0">
      <w:pPr>
        <w:pStyle w:val="AERbodytext"/>
      </w:pPr>
      <w:r w:rsidRPr="009372B0">
        <w:t>The five regulatory years from 2014-19 are split over two regulatory control periods due to the transitional rules.</w:t>
      </w:r>
      <w:r>
        <w:rPr>
          <w:rStyle w:val="FootnoteReference"/>
        </w:rPr>
        <w:footnoteReference w:id="13"/>
      </w:r>
      <w:r>
        <w:t xml:space="preserve"> </w:t>
      </w:r>
      <w:r w:rsidRPr="009372B0">
        <w:t>There is a 'transitional regulatory control period' for 2014-15, and a 'subsequent regulatory control period' for 2015-19. We are required to make both a decision on the transitional placeholder revenue for 2014-15</w:t>
      </w:r>
      <w:r w:rsidR="00E77F29">
        <w:t xml:space="preserve"> </w:t>
      </w:r>
      <w:r w:rsidR="003F5BBF">
        <w:t xml:space="preserve">and then </w:t>
      </w:r>
      <w:r w:rsidRPr="009372B0">
        <w:t xml:space="preserve">a decision on the revenues for the full 2014-19 period. </w:t>
      </w:r>
    </w:p>
    <w:p w:rsidR="009372B0" w:rsidRPr="009372B0" w:rsidRDefault="009372B0" w:rsidP="009372B0">
      <w:pPr>
        <w:pStyle w:val="AERbodytext"/>
      </w:pPr>
      <w:r w:rsidRPr="009372B0">
        <w:lastRenderedPageBreak/>
        <w:t xml:space="preserve">In April 2014, </w:t>
      </w:r>
      <w:r w:rsidR="00FF7EDF">
        <w:t xml:space="preserve">as required under the transitional rules, </w:t>
      </w:r>
      <w:r w:rsidRPr="009372B0">
        <w:t xml:space="preserve">we conducted a high level review of </w:t>
      </w:r>
      <w:r w:rsidR="009F3302">
        <w:t>Ausgrid</w:t>
      </w:r>
      <w:r w:rsidRPr="009372B0">
        <w:t xml:space="preserve">'s proposed revenue requirement for its transitional regulatory control period (2014-15). </w:t>
      </w:r>
      <w:r w:rsidR="00B20FFC">
        <w:t>We determined placeholder revenue</w:t>
      </w:r>
      <w:r w:rsidRPr="009372B0">
        <w:t xml:space="preserve"> allowance</w:t>
      </w:r>
      <w:r w:rsidR="00B20FFC">
        <w:t>s</w:t>
      </w:r>
      <w:r w:rsidRPr="009372B0">
        <w:t xml:space="preserve"> </w:t>
      </w:r>
      <w:r w:rsidR="00B20FFC">
        <w:t xml:space="preserve">of $1956.4 million </w:t>
      </w:r>
      <w:r w:rsidR="00FF7EDF">
        <w:t xml:space="preserve">for Ausgrid's distribution </w:t>
      </w:r>
      <w:r w:rsidR="00B20FFC">
        <w:t>network</w:t>
      </w:r>
      <w:r w:rsidR="00F95EA9">
        <w:rPr>
          <w:rStyle w:val="FootnoteReference"/>
        </w:rPr>
        <w:footnoteReference w:id="14"/>
      </w:r>
      <w:r w:rsidR="00F95EA9" w:rsidRPr="009372B0">
        <w:t xml:space="preserve"> </w:t>
      </w:r>
      <w:r w:rsidR="00B20FFC">
        <w:t xml:space="preserve"> </w:t>
      </w:r>
      <w:r w:rsidR="00FF7EDF">
        <w:t xml:space="preserve">and </w:t>
      </w:r>
      <w:r w:rsidR="00B20FFC">
        <w:t>$252.3</w:t>
      </w:r>
      <w:r w:rsidR="003C5E75">
        <w:t> </w:t>
      </w:r>
      <w:r w:rsidR="00B20FFC">
        <w:t xml:space="preserve">million ($ nominal) for Ausgrid's </w:t>
      </w:r>
      <w:r w:rsidR="00FF7EDF">
        <w:t>transmission network</w:t>
      </w:r>
      <w:r w:rsidRPr="009372B0">
        <w:t>.</w:t>
      </w:r>
      <w:r>
        <w:rPr>
          <w:rStyle w:val="FootnoteReference"/>
        </w:rPr>
        <w:footnoteReference w:id="15"/>
      </w:r>
      <w:r w:rsidRPr="009372B0">
        <w:t xml:space="preserve"> </w:t>
      </w:r>
    </w:p>
    <w:p w:rsidR="009372B0" w:rsidRDefault="009372B0" w:rsidP="009372B0">
      <w:pPr>
        <w:pStyle w:val="AERbodytext"/>
      </w:pPr>
      <w:r w:rsidRPr="009372B0">
        <w:t>In this draft decision, we make a full regulatory determination for the years 2015</w:t>
      </w:r>
      <w:r w:rsidR="00F95EA9">
        <w:t>–</w:t>
      </w:r>
      <w:r w:rsidRPr="009372B0">
        <w:t>16 to 2018</w:t>
      </w:r>
      <w:r w:rsidR="00F95EA9">
        <w:t>–</w:t>
      </w:r>
      <w:r w:rsidRPr="009372B0">
        <w:t xml:space="preserve">19 for </w:t>
      </w:r>
      <w:r w:rsidR="009F3302">
        <w:t>Ausgrid</w:t>
      </w:r>
      <w:r w:rsidRPr="009372B0">
        <w:t xml:space="preserve">, and </w:t>
      </w:r>
      <w:r w:rsidR="003F5BBF">
        <w:t xml:space="preserve">we account for </w:t>
      </w:r>
      <w:r w:rsidR="00B26863">
        <w:t xml:space="preserve">any </w:t>
      </w:r>
      <w:r w:rsidR="003F5BBF">
        <w:t>adjustment amount related to the</w:t>
      </w:r>
      <w:r w:rsidR="00194594">
        <w:t xml:space="preserve"> </w:t>
      </w:r>
      <w:r w:rsidRPr="009372B0">
        <w:t>transitional regulatory control period (2014</w:t>
      </w:r>
      <w:r w:rsidR="00F95EA9">
        <w:t>–</w:t>
      </w:r>
      <w:r w:rsidRPr="009372B0">
        <w:t xml:space="preserve">15). </w:t>
      </w:r>
      <w:r w:rsidR="00F95EA9">
        <w:t>As part of this</w:t>
      </w:r>
      <w:r w:rsidRPr="009372B0">
        <w:t>, we are required to determine ARR</w:t>
      </w:r>
      <w:r w:rsidR="00F95EA9">
        <w:t>s</w:t>
      </w:r>
      <w:r w:rsidRPr="009372B0">
        <w:t xml:space="preserve"> for </w:t>
      </w:r>
      <w:r w:rsidR="00194594">
        <w:t xml:space="preserve">each year of </w:t>
      </w:r>
      <w:r w:rsidRPr="009372B0">
        <w:t>the five year (2014</w:t>
      </w:r>
      <w:r w:rsidR="00F95EA9">
        <w:t>–</w:t>
      </w:r>
      <w:r w:rsidRPr="009372B0">
        <w:t>19) period and use a net present value (NPV) neutral true-up mechanism to account for any difference between:</w:t>
      </w:r>
      <w:r>
        <w:rPr>
          <w:rStyle w:val="FootnoteReference"/>
        </w:rPr>
        <w:footnoteReference w:id="16"/>
      </w:r>
    </w:p>
    <w:p w:rsidR="009372B0" w:rsidRPr="009372B0" w:rsidRDefault="009372B0" w:rsidP="009372B0">
      <w:pPr>
        <w:pStyle w:val="AERbulletlistfirststyle"/>
      </w:pPr>
      <w:r w:rsidRPr="009372B0">
        <w:t>the placeholder revenue for the transitional regulatory control period, and</w:t>
      </w:r>
    </w:p>
    <w:p w:rsidR="009372B0" w:rsidRPr="009372B0" w:rsidRDefault="009372B0" w:rsidP="009372B0">
      <w:pPr>
        <w:pStyle w:val="AERbulletlistfirststyle"/>
      </w:pPr>
      <w:proofErr w:type="gramStart"/>
      <w:r w:rsidRPr="009372B0">
        <w:t>the</w:t>
      </w:r>
      <w:proofErr w:type="gramEnd"/>
      <w:r w:rsidRPr="009372B0">
        <w:t xml:space="preserve"> </w:t>
      </w:r>
      <w:r w:rsidR="00194594">
        <w:t>ARR</w:t>
      </w:r>
      <w:r w:rsidRPr="009372B0">
        <w:t xml:space="preserve"> for </w:t>
      </w:r>
      <w:r w:rsidR="00F95EA9">
        <w:t>2014–15</w:t>
      </w:r>
      <w:r w:rsidRPr="009372B0">
        <w:t xml:space="preserve"> that is established through the full determination process.</w:t>
      </w:r>
    </w:p>
    <w:p w:rsidR="00B26863" w:rsidRDefault="009372B0" w:rsidP="009372B0">
      <w:pPr>
        <w:pStyle w:val="AERbodytext"/>
      </w:pPr>
      <w:r w:rsidRPr="009372B0">
        <w:t>Our draft decision on the 2014</w:t>
      </w:r>
      <w:r w:rsidR="00F95EA9">
        <w:t>–</w:t>
      </w:r>
      <w:r w:rsidRPr="009372B0">
        <w:t>15 ARR</w:t>
      </w:r>
      <w:r w:rsidR="00F95EA9">
        <w:t>s</w:t>
      </w:r>
      <w:r w:rsidRPr="009372B0">
        <w:t xml:space="preserve"> for </w:t>
      </w:r>
      <w:r w:rsidR="009F3302">
        <w:t>Ausgrid</w:t>
      </w:r>
      <w:r w:rsidR="008A7989">
        <w:t xml:space="preserve">'s distribution and transmission networks </w:t>
      </w:r>
      <w:r w:rsidRPr="009372B0">
        <w:t>is $</w:t>
      </w:r>
      <w:r w:rsidR="00B26863">
        <w:t>1</w:t>
      </w:r>
      <w:r w:rsidR="00370ADA">
        <w:t>541.9</w:t>
      </w:r>
      <w:r w:rsidRPr="009372B0">
        <w:t xml:space="preserve"> million</w:t>
      </w:r>
      <w:r w:rsidR="008A7989">
        <w:t xml:space="preserve"> and $</w:t>
      </w:r>
      <w:r w:rsidR="00B26863">
        <w:t>195.</w:t>
      </w:r>
      <w:r w:rsidR="00393DDD">
        <w:t>8</w:t>
      </w:r>
      <w:r w:rsidR="008A7989">
        <w:t xml:space="preserve"> million</w:t>
      </w:r>
      <w:r w:rsidR="00194594">
        <w:t xml:space="preserve"> ($ nominal)</w:t>
      </w:r>
      <w:r w:rsidR="008A7989">
        <w:t xml:space="preserve"> respectively</w:t>
      </w:r>
      <w:r w:rsidRPr="009372B0">
        <w:t xml:space="preserve">. This means there is a difference in </w:t>
      </w:r>
      <w:r w:rsidR="00F95EA9">
        <w:t>costs</w:t>
      </w:r>
      <w:r w:rsidRPr="009372B0">
        <w:t xml:space="preserve"> recovered in 2014</w:t>
      </w:r>
      <w:r w:rsidR="00F95EA9">
        <w:t>–</w:t>
      </w:r>
      <w:r w:rsidRPr="009372B0">
        <w:t xml:space="preserve">15 that must be returned to customers. To give effect to the true-up, we have set </w:t>
      </w:r>
      <w:r w:rsidR="009F3302">
        <w:t>Ausgrid</w:t>
      </w:r>
      <w:r w:rsidRPr="009372B0">
        <w:t>'s first year expected revenue</w:t>
      </w:r>
      <w:r w:rsidR="00F95EA9">
        <w:t>s</w:t>
      </w:r>
      <w:r w:rsidRPr="009372B0">
        <w:t xml:space="preserve"> in the PTRM</w:t>
      </w:r>
      <w:r w:rsidR="00F95EA9">
        <w:t>s</w:t>
      </w:r>
      <w:r w:rsidRPr="009372B0">
        <w:t xml:space="preserve"> </w:t>
      </w:r>
      <w:r w:rsidR="00BD6113">
        <w:t xml:space="preserve">(transmission and distribution) </w:t>
      </w:r>
      <w:r w:rsidRPr="009372B0">
        <w:t>equal to the AER approved placeholder revenue</w:t>
      </w:r>
      <w:r w:rsidR="00F95EA9">
        <w:t>s</w:t>
      </w:r>
      <w:r w:rsidRPr="009372B0">
        <w:t xml:space="preserve"> for 2014</w:t>
      </w:r>
      <w:r w:rsidR="00F95EA9">
        <w:t>–</w:t>
      </w:r>
      <w:r w:rsidRPr="009372B0">
        <w:t>15</w:t>
      </w:r>
      <w:r w:rsidR="00B26863">
        <w:t>. The placeholder revenue</w:t>
      </w:r>
      <w:r w:rsidR="00F95EA9">
        <w:t>s</w:t>
      </w:r>
      <w:r w:rsidR="00B26863">
        <w:t xml:space="preserve"> for 2014</w:t>
      </w:r>
      <w:r w:rsidR="00F95EA9">
        <w:t>–</w:t>
      </w:r>
      <w:r w:rsidR="00B26863">
        <w:t xml:space="preserve">15 </w:t>
      </w:r>
      <w:r w:rsidR="00F95EA9">
        <w:t>are</w:t>
      </w:r>
      <w:r w:rsidR="00B26863">
        <w:t xml:space="preserve"> </w:t>
      </w:r>
      <w:r w:rsidRPr="009372B0">
        <w:t>$</w:t>
      </w:r>
      <w:r w:rsidR="008A7989">
        <w:t>1956.4</w:t>
      </w:r>
      <w:r w:rsidR="003C5E75">
        <w:t> </w:t>
      </w:r>
      <w:r w:rsidRPr="009372B0">
        <w:t xml:space="preserve">million </w:t>
      </w:r>
      <w:r w:rsidR="00B26863">
        <w:t xml:space="preserve">and $252.3 million </w:t>
      </w:r>
      <w:r w:rsidRPr="009372B0">
        <w:t>(</w:t>
      </w:r>
      <w:r w:rsidR="00194594">
        <w:t>$ nominal</w:t>
      </w:r>
      <w:r w:rsidRPr="009372B0">
        <w:t>)</w:t>
      </w:r>
      <w:r w:rsidR="00B26863">
        <w:t xml:space="preserve"> in relation to Ausgrid's distribution and transmission networks respectively</w:t>
      </w:r>
      <w:r w:rsidRPr="009372B0">
        <w:t xml:space="preserve">. </w:t>
      </w:r>
    </w:p>
    <w:p w:rsidR="009372B0" w:rsidRPr="009372B0" w:rsidRDefault="009372B0" w:rsidP="009372B0">
      <w:pPr>
        <w:pStyle w:val="AERbodytext"/>
      </w:pPr>
      <w:r w:rsidRPr="009372B0">
        <w:t xml:space="preserve">This is the only practical option as </w:t>
      </w:r>
      <w:r w:rsidR="00BD6113">
        <w:t xml:space="preserve">distribution and transmission </w:t>
      </w:r>
      <w:r w:rsidRPr="009372B0">
        <w:t>prices were set for 2014</w:t>
      </w:r>
      <w:r w:rsidR="00BD6113">
        <w:t>–</w:t>
      </w:r>
      <w:r w:rsidRPr="009372B0">
        <w:t>15 based on th</w:t>
      </w:r>
      <w:r w:rsidR="00B26863">
        <w:t>ese</w:t>
      </w:r>
      <w:r w:rsidRPr="009372B0">
        <w:t xml:space="preserve"> approved placeholder amount</w:t>
      </w:r>
      <w:r w:rsidR="00B26863">
        <w:t>s</w:t>
      </w:r>
      <w:r w:rsidRPr="009372B0">
        <w:t xml:space="preserve">. However, this practicality also means that the difference in </w:t>
      </w:r>
      <w:r w:rsidR="00194594">
        <w:t>revenues</w:t>
      </w:r>
      <w:r w:rsidRPr="009372B0">
        <w:t xml:space="preserve"> for 2014</w:t>
      </w:r>
      <w:r w:rsidR="00BD6113">
        <w:t>–</w:t>
      </w:r>
      <w:r w:rsidRPr="009372B0">
        <w:t xml:space="preserve">15 between the transitional and full determinations will need to be accounted for in the </w:t>
      </w:r>
      <w:r w:rsidR="00194594">
        <w:t>201</w:t>
      </w:r>
      <w:r w:rsidR="00B26863">
        <w:t>5</w:t>
      </w:r>
      <w:r w:rsidR="00194594">
        <w:t>–1</w:t>
      </w:r>
      <w:r w:rsidR="00B26863">
        <w:t>9</w:t>
      </w:r>
      <w:r w:rsidR="00194594">
        <w:t xml:space="preserve"> </w:t>
      </w:r>
      <w:r w:rsidRPr="009372B0">
        <w:t xml:space="preserve">regulatory control period. That is, the placeholder revenue for 2014-15 established from the transitional determination provides a base from which the expected revenues (smoothed) for the remaining four years of the 2014-19 </w:t>
      </w:r>
      <w:proofErr w:type="gramStart"/>
      <w:r w:rsidRPr="009372B0">
        <w:t>period</w:t>
      </w:r>
      <w:proofErr w:type="gramEnd"/>
      <w:r w:rsidRPr="009372B0">
        <w:t xml:space="preserve"> are calculated through the determination of the X factors for these years. This gives effect to the true-up requirements under the NER and </w:t>
      </w:r>
      <w:r w:rsidR="00194594">
        <w:t xml:space="preserve">returns </w:t>
      </w:r>
      <w:r w:rsidRPr="009372B0">
        <w:t>the difference</w:t>
      </w:r>
      <w:r w:rsidR="00BD6113">
        <w:t>s</w:t>
      </w:r>
      <w:r w:rsidRPr="009372B0">
        <w:t xml:space="preserve"> of $</w:t>
      </w:r>
      <w:r w:rsidR="00B26863">
        <w:t>4</w:t>
      </w:r>
      <w:r w:rsidR="00370ADA">
        <w:t>14.5</w:t>
      </w:r>
      <w:r w:rsidRPr="009372B0">
        <w:t xml:space="preserve"> million </w:t>
      </w:r>
      <w:r w:rsidR="00194594">
        <w:t xml:space="preserve">($ nominal) </w:t>
      </w:r>
      <w:r w:rsidR="00B26863">
        <w:t>for distribution and $56.</w:t>
      </w:r>
      <w:r w:rsidR="00370ADA">
        <w:t>5</w:t>
      </w:r>
      <w:r w:rsidR="00B26863">
        <w:t xml:space="preserve"> million for transmission </w:t>
      </w:r>
      <w:r w:rsidRPr="009372B0">
        <w:t>to customers over the 2015</w:t>
      </w:r>
      <w:r w:rsidR="00BD6113">
        <w:t>–</w:t>
      </w:r>
      <w:r w:rsidRPr="009372B0">
        <w:t xml:space="preserve">19 subsequent regulatory control period (adjusted for the time value of money). The details of this true-up for </w:t>
      </w:r>
      <w:r w:rsidR="006B089D">
        <w:t>Ausgrid</w:t>
      </w:r>
      <w:r w:rsidRPr="009372B0">
        <w:t xml:space="preserve"> is discussed further in section </w:t>
      </w:r>
      <w:r w:rsidR="00BD6113">
        <w:fldChar w:fldCharType="begin"/>
      </w:r>
      <w:r w:rsidR="00BD6113">
        <w:instrText xml:space="preserve"> REF _Ref403553894 \r \h </w:instrText>
      </w:r>
      <w:r w:rsidR="00BD6113">
        <w:fldChar w:fldCharType="separate"/>
      </w:r>
      <w:r w:rsidR="00382E4F">
        <w:t>1.4.1</w:t>
      </w:r>
      <w:r w:rsidR="00BD6113">
        <w:fldChar w:fldCharType="end"/>
      </w:r>
      <w:r w:rsidR="006B089D">
        <w:t>.</w:t>
      </w:r>
    </w:p>
    <w:p w:rsidR="00525604" w:rsidRDefault="00525604" w:rsidP="00F54216">
      <w:pPr>
        <w:pStyle w:val="Heading2"/>
      </w:pPr>
      <w:bookmarkStart w:id="25" w:name="_Toc390936381"/>
      <w:bookmarkStart w:id="26" w:name="_Toc404354908"/>
      <w:r>
        <w:t>Reasons for draft decision</w:t>
      </w:r>
      <w:bookmarkEnd w:id="25"/>
      <w:bookmarkEnd w:id="26"/>
    </w:p>
    <w:p w:rsidR="009F3302" w:rsidRDefault="009F3302" w:rsidP="009F3302">
      <w:pPr>
        <w:pStyle w:val="AERbodytext"/>
      </w:pPr>
      <w:r w:rsidRPr="009F3302">
        <w:t>We determine a total revenue requirement</w:t>
      </w:r>
      <w:r>
        <w:t>s</w:t>
      </w:r>
      <w:r w:rsidRPr="009F3302">
        <w:t xml:space="preserve"> of $</w:t>
      </w:r>
      <w:r w:rsidR="007614D6">
        <w:t>7</w:t>
      </w:r>
      <w:r w:rsidR="00370ADA">
        <w:t>801.7</w:t>
      </w:r>
      <w:r w:rsidRPr="009F3302">
        <w:t xml:space="preserve"> million </w:t>
      </w:r>
      <w:r>
        <w:t>and $</w:t>
      </w:r>
      <w:r w:rsidR="007614D6">
        <w:t>10</w:t>
      </w:r>
      <w:r w:rsidR="00436751">
        <w:t>4</w:t>
      </w:r>
      <w:r w:rsidR="00370ADA">
        <w:t>6.7</w:t>
      </w:r>
      <w:r>
        <w:t xml:space="preserve"> million </w:t>
      </w:r>
      <w:r w:rsidRPr="009F3302">
        <w:t xml:space="preserve">($ nominal) </w:t>
      </w:r>
      <w:r>
        <w:t xml:space="preserve">over the 2014–19 period </w:t>
      </w:r>
      <w:r w:rsidRPr="009F3302">
        <w:t xml:space="preserve">for </w:t>
      </w:r>
      <w:r>
        <w:t xml:space="preserve">Ausgrid's distribution and transmission networks respectively. This is </w:t>
      </w:r>
      <w:r w:rsidRPr="009F3302">
        <w:t>$</w:t>
      </w:r>
      <w:r w:rsidR="00370ADA">
        <w:t>2961.5</w:t>
      </w:r>
      <w:r w:rsidR="003C5E75">
        <w:t> </w:t>
      </w:r>
      <w:r w:rsidRPr="009F3302">
        <w:t xml:space="preserve">million ($ nominal) or </w:t>
      </w:r>
      <w:r w:rsidR="00370ADA">
        <w:t>2</w:t>
      </w:r>
      <w:r w:rsidR="00E02D39">
        <w:t>8</w:t>
      </w:r>
      <w:r w:rsidRPr="009F3302">
        <w:t xml:space="preserve"> per cent below </w:t>
      </w:r>
      <w:r>
        <w:t xml:space="preserve">Ausgrid's </w:t>
      </w:r>
      <w:r w:rsidRPr="009F3302">
        <w:t xml:space="preserve">proposal </w:t>
      </w:r>
      <w:r>
        <w:t>for its distribution network and $</w:t>
      </w:r>
      <w:r w:rsidR="007614D6">
        <w:t>40</w:t>
      </w:r>
      <w:r w:rsidR="00370ADA">
        <w:t>2.0</w:t>
      </w:r>
      <w:r>
        <w:t xml:space="preserve"> million ($ nominal) o</w:t>
      </w:r>
      <w:r w:rsidR="00BD6113">
        <w:t>r</w:t>
      </w:r>
      <w:r>
        <w:t xml:space="preserve"> </w:t>
      </w:r>
      <w:r w:rsidR="007614D6">
        <w:t>28</w:t>
      </w:r>
      <w:r>
        <w:t xml:space="preserve"> per cent below Ausgrid's proposal for its transmission network. These revenues</w:t>
      </w:r>
      <w:r w:rsidRPr="009F3302">
        <w:t xml:space="preserve"> reflect the impact of our draft decision on the various building block costs. </w:t>
      </w:r>
      <w:r w:rsidR="007614D6">
        <w:fldChar w:fldCharType="begin"/>
      </w:r>
      <w:r w:rsidR="007614D6">
        <w:instrText xml:space="preserve"> REF _Ref403482882 \h </w:instrText>
      </w:r>
      <w:r w:rsidR="007614D6">
        <w:fldChar w:fldCharType="separate"/>
      </w:r>
      <w:r w:rsidR="00382E4F">
        <w:t xml:space="preserve">Figure </w:t>
      </w:r>
      <w:r w:rsidR="00382E4F">
        <w:rPr>
          <w:noProof/>
        </w:rPr>
        <w:t>1</w:t>
      </w:r>
      <w:r w:rsidR="00382E4F">
        <w:t>.</w:t>
      </w:r>
      <w:r w:rsidR="00382E4F">
        <w:rPr>
          <w:noProof/>
        </w:rPr>
        <w:t>3</w:t>
      </w:r>
      <w:r w:rsidR="007614D6">
        <w:fldChar w:fldCharType="end"/>
      </w:r>
      <w:r w:rsidRPr="009F3302">
        <w:t xml:space="preserve"> </w:t>
      </w:r>
      <w:r w:rsidR="00C467BF">
        <w:t xml:space="preserve">and </w:t>
      </w:r>
      <w:r w:rsidR="007614D6">
        <w:fldChar w:fldCharType="begin"/>
      </w:r>
      <w:r w:rsidR="007614D6">
        <w:instrText xml:space="preserve"> REF _Ref403482891 \h </w:instrText>
      </w:r>
      <w:r w:rsidR="007614D6">
        <w:fldChar w:fldCharType="separate"/>
      </w:r>
      <w:r w:rsidR="00382E4F">
        <w:t xml:space="preserve">Figure </w:t>
      </w:r>
      <w:r w:rsidR="00382E4F">
        <w:rPr>
          <w:noProof/>
        </w:rPr>
        <w:t>1</w:t>
      </w:r>
      <w:r w:rsidR="00382E4F">
        <w:t>.</w:t>
      </w:r>
      <w:r w:rsidR="00382E4F">
        <w:rPr>
          <w:noProof/>
        </w:rPr>
        <w:t>4</w:t>
      </w:r>
      <w:r w:rsidR="007614D6">
        <w:fldChar w:fldCharType="end"/>
      </w:r>
      <w:r w:rsidR="00C467BF">
        <w:t xml:space="preserve"> </w:t>
      </w:r>
      <w:r w:rsidRPr="009F3302">
        <w:t xml:space="preserve">show the difference between </w:t>
      </w:r>
      <w:r w:rsidR="00C467BF">
        <w:t>Ausgrid</w:t>
      </w:r>
      <w:r w:rsidRPr="009F3302">
        <w:t>'s proposed ARRs and our draft decision</w:t>
      </w:r>
      <w:r w:rsidR="00C467BF">
        <w:t xml:space="preserve"> for Ausgrid's distribution and transmission networks respectively</w:t>
      </w:r>
      <w:r w:rsidRPr="009F3302">
        <w:t>.</w:t>
      </w:r>
    </w:p>
    <w:p w:rsidR="00E77F29" w:rsidRDefault="009A3021" w:rsidP="009A3021">
      <w:pPr>
        <w:pStyle w:val="Caption"/>
      </w:pPr>
      <w:bookmarkStart w:id="27" w:name="_Ref403482882"/>
      <w:proofErr w:type="gramStart"/>
      <w:r>
        <w:lastRenderedPageBreak/>
        <w:t xml:space="preserve">Figure </w:t>
      </w:r>
      <w:proofErr w:type="gramEnd"/>
      <w:r w:rsidR="00382E4F">
        <w:fldChar w:fldCharType="begin"/>
      </w:r>
      <w:r w:rsidR="00382E4F">
        <w:instrText xml:space="preserve"> STYLEREF 1 \s </w:instrText>
      </w:r>
      <w:r w:rsidR="00382E4F">
        <w:fldChar w:fldCharType="separate"/>
      </w:r>
      <w:r w:rsidR="00382E4F">
        <w:rPr>
          <w:noProof/>
        </w:rPr>
        <w:t>1</w:t>
      </w:r>
      <w:r w:rsidR="00382E4F">
        <w:rPr>
          <w:noProof/>
        </w:rPr>
        <w:fldChar w:fldCharType="end"/>
      </w:r>
      <w:proofErr w:type="gramStart"/>
      <w:r w:rsidR="00CE4D1A">
        <w:t>.</w:t>
      </w:r>
      <w:proofErr w:type="gramEnd"/>
      <w:r w:rsidR="00382E4F">
        <w:fldChar w:fldCharType="begin"/>
      </w:r>
      <w:r w:rsidR="00382E4F">
        <w:instrText xml:space="preserve"> SEQ Figure \* ARABIC \s 1 </w:instrText>
      </w:r>
      <w:r w:rsidR="00382E4F">
        <w:fldChar w:fldCharType="separate"/>
      </w:r>
      <w:r w:rsidR="00382E4F">
        <w:rPr>
          <w:noProof/>
        </w:rPr>
        <w:t>3</w:t>
      </w:r>
      <w:r w:rsidR="00382E4F">
        <w:rPr>
          <w:noProof/>
        </w:rPr>
        <w:fldChar w:fldCharType="end"/>
      </w:r>
      <w:bookmarkEnd w:id="27"/>
      <w:r>
        <w:tab/>
      </w:r>
      <w:r w:rsidR="00E77F29">
        <w:t xml:space="preserve">AER's draft decision and Ausgrid's proposed annual revenue requirements </w:t>
      </w:r>
      <w:r w:rsidR="00BD6113">
        <w:t xml:space="preserve">– distribution </w:t>
      </w:r>
      <w:r w:rsidR="00E77F29">
        <w:t xml:space="preserve">($million, nominal) </w:t>
      </w:r>
    </w:p>
    <w:p w:rsidR="00E77F29" w:rsidRDefault="0021112A" w:rsidP="0021112A">
      <w:pPr>
        <w:pStyle w:val="AERbodytext"/>
      </w:pPr>
      <w:r w:rsidRPr="0021112A">
        <w:rPr>
          <w:noProof/>
          <w:lang w:eastAsia="en-AU"/>
        </w:rPr>
        <w:drawing>
          <wp:inline distT="0" distB="0" distL="0" distR="0" wp14:anchorId="5840181E" wp14:editId="2DEA251F">
            <wp:extent cx="4819857" cy="3552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8150" cy="3558938"/>
                    </a:xfrm>
                    <a:prstGeom prst="rect">
                      <a:avLst/>
                    </a:prstGeom>
                    <a:noFill/>
                    <a:ln>
                      <a:noFill/>
                    </a:ln>
                  </pic:spPr>
                </pic:pic>
              </a:graphicData>
            </a:graphic>
          </wp:inline>
        </w:drawing>
      </w:r>
    </w:p>
    <w:p w:rsidR="002370BB" w:rsidRPr="002370BB" w:rsidRDefault="009A3021" w:rsidP="002370BB">
      <w:pPr>
        <w:pStyle w:val="AERtablesource"/>
      </w:pPr>
      <w:r>
        <w:t>Source:</w:t>
      </w:r>
      <w:r w:rsidR="002370BB">
        <w:tab/>
      </w:r>
      <w:r w:rsidR="00645F0A" w:rsidRPr="002370BB">
        <w:t>AER analysis</w:t>
      </w:r>
      <w:r w:rsidR="00645F0A">
        <w:t xml:space="preserve">; </w:t>
      </w:r>
      <w:r w:rsidR="002370BB" w:rsidRPr="002370BB">
        <w:t xml:space="preserve">Ausgrid, </w:t>
      </w:r>
      <w:r w:rsidR="002370BB" w:rsidRPr="008624BE">
        <w:rPr>
          <w:rStyle w:val="AERtextitalic"/>
        </w:rPr>
        <w:t>Regulatory proposal</w:t>
      </w:r>
      <w:r w:rsidR="002370BB" w:rsidRPr="002370BB">
        <w:t xml:space="preserve">, May 2014, Attachment 4.01. </w:t>
      </w:r>
    </w:p>
    <w:p w:rsidR="00E77F29" w:rsidRDefault="002370BB" w:rsidP="002370BB">
      <w:pPr>
        <w:pStyle w:val="AERtablesource"/>
      </w:pPr>
      <w:r w:rsidRPr="002370BB">
        <w:tab/>
      </w:r>
    </w:p>
    <w:p w:rsidR="00E77F29" w:rsidRDefault="009A3021" w:rsidP="009A3021">
      <w:pPr>
        <w:pStyle w:val="Caption"/>
      </w:pPr>
      <w:bookmarkStart w:id="28" w:name="_Ref403482891"/>
      <w:proofErr w:type="gramStart"/>
      <w:r>
        <w:t xml:space="preserve">Figure </w:t>
      </w:r>
      <w:proofErr w:type="gramEnd"/>
      <w:r w:rsidR="00382E4F">
        <w:fldChar w:fldCharType="begin"/>
      </w:r>
      <w:r w:rsidR="00382E4F">
        <w:instrText xml:space="preserve"> STYLEREF 1 \s </w:instrText>
      </w:r>
      <w:r w:rsidR="00382E4F">
        <w:fldChar w:fldCharType="separate"/>
      </w:r>
      <w:r w:rsidR="00382E4F">
        <w:rPr>
          <w:noProof/>
        </w:rPr>
        <w:t>1</w:t>
      </w:r>
      <w:r w:rsidR="00382E4F">
        <w:rPr>
          <w:noProof/>
        </w:rPr>
        <w:fldChar w:fldCharType="end"/>
      </w:r>
      <w:proofErr w:type="gramStart"/>
      <w:r w:rsidR="00CE4D1A">
        <w:t>.</w:t>
      </w:r>
      <w:proofErr w:type="gramEnd"/>
      <w:r w:rsidR="00382E4F">
        <w:fldChar w:fldCharType="begin"/>
      </w:r>
      <w:r w:rsidR="00382E4F">
        <w:instrText xml:space="preserve"> SEQ Figure \* ARABIC \s 1 </w:instrText>
      </w:r>
      <w:r w:rsidR="00382E4F">
        <w:fldChar w:fldCharType="separate"/>
      </w:r>
      <w:r w:rsidR="00382E4F">
        <w:rPr>
          <w:noProof/>
        </w:rPr>
        <w:t>4</w:t>
      </w:r>
      <w:r w:rsidR="00382E4F">
        <w:rPr>
          <w:noProof/>
        </w:rPr>
        <w:fldChar w:fldCharType="end"/>
      </w:r>
      <w:bookmarkEnd w:id="28"/>
      <w:r>
        <w:tab/>
      </w:r>
      <w:r w:rsidR="00E77F29">
        <w:t>AER's draft decision and Ausgrid's proposed annual revenue requirement</w:t>
      </w:r>
      <w:r w:rsidR="00BD6113">
        <w:t>s</w:t>
      </w:r>
      <w:r w:rsidR="00E77F29">
        <w:t xml:space="preserve"> </w:t>
      </w:r>
      <w:r w:rsidR="00BD6113">
        <w:t xml:space="preserve">– transmission </w:t>
      </w:r>
      <w:r w:rsidR="00E77F29">
        <w:t xml:space="preserve">($million, nominal) </w:t>
      </w:r>
    </w:p>
    <w:p w:rsidR="00E77F29" w:rsidRDefault="0021112A" w:rsidP="0021112A">
      <w:pPr>
        <w:pStyle w:val="AERbodytext"/>
      </w:pPr>
      <w:r w:rsidRPr="0021112A">
        <w:rPr>
          <w:noProof/>
          <w:lang w:eastAsia="en-AU"/>
        </w:rPr>
        <w:drawing>
          <wp:inline distT="0" distB="0" distL="0" distR="0" wp14:anchorId="0A9ED129" wp14:editId="09CABC88">
            <wp:extent cx="4862894" cy="3590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2894" cy="3590925"/>
                    </a:xfrm>
                    <a:prstGeom prst="rect">
                      <a:avLst/>
                    </a:prstGeom>
                    <a:noFill/>
                    <a:ln>
                      <a:noFill/>
                    </a:ln>
                  </pic:spPr>
                </pic:pic>
              </a:graphicData>
            </a:graphic>
          </wp:inline>
        </w:drawing>
      </w:r>
    </w:p>
    <w:p w:rsidR="002370BB" w:rsidRDefault="009A3021" w:rsidP="009A3021">
      <w:pPr>
        <w:pStyle w:val="AERtablesource"/>
      </w:pPr>
      <w:r>
        <w:t>Source:</w:t>
      </w:r>
      <w:r w:rsidR="002370BB">
        <w:tab/>
      </w:r>
      <w:r w:rsidR="00645F0A">
        <w:t xml:space="preserve">AER analysis; </w:t>
      </w:r>
      <w:r w:rsidR="002370BB">
        <w:t xml:space="preserve">Ausgrid, </w:t>
      </w:r>
      <w:r w:rsidR="002370BB" w:rsidRPr="002370BB">
        <w:rPr>
          <w:rStyle w:val="AERtextitalic"/>
        </w:rPr>
        <w:t>Regulatory proposal</w:t>
      </w:r>
      <w:r w:rsidR="002370BB">
        <w:t>, May 2014, Attachment 4.0</w:t>
      </w:r>
      <w:r w:rsidR="008624BE">
        <w:t>2</w:t>
      </w:r>
      <w:r w:rsidR="002370BB">
        <w:t xml:space="preserve">. </w:t>
      </w:r>
    </w:p>
    <w:p w:rsidR="009A3021" w:rsidRDefault="002370BB" w:rsidP="009A3021">
      <w:pPr>
        <w:pStyle w:val="AERtablesource"/>
      </w:pPr>
      <w:r>
        <w:lastRenderedPageBreak/>
        <w:tab/>
      </w:r>
    </w:p>
    <w:p w:rsidR="00C467BF" w:rsidRPr="009F3302" w:rsidRDefault="00C467BF" w:rsidP="00C467BF">
      <w:pPr>
        <w:pStyle w:val="AERbodytext"/>
        <w:numPr>
          <w:ilvl w:val="0"/>
          <w:numId w:val="0"/>
        </w:numPr>
      </w:pPr>
      <w:r w:rsidRPr="00C467BF">
        <w:t xml:space="preserve">The most significant changes to </w:t>
      </w:r>
      <w:r>
        <w:t>Ausgrid</w:t>
      </w:r>
      <w:r w:rsidRPr="00C467BF">
        <w:t xml:space="preserve">'s proposal include: a lower rate of return of </w:t>
      </w:r>
      <w:r w:rsidR="00370ADA">
        <w:t>7.15</w:t>
      </w:r>
      <w:r w:rsidRPr="00C467BF">
        <w:t xml:space="preserve"> per cent (attachment </w:t>
      </w:r>
      <w:r w:rsidR="00BD6113">
        <w:t>3</w:t>
      </w:r>
      <w:r w:rsidRPr="00C467BF">
        <w:t xml:space="preserve">), a reduction in the capex allowance of </w:t>
      </w:r>
      <w:r w:rsidR="00370ADA">
        <w:t>44</w:t>
      </w:r>
      <w:r w:rsidRPr="00C467BF">
        <w:t xml:space="preserve"> per cent (attachment </w:t>
      </w:r>
      <w:r w:rsidR="00BD6113">
        <w:t>6</w:t>
      </w:r>
      <w:r w:rsidRPr="00C467BF">
        <w:t xml:space="preserve">), and a reduction in the opex allowance of </w:t>
      </w:r>
      <w:r w:rsidR="00370ADA">
        <w:t>39</w:t>
      </w:r>
      <w:r w:rsidRPr="00C467BF">
        <w:t xml:space="preserve"> per cent (attachment </w:t>
      </w:r>
      <w:r w:rsidR="00BD6113">
        <w:t>7</w:t>
      </w:r>
      <w:r w:rsidRPr="00C467BF">
        <w:t xml:space="preserve">). </w:t>
      </w:r>
    </w:p>
    <w:p w:rsidR="00C467BF" w:rsidRDefault="00C467BF" w:rsidP="00C467BF">
      <w:pPr>
        <w:pStyle w:val="Heading3"/>
      </w:pPr>
      <w:bookmarkStart w:id="29" w:name="_Ref403553894"/>
      <w:bookmarkStart w:id="30" w:name="_Toc404354909"/>
      <w:r>
        <w:t>Revenue adjustment for transitional year</w:t>
      </w:r>
      <w:bookmarkEnd w:id="29"/>
      <w:bookmarkEnd w:id="30"/>
    </w:p>
    <w:p w:rsidR="00C467BF" w:rsidRPr="001A0446" w:rsidRDefault="00C467BF" w:rsidP="001A0446">
      <w:pPr>
        <w:pStyle w:val="AERbodytext"/>
      </w:pPr>
      <w:r w:rsidRPr="001A0446">
        <w:t xml:space="preserve">We consider that </w:t>
      </w:r>
      <w:r w:rsidR="008624BE" w:rsidRPr="001A0446">
        <w:t xml:space="preserve">an </w:t>
      </w:r>
      <w:r w:rsidRPr="001A0446">
        <w:t>adjustment need</w:t>
      </w:r>
      <w:r w:rsidR="008624BE" w:rsidRPr="001A0446">
        <w:t>s</w:t>
      </w:r>
      <w:r w:rsidRPr="001A0446">
        <w:t xml:space="preserve"> to be made to the presentation of Ausgrid's proposal. </w:t>
      </w:r>
      <w:r w:rsidR="008624BE" w:rsidRPr="001A0446">
        <w:t xml:space="preserve">This adjustment </w:t>
      </w:r>
      <w:r w:rsidRPr="001A0446">
        <w:t>is to use th</w:t>
      </w:r>
      <w:r w:rsidR="008624BE" w:rsidRPr="001A0446">
        <w:t>e</w:t>
      </w:r>
      <w:r w:rsidRPr="001A0446">
        <w:t xml:space="preserve"> placeholder revenue for the 2014</w:t>
      </w:r>
      <w:r w:rsidR="009323BC" w:rsidRPr="001A0446">
        <w:t>–</w:t>
      </w:r>
      <w:r w:rsidRPr="001A0446">
        <w:t xml:space="preserve">15 transitional regulatory control </w:t>
      </w:r>
      <w:proofErr w:type="gramStart"/>
      <w:r w:rsidRPr="001A0446">
        <w:t>period</w:t>
      </w:r>
      <w:proofErr w:type="gramEnd"/>
      <w:r w:rsidRPr="001A0446">
        <w:t xml:space="preserve"> as the base from which to smooth the proposed expected revenues over the 2014</w:t>
      </w:r>
      <w:r w:rsidR="009323BC" w:rsidRPr="001A0446">
        <w:t>–</w:t>
      </w:r>
      <w:r w:rsidRPr="001A0446">
        <w:t>19 period. This is to take account of the difference between the placeholder revenue and the ARR determined for 2014</w:t>
      </w:r>
      <w:r w:rsidR="009323BC" w:rsidRPr="001A0446">
        <w:t>–</w:t>
      </w:r>
      <w:r w:rsidRPr="001A0446">
        <w:t>15 in this decision.</w:t>
      </w:r>
    </w:p>
    <w:p w:rsidR="00FD3B56" w:rsidRPr="001A0446" w:rsidRDefault="00C467BF" w:rsidP="001A0446">
      <w:pPr>
        <w:pStyle w:val="AERbodytext"/>
      </w:pPr>
      <w:r w:rsidRPr="001A0446">
        <w:t>In its transitional regulatory proposal, Ausgrid proposed ARR</w:t>
      </w:r>
      <w:r w:rsidR="00FD3B56" w:rsidRPr="001A0446">
        <w:t>s</w:t>
      </w:r>
      <w:r w:rsidRPr="001A0446">
        <w:t xml:space="preserve"> of $</w:t>
      </w:r>
      <w:r w:rsidR="007614D6" w:rsidRPr="001A0446">
        <w:t>20</w:t>
      </w:r>
      <w:r w:rsidR="00FD3B56" w:rsidRPr="001A0446">
        <w:t>78.0</w:t>
      </w:r>
      <w:r w:rsidRPr="001A0446">
        <w:t xml:space="preserve"> million </w:t>
      </w:r>
      <w:r w:rsidR="00FD3B56" w:rsidRPr="001A0446">
        <w:t xml:space="preserve">and $269.9 million </w:t>
      </w:r>
      <w:r w:rsidRPr="001A0446">
        <w:t>($</w:t>
      </w:r>
      <w:r w:rsidR="003C5E75" w:rsidRPr="001A0446">
        <w:t> </w:t>
      </w:r>
      <w:r w:rsidRPr="001A0446">
        <w:t>nominal) for 2014</w:t>
      </w:r>
      <w:r w:rsidR="009323BC" w:rsidRPr="001A0446">
        <w:t>–</w:t>
      </w:r>
      <w:r w:rsidRPr="001A0446">
        <w:t>15</w:t>
      </w:r>
      <w:r w:rsidR="00FD3B56" w:rsidRPr="001A0446">
        <w:t>,</w:t>
      </w:r>
      <w:r w:rsidR="002371CC" w:rsidRPr="001A0446">
        <w:t xml:space="preserve"> </w:t>
      </w:r>
      <w:r w:rsidR="00FD3B56" w:rsidRPr="001A0446">
        <w:t>in relation to its distribution and transmission networks respectively</w:t>
      </w:r>
      <w:r w:rsidRPr="001A0446">
        <w:t>.</w:t>
      </w:r>
      <w:r w:rsidRPr="001A0446">
        <w:rPr>
          <w:rStyle w:val="FootnoteReference"/>
          <w:vertAlign w:val="baseline"/>
        </w:rPr>
        <w:footnoteReference w:id="17"/>
      </w:r>
      <w:r w:rsidRPr="001A0446">
        <w:t xml:space="preserve"> We approved </w:t>
      </w:r>
      <w:r w:rsidR="00BD6113" w:rsidRPr="001A0446">
        <w:t xml:space="preserve">the </w:t>
      </w:r>
      <w:r w:rsidR="00FD3B56" w:rsidRPr="001A0446">
        <w:t xml:space="preserve">placeholder revenue for 2014–15 of </w:t>
      </w:r>
      <w:r w:rsidRPr="001A0446">
        <w:t>$</w:t>
      </w:r>
      <w:r w:rsidR="00FD3B56" w:rsidRPr="001A0446">
        <w:t>1956.4</w:t>
      </w:r>
      <w:r w:rsidRPr="001A0446">
        <w:t xml:space="preserve"> million ($ nominal) </w:t>
      </w:r>
      <w:r w:rsidR="00BD6113" w:rsidRPr="001A0446">
        <w:t>for</w:t>
      </w:r>
      <w:r w:rsidR="00FD3B56" w:rsidRPr="001A0446">
        <w:t xml:space="preserve"> Ausgrid's distribution network. We also approved $252.3 million ($ nominal) </w:t>
      </w:r>
      <w:r w:rsidRPr="001A0446">
        <w:t>as the placeholder revenue for 2014</w:t>
      </w:r>
      <w:r w:rsidR="009323BC" w:rsidRPr="001A0446">
        <w:t>–</w:t>
      </w:r>
      <w:r w:rsidRPr="001A0446">
        <w:t>15</w:t>
      </w:r>
      <w:r w:rsidR="00FD3B56" w:rsidRPr="001A0446">
        <w:t xml:space="preserve"> </w:t>
      </w:r>
      <w:r w:rsidR="00BD6113" w:rsidRPr="001A0446">
        <w:t>in relation to</w:t>
      </w:r>
      <w:r w:rsidR="00FD3B56" w:rsidRPr="001A0446">
        <w:t xml:space="preserve"> Ausgrid'</w:t>
      </w:r>
      <w:r w:rsidR="002371CC" w:rsidRPr="001A0446">
        <w:t>s</w:t>
      </w:r>
      <w:r w:rsidR="00FD3B56" w:rsidRPr="001A0446">
        <w:t xml:space="preserve"> transmission network</w:t>
      </w:r>
      <w:r w:rsidRPr="001A0446">
        <w:t>.</w:t>
      </w:r>
      <w:r w:rsidR="005B26A3" w:rsidRPr="001A0446">
        <w:rPr>
          <w:rStyle w:val="FootnoteReference"/>
          <w:vertAlign w:val="baseline"/>
        </w:rPr>
        <w:footnoteReference w:id="18"/>
      </w:r>
      <w:r w:rsidRPr="001A0446">
        <w:t xml:space="preserve"> </w:t>
      </w:r>
    </w:p>
    <w:p w:rsidR="00C467BF" w:rsidRPr="001A0446" w:rsidRDefault="00666707" w:rsidP="001A0446">
      <w:pPr>
        <w:pStyle w:val="AERbodytext"/>
      </w:pPr>
      <w:r w:rsidRPr="001A0446">
        <w:fldChar w:fldCharType="begin"/>
      </w:r>
      <w:r w:rsidRPr="001A0446">
        <w:instrText xml:space="preserve"> REF _Ref403484183 \h </w:instrText>
      </w:r>
      <w:r w:rsidR="001A0446" w:rsidRPr="001A0446">
        <w:instrText xml:space="preserve"> \* MERGEFORMAT </w:instrText>
      </w:r>
      <w:r w:rsidRPr="001A0446">
        <w:fldChar w:fldCharType="separate"/>
      </w:r>
      <w:r w:rsidR="00382E4F">
        <w:t>Table 1.6</w:t>
      </w:r>
      <w:r w:rsidRPr="001A0446">
        <w:fldChar w:fldCharType="end"/>
      </w:r>
      <w:r w:rsidRPr="001A0446">
        <w:t xml:space="preserve"> and</w:t>
      </w:r>
      <w:r w:rsidR="001A0446" w:rsidRPr="001A0446">
        <w:t xml:space="preserve"> </w:t>
      </w:r>
      <w:r w:rsidR="001A0446" w:rsidRPr="001A0446">
        <w:fldChar w:fldCharType="begin"/>
      </w:r>
      <w:r w:rsidR="001A0446" w:rsidRPr="001A0446">
        <w:instrText xml:space="preserve"> REF _Ref404354153 \h  \* MERGEFORMAT </w:instrText>
      </w:r>
      <w:r w:rsidR="001A0446" w:rsidRPr="001A0446">
        <w:fldChar w:fldCharType="separate"/>
      </w:r>
      <w:r w:rsidR="00382E4F">
        <w:t>Table 1.7</w:t>
      </w:r>
      <w:r w:rsidR="001A0446" w:rsidRPr="001A0446">
        <w:fldChar w:fldCharType="end"/>
      </w:r>
      <w:r w:rsidR="001A0446" w:rsidRPr="001A0446">
        <w:t xml:space="preserve"> </w:t>
      </w:r>
      <w:r w:rsidR="00C467BF" w:rsidRPr="001A0446">
        <w:t>show the proposed and approved placeholder revenue</w:t>
      </w:r>
      <w:r w:rsidRPr="001A0446">
        <w:t>s</w:t>
      </w:r>
      <w:r w:rsidR="00C467BF" w:rsidRPr="001A0446">
        <w:t xml:space="preserve"> for the 2014</w:t>
      </w:r>
      <w:r w:rsidR="00BD6113" w:rsidRPr="001A0446">
        <w:t>–</w:t>
      </w:r>
      <w:r w:rsidR="00C467BF" w:rsidRPr="001A0446">
        <w:t xml:space="preserve">15 transitional regulatory control </w:t>
      </w:r>
      <w:proofErr w:type="gramStart"/>
      <w:r w:rsidR="00C467BF" w:rsidRPr="001A0446">
        <w:t>period</w:t>
      </w:r>
      <w:proofErr w:type="gramEnd"/>
      <w:r w:rsidRPr="001A0446">
        <w:t xml:space="preserve"> for Ausgrid's distribution and transmission networks respectively</w:t>
      </w:r>
      <w:r w:rsidR="00C467BF" w:rsidRPr="001A0446">
        <w:t xml:space="preserve">. The </w:t>
      </w:r>
      <w:r w:rsidRPr="001A0446">
        <w:t xml:space="preserve">distribution placeholder </w:t>
      </w:r>
      <w:r w:rsidR="00C467BF" w:rsidRPr="001A0446">
        <w:t xml:space="preserve">revenue includes all costs associated with standard control services, including type 5 and 6 metering services and ancillary network services (ANS) which were re-classified from standard control services to </w:t>
      </w:r>
      <w:r w:rsidR="00BD6113" w:rsidRPr="001A0446">
        <w:t>alternative control services</w:t>
      </w:r>
      <w:r w:rsidR="00C467BF" w:rsidRPr="001A0446">
        <w:t xml:space="preserve"> as at 1 July 2014. </w:t>
      </w:r>
      <w:r w:rsidR="008624BE" w:rsidRPr="001A0446">
        <w:t>The transitional rules</w:t>
      </w:r>
      <w:r w:rsidR="00BD6113" w:rsidRPr="001A0446">
        <w:rPr>
          <w:rStyle w:val="FootnoteReference"/>
          <w:vertAlign w:val="baseline"/>
        </w:rPr>
        <w:footnoteReference w:id="19"/>
      </w:r>
      <w:r w:rsidR="008624BE" w:rsidRPr="001A0446">
        <w:t xml:space="preserve"> prevented the reallocation of type 5 and 6 and ANS costs in 2014–15 despite the change in classification from standard control services to </w:t>
      </w:r>
      <w:r w:rsidR="00BD6113" w:rsidRPr="001A0446">
        <w:t>alternative control services</w:t>
      </w:r>
      <w:r w:rsidR="008624BE" w:rsidRPr="001A0446">
        <w:t xml:space="preserve"> as at 1 July 2014.</w:t>
      </w:r>
      <w:r w:rsidR="008624BE" w:rsidRPr="001A0446">
        <w:rPr>
          <w:rStyle w:val="FootnoteReference"/>
          <w:vertAlign w:val="baseline"/>
        </w:rPr>
        <w:footnoteReference w:id="20"/>
      </w:r>
      <w:r w:rsidR="008624BE" w:rsidRPr="001A0446">
        <w:t xml:space="preserve">  </w:t>
      </w:r>
    </w:p>
    <w:p w:rsidR="005B26A3" w:rsidRDefault="0083510F" w:rsidP="0083510F">
      <w:pPr>
        <w:pStyle w:val="Caption"/>
      </w:pPr>
      <w:bookmarkStart w:id="31" w:name="_Ref403484183"/>
      <w:proofErr w:type="gramStart"/>
      <w:r>
        <w:t xml:space="preserve">Table </w:t>
      </w:r>
      <w:proofErr w:type="gramEnd"/>
      <w:r w:rsidR="00382E4F">
        <w:fldChar w:fldCharType="begin"/>
      </w:r>
      <w:r w:rsidR="00382E4F">
        <w:instrText xml:space="preserve"> STYLEREF 1 \s </w:instrText>
      </w:r>
      <w:r w:rsidR="00382E4F">
        <w:fldChar w:fldCharType="separate"/>
      </w:r>
      <w:r w:rsidR="00382E4F">
        <w:rPr>
          <w:noProof/>
        </w:rPr>
        <w:t>1</w:t>
      </w:r>
      <w:r w:rsidR="00382E4F">
        <w:rPr>
          <w:noProof/>
        </w:rPr>
        <w:fldChar w:fldCharType="end"/>
      </w:r>
      <w:proofErr w:type="gramStart"/>
      <w:r w:rsidR="00CE4D1A">
        <w:t>.</w:t>
      </w:r>
      <w:proofErr w:type="gramEnd"/>
      <w:r w:rsidR="00382E4F">
        <w:fldChar w:fldCharType="begin"/>
      </w:r>
      <w:r w:rsidR="00382E4F">
        <w:instrText xml:space="preserve"> SEQ Table \* ARABIC \s 1 </w:instrText>
      </w:r>
      <w:r w:rsidR="00382E4F">
        <w:fldChar w:fldCharType="separate"/>
      </w:r>
      <w:r w:rsidR="00382E4F">
        <w:rPr>
          <w:noProof/>
        </w:rPr>
        <w:t>6</w:t>
      </w:r>
      <w:r w:rsidR="00382E4F">
        <w:rPr>
          <w:noProof/>
        </w:rPr>
        <w:fldChar w:fldCharType="end"/>
      </w:r>
      <w:bookmarkEnd w:id="31"/>
      <w:r>
        <w:tab/>
        <w:t xml:space="preserve">Ausgrid's proposed transitional placeholder revenue and AER transitional determination for 2014–15 </w:t>
      </w:r>
      <w:r w:rsidR="00BD6113">
        <w:t xml:space="preserve">– distribution </w:t>
      </w:r>
      <w:r>
        <w:t>($ million, nominal)</w:t>
      </w:r>
      <w:r w:rsidR="004E2CFB">
        <w:t xml:space="preserve"> </w:t>
      </w:r>
    </w:p>
    <w:tbl>
      <w:tblPr>
        <w:tblStyle w:val="AERtable-numbers"/>
        <w:tblW w:w="9180" w:type="dxa"/>
        <w:tblLayout w:type="fixed"/>
        <w:tblLook w:val="04A0" w:firstRow="1" w:lastRow="0" w:firstColumn="1" w:lastColumn="0" w:noHBand="0" w:noVBand="1"/>
      </w:tblPr>
      <w:tblGrid>
        <w:gridCol w:w="3632"/>
        <w:gridCol w:w="2774"/>
        <w:gridCol w:w="2774"/>
      </w:tblGrid>
      <w:tr w:rsidR="003E0B0C" w:rsidRPr="00356B64" w:rsidTr="00413F4F">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632" w:type="dxa"/>
            <w:noWrap/>
            <w:hideMark/>
          </w:tcPr>
          <w:p w:rsidR="003E0B0C" w:rsidRPr="003E0B0C" w:rsidRDefault="003E0B0C" w:rsidP="003E0B0C">
            <w:pPr>
              <w:pStyle w:val="AERtabletextleft"/>
            </w:pPr>
            <w:r w:rsidRPr="003E0B0C">
              <w:t> </w:t>
            </w:r>
          </w:p>
        </w:tc>
        <w:tc>
          <w:tcPr>
            <w:tcW w:w="2774" w:type="dxa"/>
            <w:noWrap/>
            <w:hideMark/>
          </w:tcPr>
          <w:p w:rsidR="003E0B0C" w:rsidRPr="003E0B0C" w:rsidRDefault="003E0B0C" w:rsidP="003E0B0C">
            <w:pPr>
              <w:pStyle w:val="AERtabletextright"/>
              <w:cnfStyle w:val="100000000000" w:firstRow="1" w:lastRow="0" w:firstColumn="0" w:lastColumn="0" w:oddVBand="0" w:evenVBand="0" w:oddHBand="0" w:evenHBand="0" w:firstRowFirstColumn="0" w:firstRowLastColumn="0" w:lastRowFirstColumn="0" w:lastRowLastColumn="0"/>
            </w:pPr>
            <w:r w:rsidRPr="003E0B0C">
              <w:t>2013-14</w:t>
            </w:r>
          </w:p>
        </w:tc>
        <w:tc>
          <w:tcPr>
            <w:tcW w:w="2774" w:type="dxa"/>
            <w:noWrap/>
            <w:hideMark/>
          </w:tcPr>
          <w:p w:rsidR="003E0B0C" w:rsidRPr="003E0B0C" w:rsidRDefault="003E0B0C" w:rsidP="003E0B0C">
            <w:pPr>
              <w:pStyle w:val="AERtabletextright"/>
              <w:cnfStyle w:val="100000000000" w:firstRow="1" w:lastRow="0" w:firstColumn="0" w:lastColumn="0" w:oddVBand="0" w:evenVBand="0" w:oddHBand="0" w:evenHBand="0" w:firstRowFirstColumn="0" w:firstRowLastColumn="0" w:lastRowFirstColumn="0" w:lastRowLastColumn="0"/>
            </w:pPr>
            <w:r w:rsidRPr="003E0B0C">
              <w:t>2014-15</w:t>
            </w:r>
          </w:p>
        </w:tc>
      </w:tr>
      <w:tr w:rsidR="003E0B0C" w:rsidRPr="00356B64" w:rsidTr="00413F4F">
        <w:trPr>
          <w:trHeight w:val="196"/>
        </w:trPr>
        <w:tc>
          <w:tcPr>
            <w:cnfStyle w:val="001000000000" w:firstRow="0" w:lastRow="0" w:firstColumn="1" w:lastColumn="0" w:oddVBand="0" w:evenVBand="0" w:oddHBand="0" w:evenHBand="0" w:firstRowFirstColumn="0" w:firstRowLastColumn="0" w:lastRowFirstColumn="0" w:lastRowLastColumn="0"/>
            <w:tcW w:w="3632" w:type="dxa"/>
            <w:noWrap/>
            <w:hideMark/>
          </w:tcPr>
          <w:p w:rsidR="003E0B0C" w:rsidRPr="003E0B0C" w:rsidRDefault="003E0B0C" w:rsidP="00BD6113">
            <w:pPr>
              <w:pStyle w:val="AERtabletextleft"/>
            </w:pPr>
            <w:r>
              <w:t xml:space="preserve">Ausgrid </w:t>
            </w:r>
            <w:r w:rsidR="00666707">
              <w:t xml:space="preserve">transitional proposal </w:t>
            </w:r>
          </w:p>
        </w:tc>
        <w:tc>
          <w:tcPr>
            <w:tcW w:w="2774" w:type="dxa"/>
            <w:noWrap/>
            <w:hideMark/>
          </w:tcPr>
          <w:p w:rsidR="003E0B0C" w:rsidRPr="003E0B0C" w:rsidRDefault="003E0B0C" w:rsidP="003E0B0C">
            <w:pPr>
              <w:pStyle w:val="AERtabletextright"/>
              <w:cnfStyle w:val="000000000000" w:firstRow="0" w:lastRow="0" w:firstColumn="0" w:lastColumn="0" w:oddVBand="0" w:evenVBand="0" w:oddHBand="0" w:evenHBand="0" w:firstRowFirstColumn="0" w:firstRowLastColumn="0" w:lastRowFirstColumn="0" w:lastRowLastColumn="0"/>
            </w:pPr>
            <w:r w:rsidRPr="003E0B0C">
              <w:t>2 108.6</w:t>
            </w:r>
          </w:p>
        </w:tc>
        <w:tc>
          <w:tcPr>
            <w:tcW w:w="2774" w:type="dxa"/>
            <w:noWrap/>
            <w:hideMark/>
          </w:tcPr>
          <w:p w:rsidR="003E0B0C" w:rsidRPr="003E0B0C" w:rsidRDefault="003E0B0C" w:rsidP="003E0B0C">
            <w:pPr>
              <w:pStyle w:val="AERtabletextright"/>
              <w:cnfStyle w:val="000000000000" w:firstRow="0" w:lastRow="0" w:firstColumn="0" w:lastColumn="0" w:oddVBand="0" w:evenVBand="0" w:oddHBand="0" w:evenHBand="0" w:firstRowFirstColumn="0" w:firstRowLastColumn="0" w:lastRowFirstColumn="0" w:lastRowLastColumn="0"/>
            </w:pPr>
            <w:r w:rsidRPr="003E0B0C">
              <w:t>2 075.0</w:t>
            </w:r>
          </w:p>
        </w:tc>
      </w:tr>
      <w:tr w:rsidR="003E0B0C" w:rsidRPr="00356B64" w:rsidTr="00413F4F">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632" w:type="dxa"/>
            <w:noWrap/>
            <w:hideMark/>
          </w:tcPr>
          <w:p w:rsidR="003E0B0C" w:rsidRPr="003E0B0C" w:rsidRDefault="003E0B0C" w:rsidP="003E0B0C">
            <w:pPr>
              <w:pStyle w:val="AERtabletextleft"/>
            </w:pPr>
            <w:r w:rsidRPr="003E0B0C">
              <w:t>Change in revenues</w:t>
            </w:r>
          </w:p>
        </w:tc>
        <w:tc>
          <w:tcPr>
            <w:tcW w:w="2774" w:type="dxa"/>
            <w:noWrap/>
            <w:hideMark/>
          </w:tcPr>
          <w:p w:rsidR="003E0B0C" w:rsidRPr="003E0B0C" w:rsidRDefault="003E0B0C" w:rsidP="003E0B0C">
            <w:pPr>
              <w:pStyle w:val="AERtabletextright"/>
              <w:cnfStyle w:val="000000010000" w:firstRow="0" w:lastRow="0" w:firstColumn="0" w:lastColumn="0" w:oddVBand="0" w:evenVBand="0" w:oddHBand="0" w:evenHBand="1" w:firstRowFirstColumn="0" w:firstRowLastColumn="0" w:lastRowFirstColumn="0" w:lastRowLastColumn="0"/>
            </w:pPr>
            <w:r w:rsidRPr="003E0B0C">
              <w:t> </w:t>
            </w:r>
          </w:p>
        </w:tc>
        <w:tc>
          <w:tcPr>
            <w:tcW w:w="2774" w:type="dxa"/>
            <w:noWrap/>
            <w:hideMark/>
          </w:tcPr>
          <w:p w:rsidR="003E0B0C" w:rsidRPr="003E0B0C" w:rsidRDefault="003E0B0C" w:rsidP="003E0B0C">
            <w:pPr>
              <w:pStyle w:val="AERtabletextright"/>
              <w:cnfStyle w:val="000000010000" w:firstRow="0" w:lastRow="0" w:firstColumn="0" w:lastColumn="0" w:oddVBand="0" w:evenVBand="0" w:oddHBand="0" w:evenHBand="1" w:firstRowFirstColumn="0" w:firstRowLastColumn="0" w:lastRowFirstColumn="0" w:lastRowLastColumn="0"/>
            </w:pPr>
            <w:r>
              <w:t>–</w:t>
            </w:r>
            <w:r w:rsidRPr="003E0B0C">
              <w:t>1.6%</w:t>
            </w:r>
          </w:p>
        </w:tc>
      </w:tr>
      <w:tr w:rsidR="003E0B0C" w:rsidRPr="00356B64" w:rsidTr="00413F4F">
        <w:trPr>
          <w:trHeight w:val="196"/>
        </w:trPr>
        <w:tc>
          <w:tcPr>
            <w:cnfStyle w:val="001000000000" w:firstRow="0" w:lastRow="0" w:firstColumn="1" w:lastColumn="0" w:oddVBand="0" w:evenVBand="0" w:oddHBand="0" w:evenHBand="0" w:firstRowFirstColumn="0" w:firstRowLastColumn="0" w:lastRowFirstColumn="0" w:lastRowLastColumn="0"/>
            <w:tcW w:w="3632" w:type="dxa"/>
            <w:noWrap/>
            <w:hideMark/>
          </w:tcPr>
          <w:p w:rsidR="003E0B0C" w:rsidRPr="003E0B0C" w:rsidRDefault="003E0B0C" w:rsidP="00BD6113">
            <w:pPr>
              <w:pStyle w:val="AERtabletextleft"/>
            </w:pPr>
            <w:r w:rsidRPr="00356B64">
              <w:t>AER transitional de</w:t>
            </w:r>
            <w:r w:rsidR="00666707">
              <w:t>termination</w:t>
            </w:r>
            <w:r w:rsidRPr="00356B64">
              <w:t xml:space="preserve"> </w:t>
            </w:r>
          </w:p>
        </w:tc>
        <w:tc>
          <w:tcPr>
            <w:tcW w:w="2774" w:type="dxa"/>
            <w:noWrap/>
            <w:hideMark/>
          </w:tcPr>
          <w:p w:rsidR="003E0B0C" w:rsidRPr="003E0B0C" w:rsidRDefault="003E0B0C" w:rsidP="003E0B0C">
            <w:pPr>
              <w:pStyle w:val="AERtabletextright"/>
              <w:cnfStyle w:val="000000000000" w:firstRow="0" w:lastRow="0" w:firstColumn="0" w:lastColumn="0" w:oddVBand="0" w:evenVBand="0" w:oddHBand="0" w:evenHBand="0" w:firstRowFirstColumn="0" w:firstRowLastColumn="0" w:lastRowFirstColumn="0" w:lastRowLastColumn="0"/>
            </w:pPr>
            <w:r w:rsidRPr="003E0B0C">
              <w:t>2 108.6</w:t>
            </w:r>
          </w:p>
        </w:tc>
        <w:tc>
          <w:tcPr>
            <w:tcW w:w="2774" w:type="dxa"/>
            <w:noWrap/>
            <w:hideMark/>
          </w:tcPr>
          <w:p w:rsidR="003E0B0C" w:rsidRPr="003E0B0C" w:rsidRDefault="003E0B0C" w:rsidP="003E0B0C">
            <w:pPr>
              <w:pStyle w:val="AERtabletextright"/>
              <w:cnfStyle w:val="000000000000" w:firstRow="0" w:lastRow="0" w:firstColumn="0" w:lastColumn="0" w:oddVBand="0" w:evenVBand="0" w:oddHBand="0" w:evenHBand="0" w:firstRowFirstColumn="0" w:firstRowLastColumn="0" w:lastRowFirstColumn="0" w:lastRowLastColumn="0"/>
            </w:pPr>
            <w:r w:rsidRPr="003E0B0C">
              <w:t>1 956.4</w:t>
            </w:r>
          </w:p>
        </w:tc>
      </w:tr>
      <w:tr w:rsidR="003E0B0C" w:rsidRPr="00356B64" w:rsidTr="00413F4F">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632" w:type="dxa"/>
            <w:noWrap/>
            <w:hideMark/>
          </w:tcPr>
          <w:p w:rsidR="003E0B0C" w:rsidRPr="003E0B0C" w:rsidRDefault="003E0B0C" w:rsidP="003E0B0C">
            <w:pPr>
              <w:pStyle w:val="AERtabletextleft"/>
            </w:pPr>
            <w:r w:rsidRPr="003E0B0C">
              <w:t>Change in revenues</w:t>
            </w:r>
          </w:p>
        </w:tc>
        <w:tc>
          <w:tcPr>
            <w:tcW w:w="2774" w:type="dxa"/>
            <w:noWrap/>
            <w:hideMark/>
          </w:tcPr>
          <w:p w:rsidR="003E0B0C" w:rsidRPr="003E0B0C" w:rsidRDefault="003E0B0C" w:rsidP="003E0B0C">
            <w:pPr>
              <w:pStyle w:val="AERtabletextright"/>
              <w:cnfStyle w:val="000000010000" w:firstRow="0" w:lastRow="0" w:firstColumn="0" w:lastColumn="0" w:oddVBand="0" w:evenVBand="0" w:oddHBand="0" w:evenHBand="1" w:firstRowFirstColumn="0" w:firstRowLastColumn="0" w:lastRowFirstColumn="0" w:lastRowLastColumn="0"/>
            </w:pPr>
            <w:r w:rsidRPr="003E0B0C">
              <w:t> </w:t>
            </w:r>
          </w:p>
        </w:tc>
        <w:tc>
          <w:tcPr>
            <w:tcW w:w="2774" w:type="dxa"/>
            <w:noWrap/>
            <w:hideMark/>
          </w:tcPr>
          <w:p w:rsidR="003E0B0C" w:rsidRPr="003E0B0C" w:rsidRDefault="003E0B0C" w:rsidP="003E0B0C">
            <w:pPr>
              <w:pStyle w:val="AERtabletextright"/>
              <w:cnfStyle w:val="000000010000" w:firstRow="0" w:lastRow="0" w:firstColumn="0" w:lastColumn="0" w:oddVBand="0" w:evenVBand="0" w:oddHBand="0" w:evenHBand="1" w:firstRowFirstColumn="0" w:firstRowLastColumn="0" w:lastRowFirstColumn="0" w:lastRowLastColumn="0"/>
            </w:pPr>
            <w:r>
              <w:t>–</w:t>
            </w:r>
            <w:r w:rsidRPr="003E0B0C">
              <w:t>7.2%</w:t>
            </w:r>
          </w:p>
        </w:tc>
      </w:tr>
    </w:tbl>
    <w:p w:rsidR="004E2CFB" w:rsidRDefault="009323BC" w:rsidP="009323BC">
      <w:pPr>
        <w:pStyle w:val="AERtablesource"/>
      </w:pPr>
      <w:r>
        <w:t>Source:</w:t>
      </w:r>
      <w:r>
        <w:tab/>
      </w:r>
      <w:r w:rsidR="00666707">
        <w:t xml:space="preserve">Ausgrid, </w:t>
      </w:r>
      <w:r w:rsidR="00666707" w:rsidRPr="004E2CFB">
        <w:rPr>
          <w:rStyle w:val="AERtextitalic"/>
        </w:rPr>
        <w:t>Transitional regulatory proposal</w:t>
      </w:r>
      <w:r w:rsidR="00666707">
        <w:t xml:space="preserve">, January 2014, </w:t>
      </w:r>
      <w:r w:rsidR="004E2CFB">
        <w:t>Attachment A</w:t>
      </w:r>
      <w:r w:rsidR="00666707">
        <w:t xml:space="preserve">. </w:t>
      </w:r>
    </w:p>
    <w:p w:rsidR="003E0B0C" w:rsidRDefault="004E2CFB" w:rsidP="009323BC">
      <w:pPr>
        <w:pStyle w:val="AERtablesource"/>
      </w:pPr>
      <w:r>
        <w:tab/>
      </w:r>
      <w:proofErr w:type="gramStart"/>
      <w:r>
        <w:t>AER analysis.</w:t>
      </w:r>
      <w:proofErr w:type="gramEnd"/>
    </w:p>
    <w:p w:rsidR="00645F0A" w:rsidRDefault="00645F0A">
      <w:pPr>
        <w:spacing w:after="0" w:line="240" w:lineRule="auto"/>
        <w:jc w:val="left"/>
        <w:rPr>
          <w:rFonts w:eastAsia="Times New Roman"/>
          <w:b/>
          <w:bCs/>
          <w:szCs w:val="18"/>
        </w:rPr>
      </w:pPr>
      <w:bookmarkStart w:id="32" w:name="_Ref401572349"/>
      <w:r>
        <w:br w:type="page"/>
      </w:r>
    </w:p>
    <w:p w:rsidR="00C467BF" w:rsidRDefault="00493D4E" w:rsidP="00493D4E">
      <w:pPr>
        <w:pStyle w:val="Caption"/>
      </w:pPr>
      <w:bookmarkStart w:id="33" w:name="_Ref404354153"/>
      <w:proofErr w:type="gramStart"/>
      <w:r>
        <w:lastRenderedPageBreak/>
        <w:t xml:space="preserve">Table </w:t>
      </w:r>
      <w:proofErr w:type="gramEnd"/>
      <w:r w:rsidR="00382E4F">
        <w:fldChar w:fldCharType="begin"/>
      </w:r>
      <w:r w:rsidR="00382E4F">
        <w:instrText xml:space="preserve"> STYLEREF 1 \s </w:instrText>
      </w:r>
      <w:r w:rsidR="00382E4F">
        <w:fldChar w:fldCharType="separate"/>
      </w:r>
      <w:r w:rsidR="00382E4F">
        <w:rPr>
          <w:noProof/>
        </w:rPr>
        <w:t>1</w:t>
      </w:r>
      <w:r w:rsidR="00382E4F">
        <w:rPr>
          <w:noProof/>
        </w:rPr>
        <w:fldChar w:fldCharType="end"/>
      </w:r>
      <w:proofErr w:type="gramStart"/>
      <w:r w:rsidR="00CE4D1A">
        <w:t>.</w:t>
      </w:r>
      <w:proofErr w:type="gramEnd"/>
      <w:r w:rsidR="00382E4F">
        <w:fldChar w:fldCharType="begin"/>
      </w:r>
      <w:r w:rsidR="00382E4F">
        <w:instrText xml:space="preserve"> SEQ Table \* ARABIC \s 1 </w:instrText>
      </w:r>
      <w:r w:rsidR="00382E4F">
        <w:fldChar w:fldCharType="separate"/>
      </w:r>
      <w:r w:rsidR="00382E4F">
        <w:rPr>
          <w:noProof/>
        </w:rPr>
        <w:t>7</w:t>
      </w:r>
      <w:r w:rsidR="00382E4F">
        <w:rPr>
          <w:noProof/>
        </w:rPr>
        <w:fldChar w:fldCharType="end"/>
      </w:r>
      <w:bookmarkEnd w:id="32"/>
      <w:bookmarkEnd w:id="33"/>
      <w:r>
        <w:tab/>
        <w:t xml:space="preserve">Ausgrid's proposed </w:t>
      </w:r>
      <w:r w:rsidR="004E2CFB">
        <w:t xml:space="preserve">transitional placeholder revenue and AER transitional determination for </w:t>
      </w:r>
      <w:r>
        <w:t xml:space="preserve">2014–15 </w:t>
      </w:r>
      <w:r w:rsidR="00BD6113">
        <w:t xml:space="preserve">– transmission </w:t>
      </w:r>
      <w:r>
        <w:t>($million, nominal)</w:t>
      </w:r>
      <w:r w:rsidR="004E2CFB">
        <w:t xml:space="preserve"> </w:t>
      </w:r>
    </w:p>
    <w:tbl>
      <w:tblPr>
        <w:tblStyle w:val="AERtable-numbers"/>
        <w:tblW w:w="9180" w:type="dxa"/>
        <w:tblLayout w:type="fixed"/>
        <w:tblLook w:val="04A0" w:firstRow="1" w:lastRow="0" w:firstColumn="1" w:lastColumn="0" w:noHBand="0" w:noVBand="1"/>
      </w:tblPr>
      <w:tblGrid>
        <w:gridCol w:w="3641"/>
        <w:gridCol w:w="2769"/>
        <w:gridCol w:w="2770"/>
      </w:tblGrid>
      <w:tr w:rsidR="003E0B0C" w:rsidRPr="00356B64" w:rsidTr="00413F4F">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641" w:type="dxa"/>
            <w:noWrap/>
            <w:hideMark/>
          </w:tcPr>
          <w:p w:rsidR="003E0B0C" w:rsidRPr="003E0B0C" w:rsidRDefault="003E0B0C" w:rsidP="003E0B0C">
            <w:pPr>
              <w:pStyle w:val="AERtabletextleft"/>
            </w:pPr>
            <w:r w:rsidRPr="003E0B0C">
              <w:t> </w:t>
            </w:r>
          </w:p>
        </w:tc>
        <w:tc>
          <w:tcPr>
            <w:tcW w:w="2769" w:type="dxa"/>
            <w:noWrap/>
            <w:hideMark/>
          </w:tcPr>
          <w:p w:rsidR="003E0B0C" w:rsidRPr="003E0B0C" w:rsidRDefault="003E0B0C" w:rsidP="003E0B0C">
            <w:pPr>
              <w:pStyle w:val="AERtabletextright"/>
              <w:cnfStyle w:val="100000000000" w:firstRow="1" w:lastRow="0" w:firstColumn="0" w:lastColumn="0" w:oddVBand="0" w:evenVBand="0" w:oddHBand="0" w:evenHBand="0" w:firstRowFirstColumn="0" w:firstRowLastColumn="0" w:lastRowFirstColumn="0" w:lastRowLastColumn="0"/>
            </w:pPr>
            <w:r w:rsidRPr="003E0B0C">
              <w:t>2013-14</w:t>
            </w:r>
          </w:p>
        </w:tc>
        <w:tc>
          <w:tcPr>
            <w:tcW w:w="2770" w:type="dxa"/>
            <w:noWrap/>
            <w:hideMark/>
          </w:tcPr>
          <w:p w:rsidR="003E0B0C" w:rsidRPr="003E0B0C" w:rsidRDefault="003E0B0C" w:rsidP="003E0B0C">
            <w:pPr>
              <w:pStyle w:val="AERtabletextright"/>
              <w:cnfStyle w:val="100000000000" w:firstRow="1" w:lastRow="0" w:firstColumn="0" w:lastColumn="0" w:oddVBand="0" w:evenVBand="0" w:oddHBand="0" w:evenHBand="0" w:firstRowFirstColumn="0" w:firstRowLastColumn="0" w:lastRowFirstColumn="0" w:lastRowLastColumn="0"/>
            </w:pPr>
            <w:r w:rsidRPr="003E0B0C">
              <w:t>2014-15</w:t>
            </w:r>
          </w:p>
        </w:tc>
      </w:tr>
      <w:tr w:rsidR="003E0B0C" w:rsidRPr="00356B64" w:rsidTr="00413F4F">
        <w:trPr>
          <w:trHeight w:val="180"/>
        </w:trPr>
        <w:tc>
          <w:tcPr>
            <w:cnfStyle w:val="001000000000" w:firstRow="0" w:lastRow="0" w:firstColumn="1" w:lastColumn="0" w:oddVBand="0" w:evenVBand="0" w:oddHBand="0" w:evenHBand="0" w:firstRowFirstColumn="0" w:firstRowLastColumn="0" w:lastRowFirstColumn="0" w:lastRowLastColumn="0"/>
            <w:tcW w:w="3641" w:type="dxa"/>
            <w:noWrap/>
            <w:hideMark/>
          </w:tcPr>
          <w:p w:rsidR="003E0B0C" w:rsidRPr="003E0B0C" w:rsidRDefault="003E0B0C" w:rsidP="004E2CFB">
            <w:pPr>
              <w:pStyle w:val="AERtabletextleft"/>
            </w:pPr>
            <w:r>
              <w:t xml:space="preserve">Ausgrid </w:t>
            </w:r>
            <w:r w:rsidR="004E2CFB">
              <w:t xml:space="preserve">transitional proposal </w:t>
            </w:r>
          </w:p>
        </w:tc>
        <w:tc>
          <w:tcPr>
            <w:tcW w:w="2769" w:type="dxa"/>
            <w:noWrap/>
            <w:hideMark/>
          </w:tcPr>
          <w:p w:rsidR="003E0B0C" w:rsidRPr="003E0B0C" w:rsidRDefault="004E2CFB" w:rsidP="004E2CFB">
            <w:pPr>
              <w:pStyle w:val="AERtabletextright"/>
              <w:cnfStyle w:val="000000000000" w:firstRow="0" w:lastRow="0" w:firstColumn="0" w:lastColumn="0" w:oddVBand="0" w:evenVBand="0" w:oddHBand="0" w:evenHBand="0" w:firstRowFirstColumn="0" w:firstRowLastColumn="0" w:lastRowFirstColumn="0" w:lastRowLastColumn="0"/>
            </w:pPr>
            <w:r>
              <w:t>268.5</w:t>
            </w:r>
          </w:p>
        </w:tc>
        <w:tc>
          <w:tcPr>
            <w:tcW w:w="2770" w:type="dxa"/>
            <w:noWrap/>
            <w:hideMark/>
          </w:tcPr>
          <w:p w:rsidR="003E0B0C" w:rsidRPr="003E0B0C" w:rsidRDefault="004E2CFB" w:rsidP="004E2CFB">
            <w:pPr>
              <w:pStyle w:val="AERtabletextright"/>
              <w:cnfStyle w:val="000000000000" w:firstRow="0" w:lastRow="0" w:firstColumn="0" w:lastColumn="0" w:oddVBand="0" w:evenVBand="0" w:oddHBand="0" w:evenHBand="0" w:firstRowFirstColumn="0" w:firstRowLastColumn="0" w:lastRowFirstColumn="0" w:lastRowLastColumn="0"/>
            </w:pPr>
            <w:r>
              <w:t>269.9</w:t>
            </w:r>
            <w:r w:rsidR="003E0B0C" w:rsidRPr="003E0B0C">
              <w:t>0</w:t>
            </w:r>
          </w:p>
        </w:tc>
      </w:tr>
      <w:tr w:rsidR="003E0B0C" w:rsidRPr="00356B64" w:rsidTr="00413F4F">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641" w:type="dxa"/>
            <w:noWrap/>
            <w:hideMark/>
          </w:tcPr>
          <w:p w:rsidR="003E0B0C" w:rsidRPr="003E0B0C" w:rsidRDefault="003E0B0C" w:rsidP="003E0B0C">
            <w:pPr>
              <w:pStyle w:val="AERtabletextleft"/>
            </w:pPr>
            <w:r w:rsidRPr="003E0B0C">
              <w:t>Change in revenues</w:t>
            </w:r>
          </w:p>
        </w:tc>
        <w:tc>
          <w:tcPr>
            <w:tcW w:w="2769" w:type="dxa"/>
            <w:noWrap/>
            <w:hideMark/>
          </w:tcPr>
          <w:p w:rsidR="003E0B0C" w:rsidRPr="003E0B0C" w:rsidRDefault="003E0B0C" w:rsidP="003E0B0C">
            <w:pPr>
              <w:pStyle w:val="AERtabletextright"/>
              <w:cnfStyle w:val="000000010000" w:firstRow="0" w:lastRow="0" w:firstColumn="0" w:lastColumn="0" w:oddVBand="0" w:evenVBand="0" w:oddHBand="0" w:evenHBand="1" w:firstRowFirstColumn="0" w:firstRowLastColumn="0" w:lastRowFirstColumn="0" w:lastRowLastColumn="0"/>
            </w:pPr>
            <w:r w:rsidRPr="003E0B0C">
              <w:t> </w:t>
            </w:r>
          </w:p>
        </w:tc>
        <w:tc>
          <w:tcPr>
            <w:tcW w:w="2770" w:type="dxa"/>
            <w:noWrap/>
            <w:hideMark/>
          </w:tcPr>
          <w:p w:rsidR="003E0B0C" w:rsidRPr="003E0B0C" w:rsidRDefault="004E2CFB" w:rsidP="004E2CFB">
            <w:pPr>
              <w:pStyle w:val="AERtabletextright"/>
              <w:cnfStyle w:val="000000010000" w:firstRow="0" w:lastRow="0" w:firstColumn="0" w:lastColumn="0" w:oddVBand="0" w:evenVBand="0" w:oddHBand="0" w:evenHBand="1" w:firstRowFirstColumn="0" w:firstRowLastColumn="0" w:lastRowFirstColumn="0" w:lastRowLastColumn="0"/>
            </w:pPr>
            <w:r>
              <w:t>0.5</w:t>
            </w:r>
            <w:r w:rsidR="003E0B0C" w:rsidRPr="003E0B0C">
              <w:t>%</w:t>
            </w:r>
          </w:p>
        </w:tc>
      </w:tr>
      <w:tr w:rsidR="003E0B0C" w:rsidRPr="00356B64" w:rsidTr="00413F4F">
        <w:trPr>
          <w:trHeight w:val="180"/>
        </w:trPr>
        <w:tc>
          <w:tcPr>
            <w:cnfStyle w:val="001000000000" w:firstRow="0" w:lastRow="0" w:firstColumn="1" w:lastColumn="0" w:oddVBand="0" w:evenVBand="0" w:oddHBand="0" w:evenHBand="0" w:firstRowFirstColumn="0" w:firstRowLastColumn="0" w:lastRowFirstColumn="0" w:lastRowLastColumn="0"/>
            <w:tcW w:w="3641" w:type="dxa"/>
            <w:noWrap/>
            <w:hideMark/>
          </w:tcPr>
          <w:p w:rsidR="003E0B0C" w:rsidRPr="003E0B0C" w:rsidRDefault="003E0B0C" w:rsidP="004E2CFB">
            <w:pPr>
              <w:pStyle w:val="AERtabletextleft"/>
            </w:pPr>
            <w:r w:rsidRPr="00356B64">
              <w:t>AER transitional de</w:t>
            </w:r>
            <w:r w:rsidR="004E2CFB">
              <w:t>termination</w:t>
            </w:r>
          </w:p>
        </w:tc>
        <w:tc>
          <w:tcPr>
            <w:tcW w:w="2769" w:type="dxa"/>
            <w:noWrap/>
            <w:hideMark/>
          </w:tcPr>
          <w:p w:rsidR="003E0B0C" w:rsidRPr="003E0B0C" w:rsidRDefault="004E2CFB" w:rsidP="004E2CFB">
            <w:pPr>
              <w:pStyle w:val="AERtabletextright"/>
              <w:cnfStyle w:val="000000000000" w:firstRow="0" w:lastRow="0" w:firstColumn="0" w:lastColumn="0" w:oddVBand="0" w:evenVBand="0" w:oddHBand="0" w:evenHBand="0" w:firstRowFirstColumn="0" w:firstRowLastColumn="0" w:lastRowFirstColumn="0" w:lastRowLastColumn="0"/>
            </w:pPr>
            <w:r>
              <w:t>268.5</w:t>
            </w:r>
          </w:p>
        </w:tc>
        <w:tc>
          <w:tcPr>
            <w:tcW w:w="2770" w:type="dxa"/>
            <w:noWrap/>
            <w:hideMark/>
          </w:tcPr>
          <w:p w:rsidR="003E0B0C" w:rsidRPr="003E0B0C" w:rsidRDefault="004E2CFB" w:rsidP="004E2CFB">
            <w:pPr>
              <w:pStyle w:val="AERtabletextright"/>
              <w:cnfStyle w:val="000000000000" w:firstRow="0" w:lastRow="0" w:firstColumn="0" w:lastColumn="0" w:oddVBand="0" w:evenVBand="0" w:oddHBand="0" w:evenHBand="0" w:firstRowFirstColumn="0" w:firstRowLastColumn="0" w:lastRowFirstColumn="0" w:lastRowLastColumn="0"/>
            </w:pPr>
            <w:r>
              <w:t>252.3</w:t>
            </w:r>
          </w:p>
        </w:tc>
      </w:tr>
      <w:tr w:rsidR="003E0B0C" w:rsidRPr="00356B64" w:rsidTr="00413F4F">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641" w:type="dxa"/>
            <w:noWrap/>
            <w:hideMark/>
          </w:tcPr>
          <w:p w:rsidR="003E0B0C" w:rsidRPr="003E0B0C" w:rsidRDefault="003E0B0C" w:rsidP="003E0B0C">
            <w:pPr>
              <w:pStyle w:val="AERtabletextleft"/>
            </w:pPr>
            <w:r w:rsidRPr="003E0B0C">
              <w:t>Change in revenues</w:t>
            </w:r>
          </w:p>
        </w:tc>
        <w:tc>
          <w:tcPr>
            <w:tcW w:w="2769" w:type="dxa"/>
            <w:noWrap/>
            <w:hideMark/>
          </w:tcPr>
          <w:p w:rsidR="003E0B0C" w:rsidRPr="003E0B0C" w:rsidRDefault="003E0B0C" w:rsidP="003E0B0C">
            <w:pPr>
              <w:pStyle w:val="AERtabletextright"/>
              <w:cnfStyle w:val="000000010000" w:firstRow="0" w:lastRow="0" w:firstColumn="0" w:lastColumn="0" w:oddVBand="0" w:evenVBand="0" w:oddHBand="0" w:evenHBand="1" w:firstRowFirstColumn="0" w:firstRowLastColumn="0" w:lastRowFirstColumn="0" w:lastRowLastColumn="0"/>
            </w:pPr>
            <w:r w:rsidRPr="003E0B0C">
              <w:t> </w:t>
            </w:r>
          </w:p>
        </w:tc>
        <w:tc>
          <w:tcPr>
            <w:tcW w:w="2770" w:type="dxa"/>
            <w:noWrap/>
            <w:hideMark/>
          </w:tcPr>
          <w:p w:rsidR="003E0B0C" w:rsidRPr="003E0B0C" w:rsidRDefault="003E0B0C" w:rsidP="004E2CFB">
            <w:pPr>
              <w:pStyle w:val="AERtabletextright"/>
              <w:cnfStyle w:val="000000010000" w:firstRow="0" w:lastRow="0" w:firstColumn="0" w:lastColumn="0" w:oddVBand="0" w:evenVBand="0" w:oddHBand="0" w:evenHBand="1" w:firstRowFirstColumn="0" w:firstRowLastColumn="0" w:lastRowFirstColumn="0" w:lastRowLastColumn="0"/>
            </w:pPr>
            <w:r>
              <w:t>–</w:t>
            </w:r>
            <w:r w:rsidR="004E2CFB">
              <w:t>6.0</w:t>
            </w:r>
            <w:r w:rsidRPr="003E0B0C">
              <w:t>%</w:t>
            </w:r>
          </w:p>
        </w:tc>
      </w:tr>
    </w:tbl>
    <w:p w:rsidR="004E2CFB" w:rsidRPr="004E2CFB" w:rsidRDefault="004E2CFB" w:rsidP="004E2CFB">
      <w:pPr>
        <w:pStyle w:val="AERtablesource"/>
      </w:pPr>
      <w:r w:rsidRPr="004E2CFB">
        <w:t>Source:</w:t>
      </w:r>
      <w:r w:rsidRPr="004E2CFB">
        <w:tab/>
        <w:t xml:space="preserve">Ausgrid, </w:t>
      </w:r>
      <w:r w:rsidRPr="004E2CFB">
        <w:rPr>
          <w:rStyle w:val="AERtextitalic"/>
        </w:rPr>
        <w:t>Transitional regulatory proposal</w:t>
      </w:r>
      <w:r w:rsidRPr="004E2CFB">
        <w:t xml:space="preserve">, January 2014, Attachment </w:t>
      </w:r>
      <w:r>
        <w:t>B</w:t>
      </w:r>
      <w:r w:rsidRPr="004E2CFB">
        <w:t xml:space="preserve">. </w:t>
      </w:r>
    </w:p>
    <w:p w:rsidR="003E0B0C" w:rsidRDefault="004E2CFB" w:rsidP="004E2CFB">
      <w:pPr>
        <w:pStyle w:val="AERtablesource"/>
      </w:pPr>
      <w:r w:rsidRPr="004E2CFB">
        <w:tab/>
      </w:r>
      <w:proofErr w:type="gramStart"/>
      <w:r w:rsidRPr="004E2CFB">
        <w:t>AER analysis.</w:t>
      </w:r>
      <w:proofErr w:type="gramEnd"/>
    </w:p>
    <w:p w:rsidR="00446442" w:rsidRPr="00446442" w:rsidRDefault="00446442" w:rsidP="00446442">
      <w:pPr>
        <w:pStyle w:val="AERbodytext"/>
      </w:pPr>
      <w:r w:rsidRPr="00446442">
        <w:t>We consider that the adjusted 2014</w:t>
      </w:r>
      <w:r w:rsidR="00BD6113">
        <w:t>–</w:t>
      </w:r>
      <w:r w:rsidRPr="00446442">
        <w:t>15 placeholder revenue</w:t>
      </w:r>
      <w:r w:rsidR="00B5439E">
        <w:t>s</w:t>
      </w:r>
      <w:r w:rsidRPr="00446442">
        <w:t xml:space="preserve"> of $</w:t>
      </w:r>
      <w:r w:rsidR="00B5439E">
        <w:t>1956.4</w:t>
      </w:r>
      <w:r w:rsidRPr="00446442">
        <w:t xml:space="preserve"> million </w:t>
      </w:r>
      <w:r w:rsidR="00ED2ADF">
        <w:t xml:space="preserve">and $252.3 million </w:t>
      </w:r>
      <w:r w:rsidRPr="00446442">
        <w:t>($</w:t>
      </w:r>
      <w:r w:rsidR="003C5E75">
        <w:t> </w:t>
      </w:r>
      <w:r w:rsidRPr="00446442">
        <w:t xml:space="preserve">nominal) </w:t>
      </w:r>
      <w:r w:rsidR="00B5439E">
        <w:t xml:space="preserve">for Ausgrid's distribution </w:t>
      </w:r>
      <w:r w:rsidR="00ED2ADF">
        <w:t xml:space="preserve">and transmission </w:t>
      </w:r>
      <w:r w:rsidR="00B5439E">
        <w:t>network</w:t>
      </w:r>
      <w:r w:rsidR="00ED2ADF">
        <w:t>s</w:t>
      </w:r>
      <w:r w:rsidR="00B5439E">
        <w:t xml:space="preserve"> </w:t>
      </w:r>
      <w:r w:rsidR="00BD6113">
        <w:t xml:space="preserve">respectively </w:t>
      </w:r>
      <w:r w:rsidRPr="00446442">
        <w:t xml:space="preserve">provide the appropriate base against which </w:t>
      </w:r>
      <w:r>
        <w:t>Ausgrid</w:t>
      </w:r>
      <w:r w:rsidRPr="00446442">
        <w:t>'s proposal and our draft decision can be compared. To do otherwise would be to effectively ignore the 2014</w:t>
      </w:r>
      <w:r w:rsidR="00BD6113">
        <w:t>–</w:t>
      </w:r>
      <w:r w:rsidRPr="00446442">
        <w:t>15 transitional determination and the price impacts it has had for 2014</w:t>
      </w:r>
      <w:r w:rsidR="00BD6113">
        <w:t>–</w:t>
      </w:r>
      <w:r w:rsidRPr="00446442">
        <w:t xml:space="preserve">15 as part of the true-up requirement. Because </w:t>
      </w:r>
      <w:r>
        <w:t>Ausgrid</w:t>
      </w:r>
      <w:r w:rsidRPr="00446442">
        <w:t xml:space="preserve"> has not accounted for th</w:t>
      </w:r>
      <w:r w:rsidR="00BD6113">
        <w:t>e</w:t>
      </w:r>
      <w:r w:rsidRPr="00446442">
        <w:t>s</w:t>
      </w:r>
      <w:r w:rsidR="00BD6113">
        <w:t>e</w:t>
      </w:r>
      <w:r w:rsidRPr="00446442">
        <w:t xml:space="preserve"> lower approved placeholder revenue</w:t>
      </w:r>
      <w:r w:rsidR="00ED2ADF">
        <w:t>s</w:t>
      </w:r>
      <w:r w:rsidRPr="00446442">
        <w:t xml:space="preserve"> for 2014</w:t>
      </w:r>
      <w:r w:rsidR="00BD6113">
        <w:t>–</w:t>
      </w:r>
      <w:r w:rsidRPr="00446442">
        <w:t xml:space="preserve">15 in its proposal, we have recalculated </w:t>
      </w:r>
      <w:r>
        <w:t>Ausgrid</w:t>
      </w:r>
      <w:r w:rsidRPr="00446442">
        <w:t>'s smoothed expected revenues.</w:t>
      </w:r>
      <w:r w:rsidR="00BF0FCA">
        <w:rPr>
          <w:rStyle w:val="FootnoteReference"/>
        </w:rPr>
        <w:footnoteReference w:id="21"/>
      </w:r>
      <w:r w:rsidRPr="00446442">
        <w:t xml:space="preserve"> We have done this recalculation by adjusting </w:t>
      </w:r>
      <w:r>
        <w:t>Ausgrid'</w:t>
      </w:r>
      <w:r w:rsidRPr="00446442">
        <w:t>s proposed X factor for 2015</w:t>
      </w:r>
      <w:r w:rsidR="00BD6113">
        <w:t>–</w:t>
      </w:r>
      <w:r w:rsidRPr="00446442">
        <w:t xml:space="preserve">16 (the other years' X factors are as proposed), to ensure NPV neutrality between these adjusted smoothed proposal revenues and the unadjusted smoothed proposal revenues. This recalculation is required to allow </w:t>
      </w:r>
      <w:r>
        <w:t>Ausgrid</w:t>
      </w:r>
      <w:r w:rsidRPr="00446442">
        <w:t xml:space="preserve">'s proposal </w:t>
      </w:r>
      <w:r w:rsidR="00ED2ADF">
        <w:t xml:space="preserve">for its distribution and transmission networks </w:t>
      </w:r>
      <w:r w:rsidRPr="00446442">
        <w:t>to be comparable with our draft decision, which accounts for the true-up.</w:t>
      </w:r>
    </w:p>
    <w:p w:rsidR="00B5439E" w:rsidRDefault="00446442" w:rsidP="00446442">
      <w:pPr>
        <w:pStyle w:val="AERbodytext"/>
      </w:pPr>
      <w:r w:rsidRPr="00446442">
        <w:t xml:space="preserve">Based on the building block costs determined in this decision and taking account of the need to do  the true-up for </w:t>
      </w:r>
      <w:r>
        <w:t>Ausgrid</w:t>
      </w:r>
      <w:r w:rsidRPr="00446442">
        <w:t xml:space="preserve"> when smoothing the expected revenues over the 2015</w:t>
      </w:r>
      <w:r w:rsidR="00BD6113">
        <w:t>–</w:t>
      </w:r>
      <w:r w:rsidRPr="00446442">
        <w:t>19 period, we first set the expected revenue</w:t>
      </w:r>
      <w:r w:rsidR="00B5439E">
        <w:t>s</w:t>
      </w:r>
      <w:r w:rsidRPr="00446442">
        <w:t xml:space="preserve"> for the first regulatory year (2014</w:t>
      </w:r>
      <w:r w:rsidR="00BD6113">
        <w:t>–</w:t>
      </w:r>
      <w:r w:rsidRPr="00446442">
        <w:t xml:space="preserve">15) </w:t>
      </w:r>
      <w:r w:rsidR="00B5439E">
        <w:t>as follows:</w:t>
      </w:r>
    </w:p>
    <w:p w:rsidR="00B5439E" w:rsidRDefault="00B5439E" w:rsidP="00B5439E">
      <w:pPr>
        <w:pStyle w:val="AERbulletlistfirststyle"/>
      </w:pPr>
      <w:r>
        <w:t xml:space="preserve">For Ausgrid's distribution network the expected revenue is set to </w:t>
      </w:r>
      <w:r w:rsidR="00446442" w:rsidRPr="00446442">
        <w:t>$</w:t>
      </w:r>
      <w:r>
        <w:t>1956.4</w:t>
      </w:r>
      <w:r w:rsidR="00446442" w:rsidRPr="00446442">
        <w:t xml:space="preserve"> million ($ nominal).</w:t>
      </w:r>
    </w:p>
    <w:p w:rsidR="00B5439E" w:rsidRDefault="00B5439E" w:rsidP="00B5439E">
      <w:pPr>
        <w:pStyle w:val="AERbulletlistfirststyle"/>
      </w:pPr>
      <w:r>
        <w:t xml:space="preserve">For Ausgrid's transmission network the expected revenue is set to $252.3 million ($ nominal). </w:t>
      </w:r>
    </w:p>
    <w:p w:rsidR="00446442" w:rsidRPr="00446442" w:rsidRDefault="00446442" w:rsidP="00494EBC">
      <w:pPr>
        <w:pStyle w:val="AERbodytext"/>
      </w:pPr>
      <w:r w:rsidRPr="00446442">
        <w:t>Th</w:t>
      </w:r>
      <w:r w:rsidR="002A72E3">
        <w:t xml:space="preserve">ese are </w:t>
      </w:r>
      <w:r w:rsidRPr="00446442">
        <w:t>equal to the placeholder revenue</w:t>
      </w:r>
      <w:r w:rsidR="00B5439E">
        <w:t>s</w:t>
      </w:r>
      <w:r w:rsidRPr="00446442">
        <w:t xml:space="preserve"> for 2014</w:t>
      </w:r>
      <w:r w:rsidR="00494EBC">
        <w:t>–</w:t>
      </w:r>
      <w:r w:rsidRPr="00446442">
        <w:t>15</w:t>
      </w:r>
      <w:r w:rsidR="002A72E3">
        <w:t xml:space="preserve">. We have determined </w:t>
      </w:r>
      <w:r w:rsidR="00312D5F">
        <w:t>ARRs (unsmoothed)</w:t>
      </w:r>
      <w:r w:rsidR="002A72E3">
        <w:t xml:space="preserve"> of $</w:t>
      </w:r>
      <w:r w:rsidR="00C26943">
        <w:t>1541.9</w:t>
      </w:r>
      <w:r w:rsidR="002A72E3">
        <w:t xml:space="preserve"> million and $</w:t>
      </w:r>
      <w:r w:rsidR="00C26943">
        <w:t>195.8</w:t>
      </w:r>
      <w:r w:rsidR="002A72E3">
        <w:t xml:space="preserve"> million for Ausgrid's distribution and transmission network</w:t>
      </w:r>
      <w:r w:rsidR="00312D5F">
        <w:t>s</w:t>
      </w:r>
      <w:r w:rsidR="002A72E3">
        <w:t xml:space="preserve"> respectively. Our </w:t>
      </w:r>
      <w:r w:rsidR="00312D5F">
        <w:t xml:space="preserve">draft </w:t>
      </w:r>
      <w:r w:rsidR="002A72E3">
        <w:t xml:space="preserve">decision ARRs are </w:t>
      </w:r>
      <w:r w:rsidRPr="00446442">
        <w:t>$</w:t>
      </w:r>
      <w:r w:rsidR="00B5439E">
        <w:t>4</w:t>
      </w:r>
      <w:r w:rsidR="00C26943">
        <w:t>14</w:t>
      </w:r>
      <w:r w:rsidR="00B5439E">
        <w:t>.</w:t>
      </w:r>
      <w:r w:rsidR="00C26943">
        <w:t>5</w:t>
      </w:r>
      <w:r w:rsidRPr="00446442">
        <w:t xml:space="preserve"> million </w:t>
      </w:r>
      <w:r w:rsidR="00B5439E">
        <w:t>and $56.</w:t>
      </w:r>
      <w:r w:rsidR="00C26943">
        <w:t>5</w:t>
      </w:r>
      <w:r w:rsidR="00B5439E">
        <w:t xml:space="preserve"> </w:t>
      </w:r>
      <w:r w:rsidR="002A72E3">
        <w:t xml:space="preserve">lower </w:t>
      </w:r>
      <w:r w:rsidRPr="00446442">
        <w:t>than the 2014</w:t>
      </w:r>
      <w:r w:rsidR="00494EBC">
        <w:t>–</w:t>
      </w:r>
      <w:r w:rsidRPr="00446442">
        <w:t xml:space="preserve">15 </w:t>
      </w:r>
      <w:r w:rsidR="00312D5F">
        <w:t xml:space="preserve">placeholder </w:t>
      </w:r>
      <w:r w:rsidR="008624BE">
        <w:t>we determined</w:t>
      </w:r>
      <w:r w:rsidR="00494EBC">
        <w:t xml:space="preserve"> in th</w:t>
      </w:r>
      <w:r w:rsidR="00312D5F">
        <w:t>e</w:t>
      </w:r>
      <w:r w:rsidR="00494EBC">
        <w:t xml:space="preserve"> </w:t>
      </w:r>
      <w:r w:rsidR="00312D5F">
        <w:t xml:space="preserve">transitional </w:t>
      </w:r>
      <w:r w:rsidR="00494EBC">
        <w:t>decision</w:t>
      </w:r>
      <w:r w:rsidR="00312D5F">
        <w:t>s</w:t>
      </w:r>
      <w:r w:rsidR="00494EBC">
        <w:t xml:space="preserve"> for Ausgrid's distribution and transmission networks respectively.</w:t>
      </w:r>
      <w:r w:rsidR="00494EBC" w:rsidRPr="00446442" w:rsidDel="00494EBC">
        <w:t xml:space="preserve"> </w:t>
      </w:r>
      <w:r w:rsidR="008624BE">
        <w:t>T</w:t>
      </w:r>
      <w:r w:rsidRPr="00446442">
        <w:t>he</w:t>
      </w:r>
      <w:r w:rsidR="00494EBC">
        <w:t>se</w:t>
      </w:r>
      <w:r w:rsidRPr="00446442">
        <w:t xml:space="preserve"> difference</w:t>
      </w:r>
      <w:r w:rsidR="00494EBC">
        <w:t>s</w:t>
      </w:r>
      <w:r w:rsidRPr="00446442">
        <w:t xml:space="preserve"> </w:t>
      </w:r>
      <w:r w:rsidR="00494EBC">
        <w:t>represent the</w:t>
      </w:r>
      <w:r w:rsidRPr="00446442">
        <w:t xml:space="preserve"> </w:t>
      </w:r>
      <w:r w:rsidR="008624BE">
        <w:t>amount</w:t>
      </w:r>
      <w:r w:rsidR="00494EBC">
        <w:t>s</w:t>
      </w:r>
      <w:r w:rsidR="008624BE">
        <w:t xml:space="preserve"> to be returned to customers over the 2015–19 regulatory control </w:t>
      </w:r>
      <w:proofErr w:type="gramStart"/>
      <w:r w:rsidR="008624BE">
        <w:t>period</w:t>
      </w:r>
      <w:proofErr w:type="gramEnd"/>
      <w:r w:rsidR="008624BE">
        <w:t xml:space="preserve">. </w:t>
      </w:r>
      <w:r w:rsidR="00494EBC">
        <w:t xml:space="preserve">We then applied a profile of X factors to determine </w:t>
      </w:r>
      <w:r w:rsidR="008624BE">
        <w:t xml:space="preserve">the </w:t>
      </w:r>
      <w:r w:rsidR="00494EBC">
        <w:t>expected revenue i</w:t>
      </w:r>
      <w:r w:rsidR="00F96D26">
        <w:t>n</w:t>
      </w:r>
      <w:r w:rsidR="00494EBC">
        <w:t xml:space="preserve"> subsequent years. This is achieved as part of the smoothing process to determine the appropriate </w:t>
      </w:r>
      <w:r w:rsidR="008624BE">
        <w:t>X factors for 2015–19 regu</w:t>
      </w:r>
      <w:r w:rsidR="00997FD8">
        <w:t>lat</w:t>
      </w:r>
      <w:r w:rsidR="008624BE">
        <w:t xml:space="preserve">ory control </w:t>
      </w:r>
      <w:proofErr w:type="gramStart"/>
      <w:r w:rsidR="008624BE">
        <w:t>period</w:t>
      </w:r>
      <w:proofErr w:type="gramEnd"/>
      <w:r w:rsidR="008624BE">
        <w:t>.</w:t>
      </w:r>
      <w:r w:rsidR="00E606D6">
        <w:rPr>
          <w:rStyle w:val="FootnoteReference"/>
        </w:rPr>
        <w:footnoteReference w:id="22"/>
      </w:r>
      <w:r w:rsidRPr="00446442">
        <w:t xml:space="preserve"> </w:t>
      </w:r>
    </w:p>
    <w:p w:rsidR="00294715" w:rsidRPr="00294715" w:rsidRDefault="00294715" w:rsidP="00294715">
      <w:pPr>
        <w:pStyle w:val="AERbodytext"/>
      </w:pPr>
      <w:r w:rsidRPr="00294715">
        <w:t xml:space="preserve">We consider that our profile of X factors is reasonable given the shortened regulatory control period and the required true-up for 2014–15. In the present circumstances, based on the X factors we have determined for </w:t>
      </w:r>
      <w:r>
        <w:t>Ausgrid</w:t>
      </w:r>
      <w:r w:rsidRPr="00294715">
        <w:t xml:space="preserve">, the difference between the expected revenue and ARR for 2018–19 is around </w:t>
      </w:r>
      <w:r w:rsidR="00E02D39">
        <w:t>4.0</w:t>
      </w:r>
      <w:r w:rsidRPr="00294715">
        <w:t xml:space="preserve"> per cent</w:t>
      </w:r>
      <w:r w:rsidR="00E02D39">
        <w:t xml:space="preserve"> and 3.2</w:t>
      </w:r>
      <w:r>
        <w:t xml:space="preserve"> per cent for distribution and transmission respectively</w:t>
      </w:r>
      <w:r w:rsidRPr="00294715">
        <w:t>. While th</w:t>
      </w:r>
      <w:r>
        <w:t xml:space="preserve">ese </w:t>
      </w:r>
      <w:r w:rsidRPr="00294715">
        <w:t>divergence</w:t>
      </w:r>
      <w:r>
        <w:t>s</w:t>
      </w:r>
      <w:r w:rsidRPr="00294715">
        <w:t xml:space="preserve"> </w:t>
      </w:r>
      <w:r>
        <w:t>are</w:t>
      </w:r>
      <w:r w:rsidRPr="00294715">
        <w:t xml:space="preserve"> significant, </w:t>
      </w:r>
      <w:r>
        <w:t>the smoothing</w:t>
      </w:r>
      <w:r w:rsidRPr="00294715">
        <w:t xml:space="preserve"> avoids the situation of a larger price decrease in 2015–16 followed by </w:t>
      </w:r>
      <w:r w:rsidRPr="00294715">
        <w:lastRenderedPageBreak/>
        <w:t>significant price increases for the remaining three years of the regulatory control period. We will review this smoothing for the final decision if necessary.</w:t>
      </w:r>
    </w:p>
    <w:p w:rsidR="009B6EC8" w:rsidRDefault="009B6EC8" w:rsidP="00446442">
      <w:pPr>
        <w:pStyle w:val="AERbodytext"/>
      </w:pPr>
      <w:r w:rsidRPr="00513686">
        <w:t xml:space="preserve">We note that Ausgrid's transmission network has an under-recovery of $20 million in its allowed </w:t>
      </w:r>
      <w:r>
        <w:t>transmission revenue</w:t>
      </w:r>
      <w:r w:rsidRPr="00513686">
        <w:t xml:space="preserve"> for 2013–14.</w:t>
      </w:r>
      <w:r>
        <w:rPr>
          <w:rStyle w:val="FootnoteReference"/>
        </w:rPr>
        <w:footnoteReference w:id="23"/>
      </w:r>
      <w:r w:rsidRPr="00513686">
        <w:t xml:space="preserve"> Under a revenue cap Ausgrid can recover this amount in </w:t>
      </w:r>
      <w:r>
        <w:t>future</w:t>
      </w:r>
      <w:r w:rsidRPr="00513686">
        <w:t xml:space="preserve"> years. We have no role in considering the regulatory treatment of this under-recovery in this decision. Any decision by Ausgrid to recover this revenue in later years would affect transmission prices for its customer</w:t>
      </w:r>
      <w:r>
        <w:t>s</w:t>
      </w:r>
      <w:r w:rsidRPr="00513686">
        <w:t xml:space="preserve"> independently of our determination for the 2014–19 </w:t>
      </w:r>
      <w:proofErr w:type="gramStart"/>
      <w:r w:rsidRPr="00513686">
        <w:t>period</w:t>
      </w:r>
      <w:proofErr w:type="gramEnd"/>
      <w:r w:rsidRPr="00513686">
        <w:t>.</w:t>
      </w:r>
    </w:p>
    <w:p w:rsidR="00EF79C4" w:rsidRDefault="001A0446" w:rsidP="00446442">
      <w:pPr>
        <w:pStyle w:val="AERbodytext"/>
      </w:pPr>
      <w:r>
        <w:fldChar w:fldCharType="begin"/>
      </w:r>
      <w:r>
        <w:instrText xml:space="preserve"> REF _Ref401572826 \h </w:instrText>
      </w:r>
      <w:r>
        <w:fldChar w:fldCharType="separate"/>
      </w:r>
      <w:r w:rsidR="00382E4F">
        <w:t xml:space="preserve">Table </w:t>
      </w:r>
      <w:r w:rsidR="00382E4F">
        <w:rPr>
          <w:noProof/>
        </w:rPr>
        <w:t>1</w:t>
      </w:r>
      <w:r w:rsidR="00382E4F">
        <w:t>.</w:t>
      </w:r>
      <w:r w:rsidR="00382E4F">
        <w:rPr>
          <w:noProof/>
        </w:rPr>
        <w:t>8</w:t>
      </w:r>
      <w:r>
        <w:fldChar w:fldCharType="end"/>
      </w:r>
      <w:r>
        <w:t xml:space="preserve"> </w:t>
      </w:r>
      <w:r w:rsidR="00312D5F">
        <w:t xml:space="preserve">and </w:t>
      </w:r>
      <w:r w:rsidR="00312D5F">
        <w:fldChar w:fldCharType="begin"/>
      </w:r>
      <w:r w:rsidR="00312D5F">
        <w:instrText xml:space="preserve"> REF _Ref401572837 \h </w:instrText>
      </w:r>
      <w:r w:rsidR="00312D5F">
        <w:fldChar w:fldCharType="separate"/>
      </w:r>
      <w:r w:rsidR="00382E4F">
        <w:t xml:space="preserve">Table </w:t>
      </w:r>
      <w:r w:rsidR="00382E4F">
        <w:rPr>
          <w:noProof/>
        </w:rPr>
        <w:t>1</w:t>
      </w:r>
      <w:r w:rsidR="00382E4F">
        <w:t>.</w:t>
      </w:r>
      <w:r w:rsidR="00382E4F">
        <w:rPr>
          <w:noProof/>
        </w:rPr>
        <w:t>9</w:t>
      </w:r>
      <w:r w:rsidR="00312D5F">
        <w:fldChar w:fldCharType="end"/>
      </w:r>
      <w:r w:rsidR="00E606D6">
        <w:t xml:space="preserve"> </w:t>
      </w:r>
      <w:r w:rsidR="00446442" w:rsidRPr="00446442">
        <w:t xml:space="preserve">show the expected revenues (smoothed) of </w:t>
      </w:r>
      <w:r w:rsidR="00446442">
        <w:t>Ausgrid's</w:t>
      </w:r>
      <w:r w:rsidR="00446442" w:rsidRPr="00446442">
        <w:t xml:space="preserve"> proposal and our draft decision expected revenues (smoothed)</w:t>
      </w:r>
      <w:r w:rsidR="00446442">
        <w:t xml:space="preserve"> for Ausgrid's distribution and transmission networks respectively</w:t>
      </w:r>
      <w:r w:rsidR="00446442" w:rsidRPr="00446442">
        <w:t>. Both use the 2014</w:t>
      </w:r>
      <w:r w:rsidR="00F96D26">
        <w:t>–</w:t>
      </w:r>
      <w:r w:rsidR="00446442" w:rsidRPr="00446442">
        <w:t>15 placeholder revenue as a base to account for the proposed</w:t>
      </w:r>
      <w:r w:rsidR="00F96D26">
        <w:t>/determined</w:t>
      </w:r>
      <w:r w:rsidR="00494EBC">
        <w:t xml:space="preserve"> </w:t>
      </w:r>
      <w:r w:rsidR="00446442" w:rsidRPr="00446442">
        <w:t>true-ups.</w:t>
      </w:r>
    </w:p>
    <w:p w:rsidR="00446442" w:rsidRDefault="00493D4E" w:rsidP="00493D4E">
      <w:pPr>
        <w:pStyle w:val="Caption"/>
      </w:pPr>
      <w:bookmarkStart w:id="34" w:name="_Ref401572826"/>
      <w:proofErr w:type="gramStart"/>
      <w:r>
        <w:t xml:space="preserve">Table </w:t>
      </w:r>
      <w:proofErr w:type="gramEnd"/>
      <w:r w:rsidR="00382E4F">
        <w:fldChar w:fldCharType="begin"/>
      </w:r>
      <w:r w:rsidR="00382E4F">
        <w:instrText xml:space="preserve"> STYLEREF 1 \s </w:instrText>
      </w:r>
      <w:r w:rsidR="00382E4F">
        <w:fldChar w:fldCharType="separate"/>
      </w:r>
      <w:r w:rsidR="00382E4F">
        <w:rPr>
          <w:noProof/>
        </w:rPr>
        <w:t>1</w:t>
      </w:r>
      <w:r w:rsidR="00382E4F">
        <w:rPr>
          <w:noProof/>
        </w:rPr>
        <w:fldChar w:fldCharType="end"/>
      </w:r>
      <w:proofErr w:type="gramStart"/>
      <w:r w:rsidR="00CE4D1A">
        <w:t>.</w:t>
      </w:r>
      <w:proofErr w:type="gramEnd"/>
      <w:r w:rsidR="00382E4F">
        <w:fldChar w:fldCharType="begin"/>
      </w:r>
      <w:r w:rsidR="00382E4F">
        <w:instrText xml:space="preserve"> SEQ Table \* ARABIC \s 1 </w:instrText>
      </w:r>
      <w:r w:rsidR="00382E4F">
        <w:fldChar w:fldCharType="separate"/>
      </w:r>
      <w:r w:rsidR="00382E4F">
        <w:rPr>
          <w:noProof/>
        </w:rPr>
        <w:t>8</w:t>
      </w:r>
      <w:r w:rsidR="00382E4F">
        <w:rPr>
          <w:noProof/>
        </w:rPr>
        <w:fldChar w:fldCharType="end"/>
      </w:r>
      <w:bookmarkEnd w:id="34"/>
      <w:r>
        <w:tab/>
        <w:t xml:space="preserve">Ausgrid's adjusted and AER's draft decision smoothed expected revenues for </w:t>
      </w:r>
      <w:r w:rsidR="00F96D26">
        <w:t xml:space="preserve">the </w:t>
      </w:r>
      <w:r>
        <w:t xml:space="preserve">2014–19 period </w:t>
      </w:r>
      <w:r w:rsidR="00F96D26">
        <w:t xml:space="preserve">– distribution </w:t>
      </w:r>
      <w:r>
        <w:t xml:space="preserve">($million, nominal) </w:t>
      </w:r>
    </w:p>
    <w:tbl>
      <w:tblPr>
        <w:tblStyle w:val="AERtable-numbers"/>
        <w:tblW w:w="9242" w:type="dxa"/>
        <w:tblLook w:val="04A0" w:firstRow="1" w:lastRow="0" w:firstColumn="1" w:lastColumn="0" w:noHBand="0" w:noVBand="1"/>
      </w:tblPr>
      <w:tblGrid>
        <w:gridCol w:w="3349"/>
        <w:gridCol w:w="1258"/>
        <w:gridCol w:w="1258"/>
        <w:gridCol w:w="1125"/>
        <w:gridCol w:w="1126"/>
        <w:gridCol w:w="1126"/>
      </w:tblGrid>
      <w:tr w:rsidR="00493D4E" w:rsidRPr="00356B64" w:rsidTr="00493D4E">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49" w:type="dxa"/>
            <w:noWrap/>
            <w:hideMark/>
          </w:tcPr>
          <w:p w:rsidR="00493D4E" w:rsidRPr="003E0B0C" w:rsidRDefault="00493D4E" w:rsidP="003E0B0C">
            <w:pPr>
              <w:pStyle w:val="AERtabletextleft"/>
            </w:pPr>
            <w:r w:rsidRPr="003E0B0C">
              <w:t> </w:t>
            </w:r>
          </w:p>
        </w:tc>
        <w:tc>
          <w:tcPr>
            <w:tcW w:w="1258" w:type="dxa"/>
            <w:noWrap/>
            <w:hideMark/>
          </w:tcPr>
          <w:p w:rsidR="00493D4E" w:rsidRPr="003E0B0C" w:rsidRDefault="00493D4E" w:rsidP="00493D4E">
            <w:pPr>
              <w:pStyle w:val="AERtabletextright"/>
              <w:cnfStyle w:val="100000000000" w:firstRow="1" w:lastRow="0" w:firstColumn="0" w:lastColumn="0" w:oddVBand="0" w:evenVBand="0" w:oddHBand="0" w:evenHBand="0" w:firstRowFirstColumn="0" w:firstRowLastColumn="0" w:lastRowFirstColumn="0" w:lastRowLastColumn="0"/>
            </w:pPr>
            <w:r w:rsidRPr="003E0B0C">
              <w:t>2014</w:t>
            </w:r>
            <w:r>
              <w:t>–15</w:t>
            </w:r>
          </w:p>
        </w:tc>
        <w:tc>
          <w:tcPr>
            <w:tcW w:w="1258" w:type="dxa"/>
            <w:noWrap/>
            <w:hideMark/>
          </w:tcPr>
          <w:p w:rsidR="00493D4E" w:rsidRPr="003E0B0C" w:rsidRDefault="00493D4E" w:rsidP="003E0B0C">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125" w:type="dxa"/>
          </w:tcPr>
          <w:p w:rsidR="00493D4E" w:rsidRPr="003E0B0C" w:rsidRDefault="00493D4E" w:rsidP="003E0B0C">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126" w:type="dxa"/>
          </w:tcPr>
          <w:p w:rsidR="00493D4E" w:rsidRPr="003E0B0C" w:rsidRDefault="00493D4E" w:rsidP="003E0B0C">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126" w:type="dxa"/>
          </w:tcPr>
          <w:p w:rsidR="00493D4E" w:rsidRPr="003E0B0C" w:rsidRDefault="00493D4E" w:rsidP="003E0B0C">
            <w:pPr>
              <w:pStyle w:val="AERtabletextright"/>
              <w:cnfStyle w:val="100000000000" w:firstRow="1" w:lastRow="0" w:firstColumn="0" w:lastColumn="0" w:oddVBand="0" w:evenVBand="0" w:oddHBand="0" w:evenHBand="0" w:firstRowFirstColumn="0" w:firstRowLastColumn="0" w:lastRowFirstColumn="0" w:lastRowLastColumn="0"/>
            </w:pPr>
            <w:r>
              <w:t>2018–19</w:t>
            </w:r>
          </w:p>
        </w:tc>
      </w:tr>
      <w:tr w:rsidR="002A72E3" w:rsidRPr="00356B64" w:rsidTr="00514891">
        <w:trPr>
          <w:trHeight w:val="190"/>
        </w:trPr>
        <w:tc>
          <w:tcPr>
            <w:cnfStyle w:val="001000000000" w:firstRow="0" w:lastRow="0" w:firstColumn="1" w:lastColumn="0" w:oddVBand="0" w:evenVBand="0" w:oddHBand="0" w:evenHBand="0" w:firstRowFirstColumn="0" w:firstRowLastColumn="0" w:lastRowFirstColumn="0" w:lastRowLastColumn="0"/>
            <w:tcW w:w="3349" w:type="dxa"/>
            <w:noWrap/>
            <w:hideMark/>
          </w:tcPr>
          <w:p w:rsidR="002A72E3" w:rsidRPr="002A72E3" w:rsidRDefault="002A72E3" w:rsidP="00B16151">
            <w:pPr>
              <w:pStyle w:val="AERtabletextleft"/>
            </w:pPr>
            <w:r w:rsidRPr="002A72E3">
              <w:t>Ausgrid's adjusted proposal</w:t>
            </w:r>
          </w:p>
        </w:tc>
        <w:tc>
          <w:tcPr>
            <w:tcW w:w="1258" w:type="dxa"/>
            <w:noWrap/>
            <w:vAlign w:val="top"/>
            <w:hideMark/>
          </w:tcPr>
          <w:p w:rsidR="002A72E3" w:rsidRPr="002A72E3" w:rsidRDefault="002A72E3" w:rsidP="002A72E3">
            <w:pPr>
              <w:pStyle w:val="AERtabletextright"/>
              <w:cnfStyle w:val="000000000000" w:firstRow="0" w:lastRow="0" w:firstColumn="0" w:lastColumn="0" w:oddVBand="0" w:evenVBand="0" w:oddHBand="0" w:evenHBand="0" w:firstRowFirstColumn="0" w:firstRowLastColumn="0" w:lastRowFirstColumn="0" w:lastRowLastColumn="0"/>
            </w:pPr>
            <w:r w:rsidRPr="002A72E3">
              <w:t>1956.4</w:t>
            </w:r>
          </w:p>
        </w:tc>
        <w:tc>
          <w:tcPr>
            <w:tcW w:w="1258" w:type="dxa"/>
            <w:noWrap/>
            <w:vAlign w:val="top"/>
            <w:hideMark/>
          </w:tcPr>
          <w:p w:rsidR="002A72E3" w:rsidRPr="002A72E3" w:rsidRDefault="002A72E3" w:rsidP="002A72E3">
            <w:pPr>
              <w:pStyle w:val="AERtabletextright"/>
              <w:cnfStyle w:val="000000000000" w:firstRow="0" w:lastRow="0" w:firstColumn="0" w:lastColumn="0" w:oddVBand="0" w:evenVBand="0" w:oddHBand="0" w:evenHBand="0" w:firstRowFirstColumn="0" w:firstRowLastColumn="0" w:lastRowFirstColumn="0" w:lastRowLastColumn="0"/>
            </w:pPr>
            <w:r w:rsidRPr="002A72E3">
              <w:t>2135.9</w:t>
            </w:r>
          </w:p>
        </w:tc>
        <w:tc>
          <w:tcPr>
            <w:tcW w:w="1125" w:type="dxa"/>
            <w:vAlign w:val="top"/>
          </w:tcPr>
          <w:p w:rsidR="002A72E3" w:rsidRPr="002A72E3" w:rsidRDefault="002A72E3" w:rsidP="002A72E3">
            <w:pPr>
              <w:pStyle w:val="AERtabletextright"/>
              <w:cnfStyle w:val="000000000000" w:firstRow="0" w:lastRow="0" w:firstColumn="0" w:lastColumn="0" w:oddVBand="0" w:evenVBand="0" w:oddHBand="0" w:evenHBand="0" w:firstRowFirstColumn="0" w:firstRowLastColumn="0" w:lastRowFirstColumn="0" w:lastRowLastColumn="0"/>
            </w:pPr>
            <w:r w:rsidRPr="002A72E3">
              <w:t>2182.3</w:t>
            </w:r>
          </w:p>
        </w:tc>
        <w:tc>
          <w:tcPr>
            <w:tcW w:w="1126" w:type="dxa"/>
            <w:vAlign w:val="top"/>
          </w:tcPr>
          <w:p w:rsidR="002A72E3" w:rsidRPr="002A72E3" w:rsidRDefault="002A72E3" w:rsidP="002A72E3">
            <w:pPr>
              <w:pStyle w:val="AERtabletextright"/>
              <w:cnfStyle w:val="000000000000" w:firstRow="0" w:lastRow="0" w:firstColumn="0" w:lastColumn="0" w:oddVBand="0" w:evenVBand="0" w:oddHBand="0" w:evenHBand="0" w:firstRowFirstColumn="0" w:firstRowLastColumn="0" w:lastRowFirstColumn="0" w:lastRowLastColumn="0"/>
            </w:pPr>
            <w:r w:rsidRPr="002A72E3">
              <w:t>2250.8</w:t>
            </w:r>
          </w:p>
        </w:tc>
        <w:tc>
          <w:tcPr>
            <w:tcW w:w="1126" w:type="dxa"/>
            <w:vAlign w:val="top"/>
          </w:tcPr>
          <w:p w:rsidR="002A72E3" w:rsidRPr="002A72E3" w:rsidRDefault="002A72E3" w:rsidP="002A72E3">
            <w:pPr>
              <w:pStyle w:val="AERtabletextright"/>
              <w:cnfStyle w:val="000000000000" w:firstRow="0" w:lastRow="0" w:firstColumn="0" w:lastColumn="0" w:oddVBand="0" w:evenVBand="0" w:oddHBand="0" w:evenHBand="0" w:firstRowFirstColumn="0" w:firstRowLastColumn="0" w:lastRowFirstColumn="0" w:lastRowLastColumn="0"/>
            </w:pPr>
            <w:r w:rsidRPr="002A72E3">
              <w:t>2325.7</w:t>
            </w:r>
          </w:p>
        </w:tc>
      </w:tr>
      <w:tr w:rsidR="00514891" w:rsidRPr="00356B64" w:rsidTr="00514891">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49" w:type="dxa"/>
            <w:noWrap/>
            <w:hideMark/>
          </w:tcPr>
          <w:p w:rsidR="00514891" w:rsidRPr="00514891" w:rsidRDefault="00514891" w:rsidP="00514891">
            <w:pPr>
              <w:pStyle w:val="AERtabletextleft"/>
            </w:pPr>
            <w:r w:rsidRPr="00514891">
              <w:t>X factor</w:t>
            </w:r>
          </w:p>
        </w:tc>
        <w:tc>
          <w:tcPr>
            <w:tcW w:w="1258" w:type="dxa"/>
            <w:noWrap/>
            <w:hideMark/>
          </w:tcPr>
          <w:p w:rsidR="00514891" w:rsidRPr="00514891" w:rsidRDefault="00514891" w:rsidP="00514891">
            <w:pPr>
              <w:pStyle w:val="AERtabletextright"/>
              <w:cnfStyle w:val="000000010000" w:firstRow="0" w:lastRow="0" w:firstColumn="0" w:lastColumn="0" w:oddVBand="0" w:evenVBand="0" w:oddHBand="0" w:evenHBand="1" w:firstRowFirstColumn="0" w:firstRowLastColumn="0" w:lastRowFirstColumn="0" w:lastRowLastColumn="0"/>
            </w:pPr>
            <w:r w:rsidRPr="00514891">
              <w:t>n/a </w:t>
            </w:r>
          </w:p>
        </w:tc>
        <w:tc>
          <w:tcPr>
            <w:tcW w:w="1258" w:type="dxa"/>
            <w:noWrap/>
            <w:vAlign w:val="top"/>
            <w:hideMark/>
          </w:tcPr>
          <w:p w:rsidR="00514891" w:rsidRPr="00514891" w:rsidRDefault="00B16151" w:rsidP="00E57F38">
            <w:pPr>
              <w:pStyle w:val="AERtabletextright"/>
              <w:cnfStyle w:val="000000010000" w:firstRow="0" w:lastRow="0" w:firstColumn="0" w:lastColumn="0" w:oddVBand="0" w:evenVBand="0" w:oddHBand="0" w:evenHBand="1" w:firstRowFirstColumn="0" w:firstRowLastColumn="0" w:lastRowFirstColumn="0" w:lastRowLastColumn="0"/>
            </w:pPr>
            <w:r>
              <w:t>–</w:t>
            </w:r>
            <w:r w:rsidR="00E57F38">
              <w:t>6.51</w:t>
            </w:r>
            <w:r w:rsidR="00514891" w:rsidRPr="00514891">
              <w:t>%</w:t>
            </w:r>
          </w:p>
        </w:tc>
        <w:tc>
          <w:tcPr>
            <w:tcW w:w="1125" w:type="dxa"/>
            <w:vAlign w:val="top"/>
          </w:tcPr>
          <w:p w:rsidR="00514891" w:rsidRPr="00514891" w:rsidRDefault="00E57F38" w:rsidP="00E57F38">
            <w:pPr>
              <w:pStyle w:val="AERtabletextright"/>
              <w:cnfStyle w:val="000000010000" w:firstRow="0" w:lastRow="0" w:firstColumn="0" w:lastColumn="0" w:oddVBand="0" w:evenVBand="0" w:oddHBand="0" w:evenHBand="1" w:firstRowFirstColumn="0" w:firstRowLastColumn="0" w:lastRowFirstColumn="0" w:lastRowLastColumn="0"/>
            </w:pPr>
            <w:r>
              <w:t>0.32</w:t>
            </w:r>
            <w:r w:rsidR="00514891" w:rsidRPr="00514891">
              <w:t>%</w:t>
            </w:r>
          </w:p>
        </w:tc>
        <w:tc>
          <w:tcPr>
            <w:tcW w:w="1126" w:type="dxa"/>
            <w:vAlign w:val="top"/>
          </w:tcPr>
          <w:p w:rsidR="00514891" w:rsidRPr="00514891" w:rsidRDefault="00E57F38" w:rsidP="00FF7DD3">
            <w:pPr>
              <w:pStyle w:val="AERtabletextright"/>
              <w:cnfStyle w:val="000000010000" w:firstRow="0" w:lastRow="0" w:firstColumn="0" w:lastColumn="0" w:oddVBand="0" w:evenVBand="0" w:oddHBand="0" w:evenHBand="1" w:firstRowFirstColumn="0" w:firstRowLastColumn="0" w:lastRowFirstColumn="0" w:lastRowLastColumn="0"/>
            </w:pPr>
            <w:r>
              <w:t>–0.62</w:t>
            </w:r>
            <w:r w:rsidR="00514891" w:rsidRPr="00514891">
              <w:t>%</w:t>
            </w:r>
          </w:p>
        </w:tc>
        <w:tc>
          <w:tcPr>
            <w:tcW w:w="1126" w:type="dxa"/>
            <w:vAlign w:val="top"/>
          </w:tcPr>
          <w:p w:rsidR="00514891" w:rsidRPr="00514891" w:rsidRDefault="00E57F38" w:rsidP="00E57F38">
            <w:pPr>
              <w:pStyle w:val="AERtabletextright"/>
              <w:cnfStyle w:val="000000010000" w:firstRow="0" w:lastRow="0" w:firstColumn="0" w:lastColumn="0" w:oddVBand="0" w:evenVBand="0" w:oddHBand="0" w:evenHBand="1" w:firstRowFirstColumn="0" w:firstRowLastColumn="0" w:lastRowFirstColumn="0" w:lastRowLastColumn="0"/>
            </w:pPr>
            <w:r>
              <w:t>–0.81</w:t>
            </w:r>
            <w:r w:rsidR="00514891" w:rsidRPr="00514891">
              <w:t>%</w:t>
            </w:r>
          </w:p>
        </w:tc>
      </w:tr>
      <w:tr w:rsidR="00C26943" w:rsidRPr="00356B64" w:rsidTr="00514891">
        <w:trPr>
          <w:trHeight w:val="190"/>
        </w:trPr>
        <w:tc>
          <w:tcPr>
            <w:cnfStyle w:val="001000000000" w:firstRow="0" w:lastRow="0" w:firstColumn="1" w:lastColumn="0" w:oddVBand="0" w:evenVBand="0" w:oddHBand="0" w:evenHBand="0" w:firstRowFirstColumn="0" w:firstRowLastColumn="0" w:lastRowFirstColumn="0" w:lastRowLastColumn="0"/>
            <w:tcW w:w="3349" w:type="dxa"/>
            <w:noWrap/>
            <w:hideMark/>
          </w:tcPr>
          <w:p w:rsidR="00C26943" w:rsidRPr="00C26943" w:rsidRDefault="00C26943" w:rsidP="00B16151">
            <w:pPr>
              <w:pStyle w:val="AERtabletextleft"/>
            </w:pPr>
            <w:r w:rsidRPr="00C26943">
              <w:t>AER draft decision</w:t>
            </w:r>
          </w:p>
        </w:tc>
        <w:tc>
          <w:tcPr>
            <w:tcW w:w="1258" w:type="dxa"/>
            <w:noWrap/>
            <w:vAlign w:val="top"/>
            <w:hideMark/>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1956.4</w:t>
            </w:r>
          </w:p>
        </w:tc>
        <w:tc>
          <w:tcPr>
            <w:tcW w:w="1258" w:type="dxa"/>
            <w:noWrap/>
            <w:vAlign w:val="top"/>
            <w:hideMark/>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1391.8</w:t>
            </w:r>
          </w:p>
        </w:tc>
        <w:tc>
          <w:tcPr>
            <w:tcW w:w="1125" w:type="dxa"/>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1426.6</w:t>
            </w:r>
          </w:p>
        </w:tc>
        <w:tc>
          <w:tcPr>
            <w:tcW w:w="1126" w:type="dxa"/>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1462.3</w:t>
            </w:r>
          </w:p>
        </w:tc>
        <w:tc>
          <w:tcPr>
            <w:tcW w:w="1126" w:type="dxa"/>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1498.8</w:t>
            </w:r>
          </w:p>
        </w:tc>
      </w:tr>
      <w:tr w:rsidR="00514891" w:rsidRPr="00356B64" w:rsidTr="00514891">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49" w:type="dxa"/>
            <w:noWrap/>
            <w:hideMark/>
          </w:tcPr>
          <w:p w:rsidR="00514891" w:rsidRPr="00514891" w:rsidRDefault="00514891" w:rsidP="00DF4772">
            <w:pPr>
              <w:pStyle w:val="AERtabletextleft"/>
            </w:pPr>
            <w:r w:rsidRPr="00514891">
              <w:t>X factor</w:t>
            </w:r>
          </w:p>
        </w:tc>
        <w:tc>
          <w:tcPr>
            <w:tcW w:w="1258" w:type="dxa"/>
            <w:noWrap/>
            <w:vAlign w:val="top"/>
            <w:hideMark/>
          </w:tcPr>
          <w:p w:rsidR="00514891" w:rsidRPr="00514891" w:rsidRDefault="00514891" w:rsidP="00514891">
            <w:pPr>
              <w:pStyle w:val="AERtabletextright"/>
              <w:cnfStyle w:val="000000010000" w:firstRow="0" w:lastRow="0" w:firstColumn="0" w:lastColumn="0" w:oddVBand="0" w:evenVBand="0" w:oddHBand="0" w:evenHBand="1" w:firstRowFirstColumn="0" w:firstRowLastColumn="0" w:lastRowFirstColumn="0" w:lastRowLastColumn="0"/>
            </w:pPr>
            <w:r w:rsidRPr="00514891">
              <w:t>n/a</w:t>
            </w:r>
          </w:p>
        </w:tc>
        <w:tc>
          <w:tcPr>
            <w:tcW w:w="1258" w:type="dxa"/>
            <w:noWrap/>
            <w:vAlign w:val="top"/>
            <w:hideMark/>
          </w:tcPr>
          <w:p w:rsidR="00514891" w:rsidRPr="00514891" w:rsidRDefault="00C26943" w:rsidP="00514891">
            <w:pPr>
              <w:pStyle w:val="AERtabletextright"/>
              <w:cnfStyle w:val="000000010000" w:firstRow="0" w:lastRow="0" w:firstColumn="0" w:lastColumn="0" w:oddVBand="0" w:evenVBand="0" w:oddHBand="0" w:evenHBand="1" w:firstRowFirstColumn="0" w:firstRowLastColumn="0" w:lastRowFirstColumn="0" w:lastRowLastColumn="0"/>
            </w:pPr>
            <w:r w:rsidRPr="00C26943">
              <w:t>30.6</w:t>
            </w:r>
            <w:r>
              <w:t>0</w:t>
            </w:r>
            <w:r w:rsidRPr="00C26943">
              <w:t>%</w:t>
            </w:r>
          </w:p>
        </w:tc>
        <w:tc>
          <w:tcPr>
            <w:tcW w:w="1125" w:type="dxa"/>
            <w:vAlign w:val="top"/>
          </w:tcPr>
          <w:p w:rsidR="00514891" w:rsidRPr="00514891" w:rsidRDefault="00514891" w:rsidP="00514891">
            <w:pPr>
              <w:pStyle w:val="AERtabletextright"/>
              <w:cnfStyle w:val="000000010000" w:firstRow="0" w:lastRow="0" w:firstColumn="0" w:lastColumn="0" w:oddVBand="0" w:evenVBand="0" w:oddHBand="0" w:evenHBand="1" w:firstRowFirstColumn="0" w:firstRowLastColumn="0" w:lastRowFirstColumn="0" w:lastRowLastColumn="0"/>
            </w:pPr>
            <w:r w:rsidRPr="00514891">
              <w:t>0.00%</w:t>
            </w:r>
          </w:p>
        </w:tc>
        <w:tc>
          <w:tcPr>
            <w:tcW w:w="1126" w:type="dxa"/>
            <w:vAlign w:val="top"/>
          </w:tcPr>
          <w:p w:rsidR="00514891" w:rsidRPr="00514891" w:rsidRDefault="00514891" w:rsidP="00514891">
            <w:pPr>
              <w:pStyle w:val="AERtabletextright"/>
              <w:cnfStyle w:val="000000010000" w:firstRow="0" w:lastRow="0" w:firstColumn="0" w:lastColumn="0" w:oddVBand="0" w:evenVBand="0" w:oddHBand="0" w:evenHBand="1" w:firstRowFirstColumn="0" w:firstRowLastColumn="0" w:lastRowFirstColumn="0" w:lastRowLastColumn="0"/>
            </w:pPr>
            <w:r w:rsidRPr="00514891">
              <w:t>0.00%</w:t>
            </w:r>
          </w:p>
        </w:tc>
        <w:tc>
          <w:tcPr>
            <w:tcW w:w="1126" w:type="dxa"/>
            <w:vAlign w:val="top"/>
          </w:tcPr>
          <w:p w:rsidR="00514891" w:rsidRPr="00514891" w:rsidRDefault="00514891" w:rsidP="00514891">
            <w:pPr>
              <w:pStyle w:val="AERtabletextright"/>
              <w:cnfStyle w:val="000000010000" w:firstRow="0" w:lastRow="0" w:firstColumn="0" w:lastColumn="0" w:oddVBand="0" w:evenVBand="0" w:oddHBand="0" w:evenHBand="1" w:firstRowFirstColumn="0" w:firstRowLastColumn="0" w:lastRowFirstColumn="0" w:lastRowLastColumn="0"/>
            </w:pPr>
            <w:r w:rsidRPr="00514891">
              <w:t>0.00%</w:t>
            </w:r>
          </w:p>
        </w:tc>
      </w:tr>
    </w:tbl>
    <w:p w:rsidR="00493D4E" w:rsidRDefault="00493D4E" w:rsidP="00493D4E">
      <w:pPr>
        <w:pStyle w:val="AERtablesource"/>
      </w:pPr>
      <w:r>
        <w:t>Source:</w:t>
      </w:r>
      <w:r>
        <w:tab/>
        <w:t xml:space="preserve">Ausgrid, </w:t>
      </w:r>
      <w:r w:rsidRPr="00514891">
        <w:rPr>
          <w:rStyle w:val="AERtextitalic"/>
        </w:rPr>
        <w:t>Regulatory proposal</w:t>
      </w:r>
      <w:r>
        <w:t>, June 2014.</w:t>
      </w:r>
      <w:r w:rsidR="00514891">
        <w:t xml:space="preserve"> </w:t>
      </w:r>
      <w:proofErr w:type="gramStart"/>
      <w:r w:rsidR="00514891">
        <w:t>Attachment 4.01.</w:t>
      </w:r>
      <w:proofErr w:type="gramEnd"/>
      <w:r>
        <w:t xml:space="preserve">  </w:t>
      </w:r>
    </w:p>
    <w:p w:rsidR="00493D4E" w:rsidRDefault="00493D4E" w:rsidP="00493D4E">
      <w:pPr>
        <w:pStyle w:val="AERtablesource"/>
      </w:pPr>
      <w:r>
        <w:tab/>
      </w:r>
      <w:proofErr w:type="gramStart"/>
      <w:r>
        <w:t>AER analysis.</w:t>
      </w:r>
      <w:proofErr w:type="gramEnd"/>
    </w:p>
    <w:p w:rsidR="00446442" w:rsidRDefault="00FA1367" w:rsidP="00FA1367">
      <w:pPr>
        <w:pStyle w:val="Caption"/>
      </w:pPr>
      <w:bookmarkStart w:id="35" w:name="_Ref401572837"/>
      <w:proofErr w:type="gramStart"/>
      <w:r>
        <w:t xml:space="preserve">Table </w:t>
      </w:r>
      <w:proofErr w:type="gramEnd"/>
      <w:r w:rsidR="00382E4F">
        <w:fldChar w:fldCharType="begin"/>
      </w:r>
      <w:r w:rsidR="00382E4F">
        <w:instrText xml:space="preserve"> STYLEREF 1 \s </w:instrText>
      </w:r>
      <w:r w:rsidR="00382E4F">
        <w:fldChar w:fldCharType="separate"/>
      </w:r>
      <w:r w:rsidR="00382E4F">
        <w:rPr>
          <w:noProof/>
        </w:rPr>
        <w:t>1</w:t>
      </w:r>
      <w:r w:rsidR="00382E4F">
        <w:rPr>
          <w:noProof/>
        </w:rPr>
        <w:fldChar w:fldCharType="end"/>
      </w:r>
      <w:proofErr w:type="gramStart"/>
      <w:r w:rsidR="00CE4D1A">
        <w:t>.</w:t>
      </w:r>
      <w:proofErr w:type="gramEnd"/>
      <w:r w:rsidR="00382E4F">
        <w:fldChar w:fldCharType="begin"/>
      </w:r>
      <w:r w:rsidR="00382E4F">
        <w:instrText xml:space="preserve"> SEQ Table \* ARABIC \s 1 </w:instrText>
      </w:r>
      <w:r w:rsidR="00382E4F">
        <w:fldChar w:fldCharType="separate"/>
      </w:r>
      <w:r w:rsidR="00382E4F">
        <w:rPr>
          <w:noProof/>
        </w:rPr>
        <w:t>9</w:t>
      </w:r>
      <w:r w:rsidR="00382E4F">
        <w:rPr>
          <w:noProof/>
        </w:rPr>
        <w:fldChar w:fldCharType="end"/>
      </w:r>
      <w:bookmarkEnd w:id="35"/>
      <w:r>
        <w:tab/>
        <w:t>Ausgrid</w:t>
      </w:r>
      <w:r w:rsidR="00F96D26">
        <w:t>'s</w:t>
      </w:r>
      <w:r>
        <w:t xml:space="preserve"> adjusted and AER's draft decision smoothed expected revenues for </w:t>
      </w:r>
      <w:r w:rsidR="00F96D26">
        <w:t xml:space="preserve">the </w:t>
      </w:r>
      <w:r>
        <w:t xml:space="preserve">2014–19 period </w:t>
      </w:r>
      <w:r w:rsidR="00F96D26">
        <w:t>–</w:t>
      </w:r>
      <w:r>
        <w:t xml:space="preserve"> </w:t>
      </w:r>
      <w:r w:rsidR="00494EBC">
        <w:t>t</w:t>
      </w:r>
      <w:r>
        <w:t>ransmission</w:t>
      </w:r>
      <w:r w:rsidR="00F96D26">
        <w:t xml:space="preserve"> ($million, nominal)</w:t>
      </w:r>
    </w:p>
    <w:tbl>
      <w:tblPr>
        <w:tblStyle w:val="AERtable-numbers"/>
        <w:tblW w:w="9242" w:type="dxa"/>
        <w:tblLook w:val="04A0" w:firstRow="1" w:lastRow="0" w:firstColumn="1" w:lastColumn="0" w:noHBand="0" w:noVBand="1"/>
      </w:tblPr>
      <w:tblGrid>
        <w:gridCol w:w="3349"/>
        <w:gridCol w:w="1258"/>
        <w:gridCol w:w="1258"/>
        <w:gridCol w:w="1125"/>
        <w:gridCol w:w="1126"/>
        <w:gridCol w:w="1126"/>
      </w:tblGrid>
      <w:tr w:rsidR="00FA1367" w:rsidRPr="00356B64" w:rsidTr="00540B74">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49" w:type="dxa"/>
            <w:noWrap/>
            <w:hideMark/>
          </w:tcPr>
          <w:p w:rsidR="00FA1367" w:rsidRPr="003E0B0C" w:rsidRDefault="00FA1367" w:rsidP="00FA1367">
            <w:pPr>
              <w:pStyle w:val="AERtabletextleft"/>
            </w:pPr>
            <w:r w:rsidRPr="003E0B0C">
              <w:t> </w:t>
            </w:r>
          </w:p>
        </w:tc>
        <w:tc>
          <w:tcPr>
            <w:tcW w:w="1258" w:type="dxa"/>
            <w:noWrap/>
            <w:hideMark/>
          </w:tcPr>
          <w:p w:rsidR="00FA1367" w:rsidRPr="00FA1367" w:rsidRDefault="00FA1367" w:rsidP="00FA1367">
            <w:pPr>
              <w:pStyle w:val="AERtabletextright"/>
              <w:cnfStyle w:val="100000000000" w:firstRow="1" w:lastRow="0" w:firstColumn="0" w:lastColumn="0" w:oddVBand="0" w:evenVBand="0" w:oddHBand="0" w:evenHBand="0" w:firstRowFirstColumn="0" w:firstRowLastColumn="0" w:lastRowFirstColumn="0" w:lastRowLastColumn="0"/>
            </w:pPr>
            <w:r w:rsidRPr="003E0B0C">
              <w:t>201</w:t>
            </w:r>
            <w:r w:rsidRPr="00FA1367">
              <w:t>4–15</w:t>
            </w:r>
          </w:p>
        </w:tc>
        <w:tc>
          <w:tcPr>
            <w:tcW w:w="1258" w:type="dxa"/>
            <w:noWrap/>
            <w:hideMark/>
          </w:tcPr>
          <w:p w:rsidR="00FA1367" w:rsidRPr="00FA1367" w:rsidRDefault="00FA1367" w:rsidP="00FA1367">
            <w:pPr>
              <w:pStyle w:val="AERtabletextright"/>
              <w:cnfStyle w:val="100000000000" w:firstRow="1" w:lastRow="0" w:firstColumn="0" w:lastColumn="0" w:oddVBand="0" w:evenVBand="0" w:oddHBand="0" w:evenHBand="0" w:firstRowFirstColumn="0" w:firstRowLastColumn="0" w:lastRowFirstColumn="0" w:lastRowLastColumn="0"/>
            </w:pPr>
            <w:r>
              <w:t>2</w:t>
            </w:r>
            <w:r w:rsidRPr="00FA1367">
              <w:t>015–16</w:t>
            </w:r>
          </w:p>
        </w:tc>
        <w:tc>
          <w:tcPr>
            <w:tcW w:w="1125" w:type="dxa"/>
          </w:tcPr>
          <w:p w:rsidR="00FA1367" w:rsidRPr="00FA1367" w:rsidRDefault="00FA1367" w:rsidP="00FA1367">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126" w:type="dxa"/>
          </w:tcPr>
          <w:p w:rsidR="00FA1367" w:rsidRPr="00FA1367" w:rsidRDefault="00FA1367" w:rsidP="00FA1367">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126" w:type="dxa"/>
          </w:tcPr>
          <w:p w:rsidR="00FA1367" w:rsidRPr="00FA1367" w:rsidRDefault="00FA1367" w:rsidP="00FA1367">
            <w:pPr>
              <w:pStyle w:val="AERtabletextright"/>
              <w:cnfStyle w:val="100000000000" w:firstRow="1" w:lastRow="0" w:firstColumn="0" w:lastColumn="0" w:oddVBand="0" w:evenVBand="0" w:oddHBand="0" w:evenHBand="0" w:firstRowFirstColumn="0" w:firstRowLastColumn="0" w:lastRowFirstColumn="0" w:lastRowLastColumn="0"/>
            </w:pPr>
            <w:r>
              <w:t>2018–19</w:t>
            </w:r>
          </w:p>
        </w:tc>
      </w:tr>
      <w:tr w:rsidR="00514891" w:rsidRPr="00356B64" w:rsidTr="00514891">
        <w:trPr>
          <w:trHeight w:val="190"/>
        </w:trPr>
        <w:tc>
          <w:tcPr>
            <w:cnfStyle w:val="001000000000" w:firstRow="0" w:lastRow="0" w:firstColumn="1" w:lastColumn="0" w:oddVBand="0" w:evenVBand="0" w:oddHBand="0" w:evenHBand="0" w:firstRowFirstColumn="0" w:firstRowLastColumn="0" w:lastRowFirstColumn="0" w:lastRowLastColumn="0"/>
            <w:tcW w:w="3349" w:type="dxa"/>
            <w:noWrap/>
            <w:hideMark/>
          </w:tcPr>
          <w:p w:rsidR="00514891" w:rsidRPr="00514891" w:rsidRDefault="00514891" w:rsidP="00514891">
            <w:pPr>
              <w:pStyle w:val="AERtabletextleft"/>
            </w:pPr>
            <w:r w:rsidRPr="00514891">
              <w:t xml:space="preserve">Ausgrid's adjusted proposal </w:t>
            </w:r>
          </w:p>
        </w:tc>
        <w:tc>
          <w:tcPr>
            <w:tcW w:w="1258" w:type="dxa"/>
            <w:noWrap/>
            <w:vAlign w:val="top"/>
            <w:hideMark/>
          </w:tcPr>
          <w:p w:rsidR="00514891" w:rsidRPr="00514891" w:rsidRDefault="00514891" w:rsidP="00514891">
            <w:pPr>
              <w:pStyle w:val="AERtabletextright"/>
              <w:cnfStyle w:val="000000000000" w:firstRow="0" w:lastRow="0" w:firstColumn="0" w:lastColumn="0" w:oddVBand="0" w:evenVBand="0" w:oddHBand="0" w:evenHBand="0" w:firstRowFirstColumn="0" w:firstRowLastColumn="0" w:lastRowFirstColumn="0" w:lastRowLastColumn="0"/>
            </w:pPr>
            <w:r w:rsidRPr="00514891">
              <w:t>252.3</w:t>
            </w:r>
          </w:p>
        </w:tc>
        <w:tc>
          <w:tcPr>
            <w:tcW w:w="1258" w:type="dxa"/>
            <w:noWrap/>
            <w:vAlign w:val="top"/>
            <w:hideMark/>
          </w:tcPr>
          <w:p w:rsidR="00514891" w:rsidRPr="00514891" w:rsidRDefault="00514891" w:rsidP="00514891">
            <w:pPr>
              <w:pStyle w:val="AERtabletextright"/>
              <w:cnfStyle w:val="000000000000" w:firstRow="0" w:lastRow="0" w:firstColumn="0" w:lastColumn="0" w:oddVBand="0" w:evenVBand="0" w:oddHBand="0" w:evenHBand="0" w:firstRowFirstColumn="0" w:firstRowLastColumn="0" w:lastRowFirstColumn="0" w:lastRowLastColumn="0"/>
            </w:pPr>
            <w:r w:rsidRPr="00514891">
              <w:t>288.4</w:t>
            </w:r>
          </w:p>
        </w:tc>
        <w:tc>
          <w:tcPr>
            <w:tcW w:w="1125" w:type="dxa"/>
            <w:vAlign w:val="top"/>
          </w:tcPr>
          <w:p w:rsidR="00514891" w:rsidRPr="00C153D3" w:rsidRDefault="00514891" w:rsidP="00F073A5">
            <w:pPr>
              <w:pStyle w:val="AERtabletextright"/>
              <w:cnfStyle w:val="000000000000" w:firstRow="0" w:lastRow="0" w:firstColumn="0" w:lastColumn="0" w:oddVBand="0" w:evenVBand="0" w:oddHBand="0" w:evenHBand="0" w:firstRowFirstColumn="0" w:firstRowLastColumn="0" w:lastRowFirstColumn="0" w:lastRowLastColumn="0"/>
            </w:pPr>
            <w:r w:rsidRPr="00F073A5">
              <w:t>295.6</w:t>
            </w:r>
          </w:p>
        </w:tc>
        <w:tc>
          <w:tcPr>
            <w:tcW w:w="1126" w:type="dxa"/>
            <w:vAlign w:val="top"/>
          </w:tcPr>
          <w:p w:rsidR="00514891" w:rsidRPr="002371CC" w:rsidRDefault="00514891" w:rsidP="00FD5190">
            <w:pPr>
              <w:pStyle w:val="AERtabletextright"/>
              <w:cnfStyle w:val="000000000000" w:firstRow="0" w:lastRow="0" w:firstColumn="0" w:lastColumn="0" w:oddVBand="0" w:evenVBand="0" w:oddHBand="0" w:evenHBand="0" w:firstRowFirstColumn="0" w:firstRowLastColumn="0" w:lastRowFirstColumn="0" w:lastRowLastColumn="0"/>
            </w:pPr>
            <w:r w:rsidRPr="00FD5190">
              <w:t>303.0</w:t>
            </w:r>
          </w:p>
        </w:tc>
        <w:tc>
          <w:tcPr>
            <w:tcW w:w="1126" w:type="dxa"/>
            <w:vAlign w:val="top"/>
          </w:tcPr>
          <w:p w:rsidR="00514891" w:rsidRPr="00ED2ADF" w:rsidRDefault="00514891" w:rsidP="00ED2ADF">
            <w:pPr>
              <w:pStyle w:val="AERtabletextright"/>
              <w:cnfStyle w:val="000000000000" w:firstRow="0" w:lastRow="0" w:firstColumn="0" w:lastColumn="0" w:oddVBand="0" w:evenVBand="0" w:oddHBand="0" w:evenHBand="0" w:firstRowFirstColumn="0" w:firstRowLastColumn="0" w:lastRowFirstColumn="0" w:lastRowLastColumn="0"/>
            </w:pPr>
            <w:r w:rsidRPr="00ED2ADF">
              <w:t>310.6</w:t>
            </w:r>
          </w:p>
        </w:tc>
      </w:tr>
      <w:tr w:rsidR="00514891" w:rsidRPr="00356B64" w:rsidTr="00514891">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49" w:type="dxa"/>
            <w:noWrap/>
            <w:hideMark/>
          </w:tcPr>
          <w:p w:rsidR="00514891" w:rsidRPr="00514891" w:rsidRDefault="00514891" w:rsidP="00DF4772">
            <w:pPr>
              <w:pStyle w:val="AERtabletextleft"/>
            </w:pPr>
            <w:r w:rsidRPr="00514891">
              <w:t>X factor</w:t>
            </w:r>
          </w:p>
        </w:tc>
        <w:tc>
          <w:tcPr>
            <w:tcW w:w="1258" w:type="dxa"/>
            <w:noWrap/>
            <w:vAlign w:val="top"/>
            <w:hideMark/>
          </w:tcPr>
          <w:p w:rsidR="00514891" w:rsidRPr="00514891" w:rsidRDefault="00514891" w:rsidP="00514891">
            <w:pPr>
              <w:pStyle w:val="AERtabletextright"/>
              <w:cnfStyle w:val="000000010000" w:firstRow="0" w:lastRow="0" w:firstColumn="0" w:lastColumn="0" w:oddVBand="0" w:evenVBand="0" w:oddHBand="0" w:evenHBand="1" w:firstRowFirstColumn="0" w:firstRowLastColumn="0" w:lastRowFirstColumn="0" w:lastRowLastColumn="0"/>
            </w:pPr>
            <w:r w:rsidRPr="00514891">
              <w:t>n/a</w:t>
            </w:r>
          </w:p>
        </w:tc>
        <w:tc>
          <w:tcPr>
            <w:tcW w:w="1258" w:type="dxa"/>
            <w:noWrap/>
            <w:vAlign w:val="top"/>
            <w:hideMark/>
          </w:tcPr>
          <w:p w:rsidR="00514891" w:rsidRPr="00514891" w:rsidRDefault="00B16151" w:rsidP="00514891">
            <w:pPr>
              <w:pStyle w:val="AERtabletextright"/>
              <w:cnfStyle w:val="000000010000" w:firstRow="0" w:lastRow="0" w:firstColumn="0" w:lastColumn="0" w:oddVBand="0" w:evenVBand="0" w:oddHBand="0" w:evenHBand="1" w:firstRowFirstColumn="0" w:firstRowLastColumn="0" w:lastRowFirstColumn="0" w:lastRowLastColumn="0"/>
            </w:pPr>
            <w:r>
              <w:t>–</w:t>
            </w:r>
            <w:r w:rsidR="00514891" w:rsidRPr="00514891">
              <w:t>11.53%</w:t>
            </w:r>
          </w:p>
        </w:tc>
        <w:tc>
          <w:tcPr>
            <w:tcW w:w="1125" w:type="dxa"/>
            <w:vAlign w:val="top"/>
          </w:tcPr>
          <w:p w:rsidR="00514891" w:rsidRPr="00F073A5" w:rsidRDefault="00514891" w:rsidP="00F073A5">
            <w:pPr>
              <w:pStyle w:val="AERtabletextright"/>
              <w:cnfStyle w:val="000000010000" w:firstRow="0" w:lastRow="0" w:firstColumn="0" w:lastColumn="0" w:oddVBand="0" w:evenVBand="0" w:oddHBand="0" w:evenHBand="1" w:firstRowFirstColumn="0" w:firstRowLastColumn="0" w:lastRowFirstColumn="0" w:lastRowLastColumn="0"/>
            </w:pPr>
            <w:r w:rsidRPr="00F073A5">
              <w:t>0.00%</w:t>
            </w:r>
          </w:p>
        </w:tc>
        <w:tc>
          <w:tcPr>
            <w:tcW w:w="1126" w:type="dxa"/>
            <w:vAlign w:val="top"/>
          </w:tcPr>
          <w:p w:rsidR="00514891" w:rsidRPr="002371CC" w:rsidRDefault="00514891" w:rsidP="00FD5190">
            <w:pPr>
              <w:pStyle w:val="AERtabletextright"/>
              <w:cnfStyle w:val="000000010000" w:firstRow="0" w:lastRow="0" w:firstColumn="0" w:lastColumn="0" w:oddVBand="0" w:evenVBand="0" w:oddHBand="0" w:evenHBand="1" w:firstRowFirstColumn="0" w:firstRowLastColumn="0" w:lastRowFirstColumn="0" w:lastRowLastColumn="0"/>
            </w:pPr>
            <w:r w:rsidRPr="00FD5190">
              <w:t>0.00%</w:t>
            </w:r>
          </w:p>
        </w:tc>
        <w:tc>
          <w:tcPr>
            <w:tcW w:w="1126" w:type="dxa"/>
            <w:vAlign w:val="top"/>
          </w:tcPr>
          <w:p w:rsidR="00514891" w:rsidRPr="00ED2ADF" w:rsidRDefault="00514891" w:rsidP="00ED2ADF">
            <w:pPr>
              <w:pStyle w:val="AERtabletextright"/>
              <w:cnfStyle w:val="000000010000" w:firstRow="0" w:lastRow="0" w:firstColumn="0" w:lastColumn="0" w:oddVBand="0" w:evenVBand="0" w:oddHBand="0" w:evenHBand="1" w:firstRowFirstColumn="0" w:firstRowLastColumn="0" w:lastRowFirstColumn="0" w:lastRowLastColumn="0"/>
            </w:pPr>
            <w:r w:rsidRPr="00ED2ADF">
              <w:t>0.00%</w:t>
            </w:r>
          </w:p>
        </w:tc>
      </w:tr>
      <w:tr w:rsidR="00C26943" w:rsidRPr="00356B64" w:rsidTr="00514891">
        <w:trPr>
          <w:trHeight w:val="190"/>
        </w:trPr>
        <w:tc>
          <w:tcPr>
            <w:cnfStyle w:val="001000000000" w:firstRow="0" w:lastRow="0" w:firstColumn="1" w:lastColumn="0" w:oddVBand="0" w:evenVBand="0" w:oddHBand="0" w:evenHBand="0" w:firstRowFirstColumn="0" w:firstRowLastColumn="0" w:lastRowFirstColumn="0" w:lastRowLastColumn="0"/>
            <w:tcW w:w="3349" w:type="dxa"/>
            <w:noWrap/>
            <w:hideMark/>
          </w:tcPr>
          <w:p w:rsidR="00C26943" w:rsidRPr="00C26943" w:rsidRDefault="00C26943" w:rsidP="00C26943">
            <w:pPr>
              <w:pStyle w:val="AERtabletextleft"/>
            </w:pPr>
            <w:r w:rsidRPr="00C26943">
              <w:t xml:space="preserve">AER draft decision </w:t>
            </w:r>
          </w:p>
        </w:tc>
        <w:tc>
          <w:tcPr>
            <w:tcW w:w="1258" w:type="dxa"/>
            <w:noWrap/>
            <w:vAlign w:val="top"/>
            <w:hideMark/>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252.3</w:t>
            </w:r>
          </w:p>
        </w:tc>
        <w:tc>
          <w:tcPr>
            <w:tcW w:w="1258" w:type="dxa"/>
            <w:noWrap/>
            <w:vAlign w:val="top"/>
            <w:hideMark/>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184.9</w:t>
            </w:r>
          </w:p>
        </w:tc>
        <w:tc>
          <w:tcPr>
            <w:tcW w:w="1125" w:type="dxa"/>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192.4</w:t>
            </w:r>
          </w:p>
        </w:tc>
        <w:tc>
          <w:tcPr>
            <w:tcW w:w="1126" w:type="dxa"/>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200.2</w:t>
            </w:r>
          </w:p>
        </w:tc>
        <w:tc>
          <w:tcPr>
            <w:tcW w:w="1126" w:type="dxa"/>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208.2</w:t>
            </w:r>
          </w:p>
        </w:tc>
      </w:tr>
      <w:tr w:rsidR="00C26943" w:rsidRPr="00356B64" w:rsidTr="00514891">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49" w:type="dxa"/>
            <w:noWrap/>
            <w:hideMark/>
          </w:tcPr>
          <w:p w:rsidR="00C26943" w:rsidRPr="00C26943" w:rsidRDefault="00C26943" w:rsidP="00DF4772">
            <w:pPr>
              <w:pStyle w:val="AERtabletextleft"/>
            </w:pPr>
            <w:r w:rsidRPr="00C26943">
              <w:t>X factor</w:t>
            </w:r>
          </w:p>
        </w:tc>
        <w:tc>
          <w:tcPr>
            <w:tcW w:w="1258" w:type="dxa"/>
            <w:noWrap/>
            <w:vAlign w:val="top"/>
            <w:hideMark/>
          </w:tcPr>
          <w:p w:rsidR="00C26943" w:rsidRPr="00C26943" w:rsidRDefault="00C26943" w:rsidP="00C26943">
            <w:pPr>
              <w:pStyle w:val="AERtabletextright"/>
              <w:cnfStyle w:val="000000010000" w:firstRow="0" w:lastRow="0" w:firstColumn="0" w:lastColumn="0" w:oddVBand="0" w:evenVBand="0" w:oddHBand="0" w:evenHBand="1" w:firstRowFirstColumn="0" w:firstRowLastColumn="0" w:lastRowFirstColumn="0" w:lastRowLastColumn="0"/>
            </w:pPr>
            <w:r w:rsidRPr="00C26943">
              <w:t>n/a</w:t>
            </w:r>
          </w:p>
        </w:tc>
        <w:tc>
          <w:tcPr>
            <w:tcW w:w="1258" w:type="dxa"/>
            <w:noWrap/>
            <w:vAlign w:val="top"/>
            <w:hideMark/>
          </w:tcPr>
          <w:p w:rsidR="00C26943" w:rsidRPr="00C26943" w:rsidRDefault="00C26943" w:rsidP="00C26943">
            <w:pPr>
              <w:pStyle w:val="AERtabletextright"/>
              <w:cnfStyle w:val="000000010000" w:firstRow="0" w:lastRow="0" w:firstColumn="0" w:lastColumn="0" w:oddVBand="0" w:evenVBand="0" w:oddHBand="0" w:evenHBand="1" w:firstRowFirstColumn="0" w:firstRowLastColumn="0" w:lastRowFirstColumn="0" w:lastRowLastColumn="0"/>
            </w:pPr>
            <w:r w:rsidRPr="00C26943">
              <w:t>28.49%</w:t>
            </w:r>
          </w:p>
        </w:tc>
        <w:tc>
          <w:tcPr>
            <w:tcW w:w="1125" w:type="dxa"/>
            <w:vAlign w:val="top"/>
          </w:tcPr>
          <w:p w:rsidR="00C26943" w:rsidRPr="00C26943" w:rsidRDefault="00B16151" w:rsidP="00C26943">
            <w:pPr>
              <w:pStyle w:val="AERtabletextright"/>
              <w:cnfStyle w:val="000000010000" w:firstRow="0" w:lastRow="0" w:firstColumn="0" w:lastColumn="0" w:oddVBand="0" w:evenVBand="0" w:oddHBand="0" w:evenHBand="1" w:firstRowFirstColumn="0" w:firstRowLastColumn="0" w:lastRowFirstColumn="0" w:lastRowLastColumn="0"/>
            </w:pPr>
            <w:r>
              <w:t>–</w:t>
            </w:r>
            <w:r w:rsidR="00C26943" w:rsidRPr="00C26943">
              <w:t>1.50%</w:t>
            </w:r>
          </w:p>
        </w:tc>
        <w:tc>
          <w:tcPr>
            <w:tcW w:w="1126" w:type="dxa"/>
            <w:vAlign w:val="top"/>
          </w:tcPr>
          <w:p w:rsidR="00C26943" w:rsidRPr="00C26943" w:rsidRDefault="00B16151" w:rsidP="00C26943">
            <w:pPr>
              <w:pStyle w:val="AERtabletextright"/>
              <w:cnfStyle w:val="000000010000" w:firstRow="0" w:lastRow="0" w:firstColumn="0" w:lastColumn="0" w:oddVBand="0" w:evenVBand="0" w:oddHBand="0" w:evenHBand="1" w:firstRowFirstColumn="0" w:firstRowLastColumn="0" w:lastRowFirstColumn="0" w:lastRowLastColumn="0"/>
            </w:pPr>
            <w:r>
              <w:t>–</w:t>
            </w:r>
            <w:r w:rsidR="00C26943" w:rsidRPr="00C26943">
              <w:t>1.50%</w:t>
            </w:r>
          </w:p>
        </w:tc>
        <w:tc>
          <w:tcPr>
            <w:tcW w:w="1126" w:type="dxa"/>
            <w:vAlign w:val="top"/>
          </w:tcPr>
          <w:p w:rsidR="00C26943" w:rsidRPr="00C26943" w:rsidRDefault="00B16151" w:rsidP="00C26943">
            <w:pPr>
              <w:pStyle w:val="AERtabletextright"/>
              <w:cnfStyle w:val="000000010000" w:firstRow="0" w:lastRow="0" w:firstColumn="0" w:lastColumn="0" w:oddVBand="0" w:evenVBand="0" w:oddHBand="0" w:evenHBand="1" w:firstRowFirstColumn="0" w:firstRowLastColumn="0" w:lastRowFirstColumn="0" w:lastRowLastColumn="0"/>
            </w:pPr>
            <w:r>
              <w:t>–</w:t>
            </w:r>
            <w:r w:rsidR="00C26943" w:rsidRPr="00C26943">
              <w:t>1.50%</w:t>
            </w:r>
          </w:p>
        </w:tc>
      </w:tr>
    </w:tbl>
    <w:p w:rsidR="00FA1367" w:rsidRDefault="00FA1367" w:rsidP="00FA1367">
      <w:pPr>
        <w:pStyle w:val="AERtablesource"/>
      </w:pPr>
      <w:r>
        <w:t>Source:</w:t>
      </w:r>
      <w:r>
        <w:tab/>
        <w:t xml:space="preserve">Ausgrid, </w:t>
      </w:r>
      <w:r w:rsidRPr="00F073A5">
        <w:rPr>
          <w:rStyle w:val="AERtextitalic"/>
        </w:rPr>
        <w:t>Regulatory proposal</w:t>
      </w:r>
      <w:r>
        <w:t xml:space="preserve">, June 2014. </w:t>
      </w:r>
      <w:proofErr w:type="gramStart"/>
      <w:r w:rsidR="00514891">
        <w:t>Attachment 4.02.</w:t>
      </w:r>
      <w:proofErr w:type="gramEnd"/>
    </w:p>
    <w:p w:rsidR="003E0B0C" w:rsidRPr="00C467BF" w:rsidRDefault="00FA1367" w:rsidP="00FA1367">
      <w:pPr>
        <w:pStyle w:val="AERtablesource"/>
      </w:pPr>
      <w:r>
        <w:tab/>
      </w:r>
      <w:proofErr w:type="gramStart"/>
      <w:r>
        <w:t>AER analysis.</w:t>
      </w:r>
      <w:proofErr w:type="gramEnd"/>
    </w:p>
    <w:p w:rsidR="00F37EDD" w:rsidRPr="00F37EDD" w:rsidRDefault="00F37EDD" w:rsidP="00F37EDD">
      <w:pPr>
        <w:pStyle w:val="Heading3"/>
      </w:pPr>
      <w:bookmarkStart w:id="36" w:name="_Toc404354910"/>
      <w:r w:rsidRPr="00F37EDD">
        <w:t>Indicative</w:t>
      </w:r>
      <w:r>
        <w:t xml:space="preserve"> </w:t>
      </w:r>
      <w:r w:rsidR="00CC06E6">
        <w:t>average</w:t>
      </w:r>
      <w:r>
        <w:t xml:space="preserve"> distribution </w:t>
      </w:r>
      <w:r w:rsidR="00CC06E6">
        <w:t>price impact</w:t>
      </w:r>
      <w:bookmarkEnd w:id="36"/>
    </w:p>
    <w:p w:rsidR="00CA283F" w:rsidRDefault="00446442" w:rsidP="00446442">
      <w:pPr>
        <w:pStyle w:val="AERbodytext"/>
      </w:pPr>
      <w:r w:rsidRPr="00446442">
        <w:t xml:space="preserve">Our draft decision on </w:t>
      </w:r>
      <w:r>
        <w:t>Ausgrid's</w:t>
      </w:r>
      <w:r w:rsidRPr="00446442">
        <w:t xml:space="preserve"> expected revenues ultimately affects the prices consumers pay for electricity. </w:t>
      </w:r>
      <w:r w:rsidR="00CA283F">
        <w:t>There are several steps required to translate our revenue decision to an ultimate price impact, and the steps are different depending on the network component:</w:t>
      </w:r>
    </w:p>
    <w:p w:rsidR="00CA283F" w:rsidRDefault="00CA283F" w:rsidP="00C153D3">
      <w:pPr>
        <w:pStyle w:val="AERbulletlistfirststyle"/>
      </w:pPr>
      <w:r>
        <w:t xml:space="preserve">For Ausgrid's distribution assets, </w:t>
      </w:r>
      <w:r w:rsidR="00446442" w:rsidRPr="00446442">
        <w:t>we are regulating standard control services under a revenue cap</w:t>
      </w:r>
      <w:r w:rsidR="00EA53A7">
        <w:t xml:space="preserve"> form of control</w:t>
      </w:r>
      <w:r>
        <w:t xml:space="preserve">. This means </w:t>
      </w:r>
      <w:r w:rsidR="00446442" w:rsidRPr="00446442">
        <w:t xml:space="preserve">the adjustments that we have made to </w:t>
      </w:r>
      <w:r w:rsidR="00446442">
        <w:t>Ausgrid's</w:t>
      </w:r>
      <w:r w:rsidR="00446442" w:rsidRPr="00446442">
        <w:t xml:space="preserve"> expected revenues do not directly translate to price impacts. This is because </w:t>
      </w:r>
      <w:r w:rsidR="00446442">
        <w:t>Ausgrid</w:t>
      </w:r>
      <w:r w:rsidR="00446442" w:rsidRPr="00446442">
        <w:t xml:space="preserve">'s revenue is fixed under the </w:t>
      </w:r>
      <w:r w:rsidR="00446442" w:rsidRPr="00446442">
        <w:lastRenderedPageBreak/>
        <w:t xml:space="preserve">revenue cap form of control, so changes in the consumption of electricity will affect the prices ultimately charged to consumers. We are not required to establish the distribution prices for </w:t>
      </w:r>
      <w:r w:rsidR="00446442">
        <w:t>Ausgrid</w:t>
      </w:r>
      <w:r w:rsidR="00446442" w:rsidRPr="00446442">
        <w:t xml:space="preserve"> as part of this determination.  However, we will assess </w:t>
      </w:r>
      <w:r w:rsidR="00446442">
        <w:t>Ausgrid's</w:t>
      </w:r>
      <w:r w:rsidR="00446442" w:rsidRPr="00446442">
        <w:t xml:space="preserve"> annual pricing proposals before the commencement of the remaining regulatory years for the 2014</w:t>
      </w:r>
      <w:r w:rsidR="00EA53A7">
        <w:t>–</w:t>
      </w:r>
      <w:r w:rsidR="00446442" w:rsidRPr="00446442">
        <w:t>19 period based on this distribution determination.</w:t>
      </w:r>
    </w:p>
    <w:p w:rsidR="00446442" w:rsidRPr="00446442" w:rsidRDefault="00CA283F" w:rsidP="00C153D3">
      <w:pPr>
        <w:pStyle w:val="AERbulletlistfirststyle"/>
      </w:pPr>
      <w:r>
        <w:t xml:space="preserve">For Ausgrid's transmission assets, we are </w:t>
      </w:r>
      <w:r w:rsidR="00EA53A7">
        <w:t xml:space="preserve">also </w:t>
      </w:r>
      <w:r>
        <w:t xml:space="preserve">regulating standard control services under a revenue cap. </w:t>
      </w:r>
      <w:r w:rsidR="00C153D3">
        <w:t xml:space="preserve">Similar to </w:t>
      </w:r>
      <w:r>
        <w:t>distribution, this means that changes in consumption of electricity will affect the prices charged to consumers. Further, transmission charges are collected with regard to the entire transmission network across NSW and the ACT, since the Ausgrid transmission assets are an embedded component of the broader transmission network. TransGrid, which is the coordinating TNSP for this network region, establishes transmission charges and then provides Ausgrid with its portion of revenues.</w:t>
      </w:r>
    </w:p>
    <w:p w:rsidR="00446442" w:rsidRDefault="00446442" w:rsidP="00F15277">
      <w:pPr>
        <w:pStyle w:val="AERbodytext"/>
      </w:pPr>
      <w:r w:rsidRPr="00446442">
        <w:t xml:space="preserve">For this draft decision, we have estimated some indicative average distribution </w:t>
      </w:r>
      <w:r>
        <w:t xml:space="preserve">and transmission </w:t>
      </w:r>
      <w:r w:rsidRPr="00446442">
        <w:t xml:space="preserve">price impacts flowing from our determination on the expected revenues for </w:t>
      </w:r>
      <w:r>
        <w:t>Ausgrid</w:t>
      </w:r>
      <w:r w:rsidRPr="00446442">
        <w:t xml:space="preserve"> over the 2014</w:t>
      </w:r>
      <w:r w:rsidR="00EA53A7">
        <w:t>–</w:t>
      </w:r>
      <w:r w:rsidRPr="00446442">
        <w:t xml:space="preserve">19 </w:t>
      </w:r>
      <w:proofErr w:type="gramStart"/>
      <w:r w:rsidRPr="00446442">
        <w:t>period</w:t>
      </w:r>
      <w:proofErr w:type="gramEnd"/>
      <w:r w:rsidRPr="00446442">
        <w:t xml:space="preserve">. </w:t>
      </w:r>
      <w:r w:rsidR="009323BC">
        <w:fldChar w:fldCharType="begin"/>
      </w:r>
      <w:r w:rsidR="009323BC">
        <w:instrText xml:space="preserve"> REF _Ref402793878 \h </w:instrText>
      </w:r>
      <w:r w:rsidR="009323BC">
        <w:fldChar w:fldCharType="separate"/>
      </w:r>
      <w:r w:rsidR="00382E4F">
        <w:t xml:space="preserve">Figure </w:t>
      </w:r>
      <w:r w:rsidR="00382E4F">
        <w:rPr>
          <w:noProof/>
        </w:rPr>
        <w:t>1</w:t>
      </w:r>
      <w:r w:rsidR="00382E4F">
        <w:t>.</w:t>
      </w:r>
      <w:r w:rsidR="00382E4F">
        <w:rPr>
          <w:noProof/>
        </w:rPr>
        <w:t>5</w:t>
      </w:r>
      <w:r w:rsidR="009323BC">
        <w:fldChar w:fldCharType="end"/>
      </w:r>
      <w:r w:rsidRPr="00446442">
        <w:t xml:space="preserve"> </w:t>
      </w:r>
      <w:r w:rsidR="009323BC">
        <w:t xml:space="preserve">and </w:t>
      </w:r>
      <w:r w:rsidR="00F15277">
        <w:fldChar w:fldCharType="begin"/>
      </w:r>
      <w:r w:rsidR="00F15277">
        <w:instrText xml:space="preserve"> REF _Ref402793935 \h </w:instrText>
      </w:r>
      <w:r w:rsidR="00F15277">
        <w:fldChar w:fldCharType="separate"/>
      </w:r>
      <w:r w:rsidR="00382E4F">
        <w:t xml:space="preserve">Figure </w:t>
      </w:r>
      <w:r w:rsidR="00382E4F">
        <w:rPr>
          <w:noProof/>
        </w:rPr>
        <w:t>1</w:t>
      </w:r>
      <w:r w:rsidR="00382E4F">
        <w:t>.</w:t>
      </w:r>
      <w:r w:rsidR="00382E4F">
        <w:rPr>
          <w:noProof/>
        </w:rPr>
        <w:t>6</w:t>
      </w:r>
      <w:r w:rsidR="00F15277">
        <w:fldChar w:fldCharType="end"/>
      </w:r>
      <w:r w:rsidR="00F15277">
        <w:t xml:space="preserve"> </w:t>
      </w:r>
      <w:r w:rsidRPr="00446442">
        <w:t xml:space="preserve">show </w:t>
      </w:r>
      <w:r>
        <w:t>Ausgrid</w:t>
      </w:r>
      <w:r w:rsidRPr="00446442">
        <w:t>'s indicative price path</w:t>
      </w:r>
      <w:r w:rsidR="00F15277">
        <w:t>s (distribution and transmission)</w:t>
      </w:r>
      <w:r w:rsidRPr="00446442">
        <w:t xml:space="preserve"> based on the expected revenues established in our draft decision compared to its propos</w:t>
      </w:r>
      <w:r w:rsidR="00EA53A7">
        <w:t>al</w:t>
      </w:r>
      <w:r w:rsidRPr="00446442">
        <w:t xml:space="preserve">. </w:t>
      </w:r>
      <w:r w:rsidR="00F15277">
        <w:t>For Ausgrid's distribution network w</w:t>
      </w:r>
      <w:r w:rsidRPr="00446442">
        <w:t xml:space="preserve">e used the </w:t>
      </w:r>
      <w:r w:rsidR="00914965">
        <w:t xml:space="preserve">data on </w:t>
      </w:r>
      <w:r w:rsidRPr="00446442">
        <w:t xml:space="preserve">price </w:t>
      </w:r>
      <w:r w:rsidR="00914965">
        <w:t>changes</w:t>
      </w:r>
      <w:r w:rsidRPr="00446442">
        <w:t xml:space="preserve"> </w:t>
      </w:r>
      <w:r w:rsidR="00481870">
        <w:t>Ausgrid</w:t>
      </w:r>
      <w:r w:rsidRPr="00446442">
        <w:t xml:space="preserve"> provided in </w:t>
      </w:r>
      <w:r w:rsidR="00914965">
        <w:t>its proposal, which appeared to be consistent with price cap calculations.</w:t>
      </w:r>
      <w:r w:rsidRPr="00446442">
        <w:t xml:space="preserve"> </w:t>
      </w:r>
      <w:r w:rsidR="00914965">
        <w:t xml:space="preserve"> We have adopted the data </w:t>
      </w:r>
      <w:r w:rsidRPr="00446442">
        <w:t xml:space="preserve">to determine the movement in overall prices. </w:t>
      </w:r>
      <w:r w:rsidR="00F15277">
        <w:t xml:space="preserve">For Ausgrid's transmission network, noting that transmission prices will be established by TransGrid for the entire NSW transmission network, we can estimate average prices by dividing total revenue </w:t>
      </w:r>
      <w:r w:rsidR="00EA53A7">
        <w:t>with</w:t>
      </w:r>
      <w:r w:rsidR="00F15277">
        <w:t xml:space="preserve"> total forecast energy consumed in NSW. The energy is based on the forecast for NSW by AEMO.</w:t>
      </w:r>
      <w:r w:rsidR="00F15277" w:rsidRPr="00F15277">
        <w:rPr>
          <w:rStyle w:val="FootnoteReference"/>
        </w:rPr>
        <w:footnoteReference w:id="24"/>
      </w:r>
      <w:r w:rsidR="00F15277">
        <w:t xml:space="preserve"> </w:t>
      </w:r>
      <w:r w:rsidRPr="00446442">
        <w:t>For presentational purposes, the prices are scaled so that the price index begins at 1.0 in 2013</w:t>
      </w:r>
      <w:r w:rsidR="00EE66EB">
        <w:t>–</w:t>
      </w:r>
      <w:r w:rsidRPr="00446442">
        <w:t>14.</w:t>
      </w:r>
      <w:r w:rsidR="00F15277" w:rsidRPr="00F15277">
        <w:t xml:space="preserve"> The index provides a simple overall measure of the relative movement in expected distribution and transmission prices over the 2014–19 </w:t>
      </w:r>
      <w:proofErr w:type="gramStart"/>
      <w:r w:rsidR="00F15277" w:rsidRPr="00F15277">
        <w:t>period</w:t>
      </w:r>
      <w:proofErr w:type="gramEnd"/>
      <w:r w:rsidR="00F15277" w:rsidRPr="00F15277">
        <w:t>.</w:t>
      </w:r>
    </w:p>
    <w:p w:rsidR="00481870" w:rsidRDefault="00FA1367" w:rsidP="00FA1367">
      <w:pPr>
        <w:pStyle w:val="Caption"/>
      </w:pPr>
      <w:bookmarkStart w:id="37" w:name="_Ref402793878"/>
      <w:proofErr w:type="gramStart"/>
      <w:r>
        <w:lastRenderedPageBreak/>
        <w:t xml:space="preserve">Figure </w:t>
      </w:r>
      <w:proofErr w:type="gramEnd"/>
      <w:r w:rsidR="00382E4F">
        <w:fldChar w:fldCharType="begin"/>
      </w:r>
      <w:r w:rsidR="00382E4F">
        <w:instrText xml:space="preserve"> STYLEREF 1 \s </w:instrText>
      </w:r>
      <w:r w:rsidR="00382E4F">
        <w:fldChar w:fldCharType="separate"/>
      </w:r>
      <w:r w:rsidR="00382E4F">
        <w:rPr>
          <w:noProof/>
        </w:rPr>
        <w:t>1</w:t>
      </w:r>
      <w:r w:rsidR="00382E4F">
        <w:rPr>
          <w:noProof/>
        </w:rPr>
        <w:fldChar w:fldCharType="end"/>
      </w:r>
      <w:proofErr w:type="gramStart"/>
      <w:r w:rsidR="00CE4D1A">
        <w:t>.</w:t>
      </w:r>
      <w:proofErr w:type="gramEnd"/>
      <w:r w:rsidR="00382E4F">
        <w:fldChar w:fldCharType="begin"/>
      </w:r>
      <w:r w:rsidR="00382E4F">
        <w:instrText xml:space="preserve"> SEQ Figure \* ARABIC \s 1 </w:instrText>
      </w:r>
      <w:r w:rsidR="00382E4F">
        <w:fldChar w:fldCharType="separate"/>
      </w:r>
      <w:r w:rsidR="00382E4F">
        <w:rPr>
          <w:noProof/>
        </w:rPr>
        <w:t>5</w:t>
      </w:r>
      <w:r w:rsidR="00382E4F">
        <w:rPr>
          <w:noProof/>
        </w:rPr>
        <w:fldChar w:fldCharType="end"/>
      </w:r>
      <w:bookmarkEnd w:id="37"/>
      <w:r>
        <w:tab/>
        <w:t>AER's draft decision and Ausgrid's proposed indicative price paths</w:t>
      </w:r>
      <w:r w:rsidR="00EE66EB">
        <w:t xml:space="preserve"> – distribution</w:t>
      </w:r>
      <w:r>
        <w:t xml:space="preserve"> (nominal price index)</w:t>
      </w:r>
      <w:r w:rsidR="0083510F">
        <w:t xml:space="preserve"> </w:t>
      </w:r>
    </w:p>
    <w:p w:rsidR="00FA1367" w:rsidRDefault="0021112A" w:rsidP="001A0446">
      <w:pPr>
        <w:pStyle w:val="AERbodytext"/>
        <w:keepNext/>
      </w:pPr>
      <w:r w:rsidRPr="0021112A">
        <w:rPr>
          <w:noProof/>
          <w:lang w:eastAsia="en-AU"/>
        </w:rPr>
        <w:drawing>
          <wp:inline distT="0" distB="0" distL="0" distR="0" wp14:anchorId="41AF6E72" wp14:editId="022CD85F">
            <wp:extent cx="5372100" cy="3228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3228975"/>
                    </a:xfrm>
                    <a:prstGeom prst="rect">
                      <a:avLst/>
                    </a:prstGeom>
                    <a:noFill/>
                    <a:ln>
                      <a:noFill/>
                    </a:ln>
                  </pic:spPr>
                </pic:pic>
              </a:graphicData>
            </a:graphic>
          </wp:inline>
        </w:drawing>
      </w:r>
    </w:p>
    <w:p w:rsidR="00914965" w:rsidRDefault="0083510F" w:rsidP="0083510F">
      <w:pPr>
        <w:pStyle w:val="AERtablesource"/>
      </w:pPr>
      <w:r>
        <w:t>Source:</w:t>
      </w:r>
      <w:r>
        <w:tab/>
        <w:t xml:space="preserve">AER </w:t>
      </w:r>
      <w:r w:rsidR="00914965">
        <w:t>a</w:t>
      </w:r>
      <w:r>
        <w:t>nalysis.</w:t>
      </w:r>
      <w:r w:rsidR="00914965">
        <w:t xml:space="preserve"> </w:t>
      </w:r>
    </w:p>
    <w:p w:rsidR="0083510F" w:rsidRDefault="00914965" w:rsidP="0083510F">
      <w:pPr>
        <w:pStyle w:val="AERtablesource"/>
      </w:pPr>
      <w:r>
        <w:t>Notes:</w:t>
      </w:r>
      <w:r>
        <w:tab/>
      </w:r>
      <w:r w:rsidRPr="00FC0C64">
        <w:t xml:space="preserve">The nominal price index is calculated by the AER based on the indicative weighted average price changes submitted by </w:t>
      </w:r>
      <w:r>
        <w:t>Ausgrid</w:t>
      </w:r>
      <w:r w:rsidRPr="00FC0C64">
        <w:t xml:space="preserve"> in its </w:t>
      </w:r>
      <w:r>
        <w:t xml:space="preserve">proposal, </w:t>
      </w:r>
      <w:r w:rsidRPr="00FC0C64">
        <w:t xml:space="preserve">and adjusting for the change in overall revenue substituted by the AER.  </w:t>
      </w:r>
    </w:p>
    <w:p w:rsidR="0083510F" w:rsidRPr="0083510F" w:rsidRDefault="0083510F" w:rsidP="0083510F">
      <w:pPr>
        <w:pStyle w:val="Caption"/>
      </w:pPr>
      <w:bookmarkStart w:id="38" w:name="_Ref402793935"/>
      <w:proofErr w:type="gramStart"/>
      <w:r>
        <w:t xml:space="preserve">Figure </w:t>
      </w:r>
      <w:proofErr w:type="gramEnd"/>
      <w:r w:rsidR="00382E4F">
        <w:fldChar w:fldCharType="begin"/>
      </w:r>
      <w:r w:rsidR="00382E4F">
        <w:instrText xml:space="preserve"> STYLEREF 1 \s </w:instrText>
      </w:r>
      <w:r w:rsidR="00382E4F">
        <w:fldChar w:fldCharType="separate"/>
      </w:r>
      <w:r w:rsidR="00382E4F">
        <w:rPr>
          <w:noProof/>
        </w:rPr>
        <w:t>1</w:t>
      </w:r>
      <w:r w:rsidR="00382E4F">
        <w:rPr>
          <w:noProof/>
        </w:rPr>
        <w:fldChar w:fldCharType="end"/>
      </w:r>
      <w:proofErr w:type="gramStart"/>
      <w:r w:rsidR="00CE4D1A">
        <w:t>.</w:t>
      </w:r>
      <w:proofErr w:type="gramEnd"/>
      <w:r w:rsidR="00382E4F">
        <w:fldChar w:fldCharType="begin"/>
      </w:r>
      <w:r w:rsidR="00382E4F">
        <w:instrText xml:space="preserve"> SEQ Figure \* ARABIC \s 1 </w:instrText>
      </w:r>
      <w:r w:rsidR="00382E4F">
        <w:fldChar w:fldCharType="separate"/>
      </w:r>
      <w:r w:rsidR="00382E4F">
        <w:rPr>
          <w:noProof/>
        </w:rPr>
        <w:t>6</w:t>
      </w:r>
      <w:r w:rsidR="00382E4F">
        <w:rPr>
          <w:noProof/>
        </w:rPr>
        <w:fldChar w:fldCharType="end"/>
      </w:r>
      <w:bookmarkEnd w:id="38"/>
      <w:r>
        <w:tab/>
      </w:r>
      <w:r w:rsidRPr="0083510F">
        <w:t xml:space="preserve">AER's draft decision and Ausgrid's proposed indicative price paths </w:t>
      </w:r>
      <w:r w:rsidR="00EE66EB">
        <w:t>–</w:t>
      </w:r>
      <w:r w:rsidR="00EE66EB" w:rsidRPr="0083510F">
        <w:t xml:space="preserve"> </w:t>
      </w:r>
      <w:r w:rsidR="00EE66EB">
        <w:t>transmission</w:t>
      </w:r>
      <w:r w:rsidR="00EE66EB" w:rsidRPr="0083510F">
        <w:t xml:space="preserve"> </w:t>
      </w:r>
      <w:r w:rsidRPr="0083510F">
        <w:t xml:space="preserve">(nominal price index) </w:t>
      </w:r>
    </w:p>
    <w:p w:rsidR="0083510F" w:rsidRDefault="0021112A" w:rsidP="0021112A">
      <w:pPr>
        <w:pStyle w:val="AERbodytext"/>
      </w:pPr>
      <w:r w:rsidRPr="0021112A">
        <w:rPr>
          <w:noProof/>
          <w:lang w:eastAsia="en-AU"/>
        </w:rPr>
        <w:drawing>
          <wp:inline distT="0" distB="0" distL="0" distR="0" wp14:anchorId="0D755688" wp14:editId="698564B7">
            <wp:extent cx="5562600" cy="3228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2600" cy="3228975"/>
                    </a:xfrm>
                    <a:prstGeom prst="rect">
                      <a:avLst/>
                    </a:prstGeom>
                    <a:noFill/>
                    <a:ln>
                      <a:noFill/>
                    </a:ln>
                  </pic:spPr>
                </pic:pic>
              </a:graphicData>
            </a:graphic>
          </wp:inline>
        </w:drawing>
      </w:r>
    </w:p>
    <w:p w:rsidR="009B6EC8" w:rsidRDefault="0083510F" w:rsidP="009B6EC8">
      <w:pPr>
        <w:pStyle w:val="AERtablesource"/>
      </w:pPr>
      <w:r>
        <w:t xml:space="preserve">Source: </w:t>
      </w:r>
      <w:r w:rsidR="00EE66EB">
        <w:tab/>
      </w:r>
      <w:r>
        <w:t>AER analysis.</w:t>
      </w:r>
      <w:r w:rsidR="009B6EC8">
        <w:t xml:space="preserve"> </w:t>
      </w:r>
    </w:p>
    <w:p w:rsidR="009B6EC8" w:rsidRPr="009B6EC8" w:rsidRDefault="009B6EC8" w:rsidP="009B6EC8">
      <w:pPr>
        <w:pStyle w:val="AERtablesource"/>
      </w:pPr>
      <w:r>
        <w:t>Notes:</w:t>
      </w:r>
      <w:r>
        <w:tab/>
        <w:t xml:space="preserve">The nominal price index is calculated by the AER based on overall revenue and the (state wide) transmission network energy forecasts used for TransGrid (the NSW/ACT transmission network service provider).  </w:t>
      </w:r>
    </w:p>
    <w:p w:rsidR="00481870" w:rsidRPr="00446442" w:rsidRDefault="00481870" w:rsidP="00481870">
      <w:pPr>
        <w:pStyle w:val="AERbodytext"/>
      </w:pPr>
      <w:r w:rsidRPr="00481870">
        <w:lastRenderedPageBreak/>
        <w:t xml:space="preserve">We estimate that our draft decision on </w:t>
      </w:r>
      <w:r>
        <w:t>Ausgrid</w:t>
      </w:r>
      <w:r w:rsidRPr="00481870">
        <w:t xml:space="preserve">'s annual expected revenue will result in a decrease to average distribution charges by about </w:t>
      </w:r>
      <w:r w:rsidR="00C85309">
        <w:t>5</w:t>
      </w:r>
      <w:r w:rsidR="00C26943">
        <w:t>.9</w:t>
      </w:r>
      <w:r w:rsidRPr="00481870">
        <w:t xml:space="preserve"> per cent per annum over the 2014–19 </w:t>
      </w:r>
      <w:proofErr w:type="gramStart"/>
      <w:r w:rsidRPr="00481870">
        <w:t>period</w:t>
      </w:r>
      <w:proofErr w:type="gramEnd"/>
      <w:r w:rsidRPr="00481870">
        <w:t xml:space="preserve"> in nominal terms.</w:t>
      </w:r>
      <w:r w:rsidR="00E606D6">
        <w:rPr>
          <w:rStyle w:val="FootnoteReference"/>
        </w:rPr>
        <w:footnoteReference w:id="25"/>
      </w:r>
      <w:r w:rsidRPr="00481870">
        <w:t xml:space="preserve"> </w:t>
      </w:r>
      <w:r w:rsidR="00F15277" w:rsidRPr="00F15277">
        <w:rPr>
          <w:rStyle w:val="AERbody"/>
        </w:rPr>
        <w:t xml:space="preserve">Our transitional determination resulted in an expected reduction in distribution charges of about </w:t>
      </w:r>
      <w:r w:rsidR="00C85309">
        <w:rPr>
          <w:rStyle w:val="AERbody"/>
        </w:rPr>
        <w:t>3.7</w:t>
      </w:r>
      <w:r w:rsidR="00F15277">
        <w:rPr>
          <w:rStyle w:val="AERbody"/>
        </w:rPr>
        <w:t> </w:t>
      </w:r>
      <w:r w:rsidR="00F15277" w:rsidRPr="00F15277">
        <w:rPr>
          <w:rStyle w:val="AERbody"/>
        </w:rPr>
        <w:t xml:space="preserve">per cent in 2014–15. We estimate that our draft decision will further reduce distribution charges by another </w:t>
      </w:r>
      <w:r w:rsidR="00C85309">
        <w:rPr>
          <w:rStyle w:val="AERbody"/>
        </w:rPr>
        <w:t>29.2</w:t>
      </w:r>
      <w:r w:rsidR="00F15277">
        <w:rPr>
          <w:rStyle w:val="AERbody"/>
        </w:rPr>
        <w:t> </w:t>
      </w:r>
      <w:r w:rsidR="00F15277" w:rsidRPr="00F15277">
        <w:rPr>
          <w:rStyle w:val="AERbody"/>
        </w:rPr>
        <w:t xml:space="preserve">per cent in 2015–16, followed by increases of about </w:t>
      </w:r>
      <w:r w:rsidR="00C85309">
        <w:rPr>
          <w:rStyle w:val="AERbody"/>
        </w:rPr>
        <w:t>1.2</w:t>
      </w:r>
      <w:r w:rsidR="00F15277">
        <w:rPr>
          <w:rStyle w:val="AERbody"/>
        </w:rPr>
        <w:t> </w:t>
      </w:r>
      <w:r w:rsidR="00F15277" w:rsidRPr="00F15277">
        <w:rPr>
          <w:rStyle w:val="AERbody"/>
        </w:rPr>
        <w:t xml:space="preserve">per cent per annum from 2016–17 to 2018–19. </w:t>
      </w:r>
      <w:r w:rsidRPr="00481870">
        <w:t xml:space="preserve">This compares to the nominal average increase of approximately </w:t>
      </w:r>
      <w:r w:rsidR="00C85309">
        <w:t>1.9</w:t>
      </w:r>
      <w:r w:rsidRPr="00481870">
        <w:t xml:space="preserve"> per cent per annum proposed by </w:t>
      </w:r>
      <w:r>
        <w:t>Ausgrid</w:t>
      </w:r>
      <w:r w:rsidR="00EE66EB">
        <w:t xml:space="preserve"> over the 2014–19 period</w:t>
      </w:r>
      <w:r w:rsidRPr="00481870">
        <w:t>.</w:t>
      </w:r>
    </w:p>
    <w:p w:rsidR="00446442" w:rsidRDefault="001A0446" w:rsidP="00F8634A">
      <w:pPr>
        <w:pStyle w:val="AERbodytext"/>
      </w:pPr>
      <w:r>
        <w:fldChar w:fldCharType="begin"/>
      </w:r>
      <w:r>
        <w:instrText xml:space="preserve"> REF _Ref404354253 \h </w:instrText>
      </w:r>
      <w:r>
        <w:fldChar w:fldCharType="separate"/>
      </w:r>
      <w:r w:rsidR="00382E4F">
        <w:t xml:space="preserve">Table </w:t>
      </w:r>
      <w:r w:rsidR="00382E4F">
        <w:rPr>
          <w:noProof/>
        </w:rPr>
        <w:t>1</w:t>
      </w:r>
      <w:r w:rsidR="00382E4F">
        <w:t>.</w:t>
      </w:r>
      <w:r w:rsidR="00382E4F">
        <w:rPr>
          <w:noProof/>
        </w:rPr>
        <w:t>10</w:t>
      </w:r>
      <w:r>
        <w:fldChar w:fldCharType="end"/>
      </w:r>
      <w:r>
        <w:t xml:space="preserve"> </w:t>
      </w:r>
      <w:r w:rsidR="00312D5F">
        <w:t xml:space="preserve">and </w:t>
      </w:r>
      <w:r w:rsidR="00312D5F">
        <w:fldChar w:fldCharType="begin"/>
      </w:r>
      <w:r w:rsidR="00312D5F">
        <w:instrText xml:space="preserve"> REF _Ref401573580 \h </w:instrText>
      </w:r>
      <w:r w:rsidR="00312D5F">
        <w:fldChar w:fldCharType="separate"/>
      </w:r>
      <w:r w:rsidR="00382E4F">
        <w:t xml:space="preserve">Table </w:t>
      </w:r>
      <w:r w:rsidR="00382E4F">
        <w:rPr>
          <w:noProof/>
        </w:rPr>
        <w:t>1</w:t>
      </w:r>
      <w:r w:rsidR="00382E4F">
        <w:t>.</w:t>
      </w:r>
      <w:r w:rsidR="00382E4F">
        <w:rPr>
          <w:noProof/>
        </w:rPr>
        <w:t>11</w:t>
      </w:r>
      <w:r w:rsidR="00312D5F">
        <w:fldChar w:fldCharType="end"/>
      </w:r>
      <w:r w:rsidR="00540B74">
        <w:t xml:space="preserve"> </w:t>
      </w:r>
      <w:r w:rsidR="00481870">
        <w:t xml:space="preserve">display the comparison of the price impacts of Ausgrid's proposal and our draft decision revenue allowance for </w:t>
      </w:r>
      <w:r w:rsidR="00EE66EB">
        <w:t>its</w:t>
      </w:r>
      <w:r w:rsidR="00481870">
        <w:t xml:space="preserve"> distribution and transmission networks respectively.</w:t>
      </w:r>
    </w:p>
    <w:p w:rsidR="00481870" w:rsidRDefault="00540B74" w:rsidP="00540B74">
      <w:pPr>
        <w:pStyle w:val="Caption"/>
      </w:pPr>
      <w:bookmarkStart w:id="39" w:name="_Ref401573569"/>
      <w:bookmarkStart w:id="40" w:name="_Ref404354253"/>
      <w:proofErr w:type="gramStart"/>
      <w:r>
        <w:t xml:space="preserve">Table </w:t>
      </w:r>
      <w:proofErr w:type="gramEnd"/>
      <w:r w:rsidR="00382E4F">
        <w:fldChar w:fldCharType="begin"/>
      </w:r>
      <w:r w:rsidR="00382E4F">
        <w:instrText xml:space="preserve"> STYLEREF 1 \s </w:instrText>
      </w:r>
      <w:r w:rsidR="00382E4F">
        <w:fldChar w:fldCharType="separate"/>
      </w:r>
      <w:r w:rsidR="00382E4F">
        <w:rPr>
          <w:noProof/>
        </w:rPr>
        <w:t>1</w:t>
      </w:r>
      <w:r w:rsidR="00382E4F">
        <w:rPr>
          <w:noProof/>
        </w:rPr>
        <w:fldChar w:fldCharType="end"/>
      </w:r>
      <w:proofErr w:type="gramStart"/>
      <w:r w:rsidR="00CE4D1A">
        <w:t>.</w:t>
      </w:r>
      <w:proofErr w:type="gramEnd"/>
      <w:r w:rsidR="00382E4F">
        <w:fldChar w:fldCharType="begin"/>
      </w:r>
      <w:r w:rsidR="00382E4F">
        <w:instrText xml:space="preserve"> SEQ Table \* ARABIC \s 1 </w:instrText>
      </w:r>
      <w:r w:rsidR="00382E4F">
        <w:fldChar w:fldCharType="separate"/>
      </w:r>
      <w:r w:rsidR="00382E4F">
        <w:rPr>
          <w:noProof/>
        </w:rPr>
        <w:t>10</w:t>
      </w:r>
      <w:r w:rsidR="00382E4F">
        <w:rPr>
          <w:noProof/>
        </w:rPr>
        <w:fldChar w:fldCharType="end"/>
      </w:r>
      <w:bookmarkEnd w:id="39"/>
      <w:bookmarkEnd w:id="40"/>
      <w:r>
        <w:tab/>
        <w:t xml:space="preserve">Comparison of revenue and price impacts of Ausgrid's proposal and AER's draft decision </w:t>
      </w:r>
      <w:r w:rsidR="007B7561">
        <w:t>–</w:t>
      </w:r>
      <w:r>
        <w:t xml:space="preserve"> </w:t>
      </w:r>
      <w:r w:rsidR="007B7561">
        <w:t>d</w:t>
      </w:r>
      <w:r>
        <w:t>istribution</w:t>
      </w:r>
    </w:p>
    <w:tbl>
      <w:tblPr>
        <w:tblStyle w:val="AERtable-numbers"/>
        <w:tblW w:w="9242" w:type="dxa"/>
        <w:tblLayout w:type="fixed"/>
        <w:tblLook w:val="04A0" w:firstRow="1" w:lastRow="0" w:firstColumn="1" w:lastColumn="0" w:noHBand="0" w:noVBand="1"/>
      </w:tblPr>
      <w:tblGrid>
        <w:gridCol w:w="2966"/>
        <w:gridCol w:w="1046"/>
        <w:gridCol w:w="1046"/>
        <w:gridCol w:w="1046"/>
        <w:gridCol w:w="1046"/>
        <w:gridCol w:w="1046"/>
        <w:gridCol w:w="1046"/>
      </w:tblGrid>
      <w:tr w:rsidR="00FA1367" w:rsidRPr="00356B64" w:rsidTr="00C153D3">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hideMark/>
          </w:tcPr>
          <w:p w:rsidR="00FA1367" w:rsidRPr="003E0B0C" w:rsidRDefault="00FA1367" w:rsidP="003E0B0C">
            <w:pPr>
              <w:pStyle w:val="AERtabletextleft"/>
            </w:pPr>
            <w:r w:rsidRPr="003E0B0C">
              <w:t> </w:t>
            </w:r>
          </w:p>
        </w:tc>
        <w:tc>
          <w:tcPr>
            <w:tcW w:w="1046" w:type="dxa"/>
            <w:noWrap/>
            <w:hideMark/>
          </w:tcPr>
          <w:p w:rsidR="00FA1367" w:rsidRPr="003E0B0C" w:rsidRDefault="00FA1367" w:rsidP="003E0B0C">
            <w:pPr>
              <w:pStyle w:val="AERtabletextright"/>
              <w:cnfStyle w:val="100000000000" w:firstRow="1" w:lastRow="0" w:firstColumn="0" w:lastColumn="0" w:oddVBand="0" w:evenVBand="0" w:oddHBand="0" w:evenHBand="0" w:firstRowFirstColumn="0" w:firstRowLastColumn="0" w:lastRowFirstColumn="0" w:lastRowLastColumn="0"/>
            </w:pPr>
            <w:r>
              <w:t>2013–14</w:t>
            </w:r>
          </w:p>
        </w:tc>
        <w:tc>
          <w:tcPr>
            <w:tcW w:w="1046" w:type="dxa"/>
          </w:tcPr>
          <w:p w:rsidR="00FA1367" w:rsidRPr="003E0B0C" w:rsidRDefault="00FA1367" w:rsidP="003E0B0C">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1046" w:type="dxa"/>
          </w:tcPr>
          <w:p w:rsidR="00FA1367" w:rsidRPr="003E0B0C" w:rsidRDefault="00FA1367" w:rsidP="003E0B0C">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046" w:type="dxa"/>
          </w:tcPr>
          <w:p w:rsidR="00FA1367" w:rsidRPr="003E0B0C" w:rsidRDefault="00FA1367" w:rsidP="003E0B0C">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046" w:type="dxa"/>
          </w:tcPr>
          <w:p w:rsidR="00FA1367" w:rsidRPr="003E0B0C" w:rsidRDefault="00FA1367" w:rsidP="003E0B0C">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046" w:type="dxa"/>
            <w:noWrap/>
            <w:hideMark/>
          </w:tcPr>
          <w:p w:rsidR="00FA1367" w:rsidRPr="003E0B0C" w:rsidRDefault="00FA1367" w:rsidP="003E0B0C">
            <w:pPr>
              <w:pStyle w:val="AERtabletextright"/>
              <w:cnfStyle w:val="100000000000" w:firstRow="1" w:lastRow="0" w:firstColumn="0" w:lastColumn="0" w:oddVBand="0" w:evenVBand="0" w:oddHBand="0" w:evenHBand="0" w:firstRowFirstColumn="0" w:firstRowLastColumn="0" w:lastRowFirstColumn="0" w:lastRowLastColumn="0"/>
            </w:pPr>
            <w:r>
              <w:t>2018–19</w:t>
            </w:r>
          </w:p>
        </w:tc>
      </w:tr>
      <w:tr w:rsidR="00FA1367" w:rsidRPr="00356B64" w:rsidTr="00C153D3">
        <w:trPr>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hideMark/>
          </w:tcPr>
          <w:p w:rsidR="00FA1367" w:rsidRPr="00C153D3" w:rsidRDefault="00FA1367" w:rsidP="00E02423">
            <w:pPr>
              <w:pStyle w:val="AERtabletextleft"/>
              <w:jc w:val="both"/>
              <w:rPr>
                <w:rStyle w:val="AERtextbold"/>
              </w:rPr>
            </w:pPr>
            <w:r w:rsidRPr="00C153D3">
              <w:rPr>
                <w:rStyle w:val="AERtextbold"/>
              </w:rPr>
              <w:t>Ausgrid proposal</w:t>
            </w:r>
          </w:p>
        </w:tc>
        <w:tc>
          <w:tcPr>
            <w:tcW w:w="1046" w:type="dxa"/>
            <w:noWrap/>
          </w:tcPr>
          <w:p w:rsidR="00FA1367" w:rsidRPr="00C153D3" w:rsidRDefault="00FA1367" w:rsidP="00FA136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046" w:type="dxa"/>
          </w:tcPr>
          <w:p w:rsidR="00FA1367" w:rsidRPr="00C153D3" w:rsidRDefault="00FA1367" w:rsidP="00FA136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046" w:type="dxa"/>
          </w:tcPr>
          <w:p w:rsidR="00FA1367" w:rsidRPr="00C153D3" w:rsidRDefault="00FA1367" w:rsidP="00FA136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046" w:type="dxa"/>
          </w:tcPr>
          <w:p w:rsidR="00FA1367" w:rsidRPr="00C153D3" w:rsidRDefault="00FA1367" w:rsidP="00FA136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046" w:type="dxa"/>
          </w:tcPr>
          <w:p w:rsidR="00FA1367" w:rsidRPr="00C153D3" w:rsidRDefault="00FA1367" w:rsidP="00FA136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046" w:type="dxa"/>
            <w:noWrap/>
          </w:tcPr>
          <w:p w:rsidR="00FA1367" w:rsidRPr="00C153D3" w:rsidRDefault="00FA1367" w:rsidP="00FA136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1E0546" w:rsidRPr="00356B64" w:rsidTr="001E054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hideMark/>
          </w:tcPr>
          <w:p w:rsidR="001E0546" w:rsidRPr="001E0546" w:rsidRDefault="001E0546" w:rsidP="001E0546">
            <w:pPr>
              <w:pStyle w:val="AERtabletextleft"/>
            </w:pPr>
            <w:r w:rsidRPr="001E0546">
              <w:t>Revenue ($m, nominal)</w:t>
            </w:r>
            <w:r w:rsidRPr="001E0546">
              <w:rPr>
                <w:rStyle w:val="AERsuperscript"/>
              </w:rPr>
              <w:t>a</w:t>
            </w:r>
          </w:p>
        </w:tc>
        <w:tc>
          <w:tcPr>
            <w:tcW w:w="1046" w:type="dxa"/>
            <w:noWrap/>
            <w:vAlign w:val="top"/>
          </w:tcPr>
          <w:p w:rsidR="001E0546" w:rsidRPr="001E0546" w:rsidRDefault="001E0546" w:rsidP="001E0546">
            <w:pPr>
              <w:pStyle w:val="AERtabletextright"/>
              <w:cnfStyle w:val="000000010000" w:firstRow="0" w:lastRow="0" w:firstColumn="0" w:lastColumn="0" w:oddVBand="0" w:evenVBand="0" w:oddHBand="0" w:evenHBand="1" w:firstRowFirstColumn="0" w:firstRowLastColumn="0" w:lastRowFirstColumn="0" w:lastRowLastColumn="0"/>
            </w:pPr>
            <w:r w:rsidRPr="001E0546">
              <w:t>2108.6</w:t>
            </w:r>
          </w:p>
        </w:tc>
        <w:tc>
          <w:tcPr>
            <w:tcW w:w="1046" w:type="dxa"/>
            <w:vAlign w:val="top"/>
          </w:tcPr>
          <w:p w:rsidR="001E0546" w:rsidRPr="001E0546" w:rsidRDefault="001E0546" w:rsidP="001E0546">
            <w:pPr>
              <w:pStyle w:val="AERtabletextright"/>
              <w:cnfStyle w:val="000000010000" w:firstRow="0" w:lastRow="0" w:firstColumn="0" w:lastColumn="0" w:oddVBand="0" w:evenVBand="0" w:oddHBand="0" w:evenHBand="1" w:firstRowFirstColumn="0" w:firstRowLastColumn="0" w:lastRowFirstColumn="0" w:lastRowLastColumn="0"/>
            </w:pPr>
            <w:r w:rsidRPr="001E0546">
              <w:t>1956.4</w:t>
            </w:r>
          </w:p>
        </w:tc>
        <w:tc>
          <w:tcPr>
            <w:tcW w:w="1046" w:type="dxa"/>
            <w:vAlign w:val="top"/>
          </w:tcPr>
          <w:p w:rsidR="001E0546" w:rsidRPr="001E0546" w:rsidRDefault="001E0546" w:rsidP="001E0546">
            <w:pPr>
              <w:pStyle w:val="AERtabletextright"/>
              <w:cnfStyle w:val="000000010000" w:firstRow="0" w:lastRow="0" w:firstColumn="0" w:lastColumn="0" w:oddVBand="0" w:evenVBand="0" w:oddHBand="0" w:evenHBand="1" w:firstRowFirstColumn="0" w:firstRowLastColumn="0" w:lastRowFirstColumn="0" w:lastRowLastColumn="0"/>
            </w:pPr>
            <w:r w:rsidRPr="001E0546">
              <w:t>2135.9</w:t>
            </w:r>
          </w:p>
        </w:tc>
        <w:tc>
          <w:tcPr>
            <w:tcW w:w="1046" w:type="dxa"/>
            <w:vAlign w:val="top"/>
          </w:tcPr>
          <w:p w:rsidR="001E0546" w:rsidRPr="001E0546" w:rsidRDefault="001E0546" w:rsidP="001E0546">
            <w:pPr>
              <w:pStyle w:val="AERtabletextright"/>
              <w:cnfStyle w:val="000000010000" w:firstRow="0" w:lastRow="0" w:firstColumn="0" w:lastColumn="0" w:oddVBand="0" w:evenVBand="0" w:oddHBand="0" w:evenHBand="1" w:firstRowFirstColumn="0" w:firstRowLastColumn="0" w:lastRowFirstColumn="0" w:lastRowLastColumn="0"/>
            </w:pPr>
            <w:r w:rsidRPr="001E0546">
              <w:t>2182.3</w:t>
            </w:r>
          </w:p>
        </w:tc>
        <w:tc>
          <w:tcPr>
            <w:tcW w:w="1046" w:type="dxa"/>
            <w:vAlign w:val="top"/>
          </w:tcPr>
          <w:p w:rsidR="001E0546" w:rsidRPr="001E0546" w:rsidRDefault="001E0546" w:rsidP="001E0546">
            <w:pPr>
              <w:pStyle w:val="AERtabletextright"/>
              <w:cnfStyle w:val="000000010000" w:firstRow="0" w:lastRow="0" w:firstColumn="0" w:lastColumn="0" w:oddVBand="0" w:evenVBand="0" w:oddHBand="0" w:evenHBand="1" w:firstRowFirstColumn="0" w:firstRowLastColumn="0" w:lastRowFirstColumn="0" w:lastRowLastColumn="0"/>
            </w:pPr>
            <w:r w:rsidRPr="001E0546">
              <w:t>2250.8</w:t>
            </w:r>
          </w:p>
        </w:tc>
        <w:tc>
          <w:tcPr>
            <w:tcW w:w="1046" w:type="dxa"/>
            <w:noWrap/>
            <w:vAlign w:val="top"/>
          </w:tcPr>
          <w:p w:rsidR="001E0546" w:rsidRPr="001E0546" w:rsidRDefault="001E0546" w:rsidP="001E0546">
            <w:pPr>
              <w:pStyle w:val="AERtabletextright"/>
              <w:cnfStyle w:val="000000010000" w:firstRow="0" w:lastRow="0" w:firstColumn="0" w:lastColumn="0" w:oddVBand="0" w:evenVBand="0" w:oddHBand="0" w:evenHBand="1" w:firstRowFirstColumn="0" w:firstRowLastColumn="0" w:lastRowFirstColumn="0" w:lastRowLastColumn="0"/>
            </w:pPr>
            <w:r w:rsidRPr="001E0546">
              <w:t>2325.7</w:t>
            </w:r>
          </w:p>
        </w:tc>
      </w:tr>
      <w:tr w:rsidR="003D762A" w:rsidRPr="00356B64" w:rsidTr="001E0546">
        <w:trPr>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hideMark/>
          </w:tcPr>
          <w:p w:rsidR="003D762A" w:rsidRPr="003D762A" w:rsidRDefault="003D762A" w:rsidP="003D762A">
            <w:pPr>
              <w:pStyle w:val="AERtabletextleft"/>
            </w:pPr>
            <w:r w:rsidRPr="003D762A">
              <w:t>Price path (nominal index)</w:t>
            </w:r>
          </w:p>
        </w:tc>
        <w:tc>
          <w:tcPr>
            <w:tcW w:w="1046" w:type="dxa"/>
            <w:noWrap/>
            <w:vAlign w:val="top"/>
          </w:tcPr>
          <w:p w:rsidR="003D762A" w:rsidRPr="003D762A" w:rsidRDefault="003D762A" w:rsidP="003D762A">
            <w:pPr>
              <w:pStyle w:val="AERtabletextright"/>
              <w:cnfStyle w:val="000000000000" w:firstRow="0" w:lastRow="0" w:firstColumn="0" w:lastColumn="0" w:oddVBand="0" w:evenVBand="0" w:oddHBand="0" w:evenHBand="0" w:firstRowFirstColumn="0" w:firstRowLastColumn="0" w:lastRowFirstColumn="0" w:lastRowLastColumn="0"/>
            </w:pPr>
            <w:r w:rsidRPr="003D762A">
              <w:t>1.00</w:t>
            </w:r>
          </w:p>
        </w:tc>
        <w:tc>
          <w:tcPr>
            <w:tcW w:w="1046" w:type="dxa"/>
            <w:vAlign w:val="top"/>
          </w:tcPr>
          <w:p w:rsidR="003D762A" w:rsidRPr="003D762A" w:rsidRDefault="003D762A" w:rsidP="003D762A">
            <w:pPr>
              <w:pStyle w:val="AERtabletextright"/>
              <w:cnfStyle w:val="000000000000" w:firstRow="0" w:lastRow="0" w:firstColumn="0" w:lastColumn="0" w:oddVBand="0" w:evenVBand="0" w:oddHBand="0" w:evenHBand="0" w:firstRowFirstColumn="0" w:firstRowLastColumn="0" w:lastRowFirstColumn="0" w:lastRowLastColumn="0"/>
            </w:pPr>
            <w:r w:rsidRPr="003D762A">
              <w:t>0.96</w:t>
            </w:r>
          </w:p>
        </w:tc>
        <w:tc>
          <w:tcPr>
            <w:tcW w:w="1046" w:type="dxa"/>
            <w:vAlign w:val="top"/>
          </w:tcPr>
          <w:p w:rsidR="003D762A" w:rsidRPr="003D762A" w:rsidRDefault="003D762A" w:rsidP="003D762A">
            <w:pPr>
              <w:pStyle w:val="AERtabletextright"/>
              <w:cnfStyle w:val="000000000000" w:firstRow="0" w:lastRow="0" w:firstColumn="0" w:lastColumn="0" w:oddVBand="0" w:evenVBand="0" w:oddHBand="0" w:evenHBand="0" w:firstRowFirstColumn="0" w:firstRowLastColumn="0" w:lastRowFirstColumn="0" w:lastRowLastColumn="0"/>
            </w:pPr>
            <w:r w:rsidRPr="003D762A">
              <w:t>1.05</w:t>
            </w:r>
          </w:p>
        </w:tc>
        <w:tc>
          <w:tcPr>
            <w:tcW w:w="1046" w:type="dxa"/>
            <w:vAlign w:val="top"/>
          </w:tcPr>
          <w:p w:rsidR="003D762A" w:rsidRPr="003D762A" w:rsidRDefault="003D762A" w:rsidP="003D762A">
            <w:pPr>
              <w:pStyle w:val="AERtabletextright"/>
              <w:cnfStyle w:val="000000000000" w:firstRow="0" w:lastRow="0" w:firstColumn="0" w:lastColumn="0" w:oddVBand="0" w:evenVBand="0" w:oddHBand="0" w:evenHBand="0" w:firstRowFirstColumn="0" w:firstRowLastColumn="0" w:lastRowFirstColumn="0" w:lastRowLastColumn="0"/>
            </w:pPr>
            <w:r w:rsidRPr="003D762A">
              <w:t>1.07</w:t>
            </w:r>
          </w:p>
        </w:tc>
        <w:tc>
          <w:tcPr>
            <w:tcW w:w="1046" w:type="dxa"/>
            <w:vAlign w:val="top"/>
          </w:tcPr>
          <w:p w:rsidR="003D762A" w:rsidRPr="003D762A" w:rsidRDefault="003D762A" w:rsidP="003D762A">
            <w:pPr>
              <w:pStyle w:val="AERtabletextright"/>
              <w:cnfStyle w:val="000000000000" w:firstRow="0" w:lastRow="0" w:firstColumn="0" w:lastColumn="0" w:oddVBand="0" w:evenVBand="0" w:oddHBand="0" w:evenHBand="0" w:firstRowFirstColumn="0" w:firstRowLastColumn="0" w:lastRowFirstColumn="0" w:lastRowLastColumn="0"/>
            </w:pPr>
            <w:r w:rsidRPr="003D762A">
              <w:t>1.08</w:t>
            </w:r>
          </w:p>
        </w:tc>
        <w:tc>
          <w:tcPr>
            <w:tcW w:w="1046" w:type="dxa"/>
            <w:noWrap/>
            <w:vAlign w:val="top"/>
          </w:tcPr>
          <w:p w:rsidR="003D762A" w:rsidRPr="003D762A" w:rsidRDefault="003D762A" w:rsidP="003D762A">
            <w:pPr>
              <w:pStyle w:val="AERtabletextright"/>
              <w:cnfStyle w:val="000000000000" w:firstRow="0" w:lastRow="0" w:firstColumn="0" w:lastColumn="0" w:oddVBand="0" w:evenVBand="0" w:oddHBand="0" w:evenHBand="0" w:firstRowFirstColumn="0" w:firstRowLastColumn="0" w:lastRowFirstColumn="0" w:lastRowLastColumn="0"/>
            </w:pPr>
            <w:r w:rsidRPr="003D762A">
              <w:t>1.10</w:t>
            </w:r>
          </w:p>
        </w:tc>
      </w:tr>
      <w:tr w:rsidR="00B64740" w:rsidRPr="00356B64" w:rsidTr="001E054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hideMark/>
          </w:tcPr>
          <w:p w:rsidR="00B64740" w:rsidRPr="00B64740" w:rsidRDefault="00B64740" w:rsidP="00B64740">
            <w:pPr>
              <w:pStyle w:val="AERtabletextleft"/>
            </w:pPr>
            <w:r w:rsidRPr="00B64740">
              <w:t>Revenue (change %)</w:t>
            </w:r>
          </w:p>
        </w:tc>
        <w:tc>
          <w:tcPr>
            <w:tcW w:w="1046" w:type="dxa"/>
            <w:noWrap/>
            <w:vAlign w:val="top"/>
          </w:tcPr>
          <w:p w:rsidR="00B64740" w:rsidRPr="00B64740" w:rsidRDefault="00B64740" w:rsidP="00B64740">
            <w:pPr>
              <w:pStyle w:val="AERtabletextright"/>
              <w:cnfStyle w:val="000000010000" w:firstRow="0" w:lastRow="0" w:firstColumn="0" w:lastColumn="0" w:oddVBand="0" w:evenVBand="0" w:oddHBand="0" w:evenHBand="1" w:firstRowFirstColumn="0" w:firstRowLastColumn="0" w:lastRowFirstColumn="0" w:lastRowLastColumn="0"/>
            </w:pPr>
          </w:p>
        </w:tc>
        <w:tc>
          <w:tcPr>
            <w:tcW w:w="1046" w:type="dxa"/>
            <w:vAlign w:val="top"/>
          </w:tcPr>
          <w:p w:rsidR="00B64740" w:rsidRPr="00B64740" w:rsidRDefault="00B16151" w:rsidP="00B16151">
            <w:pPr>
              <w:pStyle w:val="AERtabletextright"/>
              <w:cnfStyle w:val="000000010000" w:firstRow="0" w:lastRow="0" w:firstColumn="0" w:lastColumn="0" w:oddVBand="0" w:evenVBand="0" w:oddHBand="0" w:evenHBand="1" w:firstRowFirstColumn="0" w:firstRowLastColumn="0" w:lastRowFirstColumn="0" w:lastRowLastColumn="0"/>
            </w:pPr>
            <w:r>
              <w:t>–</w:t>
            </w:r>
            <w:r w:rsidR="00B64740" w:rsidRPr="00B64740">
              <w:t>7.2%</w:t>
            </w:r>
          </w:p>
        </w:tc>
        <w:tc>
          <w:tcPr>
            <w:tcW w:w="1046" w:type="dxa"/>
            <w:vAlign w:val="top"/>
          </w:tcPr>
          <w:p w:rsidR="00B64740" w:rsidRPr="00B64740" w:rsidRDefault="00B64740" w:rsidP="00B64740">
            <w:pPr>
              <w:pStyle w:val="AERtabletextright"/>
              <w:cnfStyle w:val="000000010000" w:firstRow="0" w:lastRow="0" w:firstColumn="0" w:lastColumn="0" w:oddVBand="0" w:evenVBand="0" w:oddHBand="0" w:evenHBand="1" w:firstRowFirstColumn="0" w:firstRowLastColumn="0" w:lastRowFirstColumn="0" w:lastRowLastColumn="0"/>
            </w:pPr>
            <w:r w:rsidRPr="00B64740">
              <w:t>9.2%</w:t>
            </w:r>
          </w:p>
        </w:tc>
        <w:tc>
          <w:tcPr>
            <w:tcW w:w="1046" w:type="dxa"/>
            <w:vAlign w:val="top"/>
          </w:tcPr>
          <w:p w:rsidR="00B64740" w:rsidRPr="00B64740" w:rsidRDefault="00B64740" w:rsidP="00B64740">
            <w:pPr>
              <w:pStyle w:val="AERtabletextright"/>
              <w:cnfStyle w:val="000000010000" w:firstRow="0" w:lastRow="0" w:firstColumn="0" w:lastColumn="0" w:oddVBand="0" w:evenVBand="0" w:oddHBand="0" w:evenHBand="1" w:firstRowFirstColumn="0" w:firstRowLastColumn="0" w:lastRowFirstColumn="0" w:lastRowLastColumn="0"/>
            </w:pPr>
            <w:r w:rsidRPr="00B64740">
              <w:t>2.2%</w:t>
            </w:r>
          </w:p>
        </w:tc>
        <w:tc>
          <w:tcPr>
            <w:tcW w:w="1046" w:type="dxa"/>
            <w:vAlign w:val="top"/>
          </w:tcPr>
          <w:p w:rsidR="00B64740" w:rsidRPr="00B64740" w:rsidRDefault="00B64740" w:rsidP="00B64740">
            <w:pPr>
              <w:pStyle w:val="AERtabletextright"/>
              <w:cnfStyle w:val="000000010000" w:firstRow="0" w:lastRow="0" w:firstColumn="0" w:lastColumn="0" w:oddVBand="0" w:evenVBand="0" w:oddHBand="0" w:evenHBand="1" w:firstRowFirstColumn="0" w:firstRowLastColumn="0" w:lastRowFirstColumn="0" w:lastRowLastColumn="0"/>
            </w:pPr>
            <w:r w:rsidRPr="00B64740">
              <w:t>3.1%</w:t>
            </w:r>
          </w:p>
        </w:tc>
        <w:tc>
          <w:tcPr>
            <w:tcW w:w="1046" w:type="dxa"/>
            <w:noWrap/>
            <w:vAlign w:val="top"/>
          </w:tcPr>
          <w:p w:rsidR="00B64740" w:rsidRPr="00B64740" w:rsidRDefault="00B64740" w:rsidP="00B64740">
            <w:pPr>
              <w:pStyle w:val="AERtabletextright"/>
              <w:cnfStyle w:val="000000010000" w:firstRow="0" w:lastRow="0" w:firstColumn="0" w:lastColumn="0" w:oddVBand="0" w:evenVBand="0" w:oddHBand="0" w:evenHBand="1" w:firstRowFirstColumn="0" w:firstRowLastColumn="0" w:lastRowFirstColumn="0" w:lastRowLastColumn="0"/>
            </w:pPr>
            <w:r w:rsidRPr="00B64740">
              <w:t>3.3%</w:t>
            </w:r>
          </w:p>
        </w:tc>
      </w:tr>
      <w:tr w:rsidR="00B64740" w:rsidRPr="00356B64" w:rsidTr="001E0546">
        <w:trPr>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tcPr>
          <w:p w:rsidR="00B64740" w:rsidRPr="00B64740" w:rsidRDefault="00B64740" w:rsidP="00B64740">
            <w:pPr>
              <w:pStyle w:val="AERtabletextleft"/>
            </w:pPr>
            <w:r w:rsidRPr="00B64740">
              <w:t>Price path (change %)</w:t>
            </w:r>
          </w:p>
        </w:tc>
        <w:tc>
          <w:tcPr>
            <w:tcW w:w="1046" w:type="dxa"/>
            <w:noWrap/>
            <w:vAlign w:val="top"/>
          </w:tcPr>
          <w:p w:rsidR="00B64740" w:rsidRPr="00B64740" w:rsidRDefault="00B64740" w:rsidP="00B64740">
            <w:pPr>
              <w:pStyle w:val="AERtabletextright"/>
              <w:cnfStyle w:val="000000000000" w:firstRow="0" w:lastRow="0" w:firstColumn="0" w:lastColumn="0" w:oddVBand="0" w:evenVBand="0" w:oddHBand="0" w:evenHBand="0" w:firstRowFirstColumn="0" w:firstRowLastColumn="0" w:lastRowFirstColumn="0" w:lastRowLastColumn="0"/>
            </w:pPr>
          </w:p>
        </w:tc>
        <w:tc>
          <w:tcPr>
            <w:tcW w:w="1046" w:type="dxa"/>
            <w:vAlign w:val="top"/>
          </w:tcPr>
          <w:p w:rsidR="00B64740" w:rsidRPr="00B64740" w:rsidRDefault="00B16151" w:rsidP="00B64740">
            <w:pPr>
              <w:pStyle w:val="AERtabletextright"/>
              <w:cnfStyle w:val="000000000000" w:firstRow="0" w:lastRow="0" w:firstColumn="0" w:lastColumn="0" w:oddVBand="0" w:evenVBand="0" w:oddHBand="0" w:evenHBand="0" w:firstRowFirstColumn="0" w:firstRowLastColumn="0" w:lastRowFirstColumn="0" w:lastRowLastColumn="0"/>
            </w:pPr>
            <w:r>
              <w:t>–</w:t>
            </w:r>
            <w:r w:rsidR="00B64740" w:rsidRPr="00B64740">
              <w:t>3.7%</w:t>
            </w:r>
          </w:p>
        </w:tc>
        <w:tc>
          <w:tcPr>
            <w:tcW w:w="1046" w:type="dxa"/>
            <w:vAlign w:val="top"/>
          </w:tcPr>
          <w:p w:rsidR="00B64740" w:rsidRPr="00B64740" w:rsidRDefault="00B64740" w:rsidP="00B64740">
            <w:pPr>
              <w:pStyle w:val="AERtabletextright"/>
              <w:cnfStyle w:val="000000000000" w:firstRow="0" w:lastRow="0" w:firstColumn="0" w:lastColumn="0" w:oddVBand="0" w:evenVBand="0" w:oddHBand="0" w:evenHBand="0" w:firstRowFirstColumn="0" w:firstRowLastColumn="0" w:lastRowFirstColumn="0" w:lastRowLastColumn="0"/>
            </w:pPr>
            <w:r w:rsidRPr="00B64740">
              <w:t>6.1%</w:t>
            </w:r>
          </w:p>
        </w:tc>
        <w:tc>
          <w:tcPr>
            <w:tcW w:w="1046" w:type="dxa"/>
            <w:vAlign w:val="top"/>
          </w:tcPr>
          <w:p w:rsidR="00B64740" w:rsidRPr="00B64740" w:rsidRDefault="00B64740" w:rsidP="00B64740">
            <w:pPr>
              <w:pStyle w:val="AERtabletextright"/>
              <w:cnfStyle w:val="000000000000" w:firstRow="0" w:lastRow="0" w:firstColumn="0" w:lastColumn="0" w:oddVBand="0" w:evenVBand="0" w:oddHBand="0" w:evenHBand="0" w:firstRowFirstColumn="0" w:firstRowLastColumn="0" w:lastRowFirstColumn="0" w:lastRowLastColumn="0"/>
            </w:pPr>
            <w:r w:rsidRPr="00B64740">
              <w:t>0.0%</w:t>
            </w:r>
          </w:p>
        </w:tc>
        <w:tc>
          <w:tcPr>
            <w:tcW w:w="1046" w:type="dxa"/>
            <w:vAlign w:val="top"/>
          </w:tcPr>
          <w:p w:rsidR="00B64740" w:rsidRPr="00B64740" w:rsidRDefault="00B64740" w:rsidP="00B64740">
            <w:pPr>
              <w:pStyle w:val="AERtabletextright"/>
              <w:cnfStyle w:val="000000000000" w:firstRow="0" w:lastRow="0" w:firstColumn="0" w:lastColumn="0" w:oddVBand="0" w:evenVBand="0" w:oddHBand="0" w:evenHBand="0" w:firstRowFirstColumn="0" w:firstRowLastColumn="0" w:lastRowFirstColumn="0" w:lastRowLastColumn="0"/>
            </w:pPr>
            <w:r w:rsidRPr="00B64740">
              <w:t>0.0%</w:t>
            </w:r>
          </w:p>
        </w:tc>
        <w:tc>
          <w:tcPr>
            <w:tcW w:w="1046" w:type="dxa"/>
            <w:noWrap/>
            <w:vAlign w:val="top"/>
          </w:tcPr>
          <w:p w:rsidR="00B64740" w:rsidRPr="00B64740" w:rsidRDefault="00B64740" w:rsidP="00B64740">
            <w:pPr>
              <w:pStyle w:val="AERtabletextright"/>
              <w:cnfStyle w:val="000000000000" w:firstRow="0" w:lastRow="0" w:firstColumn="0" w:lastColumn="0" w:oddVBand="0" w:evenVBand="0" w:oddHBand="0" w:evenHBand="0" w:firstRowFirstColumn="0" w:firstRowLastColumn="0" w:lastRowFirstColumn="0" w:lastRowLastColumn="0"/>
            </w:pPr>
            <w:r w:rsidRPr="00B64740">
              <w:t>0.0%</w:t>
            </w:r>
          </w:p>
        </w:tc>
      </w:tr>
      <w:tr w:rsidR="00FA1367" w:rsidRPr="00356B64" w:rsidTr="00C153D3">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tcPr>
          <w:p w:rsidR="00FA1367" w:rsidRPr="00C153D3" w:rsidRDefault="00FA1367" w:rsidP="00E02423">
            <w:pPr>
              <w:pStyle w:val="AERtabletextleft"/>
              <w:jc w:val="both"/>
              <w:rPr>
                <w:rStyle w:val="AERtextbold"/>
              </w:rPr>
            </w:pPr>
            <w:r w:rsidRPr="00C153D3">
              <w:rPr>
                <w:rStyle w:val="AERtextbold"/>
              </w:rPr>
              <w:t>AER draft decision</w:t>
            </w:r>
          </w:p>
        </w:tc>
        <w:tc>
          <w:tcPr>
            <w:tcW w:w="1046" w:type="dxa"/>
            <w:noWrap/>
          </w:tcPr>
          <w:p w:rsidR="00FA1367" w:rsidRPr="00C153D3" w:rsidRDefault="00FA1367" w:rsidP="00FA136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046" w:type="dxa"/>
          </w:tcPr>
          <w:p w:rsidR="00FA1367" w:rsidRPr="00C153D3" w:rsidRDefault="00FA1367" w:rsidP="00FA136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046" w:type="dxa"/>
          </w:tcPr>
          <w:p w:rsidR="00FA1367" w:rsidRPr="00C153D3" w:rsidRDefault="00FA1367" w:rsidP="00FA136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046" w:type="dxa"/>
          </w:tcPr>
          <w:p w:rsidR="00FA1367" w:rsidRPr="00C153D3" w:rsidRDefault="00FA1367" w:rsidP="00FA136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046" w:type="dxa"/>
          </w:tcPr>
          <w:p w:rsidR="00FA1367" w:rsidRPr="00C153D3" w:rsidRDefault="00FA1367" w:rsidP="00FA136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046" w:type="dxa"/>
            <w:noWrap/>
          </w:tcPr>
          <w:p w:rsidR="00FA1367" w:rsidRPr="00C153D3" w:rsidRDefault="00FA1367" w:rsidP="00FA136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r>
      <w:tr w:rsidR="00C26943" w:rsidRPr="00356B64" w:rsidTr="001E0546">
        <w:trPr>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tcPr>
          <w:p w:rsidR="00C26943" w:rsidRPr="00C26943" w:rsidRDefault="00C26943" w:rsidP="00C26943">
            <w:pPr>
              <w:pStyle w:val="AERtabletextleft"/>
            </w:pPr>
            <w:r w:rsidRPr="00C26943">
              <w:t>Revenue ($m, nominal)</w:t>
            </w:r>
          </w:p>
        </w:tc>
        <w:tc>
          <w:tcPr>
            <w:tcW w:w="1046" w:type="dxa"/>
            <w:noWrap/>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2108.6</w:t>
            </w:r>
          </w:p>
        </w:tc>
        <w:tc>
          <w:tcPr>
            <w:tcW w:w="1046" w:type="dxa"/>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1956.4</w:t>
            </w:r>
          </w:p>
        </w:tc>
        <w:tc>
          <w:tcPr>
            <w:tcW w:w="1046" w:type="dxa"/>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1391.8</w:t>
            </w:r>
          </w:p>
        </w:tc>
        <w:tc>
          <w:tcPr>
            <w:tcW w:w="1046" w:type="dxa"/>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1426.6</w:t>
            </w:r>
          </w:p>
        </w:tc>
        <w:tc>
          <w:tcPr>
            <w:tcW w:w="1046" w:type="dxa"/>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1462.3</w:t>
            </w:r>
          </w:p>
        </w:tc>
        <w:tc>
          <w:tcPr>
            <w:tcW w:w="1046" w:type="dxa"/>
            <w:noWrap/>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1498.8</w:t>
            </w:r>
          </w:p>
        </w:tc>
      </w:tr>
      <w:tr w:rsidR="003D762A" w:rsidRPr="00356B64" w:rsidTr="001E054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tcPr>
          <w:p w:rsidR="003D762A" w:rsidRPr="003D762A" w:rsidRDefault="003D762A" w:rsidP="003D762A">
            <w:pPr>
              <w:pStyle w:val="AERtabletextleft"/>
            </w:pPr>
            <w:r w:rsidRPr="003D762A">
              <w:t>Price path (nominal index)</w:t>
            </w:r>
          </w:p>
        </w:tc>
        <w:tc>
          <w:tcPr>
            <w:tcW w:w="1046" w:type="dxa"/>
            <w:noWrap/>
            <w:vAlign w:val="top"/>
          </w:tcPr>
          <w:p w:rsidR="003D762A" w:rsidRPr="003D762A" w:rsidRDefault="003D762A" w:rsidP="003D762A">
            <w:pPr>
              <w:pStyle w:val="AERtabletextright"/>
              <w:cnfStyle w:val="000000010000" w:firstRow="0" w:lastRow="0" w:firstColumn="0" w:lastColumn="0" w:oddVBand="0" w:evenVBand="0" w:oddHBand="0" w:evenHBand="1" w:firstRowFirstColumn="0" w:firstRowLastColumn="0" w:lastRowFirstColumn="0" w:lastRowLastColumn="0"/>
            </w:pPr>
            <w:r w:rsidRPr="003D762A">
              <w:t>1.00</w:t>
            </w:r>
          </w:p>
        </w:tc>
        <w:tc>
          <w:tcPr>
            <w:tcW w:w="1046" w:type="dxa"/>
            <w:vAlign w:val="top"/>
          </w:tcPr>
          <w:p w:rsidR="003D762A" w:rsidRPr="003D762A" w:rsidRDefault="003D762A" w:rsidP="003D762A">
            <w:pPr>
              <w:pStyle w:val="AERtabletextright"/>
              <w:cnfStyle w:val="000000010000" w:firstRow="0" w:lastRow="0" w:firstColumn="0" w:lastColumn="0" w:oddVBand="0" w:evenVBand="0" w:oddHBand="0" w:evenHBand="1" w:firstRowFirstColumn="0" w:firstRowLastColumn="0" w:lastRowFirstColumn="0" w:lastRowLastColumn="0"/>
            </w:pPr>
            <w:r w:rsidRPr="003D762A">
              <w:t>0.96</w:t>
            </w:r>
          </w:p>
        </w:tc>
        <w:tc>
          <w:tcPr>
            <w:tcW w:w="1046" w:type="dxa"/>
            <w:vAlign w:val="top"/>
          </w:tcPr>
          <w:p w:rsidR="003D762A" w:rsidRPr="003D762A" w:rsidRDefault="003D762A" w:rsidP="003D762A">
            <w:pPr>
              <w:pStyle w:val="AERtabletextright"/>
              <w:cnfStyle w:val="000000010000" w:firstRow="0" w:lastRow="0" w:firstColumn="0" w:lastColumn="0" w:oddVBand="0" w:evenVBand="0" w:oddHBand="0" w:evenHBand="1" w:firstRowFirstColumn="0" w:firstRowLastColumn="0" w:lastRowFirstColumn="0" w:lastRowLastColumn="0"/>
            </w:pPr>
            <w:r w:rsidRPr="003D762A">
              <w:t>0.68</w:t>
            </w:r>
          </w:p>
        </w:tc>
        <w:tc>
          <w:tcPr>
            <w:tcW w:w="1046" w:type="dxa"/>
            <w:vAlign w:val="top"/>
          </w:tcPr>
          <w:p w:rsidR="003D762A" w:rsidRPr="003D762A" w:rsidRDefault="003D762A" w:rsidP="003D762A">
            <w:pPr>
              <w:pStyle w:val="AERtabletextright"/>
              <w:cnfStyle w:val="000000010000" w:firstRow="0" w:lastRow="0" w:firstColumn="0" w:lastColumn="0" w:oddVBand="0" w:evenVBand="0" w:oddHBand="0" w:evenHBand="1" w:firstRowFirstColumn="0" w:firstRowLastColumn="0" w:lastRowFirstColumn="0" w:lastRowLastColumn="0"/>
            </w:pPr>
            <w:r w:rsidRPr="003D762A">
              <w:t>0.70</w:t>
            </w:r>
          </w:p>
        </w:tc>
        <w:tc>
          <w:tcPr>
            <w:tcW w:w="1046" w:type="dxa"/>
            <w:vAlign w:val="top"/>
          </w:tcPr>
          <w:p w:rsidR="003D762A" w:rsidRPr="003D762A" w:rsidRDefault="003D762A" w:rsidP="003D762A">
            <w:pPr>
              <w:pStyle w:val="AERtabletextright"/>
              <w:cnfStyle w:val="000000010000" w:firstRow="0" w:lastRow="0" w:firstColumn="0" w:lastColumn="0" w:oddVBand="0" w:evenVBand="0" w:oddHBand="0" w:evenHBand="1" w:firstRowFirstColumn="0" w:firstRowLastColumn="0" w:lastRowFirstColumn="0" w:lastRowLastColumn="0"/>
            </w:pPr>
            <w:r w:rsidRPr="003D762A">
              <w:t>0.70</w:t>
            </w:r>
          </w:p>
        </w:tc>
        <w:tc>
          <w:tcPr>
            <w:tcW w:w="1046" w:type="dxa"/>
            <w:noWrap/>
            <w:vAlign w:val="top"/>
          </w:tcPr>
          <w:p w:rsidR="003D762A" w:rsidRPr="003D762A" w:rsidRDefault="003D762A" w:rsidP="003D762A">
            <w:pPr>
              <w:pStyle w:val="AERtabletextright"/>
              <w:cnfStyle w:val="000000010000" w:firstRow="0" w:lastRow="0" w:firstColumn="0" w:lastColumn="0" w:oddVBand="0" w:evenVBand="0" w:oddHBand="0" w:evenHBand="1" w:firstRowFirstColumn="0" w:firstRowLastColumn="0" w:lastRowFirstColumn="0" w:lastRowLastColumn="0"/>
            </w:pPr>
            <w:r w:rsidRPr="003D762A">
              <w:t>0.71</w:t>
            </w:r>
          </w:p>
        </w:tc>
      </w:tr>
      <w:tr w:rsidR="00C26943" w:rsidRPr="00356B64" w:rsidTr="001E0546">
        <w:trPr>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tcPr>
          <w:p w:rsidR="00C26943" w:rsidRPr="00C26943" w:rsidRDefault="00C26943" w:rsidP="00C26943">
            <w:pPr>
              <w:pStyle w:val="AERtabletextleft"/>
            </w:pPr>
            <w:r w:rsidRPr="00C26943">
              <w:t>Revenue (change %)</w:t>
            </w:r>
          </w:p>
        </w:tc>
        <w:tc>
          <w:tcPr>
            <w:tcW w:w="1046" w:type="dxa"/>
            <w:noWrap/>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p>
        </w:tc>
        <w:tc>
          <w:tcPr>
            <w:tcW w:w="1046" w:type="dxa"/>
            <w:vAlign w:val="top"/>
          </w:tcPr>
          <w:p w:rsidR="00C26943" w:rsidRPr="00C26943" w:rsidRDefault="00B16151" w:rsidP="00C26943">
            <w:pPr>
              <w:pStyle w:val="AERtabletextright"/>
              <w:cnfStyle w:val="000000000000" w:firstRow="0" w:lastRow="0" w:firstColumn="0" w:lastColumn="0" w:oddVBand="0" w:evenVBand="0" w:oddHBand="0" w:evenHBand="0" w:firstRowFirstColumn="0" w:firstRowLastColumn="0" w:lastRowFirstColumn="0" w:lastRowLastColumn="0"/>
            </w:pPr>
            <w:r>
              <w:t>–</w:t>
            </w:r>
            <w:r w:rsidR="00C26943" w:rsidRPr="00C26943">
              <w:t>7.2%</w:t>
            </w:r>
          </w:p>
        </w:tc>
        <w:tc>
          <w:tcPr>
            <w:tcW w:w="1046" w:type="dxa"/>
            <w:vAlign w:val="top"/>
          </w:tcPr>
          <w:p w:rsidR="00C26943" w:rsidRPr="00C26943" w:rsidRDefault="00B16151" w:rsidP="00C26943">
            <w:pPr>
              <w:pStyle w:val="AERtabletextright"/>
              <w:cnfStyle w:val="000000000000" w:firstRow="0" w:lastRow="0" w:firstColumn="0" w:lastColumn="0" w:oddVBand="0" w:evenVBand="0" w:oddHBand="0" w:evenHBand="0" w:firstRowFirstColumn="0" w:firstRowLastColumn="0" w:lastRowFirstColumn="0" w:lastRowLastColumn="0"/>
            </w:pPr>
            <w:r>
              <w:t>–</w:t>
            </w:r>
            <w:r w:rsidR="00C26943" w:rsidRPr="00C26943">
              <w:t>28.9%</w:t>
            </w:r>
          </w:p>
        </w:tc>
        <w:tc>
          <w:tcPr>
            <w:tcW w:w="1046" w:type="dxa"/>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2.5%</w:t>
            </w:r>
          </w:p>
        </w:tc>
        <w:tc>
          <w:tcPr>
            <w:tcW w:w="1046" w:type="dxa"/>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2.5%</w:t>
            </w:r>
          </w:p>
        </w:tc>
        <w:tc>
          <w:tcPr>
            <w:tcW w:w="1046" w:type="dxa"/>
            <w:noWrap/>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2.5%</w:t>
            </w:r>
          </w:p>
        </w:tc>
      </w:tr>
      <w:tr w:rsidR="00C26943" w:rsidRPr="00356B64" w:rsidTr="001E054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tcPr>
          <w:p w:rsidR="00C26943" w:rsidRPr="00C26943" w:rsidRDefault="00C26943" w:rsidP="00C26943">
            <w:pPr>
              <w:pStyle w:val="AERtabletextleft"/>
            </w:pPr>
            <w:r w:rsidRPr="00C26943">
              <w:t>Price path (change %)</w:t>
            </w:r>
          </w:p>
        </w:tc>
        <w:tc>
          <w:tcPr>
            <w:tcW w:w="1046" w:type="dxa"/>
            <w:noWrap/>
            <w:vAlign w:val="top"/>
          </w:tcPr>
          <w:p w:rsidR="00C26943" w:rsidRPr="00C26943" w:rsidRDefault="00C26943" w:rsidP="00C26943">
            <w:pPr>
              <w:pStyle w:val="AERtabletextright"/>
              <w:cnfStyle w:val="000000010000" w:firstRow="0" w:lastRow="0" w:firstColumn="0" w:lastColumn="0" w:oddVBand="0" w:evenVBand="0" w:oddHBand="0" w:evenHBand="1" w:firstRowFirstColumn="0" w:firstRowLastColumn="0" w:lastRowFirstColumn="0" w:lastRowLastColumn="0"/>
            </w:pPr>
          </w:p>
        </w:tc>
        <w:tc>
          <w:tcPr>
            <w:tcW w:w="1046" w:type="dxa"/>
            <w:vAlign w:val="top"/>
          </w:tcPr>
          <w:p w:rsidR="00C26943" w:rsidRPr="00C26943" w:rsidRDefault="00B16151" w:rsidP="00C26943">
            <w:pPr>
              <w:pStyle w:val="AERtabletextright"/>
              <w:cnfStyle w:val="000000010000" w:firstRow="0" w:lastRow="0" w:firstColumn="0" w:lastColumn="0" w:oddVBand="0" w:evenVBand="0" w:oddHBand="0" w:evenHBand="1" w:firstRowFirstColumn="0" w:firstRowLastColumn="0" w:lastRowFirstColumn="0" w:lastRowLastColumn="0"/>
            </w:pPr>
            <w:r>
              <w:t>–</w:t>
            </w:r>
            <w:r w:rsidR="00C26943" w:rsidRPr="00C26943">
              <w:t>4.0%</w:t>
            </w:r>
          </w:p>
        </w:tc>
        <w:tc>
          <w:tcPr>
            <w:tcW w:w="1046" w:type="dxa"/>
            <w:vAlign w:val="top"/>
          </w:tcPr>
          <w:p w:rsidR="00C26943" w:rsidRPr="00C26943" w:rsidRDefault="00B16151" w:rsidP="00C26943">
            <w:pPr>
              <w:pStyle w:val="AERtabletextright"/>
              <w:cnfStyle w:val="000000010000" w:firstRow="0" w:lastRow="0" w:firstColumn="0" w:lastColumn="0" w:oddVBand="0" w:evenVBand="0" w:oddHBand="0" w:evenHBand="1" w:firstRowFirstColumn="0" w:firstRowLastColumn="0" w:lastRowFirstColumn="0" w:lastRowLastColumn="0"/>
            </w:pPr>
            <w:r>
              <w:t>–</w:t>
            </w:r>
            <w:r w:rsidR="00C26943" w:rsidRPr="00C26943">
              <w:t>30.6%</w:t>
            </w:r>
          </w:p>
        </w:tc>
        <w:tc>
          <w:tcPr>
            <w:tcW w:w="1046" w:type="dxa"/>
            <w:vAlign w:val="top"/>
          </w:tcPr>
          <w:p w:rsidR="00C26943" w:rsidRPr="00C26943" w:rsidRDefault="00C26943" w:rsidP="00C26943">
            <w:pPr>
              <w:pStyle w:val="AERtabletextright"/>
              <w:cnfStyle w:val="000000010000" w:firstRow="0" w:lastRow="0" w:firstColumn="0" w:lastColumn="0" w:oddVBand="0" w:evenVBand="0" w:oddHBand="0" w:evenHBand="1" w:firstRowFirstColumn="0" w:firstRowLastColumn="0" w:lastRowFirstColumn="0" w:lastRowLastColumn="0"/>
            </w:pPr>
            <w:r w:rsidRPr="00C26943">
              <w:t>0.3%</w:t>
            </w:r>
          </w:p>
        </w:tc>
        <w:tc>
          <w:tcPr>
            <w:tcW w:w="1046" w:type="dxa"/>
            <w:vAlign w:val="top"/>
          </w:tcPr>
          <w:p w:rsidR="00C26943" w:rsidRPr="00C26943" w:rsidRDefault="00B16151" w:rsidP="00C26943">
            <w:pPr>
              <w:pStyle w:val="AERtabletextright"/>
              <w:cnfStyle w:val="000000010000" w:firstRow="0" w:lastRow="0" w:firstColumn="0" w:lastColumn="0" w:oddVBand="0" w:evenVBand="0" w:oddHBand="0" w:evenHBand="1" w:firstRowFirstColumn="0" w:firstRowLastColumn="0" w:lastRowFirstColumn="0" w:lastRowLastColumn="0"/>
            </w:pPr>
            <w:r>
              <w:t>–</w:t>
            </w:r>
            <w:r w:rsidR="00C26943" w:rsidRPr="00C26943">
              <w:t>0.6%</w:t>
            </w:r>
          </w:p>
        </w:tc>
        <w:tc>
          <w:tcPr>
            <w:tcW w:w="1046" w:type="dxa"/>
            <w:noWrap/>
            <w:vAlign w:val="top"/>
          </w:tcPr>
          <w:p w:rsidR="00C26943" w:rsidRPr="00C26943" w:rsidRDefault="00B16151" w:rsidP="00C26943">
            <w:pPr>
              <w:pStyle w:val="AERtabletextright"/>
              <w:cnfStyle w:val="000000010000" w:firstRow="0" w:lastRow="0" w:firstColumn="0" w:lastColumn="0" w:oddVBand="0" w:evenVBand="0" w:oddHBand="0" w:evenHBand="1" w:firstRowFirstColumn="0" w:firstRowLastColumn="0" w:lastRowFirstColumn="0" w:lastRowLastColumn="0"/>
            </w:pPr>
            <w:r>
              <w:t>–</w:t>
            </w:r>
            <w:r w:rsidR="00C26943" w:rsidRPr="00C26943">
              <w:t>0.8%</w:t>
            </w:r>
          </w:p>
        </w:tc>
      </w:tr>
    </w:tbl>
    <w:p w:rsidR="00997FD8" w:rsidRDefault="00540B74" w:rsidP="00540B74">
      <w:pPr>
        <w:pStyle w:val="AERtablesource"/>
      </w:pPr>
      <w:r>
        <w:t>Source:</w:t>
      </w:r>
      <w:r>
        <w:tab/>
        <w:t>AER analysis</w:t>
      </w:r>
      <w:r w:rsidR="00997FD8">
        <w:t xml:space="preserve">. </w:t>
      </w:r>
    </w:p>
    <w:p w:rsidR="003E0B0C" w:rsidRDefault="00997FD8" w:rsidP="00540B74">
      <w:pPr>
        <w:pStyle w:val="AERtablesource"/>
      </w:pPr>
      <w:r>
        <w:t xml:space="preserve">(a) </w:t>
      </w:r>
      <w:r w:rsidR="00EE66EB">
        <w:tab/>
      </w:r>
      <w:r>
        <w:t xml:space="preserve">This represents the expected revenue adjusted for the 2014–15 true-up discussed in section </w:t>
      </w:r>
      <w:r w:rsidR="00EE66EB">
        <w:fldChar w:fldCharType="begin"/>
      </w:r>
      <w:r w:rsidR="00EE66EB">
        <w:instrText xml:space="preserve"> REF _Ref403553894 \r \h </w:instrText>
      </w:r>
      <w:r w:rsidR="00EE66EB">
        <w:fldChar w:fldCharType="separate"/>
      </w:r>
      <w:r w:rsidR="00382E4F">
        <w:t>1.4.1</w:t>
      </w:r>
      <w:r w:rsidR="00EE66EB">
        <w:fldChar w:fldCharType="end"/>
      </w:r>
      <w:r>
        <w:t xml:space="preserve">. </w:t>
      </w:r>
    </w:p>
    <w:p w:rsidR="00481870" w:rsidRDefault="00540B74" w:rsidP="00540B74">
      <w:pPr>
        <w:pStyle w:val="Caption"/>
      </w:pPr>
      <w:bookmarkStart w:id="41" w:name="_Ref401573580"/>
      <w:proofErr w:type="gramStart"/>
      <w:r>
        <w:t xml:space="preserve">Table </w:t>
      </w:r>
      <w:proofErr w:type="gramEnd"/>
      <w:r w:rsidR="00382E4F">
        <w:fldChar w:fldCharType="begin"/>
      </w:r>
      <w:r w:rsidR="00382E4F">
        <w:instrText xml:space="preserve"> STYLEREF 1 \s </w:instrText>
      </w:r>
      <w:r w:rsidR="00382E4F">
        <w:fldChar w:fldCharType="separate"/>
      </w:r>
      <w:r w:rsidR="00382E4F">
        <w:rPr>
          <w:noProof/>
        </w:rPr>
        <w:t>1</w:t>
      </w:r>
      <w:r w:rsidR="00382E4F">
        <w:rPr>
          <w:noProof/>
        </w:rPr>
        <w:fldChar w:fldCharType="end"/>
      </w:r>
      <w:proofErr w:type="gramStart"/>
      <w:r w:rsidR="00CE4D1A">
        <w:t>.</w:t>
      </w:r>
      <w:proofErr w:type="gramEnd"/>
      <w:r w:rsidR="00382E4F">
        <w:fldChar w:fldCharType="begin"/>
      </w:r>
      <w:r w:rsidR="00382E4F">
        <w:instrText xml:space="preserve"> SEQ Table \* ARABIC \s 1 </w:instrText>
      </w:r>
      <w:r w:rsidR="00382E4F">
        <w:fldChar w:fldCharType="separate"/>
      </w:r>
      <w:r w:rsidR="00382E4F">
        <w:rPr>
          <w:noProof/>
        </w:rPr>
        <w:t>11</w:t>
      </w:r>
      <w:r w:rsidR="00382E4F">
        <w:rPr>
          <w:noProof/>
        </w:rPr>
        <w:fldChar w:fldCharType="end"/>
      </w:r>
      <w:bookmarkEnd w:id="41"/>
      <w:r>
        <w:tab/>
        <w:t>Comparison of revenue and price im</w:t>
      </w:r>
      <w:r w:rsidR="0083510F">
        <w:t>pacts</w:t>
      </w:r>
      <w:r>
        <w:t xml:space="preserve"> of Ausgrid's prop</w:t>
      </w:r>
      <w:r w:rsidR="0083510F">
        <w:t>osal</w:t>
      </w:r>
      <w:r>
        <w:t xml:space="preserve"> and AER's draft decision </w:t>
      </w:r>
      <w:r w:rsidR="007B7561">
        <w:t>–</w:t>
      </w:r>
      <w:r>
        <w:t xml:space="preserve"> </w:t>
      </w:r>
      <w:r w:rsidR="007B7561">
        <w:t>t</w:t>
      </w:r>
      <w:r>
        <w:t>ransmission</w:t>
      </w:r>
    </w:p>
    <w:tbl>
      <w:tblPr>
        <w:tblStyle w:val="AERtable-numbers"/>
        <w:tblW w:w="9242" w:type="dxa"/>
        <w:tblLayout w:type="fixed"/>
        <w:tblLook w:val="04A0" w:firstRow="1" w:lastRow="0" w:firstColumn="1" w:lastColumn="0" w:noHBand="0" w:noVBand="1"/>
      </w:tblPr>
      <w:tblGrid>
        <w:gridCol w:w="2966"/>
        <w:gridCol w:w="1046"/>
        <w:gridCol w:w="1046"/>
        <w:gridCol w:w="1046"/>
        <w:gridCol w:w="1046"/>
        <w:gridCol w:w="1046"/>
        <w:gridCol w:w="1046"/>
      </w:tblGrid>
      <w:tr w:rsidR="00540B74" w:rsidRPr="00356B64" w:rsidTr="00C153D3">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hideMark/>
          </w:tcPr>
          <w:p w:rsidR="00540B74" w:rsidRPr="003E0B0C" w:rsidRDefault="00540B74" w:rsidP="00540B74">
            <w:pPr>
              <w:pStyle w:val="AERtabletextleft"/>
            </w:pPr>
            <w:r w:rsidRPr="003E0B0C">
              <w:t> </w:t>
            </w:r>
          </w:p>
        </w:tc>
        <w:tc>
          <w:tcPr>
            <w:tcW w:w="1046" w:type="dxa"/>
            <w:noWrap/>
            <w:hideMark/>
          </w:tcPr>
          <w:p w:rsidR="00540B74" w:rsidRPr="00540B74" w:rsidRDefault="00540B74" w:rsidP="00540B74">
            <w:pPr>
              <w:pStyle w:val="AERtabletextright"/>
              <w:cnfStyle w:val="100000000000" w:firstRow="1" w:lastRow="0" w:firstColumn="0" w:lastColumn="0" w:oddVBand="0" w:evenVBand="0" w:oddHBand="0" w:evenHBand="0" w:firstRowFirstColumn="0" w:firstRowLastColumn="0" w:lastRowFirstColumn="0" w:lastRowLastColumn="0"/>
            </w:pPr>
            <w:r>
              <w:t>2</w:t>
            </w:r>
            <w:r w:rsidRPr="00540B74">
              <w:t>013–14</w:t>
            </w:r>
          </w:p>
        </w:tc>
        <w:tc>
          <w:tcPr>
            <w:tcW w:w="1046" w:type="dxa"/>
          </w:tcPr>
          <w:p w:rsidR="00540B74" w:rsidRPr="00540B74" w:rsidRDefault="00540B74" w:rsidP="00540B74">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1046" w:type="dxa"/>
          </w:tcPr>
          <w:p w:rsidR="00540B74" w:rsidRPr="00540B74" w:rsidRDefault="00540B74" w:rsidP="00540B74">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046" w:type="dxa"/>
          </w:tcPr>
          <w:p w:rsidR="00540B74" w:rsidRPr="00540B74" w:rsidRDefault="00540B74" w:rsidP="00540B74">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046" w:type="dxa"/>
          </w:tcPr>
          <w:p w:rsidR="00540B74" w:rsidRPr="00540B74" w:rsidRDefault="00540B74" w:rsidP="00540B74">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046" w:type="dxa"/>
            <w:noWrap/>
            <w:hideMark/>
          </w:tcPr>
          <w:p w:rsidR="00540B74" w:rsidRPr="00540B74" w:rsidRDefault="00540B74" w:rsidP="00540B74">
            <w:pPr>
              <w:pStyle w:val="AERtabletextright"/>
              <w:cnfStyle w:val="100000000000" w:firstRow="1" w:lastRow="0" w:firstColumn="0" w:lastColumn="0" w:oddVBand="0" w:evenVBand="0" w:oddHBand="0" w:evenHBand="0" w:firstRowFirstColumn="0" w:firstRowLastColumn="0" w:lastRowFirstColumn="0" w:lastRowLastColumn="0"/>
            </w:pPr>
            <w:r>
              <w:t>2</w:t>
            </w:r>
            <w:r w:rsidRPr="00540B74">
              <w:t>018–19</w:t>
            </w:r>
          </w:p>
        </w:tc>
      </w:tr>
      <w:tr w:rsidR="00540B74" w:rsidRPr="00356B64" w:rsidTr="00C153D3">
        <w:trPr>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hideMark/>
          </w:tcPr>
          <w:p w:rsidR="00540B74" w:rsidRPr="00C153D3" w:rsidRDefault="00540B74" w:rsidP="00E02423">
            <w:pPr>
              <w:pStyle w:val="AERtabletextleft"/>
              <w:jc w:val="both"/>
              <w:rPr>
                <w:rStyle w:val="AERtextbold"/>
              </w:rPr>
            </w:pPr>
            <w:r w:rsidRPr="00C153D3">
              <w:rPr>
                <w:rStyle w:val="AERtextbold"/>
              </w:rPr>
              <w:t>Ausgrid proposal</w:t>
            </w:r>
          </w:p>
        </w:tc>
        <w:tc>
          <w:tcPr>
            <w:tcW w:w="1046" w:type="dxa"/>
            <w:noWrap/>
          </w:tcPr>
          <w:p w:rsidR="00540B74" w:rsidRPr="00C153D3" w:rsidRDefault="00540B74" w:rsidP="00540B7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046" w:type="dxa"/>
          </w:tcPr>
          <w:p w:rsidR="00540B74" w:rsidRPr="00C153D3" w:rsidRDefault="00540B74" w:rsidP="00540B7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046" w:type="dxa"/>
          </w:tcPr>
          <w:p w:rsidR="00540B74" w:rsidRPr="00C153D3" w:rsidRDefault="00540B74" w:rsidP="00540B7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046" w:type="dxa"/>
          </w:tcPr>
          <w:p w:rsidR="00540B74" w:rsidRPr="00C153D3" w:rsidRDefault="00540B74" w:rsidP="00540B7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046" w:type="dxa"/>
          </w:tcPr>
          <w:p w:rsidR="00540B74" w:rsidRPr="00C153D3" w:rsidRDefault="00540B74" w:rsidP="00540B7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046" w:type="dxa"/>
            <w:noWrap/>
          </w:tcPr>
          <w:p w:rsidR="00540B74" w:rsidRPr="00C153D3" w:rsidRDefault="00540B74" w:rsidP="00540B7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A96A28" w:rsidRPr="00356B64" w:rsidTr="00106E5F">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hideMark/>
          </w:tcPr>
          <w:p w:rsidR="00A96A28" w:rsidRPr="00A96A28" w:rsidRDefault="00A96A28" w:rsidP="00A96A28">
            <w:pPr>
              <w:pStyle w:val="AERtabletextleft"/>
            </w:pPr>
            <w:r w:rsidRPr="00A96A28">
              <w:t>Revenue ($m, nominal)</w:t>
            </w:r>
            <w:r w:rsidRPr="00A96A28">
              <w:rPr>
                <w:rStyle w:val="AERsuperscript"/>
              </w:rPr>
              <w:t>a</w:t>
            </w:r>
          </w:p>
        </w:tc>
        <w:tc>
          <w:tcPr>
            <w:tcW w:w="1046" w:type="dxa"/>
            <w:noWrap/>
            <w:vAlign w:val="top"/>
          </w:tcPr>
          <w:p w:rsidR="00A96A28" w:rsidRPr="00A96A28" w:rsidRDefault="00A96A28" w:rsidP="00A96A28">
            <w:pPr>
              <w:pStyle w:val="AERtabletextright"/>
              <w:cnfStyle w:val="000000010000" w:firstRow="0" w:lastRow="0" w:firstColumn="0" w:lastColumn="0" w:oddVBand="0" w:evenVBand="0" w:oddHBand="0" w:evenHBand="1" w:firstRowFirstColumn="0" w:firstRowLastColumn="0" w:lastRowFirstColumn="0" w:lastRowLastColumn="0"/>
            </w:pPr>
            <w:r w:rsidRPr="00A96A28">
              <w:t>268.5</w:t>
            </w:r>
          </w:p>
        </w:tc>
        <w:tc>
          <w:tcPr>
            <w:tcW w:w="1046" w:type="dxa"/>
            <w:vAlign w:val="top"/>
          </w:tcPr>
          <w:p w:rsidR="00A96A28" w:rsidRPr="00A96A28" w:rsidRDefault="00A96A28" w:rsidP="00A96A28">
            <w:pPr>
              <w:pStyle w:val="AERtabletextright"/>
              <w:cnfStyle w:val="000000010000" w:firstRow="0" w:lastRow="0" w:firstColumn="0" w:lastColumn="0" w:oddVBand="0" w:evenVBand="0" w:oddHBand="0" w:evenHBand="1" w:firstRowFirstColumn="0" w:firstRowLastColumn="0" w:lastRowFirstColumn="0" w:lastRowLastColumn="0"/>
            </w:pPr>
            <w:r w:rsidRPr="00A96A28">
              <w:t>252.3</w:t>
            </w:r>
          </w:p>
        </w:tc>
        <w:tc>
          <w:tcPr>
            <w:tcW w:w="1046" w:type="dxa"/>
            <w:vAlign w:val="top"/>
          </w:tcPr>
          <w:p w:rsidR="00A96A28" w:rsidRPr="00A96A28" w:rsidRDefault="00A96A28" w:rsidP="00A96A28">
            <w:pPr>
              <w:pStyle w:val="AERtabletextright"/>
              <w:cnfStyle w:val="000000010000" w:firstRow="0" w:lastRow="0" w:firstColumn="0" w:lastColumn="0" w:oddVBand="0" w:evenVBand="0" w:oddHBand="0" w:evenHBand="1" w:firstRowFirstColumn="0" w:firstRowLastColumn="0" w:lastRowFirstColumn="0" w:lastRowLastColumn="0"/>
            </w:pPr>
            <w:r w:rsidRPr="00A96A28">
              <w:t>288.4</w:t>
            </w:r>
          </w:p>
        </w:tc>
        <w:tc>
          <w:tcPr>
            <w:tcW w:w="1046" w:type="dxa"/>
            <w:vAlign w:val="top"/>
          </w:tcPr>
          <w:p w:rsidR="00A96A28" w:rsidRPr="00A96A28" w:rsidRDefault="00A96A28" w:rsidP="00A96A28">
            <w:pPr>
              <w:pStyle w:val="AERtabletextright"/>
              <w:cnfStyle w:val="000000010000" w:firstRow="0" w:lastRow="0" w:firstColumn="0" w:lastColumn="0" w:oddVBand="0" w:evenVBand="0" w:oddHBand="0" w:evenHBand="1" w:firstRowFirstColumn="0" w:firstRowLastColumn="0" w:lastRowFirstColumn="0" w:lastRowLastColumn="0"/>
            </w:pPr>
            <w:r w:rsidRPr="00A96A28">
              <w:t>295.6</w:t>
            </w:r>
          </w:p>
        </w:tc>
        <w:tc>
          <w:tcPr>
            <w:tcW w:w="1046" w:type="dxa"/>
            <w:vAlign w:val="top"/>
          </w:tcPr>
          <w:p w:rsidR="00A96A28" w:rsidRPr="00A96A28" w:rsidRDefault="00A96A28" w:rsidP="00A96A28">
            <w:pPr>
              <w:pStyle w:val="AERtabletextright"/>
              <w:cnfStyle w:val="000000010000" w:firstRow="0" w:lastRow="0" w:firstColumn="0" w:lastColumn="0" w:oddVBand="0" w:evenVBand="0" w:oddHBand="0" w:evenHBand="1" w:firstRowFirstColumn="0" w:firstRowLastColumn="0" w:lastRowFirstColumn="0" w:lastRowLastColumn="0"/>
            </w:pPr>
            <w:r w:rsidRPr="00A96A28">
              <w:t>303.0</w:t>
            </w:r>
          </w:p>
        </w:tc>
        <w:tc>
          <w:tcPr>
            <w:tcW w:w="1046" w:type="dxa"/>
            <w:noWrap/>
            <w:vAlign w:val="top"/>
          </w:tcPr>
          <w:p w:rsidR="00A96A28" w:rsidRPr="00A96A28" w:rsidRDefault="00A96A28" w:rsidP="00A96A28">
            <w:pPr>
              <w:pStyle w:val="AERtabletextright"/>
              <w:cnfStyle w:val="000000010000" w:firstRow="0" w:lastRow="0" w:firstColumn="0" w:lastColumn="0" w:oddVBand="0" w:evenVBand="0" w:oddHBand="0" w:evenHBand="1" w:firstRowFirstColumn="0" w:firstRowLastColumn="0" w:lastRowFirstColumn="0" w:lastRowLastColumn="0"/>
            </w:pPr>
            <w:r w:rsidRPr="00A96A28">
              <w:t>310.6</w:t>
            </w:r>
          </w:p>
        </w:tc>
      </w:tr>
      <w:tr w:rsidR="00A96A28" w:rsidRPr="00356B64" w:rsidTr="00106E5F">
        <w:trPr>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hideMark/>
          </w:tcPr>
          <w:p w:rsidR="00A96A28" w:rsidRPr="00A96A28" w:rsidRDefault="00A96A28" w:rsidP="00A96A28">
            <w:pPr>
              <w:pStyle w:val="AERtabletextleft"/>
            </w:pPr>
            <w:r w:rsidRPr="00A96A28">
              <w:t>Price path (nominal index)</w:t>
            </w:r>
          </w:p>
        </w:tc>
        <w:tc>
          <w:tcPr>
            <w:tcW w:w="1046" w:type="dxa"/>
            <w:noWrap/>
            <w:vAlign w:val="top"/>
          </w:tcPr>
          <w:p w:rsidR="00A96A28" w:rsidRPr="00A96A28" w:rsidRDefault="00A96A28" w:rsidP="00A96A28">
            <w:pPr>
              <w:pStyle w:val="AERtabletextright"/>
              <w:cnfStyle w:val="000000000000" w:firstRow="0" w:lastRow="0" w:firstColumn="0" w:lastColumn="0" w:oddVBand="0" w:evenVBand="0" w:oddHBand="0" w:evenHBand="0" w:firstRowFirstColumn="0" w:firstRowLastColumn="0" w:lastRowFirstColumn="0" w:lastRowLastColumn="0"/>
            </w:pPr>
            <w:r w:rsidRPr="00A96A28">
              <w:t>1.00</w:t>
            </w:r>
          </w:p>
        </w:tc>
        <w:tc>
          <w:tcPr>
            <w:tcW w:w="1046" w:type="dxa"/>
            <w:vAlign w:val="top"/>
          </w:tcPr>
          <w:p w:rsidR="00A96A28" w:rsidRPr="00A96A28" w:rsidRDefault="00A96A28" w:rsidP="00A96A28">
            <w:pPr>
              <w:pStyle w:val="AERtabletextright"/>
              <w:cnfStyle w:val="000000000000" w:firstRow="0" w:lastRow="0" w:firstColumn="0" w:lastColumn="0" w:oddVBand="0" w:evenVBand="0" w:oddHBand="0" w:evenHBand="0" w:firstRowFirstColumn="0" w:firstRowLastColumn="0" w:lastRowFirstColumn="0" w:lastRowLastColumn="0"/>
            </w:pPr>
            <w:r w:rsidRPr="00A96A28">
              <w:t>0.94</w:t>
            </w:r>
          </w:p>
        </w:tc>
        <w:tc>
          <w:tcPr>
            <w:tcW w:w="1046" w:type="dxa"/>
            <w:vAlign w:val="top"/>
          </w:tcPr>
          <w:p w:rsidR="00A96A28" w:rsidRPr="00A96A28" w:rsidRDefault="00A96A28" w:rsidP="00A96A28">
            <w:pPr>
              <w:pStyle w:val="AERtabletextright"/>
              <w:cnfStyle w:val="000000000000" w:firstRow="0" w:lastRow="0" w:firstColumn="0" w:lastColumn="0" w:oddVBand="0" w:evenVBand="0" w:oddHBand="0" w:evenHBand="0" w:firstRowFirstColumn="0" w:firstRowLastColumn="0" w:lastRowFirstColumn="0" w:lastRowLastColumn="0"/>
            </w:pPr>
            <w:r w:rsidRPr="00A96A28">
              <w:t>1.08</w:t>
            </w:r>
          </w:p>
        </w:tc>
        <w:tc>
          <w:tcPr>
            <w:tcW w:w="1046" w:type="dxa"/>
            <w:vAlign w:val="top"/>
          </w:tcPr>
          <w:p w:rsidR="00A96A28" w:rsidRPr="00A96A28" w:rsidRDefault="00A96A28" w:rsidP="00A96A28">
            <w:pPr>
              <w:pStyle w:val="AERtabletextright"/>
              <w:cnfStyle w:val="000000000000" w:firstRow="0" w:lastRow="0" w:firstColumn="0" w:lastColumn="0" w:oddVBand="0" w:evenVBand="0" w:oddHBand="0" w:evenHBand="0" w:firstRowFirstColumn="0" w:firstRowLastColumn="0" w:lastRowFirstColumn="0" w:lastRowLastColumn="0"/>
            </w:pPr>
            <w:r w:rsidRPr="00A96A28">
              <w:t>1.10</w:t>
            </w:r>
          </w:p>
        </w:tc>
        <w:tc>
          <w:tcPr>
            <w:tcW w:w="1046" w:type="dxa"/>
            <w:vAlign w:val="top"/>
          </w:tcPr>
          <w:p w:rsidR="00A96A28" w:rsidRPr="00A96A28" w:rsidRDefault="00A96A28" w:rsidP="00A96A28">
            <w:pPr>
              <w:pStyle w:val="AERtabletextright"/>
              <w:cnfStyle w:val="000000000000" w:firstRow="0" w:lastRow="0" w:firstColumn="0" w:lastColumn="0" w:oddVBand="0" w:evenVBand="0" w:oddHBand="0" w:evenHBand="0" w:firstRowFirstColumn="0" w:firstRowLastColumn="0" w:lastRowFirstColumn="0" w:lastRowLastColumn="0"/>
            </w:pPr>
            <w:r w:rsidRPr="00A96A28">
              <w:t>1.13</w:t>
            </w:r>
          </w:p>
        </w:tc>
        <w:tc>
          <w:tcPr>
            <w:tcW w:w="1046" w:type="dxa"/>
            <w:noWrap/>
            <w:vAlign w:val="top"/>
          </w:tcPr>
          <w:p w:rsidR="00A96A28" w:rsidRPr="00A96A28" w:rsidRDefault="00A96A28" w:rsidP="00A96A28">
            <w:pPr>
              <w:pStyle w:val="AERtabletextright"/>
              <w:cnfStyle w:val="000000000000" w:firstRow="0" w:lastRow="0" w:firstColumn="0" w:lastColumn="0" w:oddVBand="0" w:evenVBand="0" w:oddHBand="0" w:evenHBand="0" w:firstRowFirstColumn="0" w:firstRowLastColumn="0" w:lastRowFirstColumn="0" w:lastRowLastColumn="0"/>
            </w:pPr>
            <w:r w:rsidRPr="00A96A28">
              <w:t>1.16</w:t>
            </w:r>
          </w:p>
        </w:tc>
      </w:tr>
      <w:tr w:rsidR="00A96A28" w:rsidRPr="00356B64" w:rsidTr="00106E5F">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hideMark/>
          </w:tcPr>
          <w:p w:rsidR="00A96A28" w:rsidRPr="00A96A28" w:rsidRDefault="00A96A28" w:rsidP="00A96A28">
            <w:pPr>
              <w:pStyle w:val="AERtabletextleft"/>
            </w:pPr>
            <w:r w:rsidRPr="00A96A28">
              <w:t>Revenue (change %)</w:t>
            </w:r>
          </w:p>
        </w:tc>
        <w:tc>
          <w:tcPr>
            <w:tcW w:w="1046" w:type="dxa"/>
            <w:noWrap/>
            <w:vAlign w:val="top"/>
          </w:tcPr>
          <w:p w:rsidR="00A96A28" w:rsidRPr="00A96A28" w:rsidRDefault="00A96A28" w:rsidP="00A96A28">
            <w:pPr>
              <w:pStyle w:val="AERtabletextright"/>
              <w:cnfStyle w:val="000000010000" w:firstRow="0" w:lastRow="0" w:firstColumn="0" w:lastColumn="0" w:oddVBand="0" w:evenVBand="0" w:oddHBand="0" w:evenHBand="1" w:firstRowFirstColumn="0" w:firstRowLastColumn="0" w:lastRowFirstColumn="0" w:lastRowLastColumn="0"/>
            </w:pPr>
          </w:p>
        </w:tc>
        <w:tc>
          <w:tcPr>
            <w:tcW w:w="1046" w:type="dxa"/>
            <w:vAlign w:val="top"/>
          </w:tcPr>
          <w:p w:rsidR="00A96A28" w:rsidRPr="00A96A28" w:rsidRDefault="00B16151" w:rsidP="00A96A28">
            <w:pPr>
              <w:pStyle w:val="AERtabletextright"/>
              <w:cnfStyle w:val="000000010000" w:firstRow="0" w:lastRow="0" w:firstColumn="0" w:lastColumn="0" w:oddVBand="0" w:evenVBand="0" w:oddHBand="0" w:evenHBand="1" w:firstRowFirstColumn="0" w:firstRowLastColumn="0" w:lastRowFirstColumn="0" w:lastRowLastColumn="0"/>
            </w:pPr>
            <w:r>
              <w:t>–</w:t>
            </w:r>
            <w:r w:rsidR="00A96A28" w:rsidRPr="00A96A28">
              <w:t>6.0%</w:t>
            </w:r>
          </w:p>
        </w:tc>
        <w:tc>
          <w:tcPr>
            <w:tcW w:w="1046" w:type="dxa"/>
            <w:vAlign w:val="top"/>
          </w:tcPr>
          <w:p w:rsidR="00A96A28" w:rsidRPr="00A96A28" w:rsidRDefault="00A96A28" w:rsidP="00A96A28">
            <w:pPr>
              <w:pStyle w:val="AERtabletextright"/>
              <w:cnfStyle w:val="000000010000" w:firstRow="0" w:lastRow="0" w:firstColumn="0" w:lastColumn="0" w:oddVBand="0" w:evenVBand="0" w:oddHBand="0" w:evenHBand="1" w:firstRowFirstColumn="0" w:firstRowLastColumn="0" w:lastRowFirstColumn="0" w:lastRowLastColumn="0"/>
            </w:pPr>
            <w:r w:rsidRPr="00A96A28">
              <w:t>14.3%</w:t>
            </w:r>
          </w:p>
        </w:tc>
        <w:tc>
          <w:tcPr>
            <w:tcW w:w="1046" w:type="dxa"/>
            <w:vAlign w:val="top"/>
          </w:tcPr>
          <w:p w:rsidR="00A96A28" w:rsidRPr="00A96A28" w:rsidRDefault="00A96A28" w:rsidP="00A96A28">
            <w:pPr>
              <w:pStyle w:val="AERtabletextright"/>
              <w:cnfStyle w:val="000000010000" w:firstRow="0" w:lastRow="0" w:firstColumn="0" w:lastColumn="0" w:oddVBand="0" w:evenVBand="0" w:oddHBand="0" w:evenHBand="1" w:firstRowFirstColumn="0" w:firstRowLastColumn="0" w:lastRowFirstColumn="0" w:lastRowLastColumn="0"/>
            </w:pPr>
            <w:r w:rsidRPr="00A96A28">
              <w:t>2.5%</w:t>
            </w:r>
          </w:p>
        </w:tc>
        <w:tc>
          <w:tcPr>
            <w:tcW w:w="1046" w:type="dxa"/>
            <w:vAlign w:val="top"/>
          </w:tcPr>
          <w:p w:rsidR="00A96A28" w:rsidRPr="00A96A28" w:rsidRDefault="00A96A28" w:rsidP="00A96A28">
            <w:pPr>
              <w:pStyle w:val="AERtabletextright"/>
              <w:cnfStyle w:val="000000010000" w:firstRow="0" w:lastRow="0" w:firstColumn="0" w:lastColumn="0" w:oddVBand="0" w:evenVBand="0" w:oddHBand="0" w:evenHBand="1" w:firstRowFirstColumn="0" w:firstRowLastColumn="0" w:lastRowFirstColumn="0" w:lastRowLastColumn="0"/>
            </w:pPr>
            <w:r w:rsidRPr="00A96A28">
              <w:t>2.5%</w:t>
            </w:r>
          </w:p>
        </w:tc>
        <w:tc>
          <w:tcPr>
            <w:tcW w:w="1046" w:type="dxa"/>
            <w:noWrap/>
            <w:vAlign w:val="top"/>
          </w:tcPr>
          <w:p w:rsidR="00A96A28" w:rsidRPr="00A96A28" w:rsidRDefault="00A96A28" w:rsidP="00A96A28">
            <w:pPr>
              <w:pStyle w:val="AERtabletextright"/>
              <w:cnfStyle w:val="000000010000" w:firstRow="0" w:lastRow="0" w:firstColumn="0" w:lastColumn="0" w:oddVBand="0" w:evenVBand="0" w:oddHBand="0" w:evenHBand="1" w:firstRowFirstColumn="0" w:firstRowLastColumn="0" w:lastRowFirstColumn="0" w:lastRowLastColumn="0"/>
            </w:pPr>
            <w:r w:rsidRPr="00A96A28">
              <w:t>2.5%</w:t>
            </w:r>
          </w:p>
        </w:tc>
      </w:tr>
      <w:tr w:rsidR="00A96A28" w:rsidRPr="00356B64" w:rsidTr="00106E5F">
        <w:trPr>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tcPr>
          <w:p w:rsidR="00A96A28" w:rsidRPr="00A96A28" w:rsidRDefault="00A96A28" w:rsidP="00A96A28">
            <w:pPr>
              <w:pStyle w:val="AERtabletextleft"/>
            </w:pPr>
            <w:r w:rsidRPr="00A96A28">
              <w:t>Price path (change %)</w:t>
            </w:r>
          </w:p>
        </w:tc>
        <w:tc>
          <w:tcPr>
            <w:tcW w:w="1046" w:type="dxa"/>
            <w:noWrap/>
            <w:vAlign w:val="top"/>
          </w:tcPr>
          <w:p w:rsidR="00A96A28" w:rsidRPr="00A96A28" w:rsidRDefault="00A96A28" w:rsidP="00A96A28">
            <w:pPr>
              <w:pStyle w:val="AERtabletextright"/>
              <w:cnfStyle w:val="000000000000" w:firstRow="0" w:lastRow="0" w:firstColumn="0" w:lastColumn="0" w:oddVBand="0" w:evenVBand="0" w:oddHBand="0" w:evenHBand="0" w:firstRowFirstColumn="0" w:firstRowLastColumn="0" w:lastRowFirstColumn="0" w:lastRowLastColumn="0"/>
            </w:pPr>
          </w:p>
        </w:tc>
        <w:tc>
          <w:tcPr>
            <w:tcW w:w="1046" w:type="dxa"/>
            <w:vAlign w:val="top"/>
          </w:tcPr>
          <w:p w:rsidR="00A96A28" w:rsidRPr="00A96A28" w:rsidRDefault="00B16151" w:rsidP="00A96A28">
            <w:pPr>
              <w:pStyle w:val="AERtabletextright"/>
              <w:cnfStyle w:val="000000000000" w:firstRow="0" w:lastRow="0" w:firstColumn="0" w:lastColumn="0" w:oddVBand="0" w:evenVBand="0" w:oddHBand="0" w:evenHBand="0" w:firstRowFirstColumn="0" w:firstRowLastColumn="0" w:lastRowFirstColumn="0" w:lastRowLastColumn="0"/>
            </w:pPr>
            <w:r>
              <w:t>–</w:t>
            </w:r>
            <w:r w:rsidR="00A96A28" w:rsidRPr="00A96A28">
              <w:t>4.7%</w:t>
            </w:r>
          </w:p>
        </w:tc>
        <w:tc>
          <w:tcPr>
            <w:tcW w:w="1046" w:type="dxa"/>
            <w:vAlign w:val="top"/>
          </w:tcPr>
          <w:p w:rsidR="00A96A28" w:rsidRPr="00A96A28" w:rsidRDefault="00A96A28" w:rsidP="00A96A28">
            <w:pPr>
              <w:pStyle w:val="AERtabletextright"/>
              <w:cnfStyle w:val="000000000000" w:firstRow="0" w:lastRow="0" w:firstColumn="0" w:lastColumn="0" w:oddVBand="0" w:evenVBand="0" w:oddHBand="0" w:evenHBand="0" w:firstRowFirstColumn="0" w:firstRowLastColumn="0" w:lastRowFirstColumn="0" w:lastRowLastColumn="0"/>
            </w:pPr>
            <w:r w:rsidRPr="00A96A28">
              <w:t>13.5%</w:t>
            </w:r>
          </w:p>
        </w:tc>
        <w:tc>
          <w:tcPr>
            <w:tcW w:w="1046" w:type="dxa"/>
            <w:vAlign w:val="top"/>
          </w:tcPr>
          <w:p w:rsidR="00A96A28" w:rsidRPr="00A96A28" w:rsidRDefault="00A96A28" w:rsidP="00A96A28">
            <w:pPr>
              <w:pStyle w:val="AERtabletextright"/>
              <w:cnfStyle w:val="000000000000" w:firstRow="0" w:lastRow="0" w:firstColumn="0" w:lastColumn="0" w:oddVBand="0" w:evenVBand="0" w:oddHBand="0" w:evenHBand="0" w:firstRowFirstColumn="0" w:firstRowLastColumn="0" w:lastRowFirstColumn="0" w:lastRowLastColumn="0"/>
            </w:pPr>
            <w:r w:rsidRPr="00A96A28">
              <w:t>2.0%</w:t>
            </w:r>
          </w:p>
        </w:tc>
        <w:tc>
          <w:tcPr>
            <w:tcW w:w="1046" w:type="dxa"/>
            <w:vAlign w:val="top"/>
          </w:tcPr>
          <w:p w:rsidR="00A96A28" w:rsidRPr="00A96A28" w:rsidRDefault="00A96A28" w:rsidP="00A96A28">
            <w:pPr>
              <w:pStyle w:val="AERtabletextright"/>
              <w:cnfStyle w:val="000000000000" w:firstRow="0" w:lastRow="0" w:firstColumn="0" w:lastColumn="0" w:oddVBand="0" w:evenVBand="0" w:oddHBand="0" w:evenHBand="0" w:firstRowFirstColumn="0" w:firstRowLastColumn="0" w:lastRowFirstColumn="0" w:lastRowLastColumn="0"/>
            </w:pPr>
            <w:r w:rsidRPr="00A96A28">
              <w:t>2.1%</w:t>
            </w:r>
          </w:p>
        </w:tc>
        <w:tc>
          <w:tcPr>
            <w:tcW w:w="1046" w:type="dxa"/>
            <w:noWrap/>
            <w:vAlign w:val="top"/>
          </w:tcPr>
          <w:p w:rsidR="00A96A28" w:rsidRPr="00A96A28" w:rsidRDefault="00A96A28" w:rsidP="00A96A28">
            <w:pPr>
              <w:pStyle w:val="AERtabletextright"/>
              <w:cnfStyle w:val="000000000000" w:firstRow="0" w:lastRow="0" w:firstColumn="0" w:lastColumn="0" w:oddVBand="0" w:evenVBand="0" w:oddHBand="0" w:evenHBand="0" w:firstRowFirstColumn="0" w:firstRowLastColumn="0" w:lastRowFirstColumn="0" w:lastRowLastColumn="0"/>
            </w:pPr>
            <w:r w:rsidRPr="00A96A28">
              <w:t>2.0%</w:t>
            </w:r>
          </w:p>
        </w:tc>
      </w:tr>
      <w:tr w:rsidR="00540B74" w:rsidRPr="00356B64" w:rsidTr="00C153D3">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tcPr>
          <w:p w:rsidR="00540B74" w:rsidRPr="00C153D3" w:rsidRDefault="00540B74" w:rsidP="00E02423">
            <w:pPr>
              <w:pStyle w:val="AERtabletextleft"/>
              <w:jc w:val="both"/>
              <w:rPr>
                <w:rStyle w:val="AERtextbold"/>
              </w:rPr>
            </w:pPr>
            <w:r w:rsidRPr="00C153D3">
              <w:rPr>
                <w:rStyle w:val="AERtextbold"/>
              </w:rPr>
              <w:t>AER draft decision</w:t>
            </w:r>
          </w:p>
        </w:tc>
        <w:tc>
          <w:tcPr>
            <w:tcW w:w="1046" w:type="dxa"/>
            <w:noWrap/>
          </w:tcPr>
          <w:p w:rsidR="00540B74" w:rsidRPr="00C153D3" w:rsidRDefault="00540B74" w:rsidP="00540B7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046" w:type="dxa"/>
          </w:tcPr>
          <w:p w:rsidR="00540B74" w:rsidRPr="00C153D3" w:rsidRDefault="00540B74" w:rsidP="00540B7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046" w:type="dxa"/>
          </w:tcPr>
          <w:p w:rsidR="00540B74" w:rsidRPr="00C153D3" w:rsidRDefault="00540B74" w:rsidP="00540B7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046" w:type="dxa"/>
          </w:tcPr>
          <w:p w:rsidR="00540B74" w:rsidRPr="00C153D3" w:rsidRDefault="00540B74" w:rsidP="00540B7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046" w:type="dxa"/>
          </w:tcPr>
          <w:p w:rsidR="00540B74" w:rsidRPr="00C153D3" w:rsidRDefault="00540B74" w:rsidP="00540B7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046" w:type="dxa"/>
            <w:noWrap/>
          </w:tcPr>
          <w:p w:rsidR="00540B74" w:rsidRPr="00C153D3" w:rsidRDefault="00540B74" w:rsidP="00540B7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r>
      <w:tr w:rsidR="00C26943" w:rsidRPr="00356B64" w:rsidTr="00106E5F">
        <w:trPr>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tcPr>
          <w:p w:rsidR="00C26943" w:rsidRPr="00C26943" w:rsidRDefault="00C26943" w:rsidP="00C26943">
            <w:pPr>
              <w:pStyle w:val="AERtabletextleft"/>
            </w:pPr>
            <w:r w:rsidRPr="00C26943">
              <w:t>Revenue ($m, nominal)</w:t>
            </w:r>
          </w:p>
        </w:tc>
        <w:tc>
          <w:tcPr>
            <w:tcW w:w="1046" w:type="dxa"/>
            <w:noWrap/>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268.5</w:t>
            </w:r>
          </w:p>
        </w:tc>
        <w:tc>
          <w:tcPr>
            <w:tcW w:w="1046" w:type="dxa"/>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252.3</w:t>
            </w:r>
          </w:p>
        </w:tc>
        <w:tc>
          <w:tcPr>
            <w:tcW w:w="1046" w:type="dxa"/>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184.9</w:t>
            </w:r>
          </w:p>
        </w:tc>
        <w:tc>
          <w:tcPr>
            <w:tcW w:w="1046" w:type="dxa"/>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192.4</w:t>
            </w:r>
          </w:p>
        </w:tc>
        <w:tc>
          <w:tcPr>
            <w:tcW w:w="1046" w:type="dxa"/>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200.2</w:t>
            </w:r>
          </w:p>
        </w:tc>
        <w:tc>
          <w:tcPr>
            <w:tcW w:w="1046" w:type="dxa"/>
            <w:noWrap/>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208.2</w:t>
            </w:r>
          </w:p>
        </w:tc>
      </w:tr>
      <w:tr w:rsidR="00C26943" w:rsidRPr="00356B64" w:rsidTr="00106E5F">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tcPr>
          <w:p w:rsidR="00C26943" w:rsidRPr="00C26943" w:rsidRDefault="00C26943" w:rsidP="00C26943">
            <w:pPr>
              <w:pStyle w:val="AERtabletextleft"/>
            </w:pPr>
            <w:r w:rsidRPr="00C26943">
              <w:lastRenderedPageBreak/>
              <w:t>Price path (nominal index)</w:t>
            </w:r>
          </w:p>
        </w:tc>
        <w:tc>
          <w:tcPr>
            <w:tcW w:w="1046" w:type="dxa"/>
            <w:noWrap/>
            <w:vAlign w:val="top"/>
          </w:tcPr>
          <w:p w:rsidR="00C26943" w:rsidRPr="00C26943" w:rsidRDefault="00C26943" w:rsidP="00C26943">
            <w:pPr>
              <w:pStyle w:val="AERtabletextright"/>
              <w:cnfStyle w:val="000000010000" w:firstRow="0" w:lastRow="0" w:firstColumn="0" w:lastColumn="0" w:oddVBand="0" w:evenVBand="0" w:oddHBand="0" w:evenHBand="1" w:firstRowFirstColumn="0" w:firstRowLastColumn="0" w:lastRowFirstColumn="0" w:lastRowLastColumn="0"/>
            </w:pPr>
            <w:r w:rsidRPr="00C26943">
              <w:t>1.00</w:t>
            </w:r>
          </w:p>
        </w:tc>
        <w:tc>
          <w:tcPr>
            <w:tcW w:w="1046" w:type="dxa"/>
            <w:vAlign w:val="top"/>
          </w:tcPr>
          <w:p w:rsidR="00C26943" w:rsidRPr="00C26943" w:rsidRDefault="00C26943" w:rsidP="00C26943">
            <w:pPr>
              <w:pStyle w:val="AERtabletextright"/>
              <w:cnfStyle w:val="000000010000" w:firstRow="0" w:lastRow="0" w:firstColumn="0" w:lastColumn="0" w:oddVBand="0" w:evenVBand="0" w:oddHBand="0" w:evenHBand="1" w:firstRowFirstColumn="0" w:firstRowLastColumn="0" w:lastRowFirstColumn="0" w:lastRowLastColumn="0"/>
            </w:pPr>
            <w:r w:rsidRPr="00C26943">
              <w:t>0.94</w:t>
            </w:r>
          </w:p>
        </w:tc>
        <w:tc>
          <w:tcPr>
            <w:tcW w:w="1046" w:type="dxa"/>
            <w:vAlign w:val="top"/>
          </w:tcPr>
          <w:p w:rsidR="00C26943" w:rsidRPr="00C26943" w:rsidRDefault="00C26943" w:rsidP="00C26943">
            <w:pPr>
              <w:pStyle w:val="AERtabletextright"/>
              <w:cnfStyle w:val="000000010000" w:firstRow="0" w:lastRow="0" w:firstColumn="0" w:lastColumn="0" w:oddVBand="0" w:evenVBand="0" w:oddHBand="0" w:evenHBand="1" w:firstRowFirstColumn="0" w:firstRowLastColumn="0" w:lastRowFirstColumn="0" w:lastRowLastColumn="0"/>
            </w:pPr>
            <w:r w:rsidRPr="00C26943">
              <w:t>0.69</w:t>
            </w:r>
          </w:p>
        </w:tc>
        <w:tc>
          <w:tcPr>
            <w:tcW w:w="1046" w:type="dxa"/>
            <w:vAlign w:val="top"/>
          </w:tcPr>
          <w:p w:rsidR="00C26943" w:rsidRPr="00C26943" w:rsidRDefault="00C26943" w:rsidP="00C26943">
            <w:pPr>
              <w:pStyle w:val="AERtabletextright"/>
              <w:cnfStyle w:val="000000010000" w:firstRow="0" w:lastRow="0" w:firstColumn="0" w:lastColumn="0" w:oddVBand="0" w:evenVBand="0" w:oddHBand="0" w:evenHBand="1" w:firstRowFirstColumn="0" w:firstRowLastColumn="0" w:lastRowFirstColumn="0" w:lastRowLastColumn="0"/>
            </w:pPr>
            <w:r w:rsidRPr="00C26943">
              <w:t>0.72</w:t>
            </w:r>
          </w:p>
        </w:tc>
        <w:tc>
          <w:tcPr>
            <w:tcW w:w="1046" w:type="dxa"/>
            <w:vAlign w:val="top"/>
          </w:tcPr>
          <w:p w:rsidR="00C26943" w:rsidRPr="00C26943" w:rsidRDefault="00C26943" w:rsidP="00C26943">
            <w:pPr>
              <w:pStyle w:val="AERtabletextright"/>
              <w:cnfStyle w:val="000000010000" w:firstRow="0" w:lastRow="0" w:firstColumn="0" w:lastColumn="0" w:oddVBand="0" w:evenVBand="0" w:oddHBand="0" w:evenHBand="1" w:firstRowFirstColumn="0" w:firstRowLastColumn="0" w:lastRowFirstColumn="0" w:lastRowLastColumn="0"/>
            </w:pPr>
            <w:r w:rsidRPr="00C26943">
              <w:t>0.75</w:t>
            </w:r>
          </w:p>
        </w:tc>
        <w:tc>
          <w:tcPr>
            <w:tcW w:w="1046" w:type="dxa"/>
            <w:noWrap/>
            <w:vAlign w:val="top"/>
          </w:tcPr>
          <w:p w:rsidR="00C26943" w:rsidRPr="00C26943" w:rsidRDefault="00C26943" w:rsidP="00C26943">
            <w:pPr>
              <w:pStyle w:val="AERtabletextright"/>
              <w:cnfStyle w:val="000000010000" w:firstRow="0" w:lastRow="0" w:firstColumn="0" w:lastColumn="0" w:oddVBand="0" w:evenVBand="0" w:oddHBand="0" w:evenHBand="1" w:firstRowFirstColumn="0" w:firstRowLastColumn="0" w:lastRowFirstColumn="0" w:lastRowLastColumn="0"/>
            </w:pPr>
            <w:r w:rsidRPr="00C26943">
              <w:t>0.78</w:t>
            </w:r>
          </w:p>
        </w:tc>
      </w:tr>
      <w:tr w:rsidR="00C26943" w:rsidRPr="00356B64" w:rsidTr="00106E5F">
        <w:trPr>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tcPr>
          <w:p w:rsidR="00C26943" w:rsidRPr="00C26943" w:rsidRDefault="00C26943" w:rsidP="00C26943">
            <w:pPr>
              <w:pStyle w:val="AERtabletextleft"/>
            </w:pPr>
            <w:r w:rsidRPr="00C26943">
              <w:t>Revenue (change %)</w:t>
            </w:r>
          </w:p>
        </w:tc>
        <w:tc>
          <w:tcPr>
            <w:tcW w:w="1046" w:type="dxa"/>
            <w:noWrap/>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p>
        </w:tc>
        <w:tc>
          <w:tcPr>
            <w:tcW w:w="1046" w:type="dxa"/>
            <w:vAlign w:val="top"/>
          </w:tcPr>
          <w:p w:rsidR="00C26943" w:rsidRPr="00C26943" w:rsidRDefault="00B16151" w:rsidP="00C26943">
            <w:pPr>
              <w:pStyle w:val="AERtabletextright"/>
              <w:cnfStyle w:val="000000000000" w:firstRow="0" w:lastRow="0" w:firstColumn="0" w:lastColumn="0" w:oddVBand="0" w:evenVBand="0" w:oddHBand="0" w:evenHBand="0" w:firstRowFirstColumn="0" w:firstRowLastColumn="0" w:lastRowFirstColumn="0" w:lastRowLastColumn="0"/>
            </w:pPr>
            <w:r>
              <w:t>–</w:t>
            </w:r>
            <w:r w:rsidR="00C26943" w:rsidRPr="00C26943">
              <w:t>6.0%</w:t>
            </w:r>
          </w:p>
        </w:tc>
        <w:tc>
          <w:tcPr>
            <w:tcW w:w="1046" w:type="dxa"/>
            <w:vAlign w:val="top"/>
          </w:tcPr>
          <w:p w:rsidR="00C26943" w:rsidRPr="00C26943" w:rsidRDefault="00B16151" w:rsidP="00C26943">
            <w:pPr>
              <w:pStyle w:val="AERtabletextright"/>
              <w:cnfStyle w:val="000000000000" w:firstRow="0" w:lastRow="0" w:firstColumn="0" w:lastColumn="0" w:oddVBand="0" w:evenVBand="0" w:oddHBand="0" w:evenHBand="0" w:firstRowFirstColumn="0" w:firstRowLastColumn="0" w:lastRowFirstColumn="0" w:lastRowLastColumn="0"/>
            </w:pPr>
            <w:r>
              <w:t>–</w:t>
            </w:r>
            <w:r w:rsidR="00C26943" w:rsidRPr="00C26943">
              <w:t>25.0%</w:t>
            </w:r>
          </w:p>
        </w:tc>
        <w:tc>
          <w:tcPr>
            <w:tcW w:w="1046" w:type="dxa"/>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2.5%</w:t>
            </w:r>
          </w:p>
        </w:tc>
        <w:tc>
          <w:tcPr>
            <w:tcW w:w="1046" w:type="dxa"/>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2.5%</w:t>
            </w:r>
          </w:p>
        </w:tc>
        <w:tc>
          <w:tcPr>
            <w:tcW w:w="1046" w:type="dxa"/>
            <w:noWrap/>
            <w:vAlign w:val="top"/>
          </w:tcPr>
          <w:p w:rsidR="00C26943" w:rsidRPr="00C26943" w:rsidRDefault="00C26943" w:rsidP="00C26943">
            <w:pPr>
              <w:pStyle w:val="AERtabletextright"/>
              <w:cnfStyle w:val="000000000000" w:firstRow="0" w:lastRow="0" w:firstColumn="0" w:lastColumn="0" w:oddVBand="0" w:evenVBand="0" w:oddHBand="0" w:evenHBand="0" w:firstRowFirstColumn="0" w:firstRowLastColumn="0" w:lastRowFirstColumn="0" w:lastRowLastColumn="0"/>
            </w:pPr>
            <w:r w:rsidRPr="00C26943">
              <w:t>2.5%</w:t>
            </w:r>
          </w:p>
        </w:tc>
      </w:tr>
      <w:tr w:rsidR="00C26943" w:rsidRPr="00356B64" w:rsidTr="00106E5F">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tcPr>
          <w:p w:rsidR="00C26943" w:rsidRPr="00C26943" w:rsidRDefault="00C26943" w:rsidP="00C26943">
            <w:pPr>
              <w:pStyle w:val="AERtabletextleft"/>
            </w:pPr>
            <w:r w:rsidRPr="00C26943">
              <w:t>Price path (change %)</w:t>
            </w:r>
          </w:p>
        </w:tc>
        <w:tc>
          <w:tcPr>
            <w:tcW w:w="1046" w:type="dxa"/>
            <w:noWrap/>
            <w:vAlign w:val="top"/>
          </w:tcPr>
          <w:p w:rsidR="00C26943" w:rsidRPr="00C26943" w:rsidRDefault="00C26943" w:rsidP="00C26943">
            <w:pPr>
              <w:pStyle w:val="AERtabletextright"/>
              <w:cnfStyle w:val="000000010000" w:firstRow="0" w:lastRow="0" w:firstColumn="0" w:lastColumn="0" w:oddVBand="0" w:evenVBand="0" w:oddHBand="0" w:evenHBand="1" w:firstRowFirstColumn="0" w:firstRowLastColumn="0" w:lastRowFirstColumn="0" w:lastRowLastColumn="0"/>
            </w:pPr>
          </w:p>
        </w:tc>
        <w:tc>
          <w:tcPr>
            <w:tcW w:w="1046" w:type="dxa"/>
            <w:vAlign w:val="top"/>
          </w:tcPr>
          <w:p w:rsidR="00C26943" w:rsidRPr="00C26943" w:rsidRDefault="00B16151" w:rsidP="00C26943">
            <w:pPr>
              <w:pStyle w:val="AERtabletextright"/>
              <w:cnfStyle w:val="000000010000" w:firstRow="0" w:lastRow="0" w:firstColumn="0" w:lastColumn="0" w:oddVBand="0" w:evenVBand="0" w:oddHBand="0" w:evenHBand="1" w:firstRowFirstColumn="0" w:firstRowLastColumn="0" w:lastRowFirstColumn="0" w:lastRowLastColumn="0"/>
            </w:pPr>
            <w:r>
              <w:t>–</w:t>
            </w:r>
            <w:r w:rsidR="00C26943" w:rsidRPr="00C26943">
              <w:t>4.7%</w:t>
            </w:r>
          </w:p>
        </w:tc>
        <w:tc>
          <w:tcPr>
            <w:tcW w:w="1046" w:type="dxa"/>
            <w:vAlign w:val="top"/>
          </w:tcPr>
          <w:p w:rsidR="00C26943" w:rsidRPr="00C26943" w:rsidRDefault="00B16151" w:rsidP="00C26943">
            <w:pPr>
              <w:pStyle w:val="AERtabletextright"/>
              <w:cnfStyle w:val="000000010000" w:firstRow="0" w:lastRow="0" w:firstColumn="0" w:lastColumn="0" w:oddVBand="0" w:evenVBand="0" w:oddHBand="0" w:evenHBand="1" w:firstRowFirstColumn="0" w:firstRowLastColumn="0" w:lastRowFirstColumn="0" w:lastRowLastColumn="0"/>
            </w:pPr>
            <w:r>
              <w:t>–</w:t>
            </w:r>
            <w:r w:rsidR="00C26943" w:rsidRPr="00C26943">
              <w:t>25.6%</w:t>
            </w:r>
          </w:p>
        </w:tc>
        <w:tc>
          <w:tcPr>
            <w:tcW w:w="1046" w:type="dxa"/>
            <w:vAlign w:val="top"/>
          </w:tcPr>
          <w:p w:rsidR="00C26943" w:rsidRPr="00C26943" w:rsidRDefault="00C26943" w:rsidP="00C26943">
            <w:pPr>
              <w:pStyle w:val="AERtabletextright"/>
              <w:cnfStyle w:val="000000010000" w:firstRow="0" w:lastRow="0" w:firstColumn="0" w:lastColumn="0" w:oddVBand="0" w:evenVBand="0" w:oddHBand="0" w:evenHBand="1" w:firstRowFirstColumn="0" w:firstRowLastColumn="0" w:lastRowFirstColumn="0" w:lastRowLastColumn="0"/>
            </w:pPr>
            <w:r w:rsidRPr="00C26943">
              <w:t>2.0%</w:t>
            </w:r>
          </w:p>
        </w:tc>
        <w:tc>
          <w:tcPr>
            <w:tcW w:w="1046" w:type="dxa"/>
            <w:vAlign w:val="top"/>
          </w:tcPr>
          <w:p w:rsidR="00C26943" w:rsidRPr="00C26943" w:rsidRDefault="00C26943" w:rsidP="00C26943">
            <w:pPr>
              <w:pStyle w:val="AERtabletextright"/>
              <w:cnfStyle w:val="000000010000" w:firstRow="0" w:lastRow="0" w:firstColumn="0" w:lastColumn="0" w:oddVBand="0" w:evenVBand="0" w:oddHBand="0" w:evenHBand="1" w:firstRowFirstColumn="0" w:firstRowLastColumn="0" w:lastRowFirstColumn="0" w:lastRowLastColumn="0"/>
            </w:pPr>
            <w:r w:rsidRPr="00C26943">
              <w:t>2.1%</w:t>
            </w:r>
          </w:p>
        </w:tc>
        <w:tc>
          <w:tcPr>
            <w:tcW w:w="1046" w:type="dxa"/>
            <w:noWrap/>
            <w:vAlign w:val="top"/>
          </w:tcPr>
          <w:p w:rsidR="00C26943" w:rsidRPr="00C26943" w:rsidRDefault="00C26943" w:rsidP="00C26943">
            <w:pPr>
              <w:pStyle w:val="AERtabletextright"/>
              <w:cnfStyle w:val="000000010000" w:firstRow="0" w:lastRow="0" w:firstColumn="0" w:lastColumn="0" w:oddVBand="0" w:evenVBand="0" w:oddHBand="0" w:evenHBand="1" w:firstRowFirstColumn="0" w:firstRowLastColumn="0" w:lastRowFirstColumn="0" w:lastRowLastColumn="0"/>
            </w:pPr>
            <w:r w:rsidRPr="00C26943">
              <w:t>2.0%</w:t>
            </w:r>
          </w:p>
        </w:tc>
      </w:tr>
    </w:tbl>
    <w:p w:rsidR="00EE66EB" w:rsidRDefault="00540B74" w:rsidP="00540B74">
      <w:pPr>
        <w:pStyle w:val="AERtablesource"/>
      </w:pPr>
      <w:r>
        <w:t>Source:</w:t>
      </w:r>
      <w:r>
        <w:tab/>
        <w:t>AER analysis</w:t>
      </w:r>
      <w:r w:rsidR="00EE66EB">
        <w:t xml:space="preserve">. </w:t>
      </w:r>
    </w:p>
    <w:p w:rsidR="00540B74" w:rsidRDefault="00EE66EB" w:rsidP="00540B74">
      <w:pPr>
        <w:pStyle w:val="AERtablesource"/>
      </w:pPr>
      <w:r>
        <w:t xml:space="preserve">(a) </w:t>
      </w:r>
      <w:r>
        <w:tab/>
        <w:t xml:space="preserve">This represents the expected revenue adjusted for the 2014–15 true-up discussed in section </w:t>
      </w:r>
      <w:r>
        <w:fldChar w:fldCharType="begin"/>
      </w:r>
      <w:r>
        <w:instrText xml:space="preserve"> REF _Ref403553894 \r \h </w:instrText>
      </w:r>
      <w:r>
        <w:fldChar w:fldCharType="separate"/>
      </w:r>
      <w:r w:rsidR="00382E4F">
        <w:t>1.4.1</w:t>
      </w:r>
      <w:r>
        <w:fldChar w:fldCharType="end"/>
      </w:r>
      <w:r>
        <w:t>.</w:t>
      </w:r>
    </w:p>
    <w:p w:rsidR="00481870" w:rsidRPr="00481870" w:rsidRDefault="00481870" w:rsidP="00481870">
      <w:pPr>
        <w:pStyle w:val="AERbodytext"/>
      </w:pPr>
      <w:r w:rsidRPr="00481870">
        <w:t xml:space="preserve">Distribution charges represent approximately </w:t>
      </w:r>
      <w:r w:rsidR="00CA283F">
        <w:t>32 </w:t>
      </w:r>
      <w:r w:rsidRPr="00481870">
        <w:t xml:space="preserve">per cent on average of </w:t>
      </w:r>
      <w:r>
        <w:t>Ausgrid</w:t>
      </w:r>
      <w:r w:rsidRPr="00481870">
        <w:t xml:space="preserve">'s typical customer's annual electricity </w:t>
      </w:r>
      <w:r w:rsidR="00BD2697">
        <w:t>bill</w:t>
      </w:r>
      <w:r w:rsidRPr="00481870">
        <w:t>.</w:t>
      </w:r>
      <w:r w:rsidR="00CA283F">
        <w:rPr>
          <w:rStyle w:val="FootnoteReference"/>
        </w:rPr>
        <w:footnoteReference w:id="26"/>
      </w:r>
      <w:r w:rsidRPr="00481870">
        <w:t xml:space="preserve"> We expect that our draft decision, other things being equal, will reduce the average </w:t>
      </w:r>
      <w:r w:rsidR="00BD2697">
        <w:t xml:space="preserve">annual </w:t>
      </w:r>
      <w:r w:rsidRPr="00481870">
        <w:t xml:space="preserve">electricity </w:t>
      </w:r>
      <w:r w:rsidR="00BD2697">
        <w:t>bills for</w:t>
      </w:r>
      <w:r w:rsidRPr="00481870">
        <w:t xml:space="preserve"> </w:t>
      </w:r>
      <w:r w:rsidR="00BD2697" w:rsidRPr="00481870">
        <w:t>residential customer</w:t>
      </w:r>
      <w:r w:rsidR="00BD2697">
        <w:t>s</w:t>
      </w:r>
      <w:r w:rsidR="00BD2697" w:rsidRPr="00481870">
        <w:t xml:space="preserve"> </w:t>
      </w:r>
      <w:r w:rsidRPr="00481870">
        <w:t xml:space="preserve">in </w:t>
      </w:r>
      <w:r>
        <w:t>Ausgrid</w:t>
      </w:r>
      <w:r w:rsidRPr="00481870">
        <w:t xml:space="preserve">'s network. This is because we estimate that our draft decision will result in lower distribution charges on average over the 2014–19 period compared to </w:t>
      </w:r>
      <w:r>
        <w:t>Ausgrid</w:t>
      </w:r>
      <w:r w:rsidRPr="00481870">
        <w:t xml:space="preserve">'s proposal as discussed above. If the lower distribution charges </w:t>
      </w:r>
      <w:r w:rsidR="00FC41A0">
        <w:t xml:space="preserve">from our transitional determination </w:t>
      </w:r>
      <w:r w:rsidRPr="00481870">
        <w:t xml:space="preserve">were passed through to customers, the average </w:t>
      </w:r>
      <w:r w:rsidR="00BD2697">
        <w:t xml:space="preserve">annual </w:t>
      </w:r>
      <w:r w:rsidRPr="00481870">
        <w:t xml:space="preserve">electricity </w:t>
      </w:r>
      <w:r w:rsidR="00BD2697">
        <w:t>bill</w:t>
      </w:r>
      <w:r w:rsidRPr="00481870">
        <w:t xml:space="preserve"> for </w:t>
      </w:r>
      <w:r>
        <w:t>Ausgrid</w:t>
      </w:r>
      <w:r w:rsidRPr="00481870">
        <w:t xml:space="preserve">'s </w:t>
      </w:r>
      <w:r w:rsidR="00BD2697" w:rsidRPr="00481870">
        <w:t xml:space="preserve">residential </w:t>
      </w:r>
      <w:r w:rsidRPr="00481870">
        <w:t>customers could be expected to reduce by about $</w:t>
      </w:r>
      <w:r w:rsidR="00B64740">
        <w:t>2</w:t>
      </w:r>
      <w:r w:rsidR="00A96A28">
        <w:t>5</w:t>
      </w:r>
      <w:r w:rsidRPr="00481870">
        <w:t xml:space="preserve"> or </w:t>
      </w:r>
      <w:r w:rsidR="00B64740">
        <w:t>1.</w:t>
      </w:r>
      <w:r w:rsidR="00A96A28">
        <w:t>2</w:t>
      </w:r>
      <w:r w:rsidRPr="00481870">
        <w:t xml:space="preserve"> per cent ($ nominal) </w:t>
      </w:r>
      <w:r w:rsidR="00FC41A0">
        <w:t xml:space="preserve">in </w:t>
      </w:r>
      <w:r w:rsidRPr="00481870">
        <w:t>2014–</w:t>
      </w:r>
      <w:r w:rsidR="00FC41A0">
        <w:t>15</w:t>
      </w:r>
      <w:r w:rsidRPr="00481870">
        <w:t xml:space="preserve">. </w:t>
      </w:r>
      <w:r w:rsidR="00FC41A0" w:rsidRPr="00FC41A0">
        <w:t>If the distribution charges from our draft decision are passed through to c</w:t>
      </w:r>
      <w:r w:rsidR="00BD2697">
        <w:t>ustomers</w:t>
      </w:r>
      <w:r w:rsidR="00FC41A0" w:rsidRPr="00FC41A0">
        <w:t xml:space="preserve">, we would expect </w:t>
      </w:r>
      <w:r w:rsidR="00BD2697">
        <w:t xml:space="preserve">the </w:t>
      </w:r>
      <w:r w:rsidR="00FC41A0" w:rsidRPr="00FC41A0">
        <w:t xml:space="preserve">average </w:t>
      </w:r>
      <w:r w:rsidR="00BD2697">
        <w:t xml:space="preserve">annual </w:t>
      </w:r>
      <w:r w:rsidR="00FC41A0" w:rsidRPr="00FC41A0">
        <w:t xml:space="preserve">electricity </w:t>
      </w:r>
      <w:r w:rsidR="00BD2697">
        <w:t>bill for</w:t>
      </w:r>
      <w:r w:rsidR="00FC41A0" w:rsidRPr="00FC41A0">
        <w:t xml:space="preserve"> </w:t>
      </w:r>
      <w:r w:rsidR="00BD2697" w:rsidRPr="00FC41A0">
        <w:t xml:space="preserve">residential </w:t>
      </w:r>
      <w:r w:rsidR="00BD2697">
        <w:t xml:space="preserve">customers </w:t>
      </w:r>
      <w:r w:rsidR="00FC41A0" w:rsidRPr="00FC41A0">
        <w:t>to reduce by a further $</w:t>
      </w:r>
      <w:r w:rsidR="00A96A28">
        <w:t>189</w:t>
      </w:r>
      <w:r w:rsidR="00FC41A0" w:rsidRPr="00FC41A0">
        <w:t xml:space="preserve"> or </w:t>
      </w:r>
      <w:r w:rsidR="00B64740">
        <w:t>9.</w:t>
      </w:r>
      <w:r w:rsidR="00A96A28">
        <w:t>1</w:t>
      </w:r>
      <w:r w:rsidR="00FC41A0" w:rsidRPr="00FC41A0">
        <w:t> per cent in 2015–16. This would be followed by increases of about $</w:t>
      </w:r>
      <w:r w:rsidR="00D9783D">
        <w:t>6</w:t>
      </w:r>
      <w:r w:rsidR="00FC41A0" w:rsidRPr="00FC41A0">
        <w:t xml:space="preserve"> or </w:t>
      </w:r>
      <w:r w:rsidR="00D9783D">
        <w:t>0.3</w:t>
      </w:r>
      <w:r w:rsidR="00FC41A0" w:rsidRPr="00FC41A0">
        <w:t> per cent ($ nominal) per annum from 2016–17 to 2018–19</w:t>
      </w:r>
      <w:r w:rsidR="00FC41A0">
        <w:t xml:space="preserve">. </w:t>
      </w:r>
      <w:r w:rsidRPr="00481870">
        <w:t xml:space="preserve">In comparison, if we accepted </w:t>
      </w:r>
      <w:r>
        <w:t>Ausgrid</w:t>
      </w:r>
      <w:r w:rsidRPr="00481870">
        <w:t xml:space="preserve">'s proposal, the average </w:t>
      </w:r>
      <w:r w:rsidR="00BD2697">
        <w:t xml:space="preserve">annual electricity bill for residential </w:t>
      </w:r>
      <w:r w:rsidRPr="00481870">
        <w:t>customer</w:t>
      </w:r>
      <w:r w:rsidR="00BD2697">
        <w:t>s</w:t>
      </w:r>
      <w:r w:rsidRPr="00481870">
        <w:t xml:space="preserve"> would increase by approximately $</w:t>
      </w:r>
      <w:r w:rsidR="002163B6">
        <w:t>2</w:t>
      </w:r>
      <w:r w:rsidR="00A96A28">
        <w:t>3</w:t>
      </w:r>
      <w:r w:rsidRPr="00481870">
        <w:t xml:space="preserve"> or </w:t>
      </w:r>
      <w:r w:rsidR="002163B6">
        <w:t>1.1</w:t>
      </w:r>
      <w:r w:rsidRPr="00481870">
        <w:t xml:space="preserve"> per cent ($ nominal) per annum</w:t>
      </w:r>
      <w:r w:rsidR="00FC41A0">
        <w:t xml:space="preserve"> over the 201</w:t>
      </w:r>
      <w:r w:rsidR="002163B6">
        <w:t>5</w:t>
      </w:r>
      <w:r w:rsidR="00FC41A0">
        <w:t>–19 </w:t>
      </w:r>
      <w:r w:rsidR="002163B6">
        <w:t xml:space="preserve">regulatory control </w:t>
      </w:r>
      <w:r w:rsidR="00FC41A0">
        <w:t>period</w:t>
      </w:r>
      <w:r w:rsidRPr="00481870">
        <w:t xml:space="preserve">. </w:t>
      </w:r>
    </w:p>
    <w:p w:rsidR="00481870" w:rsidRPr="00481870" w:rsidRDefault="00481870" w:rsidP="00481870">
      <w:pPr>
        <w:pStyle w:val="AERbodytext"/>
      </w:pPr>
      <w:r w:rsidRPr="00481870">
        <w:t>Our estimated potential impact is based on the typical annual electricity usage of 6500 kWh per annum for a residential customer in NSW.</w:t>
      </w:r>
      <w:r w:rsidR="003B2318">
        <w:rPr>
          <w:rStyle w:val="FootnoteReference"/>
        </w:rPr>
        <w:footnoteReference w:id="27"/>
      </w:r>
      <w:r w:rsidRPr="00481870">
        <w:t xml:space="preserve"> Therefore customers with different usage will experience different changes in their </w:t>
      </w:r>
      <w:r w:rsidR="00BD2697">
        <w:t>bills</w:t>
      </w:r>
      <w:r w:rsidRPr="00481870">
        <w:t xml:space="preserve">. We also note that there are other factors, such as transmission network costs, wholesale and retail costs, which affect electricity </w:t>
      </w:r>
      <w:r w:rsidR="00BD2697">
        <w:t>bills</w:t>
      </w:r>
      <w:r w:rsidRPr="00481870">
        <w:t xml:space="preserve">. </w:t>
      </w:r>
    </w:p>
    <w:p w:rsidR="00481870" w:rsidRDefault="00481870" w:rsidP="00481870">
      <w:pPr>
        <w:pStyle w:val="AERbodytext"/>
      </w:pPr>
      <w:r w:rsidRPr="00481870">
        <w:t xml:space="preserve">Similarly, for an average small business customer in NSW that uses approximately 10 </w:t>
      </w:r>
      <w:proofErr w:type="spellStart"/>
      <w:r w:rsidRPr="00481870">
        <w:t>MWh</w:t>
      </w:r>
      <w:proofErr w:type="spellEnd"/>
      <w:r w:rsidRPr="00481870">
        <w:t xml:space="preserve"> of electricity per annum, our draft decision for </w:t>
      </w:r>
      <w:r>
        <w:t>Ausgrid</w:t>
      </w:r>
      <w:r w:rsidRPr="00481870">
        <w:t xml:space="preserve"> is expected to lead to lower average annual electricity </w:t>
      </w:r>
      <w:r w:rsidR="006F4792">
        <w:t>bill</w:t>
      </w:r>
      <w:r w:rsidRPr="00481870">
        <w:t xml:space="preserve">s. We estimate that if the lower distribution charges arising from our </w:t>
      </w:r>
      <w:r w:rsidR="00FC41A0">
        <w:t>transitional determination</w:t>
      </w:r>
      <w:r w:rsidRPr="00481870">
        <w:t xml:space="preserve"> were passed through to customers, the average annual </w:t>
      </w:r>
      <w:r w:rsidR="006F4792">
        <w:t xml:space="preserve">electricity bill for </w:t>
      </w:r>
      <w:r w:rsidRPr="00481870">
        <w:t xml:space="preserve">small business customers in </w:t>
      </w:r>
      <w:r w:rsidR="007C44EA">
        <w:t>Ausgrid</w:t>
      </w:r>
      <w:r w:rsidRPr="00481870">
        <w:t>'s network could be expected to reduce by about $</w:t>
      </w:r>
      <w:r w:rsidR="00D9783D">
        <w:t>40</w:t>
      </w:r>
      <w:r w:rsidRPr="00481870">
        <w:t xml:space="preserve"> or </w:t>
      </w:r>
      <w:r w:rsidR="00D9783D">
        <w:t>1.2</w:t>
      </w:r>
      <w:r w:rsidRPr="00481870">
        <w:t xml:space="preserve"> per cent ($ nominal)  </w:t>
      </w:r>
      <w:r w:rsidR="00D9783D">
        <w:t>in</w:t>
      </w:r>
      <w:r w:rsidRPr="00481870">
        <w:t xml:space="preserve"> 2014–</w:t>
      </w:r>
      <w:r w:rsidR="0054495D">
        <w:t>15</w:t>
      </w:r>
      <w:r w:rsidRPr="00481870">
        <w:t xml:space="preserve">. </w:t>
      </w:r>
      <w:r w:rsidR="0054495D" w:rsidRPr="0054495D">
        <w:t xml:space="preserve">If the lower distribution charges from our draft decision are passed through to customers, we would expect </w:t>
      </w:r>
      <w:r w:rsidR="006F4792">
        <w:t xml:space="preserve">the </w:t>
      </w:r>
      <w:r w:rsidR="0054495D" w:rsidRPr="0054495D">
        <w:t>average</w:t>
      </w:r>
      <w:r w:rsidR="006F4792">
        <w:t xml:space="preserve"> annual electricity bill for</w:t>
      </w:r>
      <w:r w:rsidR="0054495D" w:rsidRPr="0054495D">
        <w:t xml:space="preserve"> small business </w:t>
      </w:r>
      <w:r w:rsidR="006F4792">
        <w:t>customers</w:t>
      </w:r>
      <w:r w:rsidR="0054495D" w:rsidRPr="0054495D">
        <w:t xml:space="preserve"> to reduce by a further $</w:t>
      </w:r>
      <w:r w:rsidR="00D9783D">
        <w:t>3</w:t>
      </w:r>
      <w:r w:rsidR="00A96A28">
        <w:t>03</w:t>
      </w:r>
      <w:r w:rsidR="0054495D" w:rsidRPr="0054495D">
        <w:t xml:space="preserve"> or </w:t>
      </w:r>
      <w:r w:rsidR="00D9783D">
        <w:t>9.</w:t>
      </w:r>
      <w:r w:rsidR="00A96A28">
        <w:t>1</w:t>
      </w:r>
      <w:r w:rsidR="0054495D" w:rsidRPr="0054495D">
        <w:t> per cent in 2015–16. This would be followed by increases of about $</w:t>
      </w:r>
      <w:r w:rsidR="00D9783D">
        <w:t>9</w:t>
      </w:r>
      <w:r w:rsidR="0054495D" w:rsidRPr="0054495D">
        <w:t xml:space="preserve"> or </w:t>
      </w:r>
      <w:r w:rsidR="00D9783D">
        <w:t>0.3</w:t>
      </w:r>
      <w:r w:rsidR="0054495D" w:rsidRPr="0054495D">
        <w:t xml:space="preserve"> per cent ($ nominal) per annum from 2016–17 to 2018–19. </w:t>
      </w:r>
      <w:r w:rsidRPr="00481870">
        <w:t xml:space="preserve">In comparison, if we accepted </w:t>
      </w:r>
      <w:r w:rsidR="007C44EA">
        <w:t>Ausgrid</w:t>
      </w:r>
      <w:r w:rsidRPr="00481870">
        <w:t xml:space="preserve">'s proposal, the average </w:t>
      </w:r>
      <w:r w:rsidR="006F4792">
        <w:t xml:space="preserve">annual electricity bill for </w:t>
      </w:r>
      <w:r w:rsidRPr="00481870">
        <w:t>small business customers would increase by approximately $</w:t>
      </w:r>
      <w:r w:rsidR="00DE7A07">
        <w:t>36</w:t>
      </w:r>
      <w:r w:rsidRPr="00481870">
        <w:t xml:space="preserve"> or </w:t>
      </w:r>
      <w:r w:rsidR="00DE7A07">
        <w:t>1.1</w:t>
      </w:r>
      <w:r w:rsidRPr="00481870">
        <w:t xml:space="preserve"> </w:t>
      </w:r>
      <w:r w:rsidR="007C44EA">
        <w:t>p</w:t>
      </w:r>
      <w:r w:rsidRPr="00481870">
        <w:t>er cent ($ nominal) per annum</w:t>
      </w:r>
      <w:r w:rsidR="0054495D">
        <w:t xml:space="preserve"> over the 2</w:t>
      </w:r>
      <w:r w:rsidR="00D9783D">
        <w:t>0</w:t>
      </w:r>
      <w:r w:rsidR="0054495D">
        <w:t>1</w:t>
      </w:r>
      <w:r w:rsidR="002163B6">
        <w:t>5</w:t>
      </w:r>
      <w:r w:rsidR="0054495D">
        <w:t xml:space="preserve">–19 </w:t>
      </w:r>
      <w:r w:rsidR="002163B6">
        <w:t xml:space="preserve">regulatory control </w:t>
      </w:r>
      <w:r w:rsidR="0054495D">
        <w:t>period</w:t>
      </w:r>
      <w:r w:rsidRPr="00481870">
        <w:t xml:space="preserve">. </w:t>
      </w:r>
    </w:p>
    <w:p w:rsidR="00382E4F" w:rsidRDefault="00382E4F">
      <w:pPr>
        <w:spacing w:after="0" w:line="240" w:lineRule="auto"/>
        <w:jc w:val="left"/>
        <w:rPr>
          <w:rFonts w:eastAsia="Times New Roman"/>
          <w:szCs w:val="24"/>
        </w:rPr>
      </w:pPr>
      <w:r>
        <w:br w:type="page"/>
      </w:r>
    </w:p>
    <w:p w:rsidR="00481870" w:rsidRPr="001A0446" w:rsidRDefault="001A0446" w:rsidP="001A0446">
      <w:pPr>
        <w:pStyle w:val="AERbodytext"/>
      </w:pPr>
      <w:r>
        <w:lastRenderedPageBreak/>
        <w:fldChar w:fldCharType="begin"/>
      </w:r>
      <w:r>
        <w:instrText xml:space="preserve"> REF _Ref404354417 \h </w:instrText>
      </w:r>
      <w:r>
        <w:fldChar w:fldCharType="separate"/>
      </w:r>
      <w:r w:rsidR="00382E4F">
        <w:t xml:space="preserve">Table </w:t>
      </w:r>
      <w:r w:rsidR="00382E4F">
        <w:rPr>
          <w:noProof/>
        </w:rPr>
        <w:t>1</w:t>
      </w:r>
      <w:r w:rsidR="00382E4F">
        <w:t>.</w:t>
      </w:r>
      <w:r w:rsidR="00382E4F">
        <w:rPr>
          <w:noProof/>
        </w:rPr>
        <w:t>12</w:t>
      </w:r>
      <w:r>
        <w:fldChar w:fldCharType="end"/>
      </w:r>
      <w:r>
        <w:t xml:space="preserve"> </w:t>
      </w:r>
      <w:r w:rsidR="00481870" w:rsidRPr="001A0446">
        <w:t>shows the estimated</w:t>
      </w:r>
      <w:r w:rsidR="00EE66EB" w:rsidRPr="001A0446">
        <w:t xml:space="preserve"> annual average</w:t>
      </w:r>
      <w:r w:rsidR="00481870" w:rsidRPr="001A0446">
        <w:t xml:space="preserve"> impact of our draft decision </w:t>
      </w:r>
      <w:r w:rsidR="00CA283F" w:rsidRPr="001A0446">
        <w:t xml:space="preserve">for Ausgrid's distribution network </w:t>
      </w:r>
      <w:r w:rsidR="00EE66EB" w:rsidRPr="001A0446">
        <w:t>o</w:t>
      </w:r>
      <w:r w:rsidR="006F4792" w:rsidRPr="001A0446">
        <w:t>ve</w:t>
      </w:r>
      <w:r w:rsidR="00EE66EB" w:rsidRPr="001A0446">
        <w:t xml:space="preserve">r the 2014–19 period </w:t>
      </w:r>
      <w:r w:rsidR="00481870" w:rsidRPr="001A0446">
        <w:t>on the average residential and small business customers</w:t>
      </w:r>
      <w:r w:rsidR="006F4792" w:rsidRPr="001A0446">
        <w:t>' annual</w:t>
      </w:r>
      <w:r w:rsidR="00481870" w:rsidRPr="001A0446">
        <w:t xml:space="preserve"> electricity </w:t>
      </w:r>
      <w:r w:rsidR="006F4792" w:rsidRPr="001A0446">
        <w:t>bill</w:t>
      </w:r>
      <w:r w:rsidR="00481870" w:rsidRPr="001A0446">
        <w:t>s.</w:t>
      </w:r>
      <w:r w:rsidR="0054495D" w:rsidRPr="001A0446">
        <w:t xml:space="preserve"> </w:t>
      </w:r>
    </w:p>
    <w:p w:rsidR="007C44EA" w:rsidRDefault="00540B74" w:rsidP="00540B74">
      <w:pPr>
        <w:pStyle w:val="Caption"/>
      </w:pPr>
      <w:bookmarkStart w:id="42" w:name="_Ref401574064"/>
      <w:bookmarkStart w:id="43" w:name="_Ref404354417"/>
      <w:proofErr w:type="gramStart"/>
      <w:r>
        <w:t xml:space="preserve">Table </w:t>
      </w:r>
      <w:proofErr w:type="gramEnd"/>
      <w:r w:rsidR="00382E4F">
        <w:fldChar w:fldCharType="begin"/>
      </w:r>
      <w:r w:rsidR="00382E4F">
        <w:instrText xml:space="preserve"> STYLEREF 1 \s </w:instrText>
      </w:r>
      <w:r w:rsidR="00382E4F">
        <w:fldChar w:fldCharType="separate"/>
      </w:r>
      <w:r w:rsidR="00382E4F">
        <w:rPr>
          <w:noProof/>
        </w:rPr>
        <w:t>1</w:t>
      </w:r>
      <w:r w:rsidR="00382E4F">
        <w:rPr>
          <w:noProof/>
        </w:rPr>
        <w:fldChar w:fldCharType="end"/>
      </w:r>
      <w:proofErr w:type="gramStart"/>
      <w:r w:rsidR="00CE4D1A">
        <w:t>.</w:t>
      </w:r>
      <w:proofErr w:type="gramEnd"/>
      <w:r w:rsidR="00382E4F">
        <w:fldChar w:fldCharType="begin"/>
      </w:r>
      <w:r w:rsidR="00382E4F">
        <w:instrText xml:space="preserve"> SEQ Table \* ARABIC \s 1 </w:instrText>
      </w:r>
      <w:r w:rsidR="00382E4F">
        <w:fldChar w:fldCharType="separate"/>
      </w:r>
      <w:r w:rsidR="00382E4F">
        <w:rPr>
          <w:noProof/>
        </w:rPr>
        <w:t>12</w:t>
      </w:r>
      <w:r w:rsidR="00382E4F">
        <w:rPr>
          <w:noProof/>
        </w:rPr>
        <w:fldChar w:fldCharType="end"/>
      </w:r>
      <w:bookmarkEnd w:id="42"/>
      <w:bookmarkEnd w:id="43"/>
      <w:r>
        <w:tab/>
      </w:r>
      <w:r w:rsidR="00EE66EB">
        <w:t>E</w:t>
      </w:r>
      <w:r w:rsidR="007B7561">
        <w:t xml:space="preserve">stimated impact of Ausgrid's proposal and AER's draft decision </w:t>
      </w:r>
      <w:r w:rsidR="00EE66EB">
        <w:t xml:space="preserve">on </w:t>
      </w:r>
      <w:r w:rsidR="006F4792">
        <w:t xml:space="preserve">annual </w:t>
      </w:r>
      <w:r w:rsidR="00EE66EB">
        <w:t xml:space="preserve">electricity </w:t>
      </w:r>
      <w:r w:rsidR="006F4792">
        <w:t xml:space="preserve">bills </w:t>
      </w:r>
      <w:r w:rsidR="007B7561">
        <w:t>for the 2014–19 period ($ nominal)</w:t>
      </w:r>
      <w:r w:rsidR="006E6462" w:rsidDel="006E6462">
        <w:t xml:space="preserve"> </w:t>
      </w:r>
    </w:p>
    <w:tbl>
      <w:tblPr>
        <w:tblStyle w:val="AERtable-text"/>
        <w:tblW w:w="5000" w:type="pct"/>
        <w:tblLook w:val="04A0" w:firstRow="1" w:lastRow="0" w:firstColumn="1" w:lastColumn="0" w:noHBand="0" w:noVBand="1"/>
      </w:tblPr>
      <w:tblGrid>
        <w:gridCol w:w="3199"/>
        <w:gridCol w:w="944"/>
        <w:gridCol w:w="1088"/>
        <w:gridCol w:w="1177"/>
        <w:gridCol w:w="944"/>
        <w:gridCol w:w="944"/>
        <w:gridCol w:w="946"/>
      </w:tblGrid>
      <w:tr w:rsidR="00164ED7" w:rsidRPr="00164ED7" w:rsidTr="00A96A28">
        <w:trPr>
          <w:cnfStyle w:val="100000000000" w:firstRow="1" w:lastRow="0" w:firstColumn="0" w:lastColumn="0" w:oddVBand="0" w:evenVBand="0" w:oddHBand="0" w:evenHBand="0" w:firstRowFirstColumn="0" w:firstRowLastColumn="0" w:lastRowFirstColumn="0" w:lastRowLastColumn="0"/>
          <w:trHeight w:val="300"/>
        </w:trPr>
        <w:tc>
          <w:tcPr>
            <w:tcW w:w="1745" w:type="pct"/>
            <w:noWrap/>
            <w:hideMark/>
          </w:tcPr>
          <w:p w:rsidR="00164ED7" w:rsidRPr="00164ED7" w:rsidRDefault="00164ED7" w:rsidP="00164ED7">
            <w:pPr>
              <w:rPr>
                <w:lang w:eastAsia="en-AU"/>
              </w:rPr>
            </w:pPr>
            <w:r w:rsidRPr="00164ED7">
              <w:rPr>
                <w:lang w:eastAsia="en-AU"/>
              </w:rPr>
              <w:t> </w:t>
            </w:r>
          </w:p>
        </w:tc>
        <w:tc>
          <w:tcPr>
            <w:tcW w:w="526" w:type="pct"/>
            <w:noWrap/>
            <w:hideMark/>
          </w:tcPr>
          <w:p w:rsidR="00164ED7" w:rsidRPr="00164ED7" w:rsidRDefault="00164ED7" w:rsidP="00164ED7">
            <w:pPr>
              <w:rPr>
                <w:lang w:eastAsia="en-AU"/>
              </w:rPr>
            </w:pPr>
            <w:r w:rsidRPr="00164ED7">
              <w:rPr>
                <w:lang w:eastAsia="en-AU"/>
              </w:rPr>
              <w:t>2013–14</w:t>
            </w:r>
          </w:p>
        </w:tc>
        <w:tc>
          <w:tcPr>
            <w:tcW w:w="550" w:type="pct"/>
            <w:noWrap/>
            <w:hideMark/>
          </w:tcPr>
          <w:p w:rsidR="00164ED7" w:rsidRPr="00164ED7" w:rsidRDefault="00164ED7" w:rsidP="00164ED7">
            <w:pPr>
              <w:rPr>
                <w:lang w:eastAsia="en-AU"/>
              </w:rPr>
            </w:pPr>
            <w:r w:rsidRPr="00164ED7">
              <w:rPr>
                <w:lang w:eastAsia="en-AU"/>
              </w:rPr>
              <w:t>2014–15</w:t>
            </w:r>
          </w:p>
        </w:tc>
        <w:tc>
          <w:tcPr>
            <w:tcW w:w="598" w:type="pct"/>
            <w:noWrap/>
            <w:hideMark/>
          </w:tcPr>
          <w:p w:rsidR="00164ED7" w:rsidRPr="00164ED7" w:rsidRDefault="00164ED7" w:rsidP="00164ED7">
            <w:pPr>
              <w:rPr>
                <w:lang w:eastAsia="en-AU"/>
              </w:rPr>
            </w:pPr>
            <w:r w:rsidRPr="00164ED7">
              <w:rPr>
                <w:lang w:eastAsia="en-AU"/>
              </w:rPr>
              <w:t>2015–16</w:t>
            </w:r>
          </w:p>
        </w:tc>
        <w:tc>
          <w:tcPr>
            <w:tcW w:w="526" w:type="pct"/>
            <w:noWrap/>
            <w:hideMark/>
          </w:tcPr>
          <w:p w:rsidR="00164ED7" w:rsidRPr="00164ED7" w:rsidRDefault="00164ED7" w:rsidP="00164ED7">
            <w:pPr>
              <w:rPr>
                <w:lang w:eastAsia="en-AU"/>
              </w:rPr>
            </w:pPr>
            <w:r w:rsidRPr="00164ED7">
              <w:rPr>
                <w:lang w:eastAsia="en-AU"/>
              </w:rPr>
              <w:t>2016–17</w:t>
            </w:r>
          </w:p>
        </w:tc>
        <w:tc>
          <w:tcPr>
            <w:tcW w:w="526" w:type="pct"/>
            <w:noWrap/>
            <w:hideMark/>
          </w:tcPr>
          <w:p w:rsidR="00164ED7" w:rsidRPr="00164ED7" w:rsidRDefault="00164ED7" w:rsidP="00164ED7">
            <w:pPr>
              <w:rPr>
                <w:lang w:eastAsia="en-AU"/>
              </w:rPr>
            </w:pPr>
            <w:r w:rsidRPr="00164ED7">
              <w:rPr>
                <w:lang w:eastAsia="en-AU"/>
              </w:rPr>
              <w:t>2017–18</w:t>
            </w:r>
          </w:p>
        </w:tc>
        <w:tc>
          <w:tcPr>
            <w:tcW w:w="527" w:type="pct"/>
            <w:noWrap/>
            <w:hideMark/>
          </w:tcPr>
          <w:p w:rsidR="00164ED7" w:rsidRPr="00164ED7" w:rsidRDefault="00164ED7" w:rsidP="00164ED7">
            <w:pPr>
              <w:rPr>
                <w:lang w:eastAsia="en-AU"/>
              </w:rPr>
            </w:pPr>
            <w:r w:rsidRPr="00164ED7">
              <w:rPr>
                <w:lang w:eastAsia="en-AU"/>
              </w:rPr>
              <w:t>2018–19</w:t>
            </w:r>
          </w:p>
        </w:tc>
      </w:tr>
      <w:tr w:rsidR="00164ED7" w:rsidRPr="00164ED7" w:rsidTr="00A96A28">
        <w:trPr>
          <w:trHeight w:val="300"/>
        </w:trPr>
        <w:tc>
          <w:tcPr>
            <w:tcW w:w="1745" w:type="pct"/>
            <w:noWrap/>
            <w:hideMark/>
          </w:tcPr>
          <w:p w:rsidR="00164ED7" w:rsidRPr="00164ED7" w:rsidRDefault="00164ED7" w:rsidP="00164ED7">
            <w:pPr>
              <w:pStyle w:val="AERtabletextleft"/>
              <w:rPr>
                <w:rStyle w:val="AERtextbold"/>
              </w:rPr>
            </w:pPr>
            <w:r w:rsidRPr="00164ED7">
              <w:rPr>
                <w:rStyle w:val="AERtextbold"/>
              </w:rPr>
              <w:t>Ausgrid</w:t>
            </w:r>
            <w:r w:rsidR="00F83BC5">
              <w:rPr>
                <w:rStyle w:val="AERtextbold"/>
              </w:rPr>
              <w:t xml:space="preserve"> proposal</w:t>
            </w:r>
          </w:p>
        </w:tc>
        <w:tc>
          <w:tcPr>
            <w:tcW w:w="526" w:type="pct"/>
            <w:noWrap/>
            <w:hideMark/>
          </w:tcPr>
          <w:p w:rsidR="00164ED7" w:rsidRPr="00164ED7" w:rsidRDefault="00164ED7" w:rsidP="00164ED7">
            <w:pPr>
              <w:pStyle w:val="AERtabletextright"/>
              <w:rPr>
                <w:rStyle w:val="AERtextbold"/>
                <w:lang w:eastAsia="en-AU"/>
              </w:rPr>
            </w:pPr>
            <w:r w:rsidRPr="00164ED7">
              <w:rPr>
                <w:rStyle w:val="AERtextbold"/>
                <w:lang w:eastAsia="en-AU"/>
              </w:rPr>
              <w:t> </w:t>
            </w:r>
          </w:p>
        </w:tc>
        <w:tc>
          <w:tcPr>
            <w:tcW w:w="550" w:type="pct"/>
            <w:noWrap/>
            <w:hideMark/>
          </w:tcPr>
          <w:p w:rsidR="00164ED7" w:rsidRPr="00164ED7" w:rsidRDefault="00164ED7" w:rsidP="00164ED7">
            <w:pPr>
              <w:pStyle w:val="AERtabletextright"/>
              <w:rPr>
                <w:rStyle w:val="AERtextbold"/>
                <w:lang w:eastAsia="en-AU"/>
              </w:rPr>
            </w:pPr>
            <w:r w:rsidRPr="00164ED7">
              <w:rPr>
                <w:rStyle w:val="AERtextbold"/>
                <w:lang w:eastAsia="en-AU"/>
              </w:rPr>
              <w:t> </w:t>
            </w:r>
          </w:p>
        </w:tc>
        <w:tc>
          <w:tcPr>
            <w:tcW w:w="598" w:type="pct"/>
            <w:noWrap/>
            <w:hideMark/>
          </w:tcPr>
          <w:p w:rsidR="00164ED7" w:rsidRPr="00164ED7" w:rsidRDefault="00164ED7" w:rsidP="00164ED7">
            <w:pPr>
              <w:pStyle w:val="AERtabletextright"/>
              <w:rPr>
                <w:rStyle w:val="AERtextbold"/>
                <w:lang w:eastAsia="en-AU"/>
              </w:rPr>
            </w:pPr>
            <w:r w:rsidRPr="00164ED7">
              <w:rPr>
                <w:rStyle w:val="AERtextbold"/>
                <w:lang w:eastAsia="en-AU"/>
              </w:rPr>
              <w:t> </w:t>
            </w:r>
          </w:p>
        </w:tc>
        <w:tc>
          <w:tcPr>
            <w:tcW w:w="526" w:type="pct"/>
            <w:noWrap/>
            <w:hideMark/>
          </w:tcPr>
          <w:p w:rsidR="00164ED7" w:rsidRPr="00164ED7" w:rsidRDefault="00164ED7" w:rsidP="00164ED7">
            <w:pPr>
              <w:pStyle w:val="AERtabletextright"/>
              <w:rPr>
                <w:rStyle w:val="AERtextbold"/>
                <w:lang w:eastAsia="en-AU"/>
              </w:rPr>
            </w:pPr>
            <w:r w:rsidRPr="00164ED7">
              <w:rPr>
                <w:rStyle w:val="AERtextbold"/>
                <w:lang w:eastAsia="en-AU"/>
              </w:rPr>
              <w:t> </w:t>
            </w:r>
          </w:p>
        </w:tc>
        <w:tc>
          <w:tcPr>
            <w:tcW w:w="526" w:type="pct"/>
            <w:noWrap/>
            <w:hideMark/>
          </w:tcPr>
          <w:p w:rsidR="00164ED7" w:rsidRPr="00164ED7" w:rsidRDefault="00164ED7" w:rsidP="00164ED7">
            <w:pPr>
              <w:pStyle w:val="AERtabletextright"/>
              <w:rPr>
                <w:rStyle w:val="AERtextbold"/>
                <w:lang w:eastAsia="en-AU"/>
              </w:rPr>
            </w:pPr>
            <w:r w:rsidRPr="00164ED7">
              <w:rPr>
                <w:rStyle w:val="AERtextbold"/>
                <w:lang w:eastAsia="en-AU"/>
              </w:rPr>
              <w:t> </w:t>
            </w:r>
          </w:p>
        </w:tc>
        <w:tc>
          <w:tcPr>
            <w:tcW w:w="527" w:type="pct"/>
            <w:noWrap/>
            <w:hideMark/>
          </w:tcPr>
          <w:p w:rsidR="00164ED7" w:rsidRPr="00164ED7" w:rsidRDefault="00164ED7" w:rsidP="00164ED7">
            <w:pPr>
              <w:pStyle w:val="AERtabletextright"/>
              <w:rPr>
                <w:rStyle w:val="AERtextbold"/>
                <w:lang w:eastAsia="en-AU"/>
              </w:rPr>
            </w:pPr>
            <w:r w:rsidRPr="00164ED7">
              <w:rPr>
                <w:rStyle w:val="AERtextbold"/>
                <w:lang w:eastAsia="en-AU"/>
              </w:rPr>
              <w:t> </w:t>
            </w:r>
          </w:p>
        </w:tc>
      </w:tr>
      <w:tr w:rsidR="00A96A28" w:rsidRPr="00164ED7" w:rsidTr="00A96A28">
        <w:trPr>
          <w:cnfStyle w:val="000000010000" w:firstRow="0" w:lastRow="0" w:firstColumn="0" w:lastColumn="0" w:oddVBand="0" w:evenVBand="0" w:oddHBand="0" w:evenHBand="1" w:firstRowFirstColumn="0" w:firstRowLastColumn="0" w:lastRowFirstColumn="0" w:lastRowLastColumn="0"/>
          <w:trHeight w:val="300"/>
        </w:trPr>
        <w:tc>
          <w:tcPr>
            <w:tcW w:w="1745" w:type="pct"/>
            <w:noWrap/>
            <w:hideMark/>
          </w:tcPr>
          <w:p w:rsidR="00A96A28" w:rsidRPr="00A96A28" w:rsidRDefault="00A96A28" w:rsidP="00DF4772">
            <w:pPr>
              <w:pStyle w:val="AERtabletextleft"/>
            </w:pPr>
            <w:r w:rsidRPr="00A96A28">
              <w:t xml:space="preserve">Residential annual </w:t>
            </w:r>
            <w:proofErr w:type="spellStart"/>
            <w:r w:rsidR="006F4792">
              <w:t>bill</w:t>
            </w:r>
            <w:r w:rsidRPr="00A96A28">
              <w:rPr>
                <w:rStyle w:val="AERsuperscript"/>
              </w:rPr>
              <w:t>a</w:t>
            </w:r>
            <w:proofErr w:type="spellEnd"/>
          </w:p>
        </w:tc>
        <w:tc>
          <w:tcPr>
            <w:tcW w:w="526" w:type="pct"/>
            <w:noWrap/>
            <w:vAlign w:val="top"/>
          </w:tcPr>
          <w:p w:rsidR="00A96A28" w:rsidRPr="00A96A28" w:rsidRDefault="00A96A28" w:rsidP="00A96A28">
            <w:pPr>
              <w:pStyle w:val="AERtabletextright"/>
            </w:pPr>
            <w:r w:rsidRPr="00A96A28">
              <w:t>2106.0</w:t>
            </w:r>
          </w:p>
        </w:tc>
        <w:tc>
          <w:tcPr>
            <w:tcW w:w="550" w:type="pct"/>
            <w:noWrap/>
            <w:vAlign w:val="top"/>
          </w:tcPr>
          <w:p w:rsidR="00A96A28" w:rsidRPr="00A96A28" w:rsidRDefault="00A96A28" w:rsidP="00A96A28">
            <w:pPr>
              <w:pStyle w:val="AERtabletextright"/>
            </w:pPr>
            <w:r w:rsidRPr="00A96A28">
              <w:t>2081</w:t>
            </w:r>
          </w:p>
        </w:tc>
        <w:tc>
          <w:tcPr>
            <w:tcW w:w="598" w:type="pct"/>
            <w:noWrap/>
            <w:vAlign w:val="top"/>
          </w:tcPr>
          <w:p w:rsidR="00A96A28" w:rsidRPr="00A96A28" w:rsidRDefault="00A96A28" w:rsidP="00A96A28">
            <w:pPr>
              <w:pStyle w:val="AERtabletextright"/>
            </w:pPr>
            <w:r w:rsidRPr="00A96A28">
              <w:t>2137</w:t>
            </w:r>
          </w:p>
        </w:tc>
        <w:tc>
          <w:tcPr>
            <w:tcW w:w="526" w:type="pct"/>
            <w:noWrap/>
            <w:vAlign w:val="top"/>
          </w:tcPr>
          <w:p w:rsidR="00A96A28" w:rsidRPr="00A96A28" w:rsidRDefault="00A96A28" w:rsidP="00A96A28">
            <w:pPr>
              <w:pStyle w:val="AERtabletextright"/>
            </w:pPr>
            <w:r w:rsidRPr="00A96A28">
              <w:t>2154</w:t>
            </w:r>
          </w:p>
        </w:tc>
        <w:tc>
          <w:tcPr>
            <w:tcW w:w="526" w:type="pct"/>
            <w:noWrap/>
            <w:vAlign w:val="top"/>
          </w:tcPr>
          <w:p w:rsidR="00A96A28" w:rsidRPr="00A96A28" w:rsidRDefault="00A96A28" w:rsidP="00A96A28">
            <w:pPr>
              <w:pStyle w:val="AERtabletextright"/>
            </w:pPr>
            <w:r w:rsidRPr="00A96A28">
              <w:t>2162</w:t>
            </w:r>
          </w:p>
        </w:tc>
        <w:tc>
          <w:tcPr>
            <w:tcW w:w="527" w:type="pct"/>
            <w:noWrap/>
            <w:vAlign w:val="top"/>
          </w:tcPr>
          <w:p w:rsidR="00A96A28" w:rsidRPr="00A96A28" w:rsidRDefault="00A96A28" w:rsidP="00A96A28">
            <w:pPr>
              <w:pStyle w:val="AERtabletextright"/>
            </w:pPr>
            <w:r w:rsidRPr="00A96A28">
              <w:t>2171</w:t>
            </w:r>
          </w:p>
        </w:tc>
      </w:tr>
      <w:tr w:rsidR="00A96A28" w:rsidRPr="00164ED7" w:rsidTr="00A96A28">
        <w:trPr>
          <w:trHeight w:val="300"/>
        </w:trPr>
        <w:tc>
          <w:tcPr>
            <w:tcW w:w="1745" w:type="pct"/>
            <w:noWrap/>
            <w:hideMark/>
          </w:tcPr>
          <w:p w:rsidR="00A96A28" w:rsidRPr="00A96A28" w:rsidRDefault="00A96A28" w:rsidP="00A96A28">
            <w:pPr>
              <w:pStyle w:val="AERtabletextleft"/>
            </w:pPr>
            <w:r w:rsidRPr="00A96A28">
              <w:t>Annual change</w:t>
            </w:r>
          </w:p>
        </w:tc>
        <w:tc>
          <w:tcPr>
            <w:tcW w:w="526" w:type="pct"/>
            <w:noWrap/>
            <w:vAlign w:val="top"/>
          </w:tcPr>
          <w:p w:rsidR="00A96A28" w:rsidRPr="00A96A28" w:rsidRDefault="00A96A28" w:rsidP="00A96A28">
            <w:pPr>
              <w:pStyle w:val="AERtabletextright"/>
            </w:pPr>
          </w:p>
        </w:tc>
        <w:tc>
          <w:tcPr>
            <w:tcW w:w="550" w:type="pct"/>
            <w:noWrap/>
            <w:vAlign w:val="top"/>
          </w:tcPr>
          <w:p w:rsidR="00A96A28" w:rsidRPr="00A96A28" w:rsidRDefault="00B16151" w:rsidP="00B16151">
            <w:pPr>
              <w:pStyle w:val="AERtabletextright"/>
            </w:pPr>
            <w:r>
              <w:t>–</w:t>
            </w:r>
            <w:r w:rsidR="00A96A28" w:rsidRPr="00A96A28">
              <w:t>25 (</w:t>
            </w:r>
            <w:r>
              <w:t>–</w:t>
            </w:r>
            <w:r w:rsidR="00A96A28" w:rsidRPr="00A96A28">
              <w:t>1.2%)</w:t>
            </w:r>
          </w:p>
        </w:tc>
        <w:tc>
          <w:tcPr>
            <w:tcW w:w="598" w:type="pct"/>
            <w:noWrap/>
            <w:vAlign w:val="top"/>
          </w:tcPr>
          <w:p w:rsidR="00A96A28" w:rsidRPr="00A96A28" w:rsidRDefault="00A96A28" w:rsidP="00A96A28">
            <w:pPr>
              <w:pStyle w:val="AERtabletextright"/>
            </w:pPr>
            <w:r w:rsidRPr="00A96A28">
              <w:t>57 (2.7%)</w:t>
            </w:r>
          </w:p>
        </w:tc>
        <w:tc>
          <w:tcPr>
            <w:tcW w:w="526" w:type="pct"/>
            <w:noWrap/>
            <w:vAlign w:val="top"/>
          </w:tcPr>
          <w:p w:rsidR="00A96A28" w:rsidRPr="00A96A28" w:rsidRDefault="00A96A28" w:rsidP="00A96A28">
            <w:pPr>
              <w:pStyle w:val="AERtabletextright"/>
            </w:pPr>
            <w:r w:rsidRPr="00A96A28">
              <w:t>17 (0.8%)</w:t>
            </w:r>
          </w:p>
        </w:tc>
        <w:tc>
          <w:tcPr>
            <w:tcW w:w="526" w:type="pct"/>
            <w:noWrap/>
            <w:vAlign w:val="top"/>
          </w:tcPr>
          <w:p w:rsidR="00A96A28" w:rsidRPr="00A96A28" w:rsidRDefault="00A96A28" w:rsidP="00A96A28">
            <w:pPr>
              <w:pStyle w:val="AERtabletextright"/>
            </w:pPr>
            <w:r w:rsidRPr="00A96A28">
              <w:t>7 (0.3%)</w:t>
            </w:r>
          </w:p>
        </w:tc>
        <w:tc>
          <w:tcPr>
            <w:tcW w:w="527" w:type="pct"/>
            <w:noWrap/>
            <w:vAlign w:val="top"/>
          </w:tcPr>
          <w:p w:rsidR="00A96A28" w:rsidRPr="00A96A28" w:rsidRDefault="00A96A28" w:rsidP="00A96A28">
            <w:pPr>
              <w:pStyle w:val="AERtabletextright"/>
            </w:pPr>
            <w:r w:rsidRPr="00A96A28">
              <w:t>9 (0.4%)</w:t>
            </w:r>
          </w:p>
        </w:tc>
      </w:tr>
      <w:tr w:rsidR="00A96A28" w:rsidRPr="00164ED7" w:rsidTr="00A96A28">
        <w:trPr>
          <w:cnfStyle w:val="000000010000" w:firstRow="0" w:lastRow="0" w:firstColumn="0" w:lastColumn="0" w:oddVBand="0" w:evenVBand="0" w:oddHBand="0" w:evenHBand="1" w:firstRowFirstColumn="0" w:firstRowLastColumn="0" w:lastRowFirstColumn="0" w:lastRowLastColumn="0"/>
          <w:trHeight w:val="300"/>
        </w:trPr>
        <w:tc>
          <w:tcPr>
            <w:tcW w:w="1745" w:type="pct"/>
            <w:noWrap/>
            <w:hideMark/>
          </w:tcPr>
          <w:p w:rsidR="00A96A28" w:rsidRPr="00A96A28" w:rsidRDefault="00A96A28" w:rsidP="00DF4772">
            <w:pPr>
              <w:pStyle w:val="AERtabletextleft"/>
            </w:pPr>
            <w:r w:rsidRPr="00A96A28">
              <w:t xml:space="preserve">Small business annual </w:t>
            </w:r>
            <w:proofErr w:type="spellStart"/>
            <w:r w:rsidR="006F4792">
              <w:t>bill</w:t>
            </w:r>
            <w:r w:rsidRPr="00A96A28">
              <w:rPr>
                <w:rStyle w:val="AERsuperscript"/>
              </w:rPr>
              <w:t>b</w:t>
            </w:r>
            <w:proofErr w:type="spellEnd"/>
          </w:p>
        </w:tc>
        <w:tc>
          <w:tcPr>
            <w:tcW w:w="526" w:type="pct"/>
            <w:noWrap/>
            <w:vAlign w:val="top"/>
          </w:tcPr>
          <w:p w:rsidR="00A96A28" w:rsidRPr="00A96A28" w:rsidRDefault="00A96A28" w:rsidP="00A96A28">
            <w:pPr>
              <w:pStyle w:val="AERtabletextright"/>
            </w:pPr>
            <w:r w:rsidRPr="00A96A28">
              <w:t>3374.0</w:t>
            </w:r>
          </w:p>
        </w:tc>
        <w:tc>
          <w:tcPr>
            <w:tcW w:w="550" w:type="pct"/>
            <w:noWrap/>
            <w:vAlign w:val="top"/>
          </w:tcPr>
          <w:p w:rsidR="00A96A28" w:rsidRPr="00A96A28" w:rsidRDefault="00A96A28" w:rsidP="00A96A28">
            <w:pPr>
              <w:pStyle w:val="AERtabletextright"/>
            </w:pPr>
            <w:r w:rsidRPr="00A96A28">
              <w:t>3334</w:t>
            </w:r>
          </w:p>
        </w:tc>
        <w:tc>
          <w:tcPr>
            <w:tcW w:w="598" w:type="pct"/>
            <w:noWrap/>
            <w:vAlign w:val="top"/>
          </w:tcPr>
          <w:p w:rsidR="00A96A28" w:rsidRPr="00A96A28" w:rsidRDefault="00A96A28" w:rsidP="00A96A28">
            <w:pPr>
              <w:pStyle w:val="AERtabletextright"/>
            </w:pPr>
            <w:r w:rsidRPr="00A96A28">
              <w:t>3424</w:t>
            </w:r>
          </w:p>
        </w:tc>
        <w:tc>
          <w:tcPr>
            <w:tcW w:w="526" w:type="pct"/>
            <w:noWrap/>
            <w:vAlign w:val="top"/>
          </w:tcPr>
          <w:p w:rsidR="00A96A28" w:rsidRPr="00A96A28" w:rsidRDefault="00A96A28" w:rsidP="00A96A28">
            <w:pPr>
              <w:pStyle w:val="AERtabletextright"/>
            </w:pPr>
            <w:r w:rsidRPr="00A96A28">
              <w:t>3452</w:t>
            </w:r>
          </w:p>
        </w:tc>
        <w:tc>
          <w:tcPr>
            <w:tcW w:w="526" w:type="pct"/>
            <w:noWrap/>
            <w:vAlign w:val="top"/>
          </w:tcPr>
          <w:p w:rsidR="00A96A28" w:rsidRPr="00A96A28" w:rsidRDefault="00A96A28" w:rsidP="00A96A28">
            <w:pPr>
              <w:pStyle w:val="AERtabletextright"/>
            </w:pPr>
            <w:r w:rsidRPr="00A96A28">
              <w:t>3464</w:t>
            </w:r>
          </w:p>
        </w:tc>
        <w:tc>
          <w:tcPr>
            <w:tcW w:w="527" w:type="pct"/>
            <w:noWrap/>
            <w:vAlign w:val="top"/>
          </w:tcPr>
          <w:p w:rsidR="00A96A28" w:rsidRPr="00A96A28" w:rsidRDefault="00A96A28" w:rsidP="00A96A28">
            <w:pPr>
              <w:pStyle w:val="AERtabletextright"/>
            </w:pPr>
            <w:r w:rsidRPr="00A96A28">
              <w:t>3478</w:t>
            </w:r>
          </w:p>
        </w:tc>
      </w:tr>
      <w:tr w:rsidR="00A96A28" w:rsidRPr="00164ED7" w:rsidTr="00A96A28">
        <w:trPr>
          <w:trHeight w:val="300"/>
        </w:trPr>
        <w:tc>
          <w:tcPr>
            <w:tcW w:w="1745" w:type="pct"/>
            <w:noWrap/>
            <w:hideMark/>
          </w:tcPr>
          <w:p w:rsidR="00A96A28" w:rsidRPr="00A96A28" w:rsidRDefault="00A96A28" w:rsidP="00A96A28">
            <w:pPr>
              <w:pStyle w:val="AERtabletextleft"/>
            </w:pPr>
            <w:r w:rsidRPr="00A96A28">
              <w:t>Annual change</w:t>
            </w:r>
          </w:p>
        </w:tc>
        <w:tc>
          <w:tcPr>
            <w:tcW w:w="526" w:type="pct"/>
            <w:noWrap/>
            <w:vAlign w:val="top"/>
          </w:tcPr>
          <w:p w:rsidR="00A96A28" w:rsidRPr="00A96A28" w:rsidRDefault="00A96A28" w:rsidP="00A96A28">
            <w:pPr>
              <w:pStyle w:val="AERtabletextright"/>
            </w:pPr>
          </w:p>
        </w:tc>
        <w:tc>
          <w:tcPr>
            <w:tcW w:w="550" w:type="pct"/>
            <w:noWrap/>
            <w:vAlign w:val="top"/>
          </w:tcPr>
          <w:p w:rsidR="00A96A28" w:rsidRPr="00A96A28" w:rsidRDefault="00B16151" w:rsidP="00A96A28">
            <w:pPr>
              <w:pStyle w:val="AERtabletextright"/>
            </w:pPr>
            <w:r>
              <w:t>–</w:t>
            </w:r>
            <w:r w:rsidR="00A96A28" w:rsidRPr="00A96A28">
              <w:t>40 (</w:t>
            </w:r>
            <w:r>
              <w:t>–</w:t>
            </w:r>
            <w:r w:rsidR="00A96A28" w:rsidRPr="00A96A28">
              <w:t>1.2%)</w:t>
            </w:r>
          </w:p>
        </w:tc>
        <w:tc>
          <w:tcPr>
            <w:tcW w:w="598" w:type="pct"/>
            <w:noWrap/>
            <w:vAlign w:val="top"/>
          </w:tcPr>
          <w:p w:rsidR="00A96A28" w:rsidRPr="00A96A28" w:rsidRDefault="00A96A28" w:rsidP="00A96A28">
            <w:pPr>
              <w:pStyle w:val="AERtabletextright"/>
            </w:pPr>
            <w:r w:rsidRPr="00A96A28">
              <w:t>91 (2.7%)</w:t>
            </w:r>
          </w:p>
        </w:tc>
        <w:tc>
          <w:tcPr>
            <w:tcW w:w="526" w:type="pct"/>
            <w:noWrap/>
            <w:vAlign w:val="top"/>
          </w:tcPr>
          <w:p w:rsidR="00A96A28" w:rsidRPr="00A96A28" w:rsidRDefault="00A96A28" w:rsidP="00A96A28">
            <w:pPr>
              <w:pStyle w:val="AERtabletextright"/>
            </w:pPr>
            <w:r w:rsidRPr="00A96A28">
              <w:t>27 (0.8%)</w:t>
            </w:r>
          </w:p>
        </w:tc>
        <w:tc>
          <w:tcPr>
            <w:tcW w:w="526" w:type="pct"/>
            <w:noWrap/>
            <w:vAlign w:val="top"/>
          </w:tcPr>
          <w:p w:rsidR="00A96A28" w:rsidRPr="00A96A28" w:rsidRDefault="00A96A28" w:rsidP="00A96A28">
            <w:pPr>
              <w:pStyle w:val="AERtabletextright"/>
            </w:pPr>
            <w:r w:rsidRPr="00A96A28">
              <w:t>12 (0.3%)</w:t>
            </w:r>
          </w:p>
        </w:tc>
        <w:tc>
          <w:tcPr>
            <w:tcW w:w="527" w:type="pct"/>
            <w:noWrap/>
            <w:vAlign w:val="top"/>
          </w:tcPr>
          <w:p w:rsidR="00A96A28" w:rsidRPr="00A96A28" w:rsidRDefault="00A96A28" w:rsidP="00A96A28">
            <w:pPr>
              <w:pStyle w:val="AERtabletextright"/>
            </w:pPr>
            <w:r w:rsidRPr="00A96A28">
              <w:t>15 (0.4%)</w:t>
            </w:r>
          </w:p>
        </w:tc>
      </w:tr>
      <w:tr w:rsidR="00A96A28" w:rsidRPr="00164ED7" w:rsidTr="00A96A28">
        <w:trPr>
          <w:cnfStyle w:val="000000010000" w:firstRow="0" w:lastRow="0" w:firstColumn="0" w:lastColumn="0" w:oddVBand="0" w:evenVBand="0" w:oddHBand="0" w:evenHBand="1" w:firstRowFirstColumn="0" w:firstRowLastColumn="0" w:lastRowFirstColumn="0" w:lastRowLastColumn="0"/>
          <w:trHeight w:val="300"/>
        </w:trPr>
        <w:tc>
          <w:tcPr>
            <w:tcW w:w="1745" w:type="pct"/>
            <w:noWrap/>
            <w:hideMark/>
          </w:tcPr>
          <w:p w:rsidR="00A96A28" w:rsidRPr="00A96A28" w:rsidRDefault="00A96A28" w:rsidP="00A96A28">
            <w:pPr>
              <w:pStyle w:val="AERtabletextleft"/>
              <w:rPr>
                <w:rStyle w:val="AERtextbold"/>
              </w:rPr>
            </w:pPr>
            <w:r w:rsidRPr="00A96A28">
              <w:rPr>
                <w:rStyle w:val="AERtextbold"/>
              </w:rPr>
              <w:t>AER draft decision</w:t>
            </w:r>
          </w:p>
        </w:tc>
        <w:tc>
          <w:tcPr>
            <w:tcW w:w="526" w:type="pct"/>
            <w:noWrap/>
          </w:tcPr>
          <w:p w:rsidR="00A96A28" w:rsidRPr="00A96A28" w:rsidRDefault="00A96A28" w:rsidP="00A96A28">
            <w:pPr>
              <w:pStyle w:val="AERtabletextright"/>
              <w:rPr>
                <w:rStyle w:val="AERtextbold"/>
              </w:rPr>
            </w:pPr>
          </w:p>
        </w:tc>
        <w:tc>
          <w:tcPr>
            <w:tcW w:w="550" w:type="pct"/>
            <w:noWrap/>
            <w:vAlign w:val="top"/>
          </w:tcPr>
          <w:p w:rsidR="00A96A28" w:rsidRPr="00A96A28" w:rsidRDefault="00A96A28" w:rsidP="00A96A28">
            <w:pPr>
              <w:pStyle w:val="AERtabletextright"/>
              <w:rPr>
                <w:rStyle w:val="AERtextbold"/>
              </w:rPr>
            </w:pPr>
          </w:p>
        </w:tc>
        <w:tc>
          <w:tcPr>
            <w:tcW w:w="598" w:type="pct"/>
            <w:noWrap/>
            <w:vAlign w:val="top"/>
          </w:tcPr>
          <w:p w:rsidR="00A96A28" w:rsidRPr="00A96A28" w:rsidRDefault="00A96A28" w:rsidP="00A96A28">
            <w:pPr>
              <w:pStyle w:val="AERtabletextright"/>
              <w:rPr>
                <w:rStyle w:val="AERtextbold"/>
              </w:rPr>
            </w:pPr>
          </w:p>
        </w:tc>
        <w:tc>
          <w:tcPr>
            <w:tcW w:w="526" w:type="pct"/>
            <w:noWrap/>
            <w:vAlign w:val="top"/>
          </w:tcPr>
          <w:p w:rsidR="00A96A28" w:rsidRPr="00A96A28" w:rsidRDefault="00A96A28" w:rsidP="00A96A28">
            <w:pPr>
              <w:pStyle w:val="AERtabletextright"/>
              <w:rPr>
                <w:rStyle w:val="AERtextbold"/>
              </w:rPr>
            </w:pPr>
          </w:p>
        </w:tc>
        <w:tc>
          <w:tcPr>
            <w:tcW w:w="526" w:type="pct"/>
            <w:noWrap/>
            <w:vAlign w:val="top"/>
          </w:tcPr>
          <w:p w:rsidR="00A96A28" w:rsidRPr="00A96A28" w:rsidRDefault="00A96A28" w:rsidP="00A96A28">
            <w:pPr>
              <w:pStyle w:val="AERtabletextright"/>
              <w:rPr>
                <w:rStyle w:val="AERtextbold"/>
              </w:rPr>
            </w:pPr>
          </w:p>
        </w:tc>
        <w:tc>
          <w:tcPr>
            <w:tcW w:w="527" w:type="pct"/>
            <w:noWrap/>
            <w:vAlign w:val="top"/>
          </w:tcPr>
          <w:p w:rsidR="00A96A28" w:rsidRPr="00A96A28" w:rsidRDefault="00A96A28" w:rsidP="00A96A28">
            <w:pPr>
              <w:pStyle w:val="AERtabletextright"/>
              <w:rPr>
                <w:rStyle w:val="AERtextbold"/>
              </w:rPr>
            </w:pPr>
          </w:p>
        </w:tc>
      </w:tr>
      <w:tr w:rsidR="00A96A28" w:rsidRPr="00164ED7" w:rsidTr="00A96A28">
        <w:trPr>
          <w:trHeight w:val="300"/>
        </w:trPr>
        <w:tc>
          <w:tcPr>
            <w:tcW w:w="1745" w:type="pct"/>
            <w:noWrap/>
            <w:hideMark/>
          </w:tcPr>
          <w:p w:rsidR="00A96A28" w:rsidRPr="00A96A28" w:rsidRDefault="00A96A28" w:rsidP="00DF4772">
            <w:pPr>
              <w:pStyle w:val="AERtabletextleft"/>
            </w:pPr>
            <w:r w:rsidRPr="00A96A28">
              <w:t xml:space="preserve">Residential annual </w:t>
            </w:r>
            <w:proofErr w:type="spellStart"/>
            <w:r w:rsidR="006F4792">
              <w:t>bill</w:t>
            </w:r>
            <w:r w:rsidRPr="00A96A28">
              <w:rPr>
                <w:rStyle w:val="AERsuperscript"/>
              </w:rPr>
              <w:t>a</w:t>
            </w:r>
            <w:proofErr w:type="spellEnd"/>
          </w:p>
        </w:tc>
        <w:tc>
          <w:tcPr>
            <w:tcW w:w="526" w:type="pct"/>
            <w:noWrap/>
            <w:vAlign w:val="top"/>
          </w:tcPr>
          <w:p w:rsidR="00A96A28" w:rsidRPr="00A96A28" w:rsidRDefault="00A96A28" w:rsidP="00A96A28">
            <w:pPr>
              <w:pStyle w:val="AERtabletextright"/>
            </w:pPr>
            <w:r w:rsidRPr="00A96A28">
              <w:t>2106.0</w:t>
            </w:r>
          </w:p>
        </w:tc>
        <w:tc>
          <w:tcPr>
            <w:tcW w:w="550" w:type="pct"/>
            <w:noWrap/>
            <w:vAlign w:val="top"/>
          </w:tcPr>
          <w:p w:rsidR="00A96A28" w:rsidRPr="00A96A28" w:rsidRDefault="00A96A28" w:rsidP="00A96A28">
            <w:pPr>
              <w:pStyle w:val="AERtabletextright"/>
            </w:pPr>
            <w:r w:rsidRPr="00A96A28">
              <w:t>2081</w:t>
            </w:r>
          </w:p>
        </w:tc>
        <w:tc>
          <w:tcPr>
            <w:tcW w:w="598" w:type="pct"/>
            <w:noWrap/>
            <w:vAlign w:val="top"/>
          </w:tcPr>
          <w:p w:rsidR="00A96A28" w:rsidRPr="00A96A28" w:rsidRDefault="00A96A28" w:rsidP="00A96A28">
            <w:pPr>
              <w:pStyle w:val="AERtabletextright"/>
            </w:pPr>
            <w:r w:rsidRPr="00A96A28">
              <w:t>1892</w:t>
            </w:r>
          </w:p>
        </w:tc>
        <w:tc>
          <w:tcPr>
            <w:tcW w:w="526" w:type="pct"/>
            <w:noWrap/>
            <w:vAlign w:val="top"/>
          </w:tcPr>
          <w:p w:rsidR="00A96A28" w:rsidRPr="00A96A28" w:rsidRDefault="00A96A28" w:rsidP="00A96A28">
            <w:pPr>
              <w:pStyle w:val="AERtabletextright"/>
            </w:pPr>
            <w:r w:rsidRPr="00A96A28">
              <w:t>1904</w:t>
            </w:r>
          </w:p>
        </w:tc>
        <w:tc>
          <w:tcPr>
            <w:tcW w:w="526" w:type="pct"/>
            <w:noWrap/>
            <w:vAlign w:val="top"/>
          </w:tcPr>
          <w:p w:rsidR="00A96A28" w:rsidRPr="00A96A28" w:rsidRDefault="00A96A28" w:rsidP="00A96A28">
            <w:pPr>
              <w:pStyle w:val="AERtabletextright"/>
            </w:pPr>
            <w:r w:rsidRPr="00A96A28">
              <w:t>1906</w:t>
            </w:r>
          </w:p>
        </w:tc>
        <w:tc>
          <w:tcPr>
            <w:tcW w:w="527" w:type="pct"/>
            <w:noWrap/>
            <w:vAlign w:val="top"/>
          </w:tcPr>
          <w:p w:rsidR="00A96A28" w:rsidRPr="00A96A28" w:rsidRDefault="00A96A28" w:rsidP="00A96A28">
            <w:pPr>
              <w:pStyle w:val="AERtabletextright"/>
            </w:pPr>
            <w:r w:rsidRPr="00A96A28">
              <w:t>1908</w:t>
            </w:r>
          </w:p>
        </w:tc>
      </w:tr>
      <w:tr w:rsidR="00A96A28" w:rsidRPr="00164ED7" w:rsidTr="00A96A28">
        <w:trPr>
          <w:cnfStyle w:val="000000010000" w:firstRow="0" w:lastRow="0" w:firstColumn="0" w:lastColumn="0" w:oddVBand="0" w:evenVBand="0" w:oddHBand="0" w:evenHBand="1" w:firstRowFirstColumn="0" w:firstRowLastColumn="0" w:lastRowFirstColumn="0" w:lastRowLastColumn="0"/>
          <w:trHeight w:val="300"/>
        </w:trPr>
        <w:tc>
          <w:tcPr>
            <w:tcW w:w="1745" w:type="pct"/>
            <w:noWrap/>
            <w:hideMark/>
          </w:tcPr>
          <w:p w:rsidR="00A96A28" w:rsidRPr="00A96A28" w:rsidRDefault="00A96A28" w:rsidP="00A96A28">
            <w:pPr>
              <w:pStyle w:val="AERtabletextleft"/>
            </w:pPr>
            <w:r w:rsidRPr="00A96A28">
              <w:t>Annual change</w:t>
            </w:r>
          </w:p>
        </w:tc>
        <w:tc>
          <w:tcPr>
            <w:tcW w:w="526" w:type="pct"/>
            <w:noWrap/>
            <w:vAlign w:val="top"/>
          </w:tcPr>
          <w:p w:rsidR="00A96A28" w:rsidRPr="00A96A28" w:rsidRDefault="00A96A28" w:rsidP="00A96A28">
            <w:pPr>
              <w:pStyle w:val="AERtabletextright"/>
            </w:pPr>
          </w:p>
        </w:tc>
        <w:tc>
          <w:tcPr>
            <w:tcW w:w="550" w:type="pct"/>
            <w:noWrap/>
            <w:vAlign w:val="top"/>
          </w:tcPr>
          <w:p w:rsidR="00A96A28" w:rsidRPr="00A96A28" w:rsidRDefault="00B16151" w:rsidP="00B16151">
            <w:pPr>
              <w:pStyle w:val="AERtabletextright"/>
            </w:pPr>
            <w:r>
              <w:t>–</w:t>
            </w:r>
            <w:r w:rsidR="00A96A28" w:rsidRPr="00A96A28">
              <w:t>25 (</w:t>
            </w:r>
            <w:r>
              <w:t>–</w:t>
            </w:r>
            <w:r w:rsidR="00A96A28" w:rsidRPr="00A96A28">
              <w:t>1.2%)</w:t>
            </w:r>
          </w:p>
        </w:tc>
        <w:tc>
          <w:tcPr>
            <w:tcW w:w="598" w:type="pct"/>
            <w:noWrap/>
            <w:vAlign w:val="top"/>
          </w:tcPr>
          <w:p w:rsidR="00A96A28" w:rsidRPr="00A96A28" w:rsidRDefault="00B16151" w:rsidP="00B16151">
            <w:pPr>
              <w:pStyle w:val="AERtabletextright"/>
            </w:pPr>
            <w:r>
              <w:t>–</w:t>
            </w:r>
            <w:r w:rsidR="00A96A28" w:rsidRPr="00A96A28">
              <w:t>189 (</w:t>
            </w:r>
            <w:r>
              <w:t>–</w:t>
            </w:r>
            <w:r w:rsidR="00A96A28" w:rsidRPr="00A96A28">
              <w:t>9.1%)</w:t>
            </w:r>
          </w:p>
        </w:tc>
        <w:tc>
          <w:tcPr>
            <w:tcW w:w="526" w:type="pct"/>
            <w:noWrap/>
            <w:vAlign w:val="top"/>
          </w:tcPr>
          <w:p w:rsidR="00A96A28" w:rsidRPr="00A96A28" w:rsidRDefault="00A96A28" w:rsidP="00A96A28">
            <w:pPr>
              <w:pStyle w:val="AERtabletextright"/>
            </w:pPr>
            <w:r w:rsidRPr="00A96A28">
              <w:t>13 (0.7%)</w:t>
            </w:r>
          </w:p>
        </w:tc>
        <w:tc>
          <w:tcPr>
            <w:tcW w:w="526" w:type="pct"/>
            <w:noWrap/>
            <w:vAlign w:val="top"/>
          </w:tcPr>
          <w:p w:rsidR="00A96A28" w:rsidRPr="00A96A28" w:rsidRDefault="00A96A28" w:rsidP="00A96A28">
            <w:pPr>
              <w:pStyle w:val="AERtabletextright"/>
            </w:pPr>
            <w:r w:rsidRPr="00A96A28">
              <w:t>2 (0.1%)</w:t>
            </w:r>
          </w:p>
        </w:tc>
        <w:tc>
          <w:tcPr>
            <w:tcW w:w="527" w:type="pct"/>
            <w:noWrap/>
            <w:vAlign w:val="top"/>
          </w:tcPr>
          <w:p w:rsidR="00A96A28" w:rsidRPr="00A96A28" w:rsidRDefault="00A96A28" w:rsidP="00A96A28">
            <w:pPr>
              <w:pStyle w:val="AERtabletextright"/>
            </w:pPr>
            <w:r w:rsidRPr="00A96A28">
              <w:t>2 (0.1%)</w:t>
            </w:r>
          </w:p>
        </w:tc>
      </w:tr>
      <w:tr w:rsidR="00A96A28" w:rsidRPr="00164ED7" w:rsidTr="00A96A28">
        <w:trPr>
          <w:trHeight w:val="300"/>
        </w:trPr>
        <w:tc>
          <w:tcPr>
            <w:tcW w:w="1745" w:type="pct"/>
            <w:noWrap/>
            <w:hideMark/>
          </w:tcPr>
          <w:p w:rsidR="00A96A28" w:rsidRPr="00A96A28" w:rsidRDefault="00A96A28" w:rsidP="00DF4772">
            <w:pPr>
              <w:pStyle w:val="AERtabletextleft"/>
            </w:pPr>
            <w:r w:rsidRPr="00A96A28">
              <w:t xml:space="preserve">Small business annual </w:t>
            </w:r>
            <w:proofErr w:type="spellStart"/>
            <w:r w:rsidR="006F4792">
              <w:t>bill</w:t>
            </w:r>
            <w:r w:rsidRPr="00A96A28">
              <w:rPr>
                <w:rStyle w:val="AERsuperscript"/>
              </w:rPr>
              <w:t>b</w:t>
            </w:r>
            <w:proofErr w:type="spellEnd"/>
          </w:p>
        </w:tc>
        <w:tc>
          <w:tcPr>
            <w:tcW w:w="526" w:type="pct"/>
            <w:noWrap/>
            <w:vAlign w:val="top"/>
          </w:tcPr>
          <w:p w:rsidR="00A96A28" w:rsidRPr="00A96A28" w:rsidRDefault="00A96A28" w:rsidP="00A96A28">
            <w:pPr>
              <w:pStyle w:val="AERtabletextright"/>
            </w:pPr>
            <w:r w:rsidRPr="00A96A28">
              <w:t>3374.0</w:t>
            </w:r>
          </w:p>
        </w:tc>
        <w:tc>
          <w:tcPr>
            <w:tcW w:w="550" w:type="pct"/>
            <w:noWrap/>
            <w:vAlign w:val="top"/>
          </w:tcPr>
          <w:p w:rsidR="00A96A28" w:rsidRPr="00A96A28" w:rsidRDefault="00A96A28" w:rsidP="00A96A28">
            <w:pPr>
              <w:pStyle w:val="AERtabletextright"/>
            </w:pPr>
            <w:r w:rsidRPr="00A96A28">
              <w:t>3334</w:t>
            </w:r>
          </w:p>
        </w:tc>
        <w:tc>
          <w:tcPr>
            <w:tcW w:w="598" w:type="pct"/>
            <w:noWrap/>
            <w:vAlign w:val="top"/>
          </w:tcPr>
          <w:p w:rsidR="00A96A28" w:rsidRPr="00A96A28" w:rsidRDefault="00A96A28" w:rsidP="00A96A28">
            <w:pPr>
              <w:pStyle w:val="AERtabletextright"/>
            </w:pPr>
            <w:r w:rsidRPr="00A96A28">
              <w:t>3031</w:t>
            </w:r>
          </w:p>
        </w:tc>
        <w:tc>
          <w:tcPr>
            <w:tcW w:w="526" w:type="pct"/>
            <w:noWrap/>
            <w:vAlign w:val="top"/>
          </w:tcPr>
          <w:p w:rsidR="00A96A28" w:rsidRPr="00A96A28" w:rsidRDefault="00A96A28" w:rsidP="00A96A28">
            <w:pPr>
              <w:pStyle w:val="AERtabletextright"/>
            </w:pPr>
            <w:r w:rsidRPr="00A96A28">
              <w:t>3051</w:t>
            </w:r>
          </w:p>
        </w:tc>
        <w:tc>
          <w:tcPr>
            <w:tcW w:w="526" w:type="pct"/>
            <w:noWrap/>
            <w:vAlign w:val="top"/>
          </w:tcPr>
          <w:p w:rsidR="00A96A28" w:rsidRPr="00A96A28" w:rsidRDefault="00A96A28" w:rsidP="00A96A28">
            <w:pPr>
              <w:pStyle w:val="AERtabletextright"/>
            </w:pPr>
            <w:r w:rsidRPr="00A96A28">
              <w:t>3054</w:t>
            </w:r>
          </w:p>
        </w:tc>
        <w:tc>
          <w:tcPr>
            <w:tcW w:w="527" w:type="pct"/>
            <w:noWrap/>
            <w:vAlign w:val="top"/>
          </w:tcPr>
          <w:p w:rsidR="00A96A28" w:rsidRPr="00A96A28" w:rsidRDefault="00A96A28" w:rsidP="00A96A28">
            <w:pPr>
              <w:pStyle w:val="AERtabletextright"/>
            </w:pPr>
            <w:r w:rsidRPr="00A96A28">
              <w:t>3057</w:t>
            </w:r>
          </w:p>
        </w:tc>
      </w:tr>
      <w:tr w:rsidR="00A96A28" w:rsidRPr="00164ED7" w:rsidTr="00A96A28">
        <w:trPr>
          <w:cnfStyle w:val="000000010000" w:firstRow="0" w:lastRow="0" w:firstColumn="0" w:lastColumn="0" w:oddVBand="0" w:evenVBand="0" w:oddHBand="0" w:evenHBand="1" w:firstRowFirstColumn="0" w:firstRowLastColumn="0" w:lastRowFirstColumn="0" w:lastRowLastColumn="0"/>
          <w:trHeight w:val="300"/>
        </w:trPr>
        <w:tc>
          <w:tcPr>
            <w:tcW w:w="1745" w:type="pct"/>
            <w:noWrap/>
            <w:hideMark/>
          </w:tcPr>
          <w:p w:rsidR="00A96A28" w:rsidRPr="00A96A28" w:rsidRDefault="00A96A28" w:rsidP="00A96A28">
            <w:pPr>
              <w:pStyle w:val="AERtabletextleft"/>
            </w:pPr>
            <w:r w:rsidRPr="00A96A28">
              <w:t>Annual change</w:t>
            </w:r>
          </w:p>
        </w:tc>
        <w:tc>
          <w:tcPr>
            <w:tcW w:w="526" w:type="pct"/>
            <w:noWrap/>
            <w:vAlign w:val="top"/>
          </w:tcPr>
          <w:p w:rsidR="00A96A28" w:rsidRPr="00A96A28" w:rsidRDefault="00A96A28" w:rsidP="00A96A28">
            <w:pPr>
              <w:pStyle w:val="AERtabletextright"/>
            </w:pPr>
          </w:p>
        </w:tc>
        <w:tc>
          <w:tcPr>
            <w:tcW w:w="550" w:type="pct"/>
            <w:noWrap/>
            <w:vAlign w:val="top"/>
          </w:tcPr>
          <w:p w:rsidR="00A96A28" w:rsidRPr="00A96A28" w:rsidRDefault="00B16151" w:rsidP="00A96A28">
            <w:pPr>
              <w:pStyle w:val="AERtabletextright"/>
            </w:pPr>
            <w:r>
              <w:t>–</w:t>
            </w:r>
            <w:r w:rsidR="00A96A28" w:rsidRPr="00A96A28">
              <w:t>40 (</w:t>
            </w:r>
            <w:r>
              <w:t>–</w:t>
            </w:r>
            <w:r w:rsidR="00A96A28" w:rsidRPr="00A96A28">
              <w:t>1.2%)</w:t>
            </w:r>
          </w:p>
        </w:tc>
        <w:tc>
          <w:tcPr>
            <w:tcW w:w="598" w:type="pct"/>
            <w:noWrap/>
            <w:vAlign w:val="top"/>
          </w:tcPr>
          <w:p w:rsidR="00A96A28" w:rsidRPr="00A96A28" w:rsidRDefault="00B16151" w:rsidP="00A96A28">
            <w:pPr>
              <w:pStyle w:val="AERtabletextright"/>
            </w:pPr>
            <w:r>
              <w:t>–</w:t>
            </w:r>
            <w:r w:rsidR="00A96A28" w:rsidRPr="00A96A28">
              <w:t>303 (</w:t>
            </w:r>
            <w:r>
              <w:t>–</w:t>
            </w:r>
            <w:r w:rsidR="00A96A28" w:rsidRPr="00A96A28">
              <w:t>9.1%)</w:t>
            </w:r>
          </w:p>
        </w:tc>
        <w:tc>
          <w:tcPr>
            <w:tcW w:w="526" w:type="pct"/>
            <w:noWrap/>
            <w:vAlign w:val="top"/>
          </w:tcPr>
          <w:p w:rsidR="00A96A28" w:rsidRPr="00A96A28" w:rsidRDefault="00A96A28" w:rsidP="00A96A28">
            <w:pPr>
              <w:pStyle w:val="AERtabletextright"/>
            </w:pPr>
            <w:r w:rsidRPr="00A96A28">
              <w:t>20 (0.7%)</w:t>
            </w:r>
          </w:p>
        </w:tc>
        <w:tc>
          <w:tcPr>
            <w:tcW w:w="526" w:type="pct"/>
            <w:noWrap/>
            <w:vAlign w:val="top"/>
          </w:tcPr>
          <w:p w:rsidR="00A96A28" w:rsidRPr="00A96A28" w:rsidRDefault="00A96A28" w:rsidP="00A96A28">
            <w:pPr>
              <w:pStyle w:val="AERtabletextright"/>
            </w:pPr>
            <w:r w:rsidRPr="00A96A28">
              <w:t>3 (0.1%)</w:t>
            </w:r>
          </w:p>
        </w:tc>
        <w:tc>
          <w:tcPr>
            <w:tcW w:w="527" w:type="pct"/>
            <w:noWrap/>
            <w:vAlign w:val="top"/>
          </w:tcPr>
          <w:p w:rsidR="00A96A28" w:rsidRPr="00A96A28" w:rsidRDefault="00A96A28" w:rsidP="00A96A28">
            <w:pPr>
              <w:pStyle w:val="AERtabletextright"/>
            </w:pPr>
            <w:r w:rsidRPr="00A96A28">
              <w:t>3 (0.1%)</w:t>
            </w:r>
          </w:p>
        </w:tc>
      </w:tr>
    </w:tbl>
    <w:p w:rsidR="00540B74" w:rsidRDefault="00540B74" w:rsidP="00540B74">
      <w:pPr>
        <w:pStyle w:val="AERtablesource"/>
      </w:pPr>
      <w:r>
        <w:t>Source:</w:t>
      </w:r>
      <w:r>
        <w:tab/>
        <w:t>AER analysis; AER, Energy Made Easy; IPART, Final report: Review of regulated retail prices for electricity - from 1</w:t>
      </w:r>
      <w:r w:rsidR="006E6462">
        <w:t> </w:t>
      </w:r>
      <w:r>
        <w:t>July 2013 to 30 June 2016, June 2013, p.5.</w:t>
      </w:r>
    </w:p>
    <w:p w:rsidR="00540B74" w:rsidRDefault="00540B74" w:rsidP="00540B74">
      <w:pPr>
        <w:pStyle w:val="AERtablesource"/>
      </w:pPr>
      <w:r>
        <w:t>(a)</w:t>
      </w:r>
      <w:r w:rsidR="006E6462">
        <w:tab/>
      </w:r>
      <w:r>
        <w:t xml:space="preserve">Based on annual </w:t>
      </w:r>
      <w:r w:rsidR="006F4792">
        <w:t>bill</w:t>
      </w:r>
      <w:r>
        <w:t xml:space="preserve"> for typical consumption of 6500KWh per year during the period 1 July 2013 to 30 June 2014. The charges reflect regulated price only.</w:t>
      </w:r>
      <w:r w:rsidR="00DF2291">
        <w:t xml:space="preserve"> Sample postcode: 2112.</w:t>
      </w:r>
    </w:p>
    <w:p w:rsidR="007C44EA" w:rsidRDefault="00540B74" w:rsidP="00540B74">
      <w:pPr>
        <w:pStyle w:val="AERtablesource"/>
      </w:pPr>
      <w:r>
        <w:t>(b)</w:t>
      </w:r>
      <w:r w:rsidR="006E6462">
        <w:tab/>
      </w:r>
      <w:r w:rsidRPr="00540B74">
        <w:t xml:space="preserve">Based on the annual </w:t>
      </w:r>
      <w:r w:rsidR="006F4792">
        <w:t>bill</w:t>
      </w:r>
      <w:r w:rsidRPr="00540B74">
        <w:t xml:space="preserve"> sourced from Energy Made Easy for a typical consumption of 10000 kWh per year during the period 1 July 2013 to 30 June 2014. The </w:t>
      </w:r>
      <w:r w:rsidR="006F4792">
        <w:t>bills</w:t>
      </w:r>
      <w:r w:rsidRPr="00540B74">
        <w:t xml:space="preserve"> reflect regulated price only. Sample postcode: 2</w:t>
      </w:r>
      <w:r w:rsidR="00DF2291">
        <w:t>112</w:t>
      </w:r>
      <w:r w:rsidRPr="00540B74">
        <w:t>.</w:t>
      </w:r>
    </w:p>
    <w:p w:rsidR="00382E4F" w:rsidRPr="00DF2291" w:rsidRDefault="00382E4F" w:rsidP="00382E4F">
      <w:pPr>
        <w:pStyle w:val="AERbodytext"/>
      </w:pPr>
      <w:bookmarkStart w:id="44" w:name="_Toc404354911"/>
      <w:r w:rsidRPr="00DF2291">
        <w:t>Our draft decision revenues for Ausgrid's transmission network make up a relatively small proportion of the overall transmission revenues applicable to NSW/ACT. TransGrid is the main transmission network service provider in NSW/ACT, and we are setting its revenue requirements concurrent with this process. Ausgrid collects its transmission revenues from TransGrid, in its role as coordinating TNSP for NSW/ACT. In estimating the indicative impact of our draft decision on transmission charges, we include Ausgrid's transmission revenues with TransGrid's revenues.</w:t>
      </w:r>
      <w:r w:rsidRPr="00DF2291">
        <w:rPr>
          <w:rStyle w:val="FootnoteReference"/>
        </w:rPr>
        <w:footnoteReference w:id="28"/>
      </w:r>
      <w:r w:rsidRPr="00DF2291">
        <w:t xml:space="preserve"> We discuss the overall transmission price impact in our draft decision for TransGrid, and so this is not discussed further here.</w:t>
      </w:r>
    </w:p>
    <w:p w:rsidR="007F7AA6" w:rsidRPr="007F7AA6" w:rsidRDefault="007F7AA6" w:rsidP="007F7AA6">
      <w:pPr>
        <w:pStyle w:val="Heading3"/>
      </w:pPr>
      <w:r w:rsidRPr="007F7AA6">
        <w:t>Shared assets</w:t>
      </w:r>
      <w:bookmarkEnd w:id="44"/>
    </w:p>
    <w:p w:rsidR="007F7AA6" w:rsidRPr="007F7AA6" w:rsidRDefault="007F7AA6" w:rsidP="007F7AA6">
      <w:pPr>
        <w:numPr>
          <w:ilvl w:val="0"/>
          <w:numId w:val="13"/>
        </w:numPr>
      </w:pPr>
      <w:r w:rsidRPr="007F7AA6">
        <w:t xml:space="preserve">Service providers, such as </w:t>
      </w:r>
      <w:r>
        <w:t>Ausgrid</w:t>
      </w:r>
      <w:r w:rsidRPr="007F7AA6">
        <w:t xml:space="preserve">, may use assets to provide both </w:t>
      </w:r>
      <w:proofErr w:type="gramStart"/>
      <w:r w:rsidRPr="007F7AA6">
        <w:t>standard</w:t>
      </w:r>
      <w:proofErr w:type="gramEnd"/>
      <w:r w:rsidRPr="007F7AA6">
        <w:t xml:space="preserve"> control services we regulate and unregulated services. These assets are called 'shared assets'.</w:t>
      </w:r>
      <w:r w:rsidRPr="007F7AA6">
        <w:rPr>
          <w:rStyle w:val="AERsuperscript"/>
        </w:rPr>
        <w:footnoteReference w:id="29"/>
      </w:r>
      <w:r w:rsidRPr="007F7AA6">
        <w:rPr>
          <w:rStyle w:val="AERsuperscript"/>
        </w:rPr>
        <w:t xml:space="preserve"> </w:t>
      </w:r>
      <w:r w:rsidRPr="007F7AA6">
        <w:t>Of the unregulated revenues a service provider earns from shared assets, 10 per cent will be used to reduce the service provider's prices for standard control services.</w:t>
      </w:r>
      <w:r w:rsidRPr="007F7AA6">
        <w:rPr>
          <w:rStyle w:val="AERsuperscript"/>
        </w:rPr>
        <w:footnoteReference w:id="30"/>
      </w:r>
      <w:r w:rsidRPr="007F7AA6">
        <w:t xml:space="preserve"> However, price reductions are subject to a materiality threshold. Unregulated use of shared assets is material when a service provider's unregulated </w:t>
      </w:r>
      <w:r w:rsidRPr="007F7AA6">
        <w:lastRenderedPageBreak/>
        <w:t>revenues from shared assets in a specific regulatory year are expected to be greater than 1 per cent of its total expected revenue for that regulatory year.</w:t>
      </w:r>
      <w:r w:rsidRPr="007F7AA6">
        <w:rPr>
          <w:rStyle w:val="AERsuperscript"/>
        </w:rPr>
        <w:footnoteReference w:id="31"/>
      </w:r>
      <w:r w:rsidRPr="007F7AA6">
        <w:t xml:space="preserve">  </w:t>
      </w:r>
    </w:p>
    <w:p w:rsidR="00B879C4" w:rsidRDefault="007F7AA6" w:rsidP="003D762A">
      <w:pPr>
        <w:pStyle w:val="AERbodytext"/>
      </w:pPr>
      <w:r>
        <w:t>Ausgrid</w:t>
      </w:r>
      <w:r w:rsidRPr="007F7AA6">
        <w:t xml:space="preserve"> submitted that its shared asset unregulated revenues are forecast to be </w:t>
      </w:r>
      <w:r w:rsidR="00293216">
        <w:t xml:space="preserve">between </w:t>
      </w:r>
      <w:r w:rsidR="009C1944">
        <w:t>0.6</w:t>
      </w:r>
      <w:r w:rsidR="00293216">
        <w:t>2 and 0.64</w:t>
      </w:r>
      <w:r w:rsidR="009C1944">
        <w:t xml:space="preserve"> </w:t>
      </w:r>
      <w:r w:rsidRPr="009C1944">
        <w:rPr>
          <w:rStyle w:val="AERbody"/>
        </w:rPr>
        <w:t>p</w:t>
      </w:r>
      <w:r w:rsidRPr="007F7AA6">
        <w:t xml:space="preserve">er cent of its total expected revenue in each regulatory year of the 2014–19 </w:t>
      </w:r>
      <w:proofErr w:type="gramStart"/>
      <w:r w:rsidRPr="007F7AA6">
        <w:t>period</w:t>
      </w:r>
      <w:proofErr w:type="gramEnd"/>
      <w:r w:rsidRPr="007F7AA6">
        <w:t>.</w:t>
      </w:r>
      <w:r w:rsidRPr="00D9783D">
        <w:rPr>
          <w:rStyle w:val="AERsuperscript"/>
        </w:rPr>
        <w:footnoteReference w:id="32"/>
      </w:r>
      <w:r w:rsidRPr="007F7AA6">
        <w:t xml:space="preserve"> Based on our previous assessment of service provider unregulated revenues, we consider </w:t>
      </w:r>
      <w:r w:rsidR="00D75FEB">
        <w:t>Ausgrid</w:t>
      </w:r>
      <w:r w:rsidRPr="007F7AA6">
        <w:t>'s forecasts are reasonable.</w:t>
      </w:r>
      <w:r w:rsidRPr="00C35EA3">
        <w:rPr>
          <w:rStyle w:val="AERsuperscript"/>
        </w:rPr>
        <w:footnoteReference w:id="33"/>
      </w:r>
      <w:r w:rsidRPr="007F7AA6">
        <w:t xml:space="preserve"> </w:t>
      </w:r>
      <w:r w:rsidR="00B879C4">
        <w:rPr>
          <w:rStyle w:val="AERbody"/>
        </w:rPr>
        <w:t xml:space="preserve">However, Ausgrid's forecast unregulated revenues must be compared to the regulated revenues we determine, rather than those proposed by Ausgrid. On that basis, we consider Ausgrid's unregulated </w:t>
      </w:r>
      <w:r w:rsidR="00B879C4" w:rsidRPr="003D762A">
        <w:rPr>
          <w:rStyle w:val="AERtexthighlight"/>
          <w:shd w:val="clear" w:color="auto" w:fill="auto"/>
        </w:rPr>
        <w:t xml:space="preserve">revenues </w:t>
      </w:r>
      <w:r w:rsidR="00293216" w:rsidRPr="003D762A">
        <w:rPr>
          <w:rStyle w:val="AERtexthighlight"/>
          <w:shd w:val="clear" w:color="auto" w:fill="auto"/>
        </w:rPr>
        <w:t xml:space="preserve">are between </w:t>
      </w:r>
      <w:r w:rsidR="00B77CE4" w:rsidRPr="003D762A">
        <w:rPr>
          <w:rStyle w:val="AERtexthighlight"/>
          <w:shd w:val="clear" w:color="auto" w:fill="auto"/>
        </w:rPr>
        <w:t>0.</w:t>
      </w:r>
      <w:r w:rsidR="003D762A" w:rsidRPr="003D762A">
        <w:rPr>
          <w:rStyle w:val="AERtexthighlight"/>
          <w:shd w:val="clear" w:color="auto" w:fill="auto"/>
        </w:rPr>
        <w:t>65</w:t>
      </w:r>
      <w:r w:rsidR="00293216" w:rsidRPr="003D762A">
        <w:rPr>
          <w:rStyle w:val="AERtexthighlight"/>
          <w:shd w:val="clear" w:color="auto" w:fill="auto"/>
        </w:rPr>
        <w:t xml:space="preserve"> and 0.9</w:t>
      </w:r>
      <w:r w:rsidR="003D762A" w:rsidRPr="003D762A">
        <w:rPr>
          <w:rStyle w:val="AERtexthighlight"/>
          <w:shd w:val="clear" w:color="auto" w:fill="auto"/>
        </w:rPr>
        <w:t>7</w:t>
      </w:r>
      <w:r w:rsidR="00B879C4" w:rsidRPr="003D762A">
        <w:rPr>
          <w:rStyle w:val="AERtexthighlight"/>
          <w:shd w:val="clear" w:color="auto" w:fill="auto"/>
        </w:rPr>
        <w:t xml:space="preserve"> per cent</w:t>
      </w:r>
      <w:r w:rsidR="00B879C4">
        <w:rPr>
          <w:rStyle w:val="AERbody"/>
        </w:rPr>
        <w:t xml:space="preserve"> of its total expected revenue in each regulatory year of the 2014–19 </w:t>
      </w:r>
      <w:proofErr w:type="gramStart"/>
      <w:r w:rsidR="00B879C4">
        <w:rPr>
          <w:rStyle w:val="AERbody"/>
        </w:rPr>
        <w:t>period</w:t>
      </w:r>
      <w:proofErr w:type="gramEnd"/>
      <w:r w:rsidR="00B879C4">
        <w:rPr>
          <w:rStyle w:val="AERbody"/>
        </w:rPr>
        <w:t>.</w:t>
      </w:r>
    </w:p>
    <w:p w:rsidR="007F7AA6" w:rsidRPr="007F7AA6" w:rsidRDefault="007F7AA6" w:rsidP="007F7AA6">
      <w:pPr>
        <w:numPr>
          <w:ilvl w:val="0"/>
          <w:numId w:val="13"/>
        </w:numPr>
      </w:pPr>
      <w:r w:rsidRPr="007F7AA6">
        <w:t xml:space="preserve">We note that unregulated revenues from shared assets may in future become material. We will monitor </w:t>
      </w:r>
      <w:r w:rsidR="00D75FEB">
        <w:t>Ausgrid</w:t>
      </w:r>
      <w:r w:rsidRPr="007F7AA6">
        <w:t>'s shared asset unregulated revenues and, if necessary, determine our own forecasts for future regulatory control periods.</w:t>
      </w:r>
    </w:p>
    <w:p w:rsidR="007F7AA6" w:rsidRPr="000D07C4" w:rsidRDefault="007F7AA6" w:rsidP="00784A0C">
      <w:pPr>
        <w:pStyle w:val="FootnoteText"/>
      </w:pPr>
    </w:p>
    <w:sectPr w:rsidR="007F7AA6" w:rsidRPr="000D07C4" w:rsidSect="000A7330">
      <w:footerReference w:type="even" r:id="rId17"/>
      <w:footerReference w:type="default" r:id="rId18"/>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D1A" w:rsidRPr="00AB4345" w:rsidRDefault="00CE4D1A" w:rsidP="00AB4345">
      <w:r>
        <w:separator/>
      </w:r>
    </w:p>
  </w:endnote>
  <w:endnote w:type="continuationSeparator" w:id="0">
    <w:p w:rsidR="00CE4D1A" w:rsidRPr="00AB4345" w:rsidRDefault="00CE4D1A"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CE4D1A" w:rsidRPr="00824CC8" w:rsidRDefault="00CE4D1A" w:rsidP="00824CC8">
        <w:pPr>
          <w:pStyle w:val="Footer"/>
        </w:pPr>
        <w:r w:rsidRPr="00824CC8">
          <w:fldChar w:fldCharType="begin"/>
        </w:r>
        <w:r w:rsidRPr="00824CC8">
          <w:instrText xml:space="preserve"> PAGE   \* MERGEFORMAT </w:instrText>
        </w:r>
        <w:r w:rsidRPr="00824CC8">
          <w:fldChar w:fldCharType="separate"/>
        </w:r>
        <w:r w:rsidR="00E91436">
          <w:rPr>
            <w:noProof/>
          </w:rPr>
          <w:t>1-4</w:t>
        </w:r>
        <w:r w:rsidRPr="00824CC8">
          <w:fldChar w:fldCharType="end"/>
        </w:r>
        <w:r w:rsidRPr="00824CC8">
          <w:tab/>
        </w:r>
        <w:r w:rsidR="00176F6F">
          <w:t xml:space="preserve">                                               </w:t>
        </w:r>
        <w:r w:rsidR="000A7330" w:rsidRPr="000A7330">
          <w:rPr>
            <w:rStyle w:val="AERbody"/>
          </w:rPr>
          <w:t xml:space="preserve">Attachment 1: Annual revenue requirement </w:t>
        </w:r>
        <w:r w:rsidRPr="00824CC8">
          <w:rPr>
            <w:rStyle w:val="AERbody"/>
          </w:rPr>
          <w:t xml:space="preserve">| </w:t>
        </w:r>
        <w:r w:rsidR="000A7330">
          <w:rPr>
            <w:rStyle w:val="AERbody"/>
          </w:rPr>
          <w:t>Ausgrid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1A" w:rsidRPr="00824CC8" w:rsidRDefault="000A7330" w:rsidP="00824CC8">
    <w:pPr>
      <w:pStyle w:val="Footer"/>
      <w:rPr>
        <w:rStyle w:val="AERbody"/>
      </w:rPr>
    </w:pPr>
    <w:r>
      <w:rPr>
        <w:rStyle w:val="AERbody"/>
      </w:rPr>
      <w:t>Ausgrid draft decision</w:t>
    </w:r>
    <w:r w:rsidR="00CE4D1A" w:rsidRPr="00210880">
      <w:rPr>
        <w:rStyle w:val="AERbody"/>
      </w:rPr>
      <w:t xml:space="preserve"> | </w:t>
    </w:r>
    <w:r w:rsidRPr="000A7330">
      <w:rPr>
        <w:rStyle w:val="AERbody"/>
      </w:rPr>
      <w:t>Attachment 1: Annual revenue requirement</w:t>
    </w:r>
    <w:r w:rsidR="00CE4D1A" w:rsidRPr="00210880">
      <w:rPr>
        <w:rStyle w:val="AERbody"/>
      </w:rPr>
      <w:tab/>
    </w:r>
    <w:r w:rsidR="00CE4D1A" w:rsidRPr="00824CC8">
      <w:rPr>
        <w:rStyle w:val="AERbody"/>
      </w:rPr>
      <w:fldChar w:fldCharType="begin"/>
    </w:r>
    <w:r w:rsidR="00CE4D1A" w:rsidRPr="00824CC8">
      <w:rPr>
        <w:rStyle w:val="AERbody"/>
      </w:rPr>
      <w:instrText xml:space="preserve"> PAGE   \* MERGEFORMAT </w:instrText>
    </w:r>
    <w:r w:rsidR="00CE4D1A" w:rsidRPr="00824CC8">
      <w:rPr>
        <w:rStyle w:val="AERbody"/>
      </w:rPr>
      <w:fldChar w:fldCharType="separate"/>
    </w:r>
    <w:r w:rsidR="00E91436">
      <w:rPr>
        <w:rStyle w:val="AERbody"/>
        <w:noProof/>
      </w:rPr>
      <w:t>1-1</w:t>
    </w:r>
    <w:r w:rsidR="00CE4D1A"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D1A" w:rsidRPr="00AB4345" w:rsidRDefault="00CE4D1A" w:rsidP="00AB4345">
      <w:r>
        <w:separator/>
      </w:r>
    </w:p>
  </w:footnote>
  <w:footnote w:type="continuationSeparator" w:id="0">
    <w:p w:rsidR="00CE4D1A" w:rsidRPr="00AB4345" w:rsidRDefault="00CE4D1A" w:rsidP="00AB4345">
      <w:r>
        <w:continuationSeparator/>
      </w:r>
    </w:p>
  </w:footnote>
  <w:footnote w:id="1">
    <w:p w:rsidR="00CE4D1A" w:rsidRDefault="00CE4D1A">
      <w:pPr>
        <w:pStyle w:val="FootnoteText"/>
      </w:pPr>
      <w:r>
        <w:rPr>
          <w:rStyle w:val="FootnoteReference"/>
        </w:rPr>
        <w:footnoteRef/>
      </w:r>
      <w:r>
        <w:t xml:space="preserve"> </w:t>
      </w:r>
      <w:r>
        <w:tab/>
        <w:t>This is referred to in the transitional rules as a 'notional' revenue requirement. We have adopted the standard terminology in chapter 6 to avoid confusion, but it still gives effect to the transitional rules.</w:t>
      </w:r>
    </w:p>
  </w:footnote>
  <w:footnote w:id="2">
    <w:p w:rsidR="00CE4D1A" w:rsidRDefault="00CE4D1A">
      <w:pPr>
        <w:pStyle w:val="FootnoteText"/>
      </w:pPr>
      <w:r>
        <w:rPr>
          <w:rStyle w:val="FootnoteReference"/>
        </w:rPr>
        <w:footnoteRef/>
      </w:r>
      <w:r>
        <w:t xml:space="preserve"> </w:t>
      </w:r>
      <w:r>
        <w:tab/>
      </w:r>
      <w:r w:rsidRPr="00C41864">
        <w:t xml:space="preserve">AER, </w:t>
      </w:r>
      <w:r w:rsidRPr="00C41864">
        <w:rPr>
          <w:rStyle w:val="AERtextitalic"/>
        </w:rPr>
        <w:t>Ausgrid Endeavour Energy Essential Energy ActewAGL, Transitional distribution decision 2014–15</w:t>
      </w:r>
      <w:r w:rsidRPr="00C41864">
        <w:t xml:space="preserve">, April 2014, </w:t>
      </w:r>
      <w:r>
        <w:t>pp. 23-24</w:t>
      </w:r>
      <w:r w:rsidRPr="00C41864">
        <w:t>.</w:t>
      </w:r>
    </w:p>
  </w:footnote>
  <w:footnote w:id="3">
    <w:p w:rsidR="00CE4D1A" w:rsidRDefault="00CE4D1A">
      <w:pPr>
        <w:pStyle w:val="FootnoteText"/>
      </w:pPr>
      <w:r>
        <w:rPr>
          <w:rStyle w:val="FootnoteReference"/>
        </w:rPr>
        <w:footnoteRef/>
      </w:r>
      <w:r>
        <w:t xml:space="preserve"> </w:t>
      </w:r>
      <w:r>
        <w:tab/>
      </w:r>
      <w:r w:rsidRPr="009372B0">
        <w:t>NER, cl 6.2.3(a</w:t>
      </w:r>
      <w:proofErr w:type="gramStart"/>
      <w:r w:rsidRPr="009372B0">
        <w:t>)(</w:t>
      </w:r>
      <w:proofErr w:type="gramEnd"/>
      <w:r w:rsidRPr="009372B0">
        <w:t>1).</w:t>
      </w:r>
    </w:p>
  </w:footnote>
  <w:footnote w:id="4">
    <w:p w:rsidR="00CE4D1A" w:rsidRDefault="00CE4D1A">
      <w:pPr>
        <w:pStyle w:val="FootnoteText"/>
      </w:pPr>
      <w:r>
        <w:rPr>
          <w:rStyle w:val="FootnoteReference"/>
        </w:rPr>
        <w:footnoteRef/>
      </w:r>
      <w:r>
        <w:t xml:space="preserve"> </w:t>
      </w:r>
      <w:r>
        <w:tab/>
      </w:r>
      <w:r w:rsidRPr="00007AC9">
        <w:t xml:space="preserve">See NER cl.11.56.4 and </w:t>
      </w:r>
      <w:r>
        <w:t>Ausgrid</w:t>
      </w:r>
      <w:r w:rsidRPr="00007AC9">
        <w:t>'s placeholder determination for the transitional regulatory control period 2014–15.</w:t>
      </w:r>
    </w:p>
  </w:footnote>
  <w:footnote w:id="5">
    <w:p w:rsidR="00CE4D1A" w:rsidRDefault="00CE4D1A">
      <w:pPr>
        <w:pStyle w:val="FootnoteText"/>
      </w:pPr>
      <w:r>
        <w:rPr>
          <w:rStyle w:val="FootnoteReference"/>
        </w:rPr>
        <w:footnoteRef/>
      </w:r>
      <w:r>
        <w:t xml:space="preserve"> </w:t>
      </w:r>
      <w:r>
        <w:tab/>
      </w:r>
      <w:r w:rsidRPr="009372B0">
        <w:t xml:space="preserve">There are trade-offs that are not modelled in the PTRM but are reflected in the inputs to the PTRM. For example, service quality is not explicitly modelled in the PTRM, but the trade-offs between service quality and </w:t>
      </w:r>
      <w:proofErr w:type="gramStart"/>
      <w:r w:rsidRPr="009372B0">
        <w:t>price are</w:t>
      </w:r>
      <w:proofErr w:type="gramEnd"/>
      <w:r w:rsidRPr="009372B0">
        <w:t xml:space="preserve"> reflected in the forecast capex and opex inputs to the model. Other trade-offs are obvious from the calculations in the PTRM. For example, while someone may expect a lower regulatory asset base to also lower revenues, the PTRM shows that this will not occur if the reduction in the regulatory asset base is due solely to an increase in the depreciation rate. In such circumstances, revenues increase as the increased depreciation allowance more than offsets the reduction in the return on capital caused by the lower regulatory asset base.</w:t>
      </w:r>
    </w:p>
  </w:footnote>
  <w:footnote w:id="6">
    <w:p w:rsidR="00CE4D1A" w:rsidRDefault="00CE4D1A">
      <w:pPr>
        <w:pStyle w:val="FootnoteText"/>
      </w:pPr>
      <w:r>
        <w:rPr>
          <w:rStyle w:val="FootnoteReference"/>
        </w:rPr>
        <w:footnoteRef/>
      </w:r>
      <w:r>
        <w:t xml:space="preserve"> </w:t>
      </w:r>
      <w:r>
        <w:tab/>
        <w:t>NER, cl. 11.56.4(h)-(j)</w:t>
      </w:r>
    </w:p>
  </w:footnote>
  <w:footnote w:id="7">
    <w:p w:rsidR="00CE4D1A" w:rsidRDefault="00CE4D1A">
      <w:pPr>
        <w:pStyle w:val="FootnoteText"/>
      </w:pPr>
      <w:r>
        <w:rPr>
          <w:rStyle w:val="FootnoteReference"/>
        </w:rPr>
        <w:footnoteRef/>
      </w:r>
      <w:r>
        <w:t xml:space="preserve"> </w:t>
      </w:r>
      <w:r>
        <w:tab/>
        <w:t>For the purposes of operating the PTRM, the placeholder revenue is set as the smoothed expected revenue for 2014–15.</w:t>
      </w:r>
    </w:p>
  </w:footnote>
  <w:footnote w:id="8">
    <w:p w:rsidR="00CE4D1A" w:rsidRDefault="00CE4D1A">
      <w:pPr>
        <w:pStyle w:val="FootnoteText"/>
      </w:pPr>
      <w:r>
        <w:rPr>
          <w:rStyle w:val="FootnoteReference"/>
        </w:rPr>
        <w:footnoteRef/>
      </w:r>
      <w:r>
        <w:t xml:space="preserve"> </w:t>
      </w:r>
      <w:r>
        <w:tab/>
      </w:r>
      <w:proofErr w:type="gramStart"/>
      <w:r w:rsidRPr="009372B0">
        <w:t>NER, cl 6.5.9(a).</w:t>
      </w:r>
      <w:proofErr w:type="gramEnd"/>
    </w:p>
  </w:footnote>
  <w:footnote w:id="9">
    <w:p w:rsidR="00CE4D1A" w:rsidRDefault="00CE4D1A">
      <w:pPr>
        <w:pStyle w:val="FootnoteText"/>
      </w:pPr>
      <w:r>
        <w:rPr>
          <w:rStyle w:val="FootnoteReference"/>
        </w:rPr>
        <w:footnoteRef/>
      </w:r>
      <w:r>
        <w:t xml:space="preserve"> </w:t>
      </w:r>
      <w:r>
        <w:tab/>
      </w:r>
      <w:r w:rsidRPr="009372B0">
        <w:t>NER, cl 6.5.9(3</w:t>
      </w:r>
      <w:proofErr w:type="gramStart"/>
      <w:r w:rsidRPr="009372B0">
        <w:t>)(</w:t>
      </w:r>
      <w:proofErr w:type="gramEnd"/>
      <w:r w:rsidRPr="009372B0">
        <w:t>i).</w:t>
      </w:r>
    </w:p>
  </w:footnote>
  <w:footnote w:id="10">
    <w:p w:rsidR="00CE4D1A" w:rsidRDefault="00CE4D1A">
      <w:pPr>
        <w:pStyle w:val="FootnoteText"/>
      </w:pPr>
      <w:r>
        <w:rPr>
          <w:rStyle w:val="FootnoteReference"/>
        </w:rPr>
        <w:footnoteRef/>
      </w:r>
      <w:r>
        <w:t xml:space="preserve"> </w:t>
      </w:r>
      <w:r>
        <w:tab/>
      </w:r>
      <w:r w:rsidRPr="009372B0">
        <w:t>NER, cl 6.</w:t>
      </w:r>
      <w:r>
        <w:t>5</w:t>
      </w:r>
      <w:r w:rsidRPr="009372B0">
        <w:t>.</w:t>
      </w:r>
      <w:r>
        <w:t>9</w:t>
      </w:r>
      <w:r w:rsidRPr="009372B0">
        <w:t>(</w:t>
      </w:r>
      <w:r>
        <w:t>b</w:t>
      </w:r>
      <w:proofErr w:type="gramStart"/>
      <w:r w:rsidRPr="009372B0">
        <w:t>)(</w:t>
      </w:r>
      <w:proofErr w:type="gramEnd"/>
      <w:r>
        <w:t>2</w:t>
      </w:r>
      <w:r w:rsidRPr="009372B0">
        <w:t>).</w:t>
      </w:r>
    </w:p>
  </w:footnote>
  <w:footnote w:id="11">
    <w:p w:rsidR="00CE4D1A" w:rsidRDefault="00CE4D1A">
      <w:pPr>
        <w:pStyle w:val="FootnoteText"/>
      </w:pPr>
      <w:r>
        <w:rPr>
          <w:rStyle w:val="FootnoteReference"/>
        </w:rPr>
        <w:footnoteRef/>
      </w:r>
      <w:r>
        <w:t xml:space="preserve"> </w:t>
      </w:r>
      <w:r>
        <w:tab/>
      </w:r>
      <w:proofErr w:type="gramStart"/>
      <w:r w:rsidRPr="009372B0">
        <w:t>NER, cl 11.58.4(c).</w:t>
      </w:r>
      <w:proofErr w:type="gramEnd"/>
    </w:p>
  </w:footnote>
  <w:footnote w:id="12">
    <w:p w:rsidR="00CE4D1A" w:rsidRDefault="00CE4D1A">
      <w:pPr>
        <w:pStyle w:val="FootnoteText"/>
      </w:pPr>
      <w:r>
        <w:rPr>
          <w:rStyle w:val="FootnoteReference"/>
        </w:rPr>
        <w:footnoteRef/>
      </w:r>
      <w:r>
        <w:t xml:space="preserve"> </w:t>
      </w:r>
      <w:r>
        <w:tab/>
      </w:r>
      <w:r w:rsidRPr="00894AAF">
        <w:t>The placeholder revenue for 2014–15 is significantly higher than the amount</w:t>
      </w:r>
      <w:r>
        <w:t xml:space="preserve"> </w:t>
      </w:r>
      <w:r w:rsidRPr="00894AAF">
        <w:t>our analysis in this draft decision shows it should have been. The relatively small decrease to 2014–15 prices means even larger decreases are needed over the following years. Given the shortened regulatory control period, accounting for this true- up, as well as the revenue reductions in the remaining years, makes smoothing prices more challenging.</w:t>
      </w:r>
    </w:p>
  </w:footnote>
  <w:footnote w:id="13">
    <w:p w:rsidR="00CE4D1A" w:rsidRDefault="00CE4D1A">
      <w:pPr>
        <w:pStyle w:val="FootnoteText"/>
      </w:pPr>
      <w:r>
        <w:rPr>
          <w:rStyle w:val="FootnoteReference"/>
        </w:rPr>
        <w:footnoteRef/>
      </w:r>
      <w:r>
        <w:t xml:space="preserve"> </w:t>
      </w:r>
      <w:r>
        <w:tab/>
      </w:r>
      <w:proofErr w:type="gramStart"/>
      <w:r>
        <w:t>NER, cl. 11.56.3–4.</w:t>
      </w:r>
      <w:proofErr w:type="gramEnd"/>
    </w:p>
  </w:footnote>
  <w:footnote w:id="14">
    <w:p w:rsidR="00CE4D1A" w:rsidRDefault="00CE4D1A" w:rsidP="00F95EA9">
      <w:pPr>
        <w:pStyle w:val="FootnoteText"/>
      </w:pPr>
      <w:r>
        <w:rPr>
          <w:rStyle w:val="FootnoteReference"/>
        </w:rPr>
        <w:footnoteRef/>
      </w:r>
      <w:r>
        <w:t xml:space="preserve"> </w:t>
      </w:r>
      <w:r>
        <w:tab/>
        <w:t xml:space="preserve">This amount included the net costs for metering, ancillary network services and emergency recoverable works. Although these services became alternative control services rom 1 July 2014, the costs associated with these services were to be recovered via standard control services for 2014–15 consistent with clause 11.56.3.(a)(1) of the NER. For the draft decision the ANS and ERW costs for 2014–15 are those provided by Ausgrid for the transitional decision. The actual total costs for these services for 2014–15 will determined as part of the final decision. </w:t>
      </w:r>
    </w:p>
  </w:footnote>
  <w:footnote w:id="15">
    <w:p w:rsidR="00CE4D1A" w:rsidRDefault="00CE4D1A">
      <w:pPr>
        <w:pStyle w:val="FootnoteText"/>
      </w:pPr>
      <w:r>
        <w:rPr>
          <w:rStyle w:val="FootnoteReference"/>
        </w:rPr>
        <w:footnoteRef/>
      </w:r>
      <w:r>
        <w:t xml:space="preserve"> </w:t>
      </w:r>
      <w:r>
        <w:tab/>
      </w:r>
      <w:r w:rsidRPr="003F5BBF">
        <w:t xml:space="preserve">AER, </w:t>
      </w:r>
      <w:r w:rsidRPr="003F5BBF">
        <w:rPr>
          <w:rStyle w:val="AERtextitalic"/>
        </w:rPr>
        <w:t>Ausgrid, Endeavour Energy, Essential Energy, ActewAGL, Transitional distribution decision 2014–15</w:t>
      </w:r>
      <w:r w:rsidRPr="003F5BBF">
        <w:t>, April 2014, p. 17.</w:t>
      </w:r>
    </w:p>
  </w:footnote>
  <w:footnote w:id="16">
    <w:p w:rsidR="00CE4D1A" w:rsidRDefault="00CE4D1A">
      <w:pPr>
        <w:pStyle w:val="FootnoteText"/>
      </w:pPr>
      <w:r>
        <w:rPr>
          <w:rStyle w:val="FootnoteReference"/>
        </w:rPr>
        <w:footnoteRef/>
      </w:r>
      <w:r>
        <w:t xml:space="preserve"> </w:t>
      </w:r>
      <w:r>
        <w:tab/>
      </w:r>
      <w:proofErr w:type="gramStart"/>
      <w:r w:rsidRPr="00B26863">
        <w:t>NER, cl 11.564(h)-(i).</w:t>
      </w:r>
      <w:proofErr w:type="gramEnd"/>
    </w:p>
  </w:footnote>
  <w:footnote w:id="17">
    <w:p w:rsidR="00CE4D1A" w:rsidRDefault="00CE4D1A">
      <w:pPr>
        <w:pStyle w:val="FootnoteText"/>
      </w:pPr>
      <w:r>
        <w:rPr>
          <w:rStyle w:val="FootnoteReference"/>
        </w:rPr>
        <w:footnoteRef/>
      </w:r>
      <w:r>
        <w:t xml:space="preserve"> </w:t>
      </w:r>
      <w:r>
        <w:tab/>
      </w:r>
      <w:proofErr w:type="gramStart"/>
      <w:r>
        <w:t>Ausgrid</w:t>
      </w:r>
      <w:r w:rsidRPr="005B26A3">
        <w:t xml:space="preserve">, </w:t>
      </w:r>
      <w:r w:rsidRPr="005B26A3">
        <w:rPr>
          <w:rStyle w:val="AERtextitalic"/>
        </w:rPr>
        <w:t>Transitional regulatory proposal</w:t>
      </w:r>
      <w:r w:rsidRPr="005B26A3">
        <w:t>, January 2014, Attachment</w:t>
      </w:r>
      <w:r>
        <w:t>s</w:t>
      </w:r>
      <w:r w:rsidRPr="005B26A3">
        <w:t xml:space="preserve"> </w:t>
      </w:r>
      <w:r>
        <w:t>A and B</w:t>
      </w:r>
      <w:r w:rsidRPr="005B26A3">
        <w:t>.</w:t>
      </w:r>
      <w:proofErr w:type="gramEnd"/>
    </w:p>
  </w:footnote>
  <w:footnote w:id="18">
    <w:p w:rsidR="00CE4D1A" w:rsidRDefault="00CE4D1A">
      <w:pPr>
        <w:pStyle w:val="FootnoteText"/>
      </w:pPr>
      <w:r>
        <w:rPr>
          <w:rStyle w:val="FootnoteReference"/>
        </w:rPr>
        <w:footnoteRef/>
      </w:r>
      <w:r>
        <w:t xml:space="preserve"> </w:t>
      </w:r>
      <w:r>
        <w:tab/>
      </w:r>
      <w:r w:rsidRPr="005B26A3">
        <w:t xml:space="preserve">AER, </w:t>
      </w:r>
      <w:r w:rsidRPr="00B5439E">
        <w:rPr>
          <w:rStyle w:val="AERtextitalic"/>
        </w:rPr>
        <w:t>Ausgrid, Endeavour Energy, Essential Energy, ActewAGL, Transitional distribution decision 2014–15</w:t>
      </w:r>
      <w:r w:rsidRPr="005B26A3">
        <w:t>, April 2014, pp. 26–29.</w:t>
      </w:r>
    </w:p>
  </w:footnote>
  <w:footnote w:id="19">
    <w:p w:rsidR="00CE4D1A" w:rsidRDefault="00CE4D1A" w:rsidP="00BD6113">
      <w:pPr>
        <w:pStyle w:val="FootnoteText"/>
      </w:pPr>
      <w:r>
        <w:rPr>
          <w:rStyle w:val="FootnoteReference"/>
        </w:rPr>
        <w:footnoteRef/>
      </w:r>
      <w:r>
        <w:t xml:space="preserve"> </w:t>
      </w:r>
      <w:r>
        <w:tab/>
      </w:r>
      <w:proofErr w:type="gramStart"/>
      <w:r w:rsidRPr="005B26A3">
        <w:t>NER, cl 11.55.3(i).</w:t>
      </w:r>
      <w:proofErr w:type="gramEnd"/>
    </w:p>
  </w:footnote>
  <w:footnote w:id="20">
    <w:p w:rsidR="00CE4D1A" w:rsidRDefault="00CE4D1A" w:rsidP="008624BE">
      <w:pPr>
        <w:pStyle w:val="FootnoteText"/>
      </w:pPr>
      <w:r>
        <w:rPr>
          <w:rStyle w:val="FootnoteReference"/>
        </w:rPr>
        <w:footnoteRef/>
      </w:r>
      <w:r>
        <w:t xml:space="preserve"> </w:t>
      </w:r>
      <w:r>
        <w:tab/>
      </w:r>
      <w:r w:rsidRPr="005B26A3">
        <w:t xml:space="preserve">AER, </w:t>
      </w:r>
      <w:r w:rsidRPr="005B26A3">
        <w:rPr>
          <w:rStyle w:val="AERtextitalic"/>
        </w:rPr>
        <w:t>Stage 2 Framework and Approach – NSW Distributors</w:t>
      </w:r>
      <w:r w:rsidRPr="005B26A3">
        <w:t>, January 2014, p. 40.</w:t>
      </w:r>
    </w:p>
  </w:footnote>
  <w:footnote w:id="21">
    <w:p w:rsidR="00CE4D1A" w:rsidRDefault="00CE4D1A">
      <w:pPr>
        <w:pStyle w:val="FootnoteText"/>
      </w:pPr>
      <w:r>
        <w:rPr>
          <w:rStyle w:val="FootnoteReference"/>
        </w:rPr>
        <w:footnoteRef/>
      </w:r>
      <w:r>
        <w:t xml:space="preserve"> </w:t>
      </w:r>
      <w:r>
        <w:tab/>
      </w:r>
      <w:r w:rsidRPr="00BF0FCA">
        <w:t xml:space="preserve">We also included an ACS adjustment to the proposed 2014–15 unsmoothed revenue before smoothing, consistent with our draft decision true-up approach. This adjustment is based on </w:t>
      </w:r>
      <w:r>
        <w:t xml:space="preserve">Ausgrid's </w:t>
      </w:r>
      <w:r w:rsidRPr="00BF0FCA">
        <w:t>metering proposal and the figures for ANS and ERW they provided as part of the transitional proposal.</w:t>
      </w:r>
    </w:p>
  </w:footnote>
  <w:footnote w:id="22">
    <w:p w:rsidR="00CE4D1A" w:rsidRDefault="00CE4D1A">
      <w:pPr>
        <w:pStyle w:val="FootnoteText"/>
      </w:pPr>
      <w:r>
        <w:rPr>
          <w:rStyle w:val="FootnoteReference"/>
        </w:rPr>
        <w:footnoteRef/>
      </w:r>
      <w:r>
        <w:t xml:space="preserve"> </w:t>
      </w:r>
      <w:r>
        <w:tab/>
      </w:r>
      <w:r w:rsidRPr="00E606D6">
        <w:t>Th</w:t>
      </w:r>
      <w:r>
        <w:t>is also accounts for the time value of money</w:t>
      </w:r>
      <w:r w:rsidRPr="00E606D6">
        <w:t>.</w:t>
      </w:r>
    </w:p>
  </w:footnote>
  <w:footnote w:id="23">
    <w:p w:rsidR="00CE4D1A" w:rsidRDefault="00CE4D1A" w:rsidP="009B6EC8">
      <w:pPr>
        <w:pStyle w:val="FootnoteText"/>
      </w:pPr>
      <w:r>
        <w:rPr>
          <w:rStyle w:val="FootnoteReference"/>
        </w:rPr>
        <w:footnoteRef/>
      </w:r>
      <w:r>
        <w:t xml:space="preserve"> </w:t>
      </w:r>
      <w:r>
        <w:tab/>
      </w:r>
      <w:r w:rsidRPr="0008590B">
        <w:t xml:space="preserve">AER, </w:t>
      </w:r>
      <w:r w:rsidRPr="0008590B">
        <w:rPr>
          <w:rStyle w:val="AERtextitalic"/>
        </w:rPr>
        <w:t>Ausgrid Endeavour Energy Essential Energy ActewAGL, Transitional distribution decision 2014–15</w:t>
      </w:r>
      <w:r w:rsidRPr="0008590B">
        <w:t>, April 2014, p.</w:t>
      </w:r>
      <w:r>
        <w:t> </w:t>
      </w:r>
      <w:r w:rsidRPr="0008590B">
        <w:t>20.</w:t>
      </w:r>
    </w:p>
  </w:footnote>
  <w:footnote w:id="24">
    <w:p w:rsidR="00CE4D1A" w:rsidRDefault="00CE4D1A" w:rsidP="00F15277">
      <w:pPr>
        <w:pStyle w:val="FootnoteText"/>
      </w:pPr>
      <w:r>
        <w:rPr>
          <w:rStyle w:val="FootnoteReference"/>
        </w:rPr>
        <w:footnoteRef/>
      </w:r>
      <w:r>
        <w:t xml:space="preserve"> </w:t>
      </w:r>
      <w:r>
        <w:tab/>
      </w:r>
      <w:r w:rsidRPr="00A575BB">
        <w:t xml:space="preserve">This approach is further discussed in the AER’s </w:t>
      </w:r>
      <w:r>
        <w:t xml:space="preserve">draft </w:t>
      </w:r>
      <w:r w:rsidRPr="00A575BB">
        <w:t xml:space="preserve">determination for </w:t>
      </w:r>
      <w:proofErr w:type="gramStart"/>
      <w:r w:rsidRPr="00A575BB">
        <w:t>TransGrid,</w:t>
      </w:r>
      <w:proofErr w:type="gramEnd"/>
      <w:r w:rsidRPr="00A575BB">
        <w:t xml:space="preserve"> see AER, </w:t>
      </w:r>
      <w:r w:rsidRPr="00EB319A">
        <w:rPr>
          <w:rStyle w:val="AERtextitalic"/>
        </w:rPr>
        <w:t>TransGrid</w:t>
      </w:r>
      <w:r>
        <w:rPr>
          <w:rStyle w:val="AERtextitalic"/>
        </w:rPr>
        <w:t xml:space="preserve"> transmission determination 2015–16 to </w:t>
      </w:r>
      <w:r w:rsidRPr="00EB319A">
        <w:rPr>
          <w:rStyle w:val="AERtextitalic"/>
        </w:rPr>
        <w:t>201</w:t>
      </w:r>
      <w:r>
        <w:rPr>
          <w:rStyle w:val="AERtextitalic"/>
        </w:rPr>
        <w:t>7</w:t>
      </w:r>
      <w:r w:rsidRPr="00EB319A">
        <w:rPr>
          <w:rStyle w:val="AERtextitalic"/>
          <w:rFonts w:hint="eastAsia"/>
        </w:rPr>
        <w:t>–</w:t>
      </w:r>
      <w:r w:rsidRPr="00EB319A">
        <w:rPr>
          <w:rStyle w:val="AERtextitalic"/>
        </w:rPr>
        <w:t>18</w:t>
      </w:r>
      <w:r>
        <w:t>, November</w:t>
      </w:r>
      <w:r w:rsidRPr="00A575BB">
        <w:t xml:space="preserve"> 2014</w:t>
      </w:r>
      <w:r>
        <w:t>, Attachment 1</w:t>
      </w:r>
      <w:r w:rsidRPr="00A575BB">
        <w:t xml:space="preserve">. </w:t>
      </w:r>
      <w:r>
        <w:t xml:space="preserve"> </w:t>
      </w:r>
    </w:p>
  </w:footnote>
  <w:footnote w:id="25">
    <w:p w:rsidR="00CE4D1A" w:rsidRDefault="00CE4D1A">
      <w:pPr>
        <w:pStyle w:val="FootnoteText"/>
      </w:pPr>
      <w:r>
        <w:rPr>
          <w:rStyle w:val="FootnoteReference"/>
        </w:rPr>
        <w:footnoteRef/>
      </w:r>
      <w:r>
        <w:t xml:space="preserve"> </w:t>
      </w:r>
      <w:r>
        <w:tab/>
      </w:r>
      <w:r w:rsidRPr="00E606D6">
        <w:t xml:space="preserve">This amount includes a forecast inflation rate of 2.5 per cent per annum. In real terms we estimate average distribution charges to decline by </w:t>
      </w:r>
      <w:r>
        <w:t>7.9</w:t>
      </w:r>
      <w:r w:rsidRPr="00E606D6">
        <w:t xml:space="preserve"> per cent per annum, compared to a decline of </w:t>
      </w:r>
      <w:r>
        <w:t>0.9</w:t>
      </w:r>
      <w:r w:rsidRPr="00E606D6">
        <w:t xml:space="preserve"> per cent proposed by </w:t>
      </w:r>
      <w:r>
        <w:t>Ausgrid</w:t>
      </w:r>
      <w:r w:rsidRPr="00E606D6">
        <w:t>.</w:t>
      </w:r>
    </w:p>
  </w:footnote>
  <w:footnote w:id="26">
    <w:p w:rsidR="00CE4D1A" w:rsidRDefault="00CE4D1A">
      <w:pPr>
        <w:pStyle w:val="FootnoteText"/>
      </w:pPr>
      <w:r>
        <w:rPr>
          <w:rStyle w:val="FootnoteReference"/>
        </w:rPr>
        <w:footnoteRef/>
      </w:r>
      <w:r>
        <w:t xml:space="preserve"> </w:t>
      </w:r>
      <w:r>
        <w:tab/>
      </w:r>
      <w:proofErr w:type="gramStart"/>
      <w:r w:rsidRPr="00CA283F">
        <w:t xml:space="preserve">Ausgrid, </w:t>
      </w:r>
      <w:r w:rsidRPr="00CA283F">
        <w:rPr>
          <w:rStyle w:val="AERtextitalic"/>
        </w:rPr>
        <w:t>Regulatory proposal</w:t>
      </w:r>
      <w:r w:rsidRPr="00CA283F">
        <w:t>,</w:t>
      </w:r>
      <w:r>
        <w:t xml:space="preserve"> May 2014, p. </w:t>
      </w:r>
      <w:r w:rsidRPr="00CA283F">
        <w:t>4.</w:t>
      </w:r>
      <w:proofErr w:type="gramEnd"/>
    </w:p>
  </w:footnote>
  <w:footnote w:id="27">
    <w:p w:rsidR="00CE4D1A" w:rsidRDefault="00CE4D1A">
      <w:pPr>
        <w:pStyle w:val="FootnoteText"/>
      </w:pPr>
      <w:r>
        <w:rPr>
          <w:rStyle w:val="FootnoteReference"/>
        </w:rPr>
        <w:footnoteRef/>
      </w:r>
      <w:r>
        <w:t xml:space="preserve"> </w:t>
      </w:r>
      <w:r>
        <w:tab/>
      </w:r>
      <w:r w:rsidRPr="003B2318">
        <w:t xml:space="preserve">IPART, </w:t>
      </w:r>
      <w:r w:rsidRPr="003B2318">
        <w:rPr>
          <w:rStyle w:val="AERtextitalic"/>
        </w:rPr>
        <w:t>Final report: Review of regulated retail prices for Electricity from 1 July 2013 to 30 June 2016</w:t>
      </w:r>
      <w:r w:rsidRPr="003B2318">
        <w:t>, June 2013, p. 5.</w:t>
      </w:r>
    </w:p>
  </w:footnote>
  <w:footnote w:id="28">
    <w:p w:rsidR="00382E4F" w:rsidRDefault="00382E4F" w:rsidP="00382E4F">
      <w:pPr>
        <w:pStyle w:val="FootnoteText"/>
      </w:pPr>
      <w:r>
        <w:rPr>
          <w:rStyle w:val="FootnoteReference"/>
        </w:rPr>
        <w:footnoteRef/>
      </w:r>
      <w:r>
        <w:t xml:space="preserve"> </w:t>
      </w:r>
      <w:r>
        <w:tab/>
        <w:t>We also include ActewAGL's and Directlink's transmission revenues–they operate transmission assets in NSW/ACT.</w:t>
      </w:r>
    </w:p>
  </w:footnote>
  <w:footnote w:id="29">
    <w:p w:rsidR="00CE4D1A" w:rsidRDefault="00CE4D1A" w:rsidP="007F7AA6">
      <w:pPr>
        <w:pStyle w:val="FootnoteText"/>
      </w:pPr>
      <w:r>
        <w:rPr>
          <w:rStyle w:val="FootnoteReference"/>
        </w:rPr>
        <w:footnoteRef/>
      </w:r>
      <w:r>
        <w:t xml:space="preserve"> </w:t>
      </w:r>
      <w:r>
        <w:tab/>
      </w:r>
      <w:proofErr w:type="gramStart"/>
      <w:r>
        <w:t>NER, cl. 6.4.4.</w:t>
      </w:r>
      <w:proofErr w:type="gramEnd"/>
    </w:p>
  </w:footnote>
  <w:footnote w:id="30">
    <w:p w:rsidR="00CE4D1A" w:rsidRDefault="00CE4D1A" w:rsidP="007F7AA6">
      <w:pPr>
        <w:pStyle w:val="FootnoteText"/>
      </w:pPr>
      <w:r>
        <w:rPr>
          <w:rStyle w:val="FootnoteReference"/>
        </w:rPr>
        <w:footnoteRef/>
      </w:r>
      <w:r>
        <w:t xml:space="preserve"> </w:t>
      </w:r>
      <w:r>
        <w:tab/>
      </w:r>
      <w:proofErr w:type="gramStart"/>
      <w:r>
        <w:t xml:space="preserve">AER, </w:t>
      </w:r>
      <w:r w:rsidRPr="006B7504">
        <w:rPr>
          <w:rStyle w:val="AERtextitalic"/>
        </w:rPr>
        <w:t>Shared asset guideline</w:t>
      </w:r>
      <w:r>
        <w:t>, November 2013.</w:t>
      </w:r>
      <w:proofErr w:type="gramEnd"/>
    </w:p>
  </w:footnote>
  <w:footnote w:id="31">
    <w:p w:rsidR="00CE4D1A" w:rsidRDefault="00CE4D1A" w:rsidP="007F7AA6">
      <w:pPr>
        <w:pStyle w:val="FootnoteText"/>
      </w:pPr>
      <w:r>
        <w:rPr>
          <w:rStyle w:val="FootnoteReference"/>
        </w:rPr>
        <w:footnoteRef/>
      </w:r>
      <w:r>
        <w:t xml:space="preserve"> </w:t>
      </w:r>
      <w:r>
        <w:tab/>
      </w:r>
      <w:proofErr w:type="gramStart"/>
      <w:r>
        <w:t>AER, Shared asset guideline, November 2013, p. 8.</w:t>
      </w:r>
      <w:proofErr w:type="gramEnd"/>
    </w:p>
  </w:footnote>
  <w:footnote w:id="32">
    <w:p w:rsidR="00CE4D1A" w:rsidRDefault="00CE4D1A" w:rsidP="007F7AA6">
      <w:pPr>
        <w:pStyle w:val="FootnoteText"/>
      </w:pPr>
      <w:r>
        <w:rPr>
          <w:rStyle w:val="FootnoteReference"/>
        </w:rPr>
        <w:footnoteRef/>
      </w:r>
      <w:r>
        <w:t xml:space="preserve"> </w:t>
      </w:r>
      <w:r>
        <w:tab/>
      </w:r>
      <w:proofErr w:type="gramStart"/>
      <w:r>
        <w:t>Ausgrid</w:t>
      </w:r>
      <w:r w:rsidRPr="000A1179">
        <w:t xml:space="preserve">, </w:t>
      </w:r>
      <w:r w:rsidRPr="000A1179">
        <w:rPr>
          <w:rStyle w:val="AERtextitalic"/>
        </w:rPr>
        <w:t>Regulatory proposal</w:t>
      </w:r>
      <w:r w:rsidRPr="000A1179">
        <w:t>, May</w:t>
      </w:r>
      <w:r>
        <w:t xml:space="preserve"> 2014, p. 25.</w:t>
      </w:r>
      <w:proofErr w:type="gramEnd"/>
    </w:p>
  </w:footnote>
  <w:footnote w:id="33">
    <w:p w:rsidR="00CE4D1A" w:rsidRDefault="00CE4D1A" w:rsidP="007F7AA6">
      <w:pPr>
        <w:pStyle w:val="FootnoteText"/>
      </w:pPr>
      <w:r>
        <w:rPr>
          <w:rStyle w:val="FootnoteReference"/>
        </w:rPr>
        <w:footnoteRef/>
      </w:r>
      <w:r>
        <w:t xml:space="preserve"> </w:t>
      </w:r>
      <w:r>
        <w:tab/>
      </w:r>
      <w:proofErr w:type="gramStart"/>
      <w:r>
        <w:t>Undertaken as we developed our</w:t>
      </w:r>
      <w:r w:rsidRPr="00F40AF1">
        <w:t xml:space="preserve"> shared asset guideline</w:t>
      </w:r>
      <w:r>
        <w:t>, during the 2013 calendar year, as part of our Better Regulation work program.</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556571F"/>
    <w:multiLevelType w:val="hybridMultilevel"/>
    <w:tmpl w:val="0570DE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0B102140"/>
    <w:multiLevelType w:val="multilevel"/>
    <w:tmpl w:val="39D4CB02"/>
    <w:numStyleLink w:val="AERnumberedlist"/>
  </w:abstractNum>
  <w:abstractNum w:abstractNumId="4">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13597CF9"/>
    <w:multiLevelType w:val="multilevel"/>
    <w:tmpl w:val="39D4CB02"/>
    <w:numStyleLink w:val="AERnumberedlist"/>
  </w:abstractNum>
  <w:abstractNum w:abstractNumId="6">
    <w:nsid w:val="176B27A6"/>
    <w:multiLevelType w:val="multilevel"/>
    <w:tmpl w:val="950A1C52"/>
    <w:numStyleLink w:val="AERHeadings"/>
  </w:abstractNum>
  <w:abstractNum w:abstractNumId="7">
    <w:nsid w:val="1972601F"/>
    <w:multiLevelType w:val="multilevel"/>
    <w:tmpl w:val="950A1C52"/>
    <w:numStyleLink w:val="AERHeadings"/>
  </w:abstractNum>
  <w:abstractNum w:abstractNumId="8">
    <w:nsid w:val="1DFA331B"/>
    <w:multiLevelType w:val="multilevel"/>
    <w:tmpl w:val="39D4CB02"/>
    <w:numStyleLink w:val="AERnumberedlist"/>
  </w:abstractNum>
  <w:abstractNum w:abstractNumId="9">
    <w:nsid w:val="233428C7"/>
    <w:multiLevelType w:val="multilevel"/>
    <w:tmpl w:val="39D4CB02"/>
    <w:numStyleLink w:val="AERnumberedlist"/>
  </w:abstractNum>
  <w:abstractNum w:abstractNumId="10">
    <w:nsid w:val="2776270C"/>
    <w:multiLevelType w:val="multilevel"/>
    <w:tmpl w:val="39D4CB02"/>
    <w:numStyleLink w:val="AERnumberedlist"/>
  </w:abstractNum>
  <w:abstractNum w:abstractNumId="11">
    <w:nsid w:val="281977C0"/>
    <w:multiLevelType w:val="multilevel"/>
    <w:tmpl w:val="950A1C52"/>
    <w:numStyleLink w:val="AERHeadings"/>
  </w:abstractNum>
  <w:abstractNum w:abstractNumId="12">
    <w:nsid w:val="295C7239"/>
    <w:multiLevelType w:val="multilevel"/>
    <w:tmpl w:val="950A1C52"/>
    <w:numStyleLink w:val="AERHeadings"/>
  </w:abstractNum>
  <w:abstractNum w:abstractNumId="13">
    <w:nsid w:val="2C2D6B9E"/>
    <w:multiLevelType w:val="multilevel"/>
    <w:tmpl w:val="950A1C52"/>
    <w:numStyleLink w:val="AERHeadings"/>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D386EA7"/>
    <w:multiLevelType w:val="multilevel"/>
    <w:tmpl w:val="950A1C52"/>
    <w:numStyleLink w:val="AERHeadings"/>
  </w:abstractNum>
  <w:abstractNum w:abstractNumId="28">
    <w:nsid w:val="5DCC1B18"/>
    <w:multiLevelType w:val="multilevel"/>
    <w:tmpl w:val="39D4CB02"/>
    <w:numStyleLink w:val="AERnumberedlist"/>
  </w:abstractNum>
  <w:abstractNum w:abstractNumId="29">
    <w:nsid w:val="68247CF7"/>
    <w:multiLevelType w:val="multilevel"/>
    <w:tmpl w:val="950A1C52"/>
    <w:numStyleLink w:val="AERHeadings"/>
  </w:abstractNum>
  <w:abstractNum w:abstractNumId="3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595980"/>
    <w:multiLevelType w:val="multilevel"/>
    <w:tmpl w:val="950A1C52"/>
    <w:numStyleLink w:val="AERHeadings"/>
  </w:abstractNum>
  <w:abstractNum w:abstractNumId="32">
    <w:nsid w:val="74F81DDF"/>
    <w:multiLevelType w:val="multilevel"/>
    <w:tmpl w:val="950A1C52"/>
    <w:numStyleLink w:val="AERHeadings"/>
  </w:abstractNum>
  <w:abstractNum w:abstractNumId="33">
    <w:nsid w:val="787F66A4"/>
    <w:multiLevelType w:val="multilevel"/>
    <w:tmpl w:val="950A1C52"/>
    <w:numStyleLink w:val="AERHeadings"/>
  </w:abstractNum>
  <w:abstractNum w:abstractNumId="34">
    <w:nsid w:val="7AAC6DD7"/>
    <w:multiLevelType w:val="multilevel"/>
    <w:tmpl w:val="950A1C52"/>
    <w:numStyleLink w:val="AERHeadings"/>
  </w:abstractNum>
  <w:abstractNum w:abstractNumId="35">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E97BF8"/>
    <w:multiLevelType w:val="multilevel"/>
    <w:tmpl w:val="950A1C52"/>
    <w:numStyleLink w:val="AERHeadings"/>
  </w:abstractNum>
  <w:abstractNum w:abstractNumId="37">
    <w:nsid w:val="7CDA0F5F"/>
    <w:multiLevelType w:val="multilevel"/>
    <w:tmpl w:val="950A1C52"/>
    <w:numStyleLink w:val="AERHeadings"/>
  </w:abstractNum>
  <w:num w:numId="1">
    <w:abstractNumId w:val="30"/>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2"/>
    <w:lvlOverride w:ilvl="0">
      <w:startOverride w:val="1"/>
    </w:lvlOverride>
  </w:num>
  <w:num w:numId="7">
    <w:abstractNumId w:val="20"/>
  </w:num>
  <w:num w:numId="8">
    <w:abstractNumId w:val="17"/>
  </w:num>
  <w:num w:numId="9">
    <w:abstractNumId w:val="35"/>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23"/>
  </w:num>
  <w:num w:numId="18">
    <w:abstractNumId w:val="8"/>
  </w:num>
  <w:num w:numId="19">
    <w:abstractNumId w:val="10"/>
  </w:num>
  <w:num w:numId="20">
    <w:abstractNumId w:val="32"/>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7"/>
  </w:num>
  <w:num w:numId="28">
    <w:abstractNumId w:val="18"/>
  </w:num>
  <w:num w:numId="29">
    <w:abstractNumId w:val="11"/>
  </w:num>
  <w:num w:numId="30">
    <w:abstractNumId w:val="6"/>
  </w:num>
  <w:num w:numId="31">
    <w:abstractNumId w:val="0"/>
  </w:num>
  <w:num w:numId="32">
    <w:abstractNumId w:val="7"/>
  </w:num>
  <w:num w:numId="33">
    <w:abstractNumId w:val="33"/>
  </w:num>
  <w:num w:numId="34">
    <w:abstractNumId w:val="29"/>
  </w:num>
  <w:num w:numId="35">
    <w:abstractNumId w:val="31"/>
  </w:num>
  <w:num w:numId="36">
    <w:abstractNumId w:val="36"/>
  </w:num>
  <w:num w:numId="37">
    <w:abstractNumId w:val="27"/>
  </w:num>
  <w:num w:numId="38">
    <w:abstractNumId w:val="13"/>
  </w:num>
  <w:num w:numId="39">
    <w:abstractNumId w:val="14"/>
  </w:num>
  <w:num w:numId="40">
    <w:abstractNumId w:val="21"/>
  </w:num>
  <w:num w:numId="41">
    <w:abstractNumId w:val="26"/>
  </w:num>
  <w:num w:numId="42">
    <w:abstractNumId w:val="5"/>
  </w:num>
  <w:num w:numId="43">
    <w:abstractNumId w:val="34"/>
  </w:num>
  <w:num w:numId="44">
    <w:abstractNumId w:val="24"/>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SCBRFS001\home$\jseym\AER\Resets\DNSP RAB Attachment.DOCX"/>
  </w:docVars>
  <w:rsids>
    <w:rsidRoot w:val="000C052F"/>
    <w:rsid w:val="000004AE"/>
    <w:rsid w:val="00007AC9"/>
    <w:rsid w:val="00011129"/>
    <w:rsid w:val="00022606"/>
    <w:rsid w:val="00023F9A"/>
    <w:rsid w:val="000248F8"/>
    <w:rsid w:val="00024C7F"/>
    <w:rsid w:val="000252FD"/>
    <w:rsid w:val="00030DEB"/>
    <w:rsid w:val="00034734"/>
    <w:rsid w:val="00040599"/>
    <w:rsid w:val="00040749"/>
    <w:rsid w:val="00053784"/>
    <w:rsid w:val="0006732D"/>
    <w:rsid w:val="00082AE2"/>
    <w:rsid w:val="0008351E"/>
    <w:rsid w:val="0009145F"/>
    <w:rsid w:val="000A1CC2"/>
    <w:rsid w:val="000A5342"/>
    <w:rsid w:val="000A7330"/>
    <w:rsid w:val="000B15CA"/>
    <w:rsid w:val="000B6509"/>
    <w:rsid w:val="000C052F"/>
    <w:rsid w:val="000C3430"/>
    <w:rsid w:val="000D03C2"/>
    <w:rsid w:val="000D04B1"/>
    <w:rsid w:val="000D07C4"/>
    <w:rsid w:val="000D2F26"/>
    <w:rsid w:val="000D401F"/>
    <w:rsid w:val="000D76C0"/>
    <w:rsid w:val="000E1A25"/>
    <w:rsid w:val="000E6418"/>
    <w:rsid w:val="000F3A6A"/>
    <w:rsid w:val="00101529"/>
    <w:rsid w:val="001033B3"/>
    <w:rsid w:val="00105401"/>
    <w:rsid w:val="00105636"/>
    <w:rsid w:val="00106E5F"/>
    <w:rsid w:val="001172C4"/>
    <w:rsid w:val="00125DAA"/>
    <w:rsid w:val="0013022D"/>
    <w:rsid w:val="00131287"/>
    <w:rsid w:val="001543D2"/>
    <w:rsid w:val="00164ED7"/>
    <w:rsid w:val="001708CC"/>
    <w:rsid w:val="00174026"/>
    <w:rsid w:val="00176F6F"/>
    <w:rsid w:val="00181C27"/>
    <w:rsid w:val="001840F7"/>
    <w:rsid w:val="001856EE"/>
    <w:rsid w:val="00194594"/>
    <w:rsid w:val="00194C3C"/>
    <w:rsid w:val="001A0446"/>
    <w:rsid w:val="001A5FEE"/>
    <w:rsid w:val="001B1A36"/>
    <w:rsid w:val="001B6619"/>
    <w:rsid w:val="001C12E5"/>
    <w:rsid w:val="001E0546"/>
    <w:rsid w:val="001E5110"/>
    <w:rsid w:val="001F003E"/>
    <w:rsid w:val="001F4E38"/>
    <w:rsid w:val="00201F14"/>
    <w:rsid w:val="002023C1"/>
    <w:rsid w:val="0020711E"/>
    <w:rsid w:val="00210880"/>
    <w:rsid w:val="0021112A"/>
    <w:rsid w:val="002163B6"/>
    <w:rsid w:val="002257B9"/>
    <w:rsid w:val="002275AB"/>
    <w:rsid w:val="0023137D"/>
    <w:rsid w:val="0023470D"/>
    <w:rsid w:val="002370BB"/>
    <w:rsid w:val="002371CC"/>
    <w:rsid w:val="00240002"/>
    <w:rsid w:val="00242644"/>
    <w:rsid w:val="002471E6"/>
    <w:rsid w:val="0025192B"/>
    <w:rsid w:val="002561CC"/>
    <w:rsid w:val="00262E2D"/>
    <w:rsid w:val="00266710"/>
    <w:rsid w:val="002805B8"/>
    <w:rsid w:val="002923B0"/>
    <w:rsid w:val="00293216"/>
    <w:rsid w:val="002938CE"/>
    <w:rsid w:val="00294715"/>
    <w:rsid w:val="00295CE5"/>
    <w:rsid w:val="002A72E3"/>
    <w:rsid w:val="002B4DF3"/>
    <w:rsid w:val="002B6640"/>
    <w:rsid w:val="002D61AC"/>
    <w:rsid w:val="002E3DA4"/>
    <w:rsid w:val="002E4720"/>
    <w:rsid w:val="002F319A"/>
    <w:rsid w:val="002F444C"/>
    <w:rsid w:val="002F4F98"/>
    <w:rsid w:val="00303452"/>
    <w:rsid w:val="00312D5F"/>
    <w:rsid w:val="00317AC7"/>
    <w:rsid w:val="00330981"/>
    <w:rsid w:val="003324F7"/>
    <w:rsid w:val="00334F88"/>
    <w:rsid w:val="0034050E"/>
    <w:rsid w:val="00342FC4"/>
    <w:rsid w:val="003437CC"/>
    <w:rsid w:val="00346D32"/>
    <w:rsid w:val="003509CA"/>
    <w:rsid w:val="00353A03"/>
    <w:rsid w:val="00356B64"/>
    <w:rsid w:val="003707DB"/>
    <w:rsid w:val="00370ADA"/>
    <w:rsid w:val="00375AEC"/>
    <w:rsid w:val="00376236"/>
    <w:rsid w:val="0037652C"/>
    <w:rsid w:val="003773E6"/>
    <w:rsid w:val="003800E4"/>
    <w:rsid w:val="00380CF0"/>
    <w:rsid w:val="00380FF5"/>
    <w:rsid w:val="00382E4F"/>
    <w:rsid w:val="00393B46"/>
    <w:rsid w:val="00393DDD"/>
    <w:rsid w:val="003A4421"/>
    <w:rsid w:val="003A6174"/>
    <w:rsid w:val="003B2318"/>
    <w:rsid w:val="003C5E75"/>
    <w:rsid w:val="003D762A"/>
    <w:rsid w:val="003E0B0C"/>
    <w:rsid w:val="003E7538"/>
    <w:rsid w:val="003F5BBF"/>
    <w:rsid w:val="004030AB"/>
    <w:rsid w:val="00412282"/>
    <w:rsid w:val="00413F4F"/>
    <w:rsid w:val="00424CC7"/>
    <w:rsid w:val="004256BA"/>
    <w:rsid w:val="00426118"/>
    <w:rsid w:val="004302BC"/>
    <w:rsid w:val="00431999"/>
    <w:rsid w:val="00433475"/>
    <w:rsid w:val="00435682"/>
    <w:rsid w:val="00436751"/>
    <w:rsid w:val="00436C61"/>
    <w:rsid w:val="0044359F"/>
    <w:rsid w:val="00446442"/>
    <w:rsid w:val="00452B1E"/>
    <w:rsid w:val="00456081"/>
    <w:rsid w:val="00460729"/>
    <w:rsid w:val="004647BC"/>
    <w:rsid w:val="00464F5D"/>
    <w:rsid w:val="00474FBD"/>
    <w:rsid w:val="00481870"/>
    <w:rsid w:val="00491D7D"/>
    <w:rsid w:val="00493D4E"/>
    <w:rsid w:val="00494EBC"/>
    <w:rsid w:val="004964DB"/>
    <w:rsid w:val="004B25F4"/>
    <w:rsid w:val="004C115A"/>
    <w:rsid w:val="004C3F45"/>
    <w:rsid w:val="004D3EA1"/>
    <w:rsid w:val="004D584B"/>
    <w:rsid w:val="004E2CFB"/>
    <w:rsid w:val="004E40EF"/>
    <w:rsid w:val="004E73F7"/>
    <w:rsid w:val="004F76A0"/>
    <w:rsid w:val="00500E7F"/>
    <w:rsid w:val="00503621"/>
    <w:rsid w:val="00514891"/>
    <w:rsid w:val="0052086D"/>
    <w:rsid w:val="0052179D"/>
    <w:rsid w:val="00525604"/>
    <w:rsid w:val="00540B74"/>
    <w:rsid w:val="0054495D"/>
    <w:rsid w:val="005456A9"/>
    <w:rsid w:val="00546C38"/>
    <w:rsid w:val="00550B4A"/>
    <w:rsid w:val="00555D52"/>
    <w:rsid w:val="005566D7"/>
    <w:rsid w:val="005568F5"/>
    <w:rsid w:val="00561F7F"/>
    <w:rsid w:val="005633BA"/>
    <w:rsid w:val="00566B35"/>
    <w:rsid w:val="005732CC"/>
    <w:rsid w:val="00574C50"/>
    <w:rsid w:val="00575422"/>
    <w:rsid w:val="00584ED6"/>
    <w:rsid w:val="005938C6"/>
    <w:rsid w:val="005A0431"/>
    <w:rsid w:val="005B26A3"/>
    <w:rsid w:val="005B3752"/>
    <w:rsid w:val="005B472C"/>
    <w:rsid w:val="005B5CED"/>
    <w:rsid w:val="005B61C2"/>
    <w:rsid w:val="005D26B7"/>
    <w:rsid w:val="005D4AA1"/>
    <w:rsid w:val="005D7586"/>
    <w:rsid w:val="005E106D"/>
    <w:rsid w:val="005E3E0C"/>
    <w:rsid w:val="005E4D26"/>
    <w:rsid w:val="005F2493"/>
    <w:rsid w:val="005F4EC7"/>
    <w:rsid w:val="005F5692"/>
    <w:rsid w:val="0060146C"/>
    <w:rsid w:val="0060207D"/>
    <w:rsid w:val="006039F2"/>
    <w:rsid w:val="006061B0"/>
    <w:rsid w:val="0060732E"/>
    <w:rsid w:val="006076A9"/>
    <w:rsid w:val="00611F7A"/>
    <w:rsid w:val="0061687E"/>
    <w:rsid w:val="006226A3"/>
    <w:rsid w:val="0063209B"/>
    <w:rsid w:val="00633FC5"/>
    <w:rsid w:val="006341BE"/>
    <w:rsid w:val="00645F0A"/>
    <w:rsid w:val="006470A7"/>
    <w:rsid w:val="006472EA"/>
    <w:rsid w:val="0065125A"/>
    <w:rsid w:val="006544EA"/>
    <w:rsid w:val="0066569F"/>
    <w:rsid w:val="00666707"/>
    <w:rsid w:val="00667592"/>
    <w:rsid w:val="00681ABE"/>
    <w:rsid w:val="0069004B"/>
    <w:rsid w:val="00691933"/>
    <w:rsid w:val="00697393"/>
    <w:rsid w:val="006B089D"/>
    <w:rsid w:val="006B08EB"/>
    <w:rsid w:val="006B481F"/>
    <w:rsid w:val="006E598B"/>
    <w:rsid w:val="006E6462"/>
    <w:rsid w:val="006F4792"/>
    <w:rsid w:val="006F638E"/>
    <w:rsid w:val="00701D42"/>
    <w:rsid w:val="00703E42"/>
    <w:rsid w:val="007224A7"/>
    <w:rsid w:val="007368AD"/>
    <w:rsid w:val="0074524B"/>
    <w:rsid w:val="007501A7"/>
    <w:rsid w:val="00751D2A"/>
    <w:rsid w:val="00755095"/>
    <w:rsid w:val="00760FF0"/>
    <w:rsid w:val="007614D6"/>
    <w:rsid w:val="00771929"/>
    <w:rsid w:val="00784A0C"/>
    <w:rsid w:val="007915C9"/>
    <w:rsid w:val="00796A07"/>
    <w:rsid w:val="007A5B03"/>
    <w:rsid w:val="007B7561"/>
    <w:rsid w:val="007C44EA"/>
    <w:rsid w:val="007E739C"/>
    <w:rsid w:val="007F10E3"/>
    <w:rsid w:val="007F27F6"/>
    <w:rsid w:val="007F2C0E"/>
    <w:rsid w:val="007F3EC2"/>
    <w:rsid w:val="007F7AA6"/>
    <w:rsid w:val="00804AEB"/>
    <w:rsid w:val="0082217B"/>
    <w:rsid w:val="00824CC8"/>
    <w:rsid w:val="0083510F"/>
    <w:rsid w:val="00836D17"/>
    <w:rsid w:val="00840A55"/>
    <w:rsid w:val="00841E25"/>
    <w:rsid w:val="00842E0B"/>
    <w:rsid w:val="0084378B"/>
    <w:rsid w:val="008464CD"/>
    <w:rsid w:val="008515EE"/>
    <w:rsid w:val="00854273"/>
    <w:rsid w:val="00861C4E"/>
    <w:rsid w:val="008624BE"/>
    <w:rsid w:val="00863504"/>
    <w:rsid w:val="0086575E"/>
    <w:rsid w:val="00866D21"/>
    <w:rsid w:val="00872D85"/>
    <w:rsid w:val="00883DDA"/>
    <w:rsid w:val="00891FF9"/>
    <w:rsid w:val="00893367"/>
    <w:rsid w:val="00893D07"/>
    <w:rsid w:val="00894AAF"/>
    <w:rsid w:val="00894CCE"/>
    <w:rsid w:val="008966E1"/>
    <w:rsid w:val="008A212B"/>
    <w:rsid w:val="008A7989"/>
    <w:rsid w:val="008B1547"/>
    <w:rsid w:val="008B1B4C"/>
    <w:rsid w:val="008B7956"/>
    <w:rsid w:val="008C3722"/>
    <w:rsid w:val="008C3B67"/>
    <w:rsid w:val="008C3F48"/>
    <w:rsid w:val="008C4CDB"/>
    <w:rsid w:val="008D49B4"/>
    <w:rsid w:val="008D7498"/>
    <w:rsid w:val="008F09E2"/>
    <w:rsid w:val="008F23CA"/>
    <w:rsid w:val="008F5640"/>
    <w:rsid w:val="008F7170"/>
    <w:rsid w:val="00914965"/>
    <w:rsid w:val="009209B7"/>
    <w:rsid w:val="009217C1"/>
    <w:rsid w:val="009323BC"/>
    <w:rsid w:val="00932E96"/>
    <w:rsid w:val="00937161"/>
    <w:rsid w:val="009372B0"/>
    <w:rsid w:val="00937BE1"/>
    <w:rsid w:val="009418E6"/>
    <w:rsid w:val="009421CF"/>
    <w:rsid w:val="0094235F"/>
    <w:rsid w:val="0094279F"/>
    <w:rsid w:val="0094506C"/>
    <w:rsid w:val="00946B98"/>
    <w:rsid w:val="0095052A"/>
    <w:rsid w:val="009516DF"/>
    <w:rsid w:val="0095400B"/>
    <w:rsid w:val="009658F0"/>
    <w:rsid w:val="009674CF"/>
    <w:rsid w:val="00971655"/>
    <w:rsid w:val="00971C63"/>
    <w:rsid w:val="00972175"/>
    <w:rsid w:val="00977167"/>
    <w:rsid w:val="00997FD8"/>
    <w:rsid w:val="009A3021"/>
    <w:rsid w:val="009A4AE9"/>
    <w:rsid w:val="009A6294"/>
    <w:rsid w:val="009A6926"/>
    <w:rsid w:val="009B6EC8"/>
    <w:rsid w:val="009C1944"/>
    <w:rsid w:val="009C71D5"/>
    <w:rsid w:val="009D0222"/>
    <w:rsid w:val="009F0BED"/>
    <w:rsid w:val="009F3302"/>
    <w:rsid w:val="009F7CE4"/>
    <w:rsid w:val="00A05831"/>
    <w:rsid w:val="00A11162"/>
    <w:rsid w:val="00A137E2"/>
    <w:rsid w:val="00A40EF9"/>
    <w:rsid w:val="00A43227"/>
    <w:rsid w:val="00A46CCD"/>
    <w:rsid w:val="00A46D1A"/>
    <w:rsid w:val="00A65133"/>
    <w:rsid w:val="00A652C5"/>
    <w:rsid w:val="00A72D3B"/>
    <w:rsid w:val="00A82897"/>
    <w:rsid w:val="00A85C5A"/>
    <w:rsid w:val="00A963AB"/>
    <w:rsid w:val="00A96A08"/>
    <w:rsid w:val="00A96A28"/>
    <w:rsid w:val="00AA0161"/>
    <w:rsid w:val="00AB04DD"/>
    <w:rsid w:val="00AB1D08"/>
    <w:rsid w:val="00AB4345"/>
    <w:rsid w:val="00AB5BD7"/>
    <w:rsid w:val="00AC0135"/>
    <w:rsid w:val="00AC070D"/>
    <w:rsid w:val="00AC0E54"/>
    <w:rsid w:val="00AC1B94"/>
    <w:rsid w:val="00AD0616"/>
    <w:rsid w:val="00AD34FF"/>
    <w:rsid w:val="00AD3769"/>
    <w:rsid w:val="00AD4DE6"/>
    <w:rsid w:val="00AD67B7"/>
    <w:rsid w:val="00AE6DBC"/>
    <w:rsid w:val="00AF3C9F"/>
    <w:rsid w:val="00AF3E95"/>
    <w:rsid w:val="00AF7C67"/>
    <w:rsid w:val="00B01C1A"/>
    <w:rsid w:val="00B15FE9"/>
    <w:rsid w:val="00B16151"/>
    <w:rsid w:val="00B2068B"/>
    <w:rsid w:val="00B20FFC"/>
    <w:rsid w:val="00B2132E"/>
    <w:rsid w:val="00B23683"/>
    <w:rsid w:val="00B26863"/>
    <w:rsid w:val="00B5166E"/>
    <w:rsid w:val="00B51883"/>
    <w:rsid w:val="00B5439E"/>
    <w:rsid w:val="00B61E84"/>
    <w:rsid w:val="00B61FD4"/>
    <w:rsid w:val="00B64740"/>
    <w:rsid w:val="00B674DB"/>
    <w:rsid w:val="00B77CE4"/>
    <w:rsid w:val="00B8258F"/>
    <w:rsid w:val="00B82E8D"/>
    <w:rsid w:val="00B856A1"/>
    <w:rsid w:val="00B879C4"/>
    <w:rsid w:val="00B9264D"/>
    <w:rsid w:val="00B94D99"/>
    <w:rsid w:val="00BA6A6F"/>
    <w:rsid w:val="00BB3FA1"/>
    <w:rsid w:val="00BB4A60"/>
    <w:rsid w:val="00BB62BB"/>
    <w:rsid w:val="00BC05C5"/>
    <w:rsid w:val="00BD04BE"/>
    <w:rsid w:val="00BD2697"/>
    <w:rsid w:val="00BD38CA"/>
    <w:rsid w:val="00BD52A1"/>
    <w:rsid w:val="00BD6113"/>
    <w:rsid w:val="00BE0630"/>
    <w:rsid w:val="00BE3A1E"/>
    <w:rsid w:val="00BE6F28"/>
    <w:rsid w:val="00BF0FCA"/>
    <w:rsid w:val="00BF29FA"/>
    <w:rsid w:val="00C04D2B"/>
    <w:rsid w:val="00C153D3"/>
    <w:rsid w:val="00C26943"/>
    <w:rsid w:val="00C35EA3"/>
    <w:rsid w:val="00C467BF"/>
    <w:rsid w:val="00C522BC"/>
    <w:rsid w:val="00C557F2"/>
    <w:rsid w:val="00C65A70"/>
    <w:rsid w:val="00C71333"/>
    <w:rsid w:val="00C737C5"/>
    <w:rsid w:val="00C73811"/>
    <w:rsid w:val="00C75483"/>
    <w:rsid w:val="00C85309"/>
    <w:rsid w:val="00C95B91"/>
    <w:rsid w:val="00CA283F"/>
    <w:rsid w:val="00CA3540"/>
    <w:rsid w:val="00CA6DED"/>
    <w:rsid w:val="00CB3CAC"/>
    <w:rsid w:val="00CC06E6"/>
    <w:rsid w:val="00CC49D4"/>
    <w:rsid w:val="00CD68D5"/>
    <w:rsid w:val="00CE4D1A"/>
    <w:rsid w:val="00CE6C8B"/>
    <w:rsid w:val="00CE6F5A"/>
    <w:rsid w:val="00CF42CF"/>
    <w:rsid w:val="00CF7237"/>
    <w:rsid w:val="00CF7741"/>
    <w:rsid w:val="00D01345"/>
    <w:rsid w:val="00D102E9"/>
    <w:rsid w:val="00D14242"/>
    <w:rsid w:val="00D1688F"/>
    <w:rsid w:val="00D2117F"/>
    <w:rsid w:val="00D21E31"/>
    <w:rsid w:val="00D25317"/>
    <w:rsid w:val="00D4656A"/>
    <w:rsid w:val="00D66E8B"/>
    <w:rsid w:val="00D75FEB"/>
    <w:rsid w:val="00D82B89"/>
    <w:rsid w:val="00D85715"/>
    <w:rsid w:val="00D8706C"/>
    <w:rsid w:val="00D938F3"/>
    <w:rsid w:val="00D9783D"/>
    <w:rsid w:val="00DA3D24"/>
    <w:rsid w:val="00DA4C62"/>
    <w:rsid w:val="00DA5F7B"/>
    <w:rsid w:val="00DB6A17"/>
    <w:rsid w:val="00DC388A"/>
    <w:rsid w:val="00DD4E84"/>
    <w:rsid w:val="00DD5520"/>
    <w:rsid w:val="00DE22F1"/>
    <w:rsid w:val="00DE65FD"/>
    <w:rsid w:val="00DE7A07"/>
    <w:rsid w:val="00DF16C2"/>
    <w:rsid w:val="00DF2291"/>
    <w:rsid w:val="00DF4772"/>
    <w:rsid w:val="00E00F76"/>
    <w:rsid w:val="00E02423"/>
    <w:rsid w:val="00E02D39"/>
    <w:rsid w:val="00E21E75"/>
    <w:rsid w:val="00E279A3"/>
    <w:rsid w:val="00E3496D"/>
    <w:rsid w:val="00E36379"/>
    <w:rsid w:val="00E519DC"/>
    <w:rsid w:val="00E52C06"/>
    <w:rsid w:val="00E577E2"/>
    <w:rsid w:val="00E57F38"/>
    <w:rsid w:val="00E606D6"/>
    <w:rsid w:val="00E622A8"/>
    <w:rsid w:val="00E6571F"/>
    <w:rsid w:val="00E77F29"/>
    <w:rsid w:val="00E807DA"/>
    <w:rsid w:val="00E83FAE"/>
    <w:rsid w:val="00E84E3A"/>
    <w:rsid w:val="00E90F39"/>
    <w:rsid w:val="00E91436"/>
    <w:rsid w:val="00E9267F"/>
    <w:rsid w:val="00E94C06"/>
    <w:rsid w:val="00E95642"/>
    <w:rsid w:val="00EA04FB"/>
    <w:rsid w:val="00EA05AF"/>
    <w:rsid w:val="00EA0896"/>
    <w:rsid w:val="00EA0E21"/>
    <w:rsid w:val="00EA53A7"/>
    <w:rsid w:val="00EB5CDF"/>
    <w:rsid w:val="00EC43B9"/>
    <w:rsid w:val="00ED2ADF"/>
    <w:rsid w:val="00ED4D69"/>
    <w:rsid w:val="00EE362F"/>
    <w:rsid w:val="00EE66EB"/>
    <w:rsid w:val="00EF0E19"/>
    <w:rsid w:val="00EF17A2"/>
    <w:rsid w:val="00EF79C4"/>
    <w:rsid w:val="00F073A5"/>
    <w:rsid w:val="00F114AE"/>
    <w:rsid w:val="00F15277"/>
    <w:rsid w:val="00F152D0"/>
    <w:rsid w:val="00F37EDD"/>
    <w:rsid w:val="00F43CA0"/>
    <w:rsid w:val="00F54216"/>
    <w:rsid w:val="00F55030"/>
    <w:rsid w:val="00F6178E"/>
    <w:rsid w:val="00F62F6A"/>
    <w:rsid w:val="00F7696F"/>
    <w:rsid w:val="00F8209B"/>
    <w:rsid w:val="00F83BC5"/>
    <w:rsid w:val="00F8634A"/>
    <w:rsid w:val="00F95EA9"/>
    <w:rsid w:val="00F96D26"/>
    <w:rsid w:val="00F97CD9"/>
    <w:rsid w:val="00FA0576"/>
    <w:rsid w:val="00FA1367"/>
    <w:rsid w:val="00FA433C"/>
    <w:rsid w:val="00FB0753"/>
    <w:rsid w:val="00FB18D0"/>
    <w:rsid w:val="00FB50B4"/>
    <w:rsid w:val="00FC41A0"/>
    <w:rsid w:val="00FD3B56"/>
    <w:rsid w:val="00FD4B97"/>
    <w:rsid w:val="00FD5190"/>
    <w:rsid w:val="00FE2C32"/>
    <w:rsid w:val="00FE55EB"/>
    <w:rsid w:val="00FF0110"/>
    <w:rsid w:val="00FF7DD3"/>
    <w:rsid w:val="00FF7E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3E0B0C"/>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Style 6 + 12 pt"/>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4490">
      <w:bodyDiv w:val="1"/>
      <w:marLeft w:val="0"/>
      <w:marRight w:val="0"/>
      <w:marTop w:val="0"/>
      <w:marBottom w:val="0"/>
      <w:divBdr>
        <w:top w:val="none" w:sz="0" w:space="0" w:color="auto"/>
        <w:left w:val="none" w:sz="0" w:space="0" w:color="auto"/>
        <w:bottom w:val="none" w:sz="0" w:space="0" w:color="auto"/>
        <w:right w:val="none" w:sz="0" w:space="0" w:color="auto"/>
      </w:divBdr>
    </w:div>
    <w:div w:id="222369380">
      <w:bodyDiv w:val="1"/>
      <w:marLeft w:val="0"/>
      <w:marRight w:val="0"/>
      <w:marTop w:val="0"/>
      <w:marBottom w:val="0"/>
      <w:divBdr>
        <w:top w:val="none" w:sz="0" w:space="0" w:color="auto"/>
        <w:left w:val="none" w:sz="0" w:space="0" w:color="auto"/>
        <w:bottom w:val="none" w:sz="0" w:space="0" w:color="auto"/>
        <w:right w:val="none" w:sz="0" w:space="0" w:color="auto"/>
      </w:divBdr>
    </w:div>
    <w:div w:id="520701672">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08941061">
      <w:bodyDiv w:val="1"/>
      <w:marLeft w:val="0"/>
      <w:marRight w:val="0"/>
      <w:marTop w:val="0"/>
      <w:marBottom w:val="0"/>
      <w:divBdr>
        <w:top w:val="none" w:sz="0" w:space="0" w:color="auto"/>
        <w:left w:val="none" w:sz="0" w:space="0" w:color="auto"/>
        <w:bottom w:val="none" w:sz="0" w:space="0" w:color="auto"/>
        <w:right w:val="none" w:sz="0" w:space="0" w:color="auto"/>
      </w:divBdr>
    </w:div>
    <w:div w:id="1216889471">
      <w:bodyDiv w:val="1"/>
      <w:marLeft w:val="0"/>
      <w:marRight w:val="0"/>
      <w:marTop w:val="0"/>
      <w:marBottom w:val="0"/>
      <w:divBdr>
        <w:top w:val="none" w:sz="0" w:space="0" w:color="auto"/>
        <w:left w:val="none" w:sz="0" w:space="0" w:color="auto"/>
        <w:bottom w:val="none" w:sz="0" w:space="0" w:color="auto"/>
        <w:right w:val="none" w:sz="0" w:space="0" w:color="auto"/>
      </w:divBdr>
    </w:div>
    <w:div w:id="1229652876">
      <w:bodyDiv w:val="1"/>
      <w:marLeft w:val="0"/>
      <w:marRight w:val="0"/>
      <w:marTop w:val="0"/>
      <w:marBottom w:val="0"/>
      <w:divBdr>
        <w:top w:val="none" w:sz="0" w:space="0" w:color="auto"/>
        <w:left w:val="none" w:sz="0" w:space="0" w:color="auto"/>
        <w:bottom w:val="none" w:sz="0" w:space="0" w:color="auto"/>
        <w:right w:val="none" w:sz="0" w:space="0" w:color="auto"/>
      </w:divBdr>
    </w:div>
    <w:div w:id="1309550230">
      <w:bodyDiv w:val="1"/>
      <w:marLeft w:val="0"/>
      <w:marRight w:val="0"/>
      <w:marTop w:val="0"/>
      <w:marBottom w:val="0"/>
      <w:divBdr>
        <w:top w:val="none" w:sz="0" w:space="0" w:color="auto"/>
        <w:left w:val="none" w:sz="0" w:space="0" w:color="auto"/>
        <w:bottom w:val="none" w:sz="0" w:space="0" w:color="auto"/>
        <w:right w:val="none" w:sz="0" w:space="0" w:color="auto"/>
      </w:divBdr>
    </w:div>
    <w:div w:id="1726097242">
      <w:bodyDiv w:val="1"/>
      <w:marLeft w:val="0"/>
      <w:marRight w:val="0"/>
      <w:marTop w:val="0"/>
      <w:marBottom w:val="0"/>
      <w:divBdr>
        <w:top w:val="none" w:sz="0" w:space="0" w:color="auto"/>
        <w:left w:val="none" w:sz="0" w:space="0" w:color="auto"/>
        <w:bottom w:val="none" w:sz="0" w:space="0" w:color="auto"/>
        <w:right w:val="none" w:sz="0" w:space="0" w:color="auto"/>
      </w:divBdr>
    </w:div>
    <w:div w:id="1795560666">
      <w:bodyDiv w:val="1"/>
      <w:marLeft w:val="0"/>
      <w:marRight w:val="0"/>
      <w:marTop w:val="0"/>
      <w:marBottom w:val="0"/>
      <w:divBdr>
        <w:top w:val="none" w:sz="0" w:space="0" w:color="auto"/>
        <w:left w:val="none" w:sz="0" w:space="0" w:color="auto"/>
        <w:bottom w:val="none" w:sz="0" w:space="0" w:color="auto"/>
        <w:right w:val="none" w:sz="0" w:space="0" w:color="auto"/>
      </w:divBdr>
    </w:div>
    <w:div w:id="1828864340">
      <w:bodyDiv w:val="1"/>
      <w:marLeft w:val="0"/>
      <w:marRight w:val="0"/>
      <w:marTop w:val="0"/>
      <w:marBottom w:val="0"/>
      <w:divBdr>
        <w:top w:val="none" w:sz="0" w:space="0" w:color="auto"/>
        <w:left w:val="none" w:sz="0" w:space="0" w:color="auto"/>
        <w:bottom w:val="none" w:sz="0" w:space="0" w:color="auto"/>
        <w:right w:val="none" w:sz="0" w:space="0" w:color="auto"/>
      </w:divBdr>
    </w:div>
    <w:div w:id="1908685371">
      <w:bodyDiv w:val="1"/>
      <w:marLeft w:val="0"/>
      <w:marRight w:val="0"/>
      <w:marTop w:val="0"/>
      <w:marBottom w:val="0"/>
      <w:divBdr>
        <w:top w:val="none" w:sz="0" w:space="0" w:color="auto"/>
        <w:left w:val="none" w:sz="0" w:space="0" w:color="auto"/>
        <w:bottom w:val="none" w:sz="0" w:space="0" w:color="auto"/>
        <w:right w:val="none" w:sz="0" w:space="0" w:color="auto"/>
      </w:divBdr>
    </w:div>
    <w:div w:id="1941060680">
      <w:bodyDiv w:val="1"/>
      <w:marLeft w:val="0"/>
      <w:marRight w:val="0"/>
      <w:marTop w:val="0"/>
      <w:marBottom w:val="0"/>
      <w:divBdr>
        <w:top w:val="none" w:sz="0" w:space="0" w:color="auto"/>
        <w:left w:val="none" w:sz="0" w:space="0" w:color="auto"/>
        <w:bottom w:val="none" w:sz="0" w:space="0" w:color="auto"/>
        <w:right w:val="none" w:sz="0" w:space="0" w:color="auto"/>
      </w:divBdr>
    </w:div>
    <w:div w:id="1952861667">
      <w:bodyDiv w:val="1"/>
      <w:marLeft w:val="0"/>
      <w:marRight w:val="0"/>
      <w:marTop w:val="0"/>
      <w:marBottom w:val="0"/>
      <w:divBdr>
        <w:top w:val="none" w:sz="0" w:space="0" w:color="auto"/>
        <w:left w:val="none" w:sz="0" w:space="0" w:color="auto"/>
        <w:bottom w:val="none" w:sz="0" w:space="0" w:color="auto"/>
        <w:right w:val="none" w:sz="0" w:space="0" w:color="auto"/>
      </w:divBdr>
    </w:div>
    <w:div w:id="213274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A6505FC1.dotm</Template>
  <TotalTime>0</TotalTime>
  <Pages>23</Pages>
  <Words>6459</Words>
  <Characters>36822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43195</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2014-11-26T06:42:00Z</dcterms:created>
  <dcterms:modified xsi:type="dcterms:W3CDTF">2014-11-26T06:43:00Z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8224450</vt:lpwstr>
  </property>
</Properties>
</file>