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2A2938B5" wp14:editId="0A714B14">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3434" cy="923502"/>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F21187" w:rsidP="002A4EF8">
      <w:pPr>
        <w:rPr>
          <w:b/>
          <w:sz w:val="36"/>
          <w:szCs w:val="36"/>
        </w:rPr>
      </w:pPr>
      <w:r>
        <w:rPr>
          <w:b/>
          <w:sz w:val="36"/>
          <w:szCs w:val="36"/>
        </w:rPr>
        <w:t>13</w:t>
      </w:r>
      <w:r w:rsidR="00366713">
        <w:rPr>
          <w:b/>
          <w:sz w:val="36"/>
          <w:szCs w:val="36"/>
        </w:rPr>
        <w:t xml:space="preserve"> </w:t>
      </w:r>
      <w:r w:rsidR="001761FF">
        <w:rPr>
          <w:b/>
          <w:sz w:val="36"/>
          <w:szCs w:val="36"/>
        </w:rPr>
        <w:t>–</w:t>
      </w:r>
      <w:r w:rsidR="00B04808">
        <w:rPr>
          <w:b/>
          <w:sz w:val="36"/>
          <w:szCs w:val="36"/>
        </w:rPr>
        <w:t> </w:t>
      </w:r>
      <w:r>
        <w:rPr>
          <w:b/>
          <w:sz w:val="36"/>
          <w:szCs w:val="36"/>
        </w:rPr>
        <w:t>19</w:t>
      </w:r>
      <w:r w:rsidR="00105D4E">
        <w:rPr>
          <w:b/>
          <w:sz w:val="36"/>
          <w:szCs w:val="36"/>
        </w:rPr>
        <w:t xml:space="preserve"> November </w:t>
      </w:r>
      <w:r w:rsidR="00FA25D4" w:rsidRPr="00C4712A">
        <w:rPr>
          <w:b/>
          <w:sz w:val="36"/>
          <w:szCs w:val="36"/>
        </w:rPr>
        <w:t>2016</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F21187" w:rsidRDefault="001D0CE3" w:rsidP="00DA331C">
      <w:pPr>
        <w:jc w:val="both"/>
        <w:rPr>
          <w:rFonts w:eastAsia="Times New Roman" w:cs="Arial"/>
          <w:bCs/>
          <w:lang w:eastAsia="en-AU"/>
        </w:rPr>
      </w:pPr>
      <w:r w:rsidRPr="00F21187">
        <w:fldChar w:fldCharType="begin"/>
      </w:r>
      <w:r w:rsidRPr="00F21187">
        <w:instrText xml:space="preserve"> REF _Ref410382491 \h </w:instrText>
      </w:r>
      <w:r w:rsidR="00215E19" w:rsidRPr="00F21187">
        <w:instrText xml:space="preserve"> \* MERGEFORMAT </w:instrText>
      </w:r>
      <w:r w:rsidRPr="00F21187">
        <w:fldChar w:fldCharType="separate"/>
      </w:r>
      <w:r w:rsidR="007A5525" w:rsidRPr="00BE2075">
        <w:t xml:space="preserve">Figure </w:t>
      </w:r>
      <w:r w:rsidR="007A5525">
        <w:t>1</w:t>
      </w:r>
      <w:r w:rsidRPr="00F21187">
        <w:fldChar w:fldCharType="end"/>
      </w:r>
      <w:r w:rsidRPr="00F21187">
        <w:t xml:space="preserve"> </w:t>
      </w:r>
      <w:r w:rsidR="00AF7058" w:rsidRPr="00F21187">
        <w:t xml:space="preserve">shows the spot prices that occurred in each region during the week </w:t>
      </w:r>
      <w:r w:rsidR="00F21187" w:rsidRPr="00F21187">
        <w:t xml:space="preserve">13 – 19 </w:t>
      </w:r>
      <w:r w:rsidR="00301ADD" w:rsidRPr="00F21187">
        <w:t xml:space="preserve">November </w:t>
      </w:r>
      <w:r w:rsidR="00FA25D4" w:rsidRPr="00F21187">
        <w:t>2016</w:t>
      </w:r>
      <w:r w:rsidR="00AF7058" w:rsidRPr="00F21187">
        <w:t>.</w:t>
      </w:r>
      <w:r w:rsidR="00E03725" w:rsidRPr="00F21187">
        <w:t xml:space="preserve"> </w:t>
      </w:r>
      <w:r w:rsidR="00FA614D">
        <w:t xml:space="preserve">The spot price in New South Wales </w:t>
      </w:r>
      <w:r w:rsidR="00252376">
        <w:t>reached $11 700</w:t>
      </w:r>
      <w:r w:rsidR="00FA614D">
        <w:t xml:space="preserve">/MWh on 18 November </w:t>
      </w:r>
      <w:r w:rsidR="00252376">
        <w:t xml:space="preserve">triggering our </w:t>
      </w:r>
      <w:r w:rsidR="00FA614D">
        <w:t xml:space="preserve">NER </w:t>
      </w:r>
      <w:r w:rsidR="00252376">
        <w:t xml:space="preserve">reporting </w:t>
      </w:r>
      <w:r w:rsidR="00FA614D">
        <w:t>obligations.</w:t>
      </w:r>
      <w:r w:rsidR="00252376">
        <w:t xml:space="preserve">  This report will be released before 18 January 2017.</w:t>
      </w:r>
    </w:p>
    <w:p w:rsidR="00BF4639" w:rsidRPr="00C4712A" w:rsidRDefault="00275002" w:rsidP="00405B42">
      <w:pPr>
        <w:pStyle w:val="Caption"/>
      </w:pPr>
      <w:bookmarkStart w:id="6" w:name="_Ref410382491"/>
      <w:bookmarkStart w:id="7" w:name="OLE_LINK28"/>
      <w:bookmarkStart w:id="8" w:name="OLE_LINK29"/>
      <w:r w:rsidRPr="00BE2075">
        <w:t xml:space="preserve">Figure </w:t>
      </w:r>
      <w:r w:rsidR="00CC1B19">
        <w:fldChar w:fldCharType="begin"/>
      </w:r>
      <w:r w:rsidR="00CC1B19">
        <w:instrText xml:space="preserve"> SEQ Figure \* ARABIC </w:instrText>
      </w:r>
      <w:r w:rsidR="00CC1B19">
        <w:fldChar w:fldCharType="separate"/>
      </w:r>
      <w:r w:rsidR="007A5525">
        <w:rPr>
          <w:noProof/>
        </w:rPr>
        <w:t>1</w:t>
      </w:r>
      <w:r w:rsidR="00CC1B19">
        <w:rPr>
          <w:noProof/>
        </w:rPr>
        <w:fldChar w:fldCharType="end"/>
      </w:r>
      <w:bookmarkEnd w:id="6"/>
      <w:r w:rsidRPr="00BE2075">
        <w:t>: Spot price by region ($/MWh)</w:t>
      </w:r>
    </w:p>
    <w:p w:rsidR="00EC05BF" w:rsidRDefault="000938FB" w:rsidP="00C4712A">
      <w:pPr>
        <w:pStyle w:val="Caption"/>
        <w:rPr>
          <w:bCs w:val="0"/>
          <w:lang w:eastAsia="en-AU"/>
        </w:rPr>
      </w:pPr>
      <w:r w:rsidRPr="000938FB">
        <w:rPr>
          <w:noProof/>
          <w:lang w:eastAsia="en-AU"/>
        </w:rPr>
        <w:drawing>
          <wp:inline distT="0" distB="0" distL="0" distR="0" wp14:anchorId="3759F125" wp14:editId="1084D8BC">
            <wp:extent cx="5725551" cy="3784209"/>
            <wp:effectExtent l="0" t="0" r="889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788148"/>
                    </a:xfrm>
                    <a:prstGeom prst="rect">
                      <a:avLst/>
                    </a:prstGeom>
                    <a:noFill/>
                    <a:ln>
                      <a:noFill/>
                    </a:ln>
                  </pic:spPr>
                </pic:pic>
              </a:graphicData>
            </a:graphic>
          </wp:inline>
        </w:drawing>
      </w:r>
    </w:p>
    <w:p w:rsidR="00275002" w:rsidRPr="000938FB" w:rsidRDefault="00275002" w:rsidP="001778E3">
      <w:pPr>
        <w:pStyle w:val="AERbodytext"/>
      </w:pPr>
      <w:r w:rsidRPr="000938FB">
        <w:fldChar w:fldCharType="begin"/>
      </w:r>
      <w:r w:rsidRPr="000938FB">
        <w:instrText xml:space="preserve"> REF _Ref410382517 \h </w:instrText>
      </w:r>
      <w:r w:rsidR="009A3D22" w:rsidRPr="000938FB">
        <w:instrText xml:space="preserve"> \* MERGEFORMAT </w:instrText>
      </w:r>
      <w:r w:rsidRPr="000938FB">
        <w:fldChar w:fldCharType="separate"/>
      </w:r>
      <w:r w:rsidR="007A5525" w:rsidRPr="00C4712A">
        <w:t xml:space="preserve">Figure </w:t>
      </w:r>
      <w:r w:rsidR="007A5525">
        <w:t>2</w:t>
      </w:r>
      <w:r w:rsidRPr="000938FB">
        <w:fldChar w:fldCharType="end"/>
      </w:r>
      <w:r w:rsidRPr="000938FB">
        <w:t xml:space="preserve"> shows the volume weighted average (VWA) prices for the current week (with prices shown in </w:t>
      </w:r>
      <w:r w:rsidRPr="000938FB">
        <w:fldChar w:fldCharType="begin"/>
      </w:r>
      <w:r w:rsidRPr="000938FB">
        <w:instrText xml:space="preserve"> REF _Ref410382587 \h </w:instrText>
      </w:r>
      <w:r w:rsidR="009A3D22" w:rsidRPr="000938FB">
        <w:instrText xml:space="preserve"> \* MERGEFORMAT </w:instrText>
      </w:r>
      <w:r w:rsidRPr="000938FB">
        <w:fldChar w:fldCharType="separate"/>
      </w:r>
      <w:r w:rsidR="007A5525" w:rsidRPr="009A7F75">
        <w:t xml:space="preserve">Table </w:t>
      </w:r>
      <w:r w:rsidR="007A5525">
        <w:t>1</w:t>
      </w:r>
      <w:r w:rsidRPr="000938FB">
        <w:fldChar w:fldCharType="end"/>
      </w:r>
      <w:r w:rsidRPr="000938FB">
        <w:t>) and the preceding 12 weeks, as well as the VWA price over the previous 3 financial years</w:t>
      </w:r>
      <w:r w:rsidR="00762D41" w:rsidRPr="000938FB">
        <w:t>.</w:t>
      </w:r>
    </w:p>
    <w:p w:rsidR="00275002" w:rsidRPr="00C4712A" w:rsidRDefault="00275002" w:rsidP="00F167CF">
      <w:pPr>
        <w:pStyle w:val="Caption"/>
        <w:spacing w:before="0" w:line="240" w:lineRule="auto"/>
      </w:pPr>
      <w:bookmarkStart w:id="9" w:name="_Ref410382517"/>
      <w:r w:rsidRPr="00C4712A">
        <w:lastRenderedPageBreak/>
        <w:t xml:space="preserve">Figure </w:t>
      </w:r>
      <w:r w:rsidR="00CC1B19">
        <w:fldChar w:fldCharType="begin"/>
      </w:r>
      <w:r w:rsidR="00CC1B19">
        <w:instrText xml:space="preserve"> SEQ Figure \* ARABIC </w:instrText>
      </w:r>
      <w:r w:rsidR="00CC1B19">
        <w:fldChar w:fldCharType="separate"/>
      </w:r>
      <w:r w:rsidR="007A5525">
        <w:rPr>
          <w:noProof/>
        </w:rPr>
        <w:t>2</w:t>
      </w:r>
      <w:r w:rsidR="00CC1B19">
        <w:rPr>
          <w:noProof/>
        </w:rPr>
        <w:fldChar w:fldCharType="end"/>
      </w:r>
      <w:bookmarkEnd w:id="9"/>
      <w:r w:rsidRPr="00C4712A">
        <w:t>: Volume weighted average spot price by region ($/MWh)</w:t>
      </w:r>
    </w:p>
    <w:p w:rsidR="001F22EE" w:rsidRDefault="000938FB" w:rsidP="00F167CF">
      <w:pPr>
        <w:spacing w:before="0" w:after="120" w:line="240" w:lineRule="auto"/>
      </w:pPr>
      <w:r w:rsidRPr="000938FB">
        <w:rPr>
          <w:noProof/>
          <w:lang w:eastAsia="en-AU"/>
        </w:rPr>
        <w:drawing>
          <wp:inline distT="0" distB="0" distL="0" distR="0" wp14:anchorId="537B51ED" wp14:editId="3D02E2B0">
            <wp:extent cx="5731510" cy="2860471"/>
            <wp:effectExtent l="0" t="0" r="2540" b="0"/>
            <wp:docPr id="11" name="Picture 11"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60471"/>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Default="00275002" w:rsidP="00F167CF">
      <w:pPr>
        <w:pStyle w:val="Caption"/>
        <w:spacing w:before="0" w:line="240" w:lineRule="auto"/>
      </w:pPr>
      <w:bookmarkStart w:id="10" w:name="_Ref410382587"/>
      <w:r w:rsidRPr="009A7F75">
        <w:t xml:space="preserve">Table </w:t>
      </w:r>
      <w:r w:rsidR="00CC1B19">
        <w:fldChar w:fldCharType="begin"/>
      </w:r>
      <w:r w:rsidR="00CC1B19">
        <w:instrText xml:space="preserve"> SEQ Table \* ARABIC </w:instrText>
      </w:r>
      <w:r w:rsidR="00CC1B19">
        <w:fldChar w:fldCharType="separate"/>
      </w:r>
      <w:r w:rsidR="007A5525">
        <w:rPr>
          <w:noProof/>
        </w:rPr>
        <w:t>1</w:t>
      </w:r>
      <w:r w:rsidR="00CC1B19">
        <w:rPr>
          <w:noProof/>
        </w:rPr>
        <w:fldChar w:fldCharType="end"/>
      </w:r>
      <w:bookmarkEnd w:id="10"/>
      <w:r w:rsidRPr="009A7F75">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B95B0D">
            <w:pPr>
              <w:spacing w:before="120"/>
              <w:jc w:val="center"/>
              <w:rPr>
                <w:sz w:val="20"/>
              </w:rPr>
            </w:pPr>
            <w:r w:rsidRPr="00C4712A">
              <w:rPr>
                <w:sz w:val="20"/>
              </w:rPr>
              <w:t>Region</w:t>
            </w:r>
          </w:p>
        </w:tc>
        <w:tc>
          <w:tcPr>
            <w:tcW w:w="728" w:type="pct"/>
            <w:noWrap/>
            <w:vAlign w:val="center"/>
            <w:hideMark/>
          </w:tcPr>
          <w:p w:rsidR="00B92CD5" w:rsidRPr="00C4712A" w:rsidRDefault="00B92CD5" w:rsidP="00B95B0D">
            <w:pPr>
              <w:spacing w:before="120"/>
              <w:jc w:val="center"/>
              <w:rPr>
                <w:sz w:val="20"/>
              </w:rPr>
            </w:pPr>
            <w:r w:rsidRPr="00C4712A">
              <w:rPr>
                <w:sz w:val="20"/>
              </w:rPr>
              <w:t>Qld</w:t>
            </w:r>
          </w:p>
        </w:tc>
        <w:tc>
          <w:tcPr>
            <w:tcW w:w="729" w:type="pct"/>
            <w:noWrap/>
            <w:vAlign w:val="center"/>
            <w:hideMark/>
          </w:tcPr>
          <w:p w:rsidR="00B92CD5" w:rsidRPr="00C4712A" w:rsidRDefault="00B92CD5" w:rsidP="00B95B0D">
            <w:pPr>
              <w:spacing w:before="120"/>
              <w:jc w:val="center"/>
              <w:rPr>
                <w:sz w:val="20"/>
              </w:rPr>
            </w:pPr>
            <w:r w:rsidRPr="00C4712A">
              <w:rPr>
                <w:sz w:val="20"/>
              </w:rPr>
              <w:t>NSW</w:t>
            </w:r>
          </w:p>
        </w:tc>
        <w:tc>
          <w:tcPr>
            <w:tcW w:w="728" w:type="pct"/>
            <w:noWrap/>
            <w:vAlign w:val="center"/>
            <w:hideMark/>
          </w:tcPr>
          <w:p w:rsidR="00B92CD5" w:rsidRPr="00C4712A" w:rsidRDefault="00B92CD5" w:rsidP="00B95B0D">
            <w:pPr>
              <w:spacing w:before="120"/>
              <w:jc w:val="center"/>
              <w:rPr>
                <w:sz w:val="20"/>
              </w:rPr>
            </w:pPr>
            <w:r w:rsidRPr="00C4712A">
              <w:rPr>
                <w:sz w:val="20"/>
              </w:rPr>
              <w:t>Vic</w:t>
            </w:r>
          </w:p>
        </w:tc>
        <w:tc>
          <w:tcPr>
            <w:tcW w:w="729" w:type="pct"/>
            <w:noWrap/>
            <w:vAlign w:val="center"/>
            <w:hideMark/>
          </w:tcPr>
          <w:p w:rsidR="00B92CD5" w:rsidRPr="00C4712A" w:rsidRDefault="00B92CD5" w:rsidP="00B95B0D">
            <w:pPr>
              <w:spacing w:before="120"/>
              <w:jc w:val="center"/>
              <w:rPr>
                <w:sz w:val="20"/>
              </w:rPr>
            </w:pPr>
            <w:r w:rsidRPr="00C4712A">
              <w:rPr>
                <w:sz w:val="20"/>
              </w:rPr>
              <w:t>SA</w:t>
            </w:r>
          </w:p>
        </w:tc>
        <w:tc>
          <w:tcPr>
            <w:tcW w:w="729" w:type="pct"/>
            <w:noWrap/>
            <w:vAlign w:val="center"/>
            <w:hideMark/>
          </w:tcPr>
          <w:p w:rsidR="00B92CD5" w:rsidRPr="00C4712A" w:rsidRDefault="00B92CD5" w:rsidP="00B95B0D">
            <w:pPr>
              <w:spacing w:before="120"/>
              <w:jc w:val="center"/>
              <w:rPr>
                <w:sz w:val="20"/>
              </w:rPr>
            </w:pPr>
            <w:proofErr w:type="spellStart"/>
            <w:r w:rsidRPr="00C4712A">
              <w:rPr>
                <w:sz w:val="20"/>
              </w:rPr>
              <w:t>Tas</w:t>
            </w:r>
            <w:proofErr w:type="spellEnd"/>
          </w:p>
        </w:tc>
      </w:tr>
      <w:tr w:rsidR="001D1597" w:rsidRPr="00C4712A" w:rsidTr="003077EF">
        <w:trPr>
          <w:trHeight w:hRule="exact" w:val="340"/>
        </w:trPr>
        <w:tc>
          <w:tcPr>
            <w:tcW w:w="1357" w:type="pct"/>
            <w:noWrap/>
            <w:hideMark/>
          </w:tcPr>
          <w:p w:rsidR="001D1597" w:rsidRPr="00B95B0D" w:rsidRDefault="001D1597" w:rsidP="000D05BD">
            <w:pPr>
              <w:spacing w:before="60" w:afterLines="120" w:after="288"/>
              <w:rPr>
                <w:rFonts w:cs="Arial"/>
                <w:bCs/>
                <w:sz w:val="20"/>
                <w:szCs w:val="20"/>
              </w:rPr>
            </w:pPr>
            <w:r w:rsidRPr="00B95B0D">
              <w:rPr>
                <w:rFonts w:cs="Arial"/>
                <w:bCs/>
                <w:sz w:val="20"/>
                <w:szCs w:val="20"/>
              </w:rPr>
              <w:t>Current week</w:t>
            </w:r>
          </w:p>
        </w:tc>
        <w:tc>
          <w:tcPr>
            <w:tcW w:w="728" w:type="pct"/>
            <w:noWrap/>
            <w:vAlign w:val="center"/>
          </w:tcPr>
          <w:p w:rsidR="001D1597" w:rsidRPr="005D0D61" w:rsidRDefault="003A4136" w:rsidP="005D0D61">
            <w:pPr>
              <w:spacing w:before="60" w:afterLines="120" w:after="288"/>
              <w:jc w:val="center"/>
              <w:rPr>
                <w:rFonts w:eastAsia="Times New Roman" w:cs="Arial"/>
                <w:sz w:val="20"/>
                <w:szCs w:val="20"/>
                <w:lang w:eastAsia="en-AU"/>
              </w:rPr>
            </w:pPr>
            <w:r>
              <w:rPr>
                <w:rFonts w:eastAsia="Times New Roman" w:cs="Arial"/>
                <w:sz w:val="20"/>
                <w:szCs w:val="20"/>
                <w:lang w:eastAsia="en-AU"/>
              </w:rPr>
              <w:t>72</w:t>
            </w:r>
          </w:p>
        </w:tc>
        <w:tc>
          <w:tcPr>
            <w:tcW w:w="729" w:type="pct"/>
            <w:noWrap/>
            <w:vAlign w:val="center"/>
          </w:tcPr>
          <w:p w:rsidR="001D1597" w:rsidRPr="005D0D61" w:rsidRDefault="003A4136" w:rsidP="005D0D61">
            <w:pPr>
              <w:spacing w:before="60" w:afterLines="120" w:after="288"/>
              <w:jc w:val="center"/>
              <w:rPr>
                <w:rFonts w:eastAsia="Times New Roman" w:cs="Arial"/>
                <w:sz w:val="20"/>
                <w:szCs w:val="20"/>
                <w:lang w:eastAsia="en-AU"/>
              </w:rPr>
            </w:pPr>
            <w:r>
              <w:rPr>
                <w:rFonts w:eastAsia="Times New Roman" w:cs="Arial"/>
                <w:sz w:val="20"/>
                <w:szCs w:val="20"/>
                <w:lang w:eastAsia="en-AU"/>
              </w:rPr>
              <w:t>150</w:t>
            </w:r>
          </w:p>
        </w:tc>
        <w:tc>
          <w:tcPr>
            <w:tcW w:w="728" w:type="pct"/>
            <w:noWrap/>
            <w:vAlign w:val="center"/>
          </w:tcPr>
          <w:p w:rsidR="001D1597" w:rsidRPr="005D0D61" w:rsidRDefault="003A4136" w:rsidP="005D0D61">
            <w:pPr>
              <w:spacing w:before="60" w:afterLines="120" w:after="288"/>
              <w:jc w:val="center"/>
              <w:rPr>
                <w:rFonts w:eastAsia="Times New Roman" w:cs="Arial"/>
                <w:sz w:val="20"/>
                <w:szCs w:val="20"/>
                <w:lang w:eastAsia="en-AU"/>
              </w:rPr>
            </w:pPr>
            <w:r>
              <w:rPr>
                <w:rFonts w:eastAsia="Times New Roman" w:cs="Arial"/>
                <w:sz w:val="20"/>
                <w:szCs w:val="20"/>
                <w:lang w:eastAsia="en-AU"/>
              </w:rPr>
              <w:t>29</w:t>
            </w:r>
          </w:p>
        </w:tc>
        <w:tc>
          <w:tcPr>
            <w:tcW w:w="729" w:type="pct"/>
            <w:noWrap/>
            <w:vAlign w:val="center"/>
          </w:tcPr>
          <w:p w:rsidR="001D1597" w:rsidRPr="005D0D61" w:rsidRDefault="003A4136" w:rsidP="005D0D61">
            <w:pPr>
              <w:spacing w:before="60" w:afterLines="120" w:after="288"/>
              <w:jc w:val="center"/>
              <w:rPr>
                <w:rFonts w:eastAsia="Times New Roman" w:cs="Arial"/>
                <w:sz w:val="20"/>
                <w:szCs w:val="20"/>
                <w:lang w:eastAsia="en-AU"/>
              </w:rPr>
            </w:pPr>
            <w:r>
              <w:rPr>
                <w:rFonts w:eastAsia="Times New Roman" w:cs="Arial"/>
                <w:sz w:val="20"/>
                <w:szCs w:val="20"/>
                <w:lang w:eastAsia="en-AU"/>
              </w:rPr>
              <w:t>67</w:t>
            </w:r>
          </w:p>
        </w:tc>
        <w:tc>
          <w:tcPr>
            <w:tcW w:w="729" w:type="pct"/>
            <w:noWrap/>
            <w:vAlign w:val="center"/>
          </w:tcPr>
          <w:p w:rsidR="001D1597" w:rsidRPr="005D0D61" w:rsidRDefault="003A4136" w:rsidP="005D0D61">
            <w:pPr>
              <w:spacing w:before="60" w:afterLines="120" w:after="288"/>
              <w:jc w:val="center"/>
              <w:rPr>
                <w:rFonts w:eastAsia="Times New Roman" w:cs="Arial"/>
                <w:sz w:val="20"/>
                <w:szCs w:val="20"/>
                <w:lang w:eastAsia="en-AU"/>
              </w:rPr>
            </w:pPr>
            <w:r>
              <w:rPr>
                <w:rFonts w:eastAsia="Times New Roman" w:cs="Arial"/>
                <w:sz w:val="20"/>
                <w:szCs w:val="20"/>
                <w:lang w:eastAsia="en-AU"/>
              </w:rPr>
              <w:t>33</w:t>
            </w:r>
          </w:p>
        </w:tc>
      </w:tr>
      <w:tr w:rsidR="001D1597" w:rsidRPr="00C4712A" w:rsidTr="003077EF">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hideMark/>
          </w:tcPr>
          <w:p w:rsidR="001D1597" w:rsidRPr="00B95B0D" w:rsidRDefault="001D1597" w:rsidP="000D05BD">
            <w:pPr>
              <w:spacing w:before="60" w:afterLines="120" w:after="288"/>
              <w:rPr>
                <w:rFonts w:cs="Arial"/>
                <w:bCs/>
                <w:szCs w:val="20"/>
              </w:rPr>
            </w:pPr>
            <w:r w:rsidRPr="00B95B0D">
              <w:rPr>
                <w:rFonts w:cs="Arial"/>
                <w:bCs/>
                <w:szCs w:val="20"/>
              </w:rPr>
              <w:t>15-16 financial YTD</w:t>
            </w:r>
          </w:p>
        </w:tc>
        <w:tc>
          <w:tcPr>
            <w:tcW w:w="728" w:type="pct"/>
            <w:noWrap/>
            <w:vAlign w:val="center"/>
          </w:tcPr>
          <w:p w:rsidR="001D1597" w:rsidRPr="005D0D61" w:rsidRDefault="001D1597" w:rsidP="005D0D61">
            <w:pPr>
              <w:spacing w:before="60" w:afterLines="120" w:after="288"/>
              <w:jc w:val="center"/>
              <w:rPr>
                <w:rFonts w:eastAsia="Times New Roman" w:cs="Arial"/>
                <w:szCs w:val="20"/>
                <w:lang w:eastAsia="en-AU"/>
              </w:rPr>
            </w:pPr>
            <w:r w:rsidRPr="005D0D61">
              <w:rPr>
                <w:rFonts w:eastAsia="Times New Roman" w:cs="Arial"/>
                <w:szCs w:val="20"/>
                <w:lang w:eastAsia="en-AU"/>
              </w:rPr>
              <w:t>4</w:t>
            </w:r>
            <w:r w:rsidR="003A4136">
              <w:rPr>
                <w:rFonts w:eastAsia="Times New Roman" w:cs="Arial"/>
                <w:szCs w:val="20"/>
                <w:lang w:eastAsia="en-AU"/>
              </w:rPr>
              <w:t>3</w:t>
            </w:r>
          </w:p>
        </w:tc>
        <w:tc>
          <w:tcPr>
            <w:tcW w:w="729" w:type="pct"/>
            <w:noWrap/>
            <w:vAlign w:val="center"/>
          </w:tcPr>
          <w:p w:rsidR="001D1597" w:rsidRPr="005D0D61" w:rsidRDefault="001D1597" w:rsidP="005D0D61">
            <w:pPr>
              <w:spacing w:before="60" w:afterLines="120" w:after="288"/>
              <w:jc w:val="center"/>
              <w:rPr>
                <w:rFonts w:eastAsia="Times New Roman" w:cs="Arial"/>
                <w:szCs w:val="20"/>
                <w:lang w:eastAsia="en-AU"/>
              </w:rPr>
            </w:pPr>
            <w:r w:rsidRPr="005D0D61">
              <w:rPr>
                <w:rFonts w:eastAsia="Times New Roman" w:cs="Arial"/>
                <w:szCs w:val="20"/>
                <w:lang w:eastAsia="en-AU"/>
              </w:rPr>
              <w:t>4</w:t>
            </w:r>
            <w:r w:rsidR="003A4136">
              <w:rPr>
                <w:rFonts w:eastAsia="Times New Roman" w:cs="Arial"/>
                <w:szCs w:val="20"/>
                <w:lang w:eastAsia="en-AU"/>
              </w:rPr>
              <w:t>4</w:t>
            </w:r>
          </w:p>
        </w:tc>
        <w:tc>
          <w:tcPr>
            <w:tcW w:w="728" w:type="pct"/>
            <w:noWrap/>
            <w:vAlign w:val="center"/>
          </w:tcPr>
          <w:p w:rsidR="001D1597" w:rsidRPr="005D0D61" w:rsidRDefault="003A4136" w:rsidP="005D0D61">
            <w:pPr>
              <w:spacing w:before="60" w:afterLines="120" w:after="288"/>
              <w:jc w:val="center"/>
              <w:rPr>
                <w:rFonts w:eastAsia="Times New Roman" w:cs="Arial"/>
                <w:szCs w:val="20"/>
                <w:lang w:eastAsia="en-AU"/>
              </w:rPr>
            </w:pPr>
            <w:r>
              <w:rPr>
                <w:rFonts w:eastAsia="Times New Roman" w:cs="Arial"/>
                <w:szCs w:val="20"/>
                <w:lang w:eastAsia="en-AU"/>
              </w:rPr>
              <w:t>38</w:t>
            </w:r>
          </w:p>
        </w:tc>
        <w:tc>
          <w:tcPr>
            <w:tcW w:w="729" w:type="pct"/>
            <w:noWrap/>
            <w:vAlign w:val="center"/>
          </w:tcPr>
          <w:p w:rsidR="001D1597" w:rsidRPr="005D0D61" w:rsidRDefault="001D1597" w:rsidP="005D0D61">
            <w:pPr>
              <w:spacing w:before="60" w:afterLines="120" w:after="288"/>
              <w:jc w:val="center"/>
              <w:rPr>
                <w:rFonts w:eastAsia="Times New Roman" w:cs="Arial"/>
                <w:szCs w:val="20"/>
                <w:lang w:eastAsia="en-AU"/>
              </w:rPr>
            </w:pPr>
            <w:r w:rsidRPr="005D0D61">
              <w:rPr>
                <w:rFonts w:eastAsia="Times New Roman" w:cs="Arial"/>
                <w:szCs w:val="20"/>
                <w:lang w:eastAsia="en-AU"/>
              </w:rPr>
              <w:t>6</w:t>
            </w:r>
            <w:r w:rsidR="003A4136">
              <w:rPr>
                <w:rFonts w:eastAsia="Times New Roman" w:cs="Arial"/>
                <w:szCs w:val="20"/>
                <w:lang w:eastAsia="en-AU"/>
              </w:rPr>
              <w:t>2</w:t>
            </w:r>
          </w:p>
        </w:tc>
        <w:tc>
          <w:tcPr>
            <w:tcW w:w="729" w:type="pct"/>
            <w:noWrap/>
            <w:vAlign w:val="center"/>
          </w:tcPr>
          <w:p w:rsidR="001D1597" w:rsidRPr="005D0D61" w:rsidRDefault="001D1597" w:rsidP="005D0D61">
            <w:pPr>
              <w:spacing w:before="60" w:afterLines="120" w:after="288"/>
              <w:jc w:val="center"/>
              <w:rPr>
                <w:rFonts w:eastAsia="Times New Roman" w:cs="Arial"/>
                <w:szCs w:val="20"/>
                <w:lang w:eastAsia="en-AU"/>
              </w:rPr>
            </w:pPr>
            <w:r w:rsidRPr="005D0D61">
              <w:rPr>
                <w:rFonts w:eastAsia="Times New Roman" w:cs="Arial"/>
                <w:szCs w:val="20"/>
                <w:lang w:eastAsia="en-AU"/>
              </w:rPr>
              <w:t>4</w:t>
            </w:r>
            <w:r w:rsidR="003A4136">
              <w:rPr>
                <w:rFonts w:eastAsia="Times New Roman" w:cs="Arial"/>
                <w:szCs w:val="20"/>
                <w:lang w:eastAsia="en-AU"/>
              </w:rPr>
              <w:t>7</w:t>
            </w:r>
          </w:p>
        </w:tc>
      </w:tr>
      <w:tr w:rsidR="001D1597" w:rsidRPr="00C4712A" w:rsidTr="003077EF">
        <w:trPr>
          <w:trHeight w:hRule="exact" w:val="340"/>
        </w:trPr>
        <w:tc>
          <w:tcPr>
            <w:tcW w:w="1357" w:type="pct"/>
            <w:noWrap/>
            <w:hideMark/>
          </w:tcPr>
          <w:p w:rsidR="001D1597" w:rsidRPr="00B95B0D" w:rsidRDefault="001D1597" w:rsidP="000D05BD">
            <w:pPr>
              <w:spacing w:before="60" w:afterLines="120" w:after="288"/>
              <w:rPr>
                <w:rFonts w:cs="Arial"/>
                <w:bCs/>
                <w:sz w:val="20"/>
                <w:szCs w:val="20"/>
              </w:rPr>
            </w:pPr>
            <w:r w:rsidRPr="00B95B0D">
              <w:rPr>
                <w:rFonts w:cs="Arial"/>
                <w:bCs/>
                <w:sz w:val="20"/>
                <w:szCs w:val="20"/>
              </w:rPr>
              <w:t>16-17 financial YTD</w:t>
            </w:r>
          </w:p>
        </w:tc>
        <w:tc>
          <w:tcPr>
            <w:tcW w:w="728" w:type="pct"/>
            <w:noWrap/>
            <w:vAlign w:val="center"/>
          </w:tcPr>
          <w:p w:rsidR="001D1597" w:rsidRPr="005D0D61" w:rsidRDefault="001D1597" w:rsidP="005D0D61">
            <w:pPr>
              <w:spacing w:before="60" w:afterLines="120" w:after="288"/>
              <w:jc w:val="center"/>
              <w:rPr>
                <w:rFonts w:eastAsia="Times New Roman" w:cs="Arial"/>
                <w:sz w:val="20"/>
                <w:szCs w:val="20"/>
                <w:lang w:eastAsia="en-AU"/>
              </w:rPr>
            </w:pPr>
            <w:r w:rsidRPr="005D0D61">
              <w:rPr>
                <w:rFonts w:eastAsia="Times New Roman" w:cs="Arial"/>
                <w:sz w:val="20"/>
                <w:szCs w:val="20"/>
                <w:lang w:eastAsia="en-AU"/>
              </w:rPr>
              <w:t>5</w:t>
            </w:r>
            <w:r w:rsidR="003A4136">
              <w:rPr>
                <w:rFonts w:eastAsia="Times New Roman" w:cs="Arial"/>
                <w:sz w:val="20"/>
                <w:szCs w:val="20"/>
                <w:lang w:eastAsia="en-AU"/>
              </w:rPr>
              <w:t>7</w:t>
            </w:r>
          </w:p>
        </w:tc>
        <w:tc>
          <w:tcPr>
            <w:tcW w:w="729" w:type="pct"/>
            <w:noWrap/>
            <w:vAlign w:val="center"/>
          </w:tcPr>
          <w:p w:rsidR="001D1597" w:rsidRPr="005D0D61" w:rsidRDefault="003A4136" w:rsidP="005D0D61">
            <w:pPr>
              <w:spacing w:before="60" w:afterLines="120" w:after="288"/>
              <w:jc w:val="center"/>
              <w:rPr>
                <w:rFonts w:eastAsia="Times New Roman" w:cs="Arial"/>
                <w:sz w:val="20"/>
                <w:szCs w:val="20"/>
                <w:lang w:eastAsia="en-AU"/>
              </w:rPr>
            </w:pPr>
            <w:r>
              <w:rPr>
                <w:rFonts w:eastAsia="Times New Roman" w:cs="Arial"/>
                <w:sz w:val="20"/>
                <w:szCs w:val="20"/>
                <w:lang w:eastAsia="en-AU"/>
              </w:rPr>
              <w:t>63</w:t>
            </w:r>
          </w:p>
        </w:tc>
        <w:tc>
          <w:tcPr>
            <w:tcW w:w="728" w:type="pct"/>
            <w:noWrap/>
            <w:vAlign w:val="center"/>
          </w:tcPr>
          <w:p w:rsidR="001D1597" w:rsidRPr="005D0D61" w:rsidRDefault="003A4136" w:rsidP="005D0D61">
            <w:pPr>
              <w:spacing w:before="60" w:afterLines="120" w:after="288"/>
              <w:jc w:val="center"/>
              <w:rPr>
                <w:rFonts w:eastAsia="Times New Roman" w:cs="Arial"/>
                <w:sz w:val="20"/>
                <w:szCs w:val="20"/>
                <w:lang w:eastAsia="en-AU"/>
              </w:rPr>
            </w:pPr>
            <w:r>
              <w:rPr>
                <w:rFonts w:eastAsia="Times New Roman" w:cs="Arial"/>
                <w:sz w:val="20"/>
                <w:szCs w:val="20"/>
                <w:lang w:eastAsia="en-AU"/>
              </w:rPr>
              <w:t>46</w:t>
            </w:r>
          </w:p>
        </w:tc>
        <w:tc>
          <w:tcPr>
            <w:tcW w:w="729" w:type="pct"/>
            <w:noWrap/>
            <w:vAlign w:val="center"/>
          </w:tcPr>
          <w:p w:rsidR="001D1597" w:rsidRPr="005D0D61" w:rsidRDefault="001D1597" w:rsidP="005D0D61">
            <w:pPr>
              <w:spacing w:before="60" w:afterLines="120" w:after="288"/>
              <w:jc w:val="center"/>
              <w:rPr>
                <w:rFonts w:eastAsia="Times New Roman" w:cs="Arial"/>
                <w:sz w:val="20"/>
                <w:szCs w:val="20"/>
                <w:lang w:eastAsia="en-AU"/>
              </w:rPr>
            </w:pPr>
            <w:r w:rsidRPr="005D0D61">
              <w:rPr>
                <w:rFonts w:eastAsia="Times New Roman" w:cs="Arial"/>
                <w:sz w:val="20"/>
                <w:szCs w:val="20"/>
                <w:lang w:eastAsia="en-AU"/>
              </w:rPr>
              <w:t>11</w:t>
            </w:r>
            <w:r w:rsidR="003A4136">
              <w:rPr>
                <w:rFonts w:eastAsia="Times New Roman" w:cs="Arial"/>
                <w:sz w:val="20"/>
                <w:szCs w:val="20"/>
                <w:lang w:eastAsia="en-AU"/>
              </w:rPr>
              <w:t>1</w:t>
            </w:r>
          </w:p>
        </w:tc>
        <w:tc>
          <w:tcPr>
            <w:tcW w:w="729" w:type="pct"/>
            <w:noWrap/>
            <w:vAlign w:val="center"/>
          </w:tcPr>
          <w:p w:rsidR="001D1597" w:rsidRPr="005D0D61" w:rsidRDefault="001D1597" w:rsidP="005D0D61">
            <w:pPr>
              <w:spacing w:before="60" w:afterLines="120" w:after="288"/>
              <w:jc w:val="center"/>
              <w:rPr>
                <w:rFonts w:eastAsia="Times New Roman" w:cs="Arial"/>
                <w:sz w:val="20"/>
                <w:szCs w:val="20"/>
                <w:lang w:eastAsia="en-AU"/>
              </w:rPr>
            </w:pPr>
            <w:r w:rsidRPr="005D0D61">
              <w:rPr>
                <w:rFonts w:eastAsia="Times New Roman" w:cs="Arial"/>
                <w:sz w:val="20"/>
                <w:szCs w:val="20"/>
                <w:lang w:eastAsia="en-AU"/>
              </w:rPr>
              <w:t>48</w:t>
            </w:r>
          </w:p>
        </w:tc>
      </w:tr>
    </w:tbl>
    <w:p w:rsidR="0045129B"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3" w:history="1">
        <w:r w:rsidRPr="00C4712A">
          <w:rPr>
            <w:rStyle w:val="Hyperlink"/>
            <w:sz w:val="18"/>
            <w:szCs w:val="18"/>
          </w:rPr>
          <w:t>AER website</w:t>
        </w:r>
      </w:hyperlink>
      <w:r w:rsidRPr="00C4712A">
        <w:rPr>
          <w:sz w:val="18"/>
          <w:szCs w:val="18"/>
        </w:rPr>
        <w:t xml:space="preserve">. </w:t>
      </w:r>
      <w:bookmarkEnd w:id="7"/>
      <w:bookmarkEnd w:id="8"/>
    </w:p>
    <w:p w:rsidR="00AC02C6" w:rsidRPr="00BE377D" w:rsidRDefault="00AC02C6" w:rsidP="00BE377D">
      <w:pPr>
        <w:spacing w:before="120" w:after="120"/>
        <w:rPr>
          <w:sz w:val="18"/>
          <w:szCs w:val="18"/>
        </w:rPr>
      </w:pPr>
    </w:p>
    <w:p w:rsidR="00275002" w:rsidRPr="00C4712A" w:rsidRDefault="00275002" w:rsidP="004F6D0A">
      <w:pPr>
        <w:pStyle w:val="AERHeading1"/>
      </w:pPr>
      <w:r w:rsidRPr="00C4712A">
        <w:t>Spot market price forecast variations</w:t>
      </w:r>
    </w:p>
    <w:p w:rsidR="00275002" w:rsidRPr="003A4136" w:rsidRDefault="00275002" w:rsidP="00AF7C0E">
      <w:pPr>
        <w:pStyle w:val="AERbodytext"/>
      </w:pPr>
      <w:r w:rsidRPr="003A4136">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A4136" w:rsidRDefault="00B67E25" w:rsidP="000F5487">
      <w:pPr>
        <w:pStyle w:val="AERbodytext"/>
      </w:pPr>
      <w:r w:rsidRPr="003A4136">
        <w:t xml:space="preserve">There were </w:t>
      </w:r>
      <w:r w:rsidR="003A4136" w:rsidRPr="003A4136">
        <w:t>278</w:t>
      </w:r>
      <w:r w:rsidR="00FD34BC" w:rsidRPr="003A4136">
        <w:t xml:space="preserve"> trading intervals throughout the week where actual prices varied significantly from forecasts. This compares to the weekly average in 2015 of 133 counts and the average in 2014 of 71. </w:t>
      </w:r>
      <w:r w:rsidR="00275002" w:rsidRPr="003A4136">
        <w:t xml:space="preserve">Reasons for the variations for this week are summarised in </w:t>
      </w:r>
      <w:r w:rsidR="00E7472E" w:rsidRPr="003A4136">
        <w:fldChar w:fldCharType="begin"/>
      </w:r>
      <w:r w:rsidR="00E7472E" w:rsidRPr="003A4136">
        <w:instrText xml:space="preserve"> REF _Ref410993002 \h </w:instrText>
      </w:r>
      <w:r w:rsidR="00215E19" w:rsidRPr="003A4136">
        <w:instrText xml:space="preserve"> \* MERGEFORMAT </w:instrText>
      </w:r>
      <w:r w:rsidR="00E7472E" w:rsidRPr="003A4136">
        <w:fldChar w:fldCharType="separate"/>
      </w:r>
      <w:r w:rsidR="007A5525" w:rsidRPr="00C4712A">
        <w:t xml:space="preserve">Table </w:t>
      </w:r>
      <w:r w:rsidR="007A5525">
        <w:t>2</w:t>
      </w:r>
      <w:r w:rsidR="00E7472E" w:rsidRPr="003A4136">
        <w:fldChar w:fldCharType="end"/>
      </w:r>
      <w:r w:rsidR="00275002" w:rsidRPr="003A4136">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A4136">
        <w:t>ahead</w:t>
      </w:r>
      <w:proofErr w:type="gramEnd"/>
      <w:r w:rsidR="00275002" w:rsidRPr="003A4136">
        <w:t xml:space="preserve"> forecasts differ significantly from the actual price will be counted as two variations.</w:t>
      </w:r>
    </w:p>
    <w:p w:rsidR="00275002" w:rsidRPr="00C4712A" w:rsidRDefault="00275002" w:rsidP="000E2946">
      <w:pPr>
        <w:pStyle w:val="Caption"/>
      </w:pPr>
      <w:bookmarkStart w:id="11" w:name="_Ref410993002"/>
      <w:bookmarkStart w:id="12" w:name="_Ref410992996"/>
      <w:r w:rsidRPr="00C4712A">
        <w:lastRenderedPageBreak/>
        <w:t xml:space="preserve">Table </w:t>
      </w:r>
      <w:r w:rsidR="00CC1B19">
        <w:fldChar w:fldCharType="begin"/>
      </w:r>
      <w:r w:rsidR="00CC1B19">
        <w:instrText xml:space="preserve"> SEQ Table \* ARABIC </w:instrText>
      </w:r>
      <w:r w:rsidR="00CC1B19">
        <w:fldChar w:fldCharType="separate"/>
      </w:r>
      <w:r w:rsidR="007A5525">
        <w:rPr>
          <w:noProof/>
        </w:rPr>
        <w:t>2</w:t>
      </w:r>
      <w:r w:rsidR="00CC1B19">
        <w:rPr>
          <w:noProof/>
        </w:rPr>
        <w:fldChar w:fldCharType="end"/>
      </w:r>
      <w:bookmarkEnd w:id="11"/>
      <w:r w:rsidRPr="00C4712A">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5D0D61" w:rsidRPr="00C4712A" w:rsidTr="00E334A4">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5D0D61" w:rsidRPr="00C4712A" w:rsidRDefault="005D0D61" w:rsidP="000D05BD">
            <w:pPr>
              <w:spacing w:before="60"/>
              <w:rPr>
                <w:sz w:val="20"/>
                <w:szCs w:val="20"/>
              </w:rPr>
            </w:pPr>
            <w:r w:rsidRPr="00C4712A">
              <w:rPr>
                <w:sz w:val="20"/>
                <w:szCs w:val="20"/>
              </w:rPr>
              <w:t>% of total above forecast</w:t>
            </w:r>
          </w:p>
        </w:tc>
        <w:tc>
          <w:tcPr>
            <w:tcW w:w="1571" w:type="dxa"/>
            <w:noWrap/>
            <w:vAlign w:val="center"/>
          </w:tcPr>
          <w:p w:rsidR="005D0D61" w:rsidRPr="005D0D61" w:rsidRDefault="003A4136" w:rsidP="005D0D61">
            <w:pPr>
              <w:spacing w:before="60" w:afterLines="120" w:after="288"/>
              <w:jc w:val="center"/>
              <w:rPr>
                <w:rFonts w:eastAsia="Times New Roman" w:cs="Arial"/>
                <w:sz w:val="20"/>
                <w:szCs w:val="20"/>
                <w:lang w:eastAsia="en-AU"/>
              </w:rPr>
            </w:pPr>
            <w:r>
              <w:rPr>
                <w:rFonts w:eastAsia="Times New Roman" w:cs="Arial"/>
                <w:sz w:val="20"/>
                <w:szCs w:val="20"/>
                <w:lang w:eastAsia="en-AU"/>
              </w:rPr>
              <w:t>11</w:t>
            </w:r>
          </w:p>
        </w:tc>
        <w:tc>
          <w:tcPr>
            <w:tcW w:w="1572" w:type="dxa"/>
            <w:noWrap/>
            <w:vAlign w:val="center"/>
          </w:tcPr>
          <w:p w:rsidR="005D0D61" w:rsidRPr="005D0D61" w:rsidRDefault="003A4136" w:rsidP="005D0D61">
            <w:pPr>
              <w:spacing w:before="60" w:afterLines="120" w:after="288"/>
              <w:jc w:val="center"/>
              <w:rPr>
                <w:rFonts w:eastAsia="Times New Roman" w:cs="Arial"/>
                <w:sz w:val="20"/>
                <w:szCs w:val="20"/>
                <w:lang w:eastAsia="en-AU"/>
              </w:rPr>
            </w:pPr>
            <w:r>
              <w:rPr>
                <w:rFonts w:eastAsia="Times New Roman" w:cs="Arial"/>
                <w:sz w:val="20"/>
                <w:szCs w:val="20"/>
                <w:lang w:eastAsia="en-AU"/>
              </w:rPr>
              <w:t>33</w:t>
            </w:r>
          </w:p>
        </w:tc>
        <w:tc>
          <w:tcPr>
            <w:tcW w:w="1572" w:type="dxa"/>
            <w:noWrap/>
            <w:vAlign w:val="center"/>
          </w:tcPr>
          <w:p w:rsidR="005D0D61" w:rsidRPr="005D0D61" w:rsidRDefault="005D0D61" w:rsidP="005D0D61">
            <w:pPr>
              <w:spacing w:before="60" w:afterLines="120" w:after="288"/>
              <w:jc w:val="center"/>
              <w:rPr>
                <w:rFonts w:eastAsia="Times New Roman" w:cs="Arial"/>
                <w:sz w:val="20"/>
                <w:szCs w:val="20"/>
                <w:lang w:eastAsia="en-AU"/>
              </w:rPr>
            </w:pPr>
            <w:r w:rsidRPr="005D0D61">
              <w:rPr>
                <w:rFonts w:eastAsia="Times New Roman" w:cs="Arial"/>
                <w:sz w:val="20"/>
                <w:szCs w:val="20"/>
                <w:lang w:eastAsia="en-AU"/>
              </w:rPr>
              <w:t>0</w:t>
            </w:r>
          </w:p>
        </w:tc>
        <w:tc>
          <w:tcPr>
            <w:tcW w:w="1572" w:type="dxa"/>
            <w:vAlign w:val="center"/>
          </w:tcPr>
          <w:p w:rsidR="005D0D61" w:rsidRPr="005D0D61" w:rsidRDefault="005D0D61" w:rsidP="005D0D61">
            <w:pPr>
              <w:spacing w:before="60" w:afterLines="120" w:after="288"/>
              <w:jc w:val="center"/>
              <w:rPr>
                <w:rFonts w:eastAsia="Times New Roman" w:cs="Arial"/>
                <w:sz w:val="20"/>
                <w:szCs w:val="20"/>
                <w:lang w:eastAsia="en-AU"/>
              </w:rPr>
            </w:pPr>
            <w:r w:rsidRPr="005D0D61">
              <w:rPr>
                <w:rFonts w:eastAsia="Times New Roman" w:cs="Arial"/>
                <w:sz w:val="20"/>
                <w:szCs w:val="20"/>
                <w:lang w:eastAsia="en-AU"/>
              </w:rPr>
              <w:t>3</w:t>
            </w:r>
          </w:p>
        </w:tc>
      </w:tr>
      <w:tr w:rsidR="005D0D61" w:rsidRPr="00C4712A" w:rsidTr="00E334A4">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5D0D61" w:rsidRPr="00C4712A" w:rsidRDefault="005D0D61" w:rsidP="000D05BD">
            <w:pPr>
              <w:spacing w:before="60"/>
              <w:rPr>
                <w:sz w:val="20"/>
                <w:szCs w:val="20"/>
              </w:rPr>
            </w:pPr>
            <w:r w:rsidRPr="00C4712A">
              <w:rPr>
                <w:sz w:val="20"/>
                <w:szCs w:val="20"/>
              </w:rPr>
              <w:t>% of total below forecast</w:t>
            </w:r>
          </w:p>
        </w:tc>
        <w:tc>
          <w:tcPr>
            <w:tcW w:w="1571" w:type="dxa"/>
            <w:noWrap/>
            <w:vAlign w:val="center"/>
          </w:tcPr>
          <w:p w:rsidR="005D0D61" w:rsidRPr="005D0D61" w:rsidRDefault="003A4136" w:rsidP="005D0D61">
            <w:pPr>
              <w:spacing w:before="60" w:afterLines="120" w:after="288"/>
              <w:jc w:val="center"/>
              <w:rPr>
                <w:rFonts w:eastAsia="Times New Roman" w:cs="Arial"/>
                <w:sz w:val="20"/>
                <w:szCs w:val="20"/>
                <w:lang w:eastAsia="en-AU"/>
              </w:rPr>
            </w:pPr>
            <w:r>
              <w:rPr>
                <w:rFonts w:eastAsia="Times New Roman" w:cs="Arial"/>
                <w:sz w:val="20"/>
                <w:szCs w:val="20"/>
                <w:lang w:eastAsia="en-AU"/>
              </w:rPr>
              <w:t>26</w:t>
            </w:r>
          </w:p>
        </w:tc>
        <w:tc>
          <w:tcPr>
            <w:tcW w:w="1572" w:type="dxa"/>
            <w:noWrap/>
            <w:vAlign w:val="center"/>
          </w:tcPr>
          <w:p w:rsidR="005D0D61" w:rsidRPr="005D0D61" w:rsidRDefault="003A4136" w:rsidP="005D0D61">
            <w:pPr>
              <w:spacing w:before="60" w:afterLines="120" w:after="288"/>
              <w:jc w:val="center"/>
              <w:rPr>
                <w:rFonts w:eastAsia="Times New Roman" w:cs="Arial"/>
                <w:sz w:val="20"/>
                <w:szCs w:val="20"/>
                <w:lang w:eastAsia="en-AU"/>
              </w:rPr>
            </w:pPr>
            <w:r>
              <w:rPr>
                <w:rFonts w:eastAsia="Times New Roman" w:cs="Arial"/>
                <w:sz w:val="20"/>
                <w:szCs w:val="20"/>
                <w:lang w:eastAsia="en-AU"/>
              </w:rPr>
              <w:t>19</w:t>
            </w:r>
          </w:p>
        </w:tc>
        <w:tc>
          <w:tcPr>
            <w:tcW w:w="1572" w:type="dxa"/>
            <w:noWrap/>
            <w:vAlign w:val="center"/>
          </w:tcPr>
          <w:p w:rsidR="005D0D61" w:rsidRPr="005D0D61" w:rsidRDefault="005D0D61" w:rsidP="005D0D61">
            <w:pPr>
              <w:spacing w:before="60" w:afterLines="120" w:after="288"/>
              <w:jc w:val="center"/>
              <w:rPr>
                <w:rFonts w:eastAsia="Times New Roman" w:cs="Arial"/>
                <w:sz w:val="20"/>
                <w:szCs w:val="20"/>
                <w:lang w:eastAsia="en-AU"/>
              </w:rPr>
            </w:pPr>
            <w:r w:rsidRPr="005D0D61">
              <w:rPr>
                <w:rFonts w:eastAsia="Times New Roman" w:cs="Arial"/>
                <w:sz w:val="20"/>
                <w:szCs w:val="20"/>
                <w:lang w:eastAsia="en-AU"/>
              </w:rPr>
              <w:t>0</w:t>
            </w:r>
          </w:p>
        </w:tc>
        <w:tc>
          <w:tcPr>
            <w:tcW w:w="1572" w:type="dxa"/>
            <w:vAlign w:val="center"/>
          </w:tcPr>
          <w:p w:rsidR="005D0D61" w:rsidRPr="005D0D61" w:rsidRDefault="003A4136" w:rsidP="005D0D61">
            <w:pPr>
              <w:spacing w:before="60" w:afterLines="120" w:after="288"/>
              <w:jc w:val="center"/>
              <w:rPr>
                <w:rFonts w:eastAsia="Times New Roman" w:cs="Arial"/>
                <w:sz w:val="20"/>
                <w:szCs w:val="20"/>
                <w:lang w:eastAsia="en-AU"/>
              </w:rPr>
            </w:pPr>
            <w:r>
              <w:rPr>
                <w:rFonts w:eastAsia="Times New Roman" w:cs="Arial"/>
                <w:sz w:val="20"/>
                <w:szCs w:val="20"/>
                <w:lang w:eastAsia="en-AU"/>
              </w:rPr>
              <w:t>7</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Pr="003A4136" w:rsidRDefault="00275002" w:rsidP="00AF7C0E">
      <w:pPr>
        <w:pStyle w:val="AERbodytext"/>
      </w:pPr>
      <w:r w:rsidRPr="003A4136">
        <w:t xml:space="preserve">The AER reviews generator bidding as part of its market monitoring to better understand the drivers behind price variations. </w:t>
      </w:r>
      <w:r w:rsidRPr="003A4136">
        <w:fldChar w:fldCharType="begin"/>
      </w:r>
      <w:r w:rsidRPr="003A4136">
        <w:instrText xml:space="preserve"> REF _Ref410383507 \h </w:instrText>
      </w:r>
      <w:r w:rsidR="009A3D22" w:rsidRPr="003A4136">
        <w:instrText xml:space="preserve"> \* MERGEFORMAT </w:instrText>
      </w:r>
      <w:r w:rsidRPr="003A4136">
        <w:fldChar w:fldCharType="separate"/>
      </w:r>
      <w:r w:rsidR="007A5525" w:rsidRPr="00C4712A">
        <w:t xml:space="preserve">Figure </w:t>
      </w:r>
      <w:r w:rsidR="007A5525">
        <w:t>3</w:t>
      </w:r>
      <w:r w:rsidRPr="003A4136">
        <w:fldChar w:fldCharType="end"/>
      </w:r>
      <w:r w:rsidRPr="003A4136">
        <w:t xml:space="preserve"> to</w:t>
      </w:r>
      <w:r w:rsidR="00056949" w:rsidRPr="003A4136">
        <w:t xml:space="preserve"> </w:t>
      </w:r>
      <w:r w:rsidR="00C81324" w:rsidRPr="003A4136">
        <w:fldChar w:fldCharType="begin"/>
      </w:r>
      <w:r w:rsidR="00C81324" w:rsidRPr="003A4136">
        <w:instrText xml:space="preserve"> REF _Ref448330536 \h  \* MERGEFORMAT </w:instrText>
      </w:r>
      <w:r w:rsidR="00C81324" w:rsidRPr="003A4136">
        <w:fldChar w:fldCharType="separate"/>
      </w:r>
      <w:r w:rsidR="007A5525" w:rsidRPr="002C6B96">
        <w:t xml:space="preserve">Figure </w:t>
      </w:r>
      <w:r w:rsidR="007A5525" w:rsidRPr="007A5525">
        <w:rPr>
          <w:bCs w:val="0"/>
          <w:noProof/>
        </w:rPr>
        <w:t>7</w:t>
      </w:r>
      <w:r w:rsidR="00C81324" w:rsidRPr="003A4136">
        <w:fldChar w:fldCharType="end"/>
      </w:r>
      <w:r w:rsidR="00C81324" w:rsidRPr="003A4136">
        <w:t xml:space="preserve"> </w:t>
      </w:r>
      <w:r w:rsidR="001121C2" w:rsidRPr="003A4136">
        <w:t>show</w:t>
      </w:r>
      <w:r w:rsidRPr="003A4136">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3" w:name="_Ref410383507"/>
      <w:r w:rsidRPr="00C4712A">
        <w:t xml:space="preserve">Figure </w:t>
      </w:r>
      <w:r w:rsidR="00CC1B19">
        <w:fldChar w:fldCharType="begin"/>
      </w:r>
      <w:r w:rsidR="00CC1B19">
        <w:instrText xml:space="preserve"> SEQ Figure \* ARABIC </w:instrText>
      </w:r>
      <w:r w:rsidR="00CC1B19">
        <w:fldChar w:fldCharType="separate"/>
      </w:r>
      <w:r w:rsidR="007A5525">
        <w:rPr>
          <w:noProof/>
        </w:rPr>
        <w:t>3</w:t>
      </w:r>
      <w:r w:rsidR="00CC1B19">
        <w:rPr>
          <w:noProof/>
        </w:rPr>
        <w:fldChar w:fldCharType="end"/>
      </w:r>
      <w:bookmarkEnd w:id="13"/>
      <w:r w:rsidRPr="00C4712A">
        <w:t>: Queensland generation and bidding patterns</w:t>
      </w:r>
    </w:p>
    <w:p w:rsidR="007B78AB" w:rsidRDefault="003A4136" w:rsidP="00886FA8">
      <w:pPr>
        <w:pStyle w:val="AERbodytext"/>
        <w:rPr>
          <w:bCs w:val="0"/>
        </w:rPr>
      </w:pPr>
      <w:r w:rsidRPr="003A4136">
        <w:rPr>
          <w:noProof/>
        </w:rPr>
        <w:drawing>
          <wp:inline distT="0" distB="0" distL="0" distR="0" wp14:anchorId="32BF61DD" wp14:editId="731A32A6">
            <wp:extent cx="5731510" cy="4118010"/>
            <wp:effectExtent l="0" t="0" r="2540" b="0"/>
            <wp:docPr id="12" name="Picture 12"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8010"/>
                    </a:xfrm>
                    <a:prstGeom prst="rect">
                      <a:avLst/>
                    </a:prstGeom>
                    <a:noFill/>
                    <a:ln>
                      <a:noFill/>
                    </a:ln>
                  </pic:spPr>
                </pic:pic>
              </a:graphicData>
            </a:graphic>
          </wp:inline>
        </w:drawing>
      </w:r>
    </w:p>
    <w:p w:rsidR="00252376" w:rsidRDefault="00252376" w:rsidP="00886FA8">
      <w:pPr>
        <w:pStyle w:val="AERbodytext"/>
        <w:rPr>
          <w:bCs w:val="0"/>
        </w:rPr>
      </w:pPr>
    </w:p>
    <w:p w:rsidR="00FA614D" w:rsidRPr="008707C1" w:rsidRDefault="00FA614D" w:rsidP="00886FA8">
      <w:pPr>
        <w:pStyle w:val="AERbodytext"/>
        <w:rPr>
          <w:bCs w:val="0"/>
        </w:rPr>
      </w:pPr>
      <w:r>
        <w:rPr>
          <w:bCs w:val="0"/>
        </w:rPr>
        <w:t xml:space="preserve">The red ellipse on </w:t>
      </w:r>
      <w:r w:rsidR="00252376">
        <w:rPr>
          <w:bCs w:val="0"/>
        </w:rPr>
        <w:fldChar w:fldCharType="begin"/>
      </w:r>
      <w:r w:rsidR="00252376">
        <w:rPr>
          <w:bCs w:val="0"/>
        </w:rPr>
        <w:instrText xml:space="preserve"> REF _Ref428273135 \h </w:instrText>
      </w:r>
      <w:r w:rsidR="00252376">
        <w:rPr>
          <w:bCs w:val="0"/>
        </w:rPr>
      </w:r>
      <w:r w:rsidR="00252376">
        <w:rPr>
          <w:bCs w:val="0"/>
        </w:rPr>
        <w:fldChar w:fldCharType="separate"/>
      </w:r>
      <w:r w:rsidR="00252376" w:rsidRPr="00C4712A">
        <w:t xml:space="preserve">Figure </w:t>
      </w:r>
      <w:r w:rsidR="00252376">
        <w:rPr>
          <w:noProof/>
        </w:rPr>
        <w:t>4</w:t>
      </w:r>
      <w:r w:rsidR="00252376">
        <w:rPr>
          <w:bCs w:val="0"/>
        </w:rPr>
        <w:fldChar w:fldCharType="end"/>
      </w:r>
      <w:r w:rsidR="00252376">
        <w:rPr>
          <w:bCs w:val="0"/>
        </w:rPr>
        <w:t xml:space="preserve"> encompasses the period during which the spot price reached $11 700/MWh. </w:t>
      </w:r>
      <w:r w:rsidR="00252376" w:rsidRPr="00200A5D">
        <w:t>In accordance with clause 3.13.7 of the Electricity Rules, the AER will issue a separate report into the circumstances that led to the spot price exceeding $5000/MWh.</w:t>
      </w:r>
      <w:r w:rsidR="00252376">
        <w:t xml:space="preserve"> </w:t>
      </w:r>
    </w:p>
    <w:p w:rsidR="00275002" w:rsidRPr="00C4712A" w:rsidRDefault="00275002" w:rsidP="000E2946">
      <w:pPr>
        <w:pStyle w:val="Caption"/>
      </w:pPr>
      <w:bookmarkStart w:id="14" w:name="_Ref428273135"/>
      <w:r w:rsidRPr="00C4712A">
        <w:lastRenderedPageBreak/>
        <w:t xml:space="preserve">Figure </w:t>
      </w:r>
      <w:r w:rsidR="00CC1B19">
        <w:fldChar w:fldCharType="begin"/>
      </w:r>
      <w:r w:rsidR="00CC1B19">
        <w:instrText xml:space="preserve"> SEQ Figure \* ARABIC </w:instrText>
      </w:r>
      <w:r w:rsidR="00CC1B19">
        <w:fldChar w:fldCharType="separate"/>
      </w:r>
      <w:r w:rsidR="007A5525">
        <w:rPr>
          <w:noProof/>
        </w:rPr>
        <w:t>4</w:t>
      </w:r>
      <w:r w:rsidR="00CC1B19">
        <w:rPr>
          <w:noProof/>
        </w:rPr>
        <w:fldChar w:fldCharType="end"/>
      </w:r>
      <w:bookmarkEnd w:id="14"/>
      <w:r w:rsidRPr="00C4712A">
        <w:t>: New South Wales generation and bidding patterns</w:t>
      </w:r>
    </w:p>
    <w:p w:rsidR="00181C46" w:rsidRPr="00C4712A" w:rsidRDefault="00FA614D" w:rsidP="00181C46">
      <w:r>
        <w:rPr>
          <w:noProof/>
          <w:lang w:eastAsia="en-AU"/>
        </w:rPr>
        <mc:AlternateContent>
          <mc:Choice Requires="wps">
            <w:drawing>
              <wp:anchor distT="0" distB="0" distL="114300" distR="114300" simplePos="0" relativeHeight="251667456" behindDoc="0" locked="0" layoutInCell="1" allowOverlap="1" wp14:anchorId="6293F678" wp14:editId="6163396D">
                <wp:simplePos x="0" y="0"/>
                <wp:positionH relativeFrom="column">
                  <wp:posOffset>4396154</wp:posOffset>
                </wp:positionH>
                <wp:positionV relativeFrom="paragraph">
                  <wp:posOffset>822276</wp:posOffset>
                </wp:positionV>
                <wp:extent cx="562708" cy="1470074"/>
                <wp:effectExtent l="0" t="0" r="27940" b="15875"/>
                <wp:wrapNone/>
                <wp:docPr id="2" name="Oval 2"/>
                <wp:cNvGraphicFramePr/>
                <a:graphic xmlns:a="http://schemas.openxmlformats.org/drawingml/2006/main">
                  <a:graphicData uri="http://schemas.microsoft.com/office/word/2010/wordprocessingShape">
                    <wps:wsp>
                      <wps:cNvSpPr/>
                      <wps:spPr>
                        <a:xfrm>
                          <a:off x="0" y="0"/>
                          <a:ext cx="562708" cy="147007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26" style="position:absolute;margin-left:346.15pt;margin-top:64.75pt;width:44.3pt;height:11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abkwIAAIMFAAAOAAAAZHJzL2Uyb0RvYy54bWysVMFu2zAMvQ/YPwi6r3aMtNmMOkXQIsOA&#10;oi2WDj0rshQbkEVNUuJkXz9Kst1gLXYY5oMsiuSjHkXy+ubYKXIQ1rWgKzq7yCkRmkPd6l1Ffzyv&#10;P32mxHmma6ZAi4qehKM3y48frntTigIaULWwBEG0K3tT0cZ7U2aZ443omLsAIzQqJdiOeRTtLqst&#10;6xG9U1mR51dZD7Y2FrhwDk/vkpIuI76UgvtHKZ3wRFUU7+bjauO6DWu2vGblzjLTtHy4BvuHW3Ss&#10;1Rh0grpjnpG9bd9AdS234ED6Cw5dBlK2XEQOyGaW/8Fm0zAjIhdMjjNTmtz/g+UPhydL2rqiBSWa&#10;dfhEjwemSBEy0xtXosHGPNlBcrgNNI/SduGPBMgxZvM0ZVMcPeF4eHlVLHJ8fo6q2XyR54t5AM1e&#10;vY11/quAjoRNRYVSrXGBMCvZ4d75ZD1ahWMN61YpPGel0mF1oNo6nEXB7ra3yhIkUNH1OsdviHhm&#10;hvGDaxbIJTpx509KJNjvQmJCkEARbxJLUUywjHOh/SypGlaLFO3yPFgo3uARySqNgAFZ4i0n7AFg&#10;tEwgI3biPdgHVxEreXLO/3ax5Dx5xMig/eTctRrsewAKWQ2Rk/2YpJSakKUt1CcsFwupj5zh6xaf&#10;7p45/8QsNg62GA4D/4iLVNBXFIYdJQ3YX++dB3usZ9RS0mMjVtT93DMrKFHfNFb6l9l8Hjo3CvPL&#10;RYGCPddszzV6390Cvv4Mx47hcRvsvRq30kL3gjNjFaKiimmOsSvKvR2FW58GBE4dLlaraIbdapi/&#10;1xvDA3jIaqjL5+MLs2aoX4+V/wBj076p4WQbPDWs9h5kGwv8Na9DvrHTY+EMUymMknM5Wr3OzuVv&#10;AAAA//8DAFBLAwQUAAYACAAAACEA66C9D+AAAAALAQAADwAAAGRycy9kb3ducmV2LnhtbEyPy07D&#10;MBBF90j8gzVI7Khdl4QmxKloJRbQFQWxduNpEtWPKHbbwNczrGA5ukf3nqlWk7PsjGPsg1cwnwlg&#10;6Jtget8q+Hh/vlsCi0l7o23wqOALI6zq66tKlyZc/Bued6llVOJjqRV0KQ0l57Hp0Ok4CwN6yg5h&#10;dDrRObbcjPpC5c5yKUTOne49LXR6wE2HzXF3crS7Xd9L+SnX2dF+b171IRtMeFHq9mZ6egSWcEp/&#10;MPzqkzrU5LQPJ28iswryQi4IpUAWGTAiHpaiALZXsMjnAnhd8f8/1D8AAAD//wMAUEsBAi0AFAAG&#10;AAgAAAAhALaDOJL+AAAA4QEAABMAAAAAAAAAAAAAAAAAAAAAAFtDb250ZW50X1R5cGVzXS54bWxQ&#10;SwECLQAUAAYACAAAACEAOP0h/9YAAACUAQAACwAAAAAAAAAAAAAAAAAvAQAAX3JlbHMvLnJlbHNQ&#10;SwECLQAUAAYACAAAACEAyVhWm5MCAACDBQAADgAAAAAAAAAAAAAAAAAuAgAAZHJzL2Uyb0RvYy54&#10;bWxQSwECLQAUAAYACAAAACEA66C9D+AAAAALAQAADwAAAAAAAAAAAAAAAADtBAAAZHJzL2Rvd25y&#10;ZXYueG1sUEsFBgAAAAAEAAQA8wAAAPoFAAAAAA==&#10;" filled="f" strokecolor="red" strokeweight="2pt"/>
            </w:pict>
          </mc:Fallback>
        </mc:AlternateContent>
      </w:r>
      <w:r w:rsidR="003A4136" w:rsidRPr="003A4136">
        <w:rPr>
          <w:noProof/>
          <w:lang w:eastAsia="en-AU"/>
        </w:rPr>
        <w:drawing>
          <wp:inline distT="0" distB="0" distL="0" distR="0" wp14:anchorId="0A82F948" wp14:editId="5DA204FD">
            <wp:extent cx="5731510" cy="4123034"/>
            <wp:effectExtent l="0" t="0" r="2540" b="0"/>
            <wp:docPr id="13" name="Picture 13"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3034"/>
                    </a:xfrm>
                    <a:prstGeom prst="rect">
                      <a:avLst/>
                    </a:prstGeom>
                    <a:noFill/>
                    <a:ln>
                      <a:noFill/>
                    </a:ln>
                  </pic:spPr>
                </pic:pic>
              </a:graphicData>
            </a:graphic>
          </wp:inline>
        </w:drawing>
      </w:r>
    </w:p>
    <w:p w:rsidR="00275002" w:rsidRPr="00C4712A" w:rsidRDefault="00275002" w:rsidP="000E2946">
      <w:pPr>
        <w:pStyle w:val="Caption"/>
      </w:pPr>
      <w:r w:rsidRPr="00C4712A">
        <w:t xml:space="preserve">Figure </w:t>
      </w:r>
      <w:r w:rsidR="00CC1B19">
        <w:fldChar w:fldCharType="begin"/>
      </w:r>
      <w:r w:rsidR="00CC1B19">
        <w:instrText xml:space="preserve"> SEQ Figure \* ARABIC </w:instrText>
      </w:r>
      <w:r w:rsidR="00CC1B19">
        <w:fldChar w:fldCharType="separate"/>
      </w:r>
      <w:r w:rsidR="007A5525">
        <w:rPr>
          <w:noProof/>
        </w:rPr>
        <w:t>5</w:t>
      </w:r>
      <w:r w:rsidR="00CC1B19">
        <w:rPr>
          <w:noProof/>
        </w:rPr>
        <w:fldChar w:fldCharType="end"/>
      </w:r>
      <w:r w:rsidRPr="00C4712A">
        <w:t>: Victoria generation and bidding patterns</w:t>
      </w:r>
    </w:p>
    <w:p w:rsidR="00FB265D" w:rsidRDefault="003A4136" w:rsidP="00FB265D">
      <w:r w:rsidRPr="003A4136">
        <w:rPr>
          <w:noProof/>
          <w:lang w:eastAsia="en-AU"/>
        </w:rPr>
        <w:drawing>
          <wp:inline distT="0" distB="0" distL="0" distR="0" wp14:anchorId="6BBDCE67" wp14:editId="6BA43489">
            <wp:extent cx="5731510" cy="4118010"/>
            <wp:effectExtent l="0" t="0" r="2540" b="0"/>
            <wp:docPr id="14" name="Picture 14"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8010"/>
                    </a:xfrm>
                    <a:prstGeom prst="rect">
                      <a:avLst/>
                    </a:prstGeom>
                    <a:noFill/>
                    <a:ln>
                      <a:noFill/>
                    </a:ln>
                  </pic:spPr>
                </pic:pic>
              </a:graphicData>
            </a:graphic>
          </wp:inline>
        </w:drawing>
      </w:r>
    </w:p>
    <w:p w:rsidR="00862283" w:rsidRDefault="00862283" w:rsidP="00862283">
      <w:pPr>
        <w:pStyle w:val="AERbodytext"/>
      </w:pPr>
      <w:bookmarkStart w:id="15" w:name="_Ref423965683"/>
    </w:p>
    <w:p w:rsidR="00275002" w:rsidRDefault="00275002" w:rsidP="000E2946">
      <w:pPr>
        <w:pStyle w:val="Caption"/>
      </w:pPr>
      <w:r w:rsidRPr="00610304">
        <w:lastRenderedPageBreak/>
        <w:t xml:space="preserve">Figure </w:t>
      </w:r>
      <w:r w:rsidR="00CC1B19">
        <w:fldChar w:fldCharType="begin"/>
      </w:r>
      <w:r w:rsidR="00CC1B19">
        <w:instrText xml:space="preserve"> SEQ Figure \* ARABIC </w:instrText>
      </w:r>
      <w:r w:rsidR="00CC1B19">
        <w:fldChar w:fldCharType="separate"/>
      </w:r>
      <w:r w:rsidR="007A5525">
        <w:rPr>
          <w:noProof/>
        </w:rPr>
        <w:t>6</w:t>
      </w:r>
      <w:r w:rsidR="00CC1B19">
        <w:rPr>
          <w:noProof/>
        </w:rPr>
        <w:fldChar w:fldCharType="end"/>
      </w:r>
      <w:bookmarkEnd w:id="15"/>
      <w:r w:rsidRPr="00610304">
        <w:t>: South Australia generation and bidding patterns</w:t>
      </w:r>
    </w:p>
    <w:p w:rsidR="002F2481" w:rsidRDefault="00F56E80" w:rsidP="00A25353">
      <w:r w:rsidRPr="00F56E80">
        <w:rPr>
          <w:noProof/>
          <w:lang w:eastAsia="en-AU"/>
        </w:rPr>
        <w:drawing>
          <wp:inline distT="0" distB="0" distL="0" distR="0" wp14:anchorId="158053FF" wp14:editId="77232A96">
            <wp:extent cx="5731510" cy="4253266"/>
            <wp:effectExtent l="0" t="0" r="2540" b="0"/>
            <wp:docPr id="19" name="Picture 19"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253266"/>
                    </a:xfrm>
                    <a:prstGeom prst="rect">
                      <a:avLst/>
                    </a:prstGeom>
                    <a:noFill/>
                    <a:ln>
                      <a:noFill/>
                    </a:ln>
                  </pic:spPr>
                </pic:pic>
              </a:graphicData>
            </a:graphic>
          </wp:inline>
        </w:drawing>
      </w:r>
    </w:p>
    <w:p w:rsidR="00704518" w:rsidRPr="002C6B96" w:rsidRDefault="00A16DAF" w:rsidP="00A25353">
      <w:pPr>
        <w:pStyle w:val="Caption"/>
      </w:pPr>
      <w:bookmarkStart w:id="16" w:name="_Ref448330536"/>
      <w:bookmarkStart w:id="17" w:name="_Ref410383520"/>
      <w:r w:rsidRPr="002C6B96">
        <w:t xml:space="preserve">Figure </w:t>
      </w:r>
      <w:r w:rsidR="00CC1B19">
        <w:fldChar w:fldCharType="begin"/>
      </w:r>
      <w:r w:rsidR="00CC1B19">
        <w:instrText xml:space="preserve"> SEQ Figure \* ARABIC </w:instrText>
      </w:r>
      <w:r w:rsidR="00CC1B19">
        <w:fldChar w:fldCharType="separate"/>
      </w:r>
      <w:r w:rsidR="007A5525">
        <w:rPr>
          <w:noProof/>
        </w:rPr>
        <w:t>7</w:t>
      </w:r>
      <w:r w:rsidR="00CC1B19">
        <w:rPr>
          <w:noProof/>
        </w:rPr>
        <w:fldChar w:fldCharType="end"/>
      </w:r>
      <w:bookmarkEnd w:id="16"/>
      <w:r w:rsidRPr="002C6B96">
        <w:t>: Tasmania generation and bidding patterns</w:t>
      </w:r>
    </w:p>
    <w:bookmarkEnd w:id="17"/>
    <w:p w:rsidR="00DB7B59" w:rsidRDefault="00F56E80" w:rsidP="00AF7C0E">
      <w:pPr>
        <w:pStyle w:val="AERbodytext"/>
      </w:pPr>
      <w:r w:rsidRPr="00F56E80">
        <w:rPr>
          <w:noProof/>
        </w:rPr>
        <w:drawing>
          <wp:inline distT="0" distB="0" distL="0" distR="0" wp14:anchorId="1B25AB3D" wp14:editId="0F270879">
            <wp:extent cx="5731510" cy="4118010"/>
            <wp:effectExtent l="0" t="0" r="2540" b="0"/>
            <wp:docPr id="18" name="Picture 18" descr="Figure 7 shows the total generation dispatched and the amounts f capacity bid in within certain price bands for each 30 minute trading interval in Tasmania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8010"/>
                    </a:xfrm>
                    <a:prstGeom prst="rect">
                      <a:avLst/>
                    </a:prstGeom>
                    <a:noFill/>
                    <a:ln>
                      <a:noFill/>
                    </a:ln>
                  </pic:spPr>
                </pic:pic>
              </a:graphicData>
            </a:graphic>
          </wp:inline>
        </w:drawing>
      </w: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6F3750">
      <w:pPr>
        <w:pStyle w:val="Bulletpoint"/>
      </w:pPr>
      <w:r w:rsidRPr="00C4712A">
        <w:t>fast services, which arrest a frequency deviation within the first 6 seconds of a contingent event (raise and lower 6 second)</w:t>
      </w:r>
    </w:p>
    <w:p w:rsidR="00275002" w:rsidRPr="00C4712A" w:rsidRDefault="00275002" w:rsidP="006F3750">
      <w:pPr>
        <w:pStyle w:val="Bulletpoint"/>
      </w:pPr>
      <w:r w:rsidRPr="00C4712A">
        <w:t>slow services, which stabilise frequency deviations within 60 seconds of the event (raise and lower 60 second)</w:t>
      </w:r>
    </w:p>
    <w:p w:rsidR="00275002" w:rsidRPr="00C4712A" w:rsidRDefault="00275002" w:rsidP="006F3750">
      <w:pPr>
        <w:pStyle w:val="Bulletpoint"/>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5358F4" w:rsidRPr="00612013" w:rsidRDefault="005358F4" w:rsidP="005358F4">
      <w:pPr>
        <w:spacing w:line="240" w:lineRule="auto"/>
        <w:rPr>
          <w:rFonts w:eastAsia="Times New Roman" w:cs="Arial"/>
          <w:bCs/>
          <w:lang w:eastAsia="en-AU"/>
        </w:rPr>
      </w:pPr>
      <w:bookmarkStart w:id="18" w:name="_Ref410383413"/>
      <w:r w:rsidRPr="00612013">
        <w:rPr>
          <w:rFonts w:eastAsia="Times New Roman" w:cs="Arial"/>
          <w:bCs/>
          <w:lang w:eastAsia="en-AU"/>
        </w:rPr>
        <w:t>The total cost of FCAS on the mainland for the week was $</w:t>
      </w:r>
      <w:r w:rsidR="00612013" w:rsidRPr="00612013">
        <w:rPr>
          <w:rFonts w:eastAsia="Times New Roman" w:cs="Arial"/>
          <w:bCs/>
          <w:lang w:eastAsia="en-AU"/>
        </w:rPr>
        <w:t>1</w:t>
      </w:r>
      <w:r w:rsidR="001761FF" w:rsidRPr="00612013">
        <w:rPr>
          <w:rFonts w:eastAsia="Times New Roman" w:cs="Arial"/>
          <w:bCs/>
          <w:lang w:eastAsia="en-AU"/>
        </w:rPr>
        <w:t> </w:t>
      </w:r>
      <w:r w:rsidR="00612013" w:rsidRPr="00612013">
        <w:rPr>
          <w:rFonts w:eastAsia="Times New Roman" w:cs="Arial"/>
          <w:bCs/>
          <w:lang w:eastAsia="en-AU"/>
        </w:rPr>
        <w:t>542</w:t>
      </w:r>
      <w:r w:rsidR="001761FF" w:rsidRPr="00612013">
        <w:rPr>
          <w:rFonts w:eastAsia="Times New Roman" w:cs="Arial"/>
          <w:bCs/>
          <w:lang w:eastAsia="en-AU"/>
        </w:rPr>
        <w:t> 000</w:t>
      </w:r>
      <w:r w:rsidRPr="00612013">
        <w:rPr>
          <w:rFonts w:eastAsia="Times New Roman" w:cs="Arial"/>
          <w:bCs/>
          <w:lang w:eastAsia="en-AU"/>
        </w:rPr>
        <w:t xml:space="preserve"> or </w:t>
      </w:r>
      <w:r w:rsidR="001761FF" w:rsidRPr="00612013">
        <w:rPr>
          <w:rFonts w:eastAsia="Times New Roman" w:cs="Arial"/>
          <w:bCs/>
          <w:lang w:eastAsia="en-AU"/>
        </w:rPr>
        <w:t xml:space="preserve">around </w:t>
      </w:r>
      <w:r w:rsidR="00612013" w:rsidRPr="00612013">
        <w:rPr>
          <w:rFonts w:eastAsia="Times New Roman" w:cs="Arial"/>
          <w:bCs/>
          <w:lang w:eastAsia="en-AU"/>
        </w:rPr>
        <w:t>half a</w:t>
      </w:r>
      <w:r w:rsidRPr="00612013">
        <w:rPr>
          <w:rFonts w:eastAsia="Times New Roman" w:cs="Arial"/>
          <w:bCs/>
          <w:lang w:eastAsia="en-AU"/>
        </w:rPr>
        <w:t xml:space="preserve"> per cent of energy turnover on the mainland.</w:t>
      </w:r>
    </w:p>
    <w:p w:rsidR="007A5525" w:rsidRPr="00612013" w:rsidRDefault="005358F4" w:rsidP="007A5525">
      <w:pPr>
        <w:spacing w:line="240" w:lineRule="auto"/>
      </w:pPr>
      <w:r w:rsidRPr="00612013">
        <w:rPr>
          <w:rFonts w:eastAsia="Times New Roman" w:cs="Arial"/>
          <w:bCs/>
          <w:lang w:eastAsia="en-AU"/>
        </w:rPr>
        <w:t>The total cost of FCAS in Tasmania for the week was $</w:t>
      </w:r>
      <w:r w:rsidR="00612013" w:rsidRPr="00612013">
        <w:rPr>
          <w:rFonts w:eastAsia="Times New Roman" w:cs="Arial"/>
          <w:bCs/>
          <w:lang w:eastAsia="en-AU"/>
        </w:rPr>
        <w:t>534</w:t>
      </w:r>
      <w:r w:rsidR="001761FF" w:rsidRPr="00612013">
        <w:rPr>
          <w:rFonts w:eastAsia="Times New Roman" w:cs="Arial"/>
          <w:bCs/>
          <w:lang w:eastAsia="en-AU"/>
        </w:rPr>
        <w:t xml:space="preserve"> 5</w:t>
      </w:r>
      <w:r w:rsidRPr="00612013">
        <w:rPr>
          <w:rFonts w:eastAsia="Times New Roman" w:cs="Arial"/>
          <w:bCs/>
          <w:lang w:eastAsia="en-AU"/>
        </w:rPr>
        <w:t xml:space="preserve">00 or </w:t>
      </w:r>
      <w:r w:rsidR="00436F28" w:rsidRPr="00612013">
        <w:rPr>
          <w:rFonts w:eastAsia="Times New Roman" w:cs="Arial"/>
          <w:bCs/>
          <w:lang w:eastAsia="en-AU"/>
        </w:rPr>
        <w:t xml:space="preserve">around </w:t>
      </w:r>
      <w:r w:rsidR="00612013" w:rsidRPr="00612013">
        <w:rPr>
          <w:rFonts w:eastAsia="Times New Roman" w:cs="Arial"/>
          <w:bCs/>
          <w:lang w:eastAsia="en-AU"/>
        </w:rPr>
        <w:t>9</w:t>
      </w:r>
      <w:r w:rsidR="00862283" w:rsidRPr="00612013">
        <w:rPr>
          <w:rFonts w:eastAsia="Times New Roman" w:cs="Arial"/>
          <w:bCs/>
          <w:lang w:eastAsia="en-AU"/>
        </w:rPr>
        <w:t xml:space="preserve"> </w:t>
      </w:r>
      <w:r w:rsidRPr="00612013">
        <w:rPr>
          <w:rFonts w:eastAsia="Times New Roman" w:cs="Arial"/>
          <w:bCs/>
          <w:lang w:eastAsia="en-AU"/>
        </w:rPr>
        <w:t>per cent of energy turnover in Tasmania.</w:t>
      </w:r>
      <w:r w:rsidR="00F3590E" w:rsidRPr="00612013">
        <w:rPr>
          <w:rFonts w:eastAsia="Times New Roman" w:cs="Arial"/>
          <w:bCs/>
          <w:lang w:eastAsia="en-AU"/>
        </w:rPr>
        <w:fldChar w:fldCharType="begin"/>
      </w:r>
      <w:r w:rsidR="00F3590E" w:rsidRPr="00612013">
        <w:rPr>
          <w:rFonts w:eastAsia="Times New Roman" w:cs="Arial"/>
          <w:bCs/>
          <w:lang w:eastAsia="en-AU"/>
        </w:rPr>
        <w:instrText xml:space="preserve"> REF _Ref418082853 \h </w:instrText>
      </w:r>
      <w:r w:rsidR="00215E19" w:rsidRPr="00612013">
        <w:rPr>
          <w:rFonts w:eastAsia="Times New Roman" w:cs="Arial"/>
          <w:bCs/>
          <w:lang w:eastAsia="en-AU"/>
        </w:rPr>
        <w:instrText xml:space="preserve"> \* MERGEFORMAT </w:instrText>
      </w:r>
      <w:r w:rsidR="00F3590E" w:rsidRPr="00612013">
        <w:rPr>
          <w:rFonts w:eastAsia="Times New Roman" w:cs="Arial"/>
          <w:bCs/>
          <w:lang w:eastAsia="en-AU"/>
        </w:rPr>
      </w:r>
      <w:r w:rsidR="00F3590E" w:rsidRPr="00612013">
        <w:rPr>
          <w:rFonts w:eastAsia="Times New Roman" w:cs="Arial"/>
          <w:bCs/>
          <w:lang w:eastAsia="en-AU"/>
        </w:rPr>
        <w:fldChar w:fldCharType="separate"/>
      </w:r>
    </w:p>
    <w:p w:rsidR="00B01BD3" w:rsidRPr="00612013" w:rsidRDefault="007A5525" w:rsidP="00551739">
      <w:pPr>
        <w:pStyle w:val="AERbodytext"/>
      </w:pPr>
      <w:r w:rsidRPr="00551739">
        <w:t xml:space="preserve">Figure </w:t>
      </w:r>
      <w:r>
        <w:t>8</w:t>
      </w:r>
      <w:r w:rsidR="00F3590E" w:rsidRPr="00612013">
        <w:fldChar w:fldCharType="end"/>
      </w:r>
      <w:r w:rsidR="00F3590E" w:rsidRPr="00612013">
        <w:t xml:space="preserve"> shows the daily breakdown of cost for each FCAS for the NEM, as well as the average cost since the beginning of the previous financial year. </w:t>
      </w:r>
      <w:bookmarkStart w:id="19" w:name="_Ref418082853"/>
    </w:p>
    <w:p w:rsidR="00275002" w:rsidRPr="00C4712A" w:rsidRDefault="00275002" w:rsidP="00551739">
      <w:pPr>
        <w:pStyle w:val="Caption"/>
        <w:rPr>
          <w:noProof/>
        </w:rPr>
      </w:pPr>
      <w:r w:rsidRPr="00551739">
        <w:rPr>
          <w:noProof/>
        </w:rPr>
        <w:t xml:space="preserve">Figure </w:t>
      </w:r>
      <w:r w:rsidR="00DF6E09">
        <w:rPr>
          <w:noProof/>
        </w:rPr>
        <w:fldChar w:fldCharType="begin"/>
      </w:r>
      <w:r w:rsidR="00DF6E09">
        <w:rPr>
          <w:noProof/>
        </w:rPr>
        <w:instrText xml:space="preserve"> SEQ Figure \* ARABIC </w:instrText>
      </w:r>
      <w:r w:rsidR="00DF6E09">
        <w:rPr>
          <w:noProof/>
        </w:rPr>
        <w:fldChar w:fldCharType="separate"/>
      </w:r>
      <w:r w:rsidR="007A5525">
        <w:rPr>
          <w:noProof/>
        </w:rPr>
        <w:t>8</w:t>
      </w:r>
      <w:r w:rsidR="00DF6E09">
        <w:rPr>
          <w:noProof/>
        </w:rPr>
        <w:fldChar w:fldCharType="end"/>
      </w:r>
      <w:bookmarkEnd w:id="18"/>
      <w:bookmarkEnd w:id="19"/>
      <w:r w:rsidRPr="00551739">
        <w:rPr>
          <w:noProof/>
        </w:rPr>
        <w:t>: Daily frequency control ancillary service cost</w:t>
      </w:r>
    </w:p>
    <w:p w:rsidR="006D1A40" w:rsidRDefault="000814F1" w:rsidP="006D1A40">
      <w:pPr>
        <w:spacing w:line="240" w:lineRule="auto"/>
        <w:rPr>
          <w:rStyle w:val="AERbodytextChar"/>
          <w:rFonts w:eastAsiaTheme="minorHAnsi"/>
        </w:rPr>
      </w:pPr>
      <w:r w:rsidRPr="000814F1">
        <w:rPr>
          <w:noProof/>
          <w:lang w:eastAsia="en-AU"/>
        </w:rPr>
        <w:drawing>
          <wp:inline distT="0" distB="0" distL="0" distR="0" wp14:anchorId="677CBE1B" wp14:editId="3795FBD5">
            <wp:extent cx="5731510" cy="2891535"/>
            <wp:effectExtent l="0" t="0" r="2540" b="4445"/>
            <wp:docPr id="21" name="Picture 21" descr="Figure 8 shows the daily breakdown of cost for each FCAS for the NEM, as well as the average cost since the beginning of the previous financial year.&#10;Should you require a description of the data for the week under review, please email us at  AERInquiry@aer.gov.a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1535"/>
                    </a:xfrm>
                    <a:prstGeom prst="rect">
                      <a:avLst/>
                    </a:prstGeom>
                    <a:noFill/>
                    <a:ln>
                      <a:noFill/>
                    </a:ln>
                  </pic:spPr>
                </pic:pic>
              </a:graphicData>
            </a:graphic>
          </wp:inline>
        </w:drawing>
      </w:r>
    </w:p>
    <w:p w:rsidR="00AC45E8" w:rsidRDefault="0078755C" w:rsidP="00AC45E8">
      <w:pPr>
        <w:rPr>
          <w:rFonts w:cs="Arial"/>
          <w:color w:val="376092"/>
          <w:sz w:val="18"/>
          <w:szCs w:val="18"/>
          <w:lang w:eastAsia="en-AU"/>
        </w:rPr>
      </w:pPr>
      <w:r>
        <w:t xml:space="preserve">In Tasmania on 15 November 2016, </w:t>
      </w:r>
      <w:r w:rsidR="00AC45E8">
        <w:t>the price of raise 6 second services increased above $5000/MW four separate times across the day due to the co-optimisation of the FCAS and energy markets.</w:t>
      </w:r>
    </w:p>
    <w:p w:rsidR="00CA0B2E" w:rsidRPr="00C4712A" w:rsidRDefault="00CA0B2E" w:rsidP="00CA0B2E">
      <w:pPr>
        <w:pStyle w:val="AERHeading1"/>
      </w:pPr>
      <w:r w:rsidRPr="00C4712A">
        <w:lastRenderedPageBreak/>
        <w:t>Detailed market analysis of significant price events</w:t>
      </w:r>
    </w:p>
    <w:p w:rsidR="00CA0B2E" w:rsidRDefault="00C67D8C" w:rsidP="00CA0B2E">
      <w:pPr>
        <w:pStyle w:val="Heading2"/>
        <w:rPr>
          <w:rFonts w:eastAsia="Times New Roman"/>
          <w:b w:val="0"/>
          <w:bCs w:val="0"/>
          <w:lang w:eastAsia="en-AU"/>
        </w:rPr>
      </w:pPr>
      <w:r>
        <w:rPr>
          <w:rFonts w:eastAsia="Times New Roman"/>
          <w:b w:val="0"/>
          <w:bCs w:val="0"/>
          <w:lang w:eastAsia="en-AU"/>
        </w:rPr>
        <w:t>Queensland</w:t>
      </w:r>
    </w:p>
    <w:p w:rsidR="00C67D8C" w:rsidRPr="009716B6" w:rsidRDefault="00C67D8C" w:rsidP="00536609">
      <w:pPr>
        <w:pStyle w:val="NormalWeb"/>
        <w:spacing w:line="288" w:lineRule="auto"/>
        <w:jc w:val="both"/>
        <w:rPr>
          <w:rFonts w:ascii="Arial" w:hAnsi="Arial" w:cs="Arial"/>
          <w:bCs/>
          <w:sz w:val="22"/>
          <w:szCs w:val="22"/>
        </w:rPr>
      </w:pPr>
      <w:r w:rsidRPr="009716B6">
        <w:rPr>
          <w:rFonts w:ascii="Arial" w:hAnsi="Arial" w:cs="Arial"/>
          <w:bCs/>
          <w:sz w:val="22"/>
          <w:szCs w:val="22"/>
        </w:rPr>
        <w:t>There were two occasions where the spot price in Queensland was greater than three times the Queensland weekly average price of $93/MWh and above $250/MWh.</w:t>
      </w:r>
    </w:p>
    <w:p w:rsidR="00CA0B2E" w:rsidRPr="005F37A9" w:rsidRDefault="003605DF" w:rsidP="00CA0B2E">
      <w:pPr>
        <w:pStyle w:val="Heading3"/>
        <w:rPr>
          <w:rFonts w:eastAsia="Times New Roman"/>
        </w:rPr>
      </w:pPr>
      <w:r>
        <w:rPr>
          <w:rFonts w:eastAsia="Times New Roman"/>
        </w:rPr>
        <w:t xml:space="preserve">Tuesday, </w:t>
      </w:r>
      <w:r w:rsidR="009716B6">
        <w:rPr>
          <w:rFonts w:eastAsia="Times New Roman"/>
        </w:rPr>
        <w:t>15</w:t>
      </w:r>
      <w:r w:rsidR="00CA0B2E">
        <w:rPr>
          <w:rFonts w:eastAsia="Times New Roman"/>
        </w:rPr>
        <w:t xml:space="preserve"> </w:t>
      </w:r>
      <w:r w:rsidR="004B4372">
        <w:rPr>
          <w:rFonts w:eastAsia="Times New Roman"/>
        </w:rPr>
        <w:t>November</w:t>
      </w:r>
    </w:p>
    <w:p w:rsidR="00CA0B2E" w:rsidRPr="001C5A97" w:rsidRDefault="00CA0B2E" w:rsidP="00CA0B2E">
      <w:pPr>
        <w:pStyle w:val="Caption"/>
        <w:spacing w:before="120" w:after="60"/>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7A5525">
        <w:rPr>
          <w:rFonts w:asciiTheme="minorHAnsi" w:hAnsiTheme="minorHAnsi" w:cstheme="minorHAnsi"/>
          <w:noProof/>
        </w:rPr>
        <w:t>3</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CA0B2E" w:rsidRPr="0073319F" w:rsidTr="003077EF">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CA0B2E" w:rsidRPr="007D74C6" w:rsidRDefault="00CA0B2E" w:rsidP="003077EF">
            <w:pPr>
              <w:pStyle w:val="TableHeading"/>
              <w:jc w:val="center"/>
              <w:rPr>
                <w:rFonts w:cs="Arial"/>
                <w:b w:val="0"/>
                <w:sz w:val="20"/>
                <w:szCs w:val="20"/>
              </w:rPr>
            </w:pPr>
            <w:r w:rsidRPr="007D74C6">
              <w:rPr>
                <w:rFonts w:cs="Arial"/>
                <w:b w:val="0"/>
                <w:sz w:val="20"/>
                <w:szCs w:val="20"/>
              </w:rPr>
              <w:t xml:space="preserve">Time </w:t>
            </w:r>
          </w:p>
        </w:tc>
        <w:tc>
          <w:tcPr>
            <w:tcW w:w="1582" w:type="pct"/>
            <w:gridSpan w:val="3"/>
            <w:hideMark/>
          </w:tcPr>
          <w:p w:rsidR="00CA0B2E" w:rsidRPr="007D74C6" w:rsidRDefault="00CA0B2E" w:rsidP="003077EF">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CA0B2E" w:rsidRPr="007D74C6" w:rsidRDefault="00CA0B2E" w:rsidP="003077EF">
            <w:pPr>
              <w:pStyle w:val="TableHeading"/>
              <w:jc w:val="center"/>
              <w:rPr>
                <w:rFonts w:cs="Arial"/>
                <w:b w:val="0"/>
                <w:sz w:val="20"/>
                <w:szCs w:val="20"/>
              </w:rPr>
            </w:pPr>
            <w:r w:rsidRPr="007D74C6">
              <w:rPr>
                <w:rFonts w:cs="Arial"/>
                <w:b w:val="0"/>
                <w:sz w:val="20"/>
                <w:szCs w:val="20"/>
              </w:rPr>
              <w:t>Demand (MW)</w:t>
            </w:r>
          </w:p>
        </w:tc>
        <w:tc>
          <w:tcPr>
            <w:tcW w:w="1442" w:type="pct"/>
            <w:gridSpan w:val="3"/>
            <w:hideMark/>
          </w:tcPr>
          <w:p w:rsidR="00CA0B2E" w:rsidRPr="007D74C6" w:rsidRDefault="00CA0B2E" w:rsidP="003077EF">
            <w:pPr>
              <w:pStyle w:val="TableHeading"/>
              <w:jc w:val="center"/>
              <w:rPr>
                <w:rFonts w:cs="Arial"/>
                <w:b w:val="0"/>
                <w:sz w:val="20"/>
                <w:szCs w:val="20"/>
              </w:rPr>
            </w:pPr>
            <w:r w:rsidRPr="007D74C6">
              <w:rPr>
                <w:rFonts w:cs="Arial"/>
                <w:b w:val="0"/>
                <w:sz w:val="20"/>
                <w:szCs w:val="20"/>
              </w:rPr>
              <w:t>Availability (MW)</w:t>
            </w:r>
          </w:p>
        </w:tc>
      </w:tr>
      <w:tr w:rsidR="00CA0B2E" w:rsidRPr="0073319F" w:rsidTr="003077EF">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 </w:t>
            </w:r>
          </w:p>
        </w:tc>
        <w:tc>
          <w:tcPr>
            <w:tcW w:w="516"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Actual</w:t>
            </w:r>
          </w:p>
        </w:tc>
        <w:tc>
          <w:tcPr>
            <w:tcW w:w="533"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4 hr forecast</w:t>
            </w:r>
          </w:p>
        </w:tc>
        <w:tc>
          <w:tcPr>
            <w:tcW w:w="453" w:type="pct"/>
            <w:tcMar>
              <w:left w:w="57" w:type="dxa"/>
              <w:right w:w="57" w:type="dxa"/>
            </w:tcMar>
            <w:hideMark/>
          </w:tcPr>
          <w:p w:rsidR="00CA0B2E" w:rsidRPr="007D74C6" w:rsidRDefault="00CA0B2E" w:rsidP="003077EF">
            <w:pPr>
              <w:pStyle w:val="tableheadingline2"/>
              <w:rPr>
                <w:rFonts w:cs="Arial"/>
                <w:sz w:val="20"/>
                <w:szCs w:val="20"/>
              </w:rPr>
            </w:pPr>
            <w:r w:rsidRPr="007D74C6">
              <w:rPr>
                <w:rFonts w:cs="Arial"/>
                <w:sz w:val="20"/>
                <w:szCs w:val="20"/>
              </w:rPr>
              <w:t>12 hr forecast</w:t>
            </w:r>
          </w:p>
        </w:tc>
      </w:tr>
      <w:tr w:rsidR="009716B6" w:rsidRPr="0073319F" w:rsidTr="003077EF">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9716B6" w:rsidRPr="005E4EB1" w:rsidRDefault="009716B6" w:rsidP="00EE075B">
            <w:pPr>
              <w:spacing w:after="0" w:line="240" w:lineRule="auto"/>
              <w:jc w:val="center"/>
              <w:rPr>
                <w:rFonts w:cs="Arial"/>
                <w:sz w:val="20"/>
                <w:szCs w:val="20"/>
              </w:rPr>
            </w:pPr>
            <w:r>
              <w:rPr>
                <w:rFonts w:cs="Arial"/>
                <w:sz w:val="20"/>
                <w:szCs w:val="20"/>
              </w:rPr>
              <w:t>4.30 pm</w:t>
            </w:r>
          </w:p>
        </w:tc>
        <w:tc>
          <w:tcPr>
            <w:tcW w:w="516" w:type="pct"/>
            <w:vAlign w:val="center"/>
          </w:tcPr>
          <w:p w:rsidR="009716B6" w:rsidRPr="003605DF" w:rsidRDefault="009716B6" w:rsidP="00EE075B">
            <w:pPr>
              <w:spacing w:after="0" w:line="240" w:lineRule="auto"/>
              <w:jc w:val="center"/>
              <w:rPr>
                <w:rFonts w:cs="Arial"/>
                <w:sz w:val="20"/>
                <w:szCs w:val="20"/>
              </w:rPr>
            </w:pPr>
            <w:r>
              <w:rPr>
                <w:rFonts w:cs="Arial"/>
                <w:sz w:val="20"/>
                <w:szCs w:val="20"/>
              </w:rPr>
              <w:t>294</w:t>
            </w:r>
            <w:r w:rsidRPr="003605DF">
              <w:rPr>
                <w:rFonts w:cs="Arial"/>
                <w:sz w:val="20"/>
                <w:szCs w:val="20"/>
              </w:rPr>
              <w:t>.</w:t>
            </w:r>
            <w:r>
              <w:rPr>
                <w:rFonts w:cs="Arial"/>
                <w:sz w:val="20"/>
                <w:szCs w:val="20"/>
              </w:rPr>
              <w:t>15</w:t>
            </w:r>
          </w:p>
        </w:tc>
        <w:tc>
          <w:tcPr>
            <w:tcW w:w="533" w:type="pct"/>
            <w:vAlign w:val="center"/>
          </w:tcPr>
          <w:p w:rsidR="009716B6" w:rsidRPr="003605DF" w:rsidRDefault="009716B6" w:rsidP="00EE075B">
            <w:pPr>
              <w:spacing w:after="0" w:line="240" w:lineRule="auto"/>
              <w:jc w:val="center"/>
              <w:rPr>
                <w:rFonts w:cs="Arial"/>
                <w:sz w:val="20"/>
                <w:szCs w:val="20"/>
              </w:rPr>
            </w:pPr>
            <w:r>
              <w:rPr>
                <w:rFonts w:cs="Arial"/>
                <w:sz w:val="20"/>
                <w:szCs w:val="20"/>
              </w:rPr>
              <w:t>76.86</w:t>
            </w:r>
          </w:p>
        </w:tc>
        <w:tc>
          <w:tcPr>
            <w:tcW w:w="533" w:type="pct"/>
            <w:vAlign w:val="center"/>
          </w:tcPr>
          <w:p w:rsidR="009716B6" w:rsidRPr="003605DF" w:rsidRDefault="009716B6" w:rsidP="00EE075B">
            <w:pPr>
              <w:spacing w:after="0" w:line="240" w:lineRule="auto"/>
              <w:jc w:val="center"/>
              <w:rPr>
                <w:rFonts w:cs="Arial"/>
                <w:sz w:val="20"/>
                <w:szCs w:val="20"/>
              </w:rPr>
            </w:pPr>
            <w:r>
              <w:rPr>
                <w:rFonts w:cs="Arial"/>
                <w:sz w:val="20"/>
                <w:szCs w:val="20"/>
              </w:rPr>
              <w:t>54.67</w:t>
            </w:r>
          </w:p>
        </w:tc>
        <w:tc>
          <w:tcPr>
            <w:tcW w:w="455" w:type="pct"/>
            <w:vAlign w:val="center"/>
          </w:tcPr>
          <w:p w:rsidR="009716B6" w:rsidRPr="009716B6" w:rsidRDefault="009716B6" w:rsidP="00EE075B">
            <w:pPr>
              <w:spacing w:after="0" w:line="240" w:lineRule="auto"/>
              <w:jc w:val="center"/>
              <w:rPr>
                <w:rFonts w:cs="Arial"/>
                <w:sz w:val="20"/>
                <w:szCs w:val="20"/>
              </w:rPr>
            </w:pPr>
            <w:r w:rsidRPr="009716B6">
              <w:rPr>
                <w:rFonts w:cs="Arial"/>
                <w:sz w:val="20"/>
                <w:szCs w:val="20"/>
              </w:rPr>
              <w:t>6717</w:t>
            </w:r>
          </w:p>
        </w:tc>
        <w:tc>
          <w:tcPr>
            <w:tcW w:w="456" w:type="pct"/>
            <w:vAlign w:val="center"/>
          </w:tcPr>
          <w:p w:rsidR="009716B6" w:rsidRPr="009716B6" w:rsidRDefault="009716B6" w:rsidP="00EE075B">
            <w:pPr>
              <w:spacing w:after="0" w:line="240" w:lineRule="auto"/>
              <w:jc w:val="center"/>
              <w:rPr>
                <w:rFonts w:cs="Arial"/>
                <w:sz w:val="20"/>
                <w:szCs w:val="20"/>
              </w:rPr>
            </w:pPr>
            <w:r w:rsidRPr="009716B6">
              <w:rPr>
                <w:rFonts w:cs="Arial"/>
                <w:sz w:val="20"/>
                <w:szCs w:val="20"/>
              </w:rPr>
              <w:t>7043</w:t>
            </w:r>
          </w:p>
        </w:tc>
        <w:tc>
          <w:tcPr>
            <w:tcW w:w="534" w:type="pct"/>
            <w:vAlign w:val="center"/>
          </w:tcPr>
          <w:p w:rsidR="009716B6" w:rsidRPr="009716B6" w:rsidRDefault="009716B6" w:rsidP="00EE075B">
            <w:pPr>
              <w:spacing w:after="0" w:line="240" w:lineRule="auto"/>
              <w:jc w:val="center"/>
              <w:rPr>
                <w:rFonts w:cs="Arial"/>
                <w:sz w:val="20"/>
                <w:szCs w:val="20"/>
              </w:rPr>
            </w:pPr>
            <w:r w:rsidRPr="009716B6">
              <w:rPr>
                <w:rFonts w:cs="Arial"/>
                <w:sz w:val="20"/>
                <w:szCs w:val="20"/>
              </w:rPr>
              <w:t>7059</w:t>
            </w:r>
          </w:p>
        </w:tc>
        <w:tc>
          <w:tcPr>
            <w:tcW w:w="532" w:type="pct"/>
            <w:vAlign w:val="center"/>
          </w:tcPr>
          <w:p w:rsidR="009716B6" w:rsidRPr="009716B6" w:rsidRDefault="009716B6" w:rsidP="00EE075B">
            <w:pPr>
              <w:spacing w:after="0" w:line="240" w:lineRule="auto"/>
              <w:jc w:val="center"/>
              <w:rPr>
                <w:rFonts w:cs="Arial"/>
                <w:sz w:val="20"/>
                <w:szCs w:val="20"/>
              </w:rPr>
            </w:pPr>
            <w:r w:rsidRPr="009716B6">
              <w:rPr>
                <w:rFonts w:cs="Arial"/>
                <w:sz w:val="20"/>
                <w:szCs w:val="20"/>
              </w:rPr>
              <w:t>9660</w:t>
            </w:r>
          </w:p>
        </w:tc>
        <w:tc>
          <w:tcPr>
            <w:tcW w:w="457" w:type="pct"/>
            <w:vAlign w:val="center"/>
          </w:tcPr>
          <w:p w:rsidR="009716B6" w:rsidRPr="009716B6" w:rsidRDefault="009716B6" w:rsidP="00EE075B">
            <w:pPr>
              <w:spacing w:after="0" w:line="240" w:lineRule="auto"/>
              <w:jc w:val="center"/>
              <w:rPr>
                <w:rFonts w:cs="Arial"/>
                <w:sz w:val="20"/>
                <w:szCs w:val="20"/>
              </w:rPr>
            </w:pPr>
            <w:r w:rsidRPr="009716B6">
              <w:rPr>
                <w:rFonts w:cs="Arial"/>
                <w:sz w:val="20"/>
                <w:szCs w:val="20"/>
              </w:rPr>
              <w:t>9659</w:t>
            </w:r>
          </w:p>
        </w:tc>
        <w:tc>
          <w:tcPr>
            <w:tcW w:w="453" w:type="pct"/>
            <w:vAlign w:val="center"/>
          </w:tcPr>
          <w:p w:rsidR="009716B6" w:rsidRPr="009716B6" w:rsidRDefault="009716B6" w:rsidP="00EE075B">
            <w:pPr>
              <w:spacing w:after="0" w:line="240" w:lineRule="auto"/>
              <w:jc w:val="center"/>
              <w:rPr>
                <w:rFonts w:cs="Arial"/>
                <w:sz w:val="20"/>
                <w:szCs w:val="20"/>
              </w:rPr>
            </w:pPr>
            <w:r>
              <w:rPr>
                <w:rFonts w:cs="Arial"/>
                <w:sz w:val="20"/>
                <w:szCs w:val="20"/>
              </w:rPr>
              <w:t>10 </w:t>
            </w:r>
            <w:r w:rsidRPr="009716B6">
              <w:rPr>
                <w:rFonts w:cs="Arial"/>
                <w:sz w:val="20"/>
                <w:szCs w:val="20"/>
              </w:rPr>
              <w:t>042</w:t>
            </w:r>
          </w:p>
        </w:tc>
      </w:tr>
    </w:tbl>
    <w:p w:rsidR="00C67D8C" w:rsidRDefault="00C67D8C" w:rsidP="00C67D8C">
      <w:pPr>
        <w:jc w:val="both"/>
      </w:pPr>
      <w:r w:rsidRPr="009716B6">
        <w:rPr>
          <w:rFonts w:eastAsia="Times New Roman" w:cs="Arial"/>
          <w:bCs/>
          <w:lang w:eastAsia="en-AU"/>
        </w:rPr>
        <w:t>Condition</w:t>
      </w:r>
      <w:r w:rsidR="009359EF">
        <w:rPr>
          <w:rFonts w:eastAsia="Times New Roman" w:cs="Arial"/>
          <w:bCs/>
          <w:lang w:eastAsia="en-AU"/>
        </w:rPr>
        <w:t>s</w:t>
      </w:r>
      <w:r w:rsidRPr="009716B6">
        <w:rPr>
          <w:rFonts w:eastAsia="Times New Roman" w:cs="Arial"/>
          <w:bCs/>
          <w:lang w:eastAsia="en-AU"/>
        </w:rPr>
        <w:t xml:space="preserve"> at the time saw demand around 3</w:t>
      </w:r>
      <w:r w:rsidR="009716B6" w:rsidRPr="009716B6">
        <w:rPr>
          <w:rFonts w:eastAsia="Times New Roman" w:cs="Arial"/>
          <w:bCs/>
          <w:lang w:eastAsia="en-AU"/>
        </w:rPr>
        <w:t>3</w:t>
      </w:r>
      <w:r w:rsidRPr="009716B6">
        <w:rPr>
          <w:rFonts w:eastAsia="Times New Roman" w:cs="Arial"/>
          <w:bCs/>
          <w:lang w:eastAsia="en-AU"/>
        </w:rPr>
        <w:t xml:space="preserve">0 MW </w:t>
      </w:r>
      <w:r w:rsidR="009716B6" w:rsidRPr="009716B6">
        <w:rPr>
          <w:rFonts w:eastAsia="Times New Roman" w:cs="Arial"/>
          <w:bCs/>
          <w:lang w:eastAsia="en-AU"/>
        </w:rPr>
        <w:t>less than that forecast four hours ahead and a</w:t>
      </w:r>
      <w:r w:rsidR="009716B6" w:rsidRPr="009716B6">
        <w:t>vailable capacity was close to forecast.</w:t>
      </w:r>
    </w:p>
    <w:p w:rsidR="00A3219D" w:rsidRPr="009716B6" w:rsidRDefault="00A3219D" w:rsidP="00637D55">
      <w:pPr>
        <w:pStyle w:val="AERbodytext"/>
      </w:pPr>
      <w:r>
        <w:t xml:space="preserve">At 4.20 pm </w:t>
      </w:r>
      <w:r w:rsidR="00BC25D2">
        <w:t xml:space="preserve">demand increased by 165 MW, with </w:t>
      </w:r>
      <w:r w:rsidR="00DF70E5">
        <w:t>no capacity priced between $400/MW</w:t>
      </w:r>
      <w:r w:rsidR="00524D8F">
        <w:t>h</w:t>
      </w:r>
      <w:r w:rsidR="00DF70E5">
        <w:t xml:space="preserve"> and $</w:t>
      </w:r>
      <w:r w:rsidR="00755BE7">
        <w:t>14</w:t>
      </w:r>
      <w:r w:rsidR="00DF70E5">
        <w:t>00/MW</w:t>
      </w:r>
      <w:r w:rsidR="00524D8F">
        <w:t>h</w:t>
      </w:r>
      <w:r w:rsidR="0067364C">
        <w:t xml:space="preserve"> and a</w:t>
      </w:r>
      <w:r w:rsidR="00FC1566">
        <w:t xml:space="preserve"> voltage stability constraint limit</w:t>
      </w:r>
      <w:r w:rsidR="00BC25D2">
        <w:t>ing</w:t>
      </w:r>
      <w:r w:rsidR="00FC1566">
        <w:t xml:space="preserve"> generation on </w:t>
      </w:r>
      <w:proofErr w:type="spellStart"/>
      <w:r w:rsidR="00FC1566">
        <w:t>Kogan</w:t>
      </w:r>
      <w:proofErr w:type="spellEnd"/>
      <w:r w:rsidR="00FC1566">
        <w:t xml:space="preserve"> Creek and imports into Queensland</w:t>
      </w:r>
      <w:r w:rsidR="00BC25D2">
        <w:t>,</w:t>
      </w:r>
      <w:r w:rsidR="003C23CA">
        <w:t xml:space="preserve"> </w:t>
      </w:r>
      <w:r>
        <w:t xml:space="preserve">the price increased to $1400/MWh for one dispatch interval. </w:t>
      </w:r>
    </w:p>
    <w:p w:rsidR="003C23CA" w:rsidRPr="005F37A9" w:rsidRDefault="003C23CA" w:rsidP="003C23CA">
      <w:pPr>
        <w:pStyle w:val="Heading3"/>
        <w:rPr>
          <w:rFonts w:eastAsia="Times New Roman"/>
        </w:rPr>
      </w:pPr>
      <w:r>
        <w:rPr>
          <w:rFonts w:eastAsia="Times New Roman"/>
        </w:rPr>
        <w:t>Friday, 18 November</w:t>
      </w:r>
    </w:p>
    <w:p w:rsidR="00737494" w:rsidRPr="001C5A97" w:rsidRDefault="00765EE8" w:rsidP="00765EE8">
      <w:pPr>
        <w:pStyle w:val="Caption"/>
        <w:rPr>
          <w:rFonts w:asciiTheme="minorHAnsi" w:hAnsiTheme="minorHAnsi" w:cstheme="minorHAnsi"/>
        </w:rPr>
      </w:pPr>
      <w:r>
        <w:t xml:space="preserve">Table </w:t>
      </w:r>
      <w:r w:rsidR="00CC1B19">
        <w:fldChar w:fldCharType="begin"/>
      </w:r>
      <w:r w:rsidR="00CC1B19">
        <w:instrText xml:space="preserve"> SEQ Table \* ARABIC </w:instrText>
      </w:r>
      <w:r w:rsidR="00CC1B19">
        <w:fldChar w:fldCharType="separate"/>
      </w:r>
      <w:r w:rsidR="007A5525">
        <w:rPr>
          <w:noProof/>
        </w:rPr>
        <w:t>5</w:t>
      </w:r>
      <w:r w:rsidR="00CC1B19">
        <w:rPr>
          <w:noProof/>
        </w:rPr>
        <w:fldChar w:fldCharType="end"/>
      </w:r>
      <w:r w:rsidR="00737494"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737494" w:rsidRPr="0073319F" w:rsidTr="003077EF">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737494" w:rsidRPr="007D74C6" w:rsidRDefault="00737494" w:rsidP="003077EF">
            <w:pPr>
              <w:pStyle w:val="TableHeading"/>
              <w:jc w:val="center"/>
              <w:rPr>
                <w:rFonts w:cs="Arial"/>
                <w:b w:val="0"/>
                <w:sz w:val="20"/>
                <w:szCs w:val="20"/>
              </w:rPr>
            </w:pPr>
            <w:r w:rsidRPr="007D74C6">
              <w:rPr>
                <w:rFonts w:cs="Arial"/>
                <w:b w:val="0"/>
                <w:sz w:val="20"/>
                <w:szCs w:val="20"/>
              </w:rPr>
              <w:t xml:space="preserve">Time </w:t>
            </w:r>
          </w:p>
        </w:tc>
        <w:tc>
          <w:tcPr>
            <w:tcW w:w="1582" w:type="pct"/>
            <w:gridSpan w:val="3"/>
            <w:hideMark/>
          </w:tcPr>
          <w:p w:rsidR="00737494" w:rsidRPr="007D74C6" w:rsidRDefault="00737494" w:rsidP="003077EF">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737494" w:rsidRPr="007D74C6" w:rsidRDefault="00737494" w:rsidP="003077EF">
            <w:pPr>
              <w:pStyle w:val="TableHeading"/>
              <w:jc w:val="center"/>
              <w:rPr>
                <w:rFonts w:cs="Arial"/>
                <w:b w:val="0"/>
                <w:sz w:val="20"/>
                <w:szCs w:val="20"/>
              </w:rPr>
            </w:pPr>
            <w:r w:rsidRPr="007D74C6">
              <w:rPr>
                <w:rFonts w:cs="Arial"/>
                <w:b w:val="0"/>
                <w:sz w:val="20"/>
                <w:szCs w:val="20"/>
              </w:rPr>
              <w:t>Demand (MW)</w:t>
            </w:r>
          </w:p>
        </w:tc>
        <w:tc>
          <w:tcPr>
            <w:tcW w:w="1442" w:type="pct"/>
            <w:gridSpan w:val="3"/>
            <w:hideMark/>
          </w:tcPr>
          <w:p w:rsidR="00737494" w:rsidRPr="007D74C6" w:rsidRDefault="00737494" w:rsidP="003077EF">
            <w:pPr>
              <w:pStyle w:val="TableHeading"/>
              <w:jc w:val="center"/>
              <w:rPr>
                <w:rFonts w:cs="Arial"/>
                <w:b w:val="0"/>
                <w:sz w:val="20"/>
                <w:szCs w:val="20"/>
              </w:rPr>
            </w:pPr>
            <w:r w:rsidRPr="007D74C6">
              <w:rPr>
                <w:rFonts w:cs="Arial"/>
                <w:b w:val="0"/>
                <w:sz w:val="20"/>
                <w:szCs w:val="20"/>
              </w:rPr>
              <w:t>Availability (MW)</w:t>
            </w:r>
          </w:p>
        </w:tc>
      </w:tr>
      <w:tr w:rsidR="00737494" w:rsidRPr="0073319F" w:rsidTr="003077EF">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737494" w:rsidRPr="007D74C6" w:rsidRDefault="00737494" w:rsidP="003077EF">
            <w:pPr>
              <w:pStyle w:val="tableheadingline2"/>
              <w:rPr>
                <w:rFonts w:cs="Arial"/>
                <w:sz w:val="20"/>
                <w:szCs w:val="20"/>
              </w:rPr>
            </w:pPr>
            <w:r w:rsidRPr="007D74C6">
              <w:rPr>
                <w:rFonts w:cs="Arial"/>
                <w:sz w:val="20"/>
                <w:szCs w:val="20"/>
              </w:rPr>
              <w:t> </w:t>
            </w:r>
          </w:p>
        </w:tc>
        <w:tc>
          <w:tcPr>
            <w:tcW w:w="516" w:type="pct"/>
            <w:tcMar>
              <w:left w:w="57" w:type="dxa"/>
              <w:right w:w="57" w:type="dxa"/>
            </w:tcMar>
            <w:hideMark/>
          </w:tcPr>
          <w:p w:rsidR="00737494" w:rsidRPr="007D74C6" w:rsidRDefault="00737494" w:rsidP="003077EF">
            <w:pPr>
              <w:pStyle w:val="tableheadingline2"/>
              <w:rPr>
                <w:rFonts w:cs="Arial"/>
                <w:sz w:val="20"/>
                <w:szCs w:val="20"/>
              </w:rPr>
            </w:pPr>
            <w:r w:rsidRPr="007D74C6">
              <w:rPr>
                <w:rFonts w:cs="Arial"/>
                <w:sz w:val="20"/>
                <w:szCs w:val="20"/>
              </w:rPr>
              <w:t>Actual</w:t>
            </w:r>
          </w:p>
        </w:tc>
        <w:tc>
          <w:tcPr>
            <w:tcW w:w="533" w:type="pct"/>
            <w:tcMar>
              <w:left w:w="57" w:type="dxa"/>
              <w:right w:w="57" w:type="dxa"/>
            </w:tcMar>
            <w:hideMark/>
          </w:tcPr>
          <w:p w:rsidR="00737494" w:rsidRPr="007D74C6" w:rsidRDefault="00737494" w:rsidP="003077EF">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737494" w:rsidRPr="007D74C6" w:rsidRDefault="00737494" w:rsidP="003077EF">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737494" w:rsidRPr="007D74C6" w:rsidRDefault="00737494" w:rsidP="003077EF">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737494" w:rsidRPr="007D74C6" w:rsidRDefault="00737494" w:rsidP="003077EF">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737494" w:rsidRPr="007D74C6" w:rsidRDefault="00737494" w:rsidP="003077EF">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737494" w:rsidRPr="007D74C6" w:rsidRDefault="00737494" w:rsidP="003077EF">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737494" w:rsidRPr="007D74C6" w:rsidRDefault="00737494" w:rsidP="003077EF">
            <w:pPr>
              <w:pStyle w:val="tableheadingline2"/>
              <w:rPr>
                <w:rFonts w:cs="Arial"/>
                <w:sz w:val="20"/>
                <w:szCs w:val="20"/>
              </w:rPr>
            </w:pPr>
            <w:r w:rsidRPr="007D74C6">
              <w:rPr>
                <w:rFonts w:cs="Arial"/>
                <w:sz w:val="20"/>
                <w:szCs w:val="20"/>
              </w:rPr>
              <w:t>4 hr forecast</w:t>
            </w:r>
          </w:p>
        </w:tc>
        <w:tc>
          <w:tcPr>
            <w:tcW w:w="453" w:type="pct"/>
            <w:tcMar>
              <w:left w:w="57" w:type="dxa"/>
              <w:right w:w="57" w:type="dxa"/>
            </w:tcMar>
            <w:hideMark/>
          </w:tcPr>
          <w:p w:rsidR="00737494" w:rsidRPr="007D74C6" w:rsidRDefault="00737494" w:rsidP="003077EF">
            <w:pPr>
              <w:pStyle w:val="tableheadingline2"/>
              <w:rPr>
                <w:rFonts w:cs="Arial"/>
                <w:sz w:val="20"/>
                <w:szCs w:val="20"/>
              </w:rPr>
            </w:pPr>
            <w:r w:rsidRPr="007D74C6">
              <w:rPr>
                <w:rFonts w:cs="Arial"/>
                <w:sz w:val="20"/>
                <w:szCs w:val="20"/>
              </w:rPr>
              <w:t>12 hr forecast</w:t>
            </w:r>
          </w:p>
        </w:tc>
      </w:tr>
      <w:tr w:rsidR="003C23CA" w:rsidRPr="0073319F" w:rsidTr="003077EF">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3C23CA" w:rsidRPr="005E4EB1" w:rsidRDefault="003C23CA" w:rsidP="003C23CA">
            <w:pPr>
              <w:pStyle w:val="NormalWeb"/>
              <w:jc w:val="center"/>
              <w:rPr>
                <w:rFonts w:cs="Arial"/>
                <w:sz w:val="20"/>
                <w:szCs w:val="20"/>
              </w:rPr>
            </w:pPr>
            <w:r w:rsidRPr="003C23CA">
              <w:rPr>
                <w:rFonts w:ascii="Arial" w:eastAsiaTheme="minorHAnsi" w:hAnsi="Arial" w:cs="Arial"/>
                <w:sz w:val="20"/>
                <w:szCs w:val="20"/>
                <w:lang w:eastAsia="en-US"/>
              </w:rPr>
              <w:t>4 pm</w:t>
            </w:r>
          </w:p>
        </w:tc>
        <w:tc>
          <w:tcPr>
            <w:tcW w:w="516" w:type="pct"/>
            <w:vAlign w:val="center"/>
          </w:tcPr>
          <w:p w:rsidR="003C23CA" w:rsidRPr="003C23CA" w:rsidRDefault="003C23CA" w:rsidP="003C23CA">
            <w:pPr>
              <w:pStyle w:val="NormalWeb"/>
              <w:jc w:val="center"/>
              <w:rPr>
                <w:rFonts w:ascii="Arial" w:eastAsiaTheme="minorHAnsi" w:hAnsi="Arial" w:cs="Arial"/>
                <w:sz w:val="20"/>
                <w:szCs w:val="20"/>
                <w:lang w:eastAsia="en-US"/>
              </w:rPr>
            </w:pPr>
            <w:r w:rsidRPr="003C23CA">
              <w:rPr>
                <w:rFonts w:ascii="Arial" w:eastAsiaTheme="minorHAnsi" w:hAnsi="Arial" w:cs="Arial"/>
                <w:sz w:val="20"/>
                <w:szCs w:val="20"/>
                <w:lang w:eastAsia="en-US"/>
              </w:rPr>
              <w:t>250.50</w:t>
            </w:r>
          </w:p>
        </w:tc>
        <w:tc>
          <w:tcPr>
            <w:tcW w:w="533" w:type="pct"/>
            <w:vAlign w:val="center"/>
          </w:tcPr>
          <w:p w:rsidR="003C23CA" w:rsidRPr="003C23CA" w:rsidRDefault="003C23CA" w:rsidP="003C23CA">
            <w:pPr>
              <w:pStyle w:val="NormalWeb"/>
              <w:jc w:val="center"/>
              <w:rPr>
                <w:rFonts w:ascii="Arial" w:eastAsiaTheme="minorHAnsi" w:hAnsi="Arial" w:cs="Arial"/>
                <w:sz w:val="20"/>
                <w:szCs w:val="20"/>
                <w:lang w:eastAsia="en-US"/>
              </w:rPr>
            </w:pPr>
            <w:r w:rsidRPr="003C23CA">
              <w:rPr>
                <w:rFonts w:ascii="Arial" w:eastAsiaTheme="minorHAnsi" w:hAnsi="Arial" w:cs="Arial"/>
                <w:sz w:val="20"/>
                <w:szCs w:val="20"/>
                <w:lang w:eastAsia="en-US"/>
              </w:rPr>
              <w:t>90.03</w:t>
            </w:r>
          </w:p>
        </w:tc>
        <w:tc>
          <w:tcPr>
            <w:tcW w:w="533" w:type="pct"/>
            <w:vAlign w:val="center"/>
          </w:tcPr>
          <w:p w:rsidR="003C23CA" w:rsidRPr="003C23CA" w:rsidRDefault="003C23CA">
            <w:pPr>
              <w:pStyle w:val="NormalWeb"/>
              <w:jc w:val="center"/>
              <w:rPr>
                <w:rFonts w:ascii="Arial" w:eastAsiaTheme="minorHAnsi" w:hAnsi="Arial" w:cs="Arial"/>
                <w:sz w:val="20"/>
                <w:szCs w:val="20"/>
                <w:lang w:eastAsia="en-US"/>
              </w:rPr>
            </w:pPr>
            <w:r w:rsidRPr="003C23CA">
              <w:rPr>
                <w:rFonts w:ascii="Arial" w:eastAsiaTheme="minorHAnsi" w:hAnsi="Arial" w:cs="Arial"/>
                <w:sz w:val="20"/>
                <w:szCs w:val="20"/>
                <w:lang w:eastAsia="en-US"/>
              </w:rPr>
              <w:t>199.99</w:t>
            </w:r>
          </w:p>
        </w:tc>
        <w:tc>
          <w:tcPr>
            <w:tcW w:w="455" w:type="pct"/>
            <w:vAlign w:val="center"/>
          </w:tcPr>
          <w:p w:rsidR="003C23CA" w:rsidRPr="003C23CA" w:rsidRDefault="003C23CA">
            <w:pPr>
              <w:pStyle w:val="NormalWeb"/>
              <w:jc w:val="center"/>
              <w:rPr>
                <w:rFonts w:ascii="Arial" w:eastAsiaTheme="minorHAnsi" w:hAnsi="Arial" w:cs="Arial"/>
                <w:sz w:val="20"/>
                <w:szCs w:val="20"/>
                <w:lang w:eastAsia="en-US"/>
              </w:rPr>
            </w:pPr>
            <w:r w:rsidRPr="003C23CA">
              <w:rPr>
                <w:rFonts w:ascii="Arial" w:eastAsiaTheme="minorHAnsi" w:hAnsi="Arial" w:cs="Arial"/>
                <w:sz w:val="20"/>
                <w:szCs w:val="20"/>
                <w:lang w:eastAsia="en-US"/>
              </w:rPr>
              <w:t>6731</w:t>
            </w:r>
          </w:p>
        </w:tc>
        <w:tc>
          <w:tcPr>
            <w:tcW w:w="456" w:type="pct"/>
            <w:vAlign w:val="center"/>
          </w:tcPr>
          <w:p w:rsidR="003C23CA" w:rsidRPr="003C23CA" w:rsidRDefault="003C23CA">
            <w:pPr>
              <w:pStyle w:val="NormalWeb"/>
              <w:jc w:val="center"/>
              <w:rPr>
                <w:rFonts w:ascii="Arial" w:eastAsiaTheme="minorHAnsi" w:hAnsi="Arial" w:cs="Arial"/>
                <w:sz w:val="20"/>
                <w:szCs w:val="20"/>
                <w:lang w:eastAsia="en-US"/>
              </w:rPr>
            </w:pPr>
            <w:r w:rsidRPr="003C23CA">
              <w:rPr>
                <w:rFonts w:ascii="Arial" w:eastAsiaTheme="minorHAnsi" w:hAnsi="Arial" w:cs="Arial"/>
                <w:sz w:val="20"/>
                <w:szCs w:val="20"/>
                <w:lang w:eastAsia="en-US"/>
              </w:rPr>
              <w:t>6656</w:t>
            </w:r>
          </w:p>
        </w:tc>
        <w:tc>
          <w:tcPr>
            <w:tcW w:w="534" w:type="pct"/>
            <w:vAlign w:val="center"/>
          </w:tcPr>
          <w:p w:rsidR="003C23CA" w:rsidRPr="003C23CA" w:rsidRDefault="003C23CA">
            <w:pPr>
              <w:pStyle w:val="NormalWeb"/>
              <w:jc w:val="center"/>
              <w:rPr>
                <w:rFonts w:ascii="Arial" w:eastAsiaTheme="minorHAnsi" w:hAnsi="Arial" w:cs="Arial"/>
                <w:sz w:val="20"/>
                <w:szCs w:val="20"/>
                <w:lang w:eastAsia="en-US"/>
              </w:rPr>
            </w:pPr>
            <w:r w:rsidRPr="003C23CA">
              <w:rPr>
                <w:rFonts w:ascii="Arial" w:eastAsiaTheme="minorHAnsi" w:hAnsi="Arial" w:cs="Arial"/>
                <w:sz w:val="20"/>
                <w:szCs w:val="20"/>
                <w:lang w:eastAsia="en-US"/>
              </w:rPr>
              <w:t>6645</w:t>
            </w:r>
          </w:p>
        </w:tc>
        <w:tc>
          <w:tcPr>
            <w:tcW w:w="532" w:type="pct"/>
            <w:vAlign w:val="center"/>
          </w:tcPr>
          <w:p w:rsidR="003C23CA" w:rsidRPr="003C23CA" w:rsidRDefault="003C23CA">
            <w:pPr>
              <w:pStyle w:val="NormalWeb"/>
              <w:jc w:val="center"/>
              <w:rPr>
                <w:rFonts w:ascii="Arial" w:eastAsiaTheme="minorHAnsi" w:hAnsi="Arial" w:cs="Arial"/>
                <w:sz w:val="20"/>
                <w:szCs w:val="20"/>
                <w:lang w:eastAsia="en-US"/>
              </w:rPr>
            </w:pPr>
            <w:r w:rsidRPr="003C23CA">
              <w:rPr>
                <w:rFonts w:ascii="Arial" w:eastAsiaTheme="minorHAnsi" w:hAnsi="Arial" w:cs="Arial"/>
                <w:sz w:val="20"/>
                <w:szCs w:val="20"/>
                <w:lang w:eastAsia="en-US"/>
              </w:rPr>
              <w:t>9789</w:t>
            </w:r>
          </w:p>
        </w:tc>
        <w:tc>
          <w:tcPr>
            <w:tcW w:w="457" w:type="pct"/>
            <w:vAlign w:val="center"/>
          </w:tcPr>
          <w:p w:rsidR="003C23CA" w:rsidRPr="003C23CA" w:rsidRDefault="003C23CA">
            <w:pPr>
              <w:pStyle w:val="NormalWeb"/>
              <w:jc w:val="center"/>
              <w:rPr>
                <w:rFonts w:ascii="Arial" w:eastAsiaTheme="minorHAnsi" w:hAnsi="Arial" w:cs="Arial"/>
                <w:sz w:val="20"/>
                <w:szCs w:val="20"/>
                <w:lang w:eastAsia="en-US"/>
              </w:rPr>
            </w:pPr>
            <w:r w:rsidRPr="003C23CA">
              <w:rPr>
                <w:rFonts w:ascii="Arial" w:eastAsiaTheme="minorHAnsi" w:hAnsi="Arial" w:cs="Arial"/>
                <w:sz w:val="20"/>
                <w:szCs w:val="20"/>
                <w:lang w:eastAsia="en-US"/>
              </w:rPr>
              <w:t>9909</w:t>
            </w:r>
          </w:p>
        </w:tc>
        <w:tc>
          <w:tcPr>
            <w:tcW w:w="453" w:type="pct"/>
            <w:vAlign w:val="center"/>
          </w:tcPr>
          <w:p w:rsidR="003C23CA" w:rsidRPr="003C23CA" w:rsidRDefault="003C23CA">
            <w:pPr>
              <w:pStyle w:val="NormalWeb"/>
              <w:jc w:val="center"/>
              <w:rPr>
                <w:rFonts w:ascii="Arial" w:eastAsiaTheme="minorHAnsi" w:hAnsi="Arial" w:cs="Arial"/>
                <w:sz w:val="20"/>
                <w:szCs w:val="20"/>
                <w:lang w:eastAsia="en-US"/>
              </w:rPr>
            </w:pPr>
            <w:r w:rsidRPr="003C23CA">
              <w:rPr>
                <w:rFonts w:ascii="Arial" w:eastAsiaTheme="minorHAnsi" w:hAnsi="Arial" w:cs="Arial"/>
                <w:sz w:val="20"/>
                <w:szCs w:val="20"/>
                <w:lang w:eastAsia="en-US"/>
              </w:rPr>
              <w:t>9750</w:t>
            </w:r>
          </w:p>
        </w:tc>
      </w:tr>
    </w:tbl>
    <w:p w:rsidR="00737494" w:rsidRDefault="00E22BAF" w:rsidP="00637D55">
      <w:pPr>
        <w:pStyle w:val="AERbodytext"/>
      </w:pPr>
      <w:r>
        <w:t xml:space="preserve">Conditions at the time saw demand 75 MW higher than forecast and available capacity was 120 MW less than forecast four hours ahead. </w:t>
      </w:r>
    </w:p>
    <w:p w:rsidR="00765EE8" w:rsidRDefault="00C627D0" w:rsidP="00637D55">
      <w:pPr>
        <w:pStyle w:val="AERbodytext"/>
      </w:pPr>
      <w:r>
        <w:t>This event coincided with a</w:t>
      </w:r>
      <w:r w:rsidR="00765EE8">
        <w:t xml:space="preserve"> high price event in New South Wales. </w:t>
      </w:r>
      <w:r>
        <w:t xml:space="preserve">A </w:t>
      </w:r>
      <w:r w:rsidRPr="00200A5D">
        <w:t xml:space="preserve">constraint </w:t>
      </w:r>
      <w:r w:rsidR="000702E2">
        <w:t>optimising</w:t>
      </w:r>
      <w:r>
        <w:t xml:space="preserve"> </w:t>
      </w:r>
      <w:r w:rsidR="000702E2">
        <w:t xml:space="preserve">flows </w:t>
      </w:r>
      <w:r>
        <w:t xml:space="preserve">from Victoria into New South Wales </w:t>
      </w:r>
      <w:r w:rsidR="000702E2">
        <w:t xml:space="preserve">and from Queensland into New South Wales on </w:t>
      </w:r>
      <w:r>
        <w:t>QNI</w:t>
      </w:r>
      <w:r w:rsidRPr="00200A5D">
        <w:t xml:space="preserve"> </w:t>
      </w:r>
      <w:r>
        <w:t xml:space="preserve">and Terranora </w:t>
      </w:r>
      <w:r w:rsidRPr="00200A5D">
        <w:t>interconnector</w:t>
      </w:r>
      <w:r>
        <w:t>s</w:t>
      </w:r>
      <w:r w:rsidRPr="00200A5D">
        <w:t xml:space="preserve"> </w:t>
      </w:r>
      <w:r>
        <w:t>ex</w:t>
      </w:r>
      <w:r w:rsidRPr="00200A5D">
        <w:t xml:space="preserve">porting </w:t>
      </w:r>
      <w:r w:rsidR="000702E2">
        <w:t xml:space="preserve">was binding </w:t>
      </w:r>
      <w:r w:rsidRPr="00200A5D">
        <w:t>for much of the day</w:t>
      </w:r>
      <w:r>
        <w:t xml:space="preserve">. This </w:t>
      </w:r>
      <w:r w:rsidRPr="00200A5D">
        <w:t xml:space="preserve">contributed to </w:t>
      </w:r>
      <w:r>
        <w:t xml:space="preserve">demand in Queensland being met from generation priced at </w:t>
      </w:r>
      <w:r w:rsidR="003B31B2">
        <w:t>$</w:t>
      </w:r>
      <w:r>
        <w:t>260/MWh for 5 dispatch intervals.</w:t>
      </w:r>
    </w:p>
    <w:p w:rsidR="00007A11" w:rsidRDefault="00007A11">
      <w:pPr>
        <w:spacing w:line="240" w:lineRule="auto"/>
        <w:rPr>
          <w:rFonts w:eastAsia="Times New Roman" w:cstheme="majorBidi"/>
          <w:color w:val="51626F"/>
          <w:sz w:val="28"/>
          <w:szCs w:val="26"/>
          <w:lang w:eastAsia="en-AU"/>
        </w:rPr>
      </w:pPr>
      <w:r>
        <w:rPr>
          <w:rFonts w:eastAsia="Times New Roman"/>
          <w:b/>
          <w:bCs/>
          <w:lang w:eastAsia="en-AU"/>
        </w:rPr>
        <w:br w:type="page"/>
      </w:r>
    </w:p>
    <w:p w:rsidR="00C67D8C" w:rsidRPr="00941934" w:rsidRDefault="00C67D8C" w:rsidP="00C67D8C">
      <w:pPr>
        <w:pStyle w:val="Heading2"/>
        <w:rPr>
          <w:rFonts w:eastAsia="Times New Roman"/>
          <w:b w:val="0"/>
          <w:bCs w:val="0"/>
          <w:lang w:eastAsia="en-AU"/>
        </w:rPr>
      </w:pPr>
      <w:r w:rsidRPr="00941934">
        <w:rPr>
          <w:rFonts w:eastAsia="Times New Roman"/>
          <w:b w:val="0"/>
          <w:bCs w:val="0"/>
          <w:lang w:eastAsia="en-AU"/>
        </w:rPr>
        <w:lastRenderedPageBreak/>
        <w:t>New South Wales</w:t>
      </w:r>
    </w:p>
    <w:p w:rsidR="005B6994" w:rsidRDefault="005B6994" w:rsidP="005B6994">
      <w:pPr>
        <w:jc w:val="both"/>
        <w:rPr>
          <w:rFonts w:eastAsia="Times New Roman" w:cs="Arial"/>
          <w:bCs/>
          <w:lang w:eastAsia="en-AU"/>
        </w:rPr>
      </w:pPr>
      <w:r w:rsidRPr="005B6994">
        <w:rPr>
          <w:rFonts w:eastAsia="Times New Roman" w:cs="Arial"/>
          <w:bCs/>
          <w:lang w:eastAsia="en-AU"/>
        </w:rPr>
        <w:t>There were four occasions where the spot price in New South Wales was greater than three times the New South Wales weekly average price of $150/MWh and above $250/MWh.</w:t>
      </w:r>
    </w:p>
    <w:p w:rsidR="00BC62FE" w:rsidRPr="00BC62FE" w:rsidRDefault="00BC62FE" w:rsidP="00BC62FE">
      <w:pPr>
        <w:pStyle w:val="Heading3"/>
        <w:rPr>
          <w:rFonts w:eastAsia="Times New Roman"/>
        </w:rPr>
      </w:pPr>
      <w:r w:rsidRPr="00BC62FE">
        <w:rPr>
          <w:rFonts w:eastAsia="Times New Roman"/>
        </w:rPr>
        <w:t xml:space="preserve">Friday, 18 November </w:t>
      </w:r>
    </w:p>
    <w:p w:rsidR="003605DF" w:rsidRPr="001C5A97" w:rsidRDefault="003605DF" w:rsidP="003605DF">
      <w:pPr>
        <w:pStyle w:val="Caption"/>
        <w:spacing w:before="120" w:after="60"/>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7A5525">
        <w:rPr>
          <w:rFonts w:asciiTheme="minorHAnsi" w:hAnsiTheme="minorHAnsi" w:cstheme="minorHAnsi"/>
          <w:noProof/>
        </w:rPr>
        <w:t>6</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215" w:type="pct"/>
        <w:tblInd w:w="-34" w:type="dxa"/>
        <w:tblLayout w:type="fixed"/>
        <w:tblLook w:val="04A0" w:firstRow="1" w:lastRow="0" w:firstColumn="1" w:lastColumn="0" w:noHBand="0" w:noVBand="1"/>
      </w:tblPr>
      <w:tblGrid>
        <w:gridCol w:w="967"/>
        <w:gridCol w:w="1132"/>
        <w:gridCol w:w="1134"/>
        <w:gridCol w:w="879"/>
        <w:gridCol w:w="846"/>
        <w:gridCol w:w="846"/>
        <w:gridCol w:w="999"/>
        <w:gridCol w:w="989"/>
        <w:gridCol w:w="848"/>
        <w:gridCol w:w="999"/>
      </w:tblGrid>
      <w:tr w:rsidR="00176E41" w:rsidRPr="0073319F" w:rsidTr="005A3B6C">
        <w:trPr>
          <w:cnfStyle w:val="100000000000" w:firstRow="1" w:lastRow="0" w:firstColumn="0" w:lastColumn="0" w:oddVBand="0" w:evenVBand="0" w:oddHBand="0" w:evenHBand="0" w:firstRowFirstColumn="0" w:firstRowLastColumn="0" w:lastRowFirstColumn="0" w:lastRowLastColumn="0"/>
          <w:tblHeader/>
        </w:trPr>
        <w:tc>
          <w:tcPr>
            <w:tcW w:w="502" w:type="pct"/>
            <w:hideMark/>
          </w:tcPr>
          <w:p w:rsidR="003605DF" w:rsidRPr="007D74C6" w:rsidRDefault="003605DF" w:rsidP="003077EF">
            <w:pPr>
              <w:pStyle w:val="TableHeading"/>
              <w:jc w:val="center"/>
              <w:rPr>
                <w:rFonts w:cs="Arial"/>
                <w:b w:val="0"/>
                <w:sz w:val="20"/>
                <w:szCs w:val="20"/>
              </w:rPr>
            </w:pPr>
            <w:r w:rsidRPr="007D74C6">
              <w:rPr>
                <w:rFonts w:cs="Arial"/>
                <w:b w:val="0"/>
                <w:sz w:val="20"/>
                <w:szCs w:val="20"/>
              </w:rPr>
              <w:t xml:space="preserve">Time </w:t>
            </w:r>
          </w:p>
        </w:tc>
        <w:tc>
          <w:tcPr>
            <w:tcW w:w="1631" w:type="pct"/>
            <w:gridSpan w:val="3"/>
            <w:hideMark/>
          </w:tcPr>
          <w:p w:rsidR="003605DF" w:rsidRPr="007D74C6" w:rsidRDefault="003605DF" w:rsidP="003077EF">
            <w:pPr>
              <w:pStyle w:val="TableHeading"/>
              <w:jc w:val="center"/>
              <w:rPr>
                <w:rFonts w:cs="Arial"/>
                <w:b w:val="0"/>
                <w:sz w:val="20"/>
                <w:szCs w:val="20"/>
              </w:rPr>
            </w:pPr>
            <w:r w:rsidRPr="007D74C6">
              <w:rPr>
                <w:rFonts w:cs="Arial"/>
                <w:b w:val="0"/>
                <w:sz w:val="20"/>
                <w:szCs w:val="20"/>
              </w:rPr>
              <w:t>Price ($/MWh)</w:t>
            </w:r>
          </w:p>
        </w:tc>
        <w:tc>
          <w:tcPr>
            <w:tcW w:w="1396" w:type="pct"/>
            <w:gridSpan w:val="3"/>
            <w:hideMark/>
          </w:tcPr>
          <w:p w:rsidR="003605DF" w:rsidRPr="007D74C6" w:rsidRDefault="003605DF" w:rsidP="003077EF">
            <w:pPr>
              <w:pStyle w:val="TableHeading"/>
              <w:jc w:val="center"/>
              <w:rPr>
                <w:rFonts w:cs="Arial"/>
                <w:b w:val="0"/>
                <w:sz w:val="20"/>
                <w:szCs w:val="20"/>
              </w:rPr>
            </w:pPr>
            <w:r w:rsidRPr="007D74C6">
              <w:rPr>
                <w:rFonts w:cs="Arial"/>
                <w:b w:val="0"/>
                <w:sz w:val="20"/>
                <w:szCs w:val="20"/>
              </w:rPr>
              <w:t>Demand (MW)</w:t>
            </w:r>
          </w:p>
        </w:tc>
        <w:tc>
          <w:tcPr>
            <w:tcW w:w="1470" w:type="pct"/>
            <w:gridSpan w:val="3"/>
            <w:hideMark/>
          </w:tcPr>
          <w:p w:rsidR="003605DF" w:rsidRPr="007D74C6" w:rsidRDefault="003605DF" w:rsidP="003077EF">
            <w:pPr>
              <w:pStyle w:val="TableHeading"/>
              <w:jc w:val="center"/>
              <w:rPr>
                <w:rFonts w:cs="Arial"/>
                <w:b w:val="0"/>
                <w:sz w:val="20"/>
                <w:szCs w:val="20"/>
              </w:rPr>
            </w:pPr>
            <w:r w:rsidRPr="007D74C6">
              <w:rPr>
                <w:rFonts w:cs="Arial"/>
                <w:b w:val="0"/>
                <w:sz w:val="20"/>
                <w:szCs w:val="20"/>
              </w:rPr>
              <w:t>Availability (MW)</w:t>
            </w:r>
          </w:p>
        </w:tc>
      </w:tr>
      <w:tr w:rsidR="00176E41" w:rsidRPr="0073319F" w:rsidTr="005A3B6C">
        <w:trPr>
          <w:cnfStyle w:val="100000000000" w:firstRow="1" w:lastRow="0" w:firstColumn="0" w:lastColumn="0" w:oddVBand="0" w:evenVBand="0" w:oddHBand="0" w:evenHBand="0" w:firstRowFirstColumn="0" w:firstRowLastColumn="0" w:lastRowFirstColumn="0" w:lastRowLastColumn="0"/>
          <w:tblHeader/>
        </w:trPr>
        <w:tc>
          <w:tcPr>
            <w:tcW w:w="502" w:type="pct"/>
            <w:tcMar>
              <w:left w:w="57" w:type="dxa"/>
              <w:right w:w="57" w:type="dxa"/>
            </w:tcMar>
            <w:hideMark/>
          </w:tcPr>
          <w:p w:rsidR="003605DF" w:rsidRPr="007D74C6" w:rsidRDefault="003605DF" w:rsidP="003077EF">
            <w:pPr>
              <w:pStyle w:val="tableheadingline2"/>
              <w:rPr>
                <w:rFonts w:cs="Arial"/>
                <w:sz w:val="20"/>
                <w:szCs w:val="20"/>
              </w:rPr>
            </w:pPr>
            <w:r w:rsidRPr="007D74C6">
              <w:rPr>
                <w:rFonts w:cs="Arial"/>
                <w:sz w:val="20"/>
                <w:szCs w:val="20"/>
              </w:rPr>
              <w:t> </w:t>
            </w:r>
          </w:p>
        </w:tc>
        <w:tc>
          <w:tcPr>
            <w:tcW w:w="587" w:type="pct"/>
            <w:tcMar>
              <w:left w:w="57" w:type="dxa"/>
              <w:right w:w="57" w:type="dxa"/>
            </w:tcMar>
            <w:hideMark/>
          </w:tcPr>
          <w:p w:rsidR="003605DF" w:rsidRPr="007D74C6" w:rsidRDefault="003605DF" w:rsidP="003077EF">
            <w:pPr>
              <w:pStyle w:val="tableheadingline2"/>
              <w:rPr>
                <w:rFonts w:cs="Arial"/>
                <w:sz w:val="20"/>
                <w:szCs w:val="20"/>
              </w:rPr>
            </w:pPr>
            <w:r w:rsidRPr="007D74C6">
              <w:rPr>
                <w:rFonts w:cs="Arial"/>
                <w:sz w:val="20"/>
                <w:szCs w:val="20"/>
              </w:rPr>
              <w:t>Actual</w:t>
            </w:r>
          </w:p>
        </w:tc>
        <w:tc>
          <w:tcPr>
            <w:tcW w:w="588" w:type="pct"/>
            <w:tcMar>
              <w:left w:w="57" w:type="dxa"/>
              <w:right w:w="57" w:type="dxa"/>
            </w:tcMar>
            <w:hideMark/>
          </w:tcPr>
          <w:p w:rsidR="003605DF" w:rsidRPr="007D74C6" w:rsidRDefault="003605DF" w:rsidP="003077EF">
            <w:pPr>
              <w:pStyle w:val="tableheadingline2"/>
              <w:rPr>
                <w:rFonts w:cs="Arial"/>
                <w:sz w:val="20"/>
                <w:szCs w:val="20"/>
              </w:rPr>
            </w:pPr>
            <w:r w:rsidRPr="007D74C6">
              <w:rPr>
                <w:rFonts w:cs="Arial"/>
                <w:sz w:val="20"/>
                <w:szCs w:val="20"/>
              </w:rPr>
              <w:t>4 hr forecast</w:t>
            </w:r>
          </w:p>
        </w:tc>
        <w:tc>
          <w:tcPr>
            <w:tcW w:w="456" w:type="pct"/>
            <w:tcMar>
              <w:left w:w="57" w:type="dxa"/>
              <w:right w:w="57" w:type="dxa"/>
            </w:tcMar>
            <w:hideMark/>
          </w:tcPr>
          <w:p w:rsidR="003605DF" w:rsidRPr="007D74C6" w:rsidRDefault="003605DF" w:rsidP="003077EF">
            <w:pPr>
              <w:pStyle w:val="tableheadingline2"/>
              <w:rPr>
                <w:rFonts w:cs="Arial"/>
                <w:sz w:val="20"/>
                <w:szCs w:val="20"/>
              </w:rPr>
            </w:pPr>
            <w:r w:rsidRPr="007D74C6">
              <w:rPr>
                <w:rFonts w:cs="Arial"/>
                <w:sz w:val="20"/>
                <w:szCs w:val="20"/>
              </w:rPr>
              <w:t>12 hr forecast</w:t>
            </w:r>
          </w:p>
        </w:tc>
        <w:tc>
          <w:tcPr>
            <w:tcW w:w="439" w:type="pct"/>
            <w:tcMar>
              <w:left w:w="57" w:type="dxa"/>
              <w:right w:w="57" w:type="dxa"/>
            </w:tcMar>
            <w:hideMark/>
          </w:tcPr>
          <w:p w:rsidR="003605DF" w:rsidRPr="007D74C6" w:rsidRDefault="003605DF" w:rsidP="003077EF">
            <w:pPr>
              <w:pStyle w:val="tableheadingline2"/>
              <w:rPr>
                <w:rFonts w:cs="Arial"/>
                <w:sz w:val="20"/>
                <w:szCs w:val="20"/>
              </w:rPr>
            </w:pPr>
            <w:r w:rsidRPr="007D74C6">
              <w:rPr>
                <w:rFonts w:cs="Arial"/>
                <w:sz w:val="20"/>
                <w:szCs w:val="20"/>
              </w:rPr>
              <w:t>Actual</w:t>
            </w:r>
          </w:p>
        </w:tc>
        <w:tc>
          <w:tcPr>
            <w:tcW w:w="439" w:type="pct"/>
            <w:tcMar>
              <w:left w:w="57" w:type="dxa"/>
              <w:right w:w="57" w:type="dxa"/>
            </w:tcMar>
            <w:hideMark/>
          </w:tcPr>
          <w:p w:rsidR="003605DF" w:rsidRPr="007D74C6" w:rsidRDefault="003605DF" w:rsidP="003077EF">
            <w:pPr>
              <w:pStyle w:val="tableheadingline2"/>
              <w:rPr>
                <w:rFonts w:cs="Arial"/>
                <w:sz w:val="20"/>
                <w:szCs w:val="20"/>
              </w:rPr>
            </w:pPr>
            <w:r w:rsidRPr="007D74C6">
              <w:rPr>
                <w:rFonts w:cs="Arial"/>
                <w:sz w:val="20"/>
                <w:szCs w:val="20"/>
              </w:rPr>
              <w:t>4 hr forecast</w:t>
            </w:r>
          </w:p>
        </w:tc>
        <w:tc>
          <w:tcPr>
            <w:tcW w:w="516" w:type="pct"/>
            <w:tcMar>
              <w:left w:w="57" w:type="dxa"/>
              <w:right w:w="57" w:type="dxa"/>
            </w:tcMar>
            <w:hideMark/>
          </w:tcPr>
          <w:p w:rsidR="003605DF" w:rsidRPr="007D74C6" w:rsidRDefault="003605DF" w:rsidP="003077EF">
            <w:pPr>
              <w:pStyle w:val="tableheadingline2"/>
              <w:rPr>
                <w:rFonts w:cs="Arial"/>
                <w:sz w:val="20"/>
                <w:szCs w:val="20"/>
              </w:rPr>
            </w:pPr>
            <w:r w:rsidRPr="007D74C6">
              <w:rPr>
                <w:rFonts w:cs="Arial"/>
                <w:sz w:val="20"/>
                <w:szCs w:val="20"/>
              </w:rPr>
              <w:t>12 hr forecast</w:t>
            </w:r>
          </w:p>
        </w:tc>
        <w:tc>
          <w:tcPr>
            <w:tcW w:w="513" w:type="pct"/>
            <w:tcMar>
              <w:left w:w="57" w:type="dxa"/>
              <w:right w:w="57" w:type="dxa"/>
            </w:tcMar>
            <w:hideMark/>
          </w:tcPr>
          <w:p w:rsidR="003605DF" w:rsidRPr="007D74C6" w:rsidRDefault="003605DF" w:rsidP="003077EF">
            <w:pPr>
              <w:pStyle w:val="tableheadingline2"/>
              <w:rPr>
                <w:rFonts w:cs="Arial"/>
                <w:sz w:val="20"/>
                <w:szCs w:val="20"/>
              </w:rPr>
            </w:pPr>
            <w:r w:rsidRPr="007D74C6">
              <w:rPr>
                <w:rFonts w:cs="Arial"/>
                <w:sz w:val="20"/>
                <w:szCs w:val="20"/>
              </w:rPr>
              <w:t>Actual</w:t>
            </w:r>
          </w:p>
        </w:tc>
        <w:tc>
          <w:tcPr>
            <w:tcW w:w="440" w:type="pct"/>
            <w:tcMar>
              <w:left w:w="57" w:type="dxa"/>
              <w:right w:w="57" w:type="dxa"/>
            </w:tcMar>
            <w:hideMark/>
          </w:tcPr>
          <w:p w:rsidR="003605DF" w:rsidRPr="007D74C6" w:rsidRDefault="003605DF" w:rsidP="003077EF">
            <w:pPr>
              <w:pStyle w:val="tableheadingline2"/>
              <w:rPr>
                <w:rFonts w:cs="Arial"/>
                <w:sz w:val="20"/>
                <w:szCs w:val="20"/>
              </w:rPr>
            </w:pPr>
            <w:r w:rsidRPr="007D74C6">
              <w:rPr>
                <w:rFonts w:cs="Arial"/>
                <w:sz w:val="20"/>
                <w:szCs w:val="20"/>
              </w:rPr>
              <w:t>4 hr forecast</w:t>
            </w:r>
          </w:p>
        </w:tc>
        <w:tc>
          <w:tcPr>
            <w:tcW w:w="520" w:type="pct"/>
            <w:tcMar>
              <w:left w:w="57" w:type="dxa"/>
              <w:right w:w="57" w:type="dxa"/>
            </w:tcMar>
            <w:hideMark/>
          </w:tcPr>
          <w:p w:rsidR="003605DF" w:rsidRPr="007D74C6" w:rsidRDefault="003605DF" w:rsidP="003077EF">
            <w:pPr>
              <w:pStyle w:val="tableheadingline2"/>
              <w:rPr>
                <w:rFonts w:cs="Arial"/>
                <w:sz w:val="20"/>
                <w:szCs w:val="20"/>
              </w:rPr>
            </w:pPr>
            <w:r w:rsidRPr="007D74C6">
              <w:rPr>
                <w:rFonts w:cs="Arial"/>
                <w:sz w:val="20"/>
                <w:szCs w:val="20"/>
              </w:rPr>
              <w:t>12 hr forecast</w:t>
            </w:r>
          </w:p>
        </w:tc>
      </w:tr>
      <w:tr w:rsidR="00176E41" w:rsidRPr="0073319F" w:rsidTr="005A3B6C">
        <w:trPr>
          <w:cnfStyle w:val="000000100000" w:firstRow="0" w:lastRow="0" w:firstColumn="0" w:lastColumn="0" w:oddVBand="0" w:evenVBand="0" w:oddHBand="1" w:evenHBand="0" w:firstRowFirstColumn="0" w:firstRowLastColumn="0" w:lastRowFirstColumn="0" w:lastRowLastColumn="0"/>
          <w:trHeight w:val="510"/>
        </w:trPr>
        <w:tc>
          <w:tcPr>
            <w:tcW w:w="502" w:type="pct"/>
            <w:vAlign w:val="center"/>
          </w:tcPr>
          <w:p w:rsidR="005B6994" w:rsidRPr="005B6994" w:rsidRDefault="005B6994" w:rsidP="00176E41">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3 </w:t>
            </w:r>
            <w:r w:rsidR="00176E41">
              <w:rPr>
                <w:rFonts w:ascii="Arial" w:eastAsiaTheme="minorHAnsi" w:hAnsi="Arial" w:cs="Arial"/>
                <w:sz w:val="20"/>
                <w:szCs w:val="20"/>
                <w:lang w:eastAsia="en-US"/>
              </w:rPr>
              <w:t>pm</w:t>
            </w:r>
          </w:p>
        </w:tc>
        <w:tc>
          <w:tcPr>
            <w:tcW w:w="587"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2942.11</w:t>
            </w:r>
          </w:p>
        </w:tc>
        <w:tc>
          <w:tcPr>
            <w:tcW w:w="588"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299.80</w:t>
            </w:r>
          </w:p>
        </w:tc>
        <w:tc>
          <w:tcPr>
            <w:tcW w:w="456"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299.60</w:t>
            </w:r>
          </w:p>
        </w:tc>
        <w:tc>
          <w:tcPr>
            <w:tcW w:w="439"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10 075</w:t>
            </w:r>
          </w:p>
        </w:tc>
        <w:tc>
          <w:tcPr>
            <w:tcW w:w="439"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9956</w:t>
            </w:r>
          </w:p>
        </w:tc>
        <w:tc>
          <w:tcPr>
            <w:tcW w:w="516"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9707</w:t>
            </w:r>
          </w:p>
        </w:tc>
        <w:tc>
          <w:tcPr>
            <w:tcW w:w="513"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11 029</w:t>
            </w:r>
          </w:p>
        </w:tc>
        <w:tc>
          <w:tcPr>
            <w:tcW w:w="440"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10 939</w:t>
            </w:r>
          </w:p>
        </w:tc>
        <w:tc>
          <w:tcPr>
            <w:tcW w:w="520"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10 962</w:t>
            </w:r>
          </w:p>
        </w:tc>
      </w:tr>
      <w:tr w:rsidR="00176E41" w:rsidRPr="0073319F" w:rsidTr="005A3B6C">
        <w:trPr>
          <w:cnfStyle w:val="000000010000" w:firstRow="0" w:lastRow="0" w:firstColumn="0" w:lastColumn="0" w:oddVBand="0" w:evenVBand="0" w:oddHBand="0" w:evenHBand="1" w:firstRowFirstColumn="0" w:firstRowLastColumn="0" w:lastRowFirstColumn="0" w:lastRowLastColumn="0"/>
          <w:trHeight w:val="510"/>
        </w:trPr>
        <w:tc>
          <w:tcPr>
            <w:tcW w:w="502" w:type="pct"/>
            <w:vAlign w:val="center"/>
          </w:tcPr>
          <w:p w:rsidR="005B6994" w:rsidRPr="005B6994" w:rsidRDefault="005B6994" w:rsidP="00200A5D">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3</w:t>
            </w:r>
            <w:r w:rsidR="00200A5D">
              <w:rPr>
                <w:rFonts w:ascii="Arial" w:eastAsiaTheme="minorHAnsi" w:hAnsi="Arial" w:cs="Arial"/>
                <w:sz w:val="20"/>
                <w:szCs w:val="20"/>
                <w:lang w:eastAsia="en-US"/>
              </w:rPr>
              <w:t>.</w:t>
            </w:r>
            <w:r w:rsidRPr="005B6994">
              <w:rPr>
                <w:rFonts w:ascii="Arial" w:eastAsiaTheme="minorHAnsi" w:hAnsi="Arial" w:cs="Arial"/>
                <w:sz w:val="20"/>
                <w:szCs w:val="20"/>
                <w:lang w:eastAsia="en-US"/>
              </w:rPr>
              <w:t>30 </w:t>
            </w:r>
            <w:r w:rsidR="00176E41">
              <w:rPr>
                <w:rFonts w:ascii="Arial" w:eastAsiaTheme="minorHAnsi" w:hAnsi="Arial" w:cs="Arial"/>
                <w:sz w:val="20"/>
                <w:szCs w:val="20"/>
                <w:lang w:eastAsia="en-US"/>
              </w:rPr>
              <w:t>pm</w:t>
            </w:r>
          </w:p>
        </w:tc>
        <w:tc>
          <w:tcPr>
            <w:tcW w:w="587"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11 700.63</w:t>
            </w:r>
          </w:p>
        </w:tc>
        <w:tc>
          <w:tcPr>
            <w:tcW w:w="588"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299.80</w:t>
            </w:r>
          </w:p>
        </w:tc>
        <w:tc>
          <w:tcPr>
            <w:tcW w:w="456"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299.80</w:t>
            </w:r>
          </w:p>
        </w:tc>
        <w:tc>
          <w:tcPr>
            <w:tcW w:w="439"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10 246</w:t>
            </w:r>
          </w:p>
        </w:tc>
        <w:tc>
          <w:tcPr>
            <w:tcW w:w="439"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10 095</w:t>
            </w:r>
          </w:p>
        </w:tc>
        <w:tc>
          <w:tcPr>
            <w:tcW w:w="516"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9858</w:t>
            </w:r>
          </w:p>
        </w:tc>
        <w:tc>
          <w:tcPr>
            <w:tcW w:w="513"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10 999</w:t>
            </w:r>
          </w:p>
        </w:tc>
        <w:tc>
          <w:tcPr>
            <w:tcW w:w="440"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10 976</w:t>
            </w:r>
          </w:p>
        </w:tc>
        <w:tc>
          <w:tcPr>
            <w:tcW w:w="520"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10 996</w:t>
            </w:r>
          </w:p>
        </w:tc>
      </w:tr>
      <w:tr w:rsidR="00176E41" w:rsidRPr="0073319F" w:rsidTr="005A3B6C">
        <w:trPr>
          <w:cnfStyle w:val="000000100000" w:firstRow="0" w:lastRow="0" w:firstColumn="0" w:lastColumn="0" w:oddVBand="0" w:evenVBand="0" w:oddHBand="1" w:evenHBand="0" w:firstRowFirstColumn="0" w:firstRowLastColumn="0" w:lastRowFirstColumn="0" w:lastRowLastColumn="0"/>
          <w:trHeight w:val="510"/>
        </w:trPr>
        <w:tc>
          <w:tcPr>
            <w:tcW w:w="502" w:type="pct"/>
            <w:vAlign w:val="center"/>
          </w:tcPr>
          <w:p w:rsidR="005B6994" w:rsidRPr="005B6994" w:rsidRDefault="005B6994" w:rsidP="00BC62FE">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4 </w:t>
            </w:r>
            <w:r w:rsidR="00176E41">
              <w:rPr>
                <w:rFonts w:ascii="Arial" w:eastAsiaTheme="minorHAnsi" w:hAnsi="Arial" w:cs="Arial"/>
                <w:sz w:val="20"/>
                <w:szCs w:val="20"/>
                <w:lang w:eastAsia="en-US"/>
              </w:rPr>
              <w:t>pm</w:t>
            </w:r>
          </w:p>
        </w:tc>
        <w:tc>
          <w:tcPr>
            <w:tcW w:w="587"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3259.13</w:t>
            </w:r>
          </w:p>
        </w:tc>
        <w:tc>
          <w:tcPr>
            <w:tcW w:w="588"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299.80</w:t>
            </w:r>
          </w:p>
        </w:tc>
        <w:tc>
          <w:tcPr>
            <w:tcW w:w="456"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299.80</w:t>
            </w:r>
          </w:p>
        </w:tc>
        <w:tc>
          <w:tcPr>
            <w:tcW w:w="439"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10 276</w:t>
            </w:r>
          </w:p>
        </w:tc>
        <w:tc>
          <w:tcPr>
            <w:tcW w:w="439"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10 233</w:t>
            </w:r>
          </w:p>
        </w:tc>
        <w:tc>
          <w:tcPr>
            <w:tcW w:w="516"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10 016</w:t>
            </w:r>
          </w:p>
        </w:tc>
        <w:tc>
          <w:tcPr>
            <w:tcW w:w="513"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10 938</w:t>
            </w:r>
          </w:p>
        </w:tc>
        <w:tc>
          <w:tcPr>
            <w:tcW w:w="440"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10 942</w:t>
            </w:r>
          </w:p>
        </w:tc>
        <w:tc>
          <w:tcPr>
            <w:tcW w:w="520"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10 966</w:t>
            </w:r>
          </w:p>
        </w:tc>
      </w:tr>
      <w:tr w:rsidR="00176E41" w:rsidRPr="0073319F" w:rsidTr="005A3B6C">
        <w:trPr>
          <w:cnfStyle w:val="000000010000" w:firstRow="0" w:lastRow="0" w:firstColumn="0" w:lastColumn="0" w:oddVBand="0" w:evenVBand="0" w:oddHBand="0" w:evenHBand="1" w:firstRowFirstColumn="0" w:firstRowLastColumn="0" w:lastRowFirstColumn="0" w:lastRowLastColumn="0"/>
          <w:trHeight w:val="510"/>
        </w:trPr>
        <w:tc>
          <w:tcPr>
            <w:tcW w:w="502" w:type="pct"/>
            <w:vAlign w:val="center"/>
          </w:tcPr>
          <w:p w:rsidR="005B6994" w:rsidRPr="005B6994" w:rsidRDefault="00176E41" w:rsidP="00200A5D">
            <w:pPr>
              <w:pStyle w:val="NormalWeb"/>
              <w:jc w:val="center"/>
              <w:rPr>
                <w:rFonts w:ascii="Arial" w:eastAsiaTheme="minorHAnsi" w:hAnsi="Arial" w:cs="Arial"/>
                <w:sz w:val="20"/>
                <w:szCs w:val="20"/>
                <w:lang w:eastAsia="en-US"/>
              </w:rPr>
            </w:pPr>
            <w:r>
              <w:rPr>
                <w:rFonts w:ascii="Arial" w:eastAsiaTheme="minorHAnsi" w:hAnsi="Arial" w:cs="Arial"/>
                <w:sz w:val="20"/>
                <w:szCs w:val="20"/>
                <w:lang w:eastAsia="en-US"/>
              </w:rPr>
              <w:t>4</w:t>
            </w:r>
            <w:r w:rsidR="00200A5D">
              <w:rPr>
                <w:rFonts w:ascii="Arial" w:eastAsiaTheme="minorHAnsi" w:hAnsi="Arial" w:cs="Arial"/>
                <w:sz w:val="20"/>
                <w:szCs w:val="20"/>
                <w:lang w:eastAsia="en-US"/>
              </w:rPr>
              <w:t>.</w:t>
            </w:r>
            <w:r>
              <w:rPr>
                <w:rFonts w:ascii="Arial" w:eastAsiaTheme="minorHAnsi" w:hAnsi="Arial" w:cs="Arial"/>
                <w:sz w:val="20"/>
                <w:szCs w:val="20"/>
                <w:lang w:eastAsia="en-US"/>
              </w:rPr>
              <w:t>30 pm</w:t>
            </w:r>
          </w:p>
        </w:tc>
        <w:tc>
          <w:tcPr>
            <w:tcW w:w="587"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587.87</w:t>
            </w:r>
          </w:p>
        </w:tc>
        <w:tc>
          <w:tcPr>
            <w:tcW w:w="588"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13 800.00</w:t>
            </w:r>
          </w:p>
        </w:tc>
        <w:tc>
          <w:tcPr>
            <w:tcW w:w="456"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299.80</w:t>
            </w:r>
          </w:p>
        </w:tc>
        <w:tc>
          <w:tcPr>
            <w:tcW w:w="439"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10 236</w:t>
            </w:r>
          </w:p>
        </w:tc>
        <w:tc>
          <w:tcPr>
            <w:tcW w:w="439"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10 350</w:t>
            </w:r>
          </w:p>
        </w:tc>
        <w:tc>
          <w:tcPr>
            <w:tcW w:w="516"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10 041</w:t>
            </w:r>
          </w:p>
        </w:tc>
        <w:tc>
          <w:tcPr>
            <w:tcW w:w="513"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10 904</w:t>
            </w:r>
          </w:p>
        </w:tc>
        <w:tc>
          <w:tcPr>
            <w:tcW w:w="440"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10 932</w:t>
            </w:r>
          </w:p>
        </w:tc>
        <w:tc>
          <w:tcPr>
            <w:tcW w:w="520" w:type="pct"/>
            <w:vAlign w:val="center"/>
          </w:tcPr>
          <w:p w:rsidR="005B6994" w:rsidRPr="005B6994" w:rsidRDefault="005B6994">
            <w:pPr>
              <w:pStyle w:val="NormalWeb"/>
              <w:jc w:val="center"/>
              <w:rPr>
                <w:rFonts w:ascii="Arial" w:eastAsiaTheme="minorHAnsi" w:hAnsi="Arial" w:cs="Arial"/>
                <w:sz w:val="20"/>
                <w:szCs w:val="20"/>
                <w:lang w:eastAsia="en-US"/>
              </w:rPr>
            </w:pPr>
            <w:r w:rsidRPr="005B6994">
              <w:rPr>
                <w:rFonts w:ascii="Arial" w:eastAsiaTheme="minorHAnsi" w:hAnsi="Arial" w:cs="Arial"/>
                <w:sz w:val="20"/>
                <w:szCs w:val="20"/>
                <w:lang w:eastAsia="en-US"/>
              </w:rPr>
              <w:t>10 939</w:t>
            </w:r>
          </w:p>
        </w:tc>
      </w:tr>
    </w:tbl>
    <w:bookmarkEnd w:id="0"/>
    <w:bookmarkEnd w:id="1"/>
    <w:bookmarkEnd w:id="2"/>
    <w:bookmarkEnd w:id="3"/>
    <w:bookmarkEnd w:id="4"/>
    <w:bookmarkEnd w:id="5"/>
    <w:p w:rsidR="00C914DB" w:rsidRPr="00E72333" w:rsidRDefault="00C914DB" w:rsidP="00AD79FD">
      <w:pPr>
        <w:jc w:val="both"/>
      </w:pPr>
      <w:r w:rsidRPr="00E72333">
        <w:t xml:space="preserve">Across a </w:t>
      </w:r>
      <w:r w:rsidRPr="00AD79FD">
        <w:t>series</w:t>
      </w:r>
      <w:r w:rsidRPr="00E72333">
        <w:t xml:space="preserve"> of rebids, participants shifted capacity from low to high prices </w:t>
      </w:r>
      <w:r w:rsidRPr="00AD79FD">
        <w:t>while other participants rebid</w:t>
      </w:r>
      <w:r w:rsidRPr="00E72333">
        <w:t xml:space="preserve"> almost 3000 MW of capacity to the price floor</w:t>
      </w:r>
      <w:r w:rsidRPr="00AD79FD">
        <w:t>, which</w:t>
      </w:r>
      <w:r w:rsidRPr="00E72333">
        <w:t xml:space="preserve"> caused a system </w:t>
      </w:r>
      <w:r w:rsidRPr="005F28E5">
        <w:t xml:space="preserve">normal constraint to bind. As a result, flow on the Vic – NSW interconnector went from importing 749 MW into New South Wales at 2.20 pm (when the constraint started to bind) to importing just 52 MW at the time of the first high price dispatch interval at 3.05 pm. This resulted in the dispatch price being above $1000/MWh for a majority of the time of high prices and close to the price cap on seven occasions resulting in one </w:t>
      </w:r>
      <w:r w:rsidRPr="00AD79FD">
        <w:t xml:space="preserve">trading interval </w:t>
      </w:r>
      <w:r>
        <w:t xml:space="preserve">of $11 700/MWh </w:t>
      </w:r>
      <w:r w:rsidRPr="00AD79FD">
        <w:t>at 3.30 pm</w:t>
      </w:r>
      <w:r w:rsidRPr="00E72333">
        <w:t xml:space="preserve">. </w:t>
      </w:r>
    </w:p>
    <w:p w:rsidR="009359EF" w:rsidRPr="00200A5D" w:rsidRDefault="009359EF" w:rsidP="00637D55">
      <w:pPr>
        <w:pStyle w:val="AERbodytext"/>
      </w:pPr>
      <w:r w:rsidRPr="00200A5D">
        <w:t>In accordance with clause 3.13.7 of the Electricity Rules, the AER will issue a separate report into the circumstances that led to the spot price exceeding $5000/MWh.</w:t>
      </w:r>
      <w:r w:rsidR="005A3B6C">
        <w:t xml:space="preserve"> </w:t>
      </w:r>
      <w:r w:rsidR="000F26B7">
        <w:t xml:space="preserve">The high priced trading intervals that coincided with </w:t>
      </w:r>
      <w:r w:rsidR="005A3B6C">
        <w:t xml:space="preserve">our reporting trigger will </w:t>
      </w:r>
      <w:r w:rsidR="000F26B7">
        <w:t xml:space="preserve">also </w:t>
      </w:r>
      <w:r w:rsidR="005A3B6C">
        <w:t xml:space="preserve">be </w:t>
      </w:r>
      <w:r w:rsidR="000F26B7">
        <w:t xml:space="preserve">discussed </w:t>
      </w:r>
      <w:r w:rsidR="005A3B6C">
        <w:t>in the $5000/MWh report</w:t>
      </w:r>
      <w:r w:rsidR="00C627D0">
        <w:t xml:space="preserve">. </w:t>
      </w:r>
    </w:p>
    <w:p w:rsidR="009359EF" w:rsidRPr="00941934" w:rsidRDefault="009359EF" w:rsidP="009359EF">
      <w:pPr>
        <w:pStyle w:val="Heading2"/>
        <w:rPr>
          <w:rFonts w:eastAsia="Times New Roman"/>
          <w:b w:val="0"/>
          <w:bCs w:val="0"/>
          <w:lang w:eastAsia="en-AU"/>
        </w:rPr>
      </w:pPr>
      <w:r>
        <w:rPr>
          <w:rFonts w:eastAsia="Times New Roman"/>
          <w:b w:val="0"/>
          <w:bCs w:val="0"/>
          <w:lang w:eastAsia="en-AU"/>
        </w:rPr>
        <w:t>South Australia</w:t>
      </w:r>
    </w:p>
    <w:p w:rsidR="00E426B5" w:rsidRDefault="009359EF" w:rsidP="00637D55">
      <w:pPr>
        <w:pStyle w:val="AERbodytext"/>
      </w:pPr>
      <w:r w:rsidRPr="009359EF">
        <w:t>There were eight occasions where the spot price in South Australia was greater than three times the South Australia weekly average price of $67/MWh and above $250/MWh</w:t>
      </w:r>
      <w:r w:rsidR="00E426B5">
        <w:t xml:space="preserve">. </w:t>
      </w:r>
    </w:p>
    <w:p w:rsidR="009359EF" w:rsidRPr="009359EF" w:rsidRDefault="00E426B5" w:rsidP="00637D55">
      <w:pPr>
        <w:pStyle w:val="AERbodytext"/>
      </w:pPr>
      <w:r>
        <w:t xml:space="preserve">On 11 November </w:t>
      </w:r>
      <w:r w:rsidR="00460994">
        <w:t>there was an</w:t>
      </w:r>
      <w:r>
        <w:t xml:space="preserve"> unplanned outage </w:t>
      </w:r>
      <w:r w:rsidR="00460994">
        <w:t xml:space="preserve">of </w:t>
      </w:r>
      <w:r>
        <w:t xml:space="preserve">the </w:t>
      </w:r>
      <w:proofErr w:type="spellStart"/>
      <w:r w:rsidR="00460994">
        <w:t>Murraylink</w:t>
      </w:r>
      <w:proofErr w:type="spellEnd"/>
      <w:r w:rsidR="00460994">
        <w:t xml:space="preserve"> interconnector, which returned to service on</w:t>
      </w:r>
      <w:r>
        <w:t xml:space="preserve"> 16 November. </w:t>
      </w:r>
      <w:r w:rsidR="00460994">
        <w:t xml:space="preserve">There was also a constraint managing the Rate of Change of Frequency on the Heywood interconnector (invoked in response to the Black System event in South Australia on 28 September 2016) which limited flows on the Heywood </w:t>
      </w:r>
      <w:r w:rsidR="00460994" w:rsidRPr="00650DE2">
        <w:t>interconnector and</w:t>
      </w:r>
      <w:r w:rsidR="00650DE2">
        <w:t xml:space="preserve"> </w:t>
      </w:r>
      <w:r w:rsidR="00460994" w:rsidRPr="00650DE2">
        <w:t>force</w:t>
      </w:r>
      <w:r w:rsidR="00650DE2">
        <w:t>d</w:t>
      </w:r>
      <w:r w:rsidR="00460994" w:rsidRPr="00650DE2">
        <w:t xml:space="preserve"> generation on in South Australia to provide inertia.</w:t>
      </w:r>
      <w:r>
        <w:t xml:space="preserve"> </w:t>
      </w:r>
    </w:p>
    <w:p w:rsidR="009359EF" w:rsidRPr="00BC62FE" w:rsidRDefault="009359EF" w:rsidP="009359EF">
      <w:pPr>
        <w:pStyle w:val="Heading3"/>
        <w:rPr>
          <w:rFonts w:eastAsia="Times New Roman"/>
        </w:rPr>
      </w:pPr>
      <w:r>
        <w:rPr>
          <w:rFonts w:eastAsia="Times New Roman"/>
        </w:rPr>
        <w:t>Monday</w:t>
      </w:r>
      <w:r w:rsidRPr="00BC62FE">
        <w:rPr>
          <w:rFonts w:eastAsia="Times New Roman"/>
        </w:rPr>
        <w:t>, 1</w:t>
      </w:r>
      <w:r>
        <w:rPr>
          <w:rFonts w:eastAsia="Times New Roman"/>
        </w:rPr>
        <w:t>4</w:t>
      </w:r>
      <w:r w:rsidRPr="00BC62FE">
        <w:rPr>
          <w:rFonts w:eastAsia="Times New Roman"/>
        </w:rPr>
        <w:t xml:space="preserve"> November </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9359EF" w:rsidRPr="007D74C6" w:rsidTr="003077EF">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9359EF" w:rsidRPr="007D74C6" w:rsidRDefault="009359EF" w:rsidP="003077EF">
            <w:pPr>
              <w:pStyle w:val="TableHeading"/>
              <w:jc w:val="center"/>
              <w:rPr>
                <w:rFonts w:cs="Arial"/>
                <w:b w:val="0"/>
                <w:sz w:val="20"/>
                <w:szCs w:val="20"/>
              </w:rPr>
            </w:pPr>
            <w:r w:rsidRPr="007D74C6">
              <w:rPr>
                <w:rFonts w:cs="Arial"/>
                <w:b w:val="0"/>
                <w:sz w:val="20"/>
                <w:szCs w:val="20"/>
              </w:rPr>
              <w:t xml:space="preserve">Time </w:t>
            </w:r>
          </w:p>
        </w:tc>
        <w:tc>
          <w:tcPr>
            <w:tcW w:w="1582" w:type="pct"/>
            <w:gridSpan w:val="3"/>
            <w:hideMark/>
          </w:tcPr>
          <w:p w:rsidR="009359EF" w:rsidRPr="007D74C6" w:rsidRDefault="009359EF" w:rsidP="003077EF">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9359EF" w:rsidRPr="007D74C6" w:rsidRDefault="009359EF" w:rsidP="003077EF">
            <w:pPr>
              <w:pStyle w:val="TableHeading"/>
              <w:jc w:val="center"/>
              <w:rPr>
                <w:rFonts w:cs="Arial"/>
                <w:b w:val="0"/>
                <w:sz w:val="20"/>
                <w:szCs w:val="20"/>
              </w:rPr>
            </w:pPr>
            <w:r w:rsidRPr="007D74C6">
              <w:rPr>
                <w:rFonts w:cs="Arial"/>
                <w:b w:val="0"/>
                <w:sz w:val="20"/>
                <w:szCs w:val="20"/>
              </w:rPr>
              <w:t>Demand (MW)</w:t>
            </w:r>
          </w:p>
        </w:tc>
        <w:tc>
          <w:tcPr>
            <w:tcW w:w="1442" w:type="pct"/>
            <w:gridSpan w:val="3"/>
            <w:hideMark/>
          </w:tcPr>
          <w:p w:rsidR="009359EF" w:rsidRPr="007D74C6" w:rsidRDefault="009359EF" w:rsidP="003077EF">
            <w:pPr>
              <w:pStyle w:val="TableHeading"/>
              <w:jc w:val="center"/>
              <w:rPr>
                <w:rFonts w:cs="Arial"/>
                <w:b w:val="0"/>
                <w:sz w:val="20"/>
                <w:szCs w:val="20"/>
              </w:rPr>
            </w:pPr>
            <w:r w:rsidRPr="007D74C6">
              <w:rPr>
                <w:rFonts w:cs="Arial"/>
                <w:b w:val="0"/>
                <w:sz w:val="20"/>
                <w:szCs w:val="20"/>
              </w:rPr>
              <w:t>Availability (MW)</w:t>
            </w:r>
          </w:p>
        </w:tc>
      </w:tr>
      <w:tr w:rsidR="009359EF" w:rsidRPr="007D74C6" w:rsidTr="003077EF">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9359EF" w:rsidRPr="007D74C6" w:rsidRDefault="009359EF" w:rsidP="003077EF">
            <w:pPr>
              <w:pStyle w:val="tableheadingline2"/>
              <w:rPr>
                <w:rFonts w:cs="Arial"/>
                <w:sz w:val="20"/>
                <w:szCs w:val="20"/>
              </w:rPr>
            </w:pPr>
            <w:r w:rsidRPr="007D74C6">
              <w:rPr>
                <w:rFonts w:cs="Arial"/>
                <w:sz w:val="20"/>
                <w:szCs w:val="20"/>
              </w:rPr>
              <w:t> </w:t>
            </w:r>
          </w:p>
        </w:tc>
        <w:tc>
          <w:tcPr>
            <w:tcW w:w="516" w:type="pct"/>
            <w:tcMar>
              <w:left w:w="57" w:type="dxa"/>
              <w:right w:w="57" w:type="dxa"/>
            </w:tcMar>
            <w:hideMark/>
          </w:tcPr>
          <w:p w:rsidR="009359EF" w:rsidRPr="007D74C6" w:rsidRDefault="009359EF" w:rsidP="003077EF">
            <w:pPr>
              <w:pStyle w:val="tableheadingline2"/>
              <w:rPr>
                <w:rFonts w:cs="Arial"/>
                <w:sz w:val="20"/>
                <w:szCs w:val="20"/>
              </w:rPr>
            </w:pPr>
            <w:r w:rsidRPr="007D74C6">
              <w:rPr>
                <w:rFonts w:cs="Arial"/>
                <w:sz w:val="20"/>
                <w:szCs w:val="20"/>
              </w:rPr>
              <w:t>Actual</w:t>
            </w:r>
          </w:p>
        </w:tc>
        <w:tc>
          <w:tcPr>
            <w:tcW w:w="533" w:type="pct"/>
            <w:tcMar>
              <w:left w:w="57" w:type="dxa"/>
              <w:right w:w="57" w:type="dxa"/>
            </w:tcMar>
            <w:hideMark/>
          </w:tcPr>
          <w:p w:rsidR="009359EF" w:rsidRPr="007D74C6" w:rsidRDefault="009359EF" w:rsidP="003077EF">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9359EF" w:rsidRPr="007D74C6" w:rsidRDefault="009359EF" w:rsidP="003077EF">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9359EF" w:rsidRPr="007D74C6" w:rsidRDefault="009359EF" w:rsidP="003077EF">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9359EF" w:rsidRPr="007D74C6" w:rsidRDefault="009359EF" w:rsidP="003077EF">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9359EF" w:rsidRPr="007D74C6" w:rsidRDefault="009359EF" w:rsidP="003077EF">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9359EF" w:rsidRPr="007D74C6" w:rsidRDefault="009359EF" w:rsidP="003077EF">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9359EF" w:rsidRPr="007D74C6" w:rsidRDefault="009359EF" w:rsidP="003077EF">
            <w:pPr>
              <w:pStyle w:val="tableheadingline2"/>
              <w:rPr>
                <w:rFonts w:cs="Arial"/>
                <w:sz w:val="20"/>
                <w:szCs w:val="20"/>
              </w:rPr>
            </w:pPr>
            <w:r w:rsidRPr="007D74C6">
              <w:rPr>
                <w:rFonts w:cs="Arial"/>
                <w:sz w:val="20"/>
                <w:szCs w:val="20"/>
              </w:rPr>
              <w:t>4 hr forecast</w:t>
            </w:r>
          </w:p>
        </w:tc>
        <w:tc>
          <w:tcPr>
            <w:tcW w:w="453" w:type="pct"/>
            <w:tcMar>
              <w:left w:w="57" w:type="dxa"/>
              <w:right w:w="57" w:type="dxa"/>
            </w:tcMar>
            <w:hideMark/>
          </w:tcPr>
          <w:p w:rsidR="009359EF" w:rsidRPr="007D74C6" w:rsidRDefault="009359EF" w:rsidP="003077EF">
            <w:pPr>
              <w:pStyle w:val="tableheadingline2"/>
              <w:rPr>
                <w:rFonts w:cs="Arial"/>
                <w:sz w:val="20"/>
                <w:szCs w:val="20"/>
              </w:rPr>
            </w:pPr>
            <w:r w:rsidRPr="007D74C6">
              <w:rPr>
                <w:rFonts w:cs="Arial"/>
                <w:sz w:val="20"/>
                <w:szCs w:val="20"/>
              </w:rPr>
              <w:t>12 hr forecast</w:t>
            </w:r>
          </w:p>
        </w:tc>
      </w:tr>
      <w:tr w:rsidR="003077EF" w:rsidRPr="003C23CA" w:rsidTr="003077EF">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3077EF" w:rsidRPr="003077EF" w:rsidRDefault="003077EF" w:rsidP="005A3B6C">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7</w:t>
            </w:r>
            <w:r w:rsidR="001C444C">
              <w:rPr>
                <w:rFonts w:ascii="Arial" w:eastAsiaTheme="minorHAnsi" w:hAnsi="Arial" w:cs="Arial"/>
                <w:sz w:val="20"/>
                <w:szCs w:val="20"/>
                <w:lang w:eastAsia="en-US"/>
              </w:rPr>
              <w:t> </w:t>
            </w:r>
            <w:r w:rsidR="005A3B6C">
              <w:rPr>
                <w:rFonts w:ascii="Arial" w:eastAsiaTheme="minorHAnsi" w:hAnsi="Arial" w:cs="Arial"/>
                <w:sz w:val="20"/>
                <w:szCs w:val="20"/>
                <w:lang w:eastAsia="en-US"/>
              </w:rPr>
              <w:t>am</w:t>
            </w:r>
          </w:p>
        </w:tc>
        <w:tc>
          <w:tcPr>
            <w:tcW w:w="516"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282.14</w:t>
            </w:r>
          </w:p>
        </w:tc>
        <w:tc>
          <w:tcPr>
            <w:tcW w:w="533"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97.04</w:t>
            </w:r>
          </w:p>
        </w:tc>
        <w:tc>
          <w:tcPr>
            <w:tcW w:w="533"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59.99</w:t>
            </w:r>
          </w:p>
        </w:tc>
        <w:tc>
          <w:tcPr>
            <w:tcW w:w="455"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1358</w:t>
            </w:r>
          </w:p>
        </w:tc>
        <w:tc>
          <w:tcPr>
            <w:tcW w:w="456"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1274</w:t>
            </w:r>
          </w:p>
        </w:tc>
        <w:tc>
          <w:tcPr>
            <w:tcW w:w="534"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1251</w:t>
            </w:r>
          </w:p>
        </w:tc>
        <w:tc>
          <w:tcPr>
            <w:tcW w:w="532"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1912</w:t>
            </w:r>
          </w:p>
        </w:tc>
        <w:tc>
          <w:tcPr>
            <w:tcW w:w="457"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1912</w:t>
            </w:r>
          </w:p>
        </w:tc>
        <w:tc>
          <w:tcPr>
            <w:tcW w:w="453"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1930</w:t>
            </w:r>
          </w:p>
        </w:tc>
      </w:tr>
      <w:tr w:rsidR="003077EF" w:rsidRPr="003C23CA" w:rsidTr="003077EF">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3077EF" w:rsidRPr="003077EF" w:rsidRDefault="003077EF" w:rsidP="00007A11">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7</w:t>
            </w:r>
            <w:r w:rsidR="005A3B6C">
              <w:rPr>
                <w:rFonts w:ascii="Arial" w:eastAsiaTheme="minorHAnsi" w:hAnsi="Arial" w:cs="Arial"/>
                <w:sz w:val="20"/>
                <w:szCs w:val="20"/>
                <w:lang w:eastAsia="en-US"/>
              </w:rPr>
              <w:t>.</w:t>
            </w:r>
            <w:r w:rsidRPr="003077EF">
              <w:rPr>
                <w:rFonts w:ascii="Arial" w:eastAsiaTheme="minorHAnsi" w:hAnsi="Arial" w:cs="Arial"/>
                <w:sz w:val="20"/>
                <w:szCs w:val="20"/>
                <w:lang w:eastAsia="en-US"/>
              </w:rPr>
              <w:t>30</w:t>
            </w:r>
            <w:r w:rsidR="00007A11">
              <w:rPr>
                <w:rFonts w:ascii="Arial" w:eastAsiaTheme="minorHAnsi" w:hAnsi="Arial" w:cs="Arial"/>
                <w:sz w:val="20"/>
                <w:szCs w:val="20"/>
                <w:lang w:eastAsia="en-US"/>
              </w:rPr>
              <w:t> </w:t>
            </w:r>
            <w:r w:rsidR="005A3B6C">
              <w:rPr>
                <w:rFonts w:ascii="Arial" w:eastAsiaTheme="minorHAnsi" w:hAnsi="Arial" w:cs="Arial"/>
                <w:sz w:val="20"/>
                <w:szCs w:val="20"/>
                <w:lang w:eastAsia="en-US"/>
              </w:rPr>
              <w:t>am</w:t>
            </w:r>
          </w:p>
        </w:tc>
        <w:tc>
          <w:tcPr>
            <w:tcW w:w="516"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279.09</w:t>
            </w:r>
          </w:p>
        </w:tc>
        <w:tc>
          <w:tcPr>
            <w:tcW w:w="533"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124.62</w:t>
            </w:r>
          </w:p>
        </w:tc>
        <w:tc>
          <w:tcPr>
            <w:tcW w:w="533"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79.99</w:t>
            </w:r>
          </w:p>
        </w:tc>
        <w:tc>
          <w:tcPr>
            <w:tcW w:w="455"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1460</w:t>
            </w:r>
          </w:p>
        </w:tc>
        <w:tc>
          <w:tcPr>
            <w:tcW w:w="456"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1336</w:t>
            </w:r>
          </w:p>
        </w:tc>
        <w:tc>
          <w:tcPr>
            <w:tcW w:w="534"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1316</w:t>
            </w:r>
          </w:p>
        </w:tc>
        <w:tc>
          <w:tcPr>
            <w:tcW w:w="532"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1707</w:t>
            </w:r>
          </w:p>
        </w:tc>
        <w:tc>
          <w:tcPr>
            <w:tcW w:w="457"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1890</w:t>
            </w:r>
          </w:p>
        </w:tc>
        <w:tc>
          <w:tcPr>
            <w:tcW w:w="453"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1910</w:t>
            </w:r>
          </w:p>
        </w:tc>
      </w:tr>
      <w:tr w:rsidR="003077EF" w:rsidRPr="003C23CA" w:rsidTr="003077EF">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3077EF" w:rsidRPr="003077EF" w:rsidRDefault="003077EF" w:rsidP="005A3B6C">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lastRenderedPageBreak/>
              <w:t>2</w:t>
            </w:r>
            <w:r w:rsidR="001C444C">
              <w:rPr>
                <w:rFonts w:ascii="Arial" w:eastAsiaTheme="minorHAnsi" w:hAnsi="Arial" w:cs="Arial"/>
                <w:sz w:val="20"/>
                <w:szCs w:val="20"/>
                <w:lang w:eastAsia="en-US"/>
              </w:rPr>
              <w:t> </w:t>
            </w:r>
            <w:r w:rsidR="005A3B6C">
              <w:rPr>
                <w:rFonts w:ascii="Arial" w:eastAsiaTheme="minorHAnsi" w:hAnsi="Arial" w:cs="Arial"/>
                <w:sz w:val="20"/>
                <w:szCs w:val="20"/>
                <w:lang w:eastAsia="en-US"/>
              </w:rPr>
              <w:t>pm</w:t>
            </w:r>
          </w:p>
        </w:tc>
        <w:tc>
          <w:tcPr>
            <w:tcW w:w="516"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2342.76</w:t>
            </w:r>
          </w:p>
        </w:tc>
        <w:tc>
          <w:tcPr>
            <w:tcW w:w="533"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65.47</w:t>
            </w:r>
          </w:p>
        </w:tc>
        <w:tc>
          <w:tcPr>
            <w:tcW w:w="533"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58.49</w:t>
            </w:r>
          </w:p>
        </w:tc>
        <w:tc>
          <w:tcPr>
            <w:tcW w:w="455"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1227</w:t>
            </w:r>
          </w:p>
        </w:tc>
        <w:tc>
          <w:tcPr>
            <w:tcW w:w="456"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1126</w:t>
            </w:r>
          </w:p>
        </w:tc>
        <w:tc>
          <w:tcPr>
            <w:tcW w:w="534"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1095</w:t>
            </w:r>
          </w:p>
        </w:tc>
        <w:tc>
          <w:tcPr>
            <w:tcW w:w="532"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1872</w:t>
            </w:r>
          </w:p>
        </w:tc>
        <w:tc>
          <w:tcPr>
            <w:tcW w:w="457"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2033</w:t>
            </w:r>
          </w:p>
        </w:tc>
        <w:tc>
          <w:tcPr>
            <w:tcW w:w="453"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1945</w:t>
            </w:r>
          </w:p>
        </w:tc>
      </w:tr>
      <w:tr w:rsidR="003077EF" w:rsidRPr="003C23CA" w:rsidTr="003077EF">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3077EF" w:rsidRPr="003077EF" w:rsidRDefault="003077EF" w:rsidP="00007A11">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7</w:t>
            </w:r>
            <w:r w:rsidR="005A3B6C">
              <w:rPr>
                <w:rFonts w:ascii="Arial" w:eastAsiaTheme="minorHAnsi" w:hAnsi="Arial" w:cs="Arial"/>
                <w:sz w:val="20"/>
                <w:szCs w:val="20"/>
                <w:lang w:eastAsia="en-US"/>
              </w:rPr>
              <w:t>.</w:t>
            </w:r>
            <w:r w:rsidRPr="003077EF">
              <w:rPr>
                <w:rFonts w:ascii="Arial" w:eastAsiaTheme="minorHAnsi" w:hAnsi="Arial" w:cs="Arial"/>
                <w:sz w:val="20"/>
                <w:szCs w:val="20"/>
                <w:lang w:eastAsia="en-US"/>
              </w:rPr>
              <w:t>30</w:t>
            </w:r>
            <w:r w:rsidR="00007A11">
              <w:rPr>
                <w:rFonts w:ascii="Arial" w:eastAsiaTheme="minorHAnsi" w:hAnsi="Arial" w:cs="Arial"/>
                <w:sz w:val="20"/>
                <w:szCs w:val="20"/>
                <w:lang w:eastAsia="en-US"/>
              </w:rPr>
              <w:t> </w:t>
            </w:r>
            <w:r w:rsidR="005A3B6C">
              <w:rPr>
                <w:rFonts w:ascii="Arial" w:eastAsiaTheme="minorHAnsi" w:hAnsi="Arial" w:cs="Arial"/>
                <w:sz w:val="20"/>
                <w:szCs w:val="20"/>
                <w:lang w:eastAsia="en-US"/>
              </w:rPr>
              <w:t>pm</w:t>
            </w:r>
          </w:p>
        </w:tc>
        <w:tc>
          <w:tcPr>
            <w:tcW w:w="516"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259.29</w:t>
            </w:r>
          </w:p>
        </w:tc>
        <w:tc>
          <w:tcPr>
            <w:tcW w:w="533"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101.74</w:t>
            </w:r>
          </w:p>
        </w:tc>
        <w:tc>
          <w:tcPr>
            <w:tcW w:w="533"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59.99</w:t>
            </w:r>
          </w:p>
        </w:tc>
        <w:tc>
          <w:tcPr>
            <w:tcW w:w="455"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1477</w:t>
            </w:r>
          </w:p>
        </w:tc>
        <w:tc>
          <w:tcPr>
            <w:tcW w:w="456"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1444</w:t>
            </w:r>
          </w:p>
        </w:tc>
        <w:tc>
          <w:tcPr>
            <w:tcW w:w="534"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1420</w:t>
            </w:r>
          </w:p>
        </w:tc>
        <w:tc>
          <w:tcPr>
            <w:tcW w:w="532"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2032</w:t>
            </w:r>
          </w:p>
        </w:tc>
        <w:tc>
          <w:tcPr>
            <w:tcW w:w="457"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2134</w:t>
            </w:r>
          </w:p>
        </w:tc>
        <w:tc>
          <w:tcPr>
            <w:tcW w:w="453"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2072</w:t>
            </w:r>
          </w:p>
        </w:tc>
      </w:tr>
      <w:tr w:rsidR="003077EF" w:rsidRPr="003C23CA" w:rsidTr="003077EF">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3077EF" w:rsidRPr="003077EF" w:rsidRDefault="003077EF" w:rsidP="00007A11">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8</w:t>
            </w:r>
            <w:r w:rsidR="005A3B6C">
              <w:rPr>
                <w:rFonts w:ascii="Arial" w:eastAsiaTheme="minorHAnsi" w:hAnsi="Arial" w:cs="Arial"/>
                <w:sz w:val="20"/>
                <w:szCs w:val="20"/>
                <w:lang w:eastAsia="en-US"/>
              </w:rPr>
              <w:t>.</w:t>
            </w:r>
            <w:r w:rsidRPr="003077EF">
              <w:rPr>
                <w:rFonts w:ascii="Arial" w:eastAsiaTheme="minorHAnsi" w:hAnsi="Arial" w:cs="Arial"/>
                <w:sz w:val="20"/>
                <w:szCs w:val="20"/>
                <w:lang w:eastAsia="en-US"/>
              </w:rPr>
              <w:t>30</w:t>
            </w:r>
            <w:r w:rsidR="00007A11">
              <w:rPr>
                <w:rFonts w:ascii="Arial" w:eastAsiaTheme="minorHAnsi" w:hAnsi="Arial" w:cs="Arial"/>
                <w:sz w:val="20"/>
                <w:szCs w:val="20"/>
                <w:lang w:eastAsia="en-US"/>
              </w:rPr>
              <w:t> </w:t>
            </w:r>
            <w:r w:rsidR="005A3B6C">
              <w:rPr>
                <w:rFonts w:ascii="Arial" w:eastAsiaTheme="minorHAnsi" w:hAnsi="Arial" w:cs="Arial"/>
                <w:sz w:val="20"/>
                <w:szCs w:val="20"/>
                <w:lang w:eastAsia="en-US"/>
              </w:rPr>
              <w:t>pm</w:t>
            </w:r>
          </w:p>
        </w:tc>
        <w:tc>
          <w:tcPr>
            <w:tcW w:w="516"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271.34</w:t>
            </w:r>
          </w:p>
        </w:tc>
        <w:tc>
          <w:tcPr>
            <w:tcW w:w="533"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128.79</w:t>
            </w:r>
          </w:p>
        </w:tc>
        <w:tc>
          <w:tcPr>
            <w:tcW w:w="533"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59.99</w:t>
            </w:r>
          </w:p>
        </w:tc>
        <w:tc>
          <w:tcPr>
            <w:tcW w:w="455"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1518</w:t>
            </w:r>
          </w:p>
        </w:tc>
        <w:tc>
          <w:tcPr>
            <w:tcW w:w="456"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1466</w:t>
            </w:r>
          </w:p>
        </w:tc>
        <w:tc>
          <w:tcPr>
            <w:tcW w:w="534"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1473</w:t>
            </w:r>
          </w:p>
        </w:tc>
        <w:tc>
          <w:tcPr>
            <w:tcW w:w="532"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1972</w:t>
            </w:r>
          </w:p>
        </w:tc>
        <w:tc>
          <w:tcPr>
            <w:tcW w:w="457"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2068</w:t>
            </w:r>
          </w:p>
        </w:tc>
        <w:tc>
          <w:tcPr>
            <w:tcW w:w="453" w:type="pct"/>
            <w:vAlign w:val="center"/>
          </w:tcPr>
          <w:p w:rsidR="003077EF" w:rsidRPr="003077EF" w:rsidRDefault="003077EF">
            <w:pPr>
              <w:pStyle w:val="NormalWeb"/>
              <w:jc w:val="center"/>
              <w:rPr>
                <w:rFonts w:ascii="Arial" w:eastAsiaTheme="minorHAnsi" w:hAnsi="Arial" w:cs="Arial"/>
                <w:sz w:val="20"/>
                <w:szCs w:val="20"/>
                <w:lang w:eastAsia="en-US"/>
              </w:rPr>
            </w:pPr>
            <w:r w:rsidRPr="003077EF">
              <w:rPr>
                <w:rFonts w:ascii="Arial" w:eastAsiaTheme="minorHAnsi" w:hAnsi="Arial" w:cs="Arial"/>
                <w:sz w:val="20"/>
                <w:szCs w:val="20"/>
                <w:lang w:eastAsia="en-US"/>
              </w:rPr>
              <w:t>2028</w:t>
            </w:r>
          </w:p>
        </w:tc>
      </w:tr>
    </w:tbl>
    <w:p w:rsidR="00D57D7E" w:rsidRDefault="006C0B4D" w:rsidP="00637D55">
      <w:pPr>
        <w:pStyle w:val="AERbodytext"/>
      </w:pPr>
      <w:r>
        <w:t xml:space="preserve">For the 7 am and 7.30 am prices there was </w:t>
      </w:r>
      <w:r w:rsidR="008C2595">
        <w:t xml:space="preserve">only a small amount of capacity priced </w:t>
      </w:r>
      <w:r>
        <w:t>between</w:t>
      </w:r>
      <w:r w:rsidR="008C2595">
        <w:t xml:space="preserve"> $125/MW</w:t>
      </w:r>
      <w:r w:rsidR="00524D8F">
        <w:t>h</w:t>
      </w:r>
      <w:r w:rsidR="008C2595">
        <w:t xml:space="preserve"> and the </w:t>
      </w:r>
      <w:r w:rsidR="00C914DB">
        <w:t xml:space="preserve">price </w:t>
      </w:r>
      <w:r w:rsidR="008C2595">
        <w:t>cap</w:t>
      </w:r>
      <w:r>
        <w:t>. This</w:t>
      </w:r>
      <w:r w:rsidR="008C2595">
        <w:t xml:space="preserve"> meant any small change to demand or supply c</w:t>
      </w:r>
      <w:r>
        <w:t>ould</w:t>
      </w:r>
      <w:r w:rsidR="008C2595">
        <w:t xml:space="preserve"> lead </w:t>
      </w:r>
      <w:r w:rsidR="00732450">
        <w:t xml:space="preserve">to </w:t>
      </w:r>
      <w:r w:rsidR="00633753">
        <w:t xml:space="preserve">potentially material </w:t>
      </w:r>
      <w:r w:rsidR="00732450">
        <w:t>price</w:t>
      </w:r>
      <w:r w:rsidR="00633753">
        <w:t xml:space="preserve"> variation</w:t>
      </w:r>
      <w:r w:rsidR="00732450">
        <w:t>.</w:t>
      </w:r>
      <w:r w:rsidR="00EF27CE">
        <w:t xml:space="preserve"> </w:t>
      </w:r>
      <w:r w:rsidR="00732450">
        <w:t xml:space="preserve">At 7.20 am, with generation trapped in FCAS or at their max avail, a small increase in demand </w:t>
      </w:r>
      <w:r>
        <w:t xml:space="preserve">caused </w:t>
      </w:r>
      <w:r w:rsidR="00732450">
        <w:t xml:space="preserve">the dispatch price to </w:t>
      </w:r>
      <w:r>
        <w:t>reach</w:t>
      </w:r>
      <w:r w:rsidR="00732450">
        <w:t xml:space="preserve"> $500/MW</w:t>
      </w:r>
      <w:r w:rsidR="00524D8F">
        <w:t>h</w:t>
      </w:r>
      <w:r w:rsidR="00732450">
        <w:t>. The price remained a</w:t>
      </w:r>
      <w:r>
        <w:t>round</w:t>
      </w:r>
      <w:r w:rsidR="00732450">
        <w:t xml:space="preserve"> $300/MW</w:t>
      </w:r>
      <w:r w:rsidR="00524D8F">
        <w:t>h</w:t>
      </w:r>
      <w:r w:rsidR="00732450">
        <w:t xml:space="preserve"> until 7.50 am.</w:t>
      </w:r>
    </w:p>
    <w:p w:rsidR="00941B66" w:rsidRDefault="00941B66" w:rsidP="00637D55">
      <w:pPr>
        <w:pStyle w:val="AERbodytext"/>
      </w:pPr>
      <w:r>
        <w:t xml:space="preserve">For the 2 pm trading interval, conditions at the time saw demand around 100 MW greater than forecast four hours ahead and available capacity was around 160 MW lower than forecast four hours ahead. </w:t>
      </w:r>
      <w:r w:rsidR="0036646E">
        <w:t xml:space="preserve">At 1.35 pm, a </w:t>
      </w:r>
      <w:r w:rsidR="005518E8">
        <w:t xml:space="preserve">combination of a </w:t>
      </w:r>
      <w:r w:rsidR="006B63A3">
        <w:t>small increase in demand,</w:t>
      </w:r>
      <w:r w:rsidR="005518E8">
        <w:t xml:space="preserve"> the </w:t>
      </w:r>
      <w:r w:rsidR="005518E8" w:rsidRPr="005518E8">
        <w:t>V^S_NIL_SA_RECLASS</w:t>
      </w:r>
      <w:r w:rsidR="005518E8">
        <w:t xml:space="preserve"> constraint binding, </w:t>
      </w:r>
      <w:r w:rsidR="00460994">
        <w:t>(</w:t>
      </w:r>
      <w:r w:rsidR="00633753">
        <w:t xml:space="preserve">this constraint </w:t>
      </w:r>
      <w:r w:rsidR="005518E8">
        <w:t xml:space="preserve">limits wind generation </w:t>
      </w:r>
      <w:r w:rsidR="00460994">
        <w:t xml:space="preserve">from four wind farms north of </w:t>
      </w:r>
      <w:r w:rsidR="00633753">
        <w:t>Adelaide following the September 28 black system in South Australia</w:t>
      </w:r>
      <w:r w:rsidR="005518E8">
        <w:t>)</w:t>
      </w:r>
      <w:r w:rsidR="006B63A3">
        <w:t xml:space="preserve"> and cheaper priced generation ramp rate limited, </w:t>
      </w:r>
      <w:r w:rsidR="00FE57F3">
        <w:t xml:space="preserve">saw </w:t>
      </w:r>
      <w:r w:rsidR="006B63A3">
        <w:t xml:space="preserve">the </w:t>
      </w:r>
      <w:r w:rsidR="00FE57F3">
        <w:t xml:space="preserve">dispatch </w:t>
      </w:r>
      <w:r w:rsidR="006B63A3">
        <w:t>price increased to $14 000/MW</w:t>
      </w:r>
      <w:r w:rsidR="00524D8F">
        <w:t>h</w:t>
      </w:r>
      <w:r w:rsidR="006B63A3">
        <w:t xml:space="preserve">. In response to the high price, </w:t>
      </w:r>
      <w:r w:rsidR="009C735B">
        <w:t>large amounts of capacity were</w:t>
      </w:r>
      <w:r w:rsidR="006B63A3">
        <w:t xml:space="preserve"> rebid to the price floor. This saw the price decrease to under $80/MW</w:t>
      </w:r>
      <w:r w:rsidR="00524D8F">
        <w:t>h</w:t>
      </w:r>
      <w:r w:rsidR="006B63A3">
        <w:t xml:space="preserve"> for the remainder of the trading interval.  </w:t>
      </w:r>
      <w:r w:rsidR="0036646E">
        <w:t xml:space="preserve"> </w:t>
      </w:r>
    </w:p>
    <w:p w:rsidR="00E26E62" w:rsidRDefault="00850AAD" w:rsidP="00637D55">
      <w:pPr>
        <w:pStyle w:val="AERbodytext"/>
      </w:pPr>
      <w:r>
        <w:t xml:space="preserve">Over the 7.30 pm </w:t>
      </w:r>
      <w:r w:rsidR="004E390F">
        <w:t xml:space="preserve">and 8.30 pm </w:t>
      </w:r>
      <w:r>
        <w:t>trading interval</w:t>
      </w:r>
      <w:r w:rsidR="004E390F">
        <w:t>s</w:t>
      </w:r>
      <w:r>
        <w:t xml:space="preserve">, demand was </w:t>
      </w:r>
      <w:r w:rsidR="004E390F">
        <w:t xml:space="preserve">between 33 MW and </w:t>
      </w:r>
      <w:r>
        <w:t>5</w:t>
      </w:r>
      <w:r w:rsidR="004E390F">
        <w:t>2</w:t>
      </w:r>
      <w:r>
        <w:t xml:space="preserve"> MW higher than forecast. The </w:t>
      </w:r>
      <w:r w:rsidR="006B63A3" w:rsidRPr="005518E8">
        <w:t>V^S_NIL_SA_RECLASS</w:t>
      </w:r>
      <w:r w:rsidR="006B63A3">
        <w:t xml:space="preserve"> constraint </w:t>
      </w:r>
      <w:r>
        <w:t>again limited local wind generation</w:t>
      </w:r>
      <w:r w:rsidR="004E390F">
        <w:t xml:space="preserve">, hence </w:t>
      </w:r>
      <w:r w:rsidR="006B63A3">
        <w:t xml:space="preserve">small changes in </w:t>
      </w:r>
      <w:r w:rsidR="004E390F">
        <w:t xml:space="preserve">demand </w:t>
      </w:r>
      <w:r w:rsidR="006B63A3">
        <w:t xml:space="preserve">resulted </w:t>
      </w:r>
      <w:r w:rsidR="00FE57F3">
        <w:t>dispatch prices between $300/MWh and $500/MWh for a majority of the time</w:t>
      </w:r>
      <w:r w:rsidR="006B63A3">
        <w:t>.</w:t>
      </w:r>
      <w:r w:rsidR="004E390F">
        <w:t xml:space="preserve">  </w:t>
      </w:r>
    </w:p>
    <w:p w:rsidR="005F4B8B" w:rsidRPr="00BC62FE" w:rsidRDefault="005F4B8B" w:rsidP="005F4B8B">
      <w:pPr>
        <w:pStyle w:val="Heading3"/>
        <w:rPr>
          <w:rFonts w:eastAsia="Times New Roman"/>
        </w:rPr>
      </w:pPr>
      <w:r>
        <w:rPr>
          <w:rFonts w:eastAsia="Times New Roman"/>
        </w:rPr>
        <w:t>Tuesday</w:t>
      </w:r>
      <w:r w:rsidRPr="00BC62FE">
        <w:rPr>
          <w:rFonts w:eastAsia="Times New Roman"/>
        </w:rPr>
        <w:t>, 1</w:t>
      </w:r>
      <w:r>
        <w:rPr>
          <w:rFonts w:eastAsia="Times New Roman"/>
        </w:rPr>
        <w:t>5</w:t>
      </w:r>
      <w:r w:rsidRPr="00BC62FE">
        <w:rPr>
          <w:rFonts w:eastAsia="Times New Roman"/>
        </w:rPr>
        <w:t xml:space="preserve"> November </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5F4B8B" w:rsidRPr="007D74C6" w:rsidTr="00E426B5">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5F4B8B" w:rsidRPr="007D74C6" w:rsidRDefault="005F4B8B" w:rsidP="00E426B5">
            <w:pPr>
              <w:pStyle w:val="TableHeading"/>
              <w:jc w:val="center"/>
              <w:rPr>
                <w:rFonts w:cs="Arial"/>
                <w:b w:val="0"/>
                <w:sz w:val="20"/>
                <w:szCs w:val="20"/>
              </w:rPr>
            </w:pPr>
            <w:r w:rsidRPr="007D74C6">
              <w:rPr>
                <w:rFonts w:cs="Arial"/>
                <w:b w:val="0"/>
                <w:sz w:val="20"/>
                <w:szCs w:val="20"/>
              </w:rPr>
              <w:t xml:space="preserve">Time </w:t>
            </w:r>
          </w:p>
        </w:tc>
        <w:tc>
          <w:tcPr>
            <w:tcW w:w="1582" w:type="pct"/>
            <w:gridSpan w:val="3"/>
            <w:hideMark/>
          </w:tcPr>
          <w:p w:rsidR="005F4B8B" w:rsidRPr="007D74C6" w:rsidRDefault="005F4B8B" w:rsidP="00E426B5">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5F4B8B" w:rsidRPr="007D74C6" w:rsidRDefault="005F4B8B" w:rsidP="00E426B5">
            <w:pPr>
              <w:pStyle w:val="TableHeading"/>
              <w:jc w:val="center"/>
              <w:rPr>
                <w:rFonts w:cs="Arial"/>
                <w:b w:val="0"/>
                <w:sz w:val="20"/>
                <w:szCs w:val="20"/>
              </w:rPr>
            </w:pPr>
            <w:r w:rsidRPr="007D74C6">
              <w:rPr>
                <w:rFonts w:cs="Arial"/>
                <w:b w:val="0"/>
                <w:sz w:val="20"/>
                <w:szCs w:val="20"/>
              </w:rPr>
              <w:t>Demand (MW)</w:t>
            </w:r>
          </w:p>
        </w:tc>
        <w:tc>
          <w:tcPr>
            <w:tcW w:w="1442" w:type="pct"/>
            <w:gridSpan w:val="3"/>
            <w:hideMark/>
          </w:tcPr>
          <w:p w:rsidR="005F4B8B" w:rsidRPr="007D74C6" w:rsidRDefault="005F4B8B" w:rsidP="00E426B5">
            <w:pPr>
              <w:pStyle w:val="TableHeading"/>
              <w:jc w:val="center"/>
              <w:rPr>
                <w:rFonts w:cs="Arial"/>
                <w:b w:val="0"/>
                <w:sz w:val="20"/>
                <w:szCs w:val="20"/>
              </w:rPr>
            </w:pPr>
            <w:r w:rsidRPr="007D74C6">
              <w:rPr>
                <w:rFonts w:cs="Arial"/>
                <w:b w:val="0"/>
                <w:sz w:val="20"/>
                <w:szCs w:val="20"/>
              </w:rPr>
              <w:t>Availability (MW)</w:t>
            </w:r>
          </w:p>
        </w:tc>
      </w:tr>
      <w:tr w:rsidR="005F4B8B" w:rsidRPr="007D74C6" w:rsidTr="00E426B5">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5F4B8B" w:rsidRPr="007D74C6" w:rsidRDefault="005F4B8B" w:rsidP="00E426B5">
            <w:pPr>
              <w:pStyle w:val="tableheadingline2"/>
              <w:rPr>
                <w:rFonts w:cs="Arial"/>
                <w:sz w:val="20"/>
                <w:szCs w:val="20"/>
              </w:rPr>
            </w:pPr>
            <w:r w:rsidRPr="007D74C6">
              <w:rPr>
                <w:rFonts w:cs="Arial"/>
                <w:sz w:val="20"/>
                <w:szCs w:val="20"/>
              </w:rPr>
              <w:t> </w:t>
            </w:r>
          </w:p>
        </w:tc>
        <w:tc>
          <w:tcPr>
            <w:tcW w:w="516" w:type="pct"/>
            <w:tcMar>
              <w:left w:w="57" w:type="dxa"/>
              <w:right w:w="57" w:type="dxa"/>
            </w:tcMar>
            <w:hideMark/>
          </w:tcPr>
          <w:p w:rsidR="005F4B8B" w:rsidRPr="007D74C6" w:rsidRDefault="005F4B8B" w:rsidP="00E426B5">
            <w:pPr>
              <w:pStyle w:val="tableheadingline2"/>
              <w:rPr>
                <w:rFonts w:cs="Arial"/>
                <w:sz w:val="20"/>
                <w:szCs w:val="20"/>
              </w:rPr>
            </w:pPr>
            <w:r w:rsidRPr="007D74C6">
              <w:rPr>
                <w:rFonts w:cs="Arial"/>
                <w:sz w:val="20"/>
                <w:szCs w:val="20"/>
              </w:rPr>
              <w:t>Actual</w:t>
            </w:r>
          </w:p>
        </w:tc>
        <w:tc>
          <w:tcPr>
            <w:tcW w:w="533" w:type="pct"/>
            <w:tcMar>
              <w:left w:w="57" w:type="dxa"/>
              <w:right w:w="57" w:type="dxa"/>
            </w:tcMar>
            <w:hideMark/>
          </w:tcPr>
          <w:p w:rsidR="005F4B8B" w:rsidRPr="007D74C6" w:rsidRDefault="005F4B8B" w:rsidP="00E426B5">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5F4B8B" w:rsidRPr="007D74C6" w:rsidRDefault="005F4B8B" w:rsidP="00E426B5">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5F4B8B" w:rsidRPr="007D74C6" w:rsidRDefault="005F4B8B" w:rsidP="00E426B5">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5F4B8B" w:rsidRPr="007D74C6" w:rsidRDefault="005F4B8B" w:rsidP="00E426B5">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5F4B8B" w:rsidRPr="007D74C6" w:rsidRDefault="005F4B8B" w:rsidP="00E426B5">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5F4B8B" w:rsidRPr="007D74C6" w:rsidRDefault="005F4B8B" w:rsidP="00E426B5">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5F4B8B" w:rsidRPr="007D74C6" w:rsidRDefault="005F4B8B" w:rsidP="00E426B5">
            <w:pPr>
              <w:pStyle w:val="tableheadingline2"/>
              <w:rPr>
                <w:rFonts w:cs="Arial"/>
                <w:sz w:val="20"/>
                <w:szCs w:val="20"/>
              </w:rPr>
            </w:pPr>
            <w:r w:rsidRPr="007D74C6">
              <w:rPr>
                <w:rFonts w:cs="Arial"/>
                <w:sz w:val="20"/>
                <w:szCs w:val="20"/>
              </w:rPr>
              <w:t>4 hr forecast</w:t>
            </w:r>
          </w:p>
        </w:tc>
        <w:tc>
          <w:tcPr>
            <w:tcW w:w="453" w:type="pct"/>
            <w:tcMar>
              <w:left w:w="57" w:type="dxa"/>
              <w:right w:w="57" w:type="dxa"/>
            </w:tcMar>
            <w:hideMark/>
          </w:tcPr>
          <w:p w:rsidR="005F4B8B" w:rsidRPr="007D74C6" w:rsidRDefault="005F4B8B" w:rsidP="00E426B5">
            <w:pPr>
              <w:pStyle w:val="tableheadingline2"/>
              <w:rPr>
                <w:rFonts w:cs="Arial"/>
                <w:sz w:val="20"/>
                <w:szCs w:val="20"/>
              </w:rPr>
            </w:pPr>
            <w:r w:rsidRPr="007D74C6">
              <w:rPr>
                <w:rFonts w:cs="Arial"/>
                <w:sz w:val="20"/>
                <w:szCs w:val="20"/>
              </w:rPr>
              <w:t>12 hr forecast</w:t>
            </w:r>
          </w:p>
        </w:tc>
      </w:tr>
      <w:tr w:rsidR="005F4B8B" w:rsidRPr="003C23CA" w:rsidTr="00E426B5">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5F4B8B" w:rsidRPr="005F4B8B" w:rsidRDefault="005F4B8B" w:rsidP="005A3B6C">
            <w:pPr>
              <w:pStyle w:val="NormalWeb"/>
              <w:jc w:val="center"/>
              <w:rPr>
                <w:rFonts w:ascii="Arial" w:eastAsiaTheme="minorHAnsi" w:hAnsi="Arial" w:cs="Arial"/>
                <w:sz w:val="20"/>
                <w:szCs w:val="20"/>
                <w:lang w:eastAsia="en-US"/>
              </w:rPr>
            </w:pPr>
            <w:r w:rsidRPr="005F4B8B">
              <w:rPr>
                <w:rFonts w:ascii="Arial" w:eastAsiaTheme="minorHAnsi" w:hAnsi="Arial" w:cs="Arial"/>
                <w:sz w:val="20"/>
                <w:szCs w:val="20"/>
                <w:lang w:eastAsia="en-US"/>
              </w:rPr>
              <w:t>6</w:t>
            </w:r>
            <w:r w:rsidR="005A3B6C">
              <w:rPr>
                <w:rFonts w:ascii="Arial" w:eastAsiaTheme="minorHAnsi" w:hAnsi="Arial" w:cs="Arial"/>
                <w:sz w:val="20"/>
                <w:szCs w:val="20"/>
                <w:lang w:eastAsia="en-US"/>
              </w:rPr>
              <w:t>.</w:t>
            </w:r>
            <w:r w:rsidRPr="005F4B8B">
              <w:rPr>
                <w:rFonts w:ascii="Arial" w:eastAsiaTheme="minorHAnsi" w:hAnsi="Arial" w:cs="Arial"/>
                <w:sz w:val="20"/>
                <w:szCs w:val="20"/>
                <w:lang w:eastAsia="en-US"/>
              </w:rPr>
              <w:t xml:space="preserve">30 </w:t>
            </w:r>
            <w:r w:rsidR="0083313E">
              <w:rPr>
                <w:rFonts w:ascii="Arial" w:eastAsiaTheme="minorHAnsi" w:hAnsi="Arial" w:cs="Arial"/>
                <w:sz w:val="20"/>
                <w:szCs w:val="20"/>
                <w:lang w:eastAsia="en-US"/>
              </w:rPr>
              <w:t>am</w:t>
            </w:r>
          </w:p>
        </w:tc>
        <w:tc>
          <w:tcPr>
            <w:tcW w:w="516" w:type="pct"/>
            <w:vAlign w:val="center"/>
          </w:tcPr>
          <w:p w:rsidR="005F4B8B" w:rsidRPr="005F4B8B" w:rsidRDefault="005F4B8B">
            <w:pPr>
              <w:pStyle w:val="NormalWeb"/>
              <w:jc w:val="center"/>
              <w:rPr>
                <w:rFonts w:ascii="Arial" w:eastAsiaTheme="minorHAnsi" w:hAnsi="Arial" w:cs="Arial"/>
                <w:sz w:val="20"/>
                <w:szCs w:val="20"/>
                <w:lang w:eastAsia="en-US"/>
              </w:rPr>
            </w:pPr>
            <w:r w:rsidRPr="005F4B8B">
              <w:rPr>
                <w:rFonts w:ascii="Arial" w:eastAsiaTheme="minorHAnsi" w:hAnsi="Arial" w:cs="Arial"/>
                <w:sz w:val="20"/>
                <w:szCs w:val="20"/>
                <w:lang w:eastAsia="en-US"/>
              </w:rPr>
              <w:t>271.00</w:t>
            </w:r>
          </w:p>
        </w:tc>
        <w:tc>
          <w:tcPr>
            <w:tcW w:w="533" w:type="pct"/>
            <w:vAlign w:val="center"/>
          </w:tcPr>
          <w:p w:rsidR="005F4B8B" w:rsidRPr="005F4B8B" w:rsidRDefault="005F4B8B">
            <w:pPr>
              <w:pStyle w:val="NormalWeb"/>
              <w:jc w:val="center"/>
              <w:rPr>
                <w:rFonts w:ascii="Arial" w:eastAsiaTheme="minorHAnsi" w:hAnsi="Arial" w:cs="Arial"/>
                <w:sz w:val="20"/>
                <w:szCs w:val="20"/>
                <w:lang w:eastAsia="en-US"/>
              </w:rPr>
            </w:pPr>
            <w:r w:rsidRPr="005F4B8B">
              <w:rPr>
                <w:rFonts w:ascii="Arial" w:eastAsiaTheme="minorHAnsi" w:hAnsi="Arial" w:cs="Arial"/>
                <w:sz w:val="20"/>
                <w:szCs w:val="20"/>
                <w:lang w:eastAsia="en-US"/>
              </w:rPr>
              <w:t>223.92</w:t>
            </w:r>
          </w:p>
        </w:tc>
        <w:tc>
          <w:tcPr>
            <w:tcW w:w="533" w:type="pct"/>
            <w:vAlign w:val="center"/>
          </w:tcPr>
          <w:p w:rsidR="005F4B8B" w:rsidRPr="005F4B8B" w:rsidRDefault="005F4B8B">
            <w:pPr>
              <w:pStyle w:val="NormalWeb"/>
              <w:jc w:val="center"/>
              <w:rPr>
                <w:rFonts w:ascii="Arial" w:eastAsiaTheme="minorHAnsi" w:hAnsi="Arial" w:cs="Arial"/>
                <w:sz w:val="20"/>
                <w:szCs w:val="20"/>
                <w:lang w:eastAsia="en-US"/>
              </w:rPr>
            </w:pPr>
            <w:r w:rsidRPr="005F4B8B">
              <w:rPr>
                <w:rFonts w:ascii="Arial" w:eastAsiaTheme="minorHAnsi" w:hAnsi="Arial" w:cs="Arial"/>
                <w:sz w:val="20"/>
                <w:szCs w:val="20"/>
                <w:lang w:eastAsia="en-US"/>
              </w:rPr>
              <w:t>91.85</w:t>
            </w:r>
          </w:p>
        </w:tc>
        <w:tc>
          <w:tcPr>
            <w:tcW w:w="455" w:type="pct"/>
            <w:vAlign w:val="center"/>
          </w:tcPr>
          <w:p w:rsidR="005F4B8B" w:rsidRPr="005F4B8B" w:rsidRDefault="005F4B8B">
            <w:pPr>
              <w:pStyle w:val="NormalWeb"/>
              <w:jc w:val="center"/>
              <w:rPr>
                <w:rFonts w:ascii="Arial" w:eastAsiaTheme="minorHAnsi" w:hAnsi="Arial" w:cs="Arial"/>
                <w:sz w:val="20"/>
                <w:szCs w:val="20"/>
                <w:lang w:eastAsia="en-US"/>
              </w:rPr>
            </w:pPr>
            <w:r w:rsidRPr="005F4B8B">
              <w:rPr>
                <w:rFonts w:ascii="Arial" w:eastAsiaTheme="minorHAnsi" w:hAnsi="Arial" w:cs="Arial"/>
                <w:sz w:val="20"/>
                <w:szCs w:val="20"/>
                <w:lang w:eastAsia="en-US"/>
              </w:rPr>
              <w:t>1457</w:t>
            </w:r>
          </w:p>
        </w:tc>
        <w:tc>
          <w:tcPr>
            <w:tcW w:w="456" w:type="pct"/>
            <w:vAlign w:val="center"/>
          </w:tcPr>
          <w:p w:rsidR="005F4B8B" w:rsidRPr="005F4B8B" w:rsidRDefault="005F4B8B">
            <w:pPr>
              <w:pStyle w:val="NormalWeb"/>
              <w:jc w:val="center"/>
              <w:rPr>
                <w:rFonts w:ascii="Arial" w:eastAsiaTheme="minorHAnsi" w:hAnsi="Arial" w:cs="Arial"/>
                <w:sz w:val="20"/>
                <w:szCs w:val="20"/>
                <w:lang w:eastAsia="en-US"/>
              </w:rPr>
            </w:pPr>
            <w:r w:rsidRPr="005F4B8B">
              <w:rPr>
                <w:rFonts w:ascii="Arial" w:eastAsiaTheme="minorHAnsi" w:hAnsi="Arial" w:cs="Arial"/>
                <w:sz w:val="20"/>
                <w:szCs w:val="20"/>
                <w:lang w:eastAsia="en-US"/>
              </w:rPr>
              <w:t>1348</w:t>
            </w:r>
          </w:p>
        </w:tc>
        <w:tc>
          <w:tcPr>
            <w:tcW w:w="534" w:type="pct"/>
            <w:vAlign w:val="center"/>
          </w:tcPr>
          <w:p w:rsidR="005F4B8B" w:rsidRPr="005F4B8B" w:rsidRDefault="005F4B8B">
            <w:pPr>
              <w:pStyle w:val="NormalWeb"/>
              <w:jc w:val="center"/>
              <w:rPr>
                <w:rFonts w:ascii="Arial" w:eastAsiaTheme="minorHAnsi" w:hAnsi="Arial" w:cs="Arial"/>
                <w:sz w:val="20"/>
                <w:szCs w:val="20"/>
                <w:lang w:eastAsia="en-US"/>
              </w:rPr>
            </w:pPr>
            <w:r w:rsidRPr="005F4B8B">
              <w:rPr>
                <w:rFonts w:ascii="Arial" w:eastAsiaTheme="minorHAnsi" w:hAnsi="Arial" w:cs="Arial"/>
                <w:sz w:val="20"/>
                <w:szCs w:val="20"/>
                <w:lang w:eastAsia="en-US"/>
              </w:rPr>
              <w:t>1301</w:t>
            </w:r>
          </w:p>
        </w:tc>
        <w:tc>
          <w:tcPr>
            <w:tcW w:w="532" w:type="pct"/>
            <w:vAlign w:val="center"/>
          </w:tcPr>
          <w:p w:rsidR="005F4B8B" w:rsidRPr="005F4B8B" w:rsidRDefault="005F4B8B">
            <w:pPr>
              <w:pStyle w:val="NormalWeb"/>
              <w:jc w:val="center"/>
              <w:rPr>
                <w:rFonts w:ascii="Arial" w:eastAsiaTheme="minorHAnsi" w:hAnsi="Arial" w:cs="Arial"/>
                <w:sz w:val="20"/>
                <w:szCs w:val="20"/>
                <w:lang w:eastAsia="en-US"/>
              </w:rPr>
            </w:pPr>
            <w:r w:rsidRPr="005F4B8B">
              <w:rPr>
                <w:rFonts w:ascii="Arial" w:eastAsiaTheme="minorHAnsi" w:hAnsi="Arial" w:cs="Arial"/>
                <w:sz w:val="20"/>
                <w:szCs w:val="20"/>
                <w:lang w:eastAsia="en-US"/>
              </w:rPr>
              <w:t>1974</w:t>
            </w:r>
          </w:p>
        </w:tc>
        <w:tc>
          <w:tcPr>
            <w:tcW w:w="457" w:type="pct"/>
            <w:vAlign w:val="center"/>
          </w:tcPr>
          <w:p w:rsidR="005F4B8B" w:rsidRPr="005F4B8B" w:rsidRDefault="005F4B8B">
            <w:pPr>
              <w:pStyle w:val="NormalWeb"/>
              <w:jc w:val="center"/>
              <w:rPr>
                <w:rFonts w:ascii="Arial" w:eastAsiaTheme="minorHAnsi" w:hAnsi="Arial" w:cs="Arial"/>
                <w:sz w:val="20"/>
                <w:szCs w:val="20"/>
                <w:lang w:eastAsia="en-US"/>
              </w:rPr>
            </w:pPr>
            <w:r w:rsidRPr="005F4B8B">
              <w:rPr>
                <w:rFonts w:ascii="Arial" w:eastAsiaTheme="minorHAnsi" w:hAnsi="Arial" w:cs="Arial"/>
                <w:sz w:val="20"/>
                <w:szCs w:val="20"/>
                <w:lang w:eastAsia="en-US"/>
              </w:rPr>
              <w:t>1987</w:t>
            </w:r>
          </w:p>
        </w:tc>
        <w:tc>
          <w:tcPr>
            <w:tcW w:w="453" w:type="pct"/>
            <w:vAlign w:val="center"/>
          </w:tcPr>
          <w:p w:rsidR="005F4B8B" w:rsidRPr="005F4B8B" w:rsidRDefault="005F4B8B">
            <w:pPr>
              <w:pStyle w:val="NormalWeb"/>
              <w:jc w:val="center"/>
              <w:rPr>
                <w:rFonts w:ascii="Arial" w:eastAsiaTheme="minorHAnsi" w:hAnsi="Arial" w:cs="Arial"/>
                <w:sz w:val="20"/>
                <w:szCs w:val="20"/>
                <w:lang w:eastAsia="en-US"/>
              </w:rPr>
            </w:pPr>
            <w:r w:rsidRPr="005F4B8B">
              <w:rPr>
                <w:rFonts w:ascii="Arial" w:eastAsiaTheme="minorHAnsi" w:hAnsi="Arial" w:cs="Arial"/>
                <w:sz w:val="20"/>
                <w:szCs w:val="20"/>
                <w:lang w:eastAsia="en-US"/>
              </w:rPr>
              <w:t>2049</w:t>
            </w:r>
          </w:p>
        </w:tc>
      </w:tr>
      <w:tr w:rsidR="005F4B8B" w:rsidRPr="003C23CA" w:rsidTr="00E426B5">
        <w:trPr>
          <w:cnfStyle w:val="000000010000" w:firstRow="0" w:lastRow="0" w:firstColumn="0" w:lastColumn="0" w:oddVBand="0" w:evenVBand="0" w:oddHBand="0" w:evenHBand="1" w:firstRowFirstColumn="0" w:firstRowLastColumn="0" w:lastRowFirstColumn="0" w:lastRowLastColumn="0"/>
          <w:trHeight w:val="510"/>
        </w:trPr>
        <w:tc>
          <w:tcPr>
            <w:tcW w:w="531" w:type="pct"/>
            <w:vAlign w:val="center"/>
          </w:tcPr>
          <w:p w:rsidR="005F4B8B" w:rsidRPr="005F4B8B" w:rsidRDefault="005F4B8B" w:rsidP="005A3B6C">
            <w:pPr>
              <w:pStyle w:val="NormalWeb"/>
              <w:jc w:val="center"/>
              <w:rPr>
                <w:rFonts w:ascii="Arial" w:eastAsiaTheme="minorHAnsi" w:hAnsi="Arial" w:cs="Arial"/>
                <w:sz w:val="20"/>
                <w:szCs w:val="20"/>
                <w:lang w:eastAsia="en-US"/>
              </w:rPr>
            </w:pPr>
            <w:r w:rsidRPr="005F4B8B">
              <w:rPr>
                <w:rFonts w:ascii="Arial" w:eastAsiaTheme="minorHAnsi" w:hAnsi="Arial" w:cs="Arial"/>
                <w:sz w:val="20"/>
                <w:szCs w:val="20"/>
                <w:lang w:eastAsia="en-US"/>
              </w:rPr>
              <w:t>7</w:t>
            </w:r>
            <w:r w:rsidR="005A3B6C">
              <w:rPr>
                <w:rFonts w:ascii="Arial" w:eastAsiaTheme="minorHAnsi" w:hAnsi="Arial" w:cs="Arial"/>
                <w:sz w:val="20"/>
                <w:szCs w:val="20"/>
                <w:lang w:eastAsia="en-US"/>
              </w:rPr>
              <w:t> </w:t>
            </w:r>
            <w:r w:rsidR="0083313E">
              <w:rPr>
                <w:rFonts w:ascii="Arial" w:eastAsiaTheme="minorHAnsi" w:hAnsi="Arial" w:cs="Arial"/>
                <w:sz w:val="20"/>
                <w:szCs w:val="20"/>
                <w:lang w:eastAsia="en-US"/>
              </w:rPr>
              <w:t>am</w:t>
            </w:r>
          </w:p>
        </w:tc>
        <w:tc>
          <w:tcPr>
            <w:tcW w:w="516" w:type="pct"/>
            <w:vAlign w:val="center"/>
          </w:tcPr>
          <w:p w:rsidR="005F4B8B" w:rsidRPr="005F4B8B" w:rsidRDefault="005F4B8B">
            <w:pPr>
              <w:pStyle w:val="NormalWeb"/>
              <w:jc w:val="center"/>
              <w:rPr>
                <w:rFonts w:ascii="Arial" w:eastAsiaTheme="minorHAnsi" w:hAnsi="Arial" w:cs="Arial"/>
                <w:sz w:val="20"/>
                <w:szCs w:val="20"/>
                <w:lang w:eastAsia="en-US"/>
              </w:rPr>
            </w:pPr>
            <w:r w:rsidRPr="005F4B8B">
              <w:rPr>
                <w:rFonts w:ascii="Arial" w:eastAsiaTheme="minorHAnsi" w:hAnsi="Arial" w:cs="Arial"/>
                <w:sz w:val="20"/>
                <w:szCs w:val="20"/>
                <w:lang w:eastAsia="en-US"/>
              </w:rPr>
              <w:t>262.52</w:t>
            </w:r>
          </w:p>
        </w:tc>
        <w:tc>
          <w:tcPr>
            <w:tcW w:w="533" w:type="pct"/>
            <w:vAlign w:val="center"/>
          </w:tcPr>
          <w:p w:rsidR="005F4B8B" w:rsidRPr="005F4B8B" w:rsidRDefault="005F4B8B">
            <w:pPr>
              <w:pStyle w:val="NormalWeb"/>
              <w:jc w:val="center"/>
              <w:rPr>
                <w:rFonts w:ascii="Arial" w:eastAsiaTheme="minorHAnsi" w:hAnsi="Arial" w:cs="Arial"/>
                <w:sz w:val="20"/>
                <w:szCs w:val="20"/>
                <w:lang w:eastAsia="en-US"/>
              </w:rPr>
            </w:pPr>
            <w:r w:rsidRPr="005F4B8B">
              <w:rPr>
                <w:rFonts w:ascii="Arial" w:eastAsiaTheme="minorHAnsi" w:hAnsi="Arial" w:cs="Arial"/>
                <w:sz w:val="20"/>
                <w:szCs w:val="20"/>
                <w:lang w:eastAsia="en-US"/>
              </w:rPr>
              <w:t>242.10</w:t>
            </w:r>
          </w:p>
        </w:tc>
        <w:tc>
          <w:tcPr>
            <w:tcW w:w="533" w:type="pct"/>
            <w:vAlign w:val="center"/>
          </w:tcPr>
          <w:p w:rsidR="005F4B8B" w:rsidRPr="005F4B8B" w:rsidRDefault="005F4B8B">
            <w:pPr>
              <w:pStyle w:val="NormalWeb"/>
              <w:jc w:val="center"/>
              <w:rPr>
                <w:rFonts w:ascii="Arial" w:eastAsiaTheme="minorHAnsi" w:hAnsi="Arial" w:cs="Arial"/>
                <w:sz w:val="20"/>
                <w:szCs w:val="20"/>
                <w:lang w:eastAsia="en-US"/>
              </w:rPr>
            </w:pPr>
            <w:r w:rsidRPr="005F4B8B">
              <w:rPr>
                <w:rFonts w:ascii="Arial" w:eastAsiaTheme="minorHAnsi" w:hAnsi="Arial" w:cs="Arial"/>
                <w:sz w:val="20"/>
                <w:szCs w:val="20"/>
                <w:lang w:eastAsia="en-US"/>
              </w:rPr>
              <w:t>214.96</w:t>
            </w:r>
          </w:p>
        </w:tc>
        <w:tc>
          <w:tcPr>
            <w:tcW w:w="455" w:type="pct"/>
            <w:vAlign w:val="center"/>
          </w:tcPr>
          <w:p w:rsidR="005F4B8B" w:rsidRPr="005F4B8B" w:rsidRDefault="005F4B8B">
            <w:pPr>
              <w:pStyle w:val="NormalWeb"/>
              <w:jc w:val="center"/>
              <w:rPr>
                <w:rFonts w:ascii="Arial" w:eastAsiaTheme="minorHAnsi" w:hAnsi="Arial" w:cs="Arial"/>
                <w:sz w:val="20"/>
                <w:szCs w:val="20"/>
                <w:lang w:eastAsia="en-US"/>
              </w:rPr>
            </w:pPr>
            <w:r w:rsidRPr="005F4B8B">
              <w:rPr>
                <w:rFonts w:ascii="Arial" w:eastAsiaTheme="minorHAnsi" w:hAnsi="Arial" w:cs="Arial"/>
                <w:sz w:val="20"/>
                <w:szCs w:val="20"/>
                <w:lang w:eastAsia="en-US"/>
              </w:rPr>
              <w:t>1560</w:t>
            </w:r>
          </w:p>
        </w:tc>
        <w:tc>
          <w:tcPr>
            <w:tcW w:w="456" w:type="pct"/>
            <w:vAlign w:val="center"/>
          </w:tcPr>
          <w:p w:rsidR="005F4B8B" w:rsidRPr="005F4B8B" w:rsidRDefault="005F4B8B">
            <w:pPr>
              <w:pStyle w:val="NormalWeb"/>
              <w:jc w:val="center"/>
              <w:rPr>
                <w:rFonts w:ascii="Arial" w:eastAsiaTheme="minorHAnsi" w:hAnsi="Arial" w:cs="Arial"/>
                <w:sz w:val="20"/>
                <w:szCs w:val="20"/>
                <w:lang w:eastAsia="en-US"/>
              </w:rPr>
            </w:pPr>
            <w:r w:rsidRPr="005F4B8B">
              <w:rPr>
                <w:rFonts w:ascii="Arial" w:eastAsiaTheme="minorHAnsi" w:hAnsi="Arial" w:cs="Arial"/>
                <w:sz w:val="20"/>
                <w:szCs w:val="20"/>
                <w:lang w:eastAsia="en-US"/>
              </w:rPr>
              <w:t>1445</w:t>
            </w:r>
          </w:p>
        </w:tc>
        <w:tc>
          <w:tcPr>
            <w:tcW w:w="534" w:type="pct"/>
            <w:vAlign w:val="center"/>
          </w:tcPr>
          <w:p w:rsidR="005F4B8B" w:rsidRPr="005F4B8B" w:rsidRDefault="005F4B8B">
            <w:pPr>
              <w:pStyle w:val="NormalWeb"/>
              <w:jc w:val="center"/>
              <w:rPr>
                <w:rFonts w:ascii="Arial" w:eastAsiaTheme="minorHAnsi" w:hAnsi="Arial" w:cs="Arial"/>
                <w:sz w:val="20"/>
                <w:szCs w:val="20"/>
                <w:lang w:eastAsia="en-US"/>
              </w:rPr>
            </w:pPr>
            <w:r w:rsidRPr="005F4B8B">
              <w:rPr>
                <w:rFonts w:ascii="Arial" w:eastAsiaTheme="minorHAnsi" w:hAnsi="Arial" w:cs="Arial"/>
                <w:sz w:val="20"/>
                <w:szCs w:val="20"/>
                <w:lang w:eastAsia="en-US"/>
              </w:rPr>
              <w:t>1398</w:t>
            </w:r>
          </w:p>
        </w:tc>
        <w:tc>
          <w:tcPr>
            <w:tcW w:w="532" w:type="pct"/>
            <w:vAlign w:val="center"/>
          </w:tcPr>
          <w:p w:rsidR="005F4B8B" w:rsidRPr="005F4B8B" w:rsidRDefault="005F4B8B">
            <w:pPr>
              <w:pStyle w:val="NormalWeb"/>
              <w:jc w:val="center"/>
              <w:rPr>
                <w:rFonts w:ascii="Arial" w:eastAsiaTheme="minorHAnsi" w:hAnsi="Arial" w:cs="Arial"/>
                <w:sz w:val="20"/>
                <w:szCs w:val="20"/>
                <w:lang w:eastAsia="en-US"/>
              </w:rPr>
            </w:pPr>
            <w:r w:rsidRPr="005F4B8B">
              <w:rPr>
                <w:rFonts w:ascii="Arial" w:eastAsiaTheme="minorHAnsi" w:hAnsi="Arial" w:cs="Arial"/>
                <w:sz w:val="20"/>
                <w:szCs w:val="20"/>
                <w:lang w:eastAsia="en-US"/>
              </w:rPr>
              <w:t>1974</w:t>
            </w:r>
          </w:p>
        </w:tc>
        <w:tc>
          <w:tcPr>
            <w:tcW w:w="457" w:type="pct"/>
            <w:vAlign w:val="center"/>
          </w:tcPr>
          <w:p w:rsidR="005F4B8B" w:rsidRPr="005F4B8B" w:rsidRDefault="005F4B8B">
            <w:pPr>
              <w:pStyle w:val="NormalWeb"/>
              <w:jc w:val="center"/>
              <w:rPr>
                <w:rFonts w:ascii="Arial" w:eastAsiaTheme="minorHAnsi" w:hAnsi="Arial" w:cs="Arial"/>
                <w:sz w:val="20"/>
                <w:szCs w:val="20"/>
                <w:lang w:eastAsia="en-US"/>
              </w:rPr>
            </w:pPr>
            <w:r w:rsidRPr="005F4B8B">
              <w:rPr>
                <w:rFonts w:ascii="Arial" w:eastAsiaTheme="minorHAnsi" w:hAnsi="Arial" w:cs="Arial"/>
                <w:sz w:val="20"/>
                <w:szCs w:val="20"/>
                <w:lang w:eastAsia="en-US"/>
              </w:rPr>
              <w:t>1980</w:t>
            </w:r>
          </w:p>
        </w:tc>
        <w:tc>
          <w:tcPr>
            <w:tcW w:w="453" w:type="pct"/>
            <w:vAlign w:val="center"/>
          </w:tcPr>
          <w:p w:rsidR="005F4B8B" w:rsidRPr="005F4B8B" w:rsidRDefault="005F4B8B">
            <w:pPr>
              <w:pStyle w:val="NormalWeb"/>
              <w:jc w:val="center"/>
              <w:rPr>
                <w:rFonts w:ascii="Arial" w:eastAsiaTheme="minorHAnsi" w:hAnsi="Arial" w:cs="Arial"/>
                <w:sz w:val="20"/>
                <w:szCs w:val="20"/>
                <w:lang w:eastAsia="en-US"/>
              </w:rPr>
            </w:pPr>
            <w:r w:rsidRPr="005F4B8B">
              <w:rPr>
                <w:rFonts w:ascii="Arial" w:eastAsiaTheme="minorHAnsi" w:hAnsi="Arial" w:cs="Arial"/>
                <w:sz w:val="20"/>
                <w:szCs w:val="20"/>
                <w:lang w:eastAsia="en-US"/>
              </w:rPr>
              <w:t>2043</w:t>
            </w:r>
          </w:p>
        </w:tc>
      </w:tr>
    </w:tbl>
    <w:p w:rsidR="007560C8" w:rsidRDefault="007560C8" w:rsidP="005F4B8B">
      <w:pPr>
        <w:jc w:val="both"/>
      </w:pPr>
      <w:r>
        <w:t>The 6.30 am and 7 am prices were close to forecast.</w:t>
      </w:r>
    </w:p>
    <w:p w:rsidR="0083313E" w:rsidRPr="00BC62FE" w:rsidRDefault="0083313E" w:rsidP="0083313E">
      <w:pPr>
        <w:pStyle w:val="Heading3"/>
        <w:rPr>
          <w:rFonts w:eastAsia="Times New Roman"/>
        </w:rPr>
      </w:pPr>
      <w:r>
        <w:rPr>
          <w:rFonts w:eastAsia="Times New Roman"/>
        </w:rPr>
        <w:t>Wednesday</w:t>
      </w:r>
      <w:r w:rsidRPr="00BC62FE">
        <w:rPr>
          <w:rFonts w:eastAsia="Times New Roman"/>
        </w:rPr>
        <w:t>, 1</w:t>
      </w:r>
      <w:r>
        <w:rPr>
          <w:rFonts w:eastAsia="Times New Roman"/>
        </w:rPr>
        <w:t>6</w:t>
      </w:r>
      <w:r w:rsidRPr="00BC62FE">
        <w:rPr>
          <w:rFonts w:eastAsia="Times New Roman"/>
        </w:rPr>
        <w:t xml:space="preserve"> November </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83313E" w:rsidRPr="007D74C6" w:rsidTr="00E426B5">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83313E" w:rsidRPr="007D74C6" w:rsidRDefault="0083313E" w:rsidP="00E426B5">
            <w:pPr>
              <w:pStyle w:val="TableHeading"/>
              <w:jc w:val="center"/>
              <w:rPr>
                <w:rFonts w:cs="Arial"/>
                <w:b w:val="0"/>
                <w:sz w:val="20"/>
                <w:szCs w:val="20"/>
              </w:rPr>
            </w:pPr>
            <w:r w:rsidRPr="007D74C6">
              <w:rPr>
                <w:rFonts w:cs="Arial"/>
                <w:b w:val="0"/>
                <w:sz w:val="20"/>
                <w:szCs w:val="20"/>
              </w:rPr>
              <w:t xml:space="preserve">Time </w:t>
            </w:r>
          </w:p>
        </w:tc>
        <w:tc>
          <w:tcPr>
            <w:tcW w:w="1582" w:type="pct"/>
            <w:gridSpan w:val="3"/>
            <w:hideMark/>
          </w:tcPr>
          <w:p w:rsidR="0083313E" w:rsidRPr="007D74C6" w:rsidRDefault="0083313E" w:rsidP="00E426B5">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83313E" w:rsidRPr="007D74C6" w:rsidRDefault="0083313E" w:rsidP="00E426B5">
            <w:pPr>
              <w:pStyle w:val="TableHeading"/>
              <w:jc w:val="center"/>
              <w:rPr>
                <w:rFonts w:cs="Arial"/>
                <w:b w:val="0"/>
                <w:sz w:val="20"/>
                <w:szCs w:val="20"/>
              </w:rPr>
            </w:pPr>
            <w:r w:rsidRPr="007D74C6">
              <w:rPr>
                <w:rFonts w:cs="Arial"/>
                <w:b w:val="0"/>
                <w:sz w:val="20"/>
                <w:szCs w:val="20"/>
              </w:rPr>
              <w:t>Demand (MW)</w:t>
            </w:r>
          </w:p>
        </w:tc>
        <w:tc>
          <w:tcPr>
            <w:tcW w:w="1442" w:type="pct"/>
            <w:gridSpan w:val="3"/>
            <w:hideMark/>
          </w:tcPr>
          <w:p w:rsidR="0083313E" w:rsidRPr="007D74C6" w:rsidRDefault="0083313E" w:rsidP="00E426B5">
            <w:pPr>
              <w:pStyle w:val="TableHeading"/>
              <w:jc w:val="center"/>
              <w:rPr>
                <w:rFonts w:cs="Arial"/>
                <w:b w:val="0"/>
                <w:sz w:val="20"/>
                <w:szCs w:val="20"/>
              </w:rPr>
            </w:pPr>
            <w:r w:rsidRPr="007D74C6">
              <w:rPr>
                <w:rFonts w:cs="Arial"/>
                <w:b w:val="0"/>
                <w:sz w:val="20"/>
                <w:szCs w:val="20"/>
              </w:rPr>
              <w:t>Availability (MW)</w:t>
            </w:r>
          </w:p>
        </w:tc>
      </w:tr>
      <w:tr w:rsidR="0083313E" w:rsidRPr="007D74C6" w:rsidTr="00E426B5">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83313E" w:rsidRPr="007D74C6" w:rsidRDefault="0083313E" w:rsidP="00E426B5">
            <w:pPr>
              <w:pStyle w:val="tableheadingline2"/>
              <w:rPr>
                <w:rFonts w:cs="Arial"/>
                <w:sz w:val="20"/>
                <w:szCs w:val="20"/>
              </w:rPr>
            </w:pPr>
            <w:r w:rsidRPr="007D74C6">
              <w:rPr>
                <w:rFonts w:cs="Arial"/>
                <w:sz w:val="20"/>
                <w:szCs w:val="20"/>
              </w:rPr>
              <w:t> </w:t>
            </w:r>
          </w:p>
        </w:tc>
        <w:tc>
          <w:tcPr>
            <w:tcW w:w="516" w:type="pct"/>
            <w:tcMar>
              <w:left w:w="57" w:type="dxa"/>
              <w:right w:w="57" w:type="dxa"/>
            </w:tcMar>
            <w:hideMark/>
          </w:tcPr>
          <w:p w:rsidR="0083313E" w:rsidRPr="007D74C6" w:rsidRDefault="0083313E" w:rsidP="00E426B5">
            <w:pPr>
              <w:pStyle w:val="tableheadingline2"/>
              <w:rPr>
                <w:rFonts w:cs="Arial"/>
                <w:sz w:val="20"/>
                <w:szCs w:val="20"/>
              </w:rPr>
            </w:pPr>
            <w:r w:rsidRPr="007D74C6">
              <w:rPr>
                <w:rFonts w:cs="Arial"/>
                <w:sz w:val="20"/>
                <w:szCs w:val="20"/>
              </w:rPr>
              <w:t>Actual</w:t>
            </w:r>
          </w:p>
        </w:tc>
        <w:tc>
          <w:tcPr>
            <w:tcW w:w="533" w:type="pct"/>
            <w:tcMar>
              <w:left w:w="57" w:type="dxa"/>
              <w:right w:w="57" w:type="dxa"/>
            </w:tcMar>
            <w:hideMark/>
          </w:tcPr>
          <w:p w:rsidR="0083313E" w:rsidRPr="007D74C6" w:rsidRDefault="0083313E" w:rsidP="00E426B5">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83313E" w:rsidRPr="007D74C6" w:rsidRDefault="0083313E" w:rsidP="00E426B5">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83313E" w:rsidRPr="007D74C6" w:rsidRDefault="0083313E" w:rsidP="00E426B5">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83313E" w:rsidRPr="007D74C6" w:rsidRDefault="0083313E" w:rsidP="00E426B5">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83313E" w:rsidRPr="007D74C6" w:rsidRDefault="0083313E" w:rsidP="00E426B5">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83313E" w:rsidRPr="007D74C6" w:rsidRDefault="0083313E" w:rsidP="00E426B5">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83313E" w:rsidRPr="007D74C6" w:rsidRDefault="0083313E" w:rsidP="00E426B5">
            <w:pPr>
              <w:pStyle w:val="tableheadingline2"/>
              <w:rPr>
                <w:rFonts w:cs="Arial"/>
                <w:sz w:val="20"/>
                <w:szCs w:val="20"/>
              </w:rPr>
            </w:pPr>
            <w:r w:rsidRPr="007D74C6">
              <w:rPr>
                <w:rFonts w:cs="Arial"/>
                <w:sz w:val="20"/>
                <w:szCs w:val="20"/>
              </w:rPr>
              <w:t>4 hr forecast</w:t>
            </w:r>
          </w:p>
        </w:tc>
        <w:tc>
          <w:tcPr>
            <w:tcW w:w="453" w:type="pct"/>
            <w:tcMar>
              <w:left w:w="57" w:type="dxa"/>
              <w:right w:w="57" w:type="dxa"/>
            </w:tcMar>
            <w:hideMark/>
          </w:tcPr>
          <w:p w:rsidR="0083313E" w:rsidRPr="007D74C6" w:rsidRDefault="0083313E" w:rsidP="00E426B5">
            <w:pPr>
              <w:pStyle w:val="tableheadingline2"/>
              <w:rPr>
                <w:rFonts w:cs="Arial"/>
                <w:sz w:val="20"/>
                <w:szCs w:val="20"/>
              </w:rPr>
            </w:pPr>
            <w:r w:rsidRPr="007D74C6">
              <w:rPr>
                <w:rFonts w:cs="Arial"/>
                <w:sz w:val="20"/>
                <w:szCs w:val="20"/>
              </w:rPr>
              <w:t>12 hr forecast</w:t>
            </w:r>
          </w:p>
        </w:tc>
      </w:tr>
      <w:tr w:rsidR="0083313E" w:rsidRPr="003C23CA" w:rsidTr="00E426B5">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83313E" w:rsidRPr="0083313E" w:rsidRDefault="0083313E" w:rsidP="005A3B6C">
            <w:pPr>
              <w:pStyle w:val="NormalWeb"/>
              <w:jc w:val="center"/>
              <w:rPr>
                <w:rFonts w:ascii="Arial" w:eastAsiaTheme="minorHAnsi" w:hAnsi="Arial" w:cs="Arial"/>
                <w:sz w:val="20"/>
                <w:szCs w:val="20"/>
                <w:lang w:eastAsia="en-US"/>
              </w:rPr>
            </w:pPr>
            <w:r w:rsidRPr="0083313E">
              <w:rPr>
                <w:rFonts w:ascii="Arial" w:eastAsiaTheme="minorHAnsi" w:hAnsi="Arial" w:cs="Arial"/>
                <w:sz w:val="20"/>
                <w:szCs w:val="20"/>
                <w:lang w:eastAsia="en-US"/>
              </w:rPr>
              <w:t>6</w:t>
            </w:r>
            <w:r w:rsidR="005A3B6C">
              <w:rPr>
                <w:rFonts w:ascii="Arial" w:eastAsiaTheme="minorHAnsi" w:hAnsi="Arial" w:cs="Arial"/>
                <w:sz w:val="20"/>
                <w:szCs w:val="20"/>
                <w:lang w:eastAsia="en-US"/>
              </w:rPr>
              <w:t> </w:t>
            </w:r>
            <w:r>
              <w:rPr>
                <w:rFonts w:ascii="Arial" w:eastAsiaTheme="minorHAnsi" w:hAnsi="Arial" w:cs="Arial"/>
                <w:sz w:val="20"/>
                <w:szCs w:val="20"/>
                <w:lang w:eastAsia="en-US"/>
              </w:rPr>
              <w:t>pm</w:t>
            </w:r>
          </w:p>
        </w:tc>
        <w:tc>
          <w:tcPr>
            <w:tcW w:w="516" w:type="pct"/>
            <w:vAlign w:val="center"/>
          </w:tcPr>
          <w:p w:rsidR="0083313E" w:rsidRPr="0083313E" w:rsidRDefault="0083313E">
            <w:pPr>
              <w:pStyle w:val="NormalWeb"/>
              <w:jc w:val="center"/>
              <w:rPr>
                <w:rFonts w:ascii="Arial" w:eastAsiaTheme="minorHAnsi" w:hAnsi="Arial" w:cs="Arial"/>
                <w:sz w:val="20"/>
                <w:szCs w:val="20"/>
                <w:lang w:eastAsia="en-US"/>
              </w:rPr>
            </w:pPr>
            <w:r w:rsidRPr="0083313E">
              <w:rPr>
                <w:rFonts w:ascii="Arial" w:eastAsiaTheme="minorHAnsi" w:hAnsi="Arial" w:cs="Arial"/>
                <w:sz w:val="20"/>
                <w:szCs w:val="20"/>
                <w:lang w:eastAsia="en-US"/>
              </w:rPr>
              <w:t>1909.80</w:t>
            </w:r>
          </w:p>
        </w:tc>
        <w:tc>
          <w:tcPr>
            <w:tcW w:w="533" w:type="pct"/>
            <w:vAlign w:val="center"/>
          </w:tcPr>
          <w:p w:rsidR="0083313E" w:rsidRPr="0083313E" w:rsidRDefault="0083313E">
            <w:pPr>
              <w:pStyle w:val="NormalWeb"/>
              <w:jc w:val="center"/>
              <w:rPr>
                <w:rFonts w:ascii="Arial" w:eastAsiaTheme="minorHAnsi" w:hAnsi="Arial" w:cs="Arial"/>
                <w:sz w:val="20"/>
                <w:szCs w:val="20"/>
                <w:lang w:eastAsia="en-US"/>
              </w:rPr>
            </w:pPr>
            <w:r w:rsidRPr="0083313E">
              <w:rPr>
                <w:rFonts w:ascii="Arial" w:eastAsiaTheme="minorHAnsi" w:hAnsi="Arial" w:cs="Arial"/>
                <w:sz w:val="20"/>
                <w:szCs w:val="20"/>
                <w:lang w:eastAsia="en-US"/>
              </w:rPr>
              <w:t>299.69</w:t>
            </w:r>
          </w:p>
        </w:tc>
        <w:tc>
          <w:tcPr>
            <w:tcW w:w="533" w:type="pct"/>
            <w:vAlign w:val="center"/>
          </w:tcPr>
          <w:p w:rsidR="0083313E" w:rsidRPr="0083313E" w:rsidRDefault="0083313E">
            <w:pPr>
              <w:pStyle w:val="NormalWeb"/>
              <w:jc w:val="center"/>
              <w:rPr>
                <w:rFonts w:ascii="Arial" w:eastAsiaTheme="minorHAnsi" w:hAnsi="Arial" w:cs="Arial"/>
                <w:sz w:val="20"/>
                <w:szCs w:val="20"/>
                <w:lang w:eastAsia="en-US"/>
              </w:rPr>
            </w:pPr>
            <w:r w:rsidRPr="0083313E">
              <w:rPr>
                <w:rFonts w:ascii="Arial" w:eastAsiaTheme="minorHAnsi" w:hAnsi="Arial" w:cs="Arial"/>
                <w:sz w:val="20"/>
                <w:szCs w:val="20"/>
                <w:lang w:eastAsia="en-US"/>
              </w:rPr>
              <w:t>59.99</w:t>
            </w:r>
          </w:p>
        </w:tc>
        <w:tc>
          <w:tcPr>
            <w:tcW w:w="455" w:type="pct"/>
            <w:vAlign w:val="center"/>
          </w:tcPr>
          <w:p w:rsidR="0083313E" w:rsidRPr="0083313E" w:rsidRDefault="0083313E">
            <w:pPr>
              <w:pStyle w:val="NormalWeb"/>
              <w:jc w:val="center"/>
              <w:rPr>
                <w:rFonts w:ascii="Arial" w:eastAsiaTheme="minorHAnsi" w:hAnsi="Arial" w:cs="Arial"/>
                <w:sz w:val="20"/>
                <w:szCs w:val="20"/>
                <w:lang w:eastAsia="en-US"/>
              </w:rPr>
            </w:pPr>
            <w:r w:rsidRPr="0083313E">
              <w:rPr>
                <w:rFonts w:ascii="Arial" w:eastAsiaTheme="minorHAnsi" w:hAnsi="Arial" w:cs="Arial"/>
                <w:sz w:val="20"/>
                <w:szCs w:val="20"/>
                <w:lang w:eastAsia="en-US"/>
              </w:rPr>
              <w:t>1556</w:t>
            </w:r>
          </w:p>
        </w:tc>
        <w:tc>
          <w:tcPr>
            <w:tcW w:w="456" w:type="pct"/>
            <w:vAlign w:val="center"/>
          </w:tcPr>
          <w:p w:rsidR="0083313E" w:rsidRPr="0083313E" w:rsidRDefault="0083313E">
            <w:pPr>
              <w:pStyle w:val="NormalWeb"/>
              <w:jc w:val="center"/>
              <w:rPr>
                <w:rFonts w:ascii="Arial" w:eastAsiaTheme="minorHAnsi" w:hAnsi="Arial" w:cs="Arial"/>
                <w:sz w:val="20"/>
                <w:szCs w:val="20"/>
                <w:lang w:eastAsia="en-US"/>
              </w:rPr>
            </w:pPr>
            <w:r w:rsidRPr="0083313E">
              <w:rPr>
                <w:rFonts w:ascii="Arial" w:eastAsiaTheme="minorHAnsi" w:hAnsi="Arial" w:cs="Arial"/>
                <w:sz w:val="20"/>
                <w:szCs w:val="20"/>
                <w:lang w:eastAsia="en-US"/>
              </w:rPr>
              <w:t>1480</w:t>
            </w:r>
          </w:p>
        </w:tc>
        <w:tc>
          <w:tcPr>
            <w:tcW w:w="534" w:type="pct"/>
            <w:vAlign w:val="center"/>
          </w:tcPr>
          <w:p w:rsidR="0083313E" w:rsidRPr="0083313E" w:rsidRDefault="0083313E">
            <w:pPr>
              <w:pStyle w:val="NormalWeb"/>
              <w:jc w:val="center"/>
              <w:rPr>
                <w:rFonts w:ascii="Arial" w:eastAsiaTheme="minorHAnsi" w:hAnsi="Arial" w:cs="Arial"/>
                <w:sz w:val="20"/>
                <w:szCs w:val="20"/>
                <w:lang w:eastAsia="en-US"/>
              </w:rPr>
            </w:pPr>
            <w:r w:rsidRPr="0083313E">
              <w:rPr>
                <w:rFonts w:ascii="Arial" w:eastAsiaTheme="minorHAnsi" w:hAnsi="Arial" w:cs="Arial"/>
                <w:sz w:val="20"/>
                <w:szCs w:val="20"/>
                <w:lang w:eastAsia="en-US"/>
              </w:rPr>
              <w:t>1453</w:t>
            </w:r>
          </w:p>
        </w:tc>
        <w:tc>
          <w:tcPr>
            <w:tcW w:w="532" w:type="pct"/>
            <w:vAlign w:val="center"/>
          </w:tcPr>
          <w:p w:rsidR="0083313E" w:rsidRPr="0083313E" w:rsidRDefault="0083313E">
            <w:pPr>
              <w:pStyle w:val="NormalWeb"/>
              <w:jc w:val="center"/>
              <w:rPr>
                <w:rFonts w:ascii="Arial" w:eastAsiaTheme="minorHAnsi" w:hAnsi="Arial" w:cs="Arial"/>
                <w:sz w:val="20"/>
                <w:szCs w:val="20"/>
                <w:lang w:eastAsia="en-US"/>
              </w:rPr>
            </w:pPr>
            <w:r w:rsidRPr="0083313E">
              <w:rPr>
                <w:rFonts w:ascii="Arial" w:eastAsiaTheme="minorHAnsi" w:hAnsi="Arial" w:cs="Arial"/>
                <w:sz w:val="20"/>
                <w:szCs w:val="20"/>
                <w:lang w:eastAsia="en-US"/>
              </w:rPr>
              <w:t>1618</w:t>
            </w:r>
          </w:p>
        </w:tc>
        <w:tc>
          <w:tcPr>
            <w:tcW w:w="457" w:type="pct"/>
            <w:vAlign w:val="center"/>
          </w:tcPr>
          <w:p w:rsidR="0083313E" w:rsidRPr="0083313E" w:rsidRDefault="0083313E">
            <w:pPr>
              <w:pStyle w:val="NormalWeb"/>
              <w:jc w:val="center"/>
              <w:rPr>
                <w:rFonts w:ascii="Arial" w:eastAsiaTheme="minorHAnsi" w:hAnsi="Arial" w:cs="Arial"/>
                <w:sz w:val="20"/>
                <w:szCs w:val="20"/>
                <w:lang w:eastAsia="en-US"/>
              </w:rPr>
            </w:pPr>
            <w:r w:rsidRPr="0083313E">
              <w:rPr>
                <w:rFonts w:ascii="Arial" w:eastAsiaTheme="minorHAnsi" w:hAnsi="Arial" w:cs="Arial"/>
                <w:sz w:val="20"/>
                <w:szCs w:val="20"/>
                <w:lang w:eastAsia="en-US"/>
              </w:rPr>
              <w:t>1638</w:t>
            </w:r>
          </w:p>
        </w:tc>
        <w:tc>
          <w:tcPr>
            <w:tcW w:w="453" w:type="pct"/>
            <w:vAlign w:val="center"/>
          </w:tcPr>
          <w:p w:rsidR="0083313E" w:rsidRPr="0083313E" w:rsidRDefault="0083313E">
            <w:pPr>
              <w:pStyle w:val="NormalWeb"/>
              <w:jc w:val="center"/>
              <w:rPr>
                <w:rFonts w:ascii="Arial" w:eastAsiaTheme="minorHAnsi" w:hAnsi="Arial" w:cs="Arial"/>
                <w:sz w:val="20"/>
                <w:szCs w:val="20"/>
                <w:lang w:eastAsia="en-US"/>
              </w:rPr>
            </w:pPr>
            <w:r w:rsidRPr="0083313E">
              <w:rPr>
                <w:rFonts w:ascii="Arial" w:eastAsiaTheme="minorHAnsi" w:hAnsi="Arial" w:cs="Arial"/>
                <w:sz w:val="20"/>
                <w:szCs w:val="20"/>
                <w:lang w:eastAsia="en-US"/>
              </w:rPr>
              <w:t>1822</w:t>
            </w:r>
          </w:p>
        </w:tc>
      </w:tr>
    </w:tbl>
    <w:p w:rsidR="005F4B8B" w:rsidRDefault="0083313E" w:rsidP="00637D55">
      <w:pPr>
        <w:pStyle w:val="AERbodytext"/>
      </w:pPr>
      <w:proofErr w:type="gramStart"/>
      <w:r>
        <w:t>Conditions at the time saw demand 76 MW higher than that forecast four hours ahead</w:t>
      </w:r>
      <w:r w:rsidR="004944FF">
        <w:t>.</w:t>
      </w:r>
      <w:proofErr w:type="gramEnd"/>
      <w:r w:rsidR="004944FF">
        <w:t xml:space="preserve"> </w:t>
      </w:r>
      <w:r w:rsidR="00255887">
        <w:t>Over the half hour period, w</w:t>
      </w:r>
      <w:r w:rsidR="004944FF">
        <w:t xml:space="preserve">ind </w:t>
      </w:r>
      <w:r w:rsidR="00FF3651">
        <w:t xml:space="preserve">output </w:t>
      </w:r>
      <w:r w:rsidR="004944FF">
        <w:t>was</w:t>
      </w:r>
      <w:r w:rsidR="00973867">
        <w:t xml:space="preserve"> </w:t>
      </w:r>
      <w:r w:rsidR="00255887">
        <w:t xml:space="preserve">below </w:t>
      </w:r>
      <w:r w:rsidR="00973867">
        <w:t>50 MW</w:t>
      </w:r>
      <w:r w:rsidR="00FF3651">
        <w:t>,</w:t>
      </w:r>
      <w:r w:rsidR="004944FF">
        <w:t xml:space="preserve"> </w:t>
      </w:r>
      <w:proofErr w:type="spellStart"/>
      <w:r w:rsidR="004944FF">
        <w:t>Mu</w:t>
      </w:r>
      <w:r w:rsidR="00FF3651">
        <w:t>rr</w:t>
      </w:r>
      <w:r w:rsidR="004944FF">
        <w:t>a</w:t>
      </w:r>
      <w:r w:rsidR="00FF3651">
        <w:t>ylink</w:t>
      </w:r>
      <w:proofErr w:type="spellEnd"/>
      <w:r w:rsidR="00973867">
        <w:t xml:space="preserve"> was</w:t>
      </w:r>
      <w:r w:rsidR="00FF3651">
        <w:t xml:space="preserve"> not in service and Heywood </w:t>
      </w:r>
      <w:r w:rsidR="00973867">
        <w:t xml:space="preserve">was </w:t>
      </w:r>
      <w:r w:rsidR="00FF3651">
        <w:t>importing at its</w:t>
      </w:r>
      <w:r w:rsidR="00633753">
        <w:t xml:space="preserve"> nominal</w:t>
      </w:r>
      <w:r w:rsidR="00FF3651">
        <w:t xml:space="preserve"> max</w:t>
      </w:r>
      <w:r w:rsidR="00633753">
        <w:t>imum</w:t>
      </w:r>
      <w:r w:rsidR="00973867">
        <w:t>.</w:t>
      </w:r>
      <w:r w:rsidR="00FF3651">
        <w:t xml:space="preserve"> </w:t>
      </w:r>
      <w:r w:rsidR="00973867">
        <w:t xml:space="preserve">At 5.50 pm there was only </w:t>
      </w:r>
      <w:r w:rsidR="00FE57F3">
        <w:t xml:space="preserve">around </w:t>
      </w:r>
      <w:r w:rsidR="00973867">
        <w:t>1</w:t>
      </w:r>
      <w:r w:rsidR="00FE57F3">
        <w:t>0</w:t>
      </w:r>
      <w:r w:rsidR="00973867">
        <w:t xml:space="preserve">0 MW </w:t>
      </w:r>
      <w:r w:rsidR="00FE57F3">
        <w:t xml:space="preserve">of capacity </w:t>
      </w:r>
      <w:r w:rsidR="00973867">
        <w:t>priced between $299/MW</w:t>
      </w:r>
      <w:r w:rsidR="00524D8F">
        <w:t>h</w:t>
      </w:r>
      <w:r w:rsidR="00973867">
        <w:t xml:space="preserve"> and $</w:t>
      </w:r>
      <w:r w:rsidR="00FE57F3">
        <w:t>10 400</w:t>
      </w:r>
      <w:r w:rsidR="00973867">
        <w:t>/MW</w:t>
      </w:r>
      <w:r w:rsidR="00524D8F">
        <w:t xml:space="preserve"> </w:t>
      </w:r>
      <w:r w:rsidR="00973867">
        <w:t>a</w:t>
      </w:r>
      <w:r w:rsidR="00524D8F">
        <w:t>nd</w:t>
      </w:r>
      <w:r w:rsidR="00973867">
        <w:t xml:space="preserve"> </w:t>
      </w:r>
      <w:r w:rsidR="00524D8F">
        <w:t xml:space="preserve">a </w:t>
      </w:r>
      <w:r w:rsidR="00973867">
        <w:t xml:space="preserve">number of generators at their </w:t>
      </w:r>
      <w:r w:rsidR="00973867">
        <w:lastRenderedPageBreak/>
        <w:t>max avail</w:t>
      </w:r>
      <w:r w:rsidR="00524D8F">
        <w:t>.</w:t>
      </w:r>
      <w:r w:rsidR="00973867">
        <w:t xml:space="preserve"> </w:t>
      </w:r>
      <w:r w:rsidR="00524D8F">
        <w:t>A</w:t>
      </w:r>
      <w:r w:rsidR="00973867">
        <w:t xml:space="preserve"> small increase in demand </w:t>
      </w:r>
      <w:r w:rsidR="00524D8F">
        <w:t>which had to be met by high priced generation saw</w:t>
      </w:r>
      <w:r w:rsidR="00973867">
        <w:t xml:space="preserve"> the dispatch price increase to </w:t>
      </w:r>
      <w:r w:rsidR="00FF3651">
        <w:t>$10</w:t>
      </w:r>
      <w:r w:rsidR="00973867">
        <w:t> </w:t>
      </w:r>
      <w:r w:rsidR="00FF3651">
        <w:t>549/MWh</w:t>
      </w:r>
      <w:r w:rsidR="00524D8F">
        <w:t>. Rebidding of large amounts of generation to the price floor</w:t>
      </w:r>
      <w:r w:rsidR="00633753">
        <w:t>,</w:t>
      </w:r>
      <w:r w:rsidR="00524D8F">
        <w:t xml:space="preserve"> effective from 5.55 pm</w:t>
      </w:r>
      <w:r w:rsidR="00633753">
        <w:t>,</w:t>
      </w:r>
      <w:r w:rsidR="00524D8F">
        <w:t xml:space="preserve"> saw the price decrease to around $36/MWh and remain there for the rest of the trading interval.</w:t>
      </w:r>
      <w:r w:rsidR="00FF3651">
        <w:t xml:space="preserve"> </w:t>
      </w:r>
    </w:p>
    <w:p w:rsidR="00FF3651" w:rsidRPr="00941934" w:rsidRDefault="00FF3651" w:rsidP="00FF3651">
      <w:pPr>
        <w:pStyle w:val="Heading2"/>
        <w:rPr>
          <w:rFonts w:eastAsia="Times New Roman"/>
          <w:b w:val="0"/>
          <w:bCs w:val="0"/>
          <w:lang w:eastAsia="en-AU"/>
        </w:rPr>
      </w:pPr>
      <w:r>
        <w:rPr>
          <w:rFonts w:eastAsia="Times New Roman"/>
          <w:b w:val="0"/>
          <w:bCs w:val="0"/>
          <w:lang w:eastAsia="en-AU"/>
        </w:rPr>
        <w:t>Tasmania</w:t>
      </w:r>
    </w:p>
    <w:p w:rsidR="00FF3651" w:rsidRDefault="00FF3651" w:rsidP="00FF3651">
      <w:pPr>
        <w:jc w:val="both"/>
        <w:rPr>
          <w:rFonts w:eastAsia="Times New Roman" w:cs="Arial"/>
          <w:bCs/>
          <w:lang w:eastAsia="en-AU"/>
        </w:rPr>
      </w:pPr>
      <w:r w:rsidRPr="00FF3651">
        <w:rPr>
          <w:rFonts w:eastAsia="Times New Roman" w:cs="Arial"/>
          <w:bCs/>
          <w:lang w:eastAsia="en-AU"/>
        </w:rPr>
        <w:t>There was one occasion where the spot price in Tasmania was greater than three times the Tasmania weekly average price of $33/MWh and above $250/MWh.</w:t>
      </w:r>
      <w:r w:rsidRPr="009359EF">
        <w:rPr>
          <w:rFonts w:eastAsia="Times New Roman" w:cs="Arial"/>
          <w:bCs/>
          <w:lang w:eastAsia="en-AU"/>
        </w:rPr>
        <w:t xml:space="preserve"> </w:t>
      </w:r>
    </w:p>
    <w:p w:rsidR="00FF3651" w:rsidRPr="00BC62FE" w:rsidRDefault="002474AD" w:rsidP="00FF3651">
      <w:pPr>
        <w:pStyle w:val="Heading3"/>
        <w:rPr>
          <w:rFonts w:eastAsia="Times New Roman"/>
        </w:rPr>
      </w:pPr>
      <w:r>
        <w:rPr>
          <w:rFonts w:eastAsia="Times New Roman"/>
        </w:rPr>
        <w:t>Wednes</w:t>
      </w:r>
      <w:r w:rsidR="00FF3651">
        <w:rPr>
          <w:rFonts w:eastAsia="Times New Roman"/>
        </w:rPr>
        <w:t>day</w:t>
      </w:r>
      <w:r w:rsidR="00FF3651" w:rsidRPr="00BC62FE">
        <w:rPr>
          <w:rFonts w:eastAsia="Times New Roman"/>
        </w:rPr>
        <w:t>, 1</w:t>
      </w:r>
      <w:r>
        <w:rPr>
          <w:rFonts w:eastAsia="Times New Roman"/>
        </w:rPr>
        <w:t>6</w:t>
      </w:r>
      <w:r w:rsidR="00FF3651" w:rsidRPr="00BC62FE">
        <w:rPr>
          <w:rFonts w:eastAsia="Times New Roman"/>
        </w:rPr>
        <w:t xml:space="preserve"> November </w:t>
      </w:r>
    </w:p>
    <w:tbl>
      <w:tblPr>
        <w:tblStyle w:val="AERsummarytable2"/>
        <w:tblW w:w="5043" w:type="pct"/>
        <w:tblLayout w:type="fixed"/>
        <w:tblLook w:val="04A0" w:firstRow="1" w:lastRow="0" w:firstColumn="1" w:lastColumn="0" w:noHBand="0" w:noVBand="1"/>
      </w:tblPr>
      <w:tblGrid>
        <w:gridCol w:w="990"/>
        <w:gridCol w:w="962"/>
        <w:gridCol w:w="994"/>
        <w:gridCol w:w="994"/>
        <w:gridCol w:w="848"/>
        <w:gridCol w:w="850"/>
        <w:gridCol w:w="995"/>
        <w:gridCol w:w="992"/>
        <w:gridCol w:w="852"/>
        <w:gridCol w:w="844"/>
      </w:tblGrid>
      <w:tr w:rsidR="00FF3651" w:rsidRPr="007D74C6" w:rsidTr="00E426B5">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FF3651" w:rsidRPr="007D74C6" w:rsidRDefault="00FF3651" w:rsidP="00E426B5">
            <w:pPr>
              <w:pStyle w:val="TableHeading"/>
              <w:jc w:val="center"/>
              <w:rPr>
                <w:rFonts w:cs="Arial"/>
                <w:b w:val="0"/>
                <w:sz w:val="20"/>
                <w:szCs w:val="20"/>
              </w:rPr>
            </w:pPr>
            <w:r w:rsidRPr="007D74C6">
              <w:rPr>
                <w:rFonts w:cs="Arial"/>
                <w:b w:val="0"/>
                <w:sz w:val="20"/>
                <w:szCs w:val="20"/>
              </w:rPr>
              <w:t xml:space="preserve">Time </w:t>
            </w:r>
          </w:p>
        </w:tc>
        <w:tc>
          <w:tcPr>
            <w:tcW w:w="1582" w:type="pct"/>
            <w:gridSpan w:val="3"/>
            <w:hideMark/>
          </w:tcPr>
          <w:p w:rsidR="00FF3651" w:rsidRPr="007D74C6" w:rsidRDefault="00FF3651" w:rsidP="00E426B5">
            <w:pPr>
              <w:pStyle w:val="TableHeading"/>
              <w:jc w:val="center"/>
              <w:rPr>
                <w:rFonts w:cs="Arial"/>
                <w:b w:val="0"/>
                <w:sz w:val="20"/>
                <w:szCs w:val="20"/>
              </w:rPr>
            </w:pPr>
            <w:r w:rsidRPr="007D74C6">
              <w:rPr>
                <w:rFonts w:cs="Arial"/>
                <w:b w:val="0"/>
                <w:sz w:val="20"/>
                <w:szCs w:val="20"/>
              </w:rPr>
              <w:t>Price ($/MWh)</w:t>
            </w:r>
          </w:p>
        </w:tc>
        <w:tc>
          <w:tcPr>
            <w:tcW w:w="1445" w:type="pct"/>
            <w:gridSpan w:val="3"/>
            <w:hideMark/>
          </w:tcPr>
          <w:p w:rsidR="00FF3651" w:rsidRPr="007D74C6" w:rsidRDefault="00FF3651" w:rsidP="00E426B5">
            <w:pPr>
              <w:pStyle w:val="TableHeading"/>
              <w:jc w:val="center"/>
              <w:rPr>
                <w:rFonts w:cs="Arial"/>
                <w:b w:val="0"/>
                <w:sz w:val="20"/>
                <w:szCs w:val="20"/>
              </w:rPr>
            </w:pPr>
            <w:r w:rsidRPr="007D74C6">
              <w:rPr>
                <w:rFonts w:cs="Arial"/>
                <w:b w:val="0"/>
                <w:sz w:val="20"/>
                <w:szCs w:val="20"/>
              </w:rPr>
              <w:t>Demand (MW)</w:t>
            </w:r>
          </w:p>
        </w:tc>
        <w:tc>
          <w:tcPr>
            <w:tcW w:w="1442" w:type="pct"/>
            <w:gridSpan w:val="3"/>
            <w:hideMark/>
          </w:tcPr>
          <w:p w:rsidR="00FF3651" w:rsidRPr="007D74C6" w:rsidRDefault="00FF3651" w:rsidP="00E426B5">
            <w:pPr>
              <w:pStyle w:val="TableHeading"/>
              <w:jc w:val="center"/>
              <w:rPr>
                <w:rFonts w:cs="Arial"/>
                <w:b w:val="0"/>
                <w:sz w:val="20"/>
                <w:szCs w:val="20"/>
              </w:rPr>
            </w:pPr>
            <w:r w:rsidRPr="007D74C6">
              <w:rPr>
                <w:rFonts w:cs="Arial"/>
                <w:b w:val="0"/>
                <w:sz w:val="20"/>
                <w:szCs w:val="20"/>
              </w:rPr>
              <w:t>Availability (MW)</w:t>
            </w:r>
          </w:p>
        </w:tc>
      </w:tr>
      <w:tr w:rsidR="00FF3651" w:rsidRPr="007D74C6" w:rsidTr="00E426B5">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FF3651" w:rsidRPr="007D74C6" w:rsidRDefault="00FF3651" w:rsidP="00E426B5">
            <w:pPr>
              <w:pStyle w:val="tableheadingline2"/>
              <w:rPr>
                <w:rFonts w:cs="Arial"/>
                <w:sz w:val="20"/>
                <w:szCs w:val="20"/>
              </w:rPr>
            </w:pPr>
            <w:r w:rsidRPr="007D74C6">
              <w:rPr>
                <w:rFonts w:cs="Arial"/>
                <w:sz w:val="20"/>
                <w:szCs w:val="20"/>
              </w:rPr>
              <w:t> </w:t>
            </w:r>
          </w:p>
        </w:tc>
        <w:tc>
          <w:tcPr>
            <w:tcW w:w="516" w:type="pct"/>
            <w:tcMar>
              <w:left w:w="57" w:type="dxa"/>
              <w:right w:w="57" w:type="dxa"/>
            </w:tcMar>
            <w:hideMark/>
          </w:tcPr>
          <w:p w:rsidR="00FF3651" w:rsidRPr="007D74C6" w:rsidRDefault="00FF3651" w:rsidP="00E426B5">
            <w:pPr>
              <w:pStyle w:val="tableheadingline2"/>
              <w:rPr>
                <w:rFonts w:cs="Arial"/>
                <w:sz w:val="20"/>
                <w:szCs w:val="20"/>
              </w:rPr>
            </w:pPr>
            <w:r w:rsidRPr="007D74C6">
              <w:rPr>
                <w:rFonts w:cs="Arial"/>
                <w:sz w:val="20"/>
                <w:szCs w:val="20"/>
              </w:rPr>
              <w:t>Actual</w:t>
            </w:r>
          </w:p>
        </w:tc>
        <w:tc>
          <w:tcPr>
            <w:tcW w:w="533" w:type="pct"/>
            <w:tcMar>
              <w:left w:w="57" w:type="dxa"/>
              <w:right w:w="57" w:type="dxa"/>
            </w:tcMar>
            <w:hideMark/>
          </w:tcPr>
          <w:p w:rsidR="00FF3651" w:rsidRPr="007D74C6" w:rsidRDefault="00FF3651" w:rsidP="00E426B5">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FF3651" w:rsidRPr="007D74C6" w:rsidRDefault="00FF3651" w:rsidP="00E426B5">
            <w:pPr>
              <w:pStyle w:val="tableheadingline2"/>
              <w:rPr>
                <w:rFonts w:cs="Arial"/>
                <w:sz w:val="20"/>
                <w:szCs w:val="20"/>
              </w:rPr>
            </w:pPr>
            <w:r w:rsidRPr="007D74C6">
              <w:rPr>
                <w:rFonts w:cs="Arial"/>
                <w:sz w:val="20"/>
                <w:szCs w:val="20"/>
              </w:rPr>
              <w:t>12 hr forecast</w:t>
            </w:r>
          </w:p>
        </w:tc>
        <w:tc>
          <w:tcPr>
            <w:tcW w:w="455" w:type="pct"/>
            <w:tcMar>
              <w:left w:w="57" w:type="dxa"/>
              <w:right w:w="57" w:type="dxa"/>
            </w:tcMar>
            <w:hideMark/>
          </w:tcPr>
          <w:p w:rsidR="00FF3651" w:rsidRPr="007D74C6" w:rsidRDefault="00FF3651" w:rsidP="00E426B5">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FF3651" w:rsidRPr="007D74C6" w:rsidRDefault="00FF3651" w:rsidP="00E426B5">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FF3651" w:rsidRPr="007D74C6" w:rsidRDefault="00FF3651" w:rsidP="00E426B5">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FF3651" w:rsidRPr="007D74C6" w:rsidRDefault="00FF3651" w:rsidP="00E426B5">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FF3651" w:rsidRPr="007D74C6" w:rsidRDefault="00FF3651" w:rsidP="00E426B5">
            <w:pPr>
              <w:pStyle w:val="tableheadingline2"/>
              <w:rPr>
                <w:rFonts w:cs="Arial"/>
                <w:sz w:val="20"/>
                <w:szCs w:val="20"/>
              </w:rPr>
            </w:pPr>
            <w:r w:rsidRPr="007D74C6">
              <w:rPr>
                <w:rFonts w:cs="Arial"/>
                <w:sz w:val="20"/>
                <w:szCs w:val="20"/>
              </w:rPr>
              <w:t>4 hr forecast</w:t>
            </w:r>
          </w:p>
        </w:tc>
        <w:tc>
          <w:tcPr>
            <w:tcW w:w="453" w:type="pct"/>
            <w:tcMar>
              <w:left w:w="57" w:type="dxa"/>
              <w:right w:w="57" w:type="dxa"/>
            </w:tcMar>
            <w:hideMark/>
          </w:tcPr>
          <w:p w:rsidR="00FF3651" w:rsidRPr="007D74C6" w:rsidRDefault="00FF3651" w:rsidP="00E426B5">
            <w:pPr>
              <w:pStyle w:val="tableheadingline2"/>
              <w:rPr>
                <w:rFonts w:cs="Arial"/>
                <w:sz w:val="20"/>
                <w:szCs w:val="20"/>
              </w:rPr>
            </w:pPr>
            <w:r w:rsidRPr="007D74C6">
              <w:rPr>
                <w:rFonts w:cs="Arial"/>
                <w:sz w:val="20"/>
                <w:szCs w:val="20"/>
              </w:rPr>
              <w:t>12 hr forecast</w:t>
            </w:r>
          </w:p>
        </w:tc>
      </w:tr>
      <w:tr w:rsidR="00FF3651" w:rsidRPr="003C23CA" w:rsidTr="00E426B5">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FF3651" w:rsidRPr="00FF3651" w:rsidRDefault="00FF3651" w:rsidP="005A3B6C">
            <w:pPr>
              <w:pStyle w:val="NormalWeb"/>
              <w:jc w:val="center"/>
              <w:rPr>
                <w:rFonts w:ascii="Arial" w:eastAsiaTheme="minorHAnsi" w:hAnsi="Arial" w:cs="Arial"/>
                <w:sz w:val="20"/>
                <w:szCs w:val="20"/>
                <w:lang w:eastAsia="en-US"/>
              </w:rPr>
            </w:pPr>
            <w:r w:rsidRPr="00FF3651">
              <w:rPr>
                <w:rFonts w:ascii="Arial" w:eastAsiaTheme="minorHAnsi" w:hAnsi="Arial" w:cs="Arial"/>
                <w:sz w:val="20"/>
                <w:szCs w:val="20"/>
                <w:lang w:eastAsia="en-US"/>
              </w:rPr>
              <w:t xml:space="preserve">1 </w:t>
            </w:r>
            <w:r>
              <w:rPr>
                <w:rFonts w:ascii="Arial" w:eastAsiaTheme="minorHAnsi" w:hAnsi="Arial" w:cs="Arial"/>
                <w:sz w:val="20"/>
                <w:szCs w:val="20"/>
                <w:lang w:eastAsia="en-US"/>
              </w:rPr>
              <w:t>am</w:t>
            </w:r>
          </w:p>
        </w:tc>
        <w:tc>
          <w:tcPr>
            <w:tcW w:w="516" w:type="pct"/>
            <w:vAlign w:val="center"/>
          </w:tcPr>
          <w:p w:rsidR="00FF3651" w:rsidRPr="00FF3651" w:rsidRDefault="00FF3651">
            <w:pPr>
              <w:pStyle w:val="NormalWeb"/>
              <w:jc w:val="center"/>
              <w:rPr>
                <w:rFonts w:ascii="Arial" w:eastAsiaTheme="minorHAnsi" w:hAnsi="Arial" w:cs="Arial"/>
                <w:sz w:val="20"/>
                <w:szCs w:val="20"/>
                <w:lang w:eastAsia="en-US"/>
              </w:rPr>
            </w:pPr>
            <w:r w:rsidRPr="00FF3651">
              <w:rPr>
                <w:rFonts w:ascii="Arial" w:eastAsiaTheme="minorHAnsi" w:hAnsi="Arial" w:cs="Arial"/>
                <w:sz w:val="20"/>
                <w:szCs w:val="20"/>
                <w:lang w:eastAsia="en-US"/>
              </w:rPr>
              <w:t>349.11</w:t>
            </w:r>
          </w:p>
        </w:tc>
        <w:tc>
          <w:tcPr>
            <w:tcW w:w="533" w:type="pct"/>
            <w:vAlign w:val="center"/>
          </w:tcPr>
          <w:p w:rsidR="00FF3651" w:rsidRPr="00FF3651" w:rsidRDefault="00FF3651">
            <w:pPr>
              <w:pStyle w:val="NormalWeb"/>
              <w:jc w:val="center"/>
              <w:rPr>
                <w:rFonts w:ascii="Arial" w:eastAsiaTheme="minorHAnsi" w:hAnsi="Arial" w:cs="Arial"/>
                <w:sz w:val="20"/>
                <w:szCs w:val="20"/>
                <w:lang w:eastAsia="en-US"/>
              </w:rPr>
            </w:pPr>
            <w:r w:rsidRPr="00FF3651">
              <w:rPr>
                <w:rFonts w:ascii="Arial" w:eastAsiaTheme="minorHAnsi" w:hAnsi="Arial" w:cs="Arial"/>
                <w:sz w:val="20"/>
                <w:szCs w:val="20"/>
                <w:lang w:eastAsia="en-US"/>
              </w:rPr>
              <w:t>29.38</w:t>
            </w:r>
          </w:p>
        </w:tc>
        <w:tc>
          <w:tcPr>
            <w:tcW w:w="533" w:type="pct"/>
            <w:vAlign w:val="center"/>
          </w:tcPr>
          <w:p w:rsidR="00FF3651" w:rsidRPr="00FF3651" w:rsidRDefault="00FF3651">
            <w:pPr>
              <w:pStyle w:val="NormalWeb"/>
              <w:jc w:val="center"/>
              <w:rPr>
                <w:rFonts w:ascii="Arial" w:eastAsiaTheme="minorHAnsi" w:hAnsi="Arial" w:cs="Arial"/>
                <w:sz w:val="20"/>
                <w:szCs w:val="20"/>
                <w:lang w:eastAsia="en-US"/>
              </w:rPr>
            </w:pPr>
            <w:r w:rsidRPr="00FF3651">
              <w:rPr>
                <w:rFonts w:ascii="Arial" w:eastAsiaTheme="minorHAnsi" w:hAnsi="Arial" w:cs="Arial"/>
                <w:sz w:val="20"/>
                <w:szCs w:val="20"/>
                <w:lang w:eastAsia="en-US"/>
              </w:rPr>
              <w:t>25.14</w:t>
            </w:r>
          </w:p>
        </w:tc>
        <w:tc>
          <w:tcPr>
            <w:tcW w:w="455" w:type="pct"/>
            <w:vAlign w:val="center"/>
          </w:tcPr>
          <w:p w:rsidR="00FF3651" w:rsidRPr="00FF3651" w:rsidRDefault="00FF3651">
            <w:pPr>
              <w:pStyle w:val="NormalWeb"/>
              <w:jc w:val="center"/>
              <w:rPr>
                <w:rFonts w:ascii="Arial" w:eastAsiaTheme="minorHAnsi" w:hAnsi="Arial" w:cs="Arial"/>
                <w:sz w:val="20"/>
                <w:szCs w:val="20"/>
                <w:lang w:eastAsia="en-US"/>
              </w:rPr>
            </w:pPr>
            <w:r w:rsidRPr="00FF3651">
              <w:rPr>
                <w:rFonts w:ascii="Arial" w:eastAsiaTheme="minorHAnsi" w:hAnsi="Arial" w:cs="Arial"/>
                <w:sz w:val="20"/>
                <w:szCs w:val="20"/>
                <w:lang w:eastAsia="en-US"/>
              </w:rPr>
              <w:t>978</w:t>
            </w:r>
          </w:p>
        </w:tc>
        <w:tc>
          <w:tcPr>
            <w:tcW w:w="456" w:type="pct"/>
            <w:vAlign w:val="center"/>
          </w:tcPr>
          <w:p w:rsidR="00FF3651" w:rsidRPr="00FF3651" w:rsidRDefault="00FF3651">
            <w:pPr>
              <w:pStyle w:val="NormalWeb"/>
              <w:jc w:val="center"/>
              <w:rPr>
                <w:rFonts w:ascii="Arial" w:eastAsiaTheme="minorHAnsi" w:hAnsi="Arial" w:cs="Arial"/>
                <w:sz w:val="20"/>
                <w:szCs w:val="20"/>
                <w:lang w:eastAsia="en-US"/>
              </w:rPr>
            </w:pPr>
            <w:r w:rsidRPr="00FF3651">
              <w:rPr>
                <w:rFonts w:ascii="Arial" w:eastAsiaTheme="minorHAnsi" w:hAnsi="Arial" w:cs="Arial"/>
                <w:sz w:val="20"/>
                <w:szCs w:val="20"/>
                <w:lang w:eastAsia="en-US"/>
              </w:rPr>
              <w:t>961</w:t>
            </w:r>
          </w:p>
        </w:tc>
        <w:tc>
          <w:tcPr>
            <w:tcW w:w="534" w:type="pct"/>
            <w:vAlign w:val="center"/>
          </w:tcPr>
          <w:p w:rsidR="00FF3651" w:rsidRPr="00FF3651" w:rsidRDefault="00FF3651">
            <w:pPr>
              <w:pStyle w:val="NormalWeb"/>
              <w:jc w:val="center"/>
              <w:rPr>
                <w:rFonts w:ascii="Arial" w:eastAsiaTheme="minorHAnsi" w:hAnsi="Arial" w:cs="Arial"/>
                <w:sz w:val="20"/>
                <w:szCs w:val="20"/>
                <w:lang w:eastAsia="en-US"/>
              </w:rPr>
            </w:pPr>
            <w:r w:rsidRPr="00FF3651">
              <w:rPr>
                <w:rFonts w:ascii="Arial" w:eastAsiaTheme="minorHAnsi" w:hAnsi="Arial" w:cs="Arial"/>
                <w:sz w:val="20"/>
                <w:szCs w:val="20"/>
                <w:lang w:eastAsia="en-US"/>
              </w:rPr>
              <w:t>944</w:t>
            </w:r>
          </w:p>
        </w:tc>
        <w:tc>
          <w:tcPr>
            <w:tcW w:w="532" w:type="pct"/>
            <w:vAlign w:val="center"/>
          </w:tcPr>
          <w:p w:rsidR="00FF3651" w:rsidRPr="00FF3651" w:rsidRDefault="00FF3651">
            <w:pPr>
              <w:pStyle w:val="NormalWeb"/>
              <w:jc w:val="center"/>
              <w:rPr>
                <w:rFonts w:ascii="Arial" w:eastAsiaTheme="minorHAnsi" w:hAnsi="Arial" w:cs="Arial"/>
                <w:sz w:val="20"/>
                <w:szCs w:val="20"/>
                <w:lang w:eastAsia="en-US"/>
              </w:rPr>
            </w:pPr>
            <w:r w:rsidRPr="00FF3651">
              <w:rPr>
                <w:rFonts w:ascii="Arial" w:eastAsiaTheme="minorHAnsi" w:hAnsi="Arial" w:cs="Arial"/>
                <w:sz w:val="20"/>
                <w:szCs w:val="20"/>
                <w:lang w:eastAsia="en-US"/>
              </w:rPr>
              <w:t>2324</w:t>
            </w:r>
          </w:p>
        </w:tc>
        <w:tc>
          <w:tcPr>
            <w:tcW w:w="457" w:type="pct"/>
            <w:vAlign w:val="center"/>
          </w:tcPr>
          <w:p w:rsidR="00FF3651" w:rsidRPr="00FF3651" w:rsidRDefault="00FF3651">
            <w:pPr>
              <w:pStyle w:val="NormalWeb"/>
              <w:jc w:val="center"/>
              <w:rPr>
                <w:rFonts w:ascii="Arial" w:eastAsiaTheme="minorHAnsi" w:hAnsi="Arial" w:cs="Arial"/>
                <w:sz w:val="20"/>
                <w:szCs w:val="20"/>
                <w:lang w:eastAsia="en-US"/>
              </w:rPr>
            </w:pPr>
            <w:r w:rsidRPr="00FF3651">
              <w:rPr>
                <w:rFonts w:ascii="Arial" w:eastAsiaTheme="minorHAnsi" w:hAnsi="Arial" w:cs="Arial"/>
                <w:sz w:val="20"/>
                <w:szCs w:val="20"/>
                <w:lang w:eastAsia="en-US"/>
              </w:rPr>
              <w:t>2328</w:t>
            </w:r>
          </w:p>
        </w:tc>
        <w:tc>
          <w:tcPr>
            <w:tcW w:w="453" w:type="pct"/>
            <w:vAlign w:val="center"/>
          </w:tcPr>
          <w:p w:rsidR="00FF3651" w:rsidRPr="00FF3651" w:rsidRDefault="00FF3651">
            <w:pPr>
              <w:pStyle w:val="NormalWeb"/>
              <w:jc w:val="center"/>
              <w:rPr>
                <w:rFonts w:ascii="Arial" w:eastAsiaTheme="minorHAnsi" w:hAnsi="Arial" w:cs="Arial"/>
                <w:sz w:val="20"/>
                <w:szCs w:val="20"/>
                <w:lang w:eastAsia="en-US"/>
              </w:rPr>
            </w:pPr>
            <w:r w:rsidRPr="00FF3651">
              <w:rPr>
                <w:rFonts w:ascii="Arial" w:eastAsiaTheme="minorHAnsi" w:hAnsi="Arial" w:cs="Arial"/>
                <w:sz w:val="20"/>
                <w:szCs w:val="20"/>
                <w:lang w:eastAsia="en-US"/>
              </w:rPr>
              <w:t>2323</w:t>
            </w:r>
          </w:p>
        </w:tc>
      </w:tr>
    </w:tbl>
    <w:p w:rsidR="00487021" w:rsidRDefault="00FF3651" w:rsidP="00637D55">
      <w:pPr>
        <w:pStyle w:val="AERbodytext"/>
      </w:pPr>
      <w:r>
        <w:t xml:space="preserve">Conditions at the time saw demand and availability close to that forecast four hours ahead. </w:t>
      </w:r>
    </w:p>
    <w:p w:rsidR="00B92890" w:rsidRPr="00B92890" w:rsidRDefault="00487021" w:rsidP="00637D55">
      <w:pPr>
        <w:pStyle w:val="AERbodytext"/>
      </w:pPr>
      <w:r>
        <w:t xml:space="preserve">A constraint managing an outage in New South Wales </w:t>
      </w:r>
      <w:r w:rsidR="00507A9B">
        <w:t xml:space="preserve">was </w:t>
      </w:r>
      <w:r>
        <w:t>forc</w:t>
      </w:r>
      <w:r w:rsidR="00507A9B">
        <w:t>ing</w:t>
      </w:r>
      <w:r>
        <w:t xml:space="preserve"> </w:t>
      </w:r>
      <w:r w:rsidR="00507A9B">
        <w:t xml:space="preserve">flow across </w:t>
      </w:r>
      <w:proofErr w:type="spellStart"/>
      <w:r w:rsidR="00507A9B">
        <w:t>Basslink</w:t>
      </w:r>
      <w:proofErr w:type="spellEnd"/>
      <w:r w:rsidR="00507A9B">
        <w:t xml:space="preserve"> from Tasmania into Victoria. </w:t>
      </w:r>
      <w:r w:rsidR="000607B5">
        <w:t xml:space="preserve">At 12.23 pm, effective from 12.30 pm, </w:t>
      </w:r>
      <w:r w:rsidR="00B92890">
        <w:t xml:space="preserve">Hydro Tasmania </w:t>
      </w:r>
      <w:r w:rsidR="000607B5">
        <w:t>re</w:t>
      </w:r>
      <w:r w:rsidR="00B92890">
        <w:t xml:space="preserve">bid </w:t>
      </w:r>
      <w:r w:rsidR="000607B5">
        <w:t>350</w:t>
      </w:r>
      <w:r w:rsidR="00B92890">
        <w:t> MW of generation from</w:t>
      </w:r>
      <w:r w:rsidR="000607B5">
        <w:t xml:space="preserve"> less than</w:t>
      </w:r>
      <w:r w:rsidR="00B92890">
        <w:t xml:space="preserve"> $122/MWh to $349/MWh</w:t>
      </w:r>
      <w:r w:rsidR="000607B5">
        <w:t>. With much of the local generation trapped or stranded in FCAS</w:t>
      </w:r>
      <w:r w:rsidR="00511552">
        <w:t>,</w:t>
      </w:r>
      <w:r w:rsidR="000607B5">
        <w:t xml:space="preserve"> </w:t>
      </w:r>
      <w:r w:rsidR="00B92890">
        <w:t xml:space="preserve">demand could only be met with </w:t>
      </w:r>
      <w:r w:rsidR="003B31B2">
        <w:t xml:space="preserve">higher priced </w:t>
      </w:r>
      <w:r w:rsidR="00B92890">
        <w:t>generation</w:t>
      </w:r>
      <w:r w:rsidR="003B31B2">
        <w:t>.</w:t>
      </w:r>
      <w:r w:rsidR="000607B5">
        <w:t xml:space="preserve"> This saw the price stay around $350/MWh for the entire trading interval.</w:t>
      </w:r>
    </w:p>
    <w:p w:rsidR="00B92890" w:rsidRDefault="00B92890" w:rsidP="00B92890">
      <w:pPr>
        <w:pStyle w:val="Caption"/>
      </w:pPr>
      <w:r>
        <w:t xml:space="preserve">Table </w:t>
      </w:r>
      <w:r w:rsidR="00CC1B19">
        <w:fldChar w:fldCharType="begin"/>
      </w:r>
      <w:r w:rsidR="00CC1B19">
        <w:instrText xml:space="preserve"> SEQ Table \* ARABIC </w:instrText>
      </w:r>
      <w:r w:rsidR="00CC1B19">
        <w:fldChar w:fldCharType="separate"/>
      </w:r>
      <w:r w:rsidR="007A5525">
        <w:rPr>
          <w:noProof/>
        </w:rPr>
        <w:t>7</w:t>
      </w:r>
      <w:r w:rsidR="00CC1B19">
        <w:rPr>
          <w:noProof/>
        </w:rPr>
        <w:fldChar w:fldCharType="end"/>
      </w:r>
      <w:r w:rsidR="003B31B2">
        <w:t>:</w:t>
      </w:r>
      <w:r w:rsidR="003B31B2" w:rsidRPr="00B92890">
        <w:rPr>
          <w:rFonts w:asciiTheme="minorHAnsi" w:hAnsiTheme="minorHAnsi" w:cstheme="minorHAnsi"/>
        </w:rPr>
        <w:t xml:space="preserve"> </w:t>
      </w:r>
      <w:r w:rsidR="003B31B2">
        <w:rPr>
          <w:rFonts w:asciiTheme="minorHAnsi" w:hAnsiTheme="minorHAnsi" w:cstheme="minorHAnsi"/>
        </w:rPr>
        <w:t>Relevant rebidding in Tasmania for the 1 </w:t>
      </w:r>
      <w:proofErr w:type="gramStart"/>
      <w:r w:rsidR="003B31B2">
        <w:rPr>
          <w:rFonts w:asciiTheme="minorHAnsi" w:hAnsiTheme="minorHAnsi" w:cstheme="minorHAnsi"/>
        </w:rPr>
        <w:t>am</w:t>
      </w:r>
      <w:proofErr w:type="gramEnd"/>
      <w:r w:rsidR="003B31B2">
        <w:rPr>
          <w:rFonts w:asciiTheme="minorHAnsi" w:hAnsiTheme="minorHAnsi" w:cstheme="minorHAnsi"/>
        </w:rPr>
        <w:t xml:space="preserve"> trading interval</w:t>
      </w:r>
    </w:p>
    <w:tbl>
      <w:tblPr>
        <w:tblStyle w:val="AERsummarytable"/>
        <w:tblpPr w:leftFromText="180" w:rightFromText="180" w:vertAnchor="text" w:horzAnchor="margin" w:tblpY="155"/>
        <w:tblW w:w="0" w:type="auto"/>
        <w:tblLook w:val="04A0" w:firstRow="1" w:lastRow="0" w:firstColumn="1" w:lastColumn="0" w:noHBand="0" w:noVBand="1"/>
      </w:tblPr>
      <w:tblGrid>
        <w:gridCol w:w="1117"/>
        <w:gridCol w:w="967"/>
        <w:gridCol w:w="1222"/>
        <w:gridCol w:w="839"/>
        <w:gridCol w:w="739"/>
        <w:gridCol w:w="1003"/>
        <w:gridCol w:w="1003"/>
        <w:gridCol w:w="2352"/>
      </w:tblGrid>
      <w:tr w:rsidR="00B92890" w:rsidRPr="009536D5" w:rsidTr="00DF70E5">
        <w:trPr>
          <w:cnfStyle w:val="100000000000" w:firstRow="1" w:lastRow="0" w:firstColumn="0" w:lastColumn="0" w:oddVBand="0" w:evenVBand="0" w:oddHBand="0" w:evenHBand="0" w:firstRowFirstColumn="0" w:firstRowLastColumn="0" w:lastRowFirstColumn="0" w:lastRowLastColumn="0"/>
          <w:trHeight w:val="208"/>
          <w:tblHeader/>
        </w:trPr>
        <w:tc>
          <w:tcPr>
            <w:tcW w:w="0" w:type="auto"/>
            <w:hideMark/>
          </w:tcPr>
          <w:p w:rsidR="00B92890" w:rsidRPr="009536D5" w:rsidRDefault="00B92890" w:rsidP="00DF70E5">
            <w:pPr>
              <w:pStyle w:val="tableheadingline2"/>
              <w:rPr>
                <w:rFonts w:cs="Arial"/>
                <w:sz w:val="20"/>
                <w:szCs w:val="20"/>
              </w:rPr>
            </w:pPr>
            <w:r w:rsidRPr="009536D5">
              <w:rPr>
                <w:rFonts w:cs="Arial"/>
                <w:sz w:val="20"/>
                <w:szCs w:val="20"/>
              </w:rPr>
              <w:t>Submitted</w:t>
            </w:r>
            <w:r w:rsidRPr="009536D5">
              <w:rPr>
                <w:rFonts w:cs="Arial"/>
                <w:sz w:val="20"/>
                <w:szCs w:val="20"/>
              </w:rPr>
              <w:br/>
              <w:t>time</w:t>
            </w:r>
          </w:p>
        </w:tc>
        <w:tc>
          <w:tcPr>
            <w:tcW w:w="0" w:type="auto"/>
            <w:hideMark/>
          </w:tcPr>
          <w:p w:rsidR="00B92890" w:rsidRPr="009536D5" w:rsidRDefault="00B92890" w:rsidP="00DF70E5">
            <w:pPr>
              <w:pStyle w:val="tableheadingline2"/>
              <w:rPr>
                <w:rFonts w:cs="Arial"/>
                <w:sz w:val="20"/>
                <w:szCs w:val="20"/>
              </w:rPr>
            </w:pPr>
            <w:r w:rsidRPr="009536D5">
              <w:rPr>
                <w:rFonts w:cs="Arial"/>
                <w:sz w:val="20"/>
                <w:szCs w:val="20"/>
              </w:rPr>
              <w:t>Time</w:t>
            </w:r>
            <w:r w:rsidRPr="009536D5">
              <w:rPr>
                <w:rFonts w:cs="Arial"/>
                <w:sz w:val="20"/>
                <w:szCs w:val="20"/>
              </w:rPr>
              <w:br/>
              <w:t>effective</w:t>
            </w:r>
          </w:p>
        </w:tc>
        <w:tc>
          <w:tcPr>
            <w:tcW w:w="0" w:type="auto"/>
            <w:hideMark/>
          </w:tcPr>
          <w:p w:rsidR="00B92890" w:rsidRPr="009536D5" w:rsidRDefault="00B92890" w:rsidP="00DF70E5">
            <w:pPr>
              <w:pStyle w:val="tableheadingline2"/>
              <w:rPr>
                <w:rFonts w:cs="Arial"/>
                <w:sz w:val="20"/>
                <w:szCs w:val="20"/>
              </w:rPr>
            </w:pPr>
            <w:r w:rsidRPr="009536D5">
              <w:rPr>
                <w:rFonts w:cs="Arial"/>
                <w:sz w:val="20"/>
                <w:szCs w:val="20"/>
              </w:rPr>
              <w:t>Participant</w:t>
            </w:r>
          </w:p>
        </w:tc>
        <w:tc>
          <w:tcPr>
            <w:tcW w:w="0" w:type="auto"/>
            <w:hideMark/>
          </w:tcPr>
          <w:p w:rsidR="00B92890" w:rsidRPr="009536D5" w:rsidRDefault="00B92890" w:rsidP="00DF70E5">
            <w:pPr>
              <w:pStyle w:val="tableheadingline2"/>
              <w:rPr>
                <w:rFonts w:cs="Arial"/>
                <w:sz w:val="20"/>
                <w:szCs w:val="20"/>
              </w:rPr>
            </w:pPr>
            <w:r w:rsidRPr="009536D5">
              <w:rPr>
                <w:rFonts w:cs="Arial"/>
                <w:sz w:val="20"/>
                <w:szCs w:val="20"/>
              </w:rPr>
              <w:t>Station</w:t>
            </w:r>
          </w:p>
        </w:tc>
        <w:tc>
          <w:tcPr>
            <w:tcW w:w="0" w:type="auto"/>
            <w:hideMark/>
          </w:tcPr>
          <w:p w:rsidR="00B92890" w:rsidRPr="009536D5" w:rsidRDefault="00833A38" w:rsidP="00833A38">
            <w:pPr>
              <w:pStyle w:val="tableheadingline2"/>
              <w:rPr>
                <w:rFonts w:cs="Arial"/>
                <w:sz w:val="20"/>
                <w:szCs w:val="20"/>
              </w:rPr>
            </w:pPr>
            <w:r>
              <w:rPr>
                <w:rFonts w:cs="Arial"/>
                <w:sz w:val="20"/>
                <w:szCs w:val="20"/>
              </w:rPr>
              <w:t>R</w:t>
            </w:r>
            <w:r w:rsidR="00B92890" w:rsidRPr="009536D5">
              <w:rPr>
                <w:rFonts w:cs="Arial"/>
                <w:sz w:val="20"/>
                <w:szCs w:val="20"/>
              </w:rPr>
              <w:t>ebid</w:t>
            </w:r>
            <w:r w:rsidR="00B92890" w:rsidRPr="009536D5">
              <w:rPr>
                <w:rFonts w:cs="Arial"/>
                <w:sz w:val="20"/>
                <w:szCs w:val="20"/>
              </w:rPr>
              <w:br/>
              <w:t>(MW)</w:t>
            </w:r>
          </w:p>
        </w:tc>
        <w:tc>
          <w:tcPr>
            <w:tcW w:w="0" w:type="auto"/>
            <w:hideMark/>
          </w:tcPr>
          <w:p w:rsidR="00B92890" w:rsidRPr="009536D5" w:rsidRDefault="00B92890" w:rsidP="00DF70E5">
            <w:pPr>
              <w:pStyle w:val="tableheadingline2"/>
              <w:rPr>
                <w:rFonts w:cs="Arial"/>
                <w:sz w:val="20"/>
                <w:szCs w:val="20"/>
              </w:rPr>
            </w:pPr>
            <w:r>
              <w:rPr>
                <w:rFonts w:cs="Arial"/>
                <w:sz w:val="20"/>
                <w:szCs w:val="20"/>
              </w:rPr>
              <w:t>From</w:t>
            </w:r>
            <w:r>
              <w:rPr>
                <w:rFonts w:cs="Arial"/>
                <w:sz w:val="20"/>
                <w:szCs w:val="20"/>
              </w:rPr>
              <w:br/>
              <w:t>(</w:t>
            </w:r>
            <w:r w:rsidR="00166840" w:rsidRPr="009536D5">
              <w:rPr>
                <w:rFonts w:cs="Arial"/>
                <w:sz w:val="20"/>
                <w:szCs w:val="20"/>
              </w:rPr>
              <w:t>(</w:t>
            </w:r>
            <w:r w:rsidR="00166840">
              <w:rPr>
                <w:rFonts w:cs="Arial"/>
                <w:sz w:val="20"/>
                <w:szCs w:val="20"/>
              </w:rPr>
              <w:t>$/</w:t>
            </w:r>
            <w:r w:rsidR="00166840" w:rsidRPr="009536D5">
              <w:rPr>
                <w:rFonts w:cs="Arial"/>
                <w:sz w:val="20"/>
                <w:szCs w:val="20"/>
              </w:rPr>
              <w:t>MW</w:t>
            </w:r>
            <w:r w:rsidR="00166840">
              <w:rPr>
                <w:rFonts w:cs="Arial"/>
                <w:sz w:val="20"/>
                <w:szCs w:val="20"/>
              </w:rPr>
              <w:t>h</w:t>
            </w:r>
            <w:r w:rsidR="00166840" w:rsidDel="00166840">
              <w:rPr>
                <w:rFonts w:cs="Arial"/>
                <w:sz w:val="20"/>
                <w:szCs w:val="20"/>
              </w:rPr>
              <w:t xml:space="preserve"> </w:t>
            </w:r>
            <w:r w:rsidRPr="009536D5">
              <w:rPr>
                <w:rFonts w:cs="Arial"/>
                <w:sz w:val="20"/>
                <w:szCs w:val="20"/>
              </w:rPr>
              <w:t>)</w:t>
            </w:r>
          </w:p>
        </w:tc>
        <w:tc>
          <w:tcPr>
            <w:tcW w:w="0" w:type="auto"/>
            <w:hideMark/>
          </w:tcPr>
          <w:p w:rsidR="00B92890" w:rsidRPr="009536D5" w:rsidRDefault="00B92890" w:rsidP="00DF70E5">
            <w:pPr>
              <w:pStyle w:val="tableheadingline2"/>
              <w:rPr>
                <w:rFonts w:cs="Arial"/>
                <w:sz w:val="20"/>
                <w:szCs w:val="20"/>
              </w:rPr>
            </w:pPr>
            <w:r>
              <w:rPr>
                <w:rFonts w:cs="Arial"/>
                <w:sz w:val="20"/>
                <w:szCs w:val="20"/>
              </w:rPr>
              <w:t>To</w:t>
            </w:r>
            <w:r>
              <w:rPr>
                <w:rFonts w:cs="Arial"/>
                <w:sz w:val="20"/>
                <w:szCs w:val="20"/>
              </w:rPr>
              <w:br/>
              <w:t>(</w:t>
            </w:r>
            <w:r w:rsidR="00166840" w:rsidRPr="009536D5">
              <w:rPr>
                <w:rFonts w:cs="Arial"/>
                <w:sz w:val="20"/>
                <w:szCs w:val="20"/>
              </w:rPr>
              <w:t>(</w:t>
            </w:r>
            <w:r w:rsidR="00166840">
              <w:rPr>
                <w:rFonts w:cs="Arial"/>
                <w:sz w:val="20"/>
                <w:szCs w:val="20"/>
              </w:rPr>
              <w:t>$/</w:t>
            </w:r>
            <w:r w:rsidR="00166840" w:rsidRPr="009536D5">
              <w:rPr>
                <w:rFonts w:cs="Arial"/>
                <w:sz w:val="20"/>
                <w:szCs w:val="20"/>
              </w:rPr>
              <w:t>MW</w:t>
            </w:r>
            <w:r w:rsidR="00166840">
              <w:rPr>
                <w:rFonts w:cs="Arial"/>
                <w:sz w:val="20"/>
                <w:szCs w:val="20"/>
              </w:rPr>
              <w:t>h</w:t>
            </w:r>
            <w:r w:rsidR="00166840" w:rsidDel="00166840">
              <w:rPr>
                <w:rFonts w:cs="Arial"/>
                <w:sz w:val="20"/>
                <w:szCs w:val="20"/>
              </w:rPr>
              <w:t xml:space="preserve"> </w:t>
            </w:r>
            <w:r w:rsidRPr="009536D5">
              <w:rPr>
                <w:rFonts w:cs="Arial"/>
                <w:sz w:val="20"/>
                <w:szCs w:val="20"/>
              </w:rPr>
              <w:t>)</w:t>
            </w:r>
          </w:p>
        </w:tc>
        <w:tc>
          <w:tcPr>
            <w:tcW w:w="0" w:type="auto"/>
            <w:hideMark/>
          </w:tcPr>
          <w:p w:rsidR="00B92890" w:rsidRPr="009536D5" w:rsidRDefault="00B92890" w:rsidP="00DF70E5">
            <w:pPr>
              <w:pStyle w:val="tableheadingline2"/>
              <w:rPr>
                <w:rFonts w:cs="Arial"/>
                <w:sz w:val="20"/>
                <w:szCs w:val="20"/>
              </w:rPr>
            </w:pPr>
            <w:r w:rsidRPr="009536D5">
              <w:rPr>
                <w:rFonts w:cs="Arial"/>
                <w:sz w:val="20"/>
                <w:szCs w:val="20"/>
              </w:rPr>
              <w:t>Rebid reason</w:t>
            </w:r>
          </w:p>
        </w:tc>
      </w:tr>
      <w:tr w:rsidR="003B31B2" w:rsidRPr="009536D5" w:rsidTr="00DF70E5">
        <w:trPr>
          <w:cnfStyle w:val="000000100000" w:firstRow="0" w:lastRow="0" w:firstColumn="0" w:lastColumn="0" w:oddVBand="0" w:evenVBand="0" w:oddHBand="1" w:evenHBand="0" w:firstRowFirstColumn="0" w:firstRowLastColumn="0" w:lastRowFirstColumn="0" w:lastRowLastColumn="0"/>
          <w:trHeight w:val="577"/>
        </w:trPr>
        <w:tc>
          <w:tcPr>
            <w:tcW w:w="0" w:type="auto"/>
            <w:vAlign w:val="center"/>
          </w:tcPr>
          <w:p w:rsidR="003B31B2" w:rsidRDefault="003B31B2">
            <w:pPr>
              <w:jc w:val="center"/>
              <w:textAlignment w:val="center"/>
              <w:rPr>
                <w:rFonts w:cs="Arial"/>
                <w:color w:val="000000"/>
                <w:szCs w:val="18"/>
              </w:rPr>
            </w:pPr>
            <w:r>
              <w:rPr>
                <w:rFonts w:cs="Arial"/>
                <w:color w:val="000000"/>
                <w:szCs w:val="18"/>
              </w:rPr>
              <w:t>12.23 am</w:t>
            </w:r>
          </w:p>
        </w:tc>
        <w:tc>
          <w:tcPr>
            <w:tcW w:w="0" w:type="auto"/>
            <w:vAlign w:val="center"/>
          </w:tcPr>
          <w:p w:rsidR="003B31B2" w:rsidRDefault="003B31B2">
            <w:pPr>
              <w:jc w:val="center"/>
              <w:rPr>
                <w:sz w:val="24"/>
                <w:szCs w:val="24"/>
              </w:rPr>
            </w:pPr>
            <w:r>
              <w:t>12.30 am</w:t>
            </w:r>
          </w:p>
        </w:tc>
        <w:tc>
          <w:tcPr>
            <w:tcW w:w="0" w:type="auto"/>
            <w:vAlign w:val="center"/>
          </w:tcPr>
          <w:p w:rsidR="003B31B2" w:rsidRDefault="003B31B2">
            <w:pPr>
              <w:textAlignment w:val="center"/>
              <w:rPr>
                <w:rFonts w:cs="Arial"/>
                <w:color w:val="000000"/>
                <w:szCs w:val="18"/>
              </w:rPr>
            </w:pPr>
            <w:r>
              <w:rPr>
                <w:rFonts w:cs="Arial"/>
                <w:color w:val="000000"/>
                <w:szCs w:val="18"/>
              </w:rPr>
              <w:t>Hydro Tasmania</w:t>
            </w:r>
          </w:p>
        </w:tc>
        <w:tc>
          <w:tcPr>
            <w:tcW w:w="0" w:type="auto"/>
            <w:vAlign w:val="center"/>
          </w:tcPr>
          <w:p w:rsidR="003B31B2" w:rsidRDefault="003B31B2">
            <w:pPr>
              <w:textAlignment w:val="center"/>
              <w:rPr>
                <w:rFonts w:cs="Arial"/>
                <w:color w:val="000000"/>
                <w:szCs w:val="18"/>
              </w:rPr>
            </w:pPr>
            <w:r>
              <w:rPr>
                <w:rFonts w:cs="Arial"/>
                <w:color w:val="000000"/>
                <w:szCs w:val="18"/>
              </w:rPr>
              <w:t>Gordon</w:t>
            </w:r>
          </w:p>
        </w:tc>
        <w:tc>
          <w:tcPr>
            <w:tcW w:w="0" w:type="auto"/>
            <w:vAlign w:val="center"/>
          </w:tcPr>
          <w:p w:rsidR="003B31B2" w:rsidRDefault="003B31B2">
            <w:pPr>
              <w:jc w:val="center"/>
              <w:textAlignment w:val="center"/>
              <w:rPr>
                <w:rFonts w:cs="Arial"/>
                <w:color w:val="000000"/>
                <w:szCs w:val="18"/>
              </w:rPr>
            </w:pPr>
            <w:r>
              <w:rPr>
                <w:rFonts w:cs="Arial"/>
                <w:color w:val="000000"/>
                <w:szCs w:val="18"/>
              </w:rPr>
              <w:t>350</w:t>
            </w:r>
          </w:p>
        </w:tc>
        <w:tc>
          <w:tcPr>
            <w:tcW w:w="0" w:type="auto"/>
            <w:vAlign w:val="center"/>
          </w:tcPr>
          <w:p w:rsidR="003B31B2" w:rsidRDefault="003B31B2">
            <w:pPr>
              <w:jc w:val="center"/>
              <w:textAlignment w:val="center"/>
              <w:rPr>
                <w:rFonts w:cs="Arial"/>
                <w:color w:val="000000"/>
                <w:szCs w:val="18"/>
              </w:rPr>
            </w:pPr>
            <w:r>
              <w:rPr>
                <w:rFonts w:cs="Arial"/>
                <w:color w:val="000000"/>
                <w:szCs w:val="18"/>
              </w:rPr>
              <w:t>&lt;122</w:t>
            </w:r>
          </w:p>
        </w:tc>
        <w:tc>
          <w:tcPr>
            <w:tcW w:w="0" w:type="auto"/>
            <w:vAlign w:val="center"/>
          </w:tcPr>
          <w:p w:rsidR="003B31B2" w:rsidRDefault="003B31B2">
            <w:pPr>
              <w:jc w:val="center"/>
              <w:textAlignment w:val="center"/>
              <w:rPr>
                <w:rFonts w:cs="Arial"/>
                <w:color w:val="000000"/>
                <w:szCs w:val="18"/>
              </w:rPr>
            </w:pPr>
            <w:r>
              <w:rPr>
                <w:rFonts w:cs="Arial"/>
                <w:color w:val="000000"/>
                <w:szCs w:val="18"/>
              </w:rPr>
              <w:t>349</w:t>
            </w:r>
          </w:p>
        </w:tc>
        <w:tc>
          <w:tcPr>
            <w:tcW w:w="0" w:type="auto"/>
            <w:vAlign w:val="center"/>
          </w:tcPr>
          <w:p w:rsidR="003B31B2" w:rsidRDefault="003B31B2">
            <w:pPr>
              <w:textAlignment w:val="center"/>
              <w:rPr>
                <w:rFonts w:cs="Arial"/>
                <w:color w:val="000000"/>
                <w:szCs w:val="18"/>
              </w:rPr>
            </w:pPr>
            <w:r>
              <w:rPr>
                <w:rFonts w:cs="Arial"/>
                <w:color w:val="000000"/>
                <w:szCs w:val="18"/>
              </w:rPr>
              <w:t>0020A CONSTRAINT IN TRANSMISSION DIFFERENT FROM EXPECTED</w:t>
            </w:r>
          </w:p>
        </w:tc>
      </w:tr>
    </w:tbl>
    <w:p w:rsidR="00B92890" w:rsidRPr="004E390F" w:rsidRDefault="00B92890" w:rsidP="004E390F">
      <w:pPr>
        <w:spacing w:before="60" w:after="120"/>
        <w:jc w:val="both"/>
        <w:rPr>
          <w:rFonts w:eastAsia="Times New Roman" w:cs="Arial"/>
          <w:bCs/>
          <w:lang w:eastAsia="en-AU"/>
        </w:rPr>
      </w:pPr>
    </w:p>
    <w:p w:rsidR="00275002" w:rsidRPr="009064FC" w:rsidRDefault="00275002" w:rsidP="004F6D0A">
      <w:pPr>
        <w:pStyle w:val="Heading2"/>
      </w:pPr>
      <w:r w:rsidRPr="004F6D0A">
        <w:t>Financial</w:t>
      </w:r>
      <w:r w:rsidRPr="0031019A">
        <w:t xml:space="preserve"> markets</w:t>
      </w:r>
    </w:p>
    <w:p w:rsidR="00275002" w:rsidRPr="0031019A" w:rsidRDefault="00275002" w:rsidP="00AF7C0E">
      <w:pPr>
        <w:pStyle w:val="AERbodytext"/>
      </w:pPr>
      <w:r>
        <w:fldChar w:fldCharType="begin"/>
      </w:r>
      <w:r>
        <w:instrText xml:space="preserve"> REF _Ref410386540 \h </w:instrText>
      </w:r>
      <w:r w:rsidR="009A3D22">
        <w:instrText xml:space="preserve"> \* MERGEFORMAT </w:instrText>
      </w:r>
      <w:r>
        <w:fldChar w:fldCharType="separate"/>
      </w:r>
      <w:r w:rsidR="007A5525">
        <w:t>Figure 9</w:t>
      </w:r>
      <w:r>
        <w:fldChar w:fldCharType="end"/>
      </w:r>
      <w:r>
        <w:t xml:space="preserve"> </w:t>
      </w:r>
      <w:r w:rsidRPr="0031019A">
        <w:t>shows for all mainland regions the prices for base contracts (and total traded quantities for the week) for each quarter for the next four financial years.</w:t>
      </w:r>
      <w:r w:rsidR="00633753">
        <w:t xml:space="preserve"> There </w:t>
      </w:r>
      <w:proofErr w:type="gramStart"/>
      <w:r w:rsidR="00633753">
        <w:t>was</w:t>
      </w:r>
      <w:proofErr w:type="gramEnd"/>
      <w:r w:rsidR="00633753">
        <w:t xml:space="preserve"> a material number of trades recorded during the week across all jurisdictions but most notably in Victoria. Since the announcement of the retirement of Hazelwood Power Station in Victoria which will occur in early 201</w:t>
      </w:r>
      <w:r w:rsidR="0030364D">
        <w:t>7, Q2</w:t>
      </w:r>
      <w:r w:rsidR="00633753">
        <w:t xml:space="preserve"> 201</w:t>
      </w:r>
      <w:r w:rsidR="0030364D">
        <w:t>7</w:t>
      </w:r>
      <w:r w:rsidR="00633753">
        <w:t xml:space="preserve"> contract prices have increased on trade in all regions.</w:t>
      </w:r>
      <w:bookmarkStart w:id="20" w:name="_GoBack"/>
      <w:bookmarkEnd w:id="20"/>
    </w:p>
    <w:p w:rsidR="00D73D17" w:rsidRDefault="00275002" w:rsidP="00783D4E">
      <w:pPr>
        <w:pStyle w:val="Caption"/>
        <w:spacing w:before="0" w:line="240" w:lineRule="auto"/>
      </w:pPr>
      <w:bookmarkStart w:id="21" w:name="_Ref410386540"/>
      <w:r>
        <w:lastRenderedPageBreak/>
        <w:t xml:space="preserve">Figure </w:t>
      </w:r>
      <w:r w:rsidR="00CC1B19">
        <w:fldChar w:fldCharType="begin"/>
      </w:r>
      <w:r w:rsidR="00CC1B19">
        <w:instrText xml:space="preserve"> SEQ Figure \* ARABIC </w:instrText>
      </w:r>
      <w:r w:rsidR="00CC1B19">
        <w:fldChar w:fldCharType="separate"/>
      </w:r>
      <w:r w:rsidR="007A5525">
        <w:rPr>
          <w:noProof/>
        </w:rPr>
        <w:t>9</w:t>
      </w:r>
      <w:r w:rsidR="00CC1B19">
        <w:rPr>
          <w:noProof/>
        </w:rPr>
        <w:fldChar w:fldCharType="end"/>
      </w:r>
      <w:bookmarkEnd w:id="21"/>
      <w:r w:rsidR="002515C3">
        <w:t>:</w:t>
      </w:r>
      <w:r>
        <w:t xml:space="preserve"> </w:t>
      </w:r>
      <w:r w:rsidRPr="007A6ACB">
        <w:t>Quarterly base future prices Q</w:t>
      </w:r>
      <w:r w:rsidR="001955D5">
        <w:t>4</w:t>
      </w:r>
      <w:r w:rsidR="00C4712A">
        <w:t xml:space="preserve"> 2016</w:t>
      </w:r>
      <w:r w:rsidRPr="007A6ACB">
        <w:t xml:space="preserve"> – Q</w:t>
      </w:r>
      <w:r w:rsidR="001955D5">
        <w:t>3</w:t>
      </w:r>
      <w:r w:rsidR="0069547C">
        <w:t xml:space="preserve"> 2020</w:t>
      </w:r>
      <w:r w:rsidR="003A585C" w:rsidRPr="003A585C">
        <w:rPr>
          <w:b w:val="0"/>
          <w:bCs w:val="0"/>
        </w:rPr>
        <w:t xml:space="preserve"> </w:t>
      </w:r>
      <w:r w:rsidR="000814F1" w:rsidRPr="000814F1">
        <w:rPr>
          <w:noProof/>
          <w:lang w:eastAsia="en-AU"/>
        </w:rPr>
        <w:drawing>
          <wp:inline distT="0" distB="0" distL="0" distR="0" wp14:anchorId="62A4B081" wp14:editId="63142080">
            <wp:extent cx="5731510" cy="2883692"/>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3692"/>
                    </a:xfrm>
                    <a:prstGeom prst="rect">
                      <a:avLst/>
                    </a:prstGeom>
                    <a:noFill/>
                    <a:ln>
                      <a:noFill/>
                    </a:ln>
                  </pic:spPr>
                </pic:pic>
              </a:graphicData>
            </a:graphic>
          </wp:inline>
        </w:drawing>
      </w:r>
    </w:p>
    <w:p w:rsidR="00CA0ECB" w:rsidRPr="00037EB9" w:rsidRDefault="00275002" w:rsidP="00783D4E">
      <w:pPr>
        <w:spacing w:before="0" w:after="120" w:line="240" w:lineRule="auto"/>
        <w:rPr>
          <w:sz w:val="16"/>
          <w:szCs w:val="16"/>
        </w:rPr>
      </w:pPr>
      <w:proofErr w:type="gramStart"/>
      <w:r w:rsidRPr="00A64EBB">
        <w:rPr>
          <w:sz w:val="16"/>
          <w:szCs w:val="16"/>
        </w:rPr>
        <w:t>Source</w:t>
      </w:r>
      <w:r w:rsidR="00F72F41">
        <w:rPr>
          <w:sz w:val="16"/>
          <w:szCs w:val="16"/>
        </w:rPr>
        <w:t>.</w:t>
      </w:r>
      <w:proofErr w:type="gramEnd"/>
      <w:r w:rsidRPr="00A64EBB">
        <w:rPr>
          <w:sz w:val="16"/>
          <w:szCs w:val="16"/>
        </w:rPr>
        <w:t xml:space="preserve"> </w:t>
      </w:r>
      <w:hyperlink r:id="rId21" w:history="1">
        <w:r w:rsidRPr="00A64EBB">
          <w:rPr>
            <w:sz w:val="16"/>
            <w:szCs w:val="16"/>
          </w:rPr>
          <w:t>ASXEnergy.com.au</w:t>
        </w:r>
      </w:hyperlink>
    </w:p>
    <w:p w:rsidR="000D4350" w:rsidRPr="00491631" w:rsidRDefault="00275002" w:rsidP="00AF7C0E">
      <w:pPr>
        <w:pStyle w:val="AERbodytext"/>
      </w:pPr>
      <w:r>
        <w:fldChar w:fldCharType="begin"/>
      </w:r>
      <w:r>
        <w:instrText xml:space="preserve"> REF _Ref410380382 \h </w:instrText>
      </w:r>
      <w:r w:rsidR="009A3D22">
        <w:instrText xml:space="preserve"> \* MERGEFORMAT </w:instrText>
      </w:r>
      <w:r>
        <w:fldChar w:fldCharType="separate"/>
      </w:r>
      <w:r w:rsidR="007A5525" w:rsidRPr="00491631">
        <w:t xml:space="preserve">Figure </w:t>
      </w:r>
      <w:r w:rsidR="007A5525">
        <w:rPr>
          <w:noProof/>
        </w:rPr>
        <w:t>10</w:t>
      </w:r>
      <w:r>
        <w:fldChar w:fldCharType="end"/>
      </w:r>
      <w:r>
        <w:t xml:space="preserve"> </w:t>
      </w:r>
      <w:r w:rsidRPr="0031019A">
        <w:t>shows h</w:t>
      </w:r>
      <w:r w:rsidR="004E567F">
        <w:t>ow the price for each regional q</w:t>
      </w:r>
      <w:r w:rsidRPr="0031019A">
        <w:t>uarter 1 201</w:t>
      </w:r>
      <w:r w:rsidR="00414EA6">
        <w:t>7</w:t>
      </w:r>
      <w:r w:rsidRPr="0031019A">
        <w:t xml:space="preserve"> base contract has changed over the last 10 weeks (as well as the total number of trades each week). The closing quarter 1 201</w:t>
      </w:r>
      <w:r w:rsidR="00414EA6">
        <w:t>5</w:t>
      </w:r>
      <w:r w:rsidRPr="0031019A">
        <w:t xml:space="preserve"> and quarter 1 201</w:t>
      </w:r>
      <w:r w:rsidR="00414EA6">
        <w:t>6</w:t>
      </w:r>
      <w:r w:rsidRPr="0031019A">
        <w:t xml:space="preserve"> prices are also shown. </w:t>
      </w:r>
      <w:r w:rsidRPr="000814F1">
        <w:t xml:space="preserve">The AER notes that data for </w:t>
      </w:r>
      <w:r w:rsidR="005A5657" w:rsidRPr="000814F1">
        <w:t>South </w:t>
      </w:r>
      <w:r w:rsidRPr="000814F1">
        <w:t>Australia is less reliable due to very low numbers of trades.</w:t>
      </w:r>
      <w:r w:rsidR="00E56597" w:rsidRPr="000814F1">
        <w:rPr>
          <w:bCs w:val="0"/>
        </w:rPr>
        <w:t xml:space="preserve"> </w:t>
      </w:r>
    </w:p>
    <w:p w:rsidR="00275002" w:rsidRDefault="00275002" w:rsidP="00783D4E">
      <w:pPr>
        <w:pStyle w:val="Caption"/>
        <w:spacing w:before="0" w:line="240" w:lineRule="auto"/>
      </w:pPr>
      <w:bookmarkStart w:id="22" w:name="_Ref410380382"/>
      <w:r w:rsidRPr="00491631">
        <w:t xml:space="preserve">Figure </w:t>
      </w:r>
      <w:r w:rsidR="00CC1B19">
        <w:fldChar w:fldCharType="begin"/>
      </w:r>
      <w:r w:rsidR="00CC1B19">
        <w:instrText xml:space="preserve"> SEQ Figure \* ARABIC </w:instrText>
      </w:r>
      <w:r w:rsidR="00CC1B19">
        <w:fldChar w:fldCharType="separate"/>
      </w:r>
      <w:r w:rsidR="007A5525">
        <w:rPr>
          <w:noProof/>
        </w:rPr>
        <w:t>10</w:t>
      </w:r>
      <w:r w:rsidR="00CC1B19">
        <w:rPr>
          <w:noProof/>
        </w:rPr>
        <w:fldChar w:fldCharType="end"/>
      </w:r>
      <w:bookmarkEnd w:id="22"/>
      <w:r w:rsidR="002515C3" w:rsidRPr="00491631">
        <w:t>:</w:t>
      </w:r>
      <w:r w:rsidRPr="00491631">
        <w:t xml:space="preserve"> Price of Q1 201</w:t>
      </w:r>
      <w:r w:rsidR="00414EA6" w:rsidRPr="00491631">
        <w:t>7</w:t>
      </w:r>
      <w:r w:rsidRPr="00491631">
        <w:t xml:space="preserve"> base contracts over the past 10 weeks (and the past 2 years)</w:t>
      </w:r>
    </w:p>
    <w:p w:rsidR="007C26D6" w:rsidRDefault="000814F1" w:rsidP="00C466B4">
      <w:pPr>
        <w:pStyle w:val="Source"/>
        <w:spacing w:before="0" w:after="120" w:line="240" w:lineRule="auto"/>
        <w:jc w:val="both"/>
      </w:pPr>
      <w:r w:rsidRPr="000814F1">
        <w:rPr>
          <w:noProof/>
          <w:lang w:eastAsia="en-AU"/>
        </w:rPr>
        <w:drawing>
          <wp:inline distT="0" distB="0" distL="0" distR="0" wp14:anchorId="312488E4" wp14:editId="61A467DF">
            <wp:extent cx="5731510" cy="2899279"/>
            <wp:effectExtent l="0" t="0" r="2540" b="0"/>
            <wp:docPr id="25" name="Picture 25" descr="Figure 10 shows how the price for each regional Quarter 1 2017 base contract has changed over the last 10 weeks (as well as the total number of trades each week). The closing quarter 1 2015 and quarter 1 2016 prices are also shown. The AER notes that data for South Australia is less reliable due to very low numbers of trad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899279"/>
                    </a:xfrm>
                    <a:prstGeom prst="rect">
                      <a:avLst/>
                    </a:prstGeom>
                    <a:noFill/>
                    <a:ln>
                      <a:noFill/>
                    </a:ln>
                  </pic:spPr>
                </pic:pic>
              </a:graphicData>
            </a:graphic>
          </wp:inline>
        </w:drawing>
      </w:r>
    </w:p>
    <w:p w:rsidR="00275002" w:rsidRPr="0031019A" w:rsidRDefault="00275002" w:rsidP="00C466B4">
      <w:pPr>
        <w:pStyle w:val="Source"/>
        <w:spacing w:before="0" w:after="120" w:line="240" w:lineRule="auto"/>
        <w:jc w:val="both"/>
      </w:pPr>
      <w:r w:rsidRPr="0031019A">
        <w:t>Note</w:t>
      </w:r>
      <w:r w:rsidR="00F72F41">
        <w:t>.</w:t>
      </w:r>
      <w:r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3" w:history="1">
        <w:r w:rsidRPr="002A7439">
          <w:rPr>
            <w:rStyle w:val="Hyperlink"/>
            <w:color w:val="auto"/>
            <w:sz w:val="16"/>
            <w:u w:val="none"/>
          </w:rPr>
          <w:t>ASXEnergy.com.au</w:t>
        </w:r>
      </w:hyperlink>
    </w:p>
    <w:p w:rsidR="00275002" w:rsidRPr="0031019A" w:rsidRDefault="00275002" w:rsidP="009A3D22">
      <w:pPr>
        <w:jc w:val="both"/>
      </w:pPr>
      <w:r w:rsidRPr="00AF7C0E">
        <w:rPr>
          <w:rStyle w:val="AERbodytextChar"/>
          <w:rFonts w:eastAsiaTheme="minorHAnsi"/>
        </w:rPr>
        <w:t>Prices of other financial products (including longer-term price trends) are available in the</w:t>
      </w:r>
      <w:r w:rsidRPr="0031019A">
        <w:t xml:space="preserve"> </w:t>
      </w:r>
      <w:hyperlink r:id="rId24" w:history="1">
        <w:r w:rsidR="0009653D">
          <w:rPr>
            <w:rStyle w:val="Hyperlink"/>
          </w:rPr>
          <w:t>Industry Statistics</w:t>
        </w:r>
      </w:hyperlink>
      <w:r w:rsidR="00D615F9">
        <w:t xml:space="preserve"> s</w:t>
      </w:r>
      <w:r w:rsidRPr="0031019A">
        <w:t>ection of our website.</w:t>
      </w:r>
    </w:p>
    <w:p w:rsidR="004D4A76" w:rsidRDefault="008C094A" w:rsidP="00AF7C0E">
      <w:pPr>
        <w:pStyle w:val="AERbodytext"/>
      </w:pPr>
      <w:r>
        <w:fldChar w:fldCharType="begin"/>
      </w:r>
      <w:r>
        <w:instrText xml:space="preserve"> REF _Ref428276233 \h </w:instrText>
      </w:r>
      <w:r w:rsidR="00AF7C0E">
        <w:instrText xml:space="preserve"> \* MERGEFORMAT </w:instrText>
      </w:r>
      <w:r>
        <w:fldChar w:fldCharType="separate"/>
      </w:r>
      <w:r w:rsidR="007A5525">
        <w:t xml:space="preserve">Figure </w:t>
      </w:r>
      <w:r w:rsidR="007A5525">
        <w:rPr>
          <w:noProof/>
        </w:rPr>
        <w:t>11</w:t>
      </w:r>
      <w:r>
        <w:fldChar w:fldCharType="end"/>
      </w:r>
      <w:r>
        <w:t xml:space="preserve"> </w:t>
      </w:r>
      <w:r w:rsidR="00275002" w:rsidRPr="0031019A">
        <w:t>shows how the price for each regional Quarter 1 201</w:t>
      </w:r>
      <w:r w:rsidR="007C6FE2">
        <w:t>7</w:t>
      </w:r>
      <w:r w:rsidR="00275002" w:rsidRPr="0031019A">
        <w:t xml:space="preserve"> cap contract has changed over the last 10 weeks (as well as the total number of trades each week). The closing quarter 1 201</w:t>
      </w:r>
      <w:r w:rsidR="007C6FE2">
        <w:t>5</w:t>
      </w:r>
      <w:r w:rsidR="00275002" w:rsidRPr="0031019A">
        <w:t xml:space="preserve"> and quarter 1 201</w:t>
      </w:r>
      <w:r w:rsidR="007C6FE2">
        <w:t>6</w:t>
      </w:r>
      <w:r w:rsidR="00275002" w:rsidRPr="0031019A">
        <w:t xml:space="preserve"> prices are also shown. </w:t>
      </w:r>
    </w:p>
    <w:p w:rsidR="00275002" w:rsidRDefault="00275002" w:rsidP="002B720D">
      <w:pPr>
        <w:pStyle w:val="Caption"/>
      </w:pPr>
      <w:bookmarkStart w:id="23" w:name="_Ref428276233"/>
      <w:bookmarkStart w:id="24" w:name="_Ref410744936"/>
      <w:r>
        <w:lastRenderedPageBreak/>
        <w:t xml:space="preserve">Figure </w:t>
      </w:r>
      <w:r w:rsidR="00CC1B19">
        <w:fldChar w:fldCharType="begin"/>
      </w:r>
      <w:r w:rsidR="00CC1B19">
        <w:instrText xml:space="preserve"> SEQ Figure \* ARABIC </w:instrText>
      </w:r>
      <w:r w:rsidR="00CC1B19">
        <w:fldChar w:fldCharType="separate"/>
      </w:r>
      <w:r w:rsidR="007A5525">
        <w:rPr>
          <w:noProof/>
        </w:rPr>
        <w:t>11</w:t>
      </w:r>
      <w:r w:rsidR="00CC1B19">
        <w:rPr>
          <w:noProof/>
        </w:rPr>
        <w:fldChar w:fldCharType="end"/>
      </w:r>
      <w:bookmarkEnd w:id="23"/>
      <w:r w:rsidR="002515C3">
        <w:t>:</w:t>
      </w:r>
      <w:r w:rsidRPr="0074419D">
        <w:t xml:space="preserve"> Price of Q1 201</w:t>
      </w:r>
      <w:r w:rsidR="007C6FE2">
        <w:t>7</w:t>
      </w:r>
      <w:r w:rsidRPr="0074419D">
        <w:t xml:space="preserve"> cap contracts over the past 10 weeks (and the past 2 years)</w:t>
      </w:r>
      <w:bookmarkEnd w:id="24"/>
    </w:p>
    <w:p w:rsidR="008E0420" w:rsidRPr="008E0420" w:rsidRDefault="000814F1" w:rsidP="008E0420">
      <w:r w:rsidRPr="000814F1">
        <w:rPr>
          <w:noProof/>
          <w:lang w:eastAsia="en-AU"/>
        </w:rPr>
        <w:drawing>
          <wp:inline distT="0" distB="0" distL="0" distR="0" wp14:anchorId="71C8DACA" wp14:editId="417E76FC">
            <wp:extent cx="5731510" cy="2873546"/>
            <wp:effectExtent l="0" t="0" r="2540" b="3175"/>
            <wp:docPr id="27" name="Picture 27" descr="Figure 11 shows how the price for each regional Quarter 1 2017 cap contract has changed over the last 10 weeks (as well as the total number of trades each week). The closing quarter 1 2015 and quarter 1 2016 prices are also show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73546"/>
                    </a:xfrm>
                    <a:prstGeom prst="rect">
                      <a:avLst/>
                    </a:prstGeom>
                    <a:noFill/>
                    <a:ln>
                      <a:noFill/>
                    </a:ln>
                  </pic:spPr>
                </pic:pic>
              </a:graphicData>
            </a:graphic>
          </wp:inline>
        </w:drawing>
      </w:r>
    </w:p>
    <w:p w:rsidR="000D4350" w:rsidRDefault="00275002" w:rsidP="00037EB9">
      <w:pPr>
        <w:pStyle w:val="Source"/>
        <w:spacing w:before="0" w:after="0" w:line="240" w:lineRule="auto"/>
      </w:pPr>
      <w:proofErr w:type="gramStart"/>
      <w:r w:rsidRPr="002A7439">
        <w:t>Source</w:t>
      </w:r>
      <w:r w:rsidR="00F72F41">
        <w:t>.</w:t>
      </w:r>
      <w:proofErr w:type="gramEnd"/>
      <w:r w:rsidRPr="002A7439">
        <w:t xml:space="preserve"> </w:t>
      </w:r>
      <w:hyperlink r:id="rId26" w:history="1">
        <w:r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7A5525">
        <w:t>Dec</w:t>
      </w:r>
      <w:r w:rsidR="000C6144">
        <w:t xml:space="preserve">ember </w:t>
      </w:r>
      <w:r w:rsidR="00C4712A" w:rsidRPr="00D92E07">
        <w:t>2016</w:t>
      </w:r>
    </w:p>
    <w:sectPr w:rsidR="00275002" w:rsidRPr="009F2CAC" w:rsidSect="00562EF1">
      <w:footerReference w:type="even" r:id="rId27"/>
      <w:footerReference w:type="default" r:id="rId28"/>
      <w:footerReference w:type="first" r:id="rId29"/>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14D" w:rsidRDefault="00FA614D" w:rsidP="004B4412">
      <w:pPr>
        <w:spacing w:before="0"/>
      </w:pPr>
      <w:r>
        <w:separator/>
      </w:r>
    </w:p>
  </w:endnote>
  <w:endnote w:type="continuationSeparator" w:id="0">
    <w:p w:rsidR="00FA614D" w:rsidRDefault="00FA614D"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14D" w:rsidRPr="00A91A9E" w:rsidRDefault="00FA614D"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FA614D" w:rsidRDefault="00FA614D"/>
  <w:p w:rsidR="00FA614D" w:rsidRDefault="00FA614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14D" w:rsidRPr="00A94D89" w:rsidRDefault="00FA614D"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CC1B19">
      <w:rPr>
        <w:rFonts w:cs="Arial"/>
        <w:i/>
        <w:noProof/>
      </w:rPr>
      <w:t>10</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14D" w:rsidRPr="00A94D89" w:rsidRDefault="00FA614D"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30364D">
      <w:rPr>
        <w:rFonts w:cs="Arial"/>
        <w:i/>
        <w:noProof/>
      </w:rPr>
      <w:t>1</w:t>
    </w:r>
    <w:r w:rsidRPr="001F1B78">
      <w:rPr>
        <w:rFonts w:cs="Arial"/>
        <w:i/>
        <w:noProof/>
      </w:rPr>
      <w:fldChar w:fldCharType="end"/>
    </w:r>
    <w:r w:rsidRPr="00F52F00">
      <w:rPr>
        <w:rFonts w:cs="Arial"/>
        <w:i/>
      </w:rPr>
      <w:tab/>
      <w:t xml:space="preserve">AER reference: 39220 – </w:t>
    </w:r>
    <w:r>
      <w:rPr>
        <w:rFonts w:cs="Arial"/>
        <w:i/>
      </w:rPr>
      <w:t>D16/153051</w:t>
    </w:r>
  </w:p>
  <w:p w:rsidR="00FA614D" w:rsidRDefault="00FA61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14D" w:rsidRDefault="00FA614D" w:rsidP="004B4412">
      <w:pPr>
        <w:spacing w:before="0"/>
      </w:pPr>
      <w:r>
        <w:separator/>
      </w:r>
    </w:p>
  </w:footnote>
  <w:footnote w:type="continuationSeparator" w:id="0">
    <w:p w:rsidR="00FA614D" w:rsidRDefault="00FA614D"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A1D63134"/>
    <w:lvl w:ilvl="0">
      <w:start w:val="1"/>
      <w:numFmt w:val="bullet"/>
      <w:pStyle w:val="Bulletpoin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363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dday\20161113 - 20161119 electricity report (D2016-00157660).docx"/>
  </w:docVars>
  <w:rsids>
    <w:rsidRoot w:val="00275002"/>
    <w:rsid w:val="00000817"/>
    <w:rsid w:val="00000BFE"/>
    <w:rsid w:val="00000CC3"/>
    <w:rsid w:val="00001D6D"/>
    <w:rsid w:val="00003169"/>
    <w:rsid w:val="00003C92"/>
    <w:rsid w:val="00005D12"/>
    <w:rsid w:val="0000728F"/>
    <w:rsid w:val="00007624"/>
    <w:rsid w:val="00007A11"/>
    <w:rsid w:val="000128E1"/>
    <w:rsid w:val="0001415C"/>
    <w:rsid w:val="000147C1"/>
    <w:rsid w:val="00014D5F"/>
    <w:rsid w:val="00017DD0"/>
    <w:rsid w:val="00020D21"/>
    <w:rsid w:val="00021202"/>
    <w:rsid w:val="0002123D"/>
    <w:rsid w:val="00022746"/>
    <w:rsid w:val="00022B91"/>
    <w:rsid w:val="00022F09"/>
    <w:rsid w:val="00024215"/>
    <w:rsid w:val="000242E7"/>
    <w:rsid w:val="00024369"/>
    <w:rsid w:val="00024C84"/>
    <w:rsid w:val="0002510F"/>
    <w:rsid w:val="00026CDF"/>
    <w:rsid w:val="00030794"/>
    <w:rsid w:val="000308B1"/>
    <w:rsid w:val="000312E6"/>
    <w:rsid w:val="000316E7"/>
    <w:rsid w:val="00031F4C"/>
    <w:rsid w:val="000321ED"/>
    <w:rsid w:val="00032CF4"/>
    <w:rsid w:val="00033902"/>
    <w:rsid w:val="00033BE8"/>
    <w:rsid w:val="00033E09"/>
    <w:rsid w:val="0003564D"/>
    <w:rsid w:val="0003578C"/>
    <w:rsid w:val="00035A9A"/>
    <w:rsid w:val="00036FDF"/>
    <w:rsid w:val="00037A6F"/>
    <w:rsid w:val="00037EB9"/>
    <w:rsid w:val="00040E4C"/>
    <w:rsid w:val="00041A89"/>
    <w:rsid w:val="000422AB"/>
    <w:rsid w:val="00043FA7"/>
    <w:rsid w:val="000442BA"/>
    <w:rsid w:val="00044D80"/>
    <w:rsid w:val="000452BA"/>
    <w:rsid w:val="00045F0A"/>
    <w:rsid w:val="000461E2"/>
    <w:rsid w:val="0005123C"/>
    <w:rsid w:val="00051880"/>
    <w:rsid w:val="000528FD"/>
    <w:rsid w:val="00056949"/>
    <w:rsid w:val="000576CD"/>
    <w:rsid w:val="00057973"/>
    <w:rsid w:val="00057EFD"/>
    <w:rsid w:val="000607B5"/>
    <w:rsid w:val="00061ABD"/>
    <w:rsid w:val="00061CE2"/>
    <w:rsid w:val="00061E3B"/>
    <w:rsid w:val="00063247"/>
    <w:rsid w:val="00063473"/>
    <w:rsid w:val="00066157"/>
    <w:rsid w:val="000661AF"/>
    <w:rsid w:val="00066795"/>
    <w:rsid w:val="000702E2"/>
    <w:rsid w:val="00070F9F"/>
    <w:rsid w:val="0007137B"/>
    <w:rsid w:val="000738F4"/>
    <w:rsid w:val="00074A4E"/>
    <w:rsid w:val="000758D3"/>
    <w:rsid w:val="00075D7D"/>
    <w:rsid w:val="000766E2"/>
    <w:rsid w:val="00077616"/>
    <w:rsid w:val="00077819"/>
    <w:rsid w:val="000808D5"/>
    <w:rsid w:val="000814F1"/>
    <w:rsid w:val="000822B6"/>
    <w:rsid w:val="00085663"/>
    <w:rsid w:val="00085EBF"/>
    <w:rsid w:val="00086B36"/>
    <w:rsid w:val="00086CF3"/>
    <w:rsid w:val="00087C4A"/>
    <w:rsid w:val="00087CDC"/>
    <w:rsid w:val="00091FB4"/>
    <w:rsid w:val="00092DE3"/>
    <w:rsid w:val="000938D7"/>
    <w:rsid w:val="000938FB"/>
    <w:rsid w:val="0009511C"/>
    <w:rsid w:val="0009584C"/>
    <w:rsid w:val="000961FA"/>
    <w:rsid w:val="00096387"/>
    <w:rsid w:val="0009653D"/>
    <w:rsid w:val="00097A25"/>
    <w:rsid w:val="000A1A74"/>
    <w:rsid w:val="000A241B"/>
    <w:rsid w:val="000A29ED"/>
    <w:rsid w:val="000A4529"/>
    <w:rsid w:val="000A62D6"/>
    <w:rsid w:val="000A6F14"/>
    <w:rsid w:val="000B0311"/>
    <w:rsid w:val="000B1726"/>
    <w:rsid w:val="000B3004"/>
    <w:rsid w:val="000B34F5"/>
    <w:rsid w:val="000B364C"/>
    <w:rsid w:val="000B3C8A"/>
    <w:rsid w:val="000B589F"/>
    <w:rsid w:val="000B7257"/>
    <w:rsid w:val="000C0472"/>
    <w:rsid w:val="000C1B93"/>
    <w:rsid w:val="000C1FA4"/>
    <w:rsid w:val="000C2A63"/>
    <w:rsid w:val="000C6144"/>
    <w:rsid w:val="000C7494"/>
    <w:rsid w:val="000D05BD"/>
    <w:rsid w:val="000D0A74"/>
    <w:rsid w:val="000D122C"/>
    <w:rsid w:val="000D19B5"/>
    <w:rsid w:val="000D1F96"/>
    <w:rsid w:val="000D20BA"/>
    <w:rsid w:val="000D355E"/>
    <w:rsid w:val="000D3C77"/>
    <w:rsid w:val="000D4350"/>
    <w:rsid w:val="000D5ADE"/>
    <w:rsid w:val="000D68C5"/>
    <w:rsid w:val="000E00DE"/>
    <w:rsid w:val="000E1819"/>
    <w:rsid w:val="000E1A1B"/>
    <w:rsid w:val="000E2330"/>
    <w:rsid w:val="000E26B0"/>
    <w:rsid w:val="000E2946"/>
    <w:rsid w:val="000E3D55"/>
    <w:rsid w:val="000E4537"/>
    <w:rsid w:val="000E4F81"/>
    <w:rsid w:val="000E54D6"/>
    <w:rsid w:val="000E55C7"/>
    <w:rsid w:val="000E5B55"/>
    <w:rsid w:val="000E6C72"/>
    <w:rsid w:val="000E7180"/>
    <w:rsid w:val="000E726E"/>
    <w:rsid w:val="000E77BB"/>
    <w:rsid w:val="000E7E24"/>
    <w:rsid w:val="000F189E"/>
    <w:rsid w:val="000F1956"/>
    <w:rsid w:val="000F1D61"/>
    <w:rsid w:val="000F26B7"/>
    <w:rsid w:val="000F5487"/>
    <w:rsid w:val="000F56F6"/>
    <w:rsid w:val="000F5855"/>
    <w:rsid w:val="000F6FA7"/>
    <w:rsid w:val="000F77D6"/>
    <w:rsid w:val="000F7EE1"/>
    <w:rsid w:val="00100142"/>
    <w:rsid w:val="00100B12"/>
    <w:rsid w:val="00102B64"/>
    <w:rsid w:val="00105281"/>
    <w:rsid w:val="00105AF3"/>
    <w:rsid w:val="00105D4E"/>
    <w:rsid w:val="0010740E"/>
    <w:rsid w:val="00107F6C"/>
    <w:rsid w:val="0011019A"/>
    <w:rsid w:val="001107FF"/>
    <w:rsid w:val="00112136"/>
    <w:rsid w:val="001121C2"/>
    <w:rsid w:val="00113430"/>
    <w:rsid w:val="00113AE0"/>
    <w:rsid w:val="001140FE"/>
    <w:rsid w:val="00114352"/>
    <w:rsid w:val="001158FE"/>
    <w:rsid w:val="00115CCB"/>
    <w:rsid w:val="00116EB2"/>
    <w:rsid w:val="00117195"/>
    <w:rsid w:val="00120287"/>
    <w:rsid w:val="0012092C"/>
    <w:rsid w:val="0012145B"/>
    <w:rsid w:val="00122831"/>
    <w:rsid w:val="00122E6B"/>
    <w:rsid w:val="001235DD"/>
    <w:rsid w:val="00124609"/>
    <w:rsid w:val="00124D47"/>
    <w:rsid w:val="00125F4F"/>
    <w:rsid w:val="00126022"/>
    <w:rsid w:val="001270EB"/>
    <w:rsid w:val="0012758A"/>
    <w:rsid w:val="00127CAB"/>
    <w:rsid w:val="00130196"/>
    <w:rsid w:val="0013057E"/>
    <w:rsid w:val="0013257C"/>
    <w:rsid w:val="0013349F"/>
    <w:rsid w:val="001337EF"/>
    <w:rsid w:val="00133FC8"/>
    <w:rsid w:val="00134BD7"/>
    <w:rsid w:val="00136716"/>
    <w:rsid w:val="00136A08"/>
    <w:rsid w:val="001373F1"/>
    <w:rsid w:val="00140DE4"/>
    <w:rsid w:val="001435CC"/>
    <w:rsid w:val="001436FC"/>
    <w:rsid w:val="001450FB"/>
    <w:rsid w:val="0014511E"/>
    <w:rsid w:val="00145982"/>
    <w:rsid w:val="00145ACE"/>
    <w:rsid w:val="00146F42"/>
    <w:rsid w:val="001512D6"/>
    <w:rsid w:val="00151F61"/>
    <w:rsid w:val="001539E0"/>
    <w:rsid w:val="0015451B"/>
    <w:rsid w:val="0015496E"/>
    <w:rsid w:val="00155113"/>
    <w:rsid w:val="0015602B"/>
    <w:rsid w:val="001566F6"/>
    <w:rsid w:val="0015721E"/>
    <w:rsid w:val="00157380"/>
    <w:rsid w:val="001573E4"/>
    <w:rsid w:val="00160756"/>
    <w:rsid w:val="00162584"/>
    <w:rsid w:val="001629C6"/>
    <w:rsid w:val="00162C9F"/>
    <w:rsid w:val="00164658"/>
    <w:rsid w:val="00164FB1"/>
    <w:rsid w:val="00165247"/>
    <w:rsid w:val="001653F3"/>
    <w:rsid w:val="00165C87"/>
    <w:rsid w:val="001666AA"/>
    <w:rsid w:val="00166840"/>
    <w:rsid w:val="00166BD2"/>
    <w:rsid w:val="0016738F"/>
    <w:rsid w:val="00167D2E"/>
    <w:rsid w:val="0017054C"/>
    <w:rsid w:val="001711CC"/>
    <w:rsid w:val="0017232E"/>
    <w:rsid w:val="00173AE6"/>
    <w:rsid w:val="00173DC1"/>
    <w:rsid w:val="00174102"/>
    <w:rsid w:val="001756AF"/>
    <w:rsid w:val="001761FF"/>
    <w:rsid w:val="00176AEF"/>
    <w:rsid w:val="00176E41"/>
    <w:rsid w:val="001778E3"/>
    <w:rsid w:val="00180157"/>
    <w:rsid w:val="00180E51"/>
    <w:rsid w:val="00181C46"/>
    <w:rsid w:val="001832C7"/>
    <w:rsid w:val="00185510"/>
    <w:rsid w:val="00186831"/>
    <w:rsid w:val="00186F77"/>
    <w:rsid w:val="001901A4"/>
    <w:rsid w:val="00190F24"/>
    <w:rsid w:val="0019177E"/>
    <w:rsid w:val="00191C6F"/>
    <w:rsid w:val="00191DA4"/>
    <w:rsid w:val="00192441"/>
    <w:rsid w:val="001926A4"/>
    <w:rsid w:val="001936FA"/>
    <w:rsid w:val="00193ED7"/>
    <w:rsid w:val="00193FF4"/>
    <w:rsid w:val="001955D5"/>
    <w:rsid w:val="001977CC"/>
    <w:rsid w:val="00197DD5"/>
    <w:rsid w:val="001A2BC2"/>
    <w:rsid w:val="001A2BC9"/>
    <w:rsid w:val="001A2C0A"/>
    <w:rsid w:val="001A3AEC"/>
    <w:rsid w:val="001A3CDA"/>
    <w:rsid w:val="001A4FE0"/>
    <w:rsid w:val="001A5B9F"/>
    <w:rsid w:val="001A6790"/>
    <w:rsid w:val="001A7212"/>
    <w:rsid w:val="001B0C3B"/>
    <w:rsid w:val="001B2363"/>
    <w:rsid w:val="001B3811"/>
    <w:rsid w:val="001B3ABC"/>
    <w:rsid w:val="001B45A0"/>
    <w:rsid w:val="001B4A7D"/>
    <w:rsid w:val="001B4E31"/>
    <w:rsid w:val="001B684F"/>
    <w:rsid w:val="001B6C15"/>
    <w:rsid w:val="001B6FCB"/>
    <w:rsid w:val="001C027D"/>
    <w:rsid w:val="001C13CD"/>
    <w:rsid w:val="001C17B3"/>
    <w:rsid w:val="001C1BC0"/>
    <w:rsid w:val="001C2EE8"/>
    <w:rsid w:val="001C444C"/>
    <w:rsid w:val="001C5079"/>
    <w:rsid w:val="001C5A97"/>
    <w:rsid w:val="001C5EF2"/>
    <w:rsid w:val="001C5F6B"/>
    <w:rsid w:val="001C666A"/>
    <w:rsid w:val="001C6748"/>
    <w:rsid w:val="001D055E"/>
    <w:rsid w:val="001D0C65"/>
    <w:rsid w:val="001D0CE3"/>
    <w:rsid w:val="001D1597"/>
    <w:rsid w:val="001D3A5B"/>
    <w:rsid w:val="001D5BEB"/>
    <w:rsid w:val="001D5EE6"/>
    <w:rsid w:val="001D60FF"/>
    <w:rsid w:val="001D7698"/>
    <w:rsid w:val="001D7FB7"/>
    <w:rsid w:val="001E01B4"/>
    <w:rsid w:val="001E0E82"/>
    <w:rsid w:val="001E14C2"/>
    <w:rsid w:val="001E2F01"/>
    <w:rsid w:val="001E4665"/>
    <w:rsid w:val="001E48B3"/>
    <w:rsid w:val="001E5AEE"/>
    <w:rsid w:val="001E5D20"/>
    <w:rsid w:val="001E6485"/>
    <w:rsid w:val="001E6A7E"/>
    <w:rsid w:val="001E6FDD"/>
    <w:rsid w:val="001F03EF"/>
    <w:rsid w:val="001F0EC9"/>
    <w:rsid w:val="001F1548"/>
    <w:rsid w:val="001F1B78"/>
    <w:rsid w:val="001F22EE"/>
    <w:rsid w:val="001F2577"/>
    <w:rsid w:val="001F2D73"/>
    <w:rsid w:val="001F3530"/>
    <w:rsid w:val="001F4726"/>
    <w:rsid w:val="001F492E"/>
    <w:rsid w:val="001F6DA3"/>
    <w:rsid w:val="001F7575"/>
    <w:rsid w:val="002003AE"/>
    <w:rsid w:val="00200A5D"/>
    <w:rsid w:val="00201136"/>
    <w:rsid w:val="0020132A"/>
    <w:rsid w:val="00201A4B"/>
    <w:rsid w:val="00201C06"/>
    <w:rsid w:val="00203300"/>
    <w:rsid w:val="0020376D"/>
    <w:rsid w:val="00204302"/>
    <w:rsid w:val="0020489F"/>
    <w:rsid w:val="002050F5"/>
    <w:rsid w:val="002062A9"/>
    <w:rsid w:val="002065C6"/>
    <w:rsid w:val="002072A2"/>
    <w:rsid w:val="00207A24"/>
    <w:rsid w:val="00207D5B"/>
    <w:rsid w:val="0021027A"/>
    <w:rsid w:val="0021147E"/>
    <w:rsid w:val="00212D2F"/>
    <w:rsid w:val="00213CF6"/>
    <w:rsid w:val="00214FBA"/>
    <w:rsid w:val="00215E19"/>
    <w:rsid w:val="002164FB"/>
    <w:rsid w:val="00216865"/>
    <w:rsid w:val="00217221"/>
    <w:rsid w:val="00217C29"/>
    <w:rsid w:val="00220C0F"/>
    <w:rsid w:val="002214D9"/>
    <w:rsid w:val="002216F5"/>
    <w:rsid w:val="00222F04"/>
    <w:rsid w:val="00223FEA"/>
    <w:rsid w:val="002242B5"/>
    <w:rsid w:val="00224DB9"/>
    <w:rsid w:val="00224EE7"/>
    <w:rsid w:val="00226E31"/>
    <w:rsid w:val="00227098"/>
    <w:rsid w:val="002276F0"/>
    <w:rsid w:val="00227C97"/>
    <w:rsid w:val="00230D26"/>
    <w:rsid w:val="00231C73"/>
    <w:rsid w:val="00232A71"/>
    <w:rsid w:val="00232FBD"/>
    <w:rsid w:val="002338A0"/>
    <w:rsid w:val="002339B5"/>
    <w:rsid w:val="00234A3C"/>
    <w:rsid w:val="00237048"/>
    <w:rsid w:val="00240AA4"/>
    <w:rsid w:val="002423A5"/>
    <w:rsid w:val="002427B3"/>
    <w:rsid w:val="00242C25"/>
    <w:rsid w:val="00243222"/>
    <w:rsid w:val="00243347"/>
    <w:rsid w:val="002438D9"/>
    <w:rsid w:val="00245913"/>
    <w:rsid w:val="00247473"/>
    <w:rsid w:val="002474AD"/>
    <w:rsid w:val="00247E84"/>
    <w:rsid w:val="00250859"/>
    <w:rsid w:val="002515C3"/>
    <w:rsid w:val="002516A1"/>
    <w:rsid w:val="00251745"/>
    <w:rsid w:val="00251C37"/>
    <w:rsid w:val="00251D74"/>
    <w:rsid w:val="00252376"/>
    <w:rsid w:val="00253004"/>
    <w:rsid w:val="00253160"/>
    <w:rsid w:val="00253F55"/>
    <w:rsid w:val="00255887"/>
    <w:rsid w:val="00262F65"/>
    <w:rsid w:val="00263AC0"/>
    <w:rsid w:val="002649D2"/>
    <w:rsid w:val="002649D8"/>
    <w:rsid w:val="00265486"/>
    <w:rsid w:val="0026772D"/>
    <w:rsid w:val="002704A0"/>
    <w:rsid w:val="00270A51"/>
    <w:rsid w:val="00270AF4"/>
    <w:rsid w:val="002714A4"/>
    <w:rsid w:val="00272178"/>
    <w:rsid w:val="0027318A"/>
    <w:rsid w:val="00275002"/>
    <w:rsid w:val="00275121"/>
    <w:rsid w:val="002752FC"/>
    <w:rsid w:val="00275927"/>
    <w:rsid w:val="002762EA"/>
    <w:rsid w:val="00276A9F"/>
    <w:rsid w:val="002773C2"/>
    <w:rsid w:val="002817AB"/>
    <w:rsid w:val="002828A0"/>
    <w:rsid w:val="00283BF8"/>
    <w:rsid w:val="0028440E"/>
    <w:rsid w:val="0028521F"/>
    <w:rsid w:val="00285B8A"/>
    <w:rsid w:val="00286874"/>
    <w:rsid w:val="00286D68"/>
    <w:rsid w:val="00290C73"/>
    <w:rsid w:val="00291658"/>
    <w:rsid w:val="0029246F"/>
    <w:rsid w:val="002941C1"/>
    <w:rsid w:val="00294653"/>
    <w:rsid w:val="00294D01"/>
    <w:rsid w:val="00296B65"/>
    <w:rsid w:val="00296D07"/>
    <w:rsid w:val="002A0450"/>
    <w:rsid w:val="002A0AF0"/>
    <w:rsid w:val="002A1B5C"/>
    <w:rsid w:val="002A2900"/>
    <w:rsid w:val="002A32DF"/>
    <w:rsid w:val="002A3CF2"/>
    <w:rsid w:val="002A4EF8"/>
    <w:rsid w:val="002A72AE"/>
    <w:rsid w:val="002A7439"/>
    <w:rsid w:val="002A7729"/>
    <w:rsid w:val="002A7C78"/>
    <w:rsid w:val="002A7DEF"/>
    <w:rsid w:val="002B0749"/>
    <w:rsid w:val="002B0DAE"/>
    <w:rsid w:val="002B1949"/>
    <w:rsid w:val="002B1B50"/>
    <w:rsid w:val="002B1CD0"/>
    <w:rsid w:val="002B3B2D"/>
    <w:rsid w:val="002B4AB0"/>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1734"/>
    <w:rsid w:val="002D37FB"/>
    <w:rsid w:val="002D484E"/>
    <w:rsid w:val="002D4A1F"/>
    <w:rsid w:val="002D4C26"/>
    <w:rsid w:val="002D5A5A"/>
    <w:rsid w:val="002D6AB4"/>
    <w:rsid w:val="002E12A2"/>
    <w:rsid w:val="002E29A0"/>
    <w:rsid w:val="002E3D1D"/>
    <w:rsid w:val="002E504E"/>
    <w:rsid w:val="002E5E33"/>
    <w:rsid w:val="002E6187"/>
    <w:rsid w:val="002E6254"/>
    <w:rsid w:val="002E64AB"/>
    <w:rsid w:val="002E6E99"/>
    <w:rsid w:val="002E730C"/>
    <w:rsid w:val="002E7557"/>
    <w:rsid w:val="002E7DC5"/>
    <w:rsid w:val="002F02A4"/>
    <w:rsid w:val="002F16EE"/>
    <w:rsid w:val="002F20C2"/>
    <w:rsid w:val="002F22FD"/>
    <w:rsid w:val="002F2481"/>
    <w:rsid w:val="002F3D02"/>
    <w:rsid w:val="002F4F34"/>
    <w:rsid w:val="002F7986"/>
    <w:rsid w:val="00300C0B"/>
    <w:rsid w:val="00301ADD"/>
    <w:rsid w:val="00302D83"/>
    <w:rsid w:val="0030364D"/>
    <w:rsid w:val="00303F1A"/>
    <w:rsid w:val="0030495F"/>
    <w:rsid w:val="0030576E"/>
    <w:rsid w:val="003061FA"/>
    <w:rsid w:val="003062C2"/>
    <w:rsid w:val="00306DD8"/>
    <w:rsid w:val="003072FB"/>
    <w:rsid w:val="003077EF"/>
    <w:rsid w:val="00307F6D"/>
    <w:rsid w:val="003105F5"/>
    <w:rsid w:val="00312B84"/>
    <w:rsid w:val="0031318F"/>
    <w:rsid w:val="003134B8"/>
    <w:rsid w:val="003152BD"/>
    <w:rsid w:val="003153EB"/>
    <w:rsid w:val="00315FE3"/>
    <w:rsid w:val="003177A2"/>
    <w:rsid w:val="00317A81"/>
    <w:rsid w:val="003208C0"/>
    <w:rsid w:val="00321853"/>
    <w:rsid w:val="00322300"/>
    <w:rsid w:val="00323CE7"/>
    <w:rsid w:val="00324222"/>
    <w:rsid w:val="003243B4"/>
    <w:rsid w:val="003271B5"/>
    <w:rsid w:val="003274A9"/>
    <w:rsid w:val="0032770E"/>
    <w:rsid w:val="00331264"/>
    <w:rsid w:val="00331DDB"/>
    <w:rsid w:val="00332F5D"/>
    <w:rsid w:val="00333F4A"/>
    <w:rsid w:val="00334C8D"/>
    <w:rsid w:val="00336D50"/>
    <w:rsid w:val="003375A4"/>
    <w:rsid w:val="003401B9"/>
    <w:rsid w:val="00340B23"/>
    <w:rsid w:val="00341169"/>
    <w:rsid w:val="00342870"/>
    <w:rsid w:val="00343BF7"/>
    <w:rsid w:val="003450FE"/>
    <w:rsid w:val="00346F05"/>
    <w:rsid w:val="0035089F"/>
    <w:rsid w:val="003518B3"/>
    <w:rsid w:val="00351FDC"/>
    <w:rsid w:val="00352DA8"/>
    <w:rsid w:val="003535FF"/>
    <w:rsid w:val="00354887"/>
    <w:rsid w:val="00354A9E"/>
    <w:rsid w:val="00354B6E"/>
    <w:rsid w:val="0035522A"/>
    <w:rsid w:val="00355CDD"/>
    <w:rsid w:val="00355D1A"/>
    <w:rsid w:val="00355D2F"/>
    <w:rsid w:val="00356706"/>
    <w:rsid w:val="00356E72"/>
    <w:rsid w:val="003574A1"/>
    <w:rsid w:val="003605DF"/>
    <w:rsid w:val="00361D84"/>
    <w:rsid w:val="003624C2"/>
    <w:rsid w:val="00362ABA"/>
    <w:rsid w:val="003642AD"/>
    <w:rsid w:val="00364EF1"/>
    <w:rsid w:val="0036646E"/>
    <w:rsid w:val="00366515"/>
    <w:rsid w:val="00366713"/>
    <w:rsid w:val="00366842"/>
    <w:rsid w:val="00367142"/>
    <w:rsid w:val="003715C8"/>
    <w:rsid w:val="00371F3A"/>
    <w:rsid w:val="003749F7"/>
    <w:rsid w:val="0037578A"/>
    <w:rsid w:val="00375E24"/>
    <w:rsid w:val="00376373"/>
    <w:rsid w:val="003769E2"/>
    <w:rsid w:val="00377133"/>
    <w:rsid w:val="00380696"/>
    <w:rsid w:val="003816D4"/>
    <w:rsid w:val="00383C6B"/>
    <w:rsid w:val="003846F1"/>
    <w:rsid w:val="00384A55"/>
    <w:rsid w:val="00384B54"/>
    <w:rsid w:val="00386C86"/>
    <w:rsid w:val="003874F8"/>
    <w:rsid w:val="00387CDE"/>
    <w:rsid w:val="003904D2"/>
    <w:rsid w:val="00394B85"/>
    <w:rsid w:val="003953A0"/>
    <w:rsid w:val="00395B4C"/>
    <w:rsid w:val="00397EB2"/>
    <w:rsid w:val="00397FF5"/>
    <w:rsid w:val="003A0810"/>
    <w:rsid w:val="003A0CB8"/>
    <w:rsid w:val="003A1E66"/>
    <w:rsid w:val="003A1F17"/>
    <w:rsid w:val="003A39D5"/>
    <w:rsid w:val="003A3E2D"/>
    <w:rsid w:val="003A4136"/>
    <w:rsid w:val="003A41E0"/>
    <w:rsid w:val="003A431D"/>
    <w:rsid w:val="003A4B6B"/>
    <w:rsid w:val="003A4D05"/>
    <w:rsid w:val="003A53D5"/>
    <w:rsid w:val="003A585C"/>
    <w:rsid w:val="003A5E58"/>
    <w:rsid w:val="003A76D9"/>
    <w:rsid w:val="003A7DC0"/>
    <w:rsid w:val="003B069D"/>
    <w:rsid w:val="003B0D56"/>
    <w:rsid w:val="003B1A79"/>
    <w:rsid w:val="003B282E"/>
    <w:rsid w:val="003B31B2"/>
    <w:rsid w:val="003B40ED"/>
    <w:rsid w:val="003B4804"/>
    <w:rsid w:val="003B4D9B"/>
    <w:rsid w:val="003B5231"/>
    <w:rsid w:val="003B5D14"/>
    <w:rsid w:val="003B6F90"/>
    <w:rsid w:val="003B7D71"/>
    <w:rsid w:val="003C0710"/>
    <w:rsid w:val="003C16AA"/>
    <w:rsid w:val="003C23CA"/>
    <w:rsid w:val="003C24A9"/>
    <w:rsid w:val="003C2A86"/>
    <w:rsid w:val="003C2B22"/>
    <w:rsid w:val="003C2BC1"/>
    <w:rsid w:val="003C30E5"/>
    <w:rsid w:val="003C3413"/>
    <w:rsid w:val="003C3C98"/>
    <w:rsid w:val="003C3D77"/>
    <w:rsid w:val="003C62E9"/>
    <w:rsid w:val="003C6315"/>
    <w:rsid w:val="003C6BA6"/>
    <w:rsid w:val="003C7164"/>
    <w:rsid w:val="003C7EFA"/>
    <w:rsid w:val="003D4F14"/>
    <w:rsid w:val="003D5258"/>
    <w:rsid w:val="003D62D9"/>
    <w:rsid w:val="003E1341"/>
    <w:rsid w:val="003E19A2"/>
    <w:rsid w:val="003E309F"/>
    <w:rsid w:val="003E3C33"/>
    <w:rsid w:val="003E4747"/>
    <w:rsid w:val="003E47DC"/>
    <w:rsid w:val="003E521D"/>
    <w:rsid w:val="003E74FF"/>
    <w:rsid w:val="003E78A9"/>
    <w:rsid w:val="003F004E"/>
    <w:rsid w:val="003F0289"/>
    <w:rsid w:val="003F02D8"/>
    <w:rsid w:val="003F3672"/>
    <w:rsid w:val="003F3CA9"/>
    <w:rsid w:val="003F4AF9"/>
    <w:rsid w:val="003F54CB"/>
    <w:rsid w:val="003F57F1"/>
    <w:rsid w:val="003F5F74"/>
    <w:rsid w:val="003F66C5"/>
    <w:rsid w:val="003F747A"/>
    <w:rsid w:val="003F75C8"/>
    <w:rsid w:val="003F7B22"/>
    <w:rsid w:val="00401B53"/>
    <w:rsid w:val="00402142"/>
    <w:rsid w:val="00403473"/>
    <w:rsid w:val="004034C5"/>
    <w:rsid w:val="00404002"/>
    <w:rsid w:val="00404492"/>
    <w:rsid w:val="00404504"/>
    <w:rsid w:val="00405B42"/>
    <w:rsid w:val="0040684C"/>
    <w:rsid w:val="00407337"/>
    <w:rsid w:val="00410937"/>
    <w:rsid w:val="00411897"/>
    <w:rsid w:val="00412176"/>
    <w:rsid w:val="00412DB2"/>
    <w:rsid w:val="00414488"/>
    <w:rsid w:val="00414EA6"/>
    <w:rsid w:val="00414F6E"/>
    <w:rsid w:val="00415788"/>
    <w:rsid w:val="004157C0"/>
    <w:rsid w:val="004161C4"/>
    <w:rsid w:val="00416641"/>
    <w:rsid w:val="004176E8"/>
    <w:rsid w:val="00420AA9"/>
    <w:rsid w:val="00421154"/>
    <w:rsid w:val="0042429B"/>
    <w:rsid w:val="00424809"/>
    <w:rsid w:val="004253D6"/>
    <w:rsid w:val="00425E38"/>
    <w:rsid w:val="004269FF"/>
    <w:rsid w:val="00426C9A"/>
    <w:rsid w:val="004303EE"/>
    <w:rsid w:val="00432B5B"/>
    <w:rsid w:val="00433242"/>
    <w:rsid w:val="00436B54"/>
    <w:rsid w:val="00436F28"/>
    <w:rsid w:val="00436F76"/>
    <w:rsid w:val="00440D85"/>
    <w:rsid w:val="0044110C"/>
    <w:rsid w:val="00441A99"/>
    <w:rsid w:val="00442767"/>
    <w:rsid w:val="00444960"/>
    <w:rsid w:val="00444A48"/>
    <w:rsid w:val="00445806"/>
    <w:rsid w:val="0044748A"/>
    <w:rsid w:val="00450611"/>
    <w:rsid w:val="004507A1"/>
    <w:rsid w:val="0045129B"/>
    <w:rsid w:val="004518EA"/>
    <w:rsid w:val="00451DFF"/>
    <w:rsid w:val="00453327"/>
    <w:rsid w:val="00453A41"/>
    <w:rsid w:val="00456C20"/>
    <w:rsid w:val="00460994"/>
    <w:rsid w:val="00462718"/>
    <w:rsid w:val="00462CFF"/>
    <w:rsid w:val="00463932"/>
    <w:rsid w:val="00465210"/>
    <w:rsid w:val="0046790A"/>
    <w:rsid w:val="0047014C"/>
    <w:rsid w:val="00470AF4"/>
    <w:rsid w:val="00470EE9"/>
    <w:rsid w:val="0047130B"/>
    <w:rsid w:val="00471992"/>
    <w:rsid w:val="00471E68"/>
    <w:rsid w:val="0047237E"/>
    <w:rsid w:val="0047251B"/>
    <w:rsid w:val="0047346C"/>
    <w:rsid w:val="004740D3"/>
    <w:rsid w:val="00477821"/>
    <w:rsid w:val="0048018F"/>
    <w:rsid w:val="00480B4B"/>
    <w:rsid w:val="00480DA9"/>
    <w:rsid w:val="004819B1"/>
    <w:rsid w:val="00481CE9"/>
    <w:rsid w:val="004831F8"/>
    <w:rsid w:val="004835FB"/>
    <w:rsid w:val="00484D9C"/>
    <w:rsid w:val="00485752"/>
    <w:rsid w:val="00485DC4"/>
    <w:rsid w:val="0048690A"/>
    <w:rsid w:val="00487021"/>
    <w:rsid w:val="00487C10"/>
    <w:rsid w:val="00491631"/>
    <w:rsid w:val="004923CD"/>
    <w:rsid w:val="00492875"/>
    <w:rsid w:val="00492A06"/>
    <w:rsid w:val="0049337E"/>
    <w:rsid w:val="00493B02"/>
    <w:rsid w:val="00494036"/>
    <w:rsid w:val="004944FF"/>
    <w:rsid w:val="00495574"/>
    <w:rsid w:val="00496C02"/>
    <w:rsid w:val="0049751C"/>
    <w:rsid w:val="004A0AB5"/>
    <w:rsid w:val="004A1061"/>
    <w:rsid w:val="004A1184"/>
    <w:rsid w:val="004A13A6"/>
    <w:rsid w:val="004A2770"/>
    <w:rsid w:val="004A364A"/>
    <w:rsid w:val="004A4CEF"/>
    <w:rsid w:val="004B104F"/>
    <w:rsid w:val="004B1708"/>
    <w:rsid w:val="004B231C"/>
    <w:rsid w:val="004B42A7"/>
    <w:rsid w:val="004B4372"/>
    <w:rsid w:val="004B4412"/>
    <w:rsid w:val="004B5B3F"/>
    <w:rsid w:val="004C28B2"/>
    <w:rsid w:val="004C348C"/>
    <w:rsid w:val="004C4E90"/>
    <w:rsid w:val="004C63B9"/>
    <w:rsid w:val="004C6486"/>
    <w:rsid w:val="004C6C5B"/>
    <w:rsid w:val="004C7D3A"/>
    <w:rsid w:val="004D1774"/>
    <w:rsid w:val="004D1D1A"/>
    <w:rsid w:val="004D2A5B"/>
    <w:rsid w:val="004D4A76"/>
    <w:rsid w:val="004D5447"/>
    <w:rsid w:val="004D55BA"/>
    <w:rsid w:val="004E0F0F"/>
    <w:rsid w:val="004E1B1C"/>
    <w:rsid w:val="004E1E95"/>
    <w:rsid w:val="004E34E7"/>
    <w:rsid w:val="004E38D9"/>
    <w:rsid w:val="004E390F"/>
    <w:rsid w:val="004E4142"/>
    <w:rsid w:val="004E567F"/>
    <w:rsid w:val="004E6AFC"/>
    <w:rsid w:val="004E70CA"/>
    <w:rsid w:val="004E755C"/>
    <w:rsid w:val="004E7D10"/>
    <w:rsid w:val="004F171D"/>
    <w:rsid w:val="004F18F3"/>
    <w:rsid w:val="004F1A96"/>
    <w:rsid w:val="004F1F01"/>
    <w:rsid w:val="004F5381"/>
    <w:rsid w:val="004F6D0A"/>
    <w:rsid w:val="004F6ED0"/>
    <w:rsid w:val="00501B85"/>
    <w:rsid w:val="0050244E"/>
    <w:rsid w:val="00502843"/>
    <w:rsid w:val="00502D42"/>
    <w:rsid w:val="00502F3B"/>
    <w:rsid w:val="005033F6"/>
    <w:rsid w:val="0050349E"/>
    <w:rsid w:val="005047F1"/>
    <w:rsid w:val="00505B5E"/>
    <w:rsid w:val="00507A9B"/>
    <w:rsid w:val="00510A43"/>
    <w:rsid w:val="00511552"/>
    <w:rsid w:val="0051195C"/>
    <w:rsid w:val="005177C0"/>
    <w:rsid w:val="00522199"/>
    <w:rsid w:val="00522360"/>
    <w:rsid w:val="00522486"/>
    <w:rsid w:val="00522668"/>
    <w:rsid w:val="00522F1C"/>
    <w:rsid w:val="00523AD2"/>
    <w:rsid w:val="00524513"/>
    <w:rsid w:val="00524D8F"/>
    <w:rsid w:val="00525B46"/>
    <w:rsid w:val="00527551"/>
    <w:rsid w:val="005279B6"/>
    <w:rsid w:val="00530128"/>
    <w:rsid w:val="00530657"/>
    <w:rsid w:val="005323B2"/>
    <w:rsid w:val="00532467"/>
    <w:rsid w:val="00533C15"/>
    <w:rsid w:val="0053491C"/>
    <w:rsid w:val="005358F4"/>
    <w:rsid w:val="0053611E"/>
    <w:rsid w:val="00536609"/>
    <w:rsid w:val="0054102B"/>
    <w:rsid w:val="0054173F"/>
    <w:rsid w:val="00541B82"/>
    <w:rsid w:val="0054254C"/>
    <w:rsid w:val="0054313C"/>
    <w:rsid w:val="00543544"/>
    <w:rsid w:val="00543945"/>
    <w:rsid w:val="00543BEC"/>
    <w:rsid w:val="00543CC7"/>
    <w:rsid w:val="00544C6F"/>
    <w:rsid w:val="00545077"/>
    <w:rsid w:val="005479BB"/>
    <w:rsid w:val="00547DC4"/>
    <w:rsid w:val="005502E7"/>
    <w:rsid w:val="00551739"/>
    <w:rsid w:val="005518E8"/>
    <w:rsid w:val="00552108"/>
    <w:rsid w:val="0055298D"/>
    <w:rsid w:val="00552DA2"/>
    <w:rsid w:val="00554D95"/>
    <w:rsid w:val="00555667"/>
    <w:rsid w:val="005556B9"/>
    <w:rsid w:val="00556553"/>
    <w:rsid w:val="00556B64"/>
    <w:rsid w:val="005575B9"/>
    <w:rsid w:val="00560CE5"/>
    <w:rsid w:val="00561A9D"/>
    <w:rsid w:val="00562103"/>
    <w:rsid w:val="0056218D"/>
    <w:rsid w:val="00562CEE"/>
    <w:rsid w:val="00562EF1"/>
    <w:rsid w:val="00563B96"/>
    <w:rsid w:val="00563F89"/>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059A"/>
    <w:rsid w:val="005810AE"/>
    <w:rsid w:val="005819F3"/>
    <w:rsid w:val="00581C36"/>
    <w:rsid w:val="00581FB0"/>
    <w:rsid w:val="00582183"/>
    <w:rsid w:val="00582446"/>
    <w:rsid w:val="005839B3"/>
    <w:rsid w:val="00584169"/>
    <w:rsid w:val="00584D8F"/>
    <w:rsid w:val="00585D42"/>
    <w:rsid w:val="0058645E"/>
    <w:rsid w:val="0059050D"/>
    <w:rsid w:val="00593DCD"/>
    <w:rsid w:val="005943E8"/>
    <w:rsid w:val="005950AB"/>
    <w:rsid w:val="0059539A"/>
    <w:rsid w:val="00595613"/>
    <w:rsid w:val="00595ED0"/>
    <w:rsid w:val="00596275"/>
    <w:rsid w:val="005A1287"/>
    <w:rsid w:val="005A1339"/>
    <w:rsid w:val="005A3B2C"/>
    <w:rsid w:val="005A3B6C"/>
    <w:rsid w:val="005A3F7E"/>
    <w:rsid w:val="005A404D"/>
    <w:rsid w:val="005A42D5"/>
    <w:rsid w:val="005A5657"/>
    <w:rsid w:val="005A56D0"/>
    <w:rsid w:val="005A5AE3"/>
    <w:rsid w:val="005A6CB0"/>
    <w:rsid w:val="005A6F22"/>
    <w:rsid w:val="005A731B"/>
    <w:rsid w:val="005B0461"/>
    <w:rsid w:val="005B0838"/>
    <w:rsid w:val="005B0EF5"/>
    <w:rsid w:val="005B1402"/>
    <w:rsid w:val="005B1E3C"/>
    <w:rsid w:val="005B4063"/>
    <w:rsid w:val="005B4810"/>
    <w:rsid w:val="005B4C44"/>
    <w:rsid w:val="005B62AF"/>
    <w:rsid w:val="005B6994"/>
    <w:rsid w:val="005B6FC9"/>
    <w:rsid w:val="005B7F8F"/>
    <w:rsid w:val="005C08DE"/>
    <w:rsid w:val="005C0D2F"/>
    <w:rsid w:val="005C26CC"/>
    <w:rsid w:val="005C3411"/>
    <w:rsid w:val="005C3D54"/>
    <w:rsid w:val="005C3DEC"/>
    <w:rsid w:val="005C4E3D"/>
    <w:rsid w:val="005C4F80"/>
    <w:rsid w:val="005C53C0"/>
    <w:rsid w:val="005C546A"/>
    <w:rsid w:val="005C553B"/>
    <w:rsid w:val="005C592F"/>
    <w:rsid w:val="005C5D2E"/>
    <w:rsid w:val="005C5E72"/>
    <w:rsid w:val="005C6C60"/>
    <w:rsid w:val="005D0D61"/>
    <w:rsid w:val="005D0F07"/>
    <w:rsid w:val="005D24A9"/>
    <w:rsid w:val="005D2FBD"/>
    <w:rsid w:val="005D4D5F"/>
    <w:rsid w:val="005D5ECD"/>
    <w:rsid w:val="005D69AF"/>
    <w:rsid w:val="005E0B7E"/>
    <w:rsid w:val="005E2086"/>
    <w:rsid w:val="005E343A"/>
    <w:rsid w:val="005E4EB1"/>
    <w:rsid w:val="005E6DAF"/>
    <w:rsid w:val="005E6FFA"/>
    <w:rsid w:val="005E7718"/>
    <w:rsid w:val="005F0661"/>
    <w:rsid w:val="005F0CD5"/>
    <w:rsid w:val="005F28E5"/>
    <w:rsid w:val="005F37A9"/>
    <w:rsid w:val="005F4B8B"/>
    <w:rsid w:val="005F55BC"/>
    <w:rsid w:val="005F59D5"/>
    <w:rsid w:val="005F69C4"/>
    <w:rsid w:val="005F6ADE"/>
    <w:rsid w:val="005F702C"/>
    <w:rsid w:val="005F7247"/>
    <w:rsid w:val="00600B2D"/>
    <w:rsid w:val="00600FB0"/>
    <w:rsid w:val="00601705"/>
    <w:rsid w:val="0060272B"/>
    <w:rsid w:val="00602A58"/>
    <w:rsid w:val="00602BFF"/>
    <w:rsid w:val="00603914"/>
    <w:rsid w:val="006042D7"/>
    <w:rsid w:val="00604DB6"/>
    <w:rsid w:val="006057DD"/>
    <w:rsid w:val="006074A3"/>
    <w:rsid w:val="00607BA0"/>
    <w:rsid w:val="00610304"/>
    <w:rsid w:val="00612006"/>
    <w:rsid w:val="00612013"/>
    <w:rsid w:val="00612702"/>
    <w:rsid w:val="00612FE8"/>
    <w:rsid w:val="00613324"/>
    <w:rsid w:val="00613DEC"/>
    <w:rsid w:val="00615619"/>
    <w:rsid w:val="00615C6B"/>
    <w:rsid w:val="00616CEC"/>
    <w:rsid w:val="00620B1B"/>
    <w:rsid w:val="00621545"/>
    <w:rsid w:val="0062203C"/>
    <w:rsid w:val="00622104"/>
    <w:rsid w:val="0062525D"/>
    <w:rsid w:val="00626A3A"/>
    <w:rsid w:val="00626E1A"/>
    <w:rsid w:val="00627B2D"/>
    <w:rsid w:val="0063066D"/>
    <w:rsid w:val="006309A2"/>
    <w:rsid w:val="00630A15"/>
    <w:rsid w:val="00631560"/>
    <w:rsid w:val="006319C1"/>
    <w:rsid w:val="00631C80"/>
    <w:rsid w:val="00631E89"/>
    <w:rsid w:val="00632D6D"/>
    <w:rsid w:val="00633753"/>
    <w:rsid w:val="00634D01"/>
    <w:rsid w:val="0063567F"/>
    <w:rsid w:val="0063580F"/>
    <w:rsid w:val="00636936"/>
    <w:rsid w:val="00637D55"/>
    <w:rsid w:val="00641006"/>
    <w:rsid w:val="006411E6"/>
    <w:rsid w:val="00642C3E"/>
    <w:rsid w:val="00643B2F"/>
    <w:rsid w:val="00644F6E"/>
    <w:rsid w:val="006471D4"/>
    <w:rsid w:val="00647804"/>
    <w:rsid w:val="0065049E"/>
    <w:rsid w:val="0065082F"/>
    <w:rsid w:val="00650DE2"/>
    <w:rsid w:val="00651005"/>
    <w:rsid w:val="0065226B"/>
    <w:rsid w:val="00654DBE"/>
    <w:rsid w:val="0065567D"/>
    <w:rsid w:val="006556AA"/>
    <w:rsid w:val="00655837"/>
    <w:rsid w:val="00656588"/>
    <w:rsid w:val="0065661E"/>
    <w:rsid w:val="006566B8"/>
    <w:rsid w:val="006569A5"/>
    <w:rsid w:val="006573B5"/>
    <w:rsid w:val="00660F82"/>
    <w:rsid w:val="00661F88"/>
    <w:rsid w:val="00662B21"/>
    <w:rsid w:val="00663DAD"/>
    <w:rsid w:val="00664083"/>
    <w:rsid w:val="00665ACC"/>
    <w:rsid w:val="00666226"/>
    <w:rsid w:val="0067092D"/>
    <w:rsid w:val="00670F59"/>
    <w:rsid w:val="0067180B"/>
    <w:rsid w:val="0067364C"/>
    <w:rsid w:val="00673D15"/>
    <w:rsid w:val="006741D4"/>
    <w:rsid w:val="00675C7F"/>
    <w:rsid w:val="00675E21"/>
    <w:rsid w:val="00676197"/>
    <w:rsid w:val="00676392"/>
    <w:rsid w:val="00676679"/>
    <w:rsid w:val="00677233"/>
    <w:rsid w:val="006777D7"/>
    <w:rsid w:val="00681479"/>
    <w:rsid w:val="0068251F"/>
    <w:rsid w:val="00682A0D"/>
    <w:rsid w:val="006836D7"/>
    <w:rsid w:val="00684647"/>
    <w:rsid w:val="00684E01"/>
    <w:rsid w:val="006861F0"/>
    <w:rsid w:val="00686411"/>
    <w:rsid w:val="00687AA8"/>
    <w:rsid w:val="00690F0B"/>
    <w:rsid w:val="00694FD6"/>
    <w:rsid w:val="0069547C"/>
    <w:rsid w:val="006956EC"/>
    <w:rsid w:val="00696FCB"/>
    <w:rsid w:val="006A0411"/>
    <w:rsid w:val="006A20CE"/>
    <w:rsid w:val="006A21CD"/>
    <w:rsid w:val="006A35B0"/>
    <w:rsid w:val="006A5730"/>
    <w:rsid w:val="006A6258"/>
    <w:rsid w:val="006A698D"/>
    <w:rsid w:val="006A6EDD"/>
    <w:rsid w:val="006A7C64"/>
    <w:rsid w:val="006B0C7B"/>
    <w:rsid w:val="006B3202"/>
    <w:rsid w:val="006B32F3"/>
    <w:rsid w:val="006B4CF9"/>
    <w:rsid w:val="006B63A3"/>
    <w:rsid w:val="006B6CC3"/>
    <w:rsid w:val="006B77F5"/>
    <w:rsid w:val="006B7AC8"/>
    <w:rsid w:val="006C0B4D"/>
    <w:rsid w:val="006C170B"/>
    <w:rsid w:val="006C1813"/>
    <w:rsid w:val="006C196C"/>
    <w:rsid w:val="006C1E8B"/>
    <w:rsid w:val="006C1F0C"/>
    <w:rsid w:val="006C2373"/>
    <w:rsid w:val="006C318F"/>
    <w:rsid w:val="006C3620"/>
    <w:rsid w:val="006C41C4"/>
    <w:rsid w:val="006C447D"/>
    <w:rsid w:val="006C4534"/>
    <w:rsid w:val="006C5B09"/>
    <w:rsid w:val="006C62B7"/>
    <w:rsid w:val="006D0C1E"/>
    <w:rsid w:val="006D1A40"/>
    <w:rsid w:val="006D1D94"/>
    <w:rsid w:val="006D3561"/>
    <w:rsid w:val="006D38CE"/>
    <w:rsid w:val="006D44B4"/>
    <w:rsid w:val="006D550F"/>
    <w:rsid w:val="006D5B9F"/>
    <w:rsid w:val="006D6001"/>
    <w:rsid w:val="006D6AE2"/>
    <w:rsid w:val="006D6B47"/>
    <w:rsid w:val="006D6F7E"/>
    <w:rsid w:val="006D7923"/>
    <w:rsid w:val="006E1E7D"/>
    <w:rsid w:val="006E218F"/>
    <w:rsid w:val="006E244A"/>
    <w:rsid w:val="006E5F3E"/>
    <w:rsid w:val="006E78CF"/>
    <w:rsid w:val="006F0601"/>
    <w:rsid w:val="006F0B74"/>
    <w:rsid w:val="006F0D76"/>
    <w:rsid w:val="006F1044"/>
    <w:rsid w:val="006F3750"/>
    <w:rsid w:val="006F393C"/>
    <w:rsid w:val="006F3C98"/>
    <w:rsid w:val="006F3FCB"/>
    <w:rsid w:val="006F48AA"/>
    <w:rsid w:val="006F4C38"/>
    <w:rsid w:val="006F4D5B"/>
    <w:rsid w:val="006F66A3"/>
    <w:rsid w:val="006F6C2D"/>
    <w:rsid w:val="00700DAB"/>
    <w:rsid w:val="00701CAB"/>
    <w:rsid w:val="007037F6"/>
    <w:rsid w:val="00704518"/>
    <w:rsid w:val="00704CA4"/>
    <w:rsid w:val="00707011"/>
    <w:rsid w:val="00707242"/>
    <w:rsid w:val="00707563"/>
    <w:rsid w:val="0071151C"/>
    <w:rsid w:val="00711BF6"/>
    <w:rsid w:val="00712D03"/>
    <w:rsid w:val="007152FC"/>
    <w:rsid w:val="00716355"/>
    <w:rsid w:val="0071735A"/>
    <w:rsid w:val="007200F4"/>
    <w:rsid w:val="0072073C"/>
    <w:rsid w:val="00720AB2"/>
    <w:rsid w:val="00720EF8"/>
    <w:rsid w:val="0072348C"/>
    <w:rsid w:val="007241D7"/>
    <w:rsid w:val="007247EC"/>
    <w:rsid w:val="00724827"/>
    <w:rsid w:val="00724A37"/>
    <w:rsid w:val="00724BF3"/>
    <w:rsid w:val="00727B92"/>
    <w:rsid w:val="00727D4D"/>
    <w:rsid w:val="007303C3"/>
    <w:rsid w:val="00730446"/>
    <w:rsid w:val="007317CE"/>
    <w:rsid w:val="00731F13"/>
    <w:rsid w:val="0073214E"/>
    <w:rsid w:val="00732450"/>
    <w:rsid w:val="00732CE1"/>
    <w:rsid w:val="00732D22"/>
    <w:rsid w:val="0073319F"/>
    <w:rsid w:val="0073449E"/>
    <w:rsid w:val="0073561F"/>
    <w:rsid w:val="007356A7"/>
    <w:rsid w:val="00737494"/>
    <w:rsid w:val="00741247"/>
    <w:rsid w:val="00741D03"/>
    <w:rsid w:val="007426D5"/>
    <w:rsid w:val="00743223"/>
    <w:rsid w:val="00746063"/>
    <w:rsid w:val="00746E01"/>
    <w:rsid w:val="007478A2"/>
    <w:rsid w:val="00747D2F"/>
    <w:rsid w:val="0075017A"/>
    <w:rsid w:val="00751821"/>
    <w:rsid w:val="007532DD"/>
    <w:rsid w:val="00753780"/>
    <w:rsid w:val="00753ADA"/>
    <w:rsid w:val="00755B85"/>
    <w:rsid w:val="00755BE7"/>
    <w:rsid w:val="007560C8"/>
    <w:rsid w:val="007600A5"/>
    <w:rsid w:val="00760FD8"/>
    <w:rsid w:val="00761409"/>
    <w:rsid w:val="007618A3"/>
    <w:rsid w:val="00762D41"/>
    <w:rsid w:val="00763E5D"/>
    <w:rsid w:val="00764468"/>
    <w:rsid w:val="00764C7F"/>
    <w:rsid w:val="00765EE8"/>
    <w:rsid w:val="007666AC"/>
    <w:rsid w:val="00767740"/>
    <w:rsid w:val="00771822"/>
    <w:rsid w:val="00772A95"/>
    <w:rsid w:val="00773841"/>
    <w:rsid w:val="007751A3"/>
    <w:rsid w:val="00777EE6"/>
    <w:rsid w:val="00780452"/>
    <w:rsid w:val="00781A01"/>
    <w:rsid w:val="00782EEA"/>
    <w:rsid w:val="0078319A"/>
    <w:rsid w:val="00783D4E"/>
    <w:rsid w:val="00784059"/>
    <w:rsid w:val="0078423F"/>
    <w:rsid w:val="00784A7E"/>
    <w:rsid w:val="007861E0"/>
    <w:rsid w:val="0078755C"/>
    <w:rsid w:val="0079277A"/>
    <w:rsid w:val="0079310A"/>
    <w:rsid w:val="00795786"/>
    <w:rsid w:val="007959E7"/>
    <w:rsid w:val="00795F9B"/>
    <w:rsid w:val="0079631B"/>
    <w:rsid w:val="00796C78"/>
    <w:rsid w:val="00796D6A"/>
    <w:rsid w:val="007A0FFE"/>
    <w:rsid w:val="007A1135"/>
    <w:rsid w:val="007A1345"/>
    <w:rsid w:val="007A1428"/>
    <w:rsid w:val="007A1AB0"/>
    <w:rsid w:val="007A32BB"/>
    <w:rsid w:val="007A33E8"/>
    <w:rsid w:val="007A3A5D"/>
    <w:rsid w:val="007A5525"/>
    <w:rsid w:val="007A6572"/>
    <w:rsid w:val="007A6656"/>
    <w:rsid w:val="007A7264"/>
    <w:rsid w:val="007B1732"/>
    <w:rsid w:val="007B2C72"/>
    <w:rsid w:val="007B3F68"/>
    <w:rsid w:val="007B497F"/>
    <w:rsid w:val="007B57F8"/>
    <w:rsid w:val="007B5B65"/>
    <w:rsid w:val="007B742A"/>
    <w:rsid w:val="007B78AB"/>
    <w:rsid w:val="007C0679"/>
    <w:rsid w:val="007C09C7"/>
    <w:rsid w:val="007C1C53"/>
    <w:rsid w:val="007C26D6"/>
    <w:rsid w:val="007C2CC0"/>
    <w:rsid w:val="007C2EE8"/>
    <w:rsid w:val="007C62FE"/>
    <w:rsid w:val="007C6FE2"/>
    <w:rsid w:val="007C7930"/>
    <w:rsid w:val="007D00F6"/>
    <w:rsid w:val="007D1133"/>
    <w:rsid w:val="007D1258"/>
    <w:rsid w:val="007D2028"/>
    <w:rsid w:val="007D47B2"/>
    <w:rsid w:val="007D53A8"/>
    <w:rsid w:val="007D569E"/>
    <w:rsid w:val="007D6FC9"/>
    <w:rsid w:val="007D74C6"/>
    <w:rsid w:val="007D7AEB"/>
    <w:rsid w:val="007E1516"/>
    <w:rsid w:val="007E4904"/>
    <w:rsid w:val="007E4CB5"/>
    <w:rsid w:val="007E5597"/>
    <w:rsid w:val="007E647C"/>
    <w:rsid w:val="007E74E0"/>
    <w:rsid w:val="007E7C67"/>
    <w:rsid w:val="007E7D47"/>
    <w:rsid w:val="007F066B"/>
    <w:rsid w:val="007F0F77"/>
    <w:rsid w:val="007F1DBA"/>
    <w:rsid w:val="007F21B4"/>
    <w:rsid w:val="007F2BBD"/>
    <w:rsid w:val="007F2D03"/>
    <w:rsid w:val="007F3B2C"/>
    <w:rsid w:val="007F3D64"/>
    <w:rsid w:val="007F3F46"/>
    <w:rsid w:val="007F45D2"/>
    <w:rsid w:val="007F475F"/>
    <w:rsid w:val="007F4AB4"/>
    <w:rsid w:val="007F5457"/>
    <w:rsid w:val="007F54B4"/>
    <w:rsid w:val="008004A2"/>
    <w:rsid w:val="008011F4"/>
    <w:rsid w:val="008033C4"/>
    <w:rsid w:val="00806288"/>
    <w:rsid w:val="00806BC1"/>
    <w:rsid w:val="00806C88"/>
    <w:rsid w:val="00807112"/>
    <w:rsid w:val="00807A5C"/>
    <w:rsid w:val="0081034E"/>
    <w:rsid w:val="0081253D"/>
    <w:rsid w:val="00812E7B"/>
    <w:rsid w:val="0081351D"/>
    <w:rsid w:val="00813CE4"/>
    <w:rsid w:val="0081592A"/>
    <w:rsid w:val="008238B2"/>
    <w:rsid w:val="008245E2"/>
    <w:rsid w:val="008257CA"/>
    <w:rsid w:val="00827EC2"/>
    <w:rsid w:val="008301E7"/>
    <w:rsid w:val="00831483"/>
    <w:rsid w:val="0083313E"/>
    <w:rsid w:val="00833A38"/>
    <w:rsid w:val="008344B4"/>
    <w:rsid w:val="008344F6"/>
    <w:rsid w:val="0083510F"/>
    <w:rsid w:val="008366CD"/>
    <w:rsid w:val="00836890"/>
    <w:rsid w:val="00837C0C"/>
    <w:rsid w:val="00840C6C"/>
    <w:rsid w:val="00840D87"/>
    <w:rsid w:val="00840FCC"/>
    <w:rsid w:val="00843C59"/>
    <w:rsid w:val="008445D3"/>
    <w:rsid w:val="00845396"/>
    <w:rsid w:val="00847ED9"/>
    <w:rsid w:val="00850AAD"/>
    <w:rsid w:val="00850C5A"/>
    <w:rsid w:val="00851209"/>
    <w:rsid w:val="0085188E"/>
    <w:rsid w:val="00851B46"/>
    <w:rsid w:val="00852B3D"/>
    <w:rsid w:val="00854974"/>
    <w:rsid w:val="008556A5"/>
    <w:rsid w:val="00855D1C"/>
    <w:rsid w:val="00856965"/>
    <w:rsid w:val="00857917"/>
    <w:rsid w:val="0086123D"/>
    <w:rsid w:val="00861AED"/>
    <w:rsid w:val="00862283"/>
    <w:rsid w:val="00862467"/>
    <w:rsid w:val="00864A9F"/>
    <w:rsid w:val="00865749"/>
    <w:rsid w:val="00867506"/>
    <w:rsid w:val="008707C1"/>
    <w:rsid w:val="00870903"/>
    <w:rsid w:val="00871F42"/>
    <w:rsid w:val="0087280A"/>
    <w:rsid w:val="0087308C"/>
    <w:rsid w:val="00873B1F"/>
    <w:rsid w:val="0087479D"/>
    <w:rsid w:val="00882E1D"/>
    <w:rsid w:val="008837AC"/>
    <w:rsid w:val="00883B12"/>
    <w:rsid w:val="00883FB8"/>
    <w:rsid w:val="00884D30"/>
    <w:rsid w:val="0088604D"/>
    <w:rsid w:val="00886662"/>
    <w:rsid w:val="00886BAB"/>
    <w:rsid w:val="00886CEC"/>
    <w:rsid w:val="00886FA8"/>
    <w:rsid w:val="00887EBF"/>
    <w:rsid w:val="008909FD"/>
    <w:rsid w:val="00890E9F"/>
    <w:rsid w:val="008934F4"/>
    <w:rsid w:val="00895878"/>
    <w:rsid w:val="00896C79"/>
    <w:rsid w:val="008A0E23"/>
    <w:rsid w:val="008A147B"/>
    <w:rsid w:val="008A346B"/>
    <w:rsid w:val="008A434A"/>
    <w:rsid w:val="008A44B5"/>
    <w:rsid w:val="008A4DB6"/>
    <w:rsid w:val="008A5224"/>
    <w:rsid w:val="008A587D"/>
    <w:rsid w:val="008A59AB"/>
    <w:rsid w:val="008A6198"/>
    <w:rsid w:val="008A7580"/>
    <w:rsid w:val="008A7E37"/>
    <w:rsid w:val="008B0D4C"/>
    <w:rsid w:val="008B0F35"/>
    <w:rsid w:val="008B18AC"/>
    <w:rsid w:val="008B22BE"/>
    <w:rsid w:val="008B3025"/>
    <w:rsid w:val="008B3F36"/>
    <w:rsid w:val="008B416B"/>
    <w:rsid w:val="008B6DA5"/>
    <w:rsid w:val="008B7F4B"/>
    <w:rsid w:val="008C094A"/>
    <w:rsid w:val="008C1D7C"/>
    <w:rsid w:val="008C1FE0"/>
    <w:rsid w:val="008C2595"/>
    <w:rsid w:val="008C4E0D"/>
    <w:rsid w:val="008C50F7"/>
    <w:rsid w:val="008C50FB"/>
    <w:rsid w:val="008C5486"/>
    <w:rsid w:val="008C5DF2"/>
    <w:rsid w:val="008C6384"/>
    <w:rsid w:val="008C6B16"/>
    <w:rsid w:val="008D21CB"/>
    <w:rsid w:val="008D2CEE"/>
    <w:rsid w:val="008D3129"/>
    <w:rsid w:val="008D4136"/>
    <w:rsid w:val="008D44EC"/>
    <w:rsid w:val="008D4820"/>
    <w:rsid w:val="008D4C7D"/>
    <w:rsid w:val="008D4E23"/>
    <w:rsid w:val="008D4FEF"/>
    <w:rsid w:val="008D668B"/>
    <w:rsid w:val="008D6AC3"/>
    <w:rsid w:val="008D726C"/>
    <w:rsid w:val="008E0420"/>
    <w:rsid w:val="008E1B1B"/>
    <w:rsid w:val="008E1E8E"/>
    <w:rsid w:val="008E2316"/>
    <w:rsid w:val="008E23D1"/>
    <w:rsid w:val="008E2C54"/>
    <w:rsid w:val="008E3AAC"/>
    <w:rsid w:val="008E535A"/>
    <w:rsid w:val="008E6CAE"/>
    <w:rsid w:val="008E7031"/>
    <w:rsid w:val="008F05DF"/>
    <w:rsid w:val="008F101A"/>
    <w:rsid w:val="008F14C9"/>
    <w:rsid w:val="008F2DE1"/>
    <w:rsid w:val="008F2F48"/>
    <w:rsid w:val="008F4AD5"/>
    <w:rsid w:val="008F4C72"/>
    <w:rsid w:val="008F4DFD"/>
    <w:rsid w:val="008F68BD"/>
    <w:rsid w:val="008F6E27"/>
    <w:rsid w:val="008F6FC7"/>
    <w:rsid w:val="008F71C7"/>
    <w:rsid w:val="008F7622"/>
    <w:rsid w:val="008F7954"/>
    <w:rsid w:val="009004F5"/>
    <w:rsid w:val="00900941"/>
    <w:rsid w:val="0090239D"/>
    <w:rsid w:val="00902445"/>
    <w:rsid w:val="009026B4"/>
    <w:rsid w:val="009039C7"/>
    <w:rsid w:val="00903A78"/>
    <w:rsid w:val="00903CF6"/>
    <w:rsid w:val="009057E0"/>
    <w:rsid w:val="009064FC"/>
    <w:rsid w:val="00910156"/>
    <w:rsid w:val="0091130F"/>
    <w:rsid w:val="009128D6"/>
    <w:rsid w:val="00913C7D"/>
    <w:rsid w:val="00914975"/>
    <w:rsid w:val="00914A87"/>
    <w:rsid w:val="00915BFF"/>
    <w:rsid w:val="0091710E"/>
    <w:rsid w:val="00921066"/>
    <w:rsid w:val="00921957"/>
    <w:rsid w:val="00922000"/>
    <w:rsid w:val="00922ACF"/>
    <w:rsid w:val="009233EE"/>
    <w:rsid w:val="00924207"/>
    <w:rsid w:val="0092422F"/>
    <w:rsid w:val="00925ADD"/>
    <w:rsid w:val="00927426"/>
    <w:rsid w:val="0092748A"/>
    <w:rsid w:val="00927738"/>
    <w:rsid w:val="0093233D"/>
    <w:rsid w:val="00932606"/>
    <w:rsid w:val="009335AE"/>
    <w:rsid w:val="00933B55"/>
    <w:rsid w:val="00935408"/>
    <w:rsid w:val="009359EF"/>
    <w:rsid w:val="00936740"/>
    <w:rsid w:val="009377D8"/>
    <w:rsid w:val="00940393"/>
    <w:rsid w:val="0094150C"/>
    <w:rsid w:val="00941934"/>
    <w:rsid w:val="00941B66"/>
    <w:rsid w:val="00941C1B"/>
    <w:rsid w:val="00942863"/>
    <w:rsid w:val="00944863"/>
    <w:rsid w:val="00944A98"/>
    <w:rsid w:val="009456B7"/>
    <w:rsid w:val="009456DC"/>
    <w:rsid w:val="0094643C"/>
    <w:rsid w:val="00947919"/>
    <w:rsid w:val="00950B15"/>
    <w:rsid w:val="0095158D"/>
    <w:rsid w:val="00951F10"/>
    <w:rsid w:val="00952CF7"/>
    <w:rsid w:val="00953534"/>
    <w:rsid w:val="00953576"/>
    <w:rsid w:val="009540FA"/>
    <w:rsid w:val="00956C19"/>
    <w:rsid w:val="00957591"/>
    <w:rsid w:val="0095772E"/>
    <w:rsid w:val="0096061C"/>
    <w:rsid w:val="00960AC5"/>
    <w:rsid w:val="00960C83"/>
    <w:rsid w:val="00963053"/>
    <w:rsid w:val="00963B7A"/>
    <w:rsid w:val="00963EC7"/>
    <w:rsid w:val="009661DE"/>
    <w:rsid w:val="009709BF"/>
    <w:rsid w:val="009716B6"/>
    <w:rsid w:val="009721AF"/>
    <w:rsid w:val="00972A40"/>
    <w:rsid w:val="00973867"/>
    <w:rsid w:val="00974CDB"/>
    <w:rsid w:val="009754A8"/>
    <w:rsid w:val="0097586B"/>
    <w:rsid w:val="009777E3"/>
    <w:rsid w:val="00981578"/>
    <w:rsid w:val="00981E7F"/>
    <w:rsid w:val="00982FEB"/>
    <w:rsid w:val="009837D1"/>
    <w:rsid w:val="00983EEC"/>
    <w:rsid w:val="00984BDD"/>
    <w:rsid w:val="009856B7"/>
    <w:rsid w:val="00985A66"/>
    <w:rsid w:val="0098646A"/>
    <w:rsid w:val="00986EE3"/>
    <w:rsid w:val="0098773D"/>
    <w:rsid w:val="009907BC"/>
    <w:rsid w:val="00991732"/>
    <w:rsid w:val="009920D2"/>
    <w:rsid w:val="009928BC"/>
    <w:rsid w:val="009937B4"/>
    <w:rsid w:val="0099572C"/>
    <w:rsid w:val="00996498"/>
    <w:rsid w:val="009A090B"/>
    <w:rsid w:val="009A0A73"/>
    <w:rsid w:val="009A0EDF"/>
    <w:rsid w:val="009A14D0"/>
    <w:rsid w:val="009A2F14"/>
    <w:rsid w:val="009A3D22"/>
    <w:rsid w:val="009A4283"/>
    <w:rsid w:val="009A4B08"/>
    <w:rsid w:val="009A574C"/>
    <w:rsid w:val="009A6D69"/>
    <w:rsid w:val="009A7F75"/>
    <w:rsid w:val="009B0884"/>
    <w:rsid w:val="009B1174"/>
    <w:rsid w:val="009B21F2"/>
    <w:rsid w:val="009B4E65"/>
    <w:rsid w:val="009B533B"/>
    <w:rsid w:val="009B5478"/>
    <w:rsid w:val="009B5D28"/>
    <w:rsid w:val="009B615C"/>
    <w:rsid w:val="009B69AA"/>
    <w:rsid w:val="009B74B0"/>
    <w:rsid w:val="009B7E41"/>
    <w:rsid w:val="009C01D7"/>
    <w:rsid w:val="009C05B5"/>
    <w:rsid w:val="009C1BE3"/>
    <w:rsid w:val="009C2518"/>
    <w:rsid w:val="009C381D"/>
    <w:rsid w:val="009C4FB9"/>
    <w:rsid w:val="009C6A83"/>
    <w:rsid w:val="009C735B"/>
    <w:rsid w:val="009C77CC"/>
    <w:rsid w:val="009C7E88"/>
    <w:rsid w:val="009C7FDF"/>
    <w:rsid w:val="009D0B16"/>
    <w:rsid w:val="009D1895"/>
    <w:rsid w:val="009D3016"/>
    <w:rsid w:val="009D30B3"/>
    <w:rsid w:val="009D3902"/>
    <w:rsid w:val="009D4515"/>
    <w:rsid w:val="009D47E3"/>
    <w:rsid w:val="009D5AB7"/>
    <w:rsid w:val="009D633E"/>
    <w:rsid w:val="009D6B46"/>
    <w:rsid w:val="009D7FD8"/>
    <w:rsid w:val="009E1209"/>
    <w:rsid w:val="009E1242"/>
    <w:rsid w:val="009E1C38"/>
    <w:rsid w:val="009E2520"/>
    <w:rsid w:val="009E2637"/>
    <w:rsid w:val="009E2B88"/>
    <w:rsid w:val="009E384E"/>
    <w:rsid w:val="009E464D"/>
    <w:rsid w:val="009E6668"/>
    <w:rsid w:val="009E7749"/>
    <w:rsid w:val="009E7AC6"/>
    <w:rsid w:val="009E7D2D"/>
    <w:rsid w:val="009F0A79"/>
    <w:rsid w:val="009F0AD3"/>
    <w:rsid w:val="009F1D03"/>
    <w:rsid w:val="009F1E42"/>
    <w:rsid w:val="009F2CAC"/>
    <w:rsid w:val="009F4306"/>
    <w:rsid w:val="009F4806"/>
    <w:rsid w:val="009F4940"/>
    <w:rsid w:val="009F5217"/>
    <w:rsid w:val="00A041F4"/>
    <w:rsid w:val="00A04451"/>
    <w:rsid w:val="00A04F9F"/>
    <w:rsid w:val="00A057D1"/>
    <w:rsid w:val="00A05BED"/>
    <w:rsid w:val="00A06AD1"/>
    <w:rsid w:val="00A11053"/>
    <w:rsid w:val="00A1210E"/>
    <w:rsid w:val="00A14EE1"/>
    <w:rsid w:val="00A159BF"/>
    <w:rsid w:val="00A15E40"/>
    <w:rsid w:val="00A16DAF"/>
    <w:rsid w:val="00A16F26"/>
    <w:rsid w:val="00A178E7"/>
    <w:rsid w:val="00A20EEB"/>
    <w:rsid w:val="00A21F54"/>
    <w:rsid w:val="00A2302C"/>
    <w:rsid w:val="00A24D45"/>
    <w:rsid w:val="00A25353"/>
    <w:rsid w:val="00A2563F"/>
    <w:rsid w:val="00A26739"/>
    <w:rsid w:val="00A26C2F"/>
    <w:rsid w:val="00A30B76"/>
    <w:rsid w:val="00A31252"/>
    <w:rsid w:val="00A3219D"/>
    <w:rsid w:val="00A35169"/>
    <w:rsid w:val="00A3632A"/>
    <w:rsid w:val="00A37951"/>
    <w:rsid w:val="00A407AF"/>
    <w:rsid w:val="00A42006"/>
    <w:rsid w:val="00A432BC"/>
    <w:rsid w:val="00A433FB"/>
    <w:rsid w:val="00A441EA"/>
    <w:rsid w:val="00A4478A"/>
    <w:rsid w:val="00A44852"/>
    <w:rsid w:val="00A45EAC"/>
    <w:rsid w:val="00A463EF"/>
    <w:rsid w:val="00A46923"/>
    <w:rsid w:val="00A47A03"/>
    <w:rsid w:val="00A505D4"/>
    <w:rsid w:val="00A51808"/>
    <w:rsid w:val="00A52A18"/>
    <w:rsid w:val="00A53308"/>
    <w:rsid w:val="00A55288"/>
    <w:rsid w:val="00A5631E"/>
    <w:rsid w:val="00A575E8"/>
    <w:rsid w:val="00A57D04"/>
    <w:rsid w:val="00A57D69"/>
    <w:rsid w:val="00A605B5"/>
    <w:rsid w:val="00A6084B"/>
    <w:rsid w:val="00A60A26"/>
    <w:rsid w:val="00A61598"/>
    <w:rsid w:val="00A61DCF"/>
    <w:rsid w:val="00A645F9"/>
    <w:rsid w:val="00A64EBB"/>
    <w:rsid w:val="00A65BDC"/>
    <w:rsid w:val="00A672B8"/>
    <w:rsid w:val="00A6730F"/>
    <w:rsid w:val="00A679F2"/>
    <w:rsid w:val="00A71AA6"/>
    <w:rsid w:val="00A7334D"/>
    <w:rsid w:val="00A75AAA"/>
    <w:rsid w:val="00A77B76"/>
    <w:rsid w:val="00A80CD4"/>
    <w:rsid w:val="00A81710"/>
    <w:rsid w:val="00A81EF8"/>
    <w:rsid w:val="00A8219E"/>
    <w:rsid w:val="00A84107"/>
    <w:rsid w:val="00A84E2D"/>
    <w:rsid w:val="00A84F46"/>
    <w:rsid w:val="00A85B18"/>
    <w:rsid w:val="00A85C03"/>
    <w:rsid w:val="00A85DE3"/>
    <w:rsid w:val="00A871F4"/>
    <w:rsid w:val="00A87F90"/>
    <w:rsid w:val="00A912B1"/>
    <w:rsid w:val="00A914BD"/>
    <w:rsid w:val="00A91A4B"/>
    <w:rsid w:val="00A923DD"/>
    <w:rsid w:val="00A93139"/>
    <w:rsid w:val="00A9455D"/>
    <w:rsid w:val="00A94D89"/>
    <w:rsid w:val="00A956AD"/>
    <w:rsid w:val="00A96CE0"/>
    <w:rsid w:val="00A971A0"/>
    <w:rsid w:val="00AA05AF"/>
    <w:rsid w:val="00AA0C1B"/>
    <w:rsid w:val="00AA0CEB"/>
    <w:rsid w:val="00AA12D3"/>
    <w:rsid w:val="00AA34AB"/>
    <w:rsid w:val="00AA39C0"/>
    <w:rsid w:val="00AA3A2C"/>
    <w:rsid w:val="00AA476F"/>
    <w:rsid w:val="00AA649A"/>
    <w:rsid w:val="00AA73F0"/>
    <w:rsid w:val="00AB0A2E"/>
    <w:rsid w:val="00AB1500"/>
    <w:rsid w:val="00AB1CC2"/>
    <w:rsid w:val="00AB2E4E"/>
    <w:rsid w:val="00AB482F"/>
    <w:rsid w:val="00AB6478"/>
    <w:rsid w:val="00AB6927"/>
    <w:rsid w:val="00AB6AF1"/>
    <w:rsid w:val="00AC02C6"/>
    <w:rsid w:val="00AC0FE9"/>
    <w:rsid w:val="00AC1491"/>
    <w:rsid w:val="00AC1B2C"/>
    <w:rsid w:val="00AC1CF3"/>
    <w:rsid w:val="00AC242C"/>
    <w:rsid w:val="00AC3264"/>
    <w:rsid w:val="00AC45E8"/>
    <w:rsid w:val="00AC48DA"/>
    <w:rsid w:val="00AC5548"/>
    <w:rsid w:val="00AC5B96"/>
    <w:rsid w:val="00AC6043"/>
    <w:rsid w:val="00AC76B1"/>
    <w:rsid w:val="00AD0424"/>
    <w:rsid w:val="00AD0BDE"/>
    <w:rsid w:val="00AD20F6"/>
    <w:rsid w:val="00AD2195"/>
    <w:rsid w:val="00AD36D0"/>
    <w:rsid w:val="00AD3987"/>
    <w:rsid w:val="00AD3D69"/>
    <w:rsid w:val="00AD3EC2"/>
    <w:rsid w:val="00AD592F"/>
    <w:rsid w:val="00AD6D98"/>
    <w:rsid w:val="00AD76AE"/>
    <w:rsid w:val="00AD76FB"/>
    <w:rsid w:val="00AD79FD"/>
    <w:rsid w:val="00AE0399"/>
    <w:rsid w:val="00AE18EA"/>
    <w:rsid w:val="00AE1BF1"/>
    <w:rsid w:val="00AE20B1"/>
    <w:rsid w:val="00AE2792"/>
    <w:rsid w:val="00AE3179"/>
    <w:rsid w:val="00AE317D"/>
    <w:rsid w:val="00AE33E0"/>
    <w:rsid w:val="00AF0DD2"/>
    <w:rsid w:val="00AF0ED5"/>
    <w:rsid w:val="00AF200D"/>
    <w:rsid w:val="00AF2B8E"/>
    <w:rsid w:val="00AF2BB3"/>
    <w:rsid w:val="00AF3A41"/>
    <w:rsid w:val="00AF3A83"/>
    <w:rsid w:val="00AF46F3"/>
    <w:rsid w:val="00AF66A7"/>
    <w:rsid w:val="00AF7058"/>
    <w:rsid w:val="00AF78EC"/>
    <w:rsid w:val="00AF7C0E"/>
    <w:rsid w:val="00B014D3"/>
    <w:rsid w:val="00B01BD3"/>
    <w:rsid w:val="00B02ED5"/>
    <w:rsid w:val="00B03817"/>
    <w:rsid w:val="00B04808"/>
    <w:rsid w:val="00B057C8"/>
    <w:rsid w:val="00B06353"/>
    <w:rsid w:val="00B065C9"/>
    <w:rsid w:val="00B07545"/>
    <w:rsid w:val="00B0779B"/>
    <w:rsid w:val="00B109DD"/>
    <w:rsid w:val="00B11C09"/>
    <w:rsid w:val="00B1285B"/>
    <w:rsid w:val="00B13048"/>
    <w:rsid w:val="00B135AC"/>
    <w:rsid w:val="00B14716"/>
    <w:rsid w:val="00B14AE3"/>
    <w:rsid w:val="00B14CE4"/>
    <w:rsid w:val="00B162BD"/>
    <w:rsid w:val="00B162FA"/>
    <w:rsid w:val="00B16A28"/>
    <w:rsid w:val="00B1716D"/>
    <w:rsid w:val="00B17A1D"/>
    <w:rsid w:val="00B207A0"/>
    <w:rsid w:val="00B20F61"/>
    <w:rsid w:val="00B211EE"/>
    <w:rsid w:val="00B23484"/>
    <w:rsid w:val="00B251A4"/>
    <w:rsid w:val="00B25887"/>
    <w:rsid w:val="00B26AAA"/>
    <w:rsid w:val="00B276D9"/>
    <w:rsid w:val="00B2775B"/>
    <w:rsid w:val="00B27945"/>
    <w:rsid w:val="00B30D82"/>
    <w:rsid w:val="00B31071"/>
    <w:rsid w:val="00B31345"/>
    <w:rsid w:val="00B33C7F"/>
    <w:rsid w:val="00B35810"/>
    <w:rsid w:val="00B35937"/>
    <w:rsid w:val="00B3773B"/>
    <w:rsid w:val="00B4128D"/>
    <w:rsid w:val="00B41686"/>
    <w:rsid w:val="00B44E99"/>
    <w:rsid w:val="00B45262"/>
    <w:rsid w:val="00B453AB"/>
    <w:rsid w:val="00B45484"/>
    <w:rsid w:val="00B474EE"/>
    <w:rsid w:val="00B52EC8"/>
    <w:rsid w:val="00B55C24"/>
    <w:rsid w:val="00B56CF6"/>
    <w:rsid w:val="00B56E03"/>
    <w:rsid w:val="00B6278D"/>
    <w:rsid w:val="00B62BB5"/>
    <w:rsid w:val="00B63E2C"/>
    <w:rsid w:val="00B64DF7"/>
    <w:rsid w:val="00B652AF"/>
    <w:rsid w:val="00B65ABB"/>
    <w:rsid w:val="00B65CAC"/>
    <w:rsid w:val="00B66E74"/>
    <w:rsid w:val="00B673A4"/>
    <w:rsid w:val="00B67E25"/>
    <w:rsid w:val="00B70A7F"/>
    <w:rsid w:val="00B70B77"/>
    <w:rsid w:val="00B70CA5"/>
    <w:rsid w:val="00B7397E"/>
    <w:rsid w:val="00B73C3A"/>
    <w:rsid w:val="00B752C5"/>
    <w:rsid w:val="00B76BBE"/>
    <w:rsid w:val="00B8080B"/>
    <w:rsid w:val="00B82845"/>
    <w:rsid w:val="00B85D8A"/>
    <w:rsid w:val="00B87C39"/>
    <w:rsid w:val="00B87DD6"/>
    <w:rsid w:val="00B904FF"/>
    <w:rsid w:val="00B91BE8"/>
    <w:rsid w:val="00B92890"/>
    <w:rsid w:val="00B92CD5"/>
    <w:rsid w:val="00B94260"/>
    <w:rsid w:val="00B956D7"/>
    <w:rsid w:val="00B95B0D"/>
    <w:rsid w:val="00BA1F27"/>
    <w:rsid w:val="00BA2E61"/>
    <w:rsid w:val="00BA390A"/>
    <w:rsid w:val="00BA3992"/>
    <w:rsid w:val="00BA4665"/>
    <w:rsid w:val="00BA50DC"/>
    <w:rsid w:val="00BA5D97"/>
    <w:rsid w:val="00BA621C"/>
    <w:rsid w:val="00BB127C"/>
    <w:rsid w:val="00BB20BA"/>
    <w:rsid w:val="00BB20C6"/>
    <w:rsid w:val="00BB2FB2"/>
    <w:rsid w:val="00BB3304"/>
    <w:rsid w:val="00BB4732"/>
    <w:rsid w:val="00BB51C2"/>
    <w:rsid w:val="00BB5E51"/>
    <w:rsid w:val="00BB6815"/>
    <w:rsid w:val="00BB7780"/>
    <w:rsid w:val="00BC03BC"/>
    <w:rsid w:val="00BC1B6B"/>
    <w:rsid w:val="00BC25D2"/>
    <w:rsid w:val="00BC4B2E"/>
    <w:rsid w:val="00BC4CD2"/>
    <w:rsid w:val="00BC51A6"/>
    <w:rsid w:val="00BC5D4F"/>
    <w:rsid w:val="00BC5E1C"/>
    <w:rsid w:val="00BC614B"/>
    <w:rsid w:val="00BC62A5"/>
    <w:rsid w:val="00BC62FE"/>
    <w:rsid w:val="00BC6398"/>
    <w:rsid w:val="00BC675F"/>
    <w:rsid w:val="00BC6DF0"/>
    <w:rsid w:val="00BD0BD0"/>
    <w:rsid w:val="00BD10B4"/>
    <w:rsid w:val="00BD10D7"/>
    <w:rsid w:val="00BD1AD7"/>
    <w:rsid w:val="00BD1BCA"/>
    <w:rsid w:val="00BD26AE"/>
    <w:rsid w:val="00BD26EE"/>
    <w:rsid w:val="00BD3446"/>
    <w:rsid w:val="00BD412C"/>
    <w:rsid w:val="00BD41BB"/>
    <w:rsid w:val="00BD4E33"/>
    <w:rsid w:val="00BD501B"/>
    <w:rsid w:val="00BD5467"/>
    <w:rsid w:val="00BD6CD4"/>
    <w:rsid w:val="00BD7176"/>
    <w:rsid w:val="00BD71BD"/>
    <w:rsid w:val="00BE1725"/>
    <w:rsid w:val="00BE1F1B"/>
    <w:rsid w:val="00BE2075"/>
    <w:rsid w:val="00BE2F8A"/>
    <w:rsid w:val="00BE377D"/>
    <w:rsid w:val="00BE3F55"/>
    <w:rsid w:val="00BE47B5"/>
    <w:rsid w:val="00BE5AC5"/>
    <w:rsid w:val="00BE6087"/>
    <w:rsid w:val="00BE6BC8"/>
    <w:rsid w:val="00BE7DBC"/>
    <w:rsid w:val="00BE7DFF"/>
    <w:rsid w:val="00BE7F9E"/>
    <w:rsid w:val="00BF19CB"/>
    <w:rsid w:val="00BF1BF5"/>
    <w:rsid w:val="00BF1E45"/>
    <w:rsid w:val="00BF2274"/>
    <w:rsid w:val="00BF295F"/>
    <w:rsid w:val="00BF4639"/>
    <w:rsid w:val="00BF6004"/>
    <w:rsid w:val="00BF65C1"/>
    <w:rsid w:val="00BF771C"/>
    <w:rsid w:val="00C004FD"/>
    <w:rsid w:val="00C008E0"/>
    <w:rsid w:val="00C008FE"/>
    <w:rsid w:val="00C01734"/>
    <w:rsid w:val="00C01C8E"/>
    <w:rsid w:val="00C024A5"/>
    <w:rsid w:val="00C030BB"/>
    <w:rsid w:val="00C03C71"/>
    <w:rsid w:val="00C04914"/>
    <w:rsid w:val="00C05C48"/>
    <w:rsid w:val="00C064A7"/>
    <w:rsid w:val="00C075A3"/>
    <w:rsid w:val="00C07A89"/>
    <w:rsid w:val="00C101F2"/>
    <w:rsid w:val="00C102E6"/>
    <w:rsid w:val="00C11AE0"/>
    <w:rsid w:val="00C11EEC"/>
    <w:rsid w:val="00C11F62"/>
    <w:rsid w:val="00C12A83"/>
    <w:rsid w:val="00C13962"/>
    <w:rsid w:val="00C14E32"/>
    <w:rsid w:val="00C154C0"/>
    <w:rsid w:val="00C155B0"/>
    <w:rsid w:val="00C15712"/>
    <w:rsid w:val="00C15CB2"/>
    <w:rsid w:val="00C15DA4"/>
    <w:rsid w:val="00C16B2C"/>
    <w:rsid w:val="00C1786D"/>
    <w:rsid w:val="00C17CB8"/>
    <w:rsid w:val="00C17F0D"/>
    <w:rsid w:val="00C17FC7"/>
    <w:rsid w:val="00C21CBD"/>
    <w:rsid w:val="00C22CEE"/>
    <w:rsid w:val="00C238EB"/>
    <w:rsid w:val="00C24398"/>
    <w:rsid w:val="00C248B1"/>
    <w:rsid w:val="00C24CDC"/>
    <w:rsid w:val="00C25A9A"/>
    <w:rsid w:val="00C273A6"/>
    <w:rsid w:val="00C30BBE"/>
    <w:rsid w:val="00C33370"/>
    <w:rsid w:val="00C3355D"/>
    <w:rsid w:val="00C33EE6"/>
    <w:rsid w:val="00C34065"/>
    <w:rsid w:val="00C345D6"/>
    <w:rsid w:val="00C35876"/>
    <w:rsid w:val="00C35BA6"/>
    <w:rsid w:val="00C361EB"/>
    <w:rsid w:val="00C41237"/>
    <w:rsid w:val="00C420D7"/>
    <w:rsid w:val="00C420EB"/>
    <w:rsid w:val="00C43065"/>
    <w:rsid w:val="00C43C4F"/>
    <w:rsid w:val="00C452B9"/>
    <w:rsid w:val="00C466B4"/>
    <w:rsid w:val="00C46AB5"/>
    <w:rsid w:val="00C46C8C"/>
    <w:rsid w:val="00C4709E"/>
    <w:rsid w:val="00C4712A"/>
    <w:rsid w:val="00C47DEE"/>
    <w:rsid w:val="00C50EC2"/>
    <w:rsid w:val="00C51484"/>
    <w:rsid w:val="00C51BE7"/>
    <w:rsid w:val="00C532EF"/>
    <w:rsid w:val="00C538A9"/>
    <w:rsid w:val="00C53B5A"/>
    <w:rsid w:val="00C54CF3"/>
    <w:rsid w:val="00C54F5A"/>
    <w:rsid w:val="00C55452"/>
    <w:rsid w:val="00C5585E"/>
    <w:rsid w:val="00C56506"/>
    <w:rsid w:val="00C565C5"/>
    <w:rsid w:val="00C567DE"/>
    <w:rsid w:val="00C601EF"/>
    <w:rsid w:val="00C60452"/>
    <w:rsid w:val="00C6191E"/>
    <w:rsid w:val="00C62797"/>
    <w:rsid w:val="00C627D0"/>
    <w:rsid w:val="00C6290C"/>
    <w:rsid w:val="00C644CD"/>
    <w:rsid w:val="00C672E0"/>
    <w:rsid w:val="00C673E0"/>
    <w:rsid w:val="00C67D8C"/>
    <w:rsid w:val="00C70205"/>
    <w:rsid w:val="00C7295C"/>
    <w:rsid w:val="00C729B4"/>
    <w:rsid w:val="00C72B95"/>
    <w:rsid w:val="00C73A47"/>
    <w:rsid w:val="00C73C83"/>
    <w:rsid w:val="00C7472B"/>
    <w:rsid w:val="00C74A11"/>
    <w:rsid w:val="00C80612"/>
    <w:rsid w:val="00C81324"/>
    <w:rsid w:val="00C81890"/>
    <w:rsid w:val="00C81A67"/>
    <w:rsid w:val="00C81FC6"/>
    <w:rsid w:val="00C845E0"/>
    <w:rsid w:val="00C8473D"/>
    <w:rsid w:val="00C85FF1"/>
    <w:rsid w:val="00C86679"/>
    <w:rsid w:val="00C86919"/>
    <w:rsid w:val="00C872DB"/>
    <w:rsid w:val="00C87867"/>
    <w:rsid w:val="00C90F56"/>
    <w:rsid w:val="00C914DB"/>
    <w:rsid w:val="00C91830"/>
    <w:rsid w:val="00C933A4"/>
    <w:rsid w:val="00C9478B"/>
    <w:rsid w:val="00C94A8E"/>
    <w:rsid w:val="00C950AF"/>
    <w:rsid w:val="00C9660A"/>
    <w:rsid w:val="00C96A92"/>
    <w:rsid w:val="00CA04F2"/>
    <w:rsid w:val="00CA0B2E"/>
    <w:rsid w:val="00CA0ECB"/>
    <w:rsid w:val="00CA4EE0"/>
    <w:rsid w:val="00CA51FE"/>
    <w:rsid w:val="00CA6643"/>
    <w:rsid w:val="00CA771A"/>
    <w:rsid w:val="00CA7D3F"/>
    <w:rsid w:val="00CB0FA5"/>
    <w:rsid w:val="00CB34AC"/>
    <w:rsid w:val="00CB45EC"/>
    <w:rsid w:val="00CB666B"/>
    <w:rsid w:val="00CB695E"/>
    <w:rsid w:val="00CC1AC0"/>
    <w:rsid w:val="00CC1B19"/>
    <w:rsid w:val="00CC1D64"/>
    <w:rsid w:val="00CC2C03"/>
    <w:rsid w:val="00CC2CA1"/>
    <w:rsid w:val="00CC3B19"/>
    <w:rsid w:val="00CC4F2E"/>
    <w:rsid w:val="00CC6516"/>
    <w:rsid w:val="00CC656F"/>
    <w:rsid w:val="00CC6738"/>
    <w:rsid w:val="00CD2754"/>
    <w:rsid w:val="00CD331F"/>
    <w:rsid w:val="00CD40AD"/>
    <w:rsid w:val="00CD4E7F"/>
    <w:rsid w:val="00CD5338"/>
    <w:rsid w:val="00CE0074"/>
    <w:rsid w:val="00CE0A5F"/>
    <w:rsid w:val="00CE0D52"/>
    <w:rsid w:val="00CE15A5"/>
    <w:rsid w:val="00CE1831"/>
    <w:rsid w:val="00CE1B68"/>
    <w:rsid w:val="00CE2DD3"/>
    <w:rsid w:val="00CE4B01"/>
    <w:rsid w:val="00CE6345"/>
    <w:rsid w:val="00CE661E"/>
    <w:rsid w:val="00CE6F6D"/>
    <w:rsid w:val="00CF0744"/>
    <w:rsid w:val="00CF0B65"/>
    <w:rsid w:val="00CF0E01"/>
    <w:rsid w:val="00CF0E07"/>
    <w:rsid w:val="00CF36F5"/>
    <w:rsid w:val="00CF455C"/>
    <w:rsid w:val="00CF4D2E"/>
    <w:rsid w:val="00CF5382"/>
    <w:rsid w:val="00CF62CA"/>
    <w:rsid w:val="00CF6F3C"/>
    <w:rsid w:val="00CF7D47"/>
    <w:rsid w:val="00D01CF0"/>
    <w:rsid w:val="00D0442A"/>
    <w:rsid w:val="00D05840"/>
    <w:rsid w:val="00D07128"/>
    <w:rsid w:val="00D10120"/>
    <w:rsid w:val="00D10E76"/>
    <w:rsid w:val="00D11721"/>
    <w:rsid w:val="00D11BA4"/>
    <w:rsid w:val="00D11CB3"/>
    <w:rsid w:val="00D14518"/>
    <w:rsid w:val="00D1516F"/>
    <w:rsid w:val="00D1614C"/>
    <w:rsid w:val="00D16710"/>
    <w:rsid w:val="00D1773B"/>
    <w:rsid w:val="00D2067B"/>
    <w:rsid w:val="00D20A9A"/>
    <w:rsid w:val="00D22BD4"/>
    <w:rsid w:val="00D22E23"/>
    <w:rsid w:val="00D2306D"/>
    <w:rsid w:val="00D250AC"/>
    <w:rsid w:val="00D270E1"/>
    <w:rsid w:val="00D323D0"/>
    <w:rsid w:val="00D32767"/>
    <w:rsid w:val="00D33489"/>
    <w:rsid w:val="00D33F61"/>
    <w:rsid w:val="00D372FA"/>
    <w:rsid w:val="00D40B44"/>
    <w:rsid w:val="00D41EB0"/>
    <w:rsid w:val="00D42ECE"/>
    <w:rsid w:val="00D43232"/>
    <w:rsid w:val="00D43663"/>
    <w:rsid w:val="00D43C03"/>
    <w:rsid w:val="00D44037"/>
    <w:rsid w:val="00D4594F"/>
    <w:rsid w:val="00D4681D"/>
    <w:rsid w:val="00D46841"/>
    <w:rsid w:val="00D510A2"/>
    <w:rsid w:val="00D5111E"/>
    <w:rsid w:val="00D5124C"/>
    <w:rsid w:val="00D53342"/>
    <w:rsid w:val="00D53F55"/>
    <w:rsid w:val="00D57D7E"/>
    <w:rsid w:val="00D60387"/>
    <w:rsid w:val="00D61388"/>
    <w:rsid w:val="00D613F3"/>
    <w:rsid w:val="00D615F9"/>
    <w:rsid w:val="00D61A54"/>
    <w:rsid w:val="00D61C75"/>
    <w:rsid w:val="00D62BAD"/>
    <w:rsid w:val="00D64DEA"/>
    <w:rsid w:val="00D65E49"/>
    <w:rsid w:val="00D666D1"/>
    <w:rsid w:val="00D67D07"/>
    <w:rsid w:val="00D70F71"/>
    <w:rsid w:val="00D71771"/>
    <w:rsid w:val="00D725C2"/>
    <w:rsid w:val="00D73D17"/>
    <w:rsid w:val="00D74261"/>
    <w:rsid w:val="00D74971"/>
    <w:rsid w:val="00D76DC7"/>
    <w:rsid w:val="00D77C40"/>
    <w:rsid w:val="00D80893"/>
    <w:rsid w:val="00D81B2D"/>
    <w:rsid w:val="00D839A7"/>
    <w:rsid w:val="00D83BFF"/>
    <w:rsid w:val="00D83DD9"/>
    <w:rsid w:val="00D84797"/>
    <w:rsid w:val="00D855CD"/>
    <w:rsid w:val="00D86899"/>
    <w:rsid w:val="00D87097"/>
    <w:rsid w:val="00D87C8A"/>
    <w:rsid w:val="00D92A31"/>
    <w:rsid w:val="00D92CF1"/>
    <w:rsid w:val="00D92D38"/>
    <w:rsid w:val="00D92E07"/>
    <w:rsid w:val="00D936B6"/>
    <w:rsid w:val="00D94B8F"/>
    <w:rsid w:val="00D950F5"/>
    <w:rsid w:val="00D95177"/>
    <w:rsid w:val="00D96914"/>
    <w:rsid w:val="00D96A64"/>
    <w:rsid w:val="00D97DE8"/>
    <w:rsid w:val="00DA074A"/>
    <w:rsid w:val="00DA0C4C"/>
    <w:rsid w:val="00DA1CA3"/>
    <w:rsid w:val="00DA289D"/>
    <w:rsid w:val="00DA331C"/>
    <w:rsid w:val="00DA475A"/>
    <w:rsid w:val="00DA4BC4"/>
    <w:rsid w:val="00DA4E07"/>
    <w:rsid w:val="00DA500D"/>
    <w:rsid w:val="00DA5BC2"/>
    <w:rsid w:val="00DA605A"/>
    <w:rsid w:val="00DA6816"/>
    <w:rsid w:val="00DA72EB"/>
    <w:rsid w:val="00DB0F93"/>
    <w:rsid w:val="00DB134D"/>
    <w:rsid w:val="00DB16A7"/>
    <w:rsid w:val="00DB196A"/>
    <w:rsid w:val="00DB20BF"/>
    <w:rsid w:val="00DB2353"/>
    <w:rsid w:val="00DB402D"/>
    <w:rsid w:val="00DB4CC4"/>
    <w:rsid w:val="00DB6861"/>
    <w:rsid w:val="00DB6BE8"/>
    <w:rsid w:val="00DB6E73"/>
    <w:rsid w:val="00DB7098"/>
    <w:rsid w:val="00DB7193"/>
    <w:rsid w:val="00DB7AB9"/>
    <w:rsid w:val="00DB7B59"/>
    <w:rsid w:val="00DB7FD1"/>
    <w:rsid w:val="00DC153A"/>
    <w:rsid w:val="00DC22E3"/>
    <w:rsid w:val="00DC24BF"/>
    <w:rsid w:val="00DC2907"/>
    <w:rsid w:val="00DC2F0D"/>
    <w:rsid w:val="00DC395C"/>
    <w:rsid w:val="00DC5E54"/>
    <w:rsid w:val="00DC693A"/>
    <w:rsid w:val="00DC759C"/>
    <w:rsid w:val="00DC7981"/>
    <w:rsid w:val="00DC7B5A"/>
    <w:rsid w:val="00DD0903"/>
    <w:rsid w:val="00DD1073"/>
    <w:rsid w:val="00DD15C2"/>
    <w:rsid w:val="00DD27EA"/>
    <w:rsid w:val="00DD30F3"/>
    <w:rsid w:val="00DD33DE"/>
    <w:rsid w:val="00DD502F"/>
    <w:rsid w:val="00DD79F4"/>
    <w:rsid w:val="00DE27A1"/>
    <w:rsid w:val="00DE3708"/>
    <w:rsid w:val="00DE45B5"/>
    <w:rsid w:val="00DE4CDA"/>
    <w:rsid w:val="00DE4EFA"/>
    <w:rsid w:val="00DE5104"/>
    <w:rsid w:val="00DE5520"/>
    <w:rsid w:val="00DE5AB1"/>
    <w:rsid w:val="00DE6006"/>
    <w:rsid w:val="00DE6AA6"/>
    <w:rsid w:val="00DE7345"/>
    <w:rsid w:val="00DE771A"/>
    <w:rsid w:val="00DF02A4"/>
    <w:rsid w:val="00DF0714"/>
    <w:rsid w:val="00DF13A6"/>
    <w:rsid w:val="00DF1C55"/>
    <w:rsid w:val="00DF2298"/>
    <w:rsid w:val="00DF2389"/>
    <w:rsid w:val="00DF2934"/>
    <w:rsid w:val="00DF2D42"/>
    <w:rsid w:val="00DF3C7E"/>
    <w:rsid w:val="00DF504B"/>
    <w:rsid w:val="00DF6E09"/>
    <w:rsid w:val="00DF70E5"/>
    <w:rsid w:val="00DF7793"/>
    <w:rsid w:val="00E00EC9"/>
    <w:rsid w:val="00E014D8"/>
    <w:rsid w:val="00E023D3"/>
    <w:rsid w:val="00E03069"/>
    <w:rsid w:val="00E034A6"/>
    <w:rsid w:val="00E03725"/>
    <w:rsid w:val="00E04818"/>
    <w:rsid w:val="00E06442"/>
    <w:rsid w:val="00E1139A"/>
    <w:rsid w:val="00E113E2"/>
    <w:rsid w:val="00E115DE"/>
    <w:rsid w:val="00E120FF"/>
    <w:rsid w:val="00E13056"/>
    <w:rsid w:val="00E13280"/>
    <w:rsid w:val="00E135DB"/>
    <w:rsid w:val="00E13C85"/>
    <w:rsid w:val="00E15B15"/>
    <w:rsid w:val="00E176EC"/>
    <w:rsid w:val="00E17E20"/>
    <w:rsid w:val="00E214E9"/>
    <w:rsid w:val="00E227A4"/>
    <w:rsid w:val="00E22BAF"/>
    <w:rsid w:val="00E2374E"/>
    <w:rsid w:val="00E23993"/>
    <w:rsid w:val="00E247D2"/>
    <w:rsid w:val="00E24D12"/>
    <w:rsid w:val="00E2504E"/>
    <w:rsid w:val="00E25B8C"/>
    <w:rsid w:val="00E25F40"/>
    <w:rsid w:val="00E26E62"/>
    <w:rsid w:val="00E274E8"/>
    <w:rsid w:val="00E275E5"/>
    <w:rsid w:val="00E276DD"/>
    <w:rsid w:val="00E3050B"/>
    <w:rsid w:val="00E31DF2"/>
    <w:rsid w:val="00E32774"/>
    <w:rsid w:val="00E3279F"/>
    <w:rsid w:val="00E32A8C"/>
    <w:rsid w:val="00E32FBA"/>
    <w:rsid w:val="00E331E1"/>
    <w:rsid w:val="00E333EF"/>
    <w:rsid w:val="00E334A4"/>
    <w:rsid w:val="00E357B5"/>
    <w:rsid w:val="00E35AE8"/>
    <w:rsid w:val="00E3678B"/>
    <w:rsid w:val="00E3724C"/>
    <w:rsid w:val="00E37F0B"/>
    <w:rsid w:val="00E40426"/>
    <w:rsid w:val="00E40B9C"/>
    <w:rsid w:val="00E42342"/>
    <w:rsid w:val="00E426B5"/>
    <w:rsid w:val="00E42976"/>
    <w:rsid w:val="00E42DF3"/>
    <w:rsid w:val="00E43848"/>
    <w:rsid w:val="00E438D4"/>
    <w:rsid w:val="00E43BBA"/>
    <w:rsid w:val="00E4482C"/>
    <w:rsid w:val="00E4680F"/>
    <w:rsid w:val="00E46D48"/>
    <w:rsid w:val="00E47EAD"/>
    <w:rsid w:val="00E5181B"/>
    <w:rsid w:val="00E52107"/>
    <w:rsid w:val="00E523FC"/>
    <w:rsid w:val="00E52A27"/>
    <w:rsid w:val="00E54461"/>
    <w:rsid w:val="00E55C3C"/>
    <w:rsid w:val="00E56018"/>
    <w:rsid w:val="00E56597"/>
    <w:rsid w:val="00E6018A"/>
    <w:rsid w:val="00E605DA"/>
    <w:rsid w:val="00E6148A"/>
    <w:rsid w:val="00E65839"/>
    <w:rsid w:val="00E65C85"/>
    <w:rsid w:val="00E65CF4"/>
    <w:rsid w:val="00E66199"/>
    <w:rsid w:val="00E675DF"/>
    <w:rsid w:val="00E70F06"/>
    <w:rsid w:val="00E715D5"/>
    <w:rsid w:val="00E72333"/>
    <w:rsid w:val="00E737E3"/>
    <w:rsid w:val="00E74532"/>
    <w:rsid w:val="00E7472E"/>
    <w:rsid w:val="00E755EC"/>
    <w:rsid w:val="00E75826"/>
    <w:rsid w:val="00E761D6"/>
    <w:rsid w:val="00E7624D"/>
    <w:rsid w:val="00E77615"/>
    <w:rsid w:val="00E805CC"/>
    <w:rsid w:val="00E809F7"/>
    <w:rsid w:val="00E8137D"/>
    <w:rsid w:val="00E81703"/>
    <w:rsid w:val="00E823D9"/>
    <w:rsid w:val="00E8569F"/>
    <w:rsid w:val="00E86851"/>
    <w:rsid w:val="00E90A23"/>
    <w:rsid w:val="00E91678"/>
    <w:rsid w:val="00E91BED"/>
    <w:rsid w:val="00E926FC"/>
    <w:rsid w:val="00E936DB"/>
    <w:rsid w:val="00E94F7F"/>
    <w:rsid w:val="00E95CA7"/>
    <w:rsid w:val="00E96EFF"/>
    <w:rsid w:val="00E973CA"/>
    <w:rsid w:val="00EA1DEE"/>
    <w:rsid w:val="00EA28D3"/>
    <w:rsid w:val="00EA3D42"/>
    <w:rsid w:val="00EA4DD9"/>
    <w:rsid w:val="00EA52E7"/>
    <w:rsid w:val="00EA6B1B"/>
    <w:rsid w:val="00EB049F"/>
    <w:rsid w:val="00EB100D"/>
    <w:rsid w:val="00EB3444"/>
    <w:rsid w:val="00EB456D"/>
    <w:rsid w:val="00EB540F"/>
    <w:rsid w:val="00EB7D7F"/>
    <w:rsid w:val="00EC05BF"/>
    <w:rsid w:val="00EC0D58"/>
    <w:rsid w:val="00EC10A1"/>
    <w:rsid w:val="00EC24B0"/>
    <w:rsid w:val="00EC2617"/>
    <w:rsid w:val="00EC2A3B"/>
    <w:rsid w:val="00EC317E"/>
    <w:rsid w:val="00EC4173"/>
    <w:rsid w:val="00EC67D4"/>
    <w:rsid w:val="00EC7EB1"/>
    <w:rsid w:val="00ED399F"/>
    <w:rsid w:val="00ED3C5B"/>
    <w:rsid w:val="00ED4A25"/>
    <w:rsid w:val="00ED5137"/>
    <w:rsid w:val="00ED5530"/>
    <w:rsid w:val="00ED61CA"/>
    <w:rsid w:val="00ED6E24"/>
    <w:rsid w:val="00EE075B"/>
    <w:rsid w:val="00EE164B"/>
    <w:rsid w:val="00EE28F3"/>
    <w:rsid w:val="00EE2FDB"/>
    <w:rsid w:val="00EE347F"/>
    <w:rsid w:val="00EE42C2"/>
    <w:rsid w:val="00EE46CE"/>
    <w:rsid w:val="00EE575A"/>
    <w:rsid w:val="00EE6B29"/>
    <w:rsid w:val="00EF013A"/>
    <w:rsid w:val="00EF0E42"/>
    <w:rsid w:val="00EF0FE6"/>
    <w:rsid w:val="00EF1961"/>
    <w:rsid w:val="00EF27CE"/>
    <w:rsid w:val="00EF3FB8"/>
    <w:rsid w:val="00EF48B8"/>
    <w:rsid w:val="00EF5110"/>
    <w:rsid w:val="00EF62CA"/>
    <w:rsid w:val="00EF69CB"/>
    <w:rsid w:val="00F00587"/>
    <w:rsid w:val="00F019C5"/>
    <w:rsid w:val="00F02D9B"/>
    <w:rsid w:val="00F031FE"/>
    <w:rsid w:val="00F048BB"/>
    <w:rsid w:val="00F055AC"/>
    <w:rsid w:val="00F05EAD"/>
    <w:rsid w:val="00F060C8"/>
    <w:rsid w:val="00F06B5B"/>
    <w:rsid w:val="00F072C7"/>
    <w:rsid w:val="00F10CDA"/>
    <w:rsid w:val="00F113FD"/>
    <w:rsid w:val="00F13B99"/>
    <w:rsid w:val="00F13EAA"/>
    <w:rsid w:val="00F1535C"/>
    <w:rsid w:val="00F15882"/>
    <w:rsid w:val="00F15AB9"/>
    <w:rsid w:val="00F167CF"/>
    <w:rsid w:val="00F16858"/>
    <w:rsid w:val="00F1785E"/>
    <w:rsid w:val="00F20BD3"/>
    <w:rsid w:val="00F20C14"/>
    <w:rsid w:val="00F21187"/>
    <w:rsid w:val="00F219B8"/>
    <w:rsid w:val="00F21BB0"/>
    <w:rsid w:val="00F22856"/>
    <w:rsid w:val="00F247E7"/>
    <w:rsid w:val="00F248D0"/>
    <w:rsid w:val="00F25CF1"/>
    <w:rsid w:val="00F269A9"/>
    <w:rsid w:val="00F27967"/>
    <w:rsid w:val="00F27EF9"/>
    <w:rsid w:val="00F3008B"/>
    <w:rsid w:val="00F32D35"/>
    <w:rsid w:val="00F336DF"/>
    <w:rsid w:val="00F3401F"/>
    <w:rsid w:val="00F342A8"/>
    <w:rsid w:val="00F35787"/>
    <w:rsid w:val="00F3590E"/>
    <w:rsid w:val="00F35CAA"/>
    <w:rsid w:val="00F36430"/>
    <w:rsid w:val="00F373A5"/>
    <w:rsid w:val="00F376D3"/>
    <w:rsid w:val="00F42DB4"/>
    <w:rsid w:val="00F45B2F"/>
    <w:rsid w:val="00F45C69"/>
    <w:rsid w:val="00F46013"/>
    <w:rsid w:val="00F47559"/>
    <w:rsid w:val="00F50531"/>
    <w:rsid w:val="00F50A7C"/>
    <w:rsid w:val="00F5112C"/>
    <w:rsid w:val="00F519CA"/>
    <w:rsid w:val="00F536B2"/>
    <w:rsid w:val="00F541D9"/>
    <w:rsid w:val="00F5475E"/>
    <w:rsid w:val="00F55548"/>
    <w:rsid w:val="00F55859"/>
    <w:rsid w:val="00F55C77"/>
    <w:rsid w:val="00F56E80"/>
    <w:rsid w:val="00F6043C"/>
    <w:rsid w:val="00F60561"/>
    <w:rsid w:val="00F60B34"/>
    <w:rsid w:val="00F61055"/>
    <w:rsid w:val="00F61AA8"/>
    <w:rsid w:val="00F61EEA"/>
    <w:rsid w:val="00F63B85"/>
    <w:rsid w:val="00F64A21"/>
    <w:rsid w:val="00F64A7A"/>
    <w:rsid w:val="00F64C7B"/>
    <w:rsid w:val="00F64F82"/>
    <w:rsid w:val="00F662F1"/>
    <w:rsid w:val="00F66967"/>
    <w:rsid w:val="00F67515"/>
    <w:rsid w:val="00F676DD"/>
    <w:rsid w:val="00F70811"/>
    <w:rsid w:val="00F70D8D"/>
    <w:rsid w:val="00F71486"/>
    <w:rsid w:val="00F72F41"/>
    <w:rsid w:val="00F731DB"/>
    <w:rsid w:val="00F74CBC"/>
    <w:rsid w:val="00F75A26"/>
    <w:rsid w:val="00F766B3"/>
    <w:rsid w:val="00F77D49"/>
    <w:rsid w:val="00F8021A"/>
    <w:rsid w:val="00F805F3"/>
    <w:rsid w:val="00F80AA2"/>
    <w:rsid w:val="00F81DFF"/>
    <w:rsid w:val="00F835F8"/>
    <w:rsid w:val="00F83FAD"/>
    <w:rsid w:val="00F87EBA"/>
    <w:rsid w:val="00F90705"/>
    <w:rsid w:val="00F908CD"/>
    <w:rsid w:val="00F90A80"/>
    <w:rsid w:val="00F91F06"/>
    <w:rsid w:val="00F93027"/>
    <w:rsid w:val="00F946BA"/>
    <w:rsid w:val="00F94788"/>
    <w:rsid w:val="00F952A0"/>
    <w:rsid w:val="00F965FC"/>
    <w:rsid w:val="00F9786B"/>
    <w:rsid w:val="00FA25D4"/>
    <w:rsid w:val="00FA279B"/>
    <w:rsid w:val="00FA3830"/>
    <w:rsid w:val="00FA3C7F"/>
    <w:rsid w:val="00FA614D"/>
    <w:rsid w:val="00FA7736"/>
    <w:rsid w:val="00FA77AD"/>
    <w:rsid w:val="00FA7920"/>
    <w:rsid w:val="00FB153F"/>
    <w:rsid w:val="00FB21EF"/>
    <w:rsid w:val="00FB265D"/>
    <w:rsid w:val="00FB2C76"/>
    <w:rsid w:val="00FB4068"/>
    <w:rsid w:val="00FB411D"/>
    <w:rsid w:val="00FB41E6"/>
    <w:rsid w:val="00FB45CF"/>
    <w:rsid w:val="00FB6B24"/>
    <w:rsid w:val="00FB6C59"/>
    <w:rsid w:val="00FB74E2"/>
    <w:rsid w:val="00FC0060"/>
    <w:rsid w:val="00FC04BE"/>
    <w:rsid w:val="00FC08DA"/>
    <w:rsid w:val="00FC0910"/>
    <w:rsid w:val="00FC0DB9"/>
    <w:rsid w:val="00FC1566"/>
    <w:rsid w:val="00FC2CBB"/>
    <w:rsid w:val="00FC447B"/>
    <w:rsid w:val="00FC4CF7"/>
    <w:rsid w:val="00FC52AC"/>
    <w:rsid w:val="00FC54E6"/>
    <w:rsid w:val="00FC5EB3"/>
    <w:rsid w:val="00FC5FE0"/>
    <w:rsid w:val="00FC626F"/>
    <w:rsid w:val="00FC656F"/>
    <w:rsid w:val="00FC6C78"/>
    <w:rsid w:val="00FC7B0B"/>
    <w:rsid w:val="00FD0763"/>
    <w:rsid w:val="00FD166D"/>
    <w:rsid w:val="00FD22A2"/>
    <w:rsid w:val="00FD29EE"/>
    <w:rsid w:val="00FD2F97"/>
    <w:rsid w:val="00FD34BC"/>
    <w:rsid w:val="00FD3CA8"/>
    <w:rsid w:val="00FD43A0"/>
    <w:rsid w:val="00FD5316"/>
    <w:rsid w:val="00FD5614"/>
    <w:rsid w:val="00FD72DC"/>
    <w:rsid w:val="00FE0278"/>
    <w:rsid w:val="00FE07CB"/>
    <w:rsid w:val="00FE0935"/>
    <w:rsid w:val="00FE0BE1"/>
    <w:rsid w:val="00FE1DE9"/>
    <w:rsid w:val="00FE292D"/>
    <w:rsid w:val="00FE39C2"/>
    <w:rsid w:val="00FE3E67"/>
    <w:rsid w:val="00FE4B6D"/>
    <w:rsid w:val="00FE57F3"/>
    <w:rsid w:val="00FE602C"/>
    <w:rsid w:val="00FE64AE"/>
    <w:rsid w:val="00FE6541"/>
    <w:rsid w:val="00FE6FD3"/>
    <w:rsid w:val="00FE7E62"/>
    <w:rsid w:val="00FF2C56"/>
    <w:rsid w:val="00FF3373"/>
    <w:rsid w:val="00FF3651"/>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3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81948551">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56394553">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390544856">
      <w:bodyDiv w:val="1"/>
      <w:marLeft w:val="0"/>
      <w:marRight w:val="0"/>
      <w:marTop w:val="0"/>
      <w:marBottom w:val="0"/>
      <w:divBdr>
        <w:top w:val="none" w:sz="0" w:space="0" w:color="auto"/>
        <w:left w:val="none" w:sz="0" w:space="0" w:color="auto"/>
        <w:bottom w:val="none" w:sz="0" w:space="0" w:color="auto"/>
        <w:right w:val="none" w:sz="0" w:space="0" w:color="auto"/>
      </w:divBdr>
    </w:div>
    <w:div w:id="480273898">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40378857">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17929080">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6369477">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225022929">
      <w:bodyDiv w:val="1"/>
      <w:marLeft w:val="0"/>
      <w:marRight w:val="0"/>
      <w:marTop w:val="0"/>
      <w:marBottom w:val="0"/>
      <w:divBdr>
        <w:top w:val="none" w:sz="0" w:space="0" w:color="auto"/>
        <w:left w:val="none" w:sz="0" w:space="0" w:color="auto"/>
        <w:bottom w:val="none" w:sz="0" w:space="0" w:color="auto"/>
        <w:right w:val="none" w:sz="0" w:space="0" w:color="auto"/>
      </w:divBdr>
    </w:div>
    <w:div w:id="1269775443">
      <w:bodyDiv w:val="1"/>
      <w:marLeft w:val="0"/>
      <w:marRight w:val="0"/>
      <w:marTop w:val="0"/>
      <w:marBottom w:val="0"/>
      <w:divBdr>
        <w:top w:val="none" w:sz="0" w:space="0" w:color="auto"/>
        <w:left w:val="none" w:sz="0" w:space="0" w:color="auto"/>
        <w:bottom w:val="none" w:sz="0" w:space="0" w:color="auto"/>
        <w:right w:val="none" w:sz="0" w:space="0" w:color="auto"/>
      </w:divBdr>
    </w:div>
    <w:div w:id="1281455532">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05336589">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6562209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1978341291">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089812100">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industry-information/industry-statistics"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industry-information/industry-statistics"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88F111-D1CB-4138-A666-9D92044E0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30C03D2</Template>
  <TotalTime>0</TotalTime>
  <Pages>12</Pages>
  <Words>2555</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2016-12-14T05:17:00Z</dcterms:created>
  <dcterms:modified xsi:type="dcterms:W3CDTF">2016-12-14T05:17:00Z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\\cdchnas-evs02\home$\adday\20161113 - 20161119 electricity report (D2016-00157660).docx</vt:lpwstr>
  </property>
</Properties>
</file>