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58BF7B61" wp14:editId="44ED221D">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366713" w:rsidP="002A4EF8">
      <w:pPr>
        <w:rPr>
          <w:b/>
          <w:sz w:val="36"/>
          <w:szCs w:val="36"/>
        </w:rPr>
      </w:pPr>
      <w:r>
        <w:rPr>
          <w:b/>
          <w:sz w:val="36"/>
          <w:szCs w:val="36"/>
        </w:rPr>
        <w:t xml:space="preserve">6 </w:t>
      </w:r>
      <w:r w:rsidR="001761FF">
        <w:rPr>
          <w:b/>
          <w:sz w:val="36"/>
          <w:szCs w:val="36"/>
        </w:rPr>
        <w:t>–</w:t>
      </w:r>
      <w:r w:rsidR="00B04808">
        <w:rPr>
          <w:b/>
          <w:sz w:val="36"/>
          <w:szCs w:val="36"/>
        </w:rPr>
        <w:t> </w:t>
      </w:r>
      <w:r>
        <w:rPr>
          <w:b/>
          <w:sz w:val="36"/>
          <w:szCs w:val="36"/>
        </w:rPr>
        <w:t>12</w:t>
      </w:r>
      <w:r w:rsidR="00105D4E">
        <w:rPr>
          <w:b/>
          <w:sz w:val="36"/>
          <w:szCs w:val="36"/>
        </w:rPr>
        <w:t xml:space="preserve"> November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F55CE5" w:rsidRPr="00C4712A" w:rsidRDefault="001D0CE3" w:rsidP="00F55CE5">
      <w:pPr>
        <w:jc w:val="both"/>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8C15C9" w:rsidRPr="00BE2075">
        <w:t xml:space="preserve">Figure </w:t>
      </w:r>
      <w:r w:rsidR="008C15C9">
        <w:t>1</w:t>
      </w:r>
      <w:r w:rsidRPr="00C4712A">
        <w:fldChar w:fldCharType="end"/>
      </w:r>
      <w:r w:rsidRPr="00C4712A">
        <w:t xml:space="preserve"> </w:t>
      </w:r>
      <w:r w:rsidR="00AF7058" w:rsidRPr="00C4712A">
        <w:t xml:space="preserve">shows the spot prices that occurred in each region during the week </w:t>
      </w:r>
      <w:r w:rsidR="00CD331F">
        <w:t>6</w:t>
      </w:r>
      <w:r w:rsidR="004313E5">
        <w:t> - </w:t>
      </w:r>
      <w:r w:rsidR="00CD331F">
        <w:t>12</w:t>
      </w:r>
      <w:r w:rsidR="004313E5">
        <w:t> </w:t>
      </w:r>
      <w:r w:rsidR="00301ADD">
        <w:t xml:space="preserve">November </w:t>
      </w:r>
      <w:r w:rsidR="00FA25D4" w:rsidRPr="00C4712A">
        <w:t>2016</w:t>
      </w:r>
      <w:r w:rsidR="00AF7058" w:rsidRPr="00C4712A">
        <w:t>.</w:t>
      </w:r>
      <w:r w:rsidR="00E03725">
        <w:t xml:space="preserve"> </w:t>
      </w:r>
      <w:r w:rsidR="00F55CE5">
        <w:t>Details on the high price event</w:t>
      </w:r>
      <w:r w:rsidR="00111B5D">
        <w:t>s</w:t>
      </w:r>
      <w:r w:rsidR="00F55CE5">
        <w:t xml:space="preserve"> on 8</w:t>
      </w:r>
      <w:r w:rsidR="00111B5D">
        <w:t> </w:t>
      </w:r>
      <w:r w:rsidR="00F55CE5">
        <w:t xml:space="preserve">November </w:t>
      </w:r>
      <w:r w:rsidR="00111B5D">
        <w:t xml:space="preserve">in Queensland and New South Wales </w:t>
      </w:r>
      <w:r w:rsidR="00F55CE5">
        <w:t xml:space="preserve">can be found in the “Detailed </w:t>
      </w:r>
      <w:r w:rsidR="00F55CE5" w:rsidRPr="00C4712A">
        <w:t>market analysis of significant price events</w:t>
      </w:r>
      <w:r w:rsidR="00F55CE5">
        <w:t>” section of this report.</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8C15C9">
        <w:fldChar w:fldCharType="begin"/>
      </w:r>
      <w:r w:rsidR="008C15C9">
        <w:instrText xml:space="preserve"> SEQ Figure \* ARABIC </w:instrText>
      </w:r>
      <w:r w:rsidR="008C15C9">
        <w:fldChar w:fldCharType="separate"/>
      </w:r>
      <w:r w:rsidR="008C15C9">
        <w:rPr>
          <w:noProof/>
        </w:rPr>
        <w:t>1</w:t>
      </w:r>
      <w:r w:rsidR="008C15C9">
        <w:rPr>
          <w:noProof/>
        </w:rPr>
        <w:fldChar w:fldCharType="end"/>
      </w:r>
      <w:bookmarkEnd w:id="7"/>
      <w:r w:rsidRPr="00BE2075">
        <w:t>: Spot price by region ($/MWh)</w:t>
      </w:r>
    </w:p>
    <w:p w:rsidR="00EC05BF" w:rsidRDefault="001D1597" w:rsidP="00C4712A">
      <w:pPr>
        <w:pStyle w:val="Caption"/>
        <w:rPr>
          <w:bCs w:val="0"/>
          <w:lang w:eastAsia="en-AU"/>
        </w:rPr>
      </w:pPr>
      <w:r w:rsidRPr="001D1597">
        <w:rPr>
          <w:noProof/>
          <w:lang w:eastAsia="en-AU"/>
        </w:rPr>
        <w:drawing>
          <wp:inline distT="0" distB="0" distL="0" distR="0" wp14:anchorId="58427F43" wp14:editId="0A19072F">
            <wp:extent cx="5731510" cy="3416120"/>
            <wp:effectExtent l="0" t="0" r="2540" b="0"/>
            <wp:docPr id="4" name="Picture 4"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16120"/>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8C15C9" w:rsidRPr="00C4712A">
        <w:t xml:space="preserve">Figure </w:t>
      </w:r>
      <w:r w:rsidR="008C15C9">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8C15C9" w:rsidRPr="009A7F75">
        <w:t xml:space="preserve">Table </w:t>
      </w:r>
      <w:r w:rsidR="008C15C9">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8C15C9">
        <w:fldChar w:fldCharType="begin"/>
      </w:r>
      <w:r w:rsidR="008C15C9">
        <w:instrText xml:space="preserve"> SEQ Figure \* ARABIC </w:instrText>
      </w:r>
      <w:r w:rsidR="008C15C9">
        <w:fldChar w:fldCharType="separate"/>
      </w:r>
      <w:r w:rsidR="008C15C9">
        <w:rPr>
          <w:noProof/>
        </w:rPr>
        <w:t>2</w:t>
      </w:r>
      <w:r w:rsidR="008C15C9">
        <w:rPr>
          <w:noProof/>
        </w:rPr>
        <w:fldChar w:fldCharType="end"/>
      </w:r>
      <w:bookmarkEnd w:id="10"/>
      <w:r w:rsidRPr="00C4712A">
        <w:t>: Volume weighted average spot price by region ($/MWh)</w:t>
      </w:r>
    </w:p>
    <w:p w:rsidR="001F22EE" w:rsidRDefault="001D1597" w:rsidP="00F167CF">
      <w:pPr>
        <w:spacing w:before="0" w:after="120" w:line="240" w:lineRule="auto"/>
      </w:pPr>
      <w:r w:rsidRPr="001D1597">
        <w:rPr>
          <w:noProof/>
          <w:lang w:eastAsia="en-AU"/>
        </w:rPr>
        <w:drawing>
          <wp:inline distT="0" distB="0" distL="0" distR="0" wp14:anchorId="7D354161" wp14:editId="7F1A25FD">
            <wp:extent cx="5731510" cy="2862539"/>
            <wp:effectExtent l="0" t="0" r="2540" b="0"/>
            <wp:docPr id="5" name="Picture 5"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2539"/>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9A7F75">
        <w:t xml:space="preserve">Table </w:t>
      </w:r>
      <w:r w:rsidR="008C15C9">
        <w:fldChar w:fldCharType="begin"/>
      </w:r>
      <w:r w:rsidR="008C15C9">
        <w:instrText xml:space="preserve"> SEQ Table \* ARABIC </w:instrText>
      </w:r>
      <w:r w:rsidR="008C15C9">
        <w:fldChar w:fldCharType="separate"/>
      </w:r>
      <w:r w:rsidR="008C15C9">
        <w:rPr>
          <w:noProof/>
        </w:rPr>
        <w:t>1</w:t>
      </w:r>
      <w:r w:rsidR="008C15C9">
        <w:rPr>
          <w:noProof/>
        </w:rPr>
        <w:fldChar w:fldCharType="end"/>
      </w:r>
      <w:bookmarkEnd w:id="11"/>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1D1597" w:rsidRPr="00C4712A" w:rsidTr="004C3756">
        <w:trPr>
          <w:trHeight w:hRule="exact" w:val="340"/>
        </w:trPr>
        <w:tc>
          <w:tcPr>
            <w:tcW w:w="1357" w:type="pct"/>
            <w:noWrap/>
            <w:hideMark/>
          </w:tcPr>
          <w:p w:rsidR="001D1597" w:rsidRPr="00B95B0D" w:rsidRDefault="001D1597"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93</w:t>
            </w:r>
          </w:p>
        </w:tc>
        <w:tc>
          <w:tcPr>
            <w:tcW w:w="729"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94</w:t>
            </w:r>
          </w:p>
        </w:tc>
        <w:tc>
          <w:tcPr>
            <w:tcW w:w="728"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36</w:t>
            </w:r>
          </w:p>
        </w:tc>
        <w:tc>
          <w:tcPr>
            <w:tcW w:w="729"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42</w:t>
            </w:r>
          </w:p>
        </w:tc>
        <w:tc>
          <w:tcPr>
            <w:tcW w:w="729"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26</w:t>
            </w:r>
          </w:p>
        </w:tc>
      </w:tr>
      <w:tr w:rsidR="001D1597" w:rsidRPr="00C4712A" w:rsidTr="00F21079">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1D1597" w:rsidRPr="00B95B0D" w:rsidRDefault="001D1597"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1D1597" w:rsidRPr="005D0D61" w:rsidRDefault="001D1597" w:rsidP="005D0D61">
            <w:pPr>
              <w:spacing w:before="60" w:afterLines="120" w:after="288"/>
              <w:jc w:val="center"/>
              <w:rPr>
                <w:rFonts w:eastAsia="Times New Roman" w:cs="Arial"/>
                <w:szCs w:val="20"/>
                <w:lang w:eastAsia="en-AU"/>
              </w:rPr>
            </w:pPr>
            <w:r w:rsidRPr="005D0D61">
              <w:rPr>
                <w:rFonts w:eastAsia="Times New Roman" w:cs="Arial"/>
                <w:szCs w:val="20"/>
                <w:lang w:eastAsia="en-AU"/>
              </w:rPr>
              <w:t>42</w:t>
            </w:r>
          </w:p>
        </w:tc>
        <w:tc>
          <w:tcPr>
            <w:tcW w:w="729" w:type="pct"/>
            <w:noWrap/>
            <w:vAlign w:val="center"/>
          </w:tcPr>
          <w:p w:rsidR="001D1597" w:rsidRPr="005D0D61" w:rsidRDefault="001D1597" w:rsidP="005D0D61">
            <w:pPr>
              <w:spacing w:before="60" w:afterLines="120" w:after="288"/>
              <w:jc w:val="center"/>
              <w:rPr>
                <w:rFonts w:eastAsia="Times New Roman" w:cs="Arial"/>
                <w:szCs w:val="20"/>
                <w:lang w:eastAsia="en-AU"/>
              </w:rPr>
            </w:pPr>
            <w:r w:rsidRPr="005D0D61">
              <w:rPr>
                <w:rFonts w:eastAsia="Times New Roman" w:cs="Arial"/>
                <w:szCs w:val="20"/>
                <w:lang w:eastAsia="en-AU"/>
              </w:rPr>
              <w:t>43</w:t>
            </w:r>
          </w:p>
        </w:tc>
        <w:tc>
          <w:tcPr>
            <w:tcW w:w="728" w:type="pct"/>
            <w:noWrap/>
            <w:vAlign w:val="center"/>
          </w:tcPr>
          <w:p w:rsidR="001D1597" w:rsidRPr="005D0D61" w:rsidRDefault="001D1597" w:rsidP="005D0D61">
            <w:pPr>
              <w:spacing w:before="60" w:afterLines="120" w:after="288"/>
              <w:jc w:val="center"/>
              <w:rPr>
                <w:rFonts w:eastAsia="Times New Roman" w:cs="Arial"/>
                <w:szCs w:val="20"/>
                <w:lang w:eastAsia="en-AU"/>
              </w:rPr>
            </w:pPr>
            <w:r w:rsidRPr="005D0D61">
              <w:rPr>
                <w:rFonts w:eastAsia="Times New Roman" w:cs="Arial"/>
                <w:szCs w:val="20"/>
                <w:lang w:eastAsia="en-AU"/>
              </w:rPr>
              <w:t>38</w:t>
            </w:r>
          </w:p>
        </w:tc>
        <w:tc>
          <w:tcPr>
            <w:tcW w:w="729" w:type="pct"/>
            <w:noWrap/>
            <w:vAlign w:val="center"/>
          </w:tcPr>
          <w:p w:rsidR="001D1597" w:rsidRPr="005D0D61" w:rsidRDefault="001D1597" w:rsidP="005D0D61">
            <w:pPr>
              <w:spacing w:before="60" w:afterLines="120" w:after="288"/>
              <w:jc w:val="center"/>
              <w:rPr>
                <w:rFonts w:eastAsia="Times New Roman" w:cs="Arial"/>
                <w:szCs w:val="20"/>
                <w:lang w:eastAsia="en-AU"/>
              </w:rPr>
            </w:pPr>
            <w:r w:rsidRPr="005D0D61">
              <w:rPr>
                <w:rFonts w:eastAsia="Times New Roman" w:cs="Arial"/>
                <w:szCs w:val="20"/>
                <w:lang w:eastAsia="en-AU"/>
              </w:rPr>
              <w:t>63</w:t>
            </w:r>
          </w:p>
        </w:tc>
        <w:tc>
          <w:tcPr>
            <w:tcW w:w="729" w:type="pct"/>
            <w:noWrap/>
            <w:vAlign w:val="center"/>
          </w:tcPr>
          <w:p w:rsidR="001D1597" w:rsidRPr="005D0D61" w:rsidRDefault="001D1597" w:rsidP="005D0D61">
            <w:pPr>
              <w:spacing w:before="60" w:afterLines="120" w:after="288"/>
              <w:jc w:val="center"/>
              <w:rPr>
                <w:rFonts w:eastAsia="Times New Roman" w:cs="Arial"/>
                <w:szCs w:val="20"/>
                <w:lang w:eastAsia="en-AU"/>
              </w:rPr>
            </w:pPr>
            <w:r w:rsidRPr="005D0D61">
              <w:rPr>
                <w:rFonts w:eastAsia="Times New Roman" w:cs="Arial"/>
                <w:szCs w:val="20"/>
                <w:lang w:eastAsia="en-AU"/>
              </w:rPr>
              <w:t>45</w:t>
            </w:r>
          </w:p>
        </w:tc>
      </w:tr>
      <w:tr w:rsidR="001D1597" w:rsidRPr="00C4712A" w:rsidTr="00F21079">
        <w:trPr>
          <w:trHeight w:hRule="exact" w:val="340"/>
        </w:trPr>
        <w:tc>
          <w:tcPr>
            <w:tcW w:w="1357" w:type="pct"/>
            <w:noWrap/>
            <w:hideMark/>
          </w:tcPr>
          <w:p w:rsidR="001D1597" w:rsidRPr="00B95B0D" w:rsidRDefault="001D1597"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56</w:t>
            </w:r>
          </w:p>
        </w:tc>
        <w:tc>
          <w:tcPr>
            <w:tcW w:w="729"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58</w:t>
            </w:r>
          </w:p>
        </w:tc>
        <w:tc>
          <w:tcPr>
            <w:tcW w:w="728"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47</w:t>
            </w:r>
          </w:p>
        </w:tc>
        <w:tc>
          <w:tcPr>
            <w:tcW w:w="729"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113</w:t>
            </w:r>
          </w:p>
        </w:tc>
        <w:tc>
          <w:tcPr>
            <w:tcW w:w="729"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48</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AC02C6" w:rsidRPr="00BE377D" w:rsidRDefault="00AC02C6" w:rsidP="00BE377D">
      <w:pPr>
        <w:spacing w:before="120" w:after="120"/>
        <w:rPr>
          <w:sz w:val="18"/>
          <w:szCs w:val="18"/>
        </w:rPr>
      </w:pPr>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B67E25" w:rsidP="000F5487">
      <w:pPr>
        <w:pStyle w:val="AERbodytext"/>
      </w:pPr>
      <w:r>
        <w:t>There were 309</w:t>
      </w:r>
      <w:r w:rsidR="00FD34BC">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8C15C9" w:rsidRPr="00C4712A">
        <w:t xml:space="preserve">Table </w:t>
      </w:r>
      <w:r w:rsidR="008C15C9">
        <w:t>2</w:t>
      </w:r>
      <w:r w:rsidR="00E7472E" w:rsidRPr="00C4712A">
        <w:fldChar w:fldCharType="end"/>
      </w:r>
      <w:r w:rsidR="00275002" w:rsidRPr="00C4712A">
        <w:t>.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8C15C9">
        <w:fldChar w:fldCharType="begin"/>
      </w:r>
      <w:r w:rsidR="008C15C9">
        <w:instrText xml:space="preserve"> SEQ Table \* ARABIC </w:instrText>
      </w:r>
      <w:r w:rsidR="008C15C9">
        <w:fldChar w:fldCharType="separate"/>
      </w:r>
      <w:r w:rsidR="008C15C9">
        <w:rPr>
          <w:noProof/>
        </w:rPr>
        <w:t>2</w:t>
      </w:r>
      <w:r w:rsidR="008C15C9">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5D0D61"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5D0D61" w:rsidRPr="00C4712A" w:rsidRDefault="005D0D61" w:rsidP="000D05BD">
            <w:pPr>
              <w:spacing w:before="60"/>
              <w:rPr>
                <w:sz w:val="20"/>
                <w:szCs w:val="20"/>
              </w:rPr>
            </w:pPr>
            <w:r w:rsidRPr="00C4712A">
              <w:rPr>
                <w:sz w:val="20"/>
                <w:szCs w:val="20"/>
              </w:rPr>
              <w:t>% of total above forecast</w:t>
            </w:r>
          </w:p>
        </w:tc>
        <w:tc>
          <w:tcPr>
            <w:tcW w:w="1571" w:type="dxa"/>
            <w:noWrap/>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5</w:t>
            </w:r>
          </w:p>
        </w:tc>
        <w:tc>
          <w:tcPr>
            <w:tcW w:w="1572" w:type="dxa"/>
            <w:noWrap/>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19</w:t>
            </w:r>
          </w:p>
        </w:tc>
        <w:tc>
          <w:tcPr>
            <w:tcW w:w="1572" w:type="dxa"/>
            <w:noWrap/>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0</w:t>
            </w:r>
          </w:p>
        </w:tc>
        <w:tc>
          <w:tcPr>
            <w:tcW w:w="1572" w:type="dxa"/>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3</w:t>
            </w:r>
          </w:p>
        </w:tc>
      </w:tr>
      <w:tr w:rsidR="005D0D61"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5D0D61" w:rsidRPr="00C4712A" w:rsidRDefault="005D0D61" w:rsidP="000D05BD">
            <w:pPr>
              <w:spacing w:before="60"/>
              <w:rPr>
                <w:sz w:val="20"/>
                <w:szCs w:val="20"/>
              </w:rPr>
            </w:pPr>
            <w:r w:rsidRPr="00C4712A">
              <w:rPr>
                <w:sz w:val="20"/>
                <w:szCs w:val="20"/>
              </w:rPr>
              <w:t>% of total below forecast</w:t>
            </w:r>
          </w:p>
        </w:tc>
        <w:tc>
          <w:tcPr>
            <w:tcW w:w="1571" w:type="dxa"/>
            <w:noWrap/>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40</w:t>
            </w:r>
          </w:p>
        </w:tc>
        <w:tc>
          <w:tcPr>
            <w:tcW w:w="1572" w:type="dxa"/>
            <w:noWrap/>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23</w:t>
            </w:r>
          </w:p>
        </w:tc>
        <w:tc>
          <w:tcPr>
            <w:tcW w:w="1572" w:type="dxa"/>
            <w:noWrap/>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0</w:t>
            </w:r>
          </w:p>
        </w:tc>
        <w:tc>
          <w:tcPr>
            <w:tcW w:w="1572" w:type="dxa"/>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11</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8C15C9" w:rsidRPr="00C4712A">
        <w:t xml:space="preserve">Figure </w:t>
      </w:r>
      <w:r w:rsidR="008C15C9">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8C15C9" w:rsidRPr="002C6B96">
        <w:t xml:space="preserve">Figure </w:t>
      </w:r>
      <w:r w:rsidR="008C15C9" w:rsidRPr="008C15C9">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8C15C9">
        <w:fldChar w:fldCharType="begin"/>
      </w:r>
      <w:r w:rsidR="008C15C9">
        <w:instrText xml:space="preserve"> SEQ Figure \* ARABIC </w:instrText>
      </w:r>
      <w:r w:rsidR="008C15C9">
        <w:fldChar w:fldCharType="separate"/>
      </w:r>
      <w:r w:rsidR="008C15C9">
        <w:rPr>
          <w:noProof/>
        </w:rPr>
        <w:t>3</w:t>
      </w:r>
      <w:r w:rsidR="008C15C9">
        <w:rPr>
          <w:noProof/>
        </w:rPr>
        <w:fldChar w:fldCharType="end"/>
      </w:r>
      <w:bookmarkEnd w:id="14"/>
      <w:r w:rsidRPr="00C4712A">
        <w:t>: Queensland generation and bidding patterns</w:t>
      </w:r>
    </w:p>
    <w:p w:rsidR="007B78AB" w:rsidRDefault="005D0D61" w:rsidP="00886FA8">
      <w:pPr>
        <w:pStyle w:val="AERbodytext"/>
        <w:rPr>
          <w:bCs w:val="0"/>
        </w:rPr>
      </w:pPr>
      <w:r>
        <w:rPr>
          <w:noProof/>
        </w:rPr>
        <mc:AlternateContent>
          <mc:Choice Requires="wps">
            <w:drawing>
              <wp:anchor distT="0" distB="0" distL="114300" distR="114300" simplePos="0" relativeHeight="251667456" behindDoc="0" locked="0" layoutInCell="1" allowOverlap="1" wp14:anchorId="29304F93" wp14:editId="3D698D33">
                <wp:simplePos x="0" y="0"/>
                <wp:positionH relativeFrom="column">
                  <wp:posOffset>2209973</wp:posOffset>
                </wp:positionH>
                <wp:positionV relativeFrom="paragraph">
                  <wp:posOffset>278130</wp:posOffset>
                </wp:positionV>
                <wp:extent cx="490450" cy="1612670"/>
                <wp:effectExtent l="0" t="0" r="24130" b="26035"/>
                <wp:wrapNone/>
                <wp:docPr id="7" name="Oval 7"/>
                <wp:cNvGraphicFramePr/>
                <a:graphic xmlns:a="http://schemas.openxmlformats.org/drawingml/2006/main">
                  <a:graphicData uri="http://schemas.microsoft.com/office/word/2010/wordprocessingShape">
                    <wps:wsp>
                      <wps:cNvSpPr/>
                      <wps:spPr>
                        <a:xfrm>
                          <a:off x="0" y="0"/>
                          <a:ext cx="490450" cy="1612670"/>
                        </a:xfrm>
                        <a:prstGeom prst="ellipse">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174pt;margin-top:21.9pt;width:38.6pt;height:1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" filled="f" strokecolor="#fc4e3e [1944]" strokeweight="2pt"/>
            </w:pict>
          </mc:Fallback>
        </mc:AlternateContent>
      </w:r>
      <w:r w:rsidRPr="005D0D61">
        <w:rPr>
          <w:noProof/>
        </w:rPr>
        <w:drawing>
          <wp:inline distT="0" distB="0" distL="0" distR="0" wp14:anchorId="155AAC5B" wp14:editId="5292D5D5">
            <wp:extent cx="5731510" cy="4118068"/>
            <wp:effectExtent l="0" t="0" r="2540" b="0"/>
            <wp:docPr id="6" name="Picture 6"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F55CE5" w:rsidRPr="00F55CE5" w:rsidRDefault="00F55CE5" w:rsidP="00F55CE5">
      <w:pPr>
        <w:pStyle w:val="AERbodytext"/>
        <w:rPr>
          <w:bCs w:val="0"/>
        </w:rPr>
      </w:pPr>
      <w:r>
        <w:rPr>
          <w:bCs w:val="0"/>
        </w:rPr>
        <w:t xml:space="preserve">The sudden increase in low price capacity on 8 </w:t>
      </w:r>
      <w:r w:rsidR="007D6538">
        <w:rPr>
          <w:bCs w:val="0"/>
        </w:rPr>
        <w:t xml:space="preserve">November </w:t>
      </w:r>
      <w:r>
        <w:rPr>
          <w:bCs w:val="0"/>
        </w:rPr>
        <w:t xml:space="preserve">(circled red) was due to participant rebidding following a high price event. More details </w:t>
      </w:r>
      <w:r w:rsidR="0074256A">
        <w:rPr>
          <w:bCs w:val="0"/>
        </w:rPr>
        <w:t xml:space="preserve">on the pricing event can be found </w:t>
      </w:r>
      <w:r>
        <w:rPr>
          <w:bCs w:val="0"/>
        </w:rPr>
        <w:t>in the “</w:t>
      </w:r>
      <w:r w:rsidRPr="00F55CE5">
        <w:rPr>
          <w:bCs w:val="0"/>
        </w:rPr>
        <w:t>Detailed market analysis of significant price events</w:t>
      </w:r>
      <w:r>
        <w:rPr>
          <w:bCs w:val="0"/>
        </w:rPr>
        <w:t xml:space="preserve">” section. </w:t>
      </w:r>
    </w:p>
    <w:p w:rsidR="00F55CE5" w:rsidRPr="008707C1" w:rsidRDefault="00F55CE5" w:rsidP="00886FA8">
      <w:pPr>
        <w:pStyle w:val="AERbodytext"/>
        <w:rPr>
          <w:bCs w:val="0"/>
        </w:rPr>
      </w:pPr>
      <w:r>
        <w:rPr>
          <w:bCs w:val="0"/>
        </w:rPr>
        <w:t xml:space="preserve"> </w:t>
      </w:r>
    </w:p>
    <w:p w:rsidR="00275002" w:rsidRPr="00C4712A" w:rsidRDefault="00275002" w:rsidP="000E2946">
      <w:pPr>
        <w:pStyle w:val="Caption"/>
      </w:pPr>
      <w:bookmarkStart w:id="15" w:name="_Ref428273135"/>
      <w:r w:rsidRPr="00C4712A">
        <w:lastRenderedPageBreak/>
        <w:t xml:space="preserve">Figure </w:t>
      </w:r>
      <w:r w:rsidR="008C15C9">
        <w:fldChar w:fldCharType="begin"/>
      </w:r>
      <w:r w:rsidR="008C15C9">
        <w:instrText xml:space="preserve"> SEQ Figure \* ARABIC </w:instrText>
      </w:r>
      <w:r w:rsidR="008C15C9">
        <w:fldChar w:fldCharType="separate"/>
      </w:r>
      <w:r w:rsidR="008C15C9">
        <w:rPr>
          <w:noProof/>
        </w:rPr>
        <w:t>4</w:t>
      </w:r>
      <w:r w:rsidR="008C15C9">
        <w:rPr>
          <w:noProof/>
        </w:rPr>
        <w:fldChar w:fldCharType="end"/>
      </w:r>
      <w:bookmarkEnd w:id="15"/>
      <w:r w:rsidRPr="00C4712A">
        <w:t>: New South Wales generation and bidding patterns</w:t>
      </w:r>
    </w:p>
    <w:p w:rsidR="00181C46" w:rsidRDefault="005D0D61" w:rsidP="00181C46">
      <w:r>
        <w:rPr>
          <w:noProof/>
          <w:lang w:eastAsia="en-AU"/>
        </w:rPr>
        <mc:AlternateContent>
          <mc:Choice Requires="wps">
            <w:drawing>
              <wp:anchor distT="0" distB="0" distL="114300" distR="114300" simplePos="0" relativeHeight="251669504" behindDoc="0" locked="0" layoutInCell="1" allowOverlap="1" wp14:anchorId="66221DC0" wp14:editId="45DC32A1">
                <wp:simplePos x="0" y="0"/>
                <wp:positionH relativeFrom="column">
                  <wp:posOffset>2245360</wp:posOffset>
                </wp:positionH>
                <wp:positionV relativeFrom="paragraph">
                  <wp:posOffset>523875</wp:posOffset>
                </wp:positionV>
                <wp:extent cx="490220" cy="1612265"/>
                <wp:effectExtent l="0" t="0" r="24130" b="26035"/>
                <wp:wrapNone/>
                <wp:docPr id="15" name="Oval 15"/>
                <wp:cNvGraphicFramePr/>
                <a:graphic xmlns:a="http://schemas.openxmlformats.org/drawingml/2006/main">
                  <a:graphicData uri="http://schemas.microsoft.com/office/word/2010/wordprocessingShape">
                    <wps:wsp>
                      <wps:cNvSpPr/>
                      <wps:spPr>
                        <a:xfrm>
                          <a:off x="0" y="0"/>
                          <a:ext cx="490220" cy="1612265"/>
                        </a:xfrm>
                        <a:prstGeom prst="ellipse">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176.8pt;margin-top:41.25pt;width:38.6pt;height:126.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" filled="f" strokecolor="#fc4e3e [1944]" strokeweight="2pt"/>
            </w:pict>
          </mc:Fallback>
        </mc:AlternateContent>
      </w:r>
      <w:r w:rsidRPr="005D0D61">
        <w:rPr>
          <w:noProof/>
          <w:lang w:eastAsia="en-AU"/>
        </w:rPr>
        <w:drawing>
          <wp:inline distT="0" distB="0" distL="0" distR="0" wp14:anchorId="2B8F2933" wp14:editId="2E2C53C8">
            <wp:extent cx="5731510" cy="4124003"/>
            <wp:effectExtent l="0" t="0" r="2540" b="0"/>
            <wp:docPr id="8" name="Picture 8" descr="&quot;Figure 4 shows the total generation dispatched and the amounts of capacity bid in within certain price bands for each 30 minute trading interval in New South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4003"/>
                    </a:xfrm>
                    <a:prstGeom prst="rect">
                      <a:avLst/>
                    </a:prstGeom>
                    <a:noFill/>
                    <a:ln>
                      <a:noFill/>
                    </a:ln>
                  </pic:spPr>
                </pic:pic>
              </a:graphicData>
            </a:graphic>
          </wp:inline>
        </w:drawing>
      </w:r>
    </w:p>
    <w:p w:rsidR="00F55CE5" w:rsidRPr="00F55CE5" w:rsidRDefault="00F55CE5" w:rsidP="00F55CE5">
      <w:pPr>
        <w:pStyle w:val="AERbodytext"/>
        <w:rPr>
          <w:bCs w:val="0"/>
        </w:rPr>
      </w:pPr>
      <w:r>
        <w:rPr>
          <w:bCs w:val="0"/>
        </w:rPr>
        <w:t xml:space="preserve">The sudden increase in low price capacity on 8 </w:t>
      </w:r>
      <w:r w:rsidR="007D6538">
        <w:rPr>
          <w:bCs w:val="0"/>
        </w:rPr>
        <w:t xml:space="preserve">November </w:t>
      </w:r>
      <w:r>
        <w:rPr>
          <w:bCs w:val="0"/>
        </w:rPr>
        <w:t xml:space="preserve">(circled red) was due to participant rebidding following a high price event. More details </w:t>
      </w:r>
      <w:r w:rsidR="0074256A">
        <w:rPr>
          <w:bCs w:val="0"/>
        </w:rPr>
        <w:t xml:space="preserve">on the pricing event can be found </w:t>
      </w:r>
      <w:r>
        <w:rPr>
          <w:bCs w:val="0"/>
        </w:rPr>
        <w:t>in the “</w:t>
      </w:r>
      <w:r w:rsidRPr="00F55CE5">
        <w:rPr>
          <w:bCs w:val="0"/>
        </w:rPr>
        <w:t>Detailed market analysis of significant price events</w:t>
      </w:r>
      <w:r>
        <w:rPr>
          <w:bCs w:val="0"/>
        </w:rPr>
        <w:t xml:space="preserve">” section. </w:t>
      </w:r>
    </w:p>
    <w:p w:rsidR="00F55CE5" w:rsidRPr="00C4712A" w:rsidRDefault="00F55CE5" w:rsidP="00181C46"/>
    <w:p w:rsidR="00275002" w:rsidRPr="00C4712A" w:rsidRDefault="00275002" w:rsidP="000E2946">
      <w:pPr>
        <w:pStyle w:val="Caption"/>
      </w:pPr>
      <w:r w:rsidRPr="00C4712A">
        <w:lastRenderedPageBreak/>
        <w:t xml:space="preserve">Figure </w:t>
      </w:r>
      <w:r w:rsidR="008C15C9">
        <w:fldChar w:fldCharType="begin"/>
      </w:r>
      <w:r w:rsidR="008C15C9">
        <w:instrText xml:space="preserve"> SEQ Figure \* ARABIC </w:instrText>
      </w:r>
      <w:r w:rsidR="008C15C9">
        <w:fldChar w:fldCharType="separate"/>
      </w:r>
      <w:r w:rsidR="008C15C9">
        <w:rPr>
          <w:noProof/>
        </w:rPr>
        <w:t>5</w:t>
      </w:r>
      <w:r w:rsidR="008C15C9">
        <w:rPr>
          <w:noProof/>
        </w:rPr>
        <w:fldChar w:fldCharType="end"/>
      </w:r>
      <w:r w:rsidRPr="00C4712A">
        <w:t>: Victoria generation and bidding patterns</w:t>
      </w:r>
    </w:p>
    <w:p w:rsidR="00FB265D" w:rsidRDefault="00EE2FDB" w:rsidP="00FB265D">
      <w:r w:rsidRPr="00EE2FDB">
        <w:rPr>
          <w:noProof/>
          <w:lang w:eastAsia="en-AU"/>
        </w:rPr>
        <w:drawing>
          <wp:inline distT="0" distB="0" distL="0" distR="0" wp14:anchorId="7596F9B8" wp14:editId="3BF6EE6C">
            <wp:extent cx="5731510" cy="4118068"/>
            <wp:effectExtent l="0" t="0" r="2540" b="0"/>
            <wp:docPr id="16" name="Picture 16"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Default="00275002" w:rsidP="000E2946">
      <w:pPr>
        <w:pStyle w:val="Caption"/>
      </w:pPr>
      <w:r w:rsidRPr="00610304">
        <w:t xml:space="preserve">Figure </w:t>
      </w:r>
      <w:r w:rsidR="008C15C9">
        <w:fldChar w:fldCharType="begin"/>
      </w:r>
      <w:r w:rsidR="008C15C9">
        <w:instrText xml:space="preserve"> SEQ Figure \* ARABIC </w:instrText>
      </w:r>
      <w:r w:rsidR="008C15C9">
        <w:fldChar w:fldCharType="separate"/>
      </w:r>
      <w:r w:rsidR="008C15C9">
        <w:rPr>
          <w:noProof/>
        </w:rPr>
        <w:t>6</w:t>
      </w:r>
      <w:r w:rsidR="008C15C9">
        <w:rPr>
          <w:noProof/>
        </w:rPr>
        <w:fldChar w:fldCharType="end"/>
      </w:r>
      <w:bookmarkEnd w:id="16"/>
      <w:r w:rsidRPr="00610304">
        <w:t>: South Australia generation and bidding patterns</w:t>
      </w:r>
    </w:p>
    <w:p w:rsidR="002F2481" w:rsidRDefault="00B67E25" w:rsidP="00A25353">
      <w:r w:rsidRPr="00B67E25">
        <w:rPr>
          <w:noProof/>
          <w:lang w:eastAsia="en-AU"/>
        </w:rPr>
        <w:drawing>
          <wp:inline distT="0" distB="0" distL="0" distR="0" wp14:anchorId="0B257257" wp14:editId="36A0238F">
            <wp:extent cx="5731510" cy="4253959"/>
            <wp:effectExtent l="0" t="0" r="2540" b="0"/>
            <wp:docPr id="2" name="Picture 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3959"/>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lastRenderedPageBreak/>
        <w:t xml:space="preserve">Figure </w:t>
      </w:r>
      <w:r w:rsidR="008C15C9">
        <w:fldChar w:fldCharType="begin"/>
      </w:r>
      <w:r w:rsidR="008C15C9">
        <w:instrText xml:space="preserve"> SEQ Figure \* ARABIC </w:instrText>
      </w:r>
      <w:r w:rsidR="008C15C9">
        <w:fldChar w:fldCharType="separate"/>
      </w:r>
      <w:r w:rsidR="008C15C9">
        <w:rPr>
          <w:noProof/>
        </w:rPr>
        <w:t>7</w:t>
      </w:r>
      <w:r w:rsidR="008C15C9">
        <w:rPr>
          <w:noProof/>
        </w:rPr>
        <w:fldChar w:fldCharType="end"/>
      </w:r>
      <w:bookmarkEnd w:id="17"/>
      <w:r w:rsidRPr="002C6B96">
        <w:t>: Tasmania generation and bidding patterns</w:t>
      </w:r>
    </w:p>
    <w:bookmarkEnd w:id="18"/>
    <w:p w:rsidR="00DB7B59" w:rsidRDefault="00EE2FDB" w:rsidP="00AF7C0E">
      <w:pPr>
        <w:pStyle w:val="AERbodytext"/>
      </w:pPr>
      <w:r w:rsidRPr="00EE2FDB">
        <w:rPr>
          <w:noProof/>
        </w:rPr>
        <w:drawing>
          <wp:inline distT="0" distB="0" distL="0" distR="0" wp14:anchorId="38810861" wp14:editId="492B4C80">
            <wp:extent cx="5731510" cy="4118068"/>
            <wp:effectExtent l="0" t="0" r="2540" b="0"/>
            <wp:docPr id="17" name="Picture 17"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Pr="00C4712A" w:rsidRDefault="00275002" w:rsidP="004F6D0A">
      <w:pPr>
        <w:pStyle w:val="AERHeading1"/>
      </w:pPr>
      <w:r w:rsidRPr="00C4712A">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r w:rsidRPr="00C4712A">
        <w:t>delayed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8C15C9" w:rsidRDefault="005358F4" w:rsidP="008C15C9">
      <w:pPr>
        <w:spacing w:line="240" w:lineRule="auto"/>
      </w:pPr>
      <w:bookmarkStart w:id="19" w:name="_Ref410383413"/>
      <w:r w:rsidRPr="005358F4">
        <w:rPr>
          <w:rFonts w:eastAsia="Times New Roman" w:cs="Arial"/>
          <w:bCs/>
          <w:lang w:eastAsia="en-AU"/>
        </w:rPr>
        <w:t>The total cost of FCAS on the mainland for the week was $</w:t>
      </w:r>
      <w:r w:rsidR="00C102E6">
        <w:rPr>
          <w:rFonts w:eastAsia="Times New Roman" w:cs="Arial"/>
          <w:bCs/>
          <w:lang w:eastAsia="en-AU"/>
        </w:rPr>
        <w:t>8</w:t>
      </w:r>
      <w:r w:rsidR="001761FF">
        <w:rPr>
          <w:rFonts w:eastAsia="Times New Roman" w:cs="Arial"/>
          <w:bCs/>
          <w:lang w:eastAsia="en-AU"/>
        </w:rPr>
        <w:t> </w:t>
      </w:r>
      <w:r w:rsidR="00C102E6">
        <w:rPr>
          <w:rFonts w:eastAsia="Times New Roman" w:cs="Arial"/>
          <w:bCs/>
          <w:lang w:eastAsia="en-AU"/>
        </w:rPr>
        <w:t>647</w:t>
      </w:r>
      <w:r w:rsidR="001761FF">
        <w:rPr>
          <w:rFonts w:eastAsia="Times New Roman" w:cs="Arial"/>
          <w:bCs/>
          <w:lang w:eastAsia="en-AU"/>
        </w:rPr>
        <w:t> 000</w:t>
      </w:r>
      <w:r w:rsidRPr="005358F4">
        <w:rPr>
          <w:rFonts w:eastAsia="Times New Roman" w:cs="Arial"/>
          <w:bCs/>
          <w:lang w:eastAsia="en-AU"/>
        </w:rPr>
        <w:t xml:space="preserve"> or </w:t>
      </w:r>
      <w:r w:rsidR="001761FF">
        <w:rPr>
          <w:rFonts w:eastAsia="Times New Roman" w:cs="Arial"/>
          <w:bCs/>
          <w:lang w:eastAsia="en-AU"/>
        </w:rPr>
        <w:t xml:space="preserve">around </w:t>
      </w:r>
      <w:r w:rsidR="00353024">
        <w:rPr>
          <w:rFonts w:eastAsia="Times New Roman" w:cs="Arial"/>
          <w:bCs/>
          <w:lang w:eastAsia="en-AU"/>
        </w:rPr>
        <w:t>3</w:t>
      </w:r>
      <w:r w:rsidRPr="005358F4">
        <w:rPr>
          <w:rFonts w:eastAsia="Times New Roman" w:cs="Arial"/>
          <w:bCs/>
          <w:lang w:eastAsia="en-AU"/>
        </w:rPr>
        <w:t xml:space="preserve"> per cent of energy turnover on the mainland.</w:t>
      </w:r>
      <w:r w:rsidR="00A53817">
        <w:rPr>
          <w:rFonts w:eastAsia="Times New Roman" w:cs="Arial"/>
          <w:bCs/>
          <w:lang w:eastAsia="en-AU"/>
        </w:rPr>
        <w:t xml:space="preserve"> </w:t>
      </w:r>
      <w:r w:rsidRPr="005358F4">
        <w:rPr>
          <w:rFonts w:eastAsia="Times New Roman" w:cs="Arial"/>
          <w:bCs/>
          <w:lang w:eastAsia="en-AU"/>
        </w:rPr>
        <w:t>The total cost of FCAS in Tasmania for the week was $</w:t>
      </w:r>
      <w:r w:rsidR="00C102E6">
        <w:rPr>
          <w:rFonts w:eastAsia="Times New Roman" w:cs="Arial"/>
          <w:bCs/>
          <w:lang w:eastAsia="en-AU"/>
        </w:rPr>
        <w:t>167</w:t>
      </w:r>
      <w:r w:rsidR="001761FF">
        <w:rPr>
          <w:rFonts w:eastAsia="Times New Roman" w:cs="Arial"/>
          <w:bCs/>
          <w:lang w:eastAsia="en-AU"/>
        </w:rPr>
        <w:t xml:space="preserve"> 5</w:t>
      </w:r>
      <w:r w:rsidRPr="005358F4">
        <w:rPr>
          <w:rFonts w:eastAsia="Times New Roman" w:cs="Arial"/>
          <w:bCs/>
          <w:lang w:eastAsia="en-AU"/>
        </w:rPr>
        <w:t xml:space="preserve">00 or </w:t>
      </w:r>
      <w:r w:rsidR="00436F28">
        <w:rPr>
          <w:rFonts w:eastAsia="Times New Roman" w:cs="Arial"/>
          <w:bCs/>
          <w:lang w:eastAsia="en-AU"/>
        </w:rPr>
        <w:t xml:space="preserve">around </w:t>
      </w:r>
      <w:r w:rsidR="00353024">
        <w:rPr>
          <w:rFonts w:eastAsia="Times New Roman" w:cs="Arial"/>
          <w:bCs/>
          <w:lang w:eastAsia="en-AU"/>
        </w:rPr>
        <w:t>3</w:t>
      </w:r>
      <w:r w:rsidR="00862283">
        <w:rPr>
          <w:rFonts w:eastAsia="Times New Roman" w:cs="Arial"/>
          <w:bCs/>
          <w:lang w:eastAsia="en-AU"/>
        </w:rPr>
        <w:t xml:space="preserve"> </w:t>
      </w:r>
      <w:r w:rsidRPr="005358F4">
        <w:rPr>
          <w:rFonts w:eastAsia="Times New Roman" w:cs="Arial"/>
          <w:bCs/>
          <w:lang w:eastAsia="en-AU"/>
        </w:rPr>
        <w:t>per cent of energy turnover in Tasmania.</w:t>
      </w:r>
      <w:r w:rsidR="00F3590E" w:rsidRPr="00C4712A">
        <w:rPr>
          <w:rFonts w:eastAsia="Times New Roman" w:cs="Arial"/>
          <w:bCs/>
          <w:lang w:eastAsia="en-AU"/>
        </w:rPr>
        <w:fldChar w:fldCharType="begin"/>
      </w:r>
      <w:r w:rsidR="00F3590E" w:rsidRPr="006861F0">
        <w:rPr>
          <w:rFonts w:eastAsia="Times New Roman" w:cs="Arial"/>
          <w:bCs/>
          <w:lang w:eastAsia="en-AU"/>
        </w:rPr>
        <w:instrText xml:space="preserve"> REF _Ref418082853 \h </w:instrText>
      </w:r>
      <w:r w:rsidR="00215E19" w:rsidRPr="006861F0">
        <w:rPr>
          <w:rFonts w:eastAsia="Times New Roman" w:cs="Arial"/>
          <w:bCs/>
          <w:lang w:eastAsia="en-AU"/>
        </w:rPr>
        <w:instrText xml:space="preserve"> \* MERGEFORMAT </w:instrText>
      </w:r>
      <w:r w:rsidR="00F3590E" w:rsidRPr="00C4712A">
        <w:rPr>
          <w:rFonts w:eastAsia="Times New Roman" w:cs="Arial"/>
          <w:bCs/>
          <w:lang w:eastAsia="en-AU"/>
        </w:rPr>
      </w:r>
      <w:r w:rsidR="00F3590E" w:rsidRPr="00C4712A">
        <w:rPr>
          <w:rFonts w:eastAsia="Times New Roman" w:cs="Arial"/>
          <w:bCs/>
          <w:lang w:eastAsia="en-AU"/>
        </w:rPr>
        <w:fldChar w:fldCharType="separate"/>
      </w:r>
    </w:p>
    <w:p w:rsidR="00B01BD3" w:rsidRDefault="008C15C9" w:rsidP="00551739">
      <w:pPr>
        <w:pStyle w:val="AERbodytext"/>
      </w:pPr>
      <w:r w:rsidRPr="00551739">
        <w:t xml:space="preserve">Figure </w:t>
      </w:r>
      <w: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lastRenderedPageBreak/>
        <w:t xml:space="preserve">Figure </w:t>
      </w:r>
      <w:r w:rsidR="00DF6E09">
        <w:rPr>
          <w:noProof/>
        </w:rPr>
        <w:fldChar w:fldCharType="begin"/>
      </w:r>
      <w:r w:rsidR="00DF6E09">
        <w:rPr>
          <w:noProof/>
        </w:rPr>
        <w:instrText xml:space="preserve"> SEQ Figure \* ARABIC </w:instrText>
      </w:r>
      <w:r w:rsidR="00DF6E09">
        <w:rPr>
          <w:noProof/>
        </w:rPr>
        <w:fldChar w:fldCharType="separate"/>
      </w:r>
      <w:r w:rsidR="008C15C9">
        <w:rPr>
          <w:noProof/>
        </w:rPr>
        <w:t>8</w:t>
      </w:r>
      <w:r w:rsidR="00DF6E09">
        <w:rPr>
          <w:noProof/>
        </w:rPr>
        <w:fldChar w:fldCharType="end"/>
      </w:r>
      <w:bookmarkEnd w:id="19"/>
      <w:bookmarkEnd w:id="20"/>
      <w:r w:rsidRPr="00551739">
        <w:rPr>
          <w:noProof/>
        </w:rPr>
        <w:t>: Daily frequency control ancillary service cost</w:t>
      </w:r>
    </w:p>
    <w:p w:rsidR="006D1A40" w:rsidRDefault="00C102E6" w:rsidP="006D1A40">
      <w:pPr>
        <w:spacing w:line="240" w:lineRule="auto"/>
        <w:rPr>
          <w:rStyle w:val="AERbodytextChar"/>
          <w:rFonts w:eastAsiaTheme="minorHAnsi"/>
        </w:rPr>
      </w:pPr>
      <w:r w:rsidRPr="00C102E6">
        <w:rPr>
          <w:noProof/>
          <w:lang w:eastAsia="en-AU"/>
        </w:rPr>
        <w:drawing>
          <wp:inline distT="0" distB="0" distL="0" distR="0" wp14:anchorId="1D22AD7C" wp14:editId="56661F80">
            <wp:extent cx="5731510" cy="2893149"/>
            <wp:effectExtent l="0" t="0" r="2540" b="2540"/>
            <wp:docPr id="20" name="Picture 20" descr="&quot;Figure 8 shows the daily breakdown of cost for each FCAS for the NEM, as well as the average cost since the beginning of the previous financial year.&#10;Should you require a description of the data for the week under review, please email us at  AERInquiry@aer.gov.au.&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149"/>
                    </a:xfrm>
                    <a:prstGeom prst="rect">
                      <a:avLst/>
                    </a:prstGeom>
                    <a:noFill/>
                    <a:ln>
                      <a:noFill/>
                    </a:ln>
                  </pic:spPr>
                </pic:pic>
              </a:graphicData>
            </a:graphic>
          </wp:inline>
        </w:drawing>
      </w:r>
    </w:p>
    <w:p w:rsidR="00000198" w:rsidRPr="003A5E58" w:rsidRDefault="00CE4A33" w:rsidP="00000198">
      <w:pPr>
        <w:pStyle w:val="AERbodytext"/>
      </w:pPr>
      <w:r>
        <w:t>On 9</w:t>
      </w:r>
      <w:r w:rsidR="00000198">
        <w:t> </w:t>
      </w:r>
      <w:r>
        <w:t xml:space="preserve">November </w:t>
      </w:r>
      <w:r w:rsidR="00000198">
        <w:t xml:space="preserve">the </w:t>
      </w:r>
      <w:r w:rsidR="00000198" w:rsidRPr="003A5E58">
        <w:t xml:space="preserve">price of </w:t>
      </w:r>
      <w:r w:rsidR="00000198">
        <w:t>r</w:t>
      </w:r>
      <w:r w:rsidR="00000198" w:rsidRPr="003A5E58">
        <w:t xml:space="preserve">aise and </w:t>
      </w:r>
      <w:r w:rsidR="00000198">
        <w:t>l</w:t>
      </w:r>
      <w:r w:rsidR="00000198" w:rsidRPr="003A5E58">
        <w:t>ower regulation services in South Australia exce</w:t>
      </w:r>
      <w:r w:rsidR="0074256A">
        <w:t>eded $6</w:t>
      </w:r>
      <w:r w:rsidR="00000198">
        <w:t>000/</w:t>
      </w:r>
      <w:r>
        <w:t>MW for 175</w:t>
      </w:r>
      <w:r w:rsidR="00000198" w:rsidRPr="003A5E58">
        <w:t xml:space="preserve"> consecuti</w:t>
      </w:r>
      <w:r w:rsidR="00000198">
        <w:t xml:space="preserve">ve dispatch intervals from </w:t>
      </w:r>
      <w:r>
        <w:t>4.</w:t>
      </w:r>
      <w:r w:rsidR="00000198" w:rsidRPr="003A5E58">
        <w:t>0</w:t>
      </w:r>
      <w:r>
        <w:t>5</w:t>
      </w:r>
      <w:r w:rsidR="00000198">
        <w:t> </w:t>
      </w:r>
      <w:r w:rsidR="00000198" w:rsidRPr="003A5E58">
        <w:t xml:space="preserve">am </w:t>
      </w:r>
      <w:r w:rsidR="00000198">
        <w:t xml:space="preserve">to </w:t>
      </w:r>
      <w:r>
        <w:t>6.35</w:t>
      </w:r>
      <w:r w:rsidR="00000198">
        <w:t> </w:t>
      </w:r>
      <w:r>
        <w:t>pm at a cost of around $</w:t>
      </w:r>
      <w:r w:rsidR="00CB35DE">
        <w:t>6.8</w:t>
      </w:r>
      <w:r w:rsidR="00000198">
        <w:t> </w:t>
      </w:r>
      <w:r w:rsidR="00000198" w:rsidRPr="003A5E58">
        <w:t>m</w:t>
      </w:r>
      <w:r w:rsidR="00000198">
        <w:t>illion</w:t>
      </w:r>
      <w:r w:rsidR="00000198" w:rsidRPr="003A5E58">
        <w:t>. The Cum</w:t>
      </w:r>
      <w:r w:rsidR="00000198">
        <w:t>ulative Price Threshold of $</w:t>
      </w:r>
      <w:r>
        <w:t>1</w:t>
      </w:r>
      <w:r w:rsidR="008B48EB">
        <w:t>.</w:t>
      </w:r>
      <w:r w:rsidR="000C4EEA">
        <w:t>26</w:t>
      </w:r>
      <w:r w:rsidR="008B48EB">
        <w:t xml:space="preserve"> million</w:t>
      </w:r>
      <w:r w:rsidR="000C4EEA">
        <w:t xml:space="preserve"> </w:t>
      </w:r>
      <w:r w:rsidR="00000198" w:rsidRPr="003A5E58">
        <w:t>was breached and prices were capped at $300</w:t>
      </w:r>
      <w:r w:rsidR="00000198">
        <w:t>/</w:t>
      </w:r>
      <w:r>
        <w:t>MW from 6.</w:t>
      </w:r>
      <w:r w:rsidR="000C4EEA">
        <w:t>4</w:t>
      </w:r>
      <w:r w:rsidR="00000198" w:rsidRPr="003A5E58">
        <w:t xml:space="preserve">0 pm. A planned outage by AusNet of the </w:t>
      </w:r>
      <w:r>
        <w:t xml:space="preserve">Heywood </w:t>
      </w:r>
      <w:r w:rsidR="00000198" w:rsidRPr="003A5E58">
        <w:t xml:space="preserve">to </w:t>
      </w:r>
      <w:r>
        <w:t xml:space="preserve">Mortlake </w:t>
      </w:r>
      <w:r w:rsidR="00000198" w:rsidRPr="003A5E58">
        <w:t>line</w:t>
      </w:r>
      <w:r>
        <w:t>,</w:t>
      </w:r>
      <w:r w:rsidR="00000198" w:rsidRPr="003A5E58">
        <w:t xml:space="preserve"> </w:t>
      </w:r>
      <w:r>
        <w:t>which commenced</w:t>
      </w:r>
      <w:r w:rsidR="00CB35DE">
        <w:t xml:space="preserve"> at 6 am</w:t>
      </w:r>
      <w:r>
        <w:t xml:space="preserve"> the previous day, </w:t>
      </w:r>
      <w:r w:rsidR="00000198" w:rsidRPr="003A5E58">
        <w:t>created a single contingency which if occurs separates South Australia from the rest of the NEM. This would mean that South Australia has to source its regulation services locally</w:t>
      </w:r>
      <w:r w:rsidR="00000198">
        <w:t>.</w:t>
      </w:r>
      <w:r w:rsidR="00000198" w:rsidRPr="003A5E58">
        <w:t xml:space="preserve"> </w:t>
      </w:r>
    </w:p>
    <w:p w:rsidR="00B073C3" w:rsidRDefault="00000198" w:rsidP="00000198">
      <w:pPr>
        <w:pStyle w:val="AERbodytext"/>
      </w:pPr>
      <w:r w:rsidRPr="00000198">
        <w:t xml:space="preserve">In accordance with clause 3.13.7 of the Electricity Rules, the AER will issue a separate report into the circumstances that led to </w:t>
      </w:r>
      <w:r w:rsidR="000C4EEA">
        <w:t>FCAS prices</w:t>
      </w:r>
      <w:r w:rsidRPr="00000198">
        <w:t xml:space="preserve"> </w:t>
      </w:r>
      <w:r w:rsidR="000C4EEA">
        <w:t>above</w:t>
      </w:r>
      <w:r w:rsidRPr="00000198">
        <w:t xml:space="preserve"> $5000/MW.</w:t>
      </w:r>
    </w:p>
    <w:p w:rsidR="00CA0B2E" w:rsidRPr="00C4712A" w:rsidRDefault="00CA0B2E" w:rsidP="00CA0B2E">
      <w:pPr>
        <w:pStyle w:val="AERHeading1"/>
      </w:pPr>
      <w:r w:rsidRPr="00C4712A">
        <w:t>Detailed market analysis of significant price events</w:t>
      </w:r>
    </w:p>
    <w:p w:rsidR="00CA0B2E" w:rsidRDefault="00C67D8C" w:rsidP="00CA0B2E">
      <w:pPr>
        <w:pStyle w:val="Heading2"/>
        <w:rPr>
          <w:rFonts w:eastAsia="Times New Roman"/>
          <w:b w:val="0"/>
          <w:bCs w:val="0"/>
          <w:lang w:eastAsia="en-AU"/>
        </w:rPr>
      </w:pPr>
      <w:r>
        <w:rPr>
          <w:rFonts w:eastAsia="Times New Roman"/>
          <w:b w:val="0"/>
          <w:bCs w:val="0"/>
          <w:lang w:eastAsia="en-AU"/>
        </w:rPr>
        <w:t>Queensland</w:t>
      </w:r>
    </w:p>
    <w:p w:rsidR="00C67D8C" w:rsidRPr="00CA0B2E" w:rsidRDefault="00C67D8C" w:rsidP="00536609">
      <w:pPr>
        <w:pStyle w:val="NormalWeb"/>
        <w:spacing w:line="288" w:lineRule="auto"/>
        <w:jc w:val="both"/>
        <w:rPr>
          <w:rFonts w:ascii="Arial" w:hAnsi="Arial" w:cs="Arial"/>
          <w:bCs/>
          <w:sz w:val="22"/>
          <w:szCs w:val="22"/>
        </w:rPr>
      </w:pPr>
      <w:r w:rsidRPr="00C67D8C">
        <w:rPr>
          <w:rFonts w:ascii="Arial" w:hAnsi="Arial" w:cs="Arial"/>
          <w:bCs/>
          <w:sz w:val="22"/>
          <w:szCs w:val="22"/>
        </w:rPr>
        <w:t>There were two occasions where the spot price in Queensland was greater than three times the Queensland weekly average price of $93/MWh and above $250/MWh.</w:t>
      </w:r>
      <w:r w:rsidR="00701DAA">
        <w:rPr>
          <w:rFonts w:ascii="Arial" w:hAnsi="Arial" w:cs="Arial"/>
          <w:bCs/>
          <w:sz w:val="22"/>
          <w:szCs w:val="22"/>
        </w:rPr>
        <w:t xml:space="preserve"> These high prices coincided with high prices in New South Wales. The following analysis relates to the high prices in both regions.</w:t>
      </w:r>
    </w:p>
    <w:p w:rsidR="00CA0B2E" w:rsidRPr="005F37A9" w:rsidRDefault="003605DF" w:rsidP="00CA0B2E">
      <w:pPr>
        <w:pStyle w:val="Heading3"/>
        <w:rPr>
          <w:rFonts w:eastAsia="Times New Roman"/>
        </w:rPr>
      </w:pPr>
      <w:r>
        <w:rPr>
          <w:rFonts w:eastAsia="Times New Roman"/>
        </w:rPr>
        <w:t>Tuesday, 8</w:t>
      </w:r>
      <w:r w:rsidR="00CA0B2E">
        <w:rPr>
          <w:rFonts w:eastAsia="Times New Roman"/>
        </w:rPr>
        <w:t xml:space="preserve"> </w:t>
      </w:r>
      <w:r w:rsidR="004B4372">
        <w:rPr>
          <w:rFonts w:eastAsia="Times New Roman"/>
        </w:rPr>
        <w:t>November</w:t>
      </w:r>
    </w:p>
    <w:p w:rsidR="00CA0B2E" w:rsidRPr="001C5A97" w:rsidRDefault="00CA0B2E" w:rsidP="00CA0B2E">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C15C9">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CA0B2E" w:rsidRPr="0073319F" w:rsidTr="008C647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Availability (MW)</w:t>
            </w:r>
          </w:p>
        </w:tc>
      </w:tr>
      <w:tr w:rsidR="00CA0B2E" w:rsidRPr="0073319F" w:rsidTr="008C647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12 hr forecast</w:t>
            </w:r>
          </w:p>
        </w:tc>
      </w:tr>
      <w:tr w:rsidR="003605DF" w:rsidRPr="0073319F" w:rsidTr="00C65B9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605DF" w:rsidRPr="005E4EB1" w:rsidRDefault="003605DF" w:rsidP="000C6144">
            <w:pPr>
              <w:spacing w:line="240" w:lineRule="auto"/>
              <w:jc w:val="center"/>
              <w:rPr>
                <w:rFonts w:cs="Arial"/>
                <w:sz w:val="20"/>
                <w:szCs w:val="20"/>
              </w:rPr>
            </w:pPr>
            <w:r>
              <w:rPr>
                <w:rFonts w:cs="Arial"/>
                <w:sz w:val="20"/>
                <w:szCs w:val="20"/>
              </w:rPr>
              <w:t>3 pm</w:t>
            </w:r>
          </w:p>
        </w:tc>
        <w:tc>
          <w:tcPr>
            <w:tcW w:w="516" w:type="pct"/>
            <w:vAlign w:val="center"/>
          </w:tcPr>
          <w:p w:rsidR="003605DF" w:rsidRPr="003605DF" w:rsidRDefault="003605DF" w:rsidP="003605DF">
            <w:pPr>
              <w:spacing w:before="60"/>
              <w:jc w:val="center"/>
              <w:rPr>
                <w:rFonts w:cs="Arial"/>
                <w:sz w:val="20"/>
                <w:szCs w:val="20"/>
              </w:rPr>
            </w:pPr>
            <w:r w:rsidRPr="003605DF">
              <w:rPr>
                <w:rFonts w:cs="Arial"/>
                <w:sz w:val="20"/>
                <w:szCs w:val="20"/>
              </w:rPr>
              <w:t>578.76</w:t>
            </w:r>
          </w:p>
        </w:tc>
        <w:tc>
          <w:tcPr>
            <w:tcW w:w="533" w:type="pct"/>
            <w:vAlign w:val="center"/>
          </w:tcPr>
          <w:p w:rsidR="003605DF" w:rsidRPr="003605DF" w:rsidRDefault="003605DF" w:rsidP="003605DF">
            <w:pPr>
              <w:spacing w:before="60"/>
              <w:jc w:val="center"/>
              <w:rPr>
                <w:rFonts w:cs="Arial"/>
                <w:sz w:val="20"/>
                <w:szCs w:val="20"/>
              </w:rPr>
            </w:pPr>
            <w:r w:rsidRPr="003605DF">
              <w:rPr>
                <w:rFonts w:cs="Arial"/>
                <w:sz w:val="20"/>
                <w:szCs w:val="20"/>
              </w:rPr>
              <w:t>199.99</w:t>
            </w:r>
          </w:p>
        </w:tc>
        <w:tc>
          <w:tcPr>
            <w:tcW w:w="533" w:type="pct"/>
            <w:vAlign w:val="center"/>
          </w:tcPr>
          <w:p w:rsidR="003605DF" w:rsidRPr="003605DF" w:rsidRDefault="003605DF" w:rsidP="003605DF">
            <w:pPr>
              <w:spacing w:before="60"/>
              <w:jc w:val="center"/>
              <w:rPr>
                <w:rFonts w:cs="Arial"/>
                <w:sz w:val="20"/>
                <w:szCs w:val="20"/>
              </w:rPr>
            </w:pPr>
            <w:r w:rsidRPr="003605DF">
              <w:rPr>
                <w:rFonts w:cs="Arial"/>
                <w:sz w:val="20"/>
                <w:szCs w:val="20"/>
              </w:rPr>
              <w:t>10 870</w:t>
            </w:r>
          </w:p>
        </w:tc>
        <w:tc>
          <w:tcPr>
            <w:tcW w:w="455" w:type="pct"/>
            <w:vAlign w:val="center"/>
          </w:tcPr>
          <w:p w:rsidR="003605DF" w:rsidRPr="003605DF" w:rsidRDefault="003605DF" w:rsidP="003605DF">
            <w:pPr>
              <w:spacing w:before="60"/>
              <w:jc w:val="center"/>
              <w:rPr>
                <w:rFonts w:cs="Arial"/>
                <w:sz w:val="20"/>
                <w:szCs w:val="20"/>
              </w:rPr>
            </w:pPr>
            <w:r w:rsidRPr="003605DF">
              <w:rPr>
                <w:rFonts w:cs="Arial"/>
                <w:sz w:val="20"/>
                <w:szCs w:val="20"/>
              </w:rPr>
              <w:t>7589</w:t>
            </w:r>
          </w:p>
        </w:tc>
        <w:tc>
          <w:tcPr>
            <w:tcW w:w="456" w:type="pct"/>
            <w:vAlign w:val="center"/>
          </w:tcPr>
          <w:p w:rsidR="003605DF" w:rsidRPr="003605DF" w:rsidRDefault="003605DF" w:rsidP="003605DF">
            <w:pPr>
              <w:spacing w:before="60"/>
              <w:jc w:val="center"/>
              <w:rPr>
                <w:rFonts w:cs="Arial"/>
                <w:sz w:val="20"/>
                <w:szCs w:val="20"/>
              </w:rPr>
            </w:pPr>
            <w:r w:rsidRPr="003605DF">
              <w:rPr>
                <w:rFonts w:cs="Arial"/>
                <w:sz w:val="20"/>
                <w:szCs w:val="20"/>
              </w:rPr>
              <w:t>7936</w:t>
            </w:r>
          </w:p>
        </w:tc>
        <w:tc>
          <w:tcPr>
            <w:tcW w:w="534" w:type="pct"/>
            <w:vAlign w:val="center"/>
          </w:tcPr>
          <w:p w:rsidR="003605DF" w:rsidRPr="003605DF" w:rsidRDefault="003605DF" w:rsidP="003605DF">
            <w:pPr>
              <w:spacing w:before="60"/>
              <w:jc w:val="center"/>
              <w:rPr>
                <w:rFonts w:cs="Arial"/>
                <w:sz w:val="20"/>
                <w:szCs w:val="20"/>
              </w:rPr>
            </w:pPr>
            <w:r w:rsidRPr="003605DF">
              <w:rPr>
                <w:rFonts w:cs="Arial"/>
                <w:sz w:val="20"/>
                <w:szCs w:val="20"/>
              </w:rPr>
              <w:t>7975</w:t>
            </w:r>
          </w:p>
        </w:tc>
        <w:tc>
          <w:tcPr>
            <w:tcW w:w="532" w:type="pct"/>
            <w:vAlign w:val="center"/>
          </w:tcPr>
          <w:p w:rsidR="003605DF" w:rsidRPr="003605DF" w:rsidRDefault="003605DF" w:rsidP="003605DF">
            <w:pPr>
              <w:spacing w:before="60"/>
              <w:jc w:val="center"/>
              <w:rPr>
                <w:rFonts w:cs="Arial"/>
                <w:sz w:val="20"/>
                <w:szCs w:val="20"/>
              </w:rPr>
            </w:pPr>
            <w:r w:rsidRPr="003605DF">
              <w:rPr>
                <w:rFonts w:cs="Arial"/>
                <w:sz w:val="20"/>
                <w:szCs w:val="20"/>
              </w:rPr>
              <w:t>9635</w:t>
            </w:r>
          </w:p>
        </w:tc>
        <w:tc>
          <w:tcPr>
            <w:tcW w:w="457" w:type="pct"/>
            <w:vAlign w:val="center"/>
          </w:tcPr>
          <w:p w:rsidR="003605DF" w:rsidRPr="003605DF" w:rsidRDefault="003605DF" w:rsidP="003605DF">
            <w:pPr>
              <w:spacing w:before="60"/>
              <w:jc w:val="center"/>
              <w:rPr>
                <w:rFonts w:cs="Arial"/>
                <w:sz w:val="20"/>
                <w:szCs w:val="20"/>
              </w:rPr>
            </w:pPr>
            <w:r w:rsidRPr="003605DF">
              <w:rPr>
                <w:rFonts w:cs="Arial"/>
                <w:sz w:val="20"/>
                <w:szCs w:val="20"/>
              </w:rPr>
              <w:t>10 046</w:t>
            </w:r>
          </w:p>
        </w:tc>
        <w:tc>
          <w:tcPr>
            <w:tcW w:w="453" w:type="pct"/>
            <w:vAlign w:val="center"/>
          </w:tcPr>
          <w:p w:rsidR="003605DF" w:rsidRPr="003605DF" w:rsidRDefault="003605DF" w:rsidP="003605DF">
            <w:pPr>
              <w:spacing w:before="60"/>
              <w:jc w:val="center"/>
              <w:rPr>
                <w:rFonts w:cs="Arial"/>
                <w:sz w:val="20"/>
                <w:szCs w:val="20"/>
              </w:rPr>
            </w:pPr>
            <w:r w:rsidRPr="003605DF">
              <w:rPr>
                <w:rFonts w:cs="Arial"/>
                <w:sz w:val="20"/>
                <w:szCs w:val="20"/>
              </w:rPr>
              <w:t>10 174</w:t>
            </w:r>
          </w:p>
        </w:tc>
      </w:tr>
      <w:tr w:rsidR="003605DF" w:rsidRPr="0073319F" w:rsidTr="0029410F">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3605DF" w:rsidRDefault="003605DF" w:rsidP="000C6144">
            <w:pPr>
              <w:spacing w:line="240" w:lineRule="auto"/>
              <w:jc w:val="center"/>
              <w:rPr>
                <w:rFonts w:cs="Arial"/>
                <w:sz w:val="20"/>
                <w:szCs w:val="20"/>
              </w:rPr>
            </w:pPr>
            <w:r>
              <w:rPr>
                <w:rFonts w:cs="Arial"/>
                <w:sz w:val="20"/>
                <w:szCs w:val="20"/>
              </w:rPr>
              <w:t>3.30 pm</w:t>
            </w:r>
          </w:p>
        </w:tc>
        <w:tc>
          <w:tcPr>
            <w:tcW w:w="516" w:type="pct"/>
            <w:vAlign w:val="center"/>
          </w:tcPr>
          <w:p w:rsidR="003605DF" w:rsidRPr="003605DF" w:rsidRDefault="003605DF" w:rsidP="003605DF">
            <w:pPr>
              <w:spacing w:before="60"/>
              <w:jc w:val="center"/>
              <w:rPr>
                <w:rFonts w:cs="Arial"/>
                <w:sz w:val="20"/>
                <w:szCs w:val="20"/>
              </w:rPr>
            </w:pPr>
            <w:r w:rsidRPr="003605DF">
              <w:rPr>
                <w:rFonts w:cs="Arial"/>
                <w:sz w:val="20"/>
                <w:szCs w:val="20"/>
              </w:rPr>
              <w:t>2029.11</w:t>
            </w:r>
          </w:p>
        </w:tc>
        <w:tc>
          <w:tcPr>
            <w:tcW w:w="533" w:type="pct"/>
            <w:vAlign w:val="center"/>
          </w:tcPr>
          <w:p w:rsidR="003605DF" w:rsidRPr="003605DF" w:rsidRDefault="003605DF" w:rsidP="003605DF">
            <w:pPr>
              <w:spacing w:before="60"/>
              <w:jc w:val="center"/>
              <w:rPr>
                <w:rFonts w:cs="Arial"/>
                <w:sz w:val="20"/>
                <w:szCs w:val="20"/>
              </w:rPr>
            </w:pPr>
            <w:r w:rsidRPr="003605DF">
              <w:rPr>
                <w:rFonts w:cs="Arial"/>
                <w:sz w:val="20"/>
                <w:szCs w:val="20"/>
              </w:rPr>
              <w:t>270.10</w:t>
            </w:r>
          </w:p>
        </w:tc>
        <w:tc>
          <w:tcPr>
            <w:tcW w:w="533" w:type="pct"/>
            <w:vAlign w:val="center"/>
          </w:tcPr>
          <w:p w:rsidR="003605DF" w:rsidRPr="003605DF" w:rsidRDefault="003605DF" w:rsidP="003605DF">
            <w:pPr>
              <w:spacing w:before="60"/>
              <w:jc w:val="center"/>
              <w:rPr>
                <w:rFonts w:cs="Arial"/>
                <w:sz w:val="20"/>
                <w:szCs w:val="20"/>
              </w:rPr>
            </w:pPr>
            <w:r w:rsidRPr="003605DF">
              <w:rPr>
                <w:rFonts w:cs="Arial"/>
                <w:sz w:val="20"/>
                <w:szCs w:val="20"/>
              </w:rPr>
              <w:t>10 80</w:t>
            </w:r>
            <w:r>
              <w:rPr>
                <w:rFonts w:cs="Arial"/>
                <w:sz w:val="20"/>
                <w:szCs w:val="20"/>
              </w:rPr>
              <w:t>7</w:t>
            </w:r>
          </w:p>
        </w:tc>
        <w:tc>
          <w:tcPr>
            <w:tcW w:w="455" w:type="pct"/>
            <w:vAlign w:val="center"/>
          </w:tcPr>
          <w:p w:rsidR="003605DF" w:rsidRPr="003605DF" w:rsidRDefault="003605DF" w:rsidP="003605DF">
            <w:pPr>
              <w:spacing w:before="60"/>
              <w:jc w:val="center"/>
              <w:rPr>
                <w:rFonts w:cs="Arial"/>
                <w:sz w:val="20"/>
                <w:szCs w:val="20"/>
              </w:rPr>
            </w:pPr>
            <w:r w:rsidRPr="003605DF">
              <w:rPr>
                <w:rFonts w:cs="Arial"/>
                <w:sz w:val="20"/>
                <w:szCs w:val="20"/>
              </w:rPr>
              <w:t>7562</w:t>
            </w:r>
          </w:p>
        </w:tc>
        <w:tc>
          <w:tcPr>
            <w:tcW w:w="456" w:type="pct"/>
            <w:vAlign w:val="center"/>
          </w:tcPr>
          <w:p w:rsidR="003605DF" w:rsidRPr="003605DF" w:rsidRDefault="003605DF" w:rsidP="003605DF">
            <w:pPr>
              <w:spacing w:before="60"/>
              <w:jc w:val="center"/>
              <w:rPr>
                <w:rFonts w:cs="Arial"/>
                <w:sz w:val="20"/>
                <w:szCs w:val="20"/>
              </w:rPr>
            </w:pPr>
            <w:r w:rsidRPr="003605DF">
              <w:rPr>
                <w:rFonts w:cs="Arial"/>
                <w:sz w:val="20"/>
                <w:szCs w:val="20"/>
              </w:rPr>
              <w:t>7974</w:t>
            </w:r>
          </w:p>
        </w:tc>
        <w:tc>
          <w:tcPr>
            <w:tcW w:w="534" w:type="pct"/>
            <w:vAlign w:val="center"/>
          </w:tcPr>
          <w:p w:rsidR="003605DF" w:rsidRPr="003605DF" w:rsidRDefault="003605DF" w:rsidP="003605DF">
            <w:pPr>
              <w:spacing w:before="60"/>
              <w:jc w:val="center"/>
              <w:rPr>
                <w:rFonts w:cs="Arial"/>
                <w:sz w:val="20"/>
                <w:szCs w:val="20"/>
              </w:rPr>
            </w:pPr>
            <w:r w:rsidRPr="003605DF">
              <w:rPr>
                <w:rFonts w:cs="Arial"/>
                <w:sz w:val="20"/>
                <w:szCs w:val="20"/>
              </w:rPr>
              <w:t>8055</w:t>
            </w:r>
          </w:p>
        </w:tc>
        <w:tc>
          <w:tcPr>
            <w:tcW w:w="532" w:type="pct"/>
            <w:vAlign w:val="center"/>
          </w:tcPr>
          <w:p w:rsidR="003605DF" w:rsidRPr="003605DF" w:rsidRDefault="003605DF" w:rsidP="003605DF">
            <w:pPr>
              <w:spacing w:before="60"/>
              <w:jc w:val="center"/>
              <w:rPr>
                <w:rFonts w:cs="Arial"/>
                <w:sz w:val="20"/>
                <w:szCs w:val="20"/>
              </w:rPr>
            </w:pPr>
            <w:r w:rsidRPr="003605DF">
              <w:rPr>
                <w:rFonts w:cs="Arial"/>
                <w:sz w:val="20"/>
                <w:szCs w:val="20"/>
              </w:rPr>
              <w:t>9987</w:t>
            </w:r>
          </w:p>
        </w:tc>
        <w:tc>
          <w:tcPr>
            <w:tcW w:w="457" w:type="pct"/>
            <w:vAlign w:val="center"/>
          </w:tcPr>
          <w:p w:rsidR="003605DF" w:rsidRPr="003605DF" w:rsidRDefault="003605DF" w:rsidP="003605DF">
            <w:pPr>
              <w:spacing w:before="60"/>
              <w:jc w:val="center"/>
              <w:rPr>
                <w:rFonts w:cs="Arial"/>
                <w:sz w:val="20"/>
                <w:szCs w:val="20"/>
              </w:rPr>
            </w:pPr>
            <w:r w:rsidRPr="003605DF">
              <w:rPr>
                <w:rFonts w:cs="Arial"/>
                <w:sz w:val="20"/>
                <w:szCs w:val="20"/>
              </w:rPr>
              <w:t>10 005</w:t>
            </w:r>
          </w:p>
        </w:tc>
        <w:tc>
          <w:tcPr>
            <w:tcW w:w="453" w:type="pct"/>
            <w:vAlign w:val="center"/>
          </w:tcPr>
          <w:p w:rsidR="003605DF" w:rsidRPr="003605DF" w:rsidRDefault="003605DF" w:rsidP="003605DF">
            <w:pPr>
              <w:spacing w:before="60"/>
              <w:jc w:val="center"/>
              <w:rPr>
                <w:rFonts w:cs="Arial"/>
                <w:sz w:val="20"/>
                <w:szCs w:val="20"/>
              </w:rPr>
            </w:pPr>
            <w:r w:rsidRPr="003605DF">
              <w:rPr>
                <w:rFonts w:cs="Arial"/>
                <w:sz w:val="20"/>
                <w:szCs w:val="20"/>
              </w:rPr>
              <w:t>10 175</w:t>
            </w:r>
          </w:p>
        </w:tc>
      </w:tr>
    </w:tbl>
    <w:p w:rsidR="00C67D8C" w:rsidRDefault="00851FDF" w:rsidP="00C67D8C">
      <w:pPr>
        <w:jc w:val="both"/>
        <w:rPr>
          <w:rFonts w:eastAsia="Times New Roman" w:cs="Arial"/>
          <w:bCs/>
          <w:lang w:eastAsia="en-AU"/>
        </w:rPr>
      </w:pPr>
      <w:r>
        <w:rPr>
          <w:rFonts w:eastAsia="Times New Roman" w:cs="Arial"/>
          <w:bCs/>
          <w:lang w:eastAsia="en-AU"/>
        </w:rPr>
        <w:t>For the 3 pm price, c</w:t>
      </w:r>
      <w:r w:rsidR="00C67D8C" w:rsidRPr="00941934">
        <w:rPr>
          <w:rFonts w:eastAsia="Times New Roman" w:cs="Arial"/>
          <w:bCs/>
          <w:lang w:eastAsia="en-AU"/>
        </w:rPr>
        <w:t>ondition</w:t>
      </w:r>
      <w:r>
        <w:rPr>
          <w:rFonts w:eastAsia="Times New Roman" w:cs="Arial"/>
          <w:bCs/>
          <w:lang w:eastAsia="en-AU"/>
        </w:rPr>
        <w:t>s</w:t>
      </w:r>
      <w:r w:rsidR="00C67D8C" w:rsidRPr="00941934">
        <w:rPr>
          <w:rFonts w:eastAsia="Times New Roman" w:cs="Arial"/>
          <w:bCs/>
          <w:lang w:eastAsia="en-AU"/>
        </w:rPr>
        <w:t xml:space="preserve"> at the time saw </w:t>
      </w:r>
      <w:r>
        <w:rPr>
          <w:rFonts w:eastAsia="Times New Roman" w:cs="Arial"/>
          <w:bCs/>
          <w:lang w:eastAsia="en-AU"/>
        </w:rPr>
        <w:t xml:space="preserve">both </w:t>
      </w:r>
      <w:r w:rsidR="00C67D8C" w:rsidRPr="00941934">
        <w:rPr>
          <w:rFonts w:eastAsia="Times New Roman" w:cs="Arial"/>
          <w:bCs/>
          <w:lang w:eastAsia="en-AU"/>
        </w:rPr>
        <w:t xml:space="preserve">demand </w:t>
      </w:r>
      <w:r>
        <w:rPr>
          <w:rFonts w:eastAsia="Times New Roman" w:cs="Arial"/>
          <w:bCs/>
          <w:lang w:eastAsia="en-AU"/>
        </w:rPr>
        <w:t>(</w:t>
      </w:r>
      <w:r w:rsidR="00C67D8C" w:rsidRPr="00941934">
        <w:rPr>
          <w:rFonts w:eastAsia="Times New Roman" w:cs="Arial"/>
          <w:bCs/>
          <w:lang w:eastAsia="en-AU"/>
        </w:rPr>
        <w:t>around 350 MW</w:t>
      </w:r>
      <w:r>
        <w:rPr>
          <w:rFonts w:eastAsia="Times New Roman" w:cs="Arial"/>
          <w:bCs/>
          <w:lang w:eastAsia="en-AU"/>
        </w:rPr>
        <w:t>)</w:t>
      </w:r>
      <w:r w:rsidR="00C67D8C" w:rsidRPr="00941934">
        <w:rPr>
          <w:rFonts w:eastAsia="Times New Roman" w:cs="Arial"/>
          <w:bCs/>
          <w:lang w:eastAsia="en-AU"/>
        </w:rPr>
        <w:t xml:space="preserve"> and availability </w:t>
      </w:r>
      <w:r>
        <w:rPr>
          <w:rFonts w:eastAsia="Times New Roman" w:cs="Arial"/>
          <w:bCs/>
          <w:lang w:eastAsia="en-AU"/>
        </w:rPr>
        <w:t>(</w:t>
      </w:r>
      <w:r w:rsidR="00C67D8C" w:rsidRPr="00941934">
        <w:rPr>
          <w:rFonts w:eastAsia="Times New Roman" w:cs="Arial"/>
          <w:bCs/>
          <w:lang w:eastAsia="en-AU"/>
        </w:rPr>
        <w:t>around 400 MW</w:t>
      </w:r>
      <w:r>
        <w:rPr>
          <w:rFonts w:eastAsia="Times New Roman" w:cs="Arial"/>
          <w:bCs/>
          <w:lang w:eastAsia="en-AU"/>
        </w:rPr>
        <w:t>)</w:t>
      </w:r>
      <w:r w:rsidR="00C67D8C" w:rsidRPr="00941934">
        <w:rPr>
          <w:rFonts w:eastAsia="Times New Roman" w:cs="Arial"/>
          <w:bCs/>
          <w:lang w:eastAsia="en-AU"/>
        </w:rPr>
        <w:t xml:space="preserve"> less than that forecast four hours ahead. </w:t>
      </w:r>
    </w:p>
    <w:p w:rsidR="00F43F6A" w:rsidRDefault="006042D7" w:rsidP="00462718">
      <w:pPr>
        <w:jc w:val="both"/>
        <w:rPr>
          <w:rFonts w:eastAsia="Times New Roman" w:cs="Arial"/>
          <w:bCs/>
          <w:lang w:eastAsia="en-AU"/>
        </w:rPr>
      </w:pPr>
      <w:r>
        <w:rPr>
          <w:rFonts w:eastAsia="Times New Roman" w:cs="Arial"/>
          <w:bCs/>
          <w:lang w:eastAsia="en-AU"/>
        </w:rPr>
        <w:lastRenderedPageBreak/>
        <w:t>At</w:t>
      </w:r>
      <w:r w:rsidR="004F1A96">
        <w:rPr>
          <w:rFonts w:eastAsia="Times New Roman" w:cs="Arial"/>
          <w:bCs/>
          <w:lang w:eastAsia="en-AU"/>
        </w:rPr>
        <w:t xml:space="preserve"> 2</w:t>
      </w:r>
      <w:r>
        <w:rPr>
          <w:rFonts w:eastAsia="Times New Roman" w:cs="Arial"/>
          <w:bCs/>
          <w:lang w:eastAsia="en-AU"/>
        </w:rPr>
        <w:t xml:space="preserve">.08 am, all three units at </w:t>
      </w:r>
      <w:proofErr w:type="spellStart"/>
      <w:r>
        <w:rPr>
          <w:rFonts w:eastAsia="Times New Roman" w:cs="Arial"/>
          <w:bCs/>
          <w:lang w:eastAsia="en-AU"/>
        </w:rPr>
        <w:t>Braemar</w:t>
      </w:r>
      <w:proofErr w:type="spellEnd"/>
      <w:r>
        <w:rPr>
          <w:rFonts w:eastAsia="Times New Roman" w:cs="Arial"/>
          <w:bCs/>
          <w:lang w:eastAsia="en-AU"/>
        </w:rPr>
        <w:t xml:space="preserve"> 2 power station tripped</w:t>
      </w:r>
      <w:r w:rsidR="001F3B40">
        <w:rPr>
          <w:rFonts w:eastAsia="Times New Roman" w:cs="Arial"/>
          <w:bCs/>
          <w:lang w:eastAsia="en-AU"/>
        </w:rPr>
        <w:t>.</w:t>
      </w:r>
      <w:r w:rsidR="004F1A96">
        <w:rPr>
          <w:rFonts w:eastAsia="Times New Roman" w:cs="Arial"/>
          <w:bCs/>
          <w:lang w:eastAsia="en-AU"/>
        </w:rPr>
        <w:t xml:space="preserve"> </w:t>
      </w:r>
      <w:r w:rsidR="00250142">
        <w:rPr>
          <w:rFonts w:eastAsia="Times New Roman" w:cs="Arial"/>
          <w:bCs/>
          <w:lang w:eastAsia="en-AU"/>
        </w:rPr>
        <w:t>As a result,</w:t>
      </w:r>
      <w:r w:rsidR="007C09C7">
        <w:rPr>
          <w:rFonts w:eastAsia="Times New Roman" w:cs="Arial"/>
          <w:bCs/>
          <w:lang w:eastAsia="en-AU"/>
        </w:rPr>
        <w:t xml:space="preserve"> over 370 MW of low-priced capacity (less than $50/MWh) </w:t>
      </w:r>
      <w:r w:rsidR="00250142">
        <w:rPr>
          <w:rFonts w:eastAsia="Times New Roman" w:cs="Arial"/>
          <w:bCs/>
          <w:lang w:eastAsia="en-AU"/>
        </w:rPr>
        <w:t xml:space="preserve">became </w:t>
      </w:r>
      <w:r w:rsidR="007C09C7">
        <w:rPr>
          <w:rFonts w:eastAsia="Times New Roman" w:cs="Arial"/>
          <w:bCs/>
          <w:lang w:eastAsia="en-AU"/>
        </w:rPr>
        <w:t xml:space="preserve">unavailable. </w:t>
      </w:r>
    </w:p>
    <w:p w:rsidR="008C214A" w:rsidRDefault="00DC1241" w:rsidP="00462718">
      <w:pPr>
        <w:jc w:val="both"/>
        <w:rPr>
          <w:rFonts w:eastAsia="Times New Roman" w:cs="Arial"/>
          <w:bCs/>
          <w:lang w:eastAsia="en-AU"/>
        </w:rPr>
      </w:pPr>
      <w:r>
        <w:rPr>
          <w:rFonts w:eastAsia="Times New Roman" w:cs="Arial"/>
          <w:bCs/>
          <w:lang w:eastAsia="en-AU"/>
        </w:rPr>
        <w:t xml:space="preserve">Rebidding from low prices to the price cap by participants in New South Wales and Queensland (rebids detailed in Table 4) further </w:t>
      </w:r>
      <w:r w:rsidR="00701DAA">
        <w:rPr>
          <w:rFonts w:eastAsia="Times New Roman" w:cs="Arial"/>
          <w:bCs/>
          <w:lang w:eastAsia="en-AU"/>
        </w:rPr>
        <w:t xml:space="preserve">reduced the volume of low-priced capacity in both regions. </w:t>
      </w:r>
      <w:r w:rsidR="007C09C7">
        <w:rPr>
          <w:rFonts w:eastAsia="Times New Roman" w:cs="Arial"/>
          <w:bCs/>
          <w:lang w:eastAsia="en-AU"/>
        </w:rPr>
        <w:t>Th</w:t>
      </w:r>
      <w:r w:rsidR="00C85392">
        <w:rPr>
          <w:rFonts w:eastAsia="Times New Roman" w:cs="Arial"/>
          <w:bCs/>
          <w:lang w:eastAsia="en-AU"/>
        </w:rPr>
        <w:t xml:space="preserve">e </w:t>
      </w:r>
      <w:r w:rsidR="007C09C7">
        <w:rPr>
          <w:rFonts w:eastAsia="Times New Roman" w:cs="Arial"/>
          <w:bCs/>
          <w:lang w:eastAsia="en-AU"/>
        </w:rPr>
        <w:t xml:space="preserve">reduction </w:t>
      </w:r>
      <w:r w:rsidR="00C85392">
        <w:rPr>
          <w:rFonts w:eastAsia="Times New Roman" w:cs="Arial"/>
          <w:bCs/>
          <w:lang w:eastAsia="en-AU"/>
        </w:rPr>
        <w:t>in</w:t>
      </w:r>
      <w:r w:rsidR="00814D2B">
        <w:rPr>
          <w:rFonts w:eastAsia="Times New Roman" w:cs="Arial"/>
          <w:bCs/>
          <w:lang w:eastAsia="en-AU"/>
        </w:rPr>
        <w:t xml:space="preserve"> low</w:t>
      </w:r>
      <w:r w:rsidR="00C85392">
        <w:rPr>
          <w:rFonts w:eastAsia="Times New Roman" w:cs="Arial"/>
          <w:bCs/>
          <w:lang w:eastAsia="en-AU"/>
        </w:rPr>
        <w:t>-</w:t>
      </w:r>
      <w:r w:rsidR="00814D2B">
        <w:rPr>
          <w:rFonts w:eastAsia="Times New Roman" w:cs="Arial"/>
          <w:bCs/>
          <w:lang w:eastAsia="en-AU"/>
        </w:rPr>
        <w:t>priced generation</w:t>
      </w:r>
      <w:r w:rsidR="00C85392">
        <w:rPr>
          <w:rFonts w:eastAsia="Times New Roman" w:cs="Arial"/>
          <w:bCs/>
          <w:lang w:eastAsia="en-AU"/>
        </w:rPr>
        <w:t>, coupled with</w:t>
      </w:r>
      <w:r w:rsidR="00814D2B">
        <w:rPr>
          <w:rFonts w:eastAsia="Times New Roman" w:cs="Arial"/>
          <w:bCs/>
          <w:lang w:eastAsia="en-AU"/>
        </w:rPr>
        <w:t xml:space="preserve"> a </w:t>
      </w:r>
      <w:r w:rsidR="003934F0">
        <w:rPr>
          <w:rFonts w:eastAsia="Times New Roman" w:cs="Arial"/>
          <w:bCs/>
          <w:lang w:eastAsia="en-AU"/>
        </w:rPr>
        <w:t>small increase in demand</w:t>
      </w:r>
      <w:r w:rsidR="001F3B40">
        <w:rPr>
          <w:rFonts w:eastAsia="Times New Roman" w:cs="Arial"/>
          <w:bCs/>
          <w:lang w:eastAsia="en-AU"/>
        </w:rPr>
        <w:t xml:space="preserve"> of 67 MW in Queensland</w:t>
      </w:r>
      <w:r w:rsidR="007C09C7">
        <w:rPr>
          <w:rFonts w:eastAsia="Times New Roman" w:cs="Arial"/>
          <w:bCs/>
          <w:lang w:eastAsia="en-AU"/>
        </w:rPr>
        <w:t xml:space="preserve"> saw the price in both regions </w:t>
      </w:r>
      <w:r w:rsidR="008C214A">
        <w:rPr>
          <w:rFonts w:eastAsia="Times New Roman" w:cs="Arial"/>
          <w:bCs/>
          <w:lang w:eastAsia="en-AU"/>
        </w:rPr>
        <w:t xml:space="preserve">increase </w:t>
      </w:r>
      <w:r w:rsidR="007C09C7">
        <w:rPr>
          <w:rFonts w:eastAsia="Times New Roman" w:cs="Arial"/>
          <w:bCs/>
          <w:lang w:eastAsia="en-AU"/>
        </w:rPr>
        <w:t xml:space="preserve">to </w:t>
      </w:r>
      <w:r w:rsidR="008C214A">
        <w:rPr>
          <w:rFonts w:eastAsia="Times New Roman" w:cs="Arial"/>
          <w:bCs/>
          <w:lang w:eastAsia="en-AU"/>
        </w:rPr>
        <w:t xml:space="preserve">around </w:t>
      </w:r>
      <w:r w:rsidR="001F3B40">
        <w:rPr>
          <w:rFonts w:eastAsia="Times New Roman" w:cs="Arial"/>
          <w:bCs/>
          <w:lang w:eastAsia="en-AU"/>
        </w:rPr>
        <w:t xml:space="preserve">$1400/MWh in Queensland and </w:t>
      </w:r>
      <w:r w:rsidR="007C09C7">
        <w:rPr>
          <w:rFonts w:eastAsia="Times New Roman" w:cs="Arial"/>
          <w:bCs/>
          <w:lang w:eastAsia="en-AU"/>
        </w:rPr>
        <w:t>$1500/MWh</w:t>
      </w:r>
      <w:r w:rsidR="00C85392" w:rsidRPr="00C85392">
        <w:rPr>
          <w:rFonts w:eastAsia="Times New Roman" w:cs="Arial"/>
          <w:bCs/>
          <w:lang w:eastAsia="en-AU"/>
        </w:rPr>
        <w:t xml:space="preserve"> </w:t>
      </w:r>
      <w:r w:rsidR="001F3B40">
        <w:rPr>
          <w:rFonts w:eastAsia="Times New Roman" w:cs="Arial"/>
          <w:bCs/>
          <w:lang w:eastAsia="en-AU"/>
        </w:rPr>
        <w:t xml:space="preserve">in New South Wales </w:t>
      </w:r>
      <w:r w:rsidR="00C85392">
        <w:rPr>
          <w:rFonts w:eastAsia="Times New Roman" w:cs="Arial"/>
          <w:bCs/>
          <w:lang w:eastAsia="en-AU"/>
        </w:rPr>
        <w:t>at 2.50 pm</w:t>
      </w:r>
      <w:r w:rsidR="007C09C7">
        <w:rPr>
          <w:rFonts w:eastAsia="Times New Roman" w:cs="Arial"/>
          <w:bCs/>
          <w:lang w:eastAsia="en-AU"/>
        </w:rPr>
        <w:t xml:space="preserve">. </w:t>
      </w:r>
    </w:p>
    <w:p w:rsidR="005977EA" w:rsidRDefault="00836223" w:rsidP="00462718">
      <w:pPr>
        <w:jc w:val="both"/>
        <w:rPr>
          <w:rFonts w:eastAsia="Times New Roman" w:cs="Arial"/>
          <w:bCs/>
          <w:lang w:eastAsia="en-AU"/>
        </w:rPr>
      </w:pPr>
      <w:proofErr w:type="spellStart"/>
      <w:r>
        <w:rPr>
          <w:rFonts w:eastAsia="Times New Roman" w:cs="Arial"/>
          <w:bCs/>
          <w:lang w:eastAsia="en-AU"/>
        </w:rPr>
        <w:t>Braemar</w:t>
      </w:r>
      <w:proofErr w:type="spellEnd"/>
      <w:r>
        <w:rPr>
          <w:rFonts w:eastAsia="Times New Roman" w:cs="Arial"/>
          <w:bCs/>
          <w:lang w:eastAsia="en-AU"/>
        </w:rPr>
        <w:t xml:space="preserve"> 2 power station</w:t>
      </w:r>
      <w:r w:rsidR="004F1A96">
        <w:rPr>
          <w:rFonts w:eastAsia="Times New Roman" w:cs="Arial"/>
          <w:bCs/>
          <w:lang w:eastAsia="en-AU"/>
        </w:rPr>
        <w:t xml:space="preserve"> </w:t>
      </w:r>
      <w:r w:rsidR="006042D7">
        <w:rPr>
          <w:rFonts w:eastAsia="Times New Roman" w:cs="Arial"/>
          <w:bCs/>
          <w:lang w:eastAsia="en-AU"/>
        </w:rPr>
        <w:t xml:space="preserve">returned to service </w:t>
      </w:r>
      <w:r w:rsidR="00255862">
        <w:rPr>
          <w:rFonts w:eastAsia="Times New Roman" w:cs="Arial"/>
          <w:bCs/>
          <w:lang w:eastAsia="en-AU"/>
        </w:rPr>
        <w:t xml:space="preserve">at </w:t>
      </w:r>
      <w:r w:rsidR="004F1A96">
        <w:rPr>
          <w:rFonts w:eastAsia="Times New Roman" w:cs="Arial"/>
          <w:bCs/>
          <w:lang w:eastAsia="en-AU"/>
        </w:rPr>
        <w:t xml:space="preserve">around </w:t>
      </w:r>
      <w:r w:rsidR="00DC1241">
        <w:rPr>
          <w:rFonts w:eastAsia="Times New Roman" w:cs="Arial"/>
          <w:bCs/>
          <w:lang w:eastAsia="en-AU"/>
        </w:rPr>
        <w:t>3 </w:t>
      </w:r>
      <w:r w:rsidR="004F1A96">
        <w:rPr>
          <w:rFonts w:eastAsia="Times New Roman" w:cs="Arial"/>
          <w:bCs/>
          <w:lang w:eastAsia="en-AU"/>
        </w:rPr>
        <w:t>pm</w:t>
      </w:r>
      <w:r w:rsidR="001F3B40">
        <w:rPr>
          <w:rFonts w:eastAsia="Times New Roman" w:cs="Arial"/>
          <w:bCs/>
          <w:lang w:eastAsia="en-AU"/>
        </w:rPr>
        <w:t xml:space="preserve"> and</w:t>
      </w:r>
      <w:r w:rsidR="004F1A96">
        <w:rPr>
          <w:rFonts w:eastAsia="Times New Roman" w:cs="Arial"/>
          <w:bCs/>
          <w:lang w:eastAsia="en-AU"/>
        </w:rPr>
        <w:t xml:space="preserve"> AEMO reclassif</w:t>
      </w:r>
      <w:r>
        <w:rPr>
          <w:rFonts w:eastAsia="Times New Roman" w:cs="Arial"/>
          <w:bCs/>
          <w:lang w:eastAsia="en-AU"/>
        </w:rPr>
        <w:t>ied</w:t>
      </w:r>
      <w:r w:rsidR="004F1A96">
        <w:rPr>
          <w:rFonts w:eastAsia="Times New Roman" w:cs="Arial"/>
          <w:bCs/>
          <w:lang w:eastAsia="en-AU"/>
        </w:rPr>
        <w:t xml:space="preserve"> the simultaneous loss of </w:t>
      </w:r>
      <w:r w:rsidR="000321ED">
        <w:rPr>
          <w:rFonts w:eastAsia="Times New Roman" w:cs="Arial"/>
          <w:bCs/>
          <w:lang w:eastAsia="en-AU"/>
        </w:rPr>
        <w:t xml:space="preserve">the </w:t>
      </w:r>
      <w:r>
        <w:rPr>
          <w:rFonts w:eastAsia="Times New Roman" w:cs="Arial"/>
          <w:bCs/>
          <w:lang w:eastAsia="en-AU"/>
        </w:rPr>
        <w:t>power station</w:t>
      </w:r>
      <w:r w:rsidR="004F1A96">
        <w:rPr>
          <w:rFonts w:eastAsia="Times New Roman" w:cs="Arial"/>
          <w:bCs/>
          <w:lang w:eastAsia="en-AU"/>
        </w:rPr>
        <w:t xml:space="preserve"> a</w:t>
      </w:r>
      <w:r>
        <w:rPr>
          <w:rFonts w:eastAsia="Times New Roman" w:cs="Arial"/>
          <w:bCs/>
          <w:lang w:eastAsia="en-AU"/>
        </w:rPr>
        <w:t>s</w:t>
      </w:r>
      <w:r w:rsidR="004F1A96">
        <w:rPr>
          <w:rFonts w:eastAsia="Times New Roman" w:cs="Arial"/>
          <w:bCs/>
          <w:lang w:eastAsia="en-AU"/>
        </w:rPr>
        <w:t xml:space="preserve"> a credible contingency</w:t>
      </w:r>
      <w:r w:rsidR="005977EA">
        <w:rPr>
          <w:rFonts w:eastAsia="Times New Roman" w:cs="Arial"/>
          <w:bCs/>
          <w:lang w:eastAsia="en-AU"/>
        </w:rPr>
        <w:t>.</w:t>
      </w:r>
      <w:r w:rsidR="003D68A9">
        <w:rPr>
          <w:rFonts w:eastAsia="Times New Roman" w:cs="Arial"/>
          <w:bCs/>
          <w:lang w:eastAsia="en-AU"/>
        </w:rPr>
        <w:t xml:space="preserve"> </w:t>
      </w:r>
      <w:r w:rsidR="00694CCE">
        <w:rPr>
          <w:rFonts w:eastAsia="Times New Roman" w:cs="Arial"/>
          <w:bCs/>
          <w:lang w:eastAsia="en-AU"/>
        </w:rPr>
        <w:t>At 3.05 pm,</w:t>
      </w:r>
      <w:r w:rsidR="00462718">
        <w:rPr>
          <w:rFonts w:eastAsia="Times New Roman" w:cs="Arial"/>
          <w:bCs/>
          <w:lang w:eastAsia="en-AU"/>
        </w:rPr>
        <w:t xml:space="preserve"> an automatic constraint (</w:t>
      </w:r>
      <w:r w:rsidR="00462718" w:rsidRPr="004F1A96">
        <w:rPr>
          <w:rFonts w:eastAsia="Times New Roman" w:cs="Arial"/>
          <w:bCs/>
          <w:lang w:eastAsia="en-AU"/>
        </w:rPr>
        <w:t>CA_SPS_4733E84B_01</w:t>
      </w:r>
      <w:r w:rsidR="00462718">
        <w:rPr>
          <w:rFonts w:eastAsia="Times New Roman" w:cs="Arial"/>
          <w:bCs/>
          <w:lang w:eastAsia="en-AU"/>
        </w:rPr>
        <w:t>)</w:t>
      </w:r>
      <w:r w:rsidR="00462718" w:rsidRPr="004F1A96">
        <w:rPr>
          <w:rFonts w:eastAsia="Times New Roman" w:cs="Arial"/>
          <w:bCs/>
          <w:lang w:eastAsia="en-AU"/>
        </w:rPr>
        <w:t xml:space="preserve"> </w:t>
      </w:r>
      <w:r w:rsidR="00462718">
        <w:rPr>
          <w:rFonts w:eastAsia="Times New Roman" w:cs="Arial"/>
          <w:bCs/>
          <w:lang w:eastAsia="en-AU"/>
        </w:rPr>
        <w:t xml:space="preserve">was invoked to maintain power system security. </w:t>
      </w:r>
      <w:r w:rsidR="00694CCE">
        <w:rPr>
          <w:rFonts w:eastAsia="Times New Roman" w:cs="Arial"/>
          <w:bCs/>
          <w:lang w:eastAsia="en-AU"/>
        </w:rPr>
        <w:t>Th</w:t>
      </w:r>
      <w:r w:rsidR="003D68A9">
        <w:rPr>
          <w:rFonts w:eastAsia="Times New Roman" w:cs="Arial"/>
          <w:bCs/>
          <w:lang w:eastAsia="en-AU"/>
        </w:rPr>
        <w:t xml:space="preserve">e </w:t>
      </w:r>
      <w:r w:rsidR="00694CCE">
        <w:rPr>
          <w:rFonts w:eastAsia="Times New Roman" w:cs="Arial"/>
          <w:bCs/>
          <w:lang w:eastAsia="en-AU"/>
        </w:rPr>
        <w:t xml:space="preserve">constraint </w:t>
      </w:r>
      <w:r w:rsidR="003D68A9">
        <w:rPr>
          <w:rFonts w:eastAsia="Times New Roman" w:cs="Arial"/>
          <w:bCs/>
          <w:lang w:eastAsia="en-AU"/>
        </w:rPr>
        <w:t>limits generation from 1</w:t>
      </w:r>
      <w:r w:rsidR="00694CCE">
        <w:rPr>
          <w:rFonts w:eastAsia="Times New Roman" w:cs="Arial"/>
          <w:bCs/>
          <w:lang w:eastAsia="en-AU"/>
        </w:rPr>
        <w:t xml:space="preserve">6 units in NSW as well as the Vic-NSW interconnector. </w:t>
      </w:r>
      <w:r>
        <w:rPr>
          <w:rFonts w:eastAsia="Times New Roman" w:cs="Arial"/>
          <w:bCs/>
          <w:lang w:eastAsia="en-AU"/>
        </w:rPr>
        <w:t>The constraint</w:t>
      </w:r>
      <w:r w:rsidR="00462718">
        <w:rPr>
          <w:rFonts w:eastAsia="Times New Roman" w:cs="Arial"/>
          <w:bCs/>
          <w:lang w:eastAsia="en-AU"/>
        </w:rPr>
        <w:t xml:space="preserve"> bound immediately and saw the dispatch price in both regions increase to over $12 900/MWh.</w:t>
      </w:r>
      <w:r w:rsidR="00694CCE" w:rsidRPr="00694CCE">
        <w:rPr>
          <w:rFonts w:eastAsia="Times New Roman" w:cs="Arial"/>
          <w:bCs/>
          <w:lang w:eastAsia="en-AU"/>
        </w:rPr>
        <w:t xml:space="preserve"> </w:t>
      </w:r>
      <w:r>
        <w:rPr>
          <w:rFonts w:eastAsia="Times New Roman" w:cs="Arial"/>
          <w:bCs/>
          <w:lang w:eastAsia="en-AU"/>
        </w:rPr>
        <w:t xml:space="preserve">Prices reduced to </w:t>
      </w:r>
      <w:r w:rsidR="008506BD">
        <w:rPr>
          <w:rFonts w:eastAsia="Times New Roman" w:cs="Arial"/>
          <w:bCs/>
          <w:lang w:eastAsia="en-AU"/>
        </w:rPr>
        <w:t xml:space="preserve">around </w:t>
      </w:r>
      <w:r>
        <w:rPr>
          <w:rFonts w:eastAsia="Times New Roman" w:cs="Arial"/>
          <w:bCs/>
          <w:lang w:eastAsia="en-AU"/>
        </w:rPr>
        <w:t xml:space="preserve">$90/MWh at 3.10 pm when a number of participants rebid capacity from high to low prices. </w:t>
      </w:r>
    </w:p>
    <w:p w:rsidR="00462718" w:rsidRDefault="00694CCE" w:rsidP="00462718">
      <w:pPr>
        <w:jc w:val="both"/>
        <w:rPr>
          <w:rFonts w:eastAsia="Times New Roman" w:cs="Arial"/>
          <w:bCs/>
          <w:lang w:eastAsia="en-AU"/>
        </w:rPr>
      </w:pPr>
      <w:r>
        <w:rPr>
          <w:rFonts w:eastAsia="Times New Roman" w:cs="Arial"/>
          <w:bCs/>
          <w:lang w:eastAsia="en-AU"/>
        </w:rPr>
        <w:t xml:space="preserve">Over this high priced period, the Vic-NSW interconnector was flowing </w:t>
      </w:r>
      <w:r w:rsidR="00255862">
        <w:rPr>
          <w:rFonts w:eastAsia="Times New Roman" w:cs="Arial"/>
          <w:bCs/>
          <w:lang w:eastAsia="en-AU"/>
        </w:rPr>
        <w:t xml:space="preserve">counter price at its limit </w:t>
      </w:r>
      <w:r>
        <w:rPr>
          <w:rFonts w:eastAsia="Times New Roman" w:cs="Arial"/>
          <w:bCs/>
          <w:lang w:eastAsia="en-AU"/>
        </w:rPr>
        <w:t>into New</w:t>
      </w:r>
      <w:r w:rsidR="00255862">
        <w:rPr>
          <w:rFonts w:eastAsia="Times New Roman" w:cs="Arial"/>
          <w:bCs/>
          <w:lang w:eastAsia="en-AU"/>
        </w:rPr>
        <w:t> </w:t>
      </w:r>
      <w:r>
        <w:rPr>
          <w:rFonts w:eastAsia="Times New Roman" w:cs="Arial"/>
          <w:bCs/>
          <w:lang w:eastAsia="en-AU"/>
        </w:rPr>
        <w:t>South</w:t>
      </w:r>
      <w:r w:rsidR="00255862">
        <w:rPr>
          <w:rFonts w:eastAsia="Times New Roman" w:cs="Arial"/>
          <w:bCs/>
          <w:lang w:eastAsia="en-AU"/>
        </w:rPr>
        <w:t> </w:t>
      </w:r>
      <w:r>
        <w:rPr>
          <w:rFonts w:eastAsia="Times New Roman" w:cs="Arial"/>
          <w:bCs/>
          <w:lang w:eastAsia="en-AU"/>
        </w:rPr>
        <w:t>Wales</w:t>
      </w:r>
      <w:r w:rsidR="00255862">
        <w:rPr>
          <w:rFonts w:eastAsia="Times New Roman" w:cs="Arial"/>
          <w:bCs/>
          <w:lang w:eastAsia="en-AU"/>
        </w:rPr>
        <w:t>, and,</w:t>
      </w:r>
      <w:r>
        <w:rPr>
          <w:rFonts w:eastAsia="Times New Roman" w:cs="Arial"/>
          <w:bCs/>
          <w:lang w:eastAsia="en-AU"/>
        </w:rPr>
        <w:t xml:space="preserve"> </w:t>
      </w:r>
      <w:r w:rsidR="00255862">
        <w:rPr>
          <w:rFonts w:eastAsia="Times New Roman" w:cs="Arial"/>
          <w:bCs/>
          <w:lang w:eastAsia="en-AU"/>
        </w:rPr>
        <w:t>a</w:t>
      </w:r>
      <w:r>
        <w:rPr>
          <w:rFonts w:eastAsia="Times New Roman" w:cs="Arial"/>
          <w:bCs/>
          <w:lang w:eastAsia="en-AU"/>
        </w:rPr>
        <w:t xml:space="preserve">s a result </w:t>
      </w:r>
      <w:r w:rsidRPr="00CB35DE">
        <w:rPr>
          <w:rFonts w:eastAsia="Times New Roman" w:cs="Arial"/>
          <w:bCs/>
          <w:lang w:eastAsia="en-AU"/>
        </w:rPr>
        <w:t>around $300</w:t>
      </w:r>
      <w:r>
        <w:rPr>
          <w:rFonts w:eastAsia="Times New Roman" w:cs="Arial"/>
          <w:bCs/>
          <w:lang w:eastAsia="en-AU"/>
        </w:rPr>
        <w:t> 000 of negative settlement residue</w:t>
      </w:r>
      <w:r w:rsidR="00255862">
        <w:rPr>
          <w:rFonts w:eastAsia="Times New Roman" w:cs="Arial"/>
          <w:bCs/>
          <w:lang w:eastAsia="en-AU"/>
        </w:rPr>
        <w:t>s</w:t>
      </w:r>
      <w:r>
        <w:rPr>
          <w:rFonts w:eastAsia="Times New Roman" w:cs="Arial"/>
          <w:bCs/>
          <w:lang w:eastAsia="en-AU"/>
        </w:rPr>
        <w:t xml:space="preserve"> accrued</w:t>
      </w:r>
      <w:r w:rsidR="00255862">
        <w:rPr>
          <w:rFonts w:eastAsia="Times New Roman" w:cs="Arial"/>
          <w:bCs/>
          <w:lang w:eastAsia="en-AU"/>
        </w:rPr>
        <w:t>.</w:t>
      </w:r>
      <w:r>
        <w:rPr>
          <w:rFonts w:eastAsia="Times New Roman" w:cs="Arial"/>
          <w:bCs/>
          <w:lang w:eastAsia="en-AU"/>
        </w:rPr>
        <w:t xml:space="preserve"> </w:t>
      </w:r>
    </w:p>
    <w:p w:rsidR="00462718" w:rsidRPr="000321ED" w:rsidRDefault="000321ED" w:rsidP="000321ED">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C15C9">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xml:space="preserve">: </w:t>
      </w:r>
      <w:r>
        <w:rPr>
          <w:rFonts w:asciiTheme="minorHAnsi" w:hAnsiTheme="minorHAnsi" w:cstheme="minorHAnsi"/>
        </w:rPr>
        <w:t>Relevant rebidding in NSW and Queensland for the 3 pm trading interval</w:t>
      </w:r>
    </w:p>
    <w:tbl>
      <w:tblPr>
        <w:tblStyle w:val="AERsummarytable"/>
        <w:tblpPr w:leftFromText="180" w:rightFromText="180" w:vertAnchor="text" w:horzAnchor="margin" w:tblpY="155"/>
        <w:tblW w:w="0" w:type="auto"/>
        <w:tblLook w:val="04A0" w:firstRow="1" w:lastRow="0" w:firstColumn="1" w:lastColumn="0" w:noHBand="0" w:noVBand="1"/>
      </w:tblPr>
      <w:tblGrid>
        <w:gridCol w:w="1117"/>
        <w:gridCol w:w="961"/>
        <w:gridCol w:w="1211"/>
        <w:gridCol w:w="1057"/>
        <w:gridCol w:w="1018"/>
        <w:gridCol w:w="884"/>
        <w:gridCol w:w="983"/>
        <w:gridCol w:w="2011"/>
      </w:tblGrid>
      <w:tr w:rsidR="000321ED" w:rsidRPr="009536D5" w:rsidTr="000321ED">
        <w:trPr>
          <w:cnfStyle w:val="100000000000" w:firstRow="1" w:lastRow="0" w:firstColumn="0" w:lastColumn="0" w:oddVBand="0" w:evenVBand="0" w:oddHBand="0" w:evenHBand="0" w:firstRowFirstColumn="0" w:firstRowLastColumn="0" w:lastRowFirstColumn="0" w:lastRowLastColumn="0"/>
          <w:trHeight w:val="208"/>
          <w:tblHeader/>
        </w:trPr>
        <w:tc>
          <w:tcPr>
            <w:tcW w:w="0" w:type="auto"/>
            <w:hideMark/>
          </w:tcPr>
          <w:p w:rsidR="000321ED" w:rsidRPr="009536D5" w:rsidRDefault="000321ED" w:rsidP="000321ED">
            <w:pPr>
              <w:pStyle w:val="tableheadingline2"/>
              <w:rPr>
                <w:rFonts w:cs="Arial"/>
                <w:sz w:val="20"/>
                <w:szCs w:val="20"/>
              </w:rPr>
            </w:pPr>
            <w:r w:rsidRPr="009536D5">
              <w:rPr>
                <w:rFonts w:cs="Arial"/>
                <w:sz w:val="20"/>
                <w:szCs w:val="20"/>
              </w:rPr>
              <w:t>Submitted</w:t>
            </w:r>
            <w:r w:rsidRPr="009536D5">
              <w:rPr>
                <w:rFonts w:cs="Arial"/>
                <w:sz w:val="20"/>
                <w:szCs w:val="20"/>
              </w:rPr>
              <w:br/>
              <w:t>time</w:t>
            </w:r>
          </w:p>
        </w:tc>
        <w:tc>
          <w:tcPr>
            <w:tcW w:w="0" w:type="auto"/>
            <w:hideMark/>
          </w:tcPr>
          <w:p w:rsidR="000321ED" w:rsidRPr="009536D5" w:rsidRDefault="000321ED" w:rsidP="000321ED">
            <w:pPr>
              <w:pStyle w:val="tableheadingline2"/>
              <w:rPr>
                <w:rFonts w:cs="Arial"/>
                <w:sz w:val="20"/>
                <w:szCs w:val="20"/>
              </w:rPr>
            </w:pPr>
            <w:r w:rsidRPr="009536D5">
              <w:rPr>
                <w:rFonts w:cs="Arial"/>
                <w:sz w:val="20"/>
                <w:szCs w:val="20"/>
              </w:rPr>
              <w:t>Time</w:t>
            </w:r>
            <w:r w:rsidRPr="009536D5">
              <w:rPr>
                <w:rFonts w:cs="Arial"/>
                <w:sz w:val="20"/>
                <w:szCs w:val="20"/>
              </w:rPr>
              <w:br/>
              <w:t>effective</w:t>
            </w:r>
          </w:p>
        </w:tc>
        <w:tc>
          <w:tcPr>
            <w:tcW w:w="0" w:type="auto"/>
            <w:hideMark/>
          </w:tcPr>
          <w:p w:rsidR="000321ED" w:rsidRPr="009536D5" w:rsidRDefault="000321ED" w:rsidP="000321ED">
            <w:pPr>
              <w:pStyle w:val="tableheadingline2"/>
              <w:rPr>
                <w:rFonts w:cs="Arial"/>
                <w:sz w:val="20"/>
                <w:szCs w:val="20"/>
              </w:rPr>
            </w:pPr>
            <w:r w:rsidRPr="009536D5">
              <w:rPr>
                <w:rFonts w:cs="Arial"/>
                <w:sz w:val="20"/>
                <w:szCs w:val="20"/>
              </w:rPr>
              <w:t>Participant</w:t>
            </w:r>
          </w:p>
        </w:tc>
        <w:tc>
          <w:tcPr>
            <w:tcW w:w="0" w:type="auto"/>
            <w:hideMark/>
          </w:tcPr>
          <w:p w:rsidR="000321ED" w:rsidRPr="009536D5" w:rsidRDefault="000321ED" w:rsidP="000321ED">
            <w:pPr>
              <w:pStyle w:val="tableheadingline2"/>
              <w:rPr>
                <w:rFonts w:cs="Arial"/>
                <w:sz w:val="20"/>
                <w:szCs w:val="20"/>
              </w:rPr>
            </w:pPr>
            <w:r w:rsidRPr="009536D5">
              <w:rPr>
                <w:rFonts w:cs="Arial"/>
                <w:sz w:val="20"/>
                <w:szCs w:val="20"/>
              </w:rPr>
              <w:t>Station</w:t>
            </w:r>
          </w:p>
        </w:tc>
        <w:tc>
          <w:tcPr>
            <w:tcW w:w="0" w:type="auto"/>
            <w:hideMark/>
          </w:tcPr>
          <w:p w:rsidR="000321ED" w:rsidRPr="009536D5" w:rsidRDefault="000321ED" w:rsidP="000321ED">
            <w:pPr>
              <w:pStyle w:val="tableheadingline2"/>
              <w:rPr>
                <w:rFonts w:cs="Arial"/>
                <w:sz w:val="20"/>
                <w:szCs w:val="20"/>
              </w:rPr>
            </w:pPr>
            <w:r w:rsidRPr="009536D5">
              <w:rPr>
                <w:rFonts w:cs="Arial"/>
                <w:sz w:val="20"/>
                <w:szCs w:val="20"/>
              </w:rPr>
              <w:t>Capacity rebid</w:t>
            </w:r>
            <w:r w:rsidRPr="009536D5">
              <w:rPr>
                <w:rFonts w:cs="Arial"/>
                <w:sz w:val="20"/>
                <w:szCs w:val="20"/>
              </w:rPr>
              <w:br/>
              <w:t>(MW)</w:t>
            </w:r>
          </w:p>
        </w:tc>
        <w:tc>
          <w:tcPr>
            <w:tcW w:w="0" w:type="auto"/>
            <w:hideMark/>
          </w:tcPr>
          <w:p w:rsidR="000321ED" w:rsidRPr="009536D5" w:rsidRDefault="000321ED" w:rsidP="000321ED">
            <w:pPr>
              <w:pStyle w:val="tableheadingline2"/>
              <w:rPr>
                <w:rFonts w:cs="Arial"/>
                <w:sz w:val="20"/>
                <w:szCs w:val="20"/>
              </w:rPr>
            </w:pPr>
            <w:r>
              <w:rPr>
                <w:rFonts w:cs="Arial"/>
                <w:sz w:val="20"/>
                <w:szCs w:val="20"/>
              </w:rPr>
              <w:t>Price from</w:t>
            </w:r>
            <w:r>
              <w:rPr>
                <w:rFonts w:cs="Arial"/>
                <w:sz w:val="20"/>
                <w:szCs w:val="20"/>
              </w:rPr>
              <w:br/>
              <w:t>($/MW</w:t>
            </w:r>
            <w:r w:rsidRPr="009536D5">
              <w:rPr>
                <w:rFonts w:cs="Arial"/>
                <w:sz w:val="20"/>
                <w:szCs w:val="20"/>
              </w:rPr>
              <w:t>)</w:t>
            </w:r>
          </w:p>
        </w:tc>
        <w:tc>
          <w:tcPr>
            <w:tcW w:w="0" w:type="auto"/>
            <w:hideMark/>
          </w:tcPr>
          <w:p w:rsidR="000321ED" w:rsidRPr="009536D5" w:rsidRDefault="000321ED" w:rsidP="000321ED">
            <w:pPr>
              <w:pStyle w:val="tableheadingline2"/>
              <w:rPr>
                <w:rFonts w:cs="Arial"/>
                <w:sz w:val="20"/>
                <w:szCs w:val="20"/>
              </w:rPr>
            </w:pPr>
            <w:r w:rsidRPr="009536D5">
              <w:rPr>
                <w:rFonts w:cs="Arial"/>
                <w:sz w:val="20"/>
                <w:szCs w:val="20"/>
              </w:rPr>
              <w:t>Price to</w:t>
            </w:r>
            <w:r w:rsidRPr="009536D5">
              <w:rPr>
                <w:rFonts w:cs="Arial"/>
                <w:sz w:val="20"/>
                <w:szCs w:val="20"/>
              </w:rPr>
              <w:br/>
              <w:t>($/MWh)</w:t>
            </w:r>
          </w:p>
        </w:tc>
        <w:tc>
          <w:tcPr>
            <w:tcW w:w="0" w:type="auto"/>
            <w:hideMark/>
          </w:tcPr>
          <w:p w:rsidR="000321ED" w:rsidRPr="009536D5" w:rsidRDefault="000321ED" w:rsidP="000321ED">
            <w:pPr>
              <w:pStyle w:val="tableheadingline2"/>
              <w:rPr>
                <w:rFonts w:cs="Arial"/>
                <w:sz w:val="20"/>
                <w:szCs w:val="20"/>
              </w:rPr>
            </w:pPr>
            <w:r w:rsidRPr="009536D5">
              <w:rPr>
                <w:rFonts w:cs="Arial"/>
                <w:sz w:val="20"/>
                <w:szCs w:val="20"/>
              </w:rPr>
              <w:t>Rebid reason</w:t>
            </w:r>
          </w:p>
        </w:tc>
      </w:tr>
      <w:tr w:rsidR="000321ED" w:rsidRPr="009536D5" w:rsidTr="000321ED">
        <w:trPr>
          <w:cnfStyle w:val="000000100000" w:firstRow="0" w:lastRow="0" w:firstColumn="0" w:lastColumn="0" w:oddVBand="0" w:evenVBand="0" w:oddHBand="1" w:evenHBand="0" w:firstRowFirstColumn="0" w:firstRowLastColumn="0" w:lastRowFirstColumn="0" w:lastRowLastColumn="0"/>
          <w:trHeight w:val="577"/>
        </w:trPr>
        <w:tc>
          <w:tcPr>
            <w:tcW w:w="0" w:type="auto"/>
            <w:vAlign w:val="center"/>
          </w:tcPr>
          <w:p w:rsidR="000321ED" w:rsidRDefault="000321ED">
            <w:pPr>
              <w:jc w:val="center"/>
              <w:textAlignment w:val="center"/>
              <w:rPr>
                <w:rFonts w:cs="Arial"/>
                <w:color w:val="000000"/>
                <w:szCs w:val="18"/>
              </w:rPr>
            </w:pPr>
            <w:r>
              <w:rPr>
                <w:rFonts w:cs="Arial"/>
                <w:color w:val="000000"/>
                <w:szCs w:val="18"/>
              </w:rPr>
              <w:t>2.22 pm</w:t>
            </w:r>
          </w:p>
        </w:tc>
        <w:tc>
          <w:tcPr>
            <w:tcW w:w="0" w:type="auto"/>
            <w:vAlign w:val="center"/>
          </w:tcPr>
          <w:p w:rsidR="000321ED" w:rsidRDefault="000321ED">
            <w:pPr>
              <w:jc w:val="center"/>
              <w:rPr>
                <w:sz w:val="24"/>
                <w:szCs w:val="24"/>
              </w:rPr>
            </w:pPr>
            <w:r>
              <w:t> </w:t>
            </w:r>
            <w:r w:rsidR="00F43F6A">
              <w:t>2.35 pm</w:t>
            </w:r>
          </w:p>
        </w:tc>
        <w:tc>
          <w:tcPr>
            <w:tcW w:w="0" w:type="auto"/>
            <w:vAlign w:val="center"/>
          </w:tcPr>
          <w:p w:rsidR="000321ED" w:rsidRDefault="000321ED">
            <w:pPr>
              <w:textAlignment w:val="center"/>
              <w:rPr>
                <w:rFonts w:cs="Arial"/>
                <w:color w:val="000000"/>
                <w:szCs w:val="18"/>
              </w:rPr>
            </w:pPr>
            <w:r>
              <w:rPr>
                <w:rFonts w:cs="Arial"/>
                <w:color w:val="000000"/>
                <w:szCs w:val="18"/>
              </w:rPr>
              <w:t>Millmerran Energy Trader</w:t>
            </w:r>
          </w:p>
        </w:tc>
        <w:tc>
          <w:tcPr>
            <w:tcW w:w="0" w:type="auto"/>
            <w:vAlign w:val="center"/>
          </w:tcPr>
          <w:p w:rsidR="000321ED" w:rsidRDefault="000321ED">
            <w:pPr>
              <w:textAlignment w:val="center"/>
              <w:rPr>
                <w:rFonts w:cs="Arial"/>
                <w:color w:val="000000"/>
                <w:szCs w:val="18"/>
              </w:rPr>
            </w:pPr>
            <w:r>
              <w:rPr>
                <w:rFonts w:cs="Arial"/>
                <w:color w:val="000000"/>
                <w:szCs w:val="18"/>
              </w:rPr>
              <w:t>Millmerran</w:t>
            </w:r>
          </w:p>
        </w:tc>
        <w:tc>
          <w:tcPr>
            <w:tcW w:w="0" w:type="auto"/>
            <w:vAlign w:val="center"/>
          </w:tcPr>
          <w:p w:rsidR="000321ED" w:rsidRDefault="000321ED">
            <w:pPr>
              <w:jc w:val="center"/>
              <w:textAlignment w:val="center"/>
              <w:rPr>
                <w:rFonts w:cs="Arial"/>
                <w:color w:val="000000"/>
                <w:szCs w:val="18"/>
              </w:rPr>
            </w:pPr>
            <w:r>
              <w:rPr>
                <w:rFonts w:cs="Arial"/>
                <w:color w:val="000000"/>
                <w:szCs w:val="18"/>
              </w:rPr>
              <w:t>50</w:t>
            </w:r>
          </w:p>
        </w:tc>
        <w:tc>
          <w:tcPr>
            <w:tcW w:w="0" w:type="auto"/>
            <w:vAlign w:val="center"/>
          </w:tcPr>
          <w:p w:rsidR="000321ED" w:rsidRDefault="000321ED">
            <w:pPr>
              <w:jc w:val="center"/>
              <w:textAlignment w:val="center"/>
              <w:rPr>
                <w:rFonts w:cs="Arial"/>
                <w:color w:val="000000"/>
                <w:szCs w:val="18"/>
              </w:rPr>
            </w:pPr>
            <w:r>
              <w:rPr>
                <w:rFonts w:cs="Arial"/>
                <w:color w:val="000000"/>
                <w:szCs w:val="18"/>
              </w:rPr>
              <w:t>10</w:t>
            </w:r>
          </w:p>
        </w:tc>
        <w:tc>
          <w:tcPr>
            <w:tcW w:w="0" w:type="auto"/>
            <w:vAlign w:val="center"/>
          </w:tcPr>
          <w:p w:rsidR="000321ED" w:rsidRDefault="000321ED">
            <w:pPr>
              <w:jc w:val="center"/>
              <w:textAlignment w:val="center"/>
              <w:rPr>
                <w:rFonts w:cs="Arial"/>
                <w:color w:val="000000"/>
                <w:szCs w:val="18"/>
              </w:rPr>
            </w:pPr>
            <w:r>
              <w:rPr>
                <w:rFonts w:cs="Arial"/>
                <w:color w:val="000000"/>
                <w:szCs w:val="18"/>
              </w:rPr>
              <w:t>14000</w:t>
            </w:r>
          </w:p>
        </w:tc>
        <w:tc>
          <w:tcPr>
            <w:tcW w:w="0" w:type="auto"/>
            <w:vAlign w:val="center"/>
          </w:tcPr>
          <w:p w:rsidR="000321ED" w:rsidRDefault="000321ED">
            <w:pPr>
              <w:textAlignment w:val="center"/>
              <w:rPr>
                <w:rFonts w:cs="Arial"/>
                <w:color w:val="000000"/>
                <w:szCs w:val="18"/>
              </w:rPr>
            </w:pPr>
            <w:r>
              <w:rPr>
                <w:rFonts w:cs="Arial"/>
                <w:color w:val="000000"/>
                <w:szCs w:val="18"/>
              </w:rPr>
              <w:t>14:21 A 4 X VOLL SPIKE IN 5MIN PD - SL</w:t>
            </w:r>
          </w:p>
        </w:tc>
      </w:tr>
      <w:tr w:rsidR="000321ED" w:rsidRPr="009536D5" w:rsidTr="000321ED">
        <w:trPr>
          <w:cnfStyle w:val="000000010000" w:firstRow="0" w:lastRow="0" w:firstColumn="0" w:lastColumn="0" w:oddVBand="0" w:evenVBand="0" w:oddHBand="0" w:evenHBand="1" w:firstRowFirstColumn="0" w:firstRowLastColumn="0" w:lastRowFirstColumn="0" w:lastRowLastColumn="0"/>
          <w:trHeight w:val="577"/>
        </w:trPr>
        <w:tc>
          <w:tcPr>
            <w:tcW w:w="0" w:type="auto"/>
            <w:vAlign w:val="center"/>
          </w:tcPr>
          <w:p w:rsidR="000321ED" w:rsidRDefault="000321ED" w:rsidP="000321ED">
            <w:pPr>
              <w:jc w:val="center"/>
              <w:textAlignment w:val="center"/>
              <w:rPr>
                <w:rFonts w:cs="Arial"/>
                <w:color w:val="000000"/>
                <w:szCs w:val="18"/>
              </w:rPr>
            </w:pPr>
            <w:r>
              <w:rPr>
                <w:rFonts w:cs="Arial"/>
                <w:color w:val="000000"/>
                <w:szCs w:val="18"/>
              </w:rPr>
              <w:t>2.24 pm</w:t>
            </w:r>
          </w:p>
        </w:tc>
        <w:tc>
          <w:tcPr>
            <w:tcW w:w="0" w:type="auto"/>
            <w:vAlign w:val="center"/>
          </w:tcPr>
          <w:p w:rsidR="000321ED" w:rsidRDefault="000321ED" w:rsidP="000321ED">
            <w:pPr>
              <w:jc w:val="center"/>
              <w:textAlignment w:val="center"/>
              <w:rPr>
                <w:rFonts w:cs="Arial"/>
                <w:color w:val="000000"/>
                <w:szCs w:val="18"/>
              </w:rPr>
            </w:pPr>
            <w:r>
              <w:rPr>
                <w:rFonts w:cs="Arial"/>
                <w:color w:val="000000"/>
                <w:szCs w:val="18"/>
              </w:rPr>
              <w:t>2.35 pm</w:t>
            </w:r>
          </w:p>
        </w:tc>
        <w:tc>
          <w:tcPr>
            <w:tcW w:w="0" w:type="auto"/>
            <w:vAlign w:val="center"/>
          </w:tcPr>
          <w:p w:rsidR="000321ED" w:rsidRDefault="000321ED" w:rsidP="000321ED">
            <w:pPr>
              <w:textAlignment w:val="center"/>
              <w:rPr>
                <w:rFonts w:cs="Arial"/>
                <w:color w:val="000000"/>
                <w:szCs w:val="18"/>
              </w:rPr>
            </w:pPr>
            <w:r>
              <w:rPr>
                <w:rFonts w:cs="Arial"/>
                <w:color w:val="000000"/>
                <w:szCs w:val="18"/>
              </w:rPr>
              <w:t>AGL Energy</w:t>
            </w:r>
          </w:p>
        </w:tc>
        <w:tc>
          <w:tcPr>
            <w:tcW w:w="0" w:type="auto"/>
            <w:vAlign w:val="center"/>
          </w:tcPr>
          <w:p w:rsidR="000321ED" w:rsidRDefault="000321ED" w:rsidP="000321ED">
            <w:pPr>
              <w:textAlignment w:val="center"/>
              <w:rPr>
                <w:rFonts w:cs="Arial"/>
                <w:color w:val="000000"/>
                <w:szCs w:val="18"/>
              </w:rPr>
            </w:pPr>
            <w:r>
              <w:rPr>
                <w:rFonts w:cs="Arial"/>
                <w:color w:val="000000"/>
                <w:szCs w:val="18"/>
              </w:rPr>
              <w:t>Bayswater</w:t>
            </w:r>
          </w:p>
        </w:tc>
        <w:tc>
          <w:tcPr>
            <w:tcW w:w="0" w:type="auto"/>
            <w:vAlign w:val="center"/>
          </w:tcPr>
          <w:p w:rsidR="000321ED" w:rsidRDefault="000321ED" w:rsidP="000321ED">
            <w:pPr>
              <w:jc w:val="center"/>
              <w:textAlignment w:val="center"/>
              <w:rPr>
                <w:rFonts w:cs="Arial"/>
                <w:color w:val="000000"/>
                <w:szCs w:val="18"/>
              </w:rPr>
            </w:pPr>
            <w:r>
              <w:rPr>
                <w:rFonts w:cs="Arial"/>
                <w:color w:val="000000"/>
                <w:szCs w:val="18"/>
              </w:rPr>
              <w:t>60</w:t>
            </w:r>
          </w:p>
        </w:tc>
        <w:tc>
          <w:tcPr>
            <w:tcW w:w="0" w:type="auto"/>
            <w:vAlign w:val="center"/>
          </w:tcPr>
          <w:p w:rsidR="000321ED" w:rsidRDefault="000321ED" w:rsidP="000321ED">
            <w:pPr>
              <w:jc w:val="center"/>
              <w:textAlignment w:val="center"/>
              <w:rPr>
                <w:rFonts w:cs="Arial"/>
                <w:color w:val="000000"/>
                <w:szCs w:val="18"/>
              </w:rPr>
            </w:pPr>
            <w:r>
              <w:rPr>
                <w:rFonts w:cs="Arial"/>
                <w:color w:val="000000"/>
                <w:szCs w:val="18"/>
              </w:rPr>
              <w:t>&lt;97</w:t>
            </w:r>
          </w:p>
        </w:tc>
        <w:tc>
          <w:tcPr>
            <w:tcW w:w="0" w:type="auto"/>
            <w:vAlign w:val="center"/>
          </w:tcPr>
          <w:p w:rsidR="000321ED" w:rsidRDefault="000321ED" w:rsidP="000321ED">
            <w:pPr>
              <w:jc w:val="center"/>
              <w:textAlignment w:val="center"/>
              <w:rPr>
                <w:rFonts w:cs="Arial"/>
                <w:color w:val="000000"/>
                <w:szCs w:val="18"/>
              </w:rPr>
            </w:pPr>
            <w:r>
              <w:rPr>
                <w:rFonts w:cs="Arial"/>
                <w:color w:val="000000"/>
                <w:szCs w:val="18"/>
              </w:rPr>
              <w:t>&gt;14000</w:t>
            </w:r>
          </w:p>
        </w:tc>
        <w:tc>
          <w:tcPr>
            <w:tcW w:w="0" w:type="auto"/>
            <w:vAlign w:val="center"/>
          </w:tcPr>
          <w:p w:rsidR="000321ED" w:rsidRDefault="000321ED" w:rsidP="000321ED">
            <w:pPr>
              <w:textAlignment w:val="center"/>
              <w:rPr>
                <w:rFonts w:cs="Arial"/>
                <w:color w:val="000000"/>
                <w:szCs w:val="18"/>
              </w:rPr>
            </w:pPr>
            <w:r>
              <w:rPr>
                <w:rFonts w:cs="Arial"/>
                <w:color w:val="000000"/>
                <w:szCs w:val="18"/>
              </w:rPr>
              <w:t>1420~A~050 CHG IN AEMO PD~GENERATION DECREASE [QLD-495MW] SEE LOG</w:t>
            </w:r>
          </w:p>
        </w:tc>
      </w:tr>
    </w:tbl>
    <w:p w:rsidR="00C67D8C" w:rsidRPr="00941934" w:rsidRDefault="00C67D8C" w:rsidP="00C67D8C">
      <w:pPr>
        <w:pStyle w:val="Heading2"/>
        <w:rPr>
          <w:rFonts w:eastAsia="Times New Roman"/>
          <w:b w:val="0"/>
          <w:bCs w:val="0"/>
          <w:lang w:eastAsia="en-AU"/>
        </w:rPr>
      </w:pPr>
      <w:r w:rsidRPr="00941934">
        <w:rPr>
          <w:rFonts w:eastAsia="Times New Roman"/>
          <w:b w:val="0"/>
          <w:bCs w:val="0"/>
          <w:lang w:eastAsia="en-AU"/>
        </w:rPr>
        <w:t>New South Wales</w:t>
      </w:r>
    </w:p>
    <w:p w:rsidR="00D20A9A" w:rsidRDefault="00C67D8C" w:rsidP="00C67D8C">
      <w:pPr>
        <w:pStyle w:val="NormalWeb"/>
        <w:spacing w:line="288" w:lineRule="auto"/>
        <w:jc w:val="both"/>
        <w:rPr>
          <w:rFonts w:ascii="Arial" w:hAnsi="Arial" w:cs="Arial"/>
          <w:bCs/>
          <w:sz w:val="22"/>
          <w:szCs w:val="22"/>
        </w:rPr>
      </w:pPr>
      <w:r w:rsidRPr="00C67D8C">
        <w:rPr>
          <w:rFonts w:ascii="Arial" w:hAnsi="Arial" w:cs="Arial"/>
          <w:bCs/>
          <w:sz w:val="22"/>
          <w:szCs w:val="22"/>
        </w:rPr>
        <w:t>There were two occasions where the spot price in New South Wales was greater than three times the New South Wales weekly average price of $94/MWh and above $250/MWh.</w:t>
      </w:r>
    </w:p>
    <w:p w:rsidR="00353024" w:rsidRPr="005F37A9" w:rsidRDefault="00353024" w:rsidP="00353024">
      <w:pPr>
        <w:pStyle w:val="Heading3"/>
        <w:rPr>
          <w:rFonts w:eastAsia="Times New Roman"/>
        </w:rPr>
      </w:pPr>
      <w:r>
        <w:rPr>
          <w:rFonts w:eastAsia="Times New Roman"/>
        </w:rPr>
        <w:t>Tuesday, 8 November</w:t>
      </w:r>
    </w:p>
    <w:p w:rsidR="003605DF" w:rsidRPr="001C5A97" w:rsidRDefault="003605DF" w:rsidP="003605DF">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C15C9">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3605DF" w:rsidRPr="0073319F" w:rsidTr="00B842D7">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605DF" w:rsidRPr="007D74C6" w:rsidRDefault="003605DF" w:rsidP="00B842D7">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3605DF" w:rsidRPr="007D74C6" w:rsidRDefault="003605DF" w:rsidP="00B842D7">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3605DF" w:rsidRPr="007D74C6" w:rsidRDefault="003605DF" w:rsidP="00B842D7">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3605DF" w:rsidRPr="007D74C6" w:rsidRDefault="003605DF" w:rsidP="00B842D7">
            <w:pPr>
              <w:pStyle w:val="TableHeading"/>
              <w:jc w:val="center"/>
              <w:rPr>
                <w:rFonts w:cs="Arial"/>
                <w:b w:val="0"/>
                <w:sz w:val="20"/>
                <w:szCs w:val="20"/>
              </w:rPr>
            </w:pPr>
            <w:r w:rsidRPr="007D74C6">
              <w:rPr>
                <w:rFonts w:cs="Arial"/>
                <w:b w:val="0"/>
                <w:sz w:val="20"/>
                <w:szCs w:val="20"/>
              </w:rPr>
              <w:t>Availability (MW)</w:t>
            </w:r>
          </w:p>
        </w:tc>
      </w:tr>
      <w:tr w:rsidR="003605DF" w:rsidRPr="0073319F" w:rsidTr="00B842D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3605DF" w:rsidRPr="007D74C6" w:rsidRDefault="003605DF" w:rsidP="00B842D7">
            <w:pPr>
              <w:pStyle w:val="tableheadingline2"/>
              <w:rPr>
                <w:rFonts w:cs="Arial"/>
                <w:sz w:val="20"/>
                <w:szCs w:val="20"/>
              </w:rPr>
            </w:pPr>
            <w:r w:rsidRPr="007D74C6">
              <w:rPr>
                <w:rFonts w:cs="Arial"/>
                <w:sz w:val="20"/>
                <w:szCs w:val="20"/>
              </w:rPr>
              <w:t>12 hr forecast</w:t>
            </w:r>
          </w:p>
        </w:tc>
      </w:tr>
      <w:tr w:rsidR="003605DF" w:rsidRPr="0073319F" w:rsidTr="0036544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605DF" w:rsidRPr="005E4EB1" w:rsidRDefault="003605DF" w:rsidP="00B842D7">
            <w:pPr>
              <w:spacing w:line="240" w:lineRule="auto"/>
              <w:jc w:val="center"/>
              <w:rPr>
                <w:rFonts w:cs="Arial"/>
                <w:sz w:val="20"/>
                <w:szCs w:val="20"/>
              </w:rPr>
            </w:pPr>
            <w:r>
              <w:rPr>
                <w:rFonts w:cs="Arial"/>
                <w:sz w:val="20"/>
                <w:szCs w:val="20"/>
              </w:rPr>
              <w:t>3 pm</w:t>
            </w:r>
          </w:p>
        </w:tc>
        <w:tc>
          <w:tcPr>
            <w:tcW w:w="516" w:type="pct"/>
            <w:vAlign w:val="center"/>
          </w:tcPr>
          <w:p w:rsidR="003605DF" w:rsidRPr="003605DF" w:rsidRDefault="003605DF" w:rsidP="003605DF">
            <w:pPr>
              <w:spacing w:before="60"/>
              <w:jc w:val="center"/>
              <w:rPr>
                <w:rFonts w:cs="Arial"/>
                <w:sz w:val="20"/>
                <w:szCs w:val="20"/>
              </w:rPr>
            </w:pPr>
            <w:r w:rsidRPr="003605DF">
              <w:rPr>
                <w:rFonts w:cs="Arial"/>
                <w:sz w:val="20"/>
                <w:szCs w:val="20"/>
              </w:rPr>
              <w:t>626.77</w:t>
            </w:r>
          </w:p>
        </w:tc>
        <w:tc>
          <w:tcPr>
            <w:tcW w:w="533" w:type="pct"/>
            <w:vAlign w:val="center"/>
          </w:tcPr>
          <w:p w:rsidR="003605DF" w:rsidRPr="003605DF" w:rsidRDefault="003605DF" w:rsidP="003605DF">
            <w:pPr>
              <w:spacing w:before="60"/>
              <w:jc w:val="center"/>
              <w:rPr>
                <w:rFonts w:cs="Arial"/>
                <w:sz w:val="20"/>
                <w:szCs w:val="20"/>
              </w:rPr>
            </w:pPr>
            <w:r w:rsidRPr="003605DF">
              <w:rPr>
                <w:rFonts w:cs="Arial"/>
                <w:sz w:val="20"/>
                <w:szCs w:val="20"/>
              </w:rPr>
              <w:t>199.35</w:t>
            </w:r>
          </w:p>
        </w:tc>
        <w:tc>
          <w:tcPr>
            <w:tcW w:w="533" w:type="pct"/>
            <w:vAlign w:val="center"/>
          </w:tcPr>
          <w:p w:rsidR="003605DF" w:rsidRPr="003605DF" w:rsidRDefault="003605DF" w:rsidP="003605DF">
            <w:pPr>
              <w:spacing w:before="60"/>
              <w:jc w:val="center"/>
              <w:rPr>
                <w:rFonts w:cs="Arial"/>
                <w:sz w:val="20"/>
                <w:szCs w:val="20"/>
              </w:rPr>
            </w:pPr>
            <w:r w:rsidRPr="003605DF">
              <w:rPr>
                <w:rFonts w:cs="Arial"/>
                <w:sz w:val="20"/>
                <w:szCs w:val="20"/>
              </w:rPr>
              <w:t>11 21</w:t>
            </w:r>
            <w:r>
              <w:rPr>
                <w:rFonts w:cs="Arial"/>
                <w:sz w:val="20"/>
                <w:szCs w:val="20"/>
              </w:rPr>
              <w:t>7</w:t>
            </w:r>
          </w:p>
        </w:tc>
        <w:tc>
          <w:tcPr>
            <w:tcW w:w="455" w:type="pct"/>
            <w:vAlign w:val="center"/>
          </w:tcPr>
          <w:p w:rsidR="003605DF" w:rsidRPr="003605DF" w:rsidRDefault="003605DF" w:rsidP="003605DF">
            <w:pPr>
              <w:spacing w:before="60"/>
              <w:jc w:val="center"/>
              <w:rPr>
                <w:rFonts w:cs="Arial"/>
                <w:sz w:val="20"/>
                <w:szCs w:val="20"/>
              </w:rPr>
            </w:pPr>
            <w:r w:rsidRPr="003605DF">
              <w:rPr>
                <w:rFonts w:cs="Arial"/>
                <w:sz w:val="20"/>
                <w:szCs w:val="20"/>
              </w:rPr>
              <w:t>9205</w:t>
            </w:r>
          </w:p>
        </w:tc>
        <w:tc>
          <w:tcPr>
            <w:tcW w:w="456" w:type="pct"/>
            <w:vAlign w:val="center"/>
          </w:tcPr>
          <w:p w:rsidR="003605DF" w:rsidRPr="003605DF" w:rsidRDefault="003605DF" w:rsidP="003605DF">
            <w:pPr>
              <w:spacing w:before="60"/>
              <w:jc w:val="center"/>
              <w:rPr>
                <w:rFonts w:cs="Arial"/>
                <w:sz w:val="20"/>
                <w:szCs w:val="20"/>
              </w:rPr>
            </w:pPr>
            <w:r w:rsidRPr="003605DF">
              <w:rPr>
                <w:rFonts w:cs="Arial"/>
                <w:sz w:val="20"/>
                <w:szCs w:val="20"/>
              </w:rPr>
              <w:t>8909</w:t>
            </w:r>
          </w:p>
        </w:tc>
        <w:tc>
          <w:tcPr>
            <w:tcW w:w="534" w:type="pct"/>
            <w:vAlign w:val="center"/>
          </w:tcPr>
          <w:p w:rsidR="003605DF" w:rsidRPr="003605DF" w:rsidRDefault="003605DF" w:rsidP="003605DF">
            <w:pPr>
              <w:spacing w:before="60"/>
              <w:jc w:val="center"/>
              <w:rPr>
                <w:rFonts w:cs="Arial"/>
                <w:sz w:val="20"/>
                <w:szCs w:val="20"/>
              </w:rPr>
            </w:pPr>
            <w:r w:rsidRPr="003605DF">
              <w:rPr>
                <w:rFonts w:cs="Arial"/>
                <w:sz w:val="20"/>
                <w:szCs w:val="20"/>
              </w:rPr>
              <w:t>9208</w:t>
            </w:r>
          </w:p>
        </w:tc>
        <w:tc>
          <w:tcPr>
            <w:tcW w:w="532" w:type="pct"/>
            <w:vAlign w:val="center"/>
          </w:tcPr>
          <w:p w:rsidR="003605DF" w:rsidRPr="003605DF" w:rsidRDefault="003605DF" w:rsidP="003605DF">
            <w:pPr>
              <w:spacing w:before="60"/>
              <w:jc w:val="center"/>
              <w:rPr>
                <w:rFonts w:cs="Arial"/>
                <w:sz w:val="20"/>
                <w:szCs w:val="20"/>
              </w:rPr>
            </w:pPr>
            <w:r w:rsidRPr="003605DF">
              <w:rPr>
                <w:rFonts w:cs="Arial"/>
                <w:sz w:val="20"/>
                <w:szCs w:val="20"/>
              </w:rPr>
              <w:t>10 707</w:t>
            </w:r>
          </w:p>
        </w:tc>
        <w:tc>
          <w:tcPr>
            <w:tcW w:w="457" w:type="pct"/>
            <w:vAlign w:val="center"/>
          </w:tcPr>
          <w:p w:rsidR="003605DF" w:rsidRPr="003605DF" w:rsidRDefault="003605DF" w:rsidP="003605DF">
            <w:pPr>
              <w:spacing w:before="60"/>
              <w:jc w:val="center"/>
              <w:rPr>
                <w:rFonts w:cs="Arial"/>
                <w:sz w:val="20"/>
                <w:szCs w:val="20"/>
              </w:rPr>
            </w:pPr>
            <w:r w:rsidRPr="003605DF">
              <w:rPr>
                <w:rFonts w:cs="Arial"/>
                <w:sz w:val="20"/>
                <w:szCs w:val="20"/>
              </w:rPr>
              <w:t>11 108</w:t>
            </w:r>
          </w:p>
        </w:tc>
        <w:tc>
          <w:tcPr>
            <w:tcW w:w="453" w:type="pct"/>
            <w:vAlign w:val="center"/>
          </w:tcPr>
          <w:p w:rsidR="003605DF" w:rsidRPr="003605DF" w:rsidRDefault="003605DF" w:rsidP="003605DF">
            <w:pPr>
              <w:spacing w:before="60"/>
              <w:jc w:val="center"/>
              <w:rPr>
                <w:rFonts w:cs="Arial"/>
                <w:sz w:val="20"/>
                <w:szCs w:val="20"/>
              </w:rPr>
            </w:pPr>
            <w:r w:rsidRPr="003605DF">
              <w:rPr>
                <w:rFonts w:cs="Arial"/>
                <w:sz w:val="20"/>
                <w:szCs w:val="20"/>
              </w:rPr>
              <w:t>11 072</w:t>
            </w:r>
          </w:p>
        </w:tc>
      </w:tr>
      <w:tr w:rsidR="003605DF" w:rsidRPr="0073319F" w:rsidTr="00E855D6">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3605DF" w:rsidRDefault="003605DF" w:rsidP="00B842D7">
            <w:pPr>
              <w:spacing w:line="240" w:lineRule="auto"/>
              <w:jc w:val="center"/>
              <w:rPr>
                <w:rFonts w:cs="Arial"/>
                <w:sz w:val="20"/>
                <w:szCs w:val="20"/>
              </w:rPr>
            </w:pPr>
            <w:r>
              <w:rPr>
                <w:rFonts w:cs="Arial"/>
                <w:sz w:val="20"/>
                <w:szCs w:val="20"/>
              </w:rPr>
              <w:t>3.30 pm</w:t>
            </w:r>
          </w:p>
        </w:tc>
        <w:tc>
          <w:tcPr>
            <w:tcW w:w="516" w:type="pct"/>
            <w:vAlign w:val="center"/>
          </w:tcPr>
          <w:p w:rsidR="003605DF" w:rsidRPr="003605DF" w:rsidRDefault="003605DF" w:rsidP="003605DF">
            <w:pPr>
              <w:spacing w:before="60"/>
              <w:jc w:val="center"/>
              <w:rPr>
                <w:rFonts w:cs="Arial"/>
                <w:sz w:val="20"/>
                <w:szCs w:val="20"/>
              </w:rPr>
            </w:pPr>
            <w:r w:rsidRPr="003605DF">
              <w:rPr>
                <w:rFonts w:cs="Arial"/>
                <w:sz w:val="20"/>
                <w:szCs w:val="20"/>
              </w:rPr>
              <w:t>2190.99</w:t>
            </w:r>
          </w:p>
        </w:tc>
        <w:tc>
          <w:tcPr>
            <w:tcW w:w="533" w:type="pct"/>
            <w:vAlign w:val="center"/>
          </w:tcPr>
          <w:p w:rsidR="003605DF" w:rsidRPr="003605DF" w:rsidRDefault="003605DF" w:rsidP="003605DF">
            <w:pPr>
              <w:spacing w:before="60"/>
              <w:jc w:val="center"/>
              <w:rPr>
                <w:rFonts w:cs="Arial"/>
                <w:sz w:val="20"/>
                <w:szCs w:val="20"/>
              </w:rPr>
            </w:pPr>
            <w:r w:rsidRPr="003605DF">
              <w:rPr>
                <w:rFonts w:cs="Arial"/>
                <w:sz w:val="20"/>
                <w:szCs w:val="20"/>
              </w:rPr>
              <w:t>270.92</w:t>
            </w:r>
          </w:p>
        </w:tc>
        <w:tc>
          <w:tcPr>
            <w:tcW w:w="533" w:type="pct"/>
            <w:vAlign w:val="center"/>
          </w:tcPr>
          <w:p w:rsidR="003605DF" w:rsidRPr="003605DF" w:rsidRDefault="003605DF" w:rsidP="003605DF">
            <w:pPr>
              <w:spacing w:before="60"/>
              <w:jc w:val="center"/>
              <w:rPr>
                <w:rFonts w:cs="Arial"/>
                <w:sz w:val="20"/>
                <w:szCs w:val="20"/>
              </w:rPr>
            </w:pPr>
            <w:r w:rsidRPr="003605DF">
              <w:rPr>
                <w:rFonts w:cs="Arial"/>
                <w:sz w:val="20"/>
                <w:szCs w:val="20"/>
              </w:rPr>
              <w:t>11 21</w:t>
            </w:r>
            <w:r>
              <w:rPr>
                <w:rFonts w:cs="Arial"/>
                <w:sz w:val="20"/>
                <w:szCs w:val="20"/>
              </w:rPr>
              <w:t>7</w:t>
            </w:r>
          </w:p>
        </w:tc>
        <w:tc>
          <w:tcPr>
            <w:tcW w:w="455" w:type="pct"/>
            <w:vAlign w:val="center"/>
          </w:tcPr>
          <w:p w:rsidR="003605DF" w:rsidRPr="003605DF" w:rsidRDefault="003605DF" w:rsidP="003605DF">
            <w:pPr>
              <w:spacing w:before="60"/>
              <w:jc w:val="center"/>
              <w:rPr>
                <w:rFonts w:cs="Arial"/>
                <w:sz w:val="20"/>
                <w:szCs w:val="20"/>
              </w:rPr>
            </w:pPr>
            <w:r w:rsidRPr="003605DF">
              <w:rPr>
                <w:rFonts w:cs="Arial"/>
                <w:sz w:val="20"/>
                <w:szCs w:val="20"/>
              </w:rPr>
              <w:t>9198</w:t>
            </w:r>
          </w:p>
        </w:tc>
        <w:tc>
          <w:tcPr>
            <w:tcW w:w="456" w:type="pct"/>
            <w:vAlign w:val="center"/>
          </w:tcPr>
          <w:p w:rsidR="003605DF" w:rsidRPr="003605DF" w:rsidRDefault="003605DF" w:rsidP="003605DF">
            <w:pPr>
              <w:spacing w:before="60"/>
              <w:jc w:val="center"/>
              <w:rPr>
                <w:rFonts w:cs="Arial"/>
                <w:sz w:val="20"/>
                <w:szCs w:val="20"/>
              </w:rPr>
            </w:pPr>
            <w:r w:rsidRPr="003605DF">
              <w:rPr>
                <w:rFonts w:cs="Arial"/>
                <w:sz w:val="20"/>
                <w:szCs w:val="20"/>
              </w:rPr>
              <w:t>8908</w:t>
            </w:r>
          </w:p>
        </w:tc>
        <w:tc>
          <w:tcPr>
            <w:tcW w:w="534" w:type="pct"/>
            <w:vAlign w:val="center"/>
          </w:tcPr>
          <w:p w:rsidR="003605DF" w:rsidRPr="003605DF" w:rsidRDefault="003605DF" w:rsidP="003605DF">
            <w:pPr>
              <w:spacing w:before="60"/>
              <w:jc w:val="center"/>
              <w:rPr>
                <w:rFonts w:cs="Arial"/>
                <w:sz w:val="20"/>
                <w:szCs w:val="20"/>
              </w:rPr>
            </w:pPr>
            <w:r w:rsidRPr="003605DF">
              <w:rPr>
                <w:rFonts w:cs="Arial"/>
                <w:sz w:val="20"/>
                <w:szCs w:val="20"/>
              </w:rPr>
              <w:t>9300</w:t>
            </w:r>
          </w:p>
        </w:tc>
        <w:tc>
          <w:tcPr>
            <w:tcW w:w="532" w:type="pct"/>
            <w:vAlign w:val="center"/>
          </w:tcPr>
          <w:p w:rsidR="003605DF" w:rsidRPr="003605DF" w:rsidRDefault="003605DF" w:rsidP="003605DF">
            <w:pPr>
              <w:spacing w:before="60"/>
              <w:jc w:val="center"/>
              <w:rPr>
                <w:rFonts w:cs="Arial"/>
                <w:sz w:val="20"/>
                <w:szCs w:val="20"/>
              </w:rPr>
            </w:pPr>
            <w:r w:rsidRPr="003605DF">
              <w:rPr>
                <w:rFonts w:cs="Arial"/>
                <w:sz w:val="20"/>
                <w:szCs w:val="20"/>
              </w:rPr>
              <w:t>10 575</w:t>
            </w:r>
          </w:p>
        </w:tc>
        <w:tc>
          <w:tcPr>
            <w:tcW w:w="457" w:type="pct"/>
            <w:vAlign w:val="center"/>
          </w:tcPr>
          <w:p w:rsidR="003605DF" w:rsidRPr="003605DF" w:rsidRDefault="003605DF" w:rsidP="003605DF">
            <w:pPr>
              <w:spacing w:before="60"/>
              <w:jc w:val="center"/>
              <w:rPr>
                <w:rFonts w:cs="Arial"/>
                <w:sz w:val="20"/>
                <w:szCs w:val="20"/>
              </w:rPr>
            </w:pPr>
            <w:r w:rsidRPr="003605DF">
              <w:rPr>
                <w:rFonts w:cs="Arial"/>
                <w:sz w:val="20"/>
                <w:szCs w:val="20"/>
              </w:rPr>
              <w:t>11 071</w:t>
            </w:r>
          </w:p>
        </w:tc>
        <w:tc>
          <w:tcPr>
            <w:tcW w:w="453" w:type="pct"/>
            <w:vAlign w:val="center"/>
          </w:tcPr>
          <w:p w:rsidR="003605DF" w:rsidRPr="003605DF" w:rsidRDefault="003605DF" w:rsidP="003605DF">
            <w:pPr>
              <w:spacing w:before="60"/>
              <w:jc w:val="center"/>
              <w:rPr>
                <w:rFonts w:cs="Arial"/>
                <w:sz w:val="20"/>
                <w:szCs w:val="20"/>
              </w:rPr>
            </w:pPr>
            <w:r w:rsidRPr="003605DF">
              <w:rPr>
                <w:rFonts w:cs="Arial"/>
                <w:sz w:val="20"/>
                <w:szCs w:val="20"/>
              </w:rPr>
              <w:t>11 018</w:t>
            </w:r>
          </w:p>
        </w:tc>
      </w:tr>
    </w:tbl>
    <w:bookmarkEnd w:id="0"/>
    <w:bookmarkEnd w:id="1"/>
    <w:bookmarkEnd w:id="2"/>
    <w:bookmarkEnd w:id="3"/>
    <w:bookmarkEnd w:id="4"/>
    <w:bookmarkEnd w:id="5"/>
    <w:p w:rsidR="008B48EB" w:rsidRPr="00B33ECC" w:rsidRDefault="000A6A3E" w:rsidP="00F43F6A">
      <w:pPr>
        <w:pStyle w:val="NormalWeb"/>
        <w:spacing w:line="288" w:lineRule="auto"/>
        <w:jc w:val="both"/>
        <w:rPr>
          <w:rFonts w:cs="Arial"/>
          <w:b/>
          <w:sz w:val="22"/>
          <w:szCs w:val="22"/>
        </w:rPr>
      </w:pPr>
      <w:r w:rsidRPr="00B33ECC">
        <w:rPr>
          <w:rFonts w:ascii="Arial" w:hAnsi="Arial" w:cs="Arial"/>
          <w:bCs/>
          <w:sz w:val="22"/>
          <w:szCs w:val="22"/>
        </w:rPr>
        <w:t>This event coincided with the high price event in Queensland</w:t>
      </w:r>
      <w:r w:rsidR="00255862">
        <w:rPr>
          <w:rFonts w:ascii="Arial" w:hAnsi="Arial" w:cs="Arial"/>
          <w:bCs/>
          <w:sz w:val="22"/>
          <w:szCs w:val="22"/>
        </w:rPr>
        <w:t xml:space="preserve"> and</w:t>
      </w:r>
      <w:r w:rsidRPr="00B33ECC">
        <w:rPr>
          <w:rFonts w:ascii="Arial" w:hAnsi="Arial" w:cs="Arial"/>
          <w:bCs/>
          <w:sz w:val="22"/>
          <w:szCs w:val="22"/>
        </w:rPr>
        <w:t xml:space="preserve"> is explained in the Queensland section. </w:t>
      </w:r>
    </w:p>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8C15C9">
        <w:t>Figure 9</w:t>
      </w:r>
      <w:r>
        <w:fldChar w:fldCharType="end"/>
      </w:r>
      <w:r>
        <w:t xml:space="preserve"> </w:t>
      </w:r>
      <w:r w:rsidRPr="0031019A">
        <w:t>shows for all mainland regions the prices for base contracts (and total traded quantities for the week) for each quarter for the next four financial years.</w:t>
      </w:r>
      <w:r w:rsidR="00E176EC">
        <w:t xml:space="preserve"> </w:t>
      </w:r>
    </w:p>
    <w:p w:rsidR="00D73D17" w:rsidRDefault="00275002" w:rsidP="00783D4E">
      <w:pPr>
        <w:pStyle w:val="Caption"/>
        <w:spacing w:before="0" w:line="240" w:lineRule="auto"/>
      </w:pPr>
      <w:bookmarkStart w:id="21" w:name="_Ref410386540"/>
      <w:r>
        <w:t xml:space="preserve">Figure </w:t>
      </w:r>
      <w:r w:rsidR="008C15C9">
        <w:fldChar w:fldCharType="begin"/>
      </w:r>
      <w:r w:rsidR="008C15C9">
        <w:instrText xml:space="preserve"> SEQ Figure \* ARABIC </w:instrText>
      </w:r>
      <w:r w:rsidR="008C15C9">
        <w:fldChar w:fldCharType="separate"/>
      </w:r>
      <w:r w:rsidR="008C15C9">
        <w:rPr>
          <w:noProof/>
        </w:rPr>
        <w:t>9</w:t>
      </w:r>
      <w:r w:rsidR="008C15C9">
        <w:rPr>
          <w:noProof/>
        </w:rPr>
        <w:fldChar w:fldCharType="end"/>
      </w:r>
      <w:bookmarkEnd w:id="21"/>
      <w:r w:rsidR="002515C3">
        <w:t>:</w:t>
      </w:r>
      <w:r>
        <w:t xml:space="preserve"> </w:t>
      </w:r>
      <w:r w:rsidRPr="007A6ACB">
        <w:t>Quarterly base future prices Q</w:t>
      </w:r>
      <w:r w:rsidR="001955D5">
        <w:t>4</w:t>
      </w:r>
      <w:r w:rsidR="00C4712A">
        <w:t xml:space="preserve"> 2016</w:t>
      </w:r>
      <w:r w:rsidRPr="007A6ACB">
        <w:t xml:space="preserve"> – Q</w:t>
      </w:r>
      <w:r w:rsidR="001955D5">
        <w:t>3</w:t>
      </w:r>
      <w:r w:rsidR="0069547C">
        <w:t xml:space="preserve"> 2020</w:t>
      </w:r>
      <w:r w:rsidR="003A585C" w:rsidRPr="003A585C">
        <w:rPr>
          <w:b w:val="0"/>
          <w:bCs w:val="0"/>
        </w:rPr>
        <w:t xml:space="preserve"> </w:t>
      </w:r>
      <w:r w:rsidR="00C102E6" w:rsidRPr="00C102E6">
        <w:rPr>
          <w:noProof/>
          <w:lang w:eastAsia="en-AU"/>
        </w:rPr>
        <w:drawing>
          <wp:inline distT="0" distB="0" distL="0" distR="0" wp14:anchorId="70CA3AA6" wp14:editId="1938F7AE">
            <wp:extent cx="5731510" cy="2883920"/>
            <wp:effectExtent l="0" t="0" r="2540" b="0"/>
            <wp:docPr id="26" name="Picture 26"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920"/>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8C15C9" w:rsidRPr="00491631">
        <w:t xml:space="preserve">Figure </w:t>
      </w:r>
      <w:r w:rsidR="008C15C9">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w:t>
      </w:r>
      <w:r w:rsidRPr="00124D47">
        <w:t xml:space="preserve">The AER notes that data for </w:t>
      </w:r>
      <w:r w:rsidR="005A5657" w:rsidRPr="00124D47">
        <w:t>South </w:t>
      </w:r>
      <w:r w:rsidRPr="00124D47">
        <w:t>Australia is less reliable due to very low numbers of trades.</w:t>
      </w:r>
      <w:r w:rsidR="00E56597" w:rsidRPr="00E56597">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8C15C9">
        <w:fldChar w:fldCharType="begin"/>
      </w:r>
      <w:r w:rsidR="008C15C9">
        <w:instrText xml:space="preserve"> SEQ Figure \* ARABIC </w:instrText>
      </w:r>
      <w:r w:rsidR="008C15C9">
        <w:fldChar w:fldCharType="separate"/>
      </w:r>
      <w:r w:rsidR="008C15C9">
        <w:rPr>
          <w:noProof/>
        </w:rPr>
        <w:t>10</w:t>
      </w:r>
      <w:r w:rsidR="008C15C9">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C102E6" w:rsidP="00C466B4">
      <w:pPr>
        <w:pStyle w:val="Source"/>
        <w:spacing w:before="0" w:after="120" w:line="240" w:lineRule="auto"/>
        <w:jc w:val="both"/>
      </w:pPr>
      <w:r w:rsidRPr="00C102E6">
        <w:rPr>
          <w:noProof/>
          <w:lang w:eastAsia="en-AU"/>
        </w:rPr>
        <w:drawing>
          <wp:inline distT="0" distB="0" distL="0" distR="0" wp14:anchorId="62BED0E5" wp14:editId="4D60C0E0">
            <wp:extent cx="5731510" cy="2899274"/>
            <wp:effectExtent l="0" t="0" r="2540" b="0"/>
            <wp:docPr id="31" name="Picture 31"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9274"/>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8C15C9">
        <w:t xml:space="preserve">Figure </w:t>
      </w:r>
      <w:r w:rsidR="008C15C9">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8C15C9">
        <w:fldChar w:fldCharType="begin"/>
      </w:r>
      <w:r w:rsidR="008C15C9">
        <w:instrText xml:space="preserve"> SEQ Figure \* ARABIC </w:instrText>
      </w:r>
      <w:r w:rsidR="008C15C9">
        <w:fldChar w:fldCharType="separate"/>
      </w:r>
      <w:r w:rsidR="008C15C9">
        <w:rPr>
          <w:noProof/>
        </w:rPr>
        <w:t>11</w:t>
      </w:r>
      <w:r w:rsidR="008C15C9">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8E0420" w:rsidRPr="008E0420" w:rsidRDefault="00C102E6" w:rsidP="008E0420">
      <w:r w:rsidRPr="00C102E6">
        <w:rPr>
          <w:noProof/>
          <w:lang w:eastAsia="en-AU"/>
        </w:rPr>
        <w:drawing>
          <wp:inline distT="0" distB="0" distL="0" distR="0" wp14:anchorId="41168540" wp14:editId="1802CEAE">
            <wp:extent cx="5731510" cy="2871938"/>
            <wp:effectExtent l="0" t="0" r="2540" b="5080"/>
            <wp:docPr id="30" name="Picture 30"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1938"/>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0C6144">
        <w:t xml:space="preserve">November </w:t>
      </w:r>
      <w:r w:rsidR="00C4712A" w:rsidRPr="00D92E07">
        <w:t>2016</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C" w:rsidRDefault="00C24CDC" w:rsidP="004B4412">
      <w:pPr>
        <w:spacing w:before="0"/>
      </w:pPr>
      <w:r>
        <w:separator/>
      </w:r>
    </w:p>
  </w:endnote>
  <w:endnote w:type="continuationSeparator" w:id="0">
    <w:p w:rsidR="00C24CDC" w:rsidRDefault="00C24C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1A9E" w:rsidRDefault="00C24CD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24CDC" w:rsidRDefault="00C24CDC"/>
  <w:p w:rsidR="00C24CDC" w:rsidRDefault="00C24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4D89" w:rsidRDefault="00C24CD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C15C9">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83" w:rsidRPr="00A94D89" w:rsidRDefault="00C24CD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C15C9">
      <w:rPr>
        <w:rFonts w:cs="Arial"/>
        <w:i/>
        <w:noProof/>
      </w:rPr>
      <w:t>1</w:t>
    </w:r>
    <w:r w:rsidRPr="001F1B78">
      <w:rPr>
        <w:rFonts w:cs="Arial"/>
        <w:i/>
        <w:noProof/>
      </w:rPr>
      <w:fldChar w:fldCharType="end"/>
    </w:r>
    <w:r w:rsidRPr="00F52F00">
      <w:rPr>
        <w:rFonts w:cs="Arial"/>
        <w:i/>
      </w:rPr>
      <w:tab/>
      <w:t xml:space="preserve">AER reference: 39220 – </w:t>
    </w:r>
    <w:r w:rsidR="007F45D2">
      <w:rPr>
        <w:rFonts w:cs="Arial"/>
        <w:i/>
      </w:rPr>
      <w:t>D16/</w:t>
    </w:r>
    <w:r w:rsidR="00B67E25">
      <w:rPr>
        <w:rFonts w:cs="Arial"/>
        <w:i/>
      </w:rPr>
      <w:t>153051</w:t>
    </w:r>
  </w:p>
  <w:p w:rsidR="00C24CDC" w:rsidRDefault="00C2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C" w:rsidRDefault="00C24CDC" w:rsidP="004B4412">
      <w:pPr>
        <w:spacing w:before="0"/>
      </w:pPr>
      <w:r>
        <w:separator/>
      </w:r>
    </w:p>
  </w:footnote>
  <w:footnote w:type="continuationSeparator" w:id="0">
    <w:p w:rsidR="00C24CDC" w:rsidRDefault="00C24CDC"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53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duon\Desktop\20161106 - 20161112 Electricity Report.DOCX"/>
  </w:docVars>
  <w:rsids>
    <w:rsidRoot w:val="00275002"/>
    <w:rsid w:val="00000198"/>
    <w:rsid w:val="00000817"/>
    <w:rsid w:val="00000BFE"/>
    <w:rsid w:val="00000CC3"/>
    <w:rsid w:val="00001D6D"/>
    <w:rsid w:val="00003169"/>
    <w:rsid w:val="00003C92"/>
    <w:rsid w:val="00005D12"/>
    <w:rsid w:val="0000728F"/>
    <w:rsid w:val="00007624"/>
    <w:rsid w:val="000128E1"/>
    <w:rsid w:val="0001415C"/>
    <w:rsid w:val="000147C1"/>
    <w:rsid w:val="00014D5F"/>
    <w:rsid w:val="00017DD0"/>
    <w:rsid w:val="00020D21"/>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1ED"/>
    <w:rsid w:val="00032CF4"/>
    <w:rsid w:val="00033902"/>
    <w:rsid w:val="00033BE8"/>
    <w:rsid w:val="0003564D"/>
    <w:rsid w:val="0003578C"/>
    <w:rsid w:val="00035A9A"/>
    <w:rsid w:val="00036FDF"/>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22B6"/>
    <w:rsid w:val="00085663"/>
    <w:rsid w:val="00085EBF"/>
    <w:rsid w:val="00086B36"/>
    <w:rsid w:val="00086CF3"/>
    <w:rsid w:val="00087C4A"/>
    <w:rsid w:val="00087CDC"/>
    <w:rsid w:val="00091FB4"/>
    <w:rsid w:val="00092DE3"/>
    <w:rsid w:val="000938D7"/>
    <w:rsid w:val="0009511C"/>
    <w:rsid w:val="0009584C"/>
    <w:rsid w:val="000961FA"/>
    <w:rsid w:val="00096387"/>
    <w:rsid w:val="0009653D"/>
    <w:rsid w:val="00097A25"/>
    <w:rsid w:val="000A1A74"/>
    <w:rsid w:val="000A241B"/>
    <w:rsid w:val="000A29ED"/>
    <w:rsid w:val="000A4529"/>
    <w:rsid w:val="000A62D6"/>
    <w:rsid w:val="000A6A3E"/>
    <w:rsid w:val="000A6F14"/>
    <w:rsid w:val="000B0311"/>
    <w:rsid w:val="000B1726"/>
    <w:rsid w:val="000B3004"/>
    <w:rsid w:val="000B34F5"/>
    <w:rsid w:val="000B364C"/>
    <w:rsid w:val="000B3C8A"/>
    <w:rsid w:val="000B589F"/>
    <w:rsid w:val="000B7257"/>
    <w:rsid w:val="000C0472"/>
    <w:rsid w:val="000C1B93"/>
    <w:rsid w:val="000C1FA4"/>
    <w:rsid w:val="000C2A63"/>
    <w:rsid w:val="000C4EEA"/>
    <w:rsid w:val="000C6144"/>
    <w:rsid w:val="000D05BD"/>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3D55"/>
    <w:rsid w:val="000E4537"/>
    <w:rsid w:val="000E4F81"/>
    <w:rsid w:val="000E54D6"/>
    <w:rsid w:val="000E55C7"/>
    <w:rsid w:val="000E5B55"/>
    <w:rsid w:val="000E6C72"/>
    <w:rsid w:val="000E7180"/>
    <w:rsid w:val="000E726E"/>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5D4E"/>
    <w:rsid w:val="0010740E"/>
    <w:rsid w:val="00107F6C"/>
    <w:rsid w:val="0011019A"/>
    <w:rsid w:val="001107FF"/>
    <w:rsid w:val="00111B5D"/>
    <w:rsid w:val="00112136"/>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756"/>
    <w:rsid w:val="00162584"/>
    <w:rsid w:val="001629C6"/>
    <w:rsid w:val="00162C9F"/>
    <w:rsid w:val="00164658"/>
    <w:rsid w:val="00164FB1"/>
    <w:rsid w:val="00165247"/>
    <w:rsid w:val="001653F3"/>
    <w:rsid w:val="00165C87"/>
    <w:rsid w:val="001666AA"/>
    <w:rsid w:val="001669B4"/>
    <w:rsid w:val="00166BD2"/>
    <w:rsid w:val="0016738F"/>
    <w:rsid w:val="00167D2E"/>
    <w:rsid w:val="0017054C"/>
    <w:rsid w:val="001711CC"/>
    <w:rsid w:val="0017232E"/>
    <w:rsid w:val="00173AE6"/>
    <w:rsid w:val="00173DC1"/>
    <w:rsid w:val="00174102"/>
    <w:rsid w:val="001744F4"/>
    <w:rsid w:val="001756AF"/>
    <w:rsid w:val="001761FF"/>
    <w:rsid w:val="00176AEF"/>
    <w:rsid w:val="001778E3"/>
    <w:rsid w:val="00180157"/>
    <w:rsid w:val="00180E51"/>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1597"/>
    <w:rsid w:val="001D3A5B"/>
    <w:rsid w:val="001D5BEB"/>
    <w:rsid w:val="001D5EE6"/>
    <w:rsid w:val="001D60FF"/>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2D73"/>
    <w:rsid w:val="001F3530"/>
    <w:rsid w:val="001F3B40"/>
    <w:rsid w:val="001F4726"/>
    <w:rsid w:val="001F492E"/>
    <w:rsid w:val="001F6DA3"/>
    <w:rsid w:val="001F7575"/>
    <w:rsid w:val="002003AE"/>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0C0F"/>
    <w:rsid w:val="002214D9"/>
    <w:rsid w:val="002216F5"/>
    <w:rsid w:val="00222F04"/>
    <w:rsid w:val="00223FEA"/>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7473"/>
    <w:rsid w:val="00247E84"/>
    <w:rsid w:val="00250142"/>
    <w:rsid w:val="00250859"/>
    <w:rsid w:val="002515C3"/>
    <w:rsid w:val="002516A1"/>
    <w:rsid w:val="00251745"/>
    <w:rsid w:val="00251C37"/>
    <w:rsid w:val="00251D74"/>
    <w:rsid w:val="00253004"/>
    <w:rsid w:val="00253160"/>
    <w:rsid w:val="00253F55"/>
    <w:rsid w:val="00255862"/>
    <w:rsid w:val="00262F65"/>
    <w:rsid w:val="00263AC0"/>
    <w:rsid w:val="002649D2"/>
    <w:rsid w:val="002649D8"/>
    <w:rsid w:val="00265486"/>
    <w:rsid w:val="0026772D"/>
    <w:rsid w:val="00270A51"/>
    <w:rsid w:val="00270AF4"/>
    <w:rsid w:val="002714A4"/>
    <w:rsid w:val="00272178"/>
    <w:rsid w:val="0027318A"/>
    <w:rsid w:val="00275002"/>
    <w:rsid w:val="00275121"/>
    <w:rsid w:val="002752FC"/>
    <w:rsid w:val="00275927"/>
    <w:rsid w:val="002762EA"/>
    <w:rsid w:val="00276A9F"/>
    <w:rsid w:val="002817AB"/>
    <w:rsid w:val="002828A0"/>
    <w:rsid w:val="00283BF8"/>
    <w:rsid w:val="0028440E"/>
    <w:rsid w:val="0028521F"/>
    <w:rsid w:val="00285B8A"/>
    <w:rsid w:val="00286874"/>
    <w:rsid w:val="00286D68"/>
    <w:rsid w:val="00290C73"/>
    <w:rsid w:val="00291658"/>
    <w:rsid w:val="0029246F"/>
    <w:rsid w:val="002941C1"/>
    <w:rsid w:val="00294653"/>
    <w:rsid w:val="00294D01"/>
    <w:rsid w:val="00296B65"/>
    <w:rsid w:val="00296D07"/>
    <w:rsid w:val="002A0450"/>
    <w:rsid w:val="002A0AF0"/>
    <w:rsid w:val="002A1B5C"/>
    <w:rsid w:val="002A2900"/>
    <w:rsid w:val="002A32DF"/>
    <w:rsid w:val="002A3CF2"/>
    <w:rsid w:val="002A4EF8"/>
    <w:rsid w:val="002A72AE"/>
    <w:rsid w:val="002A7439"/>
    <w:rsid w:val="002A7729"/>
    <w:rsid w:val="002A7C78"/>
    <w:rsid w:val="002A7DEF"/>
    <w:rsid w:val="002B0749"/>
    <w:rsid w:val="002B0DAE"/>
    <w:rsid w:val="002B1949"/>
    <w:rsid w:val="002B1B50"/>
    <w:rsid w:val="002B1CD0"/>
    <w:rsid w:val="002B3B2D"/>
    <w:rsid w:val="002B4AB0"/>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1ADD"/>
    <w:rsid w:val="00302D83"/>
    <w:rsid w:val="00303F1A"/>
    <w:rsid w:val="0030495F"/>
    <w:rsid w:val="0030576E"/>
    <w:rsid w:val="003061FA"/>
    <w:rsid w:val="003062C2"/>
    <w:rsid w:val="00306DD8"/>
    <w:rsid w:val="003072FB"/>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024"/>
    <w:rsid w:val="003535FF"/>
    <w:rsid w:val="00354887"/>
    <w:rsid w:val="00354A9E"/>
    <w:rsid w:val="00354B6E"/>
    <w:rsid w:val="0035522A"/>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78A"/>
    <w:rsid w:val="00375E24"/>
    <w:rsid w:val="00376373"/>
    <w:rsid w:val="003769E2"/>
    <w:rsid w:val="00377133"/>
    <w:rsid w:val="00380696"/>
    <w:rsid w:val="003816D4"/>
    <w:rsid w:val="00383C6B"/>
    <w:rsid w:val="003846F1"/>
    <w:rsid w:val="00384A55"/>
    <w:rsid w:val="00384B54"/>
    <w:rsid w:val="00386C86"/>
    <w:rsid w:val="003874F8"/>
    <w:rsid w:val="00387CDE"/>
    <w:rsid w:val="003904D2"/>
    <w:rsid w:val="003934F0"/>
    <w:rsid w:val="00394B85"/>
    <w:rsid w:val="003953A0"/>
    <w:rsid w:val="00395B4C"/>
    <w:rsid w:val="00397EB2"/>
    <w:rsid w:val="00397FF5"/>
    <w:rsid w:val="003A0095"/>
    <w:rsid w:val="003A0810"/>
    <w:rsid w:val="003A0CB8"/>
    <w:rsid w:val="003A1E66"/>
    <w:rsid w:val="003A1F17"/>
    <w:rsid w:val="003A39D5"/>
    <w:rsid w:val="003A3E2D"/>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6BA6"/>
    <w:rsid w:val="003C7164"/>
    <w:rsid w:val="003C7EFA"/>
    <w:rsid w:val="003D4F14"/>
    <w:rsid w:val="003D5258"/>
    <w:rsid w:val="003D62D9"/>
    <w:rsid w:val="003D68A9"/>
    <w:rsid w:val="003E1341"/>
    <w:rsid w:val="003E19A2"/>
    <w:rsid w:val="003E309F"/>
    <w:rsid w:val="003E3C33"/>
    <w:rsid w:val="003E4747"/>
    <w:rsid w:val="003E47DC"/>
    <w:rsid w:val="003E521D"/>
    <w:rsid w:val="003E74FF"/>
    <w:rsid w:val="003E78A9"/>
    <w:rsid w:val="003F004E"/>
    <w:rsid w:val="003F0289"/>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1C4"/>
    <w:rsid w:val="00416641"/>
    <w:rsid w:val="004174C4"/>
    <w:rsid w:val="004176E8"/>
    <w:rsid w:val="00420AA9"/>
    <w:rsid w:val="00421154"/>
    <w:rsid w:val="0042429B"/>
    <w:rsid w:val="00424809"/>
    <w:rsid w:val="004253D6"/>
    <w:rsid w:val="00425E38"/>
    <w:rsid w:val="004269FF"/>
    <w:rsid w:val="00426C9A"/>
    <w:rsid w:val="004303EE"/>
    <w:rsid w:val="004313E5"/>
    <w:rsid w:val="00432B5B"/>
    <w:rsid w:val="00433242"/>
    <w:rsid w:val="00436B54"/>
    <w:rsid w:val="00436F28"/>
    <w:rsid w:val="00436F76"/>
    <w:rsid w:val="00440D85"/>
    <w:rsid w:val="0044110C"/>
    <w:rsid w:val="00441A99"/>
    <w:rsid w:val="00442767"/>
    <w:rsid w:val="00444A48"/>
    <w:rsid w:val="00445806"/>
    <w:rsid w:val="0044748A"/>
    <w:rsid w:val="00450611"/>
    <w:rsid w:val="004507A1"/>
    <w:rsid w:val="0045129B"/>
    <w:rsid w:val="004518EA"/>
    <w:rsid w:val="00451DFF"/>
    <w:rsid w:val="00453327"/>
    <w:rsid w:val="00453A41"/>
    <w:rsid w:val="00456C20"/>
    <w:rsid w:val="00462718"/>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4142"/>
    <w:rsid w:val="004E567F"/>
    <w:rsid w:val="004E6AFC"/>
    <w:rsid w:val="004E70CA"/>
    <w:rsid w:val="004E755C"/>
    <w:rsid w:val="004E7D10"/>
    <w:rsid w:val="004F171D"/>
    <w:rsid w:val="004F18F3"/>
    <w:rsid w:val="004F1A96"/>
    <w:rsid w:val="004F1F01"/>
    <w:rsid w:val="004F5381"/>
    <w:rsid w:val="004F6D0A"/>
    <w:rsid w:val="004F6ED0"/>
    <w:rsid w:val="00501B85"/>
    <w:rsid w:val="0050244E"/>
    <w:rsid w:val="00502843"/>
    <w:rsid w:val="00502D42"/>
    <w:rsid w:val="00502F3B"/>
    <w:rsid w:val="005033F6"/>
    <w:rsid w:val="005047F1"/>
    <w:rsid w:val="00505B5E"/>
    <w:rsid w:val="00510A43"/>
    <w:rsid w:val="0051195C"/>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9BB"/>
    <w:rsid w:val="00547DC4"/>
    <w:rsid w:val="005502E7"/>
    <w:rsid w:val="00551739"/>
    <w:rsid w:val="00552108"/>
    <w:rsid w:val="0055298D"/>
    <w:rsid w:val="00552DA2"/>
    <w:rsid w:val="00554D95"/>
    <w:rsid w:val="00555667"/>
    <w:rsid w:val="005556B9"/>
    <w:rsid w:val="00556553"/>
    <w:rsid w:val="00556B64"/>
    <w:rsid w:val="005575B9"/>
    <w:rsid w:val="00560CE5"/>
    <w:rsid w:val="00561A9D"/>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45E"/>
    <w:rsid w:val="0059050D"/>
    <w:rsid w:val="00593DCD"/>
    <w:rsid w:val="005943E8"/>
    <w:rsid w:val="005950AB"/>
    <w:rsid w:val="0059539A"/>
    <w:rsid w:val="00595613"/>
    <w:rsid w:val="00595ED0"/>
    <w:rsid w:val="00596275"/>
    <w:rsid w:val="005977EA"/>
    <w:rsid w:val="005A1287"/>
    <w:rsid w:val="005A1339"/>
    <w:rsid w:val="005A3B2C"/>
    <w:rsid w:val="005A3F7E"/>
    <w:rsid w:val="005A404D"/>
    <w:rsid w:val="005A42D5"/>
    <w:rsid w:val="005A5657"/>
    <w:rsid w:val="005A56D0"/>
    <w:rsid w:val="005A6CB0"/>
    <w:rsid w:val="005A6F22"/>
    <w:rsid w:val="005A731B"/>
    <w:rsid w:val="005B0461"/>
    <w:rsid w:val="005B0838"/>
    <w:rsid w:val="005B0EF5"/>
    <w:rsid w:val="005B1402"/>
    <w:rsid w:val="005B1E3C"/>
    <w:rsid w:val="005B4063"/>
    <w:rsid w:val="005B4810"/>
    <w:rsid w:val="005B4C44"/>
    <w:rsid w:val="005B62AF"/>
    <w:rsid w:val="005B6FC9"/>
    <w:rsid w:val="005B7F8F"/>
    <w:rsid w:val="005C08DE"/>
    <w:rsid w:val="005C0D2F"/>
    <w:rsid w:val="005C26CC"/>
    <w:rsid w:val="005C3411"/>
    <w:rsid w:val="005C3D54"/>
    <w:rsid w:val="005C3DEC"/>
    <w:rsid w:val="005C4E3D"/>
    <w:rsid w:val="005C4F80"/>
    <w:rsid w:val="005C53C0"/>
    <w:rsid w:val="005C546A"/>
    <w:rsid w:val="005C553B"/>
    <w:rsid w:val="005C592F"/>
    <w:rsid w:val="005C5D2E"/>
    <w:rsid w:val="005C5E72"/>
    <w:rsid w:val="005C6C60"/>
    <w:rsid w:val="005D0D61"/>
    <w:rsid w:val="005D0F07"/>
    <w:rsid w:val="005D24A9"/>
    <w:rsid w:val="005D2FBD"/>
    <w:rsid w:val="005D5ECD"/>
    <w:rsid w:val="005D69AF"/>
    <w:rsid w:val="005E0B7E"/>
    <w:rsid w:val="005E2086"/>
    <w:rsid w:val="005E343A"/>
    <w:rsid w:val="005E4EB1"/>
    <w:rsid w:val="005E6DAF"/>
    <w:rsid w:val="005E6FFA"/>
    <w:rsid w:val="005E7718"/>
    <w:rsid w:val="005F0661"/>
    <w:rsid w:val="005F0CD5"/>
    <w:rsid w:val="005F37A9"/>
    <w:rsid w:val="005F59D5"/>
    <w:rsid w:val="005F69C4"/>
    <w:rsid w:val="005F6ADE"/>
    <w:rsid w:val="005F702C"/>
    <w:rsid w:val="005F7247"/>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702"/>
    <w:rsid w:val="00612FE8"/>
    <w:rsid w:val="00613324"/>
    <w:rsid w:val="00613DEC"/>
    <w:rsid w:val="00615619"/>
    <w:rsid w:val="00615C6B"/>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580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6226"/>
    <w:rsid w:val="0067092D"/>
    <w:rsid w:val="0067180B"/>
    <w:rsid w:val="00673D15"/>
    <w:rsid w:val="006741D4"/>
    <w:rsid w:val="00675C7F"/>
    <w:rsid w:val="00675E21"/>
    <w:rsid w:val="00676392"/>
    <w:rsid w:val="00676679"/>
    <w:rsid w:val="00677233"/>
    <w:rsid w:val="006777D7"/>
    <w:rsid w:val="00681479"/>
    <w:rsid w:val="0068251F"/>
    <w:rsid w:val="00682A0D"/>
    <w:rsid w:val="006836D7"/>
    <w:rsid w:val="00684647"/>
    <w:rsid w:val="00684E01"/>
    <w:rsid w:val="006861F0"/>
    <w:rsid w:val="00686411"/>
    <w:rsid w:val="00687AA8"/>
    <w:rsid w:val="00690F0B"/>
    <w:rsid w:val="00694CCE"/>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34"/>
    <w:rsid w:val="006C5B09"/>
    <w:rsid w:val="006C62B7"/>
    <w:rsid w:val="006D0C1E"/>
    <w:rsid w:val="006D1A40"/>
    <w:rsid w:val="006D1D94"/>
    <w:rsid w:val="006D3561"/>
    <w:rsid w:val="006D38CE"/>
    <w:rsid w:val="006D44B4"/>
    <w:rsid w:val="006D550F"/>
    <w:rsid w:val="006D5B9F"/>
    <w:rsid w:val="006D6001"/>
    <w:rsid w:val="006D6AE2"/>
    <w:rsid w:val="006D6B47"/>
    <w:rsid w:val="006D6F7E"/>
    <w:rsid w:val="006D7923"/>
    <w:rsid w:val="006E1E7D"/>
    <w:rsid w:val="006E218F"/>
    <w:rsid w:val="006E244A"/>
    <w:rsid w:val="006E5F3E"/>
    <w:rsid w:val="006E78CF"/>
    <w:rsid w:val="006F0601"/>
    <w:rsid w:val="006F0B74"/>
    <w:rsid w:val="006F0D76"/>
    <w:rsid w:val="006F1044"/>
    <w:rsid w:val="006F3750"/>
    <w:rsid w:val="006F393C"/>
    <w:rsid w:val="006F3C98"/>
    <w:rsid w:val="006F3FCB"/>
    <w:rsid w:val="006F48AA"/>
    <w:rsid w:val="006F4C38"/>
    <w:rsid w:val="006F4D5B"/>
    <w:rsid w:val="006F66A3"/>
    <w:rsid w:val="006F6C2D"/>
    <w:rsid w:val="00700DAB"/>
    <w:rsid w:val="00701CAB"/>
    <w:rsid w:val="00701DAA"/>
    <w:rsid w:val="007037F6"/>
    <w:rsid w:val="00704518"/>
    <w:rsid w:val="00704CA4"/>
    <w:rsid w:val="00707011"/>
    <w:rsid w:val="00707242"/>
    <w:rsid w:val="00707563"/>
    <w:rsid w:val="0071151C"/>
    <w:rsid w:val="00711BF6"/>
    <w:rsid w:val="00712D03"/>
    <w:rsid w:val="007152FC"/>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56A"/>
    <w:rsid w:val="007426D5"/>
    <w:rsid w:val="00743223"/>
    <w:rsid w:val="00746063"/>
    <w:rsid w:val="00746E01"/>
    <w:rsid w:val="007478A2"/>
    <w:rsid w:val="00747D2F"/>
    <w:rsid w:val="0075017A"/>
    <w:rsid w:val="00751821"/>
    <w:rsid w:val="007532DD"/>
    <w:rsid w:val="00753ADA"/>
    <w:rsid w:val="00755B85"/>
    <w:rsid w:val="007600A5"/>
    <w:rsid w:val="00760FD8"/>
    <w:rsid w:val="00761409"/>
    <w:rsid w:val="007618A3"/>
    <w:rsid w:val="00762D41"/>
    <w:rsid w:val="00763E5D"/>
    <w:rsid w:val="00764468"/>
    <w:rsid w:val="00764C7F"/>
    <w:rsid w:val="007666AC"/>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786"/>
    <w:rsid w:val="007959E7"/>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3F68"/>
    <w:rsid w:val="007B497F"/>
    <w:rsid w:val="007B57F8"/>
    <w:rsid w:val="007B5B65"/>
    <w:rsid w:val="007B742A"/>
    <w:rsid w:val="007B78AB"/>
    <w:rsid w:val="007C0679"/>
    <w:rsid w:val="007C09C7"/>
    <w:rsid w:val="007C1C53"/>
    <w:rsid w:val="007C26D6"/>
    <w:rsid w:val="007C2CC0"/>
    <w:rsid w:val="007C2EE8"/>
    <w:rsid w:val="007C62FE"/>
    <w:rsid w:val="007C6FE2"/>
    <w:rsid w:val="007C7930"/>
    <w:rsid w:val="007D00F6"/>
    <w:rsid w:val="007D1133"/>
    <w:rsid w:val="007D2028"/>
    <w:rsid w:val="007D47B2"/>
    <w:rsid w:val="007D53A8"/>
    <w:rsid w:val="007D569E"/>
    <w:rsid w:val="007D6538"/>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4D2B"/>
    <w:rsid w:val="0081592A"/>
    <w:rsid w:val="008238B2"/>
    <w:rsid w:val="008245E2"/>
    <w:rsid w:val="008257CA"/>
    <w:rsid w:val="00827EC2"/>
    <w:rsid w:val="008301E7"/>
    <w:rsid w:val="00831483"/>
    <w:rsid w:val="008344B4"/>
    <w:rsid w:val="008344F6"/>
    <w:rsid w:val="0083510F"/>
    <w:rsid w:val="00836223"/>
    <w:rsid w:val="008366CD"/>
    <w:rsid w:val="00836890"/>
    <w:rsid w:val="00837C0C"/>
    <w:rsid w:val="00840C6C"/>
    <w:rsid w:val="00840D87"/>
    <w:rsid w:val="00840FCC"/>
    <w:rsid w:val="00843C59"/>
    <w:rsid w:val="008445D3"/>
    <w:rsid w:val="00845396"/>
    <w:rsid w:val="00847ED9"/>
    <w:rsid w:val="008506BD"/>
    <w:rsid w:val="00850C5A"/>
    <w:rsid w:val="00851209"/>
    <w:rsid w:val="0085188E"/>
    <w:rsid w:val="00851B46"/>
    <w:rsid w:val="00851FDF"/>
    <w:rsid w:val="00852B3D"/>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308C"/>
    <w:rsid w:val="00873B1F"/>
    <w:rsid w:val="0087479D"/>
    <w:rsid w:val="00882E1D"/>
    <w:rsid w:val="008837AC"/>
    <w:rsid w:val="00883FB8"/>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48EB"/>
    <w:rsid w:val="008B6DA5"/>
    <w:rsid w:val="008B7F4B"/>
    <w:rsid w:val="008C094A"/>
    <w:rsid w:val="008C15C9"/>
    <w:rsid w:val="008C1D7C"/>
    <w:rsid w:val="008C1FE0"/>
    <w:rsid w:val="008C214A"/>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6367"/>
    <w:rsid w:val="008D668B"/>
    <w:rsid w:val="008D6AC3"/>
    <w:rsid w:val="008E0420"/>
    <w:rsid w:val="008E1B1B"/>
    <w:rsid w:val="008E1E8E"/>
    <w:rsid w:val="008E2316"/>
    <w:rsid w:val="008E23D1"/>
    <w:rsid w:val="008E2C54"/>
    <w:rsid w:val="008E3AAC"/>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28D6"/>
    <w:rsid w:val="00913C7D"/>
    <w:rsid w:val="00914975"/>
    <w:rsid w:val="00914A87"/>
    <w:rsid w:val="00915BFF"/>
    <w:rsid w:val="0091710E"/>
    <w:rsid w:val="00921066"/>
    <w:rsid w:val="00921957"/>
    <w:rsid w:val="00922000"/>
    <w:rsid w:val="00922ACF"/>
    <w:rsid w:val="009233EE"/>
    <w:rsid w:val="00924207"/>
    <w:rsid w:val="0092422F"/>
    <w:rsid w:val="00925ADD"/>
    <w:rsid w:val="00927426"/>
    <w:rsid w:val="0092748A"/>
    <w:rsid w:val="00927738"/>
    <w:rsid w:val="0093233D"/>
    <w:rsid w:val="00932606"/>
    <w:rsid w:val="009335AE"/>
    <w:rsid w:val="00933B55"/>
    <w:rsid w:val="00935408"/>
    <w:rsid w:val="00936740"/>
    <w:rsid w:val="009377D8"/>
    <w:rsid w:val="00940393"/>
    <w:rsid w:val="0094150C"/>
    <w:rsid w:val="00941934"/>
    <w:rsid w:val="00941C1B"/>
    <w:rsid w:val="00942863"/>
    <w:rsid w:val="00944863"/>
    <w:rsid w:val="009456B7"/>
    <w:rsid w:val="009456DC"/>
    <w:rsid w:val="0094643C"/>
    <w:rsid w:val="00947919"/>
    <w:rsid w:val="00950B15"/>
    <w:rsid w:val="0095158D"/>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61DE"/>
    <w:rsid w:val="009709BF"/>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2F14"/>
    <w:rsid w:val="009A3D22"/>
    <w:rsid w:val="009A4283"/>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47B4"/>
    <w:rsid w:val="00A14EE1"/>
    <w:rsid w:val="00A159BF"/>
    <w:rsid w:val="00A15E40"/>
    <w:rsid w:val="00A16DAF"/>
    <w:rsid w:val="00A16F26"/>
    <w:rsid w:val="00A20EEB"/>
    <w:rsid w:val="00A21F54"/>
    <w:rsid w:val="00A2302C"/>
    <w:rsid w:val="00A24D45"/>
    <w:rsid w:val="00A25353"/>
    <w:rsid w:val="00A2563F"/>
    <w:rsid w:val="00A26739"/>
    <w:rsid w:val="00A26C2F"/>
    <w:rsid w:val="00A30B76"/>
    <w:rsid w:val="00A31252"/>
    <w:rsid w:val="00A35169"/>
    <w:rsid w:val="00A3632A"/>
    <w:rsid w:val="00A37951"/>
    <w:rsid w:val="00A407AF"/>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3817"/>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334D"/>
    <w:rsid w:val="00A75AAA"/>
    <w:rsid w:val="00A77B76"/>
    <w:rsid w:val="00A80CD4"/>
    <w:rsid w:val="00A81710"/>
    <w:rsid w:val="00A81EF8"/>
    <w:rsid w:val="00A8219E"/>
    <w:rsid w:val="00A84107"/>
    <w:rsid w:val="00A84E2D"/>
    <w:rsid w:val="00A84F46"/>
    <w:rsid w:val="00A85B18"/>
    <w:rsid w:val="00A85C03"/>
    <w:rsid w:val="00A85DE3"/>
    <w:rsid w:val="00A871F4"/>
    <w:rsid w:val="00A87F90"/>
    <w:rsid w:val="00A912B1"/>
    <w:rsid w:val="00A91A4B"/>
    <w:rsid w:val="00A923DD"/>
    <w:rsid w:val="00A93139"/>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73F0"/>
    <w:rsid w:val="00AB0A2E"/>
    <w:rsid w:val="00AB1500"/>
    <w:rsid w:val="00AB1CC2"/>
    <w:rsid w:val="00AB2E4E"/>
    <w:rsid w:val="00AB482F"/>
    <w:rsid w:val="00AB6478"/>
    <w:rsid w:val="00AB6927"/>
    <w:rsid w:val="00AB6AF1"/>
    <w:rsid w:val="00AC02C6"/>
    <w:rsid w:val="00AC0FE9"/>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0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3C3"/>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3ECC"/>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ABB"/>
    <w:rsid w:val="00B65CAC"/>
    <w:rsid w:val="00B66E74"/>
    <w:rsid w:val="00B673A4"/>
    <w:rsid w:val="00B67E25"/>
    <w:rsid w:val="00B70A7F"/>
    <w:rsid w:val="00B70B77"/>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95B0D"/>
    <w:rsid w:val="00BA1F27"/>
    <w:rsid w:val="00BA2E61"/>
    <w:rsid w:val="00BA390A"/>
    <w:rsid w:val="00BA3992"/>
    <w:rsid w:val="00BA4665"/>
    <w:rsid w:val="00BA50DC"/>
    <w:rsid w:val="00BA5D97"/>
    <w:rsid w:val="00BA621C"/>
    <w:rsid w:val="00BB127C"/>
    <w:rsid w:val="00BB20BA"/>
    <w:rsid w:val="00BB20C6"/>
    <w:rsid w:val="00BB2FB2"/>
    <w:rsid w:val="00BB3304"/>
    <w:rsid w:val="00BB4732"/>
    <w:rsid w:val="00BB51C2"/>
    <w:rsid w:val="00BB5E51"/>
    <w:rsid w:val="00BB6815"/>
    <w:rsid w:val="00BB7780"/>
    <w:rsid w:val="00BC03BC"/>
    <w:rsid w:val="00BC1B6B"/>
    <w:rsid w:val="00BC4B2E"/>
    <w:rsid w:val="00BC4CD2"/>
    <w:rsid w:val="00BC51A6"/>
    <w:rsid w:val="00BC5D4F"/>
    <w:rsid w:val="00BC5E1C"/>
    <w:rsid w:val="00BC614B"/>
    <w:rsid w:val="00BC62A5"/>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6004"/>
    <w:rsid w:val="00BF65C1"/>
    <w:rsid w:val="00BF771C"/>
    <w:rsid w:val="00C004FD"/>
    <w:rsid w:val="00C008E0"/>
    <w:rsid w:val="00C008FE"/>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2CEE"/>
    <w:rsid w:val="00C238EB"/>
    <w:rsid w:val="00C24398"/>
    <w:rsid w:val="00C248B1"/>
    <w:rsid w:val="00C24CDC"/>
    <w:rsid w:val="00C25A9A"/>
    <w:rsid w:val="00C273A6"/>
    <w:rsid w:val="00C30BBE"/>
    <w:rsid w:val="00C33370"/>
    <w:rsid w:val="00C3355D"/>
    <w:rsid w:val="00C33EE6"/>
    <w:rsid w:val="00C34065"/>
    <w:rsid w:val="00C345D6"/>
    <w:rsid w:val="00C35876"/>
    <w:rsid w:val="00C35BA6"/>
    <w:rsid w:val="00C361EB"/>
    <w:rsid w:val="00C41237"/>
    <w:rsid w:val="00C420D7"/>
    <w:rsid w:val="00C420EB"/>
    <w:rsid w:val="00C43065"/>
    <w:rsid w:val="00C43C4F"/>
    <w:rsid w:val="00C452B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392"/>
    <w:rsid w:val="00C85FF1"/>
    <w:rsid w:val="00C86679"/>
    <w:rsid w:val="00C86919"/>
    <w:rsid w:val="00C872DB"/>
    <w:rsid w:val="00C87867"/>
    <w:rsid w:val="00C90F56"/>
    <w:rsid w:val="00C91830"/>
    <w:rsid w:val="00C933A4"/>
    <w:rsid w:val="00C9478B"/>
    <w:rsid w:val="00C94A8E"/>
    <w:rsid w:val="00C950AF"/>
    <w:rsid w:val="00C9660A"/>
    <w:rsid w:val="00C96A92"/>
    <w:rsid w:val="00CA04F2"/>
    <w:rsid w:val="00CA0B2E"/>
    <w:rsid w:val="00CA0ECB"/>
    <w:rsid w:val="00CA4EE0"/>
    <w:rsid w:val="00CA51FE"/>
    <w:rsid w:val="00CA6643"/>
    <w:rsid w:val="00CA771A"/>
    <w:rsid w:val="00CA7D3F"/>
    <w:rsid w:val="00CB0FA5"/>
    <w:rsid w:val="00CB34AC"/>
    <w:rsid w:val="00CB35DE"/>
    <w:rsid w:val="00CB45EC"/>
    <w:rsid w:val="00CB666B"/>
    <w:rsid w:val="00CB695E"/>
    <w:rsid w:val="00CC1AC0"/>
    <w:rsid w:val="00CC1D64"/>
    <w:rsid w:val="00CC2C03"/>
    <w:rsid w:val="00CC2CA1"/>
    <w:rsid w:val="00CC3B19"/>
    <w:rsid w:val="00CC4F2E"/>
    <w:rsid w:val="00CC6516"/>
    <w:rsid w:val="00CC656F"/>
    <w:rsid w:val="00CC6738"/>
    <w:rsid w:val="00CD2754"/>
    <w:rsid w:val="00CD331F"/>
    <w:rsid w:val="00CD40AD"/>
    <w:rsid w:val="00CD4E7F"/>
    <w:rsid w:val="00CD5338"/>
    <w:rsid w:val="00CE0074"/>
    <w:rsid w:val="00CE0A5F"/>
    <w:rsid w:val="00CE0D52"/>
    <w:rsid w:val="00CE15A5"/>
    <w:rsid w:val="00CE1831"/>
    <w:rsid w:val="00CE1B68"/>
    <w:rsid w:val="00CE2DD3"/>
    <w:rsid w:val="00CE4A3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0A9A"/>
    <w:rsid w:val="00D22BD4"/>
    <w:rsid w:val="00D22E23"/>
    <w:rsid w:val="00D2306D"/>
    <w:rsid w:val="00D250AC"/>
    <w:rsid w:val="00D270E1"/>
    <w:rsid w:val="00D323D0"/>
    <w:rsid w:val="00D32767"/>
    <w:rsid w:val="00D33489"/>
    <w:rsid w:val="00D33F61"/>
    <w:rsid w:val="00D372FA"/>
    <w:rsid w:val="00D40B44"/>
    <w:rsid w:val="00D41EB0"/>
    <w:rsid w:val="00D42ECE"/>
    <w:rsid w:val="00D43232"/>
    <w:rsid w:val="00D43663"/>
    <w:rsid w:val="00D43C03"/>
    <w:rsid w:val="00D44037"/>
    <w:rsid w:val="00D4594F"/>
    <w:rsid w:val="00D4681D"/>
    <w:rsid w:val="00D46841"/>
    <w:rsid w:val="00D510A2"/>
    <w:rsid w:val="00D5111E"/>
    <w:rsid w:val="00D5124C"/>
    <w:rsid w:val="00D53342"/>
    <w:rsid w:val="00D53F55"/>
    <w:rsid w:val="00D60387"/>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DC7"/>
    <w:rsid w:val="00D77C40"/>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B9"/>
    <w:rsid w:val="00DB7B59"/>
    <w:rsid w:val="00DB7FD1"/>
    <w:rsid w:val="00DC124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389"/>
    <w:rsid w:val="00DF2934"/>
    <w:rsid w:val="00DF2D42"/>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27A4"/>
    <w:rsid w:val="00E2374E"/>
    <w:rsid w:val="00E23993"/>
    <w:rsid w:val="00E247D2"/>
    <w:rsid w:val="00E24D12"/>
    <w:rsid w:val="00E2504E"/>
    <w:rsid w:val="00E25B8C"/>
    <w:rsid w:val="00E25F40"/>
    <w:rsid w:val="00E272C7"/>
    <w:rsid w:val="00E274E8"/>
    <w:rsid w:val="00E275E5"/>
    <w:rsid w:val="00E276DD"/>
    <w:rsid w:val="00E3050B"/>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16C"/>
    <w:rsid w:val="00E8137D"/>
    <w:rsid w:val="00E81703"/>
    <w:rsid w:val="00E823D9"/>
    <w:rsid w:val="00E8569F"/>
    <w:rsid w:val="00E86851"/>
    <w:rsid w:val="00E90A23"/>
    <w:rsid w:val="00E91678"/>
    <w:rsid w:val="00E91BED"/>
    <w:rsid w:val="00E926FC"/>
    <w:rsid w:val="00E936DB"/>
    <w:rsid w:val="00E94F7F"/>
    <w:rsid w:val="00E95CA7"/>
    <w:rsid w:val="00E96EFF"/>
    <w:rsid w:val="00E973CA"/>
    <w:rsid w:val="00EA1DEE"/>
    <w:rsid w:val="00EA28D3"/>
    <w:rsid w:val="00EA3D42"/>
    <w:rsid w:val="00EA4DD9"/>
    <w:rsid w:val="00EA52E7"/>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164B"/>
    <w:rsid w:val="00EE28F3"/>
    <w:rsid w:val="00EE2FDB"/>
    <w:rsid w:val="00EE347F"/>
    <w:rsid w:val="00EE42C2"/>
    <w:rsid w:val="00EE46CE"/>
    <w:rsid w:val="00EE575A"/>
    <w:rsid w:val="00EE6B29"/>
    <w:rsid w:val="00EF013A"/>
    <w:rsid w:val="00EF0E42"/>
    <w:rsid w:val="00EF0FE6"/>
    <w:rsid w:val="00EF1961"/>
    <w:rsid w:val="00EF3FB8"/>
    <w:rsid w:val="00EF48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67CF"/>
    <w:rsid w:val="00F16858"/>
    <w:rsid w:val="00F1785E"/>
    <w:rsid w:val="00F20BD3"/>
    <w:rsid w:val="00F20C14"/>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3F6A"/>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5CE5"/>
    <w:rsid w:val="00F6043C"/>
    <w:rsid w:val="00F60561"/>
    <w:rsid w:val="00F60B34"/>
    <w:rsid w:val="00F61055"/>
    <w:rsid w:val="00F61AA8"/>
    <w:rsid w:val="00F61EEA"/>
    <w:rsid w:val="00F63B85"/>
    <w:rsid w:val="00F64A21"/>
    <w:rsid w:val="00F64A7A"/>
    <w:rsid w:val="00F64C7B"/>
    <w:rsid w:val="00F64F82"/>
    <w:rsid w:val="00F662F1"/>
    <w:rsid w:val="00F66967"/>
    <w:rsid w:val="00F67515"/>
    <w:rsid w:val="00F676DD"/>
    <w:rsid w:val="00F70811"/>
    <w:rsid w:val="00F70B76"/>
    <w:rsid w:val="00F70D8D"/>
    <w:rsid w:val="00F71486"/>
    <w:rsid w:val="00F72F41"/>
    <w:rsid w:val="00F731DB"/>
    <w:rsid w:val="00F74CBC"/>
    <w:rsid w:val="00F75A26"/>
    <w:rsid w:val="00F766B3"/>
    <w:rsid w:val="00F77D49"/>
    <w:rsid w:val="00F8021A"/>
    <w:rsid w:val="00F805F3"/>
    <w:rsid w:val="00F80AA2"/>
    <w:rsid w:val="00F81DFF"/>
    <w:rsid w:val="00F835F8"/>
    <w:rsid w:val="00F83FAD"/>
    <w:rsid w:val="00F87EBA"/>
    <w:rsid w:val="00F90705"/>
    <w:rsid w:val="00F908CD"/>
    <w:rsid w:val="00F90A80"/>
    <w:rsid w:val="00F91F06"/>
    <w:rsid w:val="00F93027"/>
    <w:rsid w:val="00F946BA"/>
    <w:rsid w:val="00F94788"/>
    <w:rsid w:val="00F952A0"/>
    <w:rsid w:val="00F965FC"/>
    <w:rsid w:val="00F9786B"/>
    <w:rsid w:val="00FA25D4"/>
    <w:rsid w:val="00FA279B"/>
    <w:rsid w:val="00FA3830"/>
    <w:rsid w:val="00FA3C7F"/>
    <w:rsid w:val="00FA7736"/>
    <w:rsid w:val="00FA77AD"/>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4BC"/>
    <w:rsid w:val="00FD3CA8"/>
    <w:rsid w:val="00FD43A0"/>
    <w:rsid w:val="00FD5316"/>
    <w:rsid w:val="00FD5614"/>
    <w:rsid w:val="00FD72DC"/>
    <w:rsid w:val="00FE07CB"/>
    <w:rsid w:val="00FE0935"/>
    <w:rsid w:val="00FE0BE1"/>
    <w:rsid w:val="00FE1DE9"/>
    <w:rsid w:val="00FE292D"/>
    <w:rsid w:val="00FE39C2"/>
    <w:rsid w:val="00FE3E67"/>
    <w:rsid w:val="00FE4B6D"/>
    <w:rsid w:val="00FE602C"/>
    <w:rsid w:val="00FE64AE"/>
    <w:rsid w:val="00FE6541"/>
    <w:rsid w:val="00FE6AB8"/>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3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1DC3A6C3</Template>
  <TotalTime>0</TotalTime>
  <Pages>10</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2016-11-13T22:48:00Z</dcterms:created>
  <dcterms:modified xsi:type="dcterms:W3CDTF">2016-11-29T04:34:00Z</dcterms:modified>
</cp:coreProperties>
</file>