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00157C4C" wp14:editId="534E1513">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BA5D97" w:rsidP="002A4EF8">
      <w:pPr>
        <w:rPr>
          <w:b/>
          <w:sz w:val="36"/>
          <w:szCs w:val="36"/>
        </w:rPr>
      </w:pPr>
      <w:r>
        <w:rPr>
          <w:b/>
          <w:sz w:val="36"/>
          <w:szCs w:val="36"/>
        </w:rPr>
        <w:t>19</w:t>
      </w:r>
      <w:r w:rsidR="00F90A80">
        <w:rPr>
          <w:b/>
          <w:sz w:val="36"/>
          <w:szCs w:val="36"/>
        </w:rPr>
        <w:t xml:space="preserve"> – </w:t>
      </w:r>
      <w:r>
        <w:rPr>
          <w:b/>
          <w:sz w:val="36"/>
          <w:szCs w:val="36"/>
        </w:rPr>
        <w:t>25</w:t>
      </w:r>
      <w:r w:rsidR="00BE3F55">
        <w:rPr>
          <w:b/>
          <w:sz w:val="36"/>
          <w:szCs w:val="36"/>
        </w:rPr>
        <w:t xml:space="preserve"> </w:t>
      </w:r>
      <w:r w:rsidR="0011019A">
        <w:rPr>
          <w:b/>
          <w:sz w:val="36"/>
          <w:szCs w:val="36"/>
        </w:rPr>
        <w:t xml:space="preserve">June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8E2316" w:rsidRPr="00BE2075">
        <w:t xml:space="preserve">Figure </w:t>
      </w:r>
      <w:r w:rsidR="008E2316">
        <w:t>1</w:t>
      </w:r>
      <w:r w:rsidRPr="00C4712A">
        <w:fldChar w:fldCharType="end"/>
      </w:r>
      <w:r w:rsidRPr="00C4712A">
        <w:t xml:space="preserve"> </w:t>
      </w:r>
      <w:r w:rsidR="00AF7058" w:rsidRPr="00C4712A">
        <w:t xml:space="preserve">shows the spot prices that occurred in each region during the week </w:t>
      </w:r>
      <w:r w:rsidR="00525B46">
        <w:t>1</w:t>
      </w:r>
      <w:r w:rsidR="00BA5D97">
        <w:t>9</w:t>
      </w:r>
      <w:r w:rsidR="00510A43">
        <w:t xml:space="preserve"> </w:t>
      </w:r>
      <w:r w:rsidR="00061E3B">
        <w:t xml:space="preserve">to </w:t>
      </w:r>
      <w:r w:rsidR="00BA5D97">
        <w:t>25</w:t>
      </w:r>
      <w:r w:rsidR="00BE3F55">
        <w:t> </w:t>
      </w:r>
      <w:r w:rsidR="00525B46">
        <w:t>June</w:t>
      </w:r>
      <w:r w:rsidR="00AA3A2C">
        <w:t xml:space="preserve"> </w:t>
      </w:r>
      <w:r w:rsidR="00FA25D4" w:rsidRPr="00C4712A">
        <w:t>2016</w:t>
      </w:r>
      <w:r w:rsidR="00AF7058" w:rsidRPr="00C4712A">
        <w:t>.</w:t>
      </w:r>
      <w:r w:rsidR="00E03725">
        <w:t xml:space="preserve"> </w:t>
      </w:r>
    </w:p>
    <w:p w:rsidR="00BF4639" w:rsidRPr="00C4712A" w:rsidRDefault="00275002" w:rsidP="00405B42">
      <w:pPr>
        <w:pStyle w:val="Caption"/>
      </w:pPr>
      <w:bookmarkStart w:id="6" w:name="_Ref410382491"/>
      <w:bookmarkStart w:id="7" w:name="OLE_LINK28"/>
      <w:bookmarkStart w:id="8" w:name="OLE_LINK29"/>
      <w:r w:rsidRPr="00BE2075">
        <w:t xml:space="preserve">Figure </w:t>
      </w:r>
      <w:fldSimple w:instr=" SEQ Figure \* ARABIC ">
        <w:r w:rsidR="008E2316">
          <w:rPr>
            <w:noProof/>
          </w:rPr>
          <w:t>1</w:t>
        </w:r>
      </w:fldSimple>
      <w:bookmarkEnd w:id="6"/>
      <w:r w:rsidRPr="00BE2075">
        <w:t>: Spot price by region ($/MWh)</w:t>
      </w:r>
    </w:p>
    <w:p w:rsidR="00EC05BF" w:rsidRDefault="00BA5D97" w:rsidP="00C4712A">
      <w:pPr>
        <w:pStyle w:val="Caption"/>
        <w:rPr>
          <w:bCs w:val="0"/>
          <w:lang w:eastAsia="en-AU"/>
        </w:rPr>
      </w:pPr>
      <w:r w:rsidRPr="00BA5D97">
        <w:rPr>
          <w:noProof/>
          <w:lang w:eastAsia="en-AU"/>
        </w:rPr>
        <w:drawing>
          <wp:inline distT="0" distB="0" distL="0" distR="0" wp14:anchorId="758B4CD9" wp14:editId="7C100B3A">
            <wp:extent cx="5731510" cy="2862539"/>
            <wp:effectExtent l="0" t="0" r="2540" b="0"/>
            <wp:docPr id="3" name="Picture 3"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2539"/>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8E2316" w:rsidRPr="00C4712A">
        <w:t xml:space="preserve">Figure </w:t>
      </w:r>
      <w:r w:rsidR="008E2316">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8E2316" w:rsidRPr="00C4712A">
        <w:t xml:space="preserve">Table </w:t>
      </w:r>
      <w:r w:rsidR="008E2316">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9" w:name="_Ref410382517"/>
      <w:r w:rsidRPr="00C4712A">
        <w:lastRenderedPageBreak/>
        <w:t xml:space="preserve">Figure </w:t>
      </w:r>
      <w:fldSimple w:instr=" SEQ Figure \* ARABIC ">
        <w:r w:rsidR="008E2316">
          <w:rPr>
            <w:noProof/>
          </w:rPr>
          <w:t>2</w:t>
        </w:r>
      </w:fldSimple>
      <w:bookmarkEnd w:id="9"/>
      <w:r w:rsidRPr="00C4712A">
        <w:t>: Volume weighted average spot price by region ($/MWh)</w:t>
      </w:r>
    </w:p>
    <w:p w:rsidR="001F22EE" w:rsidRDefault="00BA5D97" w:rsidP="00F167CF">
      <w:pPr>
        <w:spacing w:before="0" w:after="120" w:line="240" w:lineRule="auto"/>
      </w:pPr>
      <w:r w:rsidRPr="00BA5D97">
        <w:rPr>
          <w:noProof/>
          <w:lang w:eastAsia="en-AU"/>
        </w:rPr>
        <w:drawing>
          <wp:inline distT="0" distB="0" distL="0" distR="0" wp14:anchorId="0E8BAD94" wp14:editId="1F8EC3D6">
            <wp:extent cx="5731510" cy="2862539"/>
            <wp:effectExtent l="0" t="0" r="2540" b="0"/>
            <wp:docPr id="5" name="Picture 5"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2539"/>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0" w:name="_Ref410382587"/>
      <w:r w:rsidRPr="00C4712A">
        <w:t xml:space="preserve">Table </w:t>
      </w:r>
      <w:fldSimple w:instr=" SEQ Table \* ARABIC ">
        <w:r w:rsidR="008E2316">
          <w:rPr>
            <w:noProof/>
          </w:rPr>
          <w:t>1</w:t>
        </w:r>
      </w:fldSimple>
      <w:bookmarkEnd w:id="10"/>
      <w:r w:rsidRPr="00C4712A">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proofErr w:type="spellStart"/>
            <w:r w:rsidRPr="00C4712A">
              <w:rPr>
                <w:sz w:val="20"/>
              </w:rPr>
              <w:t>Tas</w:t>
            </w:r>
            <w:proofErr w:type="spellEnd"/>
          </w:p>
        </w:tc>
      </w:tr>
      <w:tr w:rsidR="00BA5D97" w:rsidRPr="00C4712A" w:rsidTr="00E334A4">
        <w:trPr>
          <w:trHeight w:hRule="exact" w:val="340"/>
        </w:trPr>
        <w:tc>
          <w:tcPr>
            <w:tcW w:w="1357" w:type="pct"/>
            <w:noWrap/>
            <w:vAlign w:val="center"/>
            <w:hideMark/>
          </w:tcPr>
          <w:p w:rsidR="00BA5D97" w:rsidRPr="00C4712A" w:rsidRDefault="00BA5D97"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BA5D97" w:rsidRDefault="00BA5D97" w:rsidP="00BA5D97">
            <w:pPr>
              <w:spacing w:before="0" w:after="0" w:line="240" w:lineRule="auto"/>
              <w:jc w:val="center"/>
              <w:rPr>
                <w:rFonts w:cs="Arial"/>
                <w:sz w:val="20"/>
                <w:szCs w:val="20"/>
              </w:rPr>
            </w:pPr>
            <w:r>
              <w:rPr>
                <w:rFonts w:cs="Arial"/>
                <w:sz w:val="20"/>
                <w:szCs w:val="20"/>
              </w:rPr>
              <w:t>71</w:t>
            </w:r>
          </w:p>
        </w:tc>
        <w:tc>
          <w:tcPr>
            <w:tcW w:w="729" w:type="pct"/>
            <w:noWrap/>
            <w:vAlign w:val="center"/>
          </w:tcPr>
          <w:p w:rsidR="00BA5D97" w:rsidRDefault="00BA5D97" w:rsidP="00BA5D97">
            <w:pPr>
              <w:spacing w:before="0" w:after="0" w:line="240" w:lineRule="auto"/>
              <w:jc w:val="center"/>
              <w:rPr>
                <w:rFonts w:cs="Arial"/>
                <w:sz w:val="20"/>
                <w:szCs w:val="20"/>
              </w:rPr>
            </w:pPr>
            <w:r>
              <w:rPr>
                <w:rFonts w:cs="Arial"/>
                <w:sz w:val="20"/>
                <w:szCs w:val="20"/>
              </w:rPr>
              <w:t>82</w:t>
            </w:r>
          </w:p>
        </w:tc>
        <w:tc>
          <w:tcPr>
            <w:tcW w:w="728" w:type="pct"/>
            <w:noWrap/>
            <w:vAlign w:val="center"/>
          </w:tcPr>
          <w:p w:rsidR="00BA5D97" w:rsidRDefault="00BA5D97" w:rsidP="00BA5D97">
            <w:pPr>
              <w:spacing w:before="0" w:after="0" w:line="240" w:lineRule="auto"/>
              <w:jc w:val="center"/>
              <w:rPr>
                <w:rFonts w:cs="Arial"/>
                <w:sz w:val="20"/>
                <w:szCs w:val="20"/>
              </w:rPr>
            </w:pPr>
            <w:r>
              <w:rPr>
                <w:rFonts w:cs="Arial"/>
                <w:sz w:val="20"/>
                <w:szCs w:val="20"/>
              </w:rPr>
              <w:t>80</w:t>
            </w:r>
          </w:p>
        </w:tc>
        <w:tc>
          <w:tcPr>
            <w:tcW w:w="729" w:type="pct"/>
            <w:noWrap/>
            <w:vAlign w:val="center"/>
          </w:tcPr>
          <w:p w:rsidR="00BA5D97" w:rsidRDefault="00BA5D97" w:rsidP="00BA5D97">
            <w:pPr>
              <w:spacing w:before="0" w:after="0" w:line="240" w:lineRule="auto"/>
              <w:jc w:val="center"/>
              <w:rPr>
                <w:rFonts w:cs="Arial"/>
                <w:sz w:val="20"/>
                <w:szCs w:val="20"/>
              </w:rPr>
            </w:pPr>
            <w:r>
              <w:rPr>
                <w:rFonts w:cs="Arial"/>
                <w:sz w:val="20"/>
                <w:szCs w:val="20"/>
              </w:rPr>
              <w:t>108</w:t>
            </w:r>
          </w:p>
        </w:tc>
        <w:tc>
          <w:tcPr>
            <w:tcW w:w="729" w:type="pct"/>
            <w:noWrap/>
            <w:vAlign w:val="center"/>
          </w:tcPr>
          <w:p w:rsidR="00BA5D97" w:rsidRDefault="00BA5D97" w:rsidP="00BA5D97">
            <w:pPr>
              <w:spacing w:before="0" w:after="0" w:line="240" w:lineRule="auto"/>
              <w:jc w:val="center"/>
              <w:rPr>
                <w:rFonts w:cs="Arial"/>
                <w:sz w:val="20"/>
                <w:szCs w:val="20"/>
              </w:rPr>
            </w:pPr>
            <w:r>
              <w:rPr>
                <w:rFonts w:cs="Arial"/>
                <w:sz w:val="20"/>
                <w:szCs w:val="20"/>
              </w:rPr>
              <w:t>86</w:t>
            </w:r>
          </w:p>
        </w:tc>
      </w:tr>
      <w:tr w:rsidR="00BA5D97" w:rsidRPr="00C4712A" w:rsidTr="00E334A4">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BA5D97" w:rsidRPr="00C4712A" w:rsidRDefault="00BA5D97" w:rsidP="00B65CAC">
            <w:pPr>
              <w:spacing w:before="100" w:beforeAutospacing="1" w:after="100" w:afterAutospacing="1" w:line="240" w:lineRule="auto"/>
              <w:rPr>
                <w:rFonts w:cs="Arial"/>
                <w:bCs/>
                <w:szCs w:val="20"/>
              </w:rPr>
            </w:pPr>
            <w:r w:rsidRPr="00C4712A">
              <w:rPr>
                <w:rFonts w:cs="Arial"/>
                <w:bCs/>
                <w:szCs w:val="20"/>
              </w:rPr>
              <w:t>14-15 financial YTD</w:t>
            </w:r>
          </w:p>
        </w:tc>
        <w:tc>
          <w:tcPr>
            <w:tcW w:w="728" w:type="pct"/>
            <w:noWrap/>
            <w:vAlign w:val="center"/>
          </w:tcPr>
          <w:p w:rsidR="00BA5D97" w:rsidRDefault="00BA5D97" w:rsidP="00BA5D97">
            <w:pPr>
              <w:spacing w:before="0" w:after="0" w:line="240" w:lineRule="auto"/>
              <w:jc w:val="center"/>
              <w:rPr>
                <w:rFonts w:cs="Arial"/>
                <w:szCs w:val="20"/>
              </w:rPr>
            </w:pPr>
            <w:r>
              <w:rPr>
                <w:rFonts w:cs="Arial"/>
                <w:szCs w:val="20"/>
              </w:rPr>
              <w:t>62</w:t>
            </w:r>
          </w:p>
        </w:tc>
        <w:tc>
          <w:tcPr>
            <w:tcW w:w="729" w:type="pct"/>
            <w:noWrap/>
            <w:vAlign w:val="center"/>
          </w:tcPr>
          <w:p w:rsidR="00BA5D97" w:rsidRDefault="00BA5D97" w:rsidP="00BA5D97">
            <w:pPr>
              <w:spacing w:before="0" w:after="0" w:line="240" w:lineRule="auto"/>
              <w:jc w:val="center"/>
              <w:rPr>
                <w:rFonts w:cs="Arial"/>
                <w:szCs w:val="20"/>
              </w:rPr>
            </w:pPr>
            <w:r>
              <w:rPr>
                <w:rFonts w:cs="Arial"/>
                <w:szCs w:val="20"/>
              </w:rPr>
              <w:t>36</w:t>
            </w:r>
          </w:p>
        </w:tc>
        <w:tc>
          <w:tcPr>
            <w:tcW w:w="728" w:type="pct"/>
            <w:noWrap/>
            <w:vAlign w:val="center"/>
          </w:tcPr>
          <w:p w:rsidR="00BA5D97" w:rsidRDefault="00BA5D97" w:rsidP="00BA5D97">
            <w:pPr>
              <w:spacing w:before="0" w:after="0" w:line="240" w:lineRule="auto"/>
              <w:jc w:val="center"/>
              <w:rPr>
                <w:rFonts w:cs="Arial"/>
                <w:szCs w:val="20"/>
              </w:rPr>
            </w:pPr>
            <w:r>
              <w:rPr>
                <w:rFonts w:cs="Arial"/>
                <w:szCs w:val="20"/>
              </w:rPr>
              <w:t>32</w:t>
            </w:r>
          </w:p>
        </w:tc>
        <w:tc>
          <w:tcPr>
            <w:tcW w:w="729" w:type="pct"/>
            <w:noWrap/>
            <w:vAlign w:val="center"/>
          </w:tcPr>
          <w:p w:rsidR="00BA5D97" w:rsidRDefault="00BA5D97" w:rsidP="00BA5D97">
            <w:pPr>
              <w:spacing w:before="0" w:after="0" w:line="240" w:lineRule="auto"/>
              <w:jc w:val="center"/>
              <w:rPr>
                <w:rFonts w:cs="Arial"/>
                <w:szCs w:val="20"/>
              </w:rPr>
            </w:pPr>
            <w:r>
              <w:rPr>
                <w:rFonts w:cs="Arial"/>
                <w:szCs w:val="20"/>
              </w:rPr>
              <w:t>42</w:t>
            </w:r>
          </w:p>
        </w:tc>
        <w:tc>
          <w:tcPr>
            <w:tcW w:w="729" w:type="pct"/>
            <w:noWrap/>
            <w:vAlign w:val="center"/>
          </w:tcPr>
          <w:p w:rsidR="00BA5D97" w:rsidRDefault="00BA5D97" w:rsidP="00BA5D97">
            <w:pPr>
              <w:spacing w:before="0" w:after="0" w:line="240" w:lineRule="auto"/>
              <w:jc w:val="center"/>
              <w:rPr>
                <w:rFonts w:cs="Arial"/>
                <w:szCs w:val="20"/>
              </w:rPr>
            </w:pPr>
            <w:r>
              <w:rPr>
                <w:rFonts w:cs="Arial"/>
                <w:szCs w:val="20"/>
              </w:rPr>
              <w:t>37</w:t>
            </w:r>
          </w:p>
        </w:tc>
      </w:tr>
      <w:tr w:rsidR="00BA5D97" w:rsidRPr="00C4712A" w:rsidTr="00E334A4">
        <w:trPr>
          <w:trHeight w:hRule="exact" w:val="340"/>
        </w:trPr>
        <w:tc>
          <w:tcPr>
            <w:tcW w:w="1357" w:type="pct"/>
            <w:noWrap/>
            <w:vAlign w:val="center"/>
            <w:hideMark/>
          </w:tcPr>
          <w:p w:rsidR="00BA5D97" w:rsidRPr="00C4712A" w:rsidRDefault="00BA5D97" w:rsidP="00B65CAC">
            <w:pPr>
              <w:spacing w:before="100" w:beforeAutospacing="1" w:after="100" w:afterAutospacing="1" w:line="240" w:lineRule="auto"/>
              <w:rPr>
                <w:rFonts w:cs="Arial"/>
                <w:bCs/>
                <w:sz w:val="20"/>
                <w:szCs w:val="20"/>
              </w:rPr>
            </w:pPr>
            <w:r w:rsidRPr="00C4712A">
              <w:rPr>
                <w:rFonts w:cs="Arial"/>
                <w:bCs/>
                <w:sz w:val="20"/>
                <w:szCs w:val="20"/>
              </w:rPr>
              <w:t>15-16 financial YTD</w:t>
            </w:r>
          </w:p>
        </w:tc>
        <w:tc>
          <w:tcPr>
            <w:tcW w:w="728" w:type="pct"/>
            <w:noWrap/>
            <w:vAlign w:val="center"/>
          </w:tcPr>
          <w:p w:rsidR="00BA5D97" w:rsidRDefault="00BA5D97" w:rsidP="00BA5D97">
            <w:pPr>
              <w:spacing w:before="0" w:after="0" w:line="240" w:lineRule="auto"/>
              <w:jc w:val="center"/>
              <w:rPr>
                <w:rFonts w:cs="Arial"/>
                <w:sz w:val="20"/>
                <w:szCs w:val="20"/>
              </w:rPr>
            </w:pPr>
            <w:r>
              <w:rPr>
                <w:rFonts w:cs="Arial"/>
                <w:sz w:val="20"/>
                <w:szCs w:val="20"/>
              </w:rPr>
              <w:t>63</w:t>
            </w:r>
          </w:p>
        </w:tc>
        <w:tc>
          <w:tcPr>
            <w:tcW w:w="729" w:type="pct"/>
            <w:noWrap/>
            <w:vAlign w:val="center"/>
          </w:tcPr>
          <w:p w:rsidR="00BA5D97" w:rsidRDefault="00BA5D97" w:rsidP="00BA5D97">
            <w:pPr>
              <w:spacing w:before="0" w:after="0" w:line="240" w:lineRule="auto"/>
              <w:jc w:val="center"/>
              <w:rPr>
                <w:rFonts w:cs="Arial"/>
                <w:sz w:val="20"/>
                <w:szCs w:val="20"/>
              </w:rPr>
            </w:pPr>
            <w:r>
              <w:rPr>
                <w:rFonts w:cs="Arial"/>
                <w:sz w:val="20"/>
                <w:szCs w:val="20"/>
              </w:rPr>
              <w:t>53</w:t>
            </w:r>
          </w:p>
        </w:tc>
        <w:tc>
          <w:tcPr>
            <w:tcW w:w="728" w:type="pct"/>
            <w:noWrap/>
            <w:vAlign w:val="center"/>
          </w:tcPr>
          <w:p w:rsidR="00BA5D97" w:rsidRDefault="00BA5D97" w:rsidP="00BA5D97">
            <w:pPr>
              <w:spacing w:before="0" w:after="0" w:line="240" w:lineRule="auto"/>
              <w:jc w:val="center"/>
              <w:rPr>
                <w:rFonts w:cs="Arial"/>
                <w:sz w:val="20"/>
                <w:szCs w:val="20"/>
              </w:rPr>
            </w:pPr>
            <w:r>
              <w:rPr>
                <w:rFonts w:cs="Arial"/>
                <w:sz w:val="20"/>
                <w:szCs w:val="20"/>
              </w:rPr>
              <w:t>49</w:t>
            </w:r>
          </w:p>
        </w:tc>
        <w:tc>
          <w:tcPr>
            <w:tcW w:w="729" w:type="pct"/>
            <w:noWrap/>
            <w:vAlign w:val="center"/>
          </w:tcPr>
          <w:p w:rsidR="00BA5D97" w:rsidRDefault="00BA5D97" w:rsidP="00BA5D97">
            <w:pPr>
              <w:spacing w:before="0" w:after="0" w:line="240" w:lineRule="auto"/>
              <w:jc w:val="center"/>
              <w:rPr>
                <w:rFonts w:cs="Arial"/>
                <w:sz w:val="20"/>
                <w:szCs w:val="20"/>
              </w:rPr>
            </w:pPr>
            <w:r>
              <w:rPr>
                <w:rFonts w:cs="Arial"/>
                <w:sz w:val="20"/>
                <w:szCs w:val="20"/>
              </w:rPr>
              <w:t>65</w:t>
            </w:r>
          </w:p>
        </w:tc>
        <w:tc>
          <w:tcPr>
            <w:tcW w:w="729" w:type="pct"/>
            <w:noWrap/>
            <w:vAlign w:val="center"/>
          </w:tcPr>
          <w:p w:rsidR="00BA5D97" w:rsidRDefault="00BA5D97" w:rsidP="00BA5D97">
            <w:pPr>
              <w:spacing w:before="0" w:after="0" w:line="240" w:lineRule="auto"/>
              <w:jc w:val="center"/>
              <w:rPr>
                <w:rFonts w:cs="Arial"/>
                <w:sz w:val="20"/>
                <w:szCs w:val="20"/>
              </w:rPr>
            </w:pPr>
            <w:r>
              <w:rPr>
                <w:rFonts w:cs="Arial"/>
                <w:sz w:val="20"/>
                <w:szCs w:val="20"/>
              </w:rPr>
              <w:t>97</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1A3AEC" w:rsidP="006F1044">
      <w:pPr>
        <w:pStyle w:val="AERbodytext"/>
      </w:pPr>
      <w:r>
        <w:t xml:space="preserve">There were </w:t>
      </w:r>
      <w:r w:rsidR="00F3008B">
        <w:t>2</w:t>
      </w:r>
      <w:r w:rsidR="00BA5D97">
        <w:t>90</w:t>
      </w:r>
      <w:r w:rsidR="006F1044">
        <w:t xml:space="preserve"> trading intervals throughout the week where actual prices varied significantly from forecasts. This compares to the weekly average in 2015 of 133 counts and the average in 2014 of 71. </w:t>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8E2316" w:rsidRPr="00C4712A">
        <w:t xml:space="preserve">Table </w:t>
      </w:r>
      <w:r w:rsidR="008E2316">
        <w:t>2</w:t>
      </w:r>
      <w:r w:rsidR="00E7472E" w:rsidRPr="00C4712A">
        <w:fldChar w:fldCharType="end"/>
      </w:r>
      <w:r w:rsidR="00275002" w:rsidRPr="00C4712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C4712A">
        <w:t>ahead</w:t>
      </w:r>
      <w:proofErr w:type="gramEnd"/>
      <w:r w:rsidR="00275002" w:rsidRPr="00C4712A">
        <w:t xml:space="preserve"> forecasts differ significantly from the actual price will be counted as two variations.</w:t>
      </w:r>
    </w:p>
    <w:p w:rsidR="00275002" w:rsidRPr="00C4712A" w:rsidRDefault="00275002" w:rsidP="000E2946">
      <w:pPr>
        <w:pStyle w:val="Caption"/>
      </w:pPr>
      <w:bookmarkStart w:id="11" w:name="_Ref410993002"/>
      <w:bookmarkStart w:id="12" w:name="_Ref410992996"/>
      <w:r w:rsidRPr="00C4712A">
        <w:lastRenderedPageBreak/>
        <w:t xml:space="preserve">Table </w:t>
      </w:r>
      <w:fldSimple w:instr=" SEQ Table \* ARABIC ">
        <w:r w:rsidR="008E2316">
          <w:rPr>
            <w:noProof/>
          </w:rPr>
          <w:t>2</w:t>
        </w:r>
      </w:fldSimple>
      <w:bookmarkEnd w:id="11"/>
      <w:r w:rsidRPr="00C4712A">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BA5D97"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BA5D97" w:rsidRPr="00C4712A" w:rsidRDefault="00BA5D97" w:rsidP="006C62B7">
            <w:pPr>
              <w:spacing w:after="0" w:line="240" w:lineRule="auto"/>
              <w:rPr>
                <w:sz w:val="20"/>
                <w:szCs w:val="20"/>
              </w:rPr>
            </w:pPr>
            <w:r w:rsidRPr="00C4712A">
              <w:rPr>
                <w:sz w:val="20"/>
                <w:szCs w:val="20"/>
              </w:rPr>
              <w:t>% of total above forecast</w:t>
            </w:r>
          </w:p>
        </w:tc>
        <w:tc>
          <w:tcPr>
            <w:tcW w:w="1571" w:type="dxa"/>
            <w:noWrap/>
            <w:vAlign w:val="center"/>
          </w:tcPr>
          <w:p w:rsidR="00BA5D97" w:rsidRDefault="00BA5D97" w:rsidP="00BA5D97">
            <w:pPr>
              <w:spacing w:after="0" w:line="240" w:lineRule="auto"/>
              <w:jc w:val="center"/>
              <w:rPr>
                <w:rFonts w:cs="Arial"/>
                <w:sz w:val="20"/>
                <w:szCs w:val="20"/>
              </w:rPr>
            </w:pPr>
            <w:r>
              <w:rPr>
                <w:rFonts w:cs="Arial"/>
                <w:sz w:val="20"/>
                <w:szCs w:val="20"/>
              </w:rPr>
              <w:t>6</w:t>
            </w:r>
          </w:p>
        </w:tc>
        <w:tc>
          <w:tcPr>
            <w:tcW w:w="1572" w:type="dxa"/>
            <w:noWrap/>
            <w:vAlign w:val="center"/>
          </w:tcPr>
          <w:p w:rsidR="00BA5D97" w:rsidRDefault="00BA5D97" w:rsidP="00BA5D97">
            <w:pPr>
              <w:spacing w:after="0" w:line="240" w:lineRule="auto"/>
              <w:jc w:val="center"/>
              <w:rPr>
                <w:rFonts w:cs="Arial"/>
                <w:sz w:val="20"/>
                <w:szCs w:val="20"/>
              </w:rPr>
            </w:pPr>
            <w:r>
              <w:rPr>
                <w:rFonts w:cs="Arial"/>
                <w:sz w:val="20"/>
                <w:szCs w:val="20"/>
              </w:rPr>
              <w:t>56</w:t>
            </w:r>
          </w:p>
        </w:tc>
        <w:tc>
          <w:tcPr>
            <w:tcW w:w="1572" w:type="dxa"/>
            <w:noWrap/>
            <w:vAlign w:val="center"/>
          </w:tcPr>
          <w:p w:rsidR="00BA5D97" w:rsidRDefault="00BA5D97" w:rsidP="00BA5D97">
            <w:pPr>
              <w:spacing w:after="0" w:line="240" w:lineRule="auto"/>
              <w:jc w:val="center"/>
              <w:rPr>
                <w:rFonts w:cs="Arial"/>
                <w:sz w:val="20"/>
                <w:szCs w:val="20"/>
              </w:rPr>
            </w:pPr>
            <w:r>
              <w:rPr>
                <w:rFonts w:cs="Arial"/>
                <w:sz w:val="20"/>
                <w:szCs w:val="20"/>
              </w:rPr>
              <w:t>0</w:t>
            </w:r>
          </w:p>
        </w:tc>
        <w:tc>
          <w:tcPr>
            <w:tcW w:w="1572" w:type="dxa"/>
            <w:vAlign w:val="center"/>
          </w:tcPr>
          <w:p w:rsidR="00BA5D97" w:rsidRDefault="00BA5D97" w:rsidP="00BA5D97">
            <w:pPr>
              <w:spacing w:after="0" w:line="240" w:lineRule="auto"/>
              <w:jc w:val="center"/>
              <w:rPr>
                <w:rFonts w:cs="Arial"/>
                <w:sz w:val="20"/>
                <w:szCs w:val="20"/>
              </w:rPr>
            </w:pPr>
            <w:r>
              <w:rPr>
                <w:rFonts w:cs="Arial"/>
                <w:sz w:val="20"/>
                <w:szCs w:val="20"/>
              </w:rPr>
              <w:t>2</w:t>
            </w:r>
          </w:p>
        </w:tc>
      </w:tr>
      <w:tr w:rsidR="00BA5D97"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BA5D97" w:rsidRPr="00C4712A" w:rsidRDefault="00BA5D97" w:rsidP="006C62B7">
            <w:pPr>
              <w:spacing w:after="0" w:line="240" w:lineRule="auto"/>
              <w:rPr>
                <w:sz w:val="20"/>
                <w:szCs w:val="20"/>
              </w:rPr>
            </w:pPr>
            <w:r w:rsidRPr="00C4712A">
              <w:rPr>
                <w:sz w:val="20"/>
                <w:szCs w:val="20"/>
              </w:rPr>
              <w:t>% of total below forecast</w:t>
            </w:r>
          </w:p>
        </w:tc>
        <w:tc>
          <w:tcPr>
            <w:tcW w:w="1571" w:type="dxa"/>
            <w:noWrap/>
            <w:vAlign w:val="center"/>
          </w:tcPr>
          <w:p w:rsidR="00BA5D97" w:rsidRDefault="00BA5D97" w:rsidP="00BA5D97">
            <w:pPr>
              <w:spacing w:after="0" w:line="240" w:lineRule="auto"/>
              <w:jc w:val="center"/>
              <w:rPr>
                <w:rFonts w:cs="Arial"/>
                <w:sz w:val="20"/>
                <w:szCs w:val="20"/>
              </w:rPr>
            </w:pPr>
            <w:r>
              <w:rPr>
                <w:rFonts w:cs="Arial"/>
                <w:sz w:val="20"/>
                <w:szCs w:val="20"/>
              </w:rPr>
              <w:t>30</w:t>
            </w:r>
          </w:p>
        </w:tc>
        <w:tc>
          <w:tcPr>
            <w:tcW w:w="1572" w:type="dxa"/>
            <w:noWrap/>
            <w:vAlign w:val="center"/>
          </w:tcPr>
          <w:p w:rsidR="00BA5D97" w:rsidRDefault="00BA5D97" w:rsidP="00BA5D97">
            <w:pPr>
              <w:spacing w:after="0" w:line="240" w:lineRule="auto"/>
              <w:jc w:val="center"/>
              <w:rPr>
                <w:rFonts w:cs="Arial"/>
                <w:sz w:val="20"/>
                <w:szCs w:val="20"/>
              </w:rPr>
            </w:pPr>
            <w:r>
              <w:rPr>
                <w:rFonts w:cs="Arial"/>
                <w:sz w:val="20"/>
                <w:szCs w:val="20"/>
              </w:rPr>
              <w:t>4</w:t>
            </w:r>
          </w:p>
        </w:tc>
        <w:tc>
          <w:tcPr>
            <w:tcW w:w="1572" w:type="dxa"/>
            <w:noWrap/>
            <w:vAlign w:val="center"/>
          </w:tcPr>
          <w:p w:rsidR="00BA5D97" w:rsidRDefault="00BA5D97" w:rsidP="00BA5D97">
            <w:pPr>
              <w:spacing w:after="0" w:line="240" w:lineRule="auto"/>
              <w:jc w:val="center"/>
              <w:rPr>
                <w:rFonts w:cs="Arial"/>
                <w:sz w:val="20"/>
                <w:szCs w:val="20"/>
              </w:rPr>
            </w:pPr>
            <w:r>
              <w:rPr>
                <w:rFonts w:cs="Arial"/>
                <w:sz w:val="20"/>
                <w:szCs w:val="20"/>
              </w:rPr>
              <w:t>0</w:t>
            </w:r>
          </w:p>
        </w:tc>
        <w:tc>
          <w:tcPr>
            <w:tcW w:w="1572" w:type="dxa"/>
            <w:vAlign w:val="center"/>
          </w:tcPr>
          <w:p w:rsidR="00BA5D97" w:rsidRDefault="00BA5D97" w:rsidP="00BA5D97">
            <w:pPr>
              <w:spacing w:after="0" w:line="240" w:lineRule="auto"/>
              <w:jc w:val="center"/>
              <w:rPr>
                <w:rFonts w:cs="Arial"/>
                <w:sz w:val="20"/>
                <w:szCs w:val="20"/>
              </w:rPr>
            </w:pPr>
            <w:r>
              <w:rPr>
                <w:rFonts w:cs="Arial"/>
                <w:sz w:val="20"/>
                <w:szCs w:val="20"/>
              </w:rPr>
              <w:t>1</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8E2316" w:rsidRPr="00C4712A">
        <w:t xml:space="preserve">Figure </w:t>
      </w:r>
      <w:r w:rsidR="008E2316">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8E2316" w:rsidRPr="002C6B96">
        <w:t xml:space="preserve">Figure </w:t>
      </w:r>
      <w:r w:rsidR="008E2316" w:rsidRPr="008E2316">
        <w:rPr>
          <w:bCs w:val="0"/>
          <w:noProof/>
        </w:rPr>
        <w:t>7</w:t>
      </w:r>
      <w:r w:rsidR="00C81324">
        <w:fldChar w:fldCharType="end"/>
      </w:r>
      <w:r w:rsidR="00C81324">
        <w:t xml:space="preserve"> </w:t>
      </w:r>
      <w:r w:rsidRPr="00C4712A">
        <w:t xml:space="preserve">show,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C4712A">
        <w:t xml:space="preserve">Figure </w:t>
      </w:r>
      <w:fldSimple w:instr=" SEQ Figure \* ARABIC ">
        <w:r w:rsidR="008E2316">
          <w:rPr>
            <w:noProof/>
          </w:rPr>
          <w:t>3</w:t>
        </w:r>
      </w:fldSimple>
      <w:bookmarkEnd w:id="13"/>
      <w:r w:rsidRPr="00C4712A">
        <w:t>: Queensland generation and bidding patterns</w:t>
      </w:r>
    </w:p>
    <w:p w:rsidR="007B78AB" w:rsidRPr="008707C1" w:rsidRDefault="00BA5D97" w:rsidP="00886FA8">
      <w:pPr>
        <w:pStyle w:val="AERbodytext"/>
        <w:rPr>
          <w:bCs w:val="0"/>
        </w:rPr>
      </w:pPr>
      <w:r w:rsidRPr="00BA5D97">
        <w:rPr>
          <w:noProof/>
        </w:rPr>
        <w:drawing>
          <wp:inline distT="0" distB="0" distL="0" distR="0" wp14:anchorId="42FB9DA4" wp14:editId="49DB7F8F">
            <wp:extent cx="5731510" cy="4118068"/>
            <wp:effectExtent l="0" t="0" r="2540" b="0"/>
            <wp:docPr id="9" name="Picture 9"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8068"/>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C4712A">
        <w:lastRenderedPageBreak/>
        <w:t xml:space="preserve">Figure </w:t>
      </w:r>
      <w:fldSimple w:instr=" SEQ Figure \* ARABIC ">
        <w:r w:rsidR="008E2316">
          <w:rPr>
            <w:noProof/>
          </w:rPr>
          <w:t>4</w:t>
        </w:r>
      </w:fldSimple>
      <w:bookmarkEnd w:id="14"/>
      <w:r w:rsidRPr="00C4712A">
        <w:t>: New South Wales generation and bidding patterns</w:t>
      </w:r>
    </w:p>
    <w:p w:rsidR="00181C46" w:rsidRPr="00C4712A" w:rsidRDefault="00BA5D97" w:rsidP="00181C46">
      <w:r w:rsidRPr="00BA5D97">
        <w:rPr>
          <w:noProof/>
          <w:lang w:eastAsia="en-AU"/>
        </w:rPr>
        <w:drawing>
          <wp:inline distT="0" distB="0" distL="0" distR="0" wp14:anchorId="04B968C5" wp14:editId="57F4FC8C">
            <wp:extent cx="5731510" cy="4124003"/>
            <wp:effectExtent l="0" t="0" r="2540" b="0"/>
            <wp:docPr id="10" name="Picture 10"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4003"/>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fldSimple w:instr=" SEQ Figure \* ARABIC ">
        <w:r w:rsidR="008E2316">
          <w:rPr>
            <w:noProof/>
          </w:rPr>
          <w:t>5</w:t>
        </w:r>
      </w:fldSimple>
      <w:r w:rsidRPr="00C4712A">
        <w:t>: Victoria generation and bidding patterns</w:t>
      </w:r>
    </w:p>
    <w:p w:rsidR="00FB265D" w:rsidRDefault="00BA5D97" w:rsidP="00FB265D">
      <w:r w:rsidRPr="00BA5D97">
        <w:rPr>
          <w:noProof/>
          <w:lang w:eastAsia="en-AU"/>
        </w:rPr>
        <w:drawing>
          <wp:inline distT="0" distB="0" distL="0" distR="0" wp14:anchorId="6C895C6D" wp14:editId="6CABAC12">
            <wp:extent cx="5731510" cy="4118068"/>
            <wp:effectExtent l="0" t="0" r="2540" b="0"/>
            <wp:docPr id="12" name="Picture 12"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068"/>
                    </a:xfrm>
                    <a:prstGeom prst="rect">
                      <a:avLst/>
                    </a:prstGeom>
                    <a:noFill/>
                    <a:ln>
                      <a:noFill/>
                    </a:ln>
                  </pic:spPr>
                </pic:pic>
              </a:graphicData>
            </a:graphic>
          </wp:inline>
        </w:drawing>
      </w:r>
    </w:p>
    <w:p w:rsidR="00275002" w:rsidRDefault="00275002" w:rsidP="000E2946">
      <w:pPr>
        <w:pStyle w:val="Caption"/>
      </w:pPr>
      <w:bookmarkStart w:id="15" w:name="_Ref423965683"/>
      <w:r w:rsidRPr="00610304">
        <w:lastRenderedPageBreak/>
        <w:t xml:space="preserve">Figure </w:t>
      </w:r>
      <w:fldSimple w:instr=" SEQ Figure \* ARABIC ">
        <w:r w:rsidR="008E2316">
          <w:rPr>
            <w:noProof/>
          </w:rPr>
          <w:t>6</w:t>
        </w:r>
      </w:fldSimple>
      <w:bookmarkEnd w:id="15"/>
      <w:r w:rsidRPr="00610304">
        <w:t>: South Australia generation and bidding patterns</w:t>
      </w:r>
    </w:p>
    <w:p w:rsidR="002F2481" w:rsidRDefault="00BA5D97" w:rsidP="00A25353">
      <w:r w:rsidRPr="00BA5D97">
        <w:rPr>
          <w:noProof/>
          <w:lang w:eastAsia="en-AU"/>
        </w:rPr>
        <w:drawing>
          <wp:inline distT="0" distB="0" distL="0" distR="0" wp14:anchorId="10F50CBA" wp14:editId="23F5FB7C">
            <wp:extent cx="5731510" cy="4126614"/>
            <wp:effectExtent l="0" t="0" r="2540" b="7620"/>
            <wp:docPr id="13" name="Picture 13"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26614"/>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2C6B96">
        <w:t xml:space="preserve">Figure </w:t>
      </w:r>
      <w:fldSimple w:instr=" SEQ Figure \* ARABIC ">
        <w:r w:rsidR="008E2316">
          <w:rPr>
            <w:noProof/>
          </w:rPr>
          <w:t>7</w:t>
        </w:r>
      </w:fldSimple>
      <w:bookmarkEnd w:id="16"/>
      <w:r w:rsidRPr="002C6B96">
        <w:t>: Tasmania generation and bidding patterns</w:t>
      </w:r>
    </w:p>
    <w:bookmarkEnd w:id="17"/>
    <w:p w:rsidR="00E43848" w:rsidRDefault="00AD20F6" w:rsidP="00AF7C0E">
      <w:pPr>
        <w:pStyle w:val="AERbodytext"/>
      </w:pPr>
      <w:r w:rsidRPr="00AD20F6">
        <w:rPr>
          <w:noProof/>
        </w:rPr>
        <w:drawing>
          <wp:inline distT="0" distB="0" distL="0" distR="0" wp14:anchorId="2EBD9B91" wp14:editId="3B05C325">
            <wp:extent cx="5731510" cy="4118068"/>
            <wp:effectExtent l="0" t="0" r="2540" b="0"/>
            <wp:docPr id="14" name="Picture 14"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8068"/>
                    </a:xfrm>
                    <a:prstGeom prst="rect">
                      <a:avLst/>
                    </a:prstGeom>
                    <a:noFill/>
                    <a:ln>
                      <a:noFill/>
                    </a:ln>
                  </pic:spPr>
                </pic:pic>
              </a:graphicData>
            </a:graphic>
          </wp:inline>
        </w:drawing>
      </w:r>
    </w:p>
    <w:p w:rsidR="00DB7B59" w:rsidRDefault="00DB7B59" w:rsidP="00AF7C0E">
      <w:pPr>
        <w:pStyle w:val="AERbodytext"/>
      </w:pP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BE2F8A" w:rsidRPr="00BE2F8A" w:rsidRDefault="006F1044" w:rsidP="00BE2F8A">
      <w:pPr>
        <w:pStyle w:val="AERbodytext"/>
      </w:pPr>
      <w:r w:rsidRPr="006F1044">
        <w:t>The total cost of FCAS on the mainland for the week was $</w:t>
      </w:r>
      <w:r w:rsidR="00DB6BE8">
        <w:t>1 309</w:t>
      </w:r>
      <w:r w:rsidR="00BD26EE">
        <w:t> </w:t>
      </w:r>
      <w:r w:rsidR="001A3AEC">
        <w:t>0</w:t>
      </w:r>
      <w:r w:rsidRPr="006F1044">
        <w:t>00 or less than 1 per cent of energy turnover on the mainland.</w:t>
      </w:r>
    </w:p>
    <w:p w:rsidR="008E2316" w:rsidRDefault="006F1044" w:rsidP="00551739">
      <w:pPr>
        <w:pStyle w:val="AERbodytext"/>
      </w:pPr>
      <w:bookmarkStart w:id="18" w:name="_Ref410383413"/>
      <w:r w:rsidRPr="006F1044">
        <w:t>The total cost of FCAS i</w:t>
      </w:r>
      <w:r w:rsidR="001A3AEC">
        <w:t>n Tasmania for the week was $</w:t>
      </w:r>
      <w:r w:rsidR="00DB6BE8">
        <w:t>404</w:t>
      </w:r>
      <w:r w:rsidR="00BD26EE">
        <w:t> </w:t>
      </w:r>
      <w:r w:rsidR="00022746">
        <w:t>0</w:t>
      </w:r>
      <w:r w:rsidR="001A3AEC">
        <w:t xml:space="preserve">00 or </w:t>
      </w:r>
      <w:r w:rsidR="00DB6BE8">
        <w:t>around</w:t>
      </w:r>
      <w:r w:rsidR="001A3AEC">
        <w:t xml:space="preserve"> </w:t>
      </w:r>
      <w:r w:rsidR="00022746">
        <w:t>2</w:t>
      </w:r>
      <w:r w:rsidR="00DB6BE8">
        <w:t>.5</w:t>
      </w:r>
      <w:r w:rsidRPr="006F1044">
        <w:t xml:space="preserve"> per cent of energy turnover in Tasmania.</w:t>
      </w:r>
      <w:r w:rsidR="00F3590E" w:rsidRPr="00C4712A">
        <w:fldChar w:fldCharType="begin"/>
      </w:r>
      <w:r w:rsidR="00F3590E" w:rsidRPr="00C4712A">
        <w:instrText xml:space="preserve"> REF _Ref418082853 \h </w:instrText>
      </w:r>
      <w:r w:rsidR="00215E19" w:rsidRPr="00C4712A">
        <w:instrText xml:space="preserve"> \* MERGEFORMAT </w:instrText>
      </w:r>
      <w:r w:rsidR="00F3590E" w:rsidRPr="00C4712A">
        <w:fldChar w:fldCharType="separate"/>
      </w:r>
    </w:p>
    <w:p w:rsidR="00B01BD3" w:rsidRDefault="008E2316" w:rsidP="00551739">
      <w:pPr>
        <w:pStyle w:val="AERbodytext"/>
      </w:pPr>
      <w:r w:rsidRPr="00551739">
        <w:t xml:space="preserve">Figure </w:t>
      </w:r>
      <w:r>
        <w:rPr>
          <w:noProof/>
        </w:rP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19"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8E2316">
        <w:rPr>
          <w:noProof/>
        </w:rPr>
        <w:t>8</w:t>
      </w:r>
      <w:r w:rsidR="00DF6E09">
        <w:rPr>
          <w:noProof/>
        </w:rPr>
        <w:fldChar w:fldCharType="end"/>
      </w:r>
      <w:bookmarkEnd w:id="18"/>
      <w:bookmarkEnd w:id="19"/>
      <w:r w:rsidRPr="00551739">
        <w:rPr>
          <w:noProof/>
        </w:rPr>
        <w:t>: Daily frequency control ancillary service cost</w:t>
      </w:r>
    </w:p>
    <w:p w:rsidR="00562103" w:rsidRDefault="00DB6BE8" w:rsidP="00562103">
      <w:r w:rsidRPr="00DB6BE8">
        <w:rPr>
          <w:noProof/>
          <w:lang w:eastAsia="en-AU"/>
        </w:rPr>
        <w:drawing>
          <wp:inline distT="0" distB="0" distL="0" distR="0" wp14:anchorId="671C487E" wp14:editId="4315F2C0">
            <wp:extent cx="5731510" cy="2893149"/>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3149"/>
                    </a:xfrm>
                    <a:prstGeom prst="rect">
                      <a:avLst/>
                    </a:prstGeom>
                    <a:noFill/>
                    <a:ln>
                      <a:noFill/>
                    </a:ln>
                  </pic:spPr>
                </pic:pic>
              </a:graphicData>
            </a:graphic>
          </wp:inline>
        </w:drawing>
      </w:r>
    </w:p>
    <w:p w:rsidR="00732D22" w:rsidRPr="00B768FA" w:rsidRDefault="00732D22" w:rsidP="00732D22">
      <w:pPr>
        <w:jc w:val="both"/>
      </w:pPr>
      <w:r w:rsidRPr="00B768FA">
        <w:t xml:space="preserve">Figure 8 shows that daily FCAS costs were significantly higher than the average </w:t>
      </w:r>
      <w:r w:rsidR="007707BF">
        <w:t xml:space="preserve">of </w:t>
      </w:r>
      <w:r w:rsidRPr="00B768FA">
        <w:t>the previous financial year. The majority of the cost occurred on the mainland. The reasons for high FCAS costs were due to limited availability of raise FCAS in the NEM with a maximum price of $150/MW for raise regulation services.</w:t>
      </w:r>
    </w:p>
    <w:p w:rsidR="00E1139A" w:rsidRDefault="00E1139A" w:rsidP="00562103"/>
    <w:p w:rsidR="00950B15" w:rsidRPr="00C4712A" w:rsidRDefault="00950B15" w:rsidP="00562103">
      <w:pPr>
        <w:pStyle w:val="AERHeading1"/>
      </w:pPr>
      <w:r w:rsidRPr="00C4712A">
        <w:lastRenderedPageBreak/>
        <w:t>Detailed market analysis of significant price events</w:t>
      </w:r>
    </w:p>
    <w:p w:rsidR="00950B15" w:rsidRPr="00AF7C0E" w:rsidRDefault="00950B15" w:rsidP="00AF7C0E">
      <w:pPr>
        <w:pStyle w:val="AERbodytext"/>
      </w:pPr>
      <w:r w:rsidRPr="00AF7C0E">
        <w:t xml:space="preserve">We provide more detailed analysis of events where the spot price was greater than three times the weekly average price in a region and above $250/MWh or was below </w:t>
      </w:r>
      <w:r w:rsidRPr="00AF7C0E">
        <w:noBreakHyphen/>
        <w:t xml:space="preserve">$100/MWh. </w:t>
      </w:r>
    </w:p>
    <w:p w:rsidR="003C2A86" w:rsidRPr="000D2E32" w:rsidRDefault="00410937" w:rsidP="003C2A86">
      <w:pPr>
        <w:pStyle w:val="Heading2"/>
        <w:rPr>
          <w:rFonts w:eastAsia="Times New Roman"/>
          <w:b w:val="0"/>
          <w:bCs w:val="0"/>
          <w:lang w:eastAsia="en-AU"/>
        </w:rPr>
      </w:pPr>
      <w:r>
        <w:rPr>
          <w:rFonts w:eastAsia="Times New Roman"/>
          <w:b w:val="0"/>
          <w:bCs w:val="0"/>
          <w:lang w:eastAsia="en-AU"/>
        </w:rPr>
        <w:t>National</w:t>
      </w:r>
    </w:p>
    <w:p w:rsidR="00410937" w:rsidRPr="00410937" w:rsidRDefault="00410937" w:rsidP="00410937">
      <w:pPr>
        <w:spacing w:before="100" w:beforeAutospacing="1" w:after="100" w:afterAutospacing="1" w:line="288" w:lineRule="auto"/>
        <w:jc w:val="both"/>
        <w:rPr>
          <w:rFonts w:eastAsia="Times New Roman" w:cs="Arial"/>
          <w:bCs/>
          <w:lang w:eastAsia="en-AU"/>
        </w:rPr>
      </w:pPr>
      <w:r w:rsidRPr="00410937">
        <w:rPr>
          <w:rFonts w:eastAsia="Times New Roman" w:cs="Arial"/>
          <w:bCs/>
          <w:lang w:eastAsia="en-AU"/>
        </w:rPr>
        <w:t>There w</w:t>
      </w:r>
      <w:r w:rsidR="001F4726">
        <w:rPr>
          <w:rFonts w:eastAsia="Times New Roman" w:cs="Arial"/>
          <w:bCs/>
          <w:lang w:eastAsia="en-AU"/>
        </w:rPr>
        <w:t>ere</w:t>
      </w:r>
      <w:r w:rsidRPr="00410937">
        <w:rPr>
          <w:rFonts w:eastAsia="Times New Roman" w:cs="Arial"/>
          <w:bCs/>
          <w:lang w:eastAsia="en-AU"/>
        </w:rPr>
        <w:t xml:space="preserve"> </w:t>
      </w:r>
      <w:r w:rsidR="001F4726">
        <w:rPr>
          <w:rFonts w:eastAsia="Times New Roman" w:cs="Arial"/>
          <w:bCs/>
          <w:lang w:eastAsia="en-AU"/>
        </w:rPr>
        <w:t>two</w:t>
      </w:r>
      <w:r w:rsidR="00654DBE">
        <w:rPr>
          <w:rFonts w:eastAsia="Times New Roman" w:cs="Arial"/>
          <w:bCs/>
          <w:lang w:eastAsia="en-AU"/>
        </w:rPr>
        <w:t xml:space="preserve"> oc</w:t>
      </w:r>
      <w:r w:rsidRPr="00410937">
        <w:rPr>
          <w:rFonts w:eastAsia="Times New Roman" w:cs="Arial"/>
          <w:bCs/>
          <w:lang w:eastAsia="en-AU"/>
        </w:rPr>
        <w:t>casion</w:t>
      </w:r>
      <w:r w:rsidR="00654DBE">
        <w:rPr>
          <w:rFonts w:eastAsia="Times New Roman" w:cs="Arial"/>
          <w:bCs/>
          <w:lang w:eastAsia="en-AU"/>
        </w:rPr>
        <w:t>s where</w:t>
      </w:r>
      <w:r w:rsidRPr="00410937">
        <w:rPr>
          <w:rFonts w:eastAsia="Times New Roman" w:cs="Arial"/>
          <w:bCs/>
          <w:lang w:eastAsia="en-AU"/>
        </w:rPr>
        <w:t xml:space="preserve"> the spot price </w:t>
      </w:r>
      <w:r w:rsidR="001F4726">
        <w:rPr>
          <w:rFonts w:eastAsia="Times New Roman" w:cs="Arial"/>
          <w:bCs/>
          <w:lang w:eastAsia="en-AU"/>
        </w:rPr>
        <w:t xml:space="preserve">was </w:t>
      </w:r>
      <w:r w:rsidRPr="00410937">
        <w:rPr>
          <w:rFonts w:eastAsia="Times New Roman" w:cs="Arial"/>
          <w:bCs/>
          <w:lang w:eastAsia="en-AU"/>
        </w:rPr>
        <w:t xml:space="preserve">aligned nationally and </w:t>
      </w:r>
      <w:r w:rsidR="001F4726">
        <w:rPr>
          <w:rFonts w:eastAsia="Times New Roman" w:cs="Arial"/>
          <w:bCs/>
          <w:lang w:eastAsia="en-AU"/>
        </w:rPr>
        <w:t xml:space="preserve">at least one </w:t>
      </w:r>
      <w:r w:rsidR="00654DBE">
        <w:rPr>
          <w:rFonts w:eastAsia="Times New Roman" w:cs="Arial"/>
          <w:bCs/>
          <w:lang w:eastAsia="en-AU"/>
        </w:rPr>
        <w:t>of those occasions saw the</w:t>
      </w:r>
      <w:r w:rsidR="001F4726">
        <w:rPr>
          <w:rFonts w:eastAsia="Times New Roman" w:cs="Arial"/>
          <w:bCs/>
          <w:lang w:eastAsia="en-AU"/>
        </w:rPr>
        <w:t xml:space="preserve"> spot price greater than three times </w:t>
      </w:r>
      <w:r w:rsidR="00654DBE">
        <w:rPr>
          <w:rFonts w:eastAsia="Times New Roman" w:cs="Arial"/>
          <w:bCs/>
          <w:lang w:eastAsia="en-AU"/>
        </w:rPr>
        <w:t>the</w:t>
      </w:r>
      <w:r w:rsidR="001F4726">
        <w:rPr>
          <w:rFonts w:eastAsia="Times New Roman" w:cs="Arial"/>
          <w:bCs/>
          <w:lang w:eastAsia="en-AU"/>
        </w:rPr>
        <w:t xml:space="preserve"> </w:t>
      </w:r>
      <w:r w:rsidR="00654DBE">
        <w:rPr>
          <w:rFonts w:eastAsia="Times New Roman" w:cs="Arial"/>
          <w:bCs/>
          <w:lang w:eastAsia="en-AU"/>
        </w:rPr>
        <w:t xml:space="preserve">region’s </w:t>
      </w:r>
      <w:r w:rsidR="001F4726">
        <w:rPr>
          <w:rFonts w:eastAsia="Times New Roman" w:cs="Arial"/>
          <w:bCs/>
          <w:lang w:eastAsia="en-AU"/>
        </w:rPr>
        <w:t xml:space="preserve">weekly average price </w:t>
      </w:r>
      <w:r w:rsidRPr="00410937">
        <w:rPr>
          <w:rFonts w:eastAsia="Times New Roman" w:cs="Arial"/>
          <w:bCs/>
          <w:lang w:eastAsia="en-AU"/>
        </w:rPr>
        <w:t>and above $250/MWh.</w:t>
      </w:r>
    </w:p>
    <w:p w:rsidR="003C2A86" w:rsidRPr="002D6AB4" w:rsidRDefault="002339B5" w:rsidP="003C2A86">
      <w:pPr>
        <w:pStyle w:val="Heading3"/>
        <w:rPr>
          <w:rFonts w:eastAsia="Times New Roman"/>
        </w:rPr>
      </w:pPr>
      <w:r>
        <w:rPr>
          <w:rFonts w:eastAsia="Times New Roman"/>
        </w:rPr>
        <w:t>Mo</w:t>
      </w:r>
      <w:r w:rsidR="00031F4C">
        <w:rPr>
          <w:rFonts w:eastAsia="Times New Roman"/>
        </w:rPr>
        <w:t xml:space="preserve">nday, </w:t>
      </w:r>
      <w:r w:rsidR="00410937">
        <w:rPr>
          <w:rFonts w:eastAsia="Times New Roman"/>
        </w:rPr>
        <w:t>20</w:t>
      </w:r>
      <w:r w:rsidR="003C2A86" w:rsidRPr="002D6AB4">
        <w:rPr>
          <w:rFonts w:eastAsia="Times New Roman"/>
        </w:rPr>
        <w:t xml:space="preserve"> </w:t>
      </w:r>
      <w:r w:rsidR="00031F4C">
        <w:rPr>
          <w:rFonts w:eastAsia="Times New Roman"/>
        </w:rPr>
        <w:t>June</w:t>
      </w:r>
    </w:p>
    <w:p w:rsidR="003C2A86" w:rsidRPr="0073319F" w:rsidRDefault="003C2A86" w:rsidP="003C2A86">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E2316">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3C2A86" w:rsidRPr="0073319F" w:rsidTr="00641006">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3C2A86" w:rsidRPr="0073319F" w:rsidRDefault="003C2A86" w:rsidP="00641006">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3C2A86" w:rsidRPr="0073319F" w:rsidTr="00641006">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3C2A86" w:rsidRPr="0073319F" w:rsidRDefault="003C2A86" w:rsidP="00641006">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7707BF" w:rsidRPr="007707BF" w:rsidTr="007707BF">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7707BF" w:rsidRPr="002339B5" w:rsidRDefault="007707BF" w:rsidP="007707BF">
            <w:pPr>
              <w:spacing w:after="0" w:line="240" w:lineRule="auto"/>
              <w:jc w:val="center"/>
              <w:textAlignment w:val="center"/>
              <w:rPr>
                <w:rFonts w:cs="Arial"/>
                <w:color w:val="000000"/>
                <w:szCs w:val="18"/>
              </w:rPr>
            </w:pPr>
            <w:r w:rsidRPr="002339B5">
              <w:rPr>
                <w:rFonts w:cs="Arial"/>
                <w:color w:val="000000"/>
                <w:szCs w:val="18"/>
              </w:rPr>
              <w:t>6 pm</w:t>
            </w:r>
          </w:p>
        </w:tc>
        <w:tc>
          <w:tcPr>
            <w:tcW w:w="478" w:type="pct"/>
            <w:vAlign w:val="center"/>
          </w:tcPr>
          <w:p w:rsidR="007707BF" w:rsidRPr="007707BF" w:rsidRDefault="007707BF" w:rsidP="007707BF">
            <w:pPr>
              <w:spacing w:after="0" w:line="240" w:lineRule="auto"/>
              <w:jc w:val="center"/>
              <w:textAlignment w:val="center"/>
              <w:rPr>
                <w:rFonts w:cs="Arial"/>
                <w:color w:val="000000"/>
                <w:szCs w:val="18"/>
              </w:rPr>
            </w:pPr>
            <w:r w:rsidRPr="007707BF">
              <w:rPr>
                <w:rFonts w:cs="Arial"/>
                <w:color w:val="000000"/>
                <w:szCs w:val="18"/>
              </w:rPr>
              <w:t>248.77</w:t>
            </w:r>
          </w:p>
        </w:tc>
        <w:tc>
          <w:tcPr>
            <w:tcW w:w="498" w:type="pct"/>
            <w:vAlign w:val="center"/>
          </w:tcPr>
          <w:p w:rsidR="007707BF" w:rsidRPr="007707BF" w:rsidRDefault="007707BF" w:rsidP="007707BF">
            <w:pPr>
              <w:spacing w:after="0" w:line="240" w:lineRule="auto"/>
              <w:jc w:val="center"/>
              <w:textAlignment w:val="center"/>
              <w:rPr>
                <w:rFonts w:cs="Arial"/>
                <w:color w:val="000000"/>
                <w:szCs w:val="18"/>
              </w:rPr>
            </w:pPr>
            <w:r w:rsidRPr="007707BF">
              <w:rPr>
                <w:rFonts w:cs="Arial"/>
                <w:color w:val="000000"/>
                <w:szCs w:val="18"/>
              </w:rPr>
              <w:t>299.80</w:t>
            </w:r>
          </w:p>
        </w:tc>
        <w:tc>
          <w:tcPr>
            <w:tcW w:w="498" w:type="pct"/>
            <w:vAlign w:val="center"/>
          </w:tcPr>
          <w:p w:rsidR="007707BF" w:rsidRPr="007707BF" w:rsidRDefault="007707BF" w:rsidP="007707BF">
            <w:pPr>
              <w:spacing w:after="0" w:line="240" w:lineRule="auto"/>
              <w:jc w:val="center"/>
              <w:textAlignment w:val="center"/>
              <w:rPr>
                <w:rFonts w:cs="Arial"/>
                <w:color w:val="000000"/>
                <w:szCs w:val="18"/>
              </w:rPr>
            </w:pPr>
            <w:r w:rsidRPr="007707BF">
              <w:rPr>
                <w:rFonts w:cs="Arial"/>
                <w:color w:val="000000"/>
                <w:szCs w:val="18"/>
              </w:rPr>
              <w:t>105.45</w:t>
            </w:r>
          </w:p>
        </w:tc>
        <w:tc>
          <w:tcPr>
            <w:tcW w:w="498" w:type="pct"/>
            <w:vAlign w:val="center"/>
          </w:tcPr>
          <w:p w:rsidR="007707BF" w:rsidRPr="007707BF" w:rsidRDefault="007707BF" w:rsidP="007707BF">
            <w:pPr>
              <w:spacing w:after="0" w:line="240" w:lineRule="auto"/>
              <w:jc w:val="center"/>
              <w:textAlignment w:val="center"/>
              <w:rPr>
                <w:rFonts w:cs="Arial"/>
                <w:color w:val="000000"/>
                <w:szCs w:val="18"/>
              </w:rPr>
            </w:pPr>
            <w:r w:rsidRPr="007707BF">
              <w:rPr>
                <w:rFonts w:cs="Arial"/>
                <w:color w:val="000000"/>
                <w:szCs w:val="18"/>
              </w:rPr>
              <w:t>28 351</w:t>
            </w:r>
          </w:p>
        </w:tc>
        <w:tc>
          <w:tcPr>
            <w:tcW w:w="498" w:type="pct"/>
            <w:vAlign w:val="center"/>
          </w:tcPr>
          <w:p w:rsidR="007707BF" w:rsidRPr="007707BF" w:rsidRDefault="007707BF" w:rsidP="007707BF">
            <w:pPr>
              <w:spacing w:after="0" w:line="240" w:lineRule="auto"/>
              <w:jc w:val="center"/>
              <w:textAlignment w:val="center"/>
              <w:rPr>
                <w:rFonts w:cs="Arial"/>
                <w:color w:val="000000"/>
                <w:szCs w:val="18"/>
              </w:rPr>
            </w:pPr>
            <w:r w:rsidRPr="007707BF">
              <w:rPr>
                <w:rFonts w:cs="Arial"/>
                <w:color w:val="000000"/>
                <w:szCs w:val="18"/>
              </w:rPr>
              <w:t>28 240</w:t>
            </w:r>
          </w:p>
        </w:tc>
        <w:tc>
          <w:tcPr>
            <w:tcW w:w="499" w:type="pct"/>
            <w:vAlign w:val="center"/>
          </w:tcPr>
          <w:p w:rsidR="007707BF" w:rsidRPr="007707BF" w:rsidRDefault="007707BF" w:rsidP="007707BF">
            <w:pPr>
              <w:spacing w:after="0" w:line="240" w:lineRule="auto"/>
              <w:jc w:val="center"/>
              <w:textAlignment w:val="center"/>
              <w:rPr>
                <w:rFonts w:cs="Arial"/>
                <w:color w:val="000000"/>
                <w:szCs w:val="18"/>
              </w:rPr>
            </w:pPr>
            <w:r w:rsidRPr="007707BF">
              <w:rPr>
                <w:rFonts w:cs="Arial"/>
                <w:color w:val="000000"/>
                <w:szCs w:val="18"/>
              </w:rPr>
              <w:t>27 957</w:t>
            </w:r>
          </w:p>
        </w:tc>
        <w:tc>
          <w:tcPr>
            <w:tcW w:w="498" w:type="pct"/>
            <w:vAlign w:val="center"/>
          </w:tcPr>
          <w:p w:rsidR="007707BF" w:rsidRPr="007707BF" w:rsidRDefault="007707BF" w:rsidP="007707BF">
            <w:pPr>
              <w:spacing w:after="0" w:line="240" w:lineRule="auto"/>
              <w:jc w:val="center"/>
              <w:textAlignment w:val="center"/>
              <w:rPr>
                <w:rFonts w:cs="Arial"/>
                <w:color w:val="000000"/>
                <w:szCs w:val="18"/>
              </w:rPr>
            </w:pPr>
            <w:r w:rsidRPr="007707BF">
              <w:rPr>
                <w:rFonts w:cs="Arial"/>
                <w:color w:val="000000"/>
                <w:szCs w:val="18"/>
              </w:rPr>
              <w:t>37 018</w:t>
            </w:r>
          </w:p>
        </w:tc>
        <w:tc>
          <w:tcPr>
            <w:tcW w:w="498" w:type="pct"/>
            <w:vAlign w:val="center"/>
          </w:tcPr>
          <w:p w:rsidR="007707BF" w:rsidRPr="007707BF" w:rsidRDefault="007707BF" w:rsidP="007707BF">
            <w:pPr>
              <w:spacing w:after="0" w:line="240" w:lineRule="auto"/>
              <w:jc w:val="center"/>
              <w:textAlignment w:val="center"/>
              <w:rPr>
                <w:rFonts w:cs="Arial"/>
                <w:color w:val="000000"/>
                <w:szCs w:val="18"/>
              </w:rPr>
            </w:pPr>
            <w:r w:rsidRPr="007707BF">
              <w:rPr>
                <w:rFonts w:cs="Arial"/>
                <w:color w:val="000000"/>
                <w:szCs w:val="18"/>
              </w:rPr>
              <w:t>37 422</w:t>
            </w:r>
          </w:p>
        </w:tc>
        <w:tc>
          <w:tcPr>
            <w:tcW w:w="499" w:type="pct"/>
            <w:vAlign w:val="center"/>
          </w:tcPr>
          <w:p w:rsidR="007707BF" w:rsidRPr="007707BF" w:rsidRDefault="007707BF" w:rsidP="007707BF">
            <w:pPr>
              <w:spacing w:after="0" w:line="240" w:lineRule="auto"/>
              <w:jc w:val="center"/>
              <w:textAlignment w:val="center"/>
              <w:rPr>
                <w:rFonts w:cs="Arial"/>
                <w:color w:val="000000"/>
                <w:szCs w:val="18"/>
              </w:rPr>
            </w:pPr>
            <w:r w:rsidRPr="007707BF">
              <w:rPr>
                <w:rFonts w:cs="Arial"/>
                <w:color w:val="000000"/>
                <w:szCs w:val="18"/>
              </w:rPr>
              <w:t>37 362</w:t>
            </w:r>
          </w:p>
        </w:tc>
      </w:tr>
      <w:tr w:rsidR="00410937" w:rsidRPr="0073319F" w:rsidTr="005B6FC9">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410937" w:rsidRPr="00031F4C" w:rsidRDefault="00410937" w:rsidP="002339B5">
            <w:pPr>
              <w:spacing w:after="0" w:line="240" w:lineRule="auto"/>
              <w:textAlignment w:val="center"/>
              <w:rPr>
                <w:rFonts w:cs="Arial"/>
                <w:color w:val="000000"/>
                <w:szCs w:val="18"/>
              </w:rPr>
            </w:pPr>
            <w:r>
              <w:rPr>
                <w:rFonts w:cs="Arial"/>
                <w:color w:val="000000"/>
                <w:szCs w:val="18"/>
              </w:rPr>
              <w:t>6.30 pm</w:t>
            </w:r>
          </w:p>
        </w:tc>
        <w:tc>
          <w:tcPr>
            <w:tcW w:w="478" w:type="pct"/>
            <w:vAlign w:val="center"/>
          </w:tcPr>
          <w:p w:rsidR="00410937" w:rsidRPr="00410937" w:rsidRDefault="00410937">
            <w:pPr>
              <w:pStyle w:val="NormalWeb"/>
              <w:jc w:val="center"/>
              <w:rPr>
                <w:rFonts w:ascii="Arial" w:hAnsi="Arial" w:cs="Arial"/>
                <w:sz w:val="18"/>
                <w:szCs w:val="18"/>
              </w:rPr>
            </w:pPr>
            <w:r w:rsidRPr="00410937">
              <w:rPr>
                <w:rFonts w:ascii="Arial" w:hAnsi="Arial" w:cs="Arial"/>
                <w:sz w:val="18"/>
                <w:szCs w:val="18"/>
              </w:rPr>
              <w:t>252.78</w:t>
            </w:r>
          </w:p>
        </w:tc>
        <w:tc>
          <w:tcPr>
            <w:tcW w:w="498" w:type="pct"/>
            <w:vAlign w:val="center"/>
          </w:tcPr>
          <w:p w:rsidR="00410937" w:rsidRPr="00410937" w:rsidRDefault="00410937">
            <w:pPr>
              <w:pStyle w:val="NormalWeb"/>
              <w:jc w:val="center"/>
              <w:rPr>
                <w:rFonts w:ascii="Arial" w:hAnsi="Arial" w:cs="Arial"/>
                <w:sz w:val="18"/>
                <w:szCs w:val="18"/>
              </w:rPr>
            </w:pPr>
            <w:r w:rsidRPr="00410937">
              <w:rPr>
                <w:rFonts w:ascii="Arial" w:hAnsi="Arial" w:cs="Arial"/>
                <w:sz w:val="18"/>
                <w:szCs w:val="18"/>
              </w:rPr>
              <w:t>299.80</w:t>
            </w:r>
          </w:p>
        </w:tc>
        <w:tc>
          <w:tcPr>
            <w:tcW w:w="498" w:type="pct"/>
            <w:vAlign w:val="center"/>
          </w:tcPr>
          <w:p w:rsidR="00410937" w:rsidRPr="00410937" w:rsidRDefault="00410937">
            <w:pPr>
              <w:pStyle w:val="NormalWeb"/>
              <w:jc w:val="center"/>
              <w:rPr>
                <w:rFonts w:ascii="Arial" w:hAnsi="Arial" w:cs="Arial"/>
                <w:sz w:val="18"/>
                <w:szCs w:val="18"/>
              </w:rPr>
            </w:pPr>
            <w:r w:rsidRPr="00410937">
              <w:rPr>
                <w:rFonts w:ascii="Arial" w:hAnsi="Arial" w:cs="Arial"/>
                <w:sz w:val="18"/>
                <w:szCs w:val="18"/>
              </w:rPr>
              <w:t>100.97</w:t>
            </w:r>
          </w:p>
        </w:tc>
        <w:tc>
          <w:tcPr>
            <w:tcW w:w="498" w:type="pct"/>
            <w:vAlign w:val="center"/>
          </w:tcPr>
          <w:p w:rsidR="00410937" w:rsidRPr="00410937" w:rsidRDefault="00410937">
            <w:pPr>
              <w:pStyle w:val="NormalWeb"/>
              <w:jc w:val="center"/>
              <w:rPr>
                <w:rFonts w:ascii="Arial" w:hAnsi="Arial" w:cs="Arial"/>
                <w:sz w:val="18"/>
                <w:szCs w:val="18"/>
              </w:rPr>
            </w:pPr>
            <w:r w:rsidRPr="00410937">
              <w:rPr>
                <w:rFonts w:ascii="Arial" w:hAnsi="Arial" w:cs="Arial"/>
                <w:sz w:val="18"/>
                <w:szCs w:val="18"/>
              </w:rPr>
              <w:t>28 315</w:t>
            </w:r>
          </w:p>
        </w:tc>
        <w:tc>
          <w:tcPr>
            <w:tcW w:w="498" w:type="pct"/>
            <w:vAlign w:val="center"/>
          </w:tcPr>
          <w:p w:rsidR="00410937" w:rsidRPr="00410937" w:rsidRDefault="00410937">
            <w:pPr>
              <w:pStyle w:val="NormalWeb"/>
              <w:jc w:val="center"/>
              <w:rPr>
                <w:rFonts w:ascii="Arial" w:hAnsi="Arial" w:cs="Arial"/>
                <w:sz w:val="18"/>
                <w:szCs w:val="18"/>
              </w:rPr>
            </w:pPr>
            <w:r w:rsidRPr="00410937">
              <w:rPr>
                <w:rFonts w:ascii="Arial" w:hAnsi="Arial" w:cs="Arial"/>
                <w:sz w:val="18"/>
                <w:szCs w:val="18"/>
              </w:rPr>
              <w:t>28 302</w:t>
            </w:r>
          </w:p>
        </w:tc>
        <w:tc>
          <w:tcPr>
            <w:tcW w:w="499" w:type="pct"/>
            <w:vAlign w:val="center"/>
          </w:tcPr>
          <w:p w:rsidR="00410937" w:rsidRPr="00410937" w:rsidRDefault="00410937">
            <w:pPr>
              <w:pStyle w:val="NormalWeb"/>
              <w:jc w:val="center"/>
              <w:rPr>
                <w:rFonts w:ascii="Arial" w:hAnsi="Arial" w:cs="Arial"/>
                <w:sz w:val="18"/>
                <w:szCs w:val="18"/>
              </w:rPr>
            </w:pPr>
            <w:r w:rsidRPr="00410937">
              <w:rPr>
                <w:rFonts w:ascii="Arial" w:hAnsi="Arial" w:cs="Arial"/>
                <w:sz w:val="18"/>
                <w:szCs w:val="18"/>
              </w:rPr>
              <w:t>27 930</w:t>
            </w:r>
          </w:p>
        </w:tc>
        <w:tc>
          <w:tcPr>
            <w:tcW w:w="498" w:type="pct"/>
            <w:vAlign w:val="center"/>
          </w:tcPr>
          <w:p w:rsidR="00410937" w:rsidRPr="00410937" w:rsidRDefault="00410937">
            <w:pPr>
              <w:pStyle w:val="NormalWeb"/>
              <w:jc w:val="center"/>
              <w:rPr>
                <w:rFonts w:ascii="Arial" w:hAnsi="Arial" w:cs="Arial"/>
                <w:sz w:val="18"/>
                <w:szCs w:val="18"/>
              </w:rPr>
            </w:pPr>
            <w:r w:rsidRPr="00410937">
              <w:rPr>
                <w:rFonts w:ascii="Arial" w:hAnsi="Arial" w:cs="Arial"/>
                <w:sz w:val="18"/>
                <w:szCs w:val="18"/>
              </w:rPr>
              <w:t>37 000</w:t>
            </w:r>
          </w:p>
        </w:tc>
        <w:tc>
          <w:tcPr>
            <w:tcW w:w="498" w:type="pct"/>
            <w:vAlign w:val="center"/>
          </w:tcPr>
          <w:p w:rsidR="00410937" w:rsidRPr="00410937" w:rsidRDefault="00410937">
            <w:pPr>
              <w:pStyle w:val="NormalWeb"/>
              <w:jc w:val="center"/>
              <w:rPr>
                <w:rFonts w:ascii="Arial" w:hAnsi="Arial" w:cs="Arial"/>
                <w:sz w:val="18"/>
                <w:szCs w:val="18"/>
              </w:rPr>
            </w:pPr>
            <w:r w:rsidRPr="00410937">
              <w:rPr>
                <w:rFonts w:ascii="Arial" w:hAnsi="Arial" w:cs="Arial"/>
                <w:sz w:val="18"/>
                <w:szCs w:val="18"/>
              </w:rPr>
              <w:t>37 267</w:t>
            </w:r>
          </w:p>
        </w:tc>
        <w:tc>
          <w:tcPr>
            <w:tcW w:w="499" w:type="pct"/>
            <w:vAlign w:val="center"/>
          </w:tcPr>
          <w:p w:rsidR="00410937" w:rsidRPr="00410937" w:rsidRDefault="00410937">
            <w:pPr>
              <w:pStyle w:val="NormalWeb"/>
              <w:jc w:val="center"/>
              <w:rPr>
                <w:rFonts w:ascii="Arial" w:hAnsi="Arial" w:cs="Arial"/>
                <w:sz w:val="18"/>
                <w:szCs w:val="18"/>
              </w:rPr>
            </w:pPr>
            <w:r w:rsidRPr="00410937">
              <w:rPr>
                <w:rFonts w:ascii="Arial" w:hAnsi="Arial" w:cs="Arial"/>
                <w:sz w:val="18"/>
                <w:szCs w:val="18"/>
              </w:rPr>
              <w:t>37 674</w:t>
            </w:r>
          </w:p>
        </w:tc>
      </w:tr>
    </w:tbl>
    <w:p w:rsidR="002339B5" w:rsidRPr="00377133" w:rsidRDefault="002339B5" w:rsidP="002339B5">
      <w:pPr>
        <w:pStyle w:val="AERbodytext"/>
      </w:pPr>
      <w:r w:rsidRPr="00377133">
        <w:t>The spot price</w:t>
      </w:r>
      <w:r w:rsidR="00E523FC">
        <w:t>s</w:t>
      </w:r>
      <w:r w:rsidR="00654DBE">
        <w:t xml:space="preserve"> w</w:t>
      </w:r>
      <w:r w:rsidR="00E523FC">
        <w:t xml:space="preserve">ere </w:t>
      </w:r>
      <w:r w:rsidR="00654DBE">
        <w:t xml:space="preserve">similar to </w:t>
      </w:r>
      <w:r w:rsidR="00A7334D">
        <w:t>the</w:t>
      </w:r>
      <w:r w:rsidR="00E523FC">
        <w:t xml:space="preserve"> </w:t>
      </w:r>
      <w:r w:rsidRPr="00377133">
        <w:t>four hours ahead</w:t>
      </w:r>
      <w:r w:rsidR="00377133">
        <w:t xml:space="preserve"> </w:t>
      </w:r>
      <w:r w:rsidR="00654DBE">
        <w:t xml:space="preserve">forecast, </w:t>
      </w:r>
      <w:r w:rsidR="00E75826">
        <w:t xml:space="preserve">but </w:t>
      </w:r>
      <w:r w:rsidR="00654DBE">
        <w:t xml:space="preserve">around $150/MWh </w:t>
      </w:r>
      <w:r w:rsidR="00377133">
        <w:t xml:space="preserve">higher than </w:t>
      </w:r>
      <w:r w:rsidR="00A7334D">
        <w:t>the</w:t>
      </w:r>
      <w:r w:rsidR="00654DBE">
        <w:t xml:space="preserve"> </w:t>
      </w:r>
      <w:r w:rsidR="00377133">
        <w:t>12 hours ahead</w:t>
      </w:r>
      <w:r w:rsidR="00654DBE">
        <w:t xml:space="preserve"> forecast</w:t>
      </w:r>
      <w:r w:rsidR="00377133">
        <w:t>.</w:t>
      </w:r>
      <w:r w:rsidR="00364EF1">
        <w:t xml:space="preserve"> The</w:t>
      </w:r>
      <w:r w:rsidR="00E523FC">
        <w:t xml:space="preserve"> difference</w:t>
      </w:r>
      <w:r w:rsidR="00AF3A83">
        <w:t xml:space="preserve"> between the 12 hour</w:t>
      </w:r>
      <w:r w:rsidR="00364EF1">
        <w:t>s ahead forecast and actual wa</w:t>
      </w:r>
      <w:r w:rsidR="00E523FC">
        <w:t xml:space="preserve">s due to the </w:t>
      </w:r>
      <w:r w:rsidR="00FC6C78">
        <w:t xml:space="preserve">delayed </w:t>
      </w:r>
      <w:r w:rsidR="00E523FC">
        <w:t xml:space="preserve">return </w:t>
      </w:r>
      <w:r w:rsidR="0058645E">
        <w:t xml:space="preserve">to service </w:t>
      </w:r>
      <w:r w:rsidR="00E523FC">
        <w:t>of</w:t>
      </w:r>
      <w:r w:rsidR="00377133">
        <w:t xml:space="preserve"> </w:t>
      </w:r>
      <w:r w:rsidR="00E523FC">
        <w:t xml:space="preserve">Origin Energy’s </w:t>
      </w:r>
      <w:r w:rsidR="00377133">
        <w:t>Eraring unit 1</w:t>
      </w:r>
      <w:r w:rsidR="00364EF1">
        <w:t>. The market was notified of this delay</w:t>
      </w:r>
      <w:r w:rsidR="0058645E">
        <w:t xml:space="preserve"> at 9</w:t>
      </w:r>
      <w:r w:rsidR="00B4401E">
        <w:t> </w:t>
      </w:r>
      <w:r w:rsidR="0058645E">
        <w:t>am. This effectively</w:t>
      </w:r>
      <w:r w:rsidR="00E75826">
        <w:t xml:space="preserve"> </w:t>
      </w:r>
      <w:r w:rsidR="00E523FC">
        <w:t xml:space="preserve">reduced </w:t>
      </w:r>
      <w:r w:rsidR="00364EF1">
        <w:t xml:space="preserve">evening </w:t>
      </w:r>
      <w:r w:rsidR="00E523FC">
        <w:t>supply by 640 </w:t>
      </w:r>
      <w:r w:rsidR="00377133">
        <w:t>MW</w:t>
      </w:r>
      <w:r w:rsidR="00E75826">
        <w:t xml:space="preserve"> (</w:t>
      </w:r>
      <w:r w:rsidR="00377133">
        <w:t>al</w:t>
      </w:r>
      <w:r w:rsidR="00E523FC">
        <w:t>l of which was priced below $30</w:t>
      </w:r>
      <w:r w:rsidR="00377133">
        <w:t>/MWh</w:t>
      </w:r>
      <w:r w:rsidR="00E75826">
        <w:t>)</w:t>
      </w:r>
      <w:r w:rsidR="00377133">
        <w:t>.</w:t>
      </w:r>
      <w:r w:rsidR="00FC6C78">
        <w:t xml:space="preserve"> </w:t>
      </w:r>
      <w:r w:rsidR="00E523FC">
        <w:t xml:space="preserve">Following this reduction, the </w:t>
      </w:r>
      <w:r w:rsidR="00FC6C78">
        <w:t xml:space="preserve">forecast price </w:t>
      </w:r>
      <w:r w:rsidR="00B4401E">
        <w:t xml:space="preserve">in each region </w:t>
      </w:r>
      <w:r w:rsidR="00FC6C78">
        <w:t>increase</w:t>
      </w:r>
      <w:r w:rsidR="00B4401E">
        <w:t>d</w:t>
      </w:r>
      <w:r w:rsidR="00FC6C78">
        <w:t xml:space="preserve"> to around $300/MWh. </w:t>
      </w:r>
    </w:p>
    <w:p w:rsidR="00410937" w:rsidRPr="000D2E32" w:rsidRDefault="00410937" w:rsidP="00410937">
      <w:pPr>
        <w:pStyle w:val="Heading2"/>
        <w:rPr>
          <w:rFonts w:eastAsia="Times New Roman"/>
          <w:b w:val="0"/>
          <w:bCs w:val="0"/>
          <w:lang w:eastAsia="en-AU"/>
        </w:rPr>
      </w:pPr>
      <w:r>
        <w:rPr>
          <w:rFonts w:eastAsia="Times New Roman"/>
          <w:b w:val="0"/>
          <w:bCs w:val="0"/>
          <w:lang w:eastAsia="en-AU"/>
        </w:rPr>
        <w:t>South Australia</w:t>
      </w:r>
    </w:p>
    <w:p w:rsidR="00410937" w:rsidRPr="00410937" w:rsidRDefault="00410937" w:rsidP="002339B5">
      <w:pPr>
        <w:pStyle w:val="AERbodytext"/>
      </w:pPr>
      <w:r w:rsidRPr="00410937">
        <w:t>There were five occasions where the spot price in South Australia was greater than three times the South Australia weekly average price of $108/MWh and above $250/MWh. One of these occurred when prices were generally aligned across all regions and is detailed in the national market outcomes section. The remaining four occasions are presented below.</w:t>
      </w:r>
    </w:p>
    <w:p w:rsidR="00031F4C" w:rsidRPr="002D6AB4" w:rsidRDefault="00410937" w:rsidP="00031F4C">
      <w:pPr>
        <w:pStyle w:val="Heading3"/>
        <w:rPr>
          <w:rFonts w:eastAsia="Times New Roman"/>
        </w:rPr>
      </w:pPr>
      <w:r>
        <w:rPr>
          <w:rFonts w:eastAsia="Times New Roman"/>
        </w:rPr>
        <w:t>Fri</w:t>
      </w:r>
      <w:r w:rsidR="00031F4C">
        <w:rPr>
          <w:rFonts w:eastAsia="Times New Roman"/>
        </w:rPr>
        <w:t xml:space="preserve">day, </w:t>
      </w:r>
      <w:r>
        <w:rPr>
          <w:rFonts w:eastAsia="Times New Roman"/>
        </w:rPr>
        <w:t>24</w:t>
      </w:r>
      <w:r w:rsidR="00031F4C" w:rsidRPr="002D6AB4">
        <w:rPr>
          <w:rFonts w:eastAsia="Times New Roman"/>
        </w:rPr>
        <w:t xml:space="preserve"> </w:t>
      </w:r>
      <w:r w:rsidR="00031F4C">
        <w:rPr>
          <w:rFonts w:eastAsia="Times New Roman"/>
        </w:rPr>
        <w:t>June</w:t>
      </w:r>
    </w:p>
    <w:p w:rsidR="00031F4C" w:rsidRPr="0073319F" w:rsidRDefault="00031F4C" w:rsidP="00031F4C">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E2316">
        <w:rPr>
          <w:rFonts w:asciiTheme="minorHAnsi" w:hAnsiTheme="minorHAnsi" w:cstheme="minorHAnsi"/>
          <w:noProof/>
        </w:rPr>
        <w:t>5</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031F4C" w:rsidRPr="0073319F" w:rsidTr="002D5A5A">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031F4C" w:rsidRPr="0073319F" w:rsidRDefault="00031F4C"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031F4C" w:rsidRPr="0073319F" w:rsidRDefault="00031F4C"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031F4C" w:rsidRPr="0073319F" w:rsidRDefault="00031F4C"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031F4C" w:rsidRPr="0073319F" w:rsidRDefault="00031F4C" w:rsidP="002D5A5A">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031F4C" w:rsidRPr="0073319F" w:rsidTr="002D5A5A">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031F4C" w:rsidRPr="0073319F" w:rsidRDefault="00031F4C" w:rsidP="002D5A5A">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410937" w:rsidRPr="0073319F" w:rsidTr="005B6FC9">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410937" w:rsidRPr="00031F4C" w:rsidRDefault="00410937" w:rsidP="002339B5">
            <w:pPr>
              <w:spacing w:after="0" w:line="240" w:lineRule="auto"/>
              <w:jc w:val="center"/>
              <w:textAlignment w:val="center"/>
              <w:rPr>
                <w:rFonts w:cs="Arial"/>
                <w:color w:val="000000"/>
                <w:szCs w:val="18"/>
              </w:rPr>
            </w:pPr>
            <w:r>
              <w:rPr>
                <w:rFonts w:cs="Arial"/>
                <w:color w:val="000000"/>
                <w:szCs w:val="18"/>
              </w:rPr>
              <w:t>6.30 pm</w:t>
            </w:r>
          </w:p>
        </w:tc>
        <w:tc>
          <w:tcPr>
            <w:tcW w:w="478" w:type="pct"/>
            <w:vAlign w:val="center"/>
          </w:tcPr>
          <w:p w:rsidR="00410937" w:rsidRPr="00410937" w:rsidRDefault="00410937">
            <w:pPr>
              <w:pStyle w:val="NormalWeb"/>
              <w:jc w:val="center"/>
              <w:rPr>
                <w:rFonts w:ascii="Arial" w:hAnsi="Arial" w:cs="Arial"/>
                <w:sz w:val="18"/>
                <w:szCs w:val="16"/>
              </w:rPr>
            </w:pPr>
            <w:r w:rsidRPr="00410937">
              <w:rPr>
                <w:rFonts w:ascii="Arial" w:hAnsi="Arial" w:cs="Arial"/>
                <w:sz w:val="18"/>
                <w:szCs w:val="16"/>
              </w:rPr>
              <w:t>473.86</w:t>
            </w:r>
          </w:p>
        </w:tc>
        <w:tc>
          <w:tcPr>
            <w:tcW w:w="498" w:type="pct"/>
            <w:vAlign w:val="center"/>
          </w:tcPr>
          <w:p w:rsidR="00410937" w:rsidRPr="00410937" w:rsidRDefault="00410937">
            <w:pPr>
              <w:pStyle w:val="NormalWeb"/>
              <w:jc w:val="center"/>
              <w:rPr>
                <w:rFonts w:ascii="Arial" w:hAnsi="Arial" w:cs="Arial"/>
                <w:sz w:val="18"/>
                <w:szCs w:val="16"/>
              </w:rPr>
            </w:pPr>
            <w:r w:rsidRPr="00410937">
              <w:rPr>
                <w:rFonts w:ascii="Arial" w:hAnsi="Arial" w:cs="Arial"/>
                <w:sz w:val="18"/>
                <w:szCs w:val="16"/>
              </w:rPr>
              <w:t>350.00</w:t>
            </w:r>
          </w:p>
        </w:tc>
        <w:tc>
          <w:tcPr>
            <w:tcW w:w="498" w:type="pct"/>
            <w:vAlign w:val="center"/>
          </w:tcPr>
          <w:p w:rsidR="00410937" w:rsidRPr="00410937" w:rsidRDefault="00410937">
            <w:pPr>
              <w:pStyle w:val="NormalWeb"/>
              <w:jc w:val="center"/>
              <w:rPr>
                <w:rFonts w:ascii="Arial" w:hAnsi="Arial" w:cs="Arial"/>
                <w:sz w:val="18"/>
                <w:szCs w:val="16"/>
              </w:rPr>
            </w:pPr>
            <w:r w:rsidRPr="00410937">
              <w:rPr>
                <w:rFonts w:ascii="Arial" w:hAnsi="Arial" w:cs="Arial"/>
                <w:sz w:val="18"/>
                <w:szCs w:val="16"/>
              </w:rPr>
              <w:t>350.00</w:t>
            </w:r>
          </w:p>
        </w:tc>
        <w:tc>
          <w:tcPr>
            <w:tcW w:w="498" w:type="pct"/>
            <w:vAlign w:val="center"/>
          </w:tcPr>
          <w:p w:rsidR="00410937" w:rsidRPr="00410937" w:rsidRDefault="00410937">
            <w:pPr>
              <w:pStyle w:val="NormalWeb"/>
              <w:jc w:val="center"/>
              <w:rPr>
                <w:rFonts w:ascii="Arial" w:hAnsi="Arial" w:cs="Arial"/>
                <w:sz w:val="18"/>
                <w:szCs w:val="16"/>
              </w:rPr>
            </w:pPr>
            <w:r w:rsidRPr="00410937">
              <w:rPr>
                <w:rFonts w:ascii="Arial" w:hAnsi="Arial" w:cs="Arial"/>
                <w:sz w:val="18"/>
                <w:szCs w:val="16"/>
              </w:rPr>
              <w:t>2027</w:t>
            </w:r>
          </w:p>
        </w:tc>
        <w:tc>
          <w:tcPr>
            <w:tcW w:w="498" w:type="pct"/>
            <w:vAlign w:val="center"/>
          </w:tcPr>
          <w:p w:rsidR="00410937" w:rsidRPr="00410937" w:rsidRDefault="00410937">
            <w:pPr>
              <w:pStyle w:val="NormalWeb"/>
              <w:jc w:val="center"/>
              <w:rPr>
                <w:rFonts w:ascii="Arial" w:hAnsi="Arial" w:cs="Arial"/>
                <w:sz w:val="18"/>
                <w:szCs w:val="16"/>
              </w:rPr>
            </w:pPr>
            <w:r w:rsidRPr="00410937">
              <w:rPr>
                <w:rFonts w:ascii="Arial" w:hAnsi="Arial" w:cs="Arial"/>
                <w:sz w:val="18"/>
                <w:szCs w:val="16"/>
              </w:rPr>
              <w:t>1979</w:t>
            </w:r>
          </w:p>
        </w:tc>
        <w:tc>
          <w:tcPr>
            <w:tcW w:w="499" w:type="pct"/>
            <w:vAlign w:val="center"/>
          </w:tcPr>
          <w:p w:rsidR="00410937" w:rsidRPr="00410937" w:rsidRDefault="00410937">
            <w:pPr>
              <w:pStyle w:val="NormalWeb"/>
              <w:jc w:val="center"/>
              <w:rPr>
                <w:rFonts w:ascii="Arial" w:hAnsi="Arial" w:cs="Arial"/>
                <w:sz w:val="18"/>
                <w:szCs w:val="16"/>
              </w:rPr>
            </w:pPr>
            <w:r w:rsidRPr="00410937">
              <w:rPr>
                <w:rFonts w:ascii="Arial" w:hAnsi="Arial" w:cs="Arial"/>
                <w:sz w:val="18"/>
                <w:szCs w:val="16"/>
              </w:rPr>
              <w:t>1972</w:t>
            </w:r>
          </w:p>
        </w:tc>
        <w:tc>
          <w:tcPr>
            <w:tcW w:w="498" w:type="pct"/>
            <w:vAlign w:val="center"/>
          </w:tcPr>
          <w:p w:rsidR="00410937" w:rsidRPr="00410937" w:rsidRDefault="00410937">
            <w:pPr>
              <w:pStyle w:val="NormalWeb"/>
              <w:jc w:val="center"/>
              <w:rPr>
                <w:rFonts w:ascii="Arial" w:hAnsi="Arial" w:cs="Arial"/>
                <w:sz w:val="18"/>
                <w:szCs w:val="16"/>
              </w:rPr>
            </w:pPr>
            <w:r w:rsidRPr="00410937">
              <w:rPr>
                <w:rFonts w:ascii="Arial" w:hAnsi="Arial" w:cs="Arial"/>
                <w:sz w:val="18"/>
                <w:szCs w:val="16"/>
              </w:rPr>
              <w:t>2198</w:t>
            </w:r>
          </w:p>
        </w:tc>
        <w:tc>
          <w:tcPr>
            <w:tcW w:w="498" w:type="pct"/>
            <w:vAlign w:val="center"/>
          </w:tcPr>
          <w:p w:rsidR="00410937" w:rsidRPr="00410937" w:rsidRDefault="00410937">
            <w:pPr>
              <w:pStyle w:val="NormalWeb"/>
              <w:jc w:val="center"/>
              <w:rPr>
                <w:rFonts w:ascii="Arial" w:hAnsi="Arial" w:cs="Arial"/>
                <w:sz w:val="18"/>
                <w:szCs w:val="16"/>
              </w:rPr>
            </w:pPr>
            <w:r w:rsidRPr="00410937">
              <w:rPr>
                <w:rFonts w:ascii="Arial" w:hAnsi="Arial" w:cs="Arial"/>
                <w:sz w:val="18"/>
                <w:szCs w:val="16"/>
              </w:rPr>
              <w:t>2302</w:t>
            </w:r>
          </w:p>
        </w:tc>
        <w:tc>
          <w:tcPr>
            <w:tcW w:w="499" w:type="pct"/>
            <w:vAlign w:val="center"/>
          </w:tcPr>
          <w:p w:rsidR="00410937" w:rsidRPr="00410937" w:rsidRDefault="00410937">
            <w:pPr>
              <w:pStyle w:val="NormalWeb"/>
              <w:jc w:val="center"/>
              <w:rPr>
                <w:rFonts w:ascii="Arial" w:hAnsi="Arial" w:cs="Arial"/>
                <w:sz w:val="18"/>
                <w:szCs w:val="16"/>
              </w:rPr>
            </w:pPr>
            <w:r w:rsidRPr="00410937">
              <w:rPr>
                <w:rFonts w:ascii="Arial" w:hAnsi="Arial" w:cs="Arial"/>
                <w:sz w:val="18"/>
                <w:szCs w:val="16"/>
              </w:rPr>
              <w:t>2318</w:t>
            </w:r>
          </w:p>
        </w:tc>
      </w:tr>
    </w:tbl>
    <w:p w:rsidR="005B6FC9" w:rsidRPr="00AA0C1B" w:rsidRDefault="001F4726" w:rsidP="005B6FC9">
      <w:pPr>
        <w:pStyle w:val="AERbodytext"/>
      </w:pPr>
      <w:r w:rsidRPr="00AA0C1B">
        <w:t xml:space="preserve">Conditions at the time saw demand close to forecast and availability around 100 MW lower than forecast. </w:t>
      </w:r>
    </w:p>
    <w:p w:rsidR="00F50531" w:rsidRDefault="00F50531" w:rsidP="005B6FC9">
      <w:pPr>
        <w:pStyle w:val="AERbodytext"/>
      </w:pPr>
      <w:r>
        <w:t xml:space="preserve">At 2 pm, AGL notified the market of the delayed return to service of Torrens </w:t>
      </w:r>
      <w:proofErr w:type="gramStart"/>
      <w:r>
        <w:t>A</w:t>
      </w:r>
      <w:proofErr w:type="gramEnd"/>
      <w:r>
        <w:t xml:space="preserve"> unit 4, following </w:t>
      </w:r>
      <w:r w:rsidR="00A7334D">
        <w:t xml:space="preserve">a trip </w:t>
      </w:r>
      <w:r>
        <w:t>earlier in the day</w:t>
      </w:r>
      <w:r w:rsidR="002E2846">
        <w:t>, effectively reducing</w:t>
      </w:r>
      <w:r>
        <w:t xml:space="preserve"> </w:t>
      </w:r>
      <w:r w:rsidR="002E2846">
        <w:t xml:space="preserve">available supply in </w:t>
      </w:r>
      <w:r>
        <w:t>S</w:t>
      </w:r>
      <w:r w:rsidR="002E2846">
        <w:t xml:space="preserve">outh </w:t>
      </w:r>
      <w:r>
        <w:t>A</w:t>
      </w:r>
      <w:r w:rsidR="002E2846">
        <w:t>ustralia</w:t>
      </w:r>
      <w:r>
        <w:t xml:space="preserve"> by 120 MW. All of this capacity was priced below $160/MWh. </w:t>
      </w:r>
    </w:p>
    <w:p w:rsidR="00F50531" w:rsidRDefault="00F50531" w:rsidP="00F50531">
      <w:pPr>
        <w:pStyle w:val="AERbodytext"/>
      </w:pPr>
      <w:r>
        <w:lastRenderedPageBreak/>
        <w:t>The reduction in supply combined with</w:t>
      </w:r>
      <w:r w:rsidR="00AD3EC2">
        <w:t xml:space="preserve"> generation being constrained down at Lake Bonney, to manage the network limitations </w:t>
      </w:r>
      <w:r>
        <w:t>around Snuggery and Keith, saw the S</w:t>
      </w:r>
      <w:r w:rsidR="002E2846">
        <w:t xml:space="preserve">outh </w:t>
      </w:r>
      <w:r>
        <w:t>A</w:t>
      </w:r>
      <w:r w:rsidR="002E2846">
        <w:t>ustralian</w:t>
      </w:r>
      <w:r>
        <w:t xml:space="preserve"> dispatch price increase from </w:t>
      </w:r>
      <w:r w:rsidR="00AA0C1B" w:rsidRPr="00AA0C1B">
        <w:t>$300/MWh at 6.10 pm to $1527/MWh at 6.15 pm.</w:t>
      </w:r>
      <w:r>
        <w:t xml:space="preserve"> Prices returned to below $150/MWh for the remainder of the trading interval. </w:t>
      </w:r>
    </w:p>
    <w:p w:rsidR="00410937" w:rsidRPr="002D6AB4" w:rsidRDefault="00410937" w:rsidP="00410937">
      <w:pPr>
        <w:pStyle w:val="Heading3"/>
        <w:rPr>
          <w:rFonts w:eastAsia="Times New Roman"/>
        </w:rPr>
      </w:pPr>
      <w:r>
        <w:rPr>
          <w:rFonts w:eastAsia="Times New Roman"/>
        </w:rPr>
        <w:t>Saturday, 25</w:t>
      </w:r>
      <w:r w:rsidRPr="002D6AB4">
        <w:rPr>
          <w:rFonts w:eastAsia="Times New Roman"/>
        </w:rPr>
        <w:t xml:space="preserve"> </w:t>
      </w:r>
      <w:r>
        <w:rPr>
          <w:rFonts w:eastAsia="Times New Roman"/>
        </w:rPr>
        <w:t>June</w:t>
      </w:r>
    </w:p>
    <w:p w:rsidR="00410937" w:rsidRPr="0073319F" w:rsidRDefault="00410937" w:rsidP="00410937">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E2316">
        <w:rPr>
          <w:rFonts w:asciiTheme="minorHAnsi" w:hAnsiTheme="minorHAnsi" w:cstheme="minorHAnsi"/>
          <w:noProof/>
        </w:rPr>
        <w:t>6</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410937" w:rsidRPr="0073319F" w:rsidTr="00FF70C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410937" w:rsidRPr="0073319F" w:rsidRDefault="00410937"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410937" w:rsidRPr="0073319F" w:rsidRDefault="00410937"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410937" w:rsidRPr="0073319F" w:rsidRDefault="00410937"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410937" w:rsidRPr="0073319F" w:rsidRDefault="00410937"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410937" w:rsidRPr="0073319F" w:rsidTr="00FF70C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410937" w:rsidRPr="0073319F" w:rsidRDefault="00410937"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410937" w:rsidRPr="0073319F" w:rsidRDefault="00410937"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410937" w:rsidRPr="0073319F" w:rsidRDefault="00410937"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410937" w:rsidRPr="0073319F" w:rsidRDefault="00410937"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410937" w:rsidRPr="0073319F" w:rsidRDefault="00410937"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410937" w:rsidRPr="0073319F" w:rsidRDefault="00410937"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410937" w:rsidRPr="0073319F" w:rsidRDefault="00410937"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410937" w:rsidRPr="0073319F" w:rsidRDefault="00410937"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410937" w:rsidRPr="0073319F" w:rsidRDefault="00410937"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410937" w:rsidRPr="0073319F" w:rsidRDefault="00410937"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FF70CB" w:rsidRPr="0073319F" w:rsidTr="00FF70C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FF70CB" w:rsidRPr="00FF70CB" w:rsidRDefault="00FF70CB" w:rsidP="00FF70CB">
            <w:pPr>
              <w:pStyle w:val="NormalWeb"/>
              <w:jc w:val="center"/>
              <w:rPr>
                <w:rFonts w:ascii="Arial" w:hAnsi="Arial" w:cs="Arial"/>
                <w:sz w:val="18"/>
                <w:szCs w:val="16"/>
              </w:rPr>
            </w:pPr>
            <w:r w:rsidRPr="00FF70CB">
              <w:rPr>
                <w:rFonts w:ascii="Arial" w:hAnsi="Arial" w:cs="Arial"/>
                <w:sz w:val="18"/>
                <w:szCs w:val="16"/>
              </w:rPr>
              <w:t>8</w:t>
            </w:r>
            <w:r>
              <w:rPr>
                <w:rFonts w:ascii="Arial" w:hAnsi="Arial" w:cs="Arial"/>
                <w:sz w:val="18"/>
                <w:szCs w:val="16"/>
              </w:rPr>
              <w:t xml:space="preserve"> am</w:t>
            </w:r>
          </w:p>
        </w:tc>
        <w:tc>
          <w:tcPr>
            <w:tcW w:w="47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329.39</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123.69</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159.99</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1437</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1405</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1371</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2006</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2094</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2015</w:t>
            </w:r>
          </w:p>
        </w:tc>
      </w:tr>
      <w:tr w:rsidR="00FF70CB" w:rsidRPr="0073319F" w:rsidTr="00FF70CB">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8</w:t>
            </w:r>
            <w:r>
              <w:rPr>
                <w:rFonts w:ascii="Arial" w:hAnsi="Arial" w:cs="Arial"/>
                <w:sz w:val="18"/>
                <w:szCs w:val="16"/>
              </w:rPr>
              <w:t>.30 am</w:t>
            </w:r>
          </w:p>
        </w:tc>
        <w:tc>
          <w:tcPr>
            <w:tcW w:w="47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375.45</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160.99</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299.99</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1524</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1487</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1453</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2007</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2096</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2011</w:t>
            </w:r>
          </w:p>
        </w:tc>
      </w:tr>
      <w:tr w:rsidR="00FF70CB" w:rsidRPr="0073319F" w:rsidTr="00FF70C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FF70CB" w:rsidRPr="00FF70CB" w:rsidRDefault="00FF70CB">
            <w:pPr>
              <w:pStyle w:val="NormalWeb"/>
              <w:jc w:val="center"/>
              <w:rPr>
                <w:rFonts w:ascii="Arial" w:hAnsi="Arial" w:cs="Arial"/>
                <w:sz w:val="18"/>
                <w:szCs w:val="16"/>
              </w:rPr>
            </w:pPr>
            <w:r>
              <w:rPr>
                <w:rFonts w:ascii="Arial" w:hAnsi="Arial" w:cs="Arial"/>
                <w:sz w:val="18"/>
                <w:szCs w:val="16"/>
              </w:rPr>
              <w:t>9 am</w:t>
            </w:r>
          </w:p>
        </w:tc>
        <w:tc>
          <w:tcPr>
            <w:tcW w:w="47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351.00</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160.99</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299.99</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1570</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1515</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1497</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2006</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2097</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2011</w:t>
            </w:r>
          </w:p>
        </w:tc>
      </w:tr>
    </w:tbl>
    <w:p w:rsidR="00F219B8" w:rsidRPr="00C020EE" w:rsidRDefault="00F219B8" w:rsidP="00F219B8">
      <w:pPr>
        <w:pStyle w:val="AERbodytext"/>
      </w:pPr>
      <w:r w:rsidRPr="00C020EE">
        <w:t xml:space="preserve">Conditions at the time </w:t>
      </w:r>
      <w:r w:rsidR="0047237E">
        <w:t xml:space="preserve">saw </w:t>
      </w:r>
      <w:r w:rsidRPr="00C020EE">
        <w:t xml:space="preserve">availability close to forecast. </w:t>
      </w:r>
      <w:r w:rsidR="00F131BD">
        <w:t>Wind generation was only around 40 MW, around 70 MW lower than forecast</w:t>
      </w:r>
      <w:r w:rsidRPr="00C020EE">
        <w:t xml:space="preserve"> </w:t>
      </w:r>
      <w:r w:rsidR="00F131BD">
        <w:t>four hours ahead.</w:t>
      </w:r>
    </w:p>
    <w:p w:rsidR="00F219B8" w:rsidRPr="00C020EE" w:rsidRDefault="00F131BD" w:rsidP="00F219B8">
      <w:pPr>
        <w:pStyle w:val="AERbodytext"/>
      </w:pPr>
      <w:r>
        <w:t>The reduction in forecast prices 12 and 4 hours ahead for 8.30</w:t>
      </w:r>
      <w:r w:rsidR="0030433A">
        <w:t> </w:t>
      </w:r>
      <w:r>
        <w:t xml:space="preserve">am and 9 am trading intervals were a result of rebidding by AGL at Torrens Island. </w:t>
      </w:r>
      <w:r w:rsidR="000C1B93">
        <w:t>During the high price period</w:t>
      </w:r>
      <w:r w:rsidR="009F0AD3">
        <w:t>,</w:t>
      </w:r>
      <w:r w:rsidR="00F219B8" w:rsidRPr="00C020EE">
        <w:t xml:space="preserve"> </w:t>
      </w:r>
      <w:r w:rsidR="009F0AD3">
        <w:t xml:space="preserve">South Australia had a </w:t>
      </w:r>
      <w:r w:rsidR="00F219B8" w:rsidRPr="00C020EE">
        <w:t>steep supply curve</w:t>
      </w:r>
      <w:r>
        <w:t xml:space="preserve"> with no capacity </w:t>
      </w:r>
      <w:r w:rsidR="00F219B8" w:rsidRPr="00C020EE">
        <w:t>priced between $1</w:t>
      </w:r>
      <w:r>
        <w:t>6</w:t>
      </w:r>
      <w:r w:rsidR="00F219B8" w:rsidRPr="00C020EE">
        <w:t xml:space="preserve">0/MWh </w:t>
      </w:r>
      <w:r w:rsidR="0047237E">
        <w:t xml:space="preserve">and </w:t>
      </w:r>
      <w:r w:rsidR="00F219B8" w:rsidRPr="00C020EE">
        <w:t>$</w:t>
      </w:r>
      <w:r>
        <w:t>300</w:t>
      </w:r>
      <w:r w:rsidR="00F219B8" w:rsidRPr="00C020EE">
        <w:t xml:space="preserve">/MWh. </w:t>
      </w:r>
      <w:r>
        <w:t>Small changes in demand and wind dispatch resulted in dispatch prices between $160/MWh and $410/MWh during the high priced period</w:t>
      </w:r>
      <w:r w:rsidR="0047237E">
        <w:t>.</w:t>
      </w:r>
    </w:p>
    <w:p w:rsidR="005B6FC9" w:rsidRPr="000D2E32" w:rsidRDefault="008A0E23" w:rsidP="005B6FC9">
      <w:pPr>
        <w:pStyle w:val="Heading2"/>
        <w:rPr>
          <w:rFonts w:eastAsia="Times New Roman"/>
          <w:b w:val="0"/>
          <w:bCs w:val="0"/>
          <w:lang w:eastAsia="en-AU"/>
        </w:rPr>
      </w:pPr>
      <w:r>
        <w:t>Tasmania</w:t>
      </w:r>
    </w:p>
    <w:p w:rsidR="002339B5" w:rsidRPr="002339B5" w:rsidRDefault="00364EF1" w:rsidP="002339B5">
      <w:pPr>
        <w:pStyle w:val="AERbodytext"/>
      </w:pPr>
      <w:r>
        <w:t>There were</w:t>
      </w:r>
      <w:r w:rsidR="002339B5" w:rsidRPr="002339B5">
        <w:t xml:space="preserve"> </w:t>
      </w:r>
      <w:r w:rsidR="00FF70CB">
        <w:t>15</w:t>
      </w:r>
      <w:r w:rsidR="002339B5" w:rsidRPr="002339B5">
        <w:t xml:space="preserve"> occasion</w:t>
      </w:r>
      <w:r w:rsidR="008A0E23">
        <w:t>s</w:t>
      </w:r>
      <w:r w:rsidR="002339B5" w:rsidRPr="002339B5">
        <w:t xml:space="preserve"> where the spot price in Tasmania was greater than three times the Tasmania weekly average price of $</w:t>
      </w:r>
      <w:r w:rsidR="00FF70CB">
        <w:t>8</w:t>
      </w:r>
      <w:r w:rsidR="002339B5" w:rsidRPr="002339B5">
        <w:t xml:space="preserve">6/MWh and above $250/MWh. </w:t>
      </w:r>
      <w:r w:rsidR="00FF70CB">
        <w:t>One</w:t>
      </w:r>
      <w:r w:rsidR="002339B5" w:rsidRPr="002339B5">
        <w:t xml:space="preserve"> of these occurred when prices were generally aligned across all regions and is detailed in the national market outcomes section. The remaining </w:t>
      </w:r>
      <w:r w:rsidR="00FF70CB">
        <w:t xml:space="preserve">14 </w:t>
      </w:r>
      <w:r w:rsidR="002339B5" w:rsidRPr="002339B5">
        <w:t>occasion</w:t>
      </w:r>
      <w:r w:rsidR="00FF70CB">
        <w:t>s</w:t>
      </w:r>
      <w:r w:rsidR="002339B5" w:rsidRPr="002339B5">
        <w:t xml:space="preserve"> </w:t>
      </w:r>
      <w:r w:rsidR="00FF70CB">
        <w:t>are</w:t>
      </w:r>
      <w:r w:rsidR="002339B5" w:rsidRPr="002339B5">
        <w:t xml:space="preserve"> presented below.</w:t>
      </w:r>
    </w:p>
    <w:p w:rsidR="008A0E23" w:rsidRPr="002D6AB4" w:rsidRDefault="00FF70CB" w:rsidP="008A0E23">
      <w:pPr>
        <w:pStyle w:val="Heading3"/>
        <w:rPr>
          <w:rFonts w:eastAsia="Times New Roman"/>
        </w:rPr>
      </w:pPr>
      <w:r>
        <w:rPr>
          <w:rFonts w:eastAsia="Times New Roman"/>
        </w:rPr>
        <w:t>Mon</w:t>
      </w:r>
      <w:r w:rsidR="008A0E23">
        <w:rPr>
          <w:rFonts w:eastAsia="Times New Roman"/>
        </w:rPr>
        <w:t xml:space="preserve">day, </w:t>
      </w:r>
      <w:r>
        <w:rPr>
          <w:rFonts w:eastAsia="Times New Roman"/>
        </w:rPr>
        <w:t>20</w:t>
      </w:r>
      <w:r w:rsidR="008A0E23" w:rsidRPr="002D6AB4">
        <w:rPr>
          <w:rFonts w:eastAsia="Times New Roman"/>
        </w:rPr>
        <w:t xml:space="preserve"> </w:t>
      </w:r>
      <w:r w:rsidR="008A0E23">
        <w:rPr>
          <w:rFonts w:eastAsia="Times New Roman"/>
        </w:rPr>
        <w:t>June</w:t>
      </w:r>
    </w:p>
    <w:p w:rsidR="005B6FC9" w:rsidRPr="0073319F" w:rsidRDefault="005B6FC9" w:rsidP="005B6FC9">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E2316">
        <w:rPr>
          <w:rFonts w:asciiTheme="minorHAnsi" w:hAnsiTheme="minorHAnsi" w:cstheme="minorHAnsi"/>
          <w:noProof/>
        </w:rPr>
        <w:t>7</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5B6FC9" w:rsidRPr="0073319F" w:rsidTr="00F731D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5B6FC9" w:rsidRPr="0073319F" w:rsidRDefault="005B6FC9" w:rsidP="00F731D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5B6FC9" w:rsidRPr="0073319F" w:rsidTr="00F731D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5B6FC9" w:rsidRPr="0073319F" w:rsidRDefault="005B6FC9" w:rsidP="00F731D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FF70CB" w:rsidRPr="0073319F" w:rsidTr="00F731D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FF70CB" w:rsidRPr="00FF70CB" w:rsidRDefault="00FF70CB" w:rsidP="00FF70CB">
            <w:pPr>
              <w:pStyle w:val="NormalWeb"/>
              <w:jc w:val="center"/>
              <w:rPr>
                <w:rFonts w:ascii="Arial" w:hAnsi="Arial" w:cs="Arial"/>
                <w:sz w:val="18"/>
                <w:szCs w:val="16"/>
              </w:rPr>
            </w:pPr>
            <w:r w:rsidRPr="00FF70CB">
              <w:rPr>
                <w:rFonts w:ascii="Arial" w:hAnsi="Arial" w:cs="Arial"/>
                <w:sz w:val="18"/>
                <w:szCs w:val="16"/>
              </w:rPr>
              <w:t>10</w:t>
            </w:r>
            <w:r>
              <w:rPr>
                <w:rFonts w:ascii="Arial" w:hAnsi="Arial" w:cs="Arial"/>
                <w:sz w:val="18"/>
                <w:szCs w:val="16"/>
              </w:rPr>
              <w:t xml:space="preserve"> am</w:t>
            </w:r>
          </w:p>
        </w:tc>
        <w:tc>
          <w:tcPr>
            <w:tcW w:w="47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270.58</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341.72</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300.32</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1394</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1372</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1366</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2333</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2343</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2335</w:t>
            </w:r>
          </w:p>
        </w:tc>
      </w:tr>
      <w:tr w:rsidR="00FF70CB" w:rsidRPr="0073319F" w:rsidTr="00F731DB">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10</w:t>
            </w:r>
            <w:r>
              <w:rPr>
                <w:rFonts w:ascii="Arial" w:hAnsi="Arial" w:cs="Arial"/>
                <w:sz w:val="18"/>
                <w:szCs w:val="16"/>
              </w:rPr>
              <w:t>.30 am</w:t>
            </w:r>
          </w:p>
        </w:tc>
        <w:tc>
          <w:tcPr>
            <w:tcW w:w="47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301.67</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66.74</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68.04</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1382</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1338</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1335</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2319</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2344</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2341</w:t>
            </w:r>
          </w:p>
        </w:tc>
      </w:tr>
      <w:tr w:rsidR="00FF70CB" w:rsidRPr="0073319F" w:rsidTr="00F731D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FF70CB" w:rsidRPr="00FF70CB" w:rsidRDefault="00FF70CB" w:rsidP="00FF70CB">
            <w:pPr>
              <w:pStyle w:val="NormalWeb"/>
              <w:jc w:val="center"/>
              <w:rPr>
                <w:rFonts w:ascii="Arial" w:hAnsi="Arial" w:cs="Arial"/>
                <w:sz w:val="18"/>
                <w:szCs w:val="16"/>
              </w:rPr>
            </w:pPr>
            <w:r w:rsidRPr="00FF70CB">
              <w:rPr>
                <w:rFonts w:ascii="Arial" w:hAnsi="Arial" w:cs="Arial"/>
                <w:sz w:val="18"/>
                <w:szCs w:val="16"/>
              </w:rPr>
              <w:t>1</w:t>
            </w:r>
            <w:r>
              <w:rPr>
                <w:rFonts w:ascii="Arial" w:hAnsi="Arial" w:cs="Arial"/>
                <w:sz w:val="18"/>
                <w:szCs w:val="16"/>
              </w:rPr>
              <w:t>1 am</w:t>
            </w:r>
          </w:p>
        </w:tc>
        <w:tc>
          <w:tcPr>
            <w:tcW w:w="47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265.93</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97.76</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77.72</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1396</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1307</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1296</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2309</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2345</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2341</w:t>
            </w:r>
          </w:p>
        </w:tc>
      </w:tr>
    </w:tbl>
    <w:p w:rsidR="0055298D" w:rsidRDefault="00114352" w:rsidP="007600A5">
      <w:pPr>
        <w:pStyle w:val="AERbodytext"/>
      </w:pPr>
      <w:r w:rsidRPr="00272178">
        <w:t xml:space="preserve">Conditions at the time saw demand </w:t>
      </w:r>
      <w:r w:rsidR="00D83AE7">
        <w:t xml:space="preserve">up to </w:t>
      </w:r>
      <w:r w:rsidRPr="00272178">
        <w:t xml:space="preserve">59 MW higher than </w:t>
      </w:r>
      <w:r w:rsidR="00364EF1">
        <w:t xml:space="preserve">the </w:t>
      </w:r>
      <w:r w:rsidRPr="00272178">
        <w:t>four hours ahead</w:t>
      </w:r>
      <w:r w:rsidR="00364EF1">
        <w:t xml:space="preserve"> forecast</w:t>
      </w:r>
      <w:r w:rsidRPr="00272178">
        <w:t>.</w:t>
      </w:r>
    </w:p>
    <w:p w:rsidR="00FC04BE" w:rsidRDefault="0055298D" w:rsidP="0055298D">
      <w:pPr>
        <w:pStyle w:val="AERbodytext"/>
      </w:pPr>
      <w:r>
        <w:t>During the high price period</w:t>
      </w:r>
      <w:r w:rsidR="00781976">
        <w:t>s</w:t>
      </w:r>
      <w:r>
        <w:t>,</w:t>
      </w:r>
      <w:r w:rsidRPr="00C020EE">
        <w:t xml:space="preserve"> </w:t>
      </w:r>
      <w:r>
        <w:t xml:space="preserve">Tasmania had a </w:t>
      </w:r>
      <w:r w:rsidRPr="00C020EE">
        <w:t>steep supply curve</w:t>
      </w:r>
      <w:r>
        <w:t>,</w:t>
      </w:r>
      <w:r w:rsidRPr="00C020EE">
        <w:t xml:space="preserve"> with </w:t>
      </w:r>
      <w:r>
        <w:t xml:space="preserve">no capacity </w:t>
      </w:r>
      <w:r w:rsidRPr="00C020EE">
        <w:t>priced between $</w:t>
      </w:r>
      <w:r>
        <w:t>65</w:t>
      </w:r>
      <w:r w:rsidRPr="00C020EE">
        <w:t xml:space="preserve">/MWh </w:t>
      </w:r>
      <w:r>
        <w:t>and $285</w:t>
      </w:r>
      <w:r w:rsidRPr="00C020EE">
        <w:t xml:space="preserve">/MWh. </w:t>
      </w:r>
    </w:p>
    <w:p w:rsidR="005E343A" w:rsidRDefault="00AE51F9" w:rsidP="0055298D">
      <w:pPr>
        <w:pStyle w:val="AERbodytext"/>
      </w:pPr>
      <w:r>
        <w:t>T</w:t>
      </w:r>
      <w:r w:rsidR="005E343A">
        <w:t>he 10</w:t>
      </w:r>
      <w:r>
        <w:t> </w:t>
      </w:r>
      <w:r w:rsidR="005E343A">
        <w:t xml:space="preserve">am interval </w:t>
      </w:r>
      <w:r w:rsidR="00882E1D">
        <w:t>price</w:t>
      </w:r>
      <w:r>
        <w:t xml:space="preserve"> was slightly lower than forecast four hours ahead as export to Victoria were slightly lower than forecast.</w:t>
      </w:r>
    </w:p>
    <w:p w:rsidR="0055298D" w:rsidRPr="00C020EE" w:rsidRDefault="005E343A" w:rsidP="007600A5">
      <w:pPr>
        <w:pStyle w:val="AERbodytext"/>
      </w:pPr>
      <w:r>
        <w:lastRenderedPageBreak/>
        <w:t>The 10.30</w:t>
      </w:r>
      <w:r w:rsidR="00AE51F9">
        <w:t> </w:t>
      </w:r>
      <w:r>
        <w:t>am and 11</w:t>
      </w:r>
      <w:r w:rsidR="00AE51F9">
        <w:t> </w:t>
      </w:r>
      <w:r>
        <w:t xml:space="preserve">am trading intervals saw </w:t>
      </w:r>
      <w:r w:rsidR="0055298D" w:rsidRPr="00C020EE">
        <w:t xml:space="preserve">demand </w:t>
      </w:r>
      <w:r w:rsidR="0055298D">
        <w:t xml:space="preserve">greater than </w:t>
      </w:r>
      <w:r w:rsidR="00AE51F9">
        <w:t xml:space="preserve">forecast </w:t>
      </w:r>
      <w:r w:rsidR="0055298D">
        <w:t>four hours ahead</w:t>
      </w:r>
      <w:r w:rsidR="00A7334D">
        <w:t xml:space="preserve"> </w:t>
      </w:r>
      <w:r>
        <w:t>(by up to 89</w:t>
      </w:r>
      <w:r w:rsidR="00AE51F9">
        <w:t> </w:t>
      </w:r>
      <w:r>
        <w:t>MW)</w:t>
      </w:r>
      <w:r w:rsidR="0055298D">
        <w:t>,</w:t>
      </w:r>
      <w:r>
        <w:t xml:space="preserve"> resulting in</w:t>
      </w:r>
      <w:r w:rsidR="0055298D">
        <w:t xml:space="preserve"> the </w:t>
      </w:r>
      <w:r w:rsidR="00AE51F9">
        <w:t>dispatch price at around</w:t>
      </w:r>
      <w:r w:rsidR="0055298D">
        <w:t xml:space="preserve"> $</w:t>
      </w:r>
      <w:r w:rsidR="00AE51F9">
        <w:t>3</w:t>
      </w:r>
      <w:r w:rsidR="0055298D" w:rsidRPr="0055298D">
        <w:t>00</w:t>
      </w:r>
      <w:r w:rsidR="0055298D">
        <w:t xml:space="preserve">/MWh </w:t>
      </w:r>
      <w:r w:rsidR="00AE51F9">
        <w:t>for all but one dispatch interval at 11 am</w:t>
      </w:r>
      <w:r w:rsidR="0055298D">
        <w:t>.</w:t>
      </w:r>
      <w:r w:rsidR="00882E1D">
        <w:t xml:space="preserve"> </w:t>
      </w:r>
    </w:p>
    <w:p w:rsidR="00FF70CB" w:rsidRPr="0073319F" w:rsidRDefault="00FF70CB" w:rsidP="00FF70CB">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E2316">
        <w:rPr>
          <w:rFonts w:asciiTheme="minorHAnsi" w:hAnsiTheme="minorHAnsi" w:cstheme="minorHAnsi"/>
          <w:noProof/>
        </w:rPr>
        <w:t>8</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FF70CB" w:rsidRPr="0073319F" w:rsidTr="00FF70C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FF70CB" w:rsidRPr="0073319F" w:rsidTr="00FF70C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FF70CB" w:rsidRPr="0073319F" w:rsidTr="00FF70C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FF70CB" w:rsidRPr="00FF70CB" w:rsidRDefault="00FF70CB" w:rsidP="00FF70CB">
            <w:pPr>
              <w:pStyle w:val="NormalWeb"/>
              <w:jc w:val="center"/>
              <w:rPr>
                <w:rFonts w:ascii="Arial" w:hAnsi="Arial" w:cs="Arial"/>
                <w:sz w:val="18"/>
                <w:szCs w:val="16"/>
              </w:rPr>
            </w:pPr>
            <w:r>
              <w:rPr>
                <w:rFonts w:ascii="Arial" w:hAnsi="Arial" w:cs="Arial"/>
                <w:sz w:val="18"/>
                <w:szCs w:val="16"/>
              </w:rPr>
              <w:t>4</w:t>
            </w:r>
            <w:r w:rsidR="00272178">
              <w:rPr>
                <w:rFonts w:ascii="Arial" w:hAnsi="Arial" w:cs="Arial"/>
                <w:sz w:val="18"/>
                <w:szCs w:val="16"/>
              </w:rPr>
              <w:t>.30</w:t>
            </w:r>
            <w:r>
              <w:rPr>
                <w:rFonts w:ascii="Arial" w:hAnsi="Arial" w:cs="Arial"/>
                <w:sz w:val="18"/>
                <w:szCs w:val="16"/>
              </w:rPr>
              <w:t xml:space="preserve"> pm</w:t>
            </w:r>
          </w:p>
        </w:tc>
        <w:tc>
          <w:tcPr>
            <w:tcW w:w="47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279.65</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94.84</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49.32</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1380</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1293</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1264</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2287</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2331</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2341</w:t>
            </w:r>
          </w:p>
        </w:tc>
      </w:tr>
    </w:tbl>
    <w:p w:rsidR="00FF70CB" w:rsidRPr="000E26B0" w:rsidRDefault="00675C7F" w:rsidP="005B6FC9">
      <w:pPr>
        <w:pStyle w:val="AERbodytext"/>
      </w:pPr>
      <w:r w:rsidRPr="000E26B0">
        <w:t xml:space="preserve">Conditions at the time saw demand 87 MW less than forecast four hours ahead. </w:t>
      </w:r>
    </w:p>
    <w:p w:rsidR="00FC04BE" w:rsidRPr="000E26B0" w:rsidRDefault="00781976" w:rsidP="00FC04BE">
      <w:pPr>
        <w:pStyle w:val="AERbodytext"/>
      </w:pPr>
      <w:r>
        <w:t xml:space="preserve">Again </w:t>
      </w:r>
      <w:r w:rsidR="00FC04BE">
        <w:t xml:space="preserve">Tasmania had a </w:t>
      </w:r>
      <w:r w:rsidR="00FC04BE" w:rsidRPr="00C020EE">
        <w:t>steep supply curve</w:t>
      </w:r>
      <w:r w:rsidR="00FC04BE">
        <w:t>,</w:t>
      </w:r>
      <w:r w:rsidR="00FC04BE" w:rsidRPr="00C020EE">
        <w:t xml:space="preserve"> with </w:t>
      </w:r>
      <w:r w:rsidR="00FC04BE">
        <w:t xml:space="preserve">no capacity </w:t>
      </w:r>
      <w:r w:rsidR="00FC04BE" w:rsidRPr="00C020EE">
        <w:t>priced between $</w:t>
      </w:r>
      <w:r w:rsidR="00446065">
        <w:t>70</w:t>
      </w:r>
      <w:r w:rsidR="00FC04BE" w:rsidRPr="00C020EE">
        <w:t xml:space="preserve">/MWh </w:t>
      </w:r>
      <w:r w:rsidR="00FC04BE">
        <w:t>and $285</w:t>
      </w:r>
      <w:r w:rsidR="00FC04BE" w:rsidRPr="00C020EE">
        <w:t xml:space="preserve">/MWh. </w:t>
      </w:r>
      <w:r w:rsidR="00446065">
        <w:t>Small changes in demand resulted in the dispatch price increasing from $91/MWh at 4.10 pm to $398/MWh at 4.15 pm</w:t>
      </w:r>
      <w:r w:rsidR="00FC04BE">
        <w:t xml:space="preserve"> </w:t>
      </w:r>
      <w:r w:rsidR="00446065">
        <w:t>and then fluctuate between $300/MWh and $398/MWh for the remainder of the trading interval.</w:t>
      </w:r>
    </w:p>
    <w:p w:rsidR="00FF70CB" w:rsidRPr="0073319F" w:rsidRDefault="00FF70CB" w:rsidP="00FF70CB">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E2316">
        <w:rPr>
          <w:rFonts w:asciiTheme="minorHAnsi" w:hAnsiTheme="minorHAnsi" w:cstheme="minorHAnsi"/>
          <w:noProof/>
        </w:rPr>
        <w:t>9</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FF70CB" w:rsidRPr="0073319F" w:rsidTr="00FF70C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FF70CB" w:rsidRPr="0073319F" w:rsidTr="00FF70C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FF70CB" w:rsidRPr="0073319F" w:rsidTr="00FF70C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FF70CB" w:rsidRPr="00FF70CB" w:rsidRDefault="00FF70CB" w:rsidP="00FF70CB">
            <w:pPr>
              <w:pStyle w:val="NormalWeb"/>
              <w:jc w:val="center"/>
              <w:rPr>
                <w:rFonts w:ascii="Arial" w:hAnsi="Arial" w:cs="Arial"/>
                <w:sz w:val="18"/>
                <w:szCs w:val="16"/>
              </w:rPr>
            </w:pPr>
            <w:r>
              <w:rPr>
                <w:rFonts w:ascii="Arial" w:hAnsi="Arial" w:cs="Arial"/>
                <w:sz w:val="18"/>
                <w:szCs w:val="16"/>
              </w:rPr>
              <w:t>6.pm</w:t>
            </w:r>
          </w:p>
        </w:tc>
        <w:tc>
          <w:tcPr>
            <w:tcW w:w="47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258.31</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300.32</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99.36</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1502</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1448</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1390</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2321</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2347</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2341</w:t>
            </w:r>
          </w:p>
        </w:tc>
      </w:tr>
    </w:tbl>
    <w:p w:rsidR="00FF70CB" w:rsidRPr="000E26B0" w:rsidRDefault="007600A5" w:rsidP="005B6FC9">
      <w:pPr>
        <w:pStyle w:val="AERbodytext"/>
      </w:pPr>
      <w:r w:rsidRPr="000E26B0">
        <w:t xml:space="preserve">Price was close to forecast four hours ahead. </w:t>
      </w:r>
    </w:p>
    <w:p w:rsidR="00FF70CB" w:rsidRPr="002D6AB4" w:rsidRDefault="00FF70CB" w:rsidP="00FF70CB">
      <w:pPr>
        <w:pStyle w:val="Heading3"/>
        <w:rPr>
          <w:rFonts w:eastAsia="Times New Roman"/>
        </w:rPr>
      </w:pPr>
      <w:r>
        <w:rPr>
          <w:rFonts w:eastAsia="Times New Roman"/>
        </w:rPr>
        <w:t>Tuesday, 21</w:t>
      </w:r>
      <w:r w:rsidRPr="002D6AB4">
        <w:rPr>
          <w:rFonts w:eastAsia="Times New Roman"/>
        </w:rPr>
        <w:t xml:space="preserve"> </w:t>
      </w:r>
      <w:r>
        <w:rPr>
          <w:rFonts w:eastAsia="Times New Roman"/>
        </w:rPr>
        <w:t>June</w:t>
      </w:r>
    </w:p>
    <w:p w:rsidR="00FF70CB" w:rsidRPr="0073319F" w:rsidRDefault="00FF70CB" w:rsidP="00FF70CB">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E2316">
        <w:rPr>
          <w:rFonts w:asciiTheme="minorHAnsi" w:hAnsiTheme="minorHAnsi" w:cstheme="minorHAnsi"/>
          <w:noProof/>
        </w:rPr>
        <w:t>10</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FF70CB" w:rsidRPr="0073319F" w:rsidTr="00FF70C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FF70CB" w:rsidRPr="0073319F" w:rsidTr="00FF70C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FF70CB" w:rsidRPr="0073319F" w:rsidTr="00FF70C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FF70CB" w:rsidRPr="00FF70CB" w:rsidRDefault="00FF70CB" w:rsidP="00FF70CB">
            <w:pPr>
              <w:pStyle w:val="NormalWeb"/>
              <w:jc w:val="center"/>
              <w:rPr>
                <w:rFonts w:ascii="Arial" w:hAnsi="Arial" w:cs="Arial"/>
                <w:sz w:val="18"/>
                <w:szCs w:val="16"/>
              </w:rPr>
            </w:pPr>
            <w:r w:rsidRPr="00FF70CB">
              <w:rPr>
                <w:rFonts w:ascii="Arial" w:hAnsi="Arial" w:cs="Arial"/>
                <w:sz w:val="18"/>
                <w:szCs w:val="16"/>
              </w:rPr>
              <w:t>10</w:t>
            </w:r>
            <w:r>
              <w:rPr>
                <w:rFonts w:ascii="Arial" w:hAnsi="Arial" w:cs="Arial"/>
                <w:sz w:val="18"/>
                <w:szCs w:val="16"/>
              </w:rPr>
              <w:t xml:space="preserve"> am</w:t>
            </w:r>
          </w:p>
        </w:tc>
        <w:tc>
          <w:tcPr>
            <w:tcW w:w="47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258.79</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400.38</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31.02</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1321</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1333</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1330</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2151</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2192</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2205</w:t>
            </w:r>
          </w:p>
        </w:tc>
      </w:tr>
    </w:tbl>
    <w:p w:rsidR="00FF70CB" w:rsidRDefault="000E26B0" w:rsidP="005B6FC9">
      <w:pPr>
        <w:pStyle w:val="AERbodytext"/>
      </w:pPr>
      <w:r w:rsidRPr="000E26B0">
        <w:t>Conditions at the time saw demand and availability close to forecast</w:t>
      </w:r>
      <w:r w:rsidR="004F5B21">
        <w:t xml:space="preserve"> and the actual price lower than forecast four hours ahead</w:t>
      </w:r>
      <w:r w:rsidRPr="000E26B0">
        <w:t xml:space="preserve">. </w:t>
      </w:r>
    </w:p>
    <w:p w:rsidR="00D83DD9" w:rsidRDefault="000E26B0" w:rsidP="005B6FC9">
      <w:pPr>
        <w:pStyle w:val="AERbodytext"/>
      </w:pPr>
      <w:r>
        <w:t>At 7.33 am, Hydro Tasmania rebid 54</w:t>
      </w:r>
      <w:r w:rsidR="00446065">
        <w:t> </w:t>
      </w:r>
      <w:r>
        <w:t>MW of capacity at T</w:t>
      </w:r>
      <w:r w:rsidR="00FC04BE">
        <w:t xml:space="preserve">revallyn </w:t>
      </w:r>
      <w:r w:rsidR="00446065">
        <w:t>priced at</w:t>
      </w:r>
      <w:r w:rsidR="00364EF1">
        <w:t xml:space="preserve"> </w:t>
      </w:r>
      <w:r w:rsidR="00FC04BE">
        <w:t>$400/MWh</w:t>
      </w:r>
      <w:r w:rsidR="00364EF1">
        <w:t xml:space="preserve"> </w:t>
      </w:r>
      <w:r w:rsidR="00446065">
        <w:t>to-</w:t>
      </w:r>
      <w:r>
        <w:t xml:space="preserve">$50/MWh. The reason given was “0735P increasing inflow forecast – South </w:t>
      </w:r>
      <w:proofErr w:type="spellStart"/>
      <w:r>
        <w:t>esk</w:t>
      </w:r>
      <w:proofErr w:type="spellEnd"/>
      <w:r>
        <w:t xml:space="preserve">, </w:t>
      </w:r>
      <w:proofErr w:type="gramStart"/>
      <w:r>
        <w:t>meander rivers</w:t>
      </w:r>
      <w:proofErr w:type="gramEnd"/>
      <w:r>
        <w:t xml:space="preserve">”. </w:t>
      </w:r>
      <w:r w:rsidR="00FC04BE">
        <w:t xml:space="preserve">This </w:t>
      </w:r>
      <w:r w:rsidR="004F5B21">
        <w:t>resulted in all but one dispatch interval priced at $300/MWh for the trading interval</w:t>
      </w:r>
      <w:r w:rsidR="00D83DD9">
        <w:t xml:space="preserve">. </w:t>
      </w:r>
    </w:p>
    <w:p w:rsidR="009923B1" w:rsidRPr="000E26B0" w:rsidRDefault="009923B1" w:rsidP="005B6FC9">
      <w:pPr>
        <w:pStyle w:val="AERbodytext"/>
      </w:pPr>
    </w:p>
    <w:p w:rsidR="00FF70CB" w:rsidRPr="002D6AB4" w:rsidRDefault="00FF70CB" w:rsidP="009923B1">
      <w:pPr>
        <w:pStyle w:val="Heading3"/>
        <w:keepNext/>
        <w:rPr>
          <w:rFonts w:eastAsia="Times New Roman"/>
        </w:rPr>
      </w:pPr>
      <w:r>
        <w:rPr>
          <w:rFonts w:eastAsia="Times New Roman"/>
        </w:rPr>
        <w:lastRenderedPageBreak/>
        <w:t>Friday, 24</w:t>
      </w:r>
      <w:r w:rsidRPr="002D6AB4">
        <w:rPr>
          <w:rFonts w:eastAsia="Times New Roman"/>
        </w:rPr>
        <w:t xml:space="preserve"> </w:t>
      </w:r>
      <w:r>
        <w:rPr>
          <w:rFonts w:eastAsia="Times New Roman"/>
        </w:rPr>
        <w:t>June</w:t>
      </w:r>
    </w:p>
    <w:p w:rsidR="00FF70CB" w:rsidRPr="0073319F" w:rsidRDefault="00FF70CB" w:rsidP="009923B1">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E2316">
        <w:rPr>
          <w:rFonts w:asciiTheme="minorHAnsi" w:hAnsiTheme="minorHAnsi" w:cstheme="minorHAnsi"/>
          <w:noProof/>
        </w:rPr>
        <w:t>11</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FF70CB" w:rsidRPr="0073319F" w:rsidTr="00FF70C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FF70CB" w:rsidRPr="0073319F" w:rsidRDefault="00FF70CB" w:rsidP="009923B1">
            <w:pPr>
              <w:pStyle w:val="TableHeading"/>
              <w:keepNext/>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FF70CB" w:rsidRPr="0073319F" w:rsidRDefault="00FF70CB" w:rsidP="009923B1">
            <w:pPr>
              <w:pStyle w:val="TableHeading"/>
              <w:keepNext/>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FF70CB" w:rsidRPr="0073319F" w:rsidRDefault="00FF70CB" w:rsidP="009923B1">
            <w:pPr>
              <w:pStyle w:val="TableHeading"/>
              <w:keepNext/>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FF70CB" w:rsidRPr="0073319F" w:rsidRDefault="00FF70CB" w:rsidP="009923B1">
            <w:pPr>
              <w:pStyle w:val="TableHeading"/>
              <w:keepNext/>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FF70CB" w:rsidRPr="0073319F" w:rsidTr="00FF70C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FF70CB" w:rsidRPr="0073319F" w:rsidRDefault="00FF70CB"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FF70CB" w:rsidRPr="0073319F" w:rsidRDefault="00FF70CB"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FF70CB" w:rsidRPr="0073319F" w:rsidRDefault="00FF70CB"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FF70CB" w:rsidRPr="0073319F" w:rsidRDefault="00FF70CB"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FF70CB" w:rsidRPr="0073319F" w:rsidRDefault="00FF70CB"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FF70CB" w:rsidRPr="0073319F" w:rsidRDefault="00FF70CB"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FF70CB" w:rsidRPr="0073319F" w:rsidRDefault="00FF70CB"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FF70CB" w:rsidRPr="0073319F" w:rsidTr="00FF70C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FF70CB" w:rsidRPr="00FF70CB" w:rsidRDefault="00FF70CB" w:rsidP="009923B1">
            <w:pPr>
              <w:pStyle w:val="NormalWeb"/>
              <w:keepNext/>
              <w:jc w:val="center"/>
              <w:rPr>
                <w:rFonts w:ascii="Arial" w:hAnsi="Arial" w:cs="Arial"/>
                <w:sz w:val="18"/>
                <w:szCs w:val="16"/>
              </w:rPr>
            </w:pPr>
            <w:r>
              <w:rPr>
                <w:rFonts w:ascii="Arial" w:hAnsi="Arial" w:cs="Arial"/>
                <w:sz w:val="18"/>
                <w:szCs w:val="16"/>
              </w:rPr>
              <w:t>7.30 am</w:t>
            </w:r>
          </w:p>
        </w:tc>
        <w:tc>
          <w:tcPr>
            <w:tcW w:w="478" w:type="pct"/>
            <w:vAlign w:val="center"/>
          </w:tcPr>
          <w:p w:rsidR="00FF70CB" w:rsidRPr="00FF70CB" w:rsidRDefault="00FF70CB" w:rsidP="009923B1">
            <w:pPr>
              <w:pStyle w:val="NormalWeb"/>
              <w:keepNext/>
              <w:jc w:val="center"/>
              <w:rPr>
                <w:rFonts w:ascii="Arial" w:hAnsi="Arial" w:cs="Arial"/>
                <w:sz w:val="18"/>
                <w:szCs w:val="16"/>
              </w:rPr>
            </w:pPr>
            <w:r w:rsidRPr="00FF70CB">
              <w:rPr>
                <w:rFonts w:ascii="Arial" w:hAnsi="Arial" w:cs="Arial"/>
                <w:sz w:val="18"/>
                <w:szCs w:val="16"/>
              </w:rPr>
              <w:t>305.75</w:t>
            </w:r>
          </w:p>
        </w:tc>
        <w:tc>
          <w:tcPr>
            <w:tcW w:w="498" w:type="pct"/>
            <w:vAlign w:val="center"/>
          </w:tcPr>
          <w:p w:rsidR="00FF70CB" w:rsidRPr="00FF70CB" w:rsidRDefault="00FF70CB" w:rsidP="009923B1">
            <w:pPr>
              <w:pStyle w:val="NormalWeb"/>
              <w:keepNext/>
              <w:jc w:val="center"/>
              <w:rPr>
                <w:rFonts w:ascii="Arial" w:hAnsi="Arial" w:cs="Arial"/>
                <w:sz w:val="18"/>
                <w:szCs w:val="16"/>
              </w:rPr>
            </w:pPr>
            <w:r w:rsidRPr="00FF70CB">
              <w:rPr>
                <w:rFonts w:ascii="Arial" w:hAnsi="Arial" w:cs="Arial"/>
                <w:sz w:val="18"/>
                <w:szCs w:val="16"/>
              </w:rPr>
              <w:t>40.65</w:t>
            </w:r>
          </w:p>
        </w:tc>
        <w:tc>
          <w:tcPr>
            <w:tcW w:w="498" w:type="pct"/>
            <w:vAlign w:val="center"/>
          </w:tcPr>
          <w:p w:rsidR="00FF70CB" w:rsidRPr="00FF70CB" w:rsidRDefault="00FF70CB" w:rsidP="009923B1">
            <w:pPr>
              <w:pStyle w:val="NormalWeb"/>
              <w:keepNext/>
              <w:jc w:val="center"/>
              <w:rPr>
                <w:rFonts w:ascii="Arial" w:hAnsi="Arial" w:cs="Arial"/>
                <w:sz w:val="18"/>
                <w:szCs w:val="16"/>
              </w:rPr>
            </w:pPr>
            <w:r w:rsidRPr="00FF70CB">
              <w:rPr>
                <w:rFonts w:ascii="Arial" w:hAnsi="Arial" w:cs="Arial"/>
                <w:sz w:val="18"/>
                <w:szCs w:val="16"/>
              </w:rPr>
              <w:t>35.92</w:t>
            </w:r>
          </w:p>
        </w:tc>
        <w:tc>
          <w:tcPr>
            <w:tcW w:w="498" w:type="pct"/>
            <w:vAlign w:val="center"/>
          </w:tcPr>
          <w:p w:rsidR="00FF70CB" w:rsidRPr="00FF70CB" w:rsidRDefault="00FF70CB" w:rsidP="009923B1">
            <w:pPr>
              <w:pStyle w:val="NormalWeb"/>
              <w:keepNext/>
              <w:jc w:val="center"/>
              <w:rPr>
                <w:rFonts w:ascii="Arial" w:hAnsi="Arial" w:cs="Arial"/>
                <w:sz w:val="18"/>
                <w:szCs w:val="16"/>
              </w:rPr>
            </w:pPr>
            <w:r w:rsidRPr="00FF70CB">
              <w:rPr>
                <w:rFonts w:ascii="Arial" w:hAnsi="Arial" w:cs="Arial"/>
                <w:sz w:val="18"/>
                <w:szCs w:val="16"/>
              </w:rPr>
              <w:t>1442</w:t>
            </w:r>
          </w:p>
        </w:tc>
        <w:tc>
          <w:tcPr>
            <w:tcW w:w="498" w:type="pct"/>
            <w:vAlign w:val="center"/>
          </w:tcPr>
          <w:p w:rsidR="00FF70CB" w:rsidRPr="00FF70CB" w:rsidRDefault="00FF70CB" w:rsidP="009923B1">
            <w:pPr>
              <w:pStyle w:val="NormalWeb"/>
              <w:keepNext/>
              <w:jc w:val="center"/>
              <w:rPr>
                <w:rFonts w:ascii="Arial" w:hAnsi="Arial" w:cs="Arial"/>
                <w:sz w:val="18"/>
                <w:szCs w:val="16"/>
              </w:rPr>
            </w:pPr>
            <w:r w:rsidRPr="00FF70CB">
              <w:rPr>
                <w:rFonts w:ascii="Arial" w:hAnsi="Arial" w:cs="Arial"/>
                <w:sz w:val="18"/>
                <w:szCs w:val="16"/>
              </w:rPr>
              <w:t>1433</w:t>
            </w:r>
          </w:p>
        </w:tc>
        <w:tc>
          <w:tcPr>
            <w:tcW w:w="499" w:type="pct"/>
            <w:vAlign w:val="center"/>
          </w:tcPr>
          <w:p w:rsidR="00FF70CB" w:rsidRPr="00FF70CB" w:rsidRDefault="00FF70CB" w:rsidP="009923B1">
            <w:pPr>
              <w:pStyle w:val="NormalWeb"/>
              <w:keepNext/>
              <w:jc w:val="center"/>
              <w:rPr>
                <w:rFonts w:ascii="Arial" w:hAnsi="Arial" w:cs="Arial"/>
                <w:sz w:val="18"/>
                <w:szCs w:val="16"/>
              </w:rPr>
            </w:pPr>
            <w:r w:rsidRPr="00FF70CB">
              <w:rPr>
                <w:rFonts w:ascii="Arial" w:hAnsi="Arial" w:cs="Arial"/>
                <w:sz w:val="18"/>
                <w:szCs w:val="16"/>
              </w:rPr>
              <w:t>1435</w:t>
            </w:r>
          </w:p>
        </w:tc>
        <w:tc>
          <w:tcPr>
            <w:tcW w:w="498" w:type="pct"/>
            <w:vAlign w:val="center"/>
          </w:tcPr>
          <w:p w:rsidR="00FF70CB" w:rsidRPr="00FF70CB" w:rsidRDefault="00FF70CB" w:rsidP="009923B1">
            <w:pPr>
              <w:pStyle w:val="NormalWeb"/>
              <w:keepNext/>
              <w:jc w:val="center"/>
              <w:rPr>
                <w:rFonts w:ascii="Arial" w:hAnsi="Arial" w:cs="Arial"/>
                <w:sz w:val="18"/>
                <w:szCs w:val="16"/>
              </w:rPr>
            </w:pPr>
            <w:r w:rsidRPr="00FF70CB">
              <w:rPr>
                <w:rFonts w:ascii="Arial" w:hAnsi="Arial" w:cs="Arial"/>
                <w:sz w:val="18"/>
                <w:szCs w:val="16"/>
              </w:rPr>
              <w:t>2161</w:t>
            </w:r>
          </w:p>
        </w:tc>
        <w:tc>
          <w:tcPr>
            <w:tcW w:w="498" w:type="pct"/>
            <w:vAlign w:val="center"/>
          </w:tcPr>
          <w:p w:rsidR="00FF70CB" w:rsidRPr="00FF70CB" w:rsidRDefault="00FF70CB" w:rsidP="009923B1">
            <w:pPr>
              <w:pStyle w:val="NormalWeb"/>
              <w:keepNext/>
              <w:jc w:val="center"/>
              <w:rPr>
                <w:rFonts w:ascii="Arial" w:hAnsi="Arial" w:cs="Arial"/>
                <w:sz w:val="18"/>
                <w:szCs w:val="16"/>
              </w:rPr>
            </w:pPr>
            <w:r w:rsidRPr="00FF70CB">
              <w:rPr>
                <w:rFonts w:ascii="Arial" w:hAnsi="Arial" w:cs="Arial"/>
                <w:sz w:val="18"/>
                <w:szCs w:val="16"/>
              </w:rPr>
              <w:t>2169</w:t>
            </w:r>
          </w:p>
        </w:tc>
        <w:tc>
          <w:tcPr>
            <w:tcW w:w="499" w:type="pct"/>
            <w:vAlign w:val="center"/>
          </w:tcPr>
          <w:p w:rsidR="00FF70CB" w:rsidRPr="00FF70CB" w:rsidRDefault="00FF70CB" w:rsidP="009923B1">
            <w:pPr>
              <w:pStyle w:val="NormalWeb"/>
              <w:keepNext/>
              <w:jc w:val="center"/>
              <w:rPr>
                <w:rFonts w:ascii="Arial" w:hAnsi="Arial" w:cs="Arial"/>
                <w:sz w:val="18"/>
                <w:szCs w:val="16"/>
              </w:rPr>
            </w:pPr>
            <w:r w:rsidRPr="00FF70CB">
              <w:rPr>
                <w:rFonts w:ascii="Arial" w:hAnsi="Arial" w:cs="Arial"/>
                <w:sz w:val="18"/>
                <w:szCs w:val="16"/>
              </w:rPr>
              <w:t>2189</w:t>
            </w:r>
          </w:p>
        </w:tc>
      </w:tr>
    </w:tbl>
    <w:p w:rsidR="00AD0BDE" w:rsidRDefault="00AD0BDE" w:rsidP="00AD0BDE">
      <w:pPr>
        <w:pStyle w:val="AERbodytext"/>
      </w:pPr>
      <w:r w:rsidRPr="000E26B0">
        <w:t xml:space="preserve">Conditions at the time saw demand and availability close to forecast. </w:t>
      </w:r>
    </w:p>
    <w:p w:rsidR="00FF70CB" w:rsidRDefault="00FC04BE" w:rsidP="00AD0BDE">
      <w:pPr>
        <w:pStyle w:val="AERbodytext"/>
        <w:rPr>
          <w:color w:val="FF0000"/>
        </w:rPr>
      </w:pPr>
      <w:r>
        <w:t>During the high price period,</w:t>
      </w:r>
      <w:r w:rsidR="00D96A64">
        <w:t xml:space="preserve"> </w:t>
      </w:r>
      <w:r>
        <w:t xml:space="preserve">Tasmania had </w:t>
      </w:r>
      <w:r w:rsidR="00D96A64">
        <w:t>a steep supply curve</w:t>
      </w:r>
      <w:r w:rsidR="00730446">
        <w:t>,</w:t>
      </w:r>
      <w:r w:rsidR="00D96A64">
        <w:t xml:space="preserve"> with no capacity priced between </w:t>
      </w:r>
      <w:r w:rsidR="00D96A64" w:rsidRPr="00AD29F4">
        <w:rPr>
          <w:color w:val="000000" w:themeColor="text1"/>
        </w:rPr>
        <w:t>$</w:t>
      </w:r>
      <w:r w:rsidR="002E7DC5" w:rsidRPr="00AD29F4">
        <w:rPr>
          <w:color w:val="000000" w:themeColor="text1"/>
        </w:rPr>
        <w:t>40</w:t>
      </w:r>
      <w:r w:rsidR="00D96A64" w:rsidRPr="00AD29F4">
        <w:rPr>
          <w:color w:val="000000" w:themeColor="text1"/>
        </w:rPr>
        <w:t xml:space="preserve">/MWh </w:t>
      </w:r>
      <w:r w:rsidR="00803D7F">
        <w:rPr>
          <w:color w:val="000000" w:themeColor="text1"/>
        </w:rPr>
        <w:t xml:space="preserve">and </w:t>
      </w:r>
      <w:r w:rsidR="00D96A64" w:rsidRPr="00AD29F4">
        <w:rPr>
          <w:color w:val="000000" w:themeColor="text1"/>
        </w:rPr>
        <w:t>$</w:t>
      </w:r>
      <w:r w:rsidR="002E7DC5" w:rsidRPr="00AD29F4">
        <w:rPr>
          <w:color w:val="000000" w:themeColor="text1"/>
        </w:rPr>
        <w:t>280</w:t>
      </w:r>
      <w:r w:rsidR="00D96A64" w:rsidRPr="00AD29F4">
        <w:rPr>
          <w:color w:val="000000" w:themeColor="text1"/>
        </w:rPr>
        <w:t xml:space="preserve">/MWh. </w:t>
      </w:r>
      <w:r w:rsidR="002C3EA5" w:rsidRPr="00AD29F4">
        <w:rPr>
          <w:color w:val="000000" w:themeColor="text1"/>
        </w:rPr>
        <w:t>Four hours</w:t>
      </w:r>
      <w:r w:rsidR="00803D7F">
        <w:rPr>
          <w:color w:val="000000" w:themeColor="text1"/>
        </w:rPr>
        <w:t xml:space="preserve"> ahead </w:t>
      </w:r>
      <w:proofErr w:type="spellStart"/>
      <w:r w:rsidR="00803D7F">
        <w:rPr>
          <w:color w:val="000000" w:themeColor="text1"/>
        </w:rPr>
        <w:t>Basslink</w:t>
      </w:r>
      <w:proofErr w:type="spellEnd"/>
      <w:r w:rsidR="00803D7F">
        <w:rPr>
          <w:color w:val="000000" w:themeColor="text1"/>
        </w:rPr>
        <w:t xml:space="preserve"> was forecast to</w:t>
      </w:r>
      <w:r w:rsidR="00D863C2">
        <w:rPr>
          <w:color w:val="000000" w:themeColor="text1"/>
        </w:rPr>
        <w:t xml:space="preserve"> </w:t>
      </w:r>
      <w:r w:rsidR="002C3EA5" w:rsidRPr="00AD29F4">
        <w:rPr>
          <w:color w:val="000000" w:themeColor="text1"/>
        </w:rPr>
        <w:t>import</w:t>
      </w:r>
      <w:r w:rsidR="00D863C2">
        <w:rPr>
          <w:color w:val="000000" w:themeColor="text1"/>
        </w:rPr>
        <w:t xml:space="preserve"> </w:t>
      </w:r>
      <w:r w:rsidR="002C3EA5" w:rsidRPr="00AD29F4">
        <w:rPr>
          <w:color w:val="000000" w:themeColor="text1"/>
        </w:rPr>
        <w:t xml:space="preserve">90 MW </w:t>
      </w:r>
      <w:r w:rsidR="00D863C2">
        <w:rPr>
          <w:color w:val="000000" w:themeColor="text1"/>
        </w:rPr>
        <w:t>but</w:t>
      </w:r>
      <w:r w:rsidR="002C3EA5" w:rsidRPr="00AD29F4">
        <w:rPr>
          <w:color w:val="000000" w:themeColor="text1"/>
        </w:rPr>
        <w:t xml:space="preserve"> </w:t>
      </w:r>
      <w:r w:rsidR="00D863C2">
        <w:rPr>
          <w:color w:val="000000" w:themeColor="text1"/>
        </w:rPr>
        <w:t xml:space="preserve">it </w:t>
      </w:r>
      <w:r w:rsidR="002C3EA5" w:rsidRPr="00AD29F4">
        <w:rPr>
          <w:color w:val="000000" w:themeColor="text1"/>
        </w:rPr>
        <w:t xml:space="preserve">actually </w:t>
      </w:r>
      <w:r w:rsidR="00D863C2">
        <w:rPr>
          <w:color w:val="000000" w:themeColor="text1"/>
        </w:rPr>
        <w:t>exported</w:t>
      </w:r>
      <w:r w:rsidR="002C3EA5" w:rsidRPr="00AD29F4">
        <w:rPr>
          <w:color w:val="000000" w:themeColor="text1"/>
        </w:rPr>
        <w:t xml:space="preserve"> at 90 MW</w:t>
      </w:r>
      <w:r w:rsidR="00D96A64" w:rsidRPr="00AD29F4">
        <w:rPr>
          <w:color w:val="000000" w:themeColor="text1"/>
        </w:rPr>
        <w:t>.</w:t>
      </w:r>
      <w:r w:rsidR="002C3EA5" w:rsidRPr="00AD29F4">
        <w:rPr>
          <w:color w:val="000000" w:themeColor="text1"/>
        </w:rPr>
        <w:t xml:space="preserve"> This change saw the dispatch price at around $300/MWh for the entire trading interval.</w:t>
      </w:r>
    </w:p>
    <w:p w:rsidR="00FF70CB" w:rsidRPr="0073319F" w:rsidRDefault="00FF70CB" w:rsidP="00FF70CB">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E2316">
        <w:rPr>
          <w:rFonts w:asciiTheme="minorHAnsi" w:hAnsiTheme="minorHAnsi" w:cstheme="minorHAnsi"/>
          <w:noProof/>
        </w:rPr>
        <w:t>12</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FF70CB" w:rsidRPr="0073319F" w:rsidTr="00FF70C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FF70CB" w:rsidRPr="0073319F" w:rsidTr="00FF70C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FF70CB" w:rsidRPr="0073319F" w:rsidTr="00FF70C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FF70CB" w:rsidRPr="00FF70CB" w:rsidRDefault="00FF70CB" w:rsidP="00FF70CB">
            <w:pPr>
              <w:pStyle w:val="NormalWeb"/>
              <w:jc w:val="center"/>
              <w:rPr>
                <w:rFonts w:ascii="Arial" w:hAnsi="Arial" w:cs="Arial"/>
                <w:sz w:val="18"/>
                <w:szCs w:val="16"/>
              </w:rPr>
            </w:pPr>
            <w:r>
              <w:rPr>
                <w:rFonts w:ascii="Arial" w:hAnsi="Arial" w:cs="Arial"/>
                <w:sz w:val="18"/>
                <w:szCs w:val="16"/>
              </w:rPr>
              <w:t>9.30 am</w:t>
            </w:r>
          </w:p>
        </w:tc>
        <w:tc>
          <w:tcPr>
            <w:tcW w:w="47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301.25</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71.32</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50.67</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1411</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1485</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1487</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2153</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2166</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2179</w:t>
            </w:r>
          </w:p>
        </w:tc>
      </w:tr>
    </w:tbl>
    <w:p w:rsidR="00D96A64" w:rsidRDefault="00D96A64" w:rsidP="00D96A64">
      <w:pPr>
        <w:pStyle w:val="AERbodytext"/>
      </w:pPr>
      <w:r w:rsidRPr="000E26B0">
        <w:t xml:space="preserve">Conditions at the time saw demand </w:t>
      </w:r>
      <w:r w:rsidR="001A2BC2">
        <w:t xml:space="preserve">slightly less than forecast </w:t>
      </w:r>
      <w:r w:rsidRPr="000E26B0">
        <w:t>and availability close to forecast</w:t>
      </w:r>
      <w:r w:rsidR="001A2BC2">
        <w:t xml:space="preserve"> four hours ahead</w:t>
      </w:r>
      <w:r w:rsidRPr="000E26B0">
        <w:t xml:space="preserve">. </w:t>
      </w:r>
    </w:p>
    <w:p w:rsidR="002C3EA5" w:rsidRDefault="002C3EA5" w:rsidP="002C3EA5">
      <w:pPr>
        <w:pStyle w:val="AERbodytext"/>
        <w:rPr>
          <w:color w:val="FF0000"/>
        </w:rPr>
      </w:pPr>
      <w:r>
        <w:t xml:space="preserve">During the high price period, Tasmania had a steep supply curve, with no capacity priced between </w:t>
      </w:r>
      <w:r w:rsidRPr="000E26B0">
        <w:t>$</w:t>
      </w:r>
      <w:r>
        <w:t>40</w:t>
      </w:r>
      <w:r w:rsidRPr="000E26B0">
        <w:t>/MWh</w:t>
      </w:r>
      <w:r w:rsidR="00D863C2">
        <w:t xml:space="preserve"> and</w:t>
      </w:r>
      <w:r w:rsidRPr="000E26B0">
        <w:t xml:space="preserve"> $</w:t>
      </w:r>
      <w:r>
        <w:t>280</w:t>
      </w:r>
      <w:r w:rsidRPr="000E26B0">
        <w:t>/MWh</w:t>
      </w:r>
      <w:r>
        <w:t>. Four hours a</w:t>
      </w:r>
      <w:r w:rsidR="00D863C2">
        <w:t xml:space="preserve">head </w:t>
      </w:r>
      <w:proofErr w:type="spellStart"/>
      <w:r w:rsidR="00D863C2">
        <w:t>Basslink</w:t>
      </w:r>
      <w:proofErr w:type="spellEnd"/>
      <w:r w:rsidR="00D863C2">
        <w:t xml:space="preserve"> was forecast to import</w:t>
      </w:r>
      <w:r>
        <w:t xml:space="preserve"> around 180 MW</w:t>
      </w:r>
      <w:r w:rsidR="00D863C2">
        <w:t>, but it</w:t>
      </w:r>
      <w:r>
        <w:t xml:space="preserve"> actually </w:t>
      </w:r>
      <w:r w:rsidR="00D863C2">
        <w:t>exported</w:t>
      </w:r>
      <w:r>
        <w:t xml:space="preserve"> 100 MW. </w:t>
      </w:r>
      <w:r w:rsidR="00D863C2">
        <w:t>This saw the</w:t>
      </w:r>
      <w:r w:rsidR="00D863C2">
        <w:t xml:space="preserve"> dispatch price </w:t>
      </w:r>
      <w:r w:rsidR="00D863C2">
        <w:t>fluctuate</w:t>
      </w:r>
      <w:r w:rsidR="00D863C2">
        <w:t xml:space="preserve"> between</w:t>
      </w:r>
      <w:r>
        <w:t xml:space="preserve"> $150/MWh and $428/MWh</w:t>
      </w:r>
      <w:r w:rsidR="00803D7F">
        <w:t xml:space="preserve"> for the trading interval</w:t>
      </w:r>
      <w:r>
        <w:t>.</w:t>
      </w:r>
    </w:p>
    <w:p w:rsidR="00FF70CB" w:rsidRPr="0073319F" w:rsidRDefault="00FF70CB" w:rsidP="00FF70CB">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8E2316">
        <w:rPr>
          <w:rFonts w:asciiTheme="minorHAnsi" w:hAnsiTheme="minorHAnsi" w:cstheme="minorHAnsi"/>
          <w:noProof/>
        </w:rPr>
        <w:t>13</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FF70CB" w:rsidRPr="0073319F" w:rsidTr="00FF70C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FF70CB" w:rsidRPr="0073319F" w:rsidRDefault="00FF70CB" w:rsidP="00FF70CB">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FF70CB" w:rsidRPr="0073319F" w:rsidTr="00FF70C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FF70CB" w:rsidRPr="0073319F" w:rsidRDefault="00FF70CB" w:rsidP="00FF70CB">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FF70CB" w:rsidRPr="0073319F" w:rsidTr="00FF70CB">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FF70CB" w:rsidRPr="00FF70CB" w:rsidRDefault="00FF70CB" w:rsidP="00FF70CB">
            <w:pPr>
              <w:pStyle w:val="NormalWeb"/>
              <w:jc w:val="center"/>
              <w:rPr>
                <w:rFonts w:ascii="Arial" w:hAnsi="Arial" w:cs="Arial"/>
                <w:sz w:val="18"/>
                <w:szCs w:val="16"/>
              </w:rPr>
            </w:pPr>
            <w:r>
              <w:rPr>
                <w:rFonts w:ascii="Arial" w:hAnsi="Arial" w:cs="Arial"/>
                <w:sz w:val="18"/>
                <w:szCs w:val="16"/>
              </w:rPr>
              <w:t>5 pm</w:t>
            </w:r>
          </w:p>
        </w:tc>
        <w:tc>
          <w:tcPr>
            <w:tcW w:w="47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273.44</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51.57</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69.11</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1363</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1328</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1370</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2175</w:t>
            </w:r>
          </w:p>
        </w:tc>
        <w:tc>
          <w:tcPr>
            <w:tcW w:w="498"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2169</w:t>
            </w:r>
          </w:p>
        </w:tc>
        <w:tc>
          <w:tcPr>
            <w:tcW w:w="499" w:type="pct"/>
            <w:vAlign w:val="center"/>
          </w:tcPr>
          <w:p w:rsidR="00FF70CB" w:rsidRPr="00FF70CB" w:rsidRDefault="00FF70CB">
            <w:pPr>
              <w:pStyle w:val="NormalWeb"/>
              <w:jc w:val="center"/>
              <w:rPr>
                <w:rFonts w:ascii="Arial" w:hAnsi="Arial" w:cs="Arial"/>
                <w:sz w:val="18"/>
                <w:szCs w:val="16"/>
              </w:rPr>
            </w:pPr>
            <w:r w:rsidRPr="00FF70CB">
              <w:rPr>
                <w:rFonts w:ascii="Arial" w:hAnsi="Arial" w:cs="Arial"/>
                <w:sz w:val="18"/>
                <w:szCs w:val="16"/>
              </w:rPr>
              <w:t>2174</w:t>
            </w:r>
          </w:p>
        </w:tc>
      </w:tr>
    </w:tbl>
    <w:p w:rsidR="005943E8" w:rsidRDefault="005943E8" w:rsidP="005943E8">
      <w:pPr>
        <w:pStyle w:val="AERbodytext"/>
      </w:pPr>
      <w:r w:rsidRPr="000E26B0">
        <w:t xml:space="preserve">Conditions at the time saw demand </w:t>
      </w:r>
      <w:r>
        <w:t xml:space="preserve">slightly higher than forecast </w:t>
      </w:r>
      <w:r w:rsidRPr="000E26B0">
        <w:t>and availability close to forecast</w:t>
      </w:r>
      <w:r>
        <w:t xml:space="preserve"> four hours ahead</w:t>
      </w:r>
      <w:r w:rsidRPr="000E26B0">
        <w:t xml:space="preserve">. </w:t>
      </w:r>
    </w:p>
    <w:p w:rsidR="001C1680" w:rsidRDefault="001C1680" w:rsidP="001C1680">
      <w:pPr>
        <w:pStyle w:val="AERbodytext"/>
      </w:pPr>
      <w:r>
        <w:t xml:space="preserve">During the high price period, Tasmania had a steep supply curve, with little capacity priced between </w:t>
      </w:r>
      <w:r w:rsidRPr="000E26B0">
        <w:t>$</w:t>
      </w:r>
      <w:r>
        <w:t>40</w:t>
      </w:r>
      <w:r w:rsidRPr="000E26B0">
        <w:t xml:space="preserve">/MWh </w:t>
      </w:r>
      <w:r w:rsidR="00D863C2">
        <w:t xml:space="preserve">and </w:t>
      </w:r>
      <w:r w:rsidRPr="000E26B0">
        <w:t>$</w:t>
      </w:r>
      <w:r>
        <w:t>280</w:t>
      </w:r>
      <w:r w:rsidRPr="000E26B0">
        <w:t>/MWh</w:t>
      </w:r>
      <w:r>
        <w:t xml:space="preserve">. Four hours ahead </w:t>
      </w:r>
      <w:proofErr w:type="spellStart"/>
      <w:r>
        <w:t>Basslink</w:t>
      </w:r>
      <w:proofErr w:type="spellEnd"/>
      <w:r>
        <w:t xml:space="preserve"> was forecast to</w:t>
      </w:r>
      <w:r w:rsidR="00B31357">
        <w:t xml:space="preserve"> export</w:t>
      </w:r>
      <w:r>
        <w:t xml:space="preserve"> 24 MW</w:t>
      </w:r>
      <w:r w:rsidR="00B31357">
        <w:t>, but</w:t>
      </w:r>
      <w:r>
        <w:t xml:space="preserve"> </w:t>
      </w:r>
      <w:r w:rsidR="00B31357">
        <w:t>it actually exported</w:t>
      </w:r>
      <w:r>
        <w:t xml:space="preserve"> 144 MW. </w:t>
      </w:r>
      <w:r w:rsidR="00D863C2">
        <w:t xml:space="preserve">This saw the </w:t>
      </w:r>
      <w:r>
        <w:t>dispatch price</w:t>
      </w:r>
      <w:r w:rsidR="00D863C2">
        <w:t xml:space="preserve"> fluctuate between $190/MWh and $480/MWh</w:t>
      </w:r>
      <w:r w:rsidR="00803D7F">
        <w:t xml:space="preserve"> for the trading interval</w:t>
      </w:r>
      <w:r>
        <w:t>.</w:t>
      </w:r>
    </w:p>
    <w:p w:rsidR="009923B1" w:rsidRDefault="009923B1" w:rsidP="001C1680">
      <w:pPr>
        <w:pStyle w:val="AERbodytext"/>
      </w:pPr>
    </w:p>
    <w:p w:rsidR="008E2316" w:rsidRPr="002D6AB4" w:rsidRDefault="008E2316" w:rsidP="009923B1">
      <w:pPr>
        <w:pStyle w:val="Heading3"/>
        <w:keepNext/>
        <w:rPr>
          <w:rFonts w:eastAsia="Times New Roman"/>
        </w:rPr>
      </w:pPr>
      <w:r>
        <w:rPr>
          <w:rFonts w:eastAsia="Times New Roman"/>
        </w:rPr>
        <w:lastRenderedPageBreak/>
        <w:t>Saturday, 25</w:t>
      </w:r>
      <w:r w:rsidRPr="002D6AB4">
        <w:rPr>
          <w:rFonts w:eastAsia="Times New Roman"/>
        </w:rPr>
        <w:t xml:space="preserve"> </w:t>
      </w:r>
      <w:r>
        <w:rPr>
          <w:rFonts w:eastAsia="Times New Roman"/>
        </w:rPr>
        <w:t>June</w:t>
      </w:r>
    </w:p>
    <w:p w:rsidR="008E2316" w:rsidRPr="0073319F" w:rsidRDefault="008E2316" w:rsidP="009923B1">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Pr>
          <w:rFonts w:asciiTheme="minorHAnsi" w:hAnsiTheme="minorHAnsi" w:cstheme="minorHAnsi"/>
          <w:noProof/>
        </w:rPr>
        <w:t>14</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8E2316" w:rsidRPr="0073319F" w:rsidTr="007600A5">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8E2316" w:rsidRPr="0073319F" w:rsidRDefault="008E2316" w:rsidP="009923B1">
            <w:pPr>
              <w:pStyle w:val="TableHeading"/>
              <w:keepNext/>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8E2316" w:rsidRPr="0073319F" w:rsidRDefault="008E2316" w:rsidP="009923B1">
            <w:pPr>
              <w:pStyle w:val="TableHeading"/>
              <w:keepNext/>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8E2316" w:rsidRPr="0073319F" w:rsidRDefault="008E2316" w:rsidP="009923B1">
            <w:pPr>
              <w:pStyle w:val="TableHeading"/>
              <w:keepNext/>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8E2316" w:rsidRPr="0073319F" w:rsidRDefault="008E2316" w:rsidP="009923B1">
            <w:pPr>
              <w:pStyle w:val="TableHeading"/>
              <w:keepNext/>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8E2316" w:rsidRPr="0073319F" w:rsidTr="007600A5">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8E2316" w:rsidRPr="0073319F" w:rsidRDefault="008E2316"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8E2316" w:rsidRPr="0073319F" w:rsidRDefault="008E2316"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8E2316" w:rsidRPr="0073319F" w:rsidRDefault="008E2316"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8E2316" w:rsidRPr="0073319F" w:rsidRDefault="008E2316"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8E2316" w:rsidRPr="0073319F" w:rsidRDefault="008E2316"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8E2316" w:rsidRPr="0073319F" w:rsidRDefault="008E2316"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8E2316" w:rsidRPr="0073319F" w:rsidRDefault="008E2316"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8E2316" w:rsidRPr="0073319F" w:rsidRDefault="008E2316"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8E2316" w:rsidRPr="0073319F" w:rsidRDefault="008E2316"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8E2316" w:rsidRPr="0073319F" w:rsidRDefault="008E2316" w:rsidP="009923B1">
            <w:pPr>
              <w:pStyle w:val="tableheadingline2"/>
              <w:keepNext/>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8E2316" w:rsidRPr="0073319F" w:rsidTr="007600A5">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8</w:t>
            </w:r>
            <w:r>
              <w:rPr>
                <w:rFonts w:ascii="Arial" w:hAnsi="Arial" w:cs="Arial"/>
                <w:sz w:val="18"/>
                <w:szCs w:val="16"/>
              </w:rPr>
              <w:t xml:space="preserve"> am</w:t>
            </w:r>
          </w:p>
        </w:tc>
        <w:tc>
          <w:tcPr>
            <w:tcW w:w="478"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292.99</w:t>
            </w:r>
          </w:p>
        </w:tc>
        <w:tc>
          <w:tcPr>
            <w:tcW w:w="498"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43.87</w:t>
            </w:r>
          </w:p>
        </w:tc>
        <w:tc>
          <w:tcPr>
            <w:tcW w:w="498"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41.11</w:t>
            </w:r>
          </w:p>
        </w:tc>
        <w:tc>
          <w:tcPr>
            <w:tcW w:w="498"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1303</w:t>
            </w:r>
          </w:p>
        </w:tc>
        <w:tc>
          <w:tcPr>
            <w:tcW w:w="498"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1234</w:t>
            </w:r>
          </w:p>
        </w:tc>
        <w:tc>
          <w:tcPr>
            <w:tcW w:w="499"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1231</w:t>
            </w:r>
          </w:p>
        </w:tc>
        <w:tc>
          <w:tcPr>
            <w:tcW w:w="498"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2209</w:t>
            </w:r>
          </w:p>
        </w:tc>
        <w:tc>
          <w:tcPr>
            <w:tcW w:w="498"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2236</w:t>
            </w:r>
          </w:p>
        </w:tc>
        <w:tc>
          <w:tcPr>
            <w:tcW w:w="499"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2247</w:t>
            </w:r>
          </w:p>
        </w:tc>
      </w:tr>
      <w:tr w:rsidR="008E2316" w:rsidRPr="0073319F" w:rsidTr="007600A5">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8</w:t>
            </w:r>
            <w:r>
              <w:rPr>
                <w:rFonts w:ascii="Arial" w:hAnsi="Arial" w:cs="Arial"/>
                <w:sz w:val="18"/>
                <w:szCs w:val="16"/>
              </w:rPr>
              <w:t>.30 am</w:t>
            </w:r>
          </w:p>
        </w:tc>
        <w:tc>
          <w:tcPr>
            <w:tcW w:w="478"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291.90</w:t>
            </w:r>
          </w:p>
        </w:tc>
        <w:tc>
          <w:tcPr>
            <w:tcW w:w="498"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400.34</w:t>
            </w:r>
          </w:p>
        </w:tc>
        <w:tc>
          <w:tcPr>
            <w:tcW w:w="498"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65.52</w:t>
            </w:r>
          </w:p>
        </w:tc>
        <w:tc>
          <w:tcPr>
            <w:tcW w:w="498"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1388</w:t>
            </w:r>
          </w:p>
        </w:tc>
        <w:tc>
          <w:tcPr>
            <w:tcW w:w="498"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1295</w:t>
            </w:r>
          </w:p>
        </w:tc>
        <w:tc>
          <w:tcPr>
            <w:tcW w:w="499"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1290</w:t>
            </w:r>
          </w:p>
        </w:tc>
        <w:tc>
          <w:tcPr>
            <w:tcW w:w="498"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2183</w:t>
            </w:r>
          </w:p>
        </w:tc>
        <w:tc>
          <w:tcPr>
            <w:tcW w:w="498"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2227</w:t>
            </w:r>
          </w:p>
        </w:tc>
        <w:tc>
          <w:tcPr>
            <w:tcW w:w="499" w:type="pct"/>
            <w:vAlign w:val="center"/>
          </w:tcPr>
          <w:p w:rsidR="008E2316" w:rsidRPr="008E2316" w:rsidRDefault="008E2316" w:rsidP="009923B1">
            <w:pPr>
              <w:pStyle w:val="NormalWeb"/>
              <w:keepNext/>
              <w:jc w:val="center"/>
              <w:rPr>
                <w:rFonts w:ascii="Arial" w:hAnsi="Arial" w:cs="Arial"/>
                <w:sz w:val="18"/>
                <w:szCs w:val="16"/>
              </w:rPr>
            </w:pPr>
            <w:r w:rsidRPr="008E2316">
              <w:rPr>
                <w:rFonts w:ascii="Arial" w:hAnsi="Arial" w:cs="Arial"/>
                <w:sz w:val="18"/>
                <w:szCs w:val="16"/>
              </w:rPr>
              <w:t>2244</w:t>
            </w:r>
          </w:p>
        </w:tc>
      </w:tr>
    </w:tbl>
    <w:p w:rsidR="00582183" w:rsidRDefault="008E2316" w:rsidP="008E2316">
      <w:pPr>
        <w:pStyle w:val="AERbodytext"/>
      </w:pPr>
      <w:r w:rsidRPr="005943E8">
        <w:t xml:space="preserve">Conditions at the time saw demand </w:t>
      </w:r>
      <w:r w:rsidR="00781173">
        <w:t>up to 93</w:t>
      </w:r>
      <w:r w:rsidR="005943E8" w:rsidRPr="005943E8">
        <w:t xml:space="preserve"> MW </w:t>
      </w:r>
      <w:r w:rsidRPr="005943E8">
        <w:t>higher than forecast four hours ahead</w:t>
      </w:r>
      <w:r w:rsidR="005943E8" w:rsidRPr="005943E8">
        <w:t xml:space="preserve"> and available capacity less than forecast</w:t>
      </w:r>
      <w:r w:rsidRPr="005943E8">
        <w:t>.</w:t>
      </w:r>
    </w:p>
    <w:p w:rsidR="006F4D5B" w:rsidRDefault="006F4D5B" w:rsidP="008E2316">
      <w:pPr>
        <w:pStyle w:val="AERbodytext"/>
      </w:pPr>
      <w:r>
        <w:t xml:space="preserve">During the high price period, Tasmania had a steep supply curve, with no capacity priced between </w:t>
      </w:r>
      <w:r w:rsidRPr="000E26B0">
        <w:t>$</w:t>
      </w:r>
      <w:r>
        <w:t>40</w:t>
      </w:r>
      <w:r w:rsidRPr="000E26B0">
        <w:t>/MWh</w:t>
      </w:r>
      <w:r w:rsidR="00580700">
        <w:t xml:space="preserve"> and</w:t>
      </w:r>
      <w:r w:rsidRPr="000E26B0">
        <w:t xml:space="preserve"> $</w:t>
      </w:r>
      <w:r>
        <w:t>280</w:t>
      </w:r>
      <w:r w:rsidRPr="000E26B0">
        <w:t>/MWh</w:t>
      </w:r>
      <w:r>
        <w:t>.</w:t>
      </w:r>
    </w:p>
    <w:p w:rsidR="00781173" w:rsidRDefault="00781173" w:rsidP="008E2316">
      <w:pPr>
        <w:pStyle w:val="AERbodytext"/>
      </w:pPr>
      <w:r>
        <w:t xml:space="preserve">The 8 am trading </w:t>
      </w:r>
      <w:r w:rsidR="00580700">
        <w:t>interval saw dispatch pricing</w:t>
      </w:r>
      <w:r>
        <w:t xml:space="preserve"> between $211/MWh and $396/MWh</w:t>
      </w:r>
      <w:r w:rsidR="00580700">
        <w:t>. This was</w:t>
      </w:r>
      <w:r>
        <w:t xml:space="preserve"> driven by higher than forecast demand.</w:t>
      </w:r>
    </w:p>
    <w:p w:rsidR="00F55C77" w:rsidRPr="005943E8" w:rsidRDefault="009923B1" w:rsidP="008E2316">
      <w:pPr>
        <w:pStyle w:val="AERbodytext"/>
      </w:pPr>
      <w:r>
        <w:t>For t</w:t>
      </w:r>
      <w:r w:rsidR="00AF3A83">
        <w:t xml:space="preserve">he 8.30 am </w:t>
      </w:r>
      <w:r>
        <w:t xml:space="preserve">trading </w:t>
      </w:r>
      <w:r w:rsidR="00AF3A83">
        <w:t>interval</w:t>
      </w:r>
      <w:r w:rsidR="00E96D95">
        <w:t>,</w:t>
      </w:r>
      <w:r w:rsidR="00AF3A83">
        <w:t xml:space="preserve"> </w:t>
      </w:r>
      <w:r>
        <w:t xml:space="preserve">the increase in forecast price from the 12 to four hour ahead </w:t>
      </w:r>
      <w:r w:rsidRPr="00D863C2">
        <w:t xml:space="preserve">was due to a </w:t>
      </w:r>
      <w:bookmarkStart w:id="20" w:name="_GoBack"/>
      <w:r w:rsidRPr="00D863C2">
        <w:t xml:space="preserve">change </w:t>
      </w:r>
      <w:r w:rsidR="00D863C2" w:rsidRPr="00D863C2">
        <w:t>in t</w:t>
      </w:r>
      <w:r w:rsidR="00B31357" w:rsidRPr="00D863C2">
        <w:t xml:space="preserve">he </w:t>
      </w:r>
      <w:r w:rsidR="00E96D95" w:rsidRPr="00D863C2">
        <w:t xml:space="preserve">impact of </w:t>
      </w:r>
      <w:r w:rsidR="00B31357" w:rsidRPr="00D863C2">
        <w:t>a</w:t>
      </w:r>
      <w:r w:rsidR="00B31357">
        <w:t xml:space="preserve"> binding </w:t>
      </w:r>
      <w:r w:rsidR="00E96D95">
        <w:t>network constraint on</w:t>
      </w:r>
      <w:r w:rsidR="00B31357">
        <w:t xml:space="preserve"> </w:t>
      </w:r>
      <w:proofErr w:type="spellStart"/>
      <w:r w:rsidR="00B31357">
        <w:t>Basslink</w:t>
      </w:r>
      <w:proofErr w:type="spellEnd"/>
      <w:r w:rsidR="00B31357">
        <w:t>.</w:t>
      </w:r>
      <w:r>
        <w:t xml:space="preserve"> </w:t>
      </w:r>
      <w:r w:rsidR="00B31357">
        <w:t>At around 6 am, the</w:t>
      </w:r>
      <w:r>
        <w:t xml:space="preserve"> constraint was no longer forecast to </w:t>
      </w:r>
      <w:r w:rsidR="00B31357">
        <w:t>bind</w:t>
      </w:r>
      <w:r>
        <w:t xml:space="preserve"> for the 8.30 am trading interval</w:t>
      </w:r>
      <w:r w:rsidR="00D863C2">
        <w:t>,</w:t>
      </w:r>
      <w:r>
        <w:t xml:space="preserve"> </w:t>
      </w:r>
      <w:r w:rsidR="00B31357">
        <w:t xml:space="preserve">as a result </w:t>
      </w:r>
      <w:r>
        <w:t>the price fell to around $300/MWh.</w:t>
      </w:r>
    </w:p>
    <w:bookmarkEnd w:id="20"/>
    <w:p w:rsidR="008E2316" w:rsidRPr="0073319F" w:rsidRDefault="008E2316" w:rsidP="008E2316">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Pr>
          <w:rFonts w:asciiTheme="minorHAnsi" w:hAnsiTheme="minorHAnsi" w:cstheme="minorHAnsi"/>
          <w:noProof/>
        </w:rPr>
        <w:t>15</w:t>
      </w:r>
      <w:r w:rsidRPr="0073319F">
        <w:rPr>
          <w:rFonts w:asciiTheme="minorHAnsi" w:hAnsiTheme="minorHAnsi" w:cstheme="minorHAnsi"/>
          <w:noProof/>
        </w:rPr>
        <w:fldChar w:fldCharType="end"/>
      </w:r>
      <w:r w:rsidRPr="0073319F">
        <w:rPr>
          <w:rFonts w:asciiTheme="minorHAnsi" w:hAnsiTheme="minorHAnsi" w:cstheme="minorHAnsi"/>
        </w:rP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8E2316" w:rsidRPr="0073319F" w:rsidTr="007600A5">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8E2316" w:rsidRPr="0073319F" w:rsidRDefault="008E2316" w:rsidP="007600A5">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 xml:space="preserve">Time </w:t>
            </w:r>
          </w:p>
        </w:tc>
        <w:tc>
          <w:tcPr>
            <w:tcW w:w="1474" w:type="pct"/>
            <w:gridSpan w:val="3"/>
            <w:hideMark/>
          </w:tcPr>
          <w:p w:rsidR="008E2316" w:rsidRPr="0073319F" w:rsidRDefault="008E2316" w:rsidP="007600A5">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Price ($/MWh)</w:t>
            </w:r>
          </w:p>
        </w:tc>
        <w:tc>
          <w:tcPr>
            <w:tcW w:w="1495" w:type="pct"/>
            <w:gridSpan w:val="3"/>
            <w:hideMark/>
          </w:tcPr>
          <w:p w:rsidR="008E2316" w:rsidRPr="0073319F" w:rsidRDefault="008E2316" w:rsidP="007600A5">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Demand (MW)</w:t>
            </w:r>
          </w:p>
        </w:tc>
        <w:tc>
          <w:tcPr>
            <w:tcW w:w="1495" w:type="pct"/>
            <w:gridSpan w:val="3"/>
            <w:hideMark/>
          </w:tcPr>
          <w:p w:rsidR="008E2316" w:rsidRPr="0073319F" w:rsidRDefault="008E2316" w:rsidP="007600A5">
            <w:pPr>
              <w:pStyle w:val="TableHeading"/>
              <w:jc w:val="center"/>
              <w:rPr>
                <w:rFonts w:asciiTheme="minorHAnsi" w:hAnsiTheme="minorHAnsi" w:cstheme="minorHAnsi"/>
                <w:b w:val="0"/>
                <w:sz w:val="20"/>
                <w:szCs w:val="20"/>
              </w:rPr>
            </w:pPr>
            <w:r w:rsidRPr="0073319F">
              <w:rPr>
                <w:rFonts w:asciiTheme="minorHAnsi" w:hAnsiTheme="minorHAnsi" w:cstheme="minorHAnsi"/>
                <w:b w:val="0"/>
                <w:sz w:val="20"/>
                <w:szCs w:val="20"/>
              </w:rPr>
              <w:t>Availability (MW)</w:t>
            </w:r>
          </w:p>
        </w:tc>
      </w:tr>
      <w:tr w:rsidR="008E2316" w:rsidRPr="0073319F" w:rsidTr="007600A5">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8E2316" w:rsidRPr="0073319F" w:rsidRDefault="008E2316" w:rsidP="007600A5">
            <w:pPr>
              <w:pStyle w:val="tableheadingline2"/>
              <w:rPr>
                <w:rFonts w:asciiTheme="minorHAnsi" w:hAnsiTheme="minorHAnsi" w:cstheme="minorHAnsi"/>
                <w:sz w:val="20"/>
                <w:szCs w:val="20"/>
              </w:rPr>
            </w:pPr>
            <w:r w:rsidRPr="0073319F">
              <w:rPr>
                <w:rFonts w:asciiTheme="minorHAnsi" w:hAnsiTheme="minorHAnsi" w:cstheme="minorHAnsi"/>
                <w:sz w:val="20"/>
                <w:szCs w:val="20"/>
              </w:rPr>
              <w:t> </w:t>
            </w:r>
          </w:p>
        </w:tc>
        <w:tc>
          <w:tcPr>
            <w:tcW w:w="478" w:type="pct"/>
            <w:tcMar>
              <w:left w:w="57" w:type="dxa"/>
              <w:right w:w="57" w:type="dxa"/>
            </w:tcMar>
            <w:hideMark/>
          </w:tcPr>
          <w:p w:rsidR="008E2316" w:rsidRPr="0073319F" w:rsidRDefault="008E2316" w:rsidP="007600A5">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8E2316" w:rsidRPr="0073319F" w:rsidRDefault="008E2316" w:rsidP="007600A5">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8" w:type="pct"/>
            <w:tcMar>
              <w:left w:w="57" w:type="dxa"/>
              <w:right w:w="57" w:type="dxa"/>
            </w:tcMar>
            <w:hideMark/>
          </w:tcPr>
          <w:p w:rsidR="008E2316" w:rsidRPr="0073319F" w:rsidRDefault="008E2316" w:rsidP="007600A5">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8E2316" w:rsidRPr="0073319F" w:rsidRDefault="008E2316" w:rsidP="007600A5">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8E2316" w:rsidRPr="0073319F" w:rsidRDefault="008E2316" w:rsidP="007600A5">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8E2316" w:rsidRPr="0073319F" w:rsidRDefault="008E2316" w:rsidP="007600A5">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c>
          <w:tcPr>
            <w:tcW w:w="498" w:type="pct"/>
            <w:tcMar>
              <w:left w:w="57" w:type="dxa"/>
              <w:right w:w="57" w:type="dxa"/>
            </w:tcMar>
            <w:hideMark/>
          </w:tcPr>
          <w:p w:rsidR="008E2316" w:rsidRPr="0073319F" w:rsidRDefault="008E2316" w:rsidP="007600A5">
            <w:pPr>
              <w:pStyle w:val="tableheadingline2"/>
              <w:rPr>
                <w:rFonts w:asciiTheme="minorHAnsi" w:hAnsiTheme="minorHAnsi" w:cstheme="minorHAnsi"/>
                <w:sz w:val="20"/>
                <w:szCs w:val="20"/>
              </w:rPr>
            </w:pPr>
            <w:r w:rsidRPr="0073319F">
              <w:rPr>
                <w:rFonts w:asciiTheme="minorHAnsi" w:hAnsiTheme="minorHAnsi" w:cstheme="minorHAnsi"/>
                <w:sz w:val="20"/>
                <w:szCs w:val="20"/>
              </w:rPr>
              <w:t>Actual</w:t>
            </w:r>
          </w:p>
        </w:tc>
        <w:tc>
          <w:tcPr>
            <w:tcW w:w="498" w:type="pct"/>
            <w:tcMar>
              <w:left w:w="57" w:type="dxa"/>
              <w:right w:w="57" w:type="dxa"/>
            </w:tcMar>
            <w:hideMark/>
          </w:tcPr>
          <w:p w:rsidR="008E2316" w:rsidRPr="0073319F" w:rsidRDefault="008E2316" w:rsidP="007600A5">
            <w:pPr>
              <w:pStyle w:val="tableheadingline2"/>
              <w:rPr>
                <w:rFonts w:asciiTheme="minorHAnsi" w:hAnsiTheme="minorHAnsi" w:cstheme="minorHAnsi"/>
                <w:sz w:val="20"/>
                <w:szCs w:val="20"/>
              </w:rPr>
            </w:pPr>
            <w:r w:rsidRPr="0073319F">
              <w:rPr>
                <w:rFonts w:asciiTheme="minorHAnsi" w:hAnsiTheme="minorHAnsi" w:cstheme="minorHAnsi"/>
                <w:sz w:val="20"/>
                <w:szCs w:val="20"/>
              </w:rPr>
              <w:t>4 hr forecast</w:t>
            </w:r>
          </w:p>
        </w:tc>
        <w:tc>
          <w:tcPr>
            <w:tcW w:w="499" w:type="pct"/>
            <w:tcMar>
              <w:left w:w="57" w:type="dxa"/>
              <w:right w:w="57" w:type="dxa"/>
            </w:tcMar>
            <w:hideMark/>
          </w:tcPr>
          <w:p w:rsidR="008E2316" w:rsidRPr="0073319F" w:rsidRDefault="008E2316" w:rsidP="007600A5">
            <w:pPr>
              <w:pStyle w:val="tableheadingline2"/>
              <w:rPr>
                <w:rFonts w:asciiTheme="minorHAnsi" w:hAnsiTheme="minorHAnsi" w:cstheme="minorHAnsi"/>
                <w:sz w:val="20"/>
                <w:szCs w:val="20"/>
              </w:rPr>
            </w:pPr>
            <w:r w:rsidRPr="0073319F">
              <w:rPr>
                <w:rFonts w:asciiTheme="minorHAnsi" w:hAnsiTheme="minorHAnsi" w:cstheme="minorHAnsi"/>
                <w:sz w:val="20"/>
                <w:szCs w:val="20"/>
              </w:rPr>
              <w:t>12 hr forecast</w:t>
            </w:r>
          </w:p>
        </w:tc>
      </w:tr>
      <w:tr w:rsidR="008E2316" w:rsidRPr="0073319F" w:rsidTr="007600A5">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8E2316" w:rsidRPr="008E2316" w:rsidRDefault="008E2316" w:rsidP="008E2316">
            <w:pPr>
              <w:pStyle w:val="NormalWeb"/>
              <w:jc w:val="center"/>
              <w:rPr>
                <w:rFonts w:ascii="Arial" w:hAnsi="Arial" w:cs="Arial"/>
                <w:sz w:val="18"/>
                <w:szCs w:val="16"/>
              </w:rPr>
            </w:pPr>
            <w:r>
              <w:rPr>
                <w:rFonts w:ascii="Arial" w:hAnsi="Arial" w:cs="Arial"/>
                <w:sz w:val="18"/>
                <w:szCs w:val="16"/>
              </w:rPr>
              <w:t>9.</w:t>
            </w:r>
            <w:r w:rsidRPr="008E2316">
              <w:rPr>
                <w:rFonts w:ascii="Arial" w:hAnsi="Arial" w:cs="Arial"/>
                <w:sz w:val="18"/>
                <w:szCs w:val="16"/>
              </w:rPr>
              <w:t xml:space="preserve">30 </w:t>
            </w:r>
            <w:r>
              <w:rPr>
                <w:rFonts w:ascii="Arial" w:hAnsi="Arial" w:cs="Arial"/>
                <w:sz w:val="18"/>
                <w:szCs w:val="16"/>
              </w:rPr>
              <w:t>am</w:t>
            </w:r>
          </w:p>
        </w:tc>
        <w:tc>
          <w:tcPr>
            <w:tcW w:w="47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300.38</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267.62</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270.54</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1445</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1364</w:t>
            </w:r>
          </w:p>
        </w:tc>
        <w:tc>
          <w:tcPr>
            <w:tcW w:w="499"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1362</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2208</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2213</w:t>
            </w:r>
          </w:p>
        </w:tc>
        <w:tc>
          <w:tcPr>
            <w:tcW w:w="499"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2239</w:t>
            </w:r>
          </w:p>
        </w:tc>
      </w:tr>
      <w:tr w:rsidR="008E2316" w:rsidRPr="0073319F" w:rsidTr="007600A5">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8E2316" w:rsidRPr="008E2316" w:rsidRDefault="008E2316" w:rsidP="008E2316">
            <w:pPr>
              <w:pStyle w:val="NormalWeb"/>
              <w:jc w:val="center"/>
              <w:rPr>
                <w:rFonts w:ascii="Arial" w:hAnsi="Arial" w:cs="Arial"/>
                <w:sz w:val="18"/>
                <w:szCs w:val="16"/>
              </w:rPr>
            </w:pPr>
            <w:r w:rsidRPr="008E2316">
              <w:rPr>
                <w:rFonts w:ascii="Arial" w:hAnsi="Arial" w:cs="Arial"/>
                <w:sz w:val="18"/>
                <w:szCs w:val="16"/>
              </w:rPr>
              <w:t>6</w:t>
            </w:r>
            <w:r>
              <w:rPr>
                <w:rFonts w:ascii="Arial" w:hAnsi="Arial" w:cs="Arial"/>
                <w:sz w:val="18"/>
                <w:szCs w:val="16"/>
              </w:rPr>
              <w:t>.</w:t>
            </w:r>
            <w:r w:rsidRPr="008E2316">
              <w:rPr>
                <w:rFonts w:ascii="Arial" w:hAnsi="Arial" w:cs="Arial"/>
                <w:sz w:val="18"/>
                <w:szCs w:val="16"/>
              </w:rPr>
              <w:t xml:space="preserve">30 </w:t>
            </w:r>
            <w:r>
              <w:rPr>
                <w:rFonts w:ascii="Arial" w:hAnsi="Arial" w:cs="Arial"/>
                <w:sz w:val="18"/>
                <w:szCs w:val="16"/>
              </w:rPr>
              <w:t>pm</w:t>
            </w:r>
          </w:p>
        </w:tc>
        <w:tc>
          <w:tcPr>
            <w:tcW w:w="47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296.30</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308.26</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286.20</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1428</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1409</w:t>
            </w:r>
          </w:p>
        </w:tc>
        <w:tc>
          <w:tcPr>
            <w:tcW w:w="499"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1398</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2249</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2227</w:t>
            </w:r>
          </w:p>
        </w:tc>
        <w:tc>
          <w:tcPr>
            <w:tcW w:w="499"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2230</w:t>
            </w:r>
          </w:p>
        </w:tc>
      </w:tr>
      <w:tr w:rsidR="008E2316" w:rsidRPr="0073319F" w:rsidTr="007600A5">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8E2316" w:rsidRPr="008E2316" w:rsidRDefault="008E2316" w:rsidP="008E2316">
            <w:pPr>
              <w:pStyle w:val="NormalWeb"/>
              <w:jc w:val="center"/>
              <w:rPr>
                <w:rFonts w:ascii="Arial" w:hAnsi="Arial" w:cs="Arial"/>
                <w:sz w:val="18"/>
                <w:szCs w:val="16"/>
              </w:rPr>
            </w:pPr>
            <w:r w:rsidRPr="008E2316">
              <w:rPr>
                <w:rFonts w:ascii="Arial" w:hAnsi="Arial" w:cs="Arial"/>
                <w:sz w:val="18"/>
                <w:szCs w:val="16"/>
              </w:rPr>
              <w:t>7</w:t>
            </w:r>
            <w:r>
              <w:rPr>
                <w:rFonts w:ascii="Arial" w:hAnsi="Arial" w:cs="Arial"/>
                <w:sz w:val="18"/>
                <w:szCs w:val="16"/>
              </w:rPr>
              <w:t xml:space="preserve"> pm</w:t>
            </w:r>
          </w:p>
        </w:tc>
        <w:tc>
          <w:tcPr>
            <w:tcW w:w="47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290.74</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285.39</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281.43</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1411</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1392</w:t>
            </w:r>
          </w:p>
        </w:tc>
        <w:tc>
          <w:tcPr>
            <w:tcW w:w="499"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1381</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2218</w:t>
            </w:r>
          </w:p>
        </w:tc>
        <w:tc>
          <w:tcPr>
            <w:tcW w:w="498"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2230</w:t>
            </w:r>
          </w:p>
        </w:tc>
        <w:tc>
          <w:tcPr>
            <w:tcW w:w="499" w:type="pct"/>
            <w:vAlign w:val="center"/>
          </w:tcPr>
          <w:p w:rsidR="008E2316" w:rsidRPr="008E2316" w:rsidRDefault="008E2316">
            <w:pPr>
              <w:pStyle w:val="NormalWeb"/>
              <w:jc w:val="center"/>
              <w:rPr>
                <w:rFonts w:ascii="Arial" w:hAnsi="Arial" w:cs="Arial"/>
                <w:sz w:val="18"/>
                <w:szCs w:val="16"/>
              </w:rPr>
            </w:pPr>
            <w:r w:rsidRPr="008E2316">
              <w:rPr>
                <w:rFonts w:ascii="Arial" w:hAnsi="Arial" w:cs="Arial"/>
                <w:sz w:val="18"/>
                <w:szCs w:val="16"/>
              </w:rPr>
              <w:t>2230</w:t>
            </w:r>
          </w:p>
        </w:tc>
      </w:tr>
    </w:tbl>
    <w:p w:rsidR="008E2316" w:rsidRPr="008E2316" w:rsidRDefault="009923B1" w:rsidP="005B6FC9">
      <w:pPr>
        <w:pStyle w:val="AERbodytext"/>
      </w:pPr>
      <w:r>
        <w:t>S</w:t>
      </w:r>
      <w:r w:rsidR="008E2316" w:rsidRPr="008E2316">
        <w:t>pot price</w:t>
      </w:r>
      <w:r>
        <w:t>s</w:t>
      </w:r>
      <w:r w:rsidR="008E2316" w:rsidRPr="008E2316">
        <w:t xml:space="preserve"> w</w:t>
      </w:r>
      <w:r>
        <w:t>ere</w:t>
      </w:r>
      <w:r w:rsidR="008E2316" w:rsidRPr="008E2316">
        <w:t xml:space="preserve"> close to forecast four and twelve hours ahead.</w:t>
      </w:r>
    </w:p>
    <w:bookmarkEnd w:id="0"/>
    <w:bookmarkEnd w:id="1"/>
    <w:bookmarkEnd w:id="2"/>
    <w:bookmarkEnd w:id="3"/>
    <w:bookmarkEnd w:id="4"/>
    <w:bookmarkEnd w:id="5"/>
    <w:p w:rsidR="009923B1" w:rsidRDefault="009923B1">
      <w:pPr>
        <w:spacing w:line="240" w:lineRule="auto"/>
        <w:rPr>
          <w:rFonts w:eastAsiaTheme="majorEastAsia" w:cstheme="majorBidi"/>
          <w:b/>
          <w:bCs/>
          <w:color w:val="51626F"/>
          <w:sz w:val="28"/>
          <w:szCs w:val="26"/>
        </w:rPr>
      </w:pPr>
      <w:r>
        <w:br w:type="page"/>
      </w:r>
    </w:p>
    <w:p w:rsidR="00275002" w:rsidRPr="009064FC" w:rsidRDefault="00275002" w:rsidP="004F6D0A">
      <w:pPr>
        <w:pStyle w:val="Heading2"/>
      </w:pPr>
      <w:r w:rsidRPr="004F6D0A">
        <w:lastRenderedPageBreak/>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8E2316">
        <w:t>Figure 9</w:t>
      </w:r>
      <w:r>
        <w:fldChar w:fldCharType="end"/>
      </w:r>
      <w:r>
        <w:t xml:space="preserve"> </w:t>
      </w:r>
      <w:r w:rsidRPr="0031019A">
        <w:t xml:space="preserve">shows for all mainland regions the prices for base contracts (and total traded quantities for the week) for each quarter for the next four financial years. </w:t>
      </w:r>
    </w:p>
    <w:p w:rsidR="00D73D17" w:rsidRDefault="00275002" w:rsidP="00783D4E">
      <w:pPr>
        <w:pStyle w:val="Caption"/>
        <w:spacing w:before="0" w:line="240" w:lineRule="auto"/>
      </w:pPr>
      <w:bookmarkStart w:id="21" w:name="_Ref410386540"/>
      <w:r>
        <w:t xml:space="preserve">Figure </w:t>
      </w:r>
      <w:fldSimple w:instr=" SEQ Figure \* ARABIC ">
        <w:r w:rsidR="008E2316">
          <w:rPr>
            <w:noProof/>
          </w:rPr>
          <w:t>9</w:t>
        </w:r>
      </w:fldSimple>
      <w:bookmarkEnd w:id="21"/>
      <w:r w:rsidR="002515C3">
        <w:t>:</w:t>
      </w:r>
      <w:r>
        <w:t xml:space="preserve"> </w:t>
      </w:r>
      <w:r w:rsidRPr="007A6ACB">
        <w:t>Quarterly base future prices Q</w:t>
      </w:r>
      <w:r w:rsidR="0069547C">
        <w:t>2</w:t>
      </w:r>
      <w:r w:rsidR="00C4712A">
        <w:t xml:space="preserve"> 2016</w:t>
      </w:r>
      <w:r w:rsidRPr="007A6ACB">
        <w:t xml:space="preserve"> – Q</w:t>
      </w:r>
      <w:r w:rsidR="0069547C">
        <w:t>1 2020</w:t>
      </w:r>
    </w:p>
    <w:p w:rsidR="00CA0ECB" w:rsidRPr="00037EB9" w:rsidRDefault="00DB6BE8" w:rsidP="00783D4E">
      <w:pPr>
        <w:spacing w:before="0" w:after="120" w:line="240" w:lineRule="auto"/>
        <w:rPr>
          <w:sz w:val="16"/>
          <w:szCs w:val="16"/>
        </w:rPr>
      </w:pPr>
      <w:r w:rsidRPr="00DB6BE8">
        <w:rPr>
          <w:noProof/>
          <w:lang w:eastAsia="en-AU"/>
        </w:rPr>
        <w:drawing>
          <wp:inline distT="0" distB="0" distL="0" distR="0" wp14:anchorId="33528C35" wp14:editId="00D9A141">
            <wp:extent cx="5731510" cy="2883920"/>
            <wp:effectExtent l="0" t="0" r="2540" b="0"/>
            <wp:docPr id="19" name="Picture 19"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3920"/>
                    </a:xfrm>
                    <a:prstGeom prst="rect">
                      <a:avLst/>
                    </a:prstGeom>
                    <a:noFill/>
                    <a:ln>
                      <a:noFill/>
                    </a:ln>
                  </pic:spPr>
                </pic:pic>
              </a:graphicData>
            </a:graphic>
          </wp:inline>
        </w:drawing>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1" w:history="1">
        <w:r w:rsidR="00275002" w:rsidRPr="00A64EBB">
          <w:rPr>
            <w:sz w:val="16"/>
            <w:szCs w:val="16"/>
          </w:rPr>
          <w:t>ASXEnergy.com.au</w:t>
        </w:r>
      </w:hyperlink>
    </w:p>
    <w:p w:rsidR="000D4350"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8E2316">
        <w:t xml:space="preserve">Figure </w:t>
      </w:r>
      <w:r w:rsidR="008E2316">
        <w:rPr>
          <w:noProof/>
        </w:rPr>
        <w:t>10</w:t>
      </w:r>
      <w:r>
        <w:fldChar w:fldCharType="end"/>
      </w:r>
      <w:r>
        <w:t xml:space="preserve"> </w:t>
      </w:r>
      <w:r w:rsidRPr="0031019A">
        <w:t>shows h</w:t>
      </w:r>
      <w:r w:rsidR="004E567F">
        <w:t>ow the price for each regional q</w:t>
      </w:r>
      <w:r w:rsidRPr="0031019A">
        <w:t>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The AER notes that data for </w:t>
      </w:r>
      <w:r w:rsidR="005A5657" w:rsidRPr="0031019A">
        <w:t>South</w:t>
      </w:r>
      <w:r w:rsidR="005A5657">
        <w:t> </w:t>
      </w:r>
      <w:r w:rsidRPr="0031019A">
        <w:t>Australia is less reliable due to very low numbers of trades.</w:t>
      </w:r>
    </w:p>
    <w:p w:rsidR="00275002" w:rsidRDefault="00275002" w:rsidP="00783D4E">
      <w:pPr>
        <w:pStyle w:val="Caption"/>
        <w:spacing w:before="0" w:line="240" w:lineRule="auto"/>
      </w:pPr>
      <w:bookmarkStart w:id="22" w:name="_Ref410380382"/>
      <w:r>
        <w:t xml:space="preserve">Figure </w:t>
      </w:r>
      <w:fldSimple w:instr=" SEQ Figure \* ARABIC ">
        <w:r w:rsidR="008E2316">
          <w:rPr>
            <w:noProof/>
          </w:rPr>
          <w:t>10</w:t>
        </w:r>
      </w:fldSimple>
      <w:bookmarkEnd w:id="22"/>
      <w:r w:rsidR="002515C3">
        <w:t>:</w:t>
      </w:r>
      <w:r w:rsidRPr="00DF093A">
        <w:t xml:space="preserve"> Price of Q1 201</w:t>
      </w:r>
      <w:r w:rsidR="00414EA6">
        <w:t>7</w:t>
      </w:r>
      <w:r w:rsidRPr="00DF093A">
        <w:t xml:space="preserve"> base contracts over the past 10 weeks (and the past 2 years)</w:t>
      </w:r>
    </w:p>
    <w:p w:rsidR="00275002" w:rsidRPr="0031019A" w:rsidRDefault="00DB6BE8" w:rsidP="00C466B4">
      <w:pPr>
        <w:pStyle w:val="Source"/>
        <w:spacing w:before="0" w:after="120" w:line="240" w:lineRule="auto"/>
        <w:jc w:val="both"/>
      </w:pPr>
      <w:r w:rsidRPr="00DB6BE8">
        <w:rPr>
          <w:noProof/>
          <w:lang w:eastAsia="en-AU"/>
        </w:rPr>
        <w:drawing>
          <wp:inline distT="0" distB="0" distL="0" distR="0" wp14:anchorId="0F072EDD" wp14:editId="219D8AD6">
            <wp:extent cx="5731510" cy="2899274"/>
            <wp:effectExtent l="0" t="0" r="2540" b="0"/>
            <wp:docPr id="23" name="Picture 23"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9274"/>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4"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lastRenderedPageBreak/>
        <w:fldChar w:fldCharType="begin"/>
      </w:r>
      <w:r>
        <w:instrText xml:space="preserve"> REF _Ref428276233 \h </w:instrText>
      </w:r>
      <w:r w:rsidR="00AF7C0E">
        <w:instrText xml:space="preserve"> \* MERGEFORMAT </w:instrText>
      </w:r>
      <w:r>
        <w:fldChar w:fldCharType="separate"/>
      </w:r>
      <w:r w:rsidR="008E2316">
        <w:t xml:space="preserve">Figure </w:t>
      </w:r>
      <w:r w:rsidR="008E2316">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fldSimple w:instr=" SEQ Figure \* ARABIC ">
        <w:r w:rsidR="008E2316">
          <w:rPr>
            <w:noProof/>
          </w:rPr>
          <w:t>11</w:t>
        </w:r>
      </w:fldSimple>
      <w:bookmarkEnd w:id="23"/>
      <w:r w:rsidR="002515C3">
        <w:t>:</w:t>
      </w:r>
      <w:r w:rsidRPr="0074419D">
        <w:t xml:space="preserve"> Price of Q1 201</w:t>
      </w:r>
      <w:r w:rsidR="007C6FE2">
        <w:t>7</w:t>
      </w:r>
      <w:r w:rsidRPr="0074419D">
        <w:t xml:space="preserve"> cap contracts over the past 10 weeks (and the past 2 years)</w:t>
      </w:r>
      <w:bookmarkEnd w:id="24"/>
    </w:p>
    <w:p w:rsidR="000D4350" w:rsidRDefault="00DB6BE8" w:rsidP="00037EB9">
      <w:pPr>
        <w:pStyle w:val="Source"/>
        <w:spacing w:before="0" w:after="0" w:line="240" w:lineRule="auto"/>
      </w:pPr>
      <w:r w:rsidRPr="00DB6BE8">
        <w:rPr>
          <w:noProof/>
          <w:lang w:eastAsia="en-AU"/>
        </w:rPr>
        <w:drawing>
          <wp:inline distT="0" distB="0" distL="0" distR="0" wp14:anchorId="6AD5FF8D" wp14:editId="2EB9B73D">
            <wp:extent cx="5731510" cy="2871938"/>
            <wp:effectExtent l="0" t="0" r="2540" b="5080"/>
            <wp:docPr id="24" name="Picture 24" descr="Figure 11 shows how the price for each regional Quarter 1 2017 cap contract has changed over the last 10 weeks (as well as the total number of trades each week). The closing quarter 1 2015 and quarter 1 2016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1938"/>
                    </a:xfrm>
                    <a:prstGeom prst="rect">
                      <a:avLst/>
                    </a:prstGeom>
                    <a:noFill/>
                    <a:ln>
                      <a:noFill/>
                    </a:ln>
                  </pic:spPr>
                </pic:pic>
              </a:graphicData>
            </a:graphic>
          </wp:inline>
        </w:drawing>
      </w:r>
      <w:proofErr w:type="gramStart"/>
      <w:r w:rsidR="00275002" w:rsidRPr="002A7439">
        <w:t>Source</w:t>
      </w:r>
      <w:r w:rsidR="00F72F41">
        <w:t>.</w:t>
      </w:r>
      <w:proofErr w:type="gramEnd"/>
      <w:r w:rsidR="00275002" w:rsidRPr="002A7439">
        <w:t xml:space="preserve"> </w:t>
      </w:r>
      <w:hyperlink r:id="rId26" w:history="1">
        <w:r w:rsidR="00275002"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4E567F">
        <w:t>July</w:t>
      </w:r>
      <w:r w:rsidR="004D5447" w:rsidRPr="00D92E07">
        <w:t xml:space="preserve"> </w:t>
      </w:r>
      <w:r w:rsidR="00C4712A" w:rsidRPr="00D92E07">
        <w:t>2016</w:t>
      </w:r>
    </w:p>
    <w:sectPr w:rsidR="00275002" w:rsidRPr="009F2CAC" w:rsidSect="00562EF1">
      <w:footerReference w:type="even" r:id="rId27"/>
      <w:footerReference w:type="default" r:id="rId28"/>
      <w:footerReference w:type="first" r:id="rId29"/>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00" w:rsidRDefault="00580700" w:rsidP="004B4412">
      <w:pPr>
        <w:spacing w:before="0"/>
      </w:pPr>
      <w:r>
        <w:separator/>
      </w:r>
    </w:p>
  </w:endnote>
  <w:endnote w:type="continuationSeparator" w:id="0">
    <w:p w:rsidR="00580700" w:rsidRDefault="00580700"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00" w:rsidRPr="00A91A9E" w:rsidRDefault="00580700"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580700" w:rsidRDefault="00580700"/>
  <w:p w:rsidR="00580700" w:rsidRDefault="005807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00" w:rsidRPr="00A94D89" w:rsidRDefault="00580700"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03D7F">
      <w:rPr>
        <w:rFonts w:cs="Arial"/>
        <w:i/>
        <w:noProof/>
      </w:rPr>
      <w:t>13</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00" w:rsidRPr="00A94D89" w:rsidRDefault="00580700"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E96D95">
      <w:rPr>
        <w:rFonts w:cs="Arial"/>
        <w:i/>
        <w:noProof/>
      </w:rPr>
      <w:t>1</w:t>
    </w:r>
    <w:r w:rsidRPr="001F1B78">
      <w:rPr>
        <w:rFonts w:cs="Arial"/>
        <w:i/>
        <w:noProof/>
      </w:rPr>
      <w:fldChar w:fldCharType="end"/>
    </w:r>
    <w:r w:rsidRPr="00F52F00">
      <w:rPr>
        <w:rFonts w:cs="Arial"/>
        <w:i/>
      </w:rPr>
      <w:tab/>
      <w:t xml:space="preserve">AER reference: 39220 – </w:t>
    </w:r>
    <w:r w:rsidRPr="00BC4B2E">
      <w:rPr>
        <w:rFonts w:cs="Arial"/>
        <w:i/>
      </w:rPr>
      <w:t>D16/87567</w:t>
    </w:r>
  </w:p>
  <w:p w:rsidR="00580700" w:rsidRDefault="005807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00" w:rsidRDefault="00580700" w:rsidP="004B4412">
      <w:pPr>
        <w:spacing w:before="0"/>
      </w:pPr>
      <w:r>
        <w:separator/>
      </w:r>
    </w:p>
  </w:footnote>
  <w:footnote w:type="continuationSeparator" w:id="0">
    <w:p w:rsidR="00580700" w:rsidRDefault="00580700"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384\D16 85399  20160612 - 20160618 Electricity weekly Report.DOCX"/>
  </w:docVars>
  <w:rsids>
    <w:rsidRoot w:val="00275002"/>
    <w:rsid w:val="00000817"/>
    <w:rsid w:val="00000BFE"/>
    <w:rsid w:val="00000CC3"/>
    <w:rsid w:val="00003169"/>
    <w:rsid w:val="00005D12"/>
    <w:rsid w:val="0000728F"/>
    <w:rsid w:val="00007624"/>
    <w:rsid w:val="000128E1"/>
    <w:rsid w:val="0001415C"/>
    <w:rsid w:val="000147C1"/>
    <w:rsid w:val="00014D5F"/>
    <w:rsid w:val="00017DD0"/>
    <w:rsid w:val="00021202"/>
    <w:rsid w:val="0002123D"/>
    <w:rsid w:val="00022746"/>
    <w:rsid w:val="00022B91"/>
    <w:rsid w:val="00022F09"/>
    <w:rsid w:val="00024215"/>
    <w:rsid w:val="000242E7"/>
    <w:rsid w:val="00024369"/>
    <w:rsid w:val="00024C84"/>
    <w:rsid w:val="00026CDF"/>
    <w:rsid w:val="00030794"/>
    <w:rsid w:val="000308B1"/>
    <w:rsid w:val="000312E6"/>
    <w:rsid w:val="000316E7"/>
    <w:rsid w:val="00031F4C"/>
    <w:rsid w:val="00033902"/>
    <w:rsid w:val="00033BE8"/>
    <w:rsid w:val="0003564D"/>
    <w:rsid w:val="0003578C"/>
    <w:rsid w:val="00035A9A"/>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6949"/>
    <w:rsid w:val="000576CD"/>
    <w:rsid w:val="00057973"/>
    <w:rsid w:val="00061ABD"/>
    <w:rsid w:val="00061CE2"/>
    <w:rsid w:val="00061E3B"/>
    <w:rsid w:val="00063247"/>
    <w:rsid w:val="00063473"/>
    <w:rsid w:val="00066157"/>
    <w:rsid w:val="000661AF"/>
    <w:rsid w:val="00070F9F"/>
    <w:rsid w:val="0007137B"/>
    <w:rsid w:val="000738F4"/>
    <w:rsid w:val="00074A4E"/>
    <w:rsid w:val="000758D3"/>
    <w:rsid w:val="000766E2"/>
    <w:rsid w:val="00077616"/>
    <w:rsid w:val="00077819"/>
    <w:rsid w:val="00085663"/>
    <w:rsid w:val="00085EBF"/>
    <w:rsid w:val="00086CF3"/>
    <w:rsid w:val="00087C4A"/>
    <w:rsid w:val="00087CDC"/>
    <w:rsid w:val="00091FB4"/>
    <w:rsid w:val="0009584C"/>
    <w:rsid w:val="000961FA"/>
    <w:rsid w:val="0009653D"/>
    <w:rsid w:val="000A241B"/>
    <w:rsid w:val="000A29ED"/>
    <w:rsid w:val="000A4529"/>
    <w:rsid w:val="000A62D6"/>
    <w:rsid w:val="000A6F14"/>
    <w:rsid w:val="000B0311"/>
    <w:rsid w:val="000B34F5"/>
    <w:rsid w:val="000B364C"/>
    <w:rsid w:val="000B3C8A"/>
    <w:rsid w:val="000B7257"/>
    <w:rsid w:val="000C0472"/>
    <w:rsid w:val="000C1B93"/>
    <w:rsid w:val="000D122C"/>
    <w:rsid w:val="000D1F96"/>
    <w:rsid w:val="000D355E"/>
    <w:rsid w:val="000D3C77"/>
    <w:rsid w:val="000D4350"/>
    <w:rsid w:val="000D5ADE"/>
    <w:rsid w:val="000D68C5"/>
    <w:rsid w:val="000E1819"/>
    <w:rsid w:val="000E1A1B"/>
    <w:rsid w:val="000E26B0"/>
    <w:rsid w:val="000E2946"/>
    <w:rsid w:val="000E4F81"/>
    <w:rsid w:val="000E54D6"/>
    <w:rsid w:val="000E55C7"/>
    <w:rsid w:val="000E5B55"/>
    <w:rsid w:val="000E6C72"/>
    <w:rsid w:val="000E77BB"/>
    <w:rsid w:val="000E7E24"/>
    <w:rsid w:val="000F189E"/>
    <w:rsid w:val="000F1956"/>
    <w:rsid w:val="000F1D61"/>
    <w:rsid w:val="000F56F6"/>
    <w:rsid w:val="000F5855"/>
    <w:rsid w:val="000F6FA7"/>
    <w:rsid w:val="000F77D6"/>
    <w:rsid w:val="000F7EE1"/>
    <w:rsid w:val="00100142"/>
    <w:rsid w:val="00102B64"/>
    <w:rsid w:val="00105281"/>
    <w:rsid w:val="00105AF3"/>
    <w:rsid w:val="0011019A"/>
    <w:rsid w:val="001107FF"/>
    <w:rsid w:val="00113430"/>
    <w:rsid w:val="00113AE0"/>
    <w:rsid w:val="00114352"/>
    <w:rsid w:val="001158FE"/>
    <w:rsid w:val="00115CCB"/>
    <w:rsid w:val="00116EB2"/>
    <w:rsid w:val="00117195"/>
    <w:rsid w:val="0012092C"/>
    <w:rsid w:val="00122831"/>
    <w:rsid w:val="00122E6B"/>
    <w:rsid w:val="001235DD"/>
    <w:rsid w:val="00124609"/>
    <w:rsid w:val="00125F4F"/>
    <w:rsid w:val="001270EB"/>
    <w:rsid w:val="00127CAB"/>
    <w:rsid w:val="00130196"/>
    <w:rsid w:val="0013057E"/>
    <w:rsid w:val="0013257C"/>
    <w:rsid w:val="001337EF"/>
    <w:rsid w:val="00133FC8"/>
    <w:rsid w:val="00134BD7"/>
    <w:rsid w:val="00136716"/>
    <w:rsid w:val="00136A08"/>
    <w:rsid w:val="001373F1"/>
    <w:rsid w:val="001435CC"/>
    <w:rsid w:val="001436FC"/>
    <w:rsid w:val="001450FB"/>
    <w:rsid w:val="0014511E"/>
    <w:rsid w:val="00145982"/>
    <w:rsid w:val="00145ACE"/>
    <w:rsid w:val="00146F42"/>
    <w:rsid w:val="00151F61"/>
    <w:rsid w:val="001539E0"/>
    <w:rsid w:val="0015451B"/>
    <w:rsid w:val="0015496E"/>
    <w:rsid w:val="00155113"/>
    <w:rsid w:val="0015602B"/>
    <w:rsid w:val="001566F6"/>
    <w:rsid w:val="001573E4"/>
    <w:rsid w:val="00160756"/>
    <w:rsid w:val="00162584"/>
    <w:rsid w:val="00164658"/>
    <w:rsid w:val="00164FB1"/>
    <w:rsid w:val="00165247"/>
    <w:rsid w:val="001653F3"/>
    <w:rsid w:val="00165C87"/>
    <w:rsid w:val="001666AA"/>
    <w:rsid w:val="00166BD2"/>
    <w:rsid w:val="001711CC"/>
    <w:rsid w:val="0017232E"/>
    <w:rsid w:val="00173AE6"/>
    <w:rsid w:val="00173DC1"/>
    <w:rsid w:val="00173E65"/>
    <w:rsid w:val="00174102"/>
    <w:rsid w:val="001756AF"/>
    <w:rsid w:val="001778E3"/>
    <w:rsid w:val="00180157"/>
    <w:rsid w:val="00181C46"/>
    <w:rsid w:val="001832C7"/>
    <w:rsid w:val="00186831"/>
    <w:rsid w:val="00186F77"/>
    <w:rsid w:val="001901A4"/>
    <w:rsid w:val="00190F24"/>
    <w:rsid w:val="00191C6F"/>
    <w:rsid w:val="00191DA4"/>
    <w:rsid w:val="00192441"/>
    <w:rsid w:val="001926A4"/>
    <w:rsid w:val="00193ED7"/>
    <w:rsid w:val="001A2BC2"/>
    <w:rsid w:val="001A2C0A"/>
    <w:rsid w:val="001A3AEC"/>
    <w:rsid w:val="001A3CDA"/>
    <w:rsid w:val="001A6790"/>
    <w:rsid w:val="001B0C3B"/>
    <w:rsid w:val="001B2363"/>
    <w:rsid w:val="001B3ABC"/>
    <w:rsid w:val="001B45A0"/>
    <w:rsid w:val="001B4A7D"/>
    <w:rsid w:val="001B684F"/>
    <w:rsid w:val="001B6C15"/>
    <w:rsid w:val="001B6FCB"/>
    <w:rsid w:val="001C027D"/>
    <w:rsid w:val="001C13CD"/>
    <w:rsid w:val="001C1680"/>
    <w:rsid w:val="001C17B3"/>
    <w:rsid w:val="001C1BC0"/>
    <w:rsid w:val="001C2EE8"/>
    <w:rsid w:val="001C5079"/>
    <w:rsid w:val="001C5EF2"/>
    <w:rsid w:val="001C5F6B"/>
    <w:rsid w:val="001C6748"/>
    <w:rsid w:val="001D055E"/>
    <w:rsid w:val="001D0C65"/>
    <w:rsid w:val="001D0CE3"/>
    <w:rsid w:val="001D3A5B"/>
    <w:rsid w:val="001D5BEB"/>
    <w:rsid w:val="001D5EE6"/>
    <w:rsid w:val="001D60FF"/>
    <w:rsid w:val="001D7698"/>
    <w:rsid w:val="001D7FB7"/>
    <w:rsid w:val="001E01B4"/>
    <w:rsid w:val="001E14C2"/>
    <w:rsid w:val="001E2F01"/>
    <w:rsid w:val="001E4665"/>
    <w:rsid w:val="001E48B3"/>
    <w:rsid w:val="001E5AEE"/>
    <w:rsid w:val="001E6485"/>
    <w:rsid w:val="001E6FDD"/>
    <w:rsid w:val="001F03EF"/>
    <w:rsid w:val="001F0EC9"/>
    <w:rsid w:val="001F1548"/>
    <w:rsid w:val="001F1B78"/>
    <w:rsid w:val="001F22EE"/>
    <w:rsid w:val="001F2577"/>
    <w:rsid w:val="001F3530"/>
    <w:rsid w:val="001F4726"/>
    <w:rsid w:val="001F492E"/>
    <w:rsid w:val="001F6DA3"/>
    <w:rsid w:val="001F7575"/>
    <w:rsid w:val="00201136"/>
    <w:rsid w:val="0020132A"/>
    <w:rsid w:val="00201C06"/>
    <w:rsid w:val="00203300"/>
    <w:rsid w:val="0020376D"/>
    <w:rsid w:val="0020489F"/>
    <w:rsid w:val="002050F5"/>
    <w:rsid w:val="002062A9"/>
    <w:rsid w:val="002065C6"/>
    <w:rsid w:val="002072A2"/>
    <w:rsid w:val="00207D5B"/>
    <w:rsid w:val="0021027A"/>
    <w:rsid w:val="0021147E"/>
    <w:rsid w:val="00212D2F"/>
    <w:rsid w:val="00213CF6"/>
    <w:rsid w:val="00214FBA"/>
    <w:rsid w:val="00215E19"/>
    <w:rsid w:val="002164FB"/>
    <w:rsid w:val="00216865"/>
    <w:rsid w:val="00217C29"/>
    <w:rsid w:val="002214D9"/>
    <w:rsid w:val="002216F5"/>
    <w:rsid w:val="00222F04"/>
    <w:rsid w:val="00224DB9"/>
    <w:rsid w:val="00224EE7"/>
    <w:rsid w:val="002276F0"/>
    <w:rsid w:val="00227C97"/>
    <w:rsid w:val="00230D26"/>
    <w:rsid w:val="00231C73"/>
    <w:rsid w:val="00232A71"/>
    <w:rsid w:val="00232FBD"/>
    <w:rsid w:val="002338A0"/>
    <w:rsid w:val="002339B5"/>
    <w:rsid w:val="00237048"/>
    <w:rsid w:val="00240AA4"/>
    <w:rsid w:val="002427B3"/>
    <w:rsid w:val="00242C25"/>
    <w:rsid w:val="00243222"/>
    <w:rsid w:val="00243347"/>
    <w:rsid w:val="002438D9"/>
    <w:rsid w:val="00245913"/>
    <w:rsid w:val="00247473"/>
    <w:rsid w:val="00247E84"/>
    <w:rsid w:val="00250859"/>
    <w:rsid w:val="002515C3"/>
    <w:rsid w:val="002516A1"/>
    <w:rsid w:val="00251745"/>
    <w:rsid w:val="00251C37"/>
    <w:rsid w:val="00251D74"/>
    <w:rsid w:val="00253160"/>
    <w:rsid w:val="00262F65"/>
    <w:rsid w:val="00263AC0"/>
    <w:rsid w:val="002649D2"/>
    <w:rsid w:val="002649D8"/>
    <w:rsid w:val="00265486"/>
    <w:rsid w:val="0026772D"/>
    <w:rsid w:val="00270A51"/>
    <w:rsid w:val="00270AF4"/>
    <w:rsid w:val="00272178"/>
    <w:rsid w:val="0027318A"/>
    <w:rsid w:val="00275002"/>
    <w:rsid w:val="00275927"/>
    <w:rsid w:val="002762EA"/>
    <w:rsid w:val="00276A9F"/>
    <w:rsid w:val="002817AB"/>
    <w:rsid w:val="002828A0"/>
    <w:rsid w:val="00283BF8"/>
    <w:rsid w:val="0028440E"/>
    <w:rsid w:val="0028521F"/>
    <w:rsid w:val="00285B8A"/>
    <w:rsid w:val="00286874"/>
    <w:rsid w:val="00291658"/>
    <w:rsid w:val="0029246F"/>
    <w:rsid w:val="00294653"/>
    <w:rsid w:val="00294D01"/>
    <w:rsid w:val="00296B65"/>
    <w:rsid w:val="00296D07"/>
    <w:rsid w:val="002A0450"/>
    <w:rsid w:val="002A0AF0"/>
    <w:rsid w:val="002A1B5C"/>
    <w:rsid w:val="002A2900"/>
    <w:rsid w:val="002A3CF2"/>
    <w:rsid w:val="002A4EF8"/>
    <w:rsid w:val="002A7439"/>
    <w:rsid w:val="002A7729"/>
    <w:rsid w:val="002A7C78"/>
    <w:rsid w:val="002A7DEF"/>
    <w:rsid w:val="002B0749"/>
    <w:rsid w:val="002B0DAE"/>
    <w:rsid w:val="002B1949"/>
    <w:rsid w:val="002B1B50"/>
    <w:rsid w:val="002B3B2D"/>
    <w:rsid w:val="002B6FD1"/>
    <w:rsid w:val="002B720D"/>
    <w:rsid w:val="002C2278"/>
    <w:rsid w:val="002C2A63"/>
    <w:rsid w:val="002C341F"/>
    <w:rsid w:val="002C3E5B"/>
    <w:rsid w:val="002C3EA5"/>
    <w:rsid w:val="002C42B0"/>
    <w:rsid w:val="002C4965"/>
    <w:rsid w:val="002C581B"/>
    <w:rsid w:val="002C621D"/>
    <w:rsid w:val="002C6B96"/>
    <w:rsid w:val="002C6DD3"/>
    <w:rsid w:val="002D1734"/>
    <w:rsid w:val="002D37FB"/>
    <w:rsid w:val="002D484E"/>
    <w:rsid w:val="002D4A1F"/>
    <w:rsid w:val="002D5A5A"/>
    <w:rsid w:val="002D6AB4"/>
    <w:rsid w:val="002E2846"/>
    <w:rsid w:val="002E29A0"/>
    <w:rsid w:val="002E5E33"/>
    <w:rsid w:val="002E6254"/>
    <w:rsid w:val="002E64AB"/>
    <w:rsid w:val="002E7DC5"/>
    <w:rsid w:val="002F02A4"/>
    <w:rsid w:val="002F16EE"/>
    <w:rsid w:val="002F20C2"/>
    <w:rsid w:val="002F22FD"/>
    <w:rsid w:val="002F2481"/>
    <w:rsid w:val="002F3D02"/>
    <w:rsid w:val="002F4F34"/>
    <w:rsid w:val="002F7986"/>
    <w:rsid w:val="00300C0B"/>
    <w:rsid w:val="00302D83"/>
    <w:rsid w:val="00303F1A"/>
    <w:rsid w:val="0030433A"/>
    <w:rsid w:val="003061FA"/>
    <w:rsid w:val="003062C2"/>
    <w:rsid w:val="00306DD8"/>
    <w:rsid w:val="00307F6D"/>
    <w:rsid w:val="003105F5"/>
    <w:rsid w:val="0031318F"/>
    <w:rsid w:val="003152BD"/>
    <w:rsid w:val="003153EB"/>
    <w:rsid w:val="00315FE3"/>
    <w:rsid w:val="003177A2"/>
    <w:rsid w:val="00317A81"/>
    <w:rsid w:val="003208C0"/>
    <w:rsid w:val="00321853"/>
    <w:rsid w:val="00322300"/>
    <w:rsid w:val="00323CE7"/>
    <w:rsid w:val="003243B4"/>
    <w:rsid w:val="003271B5"/>
    <w:rsid w:val="003274A9"/>
    <w:rsid w:val="0032770E"/>
    <w:rsid w:val="00331264"/>
    <w:rsid w:val="00332F5D"/>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4887"/>
    <w:rsid w:val="00354A9E"/>
    <w:rsid w:val="0035522A"/>
    <w:rsid w:val="00355CDD"/>
    <w:rsid w:val="00355D1A"/>
    <w:rsid w:val="00355D2F"/>
    <w:rsid w:val="00356706"/>
    <w:rsid w:val="00356E72"/>
    <w:rsid w:val="00361D84"/>
    <w:rsid w:val="00362ABA"/>
    <w:rsid w:val="003642AD"/>
    <w:rsid w:val="00364EF1"/>
    <w:rsid w:val="00366515"/>
    <w:rsid w:val="00370A27"/>
    <w:rsid w:val="003715C8"/>
    <w:rsid w:val="00371F3A"/>
    <w:rsid w:val="003749F7"/>
    <w:rsid w:val="00375E24"/>
    <w:rsid w:val="00376373"/>
    <w:rsid w:val="00377133"/>
    <w:rsid w:val="00383C6B"/>
    <w:rsid w:val="003846F1"/>
    <w:rsid w:val="00384A55"/>
    <w:rsid w:val="00384B54"/>
    <w:rsid w:val="00386C86"/>
    <w:rsid w:val="003874F8"/>
    <w:rsid w:val="003904D2"/>
    <w:rsid w:val="00395B4C"/>
    <w:rsid w:val="00397EB2"/>
    <w:rsid w:val="00397FF5"/>
    <w:rsid w:val="003A0810"/>
    <w:rsid w:val="003A0CB8"/>
    <w:rsid w:val="003A1F17"/>
    <w:rsid w:val="003A3E2D"/>
    <w:rsid w:val="003A41E0"/>
    <w:rsid w:val="003A431D"/>
    <w:rsid w:val="003A4B6B"/>
    <w:rsid w:val="003A7DC0"/>
    <w:rsid w:val="003B0D56"/>
    <w:rsid w:val="003B282E"/>
    <w:rsid w:val="003B40ED"/>
    <w:rsid w:val="003B4804"/>
    <w:rsid w:val="003B4D9B"/>
    <w:rsid w:val="003B6F90"/>
    <w:rsid w:val="003C0710"/>
    <w:rsid w:val="003C16AA"/>
    <w:rsid w:val="003C24A9"/>
    <w:rsid w:val="003C2A86"/>
    <w:rsid w:val="003C2B22"/>
    <w:rsid w:val="003C2BC1"/>
    <w:rsid w:val="003C30E5"/>
    <w:rsid w:val="003C3C98"/>
    <w:rsid w:val="003C3D77"/>
    <w:rsid w:val="003C62E9"/>
    <w:rsid w:val="003C6315"/>
    <w:rsid w:val="003C7164"/>
    <w:rsid w:val="003C7EFA"/>
    <w:rsid w:val="003D5258"/>
    <w:rsid w:val="003E1341"/>
    <w:rsid w:val="003E3C33"/>
    <w:rsid w:val="003E47DC"/>
    <w:rsid w:val="003E521D"/>
    <w:rsid w:val="003E74FF"/>
    <w:rsid w:val="003E78A9"/>
    <w:rsid w:val="003F004E"/>
    <w:rsid w:val="003F0289"/>
    <w:rsid w:val="003F3672"/>
    <w:rsid w:val="003F54CB"/>
    <w:rsid w:val="003F57F1"/>
    <w:rsid w:val="003F5F74"/>
    <w:rsid w:val="003F66C5"/>
    <w:rsid w:val="003F75C8"/>
    <w:rsid w:val="00401B53"/>
    <w:rsid w:val="00402142"/>
    <w:rsid w:val="00403473"/>
    <w:rsid w:val="004034C5"/>
    <w:rsid w:val="00404492"/>
    <w:rsid w:val="00404504"/>
    <w:rsid w:val="00405B42"/>
    <w:rsid w:val="00407337"/>
    <w:rsid w:val="00410937"/>
    <w:rsid w:val="00411897"/>
    <w:rsid w:val="00412176"/>
    <w:rsid w:val="00414488"/>
    <w:rsid w:val="00414EA6"/>
    <w:rsid w:val="00414F6E"/>
    <w:rsid w:val="00415788"/>
    <w:rsid w:val="004157C0"/>
    <w:rsid w:val="00416641"/>
    <w:rsid w:val="004176E8"/>
    <w:rsid w:val="00421154"/>
    <w:rsid w:val="0042429B"/>
    <w:rsid w:val="00424809"/>
    <w:rsid w:val="004253D6"/>
    <w:rsid w:val="004303EE"/>
    <w:rsid w:val="00432B5B"/>
    <w:rsid w:val="00436F76"/>
    <w:rsid w:val="00440D85"/>
    <w:rsid w:val="00441A99"/>
    <w:rsid w:val="00442767"/>
    <w:rsid w:val="00444A48"/>
    <w:rsid w:val="00446065"/>
    <w:rsid w:val="00450611"/>
    <w:rsid w:val="004507A1"/>
    <w:rsid w:val="0045129B"/>
    <w:rsid w:val="004518EA"/>
    <w:rsid w:val="00453327"/>
    <w:rsid w:val="00453A41"/>
    <w:rsid w:val="00456C20"/>
    <w:rsid w:val="00462CFF"/>
    <w:rsid w:val="00465210"/>
    <w:rsid w:val="00470AF4"/>
    <w:rsid w:val="00470EE9"/>
    <w:rsid w:val="0047130B"/>
    <w:rsid w:val="00471992"/>
    <w:rsid w:val="00471E68"/>
    <w:rsid w:val="0047237E"/>
    <w:rsid w:val="0047251B"/>
    <w:rsid w:val="0047346C"/>
    <w:rsid w:val="00477821"/>
    <w:rsid w:val="0048018F"/>
    <w:rsid w:val="00480B4B"/>
    <w:rsid w:val="00480DA9"/>
    <w:rsid w:val="004831F8"/>
    <w:rsid w:val="004835FB"/>
    <w:rsid w:val="00485752"/>
    <w:rsid w:val="00485DC4"/>
    <w:rsid w:val="00487C10"/>
    <w:rsid w:val="004923CD"/>
    <w:rsid w:val="00492A06"/>
    <w:rsid w:val="00493B02"/>
    <w:rsid w:val="00494036"/>
    <w:rsid w:val="00495574"/>
    <w:rsid w:val="0049751C"/>
    <w:rsid w:val="004A0AB5"/>
    <w:rsid w:val="004A1061"/>
    <w:rsid w:val="004A1184"/>
    <w:rsid w:val="004A13A6"/>
    <w:rsid w:val="004A2770"/>
    <w:rsid w:val="004A364A"/>
    <w:rsid w:val="004B104F"/>
    <w:rsid w:val="004B1708"/>
    <w:rsid w:val="004B231C"/>
    <w:rsid w:val="004B42A7"/>
    <w:rsid w:val="004B4412"/>
    <w:rsid w:val="004B5B3F"/>
    <w:rsid w:val="004C28B2"/>
    <w:rsid w:val="004C348C"/>
    <w:rsid w:val="004C4E90"/>
    <w:rsid w:val="004C63B9"/>
    <w:rsid w:val="004C6486"/>
    <w:rsid w:val="004C6C5B"/>
    <w:rsid w:val="004C7D3A"/>
    <w:rsid w:val="004D044E"/>
    <w:rsid w:val="004D1774"/>
    <w:rsid w:val="004D1D1A"/>
    <w:rsid w:val="004D4A76"/>
    <w:rsid w:val="004D5447"/>
    <w:rsid w:val="004D55BA"/>
    <w:rsid w:val="004E1B1C"/>
    <w:rsid w:val="004E1E95"/>
    <w:rsid w:val="004E34E7"/>
    <w:rsid w:val="004E4142"/>
    <w:rsid w:val="004E567F"/>
    <w:rsid w:val="004E6AFC"/>
    <w:rsid w:val="004E70CA"/>
    <w:rsid w:val="004E755C"/>
    <w:rsid w:val="004E7D10"/>
    <w:rsid w:val="004F171D"/>
    <w:rsid w:val="004F18F3"/>
    <w:rsid w:val="004F5B21"/>
    <w:rsid w:val="004F6D0A"/>
    <w:rsid w:val="004F6ED0"/>
    <w:rsid w:val="00501B85"/>
    <w:rsid w:val="0050244E"/>
    <w:rsid w:val="00502843"/>
    <w:rsid w:val="00502D42"/>
    <w:rsid w:val="005033F6"/>
    <w:rsid w:val="005047F1"/>
    <w:rsid w:val="00505B5E"/>
    <w:rsid w:val="00510A43"/>
    <w:rsid w:val="005177C0"/>
    <w:rsid w:val="00522360"/>
    <w:rsid w:val="00522486"/>
    <w:rsid w:val="00522668"/>
    <w:rsid w:val="00523AD2"/>
    <w:rsid w:val="00524513"/>
    <w:rsid w:val="00525B46"/>
    <w:rsid w:val="00527551"/>
    <w:rsid w:val="005279B6"/>
    <w:rsid w:val="00530128"/>
    <w:rsid w:val="00530657"/>
    <w:rsid w:val="005323B2"/>
    <w:rsid w:val="00532467"/>
    <w:rsid w:val="00533C15"/>
    <w:rsid w:val="0053491C"/>
    <w:rsid w:val="0053611E"/>
    <w:rsid w:val="0054102B"/>
    <w:rsid w:val="0054173F"/>
    <w:rsid w:val="0054254C"/>
    <w:rsid w:val="0054313C"/>
    <w:rsid w:val="00543945"/>
    <w:rsid w:val="00543BEC"/>
    <w:rsid w:val="00544C6F"/>
    <w:rsid w:val="00547DC4"/>
    <w:rsid w:val="005502E7"/>
    <w:rsid w:val="00551739"/>
    <w:rsid w:val="0055298D"/>
    <w:rsid w:val="00552DA2"/>
    <w:rsid w:val="00555667"/>
    <w:rsid w:val="005556B9"/>
    <w:rsid w:val="00556B64"/>
    <w:rsid w:val="005575B9"/>
    <w:rsid w:val="00560CE5"/>
    <w:rsid w:val="00562103"/>
    <w:rsid w:val="00562CEE"/>
    <w:rsid w:val="00562EF1"/>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700"/>
    <w:rsid w:val="005810AE"/>
    <w:rsid w:val="005819F3"/>
    <w:rsid w:val="00582183"/>
    <w:rsid w:val="00582446"/>
    <w:rsid w:val="005839B3"/>
    <w:rsid w:val="00584D8F"/>
    <w:rsid w:val="00585D42"/>
    <w:rsid w:val="0058645E"/>
    <w:rsid w:val="005943E8"/>
    <w:rsid w:val="0059539A"/>
    <w:rsid w:val="00595613"/>
    <w:rsid w:val="00595ED0"/>
    <w:rsid w:val="00596275"/>
    <w:rsid w:val="005A1287"/>
    <w:rsid w:val="005A1339"/>
    <w:rsid w:val="005A3B2C"/>
    <w:rsid w:val="005A3F7E"/>
    <w:rsid w:val="005A404D"/>
    <w:rsid w:val="005A42D5"/>
    <w:rsid w:val="005A5657"/>
    <w:rsid w:val="005A6CB0"/>
    <w:rsid w:val="005A6F22"/>
    <w:rsid w:val="005A731B"/>
    <w:rsid w:val="005B0461"/>
    <w:rsid w:val="005B0EF5"/>
    <w:rsid w:val="005B1402"/>
    <w:rsid w:val="005B1E3C"/>
    <w:rsid w:val="005B62AF"/>
    <w:rsid w:val="005B6FC9"/>
    <w:rsid w:val="005B7F8F"/>
    <w:rsid w:val="005C26CC"/>
    <w:rsid w:val="005C3411"/>
    <w:rsid w:val="005C3D54"/>
    <w:rsid w:val="005C3DEC"/>
    <w:rsid w:val="005C4E3D"/>
    <w:rsid w:val="005C4F80"/>
    <w:rsid w:val="005C53C0"/>
    <w:rsid w:val="005C546A"/>
    <w:rsid w:val="005C553B"/>
    <w:rsid w:val="005C592F"/>
    <w:rsid w:val="005C5D2E"/>
    <w:rsid w:val="005C5E72"/>
    <w:rsid w:val="005D24A9"/>
    <w:rsid w:val="005D2FBD"/>
    <w:rsid w:val="005D5ECD"/>
    <w:rsid w:val="005D69AF"/>
    <w:rsid w:val="005E0B7E"/>
    <w:rsid w:val="005E2086"/>
    <w:rsid w:val="005E343A"/>
    <w:rsid w:val="005E6DAF"/>
    <w:rsid w:val="005E6FFA"/>
    <w:rsid w:val="005E7718"/>
    <w:rsid w:val="005F0661"/>
    <w:rsid w:val="005F0CD5"/>
    <w:rsid w:val="005F69C4"/>
    <w:rsid w:val="005F6ADE"/>
    <w:rsid w:val="005F702C"/>
    <w:rsid w:val="005F7247"/>
    <w:rsid w:val="00600B2D"/>
    <w:rsid w:val="00602A58"/>
    <w:rsid w:val="00603914"/>
    <w:rsid w:val="00604DB6"/>
    <w:rsid w:val="006057DD"/>
    <w:rsid w:val="006074A3"/>
    <w:rsid w:val="00607BA0"/>
    <w:rsid w:val="00610304"/>
    <w:rsid w:val="00612006"/>
    <w:rsid w:val="00613324"/>
    <w:rsid w:val="00613DEC"/>
    <w:rsid w:val="00615619"/>
    <w:rsid w:val="00615C6B"/>
    <w:rsid w:val="00616CEC"/>
    <w:rsid w:val="00620B1B"/>
    <w:rsid w:val="00621545"/>
    <w:rsid w:val="0062525D"/>
    <w:rsid w:val="00626A3A"/>
    <w:rsid w:val="00626E1A"/>
    <w:rsid w:val="00627B2D"/>
    <w:rsid w:val="0063066D"/>
    <w:rsid w:val="006309A2"/>
    <w:rsid w:val="00630A15"/>
    <w:rsid w:val="00631560"/>
    <w:rsid w:val="006319C1"/>
    <w:rsid w:val="00632D6D"/>
    <w:rsid w:val="00634D01"/>
    <w:rsid w:val="0063567F"/>
    <w:rsid w:val="00636936"/>
    <w:rsid w:val="00641006"/>
    <w:rsid w:val="006411E6"/>
    <w:rsid w:val="00642C3E"/>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3DAD"/>
    <w:rsid w:val="00665ACC"/>
    <w:rsid w:val="00666226"/>
    <w:rsid w:val="0067092D"/>
    <w:rsid w:val="0067180B"/>
    <w:rsid w:val="00673D15"/>
    <w:rsid w:val="006741D4"/>
    <w:rsid w:val="00675C7F"/>
    <w:rsid w:val="00675E21"/>
    <w:rsid w:val="00676392"/>
    <w:rsid w:val="00676679"/>
    <w:rsid w:val="00677233"/>
    <w:rsid w:val="006777D7"/>
    <w:rsid w:val="006836D7"/>
    <w:rsid w:val="00686411"/>
    <w:rsid w:val="00687AA8"/>
    <w:rsid w:val="00694FD6"/>
    <w:rsid w:val="0069547C"/>
    <w:rsid w:val="006956EC"/>
    <w:rsid w:val="006A0411"/>
    <w:rsid w:val="006A20CE"/>
    <w:rsid w:val="006A21CD"/>
    <w:rsid w:val="006A35B0"/>
    <w:rsid w:val="006A6EDD"/>
    <w:rsid w:val="006A7C64"/>
    <w:rsid w:val="006B0C7B"/>
    <w:rsid w:val="006B32F3"/>
    <w:rsid w:val="006B4CF9"/>
    <w:rsid w:val="006B6CC3"/>
    <w:rsid w:val="006B77F5"/>
    <w:rsid w:val="006B7AC8"/>
    <w:rsid w:val="006C196C"/>
    <w:rsid w:val="006C1E8B"/>
    <w:rsid w:val="006C2373"/>
    <w:rsid w:val="006C318F"/>
    <w:rsid w:val="006C3620"/>
    <w:rsid w:val="006C41C4"/>
    <w:rsid w:val="006C447D"/>
    <w:rsid w:val="006C4534"/>
    <w:rsid w:val="006C5B09"/>
    <w:rsid w:val="006C62B7"/>
    <w:rsid w:val="006D0C1E"/>
    <w:rsid w:val="006D1D94"/>
    <w:rsid w:val="006D3561"/>
    <w:rsid w:val="006D38CE"/>
    <w:rsid w:val="006D550F"/>
    <w:rsid w:val="006D5B9F"/>
    <w:rsid w:val="006D6001"/>
    <w:rsid w:val="006D6AE2"/>
    <w:rsid w:val="006D7923"/>
    <w:rsid w:val="006E1E7D"/>
    <w:rsid w:val="006E218F"/>
    <w:rsid w:val="006E244A"/>
    <w:rsid w:val="006E5F3E"/>
    <w:rsid w:val="006E78CF"/>
    <w:rsid w:val="006F0601"/>
    <w:rsid w:val="006F0B74"/>
    <w:rsid w:val="006F0D76"/>
    <w:rsid w:val="006F1044"/>
    <w:rsid w:val="006F3750"/>
    <w:rsid w:val="006F393C"/>
    <w:rsid w:val="006F3FCB"/>
    <w:rsid w:val="006F48AA"/>
    <w:rsid w:val="006F4C38"/>
    <w:rsid w:val="006F4D5B"/>
    <w:rsid w:val="006F6C2D"/>
    <w:rsid w:val="00700DAB"/>
    <w:rsid w:val="00701CAB"/>
    <w:rsid w:val="007037F6"/>
    <w:rsid w:val="00704518"/>
    <w:rsid w:val="00704CA4"/>
    <w:rsid w:val="00707011"/>
    <w:rsid w:val="00707563"/>
    <w:rsid w:val="00711BF6"/>
    <w:rsid w:val="00712D03"/>
    <w:rsid w:val="00716355"/>
    <w:rsid w:val="0071735A"/>
    <w:rsid w:val="0072073C"/>
    <w:rsid w:val="00720AB2"/>
    <w:rsid w:val="0072348C"/>
    <w:rsid w:val="007241D7"/>
    <w:rsid w:val="007247EC"/>
    <w:rsid w:val="00724827"/>
    <w:rsid w:val="00724A37"/>
    <w:rsid w:val="00724BF3"/>
    <w:rsid w:val="00727D4D"/>
    <w:rsid w:val="007303C3"/>
    <w:rsid w:val="00730446"/>
    <w:rsid w:val="007317CE"/>
    <w:rsid w:val="00731F13"/>
    <w:rsid w:val="0073214E"/>
    <w:rsid w:val="00732CE1"/>
    <w:rsid w:val="00732D22"/>
    <w:rsid w:val="0073319F"/>
    <w:rsid w:val="0073449E"/>
    <w:rsid w:val="0073561F"/>
    <w:rsid w:val="007356A7"/>
    <w:rsid w:val="00741247"/>
    <w:rsid w:val="00741D03"/>
    <w:rsid w:val="007422CF"/>
    <w:rsid w:val="007426D5"/>
    <w:rsid w:val="00743223"/>
    <w:rsid w:val="00746063"/>
    <w:rsid w:val="00746E01"/>
    <w:rsid w:val="00747D2F"/>
    <w:rsid w:val="0075017A"/>
    <w:rsid w:val="00751821"/>
    <w:rsid w:val="007532DD"/>
    <w:rsid w:val="00753ADA"/>
    <w:rsid w:val="007600A5"/>
    <w:rsid w:val="00760FD8"/>
    <w:rsid w:val="007618A3"/>
    <w:rsid w:val="00762D41"/>
    <w:rsid w:val="00763E5D"/>
    <w:rsid w:val="00764468"/>
    <w:rsid w:val="00764C7F"/>
    <w:rsid w:val="00767740"/>
    <w:rsid w:val="007707BF"/>
    <w:rsid w:val="00771822"/>
    <w:rsid w:val="00772A95"/>
    <w:rsid w:val="00777EE6"/>
    <w:rsid w:val="00780452"/>
    <w:rsid w:val="00781173"/>
    <w:rsid w:val="00781976"/>
    <w:rsid w:val="00781A01"/>
    <w:rsid w:val="00782EEA"/>
    <w:rsid w:val="0078319A"/>
    <w:rsid w:val="00783D4E"/>
    <w:rsid w:val="00784059"/>
    <w:rsid w:val="0078423F"/>
    <w:rsid w:val="00784A7E"/>
    <w:rsid w:val="007861E0"/>
    <w:rsid w:val="0079277A"/>
    <w:rsid w:val="0079310A"/>
    <w:rsid w:val="007959E7"/>
    <w:rsid w:val="0079631B"/>
    <w:rsid w:val="00796C78"/>
    <w:rsid w:val="00796D6A"/>
    <w:rsid w:val="007A1135"/>
    <w:rsid w:val="007A1428"/>
    <w:rsid w:val="007A1AB0"/>
    <w:rsid w:val="007A33E8"/>
    <w:rsid w:val="007A6656"/>
    <w:rsid w:val="007A7264"/>
    <w:rsid w:val="007B1732"/>
    <w:rsid w:val="007B2C72"/>
    <w:rsid w:val="007B3F68"/>
    <w:rsid w:val="007B497F"/>
    <w:rsid w:val="007B57F8"/>
    <w:rsid w:val="007B742A"/>
    <w:rsid w:val="007B78AB"/>
    <w:rsid w:val="007C1C53"/>
    <w:rsid w:val="007C2EE8"/>
    <w:rsid w:val="007C62FE"/>
    <w:rsid w:val="007C6FE2"/>
    <w:rsid w:val="007D1133"/>
    <w:rsid w:val="007D2028"/>
    <w:rsid w:val="007D47B2"/>
    <w:rsid w:val="007D53A8"/>
    <w:rsid w:val="007D6FC9"/>
    <w:rsid w:val="007E1516"/>
    <w:rsid w:val="007E4904"/>
    <w:rsid w:val="007E4CB5"/>
    <w:rsid w:val="007E5597"/>
    <w:rsid w:val="007E74E0"/>
    <w:rsid w:val="007F066B"/>
    <w:rsid w:val="007F0F77"/>
    <w:rsid w:val="007F2BBD"/>
    <w:rsid w:val="007F2D03"/>
    <w:rsid w:val="007F3B2C"/>
    <w:rsid w:val="007F3D64"/>
    <w:rsid w:val="007F475F"/>
    <w:rsid w:val="007F4AB4"/>
    <w:rsid w:val="007F5457"/>
    <w:rsid w:val="008011F4"/>
    <w:rsid w:val="008033C4"/>
    <w:rsid w:val="00803D7F"/>
    <w:rsid w:val="00806C88"/>
    <w:rsid w:val="00807112"/>
    <w:rsid w:val="00807A5C"/>
    <w:rsid w:val="0081034E"/>
    <w:rsid w:val="0081253D"/>
    <w:rsid w:val="00812E7B"/>
    <w:rsid w:val="0081351D"/>
    <w:rsid w:val="00813CE4"/>
    <w:rsid w:val="0081592A"/>
    <w:rsid w:val="008238B2"/>
    <w:rsid w:val="008245E2"/>
    <w:rsid w:val="008257CA"/>
    <w:rsid w:val="008301E7"/>
    <w:rsid w:val="00831483"/>
    <w:rsid w:val="008344B4"/>
    <w:rsid w:val="008344F6"/>
    <w:rsid w:val="0083510F"/>
    <w:rsid w:val="008366CD"/>
    <w:rsid w:val="00836890"/>
    <w:rsid w:val="00840C6C"/>
    <w:rsid w:val="00840FCC"/>
    <w:rsid w:val="00843C59"/>
    <w:rsid w:val="008445D3"/>
    <w:rsid w:val="00845396"/>
    <w:rsid w:val="00847ED9"/>
    <w:rsid w:val="00851209"/>
    <w:rsid w:val="0085188E"/>
    <w:rsid w:val="00851B46"/>
    <w:rsid w:val="00852B3D"/>
    <w:rsid w:val="008556A5"/>
    <w:rsid w:val="00855D1C"/>
    <w:rsid w:val="00856965"/>
    <w:rsid w:val="00857917"/>
    <w:rsid w:val="00861AED"/>
    <w:rsid w:val="00864A9F"/>
    <w:rsid w:val="00867506"/>
    <w:rsid w:val="008707C1"/>
    <w:rsid w:val="00870903"/>
    <w:rsid w:val="0087280A"/>
    <w:rsid w:val="0087308C"/>
    <w:rsid w:val="00873B1F"/>
    <w:rsid w:val="0087479D"/>
    <w:rsid w:val="00882E1D"/>
    <w:rsid w:val="008837AC"/>
    <w:rsid w:val="00884D30"/>
    <w:rsid w:val="0088604D"/>
    <w:rsid w:val="00886662"/>
    <w:rsid w:val="00886BAB"/>
    <w:rsid w:val="00886CEC"/>
    <w:rsid w:val="00886FA8"/>
    <w:rsid w:val="00887EBF"/>
    <w:rsid w:val="008909FD"/>
    <w:rsid w:val="00890E9F"/>
    <w:rsid w:val="008934F4"/>
    <w:rsid w:val="00895878"/>
    <w:rsid w:val="00896C79"/>
    <w:rsid w:val="008A0E23"/>
    <w:rsid w:val="008A147B"/>
    <w:rsid w:val="008A4DB6"/>
    <w:rsid w:val="008A587D"/>
    <w:rsid w:val="008A59AB"/>
    <w:rsid w:val="008A6198"/>
    <w:rsid w:val="008A7580"/>
    <w:rsid w:val="008A7E37"/>
    <w:rsid w:val="008B0D4C"/>
    <w:rsid w:val="008B0F35"/>
    <w:rsid w:val="008B18AC"/>
    <w:rsid w:val="008B22BE"/>
    <w:rsid w:val="008B3025"/>
    <w:rsid w:val="008B3F36"/>
    <w:rsid w:val="008B416B"/>
    <w:rsid w:val="008B6DA5"/>
    <w:rsid w:val="008B7F4B"/>
    <w:rsid w:val="008C094A"/>
    <w:rsid w:val="008C1D7C"/>
    <w:rsid w:val="008C1FE0"/>
    <w:rsid w:val="008C4E0D"/>
    <w:rsid w:val="008C50F7"/>
    <w:rsid w:val="008C50FB"/>
    <w:rsid w:val="008C5486"/>
    <w:rsid w:val="008C6384"/>
    <w:rsid w:val="008C6B16"/>
    <w:rsid w:val="008D21CB"/>
    <w:rsid w:val="008D2CEE"/>
    <w:rsid w:val="008D3129"/>
    <w:rsid w:val="008D4820"/>
    <w:rsid w:val="008D4E23"/>
    <w:rsid w:val="008D6AC3"/>
    <w:rsid w:val="008E1E8E"/>
    <w:rsid w:val="008E2316"/>
    <w:rsid w:val="008E2C54"/>
    <w:rsid w:val="008E3AAC"/>
    <w:rsid w:val="008E535A"/>
    <w:rsid w:val="008E6CAE"/>
    <w:rsid w:val="008E7031"/>
    <w:rsid w:val="008F05DF"/>
    <w:rsid w:val="008F14C9"/>
    <w:rsid w:val="008F2DE1"/>
    <w:rsid w:val="008F2F48"/>
    <w:rsid w:val="008F4AD5"/>
    <w:rsid w:val="008F4C72"/>
    <w:rsid w:val="008F4DFD"/>
    <w:rsid w:val="008F6E27"/>
    <w:rsid w:val="008F6FC7"/>
    <w:rsid w:val="008F71C7"/>
    <w:rsid w:val="008F7954"/>
    <w:rsid w:val="009004F5"/>
    <w:rsid w:val="0090239D"/>
    <w:rsid w:val="00902445"/>
    <w:rsid w:val="00903A78"/>
    <w:rsid w:val="009057E0"/>
    <w:rsid w:val="009064FC"/>
    <w:rsid w:val="0091130F"/>
    <w:rsid w:val="00913C7D"/>
    <w:rsid w:val="00914975"/>
    <w:rsid w:val="00914A87"/>
    <w:rsid w:val="00915BFF"/>
    <w:rsid w:val="0091710E"/>
    <w:rsid w:val="00921066"/>
    <w:rsid w:val="00921957"/>
    <w:rsid w:val="00922ACF"/>
    <w:rsid w:val="009233EE"/>
    <w:rsid w:val="00924207"/>
    <w:rsid w:val="0092422F"/>
    <w:rsid w:val="00932606"/>
    <w:rsid w:val="009335AE"/>
    <w:rsid w:val="00933B55"/>
    <w:rsid w:val="00936740"/>
    <w:rsid w:val="009377D8"/>
    <w:rsid w:val="00940393"/>
    <w:rsid w:val="0094150C"/>
    <w:rsid w:val="00942863"/>
    <w:rsid w:val="00944863"/>
    <w:rsid w:val="009456DC"/>
    <w:rsid w:val="00947919"/>
    <w:rsid w:val="00950B15"/>
    <w:rsid w:val="0095158D"/>
    <w:rsid w:val="00952CF7"/>
    <w:rsid w:val="00953534"/>
    <w:rsid w:val="00953576"/>
    <w:rsid w:val="009540FA"/>
    <w:rsid w:val="00956C19"/>
    <w:rsid w:val="00957591"/>
    <w:rsid w:val="0095772E"/>
    <w:rsid w:val="00960AC5"/>
    <w:rsid w:val="00960C83"/>
    <w:rsid w:val="00963EC7"/>
    <w:rsid w:val="009661DE"/>
    <w:rsid w:val="009721AF"/>
    <w:rsid w:val="00972A40"/>
    <w:rsid w:val="00974CDB"/>
    <w:rsid w:val="009777E3"/>
    <w:rsid w:val="00981578"/>
    <w:rsid w:val="00981E7F"/>
    <w:rsid w:val="00982FEB"/>
    <w:rsid w:val="009837D1"/>
    <w:rsid w:val="00983EEC"/>
    <w:rsid w:val="009856B7"/>
    <w:rsid w:val="00985A66"/>
    <w:rsid w:val="0098646A"/>
    <w:rsid w:val="00986EE3"/>
    <w:rsid w:val="009920D2"/>
    <w:rsid w:val="009923B1"/>
    <w:rsid w:val="009928BC"/>
    <w:rsid w:val="009937B4"/>
    <w:rsid w:val="0099572C"/>
    <w:rsid w:val="009A090B"/>
    <w:rsid w:val="009A0A73"/>
    <w:rsid w:val="009A0EDF"/>
    <w:rsid w:val="009A14D0"/>
    <w:rsid w:val="009A3D22"/>
    <w:rsid w:val="009A4B08"/>
    <w:rsid w:val="009A574C"/>
    <w:rsid w:val="009A6D69"/>
    <w:rsid w:val="009B0884"/>
    <w:rsid w:val="009B1174"/>
    <w:rsid w:val="009B21F2"/>
    <w:rsid w:val="009B4E65"/>
    <w:rsid w:val="009B533B"/>
    <w:rsid w:val="009B5478"/>
    <w:rsid w:val="009B5D28"/>
    <w:rsid w:val="009B615C"/>
    <w:rsid w:val="009B69AA"/>
    <w:rsid w:val="009B74B0"/>
    <w:rsid w:val="009C01D7"/>
    <w:rsid w:val="009C05B5"/>
    <w:rsid w:val="009C1BE3"/>
    <w:rsid w:val="009C381D"/>
    <w:rsid w:val="009C4FB9"/>
    <w:rsid w:val="009C6A83"/>
    <w:rsid w:val="009C77CC"/>
    <w:rsid w:val="009C7E88"/>
    <w:rsid w:val="009C7FDF"/>
    <w:rsid w:val="009D0B16"/>
    <w:rsid w:val="009D3016"/>
    <w:rsid w:val="009D30B3"/>
    <w:rsid w:val="009D3902"/>
    <w:rsid w:val="009D47E3"/>
    <w:rsid w:val="009D5AB7"/>
    <w:rsid w:val="009D633E"/>
    <w:rsid w:val="009D6B46"/>
    <w:rsid w:val="009E1209"/>
    <w:rsid w:val="009E1242"/>
    <w:rsid w:val="009E2520"/>
    <w:rsid w:val="009E2B88"/>
    <w:rsid w:val="009E464D"/>
    <w:rsid w:val="009E6668"/>
    <w:rsid w:val="009E7749"/>
    <w:rsid w:val="009E7AC6"/>
    <w:rsid w:val="009E7D2D"/>
    <w:rsid w:val="009F0A79"/>
    <w:rsid w:val="009F0AD3"/>
    <w:rsid w:val="009F1D03"/>
    <w:rsid w:val="009F1E42"/>
    <w:rsid w:val="009F2CAC"/>
    <w:rsid w:val="009F4806"/>
    <w:rsid w:val="009F4940"/>
    <w:rsid w:val="00A041F4"/>
    <w:rsid w:val="00A04451"/>
    <w:rsid w:val="00A04F9F"/>
    <w:rsid w:val="00A057D1"/>
    <w:rsid w:val="00A05BED"/>
    <w:rsid w:val="00A06AD1"/>
    <w:rsid w:val="00A11053"/>
    <w:rsid w:val="00A1210E"/>
    <w:rsid w:val="00A159BF"/>
    <w:rsid w:val="00A15E40"/>
    <w:rsid w:val="00A16DAF"/>
    <w:rsid w:val="00A16F26"/>
    <w:rsid w:val="00A21F54"/>
    <w:rsid w:val="00A2302C"/>
    <w:rsid w:val="00A25353"/>
    <w:rsid w:val="00A26739"/>
    <w:rsid w:val="00A26C2F"/>
    <w:rsid w:val="00A30B76"/>
    <w:rsid w:val="00A3632A"/>
    <w:rsid w:val="00A42006"/>
    <w:rsid w:val="00A432BC"/>
    <w:rsid w:val="00A433FB"/>
    <w:rsid w:val="00A441EA"/>
    <w:rsid w:val="00A4478A"/>
    <w:rsid w:val="00A44852"/>
    <w:rsid w:val="00A45EAC"/>
    <w:rsid w:val="00A468D8"/>
    <w:rsid w:val="00A47A03"/>
    <w:rsid w:val="00A52A18"/>
    <w:rsid w:val="00A5631E"/>
    <w:rsid w:val="00A575E8"/>
    <w:rsid w:val="00A57D04"/>
    <w:rsid w:val="00A57D69"/>
    <w:rsid w:val="00A6084B"/>
    <w:rsid w:val="00A60A26"/>
    <w:rsid w:val="00A61598"/>
    <w:rsid w:val="00A61DCF"/>
    <w:rsid w:val="00A645F9"/>
    <w:rsid w:val="00A64EBB"/>
    <w:rsid w:val="00A672B8"/>
    <w:rsid w:val="00A6730F"/>
    <w:rsid w:val="00A679F2"/>
    <w:rsid w:val="00A71AA6"/>
    <w:rsid w:val="00A7334D"/>
    <w:rsid w:val="00A75AAA"/>
    <w:rsid w:val="00A81710"/>
    <w:rsid w:val="00A81EF8"/>
    <w:rsid w:val="00A8219E"/>
    <w:rsid w:val="00A84E2D"/>
    <w:rsid w:val="00A84F46"/>
    <w:rsid w:val="00A871F4"/>
    <w:rsid w:val="00A87F90"/>
    <w:rsid w:val="00A912B1"/>
    <w:rsid w:val="00A91A4B"/>
    <w:rsid w:val="00A923DD"/>
    <w:rsid w:val="00A9455D"/>
    <w:rsid w:val="00A94D89"/>
    <w:rsid w:val="00A956AD"/>
    <w:rsid w:val="00A96CE0"/>
    <w:rsid w:val="00A971A0"/>
    <w:rsid w:val="00AA0C1B"/>
    <w:rsid w:val="00AA0CEB"/>
    <w:rsid w:val="00AA12D3"/>
    <w:rsid w:val="00AA39C0"/>
    <w:rsid w:val="00AA3A2C"/>
    <w:rsid w:val="00AA476F"/>
    <w:rsid w:val="00AA649A"/>
    <w:rsid w:val="00AA73F0"/>
    <w:rsid w:val="00AB6478"/>
    <w:rsid w:val="00AB6927"/>
    <w:rsid w:val="00AC0FE9"/>
    <w:rsid w:val="00AC1B2C"/>
    <w:rsid w:val="00AC1CF3"/>
    <w:rsid w:val="00AC242C"/>
    <w:rsid w:val="00AC3264"/>
    <w:rsid w:val="00AC48DA"/>
    <w:rsid w:val="00AD0424"/>
    <w:rsid w:val="00AD0BDE"/>
    <w:rsid w:val="00AD20F6"/>
    <w:rsid w:val="00AD29F4"/>
    <w:rsid w:val="00AD36D0"/>
    <w:rsid w:val="00AD3987"/>
    <w:rsid w:val="00AD3D69"/>
    <w:rsid w:val="00AD3EC2"/>
    <w:rsid w:val="00AD592F"/>
    <w:rsid w:val="00AD6D98"/>
    <w:rsid w:val="00AD76AE"/>
    <w:rsid w:val="00AE0399"/>
    <w:rsid w:val="00AE18EA"/>
    <w:rsid w:val="00AE1BF1"/>
    <w:rsid w:val="00AE20B1"/>
    <w:rsid w:val="00AE2792"/>
    <w:rsid w:val="00AE317D"/>
    <w:rsid w:val="00AE33E0"/>
    <w:rsid w:val="00AE51F9"/>
    <w:rsid w:val="00AF0DD2"/>
    <w:rsid w:val="00AF0ED5"/>
    <w:rsid w:val="00AF2B8E"/>
    <w:rsid w:val="00AF2BB3"/>
    <w:rsid w:val="00AF3A41"/>
    <w:rsid w:val="00AF3A83"/>
    <w:rsid w:val="00AF46F3"/>
    <w:rsid w:val="00AF66A7"/>
    <w:rsid w:val="00AF7058"/>
    <w:rsid w:val="00AF7C0E"/>
    <w:rsid w:val="00B01BD3"/>
    <w:rsid w:val="00B02ED5"/>
    <w:rsid w:val="00B03817"/>
    <w:rsid w:val="00B04EFD"/>
    <w:rsid w:val="00B057C8"/>
    <w:rsid w:val="00B06353"/>
    <w:rsid w:val="00B065C9"/>
    <w:rsid w:val="00B07545"/>
    <w:rsid w:val="00B0779B"/>
    <w:rsid w:val="00B109DD"/>
    <w:rsid w:val="00B11C09"/>
    <w:rsid w:val="00B1285B"/>
    <w:rsid w:val="00B13048"/>
    <w:rsid w:val="00B135AC"/>
    <w:rsid w:val="00B14716"/>
    <w:rsid w:val="00B14CE4"/>
    <w:rsid w:val="00B162BD"/>
    <w:rsid w:val="00B16A28"/>
    <w:rsid w:val="00B1716D"/>
    <w:rsid w:val="00B17A1D"/>
    <w:rsid w:val="00B207A0"/>
    <w:rsid w:val="00B20F61"/>
    <w:rsid w:val="00B211EE"/>
    <w:rsid w:val="00B23484"/>
    <w:rsid w:val="00B251A4"/>
    <w:rsid w:val="00B25887"/>
    <w:rsid w:val="00B26AAA"/>
    <w:rsid w:val="00B276D9"/>
    <w:rsid w:val="00B30D82"/>
    <w:rsid w:val="00B31071"/>
    <w:rsid w:val="00B31345"/>
    <w:rsid w:val="00B31357"/>
    <w:rsid w:val="00B33C7F"/>
    <w:rsid w:val="00B35810"/>
    <w:rsid w:val="00B35937"/>
    <w:rsid w:val="00B3773B"/>
    <w:rsid w:val="00B4128D"/>
    <w:rsid w:val="00B41686"/>
    <w:rsid w:val="00B4401E"/>
    <w:rsid w:val="00B44E99"/>
    <w:rsid w:val="00B474EE"/>
    <w:rsid w:val="00B52EC8"/>
    <w:rsid w:val="00B55C24"/>
    <w:rsid w:val="00B56CF6"/>
    <w:rsid w:val="00B56E03"/>
    <w:rsid w:val="00B6278D"/>
    <w:rsid w:val="00B62BB5"/>
    <w:rsid w:val="00B63E2C"/>
    <w:rsid w:val="00B64DF7"/>
    <w:rsid w:val="00B652AF"/>
    <w:rsid w:val="00B65CAC"/>
    <w:rsid w:val="00B66E74"/>
    <w:rsid w:val="00B673A4"/>
    <w:rsid w:val="00B70A7F"/>
    <w:rsid w:val="00B70CA5"/>
    <w:rsid w:val="00B7397E"/>
    <w:rsid w:val="00B73C3A"/>
    <w:rsid w:val="00B752C5"/>
    <w:rsid w:val="00B8080B"/>
    <w:rsid w:val="00B82845"/>
    <w:rsid w:val="00B85D8A"/>
    <w:rsid w:val="00B87C39"/>
    <w:rsid w:val="00B87DD6"/>
    <w:rsid w:val="00B904FF"/>
    <w:rsid w:val="00B91BE8"/>
    <w:rsid w:val="00B92CD5"/>
    <w:rsid w:val="00B956D7"/>
    <w:rsid w:val="00BA1F27"/>
    <w:rsid w:val="00BA2E61"/>
    <w:rsid w:val="00BA390A"/>
    <w:rsid w:val="00BA3992"/>
    <w:rsid w:val="00BA4665"/>
    <w:rsid w:val="00BA5D97"/>
    <w:rsid w:val="00BA621C"/>
    <w:rsid w:val="00BB20BA"/>
    <w:rsid w:val="00BB2FB2"/>
    <w:rsid w:val="00BB3304"/>
    <w:rsid w:val="00BB4732"/>
    <w:rsid w:val="00BB51C2"/>
    <w:rsid w:val="00BB6815"/>
    <w:rsid w:val="00BB7780"/>
    <w:rsid w:val="00BC03BC"/>
    <w:rsid w:val="00BC1B6B"/>
    <w:rsid w:val="00BC4B2E"/>
    <w:rsid w:val="00BC4CD2"/>
    <w:rsid w:val="00BC614B"/>
    <w:rsid w:val="00BC6398"/>
    <w:rsid w:val="00BC675F"/>
    <w:rsid w:val="00BD0BD0"/>
    <w:rsid w:val="00BD10B4"/>
    <w:rsid w:val="00BD1AD7"/>
    <w:rsid w:val="00BD1BCA"/>
    <w:rsid w:val="00BD26AE"/>
    <w:rsid w:val="00BD26EE"/>
    <w:rsid w:val="00BD3446"/>
    <w:rsid w:val="00BD412C"/>
    <w:rsid w:val="00BD4E33"/>
    <w:rsid w:val="00BD5467"/>
    <w:rsid w:val="00BD6CD4"/>
    <w:rsid w:val="00BD7176"/>
    <w:rsid w:val="00BD71BD"/>
    <w:rsid w:val="00BE1F1B"/>
    <w:rsid w:val="00BE2075"/>
    <w:rsid w:val="00BE2F8A"/>
    <w:rsid w:val="00BE377D"/>
    <w:rsid w:val="00BE3F55"/>
    <w:rsid w:val="00BE47B5"/>
    <w:rsid w:val="00BE5AC5"/>
    <w:rsid w:val="00BE6087"/>
    <w:rsid w:val="00BE7DBC"/>
    <w:rsid w:val="00BE7F9E"/>
    <w:rsid w:val="00BF19CB"/>
    <w:rsid w:val="00BF1BF5"/>
    <w:rsid w:val="00BF1E45"/>
    <w:rsid w:val="00BF2274"/>
    <w:rsid w:val="00BF295F"/>
    <w:rsid w:val="00BF4639"/>
    <w:rsid w:val="00BF65C1"/>
    <w:rsid w:val="00BF771C"/>
    <w:rsid w:val="00C008E0"/>
    <w:rsid w:val="00C008FE"/>
    <w:rsid w:val="00C01734"/>
    <w:rsid w:val="00C024A5"/>
    <w:rsid w:val="00C030BB"/>
    <w:rsid w:val="00C03C71"/>
    <w:rsid w:val="00C04914"/>
    <w:rsid w:val="00C05C48"/>
    <w:rsid w:val="00C064A7"/>
    <w:rsid w:val="00C075A3"/>
    <w:rsid w:val="00C07A89"/>
    <w:rsid w:val="00C101F2"/>
    <w:rsid w:val="00C11AE0"/>
    <w:rsid w:val="00C11EEC"/>
    <w:rsid w:val="00C11F62"/>
    <w:rsid w:val="00C12A83"/>
    <w:rsid w:val="00C14E32"/>
    <w:rsid w:val="00C154C0"/>
    <w:rsid w:val="00C155B0"/>
    <w:rsid w:val="00C15CB2"/>
    <w:rsid w:val="00C15DA4"/>
    <w:rsid w:val="00C16B2C"/>
    <w:rsid w:val="00C1786D"/>
    <w:rsid w:val="00C17CB8"/>
    <w:rsid w:val="00C17F0D"/>
    <w:rsid w:val="00C17FC7"/>
    <w:rsid w:val="00C21CBD"/>
    <w:rsid w:val="00C238EB"/>
    <w:rsid w:val="00C24398"/>
    <w:rsid w:val="00C248B1"/>
    <w:rsid w:val="00C25A9A"/>
    <w:rsid w:val="00C273A6"/>
    <w:rsid w:val="00C30BBE"/>
    <w:rsid w:val="00C34065"/>
    <w:rsid w:val="00C35876"/>
    <w:rsid w:val="00C361EB"/>
    <w:rsid w:val="00C41237"/>
    <w:rsid w:val="00C420D7"/>
    <w:rsid w:val="00C420EB"/>
    <w:rsid w:val="00C43065"/>
    <w:rsid w:val="00C43C4F"/>
    <w:rsid w:val="00C452B9"/>
    <w:rsid w:val="00C466B4"/>
    <w:rsid w:val="00C46AB5"/>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601EF"/>
    <w:rsid w:val="00C60452"/>
    <w:rsid w:val="00C6191E"/>
    <w:rsid w:val="00C62797"/>
    <w:rsid w:val="00C6290C"/>
    <w:rsid w:val="00C672E0"/>
    <w:rsid w:val="00C70205"/>
    <w:rsid w:val="00C729B4"/>
    <w:rsid w:val="00C73A47"/>
    <w:rsid w:val="00C73C83"/>
    <w:rsid w:val="00C7472B"/>
    <w:rsid w:val="00C74A11"/>
    <w:rsid w:val="00C80612"/>
    <w:rsid w:val="00C81324"/>
    <w:rsid w:val="00C81890"/>
    <w:rsid w:val="00C81A67"/>
    <w:rsid w:val="00C8473D"/>
    <w:rsid w:val="00C85FF1"/>
    <w:rsid w:val="00C86679"/>
    <w:rsid w:val="00C86919"/>
    <w:rsid w:val="00C872DB"/>
    <w:rsid w:val="00C87867"/>
    <w:rsid w:val="00C91830"/>
    <w:rsid w:val="00C9478B"/>
    <w:rsid w:val="00C950AF"/>
    <w:rsid w:val="00C9660A"/>
    <w:rsid w:val="00C96A92"/>
    <w:rsid w:val="00CA04F2"/>
    <w:rsid w:val="00CA0ECB"/>
    <w:rsid w:val="00CA4EE0"/>
    <w:rsid w:val="00CA51FE"/>
    <w:rsid w:val="00CA771A"/>
    <w:rsid w:val="00CA7D3F"/>
    <w:rsid w:val="00CB0FA5"/>
    <w:rsid w:val="00CB45EC"/>
    <w:rsid w:val="00CB666B"/>
    <w:rsid w:val="00CB695E"/>
    <w:rsid w:val="00CC1AC0"/>
    <w:rsid w:val="00CC1D64"/>
    <w:rsid w:val="00CC2C03"/>
    <w:rsid w:val="00CC2CA1"/>
    <w:rsid w:val="00CC3B19"/>
    <w:rsid w:val="00CC4F2E"/>
    <w:rsid w:val="00CC6516"/>
    <w:rsid w:val="00CC656F"/>
    <w:rsid w:val="00CC6738"/>
    <w:rsid w:val="00CD2754"/>
    <w:rsid w:val="00CD40AD"/>
    <w:rsid w:val="00CD4E7F"/>
    <w:rsid w:val="00CE0A5F"/>
    <w:rsid w:val="00CE15A5"/>
    <w:rsid w:val="00CE1831"/>
    <w:rsid w:val="00CE1B68"/>
    <w:rsid w:val="00CE2DD3"/>
    <w:rsid w:val="00CE6345"/>
    <w:rsid w:val="00CE661E"/>
    <w:rsid w:val="00CE6F6D"/>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CB3"/>
    <w:rsid w:val="00D1516F"/>
    <w:rsid w:val="00D1614C"/>
    <w:rsid w:val="00D16710"/>
    <w:rsid w:val="00D22BD4"/>
    <w:rsid w:val="00D22E23"/>
    <w:rsid w:val="00D2306D"/>
    <w:rsid w:val="00D250AC"/>
    <w:rsid w:val="00D270E1"/>
    <w:rsid w:val="00D323D0"/>
    <w:rsid w:val="00D32767"/>
    <w:rsid w:val="00D33489"/>
    <w:rsid w:val="00D372FA"/>
    <w:rsid w:val="00D40B44"/>
    <w:rsid w:val="00D41EB0"/>
    <w:rsid w:val="00D43232"/>
    <w:rsid w:val="00D43663"/>
    <w:rsid w:val="00D44037"/>
    <w:rsid w:val="00D4594F"/>
    <w:rsid w:val="00D4681D"/>
    <w:rsid w:val="00D5111E"/>
    <w:rsid w:val="00D5124C"/>
    <w:rsid w:val="00D53F55"/>
    <w:rsid w:val="00D61388"/>
    <w:rsid w:val="00D613F3"/>
    <w:rsid w:val="00D615F9"/>
    <w:rsid w:val="00D61A54"/>
    <w:rsid w:val="00D62BAD"/>
    <w:rsid w:val="00D64DEA"/>
    <w:rsid w:val="00D65E49"/>
    <w:rsid w:val="00D67D07"/>
    <w:rsid w:val="00D70F71"/>
    <w:rsid w:val="00D71771"/>
    <w:rsid w:val="00D725C2"/>
    <w:rsid w:val="00D73D17"/>
    <w:rsid w:val="00D74261"/>
    <w:rsid w:val="00D74971"/>
    <w:rsid w:val="00D80893"/>
    <w:rsid w:val="00D839A7"/>
    <w:rsid w:val="00D83AE7"/>
    <w:rsid w:val="00D83DD9"/>
    <w:rsid w:val="00D84797"/>
    <w:rsid w:val="00D863C2"/>
    <w:rsid w:val="00D86899"/>
    <w:rsid w:val="00D87097"/>
    <w:rsid w:val="00D92A31"/>
    <w:rsid w:val="00D92CF1"/>
    <w:rsid w:val="00D92D38"/>
    <w:rsid w:val="00D92E07"/>
    <w:rsid w:val="00D936B6"/>
    <w:rsid w:val="00D950F5"/>
    <w:rsid w:val="00D95177"/>
    <w:rsid w:val="00D96914"/>
    <w:rsid w:val="00D96A64"/>
    <w:rsid w:val="00DA0C4C"/>
    <w:rsid w:val="00DA1CA3"/>
    <w:rsid w:val="00DA289D"/>
    <w:rsid w:val="00DA331C"/>
    <w:rsid w:val="00DA4BC4"/>
    <w:rsid w:val="00DA4E07"/>
    <w:rsid w:val="00DA6816"/>
    <w:rsid w:val="00DB0F93"/>
    <w:rsid w:val="00DB134D"/>
    <w:rsid w:val="00DB16A7"/>
    <w:rsid w:val="00DB196A"/>
    <w:rsid w:val="00DB20BF"/>
    <w:rsid w:val="00DB2353"/>
    <w:rsid w:val="00DB402D"/>
    <w:rsid w:val="00DB4CC4"/>
    <w:rsid w:val="00DB6861"/>
    <w:rsid w:val="00DB6BE8"/>
    <w:rsid w:val="00DB7098"/>
    <w:rsid w:val="00DB7193"/>
    <w:rsid w:val="00DB7AB9"/>
    <w:rsid w:val="00DB7B59"/>
    <w:rsid w:val="00DB7FD1"/>
    <w:rsid w:val="00DC153A"/>
    <w:rsid w:val="00DC22E3"/>
    <w:rsid w:val="00DC24BF"/>
    <w:rsid w:val="00DC2907"/>
    <w:rsid w:val="00DC2F0D"/>
    <w:rsid w:val="00DC395C"/>
    <w:rsid w:val="00DC5E54"/>
    <w:rsid w:val="00DC693A"/>
    <w:rsid w:val="00DC7981"/>
    <w:rsid w:val="00DC7B5A"/>
    <w:rsid w:val="00DD0903"/>
    <w:rsid w:val="00DD1073"/>
    <w:rsid w:val="00DD15C2"/>
    <w:rsid w:val="00DD27EA"/>
    <w:rsid w:val="00DD33DE"/>
    <w:rsid w:val="00DD79F4"/>
    <w:rsid w:val="00DE45B5"/>
    <w:rsid w:val="00DE4CDA"/>
    <w:rsid w:val="00DE4EFA"/>
    <w:rsid w:val="00DE5104"/>
    <w:rsid w:val="00DE5520"/>
    <w:rsid w:val="00DE5AB1"/>
    <w:rsid w:val="00DE6AA6"/>
    <w:rsid w:val="00DE7345"/>
    <w:rsid w:val="00DE771A"/>
    <w:rsid w:val="00DF02A4"/>
    <w:rsid w:val="00DF0714"/>
    <w:rsid w:val="00DF1C55"/>
    <w:rsid w:val="00DF2298"/>
    <w:rsid w:val="00DF2D42"/>
    <w:rsid w:val="00DF3C7E"/>
    <w:rsid w:val="00DF6E09"/>
    <w:rsid w:val="00DF7793"/>
    <w:rsid w:val="00E00EC9"/>
    <w:rsid w:val="00E014D8"/>
    <w:rsid w:val="00E03069"/>
    <w:rsid w:val="00E034A6"/>
    <w:rsid w:val="00E03725"/>
    <w:rsid w:val="00E04818"/>
    <w:rsid w:val="00E06442"/>
    <w:rsid w:val="00E1139A"/>
    <w:rsid w:val="00E113E2"/>
    <w:rsid w:val="00E115DE"/>
    <w:rsid w:val="00E13056"/>
    <w:rsid w:val="00E13280"/>
    <w:rsid w:val="00E135DB"/>
    <w:rsid w:val="00E13C85"/>
    <w:rsid w:val="00E15B15"/>
    <w:rsid w:val="00E227A4"/>
    <w:rsid w:val="00E2374E"/>
    <w:rsid w:val="00E23993"/>
    <w:rsid w:val="00E24D12"/>
    <w:rsid w:val="00E2504E"/>
    <w:rsid w:val="00E25B8C"/>
    <w:rsid w:val="00E25F40"/>
    <w:rsid w:val="00E31DF2"/>
    <w:rsid w:val="00E3279F"/>
    <w:rsid w:val="00E32A8C"/>
    <w:rsid w:val="00E333EF"/>
    <w:rsid w:val="00E334A4"/>
    <w:rsid w:val="00E357B5"/>
    <w:rsid w:val="00E35AE8"/>
    <w:rsid w:val="00E3678B"/>
    <w:rsid w:val="00E3724C"/>
    <w:rsid w:val="00E37F0B"/>
    <w:rsid w:val="00E40426"/>
    <w:rsid w:val="00E40B9C"/>
    <w:rsid w:val="00E42342"/>
    <w:rsid w:val="00E42976"/>
    <w:rsid w:val="00E42DF3"/>
    <w:rsid w:val="00E43848"/>
    <w:rsid w:val="00E438D4"/>
    <w:rsid w:val="00E43BBA"/>
    <w:rsid w:val="00E4482C"/>
    <w:rsid w:val="00E4680F"/>
    <w:rsid w:val="00E46D48"/>
    <w:rsid w:val="00E47EAD"/>
    <w:rsid w:val="00E5181B"/>
    <w:rsid w:val="00E52107"/>
    <w:rsid w:val="00E523FC"/>
    <w:rsid w:val="00E52A27"/>
    <w:rsid w:val="00E54461"/>
    <w:rsid w:val="00E55C3C"/>
    <w:rsid w:val="00E56018"/>
    <w:rsid w:val="00E6018A"/>
    <w:rsid w:val="00E605DA"/>
    <w:rsid w:val="00E6148A"/>
    <w:rsid w:val="00E65839"/>
    <w:rsid w:val="00E65C85"/>
    <w:rsid w:val="00E65CF4"/>
    <w:rsid w:val="00E66199"/>
    <w:rsid w:val="00E675DF"/>
    <w:rsid w:val="00E715D5"/>
    <w:rsid w:val="00E737E3"/>
    <w:rsid w:val="00E74532"/>
    <w:rsid w:val="00E7472E"/>
    <w:rsid w:val="00E755EC"/>
    <w:rsid w:val="00E75826"/>
    <w:rsid w:val="00E761D6"/>
    <w:rsid w:val="00E7624D"/>
    <w:rsid w:val="00E8137D"/>
    <w:rsid w:val="00E823D9"/>
    <w:rsid w:val="00E8569F"/>
    <w:rsid w:val="00E86851"/>
    <w:rsid w:val="00E91678"/>
    <w:rsid w:val="00E91BED"/>
    <w:rsid w:val="00E926FC"/>
    <w:rsid w:val="00E95CA7"/>
    <w:rsid w:val="00E96D95"/>
    <w:rsid w:val="00E96EFF"/>
    <w:rsid w:val="00EA1DEE"/>
    <w:rsid w:val="00EA3D42"/>
    <w:rsid w:val="00EA4DD9"/>
    <w:rsid w:val="00EA6B1B"/>
    <w:rsid w:val="00EB049F"/>
    <w:rsid w:val="00EB100D"/>
    <w:rsid w:val="00EB456D"/>
    <w:rsid w:val="00EB540F"/>
    <w:rsid w:val="00EB7D7F"/>
    <w:rsid w:val="00EC05BF"/>
    <w:rsid w:val="00EC0D58"/>
    <w:rsid w:val="00EC10A1"/>
    <w:rsid w:val="00EC24B0"/>
    <w:rsid w:val="00EC2617"/>
    <w:rsid w:val="00EC317E"/>
    <w:rsid w:val="00EC67D4"/>
    <w:rsid w:val="00EC7EB1"/>
    <w:rsid w:val="00ED399F"/>
    <w:rsid w:val="00ED3C5B"/>
    <w:rsid w:val="00ED4A25"/>
    <w:rsid w:val="00ED5137"/>
    <w:rsid w:val="00ED6E24"/>
    <w:rsid w:val="00EE164B"/>
    <w:rsid w:val="00EE28F3"/>
    <w:rsid w:val="00EE347F"/>
    <w:rsid w:val="00EE42C2"/>
    <w:rsid w:val="00EE46CE"/>
    <w:rsid w:val="00EE575A"/>
    <w:rsid w:val="00EF013A"/>
    <w:rsid w:val="00EF0E42"/>
    <w:rsid w:val="00EF0FE6"/>
    <w:rsid w:val="00EF1961"/>
    <w:rsid w:val="00EF3FB8"/>
    <w:rsid w:val="00EF5110"/>
    <w:rsid w:val="00EF62CA"/>
    <w:rsid w:val="00EF69CB"/>
    <w:rsid w:val="00F00587"/>
    <w:rsid w:val="00F019C5"/>
    <w:rsid w:val="00F02D9B"/>
    <w:rsid w:val="00F031FE"/>
    <w:rsid w:val="00F05EAD"/>
    <w:rsid w:val="00F06B5B"/>
    <w:rsid w:val="00F072C7"/>
    <w:rsid w:val="00F10CDA"/>
    <w:rsid w:val="00F113FD"/>
    <w:rsid w:val="00F131BD"/>
    <w:rsid w:val="00F13B99"/>
    <w:rsid w:val="00F13EAA"/>
    <w:rsid w:val="00F1535C"/>
    <w:rsid w:val="00F15882"/>
    <w:rsid w:val="00F15AB9"/>
    <w:rsid w:val="00F167CF"/>
    <w:rsid w:val="00F16858"/>
    <w:rsid w:val="00F1785E"/>
    <w:rsid w:val="00F20BD3"/>
    <w:rsid w:val="00F219B8"/>
    <w:rsid w:val="00F248D0"/>
    <w:rsid w:val="00F27967"/>
    <w:rsid w:val="00F3008B"/>
    <w:rsid w:val="00F32D35"/>
    <w:rsid w:val="00F336DF"/>
    <w:rsid w:val="00F3590E"/>
    <w:rsid w:val="00F36430"/>
    <w:rsid w:val="00F373A5"/>
    <w:rsid w:val="00F376D3"/>
    <w:rsid w:val="00F42DB4"/>
    <w:rsid w:val="00F45B2F"/>
    <w:rsid w:val="00F47559"/>
    <w:rsid w:val="00F50531"/>
    <w:rsid w:val="00F5112C"/>
    <w:rsid w:val="00F5475E"/>
    <w:rsid w:val="00F55548"/>
    <w:rsid w:val="00F55859"/>
    <w:rsid w:val="00F55C77"/>
    <w:rsid w:val="00F6043C"/>
    <w:rsid w:val="00F60561"/>
    <w:rsid w:val="00F61055"/>
    <w:rsid w:val="00F61AA8"/>
    <w:rsid w:val="00F61EEA"/>
    <w:rsid w:val="00F64A21"/>
    <w:rsid w:val="00F64C7B"/>
    <w:rsid w:val="00F64F82"/>
    <w:rsid w:val="00F662F1"/>
    <w:rsid w:val="00F66967"/>
    <w:rsid w:val="00F676DD"/>
    <w:rsid w:val="00F70811"/>
    <w:rsid w:val="00F70D8D"/>
    <w:rsid w:val="00F71486"/>
    <w:rsid w:val="00F72F41"/>
    <w:rsid w:val="00F731DB"/>
    <w:rsid w:val="00F74CBC"/>
    <w:rsid w:val="00F75A26"/>
    <w:rsid w:val="00F766B3"/>
    <w:rsid w:val="00F77D49"/>
    <w:rsid w:val="00F8021A"/>
    <w:rsid w:val="00F805F3"/>
    <w:rsid w:val="00F83FAD"/>
    <w:rsid w:val="00F87EBA"/>
    <w:rsid w:val="00F90705"/>
    <w:rsid w:val="00F90A80"/>
    <w:rsid w:val="00F93027"/>
    <w:rsid w:val="00F946BA"/>
    <w:rsid w:val="00F94788"/>
    <w:rsid w:val="00F952A0"/>
    <w:rsid w:val="00F965FC"/>
    <w:rsid w:val="00F9786B"/>
    <w:rsid w:val="00FA25D4"/>
    <w:rsid w:val="00FA3830"/>
    <w:rsid w:val="00FA3C7F"/>
    <w:rsid w:val="00FA7736"/>
    <w:rsid w:val="00FA7920"/>
    <w:rsid w:val="00FB153F"/>
    <w:rsid w:val="00FB265D"/>
    <w:rsid w:val="00FB4068"/>
    <w:rsid w:val="00FB411D"/>
    <w:rsid w:val="00FB41E6"/>
    <w:rsid w:val="00FB45CF"/>
    <w:rsid w:val="00FB6C59"/>
    <w:rsid w:val="00FB74E2"/>
    <w:rsid w:val="00FC0060"/>
    <w:rsid w:val="00FC04BE"/>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5316"/>
    <w:rsid w:val="00FD5614"/>
    <w:rsid w:val="00FD72DC"/>
    <w:rsid w:val="00FE07CB"/>
    <w:rsid w:val="00FE0BE1"/>
    <w:rsid w:val="00FE1DE9"/>
    <w:rsid w:val="00FE292D"/>
    <w:rsid w:val="00FE39C2"/>
    <w:rsid w:val="00FE3E67"/>
    <w:rsid w:val="00FE4B6D"/>
    <w:rsid w:val="00FE602C"/>
    <w:rsid w:val="00FE64AE"/>
    <w:rsid w:val="00FE6FD3"/>
    <w:rsid w:val="00FE7E62"/>
    <w:rsid w:val="00FF2C56"/>
    <w:rsid w:val="00FF3373"/>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6CDE1D-DC87-4667-AB69-299EAEBE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572DF0CD</Template>
  <TotalTime>0</TotalTime>
  <Pages>13</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2016-07-05T02:38:00Z</dcterms:created>
  <dcterms:modified xsi:type="dcterms:W3CDTF">2016-07-22T02:06:00Z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8708857</vt:lpwstr>
  </property>
  <property fmtid="{D5CDD505-2E9C-101B-9397-08002B2CF9AE}" pid="3" name="currfile">
    <vt:lpwstr>\\cdchnas-evs02\home$\mduon\20160619 - 20160625 electricity weekly report (D2016-00087567).docx</vt:lpwstr>
  </property>
</Properties>
</file>