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7894A38" wp14:editId="58F114B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BA50AD" w:rsidP="002A4EF8">
      <w:pPr>
        <w:rPr>
          <w:b/>
          <w:sz w:val="36"/>
          <w:szCs w:val="36"/>
        </w:rPr>
      </w:pPr>
      <w:r>
        <w:rPr>
          <w:b/>
          <w:sz w:val="36"/>
          <w:szCs w:val="36"/>
        </w:rPr>
        <w:t>10 - 16</w:t>
      </w:r>
      <w:r w:rsidR="00E334A4">
        <w:rPr>
          <w:b/>
          <w:sz w:val="36"/>
          <w:szCs w:val="36"/>
        </w:rPr>
        <w:t xml:space="preserve"> </w:t>
      </w:r>
      <w:r w:rsidR="00AA3A2C">
        <w:rPr>
          <w:b/>
          <w:sz w:val="36"/>
          <w:szCs w:val="36"/>
        </w:rPr>
        <w:t xml:space="preserve">April </w:t>
      </w:r>
      <w:r w:rsidR="00FA25D4" w:rsidRPr="00C4712A">
        <w:rPr>
          <w:b/>
          <w:sz w:val="36"/>
          <w:szCs w:val="36"/>
        </w:rPr>
        <w:t>2016</w:t>
      </w:r>
    </w:p>
    <w:p w:rsidR="00275002" w:rsidRPr="00C4712A" w:rsidRDefault="00275002" w:rsidP="004F6D0A">
      <w:pPr>
        <w:pStyle w:val="AERHeading1"/>
      </w:pPr>
      <w:r w:rsidRPr="00C4712A">
        <w:t>Introduction</w:t>
      </w:r>
    </w:p>
    <w:p w:rsidR="00275002" w:rsidRPr="00C4712A" w:rsidRDefault="00275002" w:rsidP="00AF7C0E">
      <w:pPr>
        <w:pStyle w:val="AERbodytext"/>
      </w:pPr>
      <w:r w:rsidRPr="00C4712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895878" w:rsidRPr="00BE2075">
        <w:t xml:space="preserve">Figure </w:t>
      </w:r>
      <w:r w:rsidR="00895878">
        <w:t>1</w:t>
      </w:r>
      <w:r w:rsidRPr="00C4712A">
        <w:fldChar w:fldCharType="end"/>
      </w:r>
      <w:r w:rsidRPr="00C4712A">
        <w:t xml:space="preserve"> </w:t>
      </w:r>
      <w:r w:rsidR="00AF7058" w:rsidRPr="00C4712A">
        <w:t xml:space="preserve">shows the spot prices that occurred in each region during the week </w:t>
      </w:r>
      <w:r w:rsidR="00BA50AD">
        <w:t>10</w:t>
      </w:r>
      <w:r w:rsidR="00E334A4">
        <w:t xml:space="preserve"> </w:t>
      </w:r>
      <w:r w:rsidR="00061E3B">
        <w:t xml:space="preserve">to </w:t>
      </w:r>
      <w:r w:rsidR="00BA50AD">
        <w:t>16</w:t>
      </w:r>
      <w:r w:rsidR="009E464D">
        <w:t> </w:t>
      </w:r>
      <w:r w:rsidR="00AA3A2C">
        <w:t xml:space="preserve">April </w:t>
      </w:r>
      <w:r w:rsidR="00FA25D4" w:rsidRPr="00C4712A">
        <w:t>2016</w:t>
      </w:r>
      <w:r w:rsidR="00AF7058" w:rsidRPr="00C4712A">
        <w:t>.</w:t>
      </w:r>
      <w:r w:rsidR="00E03725">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895878">
          <w:rPr>
            <w:noProof/>
          </w:rPr>
          <w:t>1</w:t>
        </w:r>
      </w:fldSimple>
      <w:bookmarkEnd w:id="6"/>
      <w:r w:rsidRPr="00BE2075">
        <w:t>: Spot price by region ($/MWh)</w:t>
      </w:r>
    </w:p>
    <w:p w:rsidR="00EC05BF" w:rsidRDefault="00BA50AD" w:rsidP="00C4712A">
      <w:pPr>
        <w:pStyle w:val="Caption"/>
        <w:rPr>
          <w:bCs w:val="0"/>
          <w:lang w:eastAsia="en-AU"/>
        </w:rPr>
      </w:pPr>
      <w:r w:rsidRPr="00BA50AD">
        <w:rPr>
          <w:noProof/>
          <w:lang w:eastAsia="en-AU"/>
        </w:rPr>
        <w:drawing>
          <wp:inline distT="0" distB="0" distL="0" distR="0" wp14:anchorId="33B4B089" wp14:editId="35E53B81">
            <wp:extent cx="5731510" cy="2860244"/>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9E2520" w:rsidRDefault="009E2520" w:rsidP="001778E3">
      <w:pPr>
        <w:pStyle w:val="AERbodytext"/>
      </w:pP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895878" w:rsidRPr="00C4712A">
        <w:t xml:space="preserve">Figure </w:t>
      </w:r>
      <w:r w:rsidR="00895878">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895878" w:rsidRPr="00C4712A">
        <w:t xml:space="preserve">Table </w:t>
      </w:r>
      <w:r w:rsidR="00895878">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895878">
          <w:rPr>
            <w:noProof/>
          </w:rPr>
          <w:t>2</w:t>
        </w:r>
      </w:fldSimple>
      <w:bookmarkEnd w:id="9"/>
      <w:r w:rsidRPr="00C4712A">
        <w:t>: Volume weighted average spot price by region ($/MWh)</w:t>
      </w:r>
    </w:p>
    <w:p w:rsidR="001F22EE" w:rsidRDefault="00BA50AD" w:rsidP="00F167CF">
      <w:pPr>
        <w:spacing w:before="0" w:after="120" w:line="240" w:lineRule="auto"/>
      </w:pPr>
      <w:r w:rsidRPr="00BA50AD">
        <w:rPr>
          <w:noProof/>
          <w:lang w:eastAsia="en-AU"/>
        </w:rPr>
        <w:drawing>
          <wp:inline distT="0" distB="0" distL="0" distR="0" wp14:anchorId="3628A57F" wp14:editId="5061C69D">
            <wp:extent cx="5731510" cy="2860244"/>
            <wp:effectExtent l="0" t="0" r="2540" b="0"/>
            <wp:docPr id="3" name="Picture 3"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C4712A">
        <w:t xml:space="preserve">Table </w:t>
      </w:r>
      <w:fldSimple w:instr=" SEQ Table \* ARABIC ">
        <w:r w:rsidR="00CD5E5A">
          <w:rPr>
            <w:noProof/>
          </w:rPr>
          <w:t>1</w:t>
        </w:r>
      </w:fldSimple>
      <w:bookmarkEnd w:id="10"/>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r w:rsidRPr="00C4712A">
              <w:rPr>
                <w:sz w:val="20"/>
              </w:rPr>
              <w:t>Tas</w:t>
            </w:r>
          </w:p>
        </w:tc>
      </w:tr>
      <w:tr w:rsidR="00BA50AD" w:rsidRPr="00C4712A" w:rsidTr="00E334A4">
        <w:trPr>
          <w:trHeight w:hRule="exact" w:val="340"/>
        </w:trPr>
        <w:tc>
          <w:tcPr>
            <w:tcW w:w="1357" w:type="pct"/>
            <w:noWrap/>
            <w:vAlign w:val="center"/>
            <w:hideMark/>
          </w:tcPr>
          <w:p w:rsidR="00BA50AD" w:rsidRPr="00C4712A" w:rsidRDefault="00BA50AD"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BA50AD" w:rsidRDefault="00BA50AD" w:rsidP="00E2682F">
            <w:pPr>
              <w:spacing w:before="0" w:after="0" w:line="240" w:lineRule="auto"/>
              <w:jc w:val="center"/>
              <w:rPr>
                <w:rFonts w:cs="Arial"/>
                <w:sz w:val="20"/>
                <w:szCs w:val="20"/>
              </w:rPr>
            </w:pPr>
            <w:r>
              <w:rPr>
                <w:rFonts w:cs="Arial"/>
                <w:sz w:val="20"/>
                <w:szCs w:val="20"/>
              </w:rPr>
              <w:t>77</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77</w:t>
            </w:r>
          </w:p>
        </w:tc>
        <w:tc>
          <w:tcPr>
            <w:tcW w:w="728" w:type="pct"/>
            <w:noWrap/>
            <w:vAlign w:val="center"/>
          </w:tcPr>
          <w:p w:rsidR="00BA50AD" w:rsidRDefault="00BA50AD" w:rsidP="00E2682F">
            <w:pPr>
              <w:spacing w:before="0" w:after="0" w:line="240" w:lineRule="auto"/>
              <w:jc w:val="center"/>
              <w:rPr>
                <w:rFonts w:cs="Arial"/>
                <w:sz w:val="20"/>
                <w:szCs w:val="20"/>
              </w:rPr>
            </w:pPr>
            <w:r>
              <w:rPr>
                <w:rFonts w:cs="Arial"/>
                <w:sz w:val="20"/>
                <w:szCs w:val="20"/>
              </w:rPr>
              <w:t>67</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72</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230</w:t>
            </w:r>
          </w:p>
        </w:tc>
      </w:tr>
      <w:tr w:rsidR="00BA50AD"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BA50AD" w:rsidRPr="00C4712A" w:rsidRDefault="00BA50AD"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BA50AD" w:rsidRDefault="00BA50AD" w:rsidP="00E2682F">
            <w:pPr>
              <w:spacing w:before="0" w:after="0" w:line="240" w:lineRule="auto"/>
              <w:jc w:val="center"/>
              <w:rPr>
                <w:rFonts w:cs="Arial"/>
                <w:szCs w:val="20"/>
              </w:rPr>
            </w:pPr>
            <w:r>
              <w:rPr>
                <w:rFonts w:cs="Arial"/>
                <w:szCs w:val="20"/>
              </w:rPr>
              <w:t>69</w:t>
            </w:r>
          </w:p>
        </w:tc>
        <w:tc>
          <w:tcPr>
            <w:tcW w:w="729" w:type="pct"/>
            <w:noWrap/>
            <w:vAlign w:val="center"/>
          </w:tcPr>
          <w:p w:rsidR="00BA50AD" w:rsidRDefault="00BA50AD" w:rsidP="00E2682F">
            <w:pPr>
              <w:spacing w:before="0" w:after="0" w:line="240" w:lineRule="auto"/>
              <w:jc w:val="center"/>
              <w:rPr>
                <w:rFonts w:cs="Arial"/>
                <w:szCs w:val="20"/>
              </w:rPr>
            </w:pPr>
            <w:r>
              <w:rPr>
                <w:rFonts w:cs="Arial"/>
                <w:szCs w:val="20"/>
              </w:rPr>
              <w:t>36</w:t>
            </w:r>
          </w:p>
        </w:tc>
        <w:tc>
          <w:tcPr>
            <w:tcW w:w="728" w:type="pct"/>
            <w:noWrap/>
            <w:vAlign w:val="center"/>
          </w:tcPr>
          <w:p w:rsidR="00BA50AD" w:rsidRDefault="00BA50AD" w:rsidP="00E2682F">
            <w:pPr>
              <w:spacing w:before="0" w:after="0" w:line="240" w:lineRule="auto"/>
              <w:jc w:val="center"/>
              <w:rPr>
                <w:rFonts w:cs="Arial"/>
                <w:szCs w:val="20"/>
              </w:rPr>
            </w:pPr>
            <w:r>
              <w:rPr>
                <w:rFonts w:cs="Arial"/>
                <w:szCs w:val="20"/>
              </w:rPr>
              <w:t>31</w:t>
            </w:r>
          </w:p>
        </w:tc>
        <w:tc>
          <w:tcPr>
            <w:tcW w:w="729" w:type="pct"/>
            <w:noWrap/>
            <w:vAlign w:val="center"/>
          </w:tcPr>
          <w:p w:rsidR="00BA50AD" w:rsidRDefault="00BA50AD" w:rsidP="00E2682F">
            <w:pPr>
              <w:spacing w:before="0" w:after="0" w:line="240" w:lineRule="auto"/>
              <w:jc w:val="center"/>
              <w:rPr>
                <w:rFonts w:cs="Arial"/>
                <w:szCs w:val="20"/>
              </w:rPr>
            </w:pPr>
            <w:r>
              <w:rPr>
                <w:rFonts w:cs="Arial"/>
                <w:szCs w:val="20"/>
              </w:rPr>
              <w:t>40</w:t>
            </w:r>
          </w:p>
        </w:tc>
        <w:tc>
          <w:tcPr>
            <w:tcW w:w="729" w:type="pct"/>
            <w:noWrap/>
            <w:vAlign w:val="center"/>
          </w:tcPr>
          <w:p w:rsidR="00BA50AD" w:rsidRDefault="00BA50AD" w:rsidP="00E2682F">
            <w:pPr>
              <w:spacing w:before="0" w:after="0" w:line="240" w:lineRule="auto"/>
              <w:jc w:val="center"/>
              <w:rPr>
                <w:rFonts w:cs="Arial"/>
                <w:szCs w:val="20"/>
              </w:rPr>
            </w:pPr>
            <w:r>
              <w:rPr>
                <w:rFonts w:cs="Arial"/>
                <w:szCs w:val="20"/>
              </w:rPr>
              <w:t>38</w:t>
            </w:r>
          </w:p>
        </w:tc>
      </w:tr>
      <w:tr w:rsidR="00BA50AD" w:rsidRPr="00C4712A" w:rsidTr="00E334A4">
        <w:trPr>
          <w:trHeight w:hRule="exact" w:val="340"/>
        </w:trPr>
        <w:tc>
          <w:tcPr>
            <w:tcW w:w="1357" w:type="pct"/>
            <w:noWrap/>
            <w:vAlign w:val="center"/>
            <w:hideMark/>
          </w:tcPr>
          <w:p w:rsidR="00BA50AD" w:rsidRPr="00C4712A" w:rsidRDefault="00BA50AD"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BA50AD" w:rsidRDefault="00BA50AD" w:rsidP="00E2682F">
            <w:pPr>
              <w:spacing w:before="0" w:after="0" w:line="240" w:lineRule="auto"/>
              <w:jc w:val="center"/>
              <w:rPr>
                <w:rFonts w:cs="Arial"/>
                <w:sz w:val="20"/>
                <w:szCs w:val="20"/>
              </w:rPr>
            </w:pPr>
            <w:r>
              <w:rPr>
                <w:rFonts w:cs="Arial"/>
                <w:sz w:val="20"/>
                <w:szCs w:val="20"/>
              </w:rPr>
              <w:t>60</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47</w:t>
            </w:r>
          </w:p>
        </w:tc>
        <w:tc>
          <w:tcPr>
            <w:tcW w:w="728" w:type="pct"/>
            <w:noWrap/>
            <w:vAlign w:val="center"/>
          </w:tcPr>
          <w:p w:rsidR="00BA50AD" w:rsidRDefault="00BA50AD" w:rsidP="00E2682F">
            <w:pPr>
              <w:spacing w:before="0" w:after="0" w:line="240" w:lineRule="auto"/>
              <w:jc w:val="center"/>
              <w:rPr>
                <w:rFonts w:cs="Arial"/>
                <w:sz w:val="20"/>
                <w:szCs w:val="20"/>
              </w:rPr>
            </w:pPr>
            <w:r>
              <w:rPr>
                <w:rFonts w:cs="Arial"/>
                <w:sz w:val="20"/>
                <w:szCs w:val="20"/>
              </w:rPr>
              <w:t>44</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61</w:t>
            </w:r>
          </w:p>
        </w:tc>
        <w:tc>
          <w:tcPr>
            <w:tcW w:w="729" w:type="pct"/>
            <w:noWrap/>
            <w:vAlign w:val="center"/>
          </w:tcPr>
          <w:p w:rsidR="00BA50AD" w:rsidRDefault="00BA50AD" w:rsidP="00E2682F">
            <w:pPr>
              <w:spacing w:before="0" w:after="0" w:line="240" w:lineRule="auto"/>
              <w:jc w:val="center"/>
              <w:rPr>
                <w:rFonts w:cs="Arial"/>
                <w:sz w:val="20"/>
                <w:szCs w:val="20"/>
              </w:rPr>
            </w:pPr>
            <w:r>
              <w:rPr>
                <w:rFonts w:cs="Arial"/>
                <w:sz w:val="20"/>
                <w:szCs w:val="20"/>
              </w:rPr>
              <w:t>99</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BA50AD" w:rsidP="00BA50AD">
      <w:pPr>
        <w:pStyle w:val="AERbodytext"/>
      </w:pPr>
      <w:r>
        <w:t>There were 297 trading intervals throughout the week where actual prices varied significantly from forecasts. This compares to the weekly average in 2015 of 133 counts and the average in 2014 of 71.</w:t>
      </w:r>
      <w:r>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895878" w:rsidRPr="00C4712A">
        <w:t xml:space="preserve">Table </w:t>
      </w:r>
      <w:r w:rsidR="00895878">
        <w:t>2</w:t>
      </w:r>
      <w:r w:rsidR="00E7472E" w:rsidRPr="00C4712A">
        <w:fldChar w:fldCharType="end"/>
      </w:r>
      <w:r w:rsidR="00275002" w:rsidRPr="00C4712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CD5E5A">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BA50AD"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A50AD" w:rsidRPr="00C4712A" w:rsidRDefault="00BA50AD" w:rsidP="006C62B7">
            <w:pPr>
              <w:spacing w:after="0" w:line="240" w:lineRule="auto"/>
              <w:rPr>
                <w:sz w:val="20"/>
                <w:szCs w:val="20"/>
              </w:rPr>
            </w:pPr>
            <w:r w:rsidRPr="00C4712A">
              <w:rPr>
                <w:sz w:val="20"/>
                <w:szCs w:val="20"/>
              </w:rPr>
              <w:t>% of total above forecast</w:t>
            </w:r>
          </w:p>
        </w:tc>
        <w:tc>
          <w:tcPr>
            <w:tcW w:w="1571" w:type="dxa"/>
            <w:noWrap/>
            <w:vAlign w:val="center"/>
          </w:tcPr>
          <w:p w:rsidR="00BA50AD" w:rsidRDefault="00BA50AD" w:rsidP="00E2682F">
            <w:pPr>
              <w:spacing w:after="0" w:line="240" w:lineRule="auto"/>
              <w:jc w:val="center"/>
              <w:rPr>
                <w:rFonts w:cs="Arial"/>
                <w:sz w:val="20"/>
                <w:szCs w:val="20"/>
              </w:rPr>
            </w:pPr>
            <w:r>
              <w:rPr>
                <w:rFonts w:cs="Arial"/>
                <w:sz w:val="20"/>
                <w:szCs w:val="20"/>
              </w:rPr>
              <w:t>6</w:t>
            </w:r>
          </w:p>
        </w:tc>
        <w:tc>
          <w:tcPr>
            <w:tcW w:w="1572" w:type="dxa"/>
            <w:noWrap/>
            <w:vAlign w:val="center"/>
          </w:tcPr>
          <w:p w:rsidR="00BA50AD" w:rsidRDefault="00BA50AD" w:rsidP="00E2682F">
            <w:pPr>
              <w:spacing w:after="0" w:line="240" w:lineRule="auto"/>
              <w:jc w:val="center"/>
              <w:rPr>
                <w:rFonts w:cs="Arial"/>
                <w:sz w:val="20"/>
                <w:szCs w:val="20"/>
              </w:rPr>
            </w:pPr>
            <w:r>
              <w:rPr>
                <w:rFonts w:cs="Arial"/>
                <w:sz w:val="20"/>
                <w:szCs w:val="20"/>
              </w:rPr>
              <w:t>12</w:t>
            </w:r>
          </w:p>
        </w:tc>
        <w:tc>
          <w:tcPr>
            <w:tcW w:w="1572" w:type="dxa"/>
            <w:noWrap/>
            <w:vAlign w:val="center"/>
          </w:tcPr>
          <w:p w:rsidR="00BA50AD" w:rsidRDefault="00BA50AD" w:rsidP="00E2682F">
            <w:pPr>
              <w:spacing w:after="0" w:line="240" w:lineRule="auto"/>
              <w:jc w:val="center"/>
              <w:rPr>
                <w:rFonts w:cs="Arial"/>
                <w:sz w:val="20"/>
                <w:szCs w:val="20"/>
              </w:rPr>
            </w:pPr>
            <w:r>
              <w:rPr>
                <w:rFonts w:cs="Arial"/>
                <w:sz w:val="20"/>
                <w:szCs w:val="20"/>
              </w:rPr>
              <w:t>0</w:t>
            </w:r>
          </w:p>
        </w:tc>
        <w:tc>
          <w:tcPr>
            <w:tcW w:w="1572" w:type="dxa"/>
            <w:vAlign w:val="center"/>
          </w:tcPr>
          <w:p w:rsidR="00BA50AD" w:rsidRDefault="00BA50AD" w:rsidP="00E2682F">
            <w:pPr>
              <w:spacing w:after="0" w:line="240" w:lineRule="auto"/>
              <w:jc w:val="center"/>
              <w:rPr>
                <w:rFonts w:cs="Arial"/>
                <w:sz w:val="20"/>
                <w:szCs w:val="20"/>
              </w:rPr>
            </w:pPr>
            <w:r>
              <w:rPr>
                <w:rFonts w:cs="Arial"/>
                <w:sz w:val="20"/>
                <w:szCs w:val="20"/>
              </w:rPr>
              <w:t>7</w:t>
            </w:r>
          </w:p>
        </w:tc>
      </w:tr>
      <w:tr w:rsidR="00BA50AD"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A50AD" w:rsidRPr="00C4712A" w:rsidRDefault="00BA50AD" w:rsidP="006C62B7">
            <w:pPr>
              <w:spacing w:after="0" w:line="240" w:lineRule="auto"/>
              <w:rPr>
                <w:sz w:val="20"/>
                <w:szCs w:val="20"/>
              </w:rPr>
            </w:pPr>
            <w:r w:rsidRPr="00C4712A">
              <w:rPr>
                <w:sz w:val="20"/>
                <w:szCs w:val="20"/>
              </w:rPr>
              <w:t>% of total below forecast</w:t>
            </w:r>
          </w:p>
        </w:tc>
        <w:tc>
          <w:tcPr>
            <w:tcW w:w="1571" w:type="dxa"/>
            <w:noWrap/>
            <w:vAlign w:val="center"/>
          </w:tcPr>
          <w:p w:rsidR="00BA50AD" w:rsidRDefault="00BA50AD" w:rsidP="00E2682F">
            <w:pPr>
              <w:spacing w:after="0" w:line="240" w:lineRule="auto"/>
              <w:jc w:val="center"/>
              <w:rPr>
                <w:rFonts w:cs="Arial"/>
                <w:sz w:val="20"/>
                <w:szCs w:val="20"/>
              </w:rPr>
            </w:pPr>
            <w:r>
              <w:rPr>
                <w:rFonts w:cs="Arial"/>
                <w:sz w:val="20"/>
                <w:szCs w:val="20"/>
              </w:rPr>
              <w:t>32</w:t>
            </w:r>
          </w:p>
        </w:tc>
        <w:tc>
          <w:tcPr>
            <w:tcW w:w="1572" w:type="dxa"/>
            <w:noWrap/>
            <w:vAlign w:val="center"/>
          </w:tcPr>
          <w:p w:rsidR="00BA50AD" w:rsidRDefault="00BA50AD" w:rsidP="00E2682F">
            <w:pPr>
              <w:spacing w:after="0" w:line="240" w:lineRule="auto"/>
              <w:jc w:val="center"/>
              <w:rPr>
                <w:rFonts w:cs="Arial"/>
                <w:sz w:val="20"/>
                <w:szCs w:val="20"/>
              </w:rPr>
            </w:pPr>
            <w:r>
              <w:rPr>
                <w:rFonts w:cs="Arial"/>
                <w:sz w:val="20"/>
                <w:szCs w:val="20"/>
              </w:rPr>
              <w:t>28</w:t>
            </w:r>
          </w:p>
        </w:tc>
        <w:tc>
          <w:tcPr>
            <w:tcW w:w="1572" w:type="dxa"/>
            <w:noWrap/>
            <w:vAlign w:val="center"/>
          </w:tcPr>
          <w:p w:rsidR="00BA50AD" w:rsidRDefault="00BA50AD" w:rsidP="00E2682F">
            <w:pPr>
              <w:spacing w:after="0" w:line="240" w:lineRule="auto"/>
              <w:jc w:val="center"/>
              <w:rPr>
                <w:rFonts w:cs="Arial"/>
                <w:sz w:val="20"/>
                <w:szCs w:val="20"/>
              </w:rPr>
            </w:pPr>
            <w:r>
              <w:rPr>
                <w:rFonts w:cs="Arial"/>
                <w:sz w:val="20"/>
                <w:szCs w:val="20"/>
              </w:rPr>
              <w:t>0</w:t>
            </w:r>
          </w:p>
        </w:tc>
        <w:tc>
          <w:tcPr>
            <w:tcW w:w="1572" w:type="dxa"/>
            <w:vAlign w:val="center"/>
          </w:tcPr>
          <w:p w:rsidR="00BA50AD" w:rsidRDefault="00BA50AD" w:rsidP="00E2682F">
            <w:pPr>
              <w:spacing w:after="0" w:line="240" w:lineRule="auto"/>
              <w:jc w:val="center"/>
              <w:rPr>
                <w:rFonts w:cs="Arial"/>
                <w:sz w:val="20"/>
                <w:szCs w:val="20"/>
              </w:rPr>
            </w:pPr>
            <w:r>
              <w:rPr>
                <w:rFonts w:cs="Arial"/>
                <w:sz w:val="20"/>
                <w:szCs w:val="20"/>
              </w:rPr>
              <w:t>15</w:t>
            </w:r>
          </w:p>
        </w:tc>
      </w:tr>
    </w:tbl>
    <w:p w:rsidR="00275002" w:rsidRPr="00C4712A" w:rsidRDefault="00275002" w:rsidP="00544C6F">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895878" w:rsidRPr="00C4712A">
        <w:t xml:space="preserve">Figure </w:t>
      </w:r>
      <w:r w:rsidR="00895878">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895878" w:rsidRPr="008F7954">
        <w:t xml:space="preserve">Figure </w:t>
      </w:r>
      <w:r w:rsidR="00895878" w:rsidRPr="00895878">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895878">
          <w:rPr>
            <w:noProof/>
          </w:rPr>
          <w:t>3</w:t>
        </w:r>
      </w:fldSimple>
      <w:bookmarkEnd w:id="13"/>
      <w:r w:rsidRPr="00C4712A">
        <w:t>: Queensland generation and bidding patterns</w:t>
      </w:r>
    </w:p>
    <w:p w:rsidR="007B78AB" w:rsidRPr="008707C1" w:rsidRDefault="00B671B6" w:rsidP="00886FA8">
      <w:pPr>
        <w:pStyle w:val="AERbodytext"/>
        <w:rPr>
          <w:bCs w:val="0"/>
        </w:rPr>
      </w:pPr>
      <w:r w:rsidRPr="00B671B6">
        <w:rPr>
          <w:noProof/>
        </w:rPr>
        <w:drawing>
          <wp:inline distT="0" distB="0" distL="0" distR="0" wp14:anchorId="520D47D5" wp14:editId="62898534">
            <wp:extent cx="5731510" cy="4115071"/>
            <wp:effectExtent l="0" t="0" r="2540" b="0"/>
            <wp:docPr id="4" name="Picture 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FB265D" w:rsidRPr="00C4712A" w:rsidRDefault="00FB265D" w:rsidP="00FB265D"/>
    <w:p w:rsidR="00275002" w:rsidRPr="00C4712A" w:rsidRDefault="00275002" w:rsidP="000E2946">
      <w:pPr>
        <w:pStyle w:val="Caption"/>
      </w:pPr>
      <w:bookmarkStart w:id="14" w:name="_Ref428273135"/>
      <w:r w:rsidRPr="00C4712A">
        <w:lastRenderedPageBreak/>
        <w:t xml:space="preserve">Figure </w:t>
      </w:r>
      <w:fldSimple w:instr=" SEQ Figure \* ARABIC ">
        <w:r w:rsidR="00895878">
          <w:rPr>
            <w:noProof/>
          </w:rPr>
          <w:t>4</w:t>
        </w:r>
      </w:fldSimple>
      <w:bookmarkEnd w:id="14"/>
      <w:r w:rsidRPr="00C4712A">
        <w:t>: New South Wales generation and bidding patterns</w:t>
      </w:r>
    </w:p>
    <w:p w:rsidR="00181C46" w:rsidRPr="00C4712A" w:rsidRDefault="00B671B6" w:rsidP="00181C46">
      <w:r w:rsidRPr="00B671B6">
        <w:rPr>
          <w:noProof/>
          <w:lang w:eastAsia="en-AU"/>
        </w:rPr>
        <w:drawing>
          <wp:inline distT="0" distB="0" distL="0" distR="0" wp14:anchorId="50C7F907" wp14:editId="22A952EB">
            <wp:extent cx="5731510" cy="4120550"/>
            <wp:effectExtent l="0" t="0" r="2540" b="0"/>
            <wp:docPr id="5" name="Picture 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895878">
          <w:rPr>
            <w:noProof/>
          </w:rPr>
          <w:t>5</w:t>
        </w:r>
      </w:fldSimple>
      <w:r w:rsidRPr="00C4712A">
        <w:t>: Victoria generation and bidding patterns</w:t>
      </w:r>
    </w:p>
    <w:p w:rsidR="00FB265D" w:rsidRDefault="00B671B6" w:rsidP="00FB265D">
      <w:r w:rsidRPr="00B671B6">
        <w:rPr>
          <w:noProof/>
          <w:lang w:eastAsia="en-AU"/>
        </w:rPr>
        <w:drawing>
          <wp:inline distT="0" distB="0" distL="0" distR="0" wp14:anchorId="54DEBEE3" wp14:editId="004DE92E">
            <wp:extent cx="5731510" cy="4115071"/>
            <wp:effectExtent l="0" t="0" r="2540" b="0"/>
            <wp:docPr id="6" name="Picture 6"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5" w:name="_Ref423965683"/>
      <w:r w:rsidRPr="00CF4D2E">
        <w:lastRenderedPageBreak/>
        <w:t xml:space="preserve">Figure </w:t>
      </w:r>
      <w:fldSimple w:instr=" SEQ Figure \* ARABIC ">
        <w:r w:rsidR="00895878" w:rsidRPr="00CF4D2E">
          <w:rPr>
            <w:noProof/>
          </w:rPr>
          <w:t>6</w:t>
        </w:r>
      </w:fldSimple>
      <w:bookmarkEnd w:id="15"/>
      <w:r w:rsidRPr="00CF4D2E">
        <w:t>: South Australia generation and bidding patterns</w:t>
      </w:r>
    </w:p>
    <w:p w:rsidR="002F2481" w:rsidRPr="00173AE6" w:rsidRDefault="00264A45" w:rsidP="00A25353">
      <w:r w:rsidRPr="00264A45">
        <w:rPr>
          <w:noProof/>
          <w:lang w:eastAsia="en-AU"/>
        </w:rPr>
        <w:drawing>
          <wp:inline distT="0" distB="0" distL="0" distR="0" wp14:anchorId="47F72D9A" wp14:editId="709D4702">
            <wp:extent cx="5731510" cy="4124493"/>
            <wp:effectExtent l="0" t="0" r="2540" b="9525"/>
            <wp:docPr id="9" name="Picture 9"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r w:rsidR="00173AE6" w:rsidRPr="002C6B96">
        <w:rPr>
          <w:bCs w:val="0"/>
        </w:rPr>
        <w:fldChar w:fldCharType="begin"/>
      </w:r>
      <w:r w:rsidR="00173AE6" w:rsidRPr="002C6B96">
        <w:rPr>
          <w:bCs w:val="0"/>
        </w:rPr>
        <w:instrText xml:space="preserve"> SEQ Figure \* ARABIC </w:instrText>
      </w:r>
      <w:r w:rsidR="00173AE6" w:rsidRPr="002C6B96">
        <w:rPr>
          <w:bCs w:val="0"/>
        </w:rPr>
        <w:fldChar w:fldCharType="separate"/>
      </w:r>
      <w:r w:rsidR="00895878" w:rsidRPr="002C6B96">
        <w:rPr>
          <w:bCs w:val="0"/>
          <w:noProof/>
        </w:rPr>
        <w:t>7</w:t>
      </w:r>
      <w:r w:rsidR="00173AE6" w:rsidRPr="002C6B96">
        <w:rPr>
          <w:bCs w:val="0"/>
          <w:noProof/>
        </w:rPr>
        <w:fldChar w:fldCharType="end"/>
      </w:r>
      <w:bookmarkEnd w:id="16"/>
      <w:r w:rsidRPr="002C6B96">
        <w:t>: Tasmania generation and bidding patterns</w:t>
      </w:r>
    </w:p>
    <w:bookmarkEnd w:id="17"/>
    <w:p w:rsidR="00E43848" w:rsidRDefault="00B671B6" w:rsidP="00AF7C0E">
      <w:pPr>
        <w:pStyle w:val="AERbodytext"/>
      </w:pPr>
      <w:r w:rsidRPr="00B671B6">
        <w:rPr>
          <w:noProof/>
        </w:rPr>
        <w:drawing>
          <wp:inline distT="0" distB="0" distL="0" distR="0" wp14:anchorId="5CBA0CB0" wp14:editId="6885AA9B">
            <wp:extent cx="5731510" cy="4115071"/>
            <wp:effectExtent l="0" t="0" r="2540" b="0"/>
            <wp:docPr id="7" name="Picture 7"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E2682F">
      <w:pPr>
        <w:pStyle w:val="Bulletpoint"/>
        <w:jc w:val="both"/>
      </w:pPr>
      <w:r w:rsidRPr="00C4712A">
        <w:t>fast services, which arrest a frequency deviation within the first 6 seconds of a contingent event (raise and lower 6 second)</w:t>
      </w:r>
    </w:p>
    <w:p w:rsidR="00275002" w:rsidRPr="00C4712A" w:rsidRDefault="00275002" w:rsidP="00E2682F">
      <w:pPr>
        <w:pStyle w:val="Bulletpoint"/>
        <w:jc w:val="both"/>
      </w:pPr>
      <w:r w:rsidRPr="00C4712A">
        <w:t>slow services, which stabilise frequency deviations within 60 seconds of the event (raise and lower 60 second)</w:t>
      </w:r>
    </w:p>
    <w:p w:rsidR="00275002" w:rsidRPr="00C4712A" w:rsidRDefault="00275002" w:rsidP="00E2682F">
      <w:pPr>
        <w:pStyle w:val="Bulletpoint"/>
        <w:jc w:val="both"/>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264A45" w:rsidRDefault="00264A45" w:rsidP="00551739">
      <w:pPr>
        <w:pStyle w:val="AERbodytext"/>
      </w:pPr>
      <w:r w:rsidRPr="00264A45">
        <w:t>The total cost of FCAS on the mainland for the week was $1</w:t>
      </w:r>
      <w:r w:rsidR="00E2682F">
        <w:t> </w:t>
      </w:r>
      <w:r w:rsidRPr="00264A45">
        <w:t>570</w:t>
      </w:r>
      <w:r w:rsidR="00E2682F">
        <w:t> </w:t>
      </w:r>
      <w:r w:rsidRPr="00264A45">
        <w:t>000 or less than 1 per cent of energy turnover on the mainland.</w:t>
      </w:r>
    </w:p>
    <w:p w:rsidR="00895878" w:rsidRDefault="00264A45" w:rsidP="00551739">
      <w:pPr>
        <w:pStyle w:val="AERbodytext"/>
      </w:pPr>
      <w:r w:rsidRPr="00264A45">
        <w:t>The total cost of FCAS in Tasmania for the w</w:t>
      </w:r>
      <w:r w:rsidR="008432A4">
        <w:t>eek was $345</w:t>
      </w:r>
      <w:r w:rsidR="00E2682F">
        <w:t> </w:t>
      </w:r>
      <w:r w:rsidR="008432A4">
        <w:t xml:space="preserve">500 or less than 1 </w:t>
      </w:r>
      <w:r w:rsidRPr="00264A45">
        <w:t>per cent of energy turnover in Tasmania.</w:t>
      </w:r>
      <w:bookmarkStart w:id="18" w:name="_Ref410383413"/>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895878"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92E07" w:rsidRPr="00551739">
        <w:rPr>
          <w:noProof/>
        </w:rPr>
        <w:fldChar w:fldCharType="begin"/>
      </w:r>
      <w:r w:rsidR="00D92E07" w:rsidRPr="00551739">
        <w:rPr>
          <w:noProof/>
        </w:rPr>
        <w:instrText xml:space="preserve"> SEQ Figure \* ARABIC </w:instrText>
      </w:r>
      <w:r w:rsidR="00D92E07" w:rsidRPr="00551739">
        <w:rPr>
          <w:noProof/>
        </w:rPr>
        <w:fldChar w:fldCharType="separate"/>
      </w:r>
      <w:r w:rsidR="008707C1">
        <w:rPr>
          <w:noProof/>
        </w:rPr>
        <w:t>8</w:t>
      </w:r>
      <w:r w:rsidR="00D92E07" w:rsidRPr="00551739">
        <w:rPr>
          <w:noProof/>
        </w:rPr>
        <w:fldChar w:fldCharType="end"/>
      </w:r>
      <w:bookmarkEnd w:id="18"/>
      <w:bookmarkEnd w:id="19"/>
      <w:r w:rsidRPr="00551739">
        <w:rPr>
          <w:noProof/>
        </w:rPr>
        <w:t>: Daily frequency control ancillary service cost</w:t>
      </w:r>
    </w:p>
    <w:p w:rsidR="005A6CB0" w:rsidRPr="00C4712A" w:rsidRDefault="00264A45" w:rsidP="005A6CB0">
      <w:r w:rsidRPr="00264A45">
        <w:rPr>
          <w:noProof/>
          <w:lang w:eastAsia="en-AU"/>
        </w:rPr>
        <w:drawing>
          <wp:inline distT="0" distB="0" distL="0" distR="0" wp14:anchorId="6AEEE103" wp14:editId="693B0EB9">
            <wp:extent cx="5731510" cy="2893363"/>
            <wp:effectExtent l="0" t="0" r="2540" b="2540"/>
            <wp:docPr id="10" name="Picture 10"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224EE7" w:rsidRDefault="00224EE7" w:rsidP="004F6D0A">
      <w:pPr>
        <w:pStyle w:val="AERHeading1"/>
        <w:sectPr w:rsidR="00224EE7" w:rsidSect="00C15CB2">
          <w:footerReference w:type="even" r:id="rId20"/>
          <w:footerReference w:type="default" r:id="rId21"/>
          <w:footerReference w:type="first" r:id="rId22"/>
          <w:pgSz w:w="11906" w:h="16838"/>
          <w:pgMar w:top="993" w:right="1440" w:bottom="851" w:left="1440" w:header="708" w:footer="89" w:gutter="0"/>
          <w:pgNumType w:start="1"/>
          <w:cols w:space="708"/>
          <w:titlePg/>
          <w:docGrid w:linePitch="360"/>
        </w:sectPr>
      </w:pPr>
    </w:p>
    <w:p w:rsidR="00950B15" w:rsidRPr="00C4712A" w:rsidRDefault="00950B15" w:rsidP="004F6D0A">
      <w:pPr>
        <w:pStyle w:val="AERHeading1"/>
      </w:pPr>
      <w:r w:rsidRPr="00C4712A">
        <w:lastRenderedPageBreak/>
        <w:t>Detailed market analysis of significant price events</w:t>
      </w:r>
    </w:p>
    <w:p w:rsidR="001D56E4" w:rsidRPr="001D56E4" w:rsidRDefault="001D56E4" w:rsidP="00CD5E5A">
      <w:pPr>
        <w:pStyle w:val="AERbodytext"/>
      </w:pPr>
      <w:r w:rsidRPr="001D56E4">
        <w:t xml:space="preserve">We provide more detailed analysis of events where the spot price was greater than three times the weekly average price in a region and above $250/MWh or was below </w:t>
      </w:r>
      <w:r w:rsidRPr="001D56E4">
        <w:noBreakHyphen/>
        <w:t xml:space="preserve">$100/MWh. </w:t>
      </w:r>
    </w:p>
    <w:p w:rsidR="001D56E4" w:rsidRPr="001D56E4" w:rsidRDefault="001D56E4" w:rsidP="001D56E4">
      <w:pPr>
        <w:pStyle w:val="AERHeading3"/>
        <w:keepNext/>
        <w:rPr>
          <w:color w:val="auto"/>
        </w:rPr>
      </w:pPr>
      <w:r w:rsidRPr="001D56E4">
        <w:rPr>
          <w:color w:val="auto"/>
        </w:rPr>
        <w:t>Queensland</w:t>
      </w:r>
      <w:r w:rsidR="00655774">
        <w:rPr>
          <w:color w:val="auto"/>
        </w:rPr>
        <w:t xml:space="preserve"> &amp; NSW</w:t>
      </w:r>
    </w:p>
    <w:p w:rsidR="0098612A" w:rsidRPr="0098612A" w:rsidRDefault="0098612A" w:rsidP="0098612A">
      <w:pPr>
        <w:pStyle w:val="AERbodytext"/>
      </w:pPr>
      <w:r>
        <w:t>There were two</w:t>
      </w:r>
      <w:r w:rsidRPr="001D56E4">
        <w:t xml:space="preserve"> occasions where the spot price in Queensland </w:t>
      </w:r>
      <w:r>
        <w:t xml:space="preserve">and NSW were aligned and </w:t>
      </w:r>
      <w:r w:rsidR="00415696">
        <w:t>greater than three times</w:t>
      </w:r>
      <w:r w:rsidR="00483093">
        <w:t xml:space="preserve"> </w:t>
      </w:r>
      <w:r>
        <w:t>their respective</w:t>
      </w:r>
      <w:r w:rsidRPr="001D56E4">
        <w:t xml:space="preserve"> weekly average price and above $250/MWh.</w:t>
      </w:r>
    </w:p>
    <w:p w:rsidR="009A574C" w:rsidRPr="00415696" w:rsidRDefault="006741D4" w:rsidP="009A574C">
      <w:pPr>
        <w:pStyle w:val="Caption"/>
        <w:rPr>
          <w:rFonts w:eastAsia="Times New Roman" w:cs="Times New Roman"/>
          <w:color w:val="51626F"/>
          <w:szCs w:val="20"/>
        </w:rPr>
      </w:pPr>
      <w:r w:rsidRPr="00415696">
        <w:rPr>
          <w:rFonts w:eastAsia="Times New Roman" w:cs="Times New Roman"/>
          <w:color w:val="51626F"/>
          <w:szCs w:val="20"/>
        </w:rPr>
        <w:t xml:space="preserve">Monday, </w:t>
      </w:r>
      <w:r w:rsidR="001D56E4" w:rsidRPr="00415696">
        <w:rPr>
          <w:rFonts w:eastAsia="Times New Roman" w:cs="Times New Roman"/>
          <w:color w:val="51626F"/>
          <w:szCs w:val="20"/>
        </w:rPr>
        <w:t>11 April</w:t>
      </w:r>
    </w:p>
    <w:p w:rsidR="009A574C" w:rsidRPr="00415696" w:rsidRDefault="009A574C" w:rsidP="009A574C">
      <w:pPr>
        <w:pStyle w:val="Caption"/>
        <w:rPr>
          <w:noProof/>
        </w:rPr>
      </w:pPr>
      <w:r w:rsidRPr="00415696">
        <w:rPr>
          <w:noProof/>
        </w:rPr>
        <w:t xml:space="preserve">Table </w:t>
      </w:r>
      <w:r w:rsidR="005316B7" w:rsidRPr="00415696">
        <w:rPr>
          <w:noProof/>
        </w:rPr>
        <w:fldChar w:fldCharType="begin"/>
      </w:r>
      <w:r w:rsidR="005316B7" w:rsidRPr="00415696">
        <w:rPr>
          <w:noProof/>
        </w:rPr>
        <w:instrText xml:space="preserve"> SEQ Table \* ARABIC </w:instrText>
      </w:r>
      <w:r w:rsidR="005316B7" w:rsidRPr="00415696">
        <w:rPr>
          <w:noProof/>
        </w:rPr>
        <w:fldChar w:fldCharType="separate"/>
      </w:r>
      <w:r w:rsidR="00CD5E5A" w:rsidRPr="00415696">
        <w:rPr>
          <w:noProof/>
        </w:rPr>
        <w:t>3</w:t>
      </w:r>
      <w:r w:rsidR="005316B7" w:rsidRPr="00415696">
        <w:rPr>
          <w:noProof/>
        </w:rPr>
        <w:fldChar w:fldCharType="end"/>
      </w:r>
      <w:r w:rsidRPr="00415696">
        <w:rPr>
          <w:noProof/>
        </w:rPr>
        <w:t>: Price, Demand and Availability</w:t>
      </w:r>
      <w:r w:rsidR="00655774" w:rsidRPr="00415696">
        <w:rPr>
          <w:noProof/>
        </w:rPr>
        <w:t>; 6.30</w:t>
      </w:r>
      <w:r w:rsidR="00E2682F">
        <w:rPr>
          <w:noProof/>
        </w:rPr>
        <w:t> </w:t>
      </w:r>
      <w:r w:rsidR="00655774" w:rsidRPr="00415696">
        <w:rPr>
          <w:noProof/>
        </w:rPr>
        <w:t>pm</w:t>
      </w:r>
      <w:r w:rsidRPr="00415696">
        <w:rPr>
          <w:noProof/>
        </w:rPr>
        <w:t xml:space="preserve"> </w:t>
      </w:r>
      <w:r w:rsidR="00B66E74" w:rsidRPr="00415696">
        <w:rPr>
          <w:noProof/>
        </w:rPr>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1D56E4" w:rsidRPr="001D56E4" w:rsidTr="003375A4">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C341F" w:rsidRPr="00483093" w:rsidRDefault="00A114A7"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Region</w:t>
            </w:r>
            <w:r w:rsidR="002C341F" w:rsidRPr="00483093">
              <w:rPr>
                <w:rFonts w:eastAsia="Times New Roman" w:cs="Arial"/>
                <w:b w:val="0"/>
                <w:color w:val="FFFFFF"/>
                <w:szCs w:val="18"/>
                <w:lang w:eastAsia="en-AU"/>
                <w14:numSpacing w14:val="default"/>
              </w:rPr>
              <w:t xml:space="preserve"> </w:t>
            </w:r>
          </w:p>
        </w:tc>
        <w:tc>
          <w:tcPr>
            <w:tcW w:w="1474" w:type="pct"/>
            <w:gridSpan w:val="3"/>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Price ($/MWh)</w:t>
            </w:r>
          </w:p>
        </w:tc>
        <w:tc>
          <w:tcPr>
            <w:tcW w:w="1495" w:type="pct"/>
            <w:gridSpan w:val="3"/>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Demand (MW)</w:t>
            </w:r>
          </w:p>
        </w:tc>
        <w:tc>
          <w:tcPr>
            <w:tcW w:w="1495" w:type="pct"/>
            <w:gridSpan w:val="3"/>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Availability (MW)</w:t>
            </w:r>
          </w:p>
        </w:tc>
      </w:tr>
      <w:tr w:rsidR="001D56E4" w:rsidRPr="001D56E4" w:rsidTr="000F77D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 </w:t>
            </w:r>
          </w:p>
        </w:tc>
        <w:tc>
          <w:tcPr>
            <w:tcW w:w="47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9"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9" w:type="pct"/>
            <w:tcMar>
              <w:left w:w="57" w:type="dxa"/>
              <w:right w:w="57" w:type="dxa"/>
            </w:tcMar>
            <w:hideMark/>
          </w:tcPr>
          <w:p w:rsidR="002C341F" w:rsidRPr="00483093" w:rsidRDefault="002C341F"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r>
      <w:tr w:rsidR="001D56E4" w:rsidRPr="001D56E4" w:rsidTr="000F77D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1D56E4" w:rsidRPr="00483093" w:rsidRDefault="00655774">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Q</w:t>
            </w:r>
            <w:r w:rsidR="00483093">
              <w:rPr>
                <w:rFonts w:ascii="Arial" w:eastAsiaTheme="minorHAnsi" w:hAnsi="Arial" w:cs="Arial"/>
                <w:b/>
                <w:sz w:val="18"/>
                <w:szCs w:val="22"/>
                <w:lang w:eastAsia="en-US"/>
              </w:rPr>
              <w:t>LD</w:t>
            </w:r>
          </w:p>
        </w:tc>
        <w:tc>
          <w:tcPr>
            <w:tcW w:w="47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263.65</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190.00</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1400.69</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7536</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7595</w:t>
            </w:r>
          </w:p>
        </w:tc>
        <w:tc>
          <w:tcPr>
            <w:tcW w:w="499"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7785</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9506</w:t>
            </w:r>
          </w:p>
        </w:tc>
        <w:tc>
          <w:tcPr>
            <w:tcW w:w="498"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9488</w:t>
            </w:r>
          </w:p>
        </w:tc>
        <w:tc>
          <w:tcPr>
            <w:tcW w:w="499" w:type="pct"/>
            <w:vAlign w:val="center"/>
          </w:tcPr>
          <w:p w:rsidR="001D56E4" w:rsidRPr="00483093" w:rsidRDefault="001D56E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9476</w:t>
            </w:r>
          </w:p>
        </w:tc>
      </w:tr>
      <w:tr w:rsidR="00655774" w:rsidRPr="001D56E4" w:rsidTr="000F77D6">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655774" w:rsidRPr="00483093" w:rsidRDefault="00655774">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NSW</w:t>
            </w:r>
          </w:p>
        </w:tc>
        <w:tc>
          <w:tcPr>
            <w:tcW w:w="47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271.46</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299.80</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299.80</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9130</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8840</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8950</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10 239</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10 223</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10 450</w:t>
            </w:r>
          </w:p>
        </w:tc>
      </w:tr>
    </w:tbl>
    <w:p w:rsidR="00F606F1" w:rsidRDefault="001F34F1" w:rsidP="00F606F1">
      <w:pPr>
        <w:pStyle w:val="AERbodytext"/>
      </w:pPr>
      <w:r>
        <w:t>C</w:t>
      </w:r>
      <w:r w:rsidR="00067853" w:rsidRPr="00541761">
        <w:t>onditions at the time saw demand</w:t>
      </w:r>
      <w:r w:rsidR="00F606F1">
        <w:t xml:space="preserve"> around 300 MW greater than that forecast in NSW and close to forecast in Queensland four hours ahead. Availability was close to forecast in both regions, four hours ahead. </w:t>
      </w:r>
      <w:r w:rsidR="00067853" w:rsidRPr="00541761">
        <w:t xml:space="preserve"> </w:t>
      </w:r>
    </w:p>
    <w:p w:rsidR="00067853" w:rsidRPr="00541761" w:rsidRDefault="00067853" w:rsidP="00541761">
      <w:pPr>
        <w:pStyle w:val="AERbodytext"/>
      </w:pPr>
      <w:r w:rsidRPr="00541761">
        <w:t>Prices were close to forecast four hours ahead</w:t>
      </w:r>
      <w:r w:rsidR="00541761" w:rsidRPr="00541761">
        <w:t xml:space="preserve">. </w:t>
      </w:r>
      <w:r w:rsidRPr="00541761">
        <w:t xml:space="preserve"> </w:t>
      </w:r>
    </w:p>
    <w:p w:rsidR="006741D4" w:rsidRPr="00415696" w:rsidRDefault="001D56E4" w:rsidP="006741D4">
      <w:pPr>
        <w:pStyle w:val="Caption"/>
        <w:rPr>
          <w:rFonts w:eastAsia="Times New Roman" w:cs="Times New Roman"/>
          <w:color w:val="51626F"/>
          <w:szCs w:val="20"/>
        </w:rPr>
      </w:pPr>
      <w:r w:rsidRPr="00415696">
        <w:rPr>
          <w:rFonts w:eastAsia="Times New Roman" w:cs="Times New Roman"/>
          <w:color w:val="51626F"/>
          <w:szCs w:val="20"/>
        </w:rPr>
        <w:t>Thursday, 14 April</w:t>
      </w:r>
    </w:p>
    <w:p w:rsidR="00190F24" w:rsidRPr="00415696" w:rsidRDefault="00190F24" w:rsidP="00190F24">
      <w:pPr>
        <w:pStyle w:val="Caption"/>
        <w:rPr>
          <w:noProof/>
        </w:rPr>
      </w:pPr>
      <w:r w:rsidRPr="00415696">
        <w:rPr>
          <w:noProof/>
        </w:rPr>
        <w:t xml:space="preserve">Table </w:t>
      </w:r>
      <w:r w:rsidR="005316B7" w:rsidRPr="00415696">
        <w:rPr>
          <w:noProof/>
        </w:rPr>
        <w:fldChar w:fldCharType="begin"/>
      </w:r>
      <w:r w:rsidR="005316B7" w:rsidRPr="00415696">
        <w:rPr>
          <w:noProof/>
        </w:rPr>
        <w:instrText xml:space="preserve"> SEQ Table \* ARABIC </w:instrText>
      </w:r>
      <w:r w:rsidR="005316B7" w:rsidRPr="00415696">
        <w:rPr>
          <w:noProof/>
        </w:rPr>
        <w:fldChar w:fldCharType="separate"/>
      </w:r>
      <w:r w:rsidR="00CD5E5A" w:rsidRPr="00415696">
        <w:rPr>
          <w:noProof/>
        </w:rPr>
        <w:t>4</w:t>
      </w:r>
      <w:r w:rsidR="005316B7" w:rsidRPr="00415696">
        <w:rPr>
          <w:noProof/>
        </w:rPr>
        <w:fldChar w:fldCharType="end"/>
      </w:r>
      <w:r w:rsidRPr="00415696">
        <w:rPr>
          <w:noProof/>
        </w:rPr>
        <w:t>: Price, Demand and Availability</w:t>
      </w:r>
      <w:r w:rsidR="00AF2310" w:rsidRPr="00415696">
        <w:rPr>
          <w:noProof/>
        </w:rPr>
        <w:t>, 5 pm</w:t>
      </w:r>
      <w:r w:rsidRPr="00415696">
        <w:rPr>
          <w:noProof/>
        </w:rPr>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4406A5" w:rsidRPr="00AF2310" w:rsidTr="00D92E07">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190F24" w:rsidRPr="00483093" w:rsidRDefault="00A114A7"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Region</w:t>
            </w:r>
            <w:r w:rsidR="00190F24" w:rsidRPr="00483093">
              <w:rPr>
                <w:rFonts w:eastAsia="Times New Roman" w:cs="Arial"/>
                <w:b w:val="0"/>
                <w:color w:val="FFFFFF"/>
                <w:szCs w:val="18"/>
                <w:lang w:eastAsia="en-AU"/>
                <w14:numSpacing w14:val="default"/>
              </w:rPr>
              <w:t xml:space="preserve"> </w:t>
            </w:r>
          </w:p>
        </w:tc>
        <w:tc>
          <w:tcPr>
            <w:tcW w:w="1474" w:type="pct"/>
            <w:gridSpan w:val="3"/>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Price ($/MWh)</w:t>
            </w:r>
          </w:p>
        </w:tc>
        <w:tc>
          <w:tcPr>
            <w:tcW w:w="1495" w:type="pct"/>
            <w:gridSpan w:val="3"/>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Demand (MW)</w:t>
            </w:r>
          </w:p>
        </w:tc>
        <w:tc>
          <w:tcPr>
            <w:tcW w:w="1495" w:type="pct"/>
            <w:gridSpan w:val="3"/>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Availability (MW)</w:t>
            </w:r>
          </w:p>
        </w:tc>
      </w:tr>
      <w:tr w:rsidR="004406A5" w:rsidRPr="00AF2310" w:rsidTr="00D92E07">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 </w:t>
            </w:r>
          </w:p>
        </w:tc>
        <w:tc>
          <w:tcPr>
            <w:tcW w:w="47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9"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Actual</w:t>
            </w:r>
          </w:p>
        </w:tc>
        <w:tc>
          <w:tcPr>
            <w:tcW w:w="498"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4 hr forecast</w:t>
            </w:r>
          </w:p>
        </w:tc>
        <w:tc>
          <w:tcPr>
            <w:tcW w:w="499" w:type="pct"/>
            <w:tcMar>
              <w:left w:w="57" w:type="dxa"/>
              <w:right w:w="57" w:type="dxa"/>
            </w:tcMar>
            <w:hideMark/>
          </w:tcPr>
          <w:p w:rsidR="00190F24" w:rsidRPr="00483093" w:rsidRDefault="00190F24" w:rsidP="00483093">
            <w:pPr>
              <w:spacing w:before="0"/>
              <w:jc w:val="center"/>
              <w:textAlignment w:val="top"/>
              <w:rPr>
                <w:rFonts w:eastAsia="Times New Roman" w:cs="Arial"/>
                <w:b w:val="0"/>
                <w:color w:val="FFFFFF"/>
                <w:szCs w:val="18"/>
                <w:lang w:eastAsia="en-AU"/>
                <w14:numSpacing w14:val="default"/>
              </w:rPr>
            </w:pPr>
            <w:r w:rsidRPr="00483093">
              <w:rPr>
                <w:rFonts w:eastAsia="Times New Roman" w:cs="Arial"/>
                <w:b w:val="0"/>
                <w:color w:val="FFFFFF"/>
                <w:szCs w:val="18"/>
                <w:lang w:eastAsia="en-AU"/>
                <w14:numSpacing w14:val="default"/>
              </w:rPr>
              <w:t>12 hr forecast</w:t>
            </w:r>
          </w:p>
        </w:tc>
      </w:tr>
      <w:tr w:rsidR="00655774" w:rsidRPr="004406A5" w:rsidTr="00655774">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55774" w:rsidRPr="00483093" w:rsidRDefault="00483093" w:rsidP="00655774">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QLD</w:t>
            </w:r>
          </w:p>
        </w:tc>
        <w:tc>
          <w:tcPr>
            <w:tcW w:w="47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284.51</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86.69</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297.29</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6917</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6997</w:t>
            </w:r>
          </w:p>
        </w:tc>
        <w:tc>
          <w:tcPr>
            <w:tcW w:w="499"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7040</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9191</w:t>
            </w:r>
          </w:p>
        </w:tc>
        <w:tc>
          <w:tcPr>
            <w:tcW w:w="498"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9356</w:t>
            </w:r>
          </w:p>
        </w:tc>
        <w:tc>
          <w:tcPr>
            <w:tcW w:w="499" w:type="pct"/>
            <w:vAlign w:val="center"/>
          </w:tcPr>
          <w:p w:rsidR="00655774" w:rsidRPr="00483093" w:rsidRDefault="00655774"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9466</w:t>
            </w:r>
          </w:p>
        </w:tc>
      </w:tr>
      <w:tr w:rsidR="00AF2310" w:rsidRPr="004406A5" w:rsidTr="00D92E07">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AF2310" w:rsidRPr="00483093" w:rsidRDefault="00AF2310">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NSW</w:t>
            </w:r>
          </w:p>
        </w:tc>
        <w:tc>
          <w:tcPr>
            <w:tcW w:w="47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281.52</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89.00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289.81</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8581</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8464</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8534</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10 248</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10 220</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10 456</w:t>
            </w:r>
          </w:p>
        </w:tc>
      </w:tr>
    </w:tbl>
    <w:p w:rsidR="00260FBF" w:rsidRDefault="000F3A2E" w:rsidP="002B3B2D">
      <w:pPr>
        <w:pStyle w:val="AERbodytext"/>
      </w:pPr>
      <w:r w:rsidRPr="000F3A2E">
        <w:t xml:space="preserve">Conditions at the time saw demand </w:t>
      </w:r>
      <w:r w:rsidR="00415696">
        <w:t>and availability</w:t>
      </w:r>
      <w:r w:rsidR="00F606F1">
        <w:t xml:space="preserve"> </w:t>
      </w:r>
      <w:r w:rsidRPr="000F3A2E">
        <w:t xml:space="preserve">close to forecast </w:t>
      </w:r>
      <w:r w:rsidR="00167E1B">
        <w:t>in both regions</w:t>
      </w:r>
      <w:r w:rsidRPr="000F3A2E">
        <w:t xml:space="preserve">. </w:t>
      </w:r>
      <w:r w:rsidR="00E2682F">
        <w:t>Actual prices were aligned between both regions.</w:t>
      </w:r>
      <w:bookmarkStart w:id="20" w:name="_GoBack"/>
      <w:bookmarkEnd w:id="20"/>
    </w:p>
    <w:p w:rsidR="00CD5E5A" w:rsidRDefault="00CD5E5A" w:rsidP="00CD5E5A">
      <w:pPr>
        <w:pStyle w:val="Caption"/>
      </w:pPr>
      <w:r>
        <w:t xml:space="preserve">Table </w:t>
      </w:r>
      <w:fldSimple w:instr=" SEQ Table \* ARABIC ">
        <w:r>
          <w:rPr>
            <w:noProof/>
          </w:rPr>
          <w:t>5</w:t>
        </w:r>
      </w:fldSimple>
      <w:r>
        <w:t>: Rebids for the 5 pm</w:t>
      </w:r>
      <w:r w:rsidRPr="00061ABD">
        <w:t xml:space="preserve"> trading interval</w:t>
      </w:r>
      <w:r w:rsidR="002D4605">
        <w:t xml:space="preserve"> in</w:t>
      </w:r>
      <w:r>
        <w:t xml:space="preserve"> NSW </w:t>
      </w:r>
    </w:p>
    <w:tbl>
      <w:tblPr>
        <w:tblW w:w="0" w:type="auto"/>
        <w:tblInd w:w="40" w:type="dxa"/>
        <w:tblCellMar>
          <w:left w:w="0" w:type="dxa"/>
          <w:right w:w="0" w:type="dxa"/>
        </w:tblCellMar>
        <w:tblLook w:val="04A0" w:firstRow="1" w:lastRow="0" w:firstColumn="1" w:lastColumn="0" w:noHBand="0" w:noVBand="1"/>
      </w:tblPr>
      <w:tblGrid>
        <w:gridCol w:w="891"/>
        <w:gridCol w:w="751"/>
        <w:gridCol w:w="1098"/>
        <w:gridCol w:w="921"/>
        <w:gridCol w:w="942"/>
        <w:gridCol w:w="817"/>
        <w:gridCol w:w="770"/>
        <w:gridCol w:w="2876"/>
      </w:tblGrid>
      <w:tr w:rsidR="00237839" w:rsidRPr="005522B2" w:rsidTr="00F75526">
        <w:trPr>
          <w:trHeight w:val="483"/>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Submitted</w:t>
            </w:r>
            <w:r w:rsidRPr="005522B2">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Time</w:t>
            </w:r>
            <w:r w:rsidRPr="005522B2">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Capacity rebid</w:t>
            </w:r>
            <w:r w:rsidRPr="005522B2">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from</w:t>
            </w:r>
            <w:r w:rsidRPr="005522B2">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to</w:t>
            </w:r>
            <w:r w:rsidRPr="005522B2">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37839" w:rsidRPr="005522B2" w:rsidRDefault="00237839"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Rebid reason</w:t>
            </w:r>
          </w:p>
        </w:tc>
      </w:tr>
      <w:tr w:rsidR="00237839" w:rsidTr="00F75526">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2.05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rPr>
                <w:rFonts w:ascii="Times New Roman" w:eastAsia="Times New Roman" w:hAnsi="Times New Roman" w:cs="Times New Roman"/>
                <w:sz w:val="24"/>
                <w:szCs w:val="24"/>
                <w:lang w:eastAsia="en-AU"/>
              </w:rPr>
            </w:pPr>
            <w:r w:rsidRPr="00A93BE4">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Origin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Eraring</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240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&lt;26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13</w:t>
            </w:r>
            <w:r w:rsidR="00E2682F">
              <w:rPr>
                <w:rFonts w:eastAsia="Times New Roman" w:cs="Arial"/>
                <w:color w:val="000000"/>
                <w:sz w:val="18"/>
                <w:szCs w:val="18"/>
                <w:lang w:eastAsia="en-AU"/>
              </w:rPr>
              <w:t> </w:t>
            </w:r>
            <w:r w:rsidRPr="00A93BE4">
              <w:rPr>
                <w:rFonts w:eastAsia="Times New Roman" w:cs="Arial"/>
                <w:color w:val="000000"/>
                <w:sz w:val="18"/>
                <w:szCs w:val="18"/>
                <w:lang w:eastAsia="en-AU"/>
              </w:rPr>
              <w:t>450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1402P PLANT CONDITIONS - ASH HOPPER MANAGEMENT SL</w:t>
            </w:r>
          </w:p>
        </w:tc>
      </w:tr>
      <w:tr w:rsidR="00237839" w:rsidTr="00F75526">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3.47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jc w:val="center"/>
              <w:rPr>
                <w:rFonts w:ascii="Times New Roman" w:eastAsia="Times New Roman" w:hAnsi="Times New Roman" w:cs="Times New Roman"/>
                <w:sz w:val="24"/>
                <w:szCs w:val="24"/>
                <w:lang w:eastAsia="en-AU"/>
              </w:rPr>
            </w:pPr>
            <w:r w:rsidRPr="00A93BE4">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Energy</w:t>
            </w:r>
            <w:r>
              <w:rPr>
                <w:rFonts w:eastAsia="Times New Roman" w:cs="Arial"/>
                <w:color w:val="000000"/>
                <w:sz w:val="18"/>
                <w:szCs w:val="18"/>
                <w:lang w:eastAsia="en-AU"/>
              </w:rPr>
              <w:t xml:space="preserve"> </w:t>
            </w:r>
            <w:r w:rsidRPr="00A93BE4">
              <w:rPr>
                <w:rFonts w:eastAsia="Times New Roman" w:cs="Arial"/>
                <w:color w:val="000000"/>
                <w:sz w:val="18"/>
                <w:szCs w:val="18"/>
                <w:lang w:eastAsia="en-AU"/>
              </w:rPr>
              <w:t>Australia</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Tallawarra</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110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&lt;82</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290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15:47 A BAND ADJ NSW PRICE ABOVE 30PD</w:t>
            </w:r>
          </w:p>
        </w:tc>
      </w:tr>
      <w:tr w:rsidR="00237839" w:rsidTr="00F75526">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4.33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4.40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Snowy Hydro</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Tumut</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30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300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jc w:val="center"/>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13</w:t>
            </w:r>
            <w:r w:rsidR="00E2682F">
              <w:rPr>
                <w:rFonts w:eastAsia="Times New Roman" w:cs="Arial"/>
                <w:color w:val="000000"/>
                <w:sz w:val="18"/>
                <w:szCs w:val="18"/>
                <w:lang w:eastAsia="en-AU"/>
              </w:rPr>
              <w:t> </w:t>
            </w:r>
            <w:r w:rsidRPr="00A93BE4">
              <w:rPr>
                <w:rFonts w:eastAsia="Times New Roman" w:cs="Arial"/>
                <w:color w:val="000000"/>
                <w:sz w:val="18"/>
                <w:szCs w:val="18"/>
                <w:lang w:eastAsia="en-AU"/>
              </w:rPr>
              <w:t>799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37839" w:rsidRPr="00A93BE4" w:rsidRDefault="00237839" w:rsidP="00F75526">
            <w:pPr>
              <w:spacing w:before="0"/>
              <w:textAlignment w:val="center"/>
              <w:rPr>
                <w:rFonts w:eastAsia="Times New Roman" w:cs="Arial"/>
                <w:color w:val="000000"/>
                <w:sz w:val="18"/>
                <w:szCs w:val="18"/>
                <w:lang w:eastAsia="en-AU"/>
              </w:rPr>
            </w:pPr>
            <w:r w:rsidRPr="00A93BE4">
              <w:rPr>
                <w:rFonts w:eastAsia="Times New Roman" w:cs="Arial"/>
                <w:color w:val="000000"/>
                <w:sz w:val="18"/>
                <w:szCs w:val="18"/>
                <w:lang w:eastAsia="en-AU"/>
              </w:rPr>
              <w:t>16:31 A NSW: ACT PRICE $210.08 HGR THN 30MPD 16:35@16:02</w:t>
            </w:r>
          </w:p>
        </w:tc>
      </w:tr>
    </w:tbl>
    <w:p w:rsidR="00237839" w:rsidRDefault="00237839" w:rsidP="002D4605">
      <w:pPr>
        <w:pStyle w:val="Caption"/>
      </w:pPr>
    </w:p>
    <w:p w:rsidR="002D4605" w:rsidRDefault="002D4605" w:rsidP="002D4605">
      <w:pPr>
        <w:pStyle w:val="Caption"/>
      </w:pPr>
      <w:r>
        <w:t xml:space="preserve">Table </w:t>
      </w:r>
      <w:fldSimple w:instr=" SEQ Table \* ARABIC ">
        <w:r w:rsidR="0022519F">
          <w:rPr>
            <w:noProof/>
          </w:rPr>
          <w:t>6</w:t>
        </w:r>
      </w:fldSimple>
      <w:r>
        <w:t>: Rebids for the 5 pm</w:t>
      </w:r>
      <w:r w:rsidRPr="00061ABD">
        <w:t xml:space="preserve"> trading interval</w:t>
      </w:r>
      <w:r>
        <w:t xml:space="preserve"> in QLD</w:t>
      </w:r>
    </w:p>
    <w:tbl>
      <w:tblPr>
        <w:tblW w:w="0" w:type="auto"/>
        <w:tblInd w:w="40" w:type="dxa"/>
        <w:tblCellMar>
          <w:left w:w="0" w:type="dxa"/>
          <w:right w:w="0" w:type="dxa"/>
        </w:tblCellMar>
        <w:tblLook w:val="04A0" w:firstRow="1" w:lastRow="0" w:firstColumn="1" w:lastColumn="0" w:noHBand="0" w:noVBand="1"/>
      </w:tblPr>
      <w:tblGrid>
        <w:gridCol w:w="891"/>
        <w:gridCol w:w="751"/>
        <w:gridCol w:w="1395"/>
        <w:gridCol w:w="921"/>
        <w:gridCol w:w="934"/>
        <w:gridCol w:w="815"/>
        <w:gridCol w:w="770"/>
        <w:gridCol w:w="2589"/>
      </w:tblGrid>
      <w:tr w:rsidR="002D4605" w:rsidRPr="005522B2" w:rsidTr="00F75526">
        <w:trPr>
          <w:trHeight w:val="483"/>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Submitted</w:t>
            </w:r>
            <w:r w:rsidRPr="005522B2">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Time</w:t>
            </w:r>
            <w:r w:rsidRPr="005522B2">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Capacity rebid</w:t>
            </w:r>
            <w:r w:rsidRPr="005522B2">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from</w:t>
            </w:r>
            <w:r w:rsidRPr="005522B2">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to</w:t>
            </w:r>
            <w:r w:rsidRPr="005522B2">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D4605" w:rsidRPr="005522B2" w:rsidRDefault="002D4605" w:rsidP="00F75526">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Rebid reason</w:t>
            </w:r>
          </w:p>
        </w:tc>
      </w:tr>
      <w:tr w:rsidR="002D4605" w:rsidTr="00F75526">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4.07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Stanwell Corporation</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Stanwell</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100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&lt;86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13</w:t>
            </w:r>
            <w:r w:rsidR="00E2682F">
              <w:rPr>
                <w:rFonts w:cs="Arial"/>
                <w:color w:val="000000"/>
                <w:sz w:val="18"/>
                <w:szCs w:val="18"/>
              </w:rPr>
              <w:t> </w:t>
            </w:r>
            <w:r>
              <w:rPr>
                <w:rFonts w:cs="Arial"/>
                <w:color w:val="000000"/>
                <w:sz w:val="18"/>
                <w:szCs w:val="18"/>
              </w:rPr>
              <w:t>800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1607A QLD PRICE P5MIN VS 30MIN FORECAST FOR TI1700 SL</w:t>
            </w:r>
          </w:p>
        </w:tc>
      </w:tr>
      <w:tr w:rsidR="002D4605" w:rsidTr="00F75526">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4.07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Stanwell Corporation</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Tarong</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75</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&lt;86</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13</w:t>
            </w:r>
            <w:r w:rsidR="00E2682F">
              <w:rPr>
                <w:rFonts w:cs="Arial"/>
                <w:color w:val="000000"/>
                <w:sz w:val="18"/>
                <w:szCs w:val="18"/>
              </w:rPr>
              <w:t> </w:t>
            </w:r>
            <w:r>
              <w:rPr>
                <w:rFonts w:cs="Arial"/>
                <w:color w:val="000000"/>
                <w:sz w:val="18"/>
                <w:szCs w:val="18"/>
              </w:rPr>
              <w:t>800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1607A QLD PRICE P5MIN VS 30MIN FORECAST FOR TI1700 SL</w:t>
            </w:r>
          </w:p>
        </w:tc>
      </w:tr>
      <w:tr w:rsidR="002D4605" w:rsidTr="00F75526">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4.30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4.40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Millmerran Energy Trader</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Millmerran</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85</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7</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jc w:val="center"/>
              <w:textAlignment w:val="center"/>
              <w:rPr>
                <w:rFonts w:cs="Arial"/>
                <w:color w:val="000000"/>
                <w:sz w:val="18"/>
                <w:szCs w:val="18"/>
              </w:rPr>
            </w:pPr>
            <w:r>
              <w:rPr>
                <w:rFonts w:cs="Arial"/>
                <w:color w:val="000000"/>
                <w:sz w:val="18"/>
                <w:szCs w:val="18"/>
              </w:rPr>
              <w:t>13</w:t>
            </w:r>
            <w:r w:rsidR="00E2682F">
              <w:rPr>
                <w:rFonts w:cs="Arial"/>
                <w:color w:val="000000"/>
                <w:sz w:val="18"/>
                <w:szCs w:val="18"/>
              </w:rPr>
              <w:t> </w:t>
            </w:r>
            <w:r>
              <w:rPr>
                <w:rFonts w:cs="Arial"/>
                <w:color w:val="000000"/>
                <w:sz w:val="18"/>
                <w:szCs w:val="18"/>
              </w:rPr>
              <w:t>800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D4605" w:rsidRDefault="002D4605" w:rsidP="00F75526">
            <w:pPr>
              <w:textAlignment w:val="center"/>
              <w:rPr>
                <w:rFonts w:cs="Arial"/>
                <w:color w:val="000000"/>
                <w:sz w:val="18"/>
                <w:szCs w:val="18"/>
              </w:rPr>
            </w:pPr>
            <w:r>
              <w:rPr>
                <w:rFonts w:cs="Arial"/>
                <w:color w:val="000000"/>
                <w:sz w:val="18"/>
                <w:szCs w:val="18"/>
              </w:rPr>
              <w:t>16:28 A 70MW CHANGE Q P5M DEMAND DI 1640 RUN 1630/1625</w:t>
            </w:r>
          </w:p>
        </w:tc>
      </w:tr>
    </w:tbl>
    <w:p w:rsidR="006E684D" w:rsidRPr="00C35611" w:rsidRDefault="00E2682F" w:rsidP="002B3B2D">
      <w:pPr>
        <w:pStyle w:val="AERbodytext"/>
      </w:pPr>
      <w:r>
        <w:t>A</w:t>
      </w:r>
      <w:r w:rsidR="00CD5E5A">
        <w:t xml:space="preserve">s a result of the </w:t>
      </w:r>
      <w:r>
        <w:t xml:space="preserve">above </w:t>
      </w:r>
      <w:r w:rsidR="00CD5E5A">
        <w:t xml:space="preserve">rebids </w:t>
      </w:r>
      <w:r w:rsidR="00C35611" w:rsidRPr="00C35611">
        <w:t xml:space="preserve">the </w:t>
      </w:r>
      <w:r>
        <w:t xml:space="preserve">dispatch </w:t>
      </w:r>
      <w:r w:rsidR="00C35611" w:rsidRPr="00C35611">
        <w:t>price increase</w:t>
      </w:r>
      <w:r w:rsidR="004C68E0">
        <w:t>d</w:t>
      </w:r>
      <w:r w:rsidR="00C35611" w:rsidRPr="00C35611">
        <w:t xml:space="preserve"> from </w:t>
      </w:r>
      <w:r w:rsidR="00C35611">
        <w:t>$90/MWh at 4.30</w:t>
      </w:r>
      <w:r w:rsidR="00F25168">
        <w:t> </w:t>
      </w:r>
      <w:r w:rsidR="00C35611">
        <w:t xml:space="preserve">pm to </w:t>
      </w:r>
      <w:r>
        <w:t xml:space="preserve">around </w:t>
      </w:r>
      <w:r w:rsidR="00C35611">
        <w:t>$300/MWh at 4.35</w:t>
      </w:r>
      <w:r w:rsidR="00F25168">
        <w:t> </w:t>
      </w:r>
      <w:r w:rsidR="00C35611">
        <w:t>pm</w:t>
      </w:r>
      <w:r>
        <w:t xml:space="preserve"> in both regions</w:t>
      </w:r>
      <w:r w:rsidR="00C35611">
        <w:t xml:space="preserve">. The price remained at this level for the majority of the </w:t>
      </w:r>
      <w:r w:rsidR="006D0C9D">
        <w:t xml:space="preserve">trading </w:t>
      </w:r>
      <w:r w:rsidR="00C35611">
        <w:t xml:space="preserve">interval.   </w:t>
      </w:r>
      <w:r w:rsidR="00C35611" w:rsidRPr="00C35611">
        <w:t xml:space="preserve">  </w:t>
      </w:r>
    </w:p>
    <w:p w:rsidR="00CD5E5A" w:rsidRPr="001D56E4" w:rsidRDefault="0098612A" w:rsidP="00CD5E5A">
      <w:pPr>
        <w:pStyle w:val="AERHeading3"/>
        <w:keepNext/>
        <w:rPr>
          <w:color w:val="auto"/>
        </w:rPr>
      </w:pPr>
      <w:r>
        <w:rPr>
          <w:color w:val="auto"/>
        </w:rPr>
        <w:t>Victoria</w:t>
      </w:r>
      <w:r w:rsidR="00CD5E5A">
        <w:rPr>
          <w:color w:val="auto"/>
        </w:rPr>
        <w:t xml:space="preserve"> &amp; NSW</w:t>
      </w:r>
    </w:p>
    <w:p w:rsidR="00CD5E5A" w:rsidRPr="0098612A" w:rsidRDefault="0022519F" w:rsidP="0098612A">
      <w:pPr>
        <w:pStyle w:val="AERbodytext"/>
      </w:pPr>
      <w:r>
        <w:t xml:space="preserve">There was </w:t>
      </w:r>
      <w:r w:rsidR="00A13F44">
        <w:t>one occasion</w:t>
      </w:r>
      <w:r w:rsidR="0098612A">
        <w:t xml:space="preserve"> where the spot price in Victoria and NSW were greater than three times the</w:t>
      </w:r>
      <w:r>
        <w:t>ir</w:t>
      </w:r>
      <w:r w:rsidR="0098612A">
        <w:t xml:space="preserve"> respective weekly average price and above $250/MWh.</w:t>
      </w:r>
    </w:p>
    <w:p w:rsidR="00AF2310" w:rsidRPr="00415696" w:rsidRDefault="00AF2310" w:rsidP="00AF2310">
      <w:pPr>
        <w:pStyle w:val="Caption"/>
        <w:rPr>
          <w:rFonts w:eastAsia="Times New Roman" w:cs="Times New Roman"/>
          <w:color w:val="51626F"/>
          <w:szCs w:val="20"/>
        </w:rPr>
      </w:pPr>
      <w:r w:rsidRPr="00415696">
        <w:rPr>
          <w:rFonts w:eastAsia="Times New Roman" w:cs="Times New Roman"/>
          <w:color w:val="51626F"/>
          <w:szCs w:val="20"/>
        </w:rPr>
        <w:t>Thursday, 14 April</w:t>
      </w:r>
    </w:p>
    <w:p w:rsidR="00AF2310" w:rsidRPr="00415696" w:rsidRDefault="00AF2310" w:rsidP="00AF2310">
      <w:pPr>
        <w:pStyle w:val="Caption"/>
        <w:rPr>
          <w:noProof/>
        </w:rPr>
      </w:pPr>
      <w:r>
        <w:rPr>
          <w:noProof/>
        </w:rPr>
        <w:t xml:space="preserve">Table </w:t>
      </w:r>
      <w:r w:rsidR="00415696">
        <w:rPr>
          <w:noProof/>
        </w:rPr>
        <w:fldChar w:fldCharType="begin"/>
      </w:r>
      <w:r w:rsidR="00415696">
        <w:rPr>
          <w:noProof/>
        </w:rPr>
        <w:instrText xml:space="preserve"> SEQ Table \* ARABIC </w:instrText>
      </w:r>
      <w:r w:rsidR="00415696">
        <w:rPr>
          <w:noProof/>
        </w:rPr>
        <w:fldChar w:fldCharType="separate"/>
      </w:r>
      <w:r w:rsidR="0022519F">
        <w:rPr>
          <w:noProof/>
        </w:rPr>
        <w:t>7</w:t>
      </w:r>
      <w:r w:rsidR="00415696">
        <w:rPr>
          <w:noProof/>
        </w:rPr>
        <w:fldChar w:fldCharType="end"/>
      </w:r>
      <w:r w:rsidRPr="00415696">
        <w:rPr>
          <w:noProof/>
        </w:rPr>
        <w:t xml:space="preserve">: Price, Demand and Availability, 6.30 pm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AF2310" w:rsidRPr="00AF2310" w:rsidTr="00813820">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AF2310" w:rsidRPr="00483093" w:rsidRDefault="00A114A7" w:rsidP="00813820">
            <w:pPr>
              <w:pStyle w:val="TableHeading"/>
              <w:jc w:val="center"/>
              <w:rPr>
                <w:rFonts w:cs="Arial"/>
                <w:b w:val="0"/>
                <w:sz w:val="20"/>
                <w:szCs w:val="20"/>
              </w:rPr>
            </w:pPr>
            <w:r w:rsidRPr="00483093">
              <w:rPr>
                <w:rFonts w:cs="Arial"/>
                <w:b w:val="0"/>
                <w:sz w:val="20"/>
                <w:szCs w:val="20"/>
              </w:rPr>
              <w:t>Region</w:t>
            </w:r>
            <w:r w:rsidR="00AF2310" w:rsidRPr="00483093">
              <w:rPr>
                <w:rFonts w:cs="Arial"/>
                <w:b w:val="0"/>
                <w:sz w:val="20"/>
                <w:szCs w:val="20"/>
              </w:rPr>
              <w:t xml:space="preserve"> </w:t>
            </w:r>
          </w:p>
        </w:tc>
        <w:tc>
          <w:tcPr>
            <w:tcW w:w="1474" w:type="pct"/>
            <w:gridSpan w:val="3"/>
            <w:hideMark/>
          </w:tcPr>
          <w:p w:rsidR="00AF2310" w:rsidRPr="00483093" w:rsidRDefault="00AF2310" w:rsidP="00813820">
            <w:pPr>
              <w:pStyle w:val="TableHeading"/>
              <w:jc w:val="center"/>
              <w:rPr>
                <w:rFonts w:cs="Arial"/>
                <w:b w:val="0"/>
                <w:sz w:val="20"/>
                <w:szCs w:val="20"/>
              </w:rPr>
            </w:pPr>
            <w:r w:rsidRPr="00483093">
              <w:rPr>
                <w:rFonts w:cs="Arial"/>
                <w:b w:val="0"/>
                <w:sz w:val="20"/>
                <w:szCs w:val="20"/>
              </w:rPr>
              <w:t>Price ($/MWh)</w:t>
            </w:r>
          </w:p>
        </w:tc>
        <w:tc>
          <w:tcPr>
            <w:tcW w:w="1495" w:type="pct"/>
            <w:gridSpan w:val="3"/>
            <w:hideMark/>
          </w:tcPr>
          <w:p w:rsidR="00AF2310" w:rsidRPr="00483093" w:rsidRDefault="00AF2310" w:rsidP="00813820">
            <w:pPr>
              <w:pStyle w:val="TableHeading"/>
              <w:jc w:val="center"/>
              <w:rPr>
                <w:rFonts w:cs="Arial"/>
                <w:b w:val="0"/>
                <w:sz w:val="20"/>
                <w:szCs w:val="20"/>
              </w:rPr>
            </w:pPr>
            <w:r w:rsidRPr="00483093">
              <w:rPr>
                <w:rFonts w:cs="Arial"/>
                <w:b w:val="0"/>
                <w:sz w:val="20"/>
                <w:szCs w:val="20"/>
              </w:rPr>
              <w:t>Demand (MW)</w:t>
            </w:r>
          </w:p>
        </w:tc>
        <w:tc>
          <w:tcPr>
            <w:tcW w:w="1495" w:type="pct"/>
            <w:gridSpan w:val="3"/>
            <w:hideMark/>
          </w:tcPr>
          <w:p w:rsidR="00AF2310" w:rsidRPr="00483093" w:rsidRDefault="00AF2310" w:rsidP="00813820">
            <w:pPr>
              <w:pStyle w:val="TableHeading"/>
              <w:jc w:val="center"/>
              <w:rPr>
                <w:rFonts w:cs="Arial"/>
                <w:b w:val="0"/>
                <w:sz w:val="20"/>
                <w:szCs w:val="20"/>
              </w:rPr>
            </w:pPr>
            <w:r w:rsidRPr="00483093">
              <w:rPr>
                <w:rFonts w:cs="Arial"/>
                <w:b w:val="0"/>
                <w:sz w:val="20"/>
                <w:szCs w:val="20"/>
              </w:rPr>
              <w:t>Availability (MW)</w:t>
            </w:r>
          </w:p>
        </w:tc>
      </w:tr>
      <w:tr w:rsidR="00AF2310" w:rsidRPr="00AF2310" w:rsidTr="00813820">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 </w:t>
            </w:r>
          </w:p>
        </w:tc>
        <w:tc>
          <w:tcPr>
            <w:tcW w:w="47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4 hr forecast</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AF2310" w:rsidRPr="00483093" w:rsidRDefault="00AF2310" w:rsidP="00483093">
            <w:pPr>
              <w:pStyle w:val="TableHeading"/>
              <w:jc w:val="center"/>
              <w:rPr>
                <w:rFonts w:cs="Arial"/>
                <w:b w:val="0"/>
                <w:sz w:val="20"/>
                <w:szCs w:val="20"/>
              </w:rPr>
            </w:pPr>
            <w:r w:rsidRPr="00483093">
              <w:rPr>
                <w:rFonts w:cs="Arial"/>
                <w:b w:val="0"/>
                <w:sz w:val="20"/>
                <w:szCs w:val="20"/>
              </w:rPr>
              <w:t>12 hr forecast</w:t>
            </w:r>
          </w:p>
        </w:tc>
      </w:tr>
      <w:tr w:rsidR="00AF2310" w:rsidRPr="004406A5" w:rsidTr="00813820">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AF2310" w:rsidRPr="00483093" w:rsidRDefault="00AF2310" w:rsidP="00813820">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NSW</w:t>
            </w:r>
          </w:p>
        </w:tc>
        <w:tc>
          <w:tcPr>
            <w:tcW w:w="47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271.46</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299.80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299.80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9130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8840</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8950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10 239</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10 223</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10 450</w:t>
            </w:r>
          </w:p>
        </w:tc>
      </w:tr>
      <w:tr w:rsidR="00AF2310" w:rsidRPr="004406A5" w:rsidTr="00813820">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AF2310" w:rsidRPr="00483093" w:rsidRDefault="00483093" w:rsidP="00813820">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VIC</w:t>
            </w:r>
          </w:p>
        </w:tc>
        <w:tc>
          <w:tcPr>
            <w:tcW w:w="47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258.57</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277.30</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278.61</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6128</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6318</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6156</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8688</w:t>
            </w:r>
          </w:p>
        </w:tc>
        <w:tc>
          <w:tcPr>
            <w:tcW w:w="498"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8851</w:t>
            </w:r>
          </w:p>
        </w:tc>
        <w:tc>
          <w:tcPr>
            <w:tcW w:w="499" w:type="pct"/>
            <w:vAlign w:val="center"/>
          </w:tcPr>
          <w:p w:rsidR="00AF2310" w:rsidRPr="00483093" w:rsidRDefault="00AF2310">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8770</w:t>
            </w:r>
          </w:p>
        </w:tc>
      </w:tr>
    </w:tbl>
    <w:p w:rsidR="00FD29EE" w:rsidRPr="00CD5E5A" w:rsidRDefault="000F3A2E" w:rsidP="00CD5E5A">
      <w:pPr>
        <w:pStyle w:val="AERbodytext"/>
      </w:pPr>
      <w:r w:rsidRPr="000F3A2E">
        <w:t xml:space="preserve">Prices were </w:t>
      </w:r>
      <w:r w:rsidR="00E2682F">
        <w:t xml:space="preserve">close to forecast and </w:t>
      </w:r>
      <w:r w:rsidR="008506E9">
        <w:t xml:space="preserve">aligned between </w:t>
      </w:r>
      <w:r w:rsidR="00E2682F">
        <w:t>the</w:t>
      </w:r>
      <w:r w:rsidR="008506E9">
        <w:t xml:space="preserve"> two regions</w:t>
      </w:r>
      <w:r w:rsidR="003A2678">
        <w:t>.</w:t>
      </w:r>
    </w:p>
    <w:p w:rsidR="0046418A" w:rsidRPr="00E2682F" w:rsidRDefault="0022519F" w:rsidP="0046418A">
      <w:pPr>
        <w:pStyle w:val="AERHeading3"/>
        <w:keepNext/>
        <w:rPr>
          <w:color w:val="auto"/>
        </w:rPr>
      </w:pPr>
      <w:r w:rsidRPr="00E2682F">
        <w:rPr>
          <w:color w:val="auto"/>
        </w:rPr>
        <w:t>Mainland</w:t>
      </w:r>
    </w:p>
    <w:p w:rsidR="00CD5E5A" w:rsidRPr="00CD5E5A" w:rsidRDefault="00CD5E5A" w:rsidP="00CD5E5A">
      <w:pPr>
        <w:pStyle w:val="AERbodytext"/>
      </w:pPr>
      <w:r>
        <w:t>There were two oc</w:t>
      </w:r>
      <w:r w:rsidR="0022519F">
        <w:t xml:space="preserve">casions where the spot price on the mainland </w:t>
      </w:r>
      <w:r>
        <w:t>was aligned and above $250/MWh.</w:t>
      </w:r>
    </w:p>
    <w:p w:rsidR="006E4FEB" w:rsidRDefault="006E4FEB">
      <w:pPr>
        <w:spacing w:line="240" w:lineRule="auto"/>
        <w:rPr>
          <w:rFonts w:eastAsia="Times New Roman" w:cs="Times New Roman"/>
          <w:b/>
          <w:bCs/>
          <w:color w:val="51626F"/>
          <w:sz w:val="24"/>
          <w:szCs w:val="20"/>
        </w:rPr>
      </w:pPr>
      <w:r>
        <w:rPr>
          <w:rFonts w:eastAsia="Times New Roman" w:cs="Times New Roman"/>
          <w:color w:val="51626F"/>
          <w:szCs w:val="20"/>
        </w:rPr>
        <w:br w:type="page"/>
      </w:r>
    </w:p>
    <w:p w:rsidR="0046418A" w:rsidRPr="008506E9" w:rsidRDefault="008506E9" w:rsidP="008506E9">
      <w:pPr>
        <w:pStyle w:val="Caption"/>
        <w:rPr>
          <w:rFonts w:eastAsia="Times New Roman" w:cs="Times New Roman"/>
          <w:color w:val="51626F"/>
          <w:szCs w:val="20"/>
        </w:rPr>
      </w:pPr>
      <w:r w:rsidRPr="008506E9">
        <w:rPr>
          <w:rFonts w:eastAsia="Times New Roman" w:cs="Times New Roman"/>
          <w:color w:val="51626F"/>
          <w:szCs w:val="20"/>
        </w:rPr>
        <w:lastRenderedPageBreak/>
        <w:t>Thursday, 14 April</w:t>
      </w:r>
    </w:p>
    <w:p w:rsidR="008506E9" w:rsidRPr="00415696" w:rsidRDefault="008506E9" w:rsidP="008506E9">
      <w:pPr>
        <w:pStyle w:val="Caption"/>
        <w:rPr>
          <w:noProof/>
        </w:rPr>
      </w:pPr>
      <w:r w:rsidRPr="00415696">
        <w:rPr>
          <w:noProof/>
        </w:rPr>
        <w:t xml:space="preserve">Table </w:t>
      </w:r>
      <w:r w:rsidRPr="00415696">
        <w:rPr>
          <w:noProof/>
        </w:rPr>
        <w:fldChar w:fldCharType="begin"/>
      </w:r>
      <w:r w:rsidRPr="00415696">
        <w:rPr>
          <w:noProof/>
        </w:rPr>
        <w:instrText xml:space="preserve"> SEQ Table \* ARABIC </w:instrText>
      </w:r>
      <w:r w:rsidRPr="00415696">
        <w:rPr>
          <w:noProof/>
        </w:rPr>
        <w:fldChar w:fldCharType="separate"/>
      </w:r>
      <w:r w:rsidR="00CD5E5A" w:rsidRPr="00415696">
        <w:rPr>
          <w:noProof/>
        </w:rPr>
        <w:t>8</w:t>
      </w:r>
      <w:r w:rsidRPr="00415696">
        <w:rPr>
          <w:noProof/>
        </w:rPr>
        <w:fldChar w:fldCharType="end"/>
      </w:r>
      <w:r w:rsidRPr="00415696">
        <w:rPr>
          <w:noProof/>
        </w:rPr>
        <w:t>: Price, Demand and Availability, 7 am</w:t>
      </w:r>
    </w:p>
    <w:tbl>
      <w:tblPr>
        <w:tblStyle w:val="AERsummarytable2"/>
        <w:tblW w:w="5000" w:type="pct"/>
        <w:tblLayout w:type="fixed"/>
        <w:tblLook w:val="04A0" w:firstRow="1" w:lastRow="0" w:firstColumn="1" w:lastColumn="0" w:noHBand="0" w:noVBand="1"/>
      </w:tblPr>
      <w:tblGrid>
        <w:gridCol w:w="1101"/>
        <w:gridCol w:w="848"/>
        <w:gridCol w:w="843"/>
        <w:gridCol w:w="922"/>
        <w:gridCol w:w="921"/>
        <w:gridCol w:w="921"/>
        <w:gridCol w:w="922"/>
        <w:gridCol w:w="921"/>
        <w:gridCol w:w="921"/>
        <w:gridCol w:w="922"/>
      </w:tblGrid>
      <w:tr w:rsidR="0046418A" w:rsidRPr="001D56E4" w:rsidTr="00655774">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46418A" w:rsidRPr="00483093" w:rsidRDefault="0046418A" w:rsidP="00655774">
            <w:pPr>
              <w:pStyle w:val="TableHeading"/>
              <w:jc w:val="center"/>
              <w:rPr>
                <w:rFonts w:cs="Arial"/>
                <w:b w:val="0"/>
                <w:sz w:val="20"/>
                <w:szCs w:val="20"/>
              </w:rPr>
            </w:pPr>
            <w:r w:rsidRPr="00483093">
              <w:rPr>
                <w:rFonts w:cs="Arial"/>
                <w:b w:val="0"/>
                <w:sz w:val="20"/>
                <w:szCs w:val="20"/>
              </w:rPr>
              <w:t xml:space="preserve">Region </w:t>
            </w:r>
          </w:p>
        </w:tc>
        <w:tc>
          <w:tcPr>
            <w:tcW w:w="1414" w:type="pct"/>
            <w:gridSpan w:val="3"/>
            <w:hideMark/>
          </w:tcPr>
          <w:p w:rsidR="0046418A" w:rsidRPr="00483093" w:rsidRDefault="0046418A" w:rsidP="00655774">
            <w:pPr>
              <w:pStyle w:val="TableHeading"/>
              <w:jc w:val="center"/>
              <w:rPr>
                <w:rFonts w:cs="Arial"/>
                <w:b w:val="0"/>
                <w:sz w:val="20"/>
                <w:szCs w:val="20"/>
              </w:rPr>
            </w:pPr>
            <w:r w:rsidRPr="00483093">
              <w:rPr>
                <w:rFonts w:cs="Arial"/>
                <w:b w:val="0"/>
                <w:sz w:val="20"/>
                <w:szCs w:val="20"/>
              </w:rPr>
              <w:t>Price ($/MWh)</w:t>
            </w:r>
          </w:p>
        </w:tc>
        <w:tc>
          <w:tcPr>
            <w:tcW w:w="1495" w:type="pct"/>
            <w:gridSpan w:val="3"/>
            <w:hideMark/>
          </w:tcPr>
          <w:p w:rsidR="0046418A" w:rsidRPr="00483093" w:rsidRDefault="0046418A" w:rsidP="00655774">
            <w:pPr>
              <w:pStyle w:val="TableHeading"/>
              <w:jc w:val="center"/>
              <w:rPr>
                <w:rFonts w:cs="Arial"/>
                <w:b w:val="0"/>
                <w:sz w:val="20"/>
                <w:szCs w:val="20"/>
              </w:rPr>
            </w:pPr>
            <w:r w:rsidRPr="00483093">
              <w:rPr>
                <w:rFonts w:cs="Arial"/>
                <w:b w:val="0"/>
                <w:sz w:val="20"/>
                <w:szCs w:val="20"/>
              </w:rPr>
              <w:t>Demand (MW)</w:t>
            </w:r>
          </w:p>
        </w:tc>
        <w:tc>
          <w:tcPr>
            <w:tcW w:w="1495" w:type="pct"/>
            <w:gridSpan w:val="3"/>
            <w:hideMark/>
          </w:tcPr>
          <w:p w:rsidR="0046418A" w:rsidRPr="00483093" w:rsidRDefault="0046418A" w:rsidP="00655774">
            <w:pPr>
              <w:pStyle w:val="TableHeading"/>
              <w:jc w:val="center"/>
              <w:rPr>
                <w:rFonts w:cs="Arial"/>
                <w:b w:val="0"/>
                <w:sz w:val="20"/>
                <w:szCs w:val="20"/>
              </w:rPr>
            </w:pPr>
            <w:r w:rsidRPr="00483093">
              <w:rPr>
                <w:rFonts w:cs="Arial"/>
                <w:b w:val="0"/>
                <w:sz w:val="20"/>
                <w:szCs w:val="20"/>
              </w:rPr>
              <w:t>Availability (MW)</w:t>
            </w:r>
          </w:p>
        </w:tc>
      </w:tr>
      <w:tr w:rsidR="0046418A" w:rsidRPr="001D56E4" w:rsidTr="00655774">
        <w:trPr>
          <w:cnfStyle w:val="100000000000" w:firstRow="1" w:lastRow="0" w:firstColumn="0" w:lastColumn="0" w:oddVBand="0" w:evenVBand="0" w:oddHBand="0" w:evenHBand="0" w:firstRowFirstColumn="0" w:firstRowLastColumn="0" w:lastRowFirstColumn="0" w:lastRowLastColumn="0"/>
          <w:tblHeader/>
        </w:trPr>
        <w:tc>
          <w:tcPr>
            <w:tcW w:w="596"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 </w:t>
            </w:r>
          </w:p>
        </w:tc>
        <w:tc>
          <w:tcPr>
            <w:tcW w:w="459"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Actual</w:t>
            </w:r>
          </w:p>
        </w:tc>
        <w:tc>
          <w:tcPr>
            <w:tcW w:w="456"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46418A" w:rsidRPr="00483093" w:rsidRDefault="0046418A" w:rsidP="00483093">
            <w:pPr>
              <w:pStyle w:val="TableHeading"/>
              <w:jc w:val="center"/>
              <w:rPr>
                <w:rFonts w:cs="Arial"/>
                <w:b w:val="0"/>
                <w:sz w:val="20"/>
                <w:szCs w:val="20"/>
              </w:rPr>
            </w:pPr>
            <w:r w:rsidRPr="00483093">
              <w:rPr>
                <w:rFonts w:cs="Arial"/>
                <w:b w:val="0"/>
                <w:sz w:val="20"/>
                <w:szCs w:val="20"/>
              </w:rPr>
              <w:t>12 hr forecast</w:t>
            </w:r>
          </w:p>
        </w:tc>
      </w:tr>
      <w:tr w:rsidR="0046418A" w:rsidRPr="0046418A" w:rsidTr="00655774">
        <w:trPr>
          <w:cnfStyle w:val="000000100000" w:firstRow="0" w:lastRow="0" w:firstColumn="0" w:lastColumn="0" w:oddVBand="0" w:evenVBand="0" w:oddHBand="1" w:evenHBand="0" w:firstRowFirstColumn="0" w:firstRowLastColumn="0" w:lastRowFirstColumn="0" w:lastRowLastColumn="0"/>
          <w:trHeight w:val="510"/>
        </w:trPr>
        <w:tc>
          <w:tcPr>
            <w:tcW w:w="596" w:type="pct"/>
            <w:vAlign w:val="center"/>
          </w:tcPr>
          <w:p w:rsidR="0046418A" w:rsidRPr="00483093" w:rsidRDefault="00483093" w:rsidP="00655774">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QLD</w:t>
            </w:r>
          </w:p>
        </w:tc>
        <w:tc>
          <w:tcPr>
            <w:tcW w:w="459"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302.71</w:t>
            </w:r>
          </w:p>
        </w:tc>
        <w:tc>
          <w:tcPr>
            <w:tcW w:w="456"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286.43</w:t>
            </w:r>
          </w:p>
        </w:tc>
        <w:tc>
          <w:tcPr>
            <w:tcW w:w="499"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74.75</w:t>
            </w:r>
          </w:p>
        </w:tc>
        <w:tc>
          <w:tcPr>
            <w:tcW w:w="498"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6306</w:t>
            </w:r>
          </w:p>
        </w:tc>
        <w:tc>
          <w:tcPr>
            <w:tcW w:w="498"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6212</w:t>
            </w:r>
          </w:p>
        </w:tc>
        <w:tc>
          <w:tcPr>
            <w:tcW w:w="499"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6188</w:t>
            </w:r>
          </w:p>
        </w:tc>
        <w:tc>
          <w:tcPr>
            <w:tcW w:w="498"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9387</w:t>
            </w:r>
          </w:p>
        </w:tc>
        <w:tc>
          <w:tcPr>
            <w:tcW w:w="498"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9474</w:t>
            </w:r>
          </w:p>
        </w:tc>
        <w:tc>
          <w:tcPr>
            <w:tcW w:w="499" w:type="pct"/>
            <w:vAlign w:val="center"/>
          </w:tcPr>
          <w:p w:rsidR="0046418A" w:rsidRPr="00483093" w:rsidRDefault="0046418A" w:rsidP="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9529</w:t>
            </w:r>
          </w:p>
        </w:tc>
      </w:tr>
      <w:tr w:rsidR="0046418A" w:rsidRPr="0046418A" w:rsidTr="00655774">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46418A" w:rsidRPr="00483093" w:rsidRDefault="0046418A" w:rsidP="00655774">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NSW</w:t>
            </w:r>
          </w:p>
        </w:tc>
        <w:tc>
          <w:tcPr>
            <w:tcW w:w="45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299.60</w:t>
            </w:r>
          </w:p>
        </w:tc>
        <w:tc>
          <w:tcPr>
            <w:tcW w:w="456"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289.81</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76.21</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7403</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7259</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7265</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9822</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9853</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9841</w:t>
            </w:r>
          </w:p>
        </w:tc>
      </w:tr>
      <w:tr w:rsidR="0046418A" w:rsidRPr="0046418A" w:rsidTr="00655774">
        <w:trPr>
          <w:cnfStyle w:val="000000100000" w:firstRow="0" w:lastRow="0" w:firstColumn="0" w:lastColumn="0" w:oddVBand="0" w:evenVBand="0" w:oddHBand="1" w:evenHBand="0" w:firstRowFirstColumn="0" w:firstRowLastColumn="0" w:lastRowFirstColumn="0" w:lastRowLastColumn="0"/>
          <w:trHeight w:val="510"/>
        </w:trPr>
        <w:tc>
          <w:tcPr>
            <w:tcW w:w="596" w:type="pct"/>
            <w:vAlign w:val="center"/>
          </w:tcPr>
          <w:p w:rsidR="0046418A" w:rsidRPr="00483093" w:rsidRDefault="00483093" w:rsidP="00655774">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VIC</w:t>
            </w:r>
          </w:p>
        </w:tc>
        <w:tc>
          <w:tcPr>
            <w:tcW w:w="45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272.37</w:t>
            </w:r>
          </w:p>
        </w:tc>
        <w:tc>
          <w:tcPr>
            <w:tcW w:w="456"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273.68</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70.61</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5240</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5376</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5212</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8510</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8529</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8533</w:t>
            </w:r>
          </w:p>
        </w:tc>
      </w:tr>
      <w:tr w:rsidR="0046418A" w:rsidRPr="0046418A" w:rsidTr="00655774">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46418A" w:rsidRPr="00483093" w:rsidRDefault="0046418A" w:rsidP="00655774">
            <w:pPr>
              <w:pStyle w:val="NormalWeb"/>
              <w:jc w:val="center"/>
              <w:rPr>
                <w:rFonts w:ascii="Arial" w:eastAsiaTheme="minorHAnsi" w:hAnsi="Arial" w:cs="Arial"/>
                <w:b/>
                <w:sz w:val="18"/>
                <w:szCs w:val="22"/>
                <w:lang w:eastAsia="en-US"/>
              </w:rPr>
            </w:pPr>
            <w:r w:rsidRPr="00483093">
              <w:rPr>
                <w:rFonts w:ascii="Arial" w:eastAsiaTheme="minorHAnsi" w:hAnsi="Arial" w:cs="Arial"/>
                <w:b/>
                <w:sz w:val="18"/>
                <w:szCs w:val="22"/>
                <w:lang w:eastAsia="en-US"/>
              </w:rPr>
              <w:t>SA</w:t>
            </w:r>
          </w:p>
        </w:tc>
        <w:tc>
          <w:tcPr>
            <w:tcW w:w="45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265.24</w:t>
            </w:r>
          </w:p>
        </w:tc>
        <w:tc>
          <w:tcPr>
            <w:tcW w:w="456"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265.62</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72.39</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1364</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1369</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1372</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2159</w:t>
            </w:r>
          </w:p>
        </w:tc>
        <w:tc>
          <w:tcPr>
            <w:tcW w:w="498"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2176</w:t>
            </w:r>
          </w:p>
        </w:tc>
        <w:tc>
          <w:tcPr>
            <w:tcW w:w="499" w:type="pct"/>
            <w:vAlign w:val="center"/>
          </w:tcPr>
          <w:p w:rsidR="0046418A" w:rsidRPr="00483093" w:rsidRDefault="0046418A">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2174</w:t>
            </w:r>
          </w:p>
        </w:tc>
      </w:tr>
    </w:tbl>
    <w:p w:rsidR="0046418A" w:rsidRPr="008506E9" w:rsidRDefault="00067853" w:rsidP="00CD5E5A">
      <w:pPr>
        <w:pStyle w:val="AERbodytext"/>
      </w:pPr>
      <w:r w:rsidRPr="00067853">
        <w:t>Prices</w:t>
      </w:r>
      <w:r w:rsidR="00A114A7">
        <w:t xml:space="preserve"> were</w:t>
      </w:r>
      <w:r w:rsidR="0022519F">
        <w:t xml:space="preserve"> close to forecast that forecast four</w:t>
      </w:r>
      <w:r w:rsidRPr="00067853">
        <w:t xml:space="preserve"> hours ahead. </w:t>
      </w:r>
    </w:p>
    <w:p w:rsidR="00655774" w:rsidRPr="00415696" w:rsidRDefault="008506E9" w:rsidP="00415696">
      <w:pPr>
        <w:pStyle w:val="Caption"/>
        <w:rPr>
          <w:rFonts w:eastAsia="Times New Roman" w:cs="Times New Roman"/>
          <w:color w:val="51626F"/>
          <w:szCs w:val="20"/>
        </w:rPr>
      </w:pPr>
      <w:r w:rsidRPr="00415696">
        <w:rPr>
          <w:rFonts w:eastAsia="Times New Roman" w:cs="Times New Roman"/>
          <w:color w:val="51626F"/>
          <w:szCs w:val="20"/>
        </w:rPr>
        <w:t xml:space="preserve">Friday, </w:t>
      </w:r>
      <w:r w:rsidR="00655774" w:rsidRPr="00415696">
        <w:rPr>
          <w:rFonts w:eastAsia="Times New Roman" w:cs="Times New Roman"/>
          <w:color w:val="51626F"/>
          <w:szCs w:val="20"/>
        </w:rPr>
        <w:t>15 April</w:t>
      </w:r>
    </w:p>
    <w:p w:rsidR="008506E9" w:rsidRPr="00415696" w:rsidRDefault="008506E9" w:rsidP="008506E9">
      <w:pPr>
        <w:pStyle w:val="Caption"/>
        <w:rPr>
          <w:noProof/>
        </w:rPr>
      </w:pPr>
      <w:r w:rsidRPr="00415696">
        <w:rPr>
          <w:noProof/>
        </w:rPr>
        <w:t xml:space="preserve">Table </w:t>
      </w:r>
      <w:r w:rsidRPr="00415696">
        <w:rPr>
          <w:noProof/>
        </w:rPr>
        <w:fldChar w:fldCharType="begin"/>
      </w:r>
      <w:r w:rsidRPr="00415696">
        <w:rPr>
          <w:noProof/>
        </w:rPr>
        <w:instrText xml:space="preserve"> SEQ Table \* ARABIC </w:instrText>
      </w:r>
      <w:r w:rsidRPr="00415696">
        <w:rPr>
          <w:noProof/>
        </w:rPr>
        <w:fldChar w:fldCharType="separate"/>
      </w:r>
      <w:r w:rsidR="00CD5E5A" w:rsidRPr="00415696">
        <w:rPr>
          <w:noProof/>
        </w:rPr>
        <w:t>9</w:t>
      </w:r>
      <w:r w:rsidRPr="00415696">
        <w:rPr>
          <w:noProof/>
        </w:rPr>
        <w:fldChar w:fldCharType="end"/>
      </w:r>
      <w:r w:rsidRPr="00415696">
        <w:rPr>
          <w:noProof/>
        </w:rPr>
        <w:t>: Price, Demand and Availability, 11.30 pm</w:t>
      </w:r>
    </w:p>
    <w:tbl>
      <w:tblPr>
        <w:tblStyle w:val="AERsummarytable2"/>
        <w:tblW w:w="5000" w:type="pct"/>
        <w:tblLayout w:type="fixed"/>
        <w:tblLook w:val="04A0" w:firstRow="1" w:lastRow="0" w:firstColumn="1" w:lastColumn="0" w:noHBand="0" w:noVBand="1"/>
      </w:tblPr>
      <w:tblGrid>
        <w:gridCol w:w="1101"/>
        <w:gridCol w:w="848"/>
        <w:gridCol w:w="843"/>
        <w:gridCol w:w="922"/>
        <w:gridCol w:w="921"/>
        <w:gridCol w:w="921"/>
        <w:gridCol w:w="922"/>
        <w:gridCol w:w="921"/>
        <w:gridCol w:w="921"/>
        <w:gridCol w:w="922"/>
      </w:tblGrid>
      <w:tr w:rsidR="00655774" w:rsidRPr="001D56E4" w:rsidTr="00655774">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655774" w:rsidRPr="00483093" w:rsidRDefault="00655774" w:rsidP="00655774">
            <w:pPr>
              <w:pStyle w:val="TableHeading"/>
              <w:jc w:val="center"/>
              <w:rPr>
                <w:rFonts w:cs="Arial"/>
                <w:b w:val="0"/>
                <w:sz w:val="20"/>
                <w:szCs w:val="20"/>
              </w:rPr>
            </w:pPr>
            <w:r w:rsidRPr="00483093">
              <w:rPr>
                <w:rFonts w:cs="Arial"/>
                <w:b w:val="0"/>
                <w:sz w:val="20"/>
                <w:szCs w:val="20"/>
              </w:rPr>
              <w:t xml:space="preserve">Region </w:t>
            </w:r>
          </w:p>
        </w:tc>
        <w:tc>
          <w:tcPr>
            <w:tcW w:w="1414" w:type="pct"/>
            <w:gridSpan w:val="3"/>
            <w:hideMark/>
          </w:tcPr>
          <w:p w:rsidR="00655774" w:rsidRPr="00483093" w:rsidRDefault="00655774" w:rsidP="00655774">
            <w:pPr>
              <w:pStyle w:val="TableHeading"/>
              <w:jc w:val="center"/>
              <w:rPr>
                <w:rFonts w:cs="Arial"/>
                <w:b w:val="0"/>
                <w:sz w:val="20"/>
                <w:szCs w:val="20"/>
              </w:rPr>
            </w:pPr>
            <w:r w:rsidRPr="00483093">
              <w:rPr>
                <w:rFonts w:cs="Arial"/>
                <w:b w:val="0"/>
                <w:sz w:val="20"/>
                <w:szCs w:val="20"/>
              </w:rPr>
              <w:t>Price ($/MWh)</w:t>
            </w:r>
          </w:p>
        </w:tc>
        <w:tc>
          <w:tcPr>
            <w:tcW w:w="1495" w:type="pct"/>
            <w:gridSpan w:val="3"/>
            <w:hideMark/>
          </w:tcPr>
          <w:p w:rsidR="00655774" w:rsidRPr="00483093" w:rsidRDefault="00655774" w:rsidP="00655774">
            <w:pPr>
              <w:pStyle w:val="TableHeading"/>
              <w:jc w:val="center"/>
              <w:rPr>
                <w:rFonts w:cs="Arial"/>
                <w:b w:val="0"/>
                <w:sz w:val="20"/>
                <w:szCs w:val="20"/>
              </w:rPr>
            </w:pPr>
            <w:r w:rsidRPr="00483093">
              <w:rPr>
                <w:rFonts w:cs="Arial"/>
                <w:b w:val="0"/>
                <w:sz w:val="20"/>
                <w:szCs w:val="20"/>
              </w:rPr>
              <w:t>Demand (MW)</w:t>
            </w:r>
          </w:p>
        </w:tc>
        <w:tc>
          <w:tcPr>
            <w:tcW w:w="1495" w:type="pct"/>
            <w:gridSpan w:val="3"/>
            <w:hideMark/>
          </w:tcPr>
          <w:p w:rsidR="00655774" w:rsidRPr="00483093" w:rsidRDefault="00655774" w:rsidP="00655774">
            <w:pPr>
              <w:pStyle w:val="TableHeading"/>
              <w:jc w:val="center"/>
              <w:rPr>
                <w:rFonts w:cs="Arial"/>
                <w:b w:val="0"/>
                <w:sz w:val="20"/>
                <w:szCs w:val="20"/>
              </w:rPr>
            </w:pPr>
            <w:r w:rsidRPr="00483093">
              <w:rPr>
                <w:rFonts w:cs="Arial"/>
                <w:b w:val="0"/>
                <w:sz w:val="20"/>
                <w:szCs w:val="20"/>
              </w:rPr>
              <w:t>Availability (MW)</w:t>
            </w:r>
          </w:p>
        </w:tc>
      </w:tr>
      <w:tr w:rsidR="00655774" w:rsidRPr="001D56E4" w:rsidTr="00655774">
        <w:trPr>
          <w:cnfStyle w:val="100000000000" w:firstRow="1" w:lastRow="0" w:firstColumn="0" w:lastColumn="0" w:oddVBand="0" w:evenVBand="0" w:oddHBand="0" w:evenHBand="0" w:firstRowFirstColumn="0" w:firstRowLastColumn="0" w:lastRowFirstColumn="0" w:lastRowLastColumn="0"/>
          <w:tblHeader/>
        </w:trPr>
        <w:tc>
          <w:tcPr>
            <w:tcW w:w="596" w:type="pct"/>
            <w:tcMar>
              <w:left w:w="57" w:type="dxa"/>
              <w:right w:w="57" w:type="dxa"/>
            </w:tcMar>
            <w:hideMark/>
          </w:tcPr>
          <w:p w:rsidR="00655774" w:rsidRPr="00483093" w:rsidRDefault="00655774" w:rsidP="00483093">
            <w:pPr>
              <w:pStyle w:val="NormalWeb"/>
              <w:jc w:val="center"/>
              <w:rPr>
                <w:rFonts w:ascii="Arial" w:eastAsiaTheme="minorHAnsi" w:hAnsi="Arial" w:cs="Arial"/>
                <w:b w:val="0"/>
                <w:color w:val="auto"/>
                <w:sz w:val="20"/>
                <w:szCs w:val="22"/>
                <w:lang w:eastAsia="en-US"/>
                <w14:numSpacing w14:val="default"/>
              </w:rPr>
            </w:pPr>
            <w:r w:rsidRPr="00483093">
              <w:rPr>
                <w:rFonts w:ascii="Arial" w:eastAsiaTheme="minorHAnsi" w:hAnsi="Arial" w:cs="Arial"/>
                <w:b w:val="0"/>
                <w:color w:val="auto"/>
                <w:sz w:val="20"/>
                <w:szCs w:val="22"/>
                <w:lang w:eastAsia="en-US"/>
                <w14:numSpacing w14:val="default"/>
              </w:rPr>
              <w:t> </w:t>
            </w:r>
          </w:p>
        </w:tc>
        <w:tc>
          <w:tcPr>
            <w:tcW w:w="459"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Actual</w:t>
            </w:r>
          </w:p>
        </w:tc>
        <w:tc>
          <w:tcPr>
            <w:tcW w:w="456"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12 hr forecast</w:t>
            </w:r>
          </w:p>
        </w:tc>
        <w:tc>
          <w:tcPr>
            <w:tcW w:w="498"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Actual</w:t>
            </w:r>
          </w:p>
        </w:tc>
        <w:tc>
          <w:tcPr>
            <w:tcW w:w="498"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4 hr forecast</w:t>
            </w:r>
          </w:p>
        </w:tc>
        <w:tc>
          <w:tcPr>
            <w:tcW w:w="499" w:type="pct"/>
            <w:tcMar>
              <w:left w:w="57" w:type="dxa"/>
              <w:right w:w="57" w:type="dxa"/>
            </w:tcMar>
            <w:hideMark/>
          </w:tcPr>
          <w:p w:rsidR="00655774" w:rsidRPr="00483093" w:rsidRDefault="00655774" w:rsidP="00483093">
            <w:pPr>
              <w:pStyle w:val="TableHeading"/>
              <w:jc w:val="center"/>
              <w:rPr>
                <w:rFonts w:cs="Arial"/>
                <w:b w:val="0"/>
                <w:sz w:val="20"/>
                <w:szCs w:val="20"/>
              </w:rPr>
            </w:pPr>
            <w:r w:rsidRPr="00483093">
              <w:rPr>
                <w:rFonts w:cs="Arial"/>
                <w:b w:val="0"/>
                <w:sz w:val="20"/>
                <w:szCs w:val="20"/>
              </w:rPr>
              <w:t>12 hr forecast</w:t>
            </w:r>
          </w:p>
        </w:tc>
      </w:tr>
      <w:tr w:rsidR="00655774" w:rsidRPr="0046418A" w:rsidTr="00655774">
        <w:trPr>
          <w:cnfStyle w:val="000000100000" w:firstRow="0" w:lastRow="0" w:firstColumn="0" w:lastColumn="0" w:oddVBand="0" w:evenVBand="0" w:oddHBand="1" w:evenHBand="0" w:firstRowFirstColumn="0" w:firstRowLastColumn="0" w:lastRowFirstColumn="0" w:lastRowLastColumn="0"/>
          <w:trHeight w:val="510"/>
        </w:trPr>
        <w:tc>
          <w:tcPr>
            <w:tcW w:w="596" w:type="pct"/>
            <w:vAlign w:val="center"/>
          </w:tcPr>
          <w:p w:rsidR="00655774" w:rsidRPr="00483093" w:rsidRDefault="00655774" w:rsidP="00655774">
            <w:pPr>
              <w:pStyle w:val="NormalWeb"/>
              <w:jc w:val="center"/>
              <w:rPr>
                <w:rFonts w:ascii="Arial" w:eastAsiaTheme="minorHAnsi" w:hAnsi="Arial" w:cs="Arial"/>
                <w:b/>
                <w:sz w:val="20"/>
                <w:szCs w:val="22"/>
                <w:lang w:eastAsia="en-US"/>
              </w:rPr>
            </w:pPr>
            <w:r w:rsidRPr="00483093">
              <w:rPr>
                <w:rFonts w:ascii="Arial" w:eastAsiaTheme="minorHAnsi" w:hAnsi="Arial" w:cs="Arial"/>
                <w:b/>
                <w:sz w:val="20"/>
                <w:szCs w:val="22"/>
                <w:lang w:eastAsia="en-US"/>
              </w:rPr>
              <w:t>Qld</w:t>
            </w:r>
          </w:p>
        </w:tc>
        <w:tc>
          <w:tcPr>
            <w:tcW w:w="45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259.64</w:t>
            </w:r>
          </w:p>
        </w:tc>
        <w:tc>
          <w:tcPr>
            <w:tcW w:w="456"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197.12</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74.75</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5961</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5941</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5941</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9486</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9442</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9490</w:t>
            </w:r>
          </w:p>
        </w:tc>
      </w:tr>
      <w:tr w:rsidR="00655774" w:rsidRPr="0046418A" w:rsidTr="00655774">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655774" w:rsidRPr="00483093" w:rsidRDefault="00655774" w:rsidP="00655774">
            <w:pPr>
              <w:pStyle w:val="NormalWeb"/>
              <w:jc w:val="center"/>
              <w:rPr>
                <w:rFonts w:ascii="Arial" w:eastAsiaTheme="minorHAnsi" w:hAnsi="Arial" w:cs="Arial"/>
                <w:b/>
                <w:sz w:val="20"/>
                <w:szCs w:val="22"/>
                <w:lang w:eastAsia="en-US"/>
              </w:rPr>
            </w:pPr>
            <w:r w:rsidRPr="00483093">
              <w:rPr>
                <w:rFonts w:ascii="Arial" w:eastAsiaTheme="minorHAnsi" w:hAnsi="Arial" w:cs="Arial"/>
                <w:b/>
                <w:sz w:val="20"/>
                <w:szCs w:val="22"/>
                <w:lang w:eastAsia="en-US"/>
              </w:rPr>
              <w:t>NSW</w:t>
            </w:r>
          </w:p>
        </w:tc>
        <w:tc>
          <w:tcPr>
            <w:tcW w:w="45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279.53</w:t>
            </w:r>
          </w:p>
        </w:tc>
        <w:tc>
          <w:tcPr>
            <w:tcW w:w="456"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205.76</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72.06</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7454</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7503</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7462</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9390</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9322</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9742</w:t>
            </w:r>
          </w:p>
        </w:tc>
      </w:tr>
      <w:tr w:rsidR="00655774" w:rsidRPr="0046418A" w:rsidTr="00655774">
        <w:trPr>
          <w:cnfStyle w:val="000000100000" w:firstRow="0" w:lastRow="0" w:firstColumn="0" w:lastColumn="0" w:oddVBand="0" w:evenVBand="0" w:oddHBand="1" w:evenHBand="0" w:firstRowFirstColumn="0" w:firstRowLastColumn="0" w:lastRowFirstColumn="0" w:lastRowLastColumn="0"/>
          <w:trHeight w:val="510"/>
        </w:trPr>
        <w:tc>
          <w:tcPr>
            <w:tcW w:w="596" w:type="pct"/>
            <w:vAlign w:val="center"/>
          </w:tcPr>
          <w:p w:rsidR="00655774" w:rsidRPr="00483093" w:rsidRDefault="00655774" w:rsidP="00655774">
            <w:pPr>
              <w:pStyle w:val="NormalWeb"/>
              <w:jc w:val="center"/>
              <w:rPr>
                <w:rFonts w:ascii="Arial" w:eastAsiaTheme="minorHAnsi" w:hAnsi="Arial" w:cs="Arial"/>
                <w:b/>
                <w:sz w:val="20"/>
                <w:szCs w:val="22"/>
                <w:lang w:eastAsia="en-US"/>
              </w:rPr>
            </w:pPr>
            <w:r w:rsidRPr="00483093">
              <w:rPr>
                <w:rFonts w:ascii="Arial" w:eastAsiaTheme="minorHAnsi" w:hAnsi="Arial" w:cs="Arial"/>
                <w:b/>
                <w:sz w:val="20"/>
                <w:szCs w:val="22"/>
                <w:lang w:eastAsia="en-US"/>
              </w:rPr>
              <w:t>Vic</w:t>
            </w:r>
          </w:p>
        </w:tc>
        <w:tc>
          <w:tcPr>
            <w:tcW w:w="45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260.45</w:t>
            </w:r>
          </w:p>
        </w:tc>
        <w:tc>
          <w:tcPr>
            <w:tcW w:w="456"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178.14</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61.84</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5137</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5058</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5017</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8731</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8729</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9035</w:t>
            </w:r>
          </w:p>
        </w:tc>
      </w:tr>
      <w:tr w:rsidR="00655774" w:rsidRPr="0046418A" w:rsidTr="00655774">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655774" w:rsidRPr="00483093" w:rsidRDefault="00655774" w:rsidP="00655774">
            <w:pPr>
              <w:pStyle w:val="NormalWeb"/>
              <w:jc w:val="center"/>
              <w:rPr>
                <w:rFonts w:ascii="Arial" w:eastAsiaTheme="minorHAnsi" w:hAnsi="Arial" w:cs="Arial"/>
                <w:b/>
                <w:sz w:val="20"/>
                <w:szCs w:val="22"/>
                <w:lang w:eastAsia="en-US"/>
              </w:rPr>
            </w:pPr>
            <w:r w:rsidRPr="00483093">
              <w:rPr>
                <w:rFonts w:ascii="Arial" w:eastAsiaTheme="minorHAnsi" w:hAnsi="Arial" w:cs="Arial"/>
                <w:b/>
                <w:sz w:val="20"/>
                <w:szCs w:val="22"/>
                <w:lang w:eastAsia="en-US"/>
              </w:rPr>
              <w:t>SA</w:t>
            </w:r>
          </w:p>
        </w:tc>
        <w:tc>
          <w:tcPr>
            <w:tcW w:w="45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286.55</w:t>
            </w:r>
          </w:p>
        </w:tc>
        <w:tc>
          <w:tcPr>
            <w:tcW w:w="456"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178.34</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64.99</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1322</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1355</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1364</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2137</w:t>
            </w:r>
          </w:p>
        </w:tc>
        <w:tc>
          <w:tcPr>
            <w:tcW w:w="498"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2224</w:t>
            </w:r>
          </w:p>
        </w:tc>
        <w:tc>
          <w:tcPr>
            <w:tcW w:w="499" w:type="pct"/>
            <w:vAlign w:val="center"/>
          </w:tcPr>
          <w:p w:rsidR="00655774" w:rsidRPr="00483093" w:rsidRDefault="00655774">
            <w:pPr>
              <w:pStyle w:val="NormalWeb"/>
              <w:jc w:val="center"/>
              <w:rPr>
                <w:rFonts w:ascii="Arial" w:eastAsiaTheme="minorHAnsi" w:hAnsi="Arial" w:cs="Arial"/>
                <w:sz w:val="18"/>
                <w:szCs w:val="22"/>
                <w:lang w:eastAsia="en-US"/>
              </w:rPr>
            </w:pPr>
            <w:r w:rsidRPr="00483093">
              <w:rPr>
                <w:rFonts w:ascii="Arial" w:eastAsiaTheme="minorHAnsi" w:hAnsi="Arial" w:cs="Arial"/>
                <w:sz w:val="18"/>
                <w:szCs w:val="22"/>
                <w:lang w:eastAsia="en-US"/>
              </w:rPr>
              <w:t>2245</w:t>
            </w:r>
          </w:p>
        </w:tc>
      </w:tr>
    </w:tbl>
    <w:p w:rsidR="00FD29EE" w:rsidRPr="00302C27" w:rsidRDefault="008506E9" w:rsidP="00CD5E5A">
      <w:pPr>
        <w:pStyle w:val="AERbodytext"/>
      </w:pPr>
      <w:r w:rsidRPr="008506E9">
        <w:t>Overall</w:t>
      </w:r>
      <w:r w:rsidR="00A13F44">
        <w:t>,</w:t>
      </w:r>
      <w:r w:rsidRPr="008506E9">
        <w:t xml:space="preserve"> demand and availability were close to forecast </w:t>
      </w:r>
      <w:r w:rsidR="00B11C03">
        <w:t xml:space="preserve">on the mainland </w:t>
      </w:r>
      <w:r w:rsidRPr="008506E9">
        <w:t xml:space="preserve">four hours ahead. </w:t>
      </w:r>
      <w:r w:rsidR="006E4FEB">
        <w:t xml:space="preserve">Prices were aligned across these regions for much of the trading interval. </w:t>
      </w:r>
      <w:r w:rsidR="00A13F44">
        <w:t>P</w:t>
      </w:r>
      <w:r w:rsidR="00302C27" w:rsidRPr="00302C27">
        <w:t xml:space="preserve">rices </w:t>
      </w:r>
      <w:r w:rsidR="00A13F44">
        <w:t xml:space="preserve">were </w:t>
      </w:r>
      <w:r w:rsidR="006E4FEB">
        <w:t xml:space="preserve">slightly higher than forecast four hours ahead as a result of rebidding by Queensland participants at around 9.15 pm. </w:t>
      </w:r>
    </w:p>
    <w:p w:rsidR="0046418A" w:rsidRDefault="0046418A" w:rsidP="00CD5E5A">
      <w:pPr>
        <w:pStyle w:val="AERbodytext"/>
        <w:rPr>
          <w:highlight w:val="yellow"/>
        </w:rPr>
      </w:pPr>
    </w:p>
    <w:p w:rsidR="0046418A" w:rsidRPr="00FD29EE" w:rsidRDefault="0046418A" w:rsidP="00CD5E5A">
      <w:pPr>
        <w:pStyle w:val="AERbodytext"/>
        <w:rPr>
          <w:highlight w:val="yellow"/>
        </w:rPr>
        <w:sectPr w:rsidR="0046418A" w:rsidRPr="00FD29EE" w:rsidSect="003C7164">
          <w:pgSz w:w="11906" w:h="16838"/>
          <w:pgMar w:top="993" w:right="1440" w:bottom="851" w:left="1440" w:header="708" w:footer="89" w:gutter="0"/>
          <w:cols w:space="708"/>
          <w:titlePg/>
          <w:docGrid w:linePitch="360"/>
        </w:sectPr>
      </w:pP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895878">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fldSimple w:instr=" SEQ Figure \* ARABIC ">
        <w:r w:rsidR="00895878">
          <w:rPr>
            <w:noProof/>
          </w:rPr>
          <w:t>9</w:t>
        </w:r>
      </w:fldSimple>
      <w:bookmarkEnd w:id="21"/>
      <w:r w:rsidR="002515C3">
        <w:t>:</w:t>
      </w:r>
      <w:r>
        <w:t xml:space="preserve"> </w:t>
      </w:r>
      <w:r w:rsidRPr="007A6ACB">
        <w:t>Quarterly base future prices Q</w:t>
      </w:r>
      <w:r w:rsidR="005316B7">
        <w:t>2</w:t>
      </w:r>
      <w:r w:rsidR="00C4712A">
        <w:t xml:space="preserve"> 2016</w:t>
      </w:r>
      <w:r w:rsidRPr="007A6ACB">
        <w:t xml:space="preserve"> – Q</w:t>
      </w:r>
      <w:r w:rsidR="005316B7">
        <w:t>1</w:t>
      </w:r>
      <w:r w:rsidRPr="007A6ACB">
        <w:t xml:space="preserve"> 20</w:t>
      </w:r>
      <w:r w:rsidR="005316B7">
        <w:t>20</w:t>
      </w:r>
    </w:p>
    <w:p w:rsidR="00CA0ECB" w:rsidRPr="00037EB9" w:rsidRDefault="00264A45" w:rsidP="00783D4E">
      <w:pPr>
        <w:spacing w:before="0" w:after="120" w:line="240" w:lineRule="auto"/>
        <w:rPr>
          <w:sz w:val="16"/>
          <w:szCs w:val="16"/>
        </w:rPr>
      </w:pPr>
      <w:r w:rsidRPr="00264A45">
        <w:rPr>
          <w:noProof/>
          <w:lang w:eastAsia="en-AU"/>
        </w:rPr>
        <w:drawing>
          <wp:inline distT="0" distB="0" distL="0" distR="0" wp14:anchorId="19B0B8EF" wp14:editId="2BB3679E">
            <wp:extent cx="5731510" cy="2887842"/>
            <wp:effectExtent l="0" t="0" r="2540" b="8255"/>
            <wp:docPr id="12" name="Picture 12"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r w:rsidR="00275002" w:rsidRPr="00A64EBB">
        <w:rPr>
          <w:sz w:val="16"/>
          <w:szCs w:val="16"/>
        </w:rPr>
        <w:t>Source</w:t>
      </w:r>
      <w:r w:rsidR="00F72F41">
        <w:rPr>
          <w:sz w:val="16"/>
          <w:szCs w:val="16"/>
        </w:rPr>
        <w:t>.</w:t>
      </w:r>
      <w:r w:rsidR="00275002" w:rsidRPr="00A64EBB">
        <w:rPr>
          <w:sz w:val="16"/>
          <w:szCs w:val="16"/>
        </w:rPr>
        <w:t xml:space="preserve"> </w:t>
      </w:r>
      <w:hyperlink r:id="rId24"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895878">
        <w:t xml:space="preserve">Figure </w:t>
      </w:r>
      <w:r w:rsidR="00895878">
        <w:rPr>
          <w:noProof/>
        </w:rPr>
        <w:t>10</w:t>
      </w:r>
      <w:r>
        <w:fldChar w:fldCharType="end"/>
      </w:r>
      <w:r>
        <w:t xml:space="preserve"> </w:t>
      </w:r>
      <w:r w:rsidRPr="0031019A">
        <w:t>shows how the price for each regional Quarter 1 201</w:t>
      </w:r>
      <w:r w:rsidR="00844638">
        <w:t>7</w:t>
      </w:r>
      <w:r w:rsidRPr="0031019A">
        <w:t xml:space="preserve"> base contract has changed over the last 10 weeks (as well as the total number of trades each week). The closing quarter 1 201</w:t>
      </w:r>
      <w:r w:rsidR="00844638">
        <w:t>5</w:t>
      </w:r>
      <w:r w:rsidRPr="0031019A">
        <w:t xml:space="preserve"> and quarter 1 201</w:t>
      </w:r>
      <w:r w:rsidR="00844638">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fldSimple w:instr=" SEQ Figure \* ARABIC ">
        <w:r w:rsidR="00895878">
          <w:rPr>
            <w:noProof/>
          </w:rPr>
          <w:t>10</w:t>
        </w:r>
      </w:fldSimple>
      <w:bookmarkEnd w:id="22"/>
      <w:r w:rsidR="002515C3">
        <w:t>:</w:t>
      </w:r>
      <w:r w:rsidRPr="00DF093A">
        <w:t xml:space="preserve"> Price of Q1 201</w:t>
      </w:r>
      <w:r w:rsidR="00844638">
        <w:t>7</w:t>
      </w:r>
      <w:r w:rsidRPr="00DF093A">
        <w:t xml:space="preserve"> base contracts over the past 10 weeks (and the past 2 years)</w:t>
      </w:r>
    </w:p>
    <w:p w:rsidR="00275002" w:rsidRPr="0031019A" w:rsidRDefault="00264A45" w:rsidP="00783D4E">
      <w:pPr>
        <w:pStyle w:val="Source"/>
        <w:spacing w:before="0" w:after="120" w:line="240" w:lineRule="auto"/>
      </w:pPr>
      <w:r w:rsidRPr="00264A45">
        <w:rPr>
          <w:noProof/>
          <w:lang w:eastAsia="en-AU"/>
        </w:rPr>
        <w:drawing>
          <wp:inline distT="0" distB="0" distL="0" distR="0" wp14:anchorId="1C9AD41E" wp14:editId="7AC853D1">
            <wp:extent cx="5731510" cy="2901820"/>
            <wp:effectExtent l="0" t="0" r="2540" b="0"/>
            <wp:docPr id="13" name="Picture 1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7"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895878">
        <w:t xml:space="preserve">Figure </w:t>
      </w:r>
      <w:r w:rsidR="00895878">
        <w:rPr>
          <w:noProof/>
        </w:rPr>
        <w:t>11</w:t>
      </w:r>
      <w:r>
        <w:fldChar w:fldCharType="end"/>
      </w:r>
      <w:r>
        <w:t xml:space="preserve"> </w:t>
      </w:r>
      <w:r w:rsidR="00275002" w:rsidRPr="0031019A">
        <w:t>shows how the price for each regional Quarter 1 201</w:t>
      </w:r>
      <w:r w:rsidR="005316B7">
        <w:t>7</w:t>
      </w:r>
      <w:r w:rsidR="00275002" w:rsidRPr="0031019A">
        <w:t xml:space="preserve"> cap contract has changed over the last 10 weeks (as well as the total number of trades each week). The closing quarter 1 201</w:t>
      </w:r>
      <w:r w:rsidR="005316B7">
        <w:t>5</w:t>
      </w:r>
      <w:r w:rsidR="00275002" w:rsidRPr="0031019A">
        <w:t xml:space="preserve"> and quarter 1 201</w:t>
      </w:r>
      <w:r w:rsidR="005316B7">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895878">
          <w:rPr>
            <w:noProof/>
          </w:rPr>
          <w:t>11</w:t>
        </w:r>
      </w:fldSimple>
      <w:bookmarkEnd w:id="23"/>
      <w:r w:rsidR="002515C3">
        <w:t>:</w:t>
      </w:r>
      <w:r w:rsidRPr="0074419D">
        <w:t xml:space="preserve"> Price of Q1 201</w:t>
      </w:r>
      <w:r w:rsidR="005316B7">
        <w:t>7</w:t>
      </w:r>
      <w:r w:rsidRPr="0074419D">
        <w:t xml:space="preserve"> cap contracts over the past 10 weeks (and the past 2 years)</w:t>
      </w:r>
      <w:bookmarkEnd w:id="24"/>
    </w:p>
    <w:p w:rsidR="000D4350" w:rsidRDefault="00264A45" w:rsidP="00037EB9">
      <w:pPr>
        <w:pStyle w:val="Source"/>
        <w:spacing w:before="0" w:after="0" w:line="240" w:lineRule="auto"/>
      </w:pPr>
      <w:r w:rsidRPr="00264A45">
        <w:rPr>
          <w:noProof/>
          <w:lang w:eastAsia="en-AU"/>
        </w:rPr>
        <w:drawing>
          <wp:inline distT="0" distB="0" distL="0" distR="0" wp14:anchorId="72447FB8" wp14:editId="48E4AD5B">
            <wp:extent cx="5731510" cy="2873998"/>
            <wp:effectExtent l="0" t="0" r="2540" b="3175"/>
            <wp:docPr id="14" name="Picture 14"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r w:rsidR="00275002" w:rsidRPr="002A7439">
        <w:t>Source</w:t>
      </w:r>
      <w:r w:rsidR="00F72F41">
        <w:t>.</w:t>
      </w:r>
      <w:r w:rsidR="00275002" w:rsidRPr="002A7439">
        <w:t xml:space="preserve"> </w:t>
      </w:r>
      <w:hyperlink r:id="rId29"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9C2571">
        <w:t>May</w:t>
      </w:r>
      <w:r w:rsidR="004D5447" w:rsidRPr="00D92E07">
        <w:t xml:space="preserve"> </w:t>
      </w:r>
      <w:r w:rsidR="00C4712A" w:rsidRPr="00D92E07">
        <w:t>2016</w:t>
      </w:r>
    </w:p>
    <w:sectPr w:rsidR="00275002" w:rsidRPr="009F2CAC" w:rsidSect="00562EF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F1" w:rsidRDefault="001F34F1" w:rsidP="004B4412">
      <w:pPr>
        <w:spacing w:before="0"/>
      </w:pPr>
      <w:r>
        <w:separator/>
      </w:r>
    </w:p>
  </w:endnote>
  <w:endnote w:type="continuationSeparator" w:id="0">
    <w:p w:rsidR="001F34F1" w:rsidRDefault="001F34F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1" w:rsidRPr="00A91A9E" w:rsidRDefault="001F34F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F34F1" w:rsidRDefault="001F34F1"/>
  <w:p w:rsidR="001F34F1" w:rsidRDefault="001F34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1" w:rsidRPr="00A94D89" w:rsidRDefault="001F34F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14B8D">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1" w:rsidRPr="00A94D89" w:rsidRDefault="001F34F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14B8D">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D16/50511</w:t>
    </w:r>
  </w:p>
  <w:p w:rsidR="001F34F1" w:rsidRDefault="001F34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F1" w:rsidRDefault="001F34F1" w:rsidP="004B4412">
      <w:pPr>
        <w:spacing w:before="0"/>
      </w:pPr>
      <w:r>
        <w:separator/>
      </w:r>
    </w:p>
  </w:footnote>
  <w:footnote w:type="continuationSeparator" w:id="0">
    <w:p w:rsidR="001F34F1" w:rsidRDefault="001F34F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auret\Desktop\20160410 - 20160416 electricity report.docx"/>
  </w:docVars>
  <w:rsids>
    <w:rsidRoot w:val="00275002"/>
    <w:rsid w:val="00000817"/>
    <w:rsid w:val="00000BFE"/>
    <w:rsid w:val="00000CC3"/>
    <w:rsid w:val="00003169"/>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08B1"/>
    <w:rsid w:val="000312E6"/>
    <w:rsid w:val="000316E7"/>
    <w:rsid w:val="00033902"/>
    <w:rsid w:val="0003564D"/>
    <w:rsid w:val="0003578C"/>
    <w:rsid w:val="00035A9A"/>
    <w:rsid w:val="00037A6F"/>
    <w:rsid w:val="00037EB9"/>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67853"/>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64C"/>
    <w:rsid w:val="000B3C8A"/>
    <w:rsid w:val="000C0472"/>
    <w:rsid w:val="000D122C"/>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E24"/>
    <w:rsid w:val="000F1956"/>
    <w:rsid w:val="000F1D61"/>
    <w:rsid w:val="000F3A2E"/>
    <w:rsid w:val="000F56F6"/>
    <w:rsid w:val="000F5855"/>
    <w:rsid w:val="000F6FA7"/>
    <w:rsid w:val="000F77D6"/>
    <w:rsid w:val="00100142"/>
    <w:rsid w:val="00102B64"/>
    <w:rsid w:val="00105281"/>
    <w:rsid w:val="00105AF3"/>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37EF"/>
    <w:rsid w:val="00133FC8"/>
    <w:rsid w:val="00134BD7"/>
    <w:rsid w:val="00136716"/>
    <w:rsid w:val="00136A08"/>
    <w:rsid w:val="001373F1"/>
    <w:rsid w:val="001435CC"/>
    <w:rsid w:val="001436FC"/>
    <w:rsid w:val="001450FB"/>
    <w:rsid w:val="0014511E"/>
    <w:rsid w:val="00145982"/>
    <w:rsid w:val="00145ACE"/>
    <w:rsid w:val="00151F61"/>
    <w:rsid w:val="001539E0"/>
    <w:rsid w:val="0015451B"/>
    <w:rsid w:val="00155113"/>
    <w:rsid w:val="0015602B"/>
    <w:rsid w:val="001566F6"/>
    <w:rsid w:val="001573E4"/>
    <w:rsid w:val="00160756"/>
    <w:rsid w:val="00162584"/>
    <w:rsid w:val="00164658"/>
    <w:rsid w:val="00164FB1"/>
    <w:rsid w:val="00165247"/>
    <w:rsid w:val="00165C87"/>
    <w:rsid w:val="001666AA"/>
    <w:rsid w:val="00166BD2"/>
    <w:rsid w:val="00167E1B"/>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2441"/>
    <w:rsid w:val="001926A4"/>
    <w:rsid w:val="00193ED7"/>
    <w:rsid w:val="001A2C0A"/>
    <w:rsid w:val="001A3CDA"/>
    <w:rsid w:val="001B0C3B"/>
    <w:rsid w:val="001B2363"/>
    <w:rsid w:val="001B3ABC"/>
    <w:rsid w:val="001B45A0"/>
    <w:rsid w:val="001B4A7D"/>
    <w:rsid w:val="001B684F"/>
    <w:rsid w:val="001B6C15"/>
    <w:rsid w:val="001C027D"/>
    <w:rsid w:val="001C13CD"/>
    <w:rsid w:val="001C17B3"/>
    <w:rsid w:val="001C1BC0"/>
    <w:rsid w:val="001C2EE8"/>
    <w:rsid w:val="001C5EF2"/>
    <w:rsid w:val="001C6748"/>
    <w:rsid w:val="001D055E"/>
    <w:rsid w:val="001D0C65"/>
    <w:rsid w:val="001D0CE3"/>
    <w:rsid w:val="001D3A5B"/>
    <w:rsid w:val="001D56E4"/>
    <w:rsid w:val="001D5BEB"/>
    <w:rsid w:val="001D60FF"/>
    <w:rsid w:val="001D7698"/>
    <w:rsid w:val="001D7FB7"/>
    <w:rsid w:val="001E01B4"/>
    <w:rsid w:val="001E14C2"/>
    <w:rsid w:val="001E2F01"/>
    <w:rsid w:val="001E4665"/>
    <w:rsid w:val="001E48B3"/>
    <w:rsid w:val="001E5AEE"/>
    <w:rsid w:val="001E6FDD"/>
    <w:rsid w:val="001F03EF"/>
    <w:rsid w:val="001F0EC9"/>
    <w:rsid w:val="001F1548"/>
    <w:rsid w:val="001F1B78"/>
    <w:rsid w:val="001F22EE"/>
    <w:rsid w:val="001F2577"/>
    <w:rsid w:val="001F34F1"/>
    <w:rsid w:val="001F3530"/>
    <w:rsid w:val="001F492E"/>
    <w:rsid w:val="001F6DA3"/>
    <w:rsid w:val="001F7575"/>
    <w:rsid w:val="00201136"/>
    <w:rsid w:val="0020132A"/>
    <w:rsid w:val="00201C06"/>
    <w:rsid w:val="002025B7"/>
    <w:rsid w:val="00203300"/>
    <w:rsid w:val="0020376D"/>
    <w:rsid w:val="0020489F"/>
    <w:rsid w:val="002050F5"/>
    <w:rsid w:val="002062A9"/>
    <w:rsid w:val="002065C6"/>
    <w:rsid w:val="002072A2"/>
    <w:rsid w:val="00207D5B"/>
    <w:rsid w:val="0021147E"/>
    <w:rsid w:val="00212D2F"/>
    <w:rsid w:val="00213CF6"/>
    <w:rsid w:val="00214FBA"/>
    <w:rsid w:val="00215E19"/>
    <w:rsid w:val="002164FB"/>
    <w:rsid w:val="00216865"/>
    <w:rsid w:val="00217C29"/>
    <w:rsid w:val="002214D9"/>
    <w:rsid w:val="002216F5"/>
    <w:rsid w:val="00224DB9"/>
    <w:rsid w:val="00224EE7"/>
    <w:rsid w:val="0022519F"/>
    <w:rsid w:val="002276F0"/>
    <w:rsid w:val="00227C97"/>
    <w:rsid w:val="00230D26"/>
    <w:rsid w:val="00231C73"/>
    <w:rsid w:val="00232A71"/>
    <w:rsid w:val="00232FBD"/>
    <w:rsid w:val="002338A0"/>
    <w:rsid w:val="00237048"/>
    <w:rsid w:val="00237839"/>
    <w:rsid w:val="00240AA4"/>
    <w:rsid w:val="002427B3"/>
    <w:rsid w:val="00242C25"/>
    <w:rsid w:val="00243347"/>
    <w:rsid w:val="002438D9"/>
    <w:rsid w:val="00245913"/>
    <w:rsid w:val="00247473"/>
    <w:rsid w:val="00250859"/>
    <w:rsid w:val="002515C3"/>
    <w:rsid w:val="002516A1"/>
    <w:rsid w:val="00251745"/>
    <w:rsid w:val="00251C37"/>
    <w:rsid w:val="00251D74"/>
    <w:rsid w:val="00260FBF"/>
    <w:rsid w:val="00262F65"/>
    <w:rsid w:val="00263AC0"/>
    <w:rsid w:val="002649D2"/>
    <w:rsid w:val="002649D8"/>
    <w:rsid w:val="00264A45"/>
    <w:rsid w:val="00265486"/>
    <w:rsid w:val="0026772D"/>
    <w:rsid w:val="00270A51"/>
    <w:rsid w:val="00270AF4"/>
    <w:rsid w:val="0027318A"/>
    <w:rsid w:val="00275002"/>
    <w:rsid w:val="00275927"/>
    <w:rsid w:val="002762EA"/>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605"/>
    <w:rsid w:val="002D484E"/>
    <w:rsid w:val="002D4A1F"/>
    <w:rsid w:val="002E29A0"/>
    <w:rsid w:val="002E6254"/>
    <w:rsid w:val="002E64AB"/>
    <w:rsid w:val="002F02A4"/>
    <w:rsid w:val="002F22FD"/>
    <w:rsid w:val="002F2481"/>
    <w:rsid w:val="002F3D02"/>
    <w:rsid w:val="002F4F34"/>
    <w:rsid w:val="002F7986"/>
    <w:rsid w:val="00300C0B"/>
    <w:rsid w:val="00302C27"/>
    <w:rsid w:val="00302D83"/>
    <w:rsid w:val="003061FA"/>
    <w:rsid w:val="003062C2"/>
    <w:rsid w:val="00306DD8"/>
    <w:rsid w:val="00307F6D"/>
    <w:rsid w:val="003105F5"/>
    <w:rsid w:val="0031318F"/>
    <w:rsid w:val="003153EB"/>
    <w:rsid w:val="003177A2"/>
    <w:rsid w:val="00317A81"/>
    <w:rsid w:val="00321853"/>
    <w:rsid w:val="00322300"/>
    <w:rsid w:val="00323CE7"/>
    <w:rsid w:val="003243B4"/>
    <w:rsid w:val="003271B5"/>
    <w:rsid w:val="003274A9"/>
    <w:rsid w:val="0032770E"/>
    <w:rsid w:val="00331264"/>
    <w:rsid w:val="00332F5D"/>
    <w:rsid w:val="00334C8D"/>
    <w:rsid w:val="00336D50"/>
    <w:rsid w:val="003375A4"/>
    <w:rsid w:val="003401B9"/>
    <w:rsid w:val="00341169"/>
    <w:rsid w:val="00342870"/>
    <w:rsid w:val="00343BF7"/>
    <w:rsid w:val="00346F05"/>
    <w:rsid w:val="003518B3"/>
    <w:rsid w:val="00351FDC"/>
    <w:rsid w:val="00352DA8"/>
    <w:rsid w:val="00354887"/>
    <w:rsid w:val="00354A9E"/>
    <w:rsid w:val="0035522A"/>
    <w:rsid w:val="00355CDD"/>
    <w:rsid w:val="00355D1A"/>
    <w:rsid w:val="00355D2F"/>
    <w:rsid w:val="00356706"/>
    <w:rsid w:val="00356E72"/>
    <w:rsid w:val="00361CCB"/>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95B4C"/>
    <w:rsid w:val="003A0810"/>
    <w:rsid w:val="003A0CB8"/>
    <w:rsid w:val="003A1F17"/>
    <w:rsid w:val="003A2678"/>
    <w:rsid w:val="003A3E2D"/>
    <w:rsid w:val="003A41E0"/>
    <w:rsid w:val="003A431D"/>
    <w:rsid w:val="003A4B6B"/>
    <w:rsid w:val="003A7DC0"/>
    <w:rsid w:val="003B0D56"/>
    <w:rsid w:val="003B282E"/>
    <w:rsid w:val="003B40ED"/>
    <w:rsid w:val="003B4804"/>
    <w:rsid w:val="003B4D9B"/>
    <w:rsid w:val="003B6F90"/>
    <w:rsid w:val="003C0710"/>
    <w:rsid w:val="003C24A9"/>
    <w:rsid w:val="003C2B22"/>
    <w:rsid w:val="003C2BC1"/>
    <w:rsid w:val="003C30E5"/>
    <w:rsid w:val="003C3C98"/>
    <w:rsid w:val="003C62E9"/>
    <w:rsid w:val="003C7164"/>
    <w:rsid w:val="003C7EFA"/>
    <w:rsid w:val="003D5258"/>
    <w:rsid w:val="003E1341"/>
    <w:rsid w:val="003E3C33"/>
    <w:rsid w:val="003E47DC"/>
    <w:rsid w:val="003E521D"/>
    <w:rsid w:val="003E74FF"/>
    <w:rsid w:val="003E78A9"/>
    <w:rsid w:val="003F004E"/>
    <w:rsid w:val="003F0289"/>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4B8D"/>
    <w:rsid w:val="00415696"/>
    <w:rsid w:val="00415788"/>
    <w:rsid w:val="004157C0"/>
    <w:rsid w:val="00416641"/>
    <w:rsid w:val="0042429B"/>
    <w:rsid w:val="00424809"/>
    <w:rsid w:val="004253D6"/>
    <w:rsid w:val="004303EE"/>
    <w:rsid w:val="00436F76"/>
    <w:rsid w:val="004406A5"/>
    <w:rsid w:val="00440D85"/>
    <w:rsid w:val="00441A99"/>
    <w:rsid w:val="00442767"/>
    <w:rsid w:val="00444A48"/>
    <w:rsid w:val="00450611"/>
    <w:rsid w:val="0045129B"/>
    <w:rsid w:val="00456C20"/>
    <w:rsid w:val="00462CFF"/>
    <w:rsid w:val="0046418A"/>
    <w:rsid w:val="00465210"/>
    <w:rsid w:val="00470AF4"/>
    <w:rsid w:val="00470EE9"/>
    <w:rsid w:val="0047130B"/>
    <w:rsid w:val="00471992"/>
    <w:rsid w:val="00471E68"/>
    <w:rsid w:val="0047346C"/>
    <w:rsid w:val="00477821"/>
    <w:rsid w:val="0048018F"/>
    <w:rsid w:val="00480B4B"/>
    <w:rsid w:val="00480DA9"/>
    <w:rsid w:val="00483093"/>
    <w:rsid w:val="004831F8"/>
    <w:rsid w:val="00485752"/>
    <w:rsid w:val="00485DC4"/>
    <w:rsid w:val="00487C10"/>
    <w:rsid w:val="004923CD"/>
    <w:rsid w:val="00492A06"/>
    <w:rsid w:val="00493B02"/>
    <w:rsid w:val="00494036"/>
    <w:rsid w:val="00495574"/>
    <w:rsid w:val="0049751C"/>
    <w:rsid w:val="004A0AB5"/>
    <w:rsid w:val="004A1061"/>
    <w:rsid w:val="004A1184"/>
    <w:rsid w:val="004A2770"/>
    <w:rsid w:val="004A364A"/>
    <w:rsid w:val="004B104F"/>
    <w:rsid w:val="004B1708"/>
    <w:rsid w:val="004B231C"/>
    <w:rsid w:val="004B42A7"/>
    <w:rsid w:val="004B4412"/>
    <w:rsid w:val="004B5B3F"/>
    <w:rsid w:val="004C28B2"/>
    <w:rsid w:val="004C348C"/>
    <w:rsid w:val="004C63B9"/>
    <w:rsid w:val="004C6486"/>
    <w:rsid w:val="004C68E0"/>
    <w:rsid w:val="004C6C5B"/>
    <w:rsid w:val="004D1774"/>
    <w:rsid w:val="004D4A76"/>
    <w:rsid w:val="004D5447"/>
    <w:rsid w:val="004D55BA"/>
    <w:rsid w:val="004E1B1C"/>
    <w:rsid w:val="004E1E95"/>
    <w:rsid w:val="004E34E7"/>
    <w:rsid w:val="004E4142"/>
    <w:rsid w:val="004E6AFC"/>
    <w:rsid w:val="004E7D10"/>
    <w:rsid w:val="004F171D"/>
    <w:rsid w:val="004F18F3"/>
    <w:rsid w:val="004F6D0A"/>
    <w:rsid w:val="004F6ED0"/>
    <w:rsid w:val="00501B85"/>
    <w:rsid w:val="0050244E"/>
    <w:rsid w:val="00502843"/>
    <w:rsid w:val="00502BE8"/>
    <w:rsid w:val="00502D42"/>
    <w:rsid w:val="005033F6"/>
    <w:rsid w:val="005047F1"/>
    <w:rsid w:val="00505B5E"/>
    <w:rsid w:val="005177C0"/>
    <w:rsid w:val="00522360"/>
    <w:rsid w:val="00522486"/>
    <w:rsid w:val="00522668"/>
    <w:rsid w:val="00523AD2"/>
    <w:rsid w:val="00524513"/>
    <w:rsid w:val="00527551"/>
    <w:rsid w:val="005279B6"/>
    <w:rsid w:val="00530128"/>
    <w:rsid w:val="00530657"/>
    <w:rsid w:val="005316B7"/>
    <w:rsid w:val="005323B2"/>
    <w:rsid w:val="00532467"/>
    <w:rsid w:val="0053491C"/>
    <w:rsid w:val="0053611E"/>
    <w:rsid w:val="0054102B"/>
    <w:rsid w:val="0054173F"/>
    <w:rsid w:val="00541761"/>
    <w:rsid w:val="0054254C"/>
    <w:rsid w:val="00543945"/>
    <w:rsid w:val="00543BEC"/>
    <w:rsid w:val="00544C6F"/>
    <w:rsid w:val="00547DC4"/>
    <w:rsid w:val="005502E7"/>
    <w:rsid w:val="00551739"/>
    <w:rsid w:val="00552DA2"/>
    <w:rsid w:val="00555667"/>
    <w:rsid w:val="005556B9"/>
    <w:rsid w:val="00556B64"/>
    <w:rsid w:val="005575B9"/>
    <w:rsid w:val="00560CE5"/>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A1287"/>
    <w:rsid w:val="005A1339"/>
    <w:rsid w:val="005A3B2C"/>
    <w:rsid w:val="005A3F7E"/>
    <w:rsid w:val="005A404D"/>
    <w:rsid w:val="005A5657"/>
    <w:rsid w:val="005A6CB0"/>
    <w:rsid w:val="005A6F22"/>
    <w:rsid w:val="005A731B"/>
    <w:rsid w:val="005B0461"/>
    <w:rsid w:val="005B0EF5"/>
    <w:rsid w:val="005B1402"/>
    <w:rsid w:val="005B1E3C"/>
    <w:rsid w:val="005B47FA"/>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BA0"/>
    <w:rsid w:val="00612006"/>
    <w:rsid w:val="00613324"/>
    <w:rsid w:val="00613DEC"/>
    <w:rsid w:val="00615619"/>
    <w:rsid w:val="00615C6B"/>
    <w:rsid w:val="00616CEC"/>
    <w:rsid w:val="00620B1B"/>
    <w:rsid w:val="00621545"/>
    <w:rsid w:val="0062525D"/>
    <w:rsid w:val="00626A3A"/>
    <w:rsid w:val="00626E1A"/>
    <w:rsid w:val="00627B2D"/>
    <w:rsid w:val="0063066D"/>
    <w:rsid w:val="00630A15"/>
    <w:rsid w:val="00631560"/>
    <w:rsid w:val="006319C1"/>
    <w:rsid w:val="00632D6D"/>
    <w:rsid w:val="00634D01"/>
    <w:rsid w:val="0063567F"/>
    <w:rsid w:val="00636936"/>
    <w:rsid w:val="006411E6"/>
    <w:rsid w:val="00642C3E"/>
    <w:rsid w:val="00644F6E"/>
    <w:rsid w:val="006471D4"/>
    <w:rsid w:val="00647804"/>
    <w:rsid w:val="0065049E"/>
    <w:rsid w:val="00651005"/>
    <w:rsid w:val="0065226B"/>
    <w:rsid w:val="0065567D"/>
    <w:rsid w:val="006556AA"/>
    <w:rsid w:val="00655774"/>
    <w:rsid w:val="00656588"/>
    <w:rsid w:val="0065661E"/>
    <w:rsid w:val="006566B8"/>
    <w:rsid w:val="006569A5"/>
    <w:rsid w:val="006573B5"/>
    <w:rsid w:val="00660F82"/>
    <w:rsid w:val="00661F88"/>
    <w:rsid w:val="00663DAD"/>
    <w:rsid w:val="00665ACC"/>
    <w:rsid w:val="00666226"/>
    <w:rsid w:val="0067180B"/>
    <w:rsid w:val="00673D15"/>
    <w:rsid w:val="006741D4"/>
    <w:rsid w:val="00675E21"/>
    <w:rsid w:val="00676679"/>
    <w:rsid w:val="00677233"/>
    <w:rsid w:val="006777D7"/>
    <w:rsid w:val="00686411"/>
    <w:rsid w:val="00687AA8"/>
    <w:rsid w:val="00694FD6"/>
    <w:rsid w:val="006956EC"/>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41C4"/>
    <w:rsid w:val="006C447D"/>
    <w:rsid w:val="006C5B09"/>
    <w:rsid w:val="006C62B7"/>
    <w:rsid w:val="006D0C9D"/>
    <w:rsid w:val="006D1D94"/>
    <w:rsid w:val="006D3561"/>
    <w:rsid w:val="006D38CE"/>
    <w:rsid w:val="006D550F"/>
    <w:rsid w:val="006D5B9F"/>
    <w:rsid w:val="006D6001"/>
    <w:rsid w:val="006D6AE2"/>
    <w:rsid w:val="006D7923"/>
    <w:rsid w:val="006E1E7D"/>
    <w:rsid w:val="006E218F"/>
    <w:rsid w:val="006E244A"/>
    <w:rsid w:val="006E4FEB"/>
    <w:rsid w:val="006E5F3E"/>
    <w:rsid w:val="006E684D"/>
    <w:rsid w:val="006E78CF"/>
    <w:rsid w:val="006F0601"/>
    <w:rsid w:val="006F3750"/>
    <w:rsid w:val="006F393C"/>
    <w:rsid w:val="006F3FCB"/>
    <w:rsid w:val="006F48AA"/>
    <w:rsid w:val="006F4C38"/>
    <w:rsid w:val="006F6C2D"/>
    <w:rsid w:val="00700DAB"/>
    <w:rsid w:val="00701CAB"/>
    <w:rsid w:val="007037F6"/>
    <w:rsid w:val="00704518"/>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C7F"/>
    <w:rsid w:val="00767740"/>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C78"/>
    <w:rsid w:val="00796D6A"/>
    <w:rsid w:val="007A1135"/>
    <w:rsid w:val="007A1428"/>
    <w:rsid w:val="007A1AB0"/>
    <w:rsid w:val="007A33E8"/>
    <w:rsid w:val="007A6656"/>
    <w:rsid w:val="007A7264"/>
    <w:rsid w:val="007B1732"/>
    <w:rsid w:val="007B2AC5"/>
    <w:rsid w:val="007B2C72"/>
    <w:rsid w:val="007B3F68"/>
    <w:rsid w:val="007B497F"/>
    <w:rsid w:val="007B57F8"/>
    <w:rsid w:val="007B742A"/>
    <w:rsid w:val="007B78AB"/>
    <w:rsid w:val="007C1C53"/>
    <w:rsid w:val="007C2EE8"/>
    <w:rsid w:val="007C62FE"/>
    <w:rsid w:val="007D1133"/>
    <w:rsid w:val="007D2028"/>
    <w:rsid w:val="007D47B2"/>
    <w:rsid w:val="007D53A8"/>
    <w:rsid w:val="007D6FC9"/>
    <w:rsid w:val="007E1516"/>
    <w:rsid w:val="007E4904"/>
    <w:rsid w:val="007E4CB5"/>
    <w:rsid w:val="007E5597"/>
    <w:rsid w:val="007E74E0"/>
    <w:rsid w:val="007F066B"/>
    <w:rsid w:val="007F072D"/>
    <w:rsid w:val="007F0F77"/>
    <w:rsid w:val="007F2BBD"/>
    <w:rsid w:val="007F2D03"/>
    <w:rsid w:val="007F3B2C"/>
    <w:rsid w:val="007F475F"/>
    <w:rsid w:val="007F4AB4"/>
    <w:rsid w:val="007F5457"/>
    <w:rsid w:val="008033C4"/>
    <w:rsid w:val="00806C88"/>
    <w:rsid w:val="00807112"/>
    <w:rsid w:val="00807A5C"/>
    <w:rsid w:val="0081034E"/>
    <w:rsid w:val="0081253D"/>
    <w:rsid w:val="00812E7B"/>
    <w:rsid w:val="0081351D"/>
    <w:rsid w:val="00813820"/>
    <w:rsid w:val="00813CE4"/>
    <w:rsid w:val="0081592A"/>
    <w:rsid w:val="008238B2"/>
    <w:rsid w:val="008245E2"/>
    <w:rsid w:val="008257CA"/>
    <w:rsid w:val="00831483"/>
    <w:rsid w:val="008344B4"/>
    <w:rsid w:val="008344F6"/>
    <w:rsid w:val="0083510F"/>
    <w:rsid w:val="008366CD"/>
    <w:rsid w:val="00836890"/>
    <w:rsid w:val="00840C6C"/>
    <w:rsid w:val="00840FCC"/>
    <w:rsid w:val="008432A4"/>
    <w:rsid w:val="008445D3"/>
    <w:rsid w:val="00844638"/>
    <w:rsid w:val="00845396"/>
    <w:rsid w:val="00847ED9"/>
    <w:rsid w:val="008506E9"/>
    <w:rsid w:val="00851209"/>
    <w:rsid w:val="0085188E"/>
    <w:rsid w:val="00851B46"/>
    <w:rsid w:val="00852B3D"/>
    <w:rsid w:val="008556A5"/>
    <w:rsid w:val="00856965"/>
    <w:rsid w:val="00857917"/>
    <w:rsid w:val="00861AED"/>
    <w:rsid w:val="00867506"/>
    <w:rsid w:val="008707C1"/>
    <w:rsid w:val="00870903"/>
    <w:rsid w:val="0087280A"/>
    <w:rsid w:val="0087308C"/>
    <w:rsid w:val="00873B1F"/>
    <w:rsid w:val="0087479D"/>
    <w:rsid w:val="008837AC"/>
    <w:rsid w:val="00884D30"/>
    <w:rsid w:val="00886662"/>
    <w:rsid w:val="00886BAB"/>
    <w:rsid w:val="00886CEC"/>
    <w:rsid w:val="00886FA8"/>
    <w:rsid w:val="00887EBF"/>
    <w:rsid w:val="008909FD"/>
    <w:rsid w:val="008934F4"/>
    <w:rsid w:val="00895878"/>
    <w:rsid w:val="00896C79"/>
    <w:rsid w:val="008A4DB6"/>
    <w:rsid w:val="008A587D"/>
    <w:rsid w:val="008A59AB"/>
    <w:rsid w:val="008A6198"/>
    <w:rsid w:val="008A7580"/>
    <w:rsid w:val="008A7E37"/>
    <w:rsid w:val="008B0D4C"/>
    <w:rsid w:val="008B22BE"/>
    <w:rsid w:val="008B416B"/>
    <w:rsid w:val="008B6DA5"/>
    <w:rsid w:val="008C094A"/>
    <w:rsid w:val="008C1D7C"/>
    <w:rsid w:val="008C1FE0"/>
    <w:rsid w:val="008C4919"/>
    <w:rsid w:val="008C4E0D"/>
    <w:rsid w:val="008C50F7"/>
    <w:rsid w:val="008C5486"/>
    <w:rsid w:val="008C6B16"/>
    <w:rsid w:val="008D21CB"/>
    <w:rsid w:val="008D4E23"/>
    <w:rsid w:val="008D6AC3"/>
    <w:rsid w:val="008E1E8E"/>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B6C"/>
    <w:rsid w:val="00952CF7"/>
    <w:rsid w:val="00953534"/>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12A"/>
    <w:rsid w:val="0098646A"/>
    <w:rsid w:val="009920D2"/>
    <w:rsid w:val="009928BC"/>
    <w:rsid w:val="009937B4"/>
    <w:rsid w:val="0099572C"/>
    <w:rsid w:val="009A0A73"/>
    <w:rsid w:val="009A0EDF"/>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2571"/>
    <w:rsid w:val="009C381D"/>
    <w:rsid w:val="009C4FB9"/>
    <w:rsid w:val="009C6A83"/>
    <w:rsid w:val="009C77CC"/>
    <w:rsid w:val="009C7E88"/>
    <w:rsid w:val="009C7FDF"/>
    <w:rsid w:val="009D0B16"/>
    <w:rsid w:val="009D3016"/>
    <w:rsid w:val="009D3902"/>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6AD1"/>
    <w:rsid w:val="00A114A7"/>
    <w:rsid w:val="00A1210E"/>
    <w:rsid w:val="00A13F44"/>
    <w:rsid w:val="00A159BF"/>
    <w:rsid w:val="00A15E40"/>
    <w:rsid w:val="00A16DAF"/>
    <w:rsid w:val="00A16F26"/>
    <w:rsid w:val="00A21F54"/>
    <w:rsid w:val="00A2302C"/>
    <w:rsid w:val="00A25353"/>
    <w:rsid w:val="00A26739"/>
    <w:rsid w:val="00A26C2F"/>
    <w:rsid w:val="00A30B76"/>
    <w:rsid w:val="00A3632A"/>
    <w:rsid w:val="00A42006"/>
    <w:rsid w:val="00A4478A"/>
    <w:rsid w:val="00A44852"/>
    <w:rsid w:val="00A45EAC"/>
    <w:rsid w:val="00A47A03"/>
    <w:rsid w:val="00A52A18"/>
    <w:rsid w:val="00A5631E"/>
    <w:rsid w:val="00A575E8"/>
    <w:rsid w:val="00A57D04"/>
    <w:rsid w:val="00A57D69"/>
    <w:rsid w:val="00A60A26"/>
    <w:rsid w:val="00A61598"/>
    <w:rsid w:val="00A64EBB"/>
    <w:rsid w:val="00A6730F"/>
    <w:rsid w:val="00A679F2"/>
    <w:rsid w:val="00A71AA6"/>
    <w:rsid w:val="00A75AAA"/>
    <w:rsid w:val="00A81710"/>
    <w:rsid w:val="00A81EF8"/>
    <w:rsid w:val="00A8219E"/>
    <w:rsid w:val="00A84E2D"/>
    <w:rsid w:val="00A84F46"/>
    <w:rsid w:val="00A871F4"/>
    <w:rsid w:val="00A87F90"/>
    <w:rsid w:val="00A912B1"/>
    <w:rsid w:val="00A91A4B"/>
    <w:rsid w:val="00A923DD"/>
    <w:rsid w:val="00A9455D"/>
    <w:rsid w:val="00A94D89"/>
    <w:rsid w:val="00A96CE0"/>
    <w:rsid w:val="00A971A0"/>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2310"/>
    <w:rsid w:val="00AF3A41"/>
    <w:rsid w:val="00AF46F3"/>
    <w:rsid w:val="00AF66A7"/>
    <w:rsid w:val="00AF7058"/>
    <w:rsid w:val="00AF7C0E"/>
    <w:rsid w:val="00B01BD3"/>
    <w:rsid w:val="00B02ED5"/>
    <w:rsid w:val="00B03817"/>
    <w:rsid w:val="00B057C8"/>
    <w:rsid w:val="00B06353"/>
    <w:rsid w:val="00B065C9"/>
    <w:rsid w:val="00B0779B"/>
    <w:rsid w:val="00B109DD"/>
    <w:rsid w:val="00B11C03"/>
    <w:rsid w:val="00B11C09"/>
    <w:rsid w:val="00B1285B"/>
    <w:rsid w:val="00B13048"/>
    <w:rsid w:val="00B135AC"/>
    <w:rsid w:val="00B14CE4"/>
    <w:rsid w:val="00B162BD"/>
    <w:rsid w:val="00B1716D"/>
    <w:rsid w:val="00B17A1D"/>
    <w:rsid w:val="00B207A0"/>
    <w:rsid w:val="00B20F61"/>
    <w:rsid w:val="00B211EE"/>
    <w:rsid w:val="00B23484"/>
    <w:rsid w:val="00B251A4"/>
    <w:rsid w:val="00B25887"/>
    <w:rsid w:val="00B26AAA"/>
    <w:rsid w:val="00B276D9"/>
    <w:rsid w:val="00B30D82"/>
    <w:rsid w:val="00B31071"/>
    <w:rsid w:val="00B33C7F"/>
    <w:rsid w:val="00B35810"/>
    <w:rsid w:val="00B35937"/>
    <w:rsid w:val="00B410F7"/>
    <w:rsid w:val="00B4128D"/>
    <w:rsid w:val="00B41686"/>
    <w:rsid w:val="00B44E99"/>
    <w:rsid w:val="00B474EE"/>
    <w:rsid w:val="00B52EC8"/>
    <w:rsid w:val="00B55C24"/>
    <w:rsid w:val="00B56E03"/>
    <w:rsid w:val="00B6278D"/>
    <w:rsid w:val="00B62BB5"/>
    <w:rsid w:val="00B63E2C"/>
    <w:rsid w:val="00B64DF7"/>
    <w:rsid w:val="00B65CAC"/>
    <w:rsid w:val="00B66E74"/>
    <w:rsid w:val="00B671B6"/>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A50AD"/>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2075"/>
    <w:rsid w:val="00BE2F8A"/>
    <w:rsid w:val="00BE377D"/>
    <w:rsid w:val="00BE47B5"/>
    <w:rsid w:val="00BE7DBC"/>
    <w:rsid w:val="00BF19CB"/>
    <w:rsid w:val="00BF1BF5"/>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2A83"/>
    <w:rsid w:val="00C154C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611"/>
    <w:rsid w:val="00C35876"/>
    <w:rsid w:val="00C361EB"/>
    <w:rsid w:val="00C41237"/>
    <w:rsid w:val="00C420D7"/>
    <w:rsid w:val="00C420EB"/>
    <w:rsid w:val="00C43C4F"/>
    <w:rsid w:val="00C452B9"/>
    <w:rsid w:val="00C46AB5"/>
    <w:rsid w:val="00C4709E"/>
    <w:rsid w:val="00C4712A"/>
    <w:rsid w:val="00C47DEE"/>
    <w:rsid w:val="00C50EC2"/>
    <w:rsid w:val="00C51484"/>
    <w:rsid w:val="00C51BE7"/>
    <w:rsid w:val="00C532EF"/>
    <w:rsid w:val="00C538A9"/>
    <w:rsid w:val="00C53B5A"/>
    <w:rsid w:val="00C54CF3"/>
    <w:rsid w:val="00C54F5A"/>
    <w:rsid w:val="00C55452"/>
    <w:rsid w:val="00C56506"/>
    <w:rsid w:val="00C565C5"/>
    <w:rsid w:val="00C60452"/>
    <w:rsid w:val="00C6191E"/>
    <w:rsid w:val="00C62797"/>
    <w:rsid w:val="00C6290C"/>
    <w:rsid w:val="00C672E0"/>
    <w:rsid w:val="00C729B4"/>
    <w:rsid w:val="00C72D70"/>
    <w:rsid w:val="00C73A47"/>
    <w:rsid w:val="00C73C83"/>
    <w:rsid w:val="00C74A11"/>
    <w:rsid w:val="00C80612"/>
    <w:rsid w:val="00C81324"/>
    <w:rsid w:val="00C81890"/>
    <w:rsid w:val="00C81A67"/>
    <w:rsid w:val="00C8473D"/>
    <w:rsid w:val="00C86679"/>
    <w:rsid w:val="00C86919"/>
    <w:rsid w:val="00C872DB"/>
    <w:rsid w:val="00C87867"/>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6516"/>
    <w:rsid w:val="00CC656F"/>
    <w:rsid w:val="00CC6738"/>
    <w:rsid w:val="00CD2754"/>
    <w:rsid w:val="00CD40AD"/>
    <w:rsid w:val="00CD4E7F"/>
    <w:rsid w:val="00CD5E5A"/>
    <w:rsid w:val="00CD7BF1"/>
    <w:rsid w:val="00CE0A5F"/>
    <w:rsid w:val="00CE15A5"/>
    <w:rsid w:val="00CE1831"/>
    <w:rsid w:val="00CE1B68"/>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40B44"/>
    <w:rsid w:val="00D43663"/>
    <w:rsid w:val="00D44037"/>
    <w:rsid w:val="00D4594F"/>
    <w:rsid w:val="00D4681D"/>
    <w:rsid w:val="00D505AE"/>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193"/>
    <w:rsid w:val="00DB7AB9"/>
    <w:rsid w:val="00DB7FD1"/>
    <w:rsid w:val="00DC153A"/>
    <w:rsid w:val="00DC22E3"/>
    <w:rsid w:val="00DC24BF"/>
    <w:rsid w:val="00DC2907"/>
    <w:rsid w:val="00DC395C"/>
    <w:rsid w:val="00DC5E54"/>
    <w:rsid w:val="00DC693A"/>
    <w:rsid w:val="00DC7981"/>
    <w:rsid w:val="00DC7B5A"/>
    <w:rsid w:val="00DD15C2"/>
    <w:rsid w:val="00DD27EA"/>
    <w:rsid w:val="00DD33DE"/>
    <w:rsid w:val="00DE45B5"/>
    <w:rsid w:val="00DE4EFA"/>
    <w:rsid w:val="00DE5104"/>
    <w:rsid w:val="00DE5520"/>
    <w:rsid w:val="00DE5AB1"/>
    <w:rsid w:val="00DE6AA6"/>
    <w:rsid w:val="00DE7345"/>
    <w:rsid w:val="00DF02A4"/>
    <w:rsid w:val="00DF0714"/>
    <w:rsid w:val="00DF1C55"/>
    <w:rsid w:val="00DF2298"/>
    <w:rsid w:val="00DF3C7E"/>
    <w:rsid w:val="00DF7793"/>
    <w:rsid w:val="00E00EC9"/>
    <w:rsid w:val="00E03069"/>
    <w:rsid w:val="00E03725"/>
    <w:rsid w:val="00E04818"/>
    <w:rsid w:val="00E06442"/>
    <w:rsid w:val="00E113E2"/>
    <w:rsid w:val="00E115DE"/>
    <w:rsid w:val="00E13056"/>
    <w:rsid w:val="00E135DB"/>
    <w:rsid w:val="00E13C85"/>
    <w:rsid w:val="00E15B15"/>
    <w:rsid w:val="00E227A4"/>
    <w:rsid w:val="00E2374E"/>
    <w:rsid w:val="00E23993"/>
    <w:rsid w:val="00E24D12"/>
    <w:rsid w:val="00E2504E"/>
    <w:rsid w:val="00E25B8C"/>
    <w:rsid w:val="00E25F40"/>
    <w:rsid w:val="00E2682F"/>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B049F"/>
    <w:rsid w:val="00EB100D"/>
    <w:rsid w:val="00EB456D"/>
    <w:rsid w:val="00EB540F"/>
    <w:rsid w:val="00EB7D7F"/>
    <w:rsid w:val="00EC05BF"/>
    <w:rsid w:val="00EC0D58"/>
    <w:rsid w:val="00EC10A1"/>
    <w:rsid w:val="00EC24B0"/>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6B5B"/>
    <w:rsid w:val="00F072C7"/>
    <w:rsid w:val="00F10CDA"/>
    <w:rsid w:val="00F113FD"/>
    <w:rsid w:val="00F13B99"/>
    <w:rsid w:val="00F13EAA"/>
    <w:rsid w:val="00F15882"/>
    <w:rsid w:val="00F15AB9"/>
    <w:rsid w:val="00F167CF"/>
    <w:rsid w:val="00F1785E"/>
    <w:rsid w:val="00F20BD3"/>
    <w:rsid w:val="00F248D0"/>
    <w:rsid w:val="00F25168"/>
    <w:rsid w:val="00F27967"/>
    <w:rsid w:val="00F32D35"/>
    <w:rsid w:val="00F336DF"/>
    <w:rsid w:val="00F3590E"/>
    <w:rsid w:val="00F36430"/>
    <w:rsid w:val="00F373A5"/>
    <w:rsid w:val="00F376D3"/>
    <w:rsid w:val="00F42DB4"/>
    <w:rsid w:val="00F45B2F"/>
    <w:rsid w:val="00F47559"/>
    <w:rsid w:val="00F5112C"/>
    <w:rsid w:val="00F55548"/>
    <w:rsid w:val="00F55859"/>
    <w:rsid w:val="00F6043C"/>
    <w:rsid w:val="00F60561"/>
    <w:rsid w:val="00F606F1"/>
    <w:rsid w:val="00F61055"/>
    <w:rsid w:val="00F61AA8"/>
    <w:rsid w:val="00F61EEA"/>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3027"/>
    <w:rsid w:val="00F946BA"/>
    <w:rsid w:val="00F94788"/>
    <w:rsid w:val="00F952A0"/>
    <w:rsid w:val="00F965FC"/>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4D05"/>
    <w:rsid w:val="00FE602C"/>
    <w:rsid w:val="00FE64AE"/>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9041362">
      <w:bodyDiv w:val="1"/>
      <w:marLeft w:val="0"/>
      <w:marRight w:val="0"/>
      <w:marTop w:val="0"/>
      <w:marBottom w:val="0"/>
      <w:divBdr>
        <w:top w:val="none" w:sz="0" w:space="0" w:color="auto"/>
        <w:left w:val="none" w:sz="0" w:space="0" w:color="auto"/>
        <w:bottom w:val="none" w:sz="0" w:space="0" w:color="auto"/>
        <w:right w:val="none" w:sz="0" w:space="0" w:color="auto"/>
      </w:divBdr>
      <w:divsChild>
        <w:div w:id="775254740">
          <w:marLeft w:val="0"/>
          <w:marRight w:val="0"/>
          <w:marTop w:val="0"/>
          <w:marBottom w:val="0"/>
          <w:divBdr>
            <w:top w:val="none" w:sz="0" w:space="0" w:color="auto"/>
            <w:left w:val="none" w:sz="0" w:space="0" w:color="auto"/>
            <w:bottom w:val="none" w:sz="0" w:space="0" w:color="auto"/>
            <w:right w:val="none" w:sz="0" w:space="0" w:color="auto"/>
          </w:divBdr>
          <w:divsChild>
            <w:div w:id="320431539">
              <w:marLeft w:val="0"/>
              <w:marRight w:val="0"/>
              <w:marTop w:val="0"/>
              <w:marBottom w:val="0"/>
              <w:divBdr>
                <w:top w:val="none" w:sz="0" w:space="0" w:color="auto"/>
                <w:left w:val="none" w:sz="0" w:space="0" w:color="auto"/>
                <w:bottom w:val="none" w:sz="0" w:space="0" w:color="auto"/>
                <w:right w:val="none" w:sz="0" w:space="0" w:color="auto"/>
              </w:divBdr>
              <w:divsChild>
                <w:div w:id="796920359">
                  <w:marLeft w:val="0"/>
                  <w:marRight w:val="0"/>
                  <w:marTop w:val="0"/>
                  <w:marBottom w:val="0"/>
                  <w:divBdr>
                    <w:top w:val="none" w:sz="0" w:space="0" w:color="auto"/>
                    <w:left w:val="none" w:sz="0" w:space="0" w:color="auto"/>
                    <w:bottom w:val="none" w:sz="0" w:space="0" w:color="auto"/>
                    <w:right w:val="none" w:sz="0" w:space="0" w:color="auto"/>
                  </w:divBdr>
                  <w:divsChild>
                    <w:div w:id="1914969098">
                      <w:marLeft w:val="0"/>
                      <w:marRight w:val="0"/>
                      <w:marTop w:val="0"/>
                      <w:marBottom w:val="0"/>
                      <w:divBdr>
                        <w:top w:val="none" w:sz="0" w:space="0" w:color="auto"/>
                        <w:left w:val="none" w:sz="0" w:space="0" w:color="auto"/>
                        <w:bottom w:val="none" w:sz="0" w:space="0" w:color="auto"/>
                        <w:right w:val="none" w:sz="0" w:space="0" w:color="auto"/>
                      </w:divBdr>
                      <w:divsChild>
                        <w:div w:id="1964653552">
                          <w:marLeft w:val="0"/>
                          <w:marRight w:val="0"/>
                          <w:marTop w:val="0"/>
                          <w:marBottom w:val="0"/>
                          <w:divBdr>
                            <w:top w:val="none" w:sz="0" w:space="0" w:color="auto"/>
                            <w:left w:val="none" w:sz="0" w:space="0" w:color="auto"/>
                            <w:bottom w:val="none" w:sz="0" w:space="0" w:color="auto"/>
                            <w:right w:val="none" w:sz="0" w:space="0" w:color="auto"/>
                          </w:divBdr>
                        </w:div>
                      </w:divsChild>
                    </w:div>
                    <w:div w:id="349570173">
                      <w:marLeft w:val="0"/>
                      <w:marRight w:val="0"/>
                      <w:marTop w:val="0"/>
                      <w:marBottom w:val="0"/>
                      <w:divBdr>
                        <w:top w:val="none" w:sz="0" w:space="0" w:color="auto"/>
                        <w:left w:val="none" w:sz="0" w:space="0" w:color="auto"/>
                        <w:bottom w:val="none" w:sz="0" w:space="0" w:color="auto"/>
                        <w:right w:val="none" w:sz="0" w:space="0" w:color="auto"/>
                      </w:divBdr>
                      <w:divsChild>
                        <w:div w:id="1243293499">
                          <w:marLeft w:val="0"/>
                          <w:marRight w:val="0"/>
                          <w:marTop w:val="0"/>
                          <w:marBottom w:val="0"/>
                          <w:divBdr>
                            <w:top w:val="none" w:sz="0" w:space="0" w:color="auto"/>
                            <w:left w:val="none" w:sz="0" w:space="0" w:color="auto"/>
                            <w:bottom w:val="none" w:sz="0" w:space="0" w:color="auto"/>
                            <w:right w:val="none" w:sz="0" w:space="0" w:color="auto"/>
                          </w:divBdr>
                        </w:div>
                      </w:divsChild>
                    </w:div>
                    <w:div w:id="606351276">
                      <w:marLeft w:val="0"/>
                      <w:marRight w:val="0"/>
                      <w:marTop w:val="0"/>
                      <w:marBottom w:val="0"/>
                      <w:divBdr>
                        <w:top w:val="none" w:sz="0" w:space="0" w:color="auto"/>
                        <w:left w:val="none" w:sz="0" w:space="0" w:color="auto"/>
                        <w:bottom w:val="none" w:sz="0" w:space="0" w:color="auto"/>
                        <w:right w:val="none" w:sz="0" w:space="0" w:color="auto"/>
                      </w:divBdr>
                      <w:divsChild>
                        <w:div w:id="818308110">
                          <w:marLeft w:val="0"/>
                          <w:marRight w:val="0"/>
                          <w:marTop w:val="0"/>
                          <w:marBottom w:val="0"/>
                          <w:divBdr>
                            <w:top w:val="none" w:sz="0" w:space="0" w:color="auto"/>
                            <w:left w:val="none" w:sz="0" w:space="0" w:color="auto"/>
                            <w:bottom w:val="none" w:sz="0" w:space="0" w:color="auto"/>
                            <w:right w:val="none" w:sz="0" w:space="0" w:color="auto"/>
                          </w:divBdr>
                        </w:div>
                      </w:divsChild>
                    </w:div>
                    <w:div w:id="2137261483">
                      <w:marLeft w:val="0"/>
                      <w:marRight w:val="0"/>
                      <w:marTop w:val="0"/>
                      <w:marBottom w:val="0"/>
                      <w:divBdr>
                        <w:top w:val="none" w:sz="0" w:space="0" w:color="auto"/>
                        <w:left w:val="none" w:sz="0" w:space="0" w:color="auto"/>
                        <w:bottom w:val="none" w:sz="0" w:space="0" w:color="auto"/>
                        <w:right w:val="none" w:sz="0" w:space="0" w:color="auto"/>
                      </w:divBdr>
                      <w:divsChild>
                        <w:div w:id="1609696590">
                          <w:marLeft w:val="0"/>
                          <w:marRight w:val="0"/>
                          <w:marTop w:val="0"/>
                          <w:marBottom w:val="0"/>
                          <w:divBdr>
                            <w:top w:val="none" w:sz="0" w:space="0" w:color="auto"/>
                            <w:left w:val="none" w:sz="0" w:space="0" w:color="auto"/>
                            <w:bottom w:val="none" w:sz="0" w:space="0" w:color="auto"/>
                            <w:right w:val="none" w:sz="0" w:space="0" w:color="auto"/>
                          </w:divBdr>
                        </w:div>
                      </w:divsChild>
                    </w:div>
                    <w:div w:id="788857738">
                      <w:marLeft w:val="0"/>
                      <w:marRight w:val="0"/>
                      <w:marTop w:val="0"/>
                      <w:marBottom w:val="0"/>
                      <w:divBdr>
                        <w:top w:val="none" w:sz="0" w:space="0" w:color="auto"/>
                        <w:left w:val="none" w:sz="0" w:space="0" w:color="auto"/>
                        <w:bottom w:val="none" w:sz="0" w:space="0" w:color="auto"/>
                        <w:right w:val="none" w:sz="0" w:space="0" w:color="auto"/>
                      </w:divBdr>
                      <w:divsChild>
                        <w:div w:id="20548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hyperlink" Target="https://asxenergy.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asxenergy.com.au/"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hyperlink" Target="http://www.aer.gov.au/industry-information/industry-statisti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FF792-1646-4ED2-B90F-F75B4E6D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435E385D</Template>
  <TotalTime>0</TotalTime>
  <Pages>11</Pages>
  <Words>1885</Words>
  <Characters>10747</Characters>
  <Application>Microsoft Office Word</Application>
  <DocSecurity>0</DocSecurity>
  <Lines>89</Lines>
  <Paragraphs>25</Paragraphs>
  <ScaleCrop>false</ScaleCrop>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2016-05-04T06:11:00Z</dcterms:created>
  <dcterms:modified xsi:type="dcterms:W3CDTF">2016-05-04T06:11:00Z</dcterms:modified>
</cp:coreProperties>
</file>