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1F7D666A" wp14:editId="28CEA3C3">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CF6" w:rsidRPr="000E2946" w:rsidRDefault="00213CF6" w:rsidP="000E2946">
                            <w:pPr>
                              <w:pStyle w:val="Title"/>
                            </w:pPr>
                            <w:r w:rsidRPr="000E2946">
                              <w:t>Electricity Report</w:t>
                            </w:r>
                          </w:p>
                          <w:p w:rsidR="00213CF6" w:rsidRPr="000E2946" w:rsidRDefault="00213CF6" w:rsidP="000E2946">
                            <w:pPr>
                              <w:pStyle w:val="Title"/>
                            </w:pPr>
                            <w:r>
                              <w:t xml:space="preserve">16 – 22 August </w:t>
                            </w:r>
                            <w:r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213CF6" w:rsidRPr="000E2946" w:rsidRDefault="00213CF6" w:rsidP="000E2946">
                      <w:pPr>
                        <w:pStyle w:val="Title"/>
                      </w:pPr>
                      <w:r w:rsidRPr="000E2946">
                        <w:t>Electricity Report</w:t>
                      </w:r>
                    </w:p>
                    <w:p w:rsidR="00213CF6" w:rsidRPr="000E2946" w:rsidRDefault="00213CF6" w:rsidP="000E2946">
                      <w:pPr>
                        <w:pStyle w:val="Title"/>
                      </w:pPr>
                      <w:r>
                        <w:t xml:space="preserve">16 – 22 August </w:t>
                      </w:r>
                      <w:r w:rsidRPr="000E2946">
                        <w:t>2015</w:t>
                      </w:r>
                    </w:p>
                  </w:txbxContent>
                </v:textbox>
              </v:shape>
            </w:pict>
          </mc:Fallback>
        </mc:AlternateContent>
      </w:r>
      <w:r w:rsidRPr="0031019A">
        <w:rPr>
          <w:noProof/>
          <w:lang w:eastAsia="en-AU"/>
        </w:rPr>
        <w:drawing>
          <wp:inline distT="0" distB="0" distL="0" distR="0" wp14:anchorId="1A6D2C9C" wp14:editId="69551C0F">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536C31" w:rsidRPr="000E2946">
        <w:t xml:space="preserve">Figure </w:t>
      </w:r>
      <w:r w:rsidR="00536C31">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6569A5">
        <w:rPr>
          <w:rFonts w:cs="Arial"/>
        </w:rPr>
        <w:t>16 to 22</w:t>
      </w:r>
      <w:r w:rsidR="00EC67D4">
        <w:rPr>
          <w:rFonts w:cs="Arial"/>
        </w:rPr>
        <w:t xml:space="preserve"> </w:t>
      </w:r>
      <w:r w:rsidR="00724BF3">
        <w:rPr>
          <w:rFonts w:cs="Arial"/>
        </w:rPr>
        <w:t>August</w:t>
      </w:r>
      <w:r w:rsidR="00760FD8">
        <w:rPr>
          <w:rFonts w:cs="Arial"/>
        </w:rPr>
        <w:t xml:space="preserve">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 xml:space="preserve">here were </w:t>
      </w:r>
      <w:r w:rsidR="00724BF3">
        <w:rPr>
          <w:rFonts w:cs="Arial"/>
        </w:rPr>
        <w:t>two</w:t>
      </w:r>
      <w:r w:rsidR="00627B2D">
        <w:rPr>
          <w:rFonts w:cs="Arial"/>
        </w:rPr>
        <w:t xml:space="preserve"> occasions in South Australia </w:t>
      </w:r>
      <w:r w:rsidR="00C154C0">
        <w:rPr>
          <w:rFonts w:cs="Arial"/>
        </w:rPr>
        <w:t xml:space="preserve">and </w:t>
      </w:r>
      <w:r w:rsidR="00724BF3">
        <w:rPr>
          <w:rFonts w:cs="Arial"/>
        </w:rPr>
        <w:t>one</w:t>
      </w:r>
      <w:r w:rsidR="00741D03">
        <w:rPr>
          <w:rFonts w:cs="Arial"/>
        </w:rPr>
        <w:t xml:space="preserve"> occasion in Queensland </w:t>
      </w:r>
      <w:r w:rsidR="00627B2D">
        <w:rPr>
          <w:rFonts w:cs="Arial"/>
        </w:rPr>
        <w:t xml:space="preserve">where the </w:t>
      </w:r>
      <w:r w:rsidR="00100142" w:rsidRPr="00100142">
        <w:rPr>
          <w:rFonts w:cs="Arial"/>
        </w:rPr>
        <w:t>spot price exceeded the AER reporting threshold</w:t>
      </w:r>
      <w:r w:rsidR="00086CF3" w:rsidRPr="003061FA">
        <w:rPr>
          <w:rFonts w:cs="Arial"/>
        </w:rPr>
        <w:t>. These are discussed later in this report.</w:t>
      </w:r>
      <w:r w:rsidR="00003169">
        <w:rPr>
          <w:rFonts w:cs="Arial"/>
        </w:rPr>
        <w:t xml:space="preserve"> </w:t>
      </w:r>
      <w:r w:rsidR="00462CFF">
        <w:rPr>
          <w:rFonts w:cs="Arial"/>
        </w:rPr>
        <w:t>2</w:t>
      </w:r>
      <w:r w:rsidR="00003169">
        <w:rPr>
          <w:rFonts w:cs="Arial"/>
        </w:rPr>
        <w:t xml:space="preserve"> negative spot prices were also recorded in </w:t>
      </w:r>
      <w:r w:rsidR="00462CFF">
        <w:rPr>
          <w:rFonts w:cs="Arial"/>
        </w:rPr>
        <w:t>Tasmania</w:t>
      </w:r>
      <w:r w:rsidR="00003169">
        <w:rPr>
          <w:rFonts w:cs="Arial"/>
        </w:rPr>
        <w:t xml:space="preserve"> but these were not less than the -$100/MWh reporting threshold.</w:t>
      </w:r>
    </w:p>
    <w:p w:rsidR="00405B42" w:rsidRDefault="00275002" w:rsidP="00405B42">
      <w:pPr>
        <w:pStyle w:val="Caption"/>
      </w:pPr>
      <w:bookmarkStart w:id="7" w:name="_Ref410382491"/>
      <w:bookmarkStart w:id="8" w:name="OLE_LINK28"/>
      <w:bookmarkStart w:id="9" w:name="OLE_LINK29"/>
      <w:r w:rsidRPr="000E2946">
        <w:t xml:space="preserve">Figure </w:t>
      </w:r>
      <w:r w:rsidR="00536C31">
        <w:fldChar w:fldCharType="begin"/>
      </w:r>
      <w:r w:rsidR="00536C31">
        <w:instrText xml:space="preserve"> SEQ Figure \* ARABIC </w:instrText>
      </w:r>
      <w:r w:rsidR="00536C31">
        <w:fldChar w:fldCharType="separate"/>
      </w:r>
      <w:r w:rsidR="00536C31">
        <w:rPr>
          <w:noProof/>
        </w:rPr>
        <w:t>1</w:t>
      </w:r>
      <w:r w:rsidR="00536C31">
        <w:rPr>
          <w:noProof/>
        </w:rPr>
        <w:fldChar w:fldCharType="end"/>
      </w:r>
      <w:bookmarkEnd w:id="7"/>
      <w:r w:rsidRPr="000E2946">
        <w:t>: Spot price by region ($/MWh)</w:t>
      </w:r>
    </w:p>
    <w:p w:rsidR="00405B42" w:rsidRPr="00405B42" w:rsidRDefault="006569A5" w:rsidP="00405B42">
      <w:r w:rsidRPr="006569A5">
        <w:rPr>
          <w:noProof/>
          <w:lang w:eastAsia="en-AU"/>
        </w:rPr>
        <w:drawing>
          <wp:inline distT="0" distB="0" distL="0" distR="0" wp14:anchorId="5127E8BF" wp14:editId="0318C367">
            <wp:extent cx="5731510" cy="3820854"/>
            <wp:effectExtent l="0" t="0" r="2540" b="8255"/>
            <wp:docPr id="2" name="Picture 2"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820854"/>
                    </a:xfrm>
                    <a:prstGeom prst="rect">
                      <a:avLst/>
                    </a:prstGeom>
                    <a:noFill/>
                    <a:ln>
                      <a:noFill/>
                    </a:ln>
                  </pic:spPr>
                </pic:pic>
              </a:graphicData>
            </a:graphic>
          </wp:inline>
        </w:drawing>
      </w:r>
    </w:p>
    <w:p w:rsidR="00275002" w:rsidRPr="0031019A" w:rsidRDefault="00C05C48" w:rsidP="00275002">
      <w:r>
        <w:rPr>
          <w:noProof/>
          <w:lang w:eastAsia="en-AU"/>
        </w:rPr>
        <mc:AlternateContent>
          <mc:Choice Requires="wps">
            <w:drawing>
              <wp:anchor distT="0" distB="0" distL="114300" distR="114300" simplePos="0" relativeHeight="251671552" behindDoc="0" locked="0" layoutInCell="1" allowOverlap="1" wp14:anchorId="7D2C0C94" wp14:editId="1DEB96E5">
                <wp:simplePos x="0" y="0"/>
                <wp:positionH relativeFrom="column">
                  <wp:posOffset>492125</wp:posOffset>
                </wp:positionH>
                <wp:positionV relativeFrom="paragraph">
                  <wp:posOffset>1090666</wp:posOffset>
                </wp:positionV>
                <wp:extent cx="103517" cy="129396"/>
                <wp:effectExtent l="0" t="0" r="29845" b="23495"/>
                <wp:wrapNone/>
                <wp:docPr id="3" name="Straight Connector 3"/>
                <wp:cNvGraphicFramePr/>
                <a:graphic xmlns:a="http://schemas.openxmlformats.org/drawingml/2006/main">
                  <a:graphicData uri="http://schemas.microsoft.com/office/word/2010/wordprocessingShape">
                    <wps:wsp>
                      <wps:cNvCnPr/>
                      <wps:spPr>
                        <a:xfrm flipH="1">
                          <a:off x="0" y="0"/>
                          <a:ext cx="103517" cy="129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38.75pt,85.9pt" to="46.9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" strokecolor="#262e34 [1540]"/>
            </w:pict>
          </mc:Fallback>
        </mc:AlternateContent>
      </w:r>
      <w:r>
        <w:rPr>
          <w:noProof/>
          <w:lang w:eastAsia="en-AU"/>
        </w:rPr>
        <mc:AlternateContent>
          <mc:Choice Requires="wps">
            <w:drawing>
              <wp:anchor distT="0" distB="0" distL="114300" distR="114300" simplePos="0" relativeHeight="251669504" behindDoc="0" locked="0" layoutInCell="1" allowOverlap="1" wp14:anchorId="72089A7E" wp14:editId="4F1BC2AB">
                <wp:simplePos x="0" y="0"/>
                <wp:positionH relativeFrom="column">
                  <wp:posOffset>482971</wp:posOffset>
                </wp:positionH>
                <wp:positionV relativeFrom="paragraph">
                  <wp:posOffset>1320800</wp:posOffset>
                </wp:positionV>
                <wp:extent cx="103517" cy="129396"/>
                <wp:effectExtent l="0" t="0" r="29845" b="23495"/>
                <wp:wrapNone/>
                <wp:docPr id="1" name="Straight Connector 1"/>
                <wp:cNvGraphicFramePr/>
                <a:graphic xmlns:a="http://schemas.openxmlformats.org/drawingml/2006/main">
                  <a:graphicData uri="http://schemas.microsoft.com/office/word/2010/wordprocessingShape">
                    <wps:wsp>
                      <wps:cNvCnPr/>
                      <wps:spPr>
                        <a:xfrm flipH="1">
                          <a:off x="0" y="0"/>
                          <a:ext cx="103517" cy="1293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38.05pt,104pt" to="46.2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" strokecolor="#262e34 [1540]"/>
            </w:pict>
          </mc:Fallback>
        </mc:AlternateContent>
      </w:r>
    </w:p>
    <w:p w:rsidR="00275002" w:rsidRPr="0031019A" w:rsidRDefault="00275002" w:rsidP="009A3D22">
      <w:pPr>
        <w:jc w:val="both"/>
      </w:pPr>
      <w:r>
        <w:lastRenderedPageBreak/>
        <w:fldChar w:fldCharType="begin"/>
      </w:r>
      <w:r>
        <w:instrText xml:space="preserve"> REF _Ref410382517 \h </w:instrText>
      </w:r>
      <w:r w:rsidR="009A3D22">
        <w:instrText xml:space="preserve"> \* MERGEFORMAT </w:instrText>
      </w:r>
      <w:r>
        <w:fldChar w:fldCharType="separate"/>
      </w:r>
      <w:r w:rsidR="00536C31">
        <w:t xml:space="preserve">Figure </w:t>
      </w:r>
      <w:r w:rsidR="00536C31">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536C31">
        <w:t xml:space="preserve">Table </w:t>
      </w:r>
      <w:r w:rsidR="00536C31">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t xml:space="preserve">Figure </w:t>
      </w:r>
      <w:r w:rsidR="00536C31">
        <w:fldChar w:fldCharType="begin"/>
      </w:r>
      <w:r w:rsidR="00536C31">
        <w:instrText xml:space="preserve"> SEQ Figure \* ARABIC </w:instrText>
      </w:r>
      <w:r w:rsidR="00536C31">
        <w:fldChar w:fldCharType="separate"/>
      </w:r>
      <w:r w:rsidR="00536C31">
        <w:rPr>
          <w:noProof/>
        </w:rPr>
        <w:t>2</w:t>
      </w:r>
      <w:r w:rsidR="00536C31">
        <w:rPr>
          <w:noProof/>
        </w:rPr>
        <w:fldChar w:fldCharType="end"/>
      </w:r>
      <w:bookmarkEnd w:id="10"/>
      <w:r>
        <w:t>:</w:t>
      </w:r>
      <w:r w:rsidRPr="00037176">
        <w:t xml:space="preserve"> Volume weighted average spot price by region ($/MWh)</w:t>
      </w:r>
    </w:p>
    <w:p w:rsidR="00275002" w:rsidRPr="0031019A" w:rsidRDefault="009A6D69" w:rsidP="00275002">
      <w:r w:rsidRPr="009A6D69">
        <w:rPr>
          <w:noProof/>
          <w:lang w:eastAsia="en-AU"/>
        </w:rPr>
        <w:drawing>
          <wp:inline distT="0" distB="0" distL="0" distR="0" wp14:anchorId="7707ED5D" wp14:editId="062A016C">
            <wp:extent cx="5731510" cy="2859551"/>
            <wp:effectExtent l="0" t="0" r="2540" b="0"/>
            <wp:docPr id="10" name="Picture 10"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536C31">
        <w:fldChar w:fldCharType="begin"/>
      </w:r>
      <w:r w:rsidR="00536C31">
        <w:instrText xml:space="preserve"> SEQ Table \* ARABIC </w:instrText>
      </w:r>
      <w:r w:rsidR="00536C31">
        <w:fldChar w:fldCharType="separate"/>
      </w:r>
      <w:r w:rsidR="00536C31">
        <w:rPr>
          <w:noProof/>
        </w:rPr>
        <w:t>1</w:t>
      </w:r>
      <w:r w:rsidR="00536C31">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9A6D69" w:rsidRPr="00E35AE8" w:rsidTr="009A6D69">
        <w:trPr>
          <w:trHeight w:hRule="exact" w:val="340"/>
        </w:trPr>
        <w:tc>
          <w:tcPr>
            <w:tcW w:w="1357" w:type="pct"/>
            <w:noWrap/>
            <w:vAlign w:val="center"/>
            <w:hideMark/>
          </w:tcPr>
          <w:p w:rsidR="009A6D69" w:rsidRPr="009B21F2" w:rsidRDefault="009A6D69"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tcPr>
          <w:p w:rsidR="009A6D69" w:rsidRPr="009A6D69" w:rsidRDefault="009A6D69" w:rsidP="00462CFF">
            <w:pPr>
              <w:spacing w:before="80"/>
              <w:jc w:val="center"/>
              <w:rPr>
                <w:sz w:val="20"/>
                <w:szCs w:val="20"/>
              </w:rPr>
            </w:pPr>
            <w:r w:rsidRPr="009A6D69">
              <w:rPr>
                <w:sz w:val="20"/>
                <w:szCs w:val="20"/>
              </w:rPr>
              <w:t>43</w:t>
            </w:r>
          </w:p>
        </w:tc>
        <w:tc>
          <w:tcPr>
            <w:tcW w:w="729" w:type="pct"/>
            <w:noWrap/>
          </w:tcPr>
          <w:p w:rsidR="009A6D69" w:rsidRPr="009A6D69" w:rsidRDefault="009A6D69" w:rsidP="00462CFF">
            <w:pPr>
              <w:spacing w:before="80"/>
              <w:jc w:val="center"/>
              <w:rPr>
                <w:sz w:val="20"/>
                <w:szCs w:val="20"/>
              </w:rPr>
            </w:pPr>
            <w:r w:rsidRPr="009A6D69">
              <w:rPr>
                <w:sz w:val="20"/>
                <w:szCs w:val="20"/>
              </w:rPr>
              <w:t>36</w:t>
            </w:r>
          </w:p>
        </w:tc>
        <w:tc>
          <w:tcPr>
            <w:tcW w:w="728" w:type="pct"/>
            <w:noWrap/>
          </w:tcPr>
          <w:p w:rsidR="009A6D69" w:rsidRPr="009A6D69" w:rsidRDefault="009A6D69" w:rsidP="00462CFF">
            <w:pPr>
              <w:spacing w:before="80"/>
              <w:jc w:val="center"/>
              <w:rPr>
                <w:sz w:val="20"/>
                <w:szCs w:val="20"/>
              </w:rPr>
            </w:pPr>
            <w:r w:rsidRPr="009A6D69">
              <w:rPr>
                <w:sz w:val="20"/>
                <w:szCs w:val="20"/>
              </w:rPr>
              <w:t>35</w:t>
            </w:r>
          </w:p>
        </w:tc>
        <w:tc>
          <w:tcPr>
            <w:tcW w:w="729" w:type="pct"/>
            <w:noWrap/>
          </w:tcPr>
          <w:p w:rsidR="009A6D69" w:rsidRPr="009A6D69" w:rsidRDefault="009A6D69" w:rsidP="00462CFF">
            <w:pPr>
              <w:spacing w:before="80"/>
              <w:jc w:val="center"/>
              <w:rPr>
                <w:sz w:val="20"/>
                <w:szCs w:val="20"/>
              </w:rPr>
            </w:pPr>
            <w:r w:rsidRPr="009A6D69">
              <w:rPr>
                <w:sz w:val="20"/>
                <w:szCs w:val="20"/>
              </w:rPr>
              <w:t>64</w:t>
            </w:r>
          </w:p>
        </w:tc>
        <w:tc>
          <w:tcPr>
            <w:tcW w:w="729" w:type="pct"/>
            <w:noWrap/>
          </w:tcPr>
          <w:p w:rsidR="009A6D69" w:rsidRPr="009A6D69" w:rsidRDefault="009A6D69" w:rsidP="00462CFF">
            <w:pPr>
              <w:spacing w:before="80"/>
              <w:jc w:val="center"/>
              <w:rPr>
                <w:sz w:val="20"/>
                <w:szCs w:val="20"/>
              </w:rPr>
            </w:pPr>
            <w:r w:rsidRPr="009A6D69">
              <w:rPr>
                <w:sz w:val="20"/>
                <w:szCs w:val="20"/>
              </w:rPr>
              <w:t>32</w:t>
            </w:r>
          </w:p>
        </w:tc>
      </w:tr>
      <w:tr w:rsidR="009A6D69" w:rsidRPr="00E35AE8" w:rsidTr="009A6D69">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9A6D69" w:rsidRPr="00B65CAC" w:rsidRDefault="009A6D69"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tcPr>
          <w:p w:rsidR="009A6D69" w:rsidRPr="009A6D69" w:rsidRDefault="009A6D69" w:rsidP="00462CFF">
            <w:pPr>
              <w:spacing w:before="80"/>
              <w:jc w:val="center"/>
              <w:rPr>
                <w:szCs w:val="20"/>
              </w:rPr>
            </w:pPr>
            <w:r w:rsidRPr="009A6D69">
              <w:rPr>
                <w:szCs w:val="20"/>
              </w:rPr>
              <w:t>30</w:t>
            </w:r>
          </w:p>
        </w:tc>
        <w:tc>
          <w:tcPr>
            <w:tcW w:w="729" w:type="pct"/>
            <w:noWrap/>
          </w:tcPr>
          <w:p w:rsidR="009A6D69" w:rsidRPr="009A6D69" w:rsidRDefault="009A6D69" w:rsidP="00462CFF">
            <w:pPr>
              <w:spacing w:before="80"/>
              <w:jc w:val="center"/>
              <w:rPr>
                <w:szCs w:val="20"/>
              </w:rPr>
            </w:pPr>
            <w:r w:rsidRPr="009A6D69">
              <w:rPr>
                <w:szCs w:val="20"/>
              </w:rPr>
              <w:t>39</w:t>
            </w:r>
          </w:p>
        </w:tc>
        <w:tc>
          <w:tcPr>
            <w:tcW w:w="728" w:type="pct"/>
            <w:noWrap/>
          </w:tcPr>
          <w:p w:rsidR="009A6D69" w:rsidRPr="009A6D69" w:rsidRDefault="009A6D69" w:rsidP="00462CFF">
            <w:pPr>
              <w:spacing w:before="80"/>
              <w:jc w:val="center"/>
              <w:rPr>
                <w:szCs w:val="20"/>
              </w:rPr>
            </w:pPr>
            <w:r w:rsidRPr="009A6D69">
              <w:rPr>
                <w:szCs w:val="20"/>
              </w:rPr>
              <w:t>38</w:t>
            </w:r>
          </w:p>
        </w:tc>
        <w:tc>
          <w:tcPr>
            <w:tcW w:w="729" w:type="pct"/>
            <w:noWrap/>
          </w:tcPr>
          <w:p w:rsidR="009A6D69" w:rsidRPr="009A6D69" w:rsidRDefault="009A6D69" w:rsidP="00462CFF">
            <w:pPr>
              <w:spacing w:before="80"/>
              <w:jc w:val="center"/>
              <w:rPr>
                <w:szCs w:val="20"/>
              </w:rPr>
            </w:pPr>
            <w:r w:rsidRPr="009A6D69">
              <w:rPr>
                <w:szCs w:val="20"/>
              </w:rPr>
              <w:t>51</w:t>
            </w:r>
          </w:p>
        </w:tc>
        <w:tc>
          <w:tcPr>
            <w:tcW w:w="729" w:type="pct"/>
            <w:noWrap/>
          </w:tcPr>
          <w:p w:rsidR="009A6D69" w:rsidRPr="009A6D69" w:rsidRDefault="009A6D69" w:rsidP="00462CFF">
            <w:pPr>
              <w:spacing w:before="80"/>
              <w:jc w:val="center"/>
              <w:rPr>
                <w:szCs w:val="20"/>
              </w:rPr>
            </w:pPr>
            <w:r w:rsidRPr="009A6D69">
              <w:rPr>
                <w:szCs w:val="20"/>
              </w:rPr>
              <w:t>35</w:t>
            </w:r>
          </w:p>
        </w:tc>
      </w:tr>
      <w:tr w:rsidR="009A6D69" w:rsidRPr="00E35AE8" w:rsidTr="009A6D69">
        <w:trPr>
          <w:trHeight w:hRule="exact" w:val="340"/>
        </w:trPr>
        <w:tc>
          <w:tcPr>
            <w:tcW w:w="1357" w:type="pct"/>
            <w:noWrap/>
            <w:vAlign w:val="center"/>
            <w:hideMark/>
          </w:tcPr>
          <w:p w:rsidR="009A6D69" w:rsidRPr="00B65CAC" w:rsidRDefault="009A6D69"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tcPr>
          <w:p w:rsidR="009A6D69" w:rsidRPr="009A6D69" w:rsidRDefault="009A6D69" w:rsidP="00462CFF">
            <w:pPr>
              <w:spacing w:before="80"/>
              <w:jc w:val="center"/>
              <w:rPr>
                <w:sz w:val="20"/>
                <w:szCs w:val="20"/>
              </w:rPr>
            </w:pPr>
            <w:r w:rsidRPr="009A6D69">
              <w:rPr>
                <w:sz w:val="20"/>
                <w:szCs w:val="20"/>
              </w:rPr>
              <w:t>47</w:t>
            </w:r>
          </w:p>
        </w:tc>
        <w:tc>
          <w:tcPr>
            <w:tcW w:w="729" w:type="pct"/>
            <w:noWrap/>
          </w:tcPr>
          <w:p w:rsidR="009A6D69" w:rsidRPr="009A6D69" w:rsidRDefault="009A6D69" w:rsidP="00462CFF">
            <w:pPr>
              <w:spacing w:before="80"/>
              <w:jc w:val="center"/>
              <w:rPr>
                <w:sz w:val="20"/>
                <w:szCs w:val="20"/>
              </w:rPr>
            </w:pPr>
            <w:r w:rsidRPr="009A6D69">
              <w:rPr>
                <w:sz w:val="20"/>
                <w:szCs w:val="20"/>
              </w:rPr>
              <w:t>39</w:t>
            </w:r>
          </w:p>
        </w:tc>
        <w:tc>
          <w:tcPr>
            <w:tcW w:w="728" w:type="pct"/>
            <w:noWrap/>
          </w:tcPr>
          <w:p w:rsidR="009A6D69" w:rsidRPr="009A6D69" w:rsidRDefault="009A6D69" w:rsidP="00462CFF">
            <w:pPr>
              <w:spacing w:before="80"/>
              <w:jc w:val="center"/>
              <w:rPr>
                <w:sz w:val="20"/>
                <w:szCs w:val="20"/>
              </w:rPr>
            </w:pPr>
            <w:r w:rsidRPr="009A6D69">
              <w:rPr>
                <w:sz w:val="20"/>
                <w:szCs w:val="20"/>
              </w:rPr>
              <w:t>36</w:t>
            </w:r>
          </w:p>
        </w:tc>
        <w:tc>
          <w:tcPr>
            <w:tcW w:w="729" w:type="pct"/>
            <w:noWrap/>
          </w:tcPr>
          <w:p w:rsidR="009A6D69" w:rsidRPr="009A6D69" w:rsidRDefault="009A6D69" w:rsidP="00462CFF">
            <w:pPr>
              <w:spacing w:before="80"/>
              <w:jc w:val="center"/>
              <w:rPr>
                <w:sz w:val="20"/>
                <w:szCs w:val="20"/>
              </w:rPr>
            </w:pPr>
            <w:r w:rsidRPr="009A6D69">
              <w:rPr>
                <w:sz w:val="20"/>
                <w:szCs w:val="20"/>
              </w:rPr>
              <w:t>72</w:t>
            </w:r>
          </w:p>
        </w:tc>
        <w:tc>
          <w:tcPr>
            <w:tcW w:w="729" w:type="pct"/>
            <w:noWrap/>
          </w:tcPr>
          <w:p w:rsidR="009A6D69" w:rsidRPr="009A6D69" w:rsidRDefault="009A6D69" w:rsidP="00462CFF">
            <w:pPr>
              <w:spacing w:before="80"/>
              <w:jc w:val="center"/>
              <w:rPr>
                <w:sz w:val="20"/>
                <w:szCs w:val="20"/>
              </w:rPr>
            </w:pPr>
            <w:r w:rsidRPr="009A6D69">
              <w:rPr>
                <w:sz w:val="20"/>
                <w:szCs w:val="20"/>
              </w:rPr>
              <w:t>34</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2"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9A6D69">
        <w:t>118</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w:instrText>
      </w:r>
      <w:r w:rsidR="00E7472E">
        <w:lastRenderedPageBreak/>
        <w:instrText xml:space="preserve">_Ref410993002 \h </w:instrText>
      </w:r>
      <w:r w:rsidR="00E7472E">
        <w:fldChar w:fldCharType="separate"/>
      </w:r>
      <w:r w:rsidR="00536C31">
        <w:t xml:space="preserve">Table </w:t>
      </w:r>
      <w:r w:rsidR="00536C31">
        <w:rPr>
          <w:noProof/>
        </w:rPr>
        <w:t>2</w:t>
      </w:r>
      <w:r w:rsidR="00E7472E">
        <w:fldChar w:fldCharType="end"/>
      </w:r>
      <w:r w:rsidR="00275002" w:rsidRPr="0031019A">
        <w:t>.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536C31">
        <w:fldChar w:fldCharType="begin"/>
      </w:r>
      <w:r w:rsidR="00536C31">
        <w:instrText xml:space="preserve"> SEQ Table \* ARABIC </w:instrText>
      </w:r>
      <w:r w:rsidR="00536C31">
        <w:fldChar w:fldCharType="separate"/>
      </w:r>
      <w:r w:rsidR="00536C31">
        <w:rPr>
          <w:noProof/>
        </w:rPr>
        <w:t>2</w:t>
      </w:r>
      <w:r w:rsidR="00536C31">
        <w:rPr>
          <w:noProof/>
        </w:rPr>
        <w:fldChar w:fldCharType="end"/>
      </w:r>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B65CAC"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B65CAC" w:rsidRDefault="009A6D69" w:rsidP="00B65CAC">
            <w:pPr>
              <w:spacing w:after="0" w:line="240" w:lineRule="auto"/>
              <w:jc w:val="center"/>
              <w:rPr>
                <w:rFonts w:cs="Arial"/>
                <w:sz w:val="20"/>
                <w:szCs w:val="20"/>
              </w:rPr>
            </w:pPr>
            <w:r>
              <w:rPr>
                <w:rFonts w:cs="Arial"/>
                <w:sz w:val="20"/>
                <w:szCs w:val="20"/>
              </w:rPr>
              <w:t>6</w:t>
            </w:r>
          </w:p>
        </w:tc>
        <w:tc>
          <w:tcPr>
            <w:tcW w:w="1572" w:type="dxa"/>
            <w:noWrap/>
            <w:vAlign w:val="center"/>
          </w:tcPr>
          <w:p w:rsidR="00B65CAC" w:rsidRDefault="009A6D69" w:rsidP="00B65CAC">
            <w:pPr>
              <w:spacing w:after="0" w:line="240" w:lineRule="auto"/>
              <w:jc w:val="center"/>
              <w:rPr>
                <w:rFonts w:cs="Arial"/>
                <w:sz w:val="20"/>
                <w:szCs w:val="20"/>
              </w:rPr>
            </w:pPr>
            <w:r>
              <w:rPr>
                <w:rFonts w:cs="Arial"/>
                <w:sz w:val="20"/>
                <w:szCs w:val="20"/>
              </w:rPr>
              <w:t>37</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B65CAC" w:rsidP="00B65CAC">
            <w:pPr>
              <w:spacing w:after="0" w:line="240" w:lineRule="auto"/>
              <w:jc w:val="center"/>
              <w:rPr>
                <w:rFonts w:cs="Arial"/>
                <w:sz w:val="20"/>
                <w:szCs w:val="20"/>
              </w:rPr>
            </w:pPr>
            <w:r>
              <w:rPr>
                <w:rFonts w:cs="Arial"/>
                <w:sz w:val="20"/>
                <w:szCs w:val="20"/>
              </w:rPr>
              <w:t>3</w:t>
            </w:r>
          </w:p>
        </w:tc>
      </w:tr>
      <w:tr w:rsidR="00B65CAC"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B65CAC" w:rsidRDefault="009A6D69" w:rsidP="00B65CAC">
            <w:pPr>
              <w:spacing w:after="0" w:line="240" w:lineRule="auto"/>
              <w:jc w:val="center"/>
              <w:rPr>
                <w:rFonts w:cs="Arial"/>
                <w:sz w:val="20"/>
                <w:szCs w:val="20"/>
              </w:rPr>
            </w:pPr>
            <w:r>
              <w:rPr>
                <w:rFonts w:cs="Arial"/>
                <w:sz w:val="20"/>
                <w:szCs w:val="20"/>
              </w:rPr>
              <w:t>39</w:t>
            </w:r>
          </w:p>
        </w:tc>
        <w:tc>
          <w:tcPr>
            <w:tcW w:w="1572" w:type="dxa"/>
            <w:noWrap/>
            <w:vAlign w:val="center"/>
          </w:tcPr>
          <w:p w:rsidR="00B65CAC" w:rsidRDefault="009A6D69" w:rsidP="00B65CAC">
            <w:pPr>
              <w:spacing w:after="0" w:line="240" w:lineRule="auto"/>
              <w:jc w:val="center"/>
              <w:rPr>
                <w:rFonts w:cs="Arial"/>
                <w:sz w:val="20"/>
                <w:szCs w:val="20"/>
              </w:rPr>
            </w:pPr>
            <w:r>
              <w:rPr>
                <w:rFonts w:cs="Arial"/>
                <w:sz w:val="20"/>
                <w:szCs w:val="20"/>
              </w:rPr>
              <w:t>14</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9A6D69" w:rsidP="00B65CAC">
            <w:pPr>
              <w:spacing w:after="0" w:line="240" w:lineRule="auto"/>
              <w:jc w:val="center"/>
              <w:rPr>
                <w:rFonts w:cs="Arial"/>
                <w:sz w:val="20"/>
                <w:szCs w:val="20"/>
              </w:rPr>
            </w:pPr>
            <w:r>
              <w:rPr>
                <w:rFonts w:cs="Arial"/>
                <w:sz w:val="20"/>
                <w:szCs w:val="20"/>
              </w:rPr>
              <w:t>2</w:t>
            </w:r>
          </w:p>
        </w:tc>
      </w:tr>
    </w:tbl>
    <w:p w:rsidR="00275002" w:rsidRPr="009E6668" w:rsidRDefault="00275002" w:rsidP="009E6668">
      <w:pPr>
        <w:spacing w:before="120" w:after="120"/>
        <w:jc w:val="center"/>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536C31">
        <w:t xml:space="preserve">Figure </w:t>
      </w:r>
      <w:r w:rsidR="00536C31">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536C31">
        <w:t xml:space="preserve">Figure </w:t>
      </w:r>
      <w:r w:rsidR="00536C31">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536C31">
        <w:fldChar w:fldCharType="begin"/>
      </w:r>
      <w:r w:rsidR="00536C31">
        <w:instrText xml:space="preserve"> SEQ Figure \* ARABIC </w:instrText>
      </w:r>
      <w:r w:rsidR="00536C31">
        <w:fldChar w:fldCharType="separate"/>
      </w:r>
      <w:r w:rsidR="00536C31">
        <w:rPr>
          <w:noProof/>
        </w:rPr>
        <w:t>3</w:t>
      </w:r>
      <w:r w:rsidR="00536C31">
        <w:rPr>
          <w:noProof/>
        </w:rPr>
        <w:fldChar w:fldCharType="end"/>
      </w:r>
      <w:bookmarkEnd w:id="14"/>
      <w:r>
        <w:t xml:space="preserve">: Queensland </w:t>
      </w:r>
      <w:r w:rsidRPr="00690328">
        <w:t>generation and bidding patterns</w:t>
      </w:r>
    </w:p>
    <w:p w:rsidR="00275002" w:rsidRDefault="00983EEC" w:rsidP="00275002">
      <w:r>
        <w:rPr>
          <w:noProof/>
          <w:lang w:eastAsia="en-AU"/>
        </w:rPr>
        <mc:AlternateContent>
          <mc:Choice Requires="wps">
            <w:drawing>
              <wp:anchor distT="0" distB="0" distL="114300" distR="114300" simplePos="0" relativeHeight="251672576" behindDoc="0" locked="0" layoutInCell="1" allowOverlap="1" wp14:anchorId="5634CCC2" wp14:editId="42A0107C">
                <wp:simplePos x="0" y="0"/>
                <wp:positionH relativeFrom="column">
                  <wp:posOffset>3398808</wp:posOffset>
                </wp:positionH>
                <wp:positionV relativeFrom="paragraph">
                  <wp:posOffset>692521</wp:posOffset>
                </wp:positionV>
                <wp:extent cx="552090" cy="1138579"/>
                <wp:effectExtent l="0" t="0" r="19685" b="23495"/>
                <wp:wrapNone/>
                <wp:docPr id="4" name="Oval 4"/>
                <wp:cNvGraphicFramePr/>
                <a:graphic xmlns:a="http://schemas.openxmlformats.org/drawingml/2006/main">
                  <a:graphicData uri="http://schemas.microsoft.com/office/word/2010/wordprocessingShape">
                    <wps:wsp>
                      <wps:cNvSpPr/>
                      <wps:spPr>
                        <a:xfrm>
                          <a:off x="0" y="0"/>
                          <a:ext cx="552090" cy="11385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margin-left:267.6pt;margin-top:54.55pt;width:43.45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" filled="f" strokecolor="red" strokeweight="2pt"/>
            </w:pict>
          </mc:Fallback>
        </mc:AlternateContent>
      </w:r>
      <w:r w:rsidR="009A6D69" w:rsidRPr="009A6D69">
        <w:rPr>
          <w:noProof/>
          <w:lang w:eastAsia="en-AU"/>
        </w:rPr>
        <w:drawing>
          <wp:inline distT="0" distB="0" distL="0" distR="0" wp14:anchorId="148550A6" wp14:editId="59739D8F">
            <wp:extent cx="5731510" cy="4118724"/>
            <wp:effectExtent l="0" t="0" r="2540" b="0"/>
            <wp:docPr id="11" name="Picture 11"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983EEC" w:rsidRPr="00EA4191" w:rsidRDefault="00983EEC" w:rsidP="00275002">
      <w:r>
        <w:t xml:space="preserve">Red ellipses have been added to </w:t>
      </w:r>
      <w:r>
        <w:fldChar w:fldCharType="begin"/>
      </w:r>
      <w:r>
        <w:instrText xml:space="preserve"> REF _Ref410383507 \h </w:instrText>
      </w:r>
      <w:r>
        <w:fldChar w:fldCharType="separate"/>
      </w:r>
      <w:r w:rsidR="00536C31">
        <w:t xml:space="preserve">Figure </w:t>
      </w:r>
      <w:r w:rsidR="00536C31">
        <w:rPr>
          <w:noProof/>
        </w:rPr>
        <w:t>3</w:t>
      </w:r>
      <w:r>
        <w:fldChar w:fldCharType="end"/>
      </w:r>
      <w:r>
        <w:t xml:space="preserve"> and </w:t>
      </w:r>
      <w:r>
        <w:fldChar w:fldCharType="begin"/>
      </w:r>
      <w:r>
        <w:instrText xml:space="preserve"> REF _Ref423965683 \h </w:instrText>
      </w:r>
      <w:r>
        <w:fldChar w:fldCharType="separate"/>
      </w:r>
      <w:r w:rsidR="00536C31">
        <w:t xml:space="preserve">Figure </w:t>
      </w:r>
      <w:r w:rsidR="00536C31">
        <w:rPr>
          <w:noProof/>
        </w:rPr>
        <w:t>6</w:t>
      </w:r>
      <w:r>
        <w:fldChar w:fldCharType="end"/>
      </w:r>
      <w:r>
        <w:t xml:space="preserve"> to highlight the times where the rebidding has contributed to the high prices.  These events are discussed in greater detail later in the report.</w:t>
      </w:r>
    </w:p>
    <w:p w:rsidR="00275002" w:rsidRDefault="00275002" w:rsidP="000E2946">
      <w:pPr>
        <w:pStyle w:val="Caption"/>
      </w:pPr>
      <w:bookmarkStart w:id="15" w:name="_Ref428273135"/>
      <w:r>
        <w:t xml:space="preserve">Figure </w:t>
      </w:r>
      <w:r w:rsidR="00536C31">
        <w:fldChar w:fldCharType="begin"/>
      </w:r>
      <w:r w:rsidR="00536C31">
        <w:instrText xml:space="preserve"> SEQ Figure \* ARABIC </w:instrText>
      </w:r>
      <w:r w:rsidR="00536C31">
        <w:fldChar w:fldCharType="separate"/>
      </w:r>
      <w:r w:rsidR="00536C31">
        <w:rPr>
          <w:noProof/>
        </w:rPr>
        <w:t>4</w:t>
      </w:r>
      <w:r w:rsidR="00536C31">
        <w:rPr>
          <w:noProof/>
        </w:rPr>
        <w:fldChar w:fldCharType="end"/>
      </w:r>
      <w:bookmarkEnd w:id="15"/>
      <w:r>
        <w:t xml:space="preserve">: </w:t>
      </w:r>
      <w:r w:rsidRPr="00CC5077">
        <w:t>New South Wales generation and bidding patterns</w:t>
      </w:r>
    </w:p>
    <w:p w:rsidR="00275002" w:rsidRPr="0031019A" w:rsidRDefault="009A6D69" w:rsidP="00275002">
      <w:r w:rsidRPr="009A6D69">
        <w:rPr>
          <w:noProof/>
          <w:lang w:eastAsia="en-AU"/>
        </w:rPr>
        <w:drawing>
          <wp:inline distT="0" distB="0" distL="0" distR="0" wp14:anchorId="43706C10" wp14:editId="4AEE77FB">
            <wp:extent cx="5731510" cy="4125116"/>
            <wp:effectExtent l="0" t="0" r="2540" b="8890"/>
            <wp:docPr id="12" name="Picture 12"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r w:rsidR="00536C31">
        <w:fldChar w:fldCharType="begin"/>
      </w:r>
      <w:r w:rsidR="00536C31">
        <w:instrText xml:space="preserve"> SEQ Figure \* ARABIC </w:instrText>
      </w:r>
      <w:r w:rsidR="00536C31">
        <w:fldChar w:fldCharType="separate"/>
      </w:r>
      <w:r w:rsidR="00536C31">
        <w:rPr>
          <w:noProof/>
        </w:rPr>
        <w:t>5</w:t>
      </w:r>
      <w:r w:rsidR="00536C31">
        <w:rPr>
          <w:noProof/>
        </w:rPr>
        <w:fldChar w:fldCharType="end"/>
      </w:r>
      <w:r w:rsidRPr="0003635A">
        <w:t>: Victoria generation and bidding patterns</w:t>
      </w:r>
    </w:p>
    <w:p w:rsidR="00275002" w:rsidRPr="0031019A" w:rsidRDefault="009A6D69" w:rsidP="00275002">
      <w:r w:rsidRPr="009A6D69">
        <w:rPr>
          <w:noProof/>
          <w:lang w:eastAsia="en-AU"/>
        </w:rPr>
        <w:drawing>
          <wp:inline distT="0" distB="0" distL="0" distR="0" wp14:anchorId="397DADAD" wp14:editId="257CA95B">
            <wp:extent cx="5731510" cy="4118724"/>
            <wp:effectExtent l="0" t="0" r="2540" b="0"/>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23965683"/>
      <w:r>
        <w:t xml:space="preserve">Figure </w:t>
      </w:r>
      <w:r w:rsidR="00536C31">
        <w:fldChar w:fldCharType="begin"/>
      </w:r>
      <w:r w:rsidR="00536C31">
        <w:instrText xml:space="preserve"> SEQ Figure \* ARABIC </w:instrText>
      </w:r>
      <w:r w:rsidR="00536C31">
        <w:fldChar w:fldCharType="separate"/>
      </w:r>
      <w:r w:rsidR="00536C31">
        <w:rPr>
          <w:noProof/>
        </w:rPr>
        <w:t>6</w:t>
      </w:r>
      <w:r w:rsidR="00536C31">
        <w:rPr>
          <w:noProof/>
        </w:rPr>
        <w:fldChar w:fldCharType="end"/>
      </w:r>
      <w:bookmarkEnd w:id="16"/>
      <w:r>
        <w:t>:</w:t>
      </w:r>
      <w:r w:rsidRPr="00BD00EB">
        <w:t xml:space="preserve"> South Australia generation and bidding patterns</w:t>
      </w:r>
    </w:p>
    <w:p w:rsidR="00275002" w:rsidRDefault="00983EEC" w:rsidP="00275002">
      <w:r>
        <w:rPr>
          <w:noProof/>
          <w:lang w:eastAsia="en-AU"/>
        </w:rPr>
        <mc:AlternateContent>
          <mc:Choice Requires="wps">
            <w:drawing>
              <wp:anchor distT="0" distB="0" distL="114300" distR="114300" simplePos="0" relativeHeight="251676672" behindDoc="0" locked="0" layoutInCell="1" allowOverlap="1" wp14:anchorId="6822027C" wp14:editId="7BC6377F">
                <wp:simplePos x="0" y="0"/>
                <wp:positionH relativeFrom="column">
                  <wp:posOffset>1713494</wp:posOffset>
                </wp:positionH>
                <wp:positionV relativeFrom="paragraph">
                  <wp:posOffset>960635</wp:posOffset>
                </wp:positionV>
                <wp:extent cx="552090" cy="1138579"/>
                <wp:effectExtent l="0" t="0" r="19685" b="23495"/>
                <wp:wrapNone/>
                <wp:docPr id="6" name="Oval 6"/>
                <wp:cNvGraphicFramePr/>
                <a:graphic xmlns:a="http://schemas.openxmlformats.org/drawingml/2006/main">
                  <a:graphicData uri="http://schemas.microsoft.com/office/word/2010/wordprocessingShape">
                    <wps:wsp>
                      <wps:cNvSpPr/>
                      <wps:spPr>
                        <a:xfrm>
                          <a:off x="0" y="0"/>
                          <a:ext cx="552090" cy="11385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34.9pt;margin-top:75.65pt;width:43.45pt;height:89.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" filled="f" strokecolor="red" strokeweight="2pt"/>
            </w:pict>
          </mc:Fallback>
        </mc:AlternateContent>
      </w:r>
      <w:r>
        <w:rPr>
          <w:noProof/>
          <w:lang w:eastAsia="en-AU"/>
        </w:rPr>
        <mc:AlternateContent>
          <mc:Choice Requires="wps">
            <w:drawing>
              <wp:anchor distT="0" distB="0" distL="114300" distR="114300" simplePos="0" relativeHeight="251674624" behindDoc="0" locked="0" layoutInCell="1" allowOverlap="1" wp14:anchorId="440C5F15" wp14:editId="29A87415">
                <wp:simplePos x="0" y="0"/>
                <wp:positionH relativeFrom="column">
                  <wp:posOffset>1057886</wp:posOffset>
                </wp:positionH>
                <wp:positionV relativeFrom="paragraph">
                  <wp:posOffset>960635</wp:posOffset>
                </wp:positionV>
                <wp:extent cx="552090" cy="1138579"/>
                <wp:effectExtent l="0" t="0" r="19685" b="23495"/>
                <wp:wrapNone/>
                <wp:docPr id="5" name="Oval 5"/>
                <wp:cNvGraphicFramePr/>
                <a:graphic xmlns:a="http://schemas.openxmlformats.org/drawingml/2006/main">
                  <a:graphicData uri="http://schemas.microsoft.com/office/word/2010/wordprocessingShape">
                    <wps:wsp>
                      <wps:cNvSpPr/>
                      <wps:spPr>
                        <a:xfrm>
                          <a:off x="0" y="0"/>
                          <a:ext cx="552090" cy="113857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83.3pt;margin-top:75.65pt;width:43.45pt;height:8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" filled="f" strokecolor="red" strokeweight="2pt"/>
            </w:pict>
          </mc:Fallback>
        </mc:AlternateContent>
      </w:r>
      <w:r w:rsidR="009A6D69" w:rsidRPr="009A6D69">
        <w:rPr>
          <w:noProof/>
          <w:lang w:eastAsia="en-AU"/>
        </w:rPr>
        <w:drawing>
          <wp:inline distT="0" distB="0" distL="0" distR="0" wp14:anchorId="25834D95" wp14:editId="394406C0">
            <wp:extent cx="5731510" cy="4118724"/>
            <wp:effectExtent l="0" t="0" r="2540" b="0"/>
            <wp:docPr id="15" name="Picture 15"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7" w:name="_Ref410383520"/>
      <w:r>
        <w:t xml:space="preserve">Figure </w:t>
      </w:r>
      <w:r w:rsidR="00536C31">
        <w:fldChar w:fldCharType="begin"/>
      </w:r>
      <w:r w:rsidR="00536C31">
        <w:instrText xml:space="preserve"> SEQ Figure \* ARABIC </w:instrText>
      </w:r>
      <w:r w:rsidR="00536C31">
        <w:fldChar w:fldCharType="separate"/>
      </w:r>
      <w:r w:rsidR="00536C31">
        <w:rPr>
          <w:noProof/>
        </w:rPr>
        <w:t>7</w:t>
      </w:r>
      <w:r w:rsidR="00536C31">
        <w:rPr>
          <w:noProof/>
        </w:rPr>
        <w:fldChar w:fldCharType="end"/>
      </w:r>
      <w:bookmarkEnd w:id="17"/>
      <w:r>
        <w:t xml:space="preserve">: </w:t>
      </w:r>
      <w:r w:rsidRPr="008837C4">
        <w:t>Tasmania generation and bidding patterns</w:t>
      </w:r>
    </w:p>
    <w:p w:rsidR="00983EEC" w:rsidRDefault="009A6D69" w:rsidP="00275002">
      <w:r w:rsidRPr="009A6D69">
        <w:rPr>
          <w:noProof/>
          <w:lang w:eastAsia="en-AU"/>
        </w:rPr>
        <w:drawing>
          <wp:inline distT="0" distB="0" distL="0" distR="0" wp14:anchorId="75E24431" wp14:editId="045F0411">
            <wp:extent cx="5731510" cy="4118724"/>
            <wp:effectExtent l="0" t="0" r="2540" b="0"/>
            <wp:docPr id="16" name="Picture 16"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8" w:name="_Ref410383413"/>
      <w:r w:rsidRPr="00857917">
        <w:t>The total cost of FCAS on the mainland for the</w:t>
      </w:r>
      <w:r w:rsidR="005F7247">
        <w:t xml:space="preserve"> week was $</w:t>
      </w:r>
      <w:r w:rsidR="009A6D69">
        <w:t>290</w:t>
      </w:r>
      <w:r w:rsidR="0079277A">
        <w:t> </w:t>
      </w:r>
      <w:r w:rsidR="009A6D69">
        <w:t>5</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9A6D69">
        <w:t>98</w:t>
      </w:r>
      <w:r w:rsidR="0079277A">
        <w:t> </w:t>
      </w:r>
      <w:r w:rsidR="00ED6E24">
        <w:t>5</w:t>
      </w:r>
      <w:r w:rsidR="00613DEC">
        <w:t xml:space="preserve">00 or </w:t>
      </w:r>
      <w:r w:rsidR="00720AB2">
        <w:t>around</w:t>
      </w:r>
      <w:r w:rsidR="00CB695E">
        <w:t xml:space="preserve"> </w:t>
      </w:r>
      <w:r w:rsidR="00852B3D">
        <w:t xml:space="preserve">1.5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536C31">
        <w:t xml:space="preserve">Figure </w:t>
      </w:r>
      <w:r w:rsidR="00536C31">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9" w:name="_Ref418082853"/>
      <w:r>
        <w:t xml:space="preserve">Figure </w:t>
      </w:r>
      <w:r w:rsidR="00536C31">
        <w:fldChar w:fldCharType="begin"/>
      </w:r>
      <w:r w:rsidR="00536C31">
        <w:instrText xml:space="preserve"> SEQ Figure \* ARABIC </w:instrText>
      </w:r>
      <w:r w:rsidR="00536C31">
        <w:fldChar w:fldCharType="separate"/>
      </w:r>
      <w:r w:rsidR="00536C31">
        <w:rPr>
          <w:noProof/>
        </w:rPr>
        <w:t>8</w:t>
      </w:r>
      <w:r w:rsidR="00536C31">
        <w:rPr>
          <w:noProof/>
        </w:rPr>
        <w:fldChar w:fldCharType="end"/>
      </w:r>
      <w:bookmarkEnd w:id="18"/>
      <w:bookmarkEnd w:id="19"/>
      <w:r w:rsidRPr="007707C6">
        <w:t>: Daily frequency control ancillary service cost</w:t>
      </w:r>
    </w:p>
    <w:p w:rsidR="009A6D69" w:rsidRDefault="009A6D69" w:rsidP="00213CF6">
      <w:r w:rsidRPr="009A6D69">
        <w:rPr>
          <w:noProof/>
          <w:lang w:eastAsia="en-AU"/>
        </w:rPr>
        <w:drawing>
          <wp:inline distT="0" distB="0" distL="0" distR="0" wp14:anchorId="4C2BA1D1" wp14:editId="40EBBE1F">
            <wp:extent cx="5731510" cy="2894051"/>
            <wp:effectExtent l="0" t="0" r="2540" b="1905"/>
            <wp:docPr id="17" name="Picture 17" descr="Figure 8 shows the daily breakdown of cost for each FCAS for the NEM, as well as the average cost since the beginning of the previous financial year.&#10;Should you require a description of the data for the week under review, please email us at  AERInquiry@aer.gov.au."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bookmarkEnd w:id="0"/>
      <w:bookmarkEnd w:id="1"/>
      <w:bookmarkEnd w:id="2"/>
      <w:bookmarkEnd w:id="3"/>
      <w:bookmarkEnd w:id="4"/>
      <w:bookmarkEnd w:id="5"/>
    </w:p>
    <w:p w:rsidR="00213CF6" w:rsidRPr="00213CF6" w:rsidRDefault="00213CF6" w:rsidP="00213CF6"/>
    <w:p w:rsidR="005F7247" w:rsidRPr="00405CDE" w:rsidRDefault="005F7247" w:rsidP="00627B2D">
      <w:pPr>
        <w:pStyle w:val="AERHeading1"/>
        <w:keepNext/>
        <w:rPr>
          <w:rFonts w:cs="Arial"/>
        </w:rPr>
      </w:pPr>
      <w:r w:rsidRPr="00405CDE">
        <w:rPr>
          <w:rFonts w:cs="Arial"/>
        </w:rPr>
        <w:t>Detailed market analysis of significant price events</w:t>
      </w:r>
    </w:p>
    <w:p w:rsidR="00201136" w:rsidRPr="00125F4F" w:rsidRDefault="005F7247" w:rsidP="00125F4F">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5F7247" w:rsidRPr="00002B2F" w:rsidRDefault="005F7247" w:rsidP="005F7247">
      <w:pPr>
        <w:pStyle w:val="AERHeading3"/>
      </w:pPr>
      <w:r w:rsidRPr="00002B2F">
        <w:t xml:space="preserve">South Australia </w:t>
      </w:r>
    </w:p>
    <w:p w:rsidR="00700DAB" w:rsidRDefault="00700DAB" w:rsidP="00700DAB">
      <w:pPr>
        <w:pStyle w:val="AERbodytext"/>
      </w:pPr>
      <w:r>
        <w:t xml:space="preserve">There were </w:t>
      </w:r>
      <w:r w:rsidR="009335AE">
        <w:t>two</w:t>
      </w:r>
      <w:r w:rsidR="00543BEC">
        <w:t xml:space="preserve"> </w:t>
      </w:r>
      <w:r>
        <w:t>occasions where the spot price in South Australia was greater than three times the South Australia weekly average price of $</w:t>
      </w:r>
      <w:r w:rsidR="009A6D69">
        <w:t>64</w:t>
      </w:r>
      <w:r>
        <w:t>/MWh and above $250/MWh.</w:t>
      </w:r>
    </w:p>
    <w:p w:rsidR="005D2FBD" w:rsidRDefault="00125F4F" w:rsidP="005D2FBD">
      <w:pPr>
        <w:pStyle w:val="AERHeading3"/>
      </w:pPr>
      <w:r>
        <w:t>Sunday</w:t>
      </w:r>
      <w:r w:rsidR="00631560">
        <w:t xml:space="preserve">, </w:t>
      </w:r>
      <w:r>
        <w:t>16</w:t>
      </w:r>
      <w:r w:rsidR="009335AE">
        <w:t xml:space="preserve"> August</w:t>
      </w:r>
      <w:r w:rsidR="005D2FBD">
        <w:t xml:space="preserve"> </w:t>
      </w:r>
    </w:p>
    <w:p w:rsidR="005D2FBD" w:rsidRPr="005D2FBD" w:rsidRDefault="005D2FBD" w:rsidP="005D2FBD">
      <w:pPr>
        <w:pStyle w:val="Caption"/>
      </w:pPr>
      <w:r>
        <w:t xml:space="preserve">Table </w:t>
      </w:r>
      <w:r w:rsidR="00536C31">
        <w:fldChar w:fldCharType="begin"/>
      </w:r>
      <w:r w:rsidR="00536C31">
        <w:instrText xml:space="preserve"> SEQ Table \* ARABIC </w:instrText>
      </w:r>
      <w:r w:rsidR="00536C31">
        <w:fldChar w:fldCharType="separate"/>
      </w:r>
      <w:r w:rsidR="00536C31">
        <w:rPr>
          <w:noProof/>
        </w:rPr>
        <w:t>3</w:t>
      </w:r>
      <w:r w:rsidR="00536C31">
        <w:rPr>
          <w:noProof/>
        </w:rPr>
        <w:fldChar w:fldCharType="end"/>
      </w:r>
      <w:r w:rsidR="002515C3">
        <w:t>:</w:t>
      </w:r>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D2FBD" w:rsidRPr="00405CDE" w:rsidTr="00FD531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F113FD" w:rsidRPr="00405CDE" w:rsidTr="0015451B">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125F4F" w:rsidRPr="00405CDE" w:rsidTr="0015451B">
        <w:trPr>
          <w:trHeight w:val="510"/>
        </w:trPr>
        <w:tc>
          <w:tcPr>
            <w:tcW w:w="506" w:type="pct"/>
            <w:tcBorders>
              <w:top w:val="nil"/>
              <w:bottom w:val="single" w:sz="4" w:space="0" w:color="auto"/>
            </w:tcBorders>
            <w:vAlign w:val="center"/>
          </w:tcPr>
          <w:p w:rsidR="00125F4F" w:rsidRPr="00FD5316" w:rsidRDefault="00125F4F" w:rsidP="00FD5316">
            <w:pPr>
              <w:pStyle w:val="tablenormal0"/>
              <w:jc w:val="center"/>
              <w:rPr>
                <w:rFonts w:asciiTheme="minorHAnsi" w:hAnsiTheme="minorHAnsi" w:cstheme="minorHAnsi"/>
                <w:bCs/>
                <w:szCs w:val="18"/>
              </w:rPr>
            </w:pPr>
            <w:r>
              <w:rPr>
                <w:rFonts w:asciiTheme="minorHAnsi" w:hAnsiTheme="minorHAnsi" w:cstheme="minorHAnsi"/>
                <w:bCs/>
                <w:szCs w:val="18"/>
              </w:rPr>
              <w:t>7.30 pm</w:t>
            </w:r>
          </w:p>
        </w:tc>
        <w:tc>
          <w:tcPr>
            <w:tcW w:w="620"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2351.64</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64.99</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127.76</w:t>
            </w:r>
          </w:p>
        </w:tc>
        <w:tc>
          <w:tcPr>
            <w:tcW w:w="418"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1813</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1807</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1811</w:t>
            </w:r>
          </w:p>
        </w:tc>
        <w:tc>
          <w:tcPr>
            <w:tcW w:w="443"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2162</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2190</w:t>
            </w:r>
          </w:p>
        </w:tc>
        <w:tc>
          <w:tcPr>
            <w:tcW w:w="502" w:type="pct"/>
            <w:tcBorders>
              <w:top w:val="nil"/>
              <w:bottom w:val="single" w:sz="4" w:space="0" w:color="auto"/>
            </w:tcBorders>
            <w:vAlign w:val="center"/>
          </w:tcPr>
          <w:p w:rsidR="00125F4F" w:rsidRPr="00613324" w:rsidRDefault="00125F4F">
            <w:pPr>
              <w:pStyle w:val="NormalWeb"/>
              <w:jc w:val="center"/>
              <w:rPr>
                <w:rFonts w:asciiTheme="minorHAnsi" w:hAnsiTheme="minorHAnsi" w:cstheme="minorHAnsi"/>
                <w:sz w:val="18"/>
                <w:szCs w:val="18"/>
              </w:rPr>
            </w:pPr>
            <w:r w:rsidRPr="00613324">
              <w:rPr>
                <w:rFonts w:asciiTheme="minorHAnsi" w:hAnsiTheme="minorHAnsi" w:cstheme="minorHAnsi"/>
                <w:sz w:val="18"/>
                <w:szCs w:val="18"/>
              </w:rPr>
              <w:t>2128</w:t>
            </w:r>
          </w:p>
        </w:tc>
      </w:tr>
    </w:tbl>
    <w:p w:rsidR="00784A7E" w:rsidRPr="00136716" w:rsidRDefault="00136716" w:rsidP="00136716">
      <w:pPr>
        <w:pStyle w:val="AERbodytext"/>
        <w:spacing w:before="120" w:after="120"/>
        <w:rPr>
          <w:bCs/>
          <w:lang w:eastAsia="en-AU"/>
        </w:rPr>
      </w:pPr>
      <w:r w:rsidRPr="00136716">
        <w:rPr>
          <w:bCs/>
          <w:lang w:eastAsia="en-AU"/>
        </w:rPr>
        <w:t>Demand and available capacity were close to</w:t>
      </w:r>
      <w:r w:rsidR="0028440E">
        <w:rPr>
          <w:bCs/>
          <w:lang w:eastAsia="en-AU"/>
        </w:rPr>
        <w:t xml:space="preserve"> that forecast four hours ahead.</w:t>
      </w:r>
      <w:r w:rsidR="001E14C2">
        <w:rPr>
          <w:bCs/>
          <w:lang w:eastAsia="en-AU"/>
        </w:rPr>
        <w:t xml:space="preserve"> Both interconnectors into South Australia were importing at their limits with Heywood being limited to around 150 MW by a system normal constraint as forecast four hours ahead.</w:t>
      </w:r>
    </w:p>
    <w:p w:rsidR="00136716" w:rsidRPr="002D1734" w:rsidRDefault="00136716" w:rsidP="00136716">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536C31">
        <w:rPr>
          <w:b/>
          <w:bCs/>
          <w:noProof/>
          <w:color w:val="2272A3" w:themeColor="accent4" w:themeShade="80"/>
          <w:sz w:val="24"/>
          <w:szCs w:val="18"/>
        </w:rPr>
        <w:t>4</w:t>
      </w:r>
      <w:r w:rsidRPr="002D1734">
        <w:rPr>
          <w:b/>
          <w:bCs/>
          <w:noProof/>
          <w:color w:val="2272A3" w:themeColor="accent4" w:themeShade="80"/>
          <w:sz w:val="24"/>
          <w:szCs w:val="18"/>
        </w:rPr>
        <w:fldChar w:fldCharType="end"/>
      </w:r>
      <w:r w:rsidR="002515C3">
        <w:rPr>
          <w:b/>
          <w:bCs/>
          <w:color w:val="2272A3" w:themeColor="accent4" w:themeShade="80"/>
          <w:sz w:val="24"/>
          <w:szCs w:val="18"/>
        </w:rPr>
        <w:t>:</w:t>
      </w:r>
      <w:r>
        <w:rPr>
          <w:b/>
          <w:bCs/>
          <w:color w:val="2272A3" w:themeColor="accent4" w:themeShade="80"/>
          <w:sz w:val="24"/>
          <w:szCs w:val="18"/>
        </w:rPr>
        <w:t xml:space="preserve"> Rebids </w:t>
      </w:r>
      <w:r w:rsidR="009B0884">
        <w:rPr>
          <w:b/>
          <w:bCs/>
          <w:color w:val="2272A3" w:themeColor="accent4" w:themeShade="80"/>
          <w:sz w:val="24"/>
          <w:szCs w:val="18"/>
        </w:rPr>
        <w:t xml:space="preserve">for the </w:t>
      </w:r>
      <w:r w:rsidR="002C581B">
        <w:rPr>
          <w:b/>
          <w:bCs/>
          <w:color w:val="2272A3" w:themeColor="accent4" w:themeShade="80"/>
          <w:sz w:val="24"/>
          <w:szCs w:val="18"/>
        </w:rPr>
        <w:t>7.30 pm</w:t>
      </w:r>
      <w:r w:rsidRPr="002D1734">
        <w:rPr>
          <w:b/>
          <w:bCs/>
          <w:color w:val="2272A3" w:themeColor="accent4" w:themeShade="80"/>
          <w:sz w:val="24"/>
          <w:szCs w:val="18"/>
        </w:rPr>
        <w:t xml:space="preserve"> </w:t>
      </w:r>
      <w:r w:rsidR="009B0884">
        <w:rPr>
          <w:b/>
          <w:bCs/>
          <w:color w:val="2272A3" w:themeColor="accent4" w:themeShade="80"/>
          <w:sz w:val="24"/>
          <w:szCs w:val="18"/>
        </w:rPr>
        <w:t>trading interval</w:t>
      </w:r>
    </w:p>
    <w:tbl>
      <w:tblPr>
        <w:tblStyle w:val="AERsummarytable2"/>
        <w:tblW w:w="5000" w:type="pct"/>
        <w:tblLayout w:type="fixed"/>
        <w:tblLook w:val="04A0" w:firstRow="1" w:lastRow="0" w:firstColumn="1" w:lastColumn="0" w:noHBand="0" w:noVBand="1"/>
      </w:tblPr>
      <w:tblGrid>
        <w:gridCol w:w="990"/>
        <w:gridCol w:w="967"/>
        <w:gridCol w:w="1078"/>
        <w:gridCol w:w="980"/>
        <w:gridCol w:w="937"/>
        <w:gridCol w:w="937"/>
        <w:gridCol w:w="909"/>
        <w:gridCol w:w="2444"/>
      </w:tblGrid>
      <w:tr w:rsidR="00136716" w:rsidRPr="002D1734" w:rsidTr="00983EEC">
        <w:trPr>
          <w:cnfStyle w:val="100000000000" w:firstRow="1" w:lastRow="0" w:firstColumn="0" w:lastColumn="0" w:oddVBand="0" w:evenVBand="0" w:oddHBand="0" w:evenHBand="0" w:firstRowFirstColumn="0" w:firstRowLastColumn="0" w:lastRowFirstColumn="0" w:lastRowLastColumn="0"/>
          <w:trHeight w:val="780"/>
          <w:tblHeader/>
        </w:trPr>
        <w:tc>
          <w:tcPr>
            <w:tcW w:w="536"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Submit time</w:t>
            </w:r>
          </w:p>
        </w:tc>
        <w:tc>
          <w:tcPr>
            <w:tcW w:w="523" w:type="pct"/>
          </w:tcPr>
          <w:p w:rsidR="00136716" w:rsidRPr="002D1734" w:rsidRDefault="00136716" w:rsidP="00213CF6">
            <w:pPr>
              <w:spacing w:before="60" w:after="60"/>
              <w:rPr>
                <w:b w:val="0"/>
                <w:bCs/>
                <w:szCs w:val="18"/>
              </w:rPr>
            </w:pPr>
            <w:r w:rsidRPr="002D1734">
              <w:rPr>
                <w:b w:val="0"/>
                <w:bCs/>
                <w:szCs w:val="18"/>
                <w14:numSpacing w14:val="default"/>
              </w:rPr>
              <w:t>Time effective</w:t>
            </w:r>
          </w:p>
        </w:tc>
        <w:tc>
          <w:tcPr>
            <w:tcW w:w="583"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Participant</w:t>
            </w:r>
          </w:p>
        </w:tc>
        <w:tc>
          <w:tcPr>
            <w:tcW w:w="530"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Station</w:t>
            </w:r>
          </w:p>
        </w:tc>
        <w:tc>
          <w:tcPr>
            <w:tcW w:w="507"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Capacity rebid (MW)</w:t>
            </w:r>
          </w:p>
        </w:tc>
        <w:tc>
          <w:tcPr>
            <w:tcW w:w="507"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Price from ($/MWh)</w:t>
            </w:r>
          </w:p>
        </w:tc>
        <w:tc>
          <w:tcPr>
            <w:tcW w:w="492"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Price to ($/MWh)</w:t>
            </w:r>
          </w:p>
        </w:tc>
        <w:tc>
          <w:tcPr>
            <w:tcW w:w="1322" w:type="pct"/>
            <w:hideMark/>
          </w:tcPr>
          <w:p w:rsidR="00136716" w:rsidRPr="002D1734" w:rsidRDefault="00136716" w:rsidP="00213CF6">
            <w:pPr>
              <w:spacing w:before="60" w:after="60"/>
              <w:rPr>
                <w:b w:val="0"/>
                <w:szCs w:val="18"/>
                <w14:numSpacing w14:val="default"/>
              </w:rPr>
            </w:pPr>
            <w:r w:rsidRPr="002D1734">
              <w:rPr>
                <w:b w:val="0"/>
                <w:bCs/>
                <w:szCs w:val="18"/>
                <w14:numSpacing w14:val="default"/>
              </w:rPr>
              <w:t>Rebid reason</w:t>
            </w:r>
          </w:p>
        </w:tc>
      </w:tr>
      <w:tr w:rsidR="00136716" w:rsidRPr="002D1734" w:rsidTr="00983EEC">
        <w:trPr>
          <w:cnfStyle w:val="000000100000" w:firstRow="0" w:lastRow="0" w:firstColumn="0" w:lastColumn="0" w:oddVBand="0" w:evenVBand="0" w:oddHBand="1" w:evenHBand="0" w:firstRowFirstColumn="0" w:firstRowLastColumn="0" w:lastRowFirstColumn="0" w:lastRowLastColumn="0"/>
          <w:trHeight w:val="606"/>
        </w:trPr>
        <w:tc>
          <w:tcPr>
            <w:tcW w:w="536" w:type="pct"/>
            <w:vAlign w:val="center"/>
          </w:tcPr>
          <w:p w:rsidR="00136716" w:rsidRDefault="002C581B">
            <w:pPr>
              <w:jc w:val="center"/>
              <w:textAlignment w:val="center"/>
              <w:rPr>
                <w:rFonts w:cs="Arial"/>
                <w:color w:val="000000"/>
                <w:szCs w:val="18"/>
              </w:rPr>
            </w:pPr>
            <w:r>
              <w:rPr>
                <w:rFonts w:cs="Arial"/>
                <w:color w:val="000000"/>
                <w:szCs w:val="18"/>
              </w:rPr>
              <w:t>7.16</w:t>
            </w:r>
            <w:r w:rsidR="00136716">
              <w:rPr>
                <w:rFonts w:cs="Arial"/>
                <w:color w:val="000000"/>
                <w:szCs w:val="18"/>
              </w:rPr>
              <w:t xml:space="preserve"> pm</w:t>
            </w:r>
          </w:p>
        </w:tc>
        <w:tc>
          <w:tcPr>
            <w:tcW w:w="523" w:type="pct"/>
            <w:vAlign w:val="center"/>
          </w:tcPr>
          <w:p w:rsidR="00136716" w:rsidRDefault="002C581B" w:rsidP="00136716">
            <w:pPr>
              <w:jc w:val="center"/>
              <w:textAlignment w:val="center"/>
              <w:rPr>
                <w:rFonts w:cs="Arial"/>
                <w:color w:val="000000"/>
                <w:szCs w:val="18"/>
              </w:rPr>
            </w:pPr>
            <w:r>
              <w:rPr>
                <w:rFonts w:cs="Arial"/>
                <w:color w:val="000000"/>
                <w:szCs w:val="18"/>
              </w:rPr>
              <w:t>7.2</w:t>
            </w:r>
            <w:r w:rsidR="00136716">
              <w:rPr>
                <w:rFonts w:cs="Arial"/>
                <w:color w:val="000000"/>
                <w:szCs w:val="18"/>
              </w:rPr>
              <w:t>5 pm</w:t>
            </w:r>
          </w:p>
        </w:tc>
        <w:tc>
          <w:tcPr>
            <w:tcW w:w="583" w:type="pct"/>
            <w:vAlign w:val="center"/>
          </w:tcPr>
          <w:p w:rsidR="00136716" w:rsidRDefault="002C581B">
            <w:pPr>
              <w:textAlignment w:val="center"/>
              <w:rPr>
                <w:rFonts w:cs="Arial"/>
                <w:color w:val="000000"/>
                <w:szCs w:val="18"/>
              </w:rPr>
            </w:pPr>
            <w:r>
              <w:rPr>
                <w:rFonts w:cs="Arial"/>
                <w:color w:val="000000"/>
                <w:szCs w:val="18"/>
              </w:rPr>
              <w:t>AGL</w:t>
            </w:r>
            <w:r w:rsidR="00213CF6">
              <w:rPr>
                <w:rFonts w:cs="Arial"/>
                <w:color w:val="000000"/>
                <w:szCs w:val="18"/>
              </w:rPr>
              <w:t xml:space="preserve"> Energy</w:t>
            </w:r>
          </w:p>
        </w:tc>
        <w:tc>
          <w:tcPr>
            <w:tcW w:w="530" w:type="pct"/>
            <w:vAlign w:val="center"/>
          </w:tcPr>
          <w:p w:rsidR="00136716" w:rsidRDefault="002C581B">
            <w:pPr>
              <w:textAlignment w:val="center"/>
              <w:rPr>
                <w:rFonts w:cs="Arial"/>
                <w:color w:val="000000"/>
                <w:szCs w:val="18"/>
              </w:rPr>
            </w:pPr>
            <w:r>
              <w:rPr>
                <w:rFonts w:cs="Arial"/>
                <w:color w:val="000000"/>
                <w:szCs w:val="18"/>
              </w:rPr>
              <w:t>T</w:t>
            </w:r>
            <w:r w:rsidR="00213CF6">
              <w:rPr>
                <w:rFonts w:cs="Arial"/>
                <w:color w:val="000000"/>
                <w:szCs w:val="18"/>
              </w:rPr>
              <w:t>orrens</w:t>
            </w:r>
            <w:r>
              <w:rPr>
                <w:rFonts w:cs="Arial"/>
                <w:color w:val="000000"/>
                <w:szCs w:val="18"/>
              </w:rPr>
              <w:t xml:space="preserve"> Island</w:t>
            </w:r>
            <w:r w:rsidR="0028440E">
              <w:rPr>
                <w:rFonts w:cs="Arial"/>
                <w:color w:val="000000"/>
                <w:szCs w:val="18"/>
              </w:rPr>
              <w:t xml:space="preserve"> B</w:t>
            </w:r>
          </w:p>
        </w:tc>
        <w:tc>
          <w:tcPr>
            <w:tcW w:w="507" w:type="pct"/>
            <w:vAlign w:val="center"/>
          </w:tcPr>
          <w:p w:rsidR="00136716" w:rsidRDefault="002C581B">
            <w:pPr>
              <w:jc w:val="center"/>
              <w:textAlignment w:val="center"/>
              <w:rPr>
                <w:rFonts w:cs="Arial"/>
                <w:color w:val="000000"/>
                <w:szCs w:val="18"/>
              </w:rPr>
            </w:pPr>
            <w:r>
              <w:rPr>
                <w:rFonts w:cs="Arial"/>
                <w:color w:val="000000"/>
                <w:szCs w:val="18"/>
              </w:rPr>
              <w:t>100</w:t>
            </w:r>
          </w:p>
        </w:tc>
        <w:tc>
          <w:tcPr>
            <w:tcW w:w="507" w:type="pct"/>
            <w:vAlign w:val="center"/>
          </w:tcPr>
          <w:p w:rsidR="00136716" w:rsidRDefault="0028440E">
            <w:pPr>
              <w:jc w:val="center"/>
              <w:textAlignment w:val="center"/>
              <w:rPr>
                <w:rFonts w:cs="Arial"/>
                <w:color w:val="000000"/>
                <w:szCs w:val="18"/>
              </w:rPr>
            </w:pPr>
            <w:r>
              <w:rPr>
                <w:rFonts w:cs="Arial"/>
                <w:color w:val="000000"/>
                <w:szCs w:val="18"/>
              </w:rPr>
              <w:t>&lt;</w:t>
            </w:r>
            <w:r w:rsidR="002C581B">
              <w:rPr>
                <w:rFonts w:cs="Arial"/>
                <w:color w:val="000000"/>
                <w:szCs w:val="18"/>
              </w:rPr>
              <w:t>65</w:t>
            </w:r>
          </w:p>
        </w:tc>
        <w:tc>
          <w:tcPr>
            <w:tcW w:w="492" w:type="pct"/>
            <w:vAlign w:val="center"/>
          </w:tcPr>
          <w:p w:rsidR="00136716" w:rsidRDefault="001E14C2">
            <w:pPr>
              <w:jc w:val="center"/>
              <w:textAlignment w:val="center"/>
              <w:rPr>
                <w:rFonts w:cs="Arial"/>
                <w:color w:val="000000"/>
                <w:szCs w:val="18"/>
              </w:rPr>
            </w:pPr>
            <w:r>
              <w:rPr>
                <w:rFonts w:cs="Arial"/>
                <w:color w:val="000000"/>
                <w:szCs w:val="18"/>
              </w:rPr>
              <w:t>13 800</w:t>
            </w:r>
          </w:p>
        </w:tc>
        <w:tc>
          <w:tcPr>
            <w:tcW w:w="1322" w:type="pct"/>
            <w:vAlign w:val="center"/>
          </w:tcPr>
          <w:p w:rsidR="00136716" w:rsidRPr="0063066D" w:rsidRDefault="001E14C2">
            <w:pPr>
              <w:textAlignment w:val="center"/>
              <w:rPr>
                <w:rFonts w:cs="Arial"/>
                <w:color w:val="000000"/>
                <w:sz w:val="16"/>
                <w:szCs w:val="18"/>
              </w:rPr>
            </w:pPr>
            <w:r w:rsidRPr="0063066D">
              <w:rPr>
                <w:rFonts w:cs="Arial"/>
                <w:sz w:val="16"/>
                <w:szCs w:val="18"/>
              </w:rPr>
              <w:t xml:space="preserve">1901~A~040 chg in AEMO disp~41 demand increase vs PD [SA1] [&gt;60MW]PD18:31-19:01 </w:t>
            </w:r>
            <w:r w:rsidR="00FF657C" w:rsidRPr="0063066D">
              <w:rPr>
                <w:rFonts w:cs="Arial"/>
                <w:sz w:val="16"/>
                <w:szCs w:val="18"/>
              </w:rPr>
              <w:t>for</w:t>
            </w:r>
            <w:r w:rsidRPr="0063066D">
              <w:rPr>
                <w:rFonts w:cs="Arial"/>
                <w:sz w:val="16"/>
                <w:szCs w:val="18"/>
              </w:rPr>
              <w:t xml:space="preserve"> TI 9:30-20:00HRS</w:t>
            </w:r>
          </w:p>
        </w:tc>
      </w:tr>
    </w:tbl>
    <w:p w:rsidR="00D323D0" w:rsidRDefault="00FF657C" w:rsidP="005C546A">
      <w:pPr>
        <w:pStyle w:val="AERbodytext"/>
        <w:spacing w:before="240"/>
        <w:rPr>
          <w:bCs/>
          <w:lang w:eastAsia="en-AU"/>
        </w:rPr>
      </w:pPr>
      <w:r>
        <w:rPr>
          <w:bCs/>
          <w:lang w:eastAsia="en-AU"/>
        </w:rPr>
        <w:t>T</w:t>
      </w:r>
      <w:r w:rsidR="002C581B">
        <w:rPr>
          <w:bCs/>
          <w:lang w:eastAsia="en-AU"/>
        </w:rPr>
        <w:t xml:space="preserve">he dispatch price rose </w:t>
      </w:r>
      <w:r>
        <w:rPr>
          <w:bCs/>
          <w:lang w:eastAsia="en-AU"/>
        </w:rPr>
        <w:t xml:space="preserve">from $67/MWh at 7.20 pm </w:t>
      </w:r>
      <w:r w:rsidR="002C581B">
        <w:rPr>
          <w:bCs/>
          <w:lang w:eastAsia="en-AU"/>
        </w:rPr>
        <w:t xml:space="preserve">to the price cap </w:t>
      </w:r>
      <w:r w:rsidR="009F1E42">
        <w:rPr>
          <w:bCs/>
          <w:lang w:eastAsia="en-AU"/>
        </w:rPr>
        <w:t xml:space="preserve">at 7.25 am </w:t>
      </w:r>
      <w:r w:rsidR="002C581B">
        <w:rPr>
          <w:bCs/>
          <w:lang w:eastAsia="en-AU"/>
        </w:rPr>
        <w:t>following the above rebid by AGL</w:t>
      </w:r>
      <w:r w:rsidR="0028440E">
        <w:rPr>
          <w:bCs/>
          <w:lang w:eastAsia="en-AU"/>
        </w:rPr>
        <w:t xml:space="preserve">, </w:t>
      </w:r>
      <w:r w:rsidR="009F1E42">
        <w:rPr>
          <w:bCs/>
          <w:lang w:eastAsia="en-AU"/>
        </w:rPr>
        <w:t xml:space="preserve">with </w:t>
      </w:r>
      <w:r w:rsidR="00D323D0">
        <w:rPr>
          <w:bCs/>
          <w:lang w:eastAsia="en-AU"/>
        </w:rPr>
        <w:t>all other available generation fully dispatched or ramp rate limited</w:t>
      </w:r>
      <w:r w:rsidR="0063066D">
        <w:rPr>
          <w:bCs/>
          <w:lang w:eastAsia="en-AU"/>
        </w:rPr>
        <w:t>,</w:t>
      </w:r>
      <w:r w:rsidR="009F1E42">
        <w:rPr>
          <w:bCs/>
          <w:lang w:eastAsia="en-AU"/>
        </w:rPr>
        <w:t xml:space="preserve"> Torrens Island set the price</w:t>
      </w:r>
      <w:r w:rsidR="00D323D0">
        <w:rPr>
          <w:bCs/>
          <w:lang w:eastAsia="en-AU"/>
        </w:rPr>
        <w:t>.</w:t>
      </w:r>
    </w:p>
    <w:p w:rsidR="002C581B" w:rsidRDefault="00720AB2" w:rsidP="00884D30">
      <w:pPr>
        <w:pStyle w:val="AERbodytext"/>
        <w:rPr>
          <w:bCs/>
          <w:lang w:eastAsia="en-AU"/>
        </w:rPr>
      </w:pPr>
      <w:r>
        <w:rPr>
          <w:bCs/>
          <w:lang w:eastAsia="en-AU"/>
        </w:rPr>
        <w:t xml:space="preserve">At 7.30 pm the dispatch price fell to $43/MWh </w:t>
      </w:r>
      <w:r w:rsidR="00E65CF4">
        <w:rPr>
          <w:bCs/>
          <w:lang w:eastAsia="en-AU"/>
        </w:rPr>
        <w:t>as a result of a</w:t>
      </w:r>
      <w:r w:rsidR="00547DC4">
        <w:rPr>
          <w:bCs/>
          <w:lang w:eastAsia="en-AU"/>
        </w:rPr>
        <w:t xml:space="preserve"> </w:t>
      </w:r>
      <w:r w:rsidR="00E65CF4">
        <w:rPr>
          <w:bCs/>
          <w:lang w:eastAsia="en-AU"/>
        </w:rPr>
        <w:t>130 MW decrease in demand (mostly from an increase in</w:t>
      </w:r>
      <w:r w:rsidR="009928BC">
        <w:rPr>
          <w:bCs/>
          <w:lang w:eastAsia="en-AU"/>
        </w:rPr>
        <w:t xml:space="preserve"> non-scheduled generation</w:t>
      </w:r>
      <w:r w:rsidR="00E65CF4">
        <w:rPr>
          <w:bCs/>
          <w:lang w:eastAsia="en-AU"/>
        </w:rPr>
        <w:t>)</w:t>
      </w:r>
      <w:r w:rsidR="009928BC">
        <w:rPr>
          <w:bCs/>
          <w:lang w:eastAsia="en-AU"/>
        </w:rPr>
        <w:t xml:space="preserve"> and EnergyAustralia rebidding 46 MW of capacity to price bands below $300/MWh. </w:t>
      </w:r>
    </w:p>
    <w:p w:rsidR="00136716" w:rsidRPr="00125F4F" w:rsidRDefault="00125F4F" w:rsidP="00125F4F">
      <w:pPr>
        <w:pStyle w:val="AERHeading3"/>
      </w:pPr>
      <w:r>
        <w:t xml:space="preserve">Monday, 17 August </w:t>
      </w:r>
    </w:p>
    <w:p w:rsidR="00631560" w:rsidRDefault="00087C4A" w:rsidP="00631560">
      <w:pPr>
        <w:pStyle w:val="Caption"/>
      </w:pPr>
      <w:r>
        <w:t xml:space="preserve">Table </w:t>
      </w:r>
      <w:r w:rsidR="00536C31">
        <w:fldChar w:fldCharType="begin"/>
      </w:r>
      <w:r w:rsidR="00536C31">
        <w:instrText xml:space="preserve"> SEQ T</w:instrText>
      </w:r>
      <w:r w:rsidR="00536C31">
        <w:instrText xml:space="preserve">able \* ARABIC </w:instrText>
      </w:r>
      <w:r w:rsidR="00536C31">
        <w:fldChar w:fldCharType="separate"/>
      </w:r>
      <w:r w:rsidR="00536C31">
        <w:rPr>
          <w:noProof/>
        </w:rPr>
        <w:t>5</w:t>
      </w:r>
      <w:r w:rsidR="00536C31">
        <w:rPr>
          <w:noProof/>
        </w:rPr>
        <w:fldChar w:fldCharType="end"/>
      </w:r>
      <w:r w:rsidR="002515C3">
        <w:t>:</w:t>
      </w:r>
      <w:r w:rsidR="00631560" w:rsidRPr="00431FC4">
        <w:t xml:space="preserve"> Price, Demand and Availability</w:t>
      </w:r>
    </w:p>
    <w:tbl>
      <w:tblPr>
        <w:tblStyle w:val="AERsummarytable"/>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631560" w:rsidRPr="00616CEC" w:rsidTr="00616CEC">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631560" w:rsidRPr="00DC24BF" w:rsidRDefault="00631560" w:rsidP="00631560">
            <w:pPr>
              <w:pStyle w:val="TableHeading"/>
              <w:jc w:val="center"/>
              <w:rPr>
                <w:rFonts w:cs="Arial"/>
                <w:sz w:val="20"/>
                <w:szCs w:val="20"/>
              </w:rPr>
            </w:pPr>
            <w:r w:rsidRPr="00DC24BF">
              <w:rPr>
                <w:rFonts w:cs="Arial"/>
                <w:sz w:val="20"/>
                <w:szCs w:val="20"/>
              </w:rPr>
              <w:t xml:space="preserve">Time </w:t>
            </w:r>
          </w:p>
        </w:tc>
        <w:tc>
          <w:tcPr>
            <w:tcW w:w="1624"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Price ($/MWh)</w:t>
            </w:r>
          </w:p>
        </w:tc>
        <w:tc>
          <w:tcPr>
            <w:tcW w:w="1422"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Demand (MW)</w:t>
            </w:r>
          </w:p>
        </w:tc>
        <w:tc>
          <w:tcPr>
            <w:tcW w:w="1447" w:type="pct"/>
            <w:gridSpan w:val="3"/>
            <w:hideMark/>
          </w:tcPr>
          <w:p w:rsidR="00631560" w:rsidRPr="00DC24BF" w:rsidRDefault="00631560" w:rsidP="00631560">
            <w:pPr>
              <w:pStyle w:val="TableHeading"/>
              <w:jc w:val="center"/>
              <w:rPr>
                <w:rFonts w:cs="Arial"/>
                <w:sz w:val="20"/>
                <w:szCs w:val="20"/>
              </w:rPr>
            </w:pPr>
            <w:r w:rsidRPr="00DC24BF">
              <w:rPr>
                <w:rFonts w:cs="Arial"/>
                <w:sz w:val="20"/>
                <w:szCs w:val="20"/>
              </w:rPr>
              <w:t>Availability (MW)</w:t>
            </w:r>
          </w:p>
        </w:tc>
      </w:tr>
      <w:tr w:rsidR="00631560" w:rsidRPr="00616CEC" w:rsidTr="00616CEC">
        <w:trPr>
          <w:cnfStyle w:val="100000000000" w:firstRow="1" w:lastRow="0" w:firstColumn="0" w:lastColumn="0" w:oddVBand="0" w:evenVBand="0" w:oddHBand="0" w:evenHBand="0" w:firstRowFirstColumn="0" w:firstRowLastColumn="0" w:lastRowFirstColumn="0" w:lastRowLastColumn="0"/>
          <w:tblHeader/>
        </w:trPr>
        <w:tc>
          <w:tcPr>
            <w:tcW w:w="506"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 </w:t>
            </w:r>
          </w:p>
        </w:tc>
        <w:tc>
          <w:tcPr>
            <w:tcW w:w="620"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c>
          <w:tcPr>
            <w:tcW w:w="418"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c>
          <w:tcPr>
            <w:tcW w:w="443"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Actual</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4 hr forecast</w:t>
            </w:r>
          </w:p>
        </w:tc>
        <w:tc>
          <w:tcPr>
            <w:tcW w:w="502" w:type="pct"/>
            <w:hideMark/>
          </w:tcPr>
          <w:p w:rsidR="00631560" w:rsidRPr="00616CEC" w:rsidRDefault="00631560" w:rsidP="00616CEC">
            <w:pPr>
              <w:pStyle w:val="TableHeading"/>
              <w:jc w:val="center"/>
              <w:rPr>
                <w:rFonts w:cs="Arial"/>
                <w:b w:val="0"/>
                <w:sz w:val="20"/>
                <w:szCs w:val="20"/>
              </w:rPr>
            </w:pPr>
            <w:r w:rsidRPr="00616CEC">
              <w:rPr>
                <w:rFonts w:cs="Arial"/>
                <w:b w:val="0"/>
                <w:sz w:val="20"/>
                <w:szCs w:val="20"/>
              </w:rPr>
              <w:t>12 hr forecast</w:t>
            </w:r>
          </w:p>
        </w:tc>
      </w:tr>
      <w:tr w:rsidR="00125F4F" w:rsidRPr="00F113FD" w:rsidTr="00213CF6">
        <w:trPr>
          <w:cnfStyle w:val="000000100000" w:firstRow="0" w:lastRow="0" w:firstColumn="0" w:lastColumn="0" w:oddVBand="0" w:evenVBand="0" w:oddHBand="1" w:evenHBand="0" w:firstRowFirstColumn="0" w:firstRowLastColumn="0" w:lastRowFirstColumn="0" w:lastRowLastColumn="0"/>
          <w:trHeight w:val="510"/>
        </w:trPr>
        <w:tc>
          <w:tcPr>
            <w:tcW w:w="506" w:type="pct"/>
            <w:vAlign w:val="center"/>
          </w:tcPr>
          <w:p w:rsidR="00125F4F" w:rsidRPr="00547DC4" w:rsidRDefault="00125F4F" w:rsidP="00FD5316">
            <w:pPr>
              <w:spacing w:before="100" w:beforeAutospacing="1" w:after="100" w:afterAutospacing="1" w:line="240" w:lineRule="auto"/>
              <w:rPr>
                <w:rFonts w:cs="Arial"/>
                <w:szCs w:val="18"/>
                <w:lang w:eastAsia="en-AU"/>
              </w:rPr>
            </w:pPr>
            <w:r w:rsidRPr="00547DC4">
              <w:rPr>
                <w:rFonts w:cs="Arial"/>
                <w:szCs w:val="18"/>
                <w:lang w:eastAsia="en-AU"/>
              </w:rPr>
              <w:t>8.30 pm</w:t>
            </w:r>
          </w:p>
        </w:tc>
        <w:tc>
          <w:tcPr>
            <w:tcW w:w="620"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2289.21</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64.99</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94.80</w:t>
            </w:r>
          </w:p>
        </w:tc>
        <w:tc>
          <w:tcPr>
            <w:tcW w:w="418"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1979</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2051</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2110</w:t>
            </w:r>
          </w:p>
        </w:tc>
        <w:tc>
          <w:tcPr>
            <w:tcW w:w="443"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2143</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2220</w:t>
            </w:r>
          </w:p>
        </w:tc>
        <w:tc>
          <w:tcPr>
            <w:tcW w:w="502" w:type="pct"/>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2242</w:t>
            </w:r>
          </w:p>
        </w:tc>
      </w:tr>
    </w:tbl>
    <w:p w:rsidR="00275927" w:rsidRPr="00F55548" w:rsidRDefault="006471D4" w:rsidP="00485752">
      <w:pPr>
        <w:pStyle w:val="AERHeading3"/>
        <w:jc w:val="both"/>
        <w:rPr>
          <w:b w:val="0"/>
          <w:color w:val="auto"/>
          <w:sz w:val="22"/>
          <w:szCs w:val="22"/>
        </w:rPr>
      </w:pPr>
      <w:r w:rsidRPr="00F55548">
        <w:rPr>
          <w:b w:val="0"/>
          <w:color w:val="auto"/>
          <w:sz w:val="22"/>
          <w:szCs w:val="22"/>
        </w:rPr>
        <w:t xml:space="preserve">Demand and </w:t>
      </w:r>
      <w:r w:rsidR="00125F4F">
        <w:rPr>
          <w:b w:val="0"/>
          <w:color w:val="auto"/>
          <w:sz w:val="22"/>
          <w:szCs w:val="22"/>
        </w:rPr>
        <w:t xml:space="preserve">available </w:t>
      </w:r>
      <w:r w:rsidRPr="00F55548">
        <w:rPr>
          <w:b w:val="0"/>
          <w:color w:val="auto"/>
          <w:sz w:val="22"/>
          <w:szCs w:val="22"/>
        </w:rPr>
        <w:t xml:space="preserve">capacity were </w:t>
      </w:r>
      <w:r w:rsidR="00125F4F">
        <w:rPr>
          <w:b w:val="0"/>
          <w:color w:val="auto"/>
          <w:sz w:val="22"/>
          <w:szCs w:val="22"/>
        </w:rPr>
        <w:t xml:space="preserve">both </w:t>
      </w:r>
      <w:r w:rsidR="00547DC4">
        <w:rPr>
          <w:b w:val="0"/>
          <w:color w:val="auto"/>
          <w:sz w:val="22"/>
          <w:szCs w:val="22"/>
        </w:rPr>
        <w:t xml:space="preserve">slightly </w:t>
      </w:r>
      <w:r w:rsidR="00125F4F">
        <w:rPr>
          <w:b w:val="0"/>
          <w:color w:val="auto"/>
          <w:sz w:val="22"/>
          <w:szCs w:val="22"/>
        </w:rPr>
        <w:t>lower than</w:t>
      </w:r>
      <w:r w:rsidRPr="00F55548">
        <w:rPr>
          <w:b w:val="0"/>
          <w:color w:val="auto"/>
          <w:sz w:val="22"/>
          <w:szCs w:val="22"/>
        </w:rPr>
        <w:t xml:space="preserve"> </w:t>
      </w:r>
      <w:r w:rsidR="007D6FC9">
        <w:rPr>
          <w:b w:val="0"/>
          <w:color w:val="auto"/>
          <w:sz w:val="22"/>
          <w:szCs w:val="22"/>
        </w:rPr>
        <w:t xml:space="preserve">that </w:t>
      </w:r>
      <w:r w:rsidR="005C546A">
        <w:rPr>
          <w:b w:val="0"/>
          <w:color w:val="auto"/>
          <w:sz w:val="22"/>
          <w:szCs w:val="22"/>
        </w:rPr>
        <w:t>forecast four hours ahead</w:t>
      </w:r>
      <w:r w:rsidR="0063066D">
        <w:rPr>
          <w:b w:val="0"/>
          <w:color w:val="auto"/>
          <w:sz w:val="22"/>
          <w:szCs w:val="22"/>
        </w:rPr>
        <w:t>.</w:t>
      </w:r>
      <w:r w:rsidRPr="00F55548">
        <w:rPr>
          <w:b w:val="0"/>
          <w:color w:val="auto"/>
          <w:sz w:val="22"/>
          <w:szCs w:val="22"/>
        </w:rPr>
        <w:t xml:space="preserve"> </w:t>
      </w:r>
    </w:p>
    <w:p w:rsidR="00B11C09" w:rsidRPr="002D1734" w:rsidRDefault="00B11C09" w:rsidP="00B11C09">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sidRPr="002D1734">
        <w:rPr>
          <w:b/>
          <w:bCs/>
          <w:color w:val="2272A3" w:themeColor="accent4" w:themeShade="80"/>
          <w:sz w:val="24"/>
          <w:szCs w:val="18"/>
        </w:rPr>
        <w:fldChar w:fldCharType="begin"/>
      </w:r>
      <w:r w:rsidRPr="002D1734">
        <w:rPr>
          <w:b/>
          <w:bCs/>
          <w:color w:val="2272A3" w:themeColor="accent4" w:themeShade="80"/>
          <w:sz w:val="24"/>
          <w:szCs w:val="18"/>
        </w:rPr>
        <w:instrText xml:space="preserve"> SEQ Table \* ARABIC </w:instrText>
      </w:r>
      <w:r w:rsidRPr="002D1734">
        <w:rPr>
          <w:b/>
          <w:bCs/>
          <w:color w:val="2272A3" w:themeColor="accent4" w:themeShade="80"/>
          <w:sz w:val="24"/>
          <w:szCs w:val="18"/>
        </w:rPr>
        <w:fldChar w:fldCharType="separate"/>
      </w:r>
      <w:r w:rsidR="00536C31">
        <w:rPr>
          <w:b/>
          <w:bCs/>
          <w:noProof/>
          <w:color w:val="2272A3" w:themeColor="accent4" w:themeShade="80"/>
          <w:sz w:val="24"/>
          <w:szCs w:val="18"/>
        </w:rPr>
        <w:t>6</w:t>
      </w:r>
      <w:r w:rsidRPr="002D1734">
        <w:rPr>
          <w:b/>
          <w:bCs/>
          <w:noProof/>
          <w:color w:val="2272A3" w:themeColor="accent4" w:themeShade="80"/>
          <w:sz w:val="24"/>
          <w:szCs w:val="18"/>
        </w:rPr>
        <w:fldChar w:fldCharType="end"/>
      </w:r>
      <w:r w:rsidR="002515C3">
        <w:rPr>
          <w:b/>
          <w:bCs/>
          <w:color w:val="2272A3" w:themeColor="accent4" w:themeShade="80"/>
          <w:sz w:val="24"/>
          <w:szCs w:val="18"/>
        </w:rPr>
        <w:t>:</w:t>
      </w:r>
      <w:r w:rsidR="00DE7345">
        <w:rPr>
          <w:b/>
          <w:bCs/>
          <w:color w:val="2272A3" w:themeColor="accent4" w:themeShade="80"/>
          <w:sz w:val="24"/>
          <w:szCs w:val="18"/>
        </w:rPr>
        <w:t xml:space="preserve"> Rebids for </w:t>
      </w:r>
      <w:r w:rsidR="009B0884">
        <w:rPr>
          <w:b/>
          <w:bCs/>
          <w:color w:val="2272A3" w:themeColor="accent4" w:themeShade="80"/>
          <w:sz w:val="24"/>
          <w:szCs w:val="18"/>
        </w:rPr>
        <w:t xml:space="preserve">the </w:t>
      </w:r>
      <w:r w:rsidR="00DE7345">
        <w:rPr>
          <w:b/>
          <w:bCs/>
          <w:color w:val="2272A3" w:themeColor="accent4" w:themeShade="80"/>
          <w:sz w:val="24"/>
          <w:szCs w:val="18"/>
        </w:rPr>
        <w:t>10 pm</w:t>
      </w:r>
      <w:r w:rsidR="009B0884">
        <w:rPr>
          <w:b/>
          <w:bCs/>
          <w:color w:val="2272A3" w:themeColor="accent4" w:themeShade="80"/>
          <w:sz w:val="24"/>
          <w:szCs w:val="18"/>
        </w:rPr>
        <w:t xml:space="preserve"> trading interval</w:t>
      </w:r>
    </w:p>
    <w:tbl>
      <w:tblPr>
        <w:tblStyle w:val="AERsummarytable2"/>
        <w:tblW w:w="5000" w:type="pct"/>
        <w:tblLayout w:type="fixed"/>
        <w:tblLook w:val="04A0" w:firstRow="1" w:lastRow="0" w:firstColumn="1" w:lastColumn="0" w:noHBand="0" w:noVBand="1"/>
      </w:tblPr>
      <w:tblGrid>
        <w:gridCol w:w="990"/>
        <w:gridCol w:w="967"/>
        <w:gridCol w:w="1078"/>
        <w:gridCol w:w="980"/>
        <w:gridCol w:w="937"/>
        <w:gridCol w:w="937"/>
        <w:gridCol w:w="1022"/>
        <w:gridCol w:w="2331"/>
      </w:tblGrid>
      <w:tr w:rsidR="00F55548" w:rsidRPr="002D1734" w:rsidTr="00F55548">
        <w:trPr>
          <w:cnfStyle w:val="100000000000" w:firstRow="1" w:lastRow="0" w:firstColumn="0" w:lastColumn="0" w:oddVBand="0" w:evenVBand="0" w:oddHBand="0" w:evenHBand="0" w:firstRowFirstColumn="0" w:firstRowLastColumn="0" w:lastRowFirstColumn="0" w:lastRowLastColumn="0"/>
          <w:trHeight w:val="780"/>
          <w:tblHeader/>
        </w:trPr>
        <w:tc>
          <w:tcPr>
            <w:tcW w:w="536"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Submit time</w:t>
            </w:r>
          </w:p>
        </w:tc>
        <w:tc>
          <w:tcPr>
            <w:tcW w:w="523" w:type="pct"/>
          </w:tcPr>
          <w:p w:rsidR="00F55548" w:rsidRPr="002D1734" w:rsidRDefault="00F55548" w:rsidP="00213CF6">
            <w:pPr>
              <w:spacing w:before="60" w:after="60"/>
              <w:rPr>
                <w:b w:val="0"/>
                <w:bCs/>
                <w:szCs w:val="18"/>
              </w:rPr>
            </w:pPr>
            <w:r w:rsidRPr="002D1734">
              <w:rPr>
                <w:b w:val="0"/>
                <w:bCs/>
                <w:szCs w:val="18"/>
                <w14:numSpacing w14:val="default"/>
              </w:rPr>
              <w:t>Time effective</w:t>
            </w:r>
          </w:p>
        </w:tc>
        <w:tc>
          <w:tcPr>
            <w:tcW w:w="583"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Participant</w:t>
            </w:r>
          </w:p>
        </w:tc>
        <w:tc>
          <w:tcPr>
            <w:tcW w:w="530"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Station</w:t>
            </w:r>
          </w:p>
        </w:tc>
        <w:tc>
          <w:tcPr>
            <w:tcW w:w="507"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Capacity rebid (MW)</w:t>
            </w:r>
          </w:p>
        </w:tc>
        <w:tc>
          <w:tcPr>
            <w:tcW w:w="507"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Price from ($/MWh)</w:t>
            </w:r>
          </w:p>
        </w:tc>
        <w:tc>
          <w:tcPr>
            <w:tcW w:w="553"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Price to ($/MWh)</w:t>
            </w:r>
          </w:p>
        </w:tc>
        <w:tc>
          <w:tcPr>
            <w:tcW w:w="1261" w:type="pct"/>
            <w:hideMark/>
          </w:tcPr>
          <w:p w:rsidR="00F55548" w:rsidRPr="002D1734" w:rsidRDefault="00F55548" w:rsidP="00213CF6">
            <w:pPr>
              <w:spacing w:before="60" w:after="60"/>
              <w:rPr>
                <w:b w:val="0"/>
                <w:szCs w:val="18"/>
                <w14:numSpacing w14:val="default"/>
              </w:rPr>
            </w:pPr>
            <w:r w:rsidRPr="002D1734">
              <w:rPr>
                <w:b w:val="0"/>
                <w:bCs/>
                <w:szCs w:val="18"/>
                <w14:numSpacing w14:val="default"/>
              </w:rPr>
              <w:t>Rebid reason</w:t>
            </w:r>
          </w:p>
        </w:tc>
      </w:tr>
      <w:tr w:rsidR="00F55548" w:rsidRPr="002D1734" w:rsidTr="00213CF6">
        <w:trPr>
          <w:cnfStyle w:val="000000100000" w:firstRow="0" w:lastRow="0" w:firstColumn="0" w:lastColumn="0" w:oddVBand="0" w:evenVBand="0" w:oddHBand="1" w:evenHBand="0" w:firstRowFirstColumn="0" w:firstRowLastColumn="0" w:lastRowFirstColumn="0" w:lastRowLastColumn="0"/>
          <w:trHeight w:val="606"/>
        </w:trPr>
        <w:tc>
          <w:tcPr>
            <w:tcW w:w="536" w:type="pct"/>
            <w:vAlign w:val="center"/>
          </w:tcPr>
          <w:p w:rsidR="00F55548" w:rsidRDefault="00213CF6">
            <w:pPr>
              <w:jc w:val="center"/>
              <w:textAlignment w:val="center"/>
              <w:rPr>
                <w:rFonts w:cs="Arial"/>
                <w:color w:val="000000"/>
                <w:szCs w:val="18"/>
              </w:rPr>
            </w:pPr>
            <w:r>
              <w:rPr>
                <w:rFonts w:cs="Arial"/>
                <w:color w:val="000000"/>
                <w:szCs w:val="18"/>
              </w:rPr>
              <w:t>8</w:t>
            </w:r>
            <w:r w:rsidR="00D71771">
              <w:rPr>
                <w:rFonts w:cs="Arial"/>
                <w:color w:val="000000"/>
                <w:szCs w:val="18"/>
              </w:rPr>
              <w:t>.</w:t>
            </w:r>
            <w:r>
              <w:rPr>
                <w:rFonts w:cs="Arial"/>
                <w:color w:val="000000"/>
                <w:szCs w:val="18"/>
              </w:rPr>
              <w:t>0</w:t>
            </w:r>
            <w:r w:rsidR="00F55548">
              <w:rPr>
                <w:rFonts w:cs="Arial"/>
                <w:color w:val="000000"/>
                <w:szCs w:val="18"/>
              </w:rPr>
              <w:t>8 pm</w:t>
            </w:r>
          </w:p>
        </w:tc>
        <w:tc>
          <w:tcPr>
            <w:tcW w:w="523" w:type="pct"/>
            <w:vAlign w:val="center"/>
          </w:tcPr>
          <w:p w:rsidR="00F55548" w:rsidRDefault="00213CF6" w:rsidP="00D71771">
            <w:pPr>
              <w:jc w:val="center"/>
              <w:textAlignment w:val="center"/>
              <w:rPr>
                <w:rFonts w:cs="Arial"/>
                <w:color w:val="000000"/>
                <w:szCs w:val="18"/>
              </w:rPr>
            </w:pPr>
            <w:r>
              <w:rPr>
                <w:rFonts w:cs="Arial"/>
                <w:color w:val="000000"/>
                <w:szCs w:val="18"/>
              </w:rPr>
              <w:t>8.15</w:t>
            </w:r>
            <w:r w:rsidR="00F55548">
              <w:rPr>
                <w:rFonts w:cs="Arial"/>
                <w:color w:val="000000"/>
                <w:szCs w:val="18"/>
              </w:rPr>
              <w:t xml:space="preserve"> </w:t>
            </w:r>
            <w:r w:rsidR="00D71771">
              <w:rPr>
                <w:rFonts w:cs="Arial"/>
                <w:color w:val="000000"/>
                <w:szCs w:val="18"/>
              </w:rPr>
              <w:t>pm</w:t>
            </w:r>
          </w:p>
        </w:tc>
        <w:tc>
          <w:tcPr>
            <w:tcW w:w="583" w:type="pct"/>
            <w:vAlign w:val="center"/>
          </w:tcPr>
          <w:p w:rsidR="00F55548" w:rsidRDefault="00F55548">
            <w:pPr>
              <w:textAlignment w:val="center"/>
              <w:rPr>
                <w:rFonts w:cs="Arial"/>
                <w:color w:val="000000"/>
                <w:szCs w:val="18"/>
              </w:rPr>
            </w:pPr>
            <w:r>
              <w:rPr>
                <w:rFonts w:cs="Arial"/>
                <w:color w:val="000000"/>
                <w:szCs w:val="18"/>
              </w:rPr>
              <w:t>AGL Energy</w:t>
            </w:r>
          </w:p>
        </w:tc>
        <w:tc>
          <w:tcPr>
            <w:tcW w:w="530" w:type="pct"/>
            <w:vAlign w:val="center"/>
          </w:tcPr>
          <w:p w:rsidR="00F55548" w:rsidRDefault="00F55548">
            <w:pPr>
              <w:textAlignment w:val="center"/>
              <w:rPr>
                <w:rFonts w:cs="Arial"/>
                <w:color w:val="000000"/>
                <w:szCs w:val="18"/>
              </w:rPr>
            </w:pPr>
            <w:r>
              <w:rPr>
                <w:rFonts w:cs="Arial"/>
                <w:color w:val="000000"/>
                <w:szCs w:val="18"/>
              </w:rPr>
              <w:t>Torrens Island</w:t>
            </w:r>
          </w:p>
        </w:tc>
        <w:tc>
          <w:tcPr>
            <w:tcW w:w="507" w:type="pct"/>
            <w:vAlign w:val="center"/>
          </w:tcPr>
          <w:p w:rsidR="00F55548" w:rsidRDefault="00213CF6">
            <w:pPr>
              <w:jc w:val="center"/>
              <w:textAlignment w:val="center"/>
              <w:rPr>
                <w:rFonts w:cs="Arial"/>
                <w:color w:val="000000"/>
                <w:szCs w:val="18"/>
              </w:rPr>
            </w:pPr>
            <w:r>
              <w:rPr>
                <w:rFonts w:cs="Arial"/>
                <w:color w:val="000000"/>
                <w:szCs w:val="18"/>
              </w:rPr>
              <w:t>265</w:t>
            </w:r>
          </w:p>
        </w:tc>
        <w:tc>
          <w:tcPr>
            <w:tcW w:w="507" w:type="pct"/>
            <w:vAlign w:val="center"/>
          </w:tcPr>
          <w:p w:rsidR="00F55548" w:rsidRDefault="00F55548">
            <w:pPr>
              <w:jc w:val="center"/>
              <w:textAlignment w:val="center"/>
              <w:rPr>
                <w:rFonts w:cs="Arial"/>
                <w:color w:val="000000"/>
                <w:szCs w:val="18"/>
              </w:rPr>
            </w:pPr>
            <w:r>
              <w:rPr>
                <w:rFonts w:cs="Arial"/>
                <w:color w:val="000000"/>
                <w:szCs w:val="18"/>
              </w:rPr>
              <w:t>&lt;</w:t>
            </w:r>
            <w:r w:rsidR="00213CF6">
              <w:rPr>
                <w:rFonts w:cs="Arial"/>
                <w:color w:val="000000"/>
                <w:szCs w:val="18"/>
              </w:rPr>
              <w:t>95</w:t>
            </w:r>
          </w:p>
        </w:tc>
        <w:tc>
          <w:tcPr>
            <w:tcW w:w="553" w:type="pct"/>
            <w:vAlign w:val="center"/>
          </w:tcPr>
          <w:p w:rsidR="00F55548" w:rsidRDefault="005C546A">
            <w:pPr>
              <w:jc w:val="center"/>
              <w:textAlignment w:val="center"/>
              <w:rPr>
                <w:rFonts w:cs="Arial"/>
                <w:color w:val="000000"/>
                <w:szCs w:val="18"/>
              </w:rPr>
            </w:pPr>
            <w:r>
              <w:rPr>
                <w:rFonts w:cs="Arial"/>
                <w:color w:val="000000"/>
                <w:szCs w:val="18"/>
              </w:rPr>
              <w:t>&gt;13 500</w:t>
            </w:r>
          </w:p>
        </w:tc>
        <w:tc>
          <w:tcPr>
            <w:tcW w:w="1261" w:type="pct"/>
            <w:vAlign w:val="center"/>
          </w:tcPr>
          <w:p w:rsidR="00F55548" w:rsidRDefault="00213CF6" w:rsidP="00213CF6">
            <w:pPr>
              <w:textAlignment w:val="center"/>
              <w:rPr>
                <w:rFonts w:cs="Arial"/>
                <w:color w:val="000000"/>
                <w:szCs w:val="18"/>
              </w:rPr>
            </w:pPr>
            <w:r>
              <w:rPr>
                <w:rFonts w:cs="Arial"/>
                <w:sz w:val="16"/>
                <w:szCs w:val="16"/>
              </w:rPr>
              <w:t>2010~A~040 CHG in AEMO DISP~41 demand increase stop of NS plant</w:t>
            </w:r>
          </w:p>
        </w:tc>
      </w:tr>
      <w:tr w:rsidR="003401B9" w:rsidRPr="002D1734" w:rsidTr="00213CF6">
        <w:trPr>
          <w:cnfStyle w:val="000000010000" w:firstRow="0" w:lastRow="0" w:firstColumn="0" w:lastColumn="0" w:oddVBand="0" w:evenVBand="0" w:oddHBand="0" w:evenHBand="1" w:firstRowFirstColumn="0" w:firstRowLastColumn="0" w:lastRowFirstColumn="0" w:lastRowLastColumn="0"/>
          <w:trHeight w:val="606"/>
        </w:trPr>
        <w:tc>
          <w:tcPr>
            <w:tcW w:w="536" w:type="pct"/>
            <w:vAlign w:val="center"/>
          </w:tcPr>
          <w:p w:rsidR="003401B9" w:rsidRDefault="003401B9">
            <w:pPr>
              <w:jc w:val="center"/>
              <w:textAlignment w:val="center"/>
              <w:rPr>
                <w:rFonts w:cs="Arial"/>
                <w:color w:val="000000"/>
                <w:szCs w:val="18"/>
              </w:rPr>
            </w:pPr>
            <w:r>
              <w:rPr>
                <w:rFonts w:cs="Arial"/>
                <w:color w:val="000000"/>
                <w:szCs w:val="18"/>
              </w:rPr>
              <w:t>8.12 pm</w:t>
            </w:r>
          </w:p>
        </w:tc>
        <w:tc>
          <w:tcPr>
            <w:tcW w:w="523" w:type="pct"/>
            <w:vAlign w:val="center"/>
          </w:tcPr>
          <w:p w:rsidR="003401B9" w:rsidRDefault="003401B9">
            <w:pPr>
              <w:jc w:val="center"/>
              <w:textAlignment w:val="center"/>
              <w:rPr>
                <w:rFonts w:cs="Arial"/>
                <w:color w:val="000000"/>
                <w:szCs w:val="18"/>
              </w:rPr>
            </w:pPr>
            <w:r>
              <w:rPr>
                <w:rFonts w:cs="Arial"/>
                <w:color w:val="000000"/>
                <w:szCs w:val="18"/>
              </w:rPr>
              <w:t>8.20 pm</w:t>
            </w:r>
          </w:p>
        </w:tc>
        <w:tc>
          <w:tcPr>
            <w:tcW w:w="583" w:type="pct"/>
            <w:vAlign w:val="center"/>
          </w:tcPr>
          <w:p w:rsidR="003401B9" w:rsidRDefault="003401B9">
            <w:pPr>
              <w:textAlignment w:val="center"/>
              <w:rPr>
                <w:rFonts w:cs="Arial"/>
                <w:color w:val="000000"/>
                <w:szCs w:val="18"/>
              </w:rPr>
            </w:pPr>
            <w:r>
              <w:rPr>
                <w:rFonts w:cs="Arial"/>
                <w:color w:val="000000"/>
                <w:szCs w:val="18"/>
              </w:rPr>
              <w:t>AGL Energy</w:t>
            </w:r>
          </w:p>
        </w:tc>
        <w:tc>
          <w:tcPr>
            <w:tcW w:w="530" w:type="pct"/>
            <w:vAlign w:val="center"/>
          </w:tcPr>
          <w:p w:rsidR="003401B9" w:rsidRDefault="003401B9">
            <w:pPr>
              <w:textAlignment w:val="center"/>
              <w:rPr>
                <w:rFonts w:cs="Arial"/>
                <w:color w:val="000000"/>
                <w:szCs w:val="18"/>
              </w:rPr>
            </w:pPr>
            <w:r>
              <w:rPr>
                <w:rFonts w:cs="Arial"/>
                <w:color w:val="000000"/>
                <w:szCs w:val="18"/>
              </w:rPr>
              <w:t>Torrens Island</w:t>
            </w:r>
          </w:p>
        </w:tc>
        <w:tc>
          <w:tcPr>
            <w:tcW w:w="507" w:type="pct"/>
            <w:vAlign w:val="center"/>
          </w:tcPr>
          <w:p w:rsidR="003401B9" w:rsidRDefault="003401B9">
            <w:pPr>
              <w:jc w:val="center"/>
              <w:textAlignment w:val="center"/>
              <w:rPr>
                <w:rFonts w:cs="Arial"/>
                <w:color w:val="000000"/>
                <w:szCs w:val="18"/>
              </w:rPr>
            </w:pPr>
            <w:r>
              <w:rPr>
                <w:rFonts w:cs="Arial"/>
                <w:color w:val="000000"/>
                <w:szCs w:val="18"/>
              </w:rPr>
              <w:t>265</w:t>
            </w:r>
          </w:p>
        </w:tc>
        <w:tc>
          <w:tcPr>
            <w:tcW w:w="507" w:type="pct"/>
            <w:vAlign w:val="center"/>
          </w:tcPr>
          <w:p w:rsidR="003401B9" w:rsidRDefault="003401B9">
            <w:pPr>
              <w:jc w:val="center"/>
              <w:textAlignment w:val="center"/>
              <w:rPr>
                <w:rFonts w:cs="Arial"/>
                <w:color w:val="000000"/>
                <w:szCs w:val="18"/>
              </w:rPr>
            </w:pPr>
            <w:r>
              <w:rPr>
                <w:rFonts w:cs="Arial"/>
                <w:color w:val="000000"/>
                <w:szCs w:val="18"/>
              </w:rPr>
              <w:t>&gt;13 500</w:t>
            </w:r>
          </w:p>
        </w:tc>
        <w:tc>
          <w:tcPr>
            <w:tcW w:w="553" w:type="pct"/>
            <w:vAlign w:val="center"/>
          </w:tcPr>
          <w:p w:rsidR="003401B9" w:rsidRDefault="003401B9">
            <w:pPr>
              <w:jc w:val="center"/>
              <w:textAlignment w:val="center"/>
              <w:rPr>
                <w:rFonts w:cs="Arial"/>
                <w:color w:val="000000"/>
                <w:szCs w:val="18"/>
              </w:rPr>
            </w:pPr>
            <w:r>
              <w:rPr>
                <w:rFonts w:cs="Arial"/>
                <w:color w:val="000000"/>
                <w:szCs w:val="18"/>
              </w:rPr>
              <w:t>-1000</w:t>
            </w:r>
          </w:p>
        </w:tc>
        <w:tc>
          <w:tcPr>
            <w:tcW w:w="1261" w:type="pct"/>
            <w:vAlign w:val="center"/>
          </w:tcPr>
          <w:p w:rsidR="003401B9" w:rsidRDefault="003401B9" w:rsidP="00213CF6">
            <w:pPr>
              <w:textAlignment w:val="center"/>
              <w:rPr>
                <w:rFonts w:cs="Arial"/>
                <w:sz w:val="16"/>
                <w:szCs w:val="16"/>
              </w:rPr>
            </w:pPr>
            <w:r>
              <w:rPr>
                <w:rFonts w:cs="Arial"/>
                <w:sz w:val="16"/>
                <w:szCs w:val="16"/>
              </w:rPr>
              <w:t xml:space="preserve">2005~A~050 </w:t>
            </w:r>
            <w:r w:rsidR="00547DC4">
              <w:rPr>
                <w:rFonts w:cs="Arial"/>
                <w:sz w:val="16"/>
                <w:szCs w:val="16"/>
              </w:rPr>
              <w:t xml:space="preserve">chg in </w:t>
            </w:r>
            <w:r>
              <w:rPr>
                <w:rFonts w:cs="Arial"/>
                <w:sz w:val="16"/>
                <w:szCs w:val="16"/>
              </w:rPr>
              <w:t xml:space="preserve">AEMO PD~56 </w:t>
            </w:r>
            <w:r w:rsidR="00547DC4">
              <w:rPr>
                <w:rFonts w:cs="Arial"/>
                <w:sz w:val="16"/>
                <w:szCs w:val="16"/>
              </w:rPr>
              <w:t xml:space="preserve">price increase </w:t>
            </w:r>
            <w:r>
              <w:rPr>
                <w:rFonts w:cs="Arial"/>
                <w:sz w:val="16"/>
                <w:szCs w:val="16"/>
              </w:rPr>
              <w:t xml:space="preserve">[SA] [$350.96] 5MPD </w:t>
            </w:r>
            <w:r w:rsidR="00547DC4">
              <w:rPr>
                <w:rFonts w:cs="Arial"/>
                <w:sz w:val="16"/>
                <w:szCs w:val="16"/>
              </w:rPr>
              <w:t>vs</w:t>
            </w:r>
            <w:r>
              <w:rPr>
                <w:rFonts w:cs="Arial"/>
                <w:sz w:val="16"/>
                <w:szCs w:val="16"/>
              </w:rPr>
              <w:t xml:space="preserve"> PD</w:t>
            </w:r>
          </w:p>
        </w:tc>
      </w:tr>
    </w:tbl>
    <w:p w:rsidR="00547DC4" w:rsidRDefault="005C546A" w:rsidP="00213CF6">
      <w:pPr>
        <w:pStyle w:val="AERHeading3"/>
        <w:jc w:val="both"/>
        <w:rPr>
          <w:rFonts w:cs="Arial"/>
          <w:b w:val="0"/>
          <w:bCs w:val="0"/>
          <w:color w:val="auto"/>
          <w:sz w:val="22"/>
          <w:szCs w:val="22"/>
        </w:rPr>
      </w:pPr>
      <w:r>
        <w:rPr>
          <w:rFonts w:cs="Arial"/>
          <w:b w:val="0"/>
          <w:bCs w:val="0"/>
          <w:color w:val="auto"/>
          <w:sz w:val="22"/>
          <w:szCs w:val="22"/>
        </w:rPr>
        <w:t xml:space="preserve">At 8.15 pm, </w:t>
      </w:r>
      <w:r w:rsidRPr="005C546A">
        <w:rPr>
          <w:rFonts w:cs="Arial"/>
          <w:b w:val="0"/>
          <w:bCs w:val="0"/>
          <w:color w:val="auto"/>
          <w:sz w:val="22"/>
          <w:szCs w:val="22"/>
        </w:rPr>
        <w:t xml:space="preserve">the dispatch price rose to </w:t>
      </w:r>
      <w:r>
        <w:rPr>
          <w:rFonts w:cs="Arial"/>
          <w:b w:val="0"/>
          <w:bCs w:val="0"/>
          <w:color w:val="auto"/>
          <w:sz w:val="22"/>
          <w:szCs w:val="22"/>
        </w:rPr>
        <w:t>$13 500/MWh</w:t>
      </w:r>
      <w:r w:rsidRPr="005C546A">
        <w:rPr>
          <w:rFonts w:cs="Arial"/>
          <w:b w:val="0"/>
          <w:bCs w:val="0"/>
          <w:color w:val="auto"/>
          <w:sz w:val="22"/>
          <w:szCs w:val="22"/>
        </w:rPr>
        <w:t xml:space="preserve"> following the above rebid by AGL</w:t>
      </w:r>
      <w:r>
        <w:rPr>
          <w:rFonts w:cs="Arial"/>
          <w:b w:val="0"/>
          <w:bCs w:val="0"/>
          <w:color w:val="auto"/>
          <w:sz w:val="22"/>
          <w:szCs w:val="22"/>
        </w:rPr>
        <w:t xml:space="preserve">, </w:t>
      </w:r>
      <w:r w:rsidR="00547DC4">
        <w:rPr>
          <w:rFonts w:cs="Arial"/>
          <w:b w:val="0"/>
          <w:bCs w:val="0"/>
          <w:color w:val="auto"/>
          <w:sz w:val="22"/>
          <w:szCs w:val="22"/>
        </w:rPr>
        <w:t>with</w:t>
      </w:r>
      <w:r w:rsidRPr="005C546A">
        <w:rPr>
          <w:rFonts w:cs="Arial"/>
          <w:b w:val="0"/>
          <w:bCs w:val="0"/>
          <w:color w:val="auto"/>
          <w:sz w:val="22"/>
          <w:szCs w:val="22"/>
        </w:rPr>
        <w:t xml:space="preserve"> other available generation fully dispatched</w:t>
      </w:r>
      <w:r>
        <w:rPr>
          <w:rFonts w:cs="Arial"/>
          <w:b w:val="0"/>
          <w:bCs w:val="0"/>
          <w:color w:val="auto"/>
          <w:sz w:val="22"/>
          <w:szCs w:val="22"/>
        </w:rPr>
        <w:t>,</w:t>
      </w:r>
      <w:r w:rsidRPr="005C546A">
        <w:rPr>
          <w:rFonts w:cs="Arial"/>
          <w:b w:val="0"/>
          <w:bCs w:val="0"/>
          <w:color w:val="auto"/>
          <w:sz w:val="22"/>
          <w:szCs w:val="22"/>
        </w:rPr>
        <w:t xml:space="preserve"> ramp rate limited</w:t>
      </w:r>
      <w:r w:rsidR="00485752">
        <w:rPr>
          <w:rFonts w:cs="Arial"/>
          <w:b w:val="0"/>
          <w:bCs w:val="0"/>
          <w:color w:val="auto"/>
          <w:sz w:val="22"/>
          <w:szCs w:val="22"/>
        </w:rPr>
        <w:t>,</w:t>
      </w:r>
      <w:r>
        <w:rPr>
          <w:rFonts w:cs="Arial"/>
          <w:b w:val="0"/>
          <w:bCs w:val="0"/>
          <w:color w:val="auto"/>
          <w:sz w:val="22"/>
          <w:szCs w:val="22"/>
        </w:rPr>
        <w:t xml:space="preserve"> or trapped in FCAS</w:t>
      </w:r>
      <w:r w:rsidR="0063066D">
        <w:rPr>
          <w:rFonts w:cs="Arial"/>
          <w:b w:val="0"/>
          <w:bCs w:val="0"/>
          <w:color w:val="auto"/>
          <w:sz w:val="22"/>
          <w:szCs w:val="22"/>
        </w:rPr>
        <w:t>,</w:t>
      </w:r>
      <w:r w:rsidR="00547DC4">
        <w:rPr>
          <w:rFonts w:cs="Arial"/>
          <w:b w:val="0"/>
          <w:bCs w:val="0"/>
          <w:color w:val="auto"/>
          <w:sz w:val="22"/>
          <w:szCs w:val="22"/>
        </w:rPr>
        <w:t xml:space="preserve"> Torrens Island set the price.</w:t>
      </w:r>
    </w:p>
    <w:p w:rsidR="00547DC4" w:rsidRPr="0063066D" w:rsidRDefault="00547DC4" w:rsidP="0063066D">
      <w:pPr>
        <w:pStyle w:val="AERHeading3"/>
        <w:jc w:val="both"/>
        <w:rPr>
          <w:bCs w:val="0"/>
        </w:rPr>
      </w:pPr>
      <w:r w:rsidRPr="0063066D">
        <w:rPr>
          <w:rFonts w:cs="Arial"/>
          <w:b w:val="0"/>
          <w:bCs w:val="0"/>
          <w:color w:val="auto"/>
          <w:sz w:val="22"/>
          <w:szCs w:val="22"/>
        </w:rPr>
        <w:t xml:space="preserve">At </w:t>
      </w:r>
      <w:r>
        <w:rPr>
          <w:rFonts w:cs="Arial"/>
          <w:b w:val="0"/>
          <w:bCs w:val="0"/>
          <w:color w:val="auto"/>
          <w:sz w:val="22"/>
          <w:szCs w:val="22"/>
        </w:rPr>
        <w:t>8</w:t>
      </w:r>
      <w:r w:rsidRPr="0063066D">
        <w:rPr>
          <w:rFonts w:cs="Arial"/>
          <w:b w:val="0"/>
          <w:bCs w:val="0"/>
          <w:color w:val="auto"/>
          <w:sz w:val="22"/>
          <w:szCs w:val="22"/>
        </w:rPr>
        <w:t>.</w:t>
      </w:r>
      <w:r>
        <w:rPr>
          <w:rFonts w:cs="Arial"/>
          <w:b w:val="0"/>
          <w:bCs w:val="0"/>
          <w:color w:val="auto"/>
          <w:sz w:val="22"/>
          <w:szCs w:val="22"/>
        </w:rPr>
        <w:t>2</w:t>
      </w:r>
      <w:r w:rsidRPr="0063066D">
        <w:rPr>
          <w:rFonts w:cs="Arial"/>
          <w:b w:val="0"/>
          <w:bCs w:val="0"/>
          <w:color w:val="auto"/>
          <w:sz w:val="22"/>
          <w:szCs w:val="22"/>
        </w:rPr>
        <w:t>0 pm the dispatch price fell to $</w:t>
      </w:r>
      <w:r>
        <w:rPr>
          <w:rFonts w:cs="Arial"/>
          <w:b w:val="0"/>
          <w:bCs w:val="0"/>
          <w:color w:val="auto"/>
          <w:sz w:val="22"/>
          <w:szCs w:val="22"/>
        </w:rPr>
        <w:t>35</w:t>
      </w:r>
      <w:r w:rsidRPr="0063066D">
        <w:rPr>
          <w:rFonts w:cs="Arial"/>
          <w:b w:val="0"/>
          <w:bCs w:val="0"/>
          <w:color w:val="auto"/>
          <w:sz w:val="22"/>
          <w:szCs w:val="22"/>
        </w:rPr>
        <w:t>/MWh as a result of a</w:t>
      </w:r>
      <w:r>
        <w:rPr>
          <w:rFonts w:cs="Arial"/>
          <w:b w:val="0"/>
          <w:bCs w:val="0"/>
          <w:color w:val="auto"/>
          <w:sz w:val="22"/>
          <w:szCs w:val="22"/>
        </w:rPr>
        <w:t xml:space="preserve"> </w:t>
      </w:r>
      <w:r w:rsidRPr="0063066D">
        <w:rPr>
          <w:rFonts w:cs="Arial"/>
          <w:b w:val="0"/>
          <w:bCs w:val="0"/>
          <w:color w:val="auto"/>
          <w:sz w:val="22"/>
          <w:szCs w:val="22"/>
        </w:rPr>
        <w:t>1</w:t>
      </w:r>
      <w:r>
        <w:rPr>
          <w:rFonts w:cs="Arial"/>
          <w:b w:val="0"/>
          <w:bCs w:val="0"/>
          <w:color w:val="auto"/>
          <w:sz w:val="22"/>
          <w:szCs w:val="22"/>
        </w:rPr>
        <w:t>1</w:t>
      </w:r>
      <w:r w:rsidRPr="0063066D">
        <w:rPr>
          <w:rFonts w:cs="Arial"/>
          <w:b w:val="0"/>
          <w:bCs w:val="0"/>
          <w:color w:val="auto"/>
          <w:sz w:val="22"/>
          <w:szCs w:val="22"/>
        </w:rPr>
        <w:t xml:space="preserve">0 MW decrease in demand (mostly from an increase in non-scheduled generation) and </w:t>
      </w:r>
      <w:r>
        <w:rPr>
          <w:rFonts w:cs="Arial"/>
          <w:b w:val="0"/>
          <w:bCs w:val="0"/>
          <w:color w:val="auto"/>
          <w:sz w:val="22"/>
          <w:szCs w:val="22"/>
        </w:rPr>
        <w:t>AGL reversed its previous rebid.</w:t>
      </w:r>
      <w:r w:rsidRPr="0063066D">
        <w:rPr>
          <w:rFonts w:cs="Arial"/>
          <w:b w:val="0"/>
          <w:bCs w:val="0"/>
          <w:color w:val="auto"/>
          <w:sz w:val="22"/>
          <w:szCs w:val="22"/>
        </w:rPr>
        <w:t xml:space="preserve"> </w:t>
      </w:r>
    </w:p>
    <w:p w:rsidR="00125F4F" w:rsidRPr="00002B2F" w:rsidRDefault="00125F4F" w:rsidP="00125F4F">
      <w:pPr>
        <w:pStyle w:val="AERHeading3"/>
      </w:pPr>
      <w:r>
        <w:t>Queensland</w:t>
      </w:r>
      <w:r w:rsidRPr="00002B2F">
        <w:t xml:space="preserve"> </w:t>
      </w:r>
    </w:p>
    <w:p w:rsidR="00125F4F" w:rsidRDefault="00125F4F" w:rsidP="00125F4F">
      <w:pPr>
        <w:pStyle w:val="AERbodytext"/>
      </w:pPr>
      <w:r>
        <w:t>There was one occasion where the spot price in Queensland was greater than three times the Queensland weekly average price of $43/MWh and above $250/MWh.</w:t>
      </w:r>
    </w:p>
    <w:p w:rsidR="00125F4F" w:rsidRDefault="00125F4F" w:rsidP="00125F4F">
      <w:pPr>
        <w:pStyle w:val="AERHeading3"/>
      </w:pPr>
      <w:r>
        <w:t xml:space="preserve">Thursday, 20 August </w:t>
      </w:r>
    </w:p>
    <w:p w:rsidR="00125F4F" w:rsidRPr="005D2FBD" w:rsidRDefault="00125F4F" w:rsidP="00125F4F">
      <w:pPr>
        <w:pStyle w:val="Caption"/>
      </w:pPr>
      <w:r>
        <w:t>Table 9</w:t>
      </w:r>
      <w:r w:rsidRPr="00431FC4">
        <w:t>: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125F4F" w:rsidRPr="00405CDE" w:rsidTr="00213CF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125F4F" w:rsidRPr="00DC24BF" w:rsidRDefault="00125F4F" w:rsidP="00213CF6">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125F4F" w:rsidRPr="00DC24BF" w:rsidRDefault="00125F4F" w:rsidP="00213CF6">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125F4F" w:rsidRPr="00DC24BF" w:rsidRDefault="00125F4F" w:rsidP="00213CF6">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125F4F" w:rsidRPr="00DC24BF" w:rsidRDefault="00125F4F" w:rsidP="00213CF6">
            <w:pPr>
              <w:pStyle w:val="TableHeading"/>
              <w:jc w:val="center"/>
              <w:rPr>
                <w:rFonts w:cs="Arial"/>
                <w:sz w:val="20"/>
                <w:szCs w:val="20"/>
              </w:rPr>
            </w:pPr>
            <w:r w:rsidRPr="00DC24BF">
              <w:rPr>
                <w:rFonts w:cs="Arial"/>
                <w:sz w:val="20"/>
                <w:szCs w:val="20"/>
              </w:rPr>
              <w:t>Availability (MW)</w:t>
            </w:r>
          </w:p>
        </w:tc>
      </w:tr>
      <w:tr w:rsidR="00125F4F" w:rsidRPr="00405CDE" w:rsidTr="0015451B">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125F4F" w:rsidRPr="00DC24BF" w:rsidRDefault="00125F4F" w:rsidP="00213CF6">
            <w:pPr>
              <w:pStyle w:val="tableheadingline2"/>
              <w:rPr>
                <w:rFonts w:cs="Arial"/>
                <w:sz w:val="20"/>
                <w:szCs w:val="20"/>
              </w:rPr>
            </w:pPr>
            <w:r w:rsidRPr="00DC24BF">
              <w:rPr>
                <w:rFonts w:cs="Arial"/>
                <w:sz w:val="20"/>
                <w:szCs w:val="20"/>
              </w:rPr>
              <w:t>12 hr forecast</w:t>
            </w:r>
          </w:p>
        </w:tc>
      </w:tr>
      <w:tr w:rsidR="00125F4F" w:rsidRPr="00405CDE" w:rsidTr="0015451B">
        <w:trPr>
          <w:trHeight w:val="510"/>
        </w:trPr>
        <w:tc>
          <w:tcPr>
            <w:tcW w:w="506" w:type="pct"/>
            <w:tcBorders>
              <w:top w:val="nil"/>
              <w:bottom w:val="single" w:sz="4" w:space="0" w:color="auto"/>
            </w:tcBorders>
            <w:vAlign w:val="center"/>
          </w:tcPr>
          <w:p w:rsidR="00125F4F" w:rsidRPr="00627B2D" w:rsidRDefault="00BD5467" w:rsidP="00213CF6">
            <w:pPr>
              <w:pStyle w:val="tablenormal0"/>
              <w:jc w:val="center"/>
              <w:rPr>
                <w:rFonts w:asciiTheme="minorHAnsi" w:hAnsiTheme="minorHAnsi" w:cstheme="minorHAnsi"/>
                <w:szCs w:val="18"/>
              </w:rPr>
            </w:pPr>
            <w:r>
              <w:rPr>
                <w:rFonts w:asciiTheme="minorHAnsi" w:hAnsiTheme="minorHAnsi" w:cstheme="minorHAnsi"/>
                <w:bCs/>
                <w:szCs w:val="18"/>
              </w:rPr>
              <w:t>7</w:t>
            </w:r>
            <w:r w:rsidR="00125F4F">
              <w:rPr>
                <w:rFonts w:asciiTheme="minorHAnsi" w:hAnsiTheme="minorHAnsi" w:cstheme="minorHAnsi"/>
                <w:bCs/>
                <w:szCs w:val="18"/>
              </w:rPr>
              <w:t xml:space="preserve"> a</w:t>
            </w:r>
            <w:r w:rsidR="00125F4F" w:rsidRPr="00627B2D">
              <w:rPr>
                <w:rFonts w:asciiTheme="minorHAnsi" w:hAnsiTheme="minorHAnsi" w:cstheme="minorHAnsi"/>
                <w:bCs/>
                <w:szCs w:val="18"/>
              </w:rPr>
              <w:t>m</w:t>
            </w:r>
          </w:p>
        </w:tc>
        <w:tc>
          <w:tcPr>
            <w:tcW w:w="620"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2333.90</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33.75</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31.50</w:t>
            </w:r>
          </w:p>
        </w:tc>
        <w:tc>
          <w:tcPr>
            <w:tcW w:w="418"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6382</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6313</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6239</w:t>
            </w:r>
          </w:p>
        </w:tc>
        <w:tc>
          <w:tcPr>
            <w:tcW w:w="443"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9679</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9801</w:t>
            </w:r>
          </w:p>
        </w:tc>
        <w:tc>
          <w:tcPr>
            <w:tcW w:w="502" w:type="pct"/>
            <w:tcBorders>
              <w:top w:val="nil"/>
              <w:bottom w:val="single" w:sz="4" w:space="0" w:color="auto"/>
            </w:tcBorders>
            <w:vAlign w:val="center"/>
          </w:tcPr>
          <w:p w:rsidR="00125F4F" w:rsidRPr="0063066D" w:rsidRDefault="00125F4F">
            <w:pPr>
              <w:pStyle w:val="NormalWeb"/>
              <w:jc w:val="center"/>
              <w:rPr>
                <w:rFonts w:asciiTheme="minorHAnsi" w:hAnsiTheme="minorHAnsi" w:cstheme="minorHAnsi"/>
                <w:sz w:val="18"/>
                <w:szCs w:val="18"/>
              </w:rPr>
            </w:pPr>
            <w:r w:rsidRPr="0063066D">
              <w:rPr>
                <w:rFonts w:asciiTheme="minorHAnsi" w:hAnsiTheme="minorHAnsi" w:cstheme="minorHAnsi"/>
                <w:sz w:val="18"/>
                <w:szCs w:val="18"/>
              </w:rPr>
              <w:t>9801</w:t>
            </w:r>
          </w:p>
        </w:tc>
      </w:tr>
    </w:tbl>
    <w:p w:rsidR="00125F4F" w:rsidRPr="00F55548" w:rsidRDefault="00125F4F" w:rsidP="0063066D">
      <w:pPr>
        <w:pStyle w:val="Heading2"/>
        <w:jc w:val="both"/>
        <w:rPr>
          <w:b w:val="0"/>
          <w:color w:val="auto"/>
          <w:sz w:val="22"/>
          <w:szCs w:val="22"/>
        </w:rPr>
      </w:pPr>
      <w:r>
        <w:rPr>
          <w:b w:val="0"/>
          <w:color w:val="auto"/>
          <w:sz w:val="22"/>
          <w:szCs w:val="22"/>
        </w:rPr>
        <w:t xml:space="preserve">Demand was </w:t>
      </w:r>
      <w:r w:rsidR="00EF013A">
        <w:rPr>
          <w:b w:val="0"/>
          <w:color w:val="auto"/>
          <w:sz w:val="22"/>
          <w:szCs w:val="22"/>
        </w:rPr>
        <w:t>69 </w:t>
      </w:r>
      <w:r>
        <w:rPr>
          <w:b w:val="0"/>
          <w:color w:val="auto"/>
          <w:sz w:val="22"/>
          <w:szCs w:val="22"/>
        </w:rPr>
        <w:t xml:space="preserve">MW higher and available capacity was </w:t>
      </w:r>
      <w:r w:rsidR="00EF013A">
        <w:rPr>
          <w:b w:val="0"/>
          <w:color w:val="auto"/>
          <w:sz w:val="22"/>
          <w:szCs w:val="22"/>
        </w:rPr>
        <w:t>122 </w:t>
      </w:r>
      <w:r>
        <w:rPr>
          <w:b w:val="0"/>
          <w:color w:val="auto"/>
          <w:sz w:val="22"/>
          <w:szCs w:val="22"/>
        </w:rPr>
        <w:t xml:space="preserve">MW lower than </w:t>
      </w:r>
      <w:r w:rsidR="00485752">
        <w:rPr>
          <w:b w:val="0"/>
          <w:color w:val="auto"/>
          <w:sz w:val="22"/>
          <w:szCs w:val="22"/>
        </w:rPr>
        <w:t xml:space="preserve">that </w:t>
      </w:r>
      <w:r>
        <w:rPr>
          <w:b w:val="0"/>
          <w:color w:val="auto"/>
          <w:sz w:val="22"/>
          <w:szCs w:val="22"/>
        </w:rPr>
        <w:t xml:space="preserve">forecast </w:t>
      </w:r>
      <w:r w:rsidR="00EF013A">
        <w:rPr>
          <w:b w:val="0"/>
          <w:color w:val="auto"/>
          <w:sz w:val="22"/>
          <w:szCs w:val="22"/>
        </w:rPr>
        <w:t>four </w:t>
      </w:r>
      <w:r>
        <w:rPr>
          <w:b w:val="0"/>
          <w:color w:val="auto"/>
          <w:sz w:val="22"/>
          <w:szCs w:val="22"/>
        </w:rPr>
        <w:t>hours ahead.</w:t>
      </w:r>
      <w:r w:rsidR="00813CE4">
        <w:rPr>
          <w:b w:val="0"/>
          <w:color w:val="auto"/>
          <w:sz w:val="22"/>
          <w:szCs w:val="22"/>
        </w:rPr>
        <w:t xml:space="preserve"> </w:t>
      </w:r>
      <w:r w:rsidR="00607BA0">
        <w:rPr>
          <w:b w:val="0"/>
          <w:color w:val="auto"/>
          <w:sz w:val="22"/>
          <w:szCs w:val="22"/>
        </w:rPr>
        <w:t>B</w:t>
      </w:r>
      <w:r w:rsidR="00607BA0" w:rsidRPr="0098396B">
        <w:rPr>
          <w:b w:val="0"/>
          <w:color w:val="auto"/>
          <w:sz w:val="22"/>
        </w:rPr>
        <w:t xml:space="preserve">oth interconnectors were delivering at their limit into Queensland </w:t>
      </w:r>
      <w:r w:rsidR="00607BA0">
        <w:rPr>
          <w:b w:val="0"/>
          <w:color w:val="auto"/>
          <w:sz w:val="22"/>
        </w:rPr>
        <w:t>with QNI</w:t>
      </w:r>
      <w:r w:rsidR="00607BA0" w:rsidRPr="0098396B">
        <w:rPr>
          <w:b w:val="0"/>
          <w:color w:val="auto"/>
          <w:sz w:val="22"/>
        </w:rPr>
        <w:t xml:space="preserve"> being constrained</w:t>
      </w:r>
      <w:r w:rsidR="000452BA">
        <w:rPr>
          <w:b w:val="0"/>
          <w:color w:val="auto"/>
          <w:sz w:val="22"/>
        </w:rPr>
        <w:t xml:space="preserve">, </w:t>
      </w:r>
      <w:r w:rsidR="00607BA0" w:rsidRPr="0098396B">
        <w:rPr>
          <w:b w:val="0"/>
          <w:color w:val="auto"/>
          <w:sz w:val="22"/>
        </w:rPr>
        <w:t xml:space="preserve">by an outage of the Armidale </w:t>
      </w:r>
      <w:r w:rsidR="005E6FFA" w:rsidRPr="0098396B">
        <w:rPr>
          <w:b w:val="0"/>
          <w:color w:val="auto"/>
          <w:sz w:val="22"/>
        </w:rPr>
        <w:t>Static V</w:t>
      </w:r>
      <w:r w:rsidR="00607BA0" w:rsidRPr="0098396B">
        <w:rPr>
          <w:b w:val="0"/>
          <w:color w:val="auto"/>
          <w:sz w:val="22"/>
        </w:rPr>
        <w:t xml:space="preserve">ar </w:t>
      </w:r>
      <w:r w:rsidR="005E6FFA" w:rsidRPr="0098396B">
        <w:rPr>
          <w:b w:val="0"/>
          <w:color w:val="auto"/>
          <w:sz w:val="22"/>
        </w:rPr>
        <w:t xml:space="preserve">Compensator </w:t>
      </w:r>
      <w:r w:rsidR="00607BA0" w:rsidRPr="0098396B">
        <w:rPr>
          <w:b w:val="0"/>
          <w:color w:val="auto"/>
          <w:sz w:val="22"/>
        </w:rPr>
        <w:t>in New South Wales</w:t>
      </w:r>
      <w:r w:rsidR="000452BA">
        <w:rPr>
          <w:b w:val="0"/>
          <w:color w:val="auto"/>
          <w:sz w:val="22"/>
        </w:rPr>
        <w:t>,</w:t>
      </w:r>
      <w:r w:rsidR="000452BA" w:rsidRPr="000452BA">
        <w:rPr>
          <w:b w:val="0"/>
          <w:color w:val="auto"/>
          <w:sz w:val="22"/>
        </w:rPr>
        <w:t xml:space="preserve"> </w:t>
      </w:r>
      <w:r w:rsidR="000452BA">
        <w:rPr>
          <w:b w:val="0"/>
          <w:color w:val="auto"/>
          <w:sz w:val="22"/>
        </w:rPr>
        <w:t>to around 90 MW as forecast</w:t>
      </w:r>
      <w:r w:rsidR="00607BA0" w:rsidRPr="0098396B">
        <w:rPr>
          <w:b w:val="0"/>
          <w:color w:val="auto"/>
          <w:sz w:val="22"/>
        </w:rPr>
        <w:t xml:space="preserve">. </w:t>
      </w:r>
    </w:p>
    <w:p w:rsidR="00125F4F" w:rsidRPr="002D1734" w:rsidRDefault="00125F4F" w:rsidP="00125F4F">
      <w:pPr>
        <w:keepNext/>
        <w:spacing w:before="240" w:after="120"/>
        <w:rPr>
          <w:b/>
          <w:bCs/>
          <w:color w:val="2272A3" w:themeColor="accent4" w:themeShade="80"/>
          <w:sz w:val="24"/>
          <w:szCs w:val="18"/>
        </w:rPr>
      </w:pPr>
      <w:r w:rsidRPr="002D1734">
        <w:rPr>
          <w:b/>
          <w:bCs/>
          <w:color w:val="2272A3" w:themeColor="accent4" w:themeShade="80"/>
          <w:sz w:val="24"/>
          <w:szCs w:val="18"/>
        </w:rPr>
        <w:t xml:space="preserve">Table </w:t>
      </w:r>
      <w:r>
        <w:rPr>
          <w:b/>
          <w:bCs/>
          <w:color w:val="2272A3" w:themeColor="accent4" w:themeShade="80"/>
          <w:sz w:val="24"/>
          <w:szCs w:val="18"/>
        </w:rPr>
        <w:t>10: Rebids for 7 a</w:t>
      </w:r>
      <w:r w:rsidRPr="002D1734">
        <w:rPr>
          <w:b/>
          <w:bCs/>
          <w:color w:val="2272A3" w:themeColor="accent4" w:themeShade="80"/>
          <w:sz w:val="24"/>
          <w:szCs w:val="18"/>
        </w:rPr>
        <w:t xml:space="preserve">m </w:t>
      </w:r>
      <w:r w:rsidR="009B0884">
        <w:rPr>
          <w:b/>
          <w:bCs/>
          <w:color w:val="2272A3" w:themeColor="accent4" w:themeShade="80"/>
          <w:sz w:val="24"/>
          <w:szCs w:val="18"/>
        </w:rPr>
        <w:t>trading interval</w:t>
      </w:r>
    </w:p>
    <w:tbl>
      <w:tblPr>
        <w:tblStyle w:val="AERsummarytable2"/>
        <w:tblW w:w="5000" w:type="pct"/>
        <w:tblLayout w:type="fixed"/>
        <w:tblLook w:val="04A0" w:firstRow="1" w:lastRow="0" w:firstColumn="1" w:lastColumn="0" w:noHBand="0" w:noVBand="1"/>
      </w:tblPr>
      <w:tblGrid>
        <w:gridCol w:w="893"/>
        <w:gridCol w:w="869"/>
        <w:gridCol w:w="1190"/>
        <w:gridCol w:w="1063"/>
        <w:gridCol w:w="970"/>
        <w:gridCol w:w="906"/>
        <w:gridCol w:w="933"/>
        <w:gridCol w:w="2418"/>
      </w:tblGrid>
      <w:tr w:rsidR="00125F4F" w:rsidRPr="002D1734" w:rsidTr="00213CF6">
        <w:trPr>
          <w:cnfStyle w:val="100000000000" w:firstRow="1" w:lastRow="0" w:firstColumn="0" w:lastColumn="0" w:oddVBand="0" w:evenVBand="0" w:oddHBand="0" w:evenHBand="0" w:firstRowFirstColumn="0" w:firstRowLastColumn="0" w:lastRowFirstColumn="0" w:lastRowLastColumn="0"/>
          <w:trHeight w:val="780"/>
          <w:tblHeader/>
        </w:trPr>
        <w:tc>
          <w:tcPr>
            <w:tcW w:w="483"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Submit time</w:t>
            </w:r>
          </w:p>
        </w:tc>
        <w:tc>
          <w:tcPr>
            <w:tcW w:w="470" w:type="pct"/>
            <w:hideMark/>
          </w:tcPr>
          <w:p w:rsidR="00125F4F" w:rsidRPr="002D1734" w:rsidRDefault="00125F4F" w:rsidP="00213CF6">
            <w:pPr>
              <w:spacing w:before="60" w:after="60"/>
              <w:ind w:left="-108"/>
              <w:rPr>
                <w:b w:val="0"/>
                <w:szCs w:val="18"/>
                <w14:numSpacing w14:val="default"/>
              </w:rPr>
            </w:pPr>
            <w:r w:rsidRPr="002D1734">
              <w:rPr>
                <w:b w:val="0"/>
                <w:bCs/>
                <w:szCs w:val="18"/>
                <w14:numSpacing w14:val="default"/>
              </w:rPr>
              <w:t>Time effective</w:t>
            </w:r>
          </w:p>
        </w:tc>
        <w:tc>
          <w:tcPr>
            <w:tcW w:w="644"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Participant</w:t>
            </w:r>
          </w:p>
        </w:tc>
        <w:tc>
          <w:tcPr>
            <w:tcW w:w="575"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Station</w:t>
            </w:r>
          </w:p>
        </w:tc>
        <w:tc>
          <w:tcPr>
            <w:tcW w:w="525"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Capacity rebid (MW)</w:t>
            </w:r>
          </w:p>
        </w:tc>
        <w:tc>
          <w:tcPr>
            <w:tcW w:w="490" w:type="pct"/>
            <w:hideMark/>
          </w:tcPr>
          <w:p w:rsidR="00125F4F" w:rsidRPr="002D1734" w:rsidRDefault="00125F4F" w:rsidP="00213CF6">
            <w:pPr>
              <w:spacing w:before="60" w:after="60"/>
              <w:rPr>
                <w:b w:val="0"/>
                <w:szCs w:val="18"/>
                <w14:numSpacing w14:val="default"/>
              </w:rPr>
            </w:pPr>
            <w:r>
              <w:rPr>
                <w:b w:val="0"/>
                <w:bCs/>
                <w:szCs w:val="18"/>
                <w14:numSpacing w14:val="default"/>
              </w:rPr>
              <w:t xml:space="preserve">Price from </w:t>
            </w:r>
            <w:r w:rsidRPr="002D1734">
              <w:rPr>
                <w:b w:val="0"/>
                <w:bCs/>
                <w:szCs w:val="18"/>
                <w14:numSpacing w14:val="default"/>
              </w:rPr>
              <w:t>($/MWh)</w:t>
            </w:r>
          </w:p>
        </w:tc>
        <w:tc>
          <w:tcPr>
            <w:tcW w:w="505"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Price to ($/MWh)</w:t>
            </w:r>
          </w:p>
        </w:tc>
        <w:tc>
          <w:tcPr>
            <w:tcW w:w="1308" w:type="pct"/>
            <w:hideMark/>
          </w:tcPr>
          <w:p w:rsidR="00125F4F" w:rsidRPr="002D1734" w:rsidRDefault="00125F4F" w:rsidP="00213CF6">
            <w:pPr>
              <w:spacing w:before="60" w:after="60"/>
              <w:rPr>
                <w:b w:val="0"/>
                <w:szCs w:val="18"/>
                <w14:numSpacing w14:val="default"/>
              </w:rPr>
            </w:pPr>
            <w:r w:rsidRPr="002D1734">
              <w:rPr>
                <w:b w:val="0"/>
                <w:bCs/>
                <w:szCs w:val="18"/>
                <w14:numSpacing w14:val="default"/>
              </w:rPr>
              <w:t>Rebid reason</w:t>
            </w:r>
          </w:p>
        </w:tc>
      </w:tr>
      <w:tr w:rsidR="00125F4F" w:rsidRPr="002D1734" w:rsidTr="00213CF6">
        <w:trPr>
          <w:cnfStyle w:val="000000100000" w:firstRow="0" w:lastRow="0" w:firstColumn="0" w:lastColumn="0" w:oddVBand="0" w:evenVBand="0" w:oddHBand="1" w:evenHBand="0" w:firstRowFirstColumn="0" w:firstRowLastColumn="0" w:lastRowFirstColumn="0" w:lastRowLastColumn="0"/>
          <w:trHeight w:val="606"/>
        </w:trPr>
        <w:tc>
          <w:tcPr>
            <w:tcW w:w="483" w:type="pct"/>
            <w:vAlign w:val="center"/>
          </w:tcPr>
          <w:p w:rsidR="00125F4F" w:rsidRDefault="00212D2F" w:rsidP="00213CF6">
            <w:pPr>
              <w:jc w:val="center"/>
              <w:textAlignment w:val="center"/>
              <w:rPr>
                <w:rFonts w:cs="Arial"/>
                <w:color w:val="000000"/>
                <w:szCs w:val="18"/>
              </w:rPr>
            </w:pPr>
            <w:r>
              <w:rPr>
                <w:rFonts w:cs="Arial"/>
                <w:color w:val="000000"/>
                <w:szCs w:val="18"/>
              </w:rPr>
              <w:t>4.44 a</w:t>
            </w:r>
            <w:r w:rsidR="00125F4F">
              <w:rPr>
                <w:rFonts w:cs="Arial"/>
                <w:color w:val="000000"/>
                <w:szCs w:val="18"/>
              </w:rPr>
              <w:t>m</w:t>
            </w:r>
          </w:p>
        </w:tc>
        <w:tc>
          <w:tcPr>
            <w:tcW w:w="470" w:type="pct"/>
            <w:vAlign w:val="center"/>
          </w:tcPr>
          <w:p w:rsidR="00125F4F" w:rsidRDefault="00125F4F" w:rsidP="00213CF6">
            <w:pPr>
              <w:jc w:val="center"/>
              <w:textAlignment w:val="center"/>
              <w:rPr>
                <w:rFonts w:cs="Arial"/>
                <w:color w:val="000000"/>
                <w:szCs w:val="18"/>
              </w:rPr>
            </w:pPr>
          </w:p>
        </w:tc>
        <w:tc>
          <w:tcPr>
            <w:tcW w:w="644" w:type="pct"/>
            <w:vAlign w:val="center"/>
          </w:tcPr>
          <w:p w:rsidR="00125F4F" w:rsidRDefault="00212D2F" w:rsidP="00213CF6">
            <w:pPr>
              <w:textAlignment w:val="center"/>
              <w:rPr>
                <w:rFonts w:cs="Arial"/>
                <w:color w:val="000000"/>
                <w:szCs w:val="18"/>
              </w:rPr>
            </w:pPr>
            <w:r>
              <w:rPr>
                <w:rFonts w:cs="Arial"/>
                <w:color w:val="000000"/>
                <w:szCs w:val="18"/>
              </w:rPr>
              <w:t>RTA Yarwun</w:t>
            </w:r>
          </w:p>
        </w:tc>
        <w:tc>
          <w:tcPr>
            <w:tcW w:w="575" w:type="pct"/>
            <w:vAlign w:val="center"/>
          </w:tcPr>
          <w:p w:rsidR="00125F4F" w:rsidRDefault="00212D2F" w:rsidP="00213CF6">
            <w:pPr>
              <w:textAlignment w:val="center"/>
              <w:rPr>
                <w:rFonts w:cs="Arial"/>
                <w:color w:val="000000"/>
                <w:szCs w:val="18"/>
              </w:rPr>
            </w:pPr>
            <w:r>
              <w:rPr>
                <w:rFonts w:cs="Arial"/>
                <w:color w:val="000000"/>
                <w:szCs w:val="18"/>
              </w:rPr>
              <w:t>Yarwun</w:t>
            </w:r>
          </w:p>
        </w:tc>
        <w:tc>
          <w:tcPr>
            <w:tcW w:w="525" w:type="pct"/>
            <w:vAlign w:val="center"/>
          </w:tcPr>
          <w:p w:rsidR="00125F4F" w:rsidRDefault="00212D2F" w:rsidP="00213CF6">
            <w:pPr>
              <w:jc w:val="center"/>
              <w:textAlignment w:val="center"/>
              <w:rPr>
                <w:rFonts w:cs="Arial"/>
                <w:color w:val="000000"/>
                <w:szCs w:val="18"/>
              </w:rPr>
            </w:pPr>
            <w:r>
              <w:rPr>
                <w:rFonts w:cs="Arial"/>
                <w:color w:val="000000"/>
                <w:szCs w:val="18"/>
              </w:rPr>
              <w:t>105</w:t>
            </w:r>
          </w:p>
        </w:tc>
        <w:tc>
          <w:tcPr>
            <w:tcW w:w="490" w:type="pct"/>
            <w:vAlign w:val="center"/>
          </w:tcPr>
          <w:p w:rsidR="00125F4F" w:rsidRDefault="00212D2F" w:rsidP="00213CF6">
            <w:pPr>
              <w:jc w:val="center"/>
              <w:textAlignment w:val="center"/>
              <w:rPr>
                <w:rFonts w:cs="Arial"/>
                <w:color w:val="000000"/>
                <w:szCs w:val="18"/>
              </w:rPr>
            </w:pPr>
            <w:r>
              <w:rPr>
                <w:rFonts w:cs="Arial"/>
                <w:color w:val="000000"/>
                <w:szCs w:val="18"/>
              </w:rPr>
              <w:t>-971</w:t>
            </w:r>
          </w:p>
        </w:tc>
        <w:tc>
          <w:tcPr>
            <w:tcW w:w="505" w:type="pct"/>
            <w:vAlign w:val="center"/>
          </w:tcPr>
          <w:p w:rsidR="00125F4F" w:rsidRDefault="00212D2F" w:rsidP="00213CF6">
            <w:pPr>
              <w:jc w:val="center"/>
              <w:textAlignment w:val="center"/>
              <w:rPr>
                <w:rFonts w:cs="Arial"/>
                <w:color w:val="000000"/>
                <w:szCs w:val="18"/>
              </w:rPr>
            </w:pPr>
            <w:r>
              <w:rPr>
                <w:rFonts w:cs="Arial"/>
                <w:color w:val="000000"/>
                <w:szCs w:val="18"/>
              </w:rPr>
              <w:t>N/A</w:t>
            </w:r>
          </w:p>
        </w:tc>
        <w:tc>
          <w:tcPr>
            <w:tcW w:w="1308" w:type="pct"/>
            <w:vAlign w:val="center"/>
          </w:tcPr>
          <w:p w:rsidR="00125F4F" w:rsidRDefault="00212D2F" w:rsidP="009B0884">
            <w:pPr>
              <w:textAlignment w:val="center"/>
              <w:rPr>
                <w:rFonts w:cs="Arial"/>
                <w:color w:val="000000"/>
                <w:szCs w:val="18"/>
              </w:rPr>
            </w:pPr>
            <w:r>
              <w:rPr>
                <w:rFonts w:cs="Arial"/>
                <w:color w:val="000000"/>
                <w:szCs w:val="18"/>
              </w:rPr>
              <w:t xml:space="preserve">GT </w:t>
            </w:r>
            <w:r w:rsidR="009B0884">
              <w:rPr>
                <w:rFonts w:cs="Arial"/>
                <w:color w:val="000000"/>
                <w:szCs w:val="18"/>
              </w:rPr>
              <w:t>commissioning</w:t>
            </w:r>
          </w:p>
        </w:tc>
      </w:tr>
      <w:tr w:rsidR="00212D2F" w:rsidRPr="002D1734" w:rsidTr="00213CF6">
        <w:trPr>
          <w:cnfStyle w:val="000000010000" w:firstRow="0" w:lastRow="0" w:firstColumn="0" w:lastColumn="0" w:oddVBand="0" w:evenVBand="0" w:oddHBand="0" w:evenHBand="1" w:firstRowFirstColumn="0" w:firstRowLastColumn="0" w:lastRowFirstColumn="0" w:lastRowLastColumn="0"/>
          <w:trHeight w:val="606"/>
        </w:trPr>
        <w:tc>
          <w:tcPr>
            <w:tcW w:w="483" w:type="pct"/>
            <w:vAlign w:val="center"/>
          </w:tcPr>
          <w:p w:rsidR="00212D2F" w:rsidRDefault="00212D2F" w:rsidP="00213CF6">
            <w:pPr>
              <w:jc w:val="center"/>
              <w:textAlignment w:val="center"/>
              <w:rPr>
                <w:rFonts w:cs="Arial"/>
                <w:color w:val="000000"/>
                <w:szCs w:val="18"/>
              </w:rPr>
            </w:pPr>
            <w:r>
              <w:rPr>
                <w:rFonts w:cs="Arial"/>
                <w:color w:val="000000"/>
                <w:szCs w:val="18"/>
              </w:rPr>
              <w:t>5.14 am</w:t>
            </w:r>
          </w:p>
        </w:tc>
        <w:tc>
          <w:tcPr>
            <w:tcW w:w="470" w:type="pct"/>
            <w:vAlign w:val="center"/>
          </w:tcPr>
          <w:p w:rsidR="00212D2F" w:rsidRDefault="00212D2F" w:rsidP="00213CF6">
            <w:pPr>
              <w:jc w:val="center"/>
              <w:textAlignment w:val="center"/>
              <w:rPr>
                <w:rFonts w:cs="Arial"/>
                <w:color w:val="000000"/>
                <w:szCs w:val="18"/>
              </w:rPr>
            </w:pPr>
          </w:p>
        </w:tc>
        <w:tc>
          <w:tcPr>
            <w:tcW w:w="644" w:type="pct"/>
            <w:vAlign w:val="center"/>
          </w:tcPr>
          <w:p w:rsidR="00212D2F" w:rsidRDefault="00212D2F" w:rsidP="004049DD">
            <w:pPr>
              <w:textAlignment w:val="center"/>
              <w:rPr>
                <w:rFonts w:cs="Arial"/>
                <w:color w:val="000000"/>
                <w:szCs w:val="18"/>
              </w:rPr>
            </w:pPr>
            <w:r>
              <w:rPr>
                <w:rFonts w:cs="Arial"/>
                <w:color w:val="000000"/>
                <w:szCs w:val="18"/>
              </w:rPr>
              <w:t>RTA Yarwun</w:t>
            </w:r>
          </w:p>
        </w:tc>
        <w:tc>
          <w:tcPr>
            <w:tcW w:w="575" w:type="pct"/>
            <w:vAlign w:val="center"/>
          </w:tcPr>
          <w:p w:rsidR="00212D2F" w:rsidRDefault="00212D2F" w:rsidP="004049DD">
            <w:pPr>
              <w:textAlignment w:val="center"/>
              <w:rPr>
                <w:rFonts w:cs="Arial"/>
                <w:color w:val="000000"/>
                <w:szCs w:val="18"/>
              </w:rPr>
            </w:pPr>
            <w:r>
              <w:rPr>
                <w:rFonts w:cs="Arial"/>
                <w:color w:val="000000"/>
                <w:szCs w:val="18"/>
              </w:rPr>
              <w:t>Yarwun</w:t>
            </w:r>
          </w:p>
        </w:tc>
        <w:tc>
          <w:tcPr>
            <w:tcW w:w="525" w:type="pct"/>
            <w:vAlign w:val="center"/>
          </w:tcPr>
          <w:p w:rsidR="00212D2F" w:rsidRDefault="00212D2F" w:rsidP="00213CF6">
            <w:pPr>
              <w:jc w:val="center"/>
              <w:textAlignment w:val="center"/>
              <w:rPr>
                <w:rFonts w:cs="Arial"/>
                <w:color w:val="000000"/>
                <w:szCs w:val="18"/>
              </w:rPr>
            </w:pPr>
            <w:r>
              <w:rPr>
                <w:rFonts w:cs="Arial"/>
                <w:color w:val="000000"/>
                <w:szCs w:val="18"/>
              </w:rPr>
              <w:t>60</w:t>
            </w:r>
          </w:p>
        </w:tc>
        <w:tc>
          <w:tcPr>
            <w:tcW w:w="490" w:type="pct"/>
            <w:vAlign w:val="center"/>
          </w:tcPr>
          <w:p w:rsidR="00212D2F" w:rsidRDefault="00212D2F" w:rsidP="004049DD">
            <w:pPr>
              <w:jc w:val="center"/>
              <w:textAlignment w:val="center"/>
              <w:rPr>
                <w:rFonts w:cs="Arial"/>
                <w:color w:val="000000"/>
                <w:szCs w:val="18"/>
              </w:rPr>
            </w:pPr>
            <w:r>
              <w:rPr>
                <w:rFonts w:cs="Arial"/>
                <w:color w:val="000000"/>
                <w:szCs w:val="18"/>
              </w:rPr>
              <w:t>-971</w:t>
            </w:r>
          </w:p>
        </w:tc>
        <w:tc>
          <w:tcPr>
            <w:tcW w:w="505" w:type="pct"/>
            <w:vAlign w:val="center"/>
          </w:tcPr>
          <w:p w:rsidR="00212D2F" w:rsidRPr="00212D2F" w:rsidRDefault="002D37FB" w:rsidP="004049DD">
            <w:pPr>
              <w:jc w:val="center"/>
              <w:textAlignment w:val="center"/>
              <w:rPr>
                <w:rFonts w:cs="Arial"/>
                <w:color w:val="000000"/>
                <w:szCs w:val="18"/>
              </w:rPr>
            </w:pPr>
            <w:r>
              <w:rPr>
                <w:rFonts w:cs="Arial"/>
                <w:color w:val="000000"/>
                <w:szCs w:val="18"/>
              </w:rPr>
              <w:t>N/A</w:t>
            </w:r>
            <w:r w:rsidRPr="00212D2F">
              <w:rPr>
                <w:rFonts w:cs="Arial"/>
                <w:color w:val="000000"/>
                <w:szCs w:val="18"/>
              </w:rPr>
              <w:t xml:space="preserve"> </w:t>
            </w:r>
          </w:p>
        </w:tc>
        <w:tc>
          <w:tcPr>
            <w:tcW w:w="1308" w:type="pct"/>
            <w:vAlign w:val="center"/>
          </w:tcPr>
          <w:p w:rsidR="00212D2F" w:rsidRPr="00212D2F" w:rsidRDefault="00212D2F" w:rsidP="009B0884">
            <w:pPr>
              <w:textAlignment w:val="center"/>
              <w:rPr>
                <w:rFonts w:cs="Arial"/>
                <w:color w:val="000000"/>
                <w:szCs w:val="18"/>
              </w:rPr>
            </w:pPr>
            <w:r w:rsidRPr="00212D2F">
              <w:rPr>
                <w:rFonts w:cs="Arial"/>
                <w:color w:val="000000"/>
                <w:szCs w:val="18"/>
              </w:rPr>
              <w:t xml:space="preserve">GT </w:t>
            </w:r>
            <w:r w:rsidR="009B0884">
              <w:rPr>
                <w:rFonts w:cs="Arial"/>
                <w:color w:val="000000"/>
                <w:szCs w:val="18"/>
              </w:rPr>
              <w:t>commissioning</w:t>
            </w:r>
          </w:p>
        </w:tc>
      </w:tr>
      <w:tr w:rsidR="00125F4F" w:rsidRPr="002D1734" w:rsidTr="00213CF6">
        <w:trPr>
          <w:cnfStyle w:val="000000100000" w:firstRow="0" w:lastRow="0" w:firstColumn="0" w:lastColumn="0" w:oddVBand="0" w:evenVBand="0" w:oddHBand="1" w:evenHBand="0" w:firstRowFirstColumn="0" w:firstRowLastColumn="0" w:lastRowFirstColumn="0" w:lastRowLastColumn="0"/>
          <w:trHeight w:val="606"/>
        </w:trPr>
        <w:tc>
          <w:tcPr>
            <w:tcW w:w="483" w:type="pct"/>
            <w:vAlign w:val="center"/>
          </w:tcPr>
          <w:p w:rsidR="00125F4F" w:rsidRDefault="00212D2F" w:rsidP="00213CF6">
            <w:pPr>
              <w:jc w:val="center"/>
              <w:textAlignment w:val="center"/>
              <w:rPr>
                <w:rFonts w:cs="Arial"/>
                <w:color w:val="000000"/>
                <w:szCs w:val="18"/>
              </w:rPr>
            </w:pPr>
            <w:r>
              <w:rPr>
                <w:rFonts w:cs="Arial"/>
                <w:color w:val="000000"/>
                <w:szCs w:val="18"/>
              </w:rPr>
              <w:t>6.36 a</w:t>
            </w:r>
            <w:r w:rsidR="00125F4F">
              <w:rPr>
                <w:rFonts w:cs="Arial"/>
                <w:color w:val="000000"/>
                <w:szCs w:val="18"/>
              </w:rPr>
              <w:t>m</w:t>
            </w:r>
          </w:p>
        </w:tc>
        <w:tc>
          <w:tcPr>
            <w:tcW w:w="470" w:type="pct"/>
            <w:vAlign w:val="center"/>
          </w:tcPr>
          <w:p w:rsidR="00125F4F" w:rsidRDefault="00212D2F" w:rsidP="00213CF6">
            <w:pPr>
              <w:jc w:val="center"/>
              <w:textAlignment w:val="center"/>
              <w:rPr>
                <w:rFonts w:cs="Arial"/>
                <w:color w:val="000000"/>
                <w:szCs w:val="18"/>
              </w:rPr>
            </w:pPr>
            <w:r>
              <w:rPr>
                <w:rFonts w:cs="Arial"/>
                <w:color w:val="000000"/>
                <w:szCs w:val="18"/>
              </w:rPr>
              <w:t>6.45 a</w:t>
            </w:r>
            <w:r w:rsidR="00125F4F">
              <w:rPr>
                <w:rFonts w:cs="Arial"/>
                <w:color w:val="000000"/>
                <w:szCs w:val="18"/>
              </w:rPr>
              <w:t>m</w:t>
            </w:r>
          </w:p>
        </w:tc>
        <w:tc>
          <w:tcPr>
            <w:tcW w:w="644" w:type="pct"/>
            <w:vAlign w:val="center"/>
          </w:tcPr>
          <w:p w:rsidR="00125F4F" w:rsidRDefault="00212D2F" w:rsidP="00213CF6">
            <w:pPr>
              <w:textAlignment w:val="center"/>
              <w:rPr>
                <w:rFonts w:cs="Arial"/>
                <w:color w:val="000000"/>
                <w:szCs w:val="18"/>
              </w:rPr>
            </w:pPr>
            <w:r>
              <w:rPr>
                <w:rFonts w:cs="Arial"/>
                <w:color w:val="000000"/>
                <w:szCs w:val="18"/>
              </w:rPr>
              <w:t>Millmerran</w:t>
            </w:r>
          </w:p>
        </w:tc>
        <w:tc>
          <w:tcPr>
            <w:tcW w:w="575" w:type="pct"/>
            <w:vAlign w:val="center"/>
          </w:tcPr>
          <w:p w:rsidR="00125F4F" w:rsidRDefault="00212D2F" w:rsidP="00213CF6">
            <w:pPr>
              <w:textAlignment w:val="center"/>
              <w:rPr>
                <w:rFonts w:cs="Arial"/>
                <w:color w:val="000000"/>
                <w:szCs w:val="18"/>
              </w:rPr>
            </w:pPr>
            <w:r>
              <w:rPr>
                <w:rFonts w:cs="Arial"/>
                <w:color w:val="000000"/>
                <w:szCs w:val="18"/>
              </w:rPr>
              <w:t>Millmerran</w:t>
            </w:r>
          </w:p>
        </w:tc>
        <w:tc>
          <w:tcPr>
            <w:tcW w:w="525" w:type="pct"/>
            <w:vAlign w:val="center"/>
          </w:tcPr>
          <w:p w:rsidR="00125F4F" w:rsidRDefault="00212D2F" w:rsidP="00213CF6">
            <w:pPr>
              <w:jc w:val="center"/>
              <w:textAlignment w:val="center"/>
              <w:rPr>
                <w:rFonts w:cs="Arial"/>
                <w:color w:val="000000"/>
                <w:szCs w:val="18"/>
              </w:rPr>
            </w:pPr>
            <w:r>
              <w:rPr>
                <w:rFonts w:cs="Arial"/>
                <w:color w:val="000000"/>
                <w:szCs w:val="18"/>
              </w:rPr>
              <w:t>230</w:t>
            </w:r>
          </w:p>
        </w:tc>
        <w:tc>
          <w:tcPr>
            <w:tcW w:w="490" w:type="pct"/>
            <w:vAlign w:val="center"/>
          </w:tcPr>
          <w:p w:rsidR="00125F4F" w:rsidRDefault="00212D2F" w:rsidP="00213CF6">
            <w:pPr>
              <w:jc w:val="center"/>
              <w:textAlignment w:val="center"/>
              <w:rPr>
                <w:rFonts w:cs="Arial"/>
                <w:color w:val="000000"/>
                <w:szCs w:val="18"/>
              </w:rPr>
            </w:pPr>
            <w:r>
              <w:rPr>
                <w:rFonts w:cs="Arial"/>
                <w:color w:val="000000"/>
                <w:szCs w:val="18"/>
              </w:rPr>
              <w:t>7</w:t>
            </w:r>
          </w:p>
        </w:tc>
        <w:tc>
          <w:tcPr>
            <w:tcW w:w="505" w:type="pct"/>
            <w:vAlign w:val="center"/>
          </w:tcPr>
          <w:p w:rsidR="00125F4F" w:rsidRPr="00212D2F" w:rsidRDefault="00607BA0" w:rsidP="00213CF6">
            <w:pPr>
              <w:jc w:val="center"/>
              <w:textAlignment w:val="center"/>
              <w:rPr>
                <w:rFonts w:cs="Arial"/>
                <w:color w:val="000000"/>
                <w:szCs w:val="18"/>
              </w:rPr>
            </w:pPr>
            <w:r>
              <w:rPr>
                <w:rFonts w:cs="Arial"/>
                <w:color w:val="000000"/>
                <w:szCs w:val="18"/>
              </w:rPr>
              <w:t>13 800</w:t>
            </w:r>
          </w:p>
        </w:tc>
        <w:tc>
          <w:tcPr>
            <w:tcW w:w="1308" w:type="pct"/>
            <w:vAlign w:val="center"/>
          </w:tcPr>
          <w:p w:rsidR="00125F4F" w:rsidRPr="00212D2F" w:rsidRDefault="00212D2F" w:rsidP="009B0884">
            <w:pPr>
              <w:textAlignment w:val="center"/>
              <w:rPr>
                <w:rFonts w:cs="Arial"/>
                <w:color w:val="000000"/>
                <w:szCs w:val="18"/>
              </w:rPr>
            </w:pPr>
            <w:r w:rsidRPr="00212D2F">
              <w:rPr>
                <w:rFonts w:cs="Arial"/>
                <w:szCs w:val="18"/>
              </w:rPr>
              <w:t xml:space="preserve">06:33 </w:t>
            </w:r>
            <w:r w:rsidR="009B0884">
              <w:rPr>
                <w:rFonts w:cs="Arial"/>
                <w:szCs w:val="18"/>
              </w:rPr>
              <w:t>a change in</w:t>
            </w:r>
            <w:r w:rsidRPr="00212D2F">
              <w:rPr>
                <w:rFonts w:cs="Arial"/>
                <w:szCs w:val="18"/>
              </w:rPr>
              <w:t xml:space="preserve"> 5MIN PD </w:t>
            </w:r>
            <w:r w:rsidR="009B0884">
              <w:rPr>
                <w:rFonts w:cs="Arial"/>
                <w:szCs w:val="18"/>
              </w:rPr>
              <w:t>demand</w:t>
            </w:r>
            <w:r w:rsidRPr="00212D2F">
              <w:rPr>
                <w:rFonts w:cs="Arial"/>
                <w:szCs w:val="18"/>
              </w:rPr>
              <w:t xml:space="preserve"> - SL</w:t>
            </w:r>
          </w:p>
        </w:tc>
      </w:tr>
      <w:tr w:rsidR="00125F4F" w:rsidRPr="002D1734" w:rsidTr="00213CF6">
        <w:trPr>
          <w:cnfStyle w:val="000000010000" w:firstRow="0" w:lastRow="0" w:firstColumn="0" w:lastColumn="0" w:oddVBand="0" w:evenVBand="0" w:oddHBand="0" w:evenHBand="1" w:firstRowFirstColumn="0" w:firstRowLastColumn="0" w:lastRowFirstColumn="0" w:lastRowLastColumn="0"/>
          <w:trHeight w:val="606"/>
        </w:trPr>
        <w:tc>
          <w:tcPr>
            <w:tcW w:w="483" w:type="pct"/>
            <w:vAlign w:val="center"/>
          </w:tcPr>
          <w:p w:rsidR="00125F4F" w:rsidRDefault="00212D2F" w:rsidP="00212D2F">
            <w:pPr>
              <w:jc w:val="center"/>
              <w:textAlignment w:val="center"/>
              <w:rPr>
                <w:rFonts w:cs="Arial"/>
                <w:color w:val="000000"/>
                <w:szCs w:val="18"/>
              </w:rPr>
            </w:pPr>
            <w:r>
              <w:rPr>
                <w:rFonts w:cs="Arial"/>
                <w:color w:val="000000"/>
                <w:szCs w:val="18"/>
              </w:rPr>
              <w:t>6.40 a</w:t>
            </w:r>
            <w:r w:rsidR="00125F4F">
              <w:rPr>
                <w:rFonts w:cs="Arial"/>
                <w:color w:val="000000"/>
                <w:szCs w:val="18"/>
              </w:rPr>
              <w:t>m</w:t>
            </w:r>
          </w:p>
        </w:tc>
        <w:tc>
          <w:tcPr>
            <w:tcW w:w="470" w:type="pct"/>
            <w:vAlign w:val="center"/>
          </w:tcPr>
          <w:p w:rsidR="00125F4F" w:rsidRDefault="00212D2F" w:rsidP="00213CF6">
            <w:pPr>
              <w:jc w:val="center"/>
              <w:textAlignment w:val="center"/>
              <w:rPr>
                <w:rFonts w:cs="Arial"/>
                <w:color w:val="000000"/>
                <w:szCs w:val="18"/>
              </w:rPr>
            </w:pPr>
            <w:r>
              <w:rPr>
                <w:rFonts w:cs="Arial"/>
                <w:color w:val="000000"/>
                <w:szCs w:val="18"/>
              </w:rPr>
              <w:t>6.50 a</w:t>
            </w:r>
            <w:r w:rsidR="00125F4F">
              <w:rPr>
                <w:rFonts w:cs="Arial"/>
                <w:color w:val="000000"/>
                <w:szCs w:val="18"/>
              </w:rPr>
              <w:t>m</w:t>
            </w:r>
          </w:p>
        </w:tc>
        <w:tc>
          <w:tcPr>
            <w:tcW w:w="644" w:type="pct"/>
            <w:vAlign w:val="center"/>
          </w:tcPr>
          <w:p w:rsidR="00125F4F" w:rsidRDefault="00212D2F" w:rsidP="00213CF6">
            <w:pPr>
              <w:textAlignment w:val="center"/>
              <w:rPr>
                <w:rFonts w:cs="Arial"/>
                <w:color w:val="000000"/>
                <w:szCs w:val="18"/>
              </w:rPr>
            </w:pPr>
            <w:r>
              <w:rPr>
                <w:rFonts w:cs="Arial"/>
                <w:color w:val="000000"/>
                <w:szCs w:val="18"/>
              </w:rPr>
              <w:t>Callide</w:t>
            </w:r>
          </w:p>
        </w:tc>
        <w:tc>
          <w:tcPr>
            <w:tcW w:w="575" w:type="pct"/>
            <w:vAlign w:val="center"/>
          </w:tcPr>
          <w:p w:rsidR="00125F4F" w:rsidRDefault="00212D2F" w:rsidP="00213CF6">
            <w:pPr>
              <w:textAlignment w:val="center"/>
              <w:rPr>
                <w:rFonts w:cs="Arial"/>
                <w:color w:val="000000"/>
                <w:szCs w:val="18"/>
              </w:rPr>
            </w:pPr>
            <w:r>
              <w:rPr>
                <w:rFonts w:cs="Arial"/>
                <w:color w:val="000000"/>
                <w:szCs w:val="18"/>
              </w:rPr>
              <w:t>Callide C</w:t>
            </w:r>
          </w:p>
        </w:tc>
        <w:tc>
          <w:tcPr>
            <w:tcW w:w="525" w:type="pct"/>
            <w:vAlign w:val="center"/>
          </w:tcPr>
          <w:p w:rsidR="00125F4F" w:rsidRDefault="00212D2F" w:rsidP="00213CF6">
            <w:pPr>
              <w:jc w:val="center"/>
              <w:textAlignment w:val="center"/>
              <w:rPr>
                <w:rFonts w:cs="Arial"/>
                <w:color w:val="000000"/>
                <w:szCs w:val="18"/>
              </w:rPr>
            </w:pPr>
            <w:r>
              <w:rPr>
                <w:rFonts w:cs="Arial"/>
                <w:color w:val="000000"/>
                <w:szCs w:val="18"/>
              </w:rPr>
              <w:t>93</w:t>
            </w:r>
          </w:p>
        </w:tc>
        <w:tc>
          <w:tcPr>
            <w:tcW w:w="490" w:type="pct"/>
            <w:vAlign w:val="center"/>
          </w:tcPr>
          <w:p w:rsidR="00125F4F" w:rsidRPr="009B0884" w:rsidRDefault="00607BA0" w:rsidP="00213CF6">
            <w:pPr>
              <w:jc w:val="center"/>
              <w:textAlignment w:val="center"/>
              <w:rPr>
                <w:rFonts w:cs="Arial"/>
                <w:color w:val="000000"/>
                <w:szCs w:val="18"/>
              </w:rPr>
            </w:pPr>
            <w:r>
              <w:rPr>
                <w:rFonts w:cs="Arial"/>
                <w:color w:val="000000"/>
                <w:szCs w:val="18"/>
              </w:rPr>
              <w:t>-1000</w:t>
            </w:r>
          </w:p>
        </w:tc>
        <w:tc>
          <w:tcPr>
            <w:tcW w:w="505" w:type="pct"/>
            <w:vAlign w:val="center"/>
          </w:tcPr>
          <w:p w:rsidR="00125F4F" w:rsidRPr="009B0884" w:rsidRDefault="00607BA0" w:rsidP="00213CF6">
            <w:pPr>
              <w:jc w:val="center"/>
              <w:textAlignment w:val="center"/>
              <w:rPr>
                <w:rFonts w:cs="Arial"/>
                <w:color w:val="000000"/>
                <w:szCs w:val="18"/>
              </w:rPr>
            </w:pPr>
            <w:r>
              <w:rPr>
                <w:rFonts w:cs="Arial"/>
                <w:color w:val="000000"/>
                <w:szCs w:val="18"/>
              </w:rPr>
              <w:t>13 800</w:t>
            </w:r>
          </w:p>
        </w:tc>
        <w:tc>
          <w:tcPr>
            <w:tcW w:w="1308" w:type="pct"/>
            <w:vAlign w:val="center"/>
          </w:tcPr>
          <w:p w:rsidR="00125F4F" w:rsidRPr="009B0884" w:rsidRDefault="00212D2F" w:rsidP="009B0884">
            <w:pPr>
              <w:textAlignment w:val="center"/>
              <w:rPr>
                <w:rFonts w:cs="Arial"/>
                <w:color w:val="000000"/>
                <w:szCs w:val="18"/>
              </w:rPr>
            </w:pPr>
            <w:r w:rsidRPr="009B0884">
              <w:rPr>
                <w:rFonts w:cs="Arial"/>
                <w:szCs w:val="18"/>
              </w:rPr>
              <w:t xml:space="preserve">0635A </w:t>
            </w:r>
            <w:r w:rsidR="009B0884">
              <w:rPr>
                <w:rFonts w:cs="Arial"/>
                <w:szCs w:val="18"/>
              </w:rPr>
              <w:t>change in</w:t>
            </w:r>
            <w:r w:rsidRPr="009B0884">
              <w:rPr>
                <w:rFonts w:cs="Arial"/>
                <w:szCs w:val="18"/>
              </w:rPr>
              <w:t xml:space="preserve"> 5MIN PD </w:t>
            </w:r>
            <w:r w:rsidR="009B0884">
              <w:rPr>
                <w:rFonts w:cs="Arial"/>
                <w:szCs w:val="18"/>
              </w:rPr>
              <w:t>demand</w:t>
            </w:r>
            <w:r w:rsidRPr="009B0884">
              <w:rPr>
                <w:rFonts w:cs="Arial"/>
                <w:szCs w:val="18"/>
              </w:rPr>
              <w:t xml:space="preserve"> - SL</w:t>
            </w:r>
          </w:p>
        </w:tc>
      </w:tr>
      <w:tr w:rsidR="00125F4F" w:rsidRPr="002D1734" w:rsidTr="00213CF6">
        <w:trPr>
          <w:cnfStyle w:val="000000100000" w:firstRow="0" w:lastRow="0" w:firstColumn="0" w:lastColumn="0" w:oddVBand="0" w:evenVBand="0" w:oddHBand="1" w:evenHBand="0" w:firstRowFirstColumn="0" w:firstRowLastColumn="0" w:lastRowFirstColumn="0" w:lastRowLastColumn="0"/>
          <w:trHeight w:val="606"/>
        </w:trPr>
        <w:tc>
          <w:tcPr>
            <w:tcW w:w="483" w:type="pct"/>
            <w:vAlign w:val="center"/>
          </w:tcPr>
          <w:p w:rsidR="00125F4F" w:rsidRDefault="00212D2F" w:rsidP="00213CF6">
            <w:pPr>
              <w:jc w:val="center"/>
              <w:textAlignment w:val="center"/>
              <w:rPr>
                <w:rFonts w:cs="Arial"/>
                <w:color w:val="000000"/>
                <w:szCs w:val="18"/>
              </w:rPr>
            </w:pPr>
            <w:r>
              <w:rPr>
                <w:rFonts w:cs="Arial"/>
                <w:color w:val="000000"/>
                <w:szCs w:val="18"/>
              </w:rPr>
              <w:t>6.45 a</w:t>
            </w:r>
            <w:r w:rsidR="00125F4F">
              <w:rPr>
                <w:rFonts w:cs="Arial"/>
                <w:color w:val="000000"/>
                <w:szCs w:val="18"/>
              </w:rPr>
              <w:t>m</w:t>
            </w:r>
          </w:p>
        </w:tc>
        <w:tc>
          <w:tcPr>
            <w:tcW w:w="470" w:type="pct"/>
            <w:vAlign w:val="center"/>
          </w:tcPr>
          <w:p w:rsidR="00125F4F" w:rsidRDefault="00212D2F" w:rsidP="00213CF6">
            <w:pPr>
              <w:jc w:val="center"/>
              <w:textAlignment w:val="center"/>
              <w:rPr>
                <w:rFonts w:cs="Arial"/>
                <w:color w:val="000000"/>
                <w:szCs w:val="18"/>
              </w:rPr>
            </w:pPr>
            <w:r>
              <w:rPr>
                <w:rFonts w:cs="Arial"/>
                <w:color w:val="000000"/>
                <w:szCs w:val="18"/>
              </w:rPr>
              <w:t>6.55 a</w:t>
            </w:r>
            <w:r w:rsidR="00125F4F">
              <w:rPr>
                <w:rFonts w:cs="Arial"/>
                <w:color w:val="000000"/>
                <w:szCs w:val="18"/>
              </w:rPr>
              <w:t>m</w:t>
            </w:r>
          </w:p>
        </w:tc>
        <w:tc>
          <w:tcPr>
            <w:tcW w:w="644" w:type="pct"/>
            <w:vAlign w:val="center"/>
          </w:tcPr>
          <w:p w:rsidR="00125F4F" w:rsidRDefault="00212D2F" w:rsidP="00213CF6">
            <w:pPr>
              <w:textAlignment w:val="center"/>
              <w:rPr>
                <w:rFonts w:cs="Arial"/>
                <w:color w:val="000000"/>
                <w:szCs w:val="18"/>
              </w:rPr>
            </w:pPr>
            <w:r>
              <w:rPr>
                <w:rFonts w:cs="Arial"/>
                <w:color w:val="000000"/>
                <w:szCs w:val="18"/>
              </w:rPr>
              <w:t>CS Energy</w:t>
            </w:r>
          </w:p>
        </w:tc>
        <w:tc>
          <w:tcPr>
            <w:tcW w:w="575" w:type="pct"/>
            <w:vAlign w:val="center"/>
          </w:tcPr>
          <w:p w:rsidR="00125F4F" w:rsidRDefault="00212D2F" w:rsidP="00213CF6">
            <w:pPr>
              <w:textAlignment w:val="center"/>
              <w:rPr>
                <w:rFonts w:cs="Arial"/>
                <w:color w:val="000000"/>
                <w:szCs w:val="18"/>
              </w:rPr>
            </w:pPr>
            <w:r>
              <w:rPr>
                <w:rFonts w:cs="Arial"/>
                <w:color w:val="000000"/>
                <w:szCs w:val="18"/>
              </w:rPr>
              <w:t>Callide B, Gladstone</w:t>
            </w:r>
          </w:p>
        </w:tc>
        <w:tc>
          <w:tcPr>
            <w:tcW w:w="525" w:type="pct"/>
            <w:vAlign w:val="center"/>
          </w:tcPr>
          <w:p w:rsidR="00125F4F" w:rsidRDefault="00212D2F" w:rsidP="00213CF6">
            <w:pPr>
              <w:jc w:val="center"/>
              <w:textAlignment w:val="center"/>
              <w:rPr>
                <w:rFonts w:cs="Arial"/>
                <w:color w:val="000000"/>
                <w:szCs w:val="18"/>
              </w:rPr>
            </w:pPr>
            <w:r>
              <w:rPr>
                <w:rFonts w:cs="Arial"/>
                <w:color w:val="000000"/>
                <w:szCs w:val="18"/>
              </w:rPr>
              <w:t>175</w:t>
            </w:r>
          </w:p>
        </w:tc>
        <w:tc>
          <w:tcPr>
            <w:tcW w:w="490" w:type="pct"/>
            <w:vAlign w:val="center"/>
          </w:tcPr>
          <w:p w:rsidR="00125F4F" w:rsidRPr="009B0884" w:rsidRDefault="009B0884" w:rsidP="00213CF6">
            <w:pPr>
              <w:jc w:val="center"/>
              <w:textAlignment w:val="center"/>
              <w:rPr>
                <w:rFonts w:cs="Arial"/>
                <w:color w:val="000000"/>
                <w:szCs w:val="18"/>
              </w:rPr>
            </w:pPr>
            <w:r w:rsidRPr="009B0884">
              <w:rPr>
                <w:rFonts w:cs="Arial"/>
                <w:color w:val="000000"/>
                <w:szCs w:val="18"/>
              </w:rPr>
              <w:t>&lt;1</w:t>
            </w:r>
            <w:r w:rsidR="00125F4F" w:rsidRPr="009B0884">
              <w:rPr>
                <w:rFonts w:cs="Arial"/>
                <w:color w:val="000000"/>
                <w:szCs w:val="18"/>
              </w:rPr>
              <w:t>7</w:t>
            </w:r>
          </w:p>
        </w:tc>
        <w:tc>
          <w:tcPr>
            <w:tcW w:w="505" w:type="pct"/>
            <w:vAlign w:val="center"/>
          </w:tcPr>
          <w:p w:rsidR="00125F4F" w:rsidRPr="009B0884" w:rsidRDefault="00607BA0" w:rsidP="00213CF6">
            <w:pPr>
              <w:jc w:val="center"/>
              <w:textAlignment w:val="center"/>
              <w:rPr>
                <w:rFonts w:cs="Arial"/>
                <w:color w:val="000000"/>
                <w:szCs w:val="18"/>
              </w:rPr>
            </w:pPr>
            <w:r>
              <w:rPr>
                <w:rFonts w:cs="Arial"/>
                <w:color w:val="000000"/>
                <w:szCs w:val="18"/>
              </w:rPr>
              <w:t>13 800</w:t>
            </w:r>
          </w:p>
        </w:tc>
        <w:tc>
          <w:tcPr>
            <w:tcW w:w="1308" w:type="pct"/>
            <w:vAlign w:val="center"/>
          </w:tcPr>
          <w:p w:rsidR="00125F4F" w:rsidRPr="009B0884" w:rsidRDefault="00212D2F" w:rsidP="009B0884">
            <w:pPr>
              <w:textAlignment w:val="center"/>
              <w:rPr>
                <w:rFonts w:cs="Arial"/>
                <w:color w:val="000000"/>
                <w:szCs w:val="18"/>
              </w:rPr>
            </w:pPr>
            <w:r w:rsidRPr="009B0884">
              <w:rPr>
                <w:rFonts w:cs="Arial"/>
                <w:szCs w:val="18"/>
              </w:rPr>
              <w:t xml:space="preserve">0644A </w:t>
            </w:r>
            <w:r w:rsidR="009B0884">
              <w:rPr>
                <w:rFonts w:cs="Arial"/>
                <w:szCs w:val="18"/>
              </w:rPr>
              <w:t>dispatch price higher than</w:t>
            </w:r>
            <w:r w:rsidRPr="009B0884">
              <w:rPr>
                <w:rFonts w:cs="Arial"/>
                <w:szCs w:val="18"/>
              </w:rPr>
              <w:t xml:space="preserve"> 30MIN </w:t>
            </w:r>
            <w:r w:rsidR="009B0884">
              <w:rPr>
                <w:rFonts w:cs="Arial"/>
                <w:szCs w:val="18"/>
              </w:rPr>
              <w:t>forecast</w:t>
            </w:r>
            <w:r w:rsidRPr="009B0884">
              <w:rPr>
                <w:rFonts w:cs="Arial"/>
                <w:szCs w:val="18"/>
              </w:rPr>
              <w:t>-SL</w:t>
            </w:r>
          </w:p>
        </w:tc>
      </w:tr>
      <w:tr w:rsidR="009B0884" w:rsidRPr="002D1734" w:rsidTr="00213CF6">
        <w:trPr>
          <w:cnfStyle w:val="000000010000" w:firstRow="0" w:lastRow="0" w:firstColumn="0" w:lastColumn="0" w:oddVBand="0" w:evenVBand="0" w:oddHBand="0" w:evenHBand="1" w:firstRowFirstColumn="0" w:firstRowLastColumn="0" w:lastRowFirstColumn="0" w:lastRowLastColumn="0"/>
          <w:trHeight w:val="606"/>
        </w:trPr>
        <w:tc>
          <w:tcPr>
            <w:tcW w:w="483" w:type="pct"/>
            <w:vAlign w:val="center"/>
          </w:tcPr>
          <w:p w:rsidR="009B0884" w:rsidRDefault="009B0884" w:rsidP="00213CF6">
            <w:pPr>
              <w:jc w:val="center"/>
              <w:textAlignment w:val="center"/>
              <w:rPr>
                <w:rFonts w:cs="Arial"/>
                <w:color w:val="000000"/>
                <w:szCs w:val="18"/>
              </w:rPr>
            </w:pPr>
            <w:r>
              <w:rPr>
                <w:rFonts w:cs="Arial"/>
                <w:color w:val="000000"/>
                <w:szCs w:val="18"/>
              </w:rPr>
              <w:t>6.52 am</w:t>
            </w:r>
          </w:p>
        </w:tc>
        <w:tc>
          <w:tcPr>
            <w:tcW w:w="470" w:type="pct"/>
            <w:vAlign w:val="center"/>
          </w:tcPr>
          <w:p w:rsidR="009B0884" w:rsidRDefault="009B0884">
            <w:pPr>
              <w:jc w:val="center"/>
              <w:textAlignment w:val="center"/>
              <w:rPr>
                <w:rFonts w:cs="Arial"/>
                <w:color w:val="000000"/>
                <w:szCs w:val="18"/>
              </w:rPr>
            </w:pPr>
            <w:r>
              <w:rPr>
                <w:rFonts w:cs="Arial"/>
                <w:color w:val="000000"/>
                <w:szCs w:val="18"/>
              </w:rPr>
              <w:t>7 am</w:t>
            </w:r>
          </w:p>
        </w:tc>
        <w:tc>
          <w:tcPr>
            <w:tcW w:w="644" w:type="pct"/>
            <w:vAlign w:val="center"/>
          </w:tcPr>
          <w:p w:rsidR="009B0884" w:rsidRDefault="009B0884" w:rsidP="004049DD">
            <w:pPr>
              <w:textAlignment w:val="center"/>
              <w:rPr>
                <w:rFonts w:cs="Arial"/>
                <w:color w:val="000000"/>
                <w:szCs w:val="18"/>
              </w:rPr>
            </w:pPr>
            <w:r>
              <w:rPr>
                <w:rFonts w:cs="Arial"/>
                <w:color w:val="000000"/>
                <w:szCs w:val="18"/>
              </w:rPr>
              <w:t>CS Energy</w:t>
            </w:r>
          </w:p>
        </w:tc>
        <w:tc>
          <w:tcPr>
            <w:tcW w:w="575" w:type="pct"/>
            <w:vAlign w:val="center"/>
          </w:tcPr>
          <w:p w:rsidR="009B0884" w:rsidRDefault="009B0884" w:rsidP="004049DD">
            <w:pPr>
              <w:textAlignment w:val="center"/>
              <w:rPr>
                <w:rFonts w:cs="Arial"/>
                <w:color w:val="000000"/>
                <w:szCs w:val="18"/>
              </w:rPr>
            </w:pPr>
            <w:r>
              <w:rPr>
                <w:rFonts w:cs="Arial"/>
                <w:color w:val="000000"/>
                <w:szCs w:val="18"/>
              </w:rPr>
              <w:t>Gladstone</w:t>
            </w:r>
          </w:p>
        </w:tc>
        <w:tc>
          <w:tcPr>
            <w:tcW w:w="525" w:type="pct"/>
            <w:vAlign w:val="center"/>
          </w:tcPr>
          <w:p w:rsidR="009B0884" w:rsidRDefault="009B0884" w:rsidP="00213CF6">
            <w:pPr>
              <w:jc w:val="center"/>
              <w:textAlignment w:val="center"/>
              <w:rPr>
                <w:rFonts w:cs="Arial"/>
                <w:color w:val="000000"/>
                <w:szCs w:val="18"/>
              </w:rPr>
            </w:pPr>
            <w:r>
              <w:rPr>
                <w:rFonts w:cs="Arial"/>
                <w:color w:val="000000"/>
                <w:szCs w:val="18"/>
              </w:rPr>
              <w:t>200</w:t>
            </w:r>
          </w:p>
        </w:tc>
        <w:tc>
          <w:tcPr>
            <w:tcW w:w="490" w:type="pct"/>
            <w:vAlign w:val="center"/>
          </w:tcPr>
          <w:p w:rsidR="009B0884" w:rsidRPr="009B0884" w:rsidRDefault="009B0884" w:rsidP="00213CF6">
            <w:pPr>
              <w:jc w:val="center"/>
              <w:textAlignment w:val="center"/>
              <w:rPr>
                <w:rFonts w:cs="Arial"/>
                <w:color w:val="000000"/>
                <w:szCs w:val="18"/>
              </w:rPr>
            </w:pPr>
            <w:r w:rsidRPr="009B0884">
              <w:rPr>
                <w:rFonts w:cs="Arial"/>
                <w:color w:val="000000"/>
                <w:szCs w:val="18"/>
              </w:rPr>
              <w:t>0</w:t>
            </w:r>
          </w:p>
        </w:tc>
        <w:tc>
          <w:tcPr>
            <w:tcW w:w="505" w:type="pct"/>
            <w:vAlign w:val="center"/>
          </w:tcPr>
          <w:p w:rsidR="009B0884" w:rsidRPr="009B0884" w:rsidRDefault="00607BA0" w:rsidP="00213CF6">
            <w:pPr>
              <w:jc w:val="center"/>
              <w:textAlignment w:val="center"/>
              <w:rPr>
                <w:rFonts w:cs="Arial"/>
                <w:color w:val="000000"/>
                <w:szCs w:val="18"/>
              </w:rPr>
            </w:pPr>
            <w:r>
              <w:rPr>
                <w:rFonts w:cs="Arial"/>
                <w:color w:val="000000"/>
                <w:szCs w:val="18"/>
              </w:rPr>
              <w:t>13 800</w:t>
            </w:r>
          </w:p>
        </w:tc>
        <w:tc>
          <w:tcPr>
            <w:tcW w:w="1308" w:type="pct"/>
            <w:vAlign w:val="center"/>
          </w:tcPr>
          <w:p w:rsidR="009B0884" w:rsidRPr="009B0884" w:rsidRDefault="009B0884" w:rsidP="009B0884">
            <w:pPr>
              <w:textAlignment w:val="center"/>
              <w:rPr>
                <w:rFonts w:cs="Arial"/>
                <w:color w:val="000000"/>
                <w:szCs w:val="18"/>
              </w:rPr>
            </w:pPr>
            <w:r w:rsidRPr="009B0884">
              <w:rPr>
                <w:rFonts w:cs="Arial"/>
                <w:szCs w:val="18"/>
              </w:rPr>
              <w:t xml:space="preserve">0651A 5MIN PD </w:t>
            </w:r>
            <w:r>
              <w:rPr>
                <w:rFonts w:cs="Arial"/>
                <w:szCs w:val="18"/>
              </w:rPr>
              <w:t>higher than</w:t>
            </w:r>
            <w:r w:rsidRPr="009B0884">
              <w:rPr>
                <w:rFonts w:cs="Arial"/>
                <w:szCs w:val="18"/>
              </w:rPr>
              <w:t xml:space="preserve"> 30MIN PD-SL</w:t>
            </w:r>
          </w:p>
        </w:tc>
      </w:tr>
    </w:tbl>
    <w:p w:rsidR="00607BA0" w:rsidRPr="0063066D" w:rsidRDefault="004157C0" w:rsidP="0063066D">
      <w:pPr>
        <w:pStyle w:val="Heading2"/>
        <w:jc w:val="both"/>
      </w:pPr>
      <w:r>
        <w:rPr>
          <w:b w:val="0"/>
          <w:color w:val="auto"/>
          <w:sz w:val="22"/>
        </w:rPr>
        <w:t>R</w:t>
      </w:r>
      <w:r w:rsidR="00813CE4">
        <w:rPr>
          <w:b w:val="0"/>
          <w:color w:val="auto"/>
          <w:sz w:val="22"/>
        </w:rPr>
        <w:t xml:space="preserve">ebidding during the trading interval gradually </w:t>
      </w:r>
      <w:r w:rsidR="00607BA0">
        <w:rPr>
          <w:b w:val="0"/>
          <w:color w:val="auto"/>
          <w:sz w:val="22"/>
        </w:rPr>
        <w:t>increase</w:t>
      </w:r>
      <w:r w:rsidR="0063066D">
        <w:rPr>
          <w:b w:val="0"/>
          <w:color w:val="auto"/>
          <w:sz w:val="22"/>
        </w:rPr>
        <w:t>d</w:t>
      </w:r>
      <w:r w:rsidR="00607BA0">
        <w:rPr>
          <w:b w:val="0"/>
          <w:color w:val="auto"/>
          <w:sz w:val="22"/>
        </w:rPr>
        <w:t xml:space="preserve"> the steepness of the</w:t>
      </w:r>
      <w:r w:rsidR="00813CE4">
        <w:rPr>
          <w:b w:val="0"/>
          <w:color w:val="auto"/>
          <w:sz w:val="22"/>
        </w:rPr>
        <w:t xml:space="preserve"> supply curve, </w:t>
      </w:r>
      <w:r>
        <w:rPr>
          <w:b w:val="0"/>
          <w:color w:val="auto"/>
          <w:sz w:val="22"/>
        </w:rPr>
        <w:t xml:space="preserve">resulting in </w:t>
      </w:r>
      <w:r w:rsidR="00813CE4">
        <w:rPr>
          <w:b w:val="0"/>
          <w:color w:val="auto"/>
          <w:sz w:val="22"/>
        </w:rPr>
        <w:t xml:space="preserve">the 7.30 pm dispatch price increasing to the cap following a </w:t>
      </w:r>
      <w:r>
        <w:rPr>
          <w:b w:val="0"/>
          <w:color w:val="auto"/>
          <w:sz w:val="22"/>
        </w:rPr>
        <w:t>96 MW</w:t>
      </w:r>
      <w:r w:rsidR="00813CE4">
        <w:rPr>
          <w:b w:val="0"/>
          <w:color w:val="auto"/>
          <w:sz w:val="22"/>
        </w:rPr>
        <w:t xml:space="preserve"> increase in demand</w:t>
      </w:r>
      <w:r w:rsidR="001E48B3">
        <w:rPr>
          <w:b w:val="0"/>
          <w:color w:val="auto"/>
          <w:sz w:val="22"/>
        </w:rPr>
        <w:t xml:space="preserve"> with</w:t>
      </w:r>
      <w:r w:rsidR="00607BA0">
        <w:rPr>
          <w:b w:val="0"/>
          <w:color w:val="auto"/>
          <w:sz w:val="22"/>
        </w:rPr>
        <w:t xml:space="preserve"> </w:t>
      </w:r>
      <w:r w:rsidRPr="0063066D">
        <w:rPr>
          <w:b w:val="0"/>
          <w:color w:val="auto"/>
          <w:sz w:val="22"/>
        </w:rPr>
        <w:t>low priced generation fully dispatched or ramp rate limited at the time</w:t>
      </w:r>
      <w:r w:rsidR="00607BA0" w:rsidRPr="0063066D">
        <w:rPr>
          <w:b w:val="0"/>
          <w:color w:val="auto"/>
          <w:sz w:val="22"/>
        </w:rPr>
        <w:t>.</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536C31">
        <w:t xml:space="preserve">Figure </w:t>
      </w:r>
      <w:r w:rsidR="00536C31">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A64EBB">
      <w:pPr>
        <w:pStyle w:val="Caption"/>
        <w:rPr>
          <w:b w:val="0"/>
          <w:bCs w:val="0"/>
          <w:noProof/>
          <w:lang w:eastAsia="en-AU"/>
        </w:rPr>
      </w:pPr>
      <w:bookmarkStart w:id="20" w:name="_Ref410386540"/>
      <w:r>
        <w:t xml:space="preserve">Figure </w:t>
      </w:r>
      <w:r w:rsidR="00536C31">
        <w:fldChar w:fldCharType="begin"/>
      </w:r>
      <w:r w:rsidR="00536C31">
        <w:instrText xml:space="preserve"> SEQ Figure \* ARABIC </w:instrText>
      </w:r>
      <w:r w:rsidR="00536C31">
        <w:fldChar w:fldCharType="separate"/>
      </w:r>
      <w:r w:rsidR="00536C31">
        <w:rPr>
          <w:noProof/>
        </w:rPr>
        <w:t>9</w:t>
      </w:r>
      <w:r w:rsidR="00536C31">
        <w:rPr>
          <w:noProof/>
        </w:rPr>
        <w:fldChar w:fldCharType="end"/>
      </w:r>
      <w:bookmarkEnd w:id="20"/>
      <w:r w:rsidR="002515C3">
        <w:t>:</w:t>
      </w:r>
      <w:r>
        <w:t xml:space="preserve"> </w:t>
      </w:r>
      <w:r w:rsidRPr="007A6ACB">
        <w:t>Quarterly base future prices Q</w:t>
      </w:r>
      <w:r w:rsidR="00017DD0">
        <w:t>3</w:t>
      </w:r>
      <w:r w:rsidRPr="007A6ACB">
        <w:t xml:space="preserve"> 2015 – Q</w:t>
      </w:r>
      <w:r w:rsidR="006569A5">
        <w:t>2</w:t>
      </w:r>
      <w:r w:rsidRPr="007A6ACB">
        <w:t xml:space="preserve"> 201</w:t>
      </w:r>
      <w:r w:rsidR="00F87EBA">
        <w:t>9</w:t>
      </w:r>
      <w:r w:rsidR="00E47EAD" w:rsidRPr="00E47EAD">
        <w:rPr>
          <w:b w:val="0"/>
          <w:bCs w:val="0"/>
          <w:noProof/>
          <w:lang w:eastAsia="en-AU"/>
        </w:rPr>
        <w:t xml:space="preserve"> </w:t>
      </w:r>
    </w:p>
    <w:p w:rsidR="00D73D17" w:rsidRPr="00D73D17" w:rsidRDefault="009A6D69" w:rsidP="00D73D17">
      <w:pPr>
        <w:rPr>
          <w:lang w:eastAsia="en-AU"/>
        </w:rPr>
      </w:pPr>
      <w:r w:rsidRPr="009A6D69">
        <w:rPr>
          <w:noProof/>
          <w:lang w:eastAsia="en-AU"/>
        </w:rPr>
        <w:drawing>
          <wp:inline distT="0" distB="0" distL="0" distR="0" wp14:anchorId="2E85526F" wp14:editId="4BB84A22">
            <wp:extent cx="5731510" cy="2887610"/>
            <wp:effectExtent l="0" t="0" r="2540" b="8255"/>
            <wp:docPr id="30" name="Picture 30" descr="Figure 9 shows for all mainland regions the prices for base contracts (and total traded quantities for the week) for each quarter for the next four financial years." title="Figure 9: Quarterly base future prices Q3 2015 – Q2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7610"/>
                    </a:xfrm>
                    <a:prstGeom prst="rect">
                      <a:avLst/>
                    </a:prstGeom>
                    <a:noFill/>
                    <a:ln>
                      <a:noFill/>
                    </a:ln>
                  </pic:spPr>
                </pic:pic>
              </a:graphicData>
            </a:graphic>
          </wp:inline>
        </w:drawing>
      </w:r>
    </w:p>
    <w:p w:rsidR="00275002" w:rsidRPr="00A64EBB" w:rsidRDefault="00275002" w:rsidP="00CA51FE">
      <w:pPr>
        <w:pStyle w:val="Caption"/>
        <w:keepNext w:val="0"/>
        <w:rPr>
          <w:b w:val="0"/>
          <w:bCs w:val="0"/>
          <w:color w:val="auto"/>
        </w:rPr>
      </w:pPr>
      <w:r w:rsidRPr="00A64EBB">
        <w:rPr>
          <w:b w:val="0"/>
          <w:bCs w:val="0"/>
          <w:color w:val="auto"/>
          <w:sz w:val="16"/>
          <w:szCs w:val="16"/>
        </w:rPr>
        <w:t>Source</w:t>
      </w:r>
      <w:r w:rsidR="00F72F41">
        <w:rPr>
          <w:b w:val="0"/>
          <w:bCs w:val="0"/>
          <w:color w:val="auto"/>
          <w:sz w:val="16"/>
          <w:szCs w:val="16"/>
        </w:rPr>
        <w:t>.</w:t>
      </w:r>
      <w:r w:rsidRPr="00A64EBB">
        <w:rPr>
          <w:b w:val="0"/>
          <w:bCs w:val="0"/>
          <w:color w:val="auto"/>
          <w:sz w:val="16"/>
          <w:szCs w:val="16"/>
        </w:rPr>
        <w:t xml:space="preserve"> </w:t>
      </w:r>
      <w:hyperlink r:id="rId20"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536C31">
        <w:t xml:space="preserve">Figure </w:t>
      </w:r>
      <w:r w:rsidR="00536C31">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1" w:name="_Ref410380382"/>
      <w:r>
        <w:t xml:space="preserve">Figure </w:t>
      </w:r>
      <w:r w:rsidR="00536C31">
        <w:fldChar w:fldCharType="begin"/>
      </w:r>
      <w:r w:rsidR="00536C31">
        <w:instrText xml:space="preserve"> SEQ Figure \* ARABIC </w:instrText>
      </w:r>
      <w:r w:rsidR="00536C31">
        <w:fldChar w:fldCharType="separate"/>
      </w:r>
      <w:r w:rsidR="00536C31">
        <w:rPr>
          <w:noProof/>
        </w:rPr>
        <w:t>10</w:t>
      </w:r>
      <w:r w:rsidR="00536C31">
        <w:rPr>
          <w:noProof/>
        </w:rPr>
        <w:fldChar w:fldCharType="end"/>
      </w:r>
      <w:bookmarkEnd w:id="21"/>
      <w:r w:rsidR="002515C3">
        <w:t>:</w:t>
      </w:r>
      <w:r w:rsidRPr="00DF093A">
        <w:t xml:space="preserve"> Price of Q1 201</w:t>
      </w:r>
      <w:r w:rsidR="00F87EBA">
        <w:t>6</w:t>
      </w:r>
      <w:r w:rsidRPr="00DF093A">
        <w:t xml:space="preserve"> base contracts over the past 10 weeks (and the past 2 years)</w:t>
      </w:r>
    </w:p>
    <w:p w:rsidR="00275002" w:rsidRPr="0031019A" w:rsidRDefault="009A6D69" w:rsidP="00275002">
      <w:r w:rsidRPr="009A6D69">
        <w:rPr>
          <w:noProof/>
          <w:lang w:eastAsia="en-AU"/>
        </w:rPr>
        <w:drawing>
          <wp:inline distT="0" distB="0" distL="0" distR="0" wp14:anchorId="11A55EB4" wp14:editId="102EDA5D">
            <wp:extent cx="5727940" cy="2700068"/>
            <wp:effectExtent l="0" t="0" r="6350" b="5080"/>
            <wp:docPr id="31" name="Picture 31"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701751"/>
                    </a:xfrm>
                    <a:prstGeom prst="rect">
                      <a:avLst/>
                    </a:prstGeom>
                    <a:noFill/>
                    <a:ln>
                      <a:noFill/>
                    </a:ln>
                  </pic:spPr>
                </pic:pic>
              </a:graphicData>
            </a:graphic>
          </wp:inline>
        </w:drawing>
      </w:r>
    </w:p>
    <w:p w:rsidR="00275002" w:rsidRPr="0031019A" w:rsidRDefault="00275002" w:rsidP="002A7439">
      <w:pPr>
        <w:pStyle w:val="Source"/>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Source</w:t>
      </w:r>
      <w:r w:rsidR="00F72F41">
        <w:t>.</w:t>
      </w:r>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3" w:history="1">
        <w:r w:rsidRPr="0031019A">
          <w:rPr>
            <w:rStyle w:val="Hyperlink"/>
          </w:rPr>
          <w:t>Performance of the Energy Sector</w:t>
        </w:r>
      </w:hyperlink>
      <w:r w:rsidR="00D615F9">
        <w:t xml:space="preserve"> s</w:t>
      </w:r>
      <w:r w:rsidRPr="0031019A">
        <w:t>ection of our website.</w:t>
      </w:r>
    </w:p>
    <w:p w:rsidR="00275002" w:rsidRDefault="008C094A" w:rsidP="009A3D22">
      <w:pPr>
        <w:jc w:val="both"/>
      </w:pPr>
      <w:r>
        <w:fldChar w:fldCharType="begin"/>
      </w:r>
      <w:r>
        <w:instrText xml:space="preserve"> REF _Ref428276233 \h </w:instrText>
      </w:r>
      <w:r>
        <w:fldChar w:fldCharType="separate"/>
      </w:r>
      <w:r w:rsidR="00536C31">
        <w:t xml:space="preserve">Figure </w:t>
      </w:r>
      <w:r w:rsidR="00536C31">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2" w:name="_Ref428276233"/>
      <w:bookmarkStart w:id="23" w:name="_Ref410744936"/>
      <w:r>
        <w:t xml:space="preserve">Figure </w:t>
      </w:r>
      <w:r w:rsidR="00536C31">
        <w:fldChar w:fldCharType="begin"/>
      </w:r>
      <w:r w:rsidR="00536C31">
        <w:instrText xml:space="preserve"> SEQ Figure \* ARABIC </w:instrText>
      </w:r>
      <w:r w:rsidR="00536C31">
        <w:fldChar w:fldCharType="separate"/>
      </w:r>
      <w:r w:rsidR="00536C31">
        <w:rPr>
          <w:noProof/>
        </w:rPr>
        <w:t>11</w:t>
      </w:r>
      <w:r w:rsidR="00536C31">
        <w:rPr>
          <w:noProof/>
        </w:rPr>
        <w:fldChar w:fldCharType="end"/>
      </w:r>
      <w:bookmarkEnd w:id="22"/>
      <w:r w:rsidR="002515C3">
        <w:t>:</w:t>
      </w:r>
      <w:r w:rsidRPr="0074419D">
        <w:t xml:space="preserve"> Price of Q1 201</w:t>
      </w:r>
      <w:r w:rsidR="00F87EBA">
        <w:t>6</w:t>
      </w:r>
      <w:r w:rsidRPr="0074419D">
        <w:t xml:space="preserve"> cap contracts over the past 10 weeks (and the past 2 years)</w:t>
      </w:r>
      <w:bookmarkEnd w:id="23"/>
    </w:p>
    <w:p w:rsidR="00275002" w:rsidRPr="0031019A" w:rsidRDefault="009A6D69" w:rsidP="00275002">
      <w:r w:rsidRPr="009A6D69">
        <w:rPr>
          <w:noProof/>
          <w:lang w:eastAsia="en-AU"/>
        </w:rPr>
        <w:drawing>
          <wp:inline distT="0" distB="0" distL="0" distR="0" wp14:anchorId="426A85BA" wp14:editId="0B98F608">
            <wp:extent cx="5726883" cy="2691442"/>
            <wp:effectExtent l="0" t="0" r="7620" b="0"/>
            <wp:docPr id="32" name="Picture 32"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693616"/>
                    </a:xfrm>
                    <a:prstGeom prst="rect">
                      <a:avLst/>
                    </a:prstGeom>
                    <a:noFill/>
                    <a:ln>
                      <a:noFill/>
                    </a:ln>
                  </pic:spPr>
                </pic:pic>
              </a:graphicData>
            </a:graphic>
          </wp:inline>
        </w:drawing>
      </w:r>
    </w:p>
    <w:p w:rsidR="00275002" w:rsidRPr="002A7439" w:rsidRDefault="00275002" w:rsidP="002A7439">
      <w:pPr>
        <w:pStyle w:val="Source"/>
      </w:pPr>
      <w:r w:rsidRPr="002A7439">
        <w:t>Source</w:t>
      </w:r>
      <w:r w:rsidR="00F72F41">
        <w:t>.</w:t>
      </w:r>
      <w:r w:rsidRPr="002A7439">
        <w:t xml:space="preserve"> </w:t>
      </w:r>
      <w:hyperlink r:id="rId25"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6569A5">
        <w:t>September</w:t>
      </w:r>
      <w:r w:rsidR="004D5447" w:rsidRPr="0031019A">
        <w:t xml:space="preserve"> </w:t>
      </w:r>
      <w:r w:rsidRPr="0031019A">
        <w:t>2015</w:t>
      </w:r>
    </w:p>
    <w:sectPr w:rsidR="00275002" w:rsidRPr="0031019A" w:rsidSect="005B0EF5">
      <w:footerReference w:type="even" r:id="rId26"/>
      <w:footerReference w:type="default" r:id="rId27"/>
      <w:footerReference w:type="first" r:id="rId28"/>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F6" w:rsidRDefault="00213CF6" w:rsidP="004B4412">
      <w:pPr>
        <w:spacing w:before="0"/>
      </w:pPr>
      <w:r>
        <w:separator/>
      </w:r>
    </w:p>
  </w:endnote>
  <w:endnote w:type="continuationSeparator" w:id="0">
    <w:p w:rsidR="00213CF6" w:rsidRDefault="00213CF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3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F6" w:rsidRPr="00A91A9E" w:rsidRDefault="00213CF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213CF6" w:rsidRDefault="00213CF6"/>
  <w:p w:rsidR="00213CF6" w:rsidRDefault="00213C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F6" w:rsidRPr="00A94D89" w:rsidRDefault="00213CF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36C31">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CF6" w:rsidRPr="00A94D89" w:rsidRDefault="00213CF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536C31">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w:t>
    </w:r>
    <w:r w:rsidRPr="00C05C48">
      <w:rPr>
        <w:rFonts w:cs="Arial"/>
        <w:i/>
        <w:szCs w:val="18"/>
      </w:rPr>
      <w:t>/</w:t>
    </w:r>
    <w:r w:rsidR="00852B3D">
      <w:rPr>
        <w:rFonts w:cs="Arial"/>
        <w:i/>
        <w:szCs w:val="18"/>
      </w:rPr>
      <w:t>128369</w:t>
    </w:r>
  </w:p>
  <w:p w:rsidR="00213CF6" w:rsidRDefault="00213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F6" w:rsidRDefault="00213CF6" w:rsidP="004B4412">
      <w:pPr>
        <w:spacing w:before="0"/>
      </w:pPr>
      <w:r>
        <w:separator/>
      </w:r>
    </w:p>
  </w:footnote>
  <w:footnote w:type="continuationSeparator" w:id="0">
    <w:p w:rsidR="00213CF6" w:rsidRDefault="00213CF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20150816 - 20150822 electricity weekly report.docx"/>
  </w:docVars>
  <w:rsids>
    <w:rsidRoot w:val="00275002"/>
    <w:rsid w:val="00003169"/>
    <w:rsid w:val="00007624"/>
    <w:rsid w:val="000147C1"/>
    <w:rsid w:val="00017DD0"/>
    <w:rsid w:val="00021202"/>
    <w:rsid w:val="00022F09"/>
    <w:rsid w:val="000242E7"/>
    <w:rsid w:val="00024C84"/>
    <w:rsid w:val="00030794"/>
    <w:rsid w:val="000316E7"/>
    <w:rsid w:val="00033902"/>
    <w:rsid w:val="0003564D"/>
    <w:rsid w:val="0003578C"/>
    <w:rsid w:val="00043FA7"/>
    <w:rsid w:val="000442BA"/>
    <w:rsid w:val="000452BA"/>
    <w:rsid w:val="00051880"/>
    <w:rsid w:val="000528FD"/>
    <w:rsid w:val="00061CE2"/>
    <w:rsid w:val="00063247"/>
    <w:rsid w:val="00066157"/>
    <w:rsid w:val="00070F9F"/>
    <w:rsid w:val="0007137B"/>
    <w:rsid w:val="00074A4E"/>
    <w:rsid w:val="000766E2"/>
    <w:rsid w:val="00077616"/>
    <w:rsid w:val="00085663"/>
    <w:rsid w:val="00085EBF"/>
    <w:rsid w:val="00086CF3"/>
    <w:rsid w:val="00087C4A"/>
    <w:rsid w:val="0009584C"/>
    <w:rsid w:val="000A29ED"/>
    <w:rsid w:val="000A62D6"/>
    <w:rsid w:val="000B0311"/>
    <w:rsid w:val="000B3C8A"/>
    <w:rsid w:val="000D122C"/>
    <w:rsid w:val="000D3C77"/>
    <w:rsid w:val="000D68C5"/>
    <w:rsid w:val="000E1819"/>
    <w:rsid w:val="000E1A1B"/>
    <w:rsid w:val="000E2946"/>
    <w:rsid w:val="000E4F81"/>
    <w:rsid w:val="000E6C72"/>
    <w:rsid w:val="000E77BB"/>
    <w:rsid w:val="000E7E24"/>
    <w:rsid w:val="000F1D61"/>
    <w:rsid w:val="000F56F6"/>
    <w:rsid w:val="000F5855"/>
    <w:rsid w:val="00100142"/>
    <w:rsid w:val="001158FE"/>
    <w:rsid w:val="00116EB2"/>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711CC"/>
    <w:rsid w:val="0017232E"/>
    <w:rsid w:val="00174102"/>
    <w:rsid w:val="00180157"/>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D055E"/>
    <w:rsid w:val="001D0CE3"/>
    <w:rsid w:val="001E01B4"/>
    <w:rsid w:val="001E14C2"/>
    <w:rsid w:val="001E4665"/>
    <w:rsid w:val="001E48B3"/>
    <w:rsid w:val="001E5AEE"/>
    <w:rsid w:val="001F03EF"/>
    <w:rsid w:val="001F0EC9"/>
    <w:rsid w:val="001F1B78"/>
    <w:rsid w:val="001F492E"/>
    <w:rsid w:val="001F6DA3"/>
    <w:rsid w:val="001F7575"/>
    <w:rsid w:val="00201136"/>
    <w:rsid w:val="00203300"/>
    <w:rsid w:val="0020376D"/>
    <w:rsid w:val="0020489F"/>
    <w:rsid w:val="002050F5"/>
    <w:rsid w:val="002072A2"/>
    <w:rsid w:val="00212D2F"/>
    <w:rsid w:val="00213CF6"/>
    <w:rsid w:val="00214FBA"/>
    <w:rsid w:val="00216865"/>
    <w:rsid w:val="00224DB9"/>
    <w:rsid w:val="00227C97"/>
    <w:rsid w:val="00232A71"/>
    <w:rsid w:val="002515C3"/>
    <w:rsid w:val="00251745"/>
    <w:rsid w:val="00251C37"/>
    <w:rsid w:val="00262F65"/>
    <w:rsid w:val="00263AC0"/>
    <w:rsid w:val="002649D2"/>
    <w:rsid w:val="002649D8"/>
    <w:rsid w:val="00265486"/>
    <w:rsid w:val="0026772D"/>
    <w:rsid w:val="00270A51"/>
    <w:rsid w:val="00275002"/>
    <w:rsid w:val="00275927"/>
    <w:rsid w:val="0028440E"/>
    <w:rsid w:val="00286874"/>
    <w:rsid w:val="0029246F"/>
    <w:rsid w:val="00296B65"/>
    <w:rsid w:val="002A3CF2"/>
    <w:rsid w:val="002A7439"/>
    <w:rsid w:val="002A7DEF"/>
    <w:rsid w:val="002B0DAE"/>
    <w:rsid w:val="002C581B"/>
    <w:rsid w:val="002C6DD3"/>
    <w:rsid w:val="002D1734"/>
    <w:rsid w:val="002D37FB"/>
    <w:rsid w:val="002D484E"/>
    <w:rsid w:val="002D4A1F"/>
    <w:rsid w:val="002E6254"/>
    <w:rsid w:val="002F7986"/>
    <w:rsid w:val="003061FA"/>
    <w:rsid w:val="00307F6D"/>
    <w:rsid w:val="003177A2"/>
    <w:rsid w:val="00321853"/>
    <w:rsid w:val="003271B5"/>
    <w:rsid w:val="00331264"/>
    <w:rsid w:val="00332F5D"/>
    <w:rsid w:val="00334C8D"/>
    <w:rsid w:val="00336D50"/>
    <w:rsid w:val="003401B9"/>
    <w:rsid w:val="00341169"/>
    <w:rsid w:val="00342870"/>
    <w:rsid w:val="003518B3"/>
    <w:rsid w:val="00352DA8"/>
    <w:rsid w:val="00354887"/>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47DC"/>
    <w:rsid w:val="003E78A9"/>
    <w:rsid w:val="003F0289"/>
    <w:rsid w:val="003F57F1"/>
    <w:rsid w:val="003F75C8"/>
    <w:rsid w:val="00402142"/>
    <w:rsid w:val="00403473"/>
    <w:rsid w:val="00405B42"/>
    <w:rsid w:val="00411897"/>
    <w:rsid w:val="00412176"/>
    <w:rsid w:val="00414488"/>
    <w:rsid w:val="00415788"/>
    <w:rsid w:val="004157C0"/>
    <w:rsid w:val="00416641"/>
    <w:rsid w:val="004358C5"/>
    <w:rsid w:val="00456C20"/>
    <w:rsid w:val="00462CFF"/>
    <w:rsid w:val="00471E68"/>
    <w:rsid w:val="00480B4B"/>
    <w:rsid w:val="004831F8"/>
    <w:rsid w:val="00485752"/>
    <w:rsid w:val="00485DC4"/>
    <w:rsid w:val="00492A06"/>
    <w:rsid w:val="00493B02"/>
    <w:rsid w:val="004B104F"/>
    <w:rsid w:val="004B4412"/>
    <w:rsid w:val="004C348C"/>
    <w:rsid w:val="004C63B9"/>
    <w:rsid w:val="004C6C5B"/>
    <w:rsid w:val="004D5447"/>
    <w:rsid w:val="004D55BA"/>
    <w:rsid w:val="004E1E95"/>
    <w:rsid w:val="004E34E7"/>
    <w:rsid w:val="004E7D10"/>
    <w:rsid w:val="004F18F3"/>
    <w:rsid w:val="004F6ED0"/>
    <w:rsid w:val="00502843"/>
    <w:rsid w:val="005177C0"/>
    <w:rsid w:val="00522486"/>
    <w:rsid w:val="00522668"/>
    <w:rsid w:val="005279B6"/>
    <w:rsid w:val="00530128"/>
    <w:rsid w:val="00532467"/>
    <w:rsid w:val="00536C31"/>
    <w:rsid w:val="00543BEC"/>
    <w:rsid w:val="00547DC4"/>
    <w:rsid w:val="005502E7"/>
    <w:rsid w:val="00555667"/>
    <w:rsid w:val="00556B64"/>
    <w:rsid w:val="005575B9"/>
    <w:rsid w:val="00564A4D"/>
    <w:rsid w:val="005656E2"/>
    <w:rsid w:val="00571680"/>
    <w:rsid w:val="00571B35"/>
    <w:rsid w:val="00572D20"/>
    <w:rsid w:val="00574241"/>
    <w:rsid w:val="00575C43"/>
    <w:rsid w:val="00577A09"/>
    <w:rsid w:val="00577F68"/>
    <w:rsid w:val="005819F3"/>
    <w:rsid w:val="00582446"/>
    <w:rsid w:val="00584D8F"/>
    <w:rsid w:val="00595ED0"/>
    <w:rsid w:val="005A1339"/>
    <w:rsid w:val="005A404D"/>
    <w:rsid w:val="005B0461"/>
    <w:rsid w:val="005B0EF5"/>
    <w:rsid w:val="005B1E3C"/>
    <w:rsid w:val="005B7F8F"/>
    <w:rsid w:val="005C26CC"/>
    <w:rsid w:val="005C3411"/>
    <w:rsid w:val="005C3D54"/>
    <w:rsid w:val="005C546A"/>
    <w:rsid w:val="005C592F"/>
    <w:rsid w:val="005C5E72"/>
    <w:rsid w:val="005D2FBD"/>
    <w:rsid w:val="005D69AF"/>
    <w:rsid w:val="005E0B7E"/>
    <w:rsid w:val="005E6FFA"/>
    <w:rsid w:val="005F6ADE"/>
    <w:rsid w:val="005F7247"/>
    <w:rsid w:val="00603914"/>
    <w:rsid w:val="00604DB6"/>
    <w:rsid w:val="00607BA0"/>
    <w:rsid w:val="00612006"/>
    <w:rsid w:val="00613324"/>
    <w:rsid w:val="00613DEC"/>
    <w:rsid w:val="00615619"/>
    <w:rsid w:val="00615C6B"/>
    <w:rsid w:val="00616CEC"/>
    <w:rsid w:val="00620B1B"/>
    <w:rsid w:val="00621545"/>
    <w:rsid w:val="0062525D"/>
    <w:rsid w:val="00627B2D"/>
    <w:rsid w:val="0063066D"/>
    <w:rsid w:val="00630A15"/>
    <w:rsid w:val="00631560"/>
    <w:rsid w:val="006319C1"/>
    <w:rsid w:val="00632D6D"/>
    <w:rsid w:val="0063567F"/>
    <w:rsid w:val="00636936"/>
    <w:rsid w:val="00642C3E"/>
    <w:rsid w:val="006471D4"/>
    <w:rsid w:val="00647804"/>
    <w:rsid w:val="0065049E"/>
    <w:rsid w:val="00651005"/>
    <w:rsid w:val="006569A5"/>
    <w:rsid w:val="00661F88"/>
    <w:rsid w:val="00663DAD"/>
    <w:rsid w:val="00673D15"/>
    <w:rsid w:val="00676679"/>
    <w:rsid w:val="006777D7"/>
    <w:rsid w:val="00694FD6"/>
    <w:rsid w:val="006A6EDD"/>
    <w:rsid w:val="006B4CF9"/>
    <w:rsid w:val="006B7AC8"/>
    <w:rsid w:val="006C196C"/>
    <w:rsid w:val="006C1E8B"/>
    <w:rsid w:val="006C447D"/>
    <w:rsid w:val="006D3561"/>
    <w:rsid w:val="006D550F"/>
    <w:rsid w:val="006D5B9F"/>
    <w:rsid w:val="006D7923"/>
    <w:rsid w:val="006E1E7D"/>
    <w:rsid w:val="006F3750"/>
    <w:rsid w:val="006F393C"/>
    <w:rsid w:val="006F3FCB"/>
    <w:rsid w:val="006F4C38"/>
    <w:rsid w:val="00700DAB"/>
    <w:rsid w:val="00701CAB"/>
    <w:rsid w:val="00707563"/>
    <w:rsid w:val="00712D03"/>
    <w:rsid w:val="00720AB2"/>
    <w:rsid w:val="0072348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7740"/>
    <w:rsid w:val="00772A95"/>
    <w:rsid w:val="00777EE6"/>
    <w:rsid w:val="00780452"/>
    <w:rsid w:val="00782EEA"/>
    <w:rsid w:val="00784059"/>
    <w:rsid w:val="0078423F"/>
    <w:rsid w:val="00784A7E"/>
    <w:rsid w:val="0079277A"/>
    <w:rsid w:val="007A1428"/>
    <w:rsid w:val="007A1AB0"/>
    <w:rsid w:val="007A33E8"/>
    <w:rsid w:val="007B1732"/>
    <w:rsid w:val="007B2C72"/>
    <w:rsid w:val="007C1C53"/>
    <w:rsid w:val="007C2EE8"/>
    <w:rsid w:val="007C62FE"/>
    <w:rsid w:val="007D2028"/>
    <w:rsid w:val="007D6FC9"/>
    <w:rsid w:val="007E1516"/>
    <w:rsid w:val="007E4904"/>
    <w:rsid w:val="007E4CB5"/>
    <w:rsid w:val="007E5597"/>
    <w:rsid w:val="007F066B"/>
    <w:rsid w:val="007F0F77"/>
    <w:rsid w:val="007F2BBD"/>
    <w:rsid w:val="007F475F"/>
    <w:rsid w:val="008033C4"/>
    <w:rsid w:val="00806C88"/>
    <w:rsid w:val="00807A5C"/>
    <w:rsid w:val="0081034E"/>
    <w:rsid w:val="0081253D"/>
    <w:rsid w:val="00812E7B"/>
    <w:rsid w:val="00813CE4"/>
    <w:rsid w:val="008238B2"/>
    <w:rsid w:val="008344B4"/>
    <w:rsid w:val="008344F6"/>
    <w:rsid w:val="0083510F"/>
    <w:rsid w:val="008366CD"/>
    <w:rsid w:val="00840C6C"/>
    <w:rsid w:val="00847ED9"/>
    <w:rsid w:val="00851209"/>
    <w:rsid w:val="0085188E"/>
    <w:rsid w:val="00852B3D"/>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A7580"/>
    <w:rsid w:val="008B416B"/>
    <w:rsid w:val="008B6DA5"/>
    <w:rsid w:val="008C094A"/>
    <w:rsid w:val="008C1FE0"/>
    <w:rsid w:val="008C5486"/>
    <w:rsid w:val="008C6B16"/>
    <w:rsid w:val="008E1E8E"/>
    <w:rsid w:val="008E535A"/>
    <w:rsid w:val="008E6CAE"/>
    <w:rsid w:val="008E7031"/>
    <w:rsid w:val="008F6FC7"/>
    <w:rsid w:val="0090239D"/>
    <w:rsid w:val="009057E0"/>
    <w:rsid w:val="00914975"/>
    <w:rsid w:val="00914A87"/>
    <w:rsid w:val="00915BFF"/>
    <w:rsid w:val="00922ACF"/>
    <w:rsid w:val="009233EE"/>
    <w:rsid w:val="0092422F"/>
    <w:rsid w:val="009335AE"/>
    <w:rsid w:val="009377D8"/>
    <w:rsid w:val="00956C19"/>
    <w:rsid w:val="00957591"/>
    <w:rsid w:val="0095772E"/>
    <w:rsid w:val="00960AC5"/>
    <w:rsid w:val="009661DE"/>
    <w:rsid w:val="00972A40"/>
    <w:rsid w:val="00981578"/>
    <w:rsid w:val="00982FEB"/>
    <w:rsid w:val="009837D1"/>
    <w:rsid w:val="00983EEC"/>
    <w:rsid w:val="009856B7"/>
    <w:rsid w:val="00985A66"/>
    <w:rsid w:val="009928BC"/>
    <w:rsid w:val="009A3D22"/>
    <w:rsid w:val="009A6D69"/>
    <w:rsid w:val="009B0884"/>
    <w:rsid w:val="009B21F2"/>
    <w:rsid w:val="009B4E65"/>
    <w:rsid w:val="009B533B"/>
    <w:rsid w:val="009B69AA"/>
    <w:rsid w:val="009B74B0"/>
    <w:rsid w:val="009C6A83"/>
    <w:rsid w:val="009D3016"/>
    <w:rsid w:val="009D6B46"/>
    <w:rsid w:val="009E6668"/>
    <w:rsid w:val="009E7749"/>
    <w:rsid w:val="009E7AC6"/>
    <w:rsid w:val="009E7D2D"/>
    <w:rsid w:val="009F1D03"/>
    <w:rsid w:val="009F1E42"/>
    <w:rsid w:val="009F4806"/>
    <w:rsid w:val="009F4940"/>
    <w:rsid w:val="00A041F4"/>
    <w:rsid w:val="00A04F9F"/>
    <w:rsid w:val="00A159BF"/>
    <w:rsid w:val="00A3632A"/>
    <w:rsid w:val="00A4478A"/>
    <w:rsid w:val="00A44852"/>
    <w:rsid w:val="00A52A18"/>
    <w:rsid w:val="00A57D04"/>
    <w:rsid w:val="00A57D69"/>
    <w:rsid w:val="00A60A26"/>
    <w:rsid w:val="00A61598"/>
    <w:rsid w:val="00A64EBB"/>
    <w:rsid w:val="00A71AA6"/>
    <w:rsid w:val="00A75AAA"/>
    <w:rsid w:val="00A81EF8"/>
    <w:rsid w:val="00A84F46"/>
    <w:rsid w:val="00A871F4"/>
    <w:rsid w:val="00A91A4B"/>
    <w:rsid w:val="00A923DD"/>
    <w:rsid w:val="00A94D89"/>
    <w:rsid w:val="00AA0CEB"/>
    <w:rsid w:val="00AA476F"/>
    <w:rsid w:val="00AA649A"/>
    <w:rsid w:val="00AB6478"/>
    <w:rsid w:val="00AC0FE9"/>
    <w:rsid w:val="00AC1B2C"/>
    <w:rsid w:val="00AC1CF3"/>
    <w:rsid w:val="00AC3264"/>
    <w:rsid w:val="00AD592F"/>
    <w:rsid w:val="00AE1BF1"/>
    <w:rsid w:val="00AF0DD2"/>
    <w:rsid w:val="00AF46F3"/>
    <w:rsid w:val="00AF66A7"/>
    <w:rsid w:val="00AF7058"/>
    <w:rsid w:val="00B057C8"/>
    <w:rsid w:val="00B11C09"/>
    <w:rsid w:val="00B1285B"/>
    <w:rsid w:val="00B13048"/>
    <w:rsid w:val="00B14CE4"/>
    <w:rsid w:val="00B1716D"/>
    <w:rsid w:val="00B17A1D"/>
    <w:rsid w:val="00B207A0"/>
    <w:rsid w:val="00B26AAA"/>
    <w:rsid w:val="00B31071"/>
    <w:rsid w:val="00B35810"/>
    <w:rsid w:val="00B4128D"/>
    <w:rsid w:val="00B41686"/>
    <w:rsid w:val="00B44E99"/>
    <w:rsid w:val="00B56E03"/>
    <w:rsid w:val="00B63E2C"/>
    <w:rsid w:val="00B65CAC"/>
    <w:rsid w:val="00B70CA5"/>
    <w:rsid w:val="00B752C5"/>
    <w:rsid w:val="00B8080B"/>
    <w:rsid w:val="00B85D8A"/>
    <w:rsid w:val="00B87C39"/>
    <w:rsid w:val="00B87DD6"/>
    <w:rsid w:val="00B904FF"/>
    <w:rsid w:val="00B92CD5"/>
    <w:rsid w:val="00BA1F27"/>
    <w:rsid w:val="00BA390A"/>
    <w:rsid w:val="00BA3992"/>
    <w:rsid w:val="00BA4665"/>
    <w:rsid w:val="00BB2FB2"/>
    <w:rsid w:val="00BB3304"/>
    <w:rsid w:val="00BB4732"/>
    <w:rsid w:val="00BC675F"/>
    <w:rsid w:val="00BD3446"/>
    <w:rsid w:val="00BD5467"/>
    <w:rsid w:val="00BE1F1B"/>
    <w:rsid w:val="00BE47B5"/>
    <w:rsid w:val="00BF771C"/>
    <w:rsid w:val="00C008FE"/>
    <w:rsid w:val="00C01734"/>
    <w:rsid w:val="00C05C48"/>
    <w:rsid w:val="00C064A7"/>
    <w:rsid w:val="00C154C0"/>
    <w:rsid w:val="00C16B2C"/>
    <w:rsid w:val="00C30BBE"/>
    <w:rsid w:val="00C34065"/>
    <w:rsid w:val="00C4709E"/>
    <w:rsid w:val="00C50EC2"/>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A04F2"/>
    <w:rsid w:val="00CA51FE"/>
    <w:rsid w:val="00CB666B"/>
    <w:rsid w:val="00CB695E"/>
    <w:rsid w:val="00CC1D64"/>
    <w:rsid w:val="00CC2C03"/>
    <w:rsid w:val="00CD40AD"/>
    <w:rsid w:val="00CD4E7F"/>
    <w:rsid w:val="00CE1831"/>
    <w:rsid w:val="00CF0E01"/>
    <w:rsid w:val="00CF455C"/>
    <w:rsid w:val="00CF5382"/>
    <w:rsid w:val="00D01CF0"/>
    <w:rsid w:val="00D0442A"/>
    <w:rsid w:val="00D07128"/>
    <w:rsid w:val="00D22BD4"/>
    <w:rsid w:val="00D2306D"/>
    <w:rsid w:val="00D270E1"/>
    <w:rsid w:val="00D323D0"/>
    <w:rsid w:val="00D32767"/>
    <w:rsid w:val="00D44037"/>
    <w:rsid w:val="00D4681D"/>
    <w:rsid w:val="00D5111E"/>
    <w:rsid w:val="00D61388"/>
    <w:rsid w:val="00D615F9"/>
    <w:rsid w:val="00D61A54"/>
    <w:rsid w:val="00D64DEA"/>
    <w:rsid w:val="00D71771"/>
    <w:rsid w:val="00D73D17"/>
    <w:rsid w:val="00D74261"/>
    <w:rsid w:val="00D74971"/>
    <w:rsid w:val="00D80893"/>
    <w:rsid w:val="00D86899"/>
    <w:rsid w:val="00D92CF1"/>
    <w:rsid w:val="00D92D38"/>
    <w:rsid w:val="00D936B6"/>
    <w:rsid w:val="00D950F5"/>
    <w:rsid w:val="00DB0F93"/>
    <w:rsid w:val="00DB16A7"/>
    <w:rsid w:val="00DB196A"/>
    <w:rsid w:val="00DB20BF"/>
    <w:rsid w:val="00DB4CC4"/>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65C85"/>
    <w:rsid w:val="00E65CF4"/>
    <w:rsid w:val="00E66199"/>
    <w:rsid w:val="00E715D5"/>
    <w:rsid w:val="00E7472E"/>
    <w:rsid w:val="00E755EC"/>
    <w:rsid w:val="00E7624D"/>
    <w:rsid w:val="00E823D9"/>
    <w:rsid w:val="00E86851"/>
    <w:rsid w:val="00EA3D42"/>
    <w:rsid w:val="00EA6B1B"/>
    <w:rsid w:val="00EB049F"/>
    <w:rsid w:val="00EB540F"/>
    <w:rsid w:val="00EB7D7F"/>
    <w:rsid w:val="00EC317E"/>
    <w:rsid w:val="00EC67D4"/>
    <w:rsid w:val="00ED3C5B"/>
    <w:rsid w:val="00ED4A25"/>
    <w:rsid w:val="00ED6E24"/>
    <w:rsid w:val="00EE28F3"/>
    <w:rsid w:val="00EE347F"/>
    <w:rsid w:val="00EF013A"/>
    <w:rsid w:val="00EF5110"/>
    <w:rsid w:val="00F02D9B"/>
    <w:rsid w:val="00F031FE"/>
    <w:rsid w:val="00F06B5B"/>
    <w:rsid w:val="00F113FD"/>
    <w:rsid w:val="00F13EAA"/>
    <w:rsid w:val="00F15882"/>
    <w:rsid w:val="00F1785E"/>
    <w:rsid w:val="00F20BD3"/>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83FAD"/>
    <w:rsid w:val="00F87EBA"/>
    <w:rsid w:val="00F952A0"/>
    <w:rsid w:val="00F965FC"/>
    <w:rsid w:val="00FA3830"/>
    <w:rsid w:val="00FA3C7F"/>
    <w:rsid w:val="00FB153F"/>
    <w:rsid w:val="00FB41E6"/>
    <w:rsid w:val="00FB74E2"/>
    <w:rsid w:val="00FC447B"/>
    <w:rsid w:val="00FD0763"/>
    <w:rsid w:val="00FD166D"/>
    <w:rsid w:val="00FD2F97"/>
    <w:rsid w:val="00FD5316"/>
    <w:rsid w:val="00FD5614"/>
    <w:rsid w:val="00FD72DC"/>
    <w:rsid w:val="00FE0BE1"/>
    <w:rsid w:val="00FE1DE9"/>
    <w:rsid w:val="00FE39C2"/>
    <w:rsid w:val="00FE3E67"/>
    <w:rsid w:val="00FE64AE"/>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C439C371.dotm</Template>
  <TotalTime>0</TotalTime>
  <Pages>10</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2015-09-08T06:20:00Z</dcterms:created>
  <dcterms:modified xsi:type="dcterms:W3CDTF">2015-09-08T06:20:00Z</dcterms:modified>
</cp:coreProperties>
</file>