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05327CD5" wp14:editId="7CEBB3C5">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C48" w:rsidRPr="000E2946" w:rsidRDefault="00C05C48" w:rsidP="000E2946">
                            <w:pPr>
                              <w:pStyle w:val="Title"/>
                            </w:pPr>
                            <w:r w:rsidRPr="000E2946">
                              <w:t>Electricity Report</w:t>
                            </w:r>
                          </w:p>
                          <w:p w:rsidR="00C05C48" w:rsidRPr="000E2946" w:rsidRDefault="006A6648" w:rsidP="000E2946">
                            <w:pPr>
                              <w:pStyle w:val="Title"/>
                            </w:pPr>
                            <w:r>
                              <w:t>9 – 15</w:t>
                            </w:r>
                            <w:r w:rsidR="00C05C48">
                              <w:t xml:space="preserve"> August </w:t>
                            </w:r>
                            <w:r w:rsidR="00C05C48" w:rsidRPr="000E2946">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C05C48" w:rsidRPr="000E2946" w:rsidRDefault="00C05C48" w:rsidP="000E2946">
                      <w:pPr>
                        <w:pStyle w:val="Title"/>
                      </w:pPr>
                      <w:r w:rsidRPr="000E2946">
                        <w:t>Electricity Report</w:t>
                      </w:r>
                    </w:p>
                    <w:p w:rsidR="00C05C48" w:rsidRPr="000E2946" w:rsidRDefault="006A6648" w:rsidP="000E2946">
                      <w:pPr>
                        <w:pStyle w:val="Title"/>
                      </w:pPr>
                      <w:r>
                        <w:t>9 – 15</w:t>
                      </w:r>
                      <w:r w:rsidR="00C05C48">
                        <w:t xml:space="preserve"> August </w:t>
                      </w:r>
                      <w:r w:rsidR="00C05C48" w:rsidRPr="000E2946">
                        <w:t>2015</w:t>
                      </w:r>
                    </w:p>
                  </w:txbxContent>
                </v:textbox>
              </v:shape>
            </w:pict>
          </mc:Fallback>
        </mc:AlternateContent>
      </w:r>
      <w:r w:rsidRPr="0031019A">
        <w:rPr>
          <w:noProof/>
          <w:lang w:eastAsia="en-AU"/>
        </w:rPr>
        <w:drawing>
          <wp:inline distT="0" distB="0" distL="0" distR="0" wp14:anchorId="795C75D6" wp14:editId="6B219AE2">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w:t>
      </w:r>
      <w:bookmarkStart w:id="6" w:name="_GoBack"/>
      <w:bookmarkEnd w:id="6"/>
      <w:r w:rsidRPr="0031019A">
        <w: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31019A" w:rsidRDefault="001D0CE3" w:rsidP="009A3D22">
      <w:pPr>
        <w:jc w:val="both"/>
      </w:pPr>
      <w:r>
        <w:rPr>
          <w:rFonts w:cs="Arial"/>
        </w:rPr>
        <w:fldChar w:fldCharType="begin"/>
      </w:r>
      <w:r>
        <w:rPr>
          <w:rFonts w:cs="Arial"/>
        </w:rPr>
        <w:instrText xml:space="preserve"> REF _Ref410382491 \h </w:instrText>
      </w:r>
      <w:r>
        <w:rPr>
          <w:rFonts w:cs="Arial"/>
        </w:rPr>
      </w:r>
      <w:r>
        <w:rPr>
          <w:rFonts w:cs="Arial"/>
        </w:rPr>
        <w:fldChar w:fldCharType="separate"/>
      </w:r>
      <w:r w:rsidR="0032354A" w:rsidRPr="000E2946">
        <w:t xml:space="preserve">Figure </w:t>
      </w:r>
      <w:r w:rsidR="0032354A">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6A6648">
        <w:rPr>
          <w:rFonts w:cs="Arial"/>
        </w:rPr>
        <w:t>9</w:t>
      </w:r>
      <w:r w:rsidR="00724BF3">
        <w:rPr>
          <w:rFonts w:cs="Arial"/>
        </w:rPr>
        <w:t xml:space="preserve"> to </w:t>
      </w:r>
      <w:r w:rsidR="006A6648">
        <w:rPr>
          <w:rFonts w:cs="Arial"/>
        </w:rPr>
        <w:t>15</w:t>
      </w:r>
      <w:r w:rsidR="00EC67D4">
        <w:rPr>
          <w:rFonts w:cs="Arial"/>
        </w:rPr>
        <w:t xml:space="preserve"> </w:t>
      </w:r>
      <w:r w:rsidR="00724BF3">
        <w:rPr>
          <w:rFonts w:cs="Arial"/>
        </w:rPr>
        <w:t>August</w:t>
      </w:r>
      <w:r w:rsidR="00760FD8">
        <w:rPr>
          <w:rFonts w:cs="Arial"/>
        </w:rPr>
        <w:t xml:space="preserve"> </w:t>
      </w:r>
      <w:r w:rsidR="00AF7058">
        <w:rPr>
          <w:rFonts w:cs="Arial"/>
        </w:rPr>
        <w:t>2015</w:t>
      </w:r>
      <w:r w:rsidR="00AF7058" w:rsidRPr="003061FA">
        <w:rPr>
          <w:rFonts w:cs="Arial"/>
        </w:rPr>
        <w:t xml:space="preserve">. </w:t>
      </w:r>
      <w:r w:rsidR="00B4128D" w:rsidRPr="003061FA">
        <w:rPr>
          <w:rFonts w:cs="Arial"/>
        </w:rPr>
        <w:t>T</w:t>
      </w:r>
      <w:r w:rsidR="003061FA" w:rsidRPr="003061FA">
        <w:rPr>
          <w:rFonts w:cs="Arial"/>
        </w:rPr>
        <w:t>he</w:t>
      </w:r>
      <w:r w:rsidR="00627B2D">
        <w:rPr>
          <w:rFonts w:cs="Arial"/>
        </w:rPr>
        <w:t xml:space="preserve"> </w:t>
      </w:r>
      <w:r w:rsidR="00100142" w:rsidRPr="00100142">
        <w:rPr>
          <w:rFonts w:cs="Arial"/>
        </w:rPr>
        <w:t>spot price</w:t>
      </w:r>
      <w:r w:rsidR="006A6648">
        <w:rPr>
          <w:rFonts w:cs="Arial"/>
        </w:rPr>
        <w:t xml:space="preserve"> did not exceed</w:t>
      </w:r>
      <w:r w:rsidR="00100142" w:rsidRPr="00100142">
        <w:rPr>
          <w:rFonts w:cs="Arial"/>
        </w:rPr>
        <w:t xml:space="preserve"> </w:t>
      </w:r>
      <w:r w:rsidR="00367E27">
        <w:rPr>
          <w:rFonts w:cs="Arial"/>
        </w:rPr>
        <w:t>our</w:t>
      </w:r>
      <w:r w:rsidR="00100142" w:rsidRPr="00100142">
        <w:rPr>
          <w:rFonts w:cs="Arial"/>
        </w:rPr>
        <w:t xml:space="preserve"> reporting threshold</w:t>
      </w:r>
      <w:r w:rsidR="006A6648">
        <w:rPr>
          <w:rFonts w:cs="Arial"/>
        </w:rPr>
        <w:t xml:space="preserve"> th</w:t>
      </w:r>
      <w:r w:rsidR="00367E27">
        <w:rPr>
          <w:rFonts w:cs="Arial"/>
        </w:rPr>
        <w:t>is</w:t>
      </w:r>
      <w:r w:rsidR="006A6648">
        <w:rPr>
          <w:rFonts w:cs="Arial"/>
        </w:rPr>
        <w:t xml:space="preserve"> week.</w:t>
      </w:r>
      <w:r w:rsidR="00086CF3" w:rsidRPr="003061FA">
        <w:rPr>
          <w:rFonts w:cs="Arial"/>
        </w:rPr>
        <w:t xml:space="preserve"> </w:t>
      </w:r>
    </w:p>
    <w:p w:rsidR="00275002" w:rsidRDefault="00275002" w:rsidP="000E2946">
      <w:pPr>
        <w:pStyle w:val="Caption"/>
      </w:pPr>
      <w:bookmarkStart w:id="7" w:name="_Ref410382491"/>
      <w:bookmarkStart w:id="8" w:name="OLE_LINK28"/>
      <w:bookmarkStart w:id="9" w:name="OLE_LINK29"/>
      <w:r w:rsidRPr="000E2946">
        <w:t xml:space="preserve">Figure </w:t>
      </w:r>
      <w:fldSimple w:instr=" SEQ Figure \* ARABIC ">
        <w:r w:rsidR="0032354A">
          <w:rPr>
            <w:noProof/>
          </w:rPr>
          <w:t>1</w:t>
        </w:r>
      </w:fldSimple>
      <w:bookmarkEnd w:id="7"/>
      <w:r w:rsidRPr="000E2946">
        <w:t>: Spot price by region ($/MWh)</w:t>
      </w:r>
    </w:p>
    <w:p w:rsidR="00275002" w:rsidRPr="0031019A" w:rsidRDefault="00D21222" w:rsidP="00275002">
      <w:r w:rsidRPr="00D21222">
        <w:rPr>
          <w:noProof/>
          <w:lang w:eastAsia="en-AU"/>
        </w:rPr>
        <w:drawing>
          <wp:inline distT="0" distB="0" distL="0" distR="0" wp14:anchorId="033FD1F5" wp14:editId="42664F3D">
            <wp:extent cx="5731510" cy="2859551"/>
            <wp:effectExtent l="0" t="0" r="2540" b="0"/>
            <wp:docPr id="1" name="Picture 1"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551"/>
                    </a:xfrm>
                    <a:prstGeom prst="rect">
                      <a:avLst/>
                    </a:prstGeom>
                    <a:noFill/>
                    <a:ln>
                      <a:noFill/>
                    </a:ln>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32354A">
        <w:t xml:space="preserve">Figure </w:t>
      </w:r>
      <w:r w:rsidR="0032354A">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32354A">
        <w:t xml:space="preserve">Table </w:t>
      </w:r>
      <w:r w:rsidR="0032354A">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10" w:name="_Ref410382517"/>
      <w:r>
        <w:lastRenderedPageBreak/>
        <w:t xml:space="preserve">Figure </w:t>
      </w:r>
      <w:fldSimple w:instr=" SEQ Figure \* ARABIC ">
        <w:r w:rsidR="0032354A">
          <w:rPr>
            <w:noProof/>
          </w:rPr>
          <w:t>2</w:t>
        </w:r>
      </w:fldSimple>
      <w:bookmarkEnd w:id="10"/>
      <w:r>
        <w:t>:</w:t>
      </w:r>
      <w:r w:rsidRPr="00037176">
        <w:t xml:space="preserve"> Volume weighted average spot price by region ($/MWh)</w:t>
      </w:r>
    </w:p>
    <w:p w:rsidR="00275002" w:rsidRPr="0031019A" w:rsidRDefault="006A6648" w:rsidP="00275002">
      <w:r w:rsidRPr="006A6648">
        <w:rPr>
          <w:noProof/>
          <w:lang w:eastAsia="en-AU"/>
        </w:rPr>
        <w:drawing>
          <wp:inline distT="0" distB="0" distL="0" distR="0" wp14:anchorId="69FAA995" wp14:editId="5048A27A">
            <wp:extent cx="5731510" cy="2859551"/>
            <wp:effectExtent l="0" t="0" r="2540" b="0"/>
            <wp:docPr id="5" name="Picture 5" descr="Figure 2 shows the volume weighted average (VWA) prices for this week (with prices shown in Table 1) and the preceding 12 weeks, as well as the VWA price over the previous 3 financial yea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9551"/>
                    </a:xfrm>
                    <a:prstGeom prst="rect">
                      <a:avLst/>
                    </a:prstGeom>
                    <a:noFill/>
                    <a:ln>
                      <a:noFill/>
                    </a:ln>
                  </pic:spPr>
                </pic:pic>
              </a:graphicData>
            </a:graphic>
          </wp:inline>
        </w:drawing>
      </w:r>
    </w:p>
    <w:p w:rsidR="00275002" w:rsidRPr="0031019A" w:rsidRDefault="00275002" w:rsidP="000E2946">
      <w:pPr>
        <w:pStyle w:val="Caption"/>
      </w:pPr>
      <w:bookmarkStart w:id="11" w:name="_Ref410382587"/>
      <w:r>
        <w:t xml:space="preserve">Table </w:t>
      </w:r>
      <w:fldSimple w:instr=" SEQ Table \* ARABIC ">
        <w:r w:rsidR="0032354A">
          <w:rPr>
            <w:noProof/>
          </w:rPr>
          <w:t>1</w:t>
        </w:r>
      </w:fldSimple>
      <w:bookmarkEnd w:id="11"/>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627B2D">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r w:rsidRPr="00B92CD5">
              <w:rPr>
                <w:sz w:val="20"/>
              </w:rPr>
              <w:t>Tas</w:t>
            </w:r>
          </w:p>
        </w:tc>
      </w:tr>
      <w:tr w:rsidR="006A6648" w:rsidRPr="00E35AE8" w:rsidTr="00D94209">
        <w:trPr>
          <w:trHeight w:hRule="exact" w:val="340"/>
        </w:trPr>
        <w:tc>
          <w:tcPr>
            <w:tcW w:w="1357" w:type="pct"/>
            <w:noWrap/>
            <w:vAlign w:val="center"/>
            <w:hideMark/>
          </w:tcPr>
          <w:p w:rsidR="006A6648" w:rsidRPr="006A6648" w:rsidRDefault="006A6648" w:rsidP="006A6648">
            <w:pPr>
              <w:spacing w:before="100" w:beforeAutospacing="1" w:after="100" w:afterAutospacing="1" w:line="240" w:lineRule="auto"/>
              <w:rPr>
                <w:rFonts w:cs="Arial"/>
                <w:sz w:val="20"/>
                <w:szCs w:val="20"/>
              </w:rPr>
            </w:pPr>
            <w:r w:rsidRPr="006A6648">
              <w:rPr>
                <w:rFonts w:cs="Arial"/>
                <w:sz w:val="20"/>
                <w:szCs w:val="20"/>
              </w:rPr>
              <w:t>Current week</w:t>
            </w:r>
          </w:p>
        </w:tc>
        <w:tc>
          <w:tcPr>
            <w:tcW w:w="728" w:type="pct"/>
            <w:noWrap/>
            <w:vAlign w:val="center"/>
          </w:tcPr>
          <w:p w:rsidR="006A6648" w:rsidRPr="006A6648" w:rsidRDefault="006A6648" w:rsidP="00D94209">
            <w:pPr>
              <w:spacing w:before="0" w:after="0" w:line="240" w:lineRule="auto"/>
              <w:jc w:val="center"/>
              <w:rPr>
                <w:sz w:val="20"/>
                <w:szCs w:val="20"/>
              </w:rPr>
            </w:pPr>
            <w:r w:rsidRPr="006A6648">
              <w:rPr>
                <w:sz w:val="20"/>
                <w:szCs w:val="20"/>
              </w:rPr>
              <w:t>37</w:t>
            </w:r>
          </w:p>
        </w:tc>
        <w:tc>
          <w:tcPr>
            <w:tcW w:w="729" w:type="pct"/>
            <w:noWrap/>
            <w:vAlign w:val="center"/>
          </w:tcPr>
          <w:p w:rsidR="006A6648" w:rsidRPr="006A6648" w:rsidRDefault="006A6648" w:rsidP="00D94209">
            <w:pPr>
              <w:spacing w:before="0" w:after="0" w:line="240" w:lineRule="auto"/>
              <w:jc w:val="center"/>
              <w:rPr>
                <w:sz w:val="20"/>
                <w:szCs w:val="20"/>
              </w:rPr>
            </w:pPr>
            <w:r w:rsidRPr="006A6648">
              <w:rPr>
                <w:sz w:val="20"/>
                <w:szCs w:val="20"/>
              </w:rPr>
              <w:t>37</w:t>
            </w:r>
          </w:p>
        </w:tc>
        <w:tc>
          <w:tcPr>
            <w:tcW w:w="728" w:type="pct"/>
            <w:noWrap/>
            <w:vAlign w:val="center"/>
          </w:tcPr>
          <w:p w:rsidR="006A6648" w:rsidRPr="006A6648" w:rsidRDefault="006A6648" w:rsidP="00D94209">
            <w:pPr>
              <w:spacing w:before="0" w:after="0" w:line="240" w:lineRule="auto"/>
              <w:jc w:val="center"/>
              <w:rPr>
                <w:sz w:val="20"/>
                <w:szCs w:val="20"/>
              </w:rPr>
            </w:pPr>
            <w:r w:rsidRPr="006A6648">
              <w:rPr>
                <w:sz w:val="20"/>
                <w:szCs w:val="20"/>
              </w:rPr>
              <w:t>34</w:t>
            </w:r>
          </w:p>
        </w:tc>
        <w:tc>
          <w:tcPr>
            <w:tcW w:w="729" w:type="pct"/>
            <w:noWrap/>
            <w:vAlign w:val="center"/>
          </w:tcPr>
          <w:p w:rsidR="006A6648" w:rsidRPr="006A6648" w:rsidRDefault="006A6648" w:rsidP="00D94209">
            <w:pPr>
              <w:spacing w:before="0" w:after="0" w:line="240" w:lineRule="auto"/>
              <w:jc w:val="center"/>
              <w:rPr>
                <w:sz w:val="20"/>
                <w:szCs w:val="20"/>
              </w:rPr>
            </w:pPr>
            <w:r w:rsidRPr="006A6648">
              <w:rPr>
                <w:sz w:val="20"/>
                <w:szCs w:val="20"/>
              </w:rPr>
              <w:t>41</w:t>
            </w:r>
          </w:p>
        </w:tc>
        <w:tc>
          <w:tcPr>
            <w:tcW w:w="729" w:type="pct"/>
            <w:noWrap/>
            <w:vAlign w:val="center"/>
          </w:tcPr>
          <w:p w:rsidR="006A6648" w:rsidRPr="006A6648" w:rsidRDefault="006A6648" w:rsidP="00D94209">
            <w:pPr>
              <w:spacing w:before="0" w:after="0" w:line="240" w:lineRule="auto"/>
              <w:jc w:val="center"/>
              <w:rPr>
                <w:sz w:val="20"/>
                <w:szCs w:val="20"/>
              </w:rPr>
            </w:pPr>
            <w:r w:rsidRPr="006A6648">
              <w:rPr>
                <w:sz w:val="20"/>
                <w:szCs w:val="20"/>
              </w:rPr>
              <w:t>30</w:t>
            </w:r>
          </w:p>
        </w:tc>
      </w:tr>
      <w:tr w:rsidR="006A6648" w:rsidRPr="00E35AE8" w:rsidTr="00D94209">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6A6648" w:rsidRPr="006A6648" w:rsidRDefault="006A6648" w:rsidP="006A6648">
            <w:pPr>
              <w:spacing w:before="100" w:beforeAutospacing="1" w:after="100" w:afterAutospacing="1" w:line="240" w:lineRule="auto"/>
              <w:rPr>
                <w:rFonts w:cs="Arial"/>
                <w:bCs/>
                <w:szCs w:val="20"/>
              </w:rPr>
            </w:pPr>
            <w:r w:rsidRPr="006A6648">
              <w:rPr>
                <w:rFonts w:cs="Arial"/>
                <w:bCs/>
                <w:szCs w:val="20"/>
              </w:rPr>
              <w:t>14-15 financial YTD</w:t>
            </w:r>
          </w:p>
        </w:tc>
        <w:tc>
          <w:tcPr>
            <w:tcW w:w="728" w:type="pct"/>
            <w:noWrap/>
            <w:vAlign w:val="center"/>
          </w:tcPr>
          <w:p w:rsidR="006A6648" w:rsidRPr="006A6648" w:rsidRDefault="006A6648" w:rsidP="00D94209">
            <w:pPr>
              <w:spacing w:before="0" w:after="0" w:line="240" w:lineRule="auto"/>
              <w:jc w:val="center"/>
              <w:rPr>
                <w:szCs w:val="20"/>
              </w:rPr>
            </w:pPr>
            <w:r w:rsidRPr="006A6648">
              <w:rPr>
                <w:szCs w:val="20"/>
              </w:rPr>
              <w:t>31</w:t>
            </w:r>
          </w:p>
        </w:tc>
        <w:tc>
          <w:tcPr>
            <w:tcW w:w="729" w:type="pct"/>
            <w:noWrap/>
            <w:vAlign w:val="center"/>
          </w:tcPr>
          <w:p w:rsidR="006A6648" w:rsidRPr="006A6648" w:rsidRDefault="006A6648" w:rsidP="00D94209">
            <w:pPr>
              <w:spacing w:before="0" w:after="0" w:line="240" w:lineRule="auto"/>
              <w:jc w:val="center"/>
              <w:rPr>
                <w:szCs w:val="20"/>
              </w:rPr>
            </w:pPr>
            <w:r w:rsidRPr="006A6648">
              <w:rPr>
                <w:szCs w:val="20"/>
              </w:rPr>
              <w:t>40</w:t>
            </w:r>
          </w:p>
        </w:tc>
        <w:tc>
          <w:tcPr>
            <w:tcW w:w="728" w:type="pct"/>
            <w:noWrap/>
            <w:vAlign w:val="center"/>
          </w:tcPr>
          <w:p w:rsidR="006A6648" w:rsidRPr="006A6648" w:rsidRDefault="006A6648" w:rsidP="00D94209">
            <w:pPr>
              <w:spacing w:before="0" w:after="0" w:line="240" w:lineRule="auto"/>
              <w:jc w:val="center"/>
              <w:rPr>
                <w:szCs w:val="20"/>
              </w:rPr>
            </w:pPr>
            <w:r w:rsidRPr="006A6648">
              <w:rPr>
                <w:szCs w:val="20"/>
              </w:rPr>
              <w:t>38</w:t>
            </w:r>
          </w:p>
        </w:tc>
        <w:tc>
          <w:tcPr>
            <w:tcW w:w="729" w:type="pct"/>
            <w:noWrap/>
            <w:vAlign w:val="center"/>
          </w:tcPr>
          <w:p w:rsidR="006A6648" w:rsidRPr="006A6648" w:rsidRDefault="006A6648" w:rsidP="00D94209">
            <w:pPr>
              <w:spacing w:before="0" w:after="0" w:line="240" w:lineRule="auto"/>
              <w:jc w:val="center"/>
              <w:rPr>
                <w:szCs w:val="20"/>
              </w:rPr>
            </w:pPr>
            <w:r w:rsidRPr="006A6648">
              <w:rPr>
                <w:szCs w:val="20"/>
              </w:rPr>
              <w:t>52</w:t>
            </w:r>
          </w:p>
        </w:tc>
        <w:tc>
          <w:tcPr>
            <w:tcW w:w="729" w:type="pct"/>
            <w:noWrap/>
            <w:vAlign w:val="center"/>
          </w:tcPr>
          <w:p w:rsidR="006A6648" w:rsidRPr="006A6648" w:rsidRDefault="006A6648" w:rsidP="00D94209">
            <w:pPr>
              <w:spacing w:before="0" w:after="0" w:line="240" w:lineRule="auto"/>
              <w:jc w:val="center"/>
              <w:rPr>
                <w:szCs w:val="20"/>
              </w:rPr>
            </w:pPr>
            <w:r w:rsidRPr="006A6648">
              <w:rPr>
                <w:szCs w:val="20"/>
              </w:rPr>
              <w:t>33</w:t>
            </w:r>
          </w:p>
        </w:tc>
      </w:tr>
      <w:tr w:rsidR="006A6648" w:rsidRPr="00E35AE8" w:rsidTr="00D94209">
        <w:trPr>
          <w:trHeight w:hRule="exact" w:val="340"/>
        </w:trPr>
        <w:tc>
          <w:tcPr>
            <w:tcW w:w="1357" w:type="pct"/>
            <w:noWrap/>
            <w:vAlign w:val="center"/>
            <w:hideMark/>
          </w:tcPr>
          <w:p w:rsidR="006A6648" w:rsidRPr="006A6648" w:rsidRDefault="006A6648" w:rsidP="006A6648">
            <w:pPr>
              <w:spacing w:before="100" w:beforeAutospacing="1" w:after="100" w:afterAutospacing="1" w:line="240" w:lineRule="auto"/>
              <w:rPr>
                <w:rFonts w:cs="Arial"/>
                <w:bCs/>
                <w:sz w:val="20"/>
                <w:szCs w:val="20"/>
              </w:rPr>
            </w:pPr>
            <w:r w:rsidRPr="006A6648">
              <w:rPr>
                <w:rFonts w:cs="Arial"/>
                <w:bCs/>
                <w:sz w:val="20"/>
                <w:szCs w:val="20"/>
              </w:rPr>
              <w:t>15-16 financial YTD</w:t>
            </w:r>
          </w:p>
        </w:tc>
        <w:tc>
          <w:tcPr>
            <w:tcW w:w="728" w:type="pct"/>
            <w:noWrap/>
            <w:vAlign w:val="center"/>
          </w:tcPr>
          <w:p w:rsidR="006A6648" w:rsidRPr="006A6648" w:rsidRDefault="006A6648" w:rsidP="00D94209">
            <w:pPr>
              <w:spacing w:before="0" w:after="0" w:line="240" w:lineRule="auto"/>
              <w:jc w:val="center"/>
              <w:rPr>
                <w:sz w:val="20"/>
                <w:szCs w:val="20"/>
              </w:rPr>
            </w:pPr>
            <w:r w:rsidRPr="006A6648">
              <w:rPr>
                <w:sz w:val="20"/>
                <w:szCs w:val="20"/>
              </w:rPr>
              <w:t>48</w:t>
            </w:r>
          </w:p>
        </w:tc>
        <w:tc>
          <w:tcPr>
            <w:tcW w:w="729" w:type="pct"/>
            <w:noWrap/>
            <w:vAlign w:val="center"/>
          </w:tcPr>
          <w:p w:rsidR="006A6648" w:rsidRPr="006A6648" w:rsidRDefault="006A6648" w:rsidP="00D94209">
            <w:pPr>
              <w:spacing w:before="0" w:after="0" w:line="240" w:lineRule="auto"/>
              <w:jc w:val="center"/>
              <w:rPr>
                <w:sz w:val="20"/>
                <w:szCs w:val="20"/>
              </w:rPr>
            </w:pPr>
            <w:r w:rsidRPr="006A6648">
              <w:rPr>
                <w:sz w:val="20"/>
                <w:szCs w:val="20"/>
              </w:rPr>
              <w:t>40</w:t>
            </w:r>
          </w:p>
        </w:tc>
        <w:tc>
          <w:tcPr>
            <w:tcW w:w="728" w:type="pct"/>
            <w:noWrap/>
            <w:vAlign w:val="center"/>
          </w:tcPr>
          <w:p w:rsidR="006A6648" w:rsidRPr="006A6648" w:rsidRDefault="006A6648" w:rsidP="00D94209">
            <w:pPr>
              <w:spacing w:before="0" w:after="0" w:line="240" w:lineRule="auto"/>
              <w:jc w:val="center"/>
              <w:rPr>
                <w:sz w:val="20"/>
                <w:szCs w:val="20"/>
              </w:rPr>
            </w:pPr>
            <w:r w:rsidRPr="006A6648">
              <w:rPr>
                <w:sz w:val="20"/>
                <w:szCs w:val="20"/>
              </w:rPr>
              <w:t>36</w:t>
            </w:r>
          </w:p>
        </w:tc>
        <w:tc>
          <w:tcPr>
            <w:tcW w:w="729" w:type="pct"/>
            <w:noWrap/>
            <w:vAlign w:val="center"/>
          </w:tcPr>
          <w:p w:rsidR="006A6648" w:rsidRPr="006A6648" w:rsidRDefault="006A6648" w:rsidP="00D94209">
            <w:pPr>
              <w:spacing w:before="0" w:after="0" w:line="240" w:lineRule="auto"/>
              <w:jc w:val="center"/>
              <w:rPr>
                <w:sz w:val="20"/>
                <w:szCs w:val="20"/>
              </w:rPr>
            </w:pPr>
            <w:r w:rsidRPr="006A6648">
              <w:rPr>
                <w:sz w:val="20"/>
                <w:szCs w:val="20"/>
              </w:rPr>
              <w:t>74</w:t>
            </w:r>
          </w:p>
        </w:tc>
        <w:tc>
          <w:tcPr>
            <w:tcW w:w="729" w:type="pct"/>
            <w:noWrap/>
            <w:vAlign w:val="center"/>
          </w:tcPr>
          <w:p w:rsidR="006A6648" w:rsidRPr="006A6648" w:rsidRDefault="006A6648" w:rsidP="00D94209">
            <w:pPr>
              <w:spacing w:before="0" w:after="0" w:line="240" w:lineRule="auto"/>
              <w:jc w:val="center"/>
              <w:rPr>
                <w:sz w:val="20"/>
                <w:szCs w:val="20"/>
              </w:rPr>
            </w:pPr>
            <w:r w:rsidRPr="006A6648">
              <w:rPr>
                <w:sz w:val="20"/>
                <w:szCs w:val="20"/>
              </w:rPr>
              <w:t>35</w:t>
            </w:r>
          </w:p>
        </w:tc>
      </w:tr>
    </w:tbl>
    <w:p w:rsidR="00275002" w:rsidRPr="00086CF3" w:rsidRDefault="00275002" w:rsidP="009B21F2">
      <w:pPr>
        <w:spacing w:before="120" w:after="120"/>
        <w:jc w:val="center"/>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p>
    <w:bookmarkEnd w:id="8"/>
    <w:bookmarkEnd w:id="9"/>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6A6EDD" w:rsidP="00857917">
      <w:pPr>
        <w:jc w:val="both"/>
      </w:pPr>
      <w:r>
        <w:t xml:space="preserve">There were </w:t>
      </w:r>
      <w:r w:rsidR="000F1D61">
        <w:t>1</w:t>
      </w:r>
      <w:r w:rsidR="006A6648">
        <w:t>09</w:t>
      </w:r>
      <w:r w:rsidR="0003564D">
        <w:t xml:space="preserve"> </w:t>
      </w:r>
      <w:r w:rsidR="00857917">
        <w:t>trading intervals throughout the week where actual prices varied significantly from forecasts. This compares to the weekly average in 2014 of 71 counts and the average in 2013 of 97</w:t>
      </w:r>
      <w:r w:rsidR="00B92CD5">
        <w:t>.</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32354A">
        <w:t xml:space="preserve">Table </w:t>
      </w:r>
      <w:r w:rsidR="0032354A">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w:t>
      </w:r>
      <w:r w:rsidR="00275002" w:rsidRPr="0031019A">
        <w:lastRenderedPageBreak/>
        <w:t>of factors (when there is not one dominant reason). An instance where both four and 12 hour ahead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fldSimple w:instr=" SEQ Table \* ARABIC ">
        <w:r w:rsidR="0032354A">
          <w:rPr>
            <w:noProof/>
          </w:rPr>
          <w:t>2</w:t>
        </w:r>
      </w:fldSimple>
      <w:bookmarkEnd w:id="12"/>
      <w:r w:rsidRPr="00BC7912">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003169">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6A6648" w:rsidRPr="00003169" w:rsidTr="00D94209">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6A6648" w:rsidRPr="006A6648" w:rsidRDefault="006A6648" w:rsidP="006A6648">
            <w:pPr>
              <w:spacing w:after="0" w:line="240" w:lineRule="auto"/>
              <w:jc w:val="center"/>
              <w:rPr>
                <w:sz w:val="20"/>
                <w:szCs w:val="20"/>
              </w:rPr>
            </w:pPr>
            <w:r w:rsidRPr="006A6648">
              <w:rPr>
                <w:sz w:val="20"/>
                <w:szCs w:val="20"/>
              </w:rPr>
              <w:t>% of total above forecast</w:t>
            </w:r>
          </w:p>
        </w:tc>
        <w:tc>
          <w:tcPr>
            <w:tcW w:w="1571" w:type="dxa"/>
            <w:noWrap/>
            <w:vAlign w:val="center"/>
          </w:tcPr>
          <w:p w:rsidR="006A6648" w:rsidRPr="006A6648" w:rsidRDefault="006A6648" w:rsidP="00D94209">
            <w:pPr>
              <w:spacing w:after="0" w:line="240" w:lineRule="auto"/>
              <w:jc w:val="center"/>
              <w:rPr>
                <w:sz w:val="20"/>
                <w:szCs w:val="20"/>
              </w:rPr>
            </w:pPr>
            <w:r w:rsidRPr="006A6648">
              <w:rPr>
                <w:sz w:val="20"/>
                <w:szCs w:val="20"/>
              </w:rPr>
              <w:t>6</w:t>
            </w:r>
          </w:p>
        </w:tc>
        <w:tc>
          <w:tcPr>
            <w:tcW w:w="1572" w:type="dxa"/>
            <w:noWrap/>
            <w:vAlign w:val="center"/>
          </w:tcPr>
          <w:p w:rsidR="006A6648" w:rsidRPr="006A6648" w:rsidRDefault="006A6648" w:rsidP="00D94209">
            <w:pPr>
              <w:spacing w:after="0" w:line="240" w:lineRule="auto"/>
              <w:jc w:val="center"/>
              <w:rPr>
                <w:sz w:val="20"/>
                <w:szCs w:val="20"/>
              </w:rPr>
            </w:pPr>
            <w:r w:rsidRPr="006A6648">
              <w:rPr>
                <w:sz w:val="20"/>
                <w:szCs w:val="20"/>
              </w:rPr>
              <w:t>55</w:t>
            </w:r>
          </w:p>
        </w:tc>
        <w:tc>
          <w:tcPr>
            <w:tcW w:w="1572" w:type="dxa"/>
            <w:noWrap/>
            <w:vAlign w:val="center"/>
          </w:tcPr>
          <w:p w:rsidR="006A6648" w:rsidRPr="006A6648" w:rsidRDefault="006A6648" w:rsidP="00D94209">
            <w:pPr>
              <w:spacing w:after="0" w:line="240" w:lineRule="auto"/>
              <w:jc w:val="center"/>
              <w:rPr>
                <w:sz w:val="20"/>
                <w:szCs w:val="20"/>
              </w:rPr>
            </w:pPr>
            <w:r w:rsidRPr="006A6648">
              <w:rPr>
                <w:sz w:val="20"/>
                <w:szCs w:val="20"/>
              </w:rPr>
              <w:t>0</w:t>
            </w:r>
          </w:p>
        </w:tc>
        <w:tc>
          <w:tcPr>
            <w:tcW w:w="1572" w:type="dxa"/>
            <w:vAlign w:val="center"/>
          </w:tcPr>
          <w:p w:rsidR="006A6648" w:rsidRPr="006A6648" w:rsidRDefault="006A6648" w:rsidP="00D94209">
            <w:pPr>
              <w:spacing w:after="0" w:line="240" w:lineRule="auto"/>
              <w:jc w:val="center"/>
              <w:rPr>
                <w:sz w:val="20"/>
                <w:szCs w:val="20"/>
              </w:rPr>
            </w:pPr>
            <w:r w:rsidRPr="006A6648">
              <w:rPr>
                <w:sz w:val="20"/>
                <w:szCs w:val="20"/>
              </w:rPr>
              <w:t>0</w:t>
            </w:r>
          </w:p>
        </w:tc>
      </w:tr>
      <w:tr w:rsidR="006A6648" w:rsidRPr="00003169" w:rsidTr="00D94209">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6A6648" w:rsidRPr="006A6648" w:rsidRDefault="006A6648" w:rsidP="006A6648">
            <w:pPr>
              <w:spacing w:after="0" w:line="240" w:lineRule="auto"/>
              <w:jc w:val="center"/>
              <w:rPr>
                <w:sz w:val="20"/>
                <w:szCs w:val="20"/>
              </w:rPr>
            </w:pPr>
            <w:r w:rsidRPr="006A6648">
              <w:rPr>
                <w:sz w:val="20"/>
                <w:szCs w:val="20"/>
              </w:rPr>
              <w:t>% of total below forecast</w:t>
            </w:r>
          </w:p>
        </w:tc>
        <w:tc>
          <w:tcPr>
            <w:tcW w:w="1571" w:type="dxa"/>
            <w:noWrap/>
            <w:vAlign w:val="center"/>
          </w:tcPr>
          <w:p w:rsidR="006A6648" w:rsidRPr="006A6648" w:rsidRDefault="006A6648" w:rsidP="00D94209">
            <w:pPr>
              <w:spacing w:after="0" w:line="240" w:lineRule="auto"/>
              <w:jc w:val="center"/>
              <w:rPr>
                <w:sz w:val="20"/>
                <w:szCs w:val="20"/>
              </w:rPr>
            </w:pPr>
            <w:r w:rsidRPr="006A6648">
              <w:rPr>
                <w:sz w:val="20"/>
                <w:szCs w:val="20"/>
              </w:rPr>
              <w:t>25</w:t>
            </w:r>
          </w:p>
        </w:tc>
        <w:tc>
          <w:tcPr>
            <w:tcW w:w="1572" w:type="dxa"/>
            <w:noWrap/>
            <w:vAlign w:val="center"/>
          </w:tcPr>
          <w:p w:rsidR="006A6648" w:rsidRPr="006A6648" w:rsidRDefault="006A6648" w:rsidP="00D94209">
            <w:pPr>
              <w:spacing w:after="0" w:line="240" w:lineRule="auto"/>
              <w:jc w:val="center"/>
              <w:rPr>
                <w:sz w:val="20"/>
                <w:szCs w:val="20"/>
              </w:rPr>
            </w:pPr>
            <w:r w:rsidRPr="006A6648">
              <w:rPr>
                <w:sz w:val="20"/>
                <w:szCs w:val="20"/>
              </w:rPr>
              <w:t>10</w:t>
            </w:r>
          </w:p>
        </w:tc>
        <w:tc>
          <w:tcPr>
            <w:tcW w:w="1572" w:type="dxa"/>
            <w:noWrap/>
            <w:vAlign w:val="center"/>
          </w:tcPr>
          <w:p w:rsidR="006A6648" w:rsidRPr="006A6648" w:rsidRDefault="006A6648" w:rsidP="00D94209">
            <w:pPr>
              <w:spacing w:after="0" w:line="240" w:lineRule="auto"/>
              <w:jc w:val="center"/>
              <w:rPr>
                <w:sz w:val="20"/>
                <w:szCs w:val="20"/>
              </w:rPr>
            </w:pPr>
            <w:r w:rsidRPr="006A6648">
              <w:rPr>
                <w:sz w:val="20"/>
                <w:szCs w:val="20"/>
              </w:rPr>
              <w:t>0</w:t>
            </w:r>
          </w:p>
        </w:tc>
        <w:tc>
          <w:tcPr>
            <w:tcW w:w="1572" w:type="dxa"/>
            <w:vAlign w:val="center"/>
          </w:tcPr>
          <w:p w:rsidR="006A6648" w:rsidRPr="006A6648" w:rsidRDefault="006A6648" w:rsidP="00D94209">
            <w:pPr>
              <w:spacing w:after="0" w:line="240" w:lineRule="auto"/>
              <w:jc w:val="center"/>
              <w:rPr>
                <w:sz w:val="20"/>
                <w:szCs w:val="20"/>
              </w:rPr>
            </w:pPr>
            <w:r w:rsidRPr="006A6648">
              <w:rPr>
                <w:sz w:val="20"/>
                <w:szCs w:val="20"/>
              </w:rPr>
              <w:t>4</w:t>
            </w:r>
          </w:p>
        </w:tc>
      </w:tr>
    </w:tbl>
    <w:p w:rsidR="00275002" w:rsidRPr="0031019A" w:rsidRDefault="00275002" w:rsidP="00275002">
      <w:r w:rsidRPr="0031019A">
        <w:t>Note: Due to rounding, the total may not be 100 per cent.</w:t>
      </w:r>
    </w:p>
    <w:p w:rsidR="00275002" w:rsidRPr="0031019A" w:rsidRDefault="00275002" w:rsidP="00914A87">
      <w:pPr>
        <w:pStyle w:val="AERHeading1"/>
      </w:pPr>
      <w:r w:rsidRPr="0031019A">
        <w:t>Generation and bidding patterns</w:t>
      </w:r>
    </w:p>
    <w:p w:rsidR="003A0810"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32354A">
        <w:t xml:space="preserve">Figure </w:t>
      </w:r>
      <w:r w:rsidR="0032354A">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32354A">
        <w:t xml:space="preserve">Figure </w:t>
      </w:r>
      <w:r w:rsidR="0032354A">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fldSimple w:instr=" SEQ Figure \* ARABIC ">
        <w:r w:rsidR="0032354A">
          <w:rPr>
            <w:noProof/>
          </w:rPr>
          <w:t>3</w:t>
        </w:r>
      </w:fldSimple>
      <w:bookmarkEnd w:id="14"/>
      <w:r>
        <w:t xml:space="preserve">: Queensland </w:t>
      </w:r>
      <w:r w:rsidRPr="00690328">
        <w:t>generation and bidding patterns</w:t>
      </w:r>
    </w:p>
    <w:p w:rsidR="00275002" w:rsidRPr="00EA4191" w:rsidRDefault="006A6648" w:rsidP="00275002">
      <w:r w:rsidRPr="006A6648">
        <w:rPr>
          <w:noProof/>
          <w:lang w:eastAsia="en-AU"/>
        </w:rPr>
        <w:drawing>
          <wp:inline distT="0" distB="0" distL="0" distR="0" wp14:anchorId="0D8E0B00" wp14:editId="1D48A8F6">
            <wp:extent cx="5731510" cy="4118724"/>
            <wp:effectExtent l="0" t="0" r="2540" b="0"/>
            <wp:docPr id="6" name="Picture 6"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Pr="00164FB1" w:rsidRDefault="00867506" w:rsidP="00275002">
      <w:r w:rsidRPr="00164FB1">
        <w:t xml:space="preserve">The red ellipse on </w:t>
      </w:r>
      <w:r w:rsidRPr="00164FB1">
        <w:fldChar w:fldCharType="begin"/>
      </w:r>
      <w:r w:rsidRPr="00164FB1">
        <w:instrText xml:space="preserve"> REF _Ref410383507 \h  \* MERGEFORMAT </w:instrText>
      </w:r>
      <w:r w:rsidRPr="00164FB1">
        <w:fldChar w:fldCharType="separate"/>
      </w:r>
      <w:r w:rsidR="0032354A">
        <w:t xml:space="preserve">Figure </w:t>
      </w:r>
      <w:r w:rsidR="0032354A">
        <w:rPr>
          <w:noProof/>
        </w:rPr>
        <w:t>3</w:t>
      </w:r>
      <w:r w:rsidRPr="00164FB1">
        <w:fldChar w:fldCharType="end"/>
      </w:r>
      <w:r w:rsidRPr="00164FB1">
        <w:t xml:space="preserve"> highlight where rebidding created </w:t>
      </w:r>
      <w:r w:rsidR="00164FB1" w:rsidRPr="00164FB1">
        <w:t xml:space="preserve">a </w:t>
      </w:r>
      <w:r w:rsidRPr="00164FB1">
        <w:t>pric</w:t>
      </w:r>
      <w:r w:rsidR="00164FB1" w:rsidRPr="00164FB1">
        <w:t>e</w:t>
      </w:r>
      <w:r w:rsidRPr="00164FB1">
        <w:t xml:space="preserve"> event in Queensland that </w:t>
      </w:r>
      <w:r w:rsidR="00164FB1" w:rsidRPr="00164FB1">
        <w:t>is</w:t>
      </w:r>
      <w:r w:rsidRPr="00164FB1">
        <w:t xml:space="preserve"> discussed later in this report.</w:t>
      </w:r>
    </w:p>
    <w:p w:rsidR="00275002" w:rsidRDefault="00275002" w:rsidP="000E2946">
      <w:pPr>
        <w:pStyle w:val="Caption"/>
      </w:pPr>
      <w:r>
        <w:t xml:space="preserve">Figure </w:t>
      </w:r>
      <w:fldSimple w:instr=" SEQ Figure \* ARABIC ">
        <w:r w:rsidR="0032354A">
          <w:rPr>
            <w:noProof/>
          </w:rPr>
          <w:t>4</w:t>
        </w:r>
      </w:fldSimple>
      <w:r>
        <w:t xml:space="preserve">: </w:t>
      </w:r>
      <w:r w:rsidRPr="00CC5077">
        <w:t>New South Wales generation and bidding patterns</w:t>
      </w:r>
    </w:p>
    <w:p w:rsidR="00275002" w:rsidRPr="0031019A" w:rsidRDefault="006A6648" w:rsidP="00275002">
      <w:r w:rsidRPr="006A6648">
        <w:rPr>
          <w:noProof/>
          <w:lang w:eastAsia="en-AU"/>
        </w:rPr>
        <w:drawing>
          <wp:inline distT="0" distB="0" distL="0" distR="0" wp14:anchorId="0786B46C" wp14:editId="55C4388C">
            <wp:extent cx="5731510" cy="4125116"/>
            <wp:effectExtent l="0" t="0" r="2540" b="8890"/>
            <wp:docPr id="7" name="Picture 7"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5116"/>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32354A">
          <w:rPr>
            <w:noProof/>
          </w:rPr>
          <w:t>5</w:t>
        </w:r>
      </w:fldSimple>
      <w:r w:rsidRPr="0003635A">
        <w:t>: Victoria generation and bidding patterns</w:t>
      </w:r>
    </w:p>
    <w:p w:rsidR="00275002" w:rsidRPr="0031019A" w:rsidRDefault="006A6648" w:rsidP="00275002">
      <w:r w:rsidRPr="006A6648">
        <w:rPr>
          <w:noProof/>
          <w:lang w:eastAsia="en-AU"/>
        </w:rPr>
        <w:drawing>
          <wp:inline distT="0" distB="0" distL="0" distR="0" wp14:anchorId="63BA3E3B" wp14:editId="7AF2426F">
            <wp:extent cx="5731510" cy="4118724"/>
            <wp:effectExtent l="0" t="0" r="2540" b="0"/>
            <wp:docPr id="8" name="Picture 8"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Default="00275002" w:rsidP="000E2946">
      <w:pPr>
        <w:pStyle w:val="Caption"/>
      </w:pPr>
      <w:bookmarkStart w:id="15" w:name="_Ref423965683"/>
      <w:r>
        <w:t xml:space="preserve">Figure </w:t>
      </w:r>
      <w:fldSimple w:instr=" SEQ Figure \* ARABIC ">
        <w:r w:rsidR="0032354A">
          <w:rPr>
            <w:noProof/>
          </w:rPr>
          <w:t>6</w:t>
        </w:r>
      </w:fldSimple>
      <w:bookmarkEnd w:id="15"/>
      <w:r>
        <w:t>:</w:t>
      </w:r>
      <w:r w:rsidRPr="00BD00EB">
        <w:t xml:space="preserve"> South Australia generation and bidding patterns</w:t>
      </w:r>
    </w:p>
    <w:p w:rsidR="00275002" w:rsidRDefault="006A6648" w:rsidP="00275002">
      <w:r w:rsidRPr="006A6648">
        <w:rPr>
          <w:noProof/>
          <w:lang w:eastAsia="en-AU"/>
        </w:rPr>
        <w:drawing>
          <wp:inline distT="0" distB="0" distL="0" distR="0" wp14:anchorId="3AEB96D5" wp14:editId="7B06429D">
            <wp:extent cx="5731510" cy="4118724"/>
            <wp:effectExtent l="0" t="0" r="2540" b="0"/>
            <wp:docPr id="9" name="Picture 9"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Default="00275002" w:rsidP="000E2946">
      <w:pPr>
        <w:pStyle w:val="Caption"/>
      </w:pPr>
      <w:bookmarkStart w:id="16" w:name="_Ref410383520"/>
      <w:r>
        <w:t xml:space="preserve">Figure </w:t>
      </w:r>
      <w:fldSimple w:instr=" SEQ Figure \* ARABIC ">
        <w:r w:rsidR="0032354A">
          <w:rPr>
            <w:noProof/>
          </w:rPr>
          <w:t>7</w:t>
        </w:r>
      </w:fldSimple>
      <w:bookmarkEnd w:id="16"/>
      <w:r>
        <w:t xml:space="preserve">: </w:t>
      </w:r>
      <w:r w:rsidRPr="008837C4">
        <w:t>Tasmania generation and bidding patterns</w:t>
      </w:r>
    </w:p>
    <w:p w:rsidR="00275002" w:rsidRDefault="006A6648" w:rsidP="00275002">
      <w:r w:rsidRPr="006A6648">
        <w:rPr>
          <w:noProof/>
          <w:lang w:eastAsia="en-AU"/>
        </w:rPr>
        <w:drawing>
          <wp:inline distT="0" distB="0" distL="0" distR="0" wp14:anchorId="3A368E0D" wp14:editId="59F45CB7">
            <wp:extent cx="5731510" cy="4118724"/>
            <wp:effectExtent l="0" t="0" r="2540" b="0"/>
            <wp:docPr id="10" name="Picture 10"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D04998" w:rsidRDefault="00D04998" w:rsidP="00914A87">
      <w:pPr>
        <w:pStyle w:val="AERHeading1"/>
      </w:pP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367E27">
      <w:pPr>
        <w:pStyle w:val="Bulletpoint"/>
        <w:jc w:val="both"/>
      </w:pPr>
      <w:r w:rsidRPr="0031019A">
        <w:t>fast services, which arrest a frequency deviation within the first 6 seconds of a contingent event (raise and lower 6 second)</w:t>
      </w:r>
    </w:p>
    <w:p w:rsidR="00275002" w:rsidRPr="0031019A" w:rsidRDefault="00275002" w:rsidP="00367E27">
      <w:pPr>
        <w:pStyle w:val="Bulletpoint"/>
        <w:jc w:val="both"/>
      </w:pPr>
      <w:r w:rsidRPr="0031019A">
        <w:t>slow services, which stabilise frequency deviations within 60 seconds of the event (raise and lower 60 second)</w:t>
      </w:r>
    </w:p>
    <w:p w:rsidR="00275002" w:rsidRPr="0031019A" w:rsidRDefault="00275002" w:rsidP="00367E27">
      <w:pPr>
        <w:pStyle w:val="Bulletpoint"/>
        <w:jc w:val="both"/>
      </w:pPr>
      <w:r w:rsidRPr="0031019A">
        <w:t>delayed services, which return the frequency to the normal operating band within 5 minutes (raise and lower 5 minute) at which time the five minute dispatch process will take effect.</w:t>
      </w:r>
    </w:p>
    <w:p w:rsidR="00275002" w:rsidRPr="0031019A" w:rsidRDefault="00275002" w:rsidP="00AD592F">
      <w:pPr>
        <w:spacing w:before="120" w:after="120"/>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857917" w:rsidRDefault="00857917" w:rsidP="00AD592F">
      <w:pPr>
        <w:pStyle w:val="AERbodytext"/>
        <w:spacing w:before="120" w:after="120"/>
        <w:rPr>
          <w:b/>
          <w:bCs/>
        </w:rPr>
      </w:pPr>
      <w:bookmarkStart w:id="17" w:name="_Ref410383413"/>
      <w:r w:rsidRPr="00857917">
        <w:t>The total cost of FCAS on the mainland for the</w:t>
      </w:r>
      <w:r w:rsidR="005F7247">
        <w:t xml:space="preserve"> week was $</w:t>
      </w:r>
      <w:r w:rsidR="00BA1F27">
        <w:t>3</w:t>
      </w:r>
      <w:r w:rsidR="006A6648">
        <w:t>01</w:t>
      </w:r>
      <w:r w:rsidR="0079277A">
        <w:t> </w:t>
      </w:r>
      <w:r w:rsidR="00ED6E24">
        <w:t>0</w:t>
      </w:r>
      <w:r>
        <w:t xml:space="preserve">00 or less than </w:t>
      </w:r>
      <w:r w:rsidR="00613DEC">
        <w:t>1</w:t>
      </w:r>
      <w:r w:rsidRPr="00857917">
        <w:t xml:space="preserve"> per cent of energy turnover on the mainland.</w:t>
      </w:r>
    </w:p>
    <w:p w:rsidR="00411897" w:rsidRDefault="00857917" w:rsidP="00AD592F">
      <w:pPr>
        <w:pStyle w:val="AERbodytext"/>
        <w:rPr>
          <w:b/>
          <w:bCs/>
        </w:rPr>
      </w:pPr>
      <w:r w:rsidRPr="00857917">
        <w:t>The total cost of FCAS in Tasmania for the week was $</w:t>
      </w:r>
      <w:r w:rsidR="006A6648">
        <w:t>79</w:t>
      </w:r>
      <w:r w:rsidR="0079277A">
        <w:t> </w:t>
      </w:r>
      <w:r w:rsidR="00ED6E24">
        <w:t>5</w:t>
      </w:r>
      <w:r w:rsidR="00613DEC">
        <w:t xml:space="preserve">00 or </w:t>
      </w:r>
      <w:r w:rsidR="00D94209">
        <w:t>around</w:t>
      </w:r>
      <w:r w:rsidR="0003564D">
        <w:t xml:space="preserve"> </w:t>
      </w:r>
      <w:r w:rsidR="00D94209">
        <w:t>1</w:t>
      </w:r>
      <w:r w:rsidR="00CB695E">
        <w:t xml:space="preserve"> </w:t>
      </w:r>
      <w:r w:rsidRPr="00857917">
        <w:t>per cent of energy turnover in Tasmania.</w:t>
      </w:r>
    </w:p>
    <w:p w:rsidR="00F3590E" w:rsidRDefault="00F3590E" w:rsidP="00F3590E">
      <w:pPr>
        <w:jc w:val="both"/>
        <w:rPr>
          <w:rFonts w:cs="Arial"/>
        </w:rPr>
      </w:pPr>
      <w:r>
        <w:fldChar w:fldCharType="begin"/>
      </w:r>
      <w:r>
        <w:instrText xml:space="preserve"> REF _Ref418082853 \h </w:instrText>
      </w:r>
      <w:r>
        <w:fldChar w:fldCharType="separate"/>
      </w:r>
      <w:r w:rsidR="0032354A">
        <w:t xml:space="preserve">Figure </w:t>
      </w:r>
      <w:r w:rsidR="0032354A">
        <w:rPr>
          <w:noProof/>
        </w:rPr>
        <w:t>8</w:t>
      </w:r>
      <w:r>
        <w:fldChar w:fldCharType="end"/>
      </w:r>
      <w:r>
        <w:t xml:space="preserve"> </w:t>
      </w:r>
      <w:r w:rsidRPr="0031019A">
        <w:t>shows the daily breakdown of cost for each FCAS for the NEM, as well as the average cost since the beginning of the previ</w:t>
      </w:r>
      <w:r w:rsidRPr="008366CD">
        <w:t xml:space="preserve">ous financial year. </w:t>
      </w:r>
    </w:p>
    <w:p w:rsidR="00275002" w:rsidRDefault="00275002" w:rsidP="000E2946">
      <w:pPr>
        <w:pStyle w:val="Caption"/>
      </w:pPr>
      <w:bookmarkStart w:id="18" w:name="_Ref418082853"/>
      <w:r>
        <w:t xml:space="preserve">Figure </w:t>
      </w:r>
      <w:fldSimple w:instr=" SEQ Figure \* ARABIC ">
        <w:r w:rsidR="0032354A">
          <w:rPr>
            <w:noProof/>
          </w:rPr>
          <w:t>8</w:t>
        </w:r>
      </w:fldSimple>
      <w:bookmarkEnd w:id="17"/>
      <w:bookmarkEnd w:id="18"/>
      <w:r w:rsidRPr="007707C6">
        <w:t>: Daily frequency control ancillary service cost</w:t>
      </w:r>
    </w:p>
    <w:p w:rsidR="00D04998" w:rsidRDefault="006A6648" w:rsidP="00BA1F27">
      <w:r w:rsidRPr="006A6648">
        <w:rPr>
          <w:noProof/>
          <w:lang w:eastAsia="en-AU"/>
        </w:rPr>
        <w:drawing>
          <wp:inline distT="0" distB="0" distL="0" distR="0" wp14:anchorId="0E95CA13" wp14:editId="2375FC77">
            <wp:extent cx="5731510" cy="2894051"/>
            <wp:effectExtent l="0" t="0" r="2540" b="1905"/>
            <wp:docPr id="11" name="Picture 11"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4051"/>
                    </a:xfrm>
                    <a:prstGeom prst="rect">
                      <a:avLst/>
                    </a:prstGeom>
                    <a:noFill/>
                    <a:ln>
                      <a:noFill/>
                    </a:ln>
                  </pic:spPr>
                </pic:pic>
              </a:graphicData>
            </a:graphic>
          </wp:inline>
        </w:drawing>
      </w:r>
    </w:p>
    <w:bookmarkEnd w:id="0"/>
    <w:bookmarkEnd w:id="1"/>
    <w:bookmarkEnd w:id="2"/>
    <w:bookmarkEnd w:id="3"/>
    <w:bookmarkEnd w:id="4"/>
    <w:bookmarkEnd w:id="5"/>
    <w:p w:rsidR="005F7247" w:rsidRPr="00405CDE" w:rsidRDefault="005F7247" w:rsidP="00627B2D">
      <w:pPr>
        <w:pStyle w:val="AERHeading1"/>
        <w:keepNext/>
        <w:rPr>
          <w:rFonts w:cs="Arial"/>
        </w:rPr>
      </w:pPr>
      <w:r w:rsidRPr="00405CDE">
        <w:rPr>
          <w:rFonts w:cs="Arial"/>
        </w:rPr>
        <w:t>Detailed market analysis of significant price events</w:t>
      </w:r>
    </w:p>
    <w:p w:rsidR="005F7247" w:rsidRDefault="005F7247" w:rsidP="005F7247">
      <w:pPr>
        <w:jc w:val="both"/>
        <w:rPr>
          <w:rFonts w:cs="Arial"/>
        </w:rPr>
      </w:pPr>
      <w:r w:rsidRPr="00405CDE">
        <w:rPr>
          <w:rFonts w:cs="Arial"/>
        </w:rPr>
        <w:t xml:space="preserve">We provide more detailed analysis of events where the spot price was greater than three times the weekly average price in a region and above $250/MWh or was below </w:t>
      </w:r>
      <w:r w:rsidRPr="00405CDE">
        <w:rPr>
          <w:rFonts w:cs="Arial"/>
        </w:rPr>
        <w:noBreakHyphen/>
        <w:t xml:space="preserve">$100/MWh. </w:t>
      </w:r>
    </w:p>
    <w:p w:rsidR="006A6648" w:rsidRDefault="006A6648" w:rsidP="005F7247">
      <w:pPr>
        <w:jc w:val="both"/>
        <w:rPr>
          <w:rFonts w:cs="Arial"/>
        </w:rPr>
      </w:pPr>
      <w:r>
        <w:rPr>
          <w:rFonts w:cs="Arial"/>
        </w:rPr>
        <w:t>There were no significant price events in this week.</w:t>
      </w:r>
    </w:p>
    <w:p w:rsidR="00275002" w:rsidRPr="0031019A" w:rsidRDefault="00275002" w:rsidP="005F6ADE">
      <w:pPr>
        <w:pStyle w:val="Heading2"/>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32354A">
        <w:t xml:space="preserve">Figure </w:t>
      </w:r>
      <w:r w:rsidR="0032354A">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D73D17" w:rsidRDefault="00275002" w:rsidP="00D04998">
      <w:pPr>
        <w:pStyle w:val="Caption"/>
        <w:spacing w:before="120" w:line="240" w:lineRule="auto"/>
        <w:rPr>
          <w:b w:val="0"/>
          <w:bCs w:val="0"/>
          <w:noProof/>
          <w:lang w:eastAsia="en-AU"/>
        </w:rPr>
      </w:pPr>
      <w:bookmarkStart w:id="19" w:name="_Ref410386540"/>
      <w:r>
        <w:t xml:space="preserve">Figure </w:t>
      </w:r>
      <w:fldSimple w:instr=" SEQ Figure \* ARABIC ">
        <w:r w:rsidR="0032354A">
          <w:rPr>
            <w:noProof/>
          </w:rPr>
          <w:t>9</w:t>
        </w:r>
      </w:fldSimple>
      <w:bookmarkEnd w:id="19"/>
      <w:r w:rsidR="002515C3">
        <w:t>:</w:t>
      </w:r>
      <w:r>
        <w:t xml:space="preserve"> </w:t>
      </w:r>
      <w:r w:rsidRPr="007A6ACB">
        <w:t>Quarterly base future prices Q</w:t>
      </w:r>
      <w:r w:rsidR="00017DD0">
        <w:t>3</w:t>
      </w:r>
      <w:r w:rsidRPr="007A6ACB">
        <w:t xml:space="preserve"> 2015 – Q</w:t>
      </w:r>
      <w:r w:rsidR="00504A67">
        <w:t>2</w:t>
      </w:r>
      <w:r w:rsidRPr="007A6ACB">
        <w:t xml:space="preserve"> 201</w:t>
      </w:r>
      <w:r w:rsidR="00F87EBA">
        <w:t>9</w:t>
      </w:r>
      <w:r w:rsidR="00E47EAD" w:rsidRPr="00E47EAD">
        <w:rPr>
          <w:b w:val="0"/>
          <w:bCs w:val="0"/>
          <w:noProof/>
          <w:lang w:eastAsia="en-AU"/>
        </w:rPr>
        <w:t xml:space="preserve"> </w:t>
      </w:r>
    </w:p>
    <w:p w:rsidR="00D73D17" w:rsidRPr="00D73D17" w:rsidRDefault="006A6648" w:rsidP="00D04998">
      <w:pPr>
        <w:spacing w:before="120" w:after="120" w:line="240" w:lineRule="auto"/>
        <w:rPr>
          <w:lang w:eastAsia="en-AU"/>
        </w:rPr>
      </w:pPr>
      <w:r w:rsidRPr="006A6648">
        <w:rPr>
          <w:noProof/>
          <w:lang w:eastAsia="en-AU"/>
        </w:rPr>
        <w:drawing>
          <wp:inline distT="0" distB="0" distL="0" distR="0" wp14:anchorId="1C9F959A" wp14:editId="313B06FE">
            <wp:extent cx="5731510" cy="2887610"/>
            <wp:effectExtent l="0" t="0" r="2540" b="8255"/>
            <wp:docPr id="12" name="Picture 12"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7610"/>
                    </a:xfrm>
                    <a:prstGeom prst="rect">
                      <a:avLst/>
                    </a:prstGeom>
                    <a:noFill/>
                    <a:ln>
                      <a:noFill/>
                    </a:ln>
                  </pic:spPr>
                </pic:pic>
              </a:graphicData>
            </a:graphic>
          </wp:inline>
        </w:drawing>
      </w:r>
    </w:p>
    <w:p w:rsidR="00275002" w:rsidRPr="00A64EBB" w:rsidRDefault="00275002" w:rsidP="00D04998">
      <w:pPr>
        <w:pStyle w:val="Caption"/>
        <w:spacing w:before="120" w:line="240" w:lineRule="auto"/>
        <w:rPr>
          <w:b w:val="0"/>
          <w:bCs w:val="0"/>
          <w:color w:val="auto"/>
        </w:rPr>
      </w:pPr>
      <w:proofErr w:type="gramStart"/>
      <w:r w:rsidRPr="00A64EBB">
        <w:rPr>
          <w:b w:val="0"/>
          <w:bCs w:val="0"/>
          <w:color w:val="auto"/>
          <w:sz w:val="16"/>
          <w:szCs w:val="16"/>
        </w:rPr>
        <w:t>Source</w:t>
      </w:r>
      <w:r w:rsidR="00F72F41">
        <w:rPr>
          <w:b w:val="0"/>
          <w:bCs w:val="0"/>
          <w:color w:val="auto"/>
          <w:sz w:val="16"/>
          <w:szCs w:val="16"/>
        </w:rPr>
        <w:t>.</w:t>
      </w:r>
      <w:proofErr w:type="gramEnd"/>
      <w:r w:rsidRPr="00A64EBB">
        <w:rPr>
          <w:b w:val="0"/>
          <w:bCs w:val="0"/>
          <w:color w:val="auto"/>
          <w:sz w:val="16"/>
          <w:szCs w:val="16"/>
        </w:rPr>
        <w:t xml:space="preserve"> </w:t>
      </w:r>
      <w:hyperlink r:id="rId21" w:history="1">
        <w:r w:rsidRPr="00A64EBB">
          <w:rPr>
            <w:b w:val="0"/>
            <w:bCs w:val="0"/>
            <w:color w:val="auto"/>
            <w:sz w:val="16"/>
            <w:szCs w:val="16"/>
          </w:rPr>
          <w:t>ASXEnergy.com.au</w:t>
        </w:r>
      </w:hyperlink>
    </w:p>
    <w:p w:rsidR="00275002" w:rsidRDefault="00275002" w:rsidP="009A3D22">
      <w:pPr>
        <w:jc w:val="both"/>
      </w:pPr>
      <w:r>
        <w:fldChar w:fldCharType="begin"/>
      </w:r>
      <w:r>
        <w:instrText xml:space="preserve"> REF _Ref410380382 \h </w:instrText>
      </w:r>
      <w:r w:rsidR="009A3D22">
        <w:instrText xml:space="preserve"> \* MERGEFORMAT </w:instrText>
      </w:r>
      <w:r>
        <w:fldChar w:fldCharType="separate"/>
      </w:r>
      <w:r w:rsidR="0032354A">
        <w:t xml:space="preserve">Figure </w:t>
      </w:r>
      <w:r w:rsidR="0032354A">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D04998">
      <w:pPr>
        <w:pStyle w:val="Caption"/>
        <w:spacing w:before="120" w:line="240" w:lineRule="auto"/>
      </w:pPr>
      <w:bookmarkStart w:id="20" w:name="_Ref410380382"/>
      <w:r>
        <w:t xml:space="preserve">Figure </w:t>
      </w:r>
      <w:fldSimple w:instr=" SEQ Figure \* ARABIC ">
        <w:r w:rsidR="0032354A">
          <w:rPr>
            <w:noProof/>
          </w:rPr>
          <w:t>10</w:t>
        </w:r>
      </w:fldSimple>
      <w:bookmarkEnd w:id="20"/>
      <w:r w:rsidR="002515C3">
        <w:t>:</w:t>
      </w:r>
      <w:r w:rsidRPr="00DF093A">
        <w:t xml:space="preserve"> Price of Q1 201</w:t>
      </w:r>
      <w:r w:rsidR="00F87EBA">
        <w:t>6</w:t>
      </w:r>
      <w:r w:rsidRPr="00DF093A">
        <w:t xml:space="preserve"> base contracts over the past 10 weeks (and the past 2 years)</w:t>
      </w:r>
    </w:p>
    <w:p w:rsidR="00275002" w:rsidRPr="0031019A" w:rsidRDefault="006A6648" w:rsidP="00D04998">
      <w:pPr>
        <w:spacing w:before="120" w:after="120" w:line="240" w:lineRule="auto"/>
      </w:pPr>
      <w:r w:rsidRPr="006A6648">
        <w:rPr>
          <w:noProof/>
          <w:lang w:eastAsia="en-AU"/>
        </w:rPr>
        <w:drawing>
          <wp:inline distT="0" distB="0" distL="0" distR="0" wp14:anchorId="201A3D45" wp14:editId="29AD4DD8">
            <wp:extent cx="5731510" cy="2900182"/>
            <wp:effectExtent l="0" t="0" r="2540" b="0"/>
            <wp:docPr id="14" name="Picture 14"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900182"/>
                    </a:xfrm>
                    <a:prstGeom prst="rect">
                      <a:avLst/>
                    </a:prstGeom>
                    <a:noFill/>
                    <a:ln>
                      <a:noFill/>
                    </a:ln>
                  </pic:spPr>
                </pic:pic>
              </a:graphicData>
            </a:graphic>
          </wp:inline>
        </w:drawing>
      </w:r>
    </w:p>
    <w:p w:rsidR="00275002" w:rsidRPr="0031019A" w:rsidRDefault="00275002" w:rsidP="00D04998">
      <w:pPr>
        <w:pStyle w:val="Source"/>
        <w:spacing w:before="120" w:after="12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D04998">
      <w:pPr>
        <w:pStyle w:val="Source"/>
        <w:spacing w:before="120" w:after="12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Pr="0031019A">
          <w:rPr>
            <w:rStyle w:val="Hyperlink"/>
          </w:rPr>
          <w:t>Performance of the Energy Sector</w:t>
        </w:r>
      </w:hyperlink>
      <w:r w:rsidR="00D615F9">
        <w:t xml:space="preserve"> s</w:t>
      </w:r>
      <w:r w:rsidRPr="0031019A">
        <w:t>ection of our website.</w:t>
      </w:r>
    </w:p>
    <w:p w:rsidR="00275002" w:rsidRDefault="00D04998" w:rsidP="009A3D22">
      <w:pPr>
        <w:jc w:val="both"/>
      </w:pPr>
      <w:r>
        <w:fldChar w:fldCharType="begin"/>
      </w:r>
      <w:r>
        <w:instrText xml:space="preserve"> REF _Ref428449258 \h </w:instrText>
      </w:r>
      <w:r>
        <w:fldChar w:fldCharType="separate"/>
      </w:r>
      <w:r w:rsidR="0032354A">
        <w:t xml:space="preserve">Figure </w:t>
      </w:r>
      <w:r w:rsidR="0032354A">
        <w:rPr>
          <w:noProof/>
        </w:rPr>
        <w:t>11</w:t>
      </w:r>
      <w:r>
        <w:fldChar w:fldCharType="end"/>
      </w:r>
      <w:r w:rsidR="007F6995">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0E2946">
      <w:pPr>
        <w:pStyle w:val="Caption"/>
      </w:pPr>
      <w:bookmarkStart w:id="21" w:name="_Ref428449258"/>
      <w:bookmarkStart w:id="22" w:name="_Ref410744936"/>
      <w:r>
        <w:t xml:space="preserve">Figure </w:t>
      </w:r>
      <w:fldSimple w:instr=" SEQ Figure \* ARABIC ">
        <w:r w:rsidR="0032354A">
          <w:rPr>
            <w:noProof/>
          </w:rPr>
          <w:t>11</w:t>
        </w:r>
      </w:fldSimple>
      <w:bookmarkEnd w:id="21"/>
      <w:r w:rsidR="002515C3">
        <w:t>:</w:t>
      </w:r>
      <w:r w:rsidRPr="0074419D">
        <w:t xml:space="preserve"> Price of Q1 201</w:t>
      </w:r>
      <w:r w:rsidR="00F87EBA">
        <w:t>6</w:t>
      </w:r>
      <w:r w:rsidRPr="0074419D">
        <w:t xml:space="preserve"> cap contracts over the past 10 weeks (and the past 2 years)</w:t>
      </w:r>
      <w:bookmarkEnd w:id="22"/>
    </w:p>
    <w:p w:rsidR="00275002" w:rsidRPr="0031019A" w:rsidRDefault="006A6648" w:rsidP="00275002">
      <w:r w:rsidRPr="006A6648">
        <w:rPr>
          <w:noProof/>
          <w:lang w:eastAsia="en-AU"/>
        </w:rPr>
        <w:drawing>
          <wp:inline distT="0" distB="0" distL="0" distR="0" wp14:anchorId="7C4C10EE" wp14:editId="0D3280F6">
            <wp:extent cx="5731510" cy="2874917"/>
            <wp:effectExtent l="0" t="0" r="2540" b="1905"/>
            <wp:docPr id="15" name="Picture 15" descr="Figure 11 shows how the price for each regional Quarter 1 2016 cap contract has changed over the last 10 weeks (as well as the total number of trades each week). The closing quarter 1 2014 and quarter 1 2015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4917"/>
                    </a:xfrm>
                    <a:prstGeom prst="rect">
                      <a:avLst/>
                    </a:prstGeom>
                    <a:noFill/>
                    <a:ln>
                      <a:noFill/>
                    </a:ln>
                  </pic:spPr>
                </pic:pic>
              </a:graphicData>
            </a:graphic>
          </wp:inline>
        </w:drawing>
      </w:r>
    </w:p>
    <w:p w:rsidR="00275002" w:rsidRPr="002A7439" w:rsidRDefault="00275002" w:rsidP="002A7439">
      <w:pPr>
        <w:pStyle w:val="Source"/>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275002" w:rsidRPr="0031019A" w:rsidRDefault="00731F13" w:rsidP="00275002">
      <w:pPr>
        <w:pStyle w:val="Heading4notnumbered"/>
      </w:pPr>
      <w:r>
        <w:t>August</w:t>
      </w:r>
      <w:r w:rsidR="004D5447" w:rsidRPr="0031019A">
        <w:t xml:space="preserve"> </w:t>
      </w:r>
      <w:r w:rsidR="00275002" w:rsidRPr="0031019A">
        <w:t>2015</w:t>
      </w:r>
    </w:p>
    <w:p w:rsidR="004E7D10" w:rsidRPr="0031019A" w:rsidRDefault="004E7D10">
      <w:pPr>
        <w:pStyle w:val="Heading4notnumbered"/>
      </w:pPr>
    </w:p>
    <w:sectPr w:rsidR="004E7D10" w:rsidRPr="0031019A" w:rsidSect="00D04998">
      <w:footerReference w:type="even" r:id="rId27"/>
      <w:footerReference w:type="default" r:id="rId28"/>
      <w:footerReference w:type="first" r:id="rId29"/>
      <w:pgSz w:w="11906" w:h="16838"/>
      <w:pgMar w:top="993" w:right="1440" w:bottom="709"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C48" w:rsidRDefault="00C05C48" w:rsidP="004B4412">
      <w:pPr>
        <w:spacing w:before="0"/>
      </w:pPr>
      <w:r>
        <w:separator/>
      </w:r>
    </w:p>
  </w:endnote>
  <w:endnote w:type="continuationSeparator" w:id="0">
    <w:p w:rsidR="00C05C48" w:rsidRDefault="00C05C48"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C48" w:rsidRPr="00A91A9E" w:rsidRDefault="00C05C48"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05C48" w:rsidRDefault="00C05C48"/>
  <w:p w:rsidR="00C05C48" w:rsidRDefault="00C05C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C48" w:rsidRPr="00A94D89" w:rsidRDefault="00C05C48"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32354A">
      <w:rPr>
        <w:rFonts w:cs="Arial"/>
        <w:i/>
        <w:noProof/>
      </w:rPr>
      <w:t>8</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C48" w:rsidRPr="00A94D89" w:rsidRDefault="00C05C48"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32354A">
      <w:rPr>
        <w:rFonts w:cs="Arial"/>
        <w:i/>
        <w:noProof/>
      </w:rPr>
      <w:t>1</w:t>
    </w:r>
    <w:r w:rsidRPr="001F1B78">
      <w:rPr>
        <w:rFonts w:cs="Arial"/>
        <w:i/>
        <w:noProof/>
      </w:rPr>
      <w:fldChar w:fldCharType="end"/>
    </w:r>
    <w:r w:rsidRPr="00F52F00">
      <w:rPr>
        <w:rFonts w:cs="Arial"/>
        <w:i/>
      </w:rPr>
      <w:tab/>
      <w:t xml:space="preserve">AER reference: 39220 – </w:t>
    </w:r>
    <w:r>
      <w:rPr>
        <w:rFonts w:cs="Arial"/>
        <w:i/>
        <w:szCs w:val="18"/>
      </w:rPr>
      <w:t>D15</w:t>
    </w:r>
    <w:r w:rsidR="00D21222">
      <w:rPr>
        <w:rFonts w:cs="Arial"/>
        <w:i/>
        <w:szCs w:val="18"/>
      </w:rPr>
      <w:t>/123852</w:t>
    </w:r>
  </w:p>
  <w:p w:rsidR="00C05C48" w:rsidRDefault="00C05C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C48" w:rsidRDefault="00C05C48" w:rsidP="004B4412">
      <w:pPr>
        <w:spacing w:before="0"/>
      </w:pPr>
      <w:r>
        <w:separator/>
      </w:r>
    </w:p>
  </w:footnote>
  <w:footnote w:type="continuationSeparator" w:id="0">
    <w:p w:rsidR="00C05C48" w:rsidRDefault="00C05C48"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rae\Desktop\20150809 - 20150815 Electricity weekly report.docx"/>
  </w:docVars>
  <w:rsids>
    <w:rsidRoot w:val="00275002"/>
    <w:rsid w:val="00003169"/>
    <w:rsid w:val="00007624"/>
    <w:rsid w:val="000147C1"/>
    <w:rsid w:val="00017DD0"/>
    <w:rsid w:val="00021202"/>
    <w:rsid w:val="00022F09"/>
    <w:rsid w:val="000242E7"/>
    <w:rsid w:val="00024C84"/>
    <w:rsid w:val="00030794"/>
    <w:rsid w:val="000316E7"/>
    <w:rsid w:val="00033902"/>
    <w:rsid w:val="0003564D"/>
    <w:rsid w:val="0003578C"/>
    <w:rsid w:val="00043FA7"/>
    <w:rsid w:val="000442BA"/>
    <w:rsid w:val="00051880"/>
    <w:rsid w:val="000528FD"/>
    <w:rsid w:val="00061CE2"/>
    <w:rsid w:val="00063247"/>
    <w:rsid w:val="00066157"/>
    <w:rsid w:val="00070F9F"/>
    <w:rsid w:val="0007137B"/>
    <w:rsid w:val="00074A4E"/>
    <w:rsid w:val="000766E2"/>
    <w:rsid w:val="00077616"/>
    <w:rsid w:val="00085663"/>
    <w:rsid w:val="00085EBF"/>
    <w:rsid w:val="00086CF3"/>
    <w:rsid w:val="00087C4A"/>
    <w:rsid w:val="0009584C"/>
    <w:rsid w:val="000A29ED"/>
    <w:rsid w:val="000A62D6"/>
    <w:rsid w:val="000B0311"/>
    <w:rsid w:val="000B3C8A"/>
    <w:rsid w:val="000D122C"/>
    <w:rsid w:val="000D3C77"/>
    <w:rsid w:val="000D68C5"/>
    <w:rsid w:val="000E1819"/>
    <w:rsid w:val="000E1A1B"/>
    <w:rsid w:val="000E2946"/>
    <w:rsid w:val="000E4F81"/>
    <w:rsid w:val="000E6C72"/>
    <w:rsid w:val="000E77BB"/>
    <w:rsid w:val="000E7E24"/>
    <w:rsid w:val="000F1D61"/>
    <w:rsid w:val="000F56F6"/>
    <w:rsid w:val="000F5855"/>
    <w:rsid w:val="00100142"/>
    <w:rsid w:val="001158FE"/>
    <w:rsid w:val="00116EB2"/>
    <w:rsid w:val="00124609"/>
    <w:rsid w:val="00127CAB"/>
    <w:rsid w:val="001337EF"/>
    <w:rsid w:val="00136716"/>
    <w:rsid w:val="00136A08"/>
    <w:rsid w:val="001373F1"/>
    <w:rsid w:val="0014511E"/>
    <w:rsid w:val="00145982"/>
    <w:rsid w:val="00151F61"/>
    <w:rsid w:val="00155113"/>
    <w:rsid w:val="001566F6"/>
    <w:rsid w:val="001573E4"/>
    <w:rsid w:val="00160756"/>
    <w:rsid w:val="00164FB1"/>
    <w:rsid w:val="001711CC"/>
    <w:rsid w:val="0017232E"/>
    <w:rsid w:val="00174102"/>
    <w:rsid w:val="00180157"/>
    <w:rsid w:val="001832C7"/>
    <w:rsid w:val="00186F77"/>
    <w:rsid w:val="001901A4"/>
    <w:rsid w:val="00191C6F"/>
    <w:rsid w:val="00192441"/>
    <w:rsid w:val="001926A4"/>
    <w:rsid w:val="00193ED7"/>
    <w:rsid w:val="001B0C3B"/>
    <w:rsid w:val="001B45A0"/>
    <w:rsid w:val="001B6C15"/>
    <w:rsid w:val="001C027D"/>
    <w:rsid w:val="001C17B3"/>
    <w:rsid w:val="001C1BC0"/>
    <w:rsid w:val="001C2EE8"/>
    <w:rsid w:val="001D055E"/>
    <w:rsid w:val="001D0CE3"/>
    <w:rsid w:val="001E01B4"/>
    <w:rsid w:val="001E4665"/>
    <w:rsid w:val="001E5AEE"/>
    <w:rsid w:val="001F03EF"/>
    <w:rsid w:val="001F0EC9"/>
    <w:rsid w:val="001F1B78"/>
    <w:rsid w:val="001F492E"/>
    <w:rsid w:val="001F6DA3"/>
    <w:rsid w:val="001F7575"/>
    <w:rsid w:val="00201136"/>
    <w:rsid w:val="00203300"/>
    <w:rsid w:val="0020376D"/>
    <w:rsid w:val="0020489F"/>
    <w:rsid w:val="002050F5"/>
    <w:rsid w:val="002072A2"/>
    <w:rsid w:val="00214FBA"/>
    <w:rsid w:val="00216865"/>
    <w:rsid w:val="00224DB9"/>
    <w:rsid w:val="00227C97"/>
    <w:rsid w:val="00232A71"/>
    <w:rsid w:val="002515C3"/>
    <w:rsid w:val="00251745"/>
    <w:rsid w:val="00251C37"/>
    <w:rsid w:val="00262F65"/>
    <w:rsid w:val="00263AC0"/>
    <w:rsid w:val="002649D2"/>
    <w:rsid w:val="002649D8"/>
    <w:rsid w:val="00265486"/>
    <w:rsid w:val="0026772D"/>
    <w:rsid w:val="00270A51"/>
    <w:rsid w:val="00275002"/>
    <w:rsid w:val="00275927"/>
    <w:rsid w:val="00286874"/>
    <w:rsid w:val="0029246F"/>
    <w:rsid w:val="00296B65"/>
    <w:rsid w:val="002A3CF2"/>
    <w:rsid w:val="002A7439"/>
    <w:rsid w:val="002A7DEF"/>
    <w:rsid w:val="002B0DAE"/>
    <w:rsid w:val="002C6DD3"/>
    <w:rsid w:val="002D1734"/>
    <w:rsid w:val="002D484E"/>
    <w:rsid w:val="002D4A1F"/>
    <w:rsid w:val="002E6254"/>
    <w:rsid w:val="002F7986"/>
    <w:rsid w:val="003061FA"/>
    <w:rsid w:val="00307F6D"/>
    <w:rsid w:val="003177A2"/>
    <w:rsid w:val="00321853"/>
    <w:rsid w:val="0032354A"/>
    <w:rsid w:val="003271B5"/>
    <w:rsid w:val="00331264"/>
    <w:rsid w:val="00334C8D"/>
    <w:rsid w:val="00336D50"/>
    <w:rsid w:val="00341169"/>
    <w:rsid w:val="00342870"/>
    <w:rsid w:val="003518B3"/>
    <w:rsid w:val="00352DA8"/>
    <w:rsid w:val="00354887"/>
    <w:rsid w:val="00366515"/>
    <w:rsid w:val="00367E27"/>
    <w:rsid w:val="00371F3A"/>
    <w:rsid w:val="003846F1"/>
    <w:rsid w:val="00384A55"/>
    <w:rsid w:val="00384B54"/>
    <w:rsid w:val="00386C86"/>
    <w:rsid w:val="00395B4C"/>
    <w:rsid w:val="003A0810"/>
    <w:rsid w:val="003A3E2D"/>
    <w:rsid w:val="003A41E0"/>
    <w:rsid w:val="003A7DC0"/>
    <w:rsid w:val="003B6F90"/>
    <w:rsid w:val="003C24A9"/>
    <w:rsid w:val="003C2B22"/>
    <w:rsid w:val="003C3C98"/>
    <w:rsid w:val="003C62E9"/>
    <w:rsid w:val="003C7EFA"/>
    <w:rsid w:val="003E47DC"/>
    <w:rsid w:val="003F0289"/>
    <w:rsid w:val="003F57F1"/>
    <w:rsid w:val="003F75C8"/>
    <w:rsid w:val="00402142"/>
    <w:rsid w:val="00403473"/>
    <w:rsid w:val="00411897"/>
    <w:rsid w:val="00412176"/>
    <w:rsid w:val="00414488"/>
    <w:rsid w:val="00415788"/>
    <w:rsid w:val="00416641"/>
    <w:rsid w:val="00456C20"/>
    <w:rsid w:val="00464B50"/>
    <w:rsid w:val="00471E68"/>
    <w:rsid w:val="00480B4B"/>
    <w:rsid w:val="004831F8"/>
    <w:rsid w:val="00485DC4"/>
    <w:rsid w:val="00492A06"/>
    <w:rsid w:val="00493B02"/>
    <w:rsid w:val="004B104F"/>
    <w:rsid w:val="004B4412"/>
    <w:rsid w:val="004C348C"/>
    <w:rsid w:val="004C63B9"/>
    <w:rsid w:val="004C6C5B"/>
    <w:rsid w:val="004D5447"/>
    <w:rsid w:val="004D55BA"/>
    <w:rsid w:val="004E1E95"/>
    <w:rsid w:val="004E34E7"/>
    <w:rsid w:val="004E7D10"/>
    <w:rsid w:val="004F18F3"/>
    <w:rsid w:val="004F6ED0"/>
    <w:rsid w:val="00502843"/>
    <w:rsid w:val="00504A67"/>
    <w:rsid w:val="005177C0"/>
    <w:rsid w:val="00522486"/>
    <w:rsid w:val="00522668"/>
    <w:rsid w:val="005279B6"/>
    <w:rsid w:val="00530128"/>
    <w:rsid w:val="00532467"/>
    <w:rsid w:val="00543BEC"/>
    <w:rsid w:val="005502E7"/>
    <w:rsid w:val="00555667"/>
    <w:rsid w:val="00556B64"/>
    <w:rsid w:val="005575B9"/>
    <w:rsid w:val="00564A4D"/>
    <w:rsid w:val="00571680"/>
    <w:rsid w:val="00571B35"/>
    <w:rsid w:val="00572D20"/>
    <w:rsid w:val="00574241"/>
    <w:rsid w:val="00575C43"/>
    <w:rsid w:val="00577A09"/>
    <w:rsid w:val="005819F3"/>
    <w:rsid w:val="00582446"/>
    <w:rsid w:val="00584D8F"/>
    <w:rsid w:val="00595ED0"/>
    <w:rsid w:val="005A1339"/>
    <w:rsid w:val="005A404D"/>
    <w:rsid w:val="005B0461"/>
    <w:rsid w:val="005B1E3C"/>
    <w:rsid w:val="005B7F8F"/>
    <w:rsid w:val="005C26CC"/>
    <w:rsid w:val="005C3411"/>
    <w:rsid w:val="005C3D54"/>
    <w:rsid w:val="005C592F"/>
    <w:rsid w:val="005C5E72"/>
    <w:rsid w:val="005D2FBD"/>
    <w:rsid w:val="005D69AF"/>
    <w:rsid w:val="005E0B7E"/>
    <w:rsid w:val="005F6ADE"/>
    <w:rsid w:val="005F7247"/>
    <w:rsid w:val="00603914"/>
    <w:rsid w:val="00604DB6"/>
    <w:rsid w:val="00612006"/>
    <w:rsid w:val="00613DEC"/>
    <w:rsid w:val="00615619"/>
    <w:rsid w:val="00615C6B"/>
    <w:rsid w:val="00616CEC"/>
    <w:rsid w:val="00620B1B"/>
    <w:rsid w:val="00621545"/>
    <w:rsid w:val="0062525D"/>
    <w:rsid w:val="00627B2D"/>
    <w:rsid w:val="00630A15"/>
    <w:rsid w:val="00631560"/>
    <w:rsid w:val="006319C1"/>
    <w:rsid w:val="00632D6D"/>
    <w:rsid w:val="0063567F"/>
    <w:rsid w:val="00636936"/>
    <w:rsid w:val="00642C3E"/>
    <w:rsid w:val="006471D4"/>
    <w:rsid w:val="00647804"/>
    <w:rsid w:val="0065049E"/>
    <w:rsid w:val="00651005"/>
    <w:rsid w:val="00661F88"/>
    <w:rsid w:val="00663DAD"/>
    <w:rsid w:val="00673D15"/>
    <w:rsid w:val="00676679"/>
    <w:rsid w:val="006777D7"/>
    <w:rsid w:val="00694FD6"/>
    <w:rsid w:val="006A6648"/>
    <w:rsid w:val="006A6EDD"/>
    <w:rsid w:val="006B4CF9"/>
    <w:rsid w:val="006B7AC8"/>
    <w:rsid w:val="006C196C"/>
    <w:rsid w:val="006C1E8B"/>
    <w:rsid w:val="006D3561"/>
    <w:rsid w:val="006D550F"/>
    <w:rsid w:val="006D5B9F"/>
    <w:rsid w:val="006D7923"/>
    <w:rsid w:val="006E1E7D"/>
    <w:rsid w:val="006F3750"/>
    <w:rsid w:val="006F3FCB"/>
    <w:rsid w:val="006F4C38"/>
    <w:rsid w:val="00700DAB"/>
    <w:rsid w:val="00701CAB"/>
    <w:rsid w:val="00707563"/>
    <w:rsid w:val="00712D03"/>
    <w:rsid w:val="0072348C"/>
    <w:rsid w:val="00724827"/>
    <w:rsid w:val="00724A37"/>
    <w:rsid w:val="00724BF3"/>
    <w:rsid w:val="007303C3"/>
    <w:rsid w:val="00731F13"/>
    <w:rsid w:val="00741D03"/>
    <w:rsid w:val="00743223"/>
    <w:rsid w:val="00746063"/>
    <w:rsid w:val="00746E01"/>
    <w:rsid w:val="00751821"/>
    <w:rsid w:val="007532DD"/>
    <w:rsid w:val="00753ADA"/>
    <w:rsid w:val="00760FD8"/>
    <w:rsid w:val="00762D41"/>
    <w:rsid w:val="00763E5D"/>
    <w:rsid w:val="00767740"/>
    <w:rsid w:val="00772A95"/>
    <w:rsid w:val="00777EE6"/>
    <w:rsid w:val="00780452"/>
    <w:rsid w:val="00782EEA"/>
    <w:rsid w:val="00784059"/>
    <w:rsid w:val="0078423F"/>
    <w:rsid w:val="00784A7E"/>
    <w:rsid w:val="0079277A"/>
    <w:rsid w:val="007A1428"/>
    <w:rsid w:val="007A1AB0"/>
    <w:rsid w:val="007A33E8"/>
    <w:rsid w:val="007B1732"/>
    <w:rsid w:val="007B2C72"/>
    <w:rsid w:val="007C1C53"/>
    <w:rsid w:val="007C2EE8"/>
    <w:rsid w:val="007C62FE"/>
    <w:rsid w:val="007D2028"/>
    <w:rsid w:val="007E1516"/>
    <w:rsid w:val="007E4904"/>
    <w:rsid w:val="007E4CB5"/>
    <w:rsid w:val="007E5597"/>
    <w:rsid w:val="007F066B"/>
    <w:rsid w:val="007F0F77"/>
    <w:rsid w:val="007F475F"/>
    <w:rsid w:val="007F6995"/>
    <w:rsid w:val="008033C4"/>
    <w:rsid w:val="00806C88"/>
    <w:rsid w:val="00807A5C"/>
    <w:rsid w:val="0081034E"/>
    <w:rsid w:val="0081253D"/>
    <w:rsid w:val="00812E7B"/>
    <w:rsid w:val="008238B2"/>
    <w:rsid w:val="008344B4"/>
    <w:rsid w:val="008344F6"/>
    <w:rsid w:val="0083510F"/>
    <w:rsid w:val="008366CD"/>
    <w:rsid w:val="00847ED9"/>
    <w:rsid w:val="00851209"/>
    <w:rsid w:val="0085188E"/>
    <w:rsid w:val="00857917"/>
    <w:rsid w:val="00861AED"/>
    <w:rsid w:val="00867506"/>
    <w:rsid w:val="00870903"/>
    <w:rsid w:val="0087280A"/>
    <w:rsid w:val="00873B1F"/>
    <w:rsid w:val="008837AC"/>
    <w:rsid w:val="00884D30"/>
    <w:rsid w:val="00886BAB"/>
    <w:rsid w:val="00886CEC"/>
    <w:rsid w:val="00887EBF"/>
    <w:rsid w:val="008A4DB6"/>
    <w:rsid w:val="008A587D"/>
    <w:rsid w:val="008A6198"/>
    <w:rsid w:val="008A7580"/>
    <w:rsid w:val="008B416B"/>
    <w:rsid w:val="008B6DA5"/>
    <w:rsid w:val="008C1FE0"/>
    <w:rsid w:val="008C5486"/>
    <w:rsid w:val="008C6B16"/>
    <w:rsid w:val="008E1E8E"/>
    <w:rsid w:val="008E535A"/>
    <w:rsid w:val="008E6CAE"/>
    <w:rsid w:val="008E7031"/>
    <w:rsid w:val="008F6FC7"/>
    <w:rsid w:val="00901928"/>
    <w:rsid w:val="0090239D"/>
    <w:rsid w:val="009039EF"/>
    <w:rsid w:val="009057E0"/>
    <w:rsid w:val="00914975"/>
    <w:rsid w:val="00914A87"/>
    <w:rsid w:val="00922ACF"/>
    <w:rsid w:val="009233EE"/>
    <w:rsid w:val="0092422F"/>
    <w:rsid w:val="009335AE"/>
    <w:rsid w:val="009377D8"/>
    <w:rsid w:val="00956C19"/>
    <w:rsid w:val="00957591"/>
    <w:rsid w:val="0095772E"/>
    <w:rsid w:val="00960AC5"/>
    <w:rsid w:val="009661DE"/>
    <w:rsid w:val="00972A40"/>
    <w:rsid w:val="00981578"/>
    <w:rsid w:val="00982FEB"/>
    <w:rsid w:val="009837D1"/>
    <w:rsid w:val="009856B7"/>
    <w:rsid w:val="00985A66"/>
    <w:rsid w:val="009A3D22"/>
    <w:rsid w:val="009B21F2"/>
    <w:rsid w:val="009B4E65"/>
    <w:rsid w:val="009B533B"/>
    <w:rsid w:val="009B69AA"/>
    <w:rsid w:val="009B74B0"/>
    <w:rsid w:val="009C6A83"/>
    <w:rsid w:val="009D3016"/>
    <w:rsid w:val="009D6B46"/>
    <w:rsid w:val="009E7749"/>
    <w:rsid w:val="009E7AC6"/>
    <w:rsid w:val="009E7D2D"/>
    <w:rsid w:val="009F1D03"/>
    <w:rsid w:val="009F4806"/>
    <w:rsid w:val="009F4940"/>
    <w:rsid w:val="00A041F4"/>
    <w:rsid w:val="00A04F9F"/>
    <w:rsid w:val="00A159BF"/>
    <w:rsid w:val="00A3632A"/>
    <w:rsid w:val="00A4478A"/>
    <w:rsid w:val="00A44852"/>
    <w:rsid w:val="00A52A18"/>
    <w:rsid w:val="00A57900"/>
    <w:rsid w:val="00A57D04"/>
    <w:rsid w:val="00A57D69"/>
    <w:rsid w:val="00A60A26"/>
    <w:rsid w:val="00A61598"/>
    <w:rsid w:val="00A64EBB"/>
    <w:rsid w:val="00A71AA6"/>
    <w:rsid w:val="00A75AAA"/>
    <w:rsid w:val="00A81EF8"/>
    <w:rsid w:val="00A84F46"/>
    <w:rsid w:val="00A871F4"/>
    <w:rsid w:val="00A91A4B"/>
    <w:rsid w:val="00A923DD"/>
    <w:rsid w:val="00A94D89"/>
    <w:rsid w:val="00AA0CEB"/>
    <w:rsid w:val="00AA476F"/>
    <w:rsid w:val="00AA649A"/>
    <w:rsid w:val="00AB6478"/>
    <w:rsid w:val="00AC0FE9"/>
    <w:rsid w:val="00AC1B2C"/>
    <w:rsid w:val="00AC3264"/>
    <w:rsid w:val="00AD592F"/>
    <w:rsid w:val="00AE1BF1"/>
    <w:rsid w:val="00AF0DD2"/>
    <w:rsid w:val="00AF46F3"/>
    <w:rsid w:val="00AF66A7"/>
    <w:rsid w:val="00AF7058"/>
    <w:rsid w:val="00B057C8"/>
    <w:rsid w:val="00B11C09"/>
    <w:rsid w:val="00B1285B"/>
    <w:rsid w:val="00B13048"/>
    <w:rsid w:val="00B14CE4"/>
    <w:rsid w:val="00B1716D"/>
    <w:rsid w:val="00B17A1D"/>
    <w:rsid w:val="00B207A0"/>
    <w:rsid w:val="00B26AAA"/>
    <w:rsid w:val="00B31071"/>
    <w:rsid w:val="00B35810"/>
    <w:rsid w:val="00B4128D"/>
    <w:rsid w:val="00B41686"/>
    <w:rsid w:val="00B44E99"/>
    <w:rsid w:val="00B56E03"/>
    <w:rsid w:val="00B63E2C"/>
    <w:rsid w:val="00B65CAC"/>
    <w:rsid w:val="00B70CA5"/>
    <w:rsid w:val="00B752C5"/>
    <w:rsid w:val="00B8080B"/>
    <w:rsid w:val="00B85D8A"/>
    <w:rsid w:val="00B87C39"/>
    <w:rsid w:val="00B87DD6"/>
    <w:rsid w:val="00B904FF"/>
    <w:rsid w:val="00B92CD5"/>
    <w:rsid w:val="00BA1F27"/>
    <w:rsid w:val="00BA390A"/>
    <w:rsid w:val="00BA3992"/>
    <w:rsid w:val="00BA4665"/>
    <w:rsid w:val="00BB2FB2"/>
    <w:rsid w:val="00BB3304"/>
    <w:rsid w:val="00BB4732"/>
    <w:rsid w:val="00BC675F"/>
    <w:rsid w:val="00BD3446"/>
    <w:rsid w:val="00BE1F1B"/>
    <w:rsid w:val="00BE47B5"/>
    <w:rsid w:val="00BF771C"/>
    <w:rsid w:val="00C008FE"/>
    <w:rsid w:val="00C01734"/>
    <w:rsid w:val="00C05C48"/>
    <w:rsid w:val="00C064A7"/>
    <w:rsid w:val="00C154C0"/>
    <w:rsid w:val="00C16B2C"/>
    <w:rsid w:val="00C30BBE"/>
    <w:rsid w:val="00C34065"/>
    <w:rsid w:val="00C4709E"/>
    <w:rsid w:val="00C50EC2"/>
    <w:rsid w:val="00C538A9"/>
    <w:rsid w:val="00C53B5A"/>
    <w:rsid w:val="00C54F5A"/>
    <w:rsid w:val="00C56506"/>
    <w:rsid w:val="00C565C5"/>
    <w:rsid w:val="00C62797"/>
    <w:rsid w:val="00C6290C"/>
    <w:rsid w:val="00C672E0"/>
    <w:rsid w:val="00C729B4"/>
    <w:rsid w:val="00C73A47"/>
    <w:rsid w:val="00C73C83"/>
    <w:rsid w:val="00C74A11"/>
    <w:rsid w:val="00C8473D"/>
    <w:rsid w:val="00C86679"/>
    <w:rsid w:val="00C86919"/>
    <w:rsid w:val="00C872DB"/>
    <w:rsid w:val="00C950AF"/>
    <w:rsid w:val="00CA04F2"/>
    <w:rsid w:val="00CB666B"/>
    <w:rsid w:val="00CB695E"/>
    <w:rsid w:val="00CC1D64"/>
    <w:rsid w:val="00CC2C03"/>
    <w:rsid w:val="00CD40AD"/>
    <w:rsid w:val="00CD4E7F"/>
    <w:rsid w:val="00CE1831"/>
    <w:rsid w:val="00CF0E01"/>
    <w:rsid w:val="00CF455C"/>
    <w:rsid w:val="00CF5382"/>
    <w:rsid w:val="00D01CF0"/>
    <w:rsid w:val="00D0442A"/>
    <w:rsid w:val="00D04998"/>
    <w:rsid w:val="00D07128"/>
    <w:rsid w:val="00D21222"/>
    <w:rsid w:val="00D22BD4"/>
    <w:rsid w:val="00D2306D"/>
    <w:rsid w:val="00D270E1"/>
    <w:rsid w:val="00D32767"/>
    <w:rsid w:val="00D44037"/>
    <w:rsid w:val="00D4681D"/>
    <w:rsid w:val="00D5111E"/>
    <w:rsid w:val="00D61388"/>
    <w:rsid w:val="00D615F9"/>
    <w:rsid w:val="00D61A54"/>
    <w:rsid w:val="00D64DEA"/>
    <w:rsid w:val="00D71771"/>
    <w:rsid w:val="00D73D17"/>
    <w:rsid w:val="00D74261"/>
    <w:rsid w:val="00D74971"/>
    <w:rsid w:val="00D80893"/>
    <w:rsid w:val="00D86899"/>
    <w:rsid w:val="00D92CF1"/>
    <w:rsid w:val="00D92D38"/>
    <w:rsid w:val="00D936B6"/>
    <w:rsid w:val="00D94209"/>
    <w:rsid w:val="00D950F5"/>
    <w:rsid w:val="00DB0F93"/>
    <w:rsid w:val="00DB16A7"/>
    <w:rsid w:val="00DB196A"/>
    <w:rsid w:val="00DB20BF"/>
    <w:rsid w:val="00DB4CC4"/>
    <w:rsid w:val="00DC153A"/>
    <w:rsid w:val="00DC24BF"/>
    <w:rsid w:val="00DC2907"/>
    <w:rsid w:val="00DC5E54"/>
    <w:rsid w:val="00DC7981"/>
    <w:rsid w:val="00DD15C2"/>
    <w:rsid w:val="00DE4EFA"/>
    <w:rsid w:val="00DE5520"/>
    <w:rsid w:val="00DE7345"/>
    <w:rsid w:val="00DF7793"/>
    <w:rsid w:val="00E00EC9"/>
    <w:rsid w:val="00E03069"/>
    <w:rsid w:val="00E04818"/>
    <w:rsid w:val="00E06442"/>
    <w:rsid w:val="00E135DB"/>
    <w:rsid w:val="00E13C85"/>
    <w:rsid w:val="00E227A4"/>
    <w:rsid w:val="00E23993"/>
    <w:rsid w:val="00E25B8C"/>
    <w:rsid w:val="00E32A8C"/>
    <w:rsid w:val="00E35AE8"/>
    <w:rsid w:val="00E3678B"/>
    <w:rsid w:val="00E3724C"/>
    <w:rsid w:val="00E37F0B"/>
    <w:rsid w:val="00E40B9C"/>
    <w:rsid w:val="00E4680F"/>
    <w:rsid w:val="00E47EAD"/>
    <w:rsid w:val="00E52A27"/>
    <w:rsid w:val="00E65C85"/>
    <w:rsid w:val="00E66199"/>
    <w:rsid w:val="00E715D5"/>
    <w:rsid w:val="00E7472E"/>
    <w:rsid w:val="00E755EC"/>
    <w:rsid w:val="00E7624D"/>
    <w:rsid w:val="00E823D9"/>
    <w:rsid w:val="00E86851"/>
    <w:rsid w:val="00EA3D42"/>
    <w:rsid w:val="00EA6B1B"/>
    <w:rsid w:val="00EB049F"/>
    <w:rsid w:val="00EB540F"/>
    <w:rsid w:val="00EB7D7F"/>
    <w:rsid w:val="00EC317E"/>
    <w:rsid w:val="00EC67D4"/>
    <w:rsid w:val="00ED3C5B"/>
    <w:rsid w:val="00ED4A25"/>
    <w:rsid w:val="00ED6E24"/>
    <w:rsid w:val="00EE28F3"/>
    <w:rsid w:val="00EE347F"/>
    <w:rsid w:val="00EF5110"/>
    <w:rsid w:val="00F02D9B"/>
    <w:rsid w:val="00F031FE"/>
    <w:rsid w:val="00F06B5B"/>
    <w:rsid w:val="00F113FD"/>
    <w:rsid w:val="00F13EAA"/>
    <w:rsid w:val="00F15882"/>
    <w:rsid w:val="00F1785E"/>
    <w:rsid w:val="00F20BD3"/>
    <w:rsid w:val="00F32D35"/>
    <w:rsid w:val="00F3590E"/>
    <w:rsid w:val="00F373A5"/>
    <w:rsid w:val="00F45B2F"/>
    <w:rsid w:val="00F47559"/>
    <w:rsid w:val="00F55548"/>
    <w:rsid w:val="00F61AA8"/>
    <w:rsid w:val="00F64C7B"/>
    <w:rsid w:val="00F64F82"/>
    <w:rsid w:val="00F662F1"/>
    <w:rsid w:val="00F66967"/>
    <w:rsid w:val="00F676DD"/>
    <w:rsid w:val="00F70811"/>
    <w:rsid w:val="00F71486"/>
    <w:rsid w:val="00F72F41"/>
    <w:rsid w:val="00F75A26"/>
    <w:rsid w:val="00F83FAD"/>
    <w:rsid w:val="00F87EBA"/>
    <w:rsid w:val="00F952A0"/>
    <w:rsid w:val="00F965FC"/>
    <w:rsid w:val="00FA3830"/>
    <w:rsid w:val="00FA3C7F"/>
    <w:rsid w:val="00FB153F"/>
    <w:rsid w:val="00FB41E6"/>
    <w:rsid w:val="00FB74E2"/>
    <w:rsid w:val="00FC447B"/>
    <w:rsid w:val="00FD0763"/>
    <w:rsid w:val="00FD166D"/>
    <w:rsid w:val="00FD2F97"/>
    <w:rsid w:val="00FD5316"/>
    <w:rsid w:val="00FD5614"/>
    <w:rsid w:val="00FD72DC"/>
    <w:rsid w:val="00FE0BE1"/>
    <w:rsid w:val="00FE1DE9"/>
    <w:rsid w:val="00FE39C2"/>
    <w:rsid w:val="00FE3E67"/>
    <w:rsid w:val="00FE64AE"/>
    <w:rsid w:val="00FF3373"/>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2EC0DC-7174-4287-944C-87ABEABC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31738B39.dotm</Template>
  <TotalTime>0</TotalTime>
  <Pages>8</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2015-08-31T00:47:00Z</dcterms:created>
  <dcterms:modified xsi:type="dcterms:W3CDTF">2015-08-31T00:47:00Z</dcterms:modified>
</cp:coreProperties>
</file>