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7DB57D00" wp14:editId="3689690E">
                <wp:simplePos x="0" y="0"/>
                <wp:positionH relativeFrom="column">
                  <wp:posOffset>-86264</wp:posOffset>
                </wp:positionH>
                <wp:positionV relativeFrom="paragraph">
                  <wp:posOffset>223460</wp:posOffset>
                </wp:positionV>
                <wp:extent cx="3717985" cy="1102995"/>
                <wp:effectExtent l="0" t="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BC" w:rsidRPr="000E2946" w:rsidRDefault="002722BC" w:rsidP="000E2946">
                            <w:pPr>
                              <w:pStyle w:val="Title"/>
                            </w:pPr>
                            <w:r w:rsidRPr="000E2946">
                              <w:t>Electricity Report</w:t>
                            </w:r>
                          </w:p>
                          <w:p w:rsidR="002722BC" w:rsidRPr="000E2946" w:rsidRDefault="002722BC" w:rsidP="000E2946">
                            <w:pPr>
                              <w:pStyle w:val="Title"/>
                            </w:pPr>
                            <w:r>
                              <w:t xml:space="preserve">26 July – 1 August </w:t>
                            </w:r>
                            <w:r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8pt;margin-top:17.6pt;width:292.7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PItgIAALw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" filled="f" stroked="f">
                <v:textbox>
                  <w:txbxContent>
                    <w:p w:rsidR="002722BC" w:rsidRPr="000E2946" w:rsidRDefault="002722BC" w:rsidP="000E2946">
                      <w:pPr>
                        <w:pStyle w:val="Title"/>
                      </w:pPr>
                      <w:r w:rsidRPr="000E2946">
                        <w:t>Electricity Report</w:t>
                      </w:r>
                    </w:p>
                    <w:p w:rsidR="002722BC" w:rsidRPr="000E2946" w:rsidRDefault="002722BC" w:rsidP="000E2946">
                      <w:pPr>
                        <w:pStyle w:val="Title"/>
                      </w:pPr>
                      <w:r>
                        <w:t xml:space="preserve">26 July – 1 August </w:t>
                      </w:r>
                      <w:r w:rsidRPr="000E2946">
                        <w:t>2015</w:t>
                      </w:r>
                    </w:p>
                  </w:txbxContent>
                </v:textbox>
              </v:shape>
            </w:pict>
          </mc:Fallback>
        </mc:AlternateContent>
      </w:r>
      <w:r w:rsidRPr="0031019A">
        <w:rPr>
          <w:noProof/>
          <w:lang w:eastAsia="en-AU"/>
        </w:rPr>
        <w:drawing>
          <wp:inline distT="0" distB="0" distL="0" distR="0" wp14:anchorId="509001E5" wp14:editId="3FA596CB">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8A4178" w:rsidRPr="000E2946">
        <w:t xml:space="preserve">Figure </w:t>
      </w:r>
      <w:r w:rsidR="008A4178">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F23BEF">
        <w:rPr>
          <w:rFonts w:cs="Arial"/>
        </w:rPr>
        <w:t>26 July</w:t>
      </w:r>
      <w:r w:rsidR="00724BF3">
        <w:rPr>
          <w:rFonts w:cs="Arial"/>
        </w:rPr>
        <w:t xml:space="preserve"> to </w:t>
      </w:r>
      <w:r w:rsidR="00F23BEF">
        <w:rPr>
          <w:rFonts w:cs="Arial"/>
        </w:rPr>
        <w:t>1</w:t>
      </w:r>
      <w:r w:rsidR="002722BC">
        <w:rPr>
          <w:rFonts w:cs="Arial"/>
        </w:rPr>
        <w:t> </w:t>
      </w:r>
      <w:r w:rsidR="00724BF3">
        <w:rPr>
          <w:rFonts w:cs="Arial"/>
        </w:rPr>
        <w:t>August</w:t>
      </w:r>
      <w:r w:rsidR="00760FD8">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 xml:space="preserve">here were </w:t>
      </w:r>
      <w:r w:rsidR="00C14D61">
        <w:rPr>
          <w:rFonts w:cs="Arial"/>
        </w:rPr>
        <w:t>five</w:t>
      </w:r>
      <w:r w:rsidR="00627B2D">
        <w:rPr>
          <w:rFonts w:cs="Arial"/>
        </w:rPr>
        <w:t xml:space="preserve"> occasions in South Australia </w:t>
      </w:r>
      <w:r w:rsidR="00C154C0">
        <w:rPr>
          <w:rFonts w:cs="Arial"/>
        </w:rPr>
        <w:t xml:space="preserve">and </w:t>
      </w:r>
      <w:r w:rsidR="00724BF3">
        <w:rPr>
          <w:rFonts w:cs="Arial"/>
        </w:rPr>
        <w:t>one</w:t>
      </w:r>
      <w:r w:rsidR="00741D03">
        <w:rPr>
          <w:rFonts w:cs="Arial"/>
        </w:rPr>
        <w:t xml:space="preserve"> occasion in Queensland </w:t>
      </w:r>
      <w:r w:rsidR="00627B2D">
        <w:rPr>
          <w:rFonts w:cs="Arial"/>
        </w:rPr>
        <w:t xml:space="preserve">where the </w:t>
      </w:r>
      <w:r w:rsidR="00100142" w:rsidRPr="00100142">
        <w:rPr>
          <w:rFonts w:cs="Arial"/>
        </w:rPr>
        <w:t>spot price exceeded the AER reporting threshold</w:t>
      </w:r>
      <w:r w:rsidR="00086CF3" w:rsidRPr="003061FA">
        <w:rPr>
          <w:rFonts w:cs="Arial"/>
        </w:rPr>
        <w:t>. These are discussed later in this report.</w:t>
      </w:r>
      <w:r w:rsidR="00003169">
        <w:rPr>
          <w:rFonts w:cs="Arial"/>
        </w:rPr>
        <w:t xml:space="preserve"> </w:t>
      </w:r>
    </w:p>
    <w:p w:rsidR="00275002" w:rsidRDefault="00275002" w:rsidP="000E2946">
      <w:pPr>
        <w:pStyle w:val="Caption"/>
      </w:pPr>
      <w:bookmarkStart w:id="6" w:name="_Ref410382491"/>
      <w:bookmarkStart w:id="7" w:name="OLE_LINK28"/>
      <w:bookmarkStart w:id="8" w:name="OLE_LINK29"/>
      <w:r w:rsidRPr="000E2946">
        <w:t xml:space="preserve">Figure </w:t>
      </w:r>
      <w:r w:rsidR="008A4178">
        <w:fldChar w:fldCharType="begin"/>
      </w:r>
      <w:r w:rsidR="008A4178">
        <w:instrText xml:space="preserve"> SEQ Figure \* ARABIC </w:instrText>
      </w:r>
      <w:r w:rsidR="008A4178">
        <w:fldChar w:fldCharType="separate"/>
      </w:r>
      <w:r w:rsidR="008A4178">
        <w:rPr>
          <w:noProof/>
        </w:rPr>
        <w:t>1</w:t>
      </w:r>
      <w:r w:rsidR="008A4178">
        <w:rPr>
          <w:noProof/>
        </w:rPr>
        <w:fldChar w:fldCharType="end"/>
      </w:r>
      <w:bookmarkEnd w:id="6"/>
      <w:r w:rsidRPr="000E2946">
        <w:t>: Spot price by region ($/MWh)</w:t>
      </w:r>
    </w:p>
    <w:p w:rsidR="00275002" w:rsidRPr="0031019A" w:rsidRDefault="00BC79A0" w:rsidP="00275002">
      <w:r>
        <w:rPr>
          <w:noProof/>
          <w:lang w:eastAsia="en-AU"/>
        </w:rPr>
        <mc:AlternateContent>
          <mc:Choice Requires="wps">
            <w:drawing>
              <wp:anchor distT="0" distB="0" distL="114300" distR="114300" simplePos="0" relativeHeight="251672576" behindDoc="0" locked="0" layoutInCell="1" allowOverlap="1" wp14:anchorId="2C23DC29" wp14:editId="76C1D441">
                <wp:simplePos x="0" y="0"/>
                <wp:positionH relativeFrom="column">
                  <wp:posOffset>469900</wp:posOffset>
                </wp:positionH>
                <wp:positionV relativeFrom="paragraph">
                  <wp:posOffset>1111250</wp:posOffset>
                </wp:positionV>
                <wp:extent cx="166370" cy="79375"/>
                <wp:effectExtent l="0" t="0" r="24130" b="34925"/>
                <wp:wrapNone/>
                <wp:docPr id="21" name="Straight Connector 21"/>
                <wp:cNvGraphicFramePr/>
                <a:graphic xmlns:a="http://schemas.openxmlformats.org/drawingml/2006/main">
                  <a:graphicData uri="http://schemas.microsoft.com/office/word/2010/wordprocessingShape">
                    <wps:wsp>
                      <wps:cNvCnPr/>
                      <wps:spPr>
                        <a:xfrm flipH="1">
                          <a:off x="0" y="0"/>
                          <a:ext cx="166370" cy="79375"/>
                        </a:xfrm>
                        <a:prstGeom prst="line">
                          <a:avLst/>
                        </a:prstGeom>
                        <a:noFill/>
                        <a:ln w="9525" cap="flat" cmpd="sng" algn="ctr">
                          <a:solidFill>
                            <a:srgbClr val="51626F">
                              <a:shade val="48000"/>
                              <a:satMod val="110000"/>
                            </a:srgbClr>
                          </a:solidFill>
                          <a:prstDash val="solid"/>
                        </a:ln>
                        <a:effectLst/>
                      </wps:spPr>
                      <wps:bodyPr/>
                    </wps:wsp>
                  </a:graphicData>
                </a:graphic>
              </wp:anchor>
            </w:drawing>
          </mc:Choice>
          <mc:Fallback>
            <w:pict>
              <v:line id="Straight Connector 21"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7pt,87.5pt" to="50.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" strokecolor="#37454f"/>
            </w:pict>
          </mc:Fallback>
        </mc:AlternateContent>
      </w:r>
      <w:r>
        <w:rPr>
          <w:noProof/>
          <w:lang w:eastAsia="en-AU"/>
        </w:rPr>
        <mc:AlternateContent>
          <mc:Choice Requires="wps">
            <w:drawing>
              <wp:anchor distT="0" distB="0" distL="114300" distR="114300" simplePos="0" relativeHeight="251670528" behindDoc="0" locked="0" layoutInCell="1" allowOverlap="1" wp14:anchorId="649AA588" wp14:editId="1BCD402E">
                <wp:simplePos x="0" y="0"/>
                <wp:positionH relativeFrom="column">
                  <wp:posOffset>469127</wp:posOffset>
                </wp:positionH>
                <wp:positionV relativeFrom="paragraph">
                  <wp:posOffset>1324997</wp:posOffset>
                </wp:positionV>
                <wp:extent cx="166977" cy="79513"/>
                <wp:effectExtent l="0" t="0" r="24130" b="34925"/>
                <wp:wrapNone/>
                <wp:docPr id="20" name="Straight Connector 20"/>
                <wp:cNvGraphicFramePr/>
                <a:graphic xmlns:a="http://schemas.openxmlformats.org/drawingml/2006/main">
                  <a:graphicData uri="http://schemas.microsoft.com/office/word/2010/wordprocessingShape">
                    <wps:wsp>
                      <wps:cNvCnPr/>
                      <wps:spPr>
                        <a:xfrm flipH="1">
                          <a:off x="0" y="0"/>
                          <a:ext cx="166977" cy="795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6.95pt,104.35pt" to="50.1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" strokecolor="#262e34 [1540]"/>
            </w:pict>
          </mc:Fallback>
        </mc:AlternateContent>
      </w:r>
      <w:r w:rsidRPr="00BC79A0">
        <w:rPr>
          <w:noProof/>
          <w:lang w:eastAsia="en-AU"/>
        </w:rPr>
        <w:drawing>
          <wp:inline distT="0" distB="0" distL="0" distR="0" wp14:anchorId="2F71C93F" wp14:editId="3B424CCE">
            <wp:extent cx="5724398" cy="3283889"/>
            <wp:effectExtent l="0" t="0" r="0" b="0"/>
            <wp:docPr id="19" name="Picture 19"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412"/>
                    <a:stretch/>
                  </pic:blipFill>
                  <pic:spPr bwMode="auto">
                    <a:xfrm>
                      <a:off x="0" y="0"/>
                      <a:ext cx="5731510" cy="3287969"/>
                    </a:xfrm>
                    <a:prstGeom prst="rect">
                      <a:avLst/>
                    </a:prstGeom>
                    <a:noFill/>
                    <a:ln>
                      <a:noFill/>
                    </a:ln>
                    <a:extLst>
                      <a:ext uri="{53640926-AAD7-44D8-BBD7-CCE9431645EC}">
                        <a14:shadowObscured xmlns:a14="http://schemas.microsoft.com/office/drawing/2010/main"/>
                      </a:ext>
                    </a:extLst>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8A4178">
        <w:t xml:space="preserve">Figure </w:t>
      </w:r>
      <w:r w:rsidR="008A4178">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8A4178">
        <w:t xml:space="preserve">Table </w:t>
      </w:r>
      <w:r w:rsidR="008A4178">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r w:rsidR="008A4178">
        <w:fldChar w:fldCharType="begin"/>
      </w:r>
      <w:r w:rsidR="008A4178">
        <w:instrText xml:space="preserve"> SEQ Figure \* ARABIC </w:instrText>
      </w:r>
      <w:r w:rsidR="008A4178">
        <w:fldChar w:fldCharType="separate"/>
      </w:r>
      <w:r w:rsidR="008A4178">
        <w:rPr>
          <w:noProof/>
        </w:rPr>
        <w:t>2</w:t>
      </w:r>
      <w:r w:rsidR="008A4178">
        <w:rPr>
          <w:noProof/>
        </w:rPr>
        <w:fldChar w:fldCharType="end"/>
      </w:r>
      <w:bookmarkEnd w:id="9"/>
      <w:r>
        <w:t>:</w:t>
      </w:r>
      <w:r w:rsidRPr="00037176">
        <w:t xml:space="preserve"> Volume weighted average spot price by region ($/MWh)</w:t>
      </w:r>
    </w:p>
    <w:p w:rsidR="00F23BEF" w:rsidRPr="00F23BEF" w:rsidRDefault="00F23BEF" w:rsidP="00F23BEF">
      <w:r w:rsidRPr="00F23BEF">
        <w:rPr>
          <w:noProof/>
          <w:lang w:eastAsia="en-AU"/>
        </w:rPr>
        <w:drawing>
          <wp:inline distT="0" distB="0" distL="0" distR="0" wp14:anchorId="6F00DBB3" wp14:editId="0EF950ED">
            <wp:extent cx="5731510" cy="2859551"/>
            <wp:effectExtent l="0" t="0" r="2540" b="0"/>
            <wp:docPr id="5" name="Picture 5" descr="Figure 2 shows the volume weighted average (VWA) prices for this week (with prices shown in Table 1) and the preceding 12 weeks, as well as the VWA price over the previous 3 financial years.    "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r w:rsidR="008A4178">
        <w:fldChar w:fldCharType="begin"/>
      </w:r>
      <w:r w:rsidR="008A4178">
        <w:instrText xml:space="preserve"> SEQ Table \* ARABIC </w:instrText>
      </w:r>
      <w:r w:rsidR="008A4178">
        <w:fldChar w:fldCharType="separate"/>
      </w:r>
      <w:r w:rsidR="008A4178">
        <w:rPr>
          <w:noProof/>
        </w:rPr>
        <w:t>1</w:t>
      </w:r>
      <w:r w:rsidR="008A4178">
        <w:rPr>
          <w:noProof/>
        </w:rPr>
        <w:fldChar w:fldCharType="end"/>
      </w:r>
      <w:bookmarkEnd w:id="10"/>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627B2D">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F23BEF" w:rsidRPr="00E35AE8" w:rsidTr="00A52ED3">
        <w:trPr>
          <w:trHeight w:hRule="exact" w:val="340"/>
        </w:trPr>
        <w:tc>
          <w:tcPr>
            <w:tcW w:w="1357" w:type="pct"/>
            <w:noWrap/>
            <w:vAlign w:val="center"/>
            <w:hideMark/>
          </w:tcPr>
          <w:p w:rsidR="00F23BEF" w:rsidRPr="009B21F2" w:rsidRDefault="00F23BEF"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F23BEF" w:rsidRDefault="00F23BEF" w:rsidP="00A52ED3">
            <w:pPr>
              <w:spacing w:before="0" w:after="0" w:line="240" w:lineRule="auto"/>
              <w:jc w:val="center"/>
              <w:rPr>
                <w:rFonts w:cs="Arial"/>
                <w:sz w:val="20"/>
                <w:szCs w:val="20"/>
              </w:rPr>
            </w:pPr>
            <w:r>
              <w:rPr>
                <w:rFonts w:cs="Arial"/>
                <w:sz w:val="20"/>
                <w:szCs w:val="20"/>
              </w:rPr>
              <w:t>45</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37</w:t>
            </w:r>
          </w:p>
        </w:tc>
        <w:tc>
          <w:tcPr>
            <w:tcW w:w="728"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33</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114</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30</w:t>
            </w:r>
          </w:p>
        </w:tc>
      </w:tr>
      <w:tr w:rsidR="00F23BEF" w:rsidRPr="00E35AE8" w:rsidTr="00A52ED3">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F23BEF" w:rsidRPr="00B65CAC" w:rsidRDefault="00F23BEF"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F23BEF" w:rsidRDefault="00F23BEF" w:rsidP="00A52ED3">
            <w:pPr>
              <w:spacing w:before="0" w:after="0" w:line="240" w:lineRule="auto"/>
              <w:jc w:val="center"/>
              <w:rPr>
                <w:rFonts w:cs="Arial"/>
                <w:szCs w:val="20"/>
              </w:rPr>
            </w:pPr>
            <w:r>
              <w:rPr>
                <w:rFonts w:cs="Arial"/>
                <w:szCs w:val="20"/>
              </w:rPr>
              <w:t>34</w:t>
            </w:r>
          </w:p>
        </w:tc>
        <w:tc>
          <w:tcPr>
            <w:tcW w:w="729" w:type="pct"/>
            <w:noWrap/>
            <w:vAlign w:val="center"/>
          </w:tcPr>
          <w:p w:rsidR="00F23BEF" w:rsidRPr="00F23BEF" w:rsidRDefault="00F23BEF" w:rsidP="00A52ED3">
            <w:pPr>
              <w:spacing w:before="0" w:after="0" w:line="240" w:lineRule="auto"/>
              <w:jc w:val="center"/>
              <w:rPr>
                <w:rFonts w:cs="Arial"/>
                <w:szCs w:val="20"/>
              </w:rPr>
            </w:pPr>
            <w:r w:rsidRPr="00F23BEF">
              <w:rPr>
                <w:rFonts w:cs="Arial"/>
                <w:szCs w:val="20"/>
              </w:rPr>
              <w:t>42</w:t>
            </w:r>
          </w:p>
        </w:tc>
        <w:tc>
          <w:tcPr>
            <w:tcW w:w="728" w:type="pct"/>
            <w:noWrap/>
            <w:vAlign w:val="center"/>
          </w:tcPr>
          <w:p w:rsidR="00F23BEF" w:rsidRPr="00F23BEF" w:rsidRDefault="00F23BEF" w:rsidP="00A52ED3">
            <w:pPr>
              <w:spacing w:before="0" w:after="0" w:line="240" w:lineRule="auto"/>
              <w:jc w:val="center"/>
              <w:rPr>
                <w:rFonts w:cs="Arial"/>
                <w:szCs w:val="20"/>
              </w:rPr>
            </w:pPr>
            <w:r w:rsidRPr="00F23BEF">
              <w:rPr>
                <w:rFonts w:cs="Arial"/>
                <w:szCs w:val="20"/>
              </w:rPr>
              <w:t>40</w:t>
            </w:r>
          </w:p>
        </w:tc>
        <w:tc>
          <w:tcPr>
            <w:tcW w:w="729" w:type="pct"/>
            <w:noWrap/>
            <w:vAlign w:val="center"/>
          </w:tcPr>
          <w:p w:rsidR="00F23BEF" w:rsidRPr="00F23BEF" w:rsidRDefault="00F23BEF" w:rsidP="00A52ED3">
            <w:pPr>
              <w:spacing w:before="0" w:after="0" w:line="240" w:lineRule="auto"/>
              <w:jc w:val="center"/>
              <w:rPr>
                <w:rFonts w:cs="Arial"/>
                <w:szCs w:val="20"/>
              </w:rPr>
            </w:pPr>
            <w:r w:rsidRPr="00F23BEF">
              <w:rPr>
                <w:rFonts w:cs="Arial"/>
                <w:szCs w:val="20"/>
              </w:rPr>
              <w:t>55</w:t>
            </w:r>
          </w:p>
        </w:tc>
        <w:tc>
          <w:tcPr>
            <w:tcW w:w="729" w:type="pct"/>
            <w:noWrap/>
            <w:vAlign w:val="center"/>
          </w:tcPr>
          <w:p w:rsidR="00F23BEF" w:rsidRPr="00F23BEF" w:rsidRDefault="00F23BEF" w:rsidP="00A52ED3">
            <w:pPr>
              <w:spacing w:before="0" w:after="0" w:line="240" w:lineRule="auto"/>
              <w:jc w:val="center"/>
              <w:rPr>
                <w:rFonts w:cs="Arial"/>
                <w:szCs w:val="20"/>
              </w:rPr>
            </w:pPr>
            <w:r w:rsidRPr="00F23BEF">
              <w:rPr>
                <w:rFonts w:cs="Arial"/>
                <w:szCs w:val="20"/>
              </w:rPr>
              <w:t>34</w:t>
            </w:r>
          </w:p>
        </w:tc>
      </w:tr>
      <w:tr w:rsidR="00F23BEF" w:rsidRPr="00E35AE8" w:rsidTr="00A52ED3">
        <w:trPr>
          <w:trHeight w:hRule="exact" w:val="340"/>
        </w:trPr>
        <w:tc>
          <w:tcPr>
            <w:tcW w:w="1357" w:type="pct"/>
            <w:noWrap/>
            <w:vAlign w:val="center"/>
            <w:hideMark/>
          </w:tcPr>
          <w:p w:rsidR="00F23BEF" w:rsidRPr="00B65CAC" w:rsidRDefault="00F23BEF"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F23BEF" w:rsidRDefault="00F23BEF" w:rsidP="00A52ED3">
            <w:pPr>
              <w:spacing w:before="0" w:after="0" w:line="240" w:lineRule="auto"/>
              <w:jc w:val="center"/>
              <w:rPr>
                <w:rFonts w:cs="Arial"/>
                <w:sz w:val="20"/>
                <w:szCs w:val="20"/>
              </w:rPr>
            </w:pPr>
            <w:r>
              <w:rPr>
                <w:rFonts w:cs="Arial"/>
                <w:sz w:val="20"/>
                <w:szCs w:val="20"/>
              </w:rPr>
              <w:t>48</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40</w:t>
            </w:r>
          </w:p>
        </w:tc>
        <w:tc>
          <w:tcPr>
            <w:tcW w:w="728"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36</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81</w:t>
            </w:r>
          </w:p>
        </w:tc>
        <w:tc>
          <w:tcPr>
            <w:tcW w:w="729" w:type="pct"/>
            <w:noWrap/>
            <w:vAlign w:val="center"/>
          </w:tcPr>
          <w:p w:rsidR="00F23BEF" w:rsidRPr="00F23BEF" w:rsidRDefault="00F23BEF" w:rsidP="00A52ED3">
            <w:pPr>
              <w:spacing w:before="0" w:after="0" w:line="240" w:lineRule="auto"/>
              <w:jc w:val="center"/>
              <w:rPr>
                <w:rFonts w:cs="Arial"/>
                <w:sz w:val="20"/>
                <w:szCs w:val="20"/>
              </w:rPr>
            </w:pPr>
            <w:r w:rsidRPr="00F23BEF">
              <w:rPr>
                <w:rFonts w:cs="Arial"/>
                <w:sz w:val="20"/>
                <w:szCs w:val="20"/>
              </w:rPr>
              <w:t>35</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0F1D61">
        <w:t>1</w:t>
      </w:r>
      <w:r w:rsidR="00F23BEF">
        <w:t>95</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8A4178">
        <w:t xml:space="preserve">Table </w:t>
      </w:r>
      <w:r w:rsidR="008A4178">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w:t>
      </w:r>
      <w:r w:rsidR="00275002" w:rsidRPr="0031019A">
        <w:lastRenderedPageBreak/>
        <w:t xml:space="preserve">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r w:rsidR="008A4178">
        <w:fldChar w:fldCharType="begin"/>
      </w:r>
      <w:r w:rsidR="008A4178">
        <w:instrText xml:space="preserve"> SEQ Table \* ARABIC </w:instrText>
      </w:r>
      <w:r w:rsidR="008A4178">
        <w:fldChar w:fldCharType="separate"/>
      </w:r>
      <w:r w:rsidR="008A4178">
        <w:rPr>
          <w:noProof/>
        </w:rPr>
        <w:t>2</w:t>
      </w:r>
      <w:r w:rsidR="008A4178">
        <w:rPr>
          <w:noProof/>
        </w:rPr>
        <w:fldChar w:fldCharType="end"/>
      </w:r>
      <w:bookmarkEnd w:id="11"/>
      <w:r w:rsidRPr="00BC7912">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003169">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B65CAC" w:rsidRPr="00003169" w:rsidTr="00003169">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B65CAC" w:rsidRDefault="00F23BEF" w:rsidP="00B65CAC">
            <w:pPr>
              <w:spacing w:after="0" w:line="240" w:lineRule="auto"/>
              <w:jc w:val="center"/>
              <w:rPr>
                <w:rFonts w:cs="Arial"/>
                <w:sz w:val="20"/>
                <w:szCs w:val="20"/>
              </w:rPr>
            </w:pPr>
            <w:r>
              <w:rPr>
                <w:rFonts w:cs="Arial"/>
                <w:sz w:val="20"/>
                <w:szCs w:val="20"/>
              </w:rPr>
              <w:t>13</w:t>
            </w:r>
          </w:p>
        </w:tc>
        <w:tc>
          <w:tcPr>
            <w:tcW w:w="1572" w:type="dxa"/>
            <w:noWrap/>
            <w:vAlign w:val="center"/>
          </w:tcPr>
          <w:p w:rsidR="00B65CAC" w:rsidRDefault="00F23BEF" w:rsidP="00B65CAC">
            <w:pPr>
              <w:spacing w:after="0" w:line="240" w:lineRule="auto"/>
              <w:jc w:val="center"/>
              <w:rPr>
                <w:rFonts w:cs="Arial"/>
                <w:sz w:val="20"/>
                <w:szCs w:val="20"/>
              </w:rPr>
            </w:pPr>
            <w:r>
              <w:rPr>
                <w:rFonts w:cs="Arial"/>
                <w:sz w:val="20"/>
                <w:szCs w:val="20"/>
              </w:rPr>
              <w:t>42</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F23BEF" w:rsidP="00B65CAC">
            <w:pPr>
              <w:spacing w:after="0" w:line="240" w:lineRule="auto"/>
              <w:jc w:val="center"/>
              <w:rPr>
                <w:rFonts w:cs="Arial"/>
                <w:sz w:val="20"/>
                <w:szCs w:val="20"/>
              </w:rPr>
            </w:pPr>
            <w:r>
              <w:rPr>
                <w:rFonts w:cs="Arial"/>
                <w:sz w:val="20"/>
                <w:szCs w:val="20"/>
              </w:rPr>
              <w:t>5</w:t>
            </w:r>
          </w:p>
        </w:tc>
      </w:tr>
      <w:tr w:rsidR="00B65CAC" w:rsidRPr="00003169" w:rsidTr="00003169">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B65CAC" w:rsidRDefault="00F23BEF" w:rsidP="00B65CAC">
            <w:pPr>
              <w:spacing w:after="0" w:line="240" w:lineRule="auto"/>
              <w:jc w:val="center"/>
              <w:rPr>
                <w:rFonts w:cs="Arial"/>
                <w:sz w:val="20"/>
                <w:szCs w:val="20"/>
              </w:rPr>
            </w:pPr>
            <w:r>
              <w:rPr>
                <w:rFonts w:cs="Arial"/>
                <w:sz w:val="20"/>
                <w:szCs w:val="20"/>
              </w:rPr>
              <w:t>19</w:t>
            </w:r>
          </w:p>
        </w:tc>
        <w:tc>
          <w:tcPr>
            <w:tcW w:w="1572" w:type="dxa"/>
            <w:noWrap/>
            <w:vAlign w:val="center"/>
          </w:tcPr>
          <w:p w:rsidR="00B65CAC" w:rsidRDefault="00F23BEF" w:rsidP="00B65CAC">
            <w:pPr>
              <w:spacing w:after="0" w:line="240" w:lineRule="auto"/>
              <w:jc w:val="center"/>
              <w:rPr>
                <w:rFonts w:cs="Arial"/>
                <w:sz w:val="20"/>
                <w:szCs w:val="20"/>
              </w:rPr>
            </w:pPr>
            <w:r>
              <w:rPr>
                <w:rFonts w:cs="Arial"/>
                <w:sz w:val="20"/>
                <w:szCs w:val="20"/>
              </w:rPr>
              <w:t>19</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F23BEF" w:rsidP="00B65CAC">
            <w:pPr>
              <w:spacing w:after="0" w:line="240" w:lineRule="auto"/>
              <w:jc w:val="center"/>
              <w:rPr>
                <w:rFonts w:cs="Arial"/>
                <w:sz w:val="20"/>
                <w:szCs w:val="20"/>
              </w:rPr>
            </w:pPr>
            <w:r>
              <w:rPr>
                <w:rFonts w:cs="Arial"/>
                <w:sz w:val="20"/>
                <w:szCs w:val="20"/>
              </w:rPr>
              <w:t>3</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w:t>
      </w:r>
      <w:r w:rsidRPr="003E1829">
        <w:t xml:space="preserve">bidding as part of its market monitoring to better understand the drivers behind price variations. </w:t>
      </w:r>
      <w:r w:rsidRPr="003E1829">
        <w:fldChar w:fldCharType="begin"/>
      </w:r>
      <w:r w:rsidRPr="003E1829">
        <w:instrText xml:space="preserve"> REF _Ref410383507 \h </w:instrText>
      </w:r>
      <w:r w:rsidR="009A3D22" w:rsidRPr="003E1829">
        <w:instrText xml:space="preserve"> \* MERGEFORMAT </w:instrText>
      </w:r>
      <w:r w:rsidRPr="003E1829">
        <w:fldChar w:fldCharType="separate"/>
      </w:r>
      <w:r w:rsidR="008A4178">
        <w:t xml:space="preserve">Figure </w:t>
      </w:r>
      <w:r w:rsidR="008A4178">
        <w:rPr>
          <w:noProof/>
        </w:rPr>
        <w:t>3</w:t>
      </w:r>
      <w:r w:rsidRPr="003E1829">
        <w:fldChar w:fldCharType="end"/>
      </w:r>
      <w:r w:rsidRPr="003E1829">
        <w:t xml:space="preserve"> to </w:t>
      </w:r>
      <w:r w:rsidR="003E1829">
        <w:fldChar w:fldCharType="begin"/>
      </w:r>
      <w:r w:rsidR="003E1829">
        <w:instrText xml:space="preserve"> REF _Ref427676679 \h </w:instrText>
      </w:r>
      <w:r w:rsidR="003E1829">
        <w:fldChar w:fldCharType="separate"/>
      </w:r>
      <w:r w:rsidR="008A4178" w:rsidRPr="00D92417">
        <w:t xml:space="preserve">Figure </w:t>
      </w:r>
      <w:r w:rsidR="008A4178">
        <w:rPr>
          <w:noProof/>
        </w:rPr>
        <w:t>7</w:t>
      </w:r>
      <w:r w:rsidR="003E1829">
        <w:fldChar w:fldCharType="end"/>
      </w:r>
      <w:r w:rsidR="003E1829">
        <w:t xml:space="preserve"> </w:t>
      </w:r>
      <w:r w:rsidRPr="003E1829">
        <w:t>show,</w:t>
      </w:r>
      <w:r w:rsidRPr="0031019A">
        <w:t xml:space="preserve">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r w:rsidR="008A4178">
        <w:fldChar w:fldCharType="begin"/>
      </w:r>
      <w:r w:rsidR="008A4178">
        <w:instrText xml:space="preserve"> SEQ Figure \* ARABIC </w:instrText>
      </w:r>
      <w:r w:rsidR="008A4178">
        <w:fldChar w:fldCharType="separate"/>
      </w:r>
      <w:r w:rsidR="008A4178">
        <w:rPr>
          <w:noProof/>
        </w:rPr>
        <w:t>3</w:t>
      </w:r>
      <w:r w:rsidR="008A4178">
        <w:rPr>
          <w:noProof/>
        </w:rPr>
        <w:fldChar w:fldCharType="end"/>
      </w:r>
      <w:bookmarkEnd w:id="13"/>
      <w:r>
        <w:t xml:space="preserve">: Queensland </w:t>
      </w:r>
      <w:r w:rsidRPr="00690328">
        <w:t>generation and bidding patterns</w:t>
      </w:r>
    </w:p>
    <w:p w:rsidR="00F23BEF" w:rsidRPr="00F23BEF" w:rsidRDefault="00A9463C" w:rsidP="00F23BEF">
      <w:r>
        <w:rPr>
          <w:noProof/>
          <w:lang w:eastAsia="en-AU"/>
        </w:rPr>
        <mc:AlternateContent>
          <mc:Choice Requires="wps">
            <w:drawing>
              <wp:anchor distT="0" distB="0" distL="114300" distR="114300" simplePos="0" relativeHeight="251661312" behindDoc="0" locked="0" layoutInCell="1" allowOverlap="1" wp14:anchorId="30C09D31" wp14:editId="685B2728">
                <wp:simplePos x="0" y="0"/>
                <wp:positionH relativeFrom="column">
                  <wp:posOffset>2821940</wp:posOffset>
                </wp:positionH>
                <wp:positionV relativeFrom="paragraph">
                  <wp:posOffset>955546</wp:posOffset>
                </wp:positionV>
                <wp:extent cx="214630" cy="517466"/>
                <wp:effectExtent l="0" t="0" r="13970" b="16510"/>
                <wp:wrapNone/>
                <wp:docPr id="12" name="Oval 12"/>
                <wp:cNvGraphicFramePr/>
                <a:graphic xmlns:a="http://schemas.openxmlformats.org/drawingml/2006/main">
                  <a:graphicData uri="http://schemas.microsoft.com/office/word/2010/wordprocessingShape">
                    <wps:wsp>
                      <wps:cNvSpPr/>
                      <wps:spPr>
                        <a:xfrm>
                          <a:off x="0" y="0"/>
                          <a:ext cx="214630" cy="51746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2" o:spid="_x0000_s1026" style="position:absolute;margin-left:222.2pt;margin-top:75.25pt;width:16.9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" filled="f" strokecolor="red" strokeweight="2pt"/>
            </w:pict>
          </mc:Fallback>
        </mc:AlternateContent>
      </w:r>
      <w:r w:rsidR="00F23BEF" w:rsidRPr="00F23BEF">
        <w:rPr>
          <w:noProof/>
          <w:lang w:eastAsia="en-AU"/>
        </w:rPr>
        <w:drawing>
          <wp:inline distT="0" distB="0" distL="0" distR="0" wp14:anchorId="0BFA18E1" wp14:editId="14992012">
            <wp:extent cx="5731510" cy="4118724"/>
            <wp:effectExtent l="0" t="0" r="2540" b="0"/>
            <wp:docPr id="6" name="Picture 6"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title="Figure 3: Queensland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Pr="00EA4191" w:rsidRDefault="00275002" w:rsidP="00275002"/>
    <w:p w:rsidR="00275002" w:rsidRPr="00164FB1" w:rsidRDefault="00867506" w:rsidP="00562B19">
      <w:pPr>
        <w:jc w:val="both"/>
      </w:pPr>
      <w:r w:rsidRPr="00164FB1">
        <w:t xml:space="preserve">The red ellipse on </w:t>
      </w:r>
      <w:r w:rsidRPr="00164FB1">
        <w:fldChar w:fldCharType="begin"/>
      </w:r>
      <w:r w:rsidRPr="00164FB1">
        <w:instrText xml:space="preserve"> REF _Ref410383507 \h  \* MERGEFORMAT </w:instrText>
      </w:r>
      <w:r w:rsidRPr="00164FB1">
        <w:fldChar w:fldCharType="separate"/>
      </w:r>
      <w:r w:rsidR="008A4178">
        <w:t xml:space="preserve">Figure </w:t>
      </w:r>
      <w:r w:rsidR="008A4178">
        <w:rPr>
          <w:noProof/>
        </w:rPr>
        <w:t>3</w:t>
      </w:r>
      <w:r w:rsidRPr="00164FB1">
        <w:fldChar w:fldCharType="end"/>
      </w:r>
      <w:r w:rsidRPr="00164FB1">
        <w:t xml:space="preserve"> highlight</w:t>
      </w:r>
      <w:r w:rsidR="00562B19">
        <w:t>s</w:t>
      </w:r>
      <w:r w:rsidRPr="00164FB1">
        <w:t xml:space="preserve"> where rebidding created </w:t>
      </w:r>
      <w:r w:rsidR="00164FB1" w:rsidRPr="00164FB1">
        <w:t xml:space="preserve">a </w:t>
      </w:r>
      <w:r w:rsidRPr="00164FB1">
        <w:t>pric</w:t>
      </w:r>
      <w:r w:rsidR="00164FB1" w:rsidRPr="00164FB1">
        <w:t>e</w:t>
      </w:r>
      <w:r w:rsidRPr="00164FB1">
        <w:t xml:space="preserve"> event in Queensland</w:t>
      </w:r>
      <w:r w:rsidR="00562B19">
        <w:t>,</w:t>
      </w:r>
      <w:r w:rsidRPr="00164FB1">
        <w:t xml:space="preserve"> discussed later in this report.</w:t>
      </w:r>
    </w:p>
    <w:p w:rsidR="00275002" w:rsidRDefault="00275002" w:rsidP="000E2946">
      <w:pPr>
        <w:pStyle w:val="Caption"/>
      </w:pPr>
      <w:r>
        <w:lastRenderedPageBreak/>
        <w:t xml:space="preserve">Figure </w:t>
      </w:r>
      <w:r w:rsidR="008A4178">
        <w:fldChar w:fldCharType="begin"/>
      </w:r>
      <w:r w:rsidR="008A4178">
        <w:instrText xml:space="preserve"> SEQ Figure \* ARABIC </w:instrText>
      </w:r>
      <w:r w:rsidR="008A4178">
        <w:fldChar w:fldCharType="separate"/>
      </w:r>
      <w:r w:rsidR="008A4178">
        <w:rPr>
          <w:noProof/>
        </w:rPr>
        <w:t>4</w:t>
      </w:r>
      <w:r w:rsidR="008A4178">
        <w:rPr>
          <w:noProof/>
        </w:rPr>
        <w:fldChar w:fldCharType="end"/>
      </w:r>
      <w:r>
        <w:t xml:space="preserve">: </w:t>
      </w:r>
      <w:r w:rsidRPr="00CC5077">
        <w:t>New South Wales generation and bidding patterns</w:t>
      </w:r>
    </w:p>
    <w:p w:rsidR="00275002" w:rsidRPr="0031019A" w:rsidRDefault="00F23BEF" w:rsidP="00275002">
      <w:r w:rsidRPr="00F23BEF">
        <w:rPr>
          <w:noProof/>
          <w:lang w:eastAsia="en-AU"/>
        </w:rPr>
        <w:drawing>
          <wp:inline distT="0" distB="0" distL="0" distR="0" wp14:anchorId="51700C15" wp14:editId="528C6EA6">
            <wp:extent cx="5731510" cy="4125116"/>
            <wp:effectExtent l="0" t="0" r="2540" b="8890"/>
            <wp:docPr id="7" name="Picture 7"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r w:rsidR="008A4178">
        <w:fldChar w:fldCharType="begin"/>
      </w:r>
      <w:r w:rsidR="008A4178">
        <w:instrText xml:space="preserve"> SEQ Figure \* ARABIC </w:instrText>
      </w:r>
      <w:r w:rsidR="008A4178">
        <w:fldChar w:fldCharType="separate"/>
      </w:r>
      <w:r w:rsidR="008A4178">
        <w:rPr>
          <w:noProof/>
        </w:rPr>
        <w:t>5</w:t>
      </w:r>
      <w:r w:rsidR="008A4178">
        <w:rPr>
          <w:noProof/>
        </w:rPr>
        <w:fldChar w:fldCharType="end"/>
      </w:r>
      <w:r w:rsidRPr="0003635A">
        <w:t>: Victoria generation and bidding patterns</w:t>
      </w:r>
    </w:p>
    <w:p w:rsidR="00275002" w:rsidRPr="0031019A" w:rsidRDefault="00F23BEF" w:rsidP="00275002">
      <w:r w:rsidRPr="00F23BEF">
        <w:rPr>
          <w:noProof/>
          <w:lang w:eastAsia="en-AU"/>
        </w:rPr>
        <w:drawing>
          <wp:inline distT="0" distB="0" distL="0" distR="0" wp14:anchorId="707DBB28" wp14:editId="2281DA1B">
            <wp:extent cx="5731510" cy="4118724"/>
            <wp:effectExtent l="0" t="0" r="2540" b="0"/>
            <wp:docPr id="8" name="Picture 8"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title="Figure 5: Victoria generation and bidding patter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4" w:name="_Ref423965683"/>
      <w:r>
        <w:lastRenderedPageBreak/>
        <w:t xml:space="preserve">Figure </w:t>
      </w:r>
      <w:r w:rsidR="008A4178">
        <w:fldChar w:fldCharType="begin"/>
      </w:r>
      <w:r w:rsidR="008A4178">
        <w:instrText xml:space="preserve"> SEQ Figure \* ARABIC </w:instrText>
      </w:r>
      <w:r w:rsidR="008A4178">
        <w:fldChar w:fldCharType="separate"/>
      </w:r>
      <w:r w:rsidR="008A4178">
        <w:rPr>
          <w:noProof/>
        </w:rPr>
        <w:t>6</w:t>
      </w:r>
      <w:r w:rsidR="008A4178">
        <w:rPr>
          <w:noProof/>
        </w:rPr>
        <w:fldChar w:fldCharType="end"/>
      </w:r>
      <w:bookmarkEnd w:id="14"/>
      <w:r>
        <w:t>:</w:t>
      </w:r>
      <w:r w:rsidRPr="00BD00EB">
        <w:t xml:space="preserve"> South Australia generation and bidding patterns</w:t>
      </w:r>
    </w:p>
    <w:p w:rsidR="00275002" w:rsidRDefault="00D92417" w:rsidP="00275002">
      <w:r>
        <w:rPr>
          <w:noProof/>
          <w:lang w:eastAsia="en-AU"/>
        </w:rPr>
        <mc:AlternateContent>
          <mc:Choice Requires="wps">
            <w:drawing>
              <wp:anchor distT="0" distB="0" distL="114300" distR="114300" simplePos="0" relativeHeight="251669504" behindDoc="0" locked="0" layoutInCell="1" allowOverlap="1" wp14:anchorId="6A98F8ED" wp14:editId="09928201">
                <wp:simplePos x="0" y="0"/>
                <wp:positionH relativeFrom="column">
                  <wp:posOffset>2542147</wp:posOffset>
                </wp:positionH>
                <wp:positionV relativeFrom="paragraph">
                  <wp:posOffset>1179195</wp:posOffset>
                </wp:positionV>
                <wp:extent cx="116282" cy="554982"/>
                <wp:effectExtent l="0" t="0" r="17145" b="17145"/>
                <wp:wrapNone/>
                <wp:docPr id="17" name="Oval 17"/>
                <wp:cNvGraphicFramePr/>
                <a:graphic xmlns:a="http://schemas.openxmlformats.org/drawingml/2006/main">
                  <a:graphicData uri="http://schemas.microsoft.com/office/word/2010/wordprocessingShape">
                    <wps:wsp>
                      <wps:cNvSpPr/>
                      <wps:spPr>
                        <a:xfrm>
                          <a:off x="0" y="0"/>
                          <a:ext cx="116282" cy="55498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00.15pt;margin-top:92.85pt;width:9.15pt;height:4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" filled="f" strokecolor="red" strokeweight="2pt"/>
            </w:pict>
          </mc:Fallback>
        </mc:AlternateContent>
      </w:r>
      <w:r>
        <w:rPr>
          <w:noProof/>
          <w:lang w:eastAsia="en-AU"/>
        </w:rPr>
        <mc:AlternateContent>
          <mc:Choice Requires="wps">
            <w:drawing>
              <wp:anchor distT="0" distB="0" distL="114300" distR="114300" simplePos="0" relativeHeight="251667456" behindDoc="0" locked="0" layoutInCell="1" allowOverlap="1" wp14:anchorId="54921509" wp14:editId="033DEEB6">
                <wp:simplePos x="0" y="0"/>
                <wp:positionH relativeFrom="column">
                  <wp:posOffset>2272786</wp:posOffset>
                </wp:positionH>
                <wp:positionV relativeFrom="paragraph">
                  <wp:posOffset>1243168</wp:posOffset>
                </wp:positionV>
                <wp:extent cx="168984" cy="637687"/>
                <wp:effectExtent l="0" t="0" r="21590" b="10160"/>
                <wp:wrapNone/>
                <wp:docPr id="16" name="Oval 16"/>
                <wp:cNvGraphicFramePr/>
                <a:graphic xmlns:a="http://schemas.openxmlformats.org/drawingml/2006/main">
                  <a:graphicData uri="http://schemas.microsoft.com/office/word/2010/wordprocessingShape">
                    <wps:wsp>
                      <wps:cNvSpPr/>
                      <wps:spPr>
                        <a:xfrm>
                          <a:off x="0" y="0"/>
                          <a:ext cx="168984" cy="63768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178.95pt;margin-top:97.9pt;width:13.3pt;height:5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" filled="f" strokecolor="red" strokeweight="2pt"/>
            </w:pict>
          </mc:Fallback>
        </mc:AlternateContent>
      </w:r>
      <w:r w:rsidR="00D86C47">
        <w:rPr>
          <w:noProof/>
          <w:lang w:eastAsia="en-AU"/>
        </w:rPr>
        <mc:AlternateContent>
          <mc:Choice Requires="wps">
            <w:drawing>
              <wp:anchor distT="0" distB="0" distL="114300" distR="114300" simplePos="0" relativeHeight="251665408" behindDoc="0" locked="0" layoutInCell="1" allowOverlap="1" wp14:anchorId="79FB79EE" wp14:editId="3F819A0C">
                <wp:simplePos x="0" y="0"/>
                <wp:positionH relativeFrom="column">
                  <wp:posOffset>1574763</wp:posOffset>
                </wp:positionH>
                <wp:positionV relativeFrom="paragraph">
                  <wp:posOffset>1179195</wp:posOffset>
                </wp:positionV>
                <wp:extent cx="179709" cy="702196"/>
                <wp:effectExtent l="0" t="0" r="10795" b="22225"/>
                <wp:wrapNone/>
                <wp:docPr id="15" name="Oval 15"/>
                <wp:cNvGraphicFramePr/>
                <a:graphic xmlns:a="http://schemas.openxmlformats.org/drawingml/2006/main">
                  <a:graphicData uri="http://schemas.microsoft.com/office/word/2010/wordprocessingShape">
                    <wps:wsp>
                      <wps:cNvSpPr/>
                      <wps:spPr>
                        <a:xfrm>
                          <a:off x="0" y="0"/>
                          <a:ext cx="179709" cy="70219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124pt;margin-top:92.85pt;width:14.15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" filled="f" strokecolor="red" strokeweight="2pt"/>
            </w:pict>
          </mc:Fallback>
        </mc:AlternateContent>
      </w:r>
      <w:r w:rsidR="00A9463C">
        <w:rPr>
          <w:noProof/>
          <w:lang w:eastAsia="en-AU"/>
        </w:rPr>
        <mc:AlternateContent>
          <mc:Choice Requires="wps">
            <w:drawing>
              <wp:anchor distT="0" distB="0" distL="114300" distR="114300" simplePos="0" relativeHeight="251663360" behindDoc="0" locked="0" layoutInCell="1" allowOverlap="1" wp14:anchorId="69FF8F0E" wp14:editId="0C1FFDFB">
                <wp:simplePos x="0" y="0"/>
                <wp:positionH relativeFrom="column">
                  <wp:posOffset>5285549</wp:posOffset>
                </wp:positionH>
                <wp:positionV relativeFrom="paragraph">
                  <wp:posOffset>1179742</wp:posOffset>
                </wp:positionV>
                <wp:extent cx="214686" cy="739977"/>
                <wp:effectExtent l="0" t="0" r="13970" b="22225"/>
                <wp:wrapNone/>
                <wp:docPr id="14" name="Oval 14"/>
                <wp:cNvGraphicFramePr/>
                <a:graphic xmlns:a="http://schemas.openxmlformats.org/drawingml/2006/main">
                  <a:graphicData uri="http://schemas.microsoft.com/office/word/2010/wordprocessingShape">
                    <wps:wsp>
                      <wps:cNvSpPr/>
                      <wps:spPr>
                        <a:xfrm>
                          <a:off x="0" y="0"/>
                          <a:ext cx="214686" cy="73997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 o:spid="_x0000_s1026" style="position:absolute;margin-left:416.2pt;margin-top:92.9pt;width:16.9pt;height:5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" filled="f" strokecolor="red" strokeweight="2pt"/>
            </w:pict>
          </mc:Fallback>
        </mc:AlternateContent>
      </w:r>
      <w:r w:rsidR="00C14D61" w:rsidRPr="00C14D61">
        <w:rPr>
          <w:noProof/>
          <w:lang w:eastAsia="en-AU"/>
        </w:rPr>
        <w:drawing>
          <wp:inline distT="0" distB="0" distL="0" distR="0" wp14:anchorId="425F3D42" wp14:editId="5ABDD3DC">
            <wp:extent cx="5731510" cy="4118724"/>
            <wp:effectExtent l="0" t="0" r="2540" b="0"/>
            <wp:docPr id="9" name="Picture 9"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D92417" w:rsidRPr="00164FB1" w:rsidRDefault="00D92417" w:rsidP="00562B19">
      <w:pPr>
        <w:jc w:val="both"/>
      </w:pPr>
      <w:bookmarkStart w:id="15" w:name="_Ref410383520"/>
      <w:r w:rsidRPr="00164FB1">
        <w:t>The red ellipse</w:t>
      </w:r>
      <w:r w:rsidR="00562B19">
        <w:t>s</w:t>
      </w:r>
      <w:r w:rsidRPr="00164FB1">
        <w:t xml:space="preserve"> on </w:t>
      </w:r>
      <w:r w:rsidR="00A52ED3">
        <w:fldChar w:fldCharType="begin"/>
      </w:r>
      <w:r w:rsidR="00A52ED3">
        <w:instrText xml:space="preserve"> REF _Ref423965683 \h </w:instrText>
      </w:r>
      <w:r w:rsidR="00562B19">
        <w:instrText xml:space="preserve"> \* MERGEFORMAT </w:instrText>
      </w:r>
      <w:r w:rsidR="00A52ED3">
        <w:fldChar w:fldCharType="separate"/>
      </w:r>
      <w:r w:rsidR="008A4178">
        <w:t xml:space="preserve">Figure </w:t>
      </w:r>
      <w:r w:rsidR="008A4178">
        <w:rPr>
          <w:noProof/>
        </w:rPr>
        <w:t>6</w:t>
      </w:r>
      <w:r w:rsidR="00A52ED3">
        <w:fldChar w:fldCharType="end"/>
      </w:r>
      <w:r w:rsidR="00A52ED3">
        <w:t xml:space="preserve"> </w:t>
      </w:r>
      <w:r w:rsidRPr="00164FB1">
        <w:t xml:space="preserve">highlight where rebidding created a price event in </w:t>
      </w:r>
      <w:r w:rsidR="00CC0086">
        <w:t>South</w:t>
      </w:r>
      <w:r w:rsidR="00562B19">
        <w:t> </w:t>
      </w:r>
      <w:r w:rsidR="00CC0086">
        <w:t>Australia</w:t>
      </w:r>
      <w:r w:rsidR="00562B19">
        <w:t>,</w:t>
      </w:r>
      <w:r w:rsidRPr="00164FB1">
        <w:t xml:space="preserve"> </w:t>
      </w:r>
      <w:r w:rsidR="00562B19">
        <w:t>a</w:t>
      </w:r>
      <w:r w:rsidRPr="00164FB1">
        <w:t>s discussed later in this report.</w:t>
      </w:r>
    </w:p>
    <w:p w:rsidR="00275002" w:rsidRPr="00D92417" w:rsidRDefault="00275002" w:rsidP="000E2946">
      <w:pPr>
        <w:pStyle w:val="Caption"/>
      </w:pPr>
      <w:bookmarkStart w:id="16" w:name="_Ref427676679"/>
      <w:r w:rsidRPr="00D92417">
        <w:lastRenderedPageBreak/>
        <w:t xml:space="preserve">Figure </w:t>
      </w:r>
      <w:r w:rsidR="008A4178">
        <w:fldChar w:fldCharType="begin"/>
      </w:r>
      <w:r w:rsidR="008A4178">
        <w:instrText xml:space="preserve"> SEQ Figure \* ARABIC </w:instrText>
      </w:r>
      <w:r w:rsidR="008A4178">
        <w:fldChar w:fldCharType="separate"/>
      </w:r>
      <w:r w:rsidR="008A4178">
        <w:rPr>
          <w:noProof/>
        </w:rPr>
        <w:t>7</w:t>
      </w:r>
      <w:r w:rsidR="008A4178">
        <w:rPr>
          <w:noProof/>
        </w:rPr>
        <w:fldChar w:fldCharType="end"/>
      </w:r>
      <w:bookmarkEnd w:id="15"/>
      <w:bookmarkEnd w:id="16"/>
      <w:r w:rsidRPr="00D92417">
        <w:t>: Tasmania generation and bidding patterns</w:t>
      </w:r>
    </w:p>
    <w:p w:rsidR="00275002" w:rsidRDefault="00C14D61" w:rsidP="00275002">
      <w:r w:rsidRPr="00C14D61">
        <w:rPr>
          <w:noProof/>
          <w:lang w:eastAsia="en-AU"/>
        </w:rPr>
        <w:drawing>
          <wp:inline distT="0" distB="0" distL="0" distR="0" wp14:anchorId="3CA9D1AA" wp14:editId="59DD459E">
            <wp:extent cx="5731510" cy="4118724"/>
            <wp:effectExtent l="0" t="0" r="2540" b="0"/>
            <wp:docPr id="10" name="Picture 1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7" w:name="_Ref410383413"/>
      <w:r w:rsidRPr="00857917">
        <w:t>The total cost of FCAS on the mainland for the</w:t>
      </w:r>
      <w:r w:rsidR="005F7247">
        <w:t xml:space="preserve"> week was $</w:t>
      </w:r>
      <w:r w:rsidR="00C14D61">
        <w:t>273</w:t>
      </w:r>
      <w:r w:rsidR="0079277A">
        <w:t> </w:t>
      </w:r>
      <w:r w:rsidR="00C14D61">
        <w:t>5</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C14D61">
        <w:t>119</w:t>
      </w:r>
      <w:r w:rsidR="0079277A">
        <w:t> </w:t>
      </w:r>
      <w:r w:rsidR="00ED6E24">
        <w:t>5</w:t>
      </w:r>
      <w:r w:rsidR="00613DEC">
        <w:t xml:space="preserve">00 or </w:t>
      </w:r>
      <w:r w:rsidR="00C14D61">
        <w:t>around 2</w:t>
      </w:r>
      <w:r w:rsidR="00CB695E">
        <w:t xml:space="preserve"> </w:t>
      </w:r>
      <w:r w:rsidRPr="00857917">
        <w:t>per cent of energy turnover in Tasmania.</w:t>
      </w:r>
    </w:p>
    <w:p w:rsidR="00F3590E" w:rsidRDefault="00F3590E" w:rsidP="00F3590E">
      <w:pPr>
        <w:jc w:val="both"/>
        <w:rPr>
          <w:rFonts w:cs="Arial"/>
        </w:rPr>
      </w:pPr>
      <w:r>
        <w:lastRenderedPageBreak/>
        <w:fldChar w:fldCharType="begin"/>
      </w:r>
      <w:r>
        <w:instrText xml:space="preserve"> REF _Ref418082853 \h </w:instrText>
      </w:r>
      <w:r>
        <w:fldChar w:fldCharType="separate"/>
      </w:r>
      <w:r w:rsidR="008A4178">
        <w:t xml:space="preserve">Figure </w:t>
      </w:r>
      <w:r w:rsidR="008A4178">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8" w:name="_Ref418082853"/>
      <w:r>
        <w:t xml:space="preserve">Figure </w:t>
      </w:r>
      <w:r w:rsidR="008A4178">
        <w:fldChar w:fldCharType="begin"/>
      </w:r>
      <w:r w:rsidR="008A4178">
        <w:instrText xml:space="preserve"> SEQ Figure \* ARABIC </w:instrText>
      </w:r>
      <w:r w:rsidR="008A4178">
        <w:fldChar w:fldCharType="separate"/>
      </w:r>
      <w:r w:rsidR="008A4178">
        <w:rPr>
          <w:noProof/>
        </w:rPr>
        <w:t>8</w:t>
      </w:r>
      <w:r w:rsidR="008A4178">
        <w:rPr>
          <w:noProof/>
        </w:rPr>
        <w:fldChar w:fldCharType="end"/>
      </w:r>
      <w:bookmarkEnd w:id="17"/>
      <w:bookmarkEnd w:id="18"/>
      <w:r w:rsidRPr="007707C6">
        <w:t>: Daily frequency control ancillary service cost</w:t>
      </w:r>
    </w:p>
    <w:p w:rsidR="00C14D61" w:rsidRPr="00C14D61" w:rsidRDefault="00C14D61" w:rsidP="00C14D61">
      <w:r w:rsidRPr="00C14D61">
        <w:rPr>
          <w:noProof/>
          <w:lang w:eastAsia="en-AU"/>
        </w:rPr>
        <w:drawing>
          <wp:inline distT="0" distB="0" distL="0" distR="0" wp14:anchorId="18C49697" wp14:editId="48D1F0AD">
            <wp:extent cx="5731510" cy="2894051"/>
            <wp:effectExtent l="0" t="0" r="2540" b="1905"/>
            <wp:docPr id="11" name="Picture 11"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p w:rsidR="00BA1F27" w:rsidRPr="00BA1F27" w:rsidRDefault="00BA1F27" w:rsidP="00BA1F27"/>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5F7247"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9335AE" w:rsidRPr="00002B2F" w:rsidRDefault="009335AE" w:rsidP="009335AE">
      <w:pPr>
        <w:pStyle w:val="AERHeading3"/>
      </w:pPr>
      <w:r>
        <w:t>Queensland</w:t>
      </w:r>
      <w:r w:rsidRPr="00002B2F">
        <w:t xml:space="preserve"> </w:t>
      </w:r>
    </w:p>
    <w:p w:rsidR="009335AE" w:rsidRDefault="009335AE" w:rsidP="009335AE">
      <w:pPr>
        <w:pStyle w:val="AERbodytext"/>
      </w:pPr>
      <w:r>
        <w:t>There was occasion where the spot price in Queensland was greater than three times the Queens</w:t>
      </w:r>
      <w:r w:rsidR="00C14D61">
        <w:t>land weekly average price of $4</w:t>
      </w:r>
      <w:bookmarkStart w:id="19" w:name="_GoBack"/>
      <w:bookmarkEnd w:id="19"/>
      <w:r w:rsidR="00C14D61">
        <w:t>5</w:t>
      </w:r>
      <w:r>
        <w:t>/MWh and above $250/MWh.</w:t>
      </w:r>
    </w:p>
    <w:p w:rsidR="009335AE" w:rsidRDefault="00FD5316" w:rsidP="009335AE">
      <w:pPr>
        <w:pStyle w:val="AERHeading3"/>
      </w:pPr>
      <w:r>
        <w:t>Wednesday</w:t>
      </w:r>
      <w:r w:rsidR="009335AE">
        <w:t xml:space="preserve">, </w:t>
      </w:r>
      <w:r w:rsidR="00C14D61">
        <w:t>29</w:t>
      </w:r>
      <w:r w:rsidR="009335AE">
        <w:t xml:space="preserve"> </w:t>
      </w:r>
      <w:r w:rsidR="00C14D61">
        <w:t>July</w:t>
      </w:r>
      <w:r w:rsidR="009335AE">
        <w:t xml:space="preserve"> </w:t>
      </w:r>
    </w:p>
    <w:p w:rsidR="009335AE" w:rsidRPr="005D2FBD" w:rsidRDefault="009335AE" w:rsidP="009335AE">
      <w:pPr>
        <w:pStyle w:val="Caption"/>
      </w:pPr>
      <w:r>
        <w:t xml:space="preserve">Table </w:t>
      </w:r>
      <w:r w:rsidR="008A4178">
        <w:fldChar w:fldCharType="begin"/>
      </w:r>
      <w:r w:rsidR="008A4178">
        <w:instrText xml:space="preserve"> SEQ Table \* ARABIC </w:instrText>
      </w:r>
      <w:r w:rsidR="008A4178">
        <w:fldChar w:fldCharType="separate"/>
      </w:r>
      <w:r w:rsidR="008A4178">
        <w:rPr>
          <w:noProof/>
        </w:rPr>
        <w:t>3</w:t>
      </w:r>
      <w:r w:rsidR="008A4178">
        <w:rPr>
          <w:noProof/>
        </w:rPr>
        <w:fldChar w:fldCharType="end"/>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9335AE" w:rsidRPr="00405CDE" w:rsidTr="009335AE">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9335AE" w:rsidRPr="00DC24BF" w:rsidRDefault="009335AE" w:rsidP="002D0303">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9335AE" w:rsidRPr="00DC24BF" w:rsidRDefault="009335AE" w:rsidP="002D0303">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9335AE" w:rsidRPr="00DC24BF" w:rsidRDefault="009335AE" w:rsidP="002D0303">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9335AE" w:rsidRPr="00DC24BF" w:rsidRDefault="009335AE" w:rsidP="002D0303">
            <w:pPr>
              <w:pStyle w:val="TableHeading"/>
              <w:jc w:val="center"/>
              <w:rPr>
                <w:rFonts w:cs="Arial"/>
                <w:sz w:val="20"/>
                <w:szCs w:val="20"/>
              </w:rPr>
            </w:pPr>
            <w:r w:rsidRPr="00DC24BF">
              <w:rPr>
                <w:rFonts w:cs="Arial"/>
                <w:sz w:val="20"/>
                <w:szCs w:val="20"/>
              </w:rPr>
              <w:t>Availability (MW)</w:t>
            </w:r>
          </w:p>
        </w:tc>
      </w:tr>
      <w:tr w:rsidR="009335AE" w:rsidRPr="00405CDE" w:rsidTr="009335AE">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335AE" w:rsidRPr="00DC24BF" w:rsidRDefault="009335AE" w:rsidP="002D0303">
            <w:pPr>
              <w:pStyle w:val="tableheadingline2"/>
              <w:rPr>
                <w:rFonts w:cs="Arial"/>
                <w:sz w:val="20"/>
                <w:szCs w:val="20"/>
              </w:rPr>
            </w:pPr>
            <w:r w:rsidRPr="00DC24BF">
              <w:rPr>
                <w:rFonts w:cs="Arial"/>
                <w:sz w:val="20"/>
                <w:szCs w:val="20"/>
              </w:rPr>
              <w:t>12 hr forecast</w:t>
            </w:r>
          </w:p>
        </w:tc>
      </w:tr>
      <w:tr w:rsidR="009335AE" w:rsidRPr="00405CDE" w:rsidTr="009335AE">
        <w:trPr>
          <w:trHeight w:val="510"/>
        </w:trPr>
        <w:tc>
          <w:tcPr>
            <w:tcW w:w="506" w:type="pct"/>
            <w:tcBorders>
              <w:top w:val="nil"/>
              <w:bottom w:val="nil"/>
            </w:tcBorders>
            <w:vAlign w:val="center"/>
          </w:tcPr>
          <w:p w:rsidR="009335AE" w:rsidRPr="00627B2D" w:rsidRDefault="00C14D61" w:rsidP="009335AE">
            <w:pPr>
              <w:pStyle w:val="tablenormal0"/>
              <w:jc w:val="center"/>
              <w:rPr>
                <w:rFonts w:asciiTheme="minorHAnsi" w:hAnsiTheme="minorHAnsi" w:cstheme="minorHAnsi"/>
                <w:szCs w:val="18"/>
              </w:rPr>
            </w:pPr>
            <w:r>
              <w:rPr>
                <w:rFonts w:asciiTheme="minorHAnsi" w:hAnsiTheme="minorHAnsi" w:cstheme="minorHAnsi"/>
                <w:bCs/>
                <w:szCs w:val="18"/>
              </w:rPr>
              <w:t>7 a</w:t>
            </w:r>
            <w:r w:rsidR="009335AE" w:rsidRPr="00627B2D">
              <w:rPr>
                <w:rFonts w:asciiTheme="minorHAnsi" w:hAnsiTheme="minorHAnsi" w:cstheme="minorHAnsi"/>
                <w:bCs/>
                <w:szCs w:val="18"/>
              </w:rPr>
              <w:t>m</w:t>
            </w:r>
          </w:p>
        </w:tc>
        <w:tc>
          <w:tcPr>
            <w:tcW w:w="620"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2352</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3</w:t>
            </w:r>
            <w:r w:rsidR="005D2889">
              <w:rPr>
                <w:rFonts w:ascii="Arial" w:eastAsiaTheme="minorHAnsi" w:hAnsi="Arial" w:cs="Arial"/>
                <w:sz w:val="18"/>
                <w:szCs w:val="18"/>
              </w:rPr>
              <w:t>6</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3</w:t>
            </w:r>
            <w:r w:rsidR="005D2889">
              <w:rPr>
                <w:rFonts w:ascii="Arial" w:eastAsiaTheme="minorHAnsi" w:hAnsi="Arial" w:cs="Arial"/>
                <w:sz w:val="18"/>
                <w:szCs w:val="18"/>
              </w:rPr>
              <w:t>8</w:t>
            </w:r>
          </w:p>
        </w:tc>
        <w:tc>
          <w:tcPr>
            <w:tcW w:w="418"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6506</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6346</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6383</w:t>
            </w:r>
          </w:p>
        </w:tc>
        <w:tc>
          <w:tcPr>
            <w:tcW w:w="443"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9922</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9892</w:t>
            </w:r>
          </w:p>
        </w:tc>
        <w:tc>
          <w:tcPr>
            <w:tcW w:w="502" w:type="pct"/>
            <w:tcBorders>
              <w:top w:val="nil"/>
              <w:bottom w:val="nil"/>
            </w:tcBorders>
            <w:vAlign w:val="center"/>
          </w:tcPr>
          <w:p w:rsidR="009335AE" w:rsidRPr="009335AE" w:rsidRDefault="00C14D61">
            <w:pPr>
              <w:pStyle w:val="NormalWeb"/>
              <w:jc w:val="center"/>
              <w:rPr>
                <w:rFonts w:ascii="Arial" w:eastAsiaTheme="minorHAnsi" w:hAnsi="Arial" w:cs="Arial"/>
                <w:sz w:val="18"/>
                <w:szCs w:val="18"/>
              </w:rPr>
            </w:pPr>
            <w:r>
              <w:rPr>
                <w:rFonts w:ascii="Arial" w:eastAsiaTheme="minorHAnsi" w:hAnsi="Arial" w:cs="Arial"/>
                <w:sz w:val="18"/>
                <w:szCs w:val="18"/>
              </w:rPr>
              <w:t>9892</w:t>
            </w:r>
          </w:p>
        </w:tc>
      </w:tr>
    </w:tbl>
    <w:p w:rsidR="00503F43" w:rsidRDefault="0049483E" w:rsidP="00562B19">
      <w:pPr>
        <w:pStyle w:val="AERHeading3"/>
        <w:jc w:val="both"/>
        <w:rPr>
          <w:rFonts w:cs="Arial"/>
          <w:b w:val="0"/>
          <w:bCs w:val="0"/>
          <w:color w:val="auto"/>
          <w:sz w:val="22"/>
          <w:szCs w:val="22"/>
        </w:rPr>
      </w:pPr>
      <w:r>
        <w:rPr>
          <w:rFonts w:cs="Arial"/>
          <w:b w:val="0"/>
          <w:bCs w:val="0"/>
          <w:color w:val="auto"/>
          <w:sz w:val="22"/>
          <w:szCs w:val="22"/>
        </w:rPr>
        <w:t xml:space="preserve">Demand </w:t>
      </w:r>
      <w:r w:rsidR="00562B19">
        <w:rPr>
          <w:rFonts w:cs="Arial"/>
          <w:b w:val="0"/>
          <w:bCs w:val="0"/>
          <w:color w:val="auto"/>
          <w:sz w:val="22"/>
          <w:szCs w:val="22"/>
        </w:rPr>
        <w:t>and available capacity were</w:t>
      </w:r>
      <w:r>
        <w:rPr>
          <w:rFonts w:cs="Arial"/>
          <w:b w:val="0"/>
          <w:bCs w:val="0"/>
          <w:color w:val="auto"/>
          <w:sz w:val="22"/>
          <w:szCs w:val="22"/>
        </w:rPr>
        <w:t xml:space="preserve"> 160</w:t>
      </w:r>
      <w:r w:rsidR="00607E41">
        <w:rPr>
          <w:rFonts w:cs="Arial"/>
          <w:b w:val="0"/>
          <w:bCs w:val="0"/>
          <w:color w:val="auto"/>
          <w:sz w:val="22"/>
          <w:szCs w:val="22"/>
        </w:rPr>
        <w:t> </w:t>
      </w:r>
      <w:r>
        <w:rPr>
          <w:rFonts w:cs="Arial"/>
          <w:b w:val="0"/>
          <w:bCs w:val="0"/>
          <w:color w:val="auto"/>
          <w:sz w:val="22"/>
          <w:szCs w:val="22"/>
        </w:rPr>
        <w:t xml:space="preserve">MW </w:t>
      </w:r>
      <w:r w:rsidR="00562B19">
        <w:rPr>
          <w:rFonts w:cs="Arial"/>
          <w:b w:val="0"/>
          <w:bCs w:val="0"/>
          <w:color w:val="auto"/>
          <w:sz w:val="22"/>
          <w:szCs w:val="22"/>
        </w:rPr>
        <w:t>and</w:t>
      </w:r>
      <w:r w:rsidR="00B22894">
        <w:rPr>
          <w:rFonts w:cs="Arial"/>
          <w:b w:val="0"/>
          <w:bCs w:val="0"/>
          <w:color w:val="auto"/>
          <w:sz w:val="22"/>
          <w:szCs w:val="22"/>
        </w:rPr>
        <w:t xml:space="preserve"> </w:t>
      </w:r>
      <w:r w:rsidR="00D92417">
        <w:rPr>
          <w:rFonts w:cs="Arial"/>
          <w:b w:val="0"/>
          <w:bCs w:val="0"/>
          <w:color w:val="auto"/>
          <w:sz w:val="22"/>
          <w:szCs w:val="22"/>
        </w:rPr>
        <w:t>30</w:t>
      </w:r>
      <w:r w:rsidR="00607E41">
        <w:rPr>
          <w:rFonts w:cs="Arial"/>
          <w:b w:val="0"/>
          <w:bCs w:val="0"/>
          <w:color w:val="auto"/>
          <w:sz w:val="22"/>
          <w:szCs w:val="22"/>
        </w:rPr>
        <w:t> </w:t>
      </w:r>
      <w:r w:rsidR="00D92417">
        <w:rPr>
          <w:rFonts w:cs="Arial"/>
          <w:b w:val="0"/>
          <w:bCs w:val="0"/>
          <w:color w:val="auto"/>
          <w:sz w:val="22"/>
          <w:szCs w:val="22"/>
        </w:rPr>
        <w:t xml:space="preserve">MW higher </w:t>
      </w:r>
      <w:r w:rsidR="00B22894">
        <w:rPr>
          <w:rFonts w:cs="Arial"/>
          <w:b w:val="0"/>
          <w:bCs w:val="0"/>
          <w:color w:val="auto"/>
          <w:sz w:val="22"/>
          <w:szCs w:val="22"/>
        </w:rPr>
        <w:t>than</w:t>
      </w:r>
      <w:r w:rsidR="00D92417">
        <w:rPr>
          <w:rFonts w:cs="Arial"/>
          <w:b w:val="0"/>
          <w:bCs w:val="0"/>
          <w:color w:val="auto"/>
          <w:sz w:val="22"/>
          <w:szCs w:val="22"/>
        </w:rPr>
        <w:t xml:space="preserve"> </w:t>
      </w:r>
      <w:r>
        <w:rPr>
          <w:rFonts w:cs="Arial"/>
          <w:b w:val="0"/>
          <w:bCs w:val="0"/>
          <w:color w:val="auto"/>
          <w:sz w:val="22"/>
          <w:szCs w:val="22"/>
        </w:rPr>
        <w:t>forecast four hours ahead</w:t>
      </w:r>
      <w:r w:rsidR="00562B19">
        <w:rPr>
          <w:rFonts w:cs="Arial"/>
          <w:b w:val="0"/>
          <w:bCs w:val="0"/>
          <w:color w:val="auto"/>
          <w:sz w:val="22"/>
          <w:szCs w:val="22"/>
        </w:rPr>
        <w:t>, respectively</w:t>
      </w:r>
      <w:r>
        <w:rPr>
          <w:rFonts w:cs="Arial"/>
          <w:b w:val="0"/>
          <w:bCs w:val="0"/>
          <w:color w:val="auto"/>
          <w:sz w:val="22"/>
          <w:szCs w:val="22"/>
        </w:rPr>
        <w:t xml:space="preserve">. </w:t>
      </w:r>
    </w:p>
    <w:p w:rsidR="00165027" w:rsidRDefault="00165027">
      <w:pPr>
        <w:spacing w:line="240" w:lineRule="auto"/>
        <w:rPr>
          <w:b/>
          <w:bCs/>
          <w:color w:val="2272A3" w:themeColor="accent4" w:themeShade="80"/>
          <w:sz w:val="24"/>
          <w:szCs w:val="18"/>
        </w:rPr>
      </w:pPr>
      <w:r>
        <w:rPr>
          <w:b/>
          <w:bCs/>
          <w:color w:val="2272A3" w:themeColor="accent4" w:themeShade="80"/>
          <w:sz w:val="24"/>
          <w:szCs w:val="18"/>
        </w:rPr>
        <w:br w:type="page"/>
      </w:r>
    </w:p>
    <w:p w:rsidR="0049483E" w:rsidRPr="0049483E" w:rsidRDefault="0049483E" w:rsidP="0049483E">
      <w:pPr>
        <w:keepNext/>
        <w:spacing w:before="240" w:after="120"/>
        <w:rPr>
          <w:b/>
          <w:bCs/>
          <w:color w:val="2272A3" w:themeColor="accent4" w:themeShade="80"/>
          <w:sz w:val="24"/>
          <w:szCs w:val="18"/>
        </w:rPr>
      </w:pPr>
      <w:proofErr w:type="gramStart"/>
      <w:r w:rsidRPr="002D1734">
        <w:rPr>
          <w:b/>
          <w:bCs/>
          <w:color w:val="2272A3" w:themeColor="accent4" w:themeShade="80"/>
          <w:sz w:val="24"/>
          <w:szCs w:val="18"/>
        </w:rPr>
        <w:lastRenderedPageBreak/>
        <w:t xml:space="preserve">Table </w:t>
      </w:r>
      <w:proofErr w:type="gramEnd"/>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8A4178">
        <w:rPr>
          <w:b/>
          <w:bCs/>
          <w:noProof/>
          <w:color w:val="2272A3" w:themeColor="accent4" w:themeShade="80"/>
          <w:sz w:val="24"/>
          <w:szCs w:val="18"/>
        </w:rPr>
        <w:t>4</w:t>
      </w:r>
      <w:r w:rsidRPr="002D1734">
        <w:rPr>
          <w:b/>
          <w:bCs/>
          <w:noProof/>
          <w:color w:val="2272A3" w:themeColor="accent4" w:themeShade="80"/>
          <w:sz w:val="24"/>
          <w:szCs w:val="18"/>
        </w:rPr>
        <w:fldChar w:fldCharType="end"/>
      </w:r>
      <w:proofErr w:type="gramStart"/>
      <w:r>
        <w:rPr>
          <w:b/>
          <w:bCs/>
          <w:color w:val="2272A3" w:themeColor="accent4" w:themeShade="80"/>
          <w:sz w:val="24"/>
          <w:szCs w:val="18"/>
        </w:rPr>
        <w:t>.</w:t>
      </w:r>
      <w:proofErr w:type="gramEnd"/>
      <w:r>
        <w:rPr>
          <w:b/>
          <w:bCs/>
          <w:color w:val="2272A3" w:themeColor="accent4" w:themeShade="80"/>
          <w:sz w:val="24"/>
          <w:szCs w:val="18"/>
        </w:rPr>
        <w:t xml:space="preserve"> Rebids for 7 am </w:t>
      </w:r>
      <w:r w:rsidRPr="002D1734">
        <w:rPr>
          <w:b/>
          <w:bCs/>
          <w:color w:val="2272A3" w:themeColor="accent4" w:themeShade="80"/>
          <w:sz w:val="24"/>
          <w:szCs w:val="18"/>
        </w:rPr>
        <w:t xml:space="preserve"> </w:t>
      </w:r>
    </w:p>
    <w:tbl>
      <w:tblPr>
        <w:tblW w:w="0" w:type="auto"/>
        <w:tblCellMar>
          <w:left w:w="0" w:type="dxa"/>
          <w:right w:w="0" w:type="dxa"/>
        </w:tblCellMar>
        <w:tblLook w:val="04A0" w:firstRow="1" w:lastRow="0" w:firstColumn="1" w:lastColumn="0" w:noHBand="0" w:noVBand="1"/>
      </w:tblPr>
      <w:tblGrid>
        <w:gridCol w:w="892"/>
        <w:gridCol w:w="751"/>
        <w:gridCol w:w="1480"/>
        <w:gridCol w:w="921"/>
        <w:gridCol w:w="989"/>
        <w:gridCol w:w="830"/>
        <w:gridCol w:w="770"/>
        <w:gridCol w:w="2473"/>
      </w:tblGrid>
      <w:tr w:rsidR="00ED06CF" w:rsidRPr="0049483E" w:rsidTr="00ED06CF">
        <w:trPr>
          <w:trHeight w:val="335"/>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ascii="Times New Roman" w:eastAsia="Times New Roman" w:hAnsi="Times New Roman" w:cs="Times New Roman"/>
                <w:sz w:val="2"/>
                <w:szCs w:val="2"/>
                <w:lang w:eastAsia="en-AU"/>
              </w:rPr>
            </w:pPr>
            <w:r w:rsidRPr="0049483E">
              <w:rPr>
                <w:rFonts w:eastAsia="Times New Roman" w:cs="Arial"/>
                <w:color w:val="FFFFFF"/>
                <w:sz w:val="18"/>
                <w:szCs w:val="18"/>
                <w:lang w:eastAsia="en-AU"/>
              </w:rPr>
              <w:t>Submitted</w:t>
            </w:r>
            <w:r w:rsidRPr="0049483E">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ascii="Times New Roman" w:eastAsia="Times New Roman" w:hAnsi="Times New Roman" w:cs="Times New Roman"/>
                <w:sz w:val="2"/>
                <w:szCs w:val="2"/>
                <w:lang w:eastAsia="en-AU"/>
              </w:rPr>
            </w:pPr>
            <w:r w:rsidRPr="0049483E">
              <w:rPr>
                <w:rFonts w:eastAsia="Times New Roman" w:cs="Arial"/>
                <w:color w:val="FFFFFF"/>
                <w:sz w:val="18"/>
                <w:szCs w:val="18"/>
                <w:lang w:eastAsia="en-AU"/>
              </w:rPr>
              <w:t>Time</w:t>
            </w:r>
            <w:r w:rsidRPr="0049483E">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eastAsia="Times New Roman" w:cs="Arial"/>
                <w:color w:val="FFFFFF"/>
                <w:sz w:val="18"/>
                <w:szCs w:val="18"/>
                <w:lang w:eastAsia="en-AU"/>
              </w:rPr>
            </w:pPr>
            <w:r w:rsidRPr="0049483E">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eastAsia="Times New Roman" w:cs="Arial"/>
                <w:color w:val="FFFFFF"/>
                <w:sz w:val="18"/>
                <w:szCs w:val="18"/>
                <w:lang w:eastAsia="en-AU"/>
              </w:rPr>
            </w:pPr>
            <w:r w:rsidRPr="0049483E">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ascii="Times New Roman" w:eastAsia="Times New Roman" w:hAnsi="Times New Roman" w:cs="Times New Roman"/>
                <w:sz w:val="2"/>
                <w:szCs w:val="2"/>
                <w:lang w:eastAsia="en-AU"/>
              </w:rPr>
            </w:pPr>
            <w:r w:rsidRPr="0049483E">
              <w:rPr>
                <w:rFonts w:eastAsia="Times New Roman" w:cs="Arial"/>
                <w:color w:val="FFFFFF"/>
                <w:sz w:val="18"/>
                <w:szCs w:val="18"/>
                <w:lang w:eastAsia="en-AU"/>
              </w:rPr>
              <w:t>Capacity rebid</w:t>
            </w:r>
            <w:r w:rsidRPr="0049483E">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ascii="Times New Roman" w:eastAsia="Times New Roman" w:hAnsi="Times New Roman" w:cs="Times New Roman"/>
                <w:sz w:val="2"/>
                <w:szCs w:val="2"/>
                <w:lang w:eastAsia="en-AU"/>
              </w:rPr>
            </w:pPr>
            <w:r w:rsidRPr="0049483E">
              <w:rPr>
                <w:rFonts w:eastAsia="Times New Roman" w:cs="Arial"/>
                <w:color w:val="FFFFFF"/>
                <w:sz w:val="18"/>
                <w:szCs w:val="18"/>
                <w:lang w:eastAsia="en-AU"/>
              </w:rPr>
              <w:t>Price from</w:t>
            </w:r>
            <w:r w:rsidRPr="0049483E">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ascii="Times New Roman" w:eastAsia="Times New Roman" w:hAnsi="Times New Roman" w:cs="Times New Roman"/>
                <w:sz w:val="2"/>
                <w:szCs w:val="2"/>
                <w:lang w:eastAsia="en-AU"/>
              </w:rPr>
            </w:pPr>
            <w:r w:rsidRPr="0049483E">
              <w:rPr>
                <w:rFonts w:eastAsia="Times New Roman" w:cs="Arial"/>
                <w:color w:val="FFFFFF"/>
                <w:sz w:val="18"/>
                <w:szCs w:val="18"/>
                <w:lang w:eastAsia="en-AU"/>
              </w:rPr>
              <w:t>Price to</w:t>
            </w:r>
            <w:r w:rsidRPr="0049483E">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49483E" w:rsidRPr="0049483E" w:rsidRDefault="0049483E" w:rsidP="0049483E">
            <w:pPr>
              <w:spacing w:before="0" w:line="240" w:lineRule="auto"/>
              <w:jc w:val="center"/>
              <w:textAlignment w:val="top"/>
              <w:rPr>
                <w:rFonts w:eastAsia="Times New Roman" w:cs="Arial"/>
                <w:color w:val="FFFFFF"/>
                <w:sz w:val="18"/>
                <w:szCs w:val="18"/>
                <w:lang w:eastAsia="en-AU"/>
              </w:rPr>
            </w:pPr>
            <w:r w:rsidRPr="0049483E">
              <w:rPr>
                <w:rFonts w:eastAsia="Times New Roman" w:cs="Arial"/>
                <w:color w:val="FFFFFF"/>
                <w:sz w:val="18"/>
                <w:szCs w:val="18"/>
                <w:lang w:eastAsia="en-AU"/>
              </w:rPr>
              <w:t>Rebid reason</w:t>
            </w:r>
          </w:p>
        </w:tc>
      </w:tr>
      <w:tr w:rsidR="00ED06CF" w:rsidRPr="0049483E">
        <w:trPr>
          <w:trHeight w:val="699"/>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35 am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502469"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45 am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Callide Power Trading</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Callide C</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160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13</w:t>
            </w:r>
            <w:r w:rsidR="00B22894">
              <w:rPr>
                <w:rFonts w:eastAsia="Times New Roman" w:cs="Arial"/>
                <w:color w:val="000000"/>
                <w:sz w:val="18"/>
                <w:szCs w:val="18"/>
                <w:lang w:eastAsia="en-AU"/>
              </w:rPr>
              <w:t> </w:t>
            </w:r>
            <w:r w:rsidRPr="0049483E">
              <w:rPr>
                <w:rFonts w:eastAsia="Times New Roman" w:cs="Arial"/>
                <w:color w:val="000000"/>
                <w:sz w:val="18"/>
                <w:szCs w:val="18"/>
                <w:lang w:eastAsia="en-AU"/>
              </w:rPr>
              <w:t>800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502469" w:rsidP="00AF493C">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0634</w:t>
            </w:r>
            <w:r w:rsidR="00AF493C">
              <w:rPr>
                <w:rFonts w:eastAsia="Times New Roman" w:cs="Arial"/>
                <w:color w:val="000000"/>
                <w:sz w:val="18"/>
                <w:szCs w:val="18"/>
                <w:lang w:eastAsia="en-AU"/>
              </w:rPr>
              <w:t>A</w:t>
            </w:r>
            <w:r w:rsidRPr="0049483E">
              <w:rPr>
                <w:rFonts w:eastAsia="Times New Roman" w:cs="Arial"/>
                <w:color w:val="000000"/>
                <w:sz w:val="18"/>
                <w:szCs w:val="18"/>
                <w:lang w:eastAsia="en-AU"/>
              </w:rPr>
              <w:t xml:space="preserve"> change in </w:t>
            </w:r>
            <w:r w:rsidR="00ED06CF" w:rsidRPr="0049483E">
              <w:rPr>
                <w:rFonts w:eastAsia="Times New Roman" w:cs="Arial"/>
                <w:color w:val="000000"/>
                <w:sz w:val="18"/>
                <w:szCs w:val="18"/>
                <w:lang w:eastAsia="en-AU"/>
              </w:rPr>
              <w:t xml:space="preserve">QNI </w:t>
            </w:r>
            <w:proofErr w:type="spellStart"/>
            <w:r w:rsidRPr="0049483E">
              <w:rPr>
                <w:rFonts w:eastAsia="Times New Roman" w:cs="Arial"/>
                <w:color w:val="000000"/>
                <w:sz w:val="18"/>
                <w:szCs w:val="18"/>
                <w:lang w:eastAsia="en-AU"/>
              </w:rPr>
              <w:t>pd</w:t>
            </w:r>
            <w:proofErr w:type="spellEnd"/>
            <w:r w:rsidRPr="0049483E">
              <w:rPr>
                <w:rFonts w:eastAsia="Times New Roman" w:cs="Arial"/>
                <w:color w:val="000000"/>
                <w:sz w:val="18"/>
                <w:szCs w:val="18"/>
                <w:lang w:eastAsia="en-AU"/>
              </w:rPr>
              <w:t xml:space="preserve"> - </w:t>
            </w:r>
            <w:proofErr w:type="spellStart"/>
            <w:r w:rsidRPr="0049483E">
              <w:rPr>
                <w:rFonts w:eastAsia="Times New Roman" w:cs="Arial"/>
                <w:color w:val="000000"/>
                <w:sz w:val="18"/>
                <w:szCs w:val="18"/>
                <w:lang w:eastAsia="en-AU"/>
              </w:rPr>
              <w:t>sl</w:t>
            </w:r>
            <w:proofErr w:type="spellEnd"/>
          </w:p>
        </w:tc>
      </w:tr>
      <w:tr w:rsidR="00ED06CF" w:rsidRPr="0049483E">
        <w:trPr>
          <w:trHeight w:val="699"/>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39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50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Millmerran Energy Trader</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Millmerran</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230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7</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13</w:t>
            </w:r>
            <w:r w:rsidR="00B22894">
              <w:rPr>
                <w:rFonts w:eastAsia="Times New Roman" w:cs="Arial"/>
                <w:color w:val="000000"/>
                <w:sz w:val="18"/>
                <w:szCs w:val="18"/>
                <w:lang w:eastAsia="en-AU"/>
              </w:rPr>
              <w:t> </w:t>
            </w:r>
            <w:r w:rsidRPr="0049483E">
              <w:rPr>
                <w:rFonts w:eastAsia="Times New Roman" w:cs="Arial"/>
                <w:color w:val="000000"/>
                <w:sz w:val="18"/>
                <w:szCs w:val="18"/>
                <w:lang w:eastAsia="en-AU"/>
              </w:rPr>
              <w:t>800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AF493C">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 xml:space="preserve">06:38 </w:t>
            </w:r>
            <w:r w:rsidR="00AF493C">
              <w:rPr>
                <w:rFonts w:eastAsia="Times New Roman" w:cs="Arial"/>
                <w:color w:val="000000"/>
                <w:sz w:val="18"/>
                <w:szCs w:val="18"/>
                <w:lang w:eastAsia="en-AU"/>
              </w:rPr>
              <w:t>A</w:t>
            </w:r>
            <w:r w:rsidRPr="0049483E">
              <w:rPr>
                <w:rFonts w:eastAsia="Times New Roman" w:cs="Arial"/>
                <w:color w:val="000000"/>
                <w:sz w:val="18"/>
                <w:szCs w:val="18"/>
                <w:lang w:eastAsia="en-AU"/>
              </w:rPr>
              <w:t xml:space="preserve"> change in </w:t>
            </w:r>
            <w:r w:rsidR="00ED06CF" w:rsidRPr="0049483E">
              <w:rPr>
                <w:rFonts w:eastAsia="Times New Roman" w:cs="Arial"/>
                <w:color w:val="000000"/>
                <w:sz w:val="18"/>
                <w:szCs w:val="18"/>
                <w:lang w:eastAsia="en-AU"/>
              </w:rPr>
              <w:t xml:space="preserve">QNI </w:t>
            </w:r>
            <w:proofErr w:type="spellStart"/>
            <w:r w:rsidRPr="0049483E">
              <w:rPr>
                <w:rFonts w:eastAsia="Times New Roman" w:cs="Arial"/>
                <w:color w:val="000000"/>
                <w:sz w:val="18"/>
                <w:szCs w:val="18"/>
                <w:lang w:eastAsia="en-AU"/>
              </w:rPr>
              <w:t>pd</w:t>
            </w:r>
            <w:proofErr w:type="spellEnd"/>
            <w:r w:rsidRPr="0049483E">
              <w:rPr>
                <w:rFonts w:eastAsia="Times New Roman" w:cs="Arial"/>
                <w:color w:val="000000"/>
                <w:sz w:val="18"/>
                <w:szCs w:val="18"/>
                <w:lang w:eastAsia="en-AU"/>
              </w:rPr>
              <w:t xml:space="preserve"> flow </w:t>
            </w:r>
            <w:proofErr w:type="spellStart"/>
            <w:r w:rsidRPr="0049483E">
              <w:rPr>
                <w:rFonts w:eastAsia="Times New Roman" w:cs="Arial"/>
                <w:color w:val="000000"/>
                <w:sz w:val="18"/>
                <w:szCs w:val="18"/>
                <w:lang w:eastAsia="en-AU"/>
              </w:rPr>
              <w:t>sl</w:t>
            </w:r>
            <w:proofErr w:type="spellEnd"/>
          </w:p>
        </w:tc>
      </w:tr>
      <w:tr w:rsidR="00ED06CF" w:rsidRPr="0049483E">
        <w:trPr>
          <w:trHeight w:val="699"/>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48 am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502469"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55 am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CS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Gladstone</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280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&lt;44</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13</w:t>
            </w:r>
            <w:r w:rsidR="00B22894">
              <w:rPr>
                <w:rFonts w:eastAsia="Times New Roman" w:cs="Arial"/>
                <w:color w:val="000000"/>
                <w:sz w:val="18"/>
                <w:szCs w:val="18"/>
                <w:lang w:eastAsia="en-AU"/>
              </w:rPr>
              <w:t> </w:t>
            </w:r>
            <w:r w:rsidRPr="0049483E">
              <w:rPr>
                <w:rFonts w:eastAsia="Times New Roman" w:cs="Arial"/>
                <w:color w:val="000000"/>
                <w:sz w:val="18"/>
                <w:szCs w:val="18"/>
                <w:lang w:eastAsia="en-AU"/>
              </w:rPr>
              <w:t>800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49483E" w:rsidRPr="0049483E" w:rsidRDefault="00502469" w:rsidP="00AF493C">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0646</w:t>
            </w:r>
            <w:r w:rsidR="00AF493C">
              <w:rPr>
                <w:rFonts w:eastAsia="Times New Roman" w:cs="Arial"/>
                <w:color w:val="000000"/>
                <w:sz w:val="18"/>
                <w:szCs w:val="18"/>
                <w:lang w:eastAsia="en-AU"/>
              </w:rPr>
              <w:t>A</w:t>
            </w:r>
            <w:r w:rsidRPr="0049483E">
              <w:rPr>
                <w:rFonts w:eastAsia="Times New Roman" w:cs="Arial"/>
                <w:color w:val="000000"/>
                <w:sz w:val="18"/>
                <w:szCs w:val="18"/>
                <w:lang w:eastAsia="en-AU"/>
              </w:rPr>
              <w:t xml:space="preserve"> interconnector constraint-binding in </w:t>
            </w:r>
            <w:proofErr w:type="spellStart"/>
            <w:r w:rsidRPr="0049483E">
              <w:rPr>
                <w:rFonts w:eastAsia="Times New Roman" w:cs="Arial"/>
                <w:color w:val="000000"/>
                <w:sz w:val="18"/>
                <w:szCs w:val="18"/>
                <w:lang w:eastAsia="en-AU"/>
              </w:rPr>
              <w:t>pd-sl</w:t>
            </w:r>
            <w:proofErr w:type="spellEnd"/>
          </w:p>
        </w:tc>
      </w:tr>
      <w:tr w:rsidR="00ED06CF" w:rsidRPr="0049483E">
        <w:trPr>
          <w:trHeight w:val="699"/>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48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55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CS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Wivenhoe</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250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309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13</w:t>
            </w:r>
            <w:r w:rsidR="00B22894">
              <w:rPr>
                <w:rFonts w:eastAsia="Times New Roman" w:cs="Arial"/>
                <w:color w:val="000000"/>
                <w:sz w:val="18"/>
                <w:szCs w:val="18"/>
                <w:lang w:eastAsia="en-AU"/>
              </w:rPr>
              <w:t> </w:t>
            </w:r>
            <w:r w:rsidRPr="0049483E">
              <w:rPr>
                <w:rFonts w:eastAsia="Times New Roman" w:cs="Arial"/>
                <w:color w:val="000000"/>
                <w:sz w:val="18"/>
                <w:szCs w:val="18"/>
                <w:lang w:eastAsia="en-AU"/>
              </w:rPr>
              <w:t>800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AF493C">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0646</w:t>
            </w:r>
            <w:r w:rsidR="00AF493C">
              <w:rPr>
                <w:rFonts w:eastAsia="Times New Roman" w:cs="Arial"/>
                <w:color w:val="000000"/>
                <w:sz w:val="18"/>
                <w:szCs w:val="18"/>
                <w:lang w:eastAsia="en-AU"/>
              </w:rPr>
              <w:t>A</w:t>
            </w:r>
            <w:r w:rsidRPr="0049483E">
              <w:rPr>
                <w:rFonts w:eastAsia="Times New Roman" w:cs="Arial"/>
                <w:color w:val="000000"/>
                <w:sz w:val="18"/>
                <w:szCs w:val="18"/>
                <w:lang w:eastAsia="en-AU"/>
              </w:rPr>
              <w:t xml:space="preserve"> interconnector constraint-binding in </w:t>
            </w:r>
            <w:proofErr w:type="spellStart"/>
            <w:r w:rsidRPr="0049483E">
              <w:rPr>
                <w:rFonts w:eastAsia="Times New Roman" w:cs="Arial"/>
                <w:color w:val="000000"/>
                <w:sz w:val="18"/>
                <w:szCs w:val="18"/>
                <w:lang w:eastAsia="en-AU"/>
              </w:rPr>
              <w:t>pd-sl</w:t>
            </w:r>
            <w:proofErr w:type="spellEnd"/>
          </w:p>
        </w:tc>
      </w:tr>
      <w:tr w:rsidR="00ED06CF" w:rsidRPr="0049483E">
        <w:trPr>
          <w:trHeight w:val="699"/>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6</w:t>
            </w:r>
            <w:r w:rsidR="00607E41">
              <w:rPr>
                <w:rFonts w:eastAsia="Times New Roman" w:cs="Arial"/>
                <w:color w:val="000000"/>
                <w:sz w:val="18"/>
                <w:szCs w:val="18"/>
                <w:lang w:eastAsia="en-AU"/>
              </w:rPr>
              <w:t>.</w:t>
            </w:r>
            <w:r w:rsidRPr="0049483E">
              <w:rPr>
                <w:rFonts w:eastAsia="Times New Roman" w:cs="Arial"/>
                <w:color w:val="000000"/>
                <w:sz w:val="18"/>
                <w:szCs w:val="18"/>
                <w:lang w:eastAsia="en-AU"/>
              </w:rPr>
              <w:t>51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607E41">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7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ERM Power</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Oakey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129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&lt;341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49483E" w:rsidP="0049483E">
            <w:pPr>
              <w:spacing w:before="0" w:line="240" w:lineRule="auto"/>
              <w:jc w:val="center"/>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13</w:t>
            </w:r>
            <w:r w:rsidR="00B22894">
              <w:rPr>
                <w:rFonts w:eastAsia="Times New Roman" w:cs="Arial"/>
                <w:color w:val="000000"/>
                <w:sz w:val="18"/>
                <w:szCs w:val="18"/>
                <w:lang w:eastAsia="en-AU"/>
              </w:rPr>
              <w:t> </w:t>
            </w:r>
            <w:r w:rsidRPr="0049483E">
              <w:rPr>
                <w:rFonts w:eastAsia="Times New Roman" w:cs="Arial"/>
                <w:color w:val="000000"/>
                <w:sz w:val="18"/>
                <w:szCs w:val="18"/>
                <w:lang w:eastAsia="en-AU"/>
              </w:rPr>
              <w:t>351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49483E" w:rsidRPr="0049483E" w:rsidRDefault="00502469" w:rsidP="00AF493C">
            <w:pPr>
              <w:spacing w:before="0" w:line="240" w:lineRule="auto"/>
              <w:textAlignment w:val="center"/>
              <w:rPr>
                <w:rFonts w:eastAsia="Times New Roman" w:cs="Arial"/>
                <w:color w:val="000000"/>
                <w:sz w:val="18"/>
                <w:szCs w:val="18"/>
                <w:lang w:eastAsia="en-AU"/>
              </w:rPr>
            </w:pPr>
            <w:r w:rsidRPr="0049483E">
              <w:rPr>
                <w:rFonts w:eastAsia="Times New Roman" w:cs="Arial"/>
                <w:color w:val="000000"/>
                <w:sz w:val="18"/>
                <w:szCs w:val="18"/>
                <w:lang w:eastAsia="en-AU"/>
              </w:rPr>
              <w:t>0651</w:t>
            </w:r>
            <w:r w:rsidR="00AF493C">
              <w:rPr>
                <w:rFonts w:eastAsia="Times New Roman" w:cs="Arial"/>
                <w:color w:val="000000"/>
                <w:sz w:val="18"/>
                <w:szCs w:val="18"/>
                <w:lang w:eastAsia="en-AU"/>
              </w:rPr>
              <w:t>A</w:t>
            </w:r>
            <w:r w:rsidRPr="0049483E">
              <w:rPr>
                <w:rFonts w:eastAsia="Times New Roman" w:cs="Arial"/>
                <w:color w:val="000000"/>
                <w:sz w:val="18"/>
                <w:szCs w:val="18"/>
                <w:lang w:eastAsia="en-AU"/>
              </w:rPr>
              <w:t xml:space="preserve"> change in </w:t>
            </w:r>
            <w:r w:rsidR="00ED06CF" w:rsidRPr="0049483E">
              <w:rPr>
                <w:rFonts w:eastAsia="Times New Roman" w:cs="Arial"/>
                <w:color w:val="000000"/>
                <w:sz w:val="18"/>
                <w:szCs w:val="18"/>
                <w:lang w:eastAsia="en-AU"/>
              </w:rPr>
              <w:t xml:space="preserve">QLD </w:t>
            </w:r>
            <w:r w:rsidRPr="0049483E">
              <w:rPr>
                <w:rFonts w:eastAsia="Times New Roman" w:cs="Arial"/>
                <w:color w:val="000000"/>
                <w:sz w:val="18"/>
                <w:szCs w:val="18"/>
                <w:lang w:eastAsia="en-AU"/>
              </w:rPr>
              <w:t xml:space="preserve">price 5m </w:t>
            </w:r>
            <w:proofErr w:type="spellStart"/>
            <w:r w:rsidRPr="0049483E">
              <w:rPr>
                <w:rFonts w:eastAsia="Times New Roman" w:cs="Arial"/>
                <w:color w:val="000000"/>
                <w:sz w:val="18"/>
                <w:szCs w:val="18"/>
                <w:lang w:eastAsia="en-AU"/>
              </w:rPr>
              <w:t>pd</w:t>
            </w:r>
            <w:proofErr w:type="spellEnd"/>
            <w:r w:rsidRPr="0049483E">
              <w:rPr>
                <w:rFonts w:eastAsia="Times New Roman" w:cs="Arial"/>
                <w:color w:val="000000"/>
                <w:sz w:val="18"/>
                <w:szCs w:val="18"/>
                <w:lang w:eastAsia="en-AU"/>
              </w:rPr>
              <w:t xml:space="preserve"> vs 30mpd</w:t>
            </w:r>
            <w:r w:rsidR="00AF493C">
              <w:rPr>
                <w:rFonts w:eastAsia="Times New Roman" w:cs="Arial"/>
                <w:color w:val="000000"/>
                <w:sz w:val="18"/>
                <w:szCs w:val="18"/>
                <w:lang w:eastAsia="en-AU"/>
              </w:rPr>
              <w:br/>
            </w:r>
            <w:r w:rsidR="00AF493C" w:rsidRPr="0049483E">
              <w:rPr>
                <w:rFonts w:eastAsia="Times New Roman" w:cs="Arial"/>
                <w:color w:val="000000"/>
                <w:sz w:val="18"/>
                <w:szCs w:val="18"/>
                <w:lang w:eastAsia="en-AU"/>
              </w:rPr>
              <w:t>0651</w:t>
            </w:r>
            <w:r w:rsidR="00AF493C">
              <w:rPr>
                <w:rFonts w:eastAsia="Times New Roman" w:cs="Arial"/>
                <w:color w:val="000000"/>
                <w:sz w:val="18"/>
                <w:szCs w:val="18"/>
                <w:lang w:eastAsia="en-AU"/>
              </w:rPr>
              <w:t>A</w:t>
            </w:r>
            <w:r w:rsidR="00AF493C" w:rsidRPr="0049483E">
              <w:rPr>
                <w:rFonts w:eastAsia="Times New Roman" w:cs="Arial"/>
                <w:color w:val="000000"/>
                <w:sz w:val="18"/>
                <w:szCs w:val="18"/>
                <w:lang w:eastAsia="en-AU"/>
              </w:rPr>
              <w:t xml:space="preserve"> change in QLD </w:t>
            </w:r>
            <w:r w:rsidR="00AF493C">
              <w:rPr>
                <w:rFonts w:eastAsia="Times New Roman" w:cs="Arial"/>
                <w:color w:val="000000"/>
                <w:sz w:val="18"/>
                <w:szCs w:val="18"/>
                <w:lang w:eastAsia="en-AU"/>
              </w:rPr>
              <w:t>demand</w:t>
            </w:r>
            <w:r w:rsidR="00AF493C" w:rsidRPr="0049483E">
              <w:rPr>
                <w:rFonts w:eastAsia="Times New Roman" w:cs="Arial"/>
                <w:color w:val="000000"/>
                <w:sz w:val="18"/>
                <w:szCs w:val="18"/>
                <w:lang w:eastAsia="en-AU"/>
              </w:rPr>
              <w:t xml:space="preserve"> 5m </w:t>
            </w:r>
            <w:proofErr w:type="spellStart"/>
            <w:r w:rsidR="00AF493C" w:rsidRPr="0049483E">
              <w:rPr>
                <w:rFonts w:eastAsia="Times New Roman" w:cs="Arial"/>
                <w:color w:val="000000"/>
                <w:sz w:val="18"/>
                <w:szCs w:val="18"/>
                <w:lang w:eastAsia="en-AU"/>
              </w:rPr>
              <w:t>pd</w:t>
            </w:r>
            <w:proofErr w:type="spellEnd"/>
            <w:r w:rsidR="00AF493C" w:rsidRPr="0049483E">
              <w:rPr>
                <w:rFonts w:eastAsia="Times New Roman" w:cs="Arial"/>
                <w:color w:val="000000"/>
                <w:sz w:val="18"/>
                <w:szCs w:val="18"/>
                <w:lang w:eastAsia="en-AU"/>
              </w:rPr>
              <w:t xml:space="preserve"> vs 30mpd</w:t>
            </w:r>
          </w:p>
        </w:tc>
      </w:tr>
    </w:tbl>
    <w:p w:rsidR="00503F43" w:rsidRPr="00E7315F" w:rsidRDefault="00E7315F" w:rsidP="00503F43">
      <w:pPr>
        <w:pStyle w:val="AERbodytext"/>
      </w:pPr>
      <w:r w:rsidRPr="00E7315F">
        <w:t>The above rebids contributed to a steep supply curve</w:t>
      </w:r>
      <w:r>
        <w:t xml:space="preserve">. </w:t>
      </w:r>
      <w:r w:rsidR="00607E41">
        <w:t>At 7 </w:t>
      </w:r>
      <w:r w:rsidR="00503F43">
        <w:t xml:space="preserve">am, </w:t>
      </w:r>
      <w:r w:rsidR="00D50C64">
        <w:t>when ERM Power’s rebid became effective, the dispatch price increased from $106/MWh at 6.55</w:t>
      </w:r>
      <w:r w:rsidR="00607E41">
        <w:t> </w:t>
      </w:r>
      <w:r w:rsidR="00D50C64">
        <w:t>am to the price cap. With lower priced generation either fully dispatched or ramp rate limited, high</w:t>
      </w:r>
      <w:r w:rsidR="00AF493C">
        <w:t>-</w:t>
      </w:r>
      <w:r w:rsidR="00D50C64">
        <w:t>priced generation in Queensland was dispatched.</w:t>
      </w:r>
    </w:p>
    <w:p w:rsidR="005F7247" w:rsidRPr="00002B2F" w:rsidRDefault="005F7247" w:rsidP="005F7247">
      <w:pPr>
        <w:pStyle w:val="AERHeading3"/>
      </w:pPr>
      <w:r w:rsidRPr="00002B2F">
        <w:t xml:space="preserve">South Australia </w:t>
      </w:r>
    </w:p>
    <w:p w:rsidR="00700DAB" w:rsidRDefault="00700DAB" w:rsidP="00700DAB">
      <w:pPr>
        <w:pStyle w:val="AERbodytext"/>
      </w:pPr>
      <w:r>
        <w:t xml:space="preserve">There were </w:t>
      </w:r>
      <w:r w:rsidR="00C14D61">
        <w:t>five</w:t>
      </w:r>
      <w:r w:rsidR="00543BEC">
        <w:t xml:space="preserve"> </w:t>
      </w:r>
      <w:r>
        <w:t>occasions where the spot price in South Australia was greater than three times the South Australia weekly average price of $</w:t>
      </w:r>
      <w:r w:rsidR="009335AE">
        <w:t>58</w:t>
      </w:r>
      <w:r>
        <w:t>/MWh and above $250/MWh.</w:t>
      </w:r>
    </w:p>
    <w:p w:rsidR="005D2FBD" w:rsidRDefault="00C5357F" w:rsidP="005D2FBD">
      <w:pPr>
        <w:pStyle w:val="AERHeading3"/>
      </w:pPr>
      <w:r>
        <w:t>Monday</w:t>
      </w:r>
      <w:r w:rsidR="00631560">
        <w:t>,</w:t>
      </w:r>
      <w:r>
        <w:t xml:space="preserve"> 27 July</w:t>
      </w:r>
      <w:r w:rsidR="005D2FBD">
        <w:t xml:space="preserve"> </w:t>
      </w:r>
    </w:p>
    <w:p w:rsidR="005D2FBD" w:rsidRPr="005D2FBD" w:rsidRDefault="005D2FBD" w:rsidP="005D2FBD">
      <w:pPr>
        <w:pStyle w:val="Caption"/>
      </w:pPr>
      <w:proofErr w:type="gramStart"/>
      <w:r>
        <w:t xml:space="preserve">Table </w:t>
      </w:r>
      <w:proofErr w:type="gramEnd"/>
      <w:r w:rsidR="008A4178">
        <w:fldChar w:fldCharType="begin"/>
      </w:r>
      <w:r w:rsidR="008A4178">
        <w:instrText xml:space="preserve"> SEQ Table \* ARABIC </w:instrText>
      </w:r>
      <w:r w:rsidR="008A4178">
        <w:fldChar w:fldCharType="separate"/>
      </w:r>
      <w:r w:rsidR="008A4178">
        <w:rPr>
          <w:noProof/>
        </w:rPr>
        <w:t>5</w:t>
      </w:r>
      <w:r w:rsidR="008A4178">
        <w:rPr>
          <w:noProof/>
        </w:rPr>
        <w:fldChar w:fldCharType="end"/>
      </w:r>
      <w:proofErr w:type="gramStart"/>
      <w:r w:rsidR="00F72F41">
        <w:t>.</w:t>
      </w:r>
      <w:proofErr w:type="gramEnd"/>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D2FBD" w:rsidRPr="00405CDE" w:rsidTr="00FD531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F113FD" w:rsidRPr="00405CDE" w:rsidTr="00FD531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FD5316" w:rsidRPr="00405CDE" w:rsidTr="00FD5316">
        <w:trPr>
          <w:trHeight w:val="510"/>
        </w:trPr>
        <w:tc>
          <w:tcPr>
            <w:tcW w:w="506"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8 am</w:t>
            </w:r>
          </w:p>
        </w:tc>
        <w:tc>
          <w:tcPr>
            <w:tcW w:w="620"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4449</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17</w:t>
            </w:r>
            <w:r w:rsidR="00B64301">
              <w:rPr>
                <w:rFonts w:asciiTheme="minorHAnsi" w:hAnsiTheme="minorHAnsi" w:cstheme="minorHAnsi"/>
                <w:bCs/>
                <w:szCs w:val="18"/>
              </w:rPr>
              <w:t>5</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12</w:t>
            </w:r>
            <w:r w:rsidR="00B64301">
              <w:rPr>
                <w:rFonts w:asciiTheme="minorHAnsi" w:hAnsiTheme="minorHAnsi" w:cstheme="minorHAnsi"/>
                <w:bCs/>
                <w:szCs w:val="18"/>
              </w:rPr>
              <w:t>5</w:t>
            </w:r>
          </w:p>
        </w:tc>
        <w:tc>
          <w:tcPr>
            <w:tcW w:w="418" w:type="pct"/>
            <w:tcBorders>
              <w:top w:val="nil"/>
              <w:bottom w:val="nil"/>
            </w:tcBorders>
            <w:vAlign w:val="center"/>
          </w:tcPr>
          <w:p w:rsidR="00FD5316" w:rsidRPr="00FD5316" w:rsidRDefault="00FD5316" w:rsidP="00FD5316">
            <w:pPr>
              <w:pStyle w:val="tablenormal0"/>
              <w:jc w:val="center"/>
              <w:rPr>
                <w:rFonts w:asciiTheme="minorHAnsi" w:hAnsiTheme="minorHAnsi" w:cstheme="minorHAnsi"/>
                <w:bCs/>
                <w:szCs w:val="18"/>
              </w:rPr>
            </w:pPr>
            <w:r w:rsidRPr="00FD5316">
              <w:rPr>
                <w:rFonts w:asciiTheme="minorHAnsi" w:hAnsiTheme="minorHAnsi" w:cstheme="minorHAnsi"/>
                <w:bCs/>
                <w:szCs w:val="18"/>
              </w:rPr>
              <w:t>18</w:t>
            </w:r>
            <w:r w:rsidR="00577B87">
              <w:rPr>
                <w:rFonts w:asciiTheme="minorHAnsi" w:hAnsiTheme="minorHAnsi" w:cstheme="minorHAnsi"/>
                <w:bCs/>
                <w:szCs w:val="18"/>
              </w:rPr>
              <w:t>04</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1803</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1790</w:t>
            </w:r>
          </w:p>
        </w:tc>
        <w:tc>
          <w:tcPr>
            <w:tcW w:w="443"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2059</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2077</w:t>
            </w:r>
          </w:p>
        </w:tc>
        <w:tc>
          <w:tcPr>
            <w:tcW w:w="502" w:type="pct"/>
            <w:tcBorders>
              <w:top w:val="nil"/>
              <w:bottom w:val="nil"/>
            </w:tcBorders>
            <w:vAlign w:val="center"/>
          </w:tcPr>
          <w:p w:rsidR="00FD5316"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2251</w:t>
            </w:r>
          </w:p>
        </w:tc>
      </w:tr>
      <w:tr w:rsidR="00577B87" w:rsidRPr="00405CDE" w:rsidTr="00FD5316">
        <w:trPr>
          <w:cnfStyle w:val="000000010000" w:firstRow="0" w:lastRow="0" w:firstColumn="0" w:lastColumn="0" w:oddVBand="0" w:evenVBand="0" w:oddHBand="0" w:evenHBand="1" w:firstRowFirstColumn="0" w:firstRowLastColumn="0" w:lastRowFirstColumn="0" w:lastRowLastColumn="0"/>
          <w:trHeight w:val="510"/>
        </w:trPr>
        <w:tc>
          <w:tcPr>
            <w:tcW w:w="506" w:type="pct"/>
            <w:tcBorders>
              <w:top w:val="nil"/>
              <w:bottom w:val="nil"/>
            </w:tcBorders>
            <w:vAlign w:val="center"/>
          </w:tcPr>
          <w:p w:rsidR="00577B87"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 xml:space="preserve">10 am </w:t>
            </w:r>
          </w:p>
        </w:tc>
        <w:tc>
          <w:tcPr>
            <w:tcW w:w="620"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35</w:t>
            </w:r>
            <w:r w:rsidR="00B64301">
              <w:rPr>
                <w:rFonts w:asciiTheme="minorHAnsi" w:hAnsiTheme="minorHAnsi" w:cstheme="minorHAnsi"/>
                <w:bCs/>
                <w:szCs w:val="18"/>
              </w:rPr>
              <w:t>1</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17</w:t>
            </w:r>
            <w:r w:rsidR="00B64301">
              <w:rPr>
                <w:rFonts w:asciiTheme="minorHAnsi" w:hAnsiTheme="minorHAnsi" w:cstheme="minorHAnsi"/>
                <w:bCs/>
                <w:szCs w:val="18"/>
              </w:rPr>
              <w:t>5</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12</w:t>
            </w:r>
            <w:r w:rsidR="00B64301">
              <w:rPr>
                <w:rFonts w:asciiTheme="minorHAnsi" w:hAnsiTheme="minorHAnsi" w:cstheme="minorHAnsi"/>
                <w:bCs/>
                <w:szCs w:val="18"/>
              </w:rPr>
              <w:t>5</w:t>
            </w:r>
          </w:p>
        </w:tc>
        <w:tc>
          <w:tcPr>
            <w:tcW w:w="418"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1859</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1837</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1847</w:t>
            </w:r>
          </w:p>
        </w:tc>
        <w:tc>
          <w:tcPr>
            <w:tcW w:w="443"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1997</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2048</w:t>
            </w:r>
          </w:p>
        </w:tc>
        <w:tc>
          <w:tcPr>
            <w:tcW w:w="502" w:type="pct"/>
            <w:tcBorders>
              <w:top w:val="nil"/>
              <w:bottom w:val="nil"/>
            </w:tcBorders>
            <w:vAlign w:val="center"/>
          </w:tcPr>
          <w:p w:rsidR="00577B87" w:rsidRPr="00FD5316" w:rsidRDefault="00577B87" w:rsidP="00FD5316">
            <w:pPr>
              <w:pStyle w:val="tablenormal0"/>
              <w:jc w:val="center"/>
              <w:rPr>
                <w:rFonts w:asciiTheme="minorHAnsi" w:hAnsiTheme="minorHAnsi" w:cstheme="minorHAnsi"/>
                <w:bCs/>
                <w:szCs w:val="18"/>
              </w:rPr>
            </w:pPr>
            <w:r>
              <w:rPr>
                <w:rFonts w:asciiTheme="minorHAnsi" w:hAnsiTheme="minorHAnsi" w:cstheme="minorHAnsi"/>
                <w:bCs/>
                <w:szCs w:val="18"/>
              </w:rPr>
              <w:t>2340</w:t>
            </w:r>
          </w:p>
        </w:tc>
      </w:tr>
    </w:tbl>
    <w:p w:rsidR="00053C4F" w:rsidRDefault="00053C4F" w:rsidP="00053C4F">
      <w:pPr>
        <w:pStyle w:val="AERbodytext"/>
      </w:pPr>
    </w:p>
    <w:p w:rsidR="003E1B0A" w:rsidRDefault="00B64301" w:rsidP="00053C4F">
      <w:pPr>
        <w:pStyle w:val="AERbodytext"/>
      </w:pPr>
      <w:r>
        <w:t>For the 8 am trading interval</w:t>
      </w:r>
      <w:r w:rsidR="000A65C2">
        <w:t>, demand and available generation was</w:t>
      </w:r>
      <w:r w:rsidR="00BF25AB">
        <w:t xml:space="preserve"> close to forecast</w:t>
      </w:r>
      <w:r w:rsidR="00F95C1A">
        <w:t xml:space="preserve"> four hours ahead</w:t>
      </w:r>
      <w:r w:rsidR="000A65C2">
        <w:t xml:space="preserve">. </w:t>
      </w:r>
    </w:p>
    <w:p w:rsidR="00BA06BD" w:rsidRDefault="003E1B0A" w:rsidP="00053C4F">
      <w:pPr>
        <w:pStyle w:val="AERbodytext"/>
      </w:pPr>
      <w:r>
        <w:t>At 7.47</w:t>
      </w:r>
      <w:r w:rsidR="00F95C1A">
        <w:t> am</w:t>
      </w:r>
      <w:r>
        <w:t>, effective at 7.55</w:t>
      </w:r>
      <w:r w:rsidR="00F95C1A">
        <w:t> </w:t>
      </w:r>
      <w:r>
        <w:t>am, AGL Energy rebid 200</w:t>
      </w:r>
      <w:r w:rsidR="00F95C1A">
        <w:t> </w:t>
      </w:r>
      <w:r>
        <w:t xml:space="preserve">MW </w:t>
      </w:r>
      <w:r w:rsidR="00F95C1A">
        <w:t xml:space="preserve">of capacity </w:t>
      </w:r>
      <w:r>
        <w:t xml:space="preserve">at Torrens Island priced at less than $175/MWh to the price cap. The reason </w:t>
      </w:r>
      <w:r w:rsidR="00165027">
        <w:t>given</w:t>
      </w:r>
      <w:r>
        <w:t xml:space="preserve"> was </w:t>
      </w:r>
      <w:r w:rsidR="00F95C1A">
        <w:t>“</w:t>
      </w:r>
      <w:r w:rsidR="00CE3527" w:rsidRPr="00161EEE">
        <w:t xml:space="preserve">0731~a~050 </w:t>
      </w:r>
      <w:proofErr w:type="spellStart"/>
      <w:r w:rsidR="00CE3527" w:rsidRPr="00161EEE">
        <w:t>chg</w:t>
      </w:r>
      <w:proofErr w:type="spellEnd"/>
      <w:r w:rsidR="00CE3527" w:rsidRPr="00161EEE">
        <w:t xml:space="preserve"> in </w:t>
      </w:r>
      <w:r w:rsidR="00F95C1A">
        <w:t>AEMO</w:t>
      </w:r>
      <w:r w:rsidR="00CE3527" w:rsidRPr="00161EEE">
        <w:t xml:space="preserve"> </w:t>
      </w:r>
      <w:proofErr w:type="gramStart"/>
      <w:r w:rsidR="00CE3527" w:rsidRPr="00161EEE">
        <w:t>pd~</w:t>
      </w:r>
      <w:proofErr w:type="gramEnd"/>
      <w:r w:rsidR="00CE3527" w:rsidRPr="00161EEE">
        <w:t xml:space="preserve">54 </w:t>
      </w:r>
      <w:proofErr w:type="spellStart"/>
      <w:r w:rsidR="00CE3527" w:rsidRPr="00161EEE">
        <w:t>pd</w:t>
      </w:r>
      <w:proofErr w:type="spellEnd"/>
      <w:r w:rsidR="00CE3527" w:rsidRPr="00161EEE">
        <w:t xml:space="preserve"> price decrease </w:t>
      </w:r>
      <w:r w:rsidR="00F95C1A">
        <w:t>SA</w:t>
      </w:r>
      <w:r w:rsidR="00CE3527" w:rsidRPr="00161EEE">
        <w:t xml:space="preserve"> $415</w:t>
      </w:r>
      <w:r w:rsidR="00F95C1A">
        <w:t>”</w:t>
      </w:r>
      <w:r w:rsidR="00CE3527">
        <w:t>.</w:t>
      </w:r>
      <w:r w:rsidR="000A65C2">
        <w:t xml:space="preserve"> </w:t>
      </w:r>
      <w:r w:rsidR="00F95C1A">
        <w:t>This coincided with a</w:t>
      </w:r>
      <w:r w:rsidR="00165027">
        <w:t xml:space="preserve"> demand increase</w:t>
      </w:r>
      <w:r w:rsidR="00BA06BD">
        <w:t xml:space="preserve"> </w:t>
      </w:r>
      <w:r w:rsidR="00F95C1A">
        <w:t>of</w:t>
      </w:r>
      <w:r w:rsidR="00BA06BD">
        <w:t xml:space="preserve"> 69</w:t>
      </w:r>
      <w:r w:rsidR="00F95C1A">
        <w:t> MW and w</w:t>
      </w:r>
      <w:r w:rsidR="00BA06BD">
        <w:t>ith low</w:t>
      </w:r>
      <w:r w:rsidR="00F95C1A">
        <w:t>-</w:t>
      </w:r>
      <w:r w:rsidR="00BA06BD">
        <w:t>priced genera</w:t>
      </w:r>
      <w:r>
        <w:t xml:space="preserve">tion either fully dispatched, </w:t>
      </w:r>
      <w:r w:rsidR="00BA06BD">
        <w:t>ramp rate limited</w:t>
      </w:r>
      <w:r>
        <w:t xml:space="preserve"> or trapped in FCAS</w:t>
      </w:r>
      <w:r w:rsidR="00BA06BD">
        <w:t>, higher priced generation at Torrens Island had to be dispatched to meet demand. This resulted in the dispatch price increasing from $175/MWh at 7.50</w:t>
      </w:r>
      <w:r w:rsidR="00F95C1A">
        <w:t> </w:t>
      </w:r>
      <w:r w:rsidR="00BA06BD">
        <w:t>am to the price cap at 7.55</w:t>
      </w:r>
      <w:r w:rsidR="00F95C1A">
        <w:t> </w:t>
      </w:r>
      <w:r w:rsidR="00BA06BD">
        <w:t>am.</w:t>
      </w:r>
      <w:r w:rsidR="00F95C1A">
        <w:t xml:space="preserve"> At 8 </w:t>
      </w:r>
      <w:r>
        <w:t>am, demand decreased by 46</w:t>
      </w:r>
      <w:r w:rsidR="00F95C1A">
        <w:t> MW and w</w:t>
      </w:r>
      <w:r>
        <w:t xml:space="preserve">ith generation priced slightly under </w:t>
      </w:r>
      <w:r>
        <w:lastRenderedPageBreak/>
        <w:t xml:space="preserve">the price cap no longer ramp rate limited or trapped in FCAS, the </w:t>
      </w:r>
      <w:r w:rsidR="00DF3C4A">
        <w:t xml:space="preserve">dispatch price </w:t>
      </w:r>
      <w:r w:rsidR="0097692A">
        <w:t>fell</w:t>
      </w:r>
      <w:r w:rsidR="00DF3C4A">
        <w:t xml:space="preserve"> to $12 </w:t>
      </w:r>
      <w:r>
        <w:t xml:space="preserve">195/MWh.  </w:t>
      </w:r>
      <w:r w:rsidR="00BA06BD">
        <w:t xml:space="preserve"> </w:t>
      </w:r>
    </w:p>
    <w:p w:rsidR="00053C4F" w:rsidRDefault="00053C4F" w:rsidP="00053C4F">
      <w:pPr>
        <w:pStyle w:val="AERbodytext"/>
      </w:pPr>
      <w:r>
        <w:t>For the 10 am trading interval, demand was slightly higher than forecast and available capacity was 51</w:t>
      </w:r>
      <w:r w:rsidR="00F95C1A">
        <w:t> </w:t>
      </w:r>
      <w:r>
        <w:t xml:space="preserve">MW less than forecast four hours ahead. </w:t>
      </w:r>
    </w:p>
    <w:p w:rsidR="00B54AAD" w:rsidRDefault="00FD4226" w:rsidP="00A95047">
      <w:pPr>
        <w:pStyle w:val="AERbodytext"/>
      </w:pPr>
      <w:r>
        <w:t>At 9.18</w:t>
      </w:r>
      <w:r w:rsidR="00F95C1A">
        <w:t> </w:t>
      </w:r>
      <w:r>
        <w:t xml:space="preserve">am, </w:t>
      </w:r>
      <w:r w:rsidR="00F95C1A">
        <w:t xml:space="preserve">effective from 9.25 am, </w:t>
      </w:r>
      <w:r>
        <w:t>AGL Energy rebid 160</w:t>
      </w:r>
      <w:r w:rsidR="00F95C1A">
        <w:t> </w:t>
      </w:r>
      <w:r>
        <w:t xml:space="preserve">MW of available capacity at Torrens Island priced at less than $175/MWh to $351/MWh. </w:t>
      </w:r>
      <w:r w:rsidR="00F95C1A">
        <w:t>T</w:t>
      </w:r>
      <w:r>
        <w:t>he dispatch price increased from $175/MWh at 9.20</w:t>
      </w:r>
      <w:r w:rsidR="00F95C1A">
        <w:t> </w:t>
      </w:r>
      <w:r>
        <w:t>am to $351/MWh at 9.25</w:t>
      </w:r>
      <w:r w:rsidR="00F95C1A">
        <w:t> </w:t>
      </w:r>
      <w:r>
        <w:t>am</w:t>
      </w:r>
      <w:r w:rsidR="00A95047">
        <w:t xml:space="preserve"> and remained there for the 10 am trading interval set by Torrens Island</w:t>
      </w:r>
      <w:r>
        <w:t xml:space="preserve">. </w:t>
      </w:r>
    </w:p>
    <w:p w:rsidR="00D86C47" w:rsidRDefault="00D86C47" w:rsidP="00D86C47">
      <w:pPr>
        <w:pStyle w:val="AERHeading3"/>
      </w:pPr>
      <w:r>
        <w:t xml:space="preserve">Tuesday, 28 July </w:t>
      </w:r>
    </w:p>
    <w:p w:rsidR="00D86C47" w:rsidRPr="005D2FBD" w:rsidRDefault="00D86C47" w:rsidP="00D86C47">
      <w:pPr>
        <w:pStyle w:val="Caption"/>
      </w:pPr>
      <w:proofErr w:type="gramStart"/>
      <w:r>
        <w:t xml:space="preserve">Table </w:t>
      </w:r>
      <w:proofErr w:type="gramEnd"/>
      <w:r w:rsidR="008A4178">
        <w:fldChar w:fldCharType="begin"/>
      </w:r>
      <w:r w:rsidR="008A4178">
        <w:instrText xml:space="preserve"> SEQ Table \* ARABIC </w:instrText>
      </w:r>
      <w:r w:rsidR="008A4178">
        <w:fldChar w:fldCharType="separate"/>
      </w:r>
      <w:r w:rsidR="008A4178">
        <w:rPr>
          <w:noProof/>
        </w:rPr>
        <w:t>6</w:t>
      </w:r>
      <w:r w:rsidR="008A4178">
        <w:rPr>
          <w:noProof/>
        </w:rPr>
        <w:fldChar w:fldCharType="end"/>
      </w:r>
      <w:proofErr w:type="gramStart"/>
      <w:r>
        <w:t>.</w:t>
      </w:r>
      <w:proofErr w:type="gramEnd"/>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D86C47" w:rsidRPr="00405CDE" w:rsidTr="00D92417">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D86C47" w:rsidRPr="00DC24BF" w:rsidRDefault="00D86C47" w:rsidP="00D92417">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D86C47" w:rsidRPr="00DC24BF" w:rsidRDefault="00D86C47" w:rsidP="00D92417">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D86C47" w:rsidRPr="00DC24BF" w:rsidRDefault="00D86C47" w:rsidP="00D92417">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D86C47" w:rsidRPr="00DC24BF" w:rsidRDefault="00D86C47" w:rsidP="00D92417">
            <w:pPr>
              <w:pStyle w:val="TableHeading"/>
              <w:jc w:val="center"/>
              <w:rPr>
                <w:rFonts w:cs="Arial"/>
                <w:sz w:val="20"/>
                <w:szCs w:val="20"/>
              </w:rPr>
            </w:pPr>
            <w:r w:rsidRPr="00DC24BF">
              <w:rPr>
                <w:rFonts w:cs="Arial"/>
                <w:sz w:val="20"/>
                <w:szCs w:val="20"/>
              </w:rPr>
              <w:t>Availability (MW)</w:t>
            </w:r>
          </w:p>
        </w:tc>
      </w:tr>
      <w:tr w:rsidR="00D86C47" w:rsidRPr="00405CDE" w:rsidTr="00D92417">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D86C47" w:rsidRPr="00DC24BF" w:rsidRDefault="00D86C47" w:rsidP="00D92417">
            <w:pPr>
              <w:pStyle w:val="tableheadingline2"/>
              <w:rPr>
                <w:rFonts w:cs="Arial"/>
                <w:sz w:val="20"/>
                <w:szCs w:val="20"/>
              </w:rPr>
            </w:pPr>
            <w:r w:rsidRPr="00DC24BF">
              <w:rPr>
                <w:rFonts w:cs="Arial"/>
                <w:sz w:val="20"/>
                <w:szCs w:val="20"/>
              </w:rPr>
              <w:t>12 hr forecast</w:t>
            </w:r>
          </w:p>
        </w:tc>
      </w:tr>
      <w:tr w:rsidR="00D86C47" w:rsidRPr="00405CDE" w:rsidTr="00D92417">
        <w:trPr>
          <w:trHeight w:val="510"/>
        </w:trPr>
        <w:tc>
          <w:tcPr>
            <w:tcW w:w="506"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8 am</w:t>
            </w:r>
          </w:p>
        </w:tc>
        <w:tc>
          <w:tcPr>
            <w:tcW w:w="620"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2390</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125</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126</w:t>
            </w:r>
          </w:p>
        </w:tc>
        <w:tc>
          <w:tcPr>
            <w:tcW w:w="418"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1873</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1855</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1907</w:t>
            </w:r>
          </w:p>
        </w:tc>
        <w:tc>
          <w:tcPr>
            <w:tcW w:w="443"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1943</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1997</w:t>
            </w:r>
          </w:p>
        </w:tc>
        <w:tc>
          <w:tcPr>
            <w:tcW w:w="502" w:type="pct"/>
            <w:tcBorders>
              <w:top w:val="nil"/>
              <w:bottom w:val="nil"/>
            </w:tcBorders>
            <w:vAlign w:val="center"/>
          </w:tcPr>
          <w:p w:rsidR="00D86C47" w:rsidRPr="00FD5316" w:rsidRDefault="00D86C47" w:rsidP="00D92417">
            <w:pPr>
              <w:pStyle w:val="tablenormal0"/>
              <w:jc w:val="center"/>
              <w:rPr>
                <w:rFonts w:asciiTheme="minorHAnsi" w:hAnsiTheme="minorHAnsi" w:cstheme="minorHAnsi"/>
                <w:bCs/>
                <w:szCs w:val="18"/>
              </w:rPr>
            </w:pPr>
            <w:r>
              <w:rPr>
                <w:rFonts w:asciiTheme="minorHAnsi" w:hAnsiTheme="minorHAnsi" w:cstheme="minorHAnsi"/>
                <w:bCs/>
                <w:szCs w:val="18"/>
              </w:rPr>
              <w:t>2026</w:t>
            </w:r>
          </w:p>
        </w:tc>
      </w:tr>
    </w:tbl>
    <w:p w:rsidR="00EC5565" w:rsidRDefault="00A95047" w:rsidP="00D86C47">
      <w:pPr>
        <w:pStyle w:val="AERbodytext"/>
      </w:pPr>
      <w:r>
        <w:t>D</w:t>
      </w:r>
      <w:r w:rsidR="00D86C47">
        <w:t xml:space="preserve">emand and availability </w:t>
      </w:r>
      <w:r>
        <w:t>was close to forecast four hours ahead</w:t>
      </w:r>
      <w:r w:rsidR="00D86C47">
        <w:t xml:space="preserve">. </w:t>
      </w:r>
    </w:p>
    <w:p w:rsidR="0042193A" w:rsidRDefault="0026266A" w:rsidP="00D86C47">
      <w:pPr>
        <w:pStyle w:val="AERbodytext"/>
      </w:pPr>
      <w:r>
        <w:t xml:space="preserve">At </w:t>
      </w:r>
      <w:r w:rsidRPr="0026266A">
        <w:t>7.41</w:t>
      </w:r>
      <w:r>
        <w:t> </w:t>
      </w:r>
      <w:r w:rsidRPr="0026266A">
        <w:t>am</w:t>
      </w:r>
      <w:r>
        <w:t xml:space="preserve">, effective from </w:t>
      </w:r>
      <w:r w:rsidRPr="0026266A">
        <w:t>7.50</w:t>
      </w:r>
      <w:r>
        <w:t> </w:t>
      </w:r>
      <w:r w:rsidRPr="0026266A">
        <w:t>am</w:t>
      </w:r>
      <w:r>
        <w:t xml:space="preserve">, </w:t>
      </w:r>
      <w:r w:rsidRPr="0026266A">
        <w:t>AGL Energy</w:t>
      </w:r>
      <w:r>
        <w:t xml:space="preserve"> rebid </w:t>
      </w:r>
      <w:r w:rsidRPr="0026266A">
        <w:t>160</w:t>
      </w:r>
      <w:r>
        <w:t xml:space="preserve"> MW of capacity at </w:t>
      </w:r>
      <w:r w:rsidRPr="0026266A">
        <w:t>Torrens Island</w:t>
      </w:r>
      <w:r>
        <w:t xml:space="preserve"> from prices less than $</w:t>
      </w:r>
      <w:r w:rsidRPr="0026266A">
        <w:t>125</w:t>
      </w:r>
      <w:r>
        <w:t>/MWh to the price cap. The reason given was “</w:t>
      </w:r>
      <w:r w:rsidRPr="0026266A">
        <w:t xml:space="preserve">0731~A~050 </w:t>
      </w:r>
      <w:proofErr w:type="spellStart"/>
      <w:r w:rsidRPr="0026266A">
        <w:t>chg</w:t>
      </w:r>
      <w:proofErr w:type="spellEnd"/>
      <w:r w:rsidRPr="0026266A">
        <w:t xml:space="preserve"> in AEMOP </w:t>
      </w:r>
      <w:proofErr w:type="gramStart"/>
      <w:r w:rsidRPr="0026266A">
        <w:t>pd~</w:t>
      </w:r>
      <w:proofErr w:type="gramEnd"/>
      <w:r w:rsidRPr="0026266A">
        <w:t xml:space="preserve">54 </w:t>
      </w:r>
      <w:proofErr w:type="spellStart"/>
      <w:r w:rsidRPr="0026266A">
        <w:t>pd</w:t>
      </w:r>
      <w:proofErr w:type="spellEnd"/>
      <w:r w:rsidRPr="0026266A">
        <w:t xml:space="preserve"> price decrease SA -$10169 0900</w:t>
      </w:r>
      <w:r>
        <w:t>”.</w:t>
      </w:r>
      <w:r w:rsidR="0042193A">
        <w:t xml:space="preserve"> With low priced generation either ramp rate limited or fully dispatched, higher priced generation had to be dispatched to meet demand. This resulted in the dispatch price increas</w:t>
      </w:r>
      <w:r>
        <w:t>ing</w:t>
      </w:r>
      <w:r w:rsidR="0042193A">
        <w:t xml:space="preserve"> from $126/MWh at 7.45</w:t>
      </w:r>
      <w:r w:rsidR="00607E41">
        <w:t> </w:t>
      </w:r>
      <w:r w:rsidR="0042193A">
        <w:t>am to the price cap at 7.50</w:t>
      </w:r>
      <w:r w:rsidR="00607E41">
        <w:t> </w:t>
      </w:r>
      <w:r w:rsidR="0042193A">
        <w:t>am. The dispatch price fell to $109 at 7.55</w:t>
      </w:r>
      <w:r w:rsidR="00607E41">
        <w:t> </w:t>
      </w:r>
      <w:r w:rsidR="0042193A">
        <w:t>pm following a 77</w:t>
      </w:r>
      <w:r w:rsidR="00607E41">
        <w:t> </w:t>
      </w:r>
      <w:r w:rsidR="0042193A">
        <w:t>MW demand decrease (</w:t>
      </w:r>
      <w:r>
        <w:t>mainly</w:t>
      </w:r>
      <w:r w:rsidR="0042193A">
        <w:t xml:space="preserve"> due to an increase in South Australian non-scheduled generation) and</w:t>
      </w:r>
      <w:r w:rsidR="00962C79">
        <w:t xml:space="preserve"> rebidding by generators into lower price bands. </w:t>
      </w:r>
      <w:r w:rsidR="0042193A">
        <w:t xml:space="preserve">  </w:t>
      </w:r>
    </w:p>
    <w:p w:rsidR="00A95047" w:rsidRPr="005D2FBD" w:rsidRDefault="00A95047" w:rsidP="00A95047">
      <w:pPr>
        <w:pStyle w:val="Caption"/>
      </w:pPr>
      <w:proofErr w:type="gramStart"/>
      <w:r>
        <w:t xml:space="preserve">Table </w:t>
      </w:r>
      <w:proofErr w:type="gramEnd"/>
      <w:r w:rsidR="008A4178">
        <w:fldChar w:fldCharType="begin"/>
      </w:r>
      <w:r w:rsidR="008A4178">
        <w:instrText xml:space="preserve"> SEQ Tab</w:instrText>
      </w:r>
      <w:r w:rsidR="008A4178">
        <w:instrText xml:space="preserve">le \* ARABIC </w:instrText>
      </w:r>
      <w:r w:rsidR="008A4178">
        <w:fldChar w:fldCharType="separate"/>
      </w:r>
      <w:r w:rsidR="008A4178">
        <w:rPr>
          <w:noProof/>
        </w:rPr>
        <w:t>7</w:t>
      </w:r>
      <w:r w:rsidR="008A4178">
        <w:rPr>
          <w:noProof/>
        </w:rPr>
        <w:fldChar w:fldCharType="end"/>
      </w:r>
      <w:proofErr w:type="gramStart"/>
      <w:r>
        <w:t>.</w:t>
      </w:r>
      <w:proofErr w:type="gramEnd"/>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A95047" w:rsidRPr="00405CDE" w:rsidTr="002722BC">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A95047" w:rsidRPr="00DC24BF" w:rsidRDefault="00A95047" w:rsidP="002722BC">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A95047" w:rsidRPr="00DC24BF" w:rsidRDefault="00A95047" w:rsidP="002722BC">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A95047" w:rsidRPr="00DC24BF" w:rsidRDefault="00A95047" w:rsidP="002722BC">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A95047" w:rsidRPr="00DC24BF" w:rsidRDefault="00A95047" w:rsidP="002722BC">
            <w:pPr>
              <w:pStyle w:val="TableHeading"/>
              <w:jc w:val="center"/>
              <w:rPr>
                <w:rFonts w:cs="Arial"/>
                <w:sz w:val="20"/>
                <w:szCs w:val="20"/>
              </w:rPr>
            </w:pPr>
            <w:r w:rsidRPr="00DC24BF">
              <w:rPr>
                <w:rFonts w:cs="Arial"/>
                <w:sz w:val="20"/>
                <w:szCs w:val="20"/>
              </w:rPr>
              <w:t>Availability (MW)</w:t>
            </w:r>
          </w:p>
        </w:tc>
      </w:tr>
      <w:tr w:rsidR="00A95047" w:rsidRPr="00405CDE" w:rsidTr="002722BC">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A95047" w:rsidRPr="00DC24BF" w:rsidRDefault="00A95047" w:rsidP="002722BC">
            <w:pPr>
              <w:pStyle w:val="tableheadingline2"/>
              <w:rPr>
                <w:rFonts w:cs="Arial"/>
                <w:sz w:val="20"/>
                <w:szCs w:val="20"/>
              </w:rPr>
            </w:pPr>
            <w:r w:rsidRPr="00DC24BF">
              <w:rPr>
                <w:rFonts w:cs="Arial"/>
                <w:sz w:val="20"/>
                <w:szCs w:val="20"/>
              </w:rPr>
              <w:t>12 hr forecast</w:t>
            </w:r>
          </w:p>
        </w:tc>
      </w:tr>
      <w:tr w:rsidR="00A95047" w:rsidRPr="00405CDE" w:rsidTr="002722BC">
        <w:trPr>
          <w:trHeight w:val="510"/>
        </w:trPr>
        <w:tc>
          <w:tcPr>
            <w:tcW w:w="506" w:type="pct"/>
            <w:tcBorders>
              <w:top w:val="nil"/>
              <w:bottom w:val="nil"/>
            </w:tcBorders>
            <w:vAlign w:val="center"/>
          </w:tcPr>
          <w:p w:rsidR="00A95047"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 xml:space="preserve">6.30 pm </w:t>
            </w:r>
          </w:p>
        </w:tc>
        <w:tc>
          <w:tcPr>
            <w:tcW w:w="620"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1968</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590</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10 759</w:t>
            </w:r>
          </w:p>
        </w:tc>
        <w:tc>
          <w:tcPr>
            <w:tcW w:w="418"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2133</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2222</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2213</w:t>
            </w:r>
          </w:p>
        </w:tc>
        <w:tc>
          <w:tcPr>
            <w:tcW w:w="443"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2138</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2152</w:t>
            </w:r>
          </w:p>
        </w:tc>
        <w:tc>
          <w:tcPr>
            <w:tcW w:w="502" w:type="pct"/>
            <w:tcBorders>
              <w:top w:val="nil"/>
              <w:bottom w:val="nil"/>
            </w:tcBorders>
            <w:vAlign w:val="center"/>
          </w:tcPr>
          <w:p w:rsidR="00A95047" w:rsidRPr="00FD5316" w:rsidRDefault="00A95047" w:rsidP="002722BC">
            <w:pPr>
              <w:pStyle w:val="tablenormal0"/>
              <w:jc w:val="center"/>
              <w:rPr>
                <w:rFonts w:asciiTheme="minorHAnsi" w:hAnsiTheme="minorHAnsi" w:cstheme="minorHAnsi"/>
                <w:bCs/>
                <w:szCs w:val="18"/>
              </w:rPr>
            </w:pPr>
            <w:r>
              <w:rPr>
                <w:rFonts w:asciiTheme="minorHAnsi" w:hAnsiTheme="minorHAnsi" w:cstheme="minorHAnsi"/>
                <w:bCs/>
                <w:szCs w:val="18"/>
              </w:rPr>
              <w:t>2148</w:t>
            </w:r>
          </w:p>
        </w:tc>
      </w:tr>
    </w:tbl>
    <w:p w:rsidR="00AE7B13" w:rsidRDefault="00AE7B13" w:rsidP="00AE7B13">
      <w:pPr>
        <w:pStyle w:val="AERbodytext"/>
      </w:pPr>
      <w:r>
        <w:t xml:space="preserve">Demand and availability was close to forecast. </w:t>
      </w:r>
    </w:p>
    <w:p w:rsidR="006E28AD" w:rsidRDefault="00AE7B13" w:rsidP="00D86C47">
      <w:pPr>
        <w:pStyle w:val="AERbodytext"/>
      </w:pPr>
      <w:r>
        <w:t xml:space="preserve">A </w:t>
      </w:r>
      <w:r w:rsidR="0028764D">
        <w:t>steep supply curve was forecast 12 hours ahead, with 15</w:t>
      </w:r>
      <w:r w:rsidR="00607E41">
        <w:t> </w:t>
      </w:r>
      <w:r w:rsidR="0028764D">
        <w:t xml:space="preserve">MW of available capacity </w:t>
      </w:r>
      <w:r w:rsidR="00DF3C4A">
        <w:t>between $591/MWh and $10 </w:t>
      </w:r>
      <w:r w:rsidR="0028764D">
        <w:t xml:space="preserve">779/MWh. Consequently, small changes in demand and availability caused the forecast twelve </w:t>
      </w:r>
      <w:r w:rsidR="00DF3C4A">
        <w:t>hour price to decrease from $10 </w:t>
      </w:r>
      <w:r w:rsidR="0028764D">
        <w:t xml:space="preserve">759/MWh to $590/MWh four hours ahead.   </w:t>
      </w:r>
    </w:p>
    <w:p w:rsidR="000802B0" w:rsidRDefault="006E28AD" w:rsidP="00D86C47">
      <w:pPr>
        <w:pStyle w:val="AERbodytext"/>
      </w:pPr>
      <w:r>
        <w:t xml:space="preserve">Imports from Victoria into South Australia across the Heywood Interconnector were limited </w:t>
      </w:r>
      <w:r w:rsidR="002732A5">
        <w:t xml:space="preserve">by the constraint managing an outage of the Keith to </w:t>
      </w:r>
      <w:r w:rsidR="0097692A">
        <w:t>Tailem</w:t>
      </w:r>
      <w:r w:rsidR="002732A5">
        <w:t xml:space="preserve"> Ben</w:t>
      </w:r>
      <w:r w:rsidR="0097692A">
        <w:t>d</w:t>
      </w:r>
      <w:r w:rsidR="002732A5">
        <w:t xml:space="preserve"> 132</w:t>
      </w:r>
      <w:r w:rsidR="0097692A">
        <w:t> </w:t>
      </w:r>
      <w:r w:rsidR="002732A5">
        <w:t>kV</w:t>
      </w:r>
      <w:r w:rsidR="0097692A">
        <w:t xml:space="preserve"> line</w:t>
      </w:r>
      <w:r w:rsidR="002732A5">
        <w:t>. The constraint bound for longer than forecast, limiting imports from Victoria into South Australia to 405</w:t>
      </w:r>
      <w:r w:rsidR="00607E41">
        <w:t> </w:t>
      </w:r>
      <w:r w:rsidR="002732A5">
        <w:t>MW (40</w:t>
      </w:r>
      <w:r w:rsidR="00607E41">
        <w:t> </w:t>
      </w:r>
      <w:r w:rsidR="002732A5">
        <w:t xml:space="preserve">MW less than forecast four hours ahead). </w:t>
      </w:r>
      <w:r w:rsidR="0051315D">
        <w:t xml:space="preserve"> </w:t>
      </w:r>
    </w:p>
    <w:p w:rsidR="0051315D" w:rsidRPr="0051315D" w:rsidRDefault="0051315D" w:rsidP="0051315D">
      <w:pPr>
        <w:keepNext/>
        <w:spacing w:before="240" w:after="120"/>
        <w:rPr>
          <w:b/>
          <w:bCs/>
          <w:color w:val="2272A3" w:themeColor="accent4" w:themeShade="80"/>
          <w:sz w:val="24"/>
          <w:szCs w:val="18"/>
        </w:rPr>
      </w:pPr>
      <w:r w:rsidRPr="002D1734">
        <w:rPr>
          <w:b/>
          <w:bCs/>
          <w:color w:val="2272A3" w:themeColor="accent4" w:themeShade="80"/>
          <w:sz w:val="24"/>
          <w:szCs w:val="18"/>
        </w:rPr>
        <w:lastRenderedPageBreak/>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8A4178">
        <w:rPr>
          <w:b/>
          <w:bCs/>
          <w:noProof/>
          <w:color w:val="2272A3" w:themeColor="accent4" w:themeShade="80"/>
          <w:sz w:val="24"/>
          <w:szCs w:val="18"/>
        </w:rPr>
        <w:t>8</w:t>
      </w:r>
      <w:r w:rsidRPr="002D1734">
        <w:rPr>
          <w:b/>
          <w:bCs/>
          <w:noProof/>
          <w:color w:val="2272A3" w:themeColor="accent4" w:themeShade="80"/>
          <w:sz w:val="24"/>
          <w:szCs w:val="18"/>
        </w:rPr>
        <w:fldChar w:fldCharType="end"/>
      </w:r>
      <w:r>
        <w:rPr>
          <w:b/>
          <w:bCs/>
          <w:color w:val="2272A3" w:themeColor="accent4" w:themeShade="80"/>
          <w:sz w:val="24"/>
          <w:szCs w:val="18"/>
        </w:rPr>
        <w:t xml:space="preserve">: Rebids for 6.30 pm </w:t>
      </w:r>
    </w:p>
    <w:tbl>
      <w:tblPr>
        <w:tblW w:w="0" w:type="auto"/>
        <w:tblCellMar>
          <w:left w:w="0" w:type="dxa"/>
          <w:right w:w="0" w:type="dxa"/>
        </w:tblCellMar>
        <w:tblLook w:val="04A0" w:firstRow="1" w:lastRow="0" w:firstColumn="1" w:lastColumn="0" w:noHBand="0" w:noVBand="1"/>
      </w:tblPr>
      <w:tblGrid>
        <w:gridCol w:w="891"/>
        <w:gridCol w:w="751"/>
        <w:gridCol w:w="1351"/>
        <w:gridCol w:w="781"/>
        <w:gridCol w:w="978"/>
        <w:gridCol w:w="827"/>
        <w:gridCol w:w="770"/>
        <w:gridCol w:w="2757"/>
      </w:tblGrid>
      <w:tr w:rsidR="00962C79" w:rsidRPr="00962C79">
        <w:trPr>
          <w:trHeight w:val="335"/>
        </w:trPr>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ascii="Times New Roman" w:eastAsia="Times New Roman" w:hAnsi="Times New Roman" w:cs="Times New Roman"/>
                <w:sz w:val="2"/>
                <w:szCs w:val="2"/>
                <w:lang w:eastAsia="en-AU"/>
              </w:rPr>
            </w:pPr>
            <w:r w:rsidRPr="00962C79">
              <w:rPr>
                <w:rFonts w:eastAsia="Times New Roman" w:cs="Arial"/>
                <w:color w:val="FFFFFF"/>
                <w:sz w:val="18"/>
                <w:szCs w:val="18"/>
                <w:lang w:eastAsia="en-AU"/>
              </w:rPr>
              <w:t>Submitted</w:t>
            </w:r>
            <w:r w:rsidRPr="00962C79">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ascii="Times New Roman" w:eastAsia="Times New Roman" w:hAnsi="Times New Roman" w:cs="Times New Roman"/>
                <w:sz w:val="2"/>
                <w:szCs w:val="2"/>
                <w:lang w:eastAsia="en-AU"/>
              </w:rPr>
            </w:pPr>
            <w:r w:rsidRPr="00962C79">
              <w:rPr>
                <w:rFonts w:eastAsia="Times New Roman" w:cs="Arial"/>
                <w:color w:val="FFFFFF"/>
                <w:sz w:val="18"/>
                <w:szCs w:val="18"/>
                <w:lang w:eastAsia="en-AU"/>
              </w:rPr>
              <w:t>Time</w:t>
            </w:r>
            <w:r w:rsidRPr="00962C79">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eastAsia="Times New Roman" w:cs="Arial"/>
                <w:color w:val="FFFFFF"/>
                <w:sz w:val="18"/>
                <w:szCs w:val="18"/>
                <w:lang w:eastAsia="en-AU"/>
              </w:rPr>
            </w:pPr>
            <w:r w:rsidRPr="00962C79">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eastAsia="Times New Roman" w:cs="Arial"/>
                <w:color w:val="FFFFFF"/>
                <w:sz w:val="18"/>
                <w:szCs w:val="18"/>
                <w:lang w:eastAsia="en-AU"/>
              </w:rPr>
            </w:pPr>
            <w:r w:rsidRPr="00962C79">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ascii="Times New Roman" w:eastAsia="Times New Roman" w:hAnsi="Times New Roman" w:cs="Times New Roman"/>
                <w:sz w:val="2"/>
                <w:szCs w:val="2"/>
                <w:lang w:eastAsia="en-AU"/>
              </w:rPr>
            </w:pPr>
            <w:r w:rsidRPr="00962C79">
              <w:rPr>
                <w:rFonts w:eastAsia="Times New Roman" w:cs="Arial"/>
                <w:color w:val="FFFFFF"/>
                <w:sz w:val="18"/>
                <w:szCs w:val="18"/>
                <w:lang w:eastAsia="en-AU"/>
              </w:rPr>
              <w:t>Capacity rebid</w:t>
            </w:r>
            <w:r w:rsidRPr="00962C79">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ascii="Times New Roman" w:eastAsia="Times New Roman" w:hAnsi="Times New Roman" w:cs="Times New Roman"/>
                <w:sz w:val="2"/>
                <w:szCs w:val="2"/>
                <w:lang w:eastAsia="en-AU"/>
              </w:rPr>
            </w:pPr>
            <w:r w:rsidRPr="00962C79">
              <w:rPr>
                <w:rFonts w:eastAsia="Times New Roman" w:cs="Arial"/>
                <w:color w:val="FFFFFF"/>
                <w:sz w:val="18"/>
                <w:szCs w:val="18"/>
                <w:lang w:eastAsia="en-AU"/>
              </w:rPr>
              <w:t>Price from</w:t>
            </w:r>
            <w:r w:rsidRPr="00962C79">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ascii="Times New Roman" w:eastAsia="Times New Roman" w:hAnsi="Times New Roman" w:cs="Times New Roman"/>
                <w:sz w:val="2"/>
                <w:szCs w:val="2"/>
                <w:lang w:eastAsia="en-AU"/>
              </w:rPr>
            </w:pPr>
            <w:r w:rsidRPr="00962C79">
              <w:rPr>
                <w:rFonts w:eastAsia="Times New Roman" w:cs="Arial"/>
                <w:color w:val="FFFFFF"/>
                <w:sz w:val="18"/>
                <w:szCs w:val="18"/>
                <w:lang w:eastAsia="en-AU"/>
              </w:rPr>
              <w:t>Price to</w:t>
            </w:r>
            <w:r w:rsidRPr="00962C79">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62C79" w:rsidRPr="00962C79" w:rsidRDefault="00962C79" w:rsidP="00962C79">
            <w:pPr>
              <w:spacing w:before="0" w:line="240" w:lineRule="auto"/>
              <w:jc w:val="center"/>
              <w:textAlignment w:val="top"/>
              <w:rPr>
                <w:rFonts w:eastAsia="Times New Roman" w:cs="Arial"/>
                <w:color w:val="FFFFFF"/>
                <w:sz w:val="18"/>
                <w:szCs w:val="18"/>
                <w:lang w:eastAsia="en-AU"/>
              </w:rPr>
            </w:pPr>
            <w:r w:rsidRPr="00962C79">
              <w:rPr>
                <w:rFonts w:eastAsia="Times New Roman" w:cs="Arial"/>
                <w:color w:val="FFFFFF"/>
                <w:sz w:val="18"/>
                <w:szCs w:val="18"/>
                <w:lang w:eastAsia="en-AU"/>
              </w:rPr>
              <w:t>Rebid reason</w:t>
            </w:r>
          </w:p>
        </w:tc>
      </w:tr>
      <w:tr w:rsidR="00962C79" w:rsidRPr="00962C79">
        <w:trPr>
          <w:trHeight w:val="699"/>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962C79" w:rsidP="00607E41">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5</w:t>
            </w:r>
            <w:r w:rsidR="00607E41">
              <w:rPr>
                <w:rFonts w:eastAsia="Times New Roman" w:cs="Arial"/>
                <w:color w:val="000000"/>
                <w:sz w:val="18"/>
                <w:szCs w:val="18"/>
                <w:lang w:eastAsia="en-AU"/>
              </w:rPr>
              <w:t>.</w:t>
            </w:r>
            <w:r w:rsidRPr="00962C79">
              <w:rPr>
                <w:rFonts w:eastAsia="Times New Roman" w:cs="Arial"/>
                <w:color w:val="000000"/>
                <w:sz w:val="18"/>
                <w:szCs w:val="18"/>
                <w:lang w:eastAsia="en-AU"/>
              </w:rPr>
              <w:t>23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962C79" w:rsidP="00962C79">
            <w:pPr>
              <w:spacing w:before="0" w:line="240" w:lineRule="auto"/>
              <w:jc w:val="center"/>
              <w:rPr>
                <w:rFonts w:ascii="Times New Roman" w:eastAsia="Times New Roman" w:hAnsi="Times New Roman" w:cs="Times New Roman"/>
                <w:sz w:val="24"/>
                <w:szCs w:val="24"/>
                <w:lang w:eastAsia="en-AU"/>
              </w:rPr>
            </w:pPr>
            <w:r w:rsidRPr="00962C79">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962C79" w:rsidP="00962C79">
            <w:pPr>
              <w:spacing w:before="0" w:line="240" w:lineRule="auto"/>
              <w:textAlignment w:val="center"/>
              <w:rPr>
                <w:rFonts w:eastAsia="Times New Roman" w:cs="Arial"/>
                <w:color w:val="000000"/>
                <w:sz w:val="18"/>
                <w:szCs w:val="18"/>
                <w:lang w:eastAsia="en-AU"/>
              </w:rPr>
            </w:pPr>
            <w:proofErr w:type="spellStart"/>
            <w:r w:rsidRPr="00962C79">
              <w:rPr>
                <w:rFonts w:eastAsia="Times New Roman" w:cs="Arial"/>
                <w:color w:val="000000"/>
                <w:sz w:val="18"/>
                <w:szCs w:val="18"/>
                <w:lang w:eastAsia="en-AU"/>
              </w:rPr>
              <w:t>EnergyAustralia</w:t>
            </w:r>
            <w:proofErr w:type="spellEnd"/>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962C79" w:rsidP="00962C79">
            <w:pPr>
              <w:spacing w:before="0" w:line="240" w:lineRule="auto"/>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Hallett</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777937" w:rsidP="00962C7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40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962C79" w:rsidP="00962C79">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361</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777937" w:rsidP="00962C79">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&gt;590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962C79" w:rsidRPr="00962C79" w:rsidRDefault="00F45D91" w:rsidP="00AE7B13">
            <w:pPr>
              <w:spacing w:before="0" w:line="240" w:lineRule="auto"/>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 xml:space="preserve">17:22 </w:t>
            </w:r>
            <w:r w:rsidR="00AE7B13">
              <w:rPr>
                <w:rFonts w:eastAsia="Times New Roman" w:cs="Arial"/>
                <w:color w:val="000000"/>
                <w:sz w:val="18"/>
                <w:szCs w:val="18"/>
                <w:lang w:eastAsia="en-AU"/>
              </w:rPr>
              <w:t>A</w:t>
            </w:r>
            <w:r w:rsidRPr="00962C79">
              <w:rPr>
                <w:rFonts w:eastAsia="Times New Roman" w:cs="Arial"/>
                <w:color w:val="000000"/>
                <w:sz w:val="18"/>
                <w:szCs w:val="18"/>
                <w:lang w:eastAsia="en-AU"/>
              </w:rPr>
              <w:t xml:space="preserve"> band </w:t>
            </w:r>
            <w:proofErr w:type="spellStart"/>
            <w:r w:rsidRPr="00962C79">
              <w:rPr>
                <w:rFonts w:eastAsia="Times New Roman" w:cs="Arial"/>
                <w:color w:val="000000"/>
                <w:sz w:val="18"/>
                <w:szCs w:val="18"/>
                <w:lang w:eastAsia="en-AU"/>
              </w:rPr>
              <w:t>adj</w:t>
            </w:r>
            <w:proofErr w:type="spellEnd"/>
            <w:r w:rsidRPr="00962C79">
              <w:rPr>
                <w:rFonts w:eastAsia="Times New Roman" w:cs="Arial"/>
                <w:color w:val="000000"/>
                <w:sz w:val="18"/>
                <w:szCs w:val="18"/>
                <w:lang w:eastAsia="en-AU"/>
              </w:rPr>
              <w:t xml:space="preserve"> due to material change in demand </w:t>
            </w:r>
            <w:proofErr w:type="spellStart"/>
            <w:r w:rsidRPr="00962C79">
              <w:rPr>
                <w:rFonts w:eastAsia="Times New Roman" w:cs="Arial"/>
                <w:color w:val="000000"/>
                <w:sz w:val="18"/>
                <w:szCs w:val="18"/>
                <w:lang w:eastAsia="en-AU"/>
              </w:rPr>
              <w:t>sl</w:t>
            </w:r>
            <w:proofErr w:type="spellEnd"/>
          </w:p>
        </w:tc>
      </w:tr>
      <w:tr w:rsidR="00777937" w:rsidRPr="00962C79">
        <w:trPr>
          <w:trHeight w:val="699"/>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607E41">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6</w:t>
            </w:r>
            <w:r w:rsidR="00607E41">
              <w:rPr>
                <w:rFonts w:eastAsia="Times New Roman" w:cs="Arial"/>
                <w:color w:val="000000"/>
                <w:sz w:val="18"/>
                <w:szCs w:val="18"/>
                <w:lang w:eastAsia="en-AU"/>
              </w:rPr>
              <w:t>.</w:t>
            </w:r>
            <w:r w:rsidRPr="00962C79">
              <w:rPr>
                <w:rFonts w:eastAsia="Times New Roman" w:cs="Arial"/>
                <w:color w:val="000000"/>
                <w:sz w:val="18"/>
                <w:szCs w:val="18"/>
                <w:lang w:eastAsia="en-AU"/>
              </w:rPr>
              <w:t>12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607E41">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6</w:t>
            </w:r>
            <w:r w:rsidR="00607E41">
              <w:rPr>
                <w:rFonts w:eastAsia="Times New Roman" w:cs="Arial"/>
                <w:color w:val="000000"/>
                <w:sz w:val="18"/>
                <w:szCs w:val="18"/>
                <w:lang w:eastAsia="en-AU"/>
              </w:rPr>
              <w:t>.</w:t>
            </w:r>
            <w:r w:rsidRPr="00962C79">
              <w:rPr>
                <w:rFonts w:eastAsia="Times New Roman" w:cs="Arial"/>
                <w:color w:val="000000"/>
                <w:sz w:val="18"/>
                <w:szCs w:val="18"/>
                <w:lang w:eastAsia="en-AU"/>
              </w:rPr>
              <w:t xml:space="preserve">20 </w:t>
            </w:r>
            <w:r w:rsidR="00607E41">
              <w:rPr>
                <w:rFonts w:eastAsia="Times New Roman" w:cs="Arial"/>
                <w:color w:val="000000"/>
                <w:sz w:val="18"/>
                <w:szCs w:val="18"/>
                <w:lang w:eastAsia="en-AU"/>
              </w:rPr>
              <w:t>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D92417">
            <w:pPr>
              <w:spacing w:before="0" w:line="240" w:lineRule="auto"/>
              <w:textAlignment w:val="center"/>
              <w:rPr>
                <w:rFonts w:eastAsia="Times New Roman" w:cs="Arial"/>
                <w:color w:val="000000"/>
                <w:sz w:val="18"/>
                <w:szCs w:val="18"/>
                <w:lang w:eastAsia="en-AU"/>
              </w:rPr>
            </w:pPr>
            <w:proofErr w:type="spellStart"/>
            <w:r w:rsidRPr="00962C79">
              <w:rPr>
                <w:rFonts w:eastAsia="Times New Roman" w:cs="Arial"/>
                <w:color w:val="000000"/>
                <w:sz w:val="18"/>
                <w:szCs w:val="18"/>
                <w:lang w:eastAsia="en-AU"/>
              </w:rPr>
              <w:t>Alinta</w:t>
            </w:r>
            <w:proofErr w:type="spellEnd"/>
            <w:r w:rsidRPr="00962C79">
              <w:rPr>
                <w:rFonts w:eastAsia="Times New Roman" w:cs="Arial"/>
                <w:color w:val="000000"/>
                <w:sz w:val="18"/>
                <w:szCs w:val="18"/>
                <w:lang w:eastAsia="en-AU"/>
              </w:rPr>
              <w:t xml:space="preserve">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D92417">
            <w:pPr>
              <w:spacing w:before="0" w:line="240" w:lineRule="auto"/>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Northern</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23</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46</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13</w:t>
            </w:r>
            <w:r w:rsidR="00AE7B13">
              <w:rPr>
                <w:rFonts w:eastAsia="Times New Roman" w:cs="Arial"/>
                <w:color w:val="000000"/>
                <w:sz w:val="18"/>
                <w:szCs w:val="18"/>
                <w:lang w:eastAsia="en-AU"/>
              </w:rPr>
              <w:t> </w:t>
            </w:r>
            <w:r w:rsidRPr="00962C79">
              <w:rPr>
                <w:rFonts w:eastAsia="Times New Roman" w:cs="Arial"/>
                <w:color w:val="000000"/>
                <w:sz w:val="18"/>
                <w:szCs w:val="18"/>
                <w:lang w:eastAsia="en-AU"/>
              </w:rPr>
              <w:t>334</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777937" w:rsidRPr="00962C79" w:rsidRDefault="00AE7B13" w:rsidP="00D9241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1810~A</w:t>
            </w:r>
            <w:r w:rsidR="00777937" w:rsidRPr="00962C79">
              <w:rPr>
                <w:rFonts w:eastAsia="Times New Roman" w:cs="Arial"/>
                <w:color w:val="000000"/>
                <w:sz w:val="18"/>
                <w:szCs w:val="18"/>
                <w:lang w:eastAsia="en-AU"/>
              </w:rPr>
              <w:t>~dispatch $590 v 5pd $351.50~</w:t>
            </w:r>
          </w:p>
        </w:tc>
      </w:tr>
      <w:tr w:rsidR="00777937" w:rsidRPr="00962C79">
        <w:trPr>
          <w:trHeight w:val="699"/>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607E41">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6</w:t>
            </w:r>
            <w:r w:rsidR="00607E41">
              <w:rPr>
                <w:rFonts w:eastAsia="Times New Roman" w:cs="Arial"/>
                <w:color w:val="000000"/>
                <w:sz w:val="18"/>
                <w:szCs w:val="18"/>
                <w:lang w:eastAsia="en-AU"/>
              </w:rPr>
              <w:t>.</w:t>
            </w:r>
            <w:r w:rsidRPr="00962C79">
              <w:rPr>
                <w:rFonts w:eastAsia="Times New Roman" w:cs="Arial"/>
                <w:color w:val="000000"/>
                <w:sz w:val="18"/>
                <w:szCs w:val="18"/>
                <w:lang w:eastAsia="en-AU"/>
              </w:rPr>
              <w:t>12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607E41">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6</w:t>
            </w:r>
            <w:r w:rsidR="00607E41">
              <w:rPr>
                <w:rFonts w:eastAsia="Times New Roman" w:cs="Arial"/>
                <w:color w:val="000000"/>
                <w:sz w:val="18"/>
                <w:szCs w:val="18"/>
                <w:lang w:eastAsia="en-AU"/>
              </w:rPr>
              <w:t>.</w:t>
            </w:r>
            <w:r w:rsidRPr="00962C79">
              <w:rPr>
                <w:rFonts w:eastAsia="Times New Roman" w:cs="Arial"/>
                <w:color w:val="000000"/>
                <w:sz w:val="18"/>
                <w:szCs w:val="18"/>
                <w:lang w:eastAsia="en-AU"/>
              </w:rPr>
              <w:t xml:space="preserve">20 </w:t>
            </w:r>
            <w:r w:rsidR="00607E41">
              <w:rPr>
                <w:rFonts w:eastAsia="Times New Roman" w:cs="Arial"/>
                <w:color w:val="000000"/>
                <w:sz w:val="18"/>
                <w:szCs w:val="18"/>
                <w:lang w:eastAsia="en-AU"/>
              </w:rPr>
              <w:t>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D92417">
            <w:pPr>
              <w:spacing w:before="0" w:line="240" w:lineRule="auto"/>
              <w:textAlignment w:val="center"/>
              <w:rPr>
                <w:rFonts w:eastAsia="Times New Roman" w:cs="Arial"/>
                <w:color w:val="000000"/>
                <w:sz w:val="18"/>
                <w:szCs w:val="18"/>
                <w:lang w:eastAsia="en-AU"/>
              </w:rPr>
            </w:pPr>
            <w:proofErr w:type="spellStart"/>
            <w:r w:rsidRPr="00962C79">
              <w:rPr>
                <w:rFonts w:eastAsia="Times New Roman" w:cs="Arial"/>
                <w:color w:val="000000"/>
                <w:sz w:val="18"/>
                <w:szCs w:val="18"/>
                <w:lang w:eastAsia="en-AU"/>
              </w:rPr>
              <w:t>EnergyAustralia</w:t>
            </w:r>
            <w:proofErr w:type="spellEnd"/>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D92417">
            <w:pPr>
              <w:spacing w:before="0" w:line="240" w:lineRule="auto"/>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Hallett</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15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590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777937" w:rsidP="00D92417">
            <w:pPr>
              <w:spacing w:before="0" w:line="240" w:lineRule="auto"/>
              <w:jc w:val="center"/>
              <w:textAlignment w:val="center"/>
              <w:rPr>
                <w:rFonts w:eastAsia="Times New Roman" w:cs="Arial"/>
                <w:color w:val="000000"/>
                <w:sz w:val="18"/>
                <w:szCs w:val="18"/>
                <w:lang w:eastAsia="en-AU"/>
              </w:rPr>
            </w:pPr>
            <w:r w:rsidRPr="00962C79">
              <w:rPr>
                <w:rFonts w:eastAsia="Times New Roman" w:cs="Arial"/>
                <w:color w:val="000000"/>
                <w:sz w:val="18"/>
                <w:szCs w:val="18"/>
                <w:lang w:eastAsia="en-AU"/>
              </w:rPr>
              <w:t>13</w:t>
            </w:r>
            <w:r w:rsidR="00AE7B13">
              <w:rPr>
                <w:rFonts w:eastAsia="Times New Roman" w:cs="Arial"/>
                <w:color w:val="000000"/>
                <w:sz w:val="18"/>
                <w:szCs w:val="18"/>
                <w:lang w:eastAsia="en-AU"/>
              </w:rPr>
              <w:t> </w:t>
            </w:r>
            <w:r w:rsidRPr="00962C79">
              <w:rPr>
                <w:rFonts w:eastAsia="Times New Roman" w:cs="Arial"/>
                <w:color w:val="000000"/>
                <w:sz w:val="18"/>
                <w:szCs w:val="18"/>
                <w:lang w:eastAsia="en-AU"/>
              </w:rPr>
              <w:t>482</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77937" w:rsidRPr="00962C79" w:rsidRDefault="00AE7B13" w:rsidP="00D9241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 xml:space="preserve">18:12 A band </w:t>
            </w:r>
            <w:proofErr w:type="spellStart"/>
            <w:r>
              <w:rPr>
                <w:rFonts w:eastAsia="Times New Roman" w:cs="Arial"/>
                <w:color w:val="000000"/>
                <w:sz w:val="18"/>
                <w:szCs w:val="18"/>
                <w:lang w:eastAsia="en-AU"/>
              </w:rPr>
              <w:t>adj</w:t>
            </w:r>
            <w:proofErr w:type="spellEnd"/>
            <w:r>
              <w:rPr>
                <w:rFonts w:eastAsia="Times New Roman" w:cs="Arial"/>
                <w:color w:val="000000"/>
                <w:sz w:val="18"/>
                <w:szCs w:val="18"/>
                <w:lang w:eastAsia="en-AU"/>
              </w:rPr>
              <w:t xml:space="preserve"> due to change in SA</w:t>
            </w:r>
            <w:r w:rsidR="00777937" w:rsidRPr="00962C79">
              <w:rPr>
                <w:rFonts w:eastAsia="Times New Roman" w:cs="Arial"/>
                <w:color w:val="000000"/>
                <w:sz w:val="18"/>
                <w:szCs w:val="18"/>
                <w:lang w:eastAsia="en-AU"/>
              </w:rPr>
              <w:t xml:space="preserve"> </w:t>
            </w:r>
            <w:proofErr w:type="spellStart"/>
            <w:r w:rsidR="00777937" w:rsidRPr="00962C79">
              <w:rPr>
                <w:rFonts w:eastAsia="Times New Roman" w:cs="Arial"/>
                <w:color w:val="000000"/>
                <w:sz w:val="18"/>
                <w:szCs w:val="18"/>
                <w:lang w:eastAsia="en-AU"/>
              </w:rPr>
              <w:t>pricesl</w:t>
            </w:r>
            <w:proofErr w:type="spellEnd"/>
          </w:p>
        </w:tc>
      </w:tr>
    </w:tbl>
    <w:p w:rsidR="00777937" w:rsidRDefault="00777937" w:rsidP="0097692A">
      <w:pPr>
        <w:pStyle w:val="AERbodytext"/>
        <w:spacing w:before="240"/>
      </w:pPr>
      <w:r>
        <w:t xml:space="preserve">The </w:t>
      </w:r>
      <w:r w:rsidR="00AE7B13">
        <w:t xml:space="preserve">above </w:t>
      </w:r>
      <w:r>
        <w:t xml:space="preserve">rebids contributed to an already steep supply curve, with only </w:t>
      </w:r>
      <w:r w:rsidR="006E28AD">
        <w:t>29</w:t>
      </w:r>
      <w:r w:rsidR="00CF5C35">
        <w:t> </w:t>
      </w:r>
      <w:r w:rsidR="006E28AD">
        <w:t xml:space="preserve">MW of available capacity priced between $591/MWh and $10 779/MWh. </w:t>
      </w:r>
      <w:r w:rsidR="006E28AD" w:rsidRPr="00E7315F">
        <w:t>Consequently, small changes in demand, interconnectors and availability led to large changes in price.</w:t>
      </w:r>
      <w:r w:rsidR="006E28AD">
        <w:t xml:space="preserve">  </w:t>
      </w:r>
    </w:p>
    <w:p w:rsidR="00EE2298" w:rsidRDefault="00777937" w:rsidP="00D86C47">
      <w:pPr>
        <w:pStyle w:val="AERbodytext"/>
      </w:pPr>
      <w:r>
        <w:t>At 6.20</w:t>
      </w:r>
      <w:r w:rsidR="00CF5C35">
        <w:t> </w:t>
      </w:r>
      <w:r>
        <w:t>pm, demand increased by 50</w:t>
      </w:r>
      <w:r w:rsidR="00CF5C35">
        <w:t> </w:t>
      </w:r>
      <w:r>
        <w:t>MW.</w:t>
      </w:r>
      <w:r w:rsidR="002732A5">
        <w:t xml:space="preserve"> With lower priced generation either ramp rate limited, fully dispatched, stranded or trapped in FCAS, higher priced generation had to be dispatched to meet demand. This resulted in the dispatch price increasing from $590/MWh at 6.15</w:t>
      </w:r>
      <w:r w:rsidR="00CF5C35">
        <w:t> </w:t>
      </w:r>
      <w:r w:rsidR="002732A5">
        <w:t>pm to $10 579/MWh at 6.20</w:t>
      </w:r>
      <w:r w:rsidR="00CF5C35">
        <w:t> </w:t>
      </w:r>
      <w:r w:rsidR="002732A5">
        <w:t xml:space="preserve">pm. </w:t>
      </w:r>
      <w:r w:rsidR="00481BBB">
        <w:t>In response to the high price participants rebid around 100 MW to the price floor which saw the dispatch price fall to</w:t>
      </w:r>
      <w:r w:rsidR="002732A5">
        <w:t xml:space="preserve"> $104/MWh</w:t>
      </w:r>
      <w:r w:rsidR="000802B0">
        <w:t xml:space="preserve"> at 6.25 pm</w:t>
      </w:r>
      <w:r w:rsidR="00481BBB">
        <w:t>.</w:t>
      </w:r>
      <w:r w:rsidR="000802B0">
        <w:t xml:space="preserve"> </w:t>
      </w:r>
    </w:p>
    <w:p w:rsidR="005C37D3" w:rsidRDefault="00481BBB" w:rsidP="005C37D3">
      <w:pPr>
        <w:pStyle w:val="AERHeading3"/>
      </w:pPr>
      <w:r>
        <w:t>Saturday, 1 August</w:t>
      </w:r>
      <w:r w:rsidR="005C37D3">
        <w:t xml:space="preserve"> </w:t>
      </w:r>
    </w:p>
    <w:p w:rsidR="005C37D3" w:rsidRDefault="005C37D3" w:rsidP="005C37D3">
      <w:pPr>
        <w:pStyle w:val="Caption"/>
      </w:pPr>
      <w:proofErr w:type="gramStart"/>
      <w:r>
        <w:t xml:space="preserve">Table </w:t>
      </w:r>
      <w:proofErr w:type="gramEnd"/>
      <w:r w:rsidR="008A4178">
        <w:fldChar w:fldCharType="begin"/>
      </w:r>
      <w:r w:rsidR="008A4178">
        <w:instrText xml:space="preserve"> SEQ Table \* ARABIC </w:instrText>
      </w:r>
      <w:r w:rsidR="008A4178">
        <w:fldChar w:fldCharType="separate"/>
      </w:r>
      <w:r w:rsidR="008A4178">
        <w:rPr>
          <w:noProof/>
        </w:rPr>
        <w:t>9</w:t>
      </w:r>
      <w:r w:rsidR="008A4178">
        <w:rPr>
          <w:noProof/>
        </w:rPr>
        <w:fldChar w:fldCharType="end"/>
      </w:r>
      <w:proofErr w:type="gramStart"/>
      <w:r>
        <w:t>.</w:t>
      </w:r>
      <w:proofErr w:type="gramEnd"/>
      <w:r w:rsidRPr="00431FC4">
        <w:t xml:space="preserve"> Price, Demand and Availability</w:t>
      </w:r>
    </w:p>
    <w:tbl>
      <w:tblPr>
        <w:tblStyle w:val="AERsummarytable"/>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C37D3" w:rsidRPr="00616CEC" w:rsidTr="002D0303">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5C37D3" w:rsidRPr="00DC24BF" w:rsidRDefault="005C37D3" w:rsidP="002D0303">
            <w:pPr>
              <w:pStyle w:val="TableHeading"/>
              <w:jc w:val="center"/>
              <w:rPr>
                <w:rFonts w:cs="Arial"/>
                <w:sz w:val="20"/>
                <w:szCs w:val="20"/>
              </w:rPr>
            </w:pPr>
            <w:r w:rsidRPr="00DC24BF">
              <w:rPr>
                <w:rFonts w:cs="Arial"/>
                <w:sz w:val="20"/>
                <w:szCs w:val="20"/>
              </w:rPr>
              <w:t xml:space="preserve">Time </w:t>
            </w:r>
          </w:p>
        </w:tc>
        <w:tc>
          <w:tcPr>
            <w:tcW w:w="1624" w:type="pct"/>
            <w:gridSpan w:val="3"/>
            <w:hideMark/>
          </w:tcPr>
          <w:p w:rsidR="005C37D3" w:rsidRPr="00DC24BF" w:rsidRDefault="005C37D3" w:rsidP="002D0303">
            <w:pPr>
              <w:pStyle w:val="TableHeading"/>
              <w:jc w:val="center"/>
              <w:rPr>
                <w:rFonts w:cs="Arial"/>
                <w:sz w:val="20"/>
                <w:szCs w:val="20"/>
              </w:rPr>
            </w:pPr>
            <w:r w:rsidRPr="00DC24BF">
              <w:rPr>
                <w:rFonts w:cs="Arial"/>
                <w:sz w:val="20"/>
                <w:szCs w:val="20"/>
              </w:rPr>
              <w:t>Price ($/MWh)</w:t>
            </w:r>
          </w:p>
        </w:tc>
        <w:tc>
          <w:tcPr>
            <w:tcW w:w="1422" w:type="pct"/>
            <w:gridSpan w:val="3"/>
            <w:hideMark/>
          </w:tcPr>
          <w:p w:rsidR="005C37D3" w:rsidRPr="00DC24BF" w:rsidRDefault="005C37D3" w:rsidP="002D0303">
            <w:pPr>
              <w:pStyle w:val="TableHeading"/>
              <w:jc w:val="center"/>
              <w:rPr>
                <w:rFonts w:cs="Arial"/>
                <w:sz w:val="20"/>
                <w:szCs w:val="20"/>
              </w:rPr>
            </w:pPr>
            <w:r w:rsidRPr="00DC24BF">
              <w:rPr>
                <w:rFonts w:cs="Arial"/>
                <w:sz w:val="20"/>
                <w:szCs w:val="20"/>
              </w:rPr>
              <w:t>Demand (MW)</w:t>
            </w:r>
          </w:p>
        </w:tc>
        <w:tc>
          <w:tcPr>
            <w:tcW w:w="1447" w:type="pct"/>
            <w:gridSpan w:val="3"/>
            <w:hideMark/>
          </w:tcPr>
          <w:p w:rsidR="005C37D3" w:rsidRPr="00DC24BF" w:rsidRDefault="005C37D3" w:rsidP="002D0303">
            <w:pPr>
              <w:pStyle w:val="TableHeading"/>
              <w:jc w:val="center"/>
              <w:rPr>
                <w:rFonts w:cs="Arial"/>
                <w:sz w:val="20"/>
                <w:szCs w:val="20"/>
              </w:rPr>
            </w:pPr>
            <w:r w:rsidRPr="00DC24BF">
              <w:rPr>
                <w:rFonts w:cs="Arial"/>
                <w:sz w:val="20"/>
                <w:szCs w:val="20"/>
              </w:rPr>
              <w:t>Availability (MW)</w:t>
            </w:r>
          </w:p>
        </w:tc>
      </w:tr>
      <w:tr w:rsidR="005C37D3" w:rsidRPr="00616CEC" w:rsidTr="002D0303">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 </w:t>
            </w:r>
          </w:p>
        </w:tc>
        <w:tc>
          <w:tcPr>
            <w:tcW w:w="620"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Actual</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4 hr forecast</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12 hr forecast</w:t>
            </w:r>
          </w:p>
        </w:tc>
        <w:tc>
          <w:tcPr>
            <w:tcW w:w="418"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Actual</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4 hr forecast</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12 hr forecast</w:t>
            </w:r>
          </w:p>
        </w:tc>
        <w:tc>
          <w:tcPr>
            <w:tcW w:w="443"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Actual</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4 hr forecast</w:t>
            </w:r>
          </w:p>
        </w:tc>
        <w:tc>
          <w:tcPr>
            <w:tcW w:w="502" w:type="pct"/>
            <w:hideMark/>
          </w:tcPr>
          <w:p w:rsidR="005C37D3" w:rsidRPr="00616CEC" w:rsidRDefault="005C37D3" w:rsidP="002D0303">
            <w:pPr>
              <w:pStyle w:val="TableHeading"/>
              <w:jc w:val="center"/>
              <w:rPr>
                <w:rFonts w:cs="Arial"/>
                <w:b w:val="0"/>
                <w:sz w:val="20"/>
                <w:szCs w:val="20"/>
              </w:rPr>
            </w:pPr>
            <w:r w:rsidRPr="00616CEC">
              <w:rPr>
                <w:rFonts w:cs="Arial"/>
                <w:b w:val="0"/>
                <w:sz w:val="20"/>
                <w:szCs w:val="20"/>
              </w:rPr>
              <w:t>12 hr forecast</w:t>
            </w:r>
          </w:p>
        </w:tc>
      </w:tr>
      <w:tr w:rsidR="005C37D3" w:rsidRPr="00F113FD" w:rsidTr="002D0303">
        <w:trPr>
          <w:cnfStyle w:val="000000100000" w:firstRow="0" w:lastRow="0" w:firstColumn="0" w:lastColumn="0" w:oddVBand="0" w:evenVBand="0" w:oddHBand="1" w:evenHBand="0" w:firstRowFirstColumn="0" w:firstRowLastColumn="0" w:lastRowFirstColumn="0" w:lastRowLastColumn="0"/>
          <w:trHeight w:val="510"/>
        </w:trPr>
        <w:tc>
          <w:tcPr>
            <w:tcW w:w="506"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2 pm</w:t>
            </w:r>
          </w:p>
        </w:tc>
        <w:tc>
          <w:tcPr>
            <w:tcW w:w="620"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4542</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55</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55</w:t>
            </w:r>
          </w:p>
        </w:tc>
        <w:tc>
          <w:tcPr>
            <w:tcW w:w="418"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1653</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1507</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1553</w:t>
            </w:r>
          </w:p>
        </w:tc>
        <w:tc>
          <w:tcPr>
            <w:tcW w:w="443"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1844</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1916</w:t>
            </w:r>
          </w:p>
        </w:tc>
        <w:tc>
          <w:tcPr>
            <w:tcW w:w="502" w:type="pct"/>
            <w:vAlign w:val="center"/>
          </w:tcPr>
          <w:p w:rsidR="005C37D3" w:rsidRPr="00FD5316" w:rsidRDefault="005C37D3" w:rsidP="002D0303">
            <w:pPr>
              <w:spacing w:before="100" w:beforeAutospacing="1" w:after="100" w:afterAutospacing="1" w:line="240" w:lineRule="auto"/>
              <w:jc w:val="center"/>
              <w:rPr>
                <w:rFonts w:cs="Arial"/>
                <w:szCs w:val="18"/>
                <w:lang w:eastAsia="en-AU"/>
              </w:rPr>
            </w:pPr>
            <w:r>
              <w:rPr>
                <w:rFonts w:cs="Arial"/>
                <w:szCs w:val="18"/>
                <w:lang w:eastAsia="en-AU"/>
              </w:rPr>
              <w:t>1931</w:t>
            </w:r>
          </w:p>
        </w:tc>
      </w:tr>
    </w:tbl>
    <w:p w:rsidR="007A54F7" w:rsidRDefault="00CE3527" w:rsidP="001C2EE8">
      <w:pPr>
        <w:pStyle w:val="AERHeading3"/>
        <w:jc w:val="both"/>
        <w:rPr>
          <w:b w:val="0"/>
          <w:color w:val="auto"/>
          <w:sz w:val="22"/>
          <w:szCs w:val="22"/>
        </w:rPr>
      </w:pPr>
      <w:r>
        <w:rPr>
          <w:b w:val="0"/>
          <w:color w:val="auto"/>
          <w:sz w:val="22"/>
          <w:szCs w:val="22"/>
        </w:rPr>
        <w:t>Demand was 146</w:t>
      </w:r>
      <w:r w:rsidR="00481BBB">
        <w:rPr>
          <w:b w:val="0"/>
          <w:color w:val="auto"/>
          <w:sz w:val="22"/>
          <w:szCs w:val="22"/>
        </w:rPr>
        <w:t> </w:t>
      </w:r>
      <w:r>
        <w:rPr>
          <w:b w:val="0"/>
          <w:color w:val="auto"/>
          <w:sz w:val="22"/>
          <w:szCs w:val="22"/>
        </w:rPr>
        <w:t>MW higher than forecast and available generatio</w:t>
      </w:r>
      <w:r w:rsidR="00263CB7">
        <w:rPr>
          <w:b w:val="0"/>
          <w:color w:val="auto"/>
          <w:sz w:val="22"/>
          <w:szCs w:val="22"/>
        </w:rPr>
        <w:t>n was 72</w:t>
      </w:r>
      <w:r w:rsidR="00481BBB">
        <w:rPr>
          <w:b w:val="0"/>
          <w:color w:val="auto"/>
          <w:sz w:val="22"/>
          <w:szCs w:val="22"/>
        </w:rPr>
        <w:t> </w:t>
      </w:r>
      <w:r w:rsidR="00263CB7">
        <w:rPr>
          <w:b w:val="0"/>
          <w:color w:val="auto"/>
          <w:sz w:val="22"/>
          <w:szCs w:val="22"/>
        </w:rPr>
        <w:t xml:space="preserve">MW less </w:t>
      </w:r>
      <w:r w:rsidR="007A54F7">
        <w:rPr>
          <w:b w:val="0"/>
          <w:color w:val="auto"/>
          <w:sz w:val="22"/>
          <w:szCs w:val="22"/>
        </w:rPr>
        <w:t>than forecast four hours ahead (wind generation was 92</w:t>
      </w:r>
      <w:r w:rsidR="00481BBB">
        <w:rPr>
          <w:b w:val="0"/>
          <w:color w:val="auto"/>
          <w:sz w:val="22"/>
          <w:szCs w:val="22"/>
        </w:rPr>
        <w:t> </w:t>
      </w:r>
      <w:r w:rsidR="007A54F7">
        <w:rPr>
          <w:b w:val="0"/>
          <w:color w:val="auto"/>
          <w:sz w:val="22"/>
          <w:szCs w:val="22"/>
        </w:rPr>
        <w:t xml:space="preserve">MW less than forecast four hours ahead). </w:t>
      </w:r>
    </w:p>
    <w:p w:rsidR="007A54F7" w:rsidRPr="007A54F7" w:rsidRDefault="007A54F7" w:rsidP="007A54F7">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8A4178">
        <w:rPr>
          <w:b/>
          <w:bCs/>
          <w:noProof/>
          <w:color w:val="2272A3" w:themeColor="accent4" w:themeShade="80"/>
          <w:sz w:val="24"/>
          <w:szCs w:val="18"/>
        </w:rPr>
        <w:t>10</w:t>
      </w:r>
      <w:r w:rsidRPr="002D1734">
        <w:rPr>
          <w:b/>
          <w:bCs/>
          <w:noProof/>
          <w:color w:val="2272A3" w:themeColor="accent4" w:themeShade="80"/>
          <w:sz w:val="24"/>
          <w:szCs w:val="18"/>
        </w:rPr>
        <w:fldChar w:fldCharType="end"/>
      </w:r>
      <w:r>
        <w:rPr>
          <w:b/>
          <w:bCs/>
          <w:color w:val="2272A3" w:themeColor="accent4" w:themeShade="80"/>
          <w:sz w:val="24"/>
          <w:szCs w:val="18"/>
        </w:rPr>
        <w:t xml:space="preserve">: Rebids for 10 am </w:t>
      </w:r>
    </w:p>
    <w:tbl>
      <w:tblPr>
        <w:tblW w:w="0" w:type="auto"/>
        <w:tblCellMar>
          <w:left w:w="0" w:type="dxa"/>
          <w:right w:w="0" w:type="dxa"/>
        </w:tblCellMar>
        <w:tblLook w:val="04A0" w:firstRow="1" w:lastRow="0" w:firstColumn="1" w:lastColumn="0" w:noHBand="0" w:noVBand="1"/>
      </w:tblPr>
      <w:tblGrid>
        <w:gridCol w:w="891"/>
        <w:gridCol w:w="751"/>
        <w:gridCol w:w="1027"/>
        <w:gridCol w:w="1072"/>
        <w:gridCol w:w="956"/>
        <w:gridCol w:w="821"/>
        <w:gridCol w:w="770"/>
        <w:gridCol w:w="2818"/>
      </w:tblGrid>
      <w:tr w:rsidR="007A54F7" w:rsidRPr="007A54F7">
        <w:trPr>
          <w:trHeight w:val="335"/>
        </w:trPr>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ascii="Times New Roman" w:eastAsia="Times New Roman" w:hAnsi="Times New Roman" w:cs="Times New Roman"/>
                <w:sz w:val="2"/>
                <w:szCs w:val="2"/>
                <w:lang w:eastAsia="en-AU"/>
              </w:rPr>
            </w:pPr>
            <w:r w:rsidRPr="007A54F7">
              <w:rPr>
                <w:rFonts w:eastAsia="Times New Roman" w:cs="Arial"/>
                <w:color w:val="FFFFFF"/>
                <w:sz w:val="18"/>
                <w:szCs w:val="18"/>
                <w:lang w:eastAsia="en-AU"/>
              </w:rPr>
              <w:t>Submitted</w:t>
            </w:r>
            <w:r w:rsidRPr="007A54F7">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ascii="Times New Roman" w:eastAsia="Times New Roman" w:hAnsi="Times New Roman" w:cs="Times New Roman"/>
                <w:sz w:val="2"/>
                <w:szCs w:val="2"/>
                <w:lang w:eastAsia="en-AU"/>
              </w:rPr>
            </w:pPr>
            <w:r w:rsidRPr="007A54F7">
              <w:rPr>
                <w:rFonts w:eastAsia="Times New Roman" w:cs="Arial"/>
                <w:color w:val="FFFFFF"/>
                <w:sz w:val="18"/>
                <w:szCs w:val="18"/>
                <w:lang w:eastAsia="en-AU"/>
              </w:rPr>
              <w:t>Time</w:t>
            </w:r>
            <w:r w:rsidRPr="007A54F7">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eastAsia="Times New Roman" w:cs="Arial"/>
                <w:color w:val="FFFFFF"/>
                <w:sz w:val="18"/>
                <w:szCs w:val="18"/>
                <w:lang w:eastAsia="en-AU"/>
              </w:rPr>
            </w:pPr>
            <w:r w:rsidRPr="007A54F7">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eastAsia="Times New Roman" w:cs="Arial"/>
                <w:color w:val="FFFFFF"/>
                <w:sz w:val="18"/>
                <w:szCs w:val="18"/>
                <w:lang w:eastAsia="en-AU"/>
              </w:rPr>
            </w:pPr>
            <w:r w:rsidRPr="007A54F7">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ascii="Times New Roman" w:eastAsia="Times New Roman" w:hAnsi="Times New Roman" w:cs="Times New Roman"/>
                <w:sz w:val="2"/>
                <w:szCs w:val="2"/>
                <w:lang w:eastAsia="en-AU"/>
              </w:rPr>
            </w:pPr>
            <w:r w:rsidRPr="007A54F7">
              <w:rPr>
                <w:rFonts w:eastAsia="Times New Roman" w:cs="Arial"/>
                <w:color w:val="FFFFFF"/>
                <w:sz w:val="18"/>
                <w:szCs w:val="18"/>
                <w:lang w:eastAsia="en-AU"/>
              </w:rPr>
              <w:t>Capacity rebid</w:t>
            </w:r>
            <w:r w:rsidRPr="007A54F7">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ascii="Times New Roman" w:eastAsia="Times New Roman" w:hAnsi="Times New Roman" w:cs="Times New Roman"/>
                <w:sz w:val="2"/>
                <w:szCs w:val="2"/>
                <w:lang w:eastAsia="en-AU"/>
              </w:rPr>
            </w:pPr>
            <w:r w:rsidRPr="007A54F7">
              <w:rPr>
                <w:rFonts w:eastAsia="Times New Roman" w:cs="Arial"/>
                <w:color w:val="FFFFFF"/>
                <w:sz w:val="18"/>
                <w:szCs w:val="18"/>
                <w:lang w:eastAsia="en-AU"/>
              </w:rPr>
              <w:t>Price from</w:t>
            </w:r>
            <w:r w:rsidRPr="007A54F7">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ascii="Times New Roman" w:eastAsia="Times New Roman" w:hAnsi="Times New Roman" w:cs="Times New Roman"/>
                <w:sz w:val="2"/>
                <w:szCs w:val="2"/>
                <w:lang w:eastAsia="en-AU"/>
              </w:rPr>
            </w:pPr>
            <w:r w:rsidRPr="007A54F7">
              <w:rPr>
                <w:rFonts w:eastAsia="Times New Roman" w:cs="Arial"/>
                <w:color w:val="FFFFFF"/>
                <w:sz w:val="18"/>
                <w:szCs w:val="18"/>
                <w:lang w:eastAsia="en-AU"/>
              </w:rPr>
              <w:t>Price to</w:t>
            </w:r>
            <w:r w:rsidRPr="007A54F7">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7A54F7" w:rsidRPr="007A54F7" w:rsidRDefault="007A54F7" w:rsidP="007A54F7">
            <w:pPr>
              <w:spacing w:before="0" w:line="240" w:lineRule="auto"/>
              <w:jc w:val="center"/>
              <w:textAlignment w:val="top"/>
              <w:rPr>
                <w:rFonts w:eastAsia="Times New Roman" w:cs="Arial"/>
                <w:color w:val="FFFFFF"/>
                <w:sz w:val="18"/>
                <w:szCs w:val="18"/>
                <w:lang w:eastAsia="en-AU"/>
              </w:rPr>
            </w:pPr>
            <w:r w:rsidRPr="007A54F7">
              <w:rPr>
                <w:rFonts w:eastAsia="Times New Roman" w:cs="Arial"/>
                <w:color w:val="FFFFFF"/>
                <w:sz w:val="18"/>
                <w:szCs w:val="18"/>
                <w:lang w:eastAsia="en-AU"/>
              </w:rPr>
              <w:t>Rebid reason</w:t>
            </w:r>
          </w:p>
        </w:tc>
      </w:tr>
      <w:tr w:rsidR="007A54F7" w:rsidRPr="007A54F7">
        <w:trPr>
          <w:trHeight w:val="699"/>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481BBB" w:rsidP="007A54F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w:t>
            </w:r>
            <w:r w:rsidR="007A54F7" w:rsidRPr="007A54F7">
              <w:rPr>
                <w:rFonts w:eastAsia="Times New Roman" w:cs="Arial"/>
                <w:color w:val="000000"/>
                <w:sz w:val="18"/>
                <w:szCs w:val="18"/>
                <w:lang w:eastAsia="en-AU"/>
              </w:rPr>
              <w:t>46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481BBB" w:rsidP="00481BB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w:t>
            </w:r>
            <w:r w:rsidR="007A54F7" w:rsidRPr="007A54F7">
              <w:rPr>
                <w:rFonts w:eastAsia="Times New Roman" w:cs="Arial"/>
                <w:color w:val="000000"/>
                <w:sz w:val="18"/>
                <w:szCs w:val="18"/>
                <w:lang w:eastAsia="en-AU"/>
              </w:rPr>
              <w:t xml:space="preserve">55 </w:t>
            </w:r>
            <w:r>
              <w:rPr>
                <w:rFonts w:eastAsia="Times New Roman" w:cs="Arial"/>
                <w:color w:val="000000"/>
                <w:sz w:val="18"/>
                <w:szCs w:val="18"/>
                <w:lang w:eastAsia="en-AU"/>
              </w:rPr>
              <w:t>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7A54F7" w:rsidP="007A54F7">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AGL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7A54F7" w:rsidP="007A54F7">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Torrens Island</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7A54F7" w:rsidP="007A54F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270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7A54F7" w:rsidP="007A54F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&lt;65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7A54F7" w:rsidP="007A54F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13</w:t>
            </w:r>
            <w:r w:rsidR="00481BBB">
              <w:rPr>
                <w:rFonts w:eastAsia="Times New Roman" w:cs="Arial"/>
                <w:color w:val="000000"/>
                <w:sz w:val="18"/>
                <w:szCs w:val="18"/>
                <w:lang w:eastAsia="en-AU"/>
              </w:rPr>
              <w:t> </w:t>
            </w:r>
            <w:r w:rsidRPr="007A54F7">
              <w:rPr>
                <w:rFonts w:eastAsia="Times New Roman" w:cs="Arial"/>
                <w:color w:val="000000"/>
                <w:sz w:val="18"/>
                <w:szCs w:val="18"/>
                <w:lang w:eastAsia="en-AU"/>
              </w:rPr>
              <w:t>500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7A54F7" w:rsidRPr="007A54F7" w:rsidRDefault="00A453C1" w:rsidP="00481BBB">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1331~</w:t>
            </w:r>
            <w:r w:rsidR="00481BBB">
              <w:rPr>
                <w:rFonts w:eastAsia="Times New Roman" w:cs="Arial"/>
                <w:color w:val="000000"/>
                <w:sz w:val="18"/>
                <w:szCs w:val="18"/>
                <w:lang w:eastAsia="en-AU"/>
              </w:rPr>
              <w:t>A</w:t>
            </w:r>
            <w:r w:rsidRPr="007A54F7">
              <w:rPr>
                <w:rFonts w:eastAsia="Times New Roman" w:cs="Arial"/>
                <w:color w:val="000000"/>
                <w:sz w:val="18"/>
                <w:szCs w:val="18"/>
                <w:lang w:eastAsia="en-AU"/>
              </w:rPr>
              <w:t xml:space="preserve">~050 </w:t>
            </w:r>
            <w:proofErr w:type="spellStart"/>
            <w:r w:rsidRPr="007A54F7">
              <w:rPr>
                <w:rFonts w:eastAsia="Times New Roman" w:cs="Arial"/>
                <w:color w:val="000000"/>
                <w:sz w:val="18"/>
                <w:szCs w:val="18"/>
                <w:lang w:eastAsia="en-AU"/>
              </w:rPr>
              <w:t>chg</w:t>
            </w:r>
            <w:proofErr w:type="spellEnd"/>
            <w:r w:rsidRPr="007A54F7">
              <w:rPr>
                <w:rFonts w:eastAsia="Times New Roman" w:cs="Arial"/>
                <w:color w:val="000000"/>
                <w:sz w:val="18"/>
                <w:szCs w:val="18"/>
                <w:lang w:eastAsia="en-AU"/>
              </w:rPr>
              <w:t xml:space="preserve"> in </w:t>
            </w:r>
            <w:r w:rsidR="00481BBB">
              <w:rPr>
                <w:rFonts w:eastAsia="Times New Roman" w:cs="Arial"/>
                <w:color w:val="000000"/>
                <w:sz w:val="18"/>
                <w:szCs w:val="18"/>
                <w:lang w:eastAsia="en-AU"/>
              </w:rPr>
              <w:t>AEMO</w:t>
            </w:r>
            <w:r w:rsidRPr="007A54F7">
              <w:rPr>
                <w:rFonts w:eastAsia="Times New Roman" w:cs="Arial"/>
                <w:color w:val="000000"/>
                <w:sz w:val="18"/>
                <w:szCs w:val="18"/>
                <w:lang w:eastAsia="en-AU"/>
              </w:rPr>
              <w:t xml:space="preserve"> </w:t>
            </w:r>
            <w:proofErr w:type="spellStart"/>
            <w:r w:rsidRPr="007A54F7">
              <w:rPr>
                <w:rFonts w:eastAsia="Times New Roman" w:cs="Arial"/>
                <w:color w:val="000000"/>
                <w:sz w:val="18"/>
                <w:szCs w:val="18"/>
                <w:lang w:eastAsia="en-AU"/>
              </w:rPr>
              <w:t>pd~decr</w:t>
            </w:r>
            <w:proofErr w:type="spellEnd"/>
            <w:r w:rsidRPr="007A54F7">
              <w:rPr>
                <w:rFonts w:eastAsia="Times New Roman" w:cs="Arial"/>
                <w:color w:val="000000"/>
                <w:sz w:val="18"/>
                <w:szCs w:val="18"/>
                <w:lang w:eastAsia="en-AU"/>
              </w:rPr>
              <w:t xml:space="preserve"> wind forecast </w:t>
            </w:r>
            <w:r w:rsidR="00481BBB">
              <w:rPr>
                <w:rFonts w:eastAsia="Times New Roman" w:cs="Arial"/>
                <w:color w:val="000000"/>
                <w:sz w:val="18"/>
                <w:szCs w:val="18"/>
                <w:lang w:eastAsia="en-AU"/>
              </w:rPr>
              <w:t>SA</w:t>
            </w:r>
            <w:r w:rsidRPr="007A54F7">
              <w:rPr>
                <w:rFonts w:eastAsia="Times New Roman" w:cs="Arial"/>
                <w:color w:val="000000"/>
                <w:sz w:val="18"/>
                <w:szCs w:val="18"/>
                <w:lang w:eastAsia="en-AU"/>
              </w:rPr>
              <w:t xml:space="preserve"> -99</w:t>
            </w:r>
            <w:r w:rsidR="00481BBB">
              <w:rPr>
                <w:rFonts w:eastAsia="Times New Roman" w:cs="Arial"/>
                <w:color w:val="000000"/>
                <w:sz w:val="18"/>
                <w:szCs w:val="18"/>
                <w:lang w:eastAsia="en-AU"/>
              </w:rPr>
              <w:t>MW</w:t>
            </w:r>
            <w:r w:rsidRPr="007A54F7">
              <w:rPr>
                <w:rFonts w:eastAsia="Times New Roman" w:cs="Arial"/>
                <w:color w:val="000000"/>
                <w:sz w:val="18"/>
                <w:szCs w:val="18"/>
                <w:lang w:eastAsia="en-AU"/>
              </w:rPr>
              <w:t xml:space="preserve"> [1400]</w:t>
            </w:r>
          </w:p>
        </w:tc>
      </w:tr>
      <w:tr w:rsidR="00FC7D52" w:rsidRPr="007A54F7">
        <w:trPr>
          <w:trHeight w:val="699"/>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481BBB">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1</w:t>
            </w:r>
            <w:r w:rsidR="00481BBB">
              <w:rPr>
                <w:rFonts w:eastAsia="Times New Roman" w:cs="Arial"/>
                <w:color w:val="000000"/>
                <w:sz w:val="18"/>
                <w:szCs w:val="18"/>
                <w:lang w:eastAsia="en-AU"/>
              </w:rPr>
              <w:t>.</w:t>
            </w:r>
            <w:r w:rsidRPr="007A54F7">
              <w:rPr>
                <w:rFonts w:eastAsia="Times New Roman" w:cs="Arial"/>
                <w:color w:val="000000"/>
                <w:sz w:val="18"/>
                <w:szCs w:val="18"/>
                <w:lang w:eastAsia="en-AU"/>
              </w:rPr>
              <w:t>53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481BBB">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2</w:t>
            </w:r>
            <w:r w:rsidR="00481BBB">
              <w:rPr>
                <w:rFonts w:eastAsia="Times New Roman" w:cs="Arial"/>
                <w:color w:val="000000"/>
                <w:sz w:val="18"/>
                <w:szCs w:val="18"/>
                <w:lang w:eastAsia="en-AU"/>
              </w:rPr>
              <w:t>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D92417">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Origin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D92417">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Quarantine</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D9241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-48</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D9241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95</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D92417">
            <w:pPr>
              <w:spacing w:before="0" w:line="240" w:lineRule="auto"/>
              <w:jc w:val="center"/>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N/A</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FC7D52" w:rsidRPr="007A54F7" w:rsidRDefault="00FC7D52" w:rsidP="00481BBB">
            <w:pPr>
              <w:spacing w:before="0" w:line="240" w:lineRule="auto"/>
              <w:textAlignment w:val="center"/>
              <w:rPr>
                <w:rFonts w:eastAsia="Times New Roman" w:cs="Arial"/>
                <w:color w:val="000000"/>
                <w:sz w:val="18"/>
                <w:szCs w:val="18"/>
                <w:lang w:eastAsia="en-AU"/>
              </w:rPr>
            </w:pPr>
            <w:r w:rsidRPr="007A54F7">
              <w:rPr>
                <w:rFonts w:eastAsia="Times New Roman" w:cs="Arial"/>
                <w:color w:val="000000"/>
                <w:sz w:val="18"/>
                <w:szCs w:val="18"/>
                <w:lang w:eastAsia="en-AU"/>
              </w:rPr>
              <w:t>1350</w:t>
            </w:r>
            <w:r w:rsidR="00481BBB">
              <w:rPr>
                <w:rFonts w:eastAsia="Times New Roman" w:cs="Arial"/>
                <w:color w:val="000000"/>
                <w:sz w:val="18"/>
                <w:szCs w:val="18"/>
                <w:lang w:eastAsia="en-AU"/>
              </w:rPr>
              <w:t>A</w:t>
            </w:r>
            <w:r w:rsidRPr="007A54F7">
              <w:rPr>
                <w:rFonts w:eastAsia="Times New Roman" w:cs="Arial"/>
                <w:color w:val="000000"/>
                <w:sz w:val="18"/>
                <w:szCs w:val="18"/>
                <w:lang w:eastAsia="en-AU"/>
              </w:rPr>
              <w:t xml:space="preserve"> avoid uneconomic start - avoid short run </w:t>
            </w:r>
            <w:proofErr w:type="spellStart"/>
            <w:r w:rsidRPr="007A54F7">
              <w:rPr>
                <w:rFonts w:eastAsia="Times New Roman" w:cs="Arial"/>
                <w:color w:val="000000"/>
                <w:sz w:val="18"/>
                <w:szCs w:val="18"/>
                <w:lang w:eastAsia="en-AU"/>
              </w:rPr>
              <w:t>sl</w:t>
            </w:r>
            <w:proofErr w:type="spellEnd"/>
          </w:p>
        </w:tc>
      </w:tr>
    </w:tbl>
    <w:p w:rsidR="00A453C1" w:rsidRPr="00D71771" w:rsidRDefault="00924CC3" w:rsidP="00A453C1">
      <w:pPr>
        <w:pStyle w:val="AERbodytext"/>
      </w:pPr>
      <w:r>
        <w:t xml:space="preserve">With lower priced generation </w:t>
      </w:r>
      <w:r w:rsidR="005300A1">
        <w:t>trapped in FCAS or ramp rate limited, the rebid by AGL resulted in the dispatch price increasing from $65/MWh at 1.50</w:t>
      </w:r>
      <w:r w:rsidR="00FB61C0">
        <w:t> </w:t>
      </w:r>
      <w:r w:rsidR="005300A1">
        <w:t xml:space="preserve">pm to </w:t>
      </w:r>
      <w:r w:rsidR="00DF3C4A">
        <w:t>$13 </w:t>
      </w:r>
      <w:r w:rsidR="00EC5565">
        <w:t>500/MWh</w:t>
      </w:r>
      <w:r w:rsidR="005300A1">
        <w:t xml:space="preserve"> </w:t>
      </w:r>
      <w:r w:rsidR="00DF3C4A">
        <w:t>at 1.55 </w:t>
      </w:r>
      <w:r w:rsidR="005300A1">
        <w:t xml:space="preserve">pm. </w:t>
      </w:r>
      <w:r>
        <w:t>At 2</w:t>
      </w:r>
      <w:r w:rsidR="00FB61C0">
        <w:t> </w:t>
      </w:r>
      <w:r>
        <w:t xml:space="preserve">pm, </w:t>
      </w:r>
      <w:r w:rsidR="00134071">
        <w:t xml:space="preserve">the dispatch price remained at </w:t>
      </w:r>
      <w:r w:rsidR="00DF3C4A">
        <w:t>$13 </w:t>
      </w:r>
      <w:r w:rsidR="00EC5565">
        <w:t>500/MWh</w:t>
      </w:r>
      <w:r w:rsidR="00134071">
        <w:t xml:space="preserve"> as low price generators were either trapped in FCAS, ramp rate limited or fully dispatched, and there was no step change in demand.  </w:t>
      </w:r>
    </w:p>
    <w:p w:rsidR="00275002" w:rsidRPr="0031019A" w:rsidRDefault="00275002" w:rsidP="005F6ADE">
      <w:pPr>
        <w:pStyle w:val="Heading2"/>
      </w:pPr>
      <w:r w:rsidRPr="0031019A">
        <w:lastRenderedPageBreak/>
        <w:t>Financial markets</w:t>
      </w:r>
    </w:p>
    <w:p w:rsidR="00275002" w:rsidRDefault="00275002" w:rsidP="009A3D22">
      <w:pPr>
        <w:jc w:val="both"/>
      </w:pPr>
      <w:r>
        <w:fldChar w:fldCharType="begin"/>
      </w:r>
      <w:r>
        <w:instrText xml:space="preserve"> REF _Ref410386540 \h </w:instrText>
      </w:r>
      <w:r w:rsidR="009A3D22">
        <w:instrText xml:space="preserve"> \* MERGEFORMAT </w:instrText>
      </w:r>
      <w:r>
        <w:fldChar w:fldCharType="separate"/>
      </w:r>
      <w:r w:rsidR="008A4178">
        <w:t xml:space="preserve">Figure </w:t>
      </w:r>
      <w:r w:rsidR="008A4178">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80DF8" w:rsidRPr="00280DF8" w:rsidRDefault="00275002" w:rsidP="001A7FF2">
      <w:pPr>
        <w:pStyle w:val="Caption"/>
        <w:spacing w:before="120" w:line="240" w:lineRule="auto"/>
        <w:rPr>
          <w:b w:val="0"/>
          <w:bCs w:val="0"/>
          <w:noProof/>
          <w:lang w:eastAsia="en-AU"/>
        </w:rPr>
      </w:pPr>
      <w:bookmarkStart w:id="20" w:name="_Ref410386540"/>
      <w:r>
        <w:t xml:space="preserve">Figure </w:t>
      </w:r>
      <w:r w:rsidR="008A4178">
        <w:fldChar w:fldCharType="begin"/>
      </w:r>
      <w:r w:rsidR="008A4178">
        <w:instrText xml:space="preserve"> SEQ Figure \* ARABIC </w:instrText>
      </w:r>
      <w:r w:rsidR="008A4178">
        <w:fldChar w:fldCharType="separate"/>
      </w:r>
      <w:r w:rsidR="008A4178">
        <w:rPr>
          <w:noProof/>
        </w:rPr>
        <w:t>9</w:t>
      </w:r>
      <w:r w:rsidR="008A4178">
        <w:rPr>
          <w:noProof/>
        </w:rPr>
        <w:fldChar w:fldCharType="end"/>
      </w:r>
      <w:bookmarkEnd w:id="20"/>
      <w:r w:rsidR="00280DF8">
        <w:t>:</w:t>
      </w:r>
      <w:r>
        <w:t xml:space="preserve"> </w:t>
      </w:r>
      <w:r w:rsidRPr="007A6ACB">
        <w:t>Quarterly base future prices Q</w:t>
      </w:r>
      <w:r w:rsidR="00017DD0">
        <w:t>3</w:t>
      </w:r>
      <w:r w:rsidRPr="007A6ACB">
        <w:t xml:space="preserve"> 2015 – Q</w:t>
      </w:r>
      <w:r w:rsidR="00CC0086">
        <w:t>2</w:t>
      </w:r>
      <w:r w:rsidRPr="007A6ACB">
        <w:t xml:space="preserve"> 201</w:t>
      </w:r>
      <w:r w:rsidR="00F87EBA">
        <w:t>9</w:t>
      </w:r>
      <w:r w:rsidR="00E47EAD" w:rsidRPr="00E47EAD">
        <w:rPr>
          <w:b w:val="0"/>
          <w:bCs w:val="0"/>
          <w:noProof/>
          <w:lang w:eastAsia="en-AU"/>
        </w:rPr>
        <w:t xml:space="preserve"> </w:t>
      </w:r>
    </w:p>
    <w:p w:rsidR="00D73D17" w:rsidRPr="00D73D17" w:rsidRDefault="00280DF8" w:rsidP="001A7FF2">
      <w:pPr>
        <w:spacing w:before="120" w:after="120" w:line="240" w:lineRule="auto"/>
        <w:rPr>
          <w:lang w:eastAsia="en-AU"/>
        </w:rPr>
      </w:pPr>
      <w:r w:rsidRPr="00280DF8">
        <w:rPr>
          <w:noProof/>
          <w:lang w:eastAsia="en-AU"/>
        </w:rPr>
        <w:drawing>
          <wp:inline distT="0" distB="0" distL="0" distR="0" wp14:anchorId="56527752" wp14:editId="34B85E08">
            <wp:extent cx="5731510" cy="2887610"/>
            <wp:effectExtent l="0" t="0" r="2540" b="8255"/>
            <wp:docPr id="1" name="Picture 1" descr="Figure 9 shows for all mainland regions the prices for base contracts (and total traded quantities for the week) for each quarter for the next four financial years.  " title="Figure 9: Quarterly base future prices Q3 2015 - Q2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A64EBB" w:rsidRDefault="00275002" w:rsidP="001A7FF2">
      <w:pPr>
        <w:pStyle w:val="Caption"/>
        <w:spacing w:before="120" w:line="240" w:lineRule="auto"/>
        <w:rPr>
          <w:b w:val="0"/>
          <w:bCs w:val="0"/>
          <w:color w:val="auto"/>
        </w:rPr>
      </w:pPr>
      <w:proofErr w:type="gramStart"/>
      <w:r w:rsidRPr="00A64EBB">
        <w:rPr>
          <w:b w:val="0"/>
          <w:bCs w:val="0"/>
          <w:color w:val="auto"/>
          <w:sz w:val="16"/>
          <w:szCs w:val="16"/>
        </w:rPr>
        <w:t>Source</w:t>
      </w:r>
      <w:r w:rsidR="00F72F41">
        <w:rPr>
          <w:b w:val="0"/>
          <w:bCs w:val="0"/>
          <w:color w:val="auto"/>
          <w:sz w:val="16"/>
          <w:szCs w:val="16"/>
        </w:rPr>
        <w:t>.</w:t>
      </w:r>
      <w:proofErr w:type="gramEnd"/>
      <w:r w:rsidRPr="00A64EBB">
        <w:rPr>
          <w:b w:val="0"/>
          <w:bCs w:val="0"/>
          <w:color w:val="auto"/>
          <w:sz w:val="16"/>
          <w:szCs w:val="16"/>
        </w:rPr>
        <w:t xml:space="preserve"> </w:t>
      </w:r>
      <w:hyperlink r:id="rId20"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8A4178">
        <w:t xml:space="preserve">Figure </w:t>
      </w:r>
      <w:r w:rsidR="008A4178">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1A7FF2">
      <w:pPr>
        <w:pStyle w:val="Caption"/>
        <w:spacing w:before="120" w:line="240" w:lineRule="auto"/>
      </w:pPr>
      <w:bookmarkStart w:id="21" w:name="_Ref410380382"/>
      <w:r>
        <w:t xml:space="preserve">Figure </w:t>
      </w:r>
      <w:r w:rsidR="008A4178">
        <w:fldChar w:fldCharType="begin"/>
      </w:r>
      <w:r w:rsidR="008A4178">
        <w:instrText xml:space="preserve"> SEQ Figure \* ARABIC </w:instrText>
      </w:r>
      <w:r w:rsidR="008A4178">
        <w:fldChar w:fldCharType="separate"/>
      </w:r>
      <w:r w:rsidR="008A4178">
        <w:rPr>
          <w:noProof/>
        </w:rPr>
        <w:t>10</w:t>
      </w:r>
      <w:r w:rsidR="008A4178">
        <w:rPr>
          <w:noProof/>
        </w:rPr>
        <w:fldChar w:fldCharType="end"/>
      </w:r>
      <w:bookmarkEnd w:id="21"/>
      <w:r w:rsidR="00280DF8">
        <w:t>:</w:t>
      </w:r>
      <w:r w:rsidRPr="00DF093A">
        <w:t xml:space="preserve"> Price of Q1 201</w:t>
      </w:r>
      <w:r w:rsidR="00F87EBA">
        <w:t>6</w:t>
      </w:r>
      <w:r w:rsidRPr="00DF093A">
        <w:t xml:space="preserve"> base contracts over the past 10 weeks (and the past 2 years)</w:t>
      </w:r>
    </w:p>
    <w:p w:rsidR="00275002" w:rsidRPr="0031019A" w:rsidRDefault="00CC0086" w:rsidP="001A7FF2">
      <w:pPr>
        <w:spacing w:before="0" w:after="120" w:line="240" w:lineRule="auto"/>
      </w:pPr>
      <w:r w:rsidRPr="00CC0086">
        <w:rPr>
          <w:noProof/>
          <w:lang w:eastAsia="en-AU"/>
        </w:rPr>
        <w:drawing>
          <wp:inline distT="0" distB="0" distL="0" distR="0" wp14:anchorId="7766726E" wp14:editId="3040EB69">
            <wp:extent cx="5731510" cy="2894651"/>
            <wp:effectExtent l="0" t="0" r="2540" b="1270"/>
            <wp:docPr id="22" name="Picture 2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4651"/>
                    </a:xfrm>
                    <a:prstGeom prst="rect">
                      <a:avLst/>
                    </a:prstGeom>
                    <a:noFill/>
                    <a:ln>
                      <a:noFill/>
                    </a:ln>
                  </pic:spPr>
                </pic:pic>
              </a:graphicData>
            </a:graphic>
          </wp:inline>
        </w:drawing>
      </w:r>
    </w:p>
    <w:p w:rsidR="00275002" w:rsidRPr="0031019A" w:rsidRDefault="00275002" w:rsidP="001A7FF2">
      <w:pPr>
        <w:pStyle w:val="Source"/>
        <w:spacing w:before="0" w:after="12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1A7FF2">
      <w:pPr>
        <w:pStyle w:val="Source"/>
        <w:spacing w:before="0" w:after="120" w:line="240" w:lineRule="auto"/>
      </w:pPr>
      <w:proofErr w:type="gramStart"/>
      <w:r w:rsidRPr="002A7439">
        <w:lastRenderedPageBreak/>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00D615F9">
        <w:t xml:space="preserve"> s</w:t>
      </w:r>
      <w:r w:rsidRPr="0031019A">
        <w:t>ection of our website.</w:t>
      </w:r>
    </w:p>
    <w:p w:rsidR="00275002" w:rsidRDefault="001A7FF2" w:rsidP="009A3D22">
      <w:pPr>
        <w:jc w:val="both"/>
      </w:pPr>
      <w:r>
        <w:fldChar w:fldCharType="begin"/>
      </w:r>
      <w:r>
        <w:instrText xml:space="preserve"> REF _Ref427676754 \h </w:instrText>
      </w:r>
      <w:r>
        <w:fldChar w:fldCharType="separate"/>
      </w:r>
      <w:r w:rsidR="008A4178">
        <w:t xml:space="preserve">Figure </w:t>
      </w:r>
      <w:r w:rsidR="008A4178">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1A7FF2">
      <w:pPr>
        <w:pStyle w:val="Caption"/>
        <w:spacing w:before="120" w:line="240" w:lineRule="auto"/>
      </w:pPr>
      <w:bookmarkStart w:id="22" w:name="_Ref427676754"/>
      <w:bookmarkStart w:id="23" w:name="_Ref410744936"/>
      <w:r>
        <w:t xml:space="preserve">Figure </w:t>
      </w:r>
      <w:r w:rsidR="008A4178">
        <w:fldChar w:fldCharType="begin"/>
      </w:r>
      <w:r w:rsidR="008A4178">
        <w:instrText xml:space="preserve"> SEQ Figure \* ARABIC </w:instrText>
      </w:r>
      <w:r w:rsidR="008A4178">
        <w:fldChar w:fldCharType="separate"/>
      </w:r>
      <w:r w:rsidR="008A4178">
        <w:rPr>
          <w:noProof/>
        </w:rPr>
        <w:t>11</w:t>
      </w:r>
      <w:r w:rsidR="008A4178">
        <w:rPr>
          <w:noProof/>
        </w:rPr>
        <w:fldChar w:fldCharType="end"/>
      </w:r>
      <w:bookmarkEnd w:id="22"/>
      <w:r w:rsidR="00280DF8">
        <w:t>:</w:t>
      </w:r>
      <w:r w:rsidRPr="0074419D">
        <w:t xml:space="preserve"> Price of Q1 201</w:t>
      </w:r>
      <w:r w:rsidR="00F87EBA">
        <w:t>6</w:t>
      </w:r>
      <w:r w:rsidRPr="0074419D">
        <w:t xml:space="preserve"> cap contracts over the past 10 weeks (and the past 2 years)</w:t>
      </w:r>
      <w:bookmarkEnd w:id="23"/>
    </w:p>
    <w:p w:rsidR="00275002" w:rsidRPr="0031019A" w:rsidRDefault="00CC0086" w:rsidP="001A7FF2">
      <w:pPr>
        <w:spacing w:before="120" w:after="120" w:line="240" w:lineRule="auto"/>
      </w:pPr>
      <w:r w:rsidRPr="00CC0086">
        <w:rPr>
          <w:noProof/>
          <w:lang w:eastAsia="en-AU"/>
        </w:rPr>
        <w:drawing>
          <wp:inline distT="0" distB="0" distL="0" distR="0" wp14:anchorId="021026EC" wp14:editId="40B1E50E">
            <wp:extent cx="5731510" cy="2874232"/>
            <wp:effectExtent l="0" t="0" r="2540" b="2540"/>
            <wp:docPr id="23" name="Picture 23"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275002" w:rsidRPr="002A7439" w:rsidRDefault="00275002" w:rsidP="001A7FF2">
      <w:pPr>
        <w:pStyle w:val="Source"/>
        <w:spacing w:before="120" w:after="12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731F13" w:rsidP="00275002">
      <w:pPr>
        <w:pStyle w:val="Heading4notnumbered"/>
      </w:pPr>
      <w:r>
        <w:t>August</w:t>
      </w:r>
      <w:r w:rsidR="004D5447" w:rsidRPr="0031019A">
        <w:t xml:space="preserve"> </w:t>
      </w:r>
      <w:r w:rsidR="00275002" w:rsidRPr="0031019A">
        <w:t>2015</w:t>
      </w:r>
    </w:p>
    <w:p w:rsidR="004E7D10" w:rsidRPr="0031019A" w:rsidRDefault="004E7D10">
      <w:pPr>
        <w:pStyle w:val="Heading4notnumbered"/>
      </w:pPr>
    </w:p>
    <w:sectPr w:rsidR="004E7D10" w:rsidRPr="0031019A" w:rsidSect="001A7FF2">
      <w:footerReference w:type="even" r:id="rId26"/>
      <w:footerReference w:type="default" r:id="rId27"/>
      <w:footerReference w:type="first" r:id="rId28"/>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BC" w:rsidRDefault="002722BC" w:rsidP="004B4412">
      <w:pPr>
        <w:spacing w:before="0"/>
      </w:pPr>
      <w:r>
        <w:separator/>
      </w:r>
    </w:p>
  </w:endnote>
  <w:endnote w:type="continuationSeparator" w:id="0">
    <w:p w:rsidR="002722BC" w:rsidRDefault="002722B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BC" w:rsidRPr="00A91A9E" w:rsidRDefault="002722B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722BC" w:rsidRDefault="002722BC"/>
  <w:p w:rsidR="002722BC" w:rsidRDefault="002722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BC" w:rsidRPr="00A94D89" w:rsidRDefault="002722B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A4178">
      <w:rPr>
        <w:rFonts w:cs="Arial"/>
        <w:i/>
        <w:noProof/>
      </w:rPr>
      <w:t>6</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BC" w:rsidRPr="00A94D89" w:rsidRDefault="002722B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A4178">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D15/120108</w:t>
    </w:r>
  </w:p>
  <w:p w:rsidR="002722BC" w:rsidRDefault="002722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BC" w:rsidRDefault="002722BC" w:rsidP="004B4412">
      <w:pPr>
        <w:spacing w:before="0"/>
      </w:pPr>
      <w:r>
        <w:separator/>
      </w:r>
    </w:p>
  </w:footnote>
  <w:footnote w:type="continuationSeparator" w:id="0">
    <w:p w:rsidR="002722BC" w:rsidRDefault="002722B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50726 - 20150801 Electricity weekly report.docx"/>
  </w:docVars>
  <w:rsids>
    <w:rsidRoot w:val="00275002"/>
    <w:rsid w:val="00003169"/>
    <w:rsid w:val="00007624"/>
    <w:rsid w:val="000147C1"/>
    <w:rsid w:val="00017DD0"/>
    <w:rsid w:val="00021202"/>
    <w:rsid w:val="00022F09"/>
    <w:rsid w:val="000242E7"/>
    <w:rsid w:val="00024C84"/>
    <w:rsid w:val="00030794"/>
    <w:rsid w:val="000316E7"/>
    <w:rsid w:val="00033902"/>
    <w:rsid w:val="0003564D"/>
    <w:rsid w:val="0003578C"/>
    <w:rsid w:val="00043FA7"/>
    <w:rsid w:val="000442BA"/>
    <w:rsid w:val="00051880"/>
    <w:rsid w:val="000528FD"/>
    <w:rsid w:val="00053C4F"/>
    <w:rsid w:val="00061CE2"/>
    <w:rsid w:val="00063247"/>
    <w:rsid w:val="00066157"/>
    <w:rsid w:val="00070F9F"/>
    <w:rsid w:val="0007137B"/>
    <w:rsid w:val="00074A4E"/>
    <w:rsid w:val="000766E2"/>
    <w:rsid w:val="00077616"/>
    <w:rsid w:val="000802B0"/>
    <w:rsid w:val="00085663"/>
    <w:rsid w:val="00085EBF"/>
    <w:rsid w:val="00086CF3"/>
    <w:rsid w:val="00087C4A"/>
    <w:rsid w:val="0009584C"/>
    <w:rsid w:val="00097E75"/>
    <w:rsid w:val="000A29ED"/>
    <w:rsid w:val="000A62D6"/>
    <w:rsid w:val="000A65C2"/>
    <w:rsid w:val="000B0311"/>
    <w:rsid w:val="000B3C8A"/>
    <w:rsid w:val="000D122C"/>
    <w:rsid w:val="000D3C77"/>
    <w:rsid w:val="000D68C5"/>
    <w:rsid w:val="000E1819"/>
    <w:rsid w:val="000E1A1B"/>
    <w:rsid w:val="000E2946"/>
    <w:rsid w:val="000E4F81"/>
    <w:rsid w:val="000E6C72"/>
    <w:rsid w:val="000E77BB"/>
    <w:rsid w:val="000E7E24"/>
    <w:rsid w:val="000F1D61"/>
    <w:rsid w:val="000F56F6"/>
    <w:rsid w:val="000F5855"/>
    <w:rsid w:val="00100142"/>
    <w:rsid w:val="001158FE"/>
    <w:rsid w:val="00116EB2"/>
    <w:rsid w:val="00124609"/>
    <w:rsid w:val="00127CAB"/>
    <w:rsid w:val="001337EF"/>
    <w:rsid w:val="00134071"/>
    <w:rsid w:val="00136716"/>
    <w:rsid w:val="00136A08"/>
    <w:rsid w:val="001373F1"/>
    <w:rsid w:val="0014511E"/>
    <w:rsid w:val="00145982"/>
    <w:rsid w:val="00151F61"/>
    <w:rsid w:val="00155113"/>
    <w:rsid w:val="001566F6"/>
    <w:rsid w:val="001573E4"/>
    <w:rsid w:val="00160756"/>
    <w:rsid w:val="00161EEE"/>
    <w:rsid w:val="00164FB1"/>
    <w:rsid w:val="00165027"/>
    <w:rsid w:val="001711CC"/>
    <w:rsid w:val="0017232E"/>
    <w:rsid w:val="00174102"/>
    <w:rsid w:val="00180157"/>
    <w:rsid w:val="001832C7"/>
    <w:rsid w:val="00186F77"/>
    <w:rsid w:val="001901A4"/>
    <w:rsid w:val="00191C6F"/>
    <w:rsid w:val="00192441"/>
    <w:rsid w:val="001926A4"/>
    <w:rsid w:val="00193ED7"/>
    <w:rsid w:val="001A7FF2"/>
    <w:rsid w:val="001B0C3B"/>
    <w:rsid w:val="001B45A0"/>
    <w:rsid w:val="001B6C15"/>
    <w:rsid w:val="001C027D"/>
    <w:rsid w:val="001C17B3"/>
    <w:rsid w:val="001C1BC0"/>
    <w:rsid w:val="001C2EE8"/>
    <w:rsid w:val="001D055E"/>
    <w:rsid w:val="001D0CE3"/>
    <w:rsid w:val="001E01B4"/>
    <w:rsid w:val="001E4665"/>
    <w:rsid w:val="001E5AEE"/>
    <w:rsid w:val="001F03EF"/>
    <w:rsid w:val="001F0EC9"/>
    <w:rsid w:val="001F1B78"/>
    <w:rsid w:val="001F492E"/>
    <w:rsid w:val="001F6DA3"/>
    <w:rsid w:val="001F7575"/>
    <w:rsid w:val="00201136"/>
    <w:rsid w:val="00203300"/>
    <w:rsid w:val="0020376D"/>
    <w:rsid w:val="0020489F"/>
    <w:rsid w:val="002050F5"/>
    <w:rsid w:val="002072A2"/>
    <w:rsid w:val="00214FBA"/>
    <w:rsid w:val="00216865"/>
    <w:rsid w:val="00224DB9"/>
    <w:rsid w:val="00227C97"/>
    <w:rsid w:val="00232A71"/>
    <w:rsid w:val="00251745"/>
    <w:rsid w:val="00251C37"/>
    <w:rsid w:val="0026266A"/>
    <w:rsid w:val="00262F65"/>
    <w:rsid w:val="00263AC0"/>
    <w:rsid w:val="00263CB7"/>
    <w:rsid w:val="002649D2"/>
    <w:rsid w:val="002649D8"/>
    <w:rsid w:val="00265486"/>
    <w:rsid w:val="0026772D"/>
    <w:rsid w:val="00270A51"/>
    <w:rsid w:val="002722BC"/>
    <w:rsid w:val="002732A5"/>
    <w:rsid w:val="00275002"/>
    <w:rsid w:val="00275927"/>
    <w:rsid w:val="00280DF8"/>
    <w:rsid w:val="00286874"/>
    <w:rsid w:val="0028764D"/>
    <w:rsid w:val="0029246F"/>
    <w:rsid w:val="00296B65"/>
    <w:rsid w:val="002A3CF2"/>
    <w:rsid w:val="002A7439"/>
    <w:rsid w:val="002A7DEF"/>
    <w:rsid w:val="002B0DAE"/>
    <w:rsid w:val="002C6DD3"/>
    <w:rsid w:val="002C71BB"/>
    <w:rsid w:val="002D0303"/>
    <w:rsid w:val="002D1734"/>
    <w:rsid w:val="002D484E"/>
    <w:rsid w:val="002D4A1F"/>
    <w:rsid w:val="002E6254"/>
    <w:rsid w:val="002F7986"/>
    <w:rsid w:val="003061FA"/>
    <w:rsid w:val="00307F6D"/>
    <w:rsid w:val="003177A2"/>
    <w:rsid w:val="00321853"/>
    <w:rsid w:val="003271B5"/>
    <w:rsid w:val="00331264"/>
    <w:rsid w:val="00334C8D"/>
    <w:rsid w:val="00336D50"/>
    <w:rsid w:val="00341169"/>
    <w:rsid w:val="00342870"/>
    <w:rsid w:val="003518B3"/>
    <w:rsid w:val="00352DA8"/>
    <w:rsid w:val="00354887"/>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1829"/>
    <w:rsid w:val="003E1B0A"/>
    <w:rsid w:val="003E47DC"/>
    <w:rsid w:val="003F0289"/>
    <w:rsid w:val="003F57F1"/>
    <w:rsid w:val="003F75C8"/>
    <w:rsid w:val="00402142"/>
    <w:rsid w:val="00403473"/>
    <w:rsid w:val="00411897"/>
    <w:rsid w:val="00412176"/>
    <w:rsid w:val="00414488"/>
    <w:rsid w:val="00415788"/>
    <w:rsid w:val="00416641"/>
    <w:rsid w:val="0042193A"/>
    <w:rsid w:val="00456C20"/>
    <w:rsid w:val="00471E68"/>
    <w:rsid w:val="00480B4B"/>
    <w:rsid w:val="00481BBB"/>
    <w:rsid w:val="004831F8"/>
    <w:rsid w:val="00485DC4"/>
    <w:rsid w:val="00492A06"/>
    <w:rsid w:val="00493B02"/>
    <w:rsid w:val="0049483E"/>
    <w:rsid w:val="004B104F"/>
    <w:rsid w:val="004B4412"/>
    <w:rsid w:val="004C348C"/>
    <w:rsid w:val="004C63B9"/>
    <w:rsid w:val="004C6C5B"/>
    <w:rsid w:val="004D5447"/>
    <w:rsid w:val="004D55BA"/>
    <w:rsid w:val="004E1E95"/>
    <w:rsid w:val="004E34E7"/>
    <w:rsid w:val="004E7D10"/>
    <w:rsid w:val="004F18F3"/>
    <w:rsid w:val="004F6ED0"/>
    <w:rsid w:val="00502469"/>
    <w:rsid w:val="00502843"/>
    <w:rsid w:val="00503F43"/>
    <w:rsid w:val="0051315D"/>
    <w:rsid w:val="005177C0"/>
    <w:rsid w:val="00522486"/>
    <w:rsid w:val="00522668"/>
    <w:rsid w:val="005300A1"/>
    <w:rsid w:val="00530128"/>
    <w:rsid w:val="00532467"/>
    <w:rsid w:val="00535458"/>
    <w:rsid w:val="00543BEC"/>
    <w:rsid w:val="005502E7"/>
    <w:rsid w:val="00555667"/>
    <w:rsid w:val="00556B64"/>
    <w:rsid w:val="005575B9"/>
    <w:rsid w:val="00562B19"/>
    <w:rsid w:val="00564A4D"/>
    <w:rsid w:val="00571680"/>
    <w:rsid w:val="00571B35"/>
    <w:rsid w:val="00572D20"/>
    <w:rsid w:val="00574241"/>
    <w:rsid w:val="00575C43"/>
    <w:rsid w:val="00577A09"/>
    <w:rsid w:val="00577B87"/>
    <w:rsid w:val="005819F3"/>
    <w:rsid w:val="00582446"/>
    <w:rsid w:val="00584D8F"/>
    <w:rsid w:val="00595ED0"/>
    <w:rsid w:val="005A1339"/>
    <w:rsid w:val="005A404D"/>
    <w:rsid w:val="005B0461"/>
    <w:rsid w:val="005B1E3C"/>
    <w:rsid w:val="005B7F8F"/>
    <w:rsid w:val="005C26CC"/>
    <w:rsid w:val="005C3411"/>
    <w:rsid w:val="005C37D3"/>
    <w:rsid w:val="005C3D54"/>
    <w:rsid w:val="005C592F"/>
    <w:rsid w:val="005C5E72"/>
    <w:rsid w:val="005D2889"/>
    <w:rsid w:val="005D2FBD"/>
    <w:rsid w:val="005D69AF"/>
    <w:rsid w:val="005E0B7E"/>
    <w:rsid w:val="005F6ADE"/>
    <w:rsid w:val="005F7247"/>
    <w:rsid w:val="00603914"/>
    <w:rsid w:val="00604DB6"/>
    <w:rsid w:val="00607E41"/>
    <w:rsid w:val="00612006"/>
    <w:rsid w:val="00613DEC"/>
    <w:rsid w:val="00615619"/>
    <w:rsid w:val="00615C6B"/>
    <w:rsid w:val="00616CEC"/>
    <w:rsid w:val="00620B1B"/>
    <w:rsid w:val="00621545"/>
    <w:rsid w:val="0062525D"/>
    <w:rsid w:val="00627B2D"/>
    <w:rsid w:val="00630A15"/>
    <w:rsid w:val="00631560"/>
    <w:rsid w:val="006319C1"/>
    <w:rsid w:val="00632D6D"/>
    <w:rsid w:val="0063567F"/>
    <w:rsid w:val="00636936"/>
    <w:rsid w:val="00642C3E"/>
    <w:rsid w:val="006471D4"/>
    <w:rsid w:val="00647804"/>
    <w:rsid w:val="0065049E"/>
    <w:rsid w:val="00651005"/>
    <w:rsid w:val="00661F88"/>
    <w:rsid w:val="00663DAD"/>
    <w:rsid w:val="00676679"/>
    <w:rsid w:val="006777D7"/>
    <w:rsid w:val="00694FD6"/>
    <w:rsid w:val="006A6EDD"/>
    <w:rsid w:val="006B4CF9"/>
    <w:rsid w:val="006B7AC8"/>
    <w:rsid w:val="006C196C"/>
    <w:rsid w:val="006C1E8B"/>
    <w:rsid w:val="006D3561"/>
    <w:rsid w:val="006D550F"/>
    <w:rsid w:val="006D5B9F"/>
    <w:rsid w:val="006D7923"/>
    <w:rsid w:val="006E1E7D"/>
    <w:rsid w:val="006E28AD"/>
    <w:rsid w:val="006E34CA"/>
    <w:rsid w:val="006F3750"/>
    <w:rsid w:val="006F3FCB"/>
    <w:rsid w:val="006F4C38"/>
    <w:rsid w:val="00700DAB"/>
    <w:rsid w:val="00701CAB"/>
    <w:rsid w:val="00707563"/>
    <w:rsid w:val="00712D03"/>
    <w:rsid w:val="0072348C"/>
    <w:rsid w:val="00724827"/>
    <w:rsid w:val="00724A37"/>
    <w:rsid w:val="00724BF3"/>
    <w:rsid w:val="007303C3"/>
    <w:rsid w:val="00731F13"/>
    <w:rsid w:val="00741D03"/>
    <w:rsid w:val="00743223"/>
    <w:rsid w:val="00746063"/>
    <w:rsid w:val="00746E01"/>
    <w:rsid w:val="00751821"/>
    <w:rsid w:val="007532DD"/>
    <w:rsid w:val="00753ADA"/>
    <w:rsid w:val="00760FD8"/>
    <w:rsid w:val="00762D41"/>
    <w:rsid w:val="00763E5D"/>
    <w:rsid w:val="00767740"/>
    <w:rsid w:val="00772A95"/>
    <w:rsid w:val="00777937"/>
    <w:rsid w:val="00777EE6"/>
    <w:rsid w:val="00780452"/>
    <w:rsid w:val="00782EEA"/>
    <w:rsid w:val="00784059"/>
    <w:rsid w:val="00784A7E"/>
    <w:rsid w:val="0079277A"/>
    <w:rsid w:val="007A1428"/>
    <w:rsid w:val="007A1AB0"/>
    <w:rsid w:val="007A33E8"/>
    <w:rsid w:val="007A54F7"/>
    <w:rsid w:val="007B1732"/>
    <w:rsid w:val="007B2C72"/>
    <w:rsid w:val="007C1C53"/>
    <w:rsid w:val="007C2EE8"/>
    <w:rsid w:val="007C62FE"/>
    <w:rsid w:val="007D2028"/>
    <w:rsid w:val="007E1516"/>
    <w:rsid w:val="007E4904"/>
    <w:rsid w:val="007E4CB5"/>
    <w:rsid w:val="007E5597"/>
    <w:rsid w:val="007F066B"/>
    <w:rsid w:val="007F0F77"/>
    <w:rsid w:val="007F475F"/>
    <w:rsid w:val="008033C4"/>
    <w:rsid w:val="00806C88"/>
    <w:rsid w:val="00807A5C"/>
    <w:rsid w:val="0081034E"/>
    <w:rsid w:val="0081253D"/>
    <w:rsid w:val="00812E7B"/>
    <w:rsid w:val="008238B2"/>
    <w:rsid w:val="008344B4"/>
    <w:rsid w:val="008344F6"/>
    <w:rsid w:val="0083510F"/>
    <w:rsid w:val="008366CD"/>
    <w:rsid w:val="00847ED9"/>
    <w:rsid w:val="00851209"/>
    <w:rsid w:val="0085188E"/>
    <w:rsid w:val="00857917"/>
    <w:rsid w:val="00861AED"/>
    <w:rsid w:val="00867506"/>
    <w:rsid w:val="00870903"/>
    <w:rsid w:val="0087280A"/>
    <w:rsid w:val="00873B1F"/>
    <w:rsid w:val="008837AC"/>
    <w:rsid w:val="00884D30"/>
    <w:rsid w:val="00886BAB"/>
    <w:rsid w:val="00886CEC"/>
    <w:rsid w:val="00887EBF"/>
    <w:rsid w:val="008A4178"/>
    <w:rsid w:val="008A4DB6"/>
    <w:rsid w:val="008A587D"/>
    <w:rsid w:val="008A6198"/>
    <w:rsid w:val="008A7580"/>
    <w:rsid w:val="008B416B"/>
    <w:rsid w:val="008B6DA5"/>
    <w:rsid w:val="008C1FE0"/>
    <w:rsid w:val="008C5486"/>
    <w:rsid w:val="008C6B16"/>
    <w:rsid w:val="008E1E8E"/>
    <w:rsid w:val="008E535A"/>
    <w:rsid w:val="008E6CAE"/>
    <w:rsid w:val="008E7031"/>
    <w:rsid w:val="008F6FC7"/>
    <w:rsid w:val="0090239D"/>
    <w:rsid w:val="009057E0"/>
    <w:rsid w:val="00914975"/>
    <w:rsid w:val="00914A87"/>
    <w:rsid w:val="00922ACF"/>
    <w:rsid w:val="009233EE"/>
    <w:rsid w:val="0092422F"/>
    <w:rsid w:val="00924CC3"/>
    <w:rsid w:val="009335AE"/>
    <w:rsid w:val="009377D8"/>
    <w:rsid w:val="00956C19"/>
    <w:rsid w:val="00957591"/>
    <w:rsid w:val="0095772E"/>
    <w:rsid w:val="00960AC5"/>
    <w:rsid w:val="00962C79"/>
    <w:rsid w:val="009661DE"/>
    <w:rsid w:val="00972A40"/>
    <w:rsid w:val="0097692A"/>
    <w:rsid w:val="00981578"/>
    <w:rsid w:val="00982FEB"/>
    <w:rsid w:val="009837D1"/>
    <w:rsid w:val="009856B7"/>
    <w:rsid w:val="00985A66"/>
    <w:rsid w:val="009A3D22"/>
    <w:rsid w:val="009B21F2"/>
    <w:rsid w:val="009B4E65"/>
    <w:rsid w:val="009B533B"/>
    <w:rsid w:val="009B69AA"/>
    <w:rsid w:val="009B74B0"/>
    <w:rsid w:val="009C6A83"/>
    <w:rsid w:val="009D3016"/>
    <w:rsid w:val="009D6B46"/>
    <w:rsid w:val="009E7749"/>
    <w:rsid w:val="009E7AC6"/>
    <w:rsid w:val="009E7D2D"/>
    <w:rsid w:val="009F1D03"/>
    <w:rsid w:val="009F4806"/>
    <w:rsid w:val="009F4940"/>
    <w:rsid w:val="00A041F4"/>
    <w:rsid w:val="00A04F9F"/>
    <w:rsid w:val="00A159BF"/>
    <w:rsid w:val="00A3632A"/>
    <w:rsid w:val="00A4478A"/>
    <w:rsid w:val="00A44852"/>
    <w:rsid w:val="00A453C1"/>
    <w:rsid w:val="00A52A18"/>
    <w:rsid w:val="00A52ED3"/>
    <w:rsid w:val="00A57D04"/>
    <w:rsid w:val="00A57D69"/>
    <w:rsid w:val="00A60A26"/>
    <w:rsid w:val="00A61598"/>
    <w:rsid w:val="00A64EBB"/>
    <w:rsid w:val="00A71AA6"/>
    <w:rsid w:val="00A75AAA"/>
    <w:rsid w:val="00A81EF8"/>
    <w:rsid w:val="00A84F46"/>
    <w:rsid w:val="00A871F4"/>
    <w:rsid w:val="00A91A4B"/>
    <w:rsid w:val="00A923DD"/>
    <w:rsid w:val="00A9463C"/>
    <w:rsid w:val="00A94D89"/>
    <w:rsid w:val="00A95047"/>
    <w:rsid w:val="00AA0CEB"/>
    <w:rsid w:val="00AA476F"/>
    <w:rsid w:val="00AA649A"/>
    <w:rsid w:val="00AB6478"/>
    <w:rsid w:val="00AC0FE9"/>
    <w:rsid w:val="00AC1B2C"/>
    <w:rsid w:val="00AC3264"/>
    <w:rsid w:val="00AD592F"/>
    <w:rsid w:val="00AE0638"/>
    <w:rsid w:val="00AE1BF1"/>
    <w:rsid w:val="00AE7B13"/>
    <w:rsid w:val="00AF0DD2"/>
    <w:rsid w:val="00AF46F3"/>
    <w:rsid w:val="00AF493C"/>
    <w:rsid w:val="00AF66A7"/>
    <w:rsid w:val="00AF7058"/>
    <w:rsid w:val="00B057C8"/>
    <w:rsid w:val="00B11C09"/>
    <w:rsid w:val="00B1285B"/>
    <w:rsid w:val="00B13048"/>
    <w:rsid w:val="00B14CE4"/>
    <w:rsid w:val="00B1716D"/>
    <w:rsid w:val="00B17A1D"/>
    <w:rsid w:val="00B207A0"/>
    <w:rsid w:val="00B22894"/>
    <w:rsid w:val="00B26AAA"/>
    <w:rsid w:val="00B31071"/>
    <w:rsid w:val="00B35810"/>
    <w:rsid w:val="00B4128D"/>
    <w:rsid w:val="00B41686"/>
    <w:rsid w:val="00B44E99"/>
    <w:rsid w:val="00B54AAD"/>
    <w:rsid w:val="00B56E03"/>
    <w:rsid w:val="00B63E2C"/>
    <w:rsid w:val="00B64301"/>
    <w:rsid w:val="00B65CAC"/>
    <w:rsid w:val="00B70CA5"/>
    <w:rsid w:val="00B752C5"/>
    <w:rsid w:val="00B8080B"/>
    <w:rsid w:val="00B85D8A"/>
    <w:rsid w:val="00B87C39"/>
    <w:rsid w:val="00B87DD6"/>
    <w:rsid w:val="00B904FF"/>
    <w:rsid w:val="00B92CD5"/>
    <w:rsid w:val="00BA06BD"/>
    <w:rsid w:val="00BA1F27"/>
    <w:rsid w:val="00BA390A"/>
    <w:rsid w:val="00BA3992"/>
    <w:rsid w:val="00BA4665"/>
    <w:rsid w:val="00BB2FB2"/>
    <w:rsid w:val="00BB3304"/>
    <w:rsid w:val="00BB4732"/>
    <w:rsid w:val="00BC675F"/>
    <w:rsid w:val="00BC79A0"/>
    <w:rsid w:val="00BD3446"/>
    <w:rsid w:val="00BE1F1B"/>
    <w:rsid w:val="00BE47B5"/>
    <w:rsid w:val="00BF25AB"/>
    <w:rsid w:val="00BF771C"/>
    <w:rsid w:val="00C008FE"/>
    <w:rsid w:val="00C01734"/>
    <w:rsid w:val="00C05C48"/>
    <w:rsid w:val="00C064A7"/>
    <w:rsid w:val="00C14D61"/>
    <w:rsid w:val="00C154C0"/>
    <w:rsid w:val="00C16B2C"/>
    <w:rsid w:val="00C210FC"/>
    <w:rsid w:val="00C30BBE"/>
    <w:rsid w:val="00C34065"/>
    <w:rsid w:val="00C4709E"/>
    <w:rsid w:val="00C50EC2"/>
    <w:rsid w:val="00C5357F"/>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A04F2"/>
    <w:rsid w:val="00CA52F3"/>
    <w:rsid w:val="00CB666B"/>
    <w:rsid w:val="00CB695E"/>
    <w:rsid w:val="00CC0086"/>
    <w:rsid w:val="00CC1D64"/>
    <w:rsid w:val="00CC2C03"/>
    <w:rsid w:val="00CD40AD"/>
    <w:rsid w:val="00CD4E7F"/>
    <w:rsid w:val="00CE1831"/>
    <w:rsid w:val="00CE3527"/>
    <w:rsid w:val="00CF0E01"/>
    <w:rsid w:val="00CF455C"/>
    <w:rsid w:val="00CF5382"/>
    <w:rsid w:val="00CF5C35"/>
    <w:rsid w:val="00D01CF0"/>
    <w:rsid w:val="00D0442A"/>
    <w:rsid w:val="00D07128"/>
    <w:rsid w:val="00D22BD4"/>
    <w:rsid w:val="00D2306D"/>
    <w:rsid w:val="00D24862"/>
    <w:rsid w:val="00D270E1"/>
    <w:rsid w:val="00D32767"/>
    <w:rsid w:val="00D44037"/>
    <w:rsid w:val="00D4681D"/>
    <w:rsid w:val="00D50C64"/>
    <w:rsid w:val="00D5111E"/>
    <w:rsid w:val="00D61388"/>
    <w:rsid w:val="00D615F9"/>
    <w:rsid w:val="00D61A54"/>
    <w:rsid w:val="00D64DEA"/>
    <w:rsid w:val="00D71771"/>
    <w:rsid w:val="00D73D17"/>
    <w:rsid w:val="00D74261"/>
    <w:rsid w:val="00D74971"/>
    <w:rsid w:val="00D80893"/>
    <w:rsid w:val="00D86899"/>
    <w:rsid w:val="00D86C47"/>
    <w:rsid w:val="00D92417"/>
    <w:rsid w:val="00D92CF1"/>
    <w:rsid w:val="00D92D38"/>
    <w:rsid w:val="00D936B6"/>
    <w:rsid w:val="00D94C8D"/>
    <w:rsid w:val="00D950F5"/>
    <w:rsid w:val="00DB0F93"/>
    <w:rsid w:val="00DB16A7"/>
    <w:rsid w:val="00DB196A"/>
    <w:rsid w:val="00DB20BF"/>
    <w:rsid w:val="00DB4CC4"/>
    <w:rsid w:val="00DC153A"/>
    <w:rsid w:val="00DC24BF"/>
    <w:rsid w:val="00DC2907"/>
    <w:rsid w:val="00DC5E54"/>
    <w:rsid w:val="00DC7981"/>
    <w:rsid w:val="00DD15C2"/>
    <w:rsid w:val="00DE4EFA"/>
    <w:rsid w:val="00DE5520"/>
    <w:rsid w:val="00DF3C4A"/>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680F"/>
    <w:rsid w:val="00E47EAD"/>
    <w:rsid w:val="00E52A27"/>
    <w:rsid w:val="00E65C85"/>
    <w:rsid w:val="00E66199"/>
    <w:rsid w:val="00E715D5"/>
    <w:rsid w:val="00E7315F"/>
    <w:rsid w:val="00E7472E"/>
    <w:rsid w:val="00E755EC"/>
    <w:rsid w:val="00E7624D"/>
    <w:rsid w:val="00E823D9"/>
    <w:rsid w:val="00E86851"/>
    <w:rsid w:val="00EA3D42"/>
    <w:rsid w:val="00EA6B1B"/>
    <w:rsid w:val="00EB049F"/>
    <w:rsid w:val="00EB540F"/>
    <w:rsid w:val="00EB7D7F"/>
    <w:rsid w:val="00EC317E"/>
    <w:rsid w:val="00EC5565"/>
    <w:rsid w:val="00EC67D4"/>
    <w:rsid w:val="00ED06CF"/>
    <w:rsid w:val="00ED3C5B"/>
    <w:rsid w:val="00ED4A25"/>
    <w:rsid w:val="00ED6E24"/>
    <w:rsid w:val="00EE2298"/>
    <w:rsid w:val="00EE28F3"/>
    <w:rsid w:val="00EE347F"/>
    <w:rsid w:val="00EF5110"/>
    <w:rsid w:val="00F02D9B"/>
    <w:rsid w:val="00F031FE"/>
    <w:rsid w:val="00F06B5B"/>
    <w:rsid w:val="00F113FD"/>
    <w:rsid w:val="00F13EAA"/>
    <w:rsid w:val="00F15882"/>
    <w:rsid w:val="00F1785E"/>
    <w:rsid w:val="00F20BD3"/>
    <w:rsid w:val="00F23BEF"/>
    <w:rsid w:val="00F32D35"/>
    <w:rsid w:val="00F3590E"/>
    <w:rsid w:val="00F373A5"/>
    <w:rsid w:val="00F45A55"/>
    <w:rsid w:val="00F45B2F"/>
    <w:rsid w:val="00F45D91"/>
    <w:rsid w:val="00F47559"/>
    <w:rsid w:val="00F55548"/>
    <w:rsid w:val="00F61AA8"/>
    <w:rsid w:val="00F64C7B"/>
    <w:rsid w:val="00F64F82"/>
    <w:rsid w:val="00F662F1"/>
    <w:rsid w:val="00F66967"/>
    <w:rsid w:val="00F676DD"/>
    <w:rsid w:val="00F70811"/>
    <w:rsid w:val="00F71486"/>
    <w:rsid w:val="00F72F41"/>
    <w:rsid w:val="00F75A26"/>
    <w:rsid w:val="00F83FAD"/>
    <w:rsid w:val="00F87EBA"/>
    <w:rsid w:val="00F952A0"/>
    <w:rsid w:val="00F95C1A"/>
    <w:rsid w:val="00F965FC"/>
    <w:rsid w:val="00F967CF"/>
    <w:rsid w:val="00FA3830"/>
    <w:rsid w:val="00FA3C7F"/>
    <w:rsid w:val="00FB153F"/>
    <w:rsid w:val="00FB41E6"/>
    <w:rsid w:val="00FB61C0"/>
    <w:rsid w:val="00FB74E2"/>
    <w:rsid w:val="00FC447B"/>
    <w:rsid w:val="00FC7D52"/>
    <w:rsid w:val="00FD0763"/>
    <w:rsid w:val="00FD166D"/>
    <w:rsid w:val="00FD2F97"/>
    <w:rsid w:val="00FD4226"/>
    <w:rsid w:val="00FD5316"/>
    <w:rsid w:val="00FD5614"/>
    <w:rsid w:val="00FD72DC"/>
    <w:rsid w:val="00FE0BE1"/>
    <w:rsid w:val="00FE1DE9"/>
    <w:rsid w:val="00FE39C2"/>
    <w:rsid w:val="00FE3E67"/>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461">
    <w:name w:val="a46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501">
    <w:name w:val="a50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621">
    <w:name w:val="a62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661">
    <w:name w:val="a66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701">
    <w:name w:val="a701"/>
    <w:basedOn w:val="DefaultParagraphFont"/>
    <w:rsid w:val="00161EEE"/>
    <w:rPr>
      <w:rFonts w:ascii="Arial" w:hAnsi="Arial" w:cs="Arial" w:hint="default"/>
      <w:b w:val="0"/>
      <w:bCs w:val="0"/>
      <w:i w:val="0"/>
      <w:iCs w:val="0"/>
      <w:strike w:val="0"/>
      <w:dstrike w:val="0"/>
      <w:color w:val="FFFFFF"/>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461">
    <w:name w:val="a46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501">
    <w:name w:val="a50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621">
    <w:name w:val="a62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661">
    <w:name w:val="a661"/>
    <w:basedOn w:val="DefaultParagraphFont"/>
    <w:rsid w:val="00161EEE"/>
    <w:rPr>
      <w:rFonts w:ascii="Arial" w:hAnsi="Arial" w:cs="Arial" w:hint="default"/>
      <w:b w:val="0"/>
      <w:bCs w:val="0"/>
      <w:i w:val="0"/>
      <w:iCs w:val="0"/>
      <w:strike w:val="0"/>
      <w:dstrike w:val="0"/>
      <w:color w:val="FFFFFF"/>
      <w:sz w:val="18"/>
      <w:szCs w:val="18"/>
      <w:u w:val="none"/>
      <w:effect w:val="none"/>
    </w:rPr>
  </w:style>
  <w:style w:type="character" w:customStyle="1" w:styleId="a701">
    <w:name w:val="a701"/>
    <w:basedOn w:val="DefaultParagraphFont"/>
    <w:rsid w:val="00161EEE"/>
    <w:rPr>
      <w:rFonts w:ascii="Arial" w:hAnsi="Arial" w:cs="Arial" w:hint="default"/>
      <w:b w:val="0"/>
      <w:bCs w:val="0"/>
      <w:i w:val="0"/>
      <w:iCs w:val="0"/>
      <w:strike w:val="0"/>
      <w:dstrike w:val="0"/>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149">
      <w:bodyDiv w:val="1"/>
      <w:marLeft w:val="0"/>
      <w:marRight w:val="0"/>
      <w:marTop w:val="0"/>
      <w:marBottom w:val="0"/>
      <w:divBdr>
        <w:top w:val="none" w:sz="0" w:space="0" w:color="auto"/>
        <w:left w:val="none" w:sz="0" w:space="0" w:color="auto"/>
        <w:bottom w:val="none" w:sz="0" w:space="0" w:color="auto"/>
        <w:right w:val="none" w:sz="0" w:space="0" w:color="auto"/>
      </w:divBdr>
      <w:divsChild>
        <w:div w:id="1459646191">
          <w:marLeft w:val="0"/>
          <w:marRight w:val="0"/>
          <w:marTop w:val="0"/>
          <w:marBottom w:val="0"/>
          <w:divBdr>
            <w:top w:val="none" w:sz="0" w:space="0" w:color="auto"/>
            <w:left w:val="none" w:sz="0" w:space="0" w:color="auto"/>
            <w:bottom w:val="none" w:sz="0" w:space="0" w:color="auto"/>
            <w:right w:val="none" w:sz="0" w:space="0" w:color="auto"/>
          </w:divBdr>
          <w:divsChild>
            <w:div w:id="718162741">
              <w:marLeft w:val="0"/>
              <w:marRight w:val="0"/>
              <w:marTop w:val="0"/>
              <w:marBottom w:val="0"/>
              <w:divBdr>
                <w:top w:val="none" w:sz="0" w:space="0" w:color="auto"/>
                <w:left w:val="none" w:sz="0" w:space="0" w:color="auto"/>
                <w:bottom w:val="none" w:sz="0" w:space="0" w:color="auto"/>
                <w:right w:val="none" w:sz="0" w:space="0" w:color="auto"/>
              </w:divBdr>
              <w:divsChild>
                <w:div w:id="789277284">
                  <w:marLeft w:val="0"/>
                  <w:marRight w:val="0"/>
                  <w:marTop w:val="0"/>
                  <w:marBottom w:val="0"/>
                  <w:divBdr>
                    <w:top w:val="none" w:sz="0" w:space="0" w:color="auto"/>
                    <w:left w:val="none" w:sz="0" w:space="0" w:color="auto"/>
                    <w:bottom w:val="none" w:sz="0" w:space="0" w:color="auto"/>
                    <w:right w:val="none" w:sz="0" w:space="0" w:color="auto"/>
                  </w:divBdr>
                  <w:divsChild>
                    <w:div w:id="1006633620">
                      <w:marLeft w:val="0"/>
                      <w:marRight w:val="0"/>
                      <w:marTop w:val="0"/>
                      <w:marBottom w:val="0"/>
                      <w:divBdr>
                        <w:top w:val="none" w:sz="0" w:space="0" w:color="auto"/>
                        <w:left w:val="none" w:sz="0" w:space="0" w:color="auto"/>
                        <w:bottom w:val="none" w:sz="0" w:space="0" w:color="auto"/>
                        <w:right w:val="none" w:sz="0" w:space="0" w:color="auto"/>
                      </w:divBdr>
                      <w:divsChild>
                        <w:div w:id="600917622">
                          <w:marLeft w:val="0"/>
                          <w:marRight w:val="0"/>
                          <w:marTop w:val="0"/>
                          <w:marBottom w:val="0"/>
                          <w:divBdr>
                            <w:top w:val="none" w:sz="0" w:space="0" w:color="auto"/>
                            <w:left w:val="none" w:sz="0" w:space="0" w:color="auto"/>
                            <w:bottom w:val="none" w:sz="0" w:space="0" w:color="auto"/>
                            <w:right w:val="none" w:sz="0" w:space="0" w:color="auto"/>
                          </w:divBdr>
                        </w:div>
                      </w:divsChild>
                    </w:div>
                    <w:div w:id="1064329286">
                      <w:marLeft w:val="0"/>
                      <w:marRight w:val="0"/>
                      <w:marTop w:val="0"/>
                      <w:marBottom w:val="0"/>
                      <w:divBdr>
                        <w:top w:val="none" w:sz="0" w:space="0" w:color="auto"/>
                        <w:left w:val="none" w:sz="0" w:space="0" w:color="auto"/>
                        <w:bottom w:val="none" w:sz="0" w:space="0" w:color="auto"/>
                        <w:right w:val="none" w:sz="0" w:space="0" w:color="auto"/>
                      </w:divBdr>
                      <w:divsChild>
                        <w:div w:id="1685859066">
                          <w:marLeft w:val="0"/>
                          <w:marRight w:val="0"/>
                          <w:marTop w:val="0"/>
                          <w:marBottom w:val="0"/>
                          <w:divBdr>
                            <w:top w:val="none" w:sz="0" w:space="0" w:color="auto"/>
                            <w:left w:val="none" w:sz="0" w:space="0" w:color="auto"/>
                            <w:bottom w:val="none" w:sz="0" w:space="0" w:color="auto"/>
                            <w:right w:val="none" w:sz="0" w:space="0" w:color="auto"/>
                          </w:divBdr>
                        </w:div>
                      </w:divsChild>
                    </w:div>
                    <w:div w:id="1196388988">
                      <w:marLeft w:val="0"/>
                      <w:marRight w:val="0"/>
                      <w:marTop w:val="0"/>
                      <w:marBottom w:val="0"/>
                      <w:divBdr>
                        <w:top w:val="none" w:sz="0" w:space="0" w:color="auto"/>
                        <w:left w:val="none" w:sz="0" w:space="0" w:color="auto"/>
                        <w:bottom w:val="none" w:sz="0" w:space="0" w:color="auto"/>
                        <w:right w:val="none" w:sz="0" w:space="0" w:color="auto"/>
                      </w:divBdr>
                      <w:divsChild>
                        <w:div w:id="1873641082">
                          <w:marLeft w:val="0"/>
                          <w:marRight w:val="0"/>
                          <w:marTop w:val="0"/>
                          <w:marBottom w:val="0"/>
                          <w:divBdr>
                            <w:top w:val="none" w:sz="0" w:space="0" w:color="auto"/>
                            <w:left w:val="none" w:sz="0" w:space="0" w:color="auto"/>
                            <w:bottom w:val="none" w:sz="0" w:space="0" w:color="auto"/>
                            <w:right w:val="none" w:sz="0" w:space="0" w:color="auto"/>
                          </w:divBdr>
                        </w:div>
                      </w:divsChild>
                    </w:div>
                    <w:div w:id="1055156130">
                      <w:marLeft w:val="0"/>
                      <w:marRight w:val="0"/>
                      <w:marTop w:val="0"/>
                      <w:marBottom w:val="0"/>
                      <w:divBdr>
                        <w:top w:val="none" w:sz="0" w:space="0" w:color="auto"/>
                        <w:left w:val="none" w:sz="0" w:space="0" w:color="auto"/>
                        <w:bottom w:val="none" w:sz="0" w:space="0" w:color="auto"/>
                        <w:right w:val="none" w:sz="0" w:space="0" w:color="auto"/>
                      </w:divBdr>
                      <w:divsChild>
                        <w:div w:id="545607927">
                          <w:marLeft w:val="0"/>
                          <w:marRight w:val="0"/>
                          <w:marTop w:val="0"/>
                          <w:marBottom w:val="0"/>
                          <w:divBdr>
                            <w:top w:val="none" w:sz="0" w:space="0" w:color="auto"/>
                            <w:left w:val="none" w:sz="0" w:space="0" w:color="auto"/>
                            <w:bottom w:val="none" w:sz="0" w:space="0" w:color="auto"/>
                            <w:right w:val="none" w:sz="0" w:space="0" w:color="auto"/>
                          </w:divBdr>
                        </w:div>
                      </w:divsChild>
                    </w:div>
                    <w:div w:id="1856728897">
                      <w:marLeft w:val="0"/>
                      <w:marRight w:val="0"/>
                      <w:marTop w:val="0"/>
                      <w:marBottom w:val="0"/>
                      <w:divBdr>
                        <w:top w:val="none" w:sz="0" w:space="0" w:color="auto"/>
                        <w:left w:val="none" w:sz="0" w:space="0" w:color="auto"/>
                        <w:bottom w:val="none" w:sz="0" w:space="0" w:color="auto"/>
                        <w:right w:val="none" w:sz="0" w:space="0" w:color="auto"/>
                      </w:divBdr>
                      <w:divsChild>
                        <w:div w:id="14411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2493">
      <w:bodyDiv w:val="1"/>
      <w:marLeft w:val="0"/>
      <w:marRight w:val="0"/>
      <w:marTop w:val="0"/>
      <w:marBottom w:val="0"/>
      <w:divBdr>
        <w:top w:val="none" w:sz="0" w:space="0" w:color="auto"/>
        <w:left w:val="none" w:sz="0" w:space="0" w:color="auto"/>
        <w:bottom w:val="none" w:sz="0" w:space="0" w:color="auto"/>
        <w:right w:val="none" w:sz="0" w:space="0" w:color="auto"/>
      </w:divBdr>
      <w:divsChild>
        <w:div w:id="689334483">
          <w:marLeft w:val="0"/>
          <w:marRight w:val="0"/>
          <w:marTop w:val="0"/>
          <w:marBottom w:val="0"/>
          <w:divBdr>
            <w:top w:val="none" w:sz="0" w:space="0" w:color="auto"/>
            <w:left w:val="none" w:sz="0" w:space="0" w:color="auto"/>
            <w:bottom w:val="none" w:sz="0" w:space="0" w:color="auto"/>
            <w:right w:val="none" w:sz="0" w:space="0" w:color="auto"/>
          </w:divBdr>
          <w:divsChild>
            <w:div w:id="1192376965">
              <w:marLeft w:val="0"/>
              <w:marRight w:val="0"/>
              <w:marTop w:val="0"/>
              <w:marBottom w:val="0"/>
              <w:divBdr>
                <w:top w:val="none" w:sz="0" w:space="0" w:color="auto"/>
                <w:left w:val="none" w:sz="0" w:space="0" w:color="auto"/>
                <w:bottom w:val="none" w:sz="0" w:space="0" w:color="auto"/>
                <w:right w:val="none" w:sz="0" w:space="0" w:color="auto"/>
              </w:divBdr>
              <w:divsChild>
                <w:div w:id="650015022">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730735901">
                          <w:marLeft w:val="0"/>
                          <w:marRight w:val="0"/>
                          <w:marTop w:val="0"/>
                          <w:marBottom w:val="0"/>
                          <w:divBdr>
                            <w:top w:val="none" w:sz="0" w:space="0" w:color="auto"/>
                            <w:left w:val="none" w:sz="0" w:space="0" w:color="auto"/>
                            <w:bottom w:val="none" w:sz="0" w:space="0" w:color="auto"/>
                            <w:right w:val="none" w:sz="0" w:space="0" w:color="auto"/>
                          </w:divBdr>
                        </w:div>
                      </w:divsChild>
                    </w:div>
                    <w:div w:id="1584875817">
                      <w:marLeft w:val="0"/>
                      <w:marRight w:val="0"/>
                      <w:marTop w:val="0"/>
                      <w:marBottom w:val="0"/>
                      <w:divBdr>
                        <w:top w:val="none" w:sz="0" w:space="0" w:color="auto"/>
                        <w:left w:val="none" w:sz="0" w:space="0" w:color="auto"/>
                        <w:bottom w:val="none" w:sz="0" w:space="0" w:color="auto"/>
                        <w:right w:val="none" w:sz="0" w:space="0" w:color="auto"/>
                      </w:divBdr>
                      <w:divsChild>
                        <w:div w:id="580523409">
                          <w:marLeft w:val="0"/>
                          <w:marRight w:val="0"/>
                          <w:marTop w:val="0"/>
                          <w:marBottom w:val="0"/>
                          <w:divBdr>
                            <w:top w:val="none" w:sz="0" w:space="0" w:color="auto"/>
                            <w:left w:val="none" w:sz="0" w:space="0" w:color="auto"/>
                            <w:bottom w:val="none" w:sz="0" w:space="0" w:color="auto"/>
                            <w:right w:val="none" w:sz="0" w:space="0" w:color="auto"/>
                          </w:divBdr>
                        </w:div>
                      </w:divsChild>
                    </w:div>
                    <w:div w:id="1247109883">
                      <w:marLeft w:val="0"/>
                      <w:marRight w:val="0"/>
                      <w:marTop w:val="0"/>
                      <w:marBottom w:val="0"/>
                      <w:divBdr>
                        <w:top w:val="none" w:sz="0" w:space="0" w:color="auto"/>
                        <w:left w:val="none" w:sz="0" w:space="0" w:color="auto"/>
                        <w:bottom w:val="none" w:sz="0" w:space="0" w:color="auto"/>
                        <w:right w:val="none" w:sz="0" w:space="0" w:color="auto"/>
                      </w:divBdr>
                      <w:divsChild>
                        <w:div w:id="1466003943">
                          <w:marLeft w:val="0"/>
                          <w:marRight w:val="0"/>
                          <w:marTop w:val="0"/>
                          <w:marBottom w:val="0"/>
                          <w:divBdr>
                            <w:top w:val="none" w:sz="0" w:space="0" w:color="auto"/>
                            <w:left w:val="none" w:sz="0" w:space="0" w:color="auto"/>
                            <w:bottom w:val="none" w:sz="0" w:space="0" w:color="auto"/>
                            <w:right w:val="none" w:sz="0" w:space="0" w:color="auto"/>
                          </w:divBdr>
                        </w:div>
                      </w:divsChild>
                    </w:div>
                    <w:div w:id="1723214748">
                      <w:marLeft w:val="0"/>
                      <w:marRight w:val="0"/>
                      <w:marTop w:val="0"/>
                      <w:marBottom w:val="0"/>
                      <w:divBdr>
                        <w:top w:val="none" w:sz="0" w:space="0" w:color="auto"/>
                        <w:left w:val="none" w:sz="0" w:space="0" w:color="auto"/>
                        <w:bottom w:val="none" w:sz="0" w:space="0" w:color="auto"/>
                        <w:right w:val="none" w:sz="0" w:space="0" w:color="auto"/>
                      </w:divBdr>
                      <w:divsChild>
                        <w:div w:id="1591624071">
                          <w:marLeft w:val="0"/>
                          <w:marRight w:val="0"/>
                          <w:marTop w:val="0"/>
                          <w:marBottom w:val="0"/>
                          <w:divBdr>
                            <w:top w:val="none" w:sz="0" w:space="0" w:color="auto"/>
                            <w:left w:val="none" w:sz="0" w:space="0" w:color="auto"/>
                            <w:bottom w:val="none" w:sz="0" w:space="0" w:color="auto"/>
                            <w:right w:val="none" w:sz="0" w:space="0" w:color="auto"/>
                          </w:divBdr>
                        </w:div>
                      </w:divsChild>
                    </w:div>
                    <w:div w:id="1442070452">
                      <w:marLeft w:val="0"/>
                      <w:marRight w:val="0"/>
                      <w:marTop w:val="0"/>
                      <w:marBottom w:val="0"/>
                      <w:divBdr>
                        <w:top w:val="none" w:sz="0" w:space="0" w:color="auto"/>
                        <w:left w:val="none" w:sz="0" w:space="0" w:color="auto"/>
                        <w:bottom w:val="none" w:sz="0" w:space="0" w:color="auto"/>
                        <w:right w:val="none" w:sz="0" w:space="0" w:color="auto"/>
                      </w:divBdr>
                      <w:divsChild>
                        <w:div w:id="238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47380357">
      <w:bodyDiv w:val="1"/>
      <w:marLeft w:val="0"/>
      <w:marRight w:val="0"/>
      <w:marTop w:val="0"/>
      <w:marBottom w:val="0"/>
      <w:divBdr>
        <w:top w:val="none" w:sz="0" w:space="0" w:color="auto"/>
        <w:left w:val="none" w:sz="0" w:space="0" w:color="auto"/>
        <w:bottom w:val="none" w:sz="0" w:space="0" w:color="auto"/>
        <w:right w:val="none" w:sz="0" w:space="0" w:color="auto"/>
      </w:divBdr>
      <w:divsChild>
        <w:div w:id="34700204">
          <w:marLeft w:val="0"/>
          <w:marRight w:val="0"/>
          <w:marTop w:val="0"/>
          <w:marBottom w:val="0"/>
          <w:divBdr>
            <w:top w:val="none" w:sz="0" w:space="0" w:color="auto"/>
            <w:left w:val="none" w:sz="0" w:space="0" w:color="auto"/>
            <w:bottom w:val="none" w:sz="0" w:space="0" w:color="auto"/>
            <w:right w:val="none" w:sz="0" w:space="0" w:color="auto"/>
          </w:divBdr>
          <w:divsChild>
            <w:div w:id="1422414890">
              <w:marLeft w:val="0"/>
              <w:marRight w:val="0"/>
              <w:marTop w:val="0"/>
              <w:marBottom w:val="0"/>
              <w:divBdr>
                <w:top w:val="none" w:sz="0" w:space="0" w:color="auto"/>
                <w:left w:val="none" w:sz="0" w:space="0" w:color="auto"/>
                <w:bottom w:val="none" w:sz="0" w:space="0" w:color="auto"/>
                <w:right w:val="none" w:sz="0" w:space="0" w:color="auto"/>
              </w:divBdr>
              <w:divsChild>
                <w:div w:id="2022388174">
                  <w:marLeft w:val="0"/>
                  <w:marRight w:val="0"/>
                  <w:marTop w:val="0"/>
                  <w:marBottom w:val="0"/>
                  <w:divBdr>
                    <w:top w:val="none" w:sz="0" w:space="0" w:color="auto"/>
                    <w:left w:val="none" w:sz="0" w:space="0" w:color="auto"/>
                    <w:bottom w:val="none" w:sz="0" w:space="0" w:color="auto"/>
                    <w:right w:val="none" w:sz="0" w:space="0" w:color="auto"/>
                  </w:divBdr>
                  <w:divsChild>
                    <w:div w:id="1271627189">
                      <w:marLeft w:val="0"/>
                      <w:marRight w:val="0"/>
                      <w:marTop w:val="0"/>
                      <w:marBottom w:val="0"/>
                      <w:divBdr>
                        <w:top w:val="none" w:sz="0" w:space="0" w:color="auto"/>
                        <w:left w:val="none" w:sz="0" w:space="0" w:color="auto"/>
                        <w:bottom w:val="none" w:sz="0" w:space="0" w:color="auto"/>
                        <w:right w:val="none" w:sz="0" w:space="0" w:color="auto"/>
                      </w:divBdr>
                      <w:divsChild>
                        <w:div w:id="2126655139">
                          <w:marLeft w:val="0"/>
                          <w:marRight w:val="0"/>
                          <w:marTop w:val="0"/>
                          <w:marBottom w:val="0"/>
                          <w:divBdr>
                            <w:top w:val="none" w:sz="0" w:space="0" w:color="auto"/>
                            <w:left w:val="none" w:sz="0" w:space="0" w:color="auto"/>
                            <w:bottom w:val="none" w:sz="0" w:space="0" w:color="auto"/>
                            <w:right w:val="none" w:sz="0" w:space="0" w:color="auto"/>
                          </w:divBdr>
                        </w:div>
                      </w:divsChild>
                    </w:div>
                    <w:div w:id="803813140">
                      <w:marLeft w:val="0"/>
                      <w:marRight w:val="0"/>
                      <w:marTop w:val="0"/>
                      <w:marBottom w:val="0"/>
                      <w:divBdr>
                        <w:top w:val="none" w:sz="0" w:space="0" w:color="auto"/>
                        <w:left w:val="none" w:sz="0" w:space="0" w:color="auto"/>
                        <w:bottom w:val="none" w:sz="0" w:space="0" w:color="auto"/>
                        <w:right w:val="none" w:sz="0" w:space="0" w:color="auto"/>
                      </w:divBdr>
                      <w:divsChild>
                        <w:div w:id="1228496850">
                          <w:marLeft w:val="0"/>
                          <w:marRight w:val="0"/>
                          <w:marTop w:val="0"/>
                          <w:marBottom w:val="0"/>
                          <w:divBdr>
                            <w:top w:val="none" w:sz="0" w:space="0" w:color="auto"/>
                            <w:left w:val="none" w:sz="0" w:space="0" w:color="auto"/>
                            <w:bottom w:val="none" w:sz="0" w:space="0" w:color="auto"/>
                            <w:right w:val="none" w:sz="0" w:space="0" w:color="auto"/>
                          </w:divBdr>
                        </w:div>
                      </w:divsChild>
                    </w:div>
                    <w:div w:id="1729568989">
                      <w:marLeft w:val="0"/>
                      <w:marRight w:val="0"/>
                      <w:marTop w:val="0"/>
                      <w:marBottom w:val="0"/>
                      <w:divBdr>
                        <w:top w:val="none" w:sz="0" w:space="0" w:color="auto"/>
                        <w:left w:val="none" w:sz="0" w:space="0" w:color="auto"/>
                        <w:bottom w:val="none" w:sz="0" w:space="0" w:color="auto"/>
                        <w:right w:val="none" w:sz="0" w:space="0" w:color="auto"/>
                      </w:divBdr>
                      <w:divsChild>
                        <w:div w:id="200360173">
                          <w:marLeft w:val="0"/>
                          <w:marRight w:val="0"/>
                          <w:marTop w:val="0"/>
                          <w:marBottom w:val="0"/>
                          <w:divBdr>
                            <w:top w:val="none" w:sz="0" w:space="0" w:color="auto"/>
                            <w:left w:val="none" w:sz="0" w:space="0" w:color="auto"/>
                            <w:bottom w:val="none" w:sz="0" w:space="0" w:color="auto"/>
                            <w:right w:val="none" w:sz="0" w:space="0" w:color="auto"/>
                          </w:divBdr>
                        </w:div>
                      </w:divsChild>
                    </w:div>
                    <w:div w:id="153572054">
                      <w:marLeft w:val="0"/>
                      <w:marRight w:val="0"/>
                      <w:marTop w:val="0"/>
                      <w:marBottom w:val="0"/>
                      <w:divBdr>
                        <w:top w:val="none" w:sz="0" w:space="0" w:color="auto"/>
                        <w:left w:val="none" w:sz="0" w:space="0" w:color="auto"/>
                        <w:bottom w:val="none" w:sz="0" w:space="0" w:color="auto"/>
                        <w:right w:val="none" w:sz="0" w:space="0" w:color="auto"/>
                      </w:divBdr>
                      <w:divsChild>
                        <w:div w:id="1639802914">
                          <w:marLeft w:val="0"/>
                          <w:marRight w:val="0"/>
                          <w:marTop w:val="0"/>
                          <w:marBottom w:val="0"/>
                          <w:divBdr>
                            <w:top w:val="none" w:sz="0" w:space="0" w:color="auto"/>
                            <w:left w:val="none" w:sz="0" w:space="0" w:color="auto"/>
                            <w:bottom w:val="none" w:sz="0" w:space="0" w:color="auto"/>
                            <w:right w:val="none" w:sz="0" w:space="0" w:color="auto"/>
                          </w:divBdr>
                        </w:div>
                      </w:divsChild>
                    </w:div>
                    <w:div w:id="1904438517">
                      <w:marLeft w:val="0"/>
                      <w:marRight w:val="0"/>
                      <w:marTop w:val="0"/>
                      <w:marBottom w:val="0"/>
                      <w:divBdr>
                        <w:top w:val="none" w:sz="0" w:space="0" w:color="auto"/>
                        <w:left w:val="none" w:sz="0" w:space="0" w:color="auto"/>
                        <w:bottom w:val="none" w:sz="0" w:space="0" w:color="auto"/>
                        <w:right w:val="none" w:sz="0" w:space="0" w:color="auto"/>
                      </w:divBdr>
                      <w:divsChild>
                        <w:div w:id="1855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9270843">
      <w:bodyDiv w:val="1"/>
      <w:marLeft w:val="0"/>
      <w:marRight w:val="0"/>
      <w:marTop w:val="0"/>
      <w:marBottom w:val="0"/>
      <w:divBdr>
        <w:top w:val="none" w:sz="0" w:space="0" w:color="auto"/>
        <w:left w:val="none" w:sz="0" w:space="0" w:color="auto"/>
        <w:bottom w:val="none" w:sz="0" w:space="0" w:color="auto"/>
        <w:right w:val="none" w:sz="0" w:space="0" w:color="auto"/>
      </w:divBdr>
      <w:divsChild>
        <w:div w:id="1978610743">
          <w:marLeft w:val="0"/>
          <w:marRight w:val="0"/>
          <w:marTop w:val="0"/>
          <w:marBottom w:val="0"/>
          <w:divBdr>
            <w:top w:val="none" w:sz="0" w:space="0" w:color="auto"/>
            <w:left w:val="none" w:sz="0" w:space="0" w:color="auto"/>
            <w:bottom w:val="none" w:sz="0" w:space="0" w:color="auto"/>
            <w:right w:val="none" w:sz="0" w:space="0" w:color="auto"/>
          </w:divBdr>
          <w:divsChild>
            <w:div w:id="1428624025">
              <w:marLeft w:val="0"/>
              <w:marRight w:val="0"/>
              <w:marTop w:val="0"/>
              <w:marBottom w:val="0"/>
              <w:divBdr>
                <w:top w:val="none" w:sz="0" w:space="0" w:color="auto"/>
                <w:left w:val="none" w:sz="0" w:space="0" w:color="auto"/>
                <w:bottom w:val="none" w:sz="0" w:space="0" w:color="auto"/>
                <w:right w:val="none" w:sz="0" w:space="0" w:color="auto"/>
              </w:divBdr>
              <w:divsChild>
                <w:div w:id="392655373">
                  <w:marLeft w:val="0"/>
                  <w:marRight w:val="0"/>
                  <w:marTop w:val="0"/>
                  <w:marBottom w:val="0"/>
                  <w:divBdr>
                    <w:top w:val="none" w:sz="0" w:space="0" w:color="auto"/>
                    <w:left w:val="none" w:sz="0" w:space="0" w:color="auto"/>
                    <w:bottom w:val="none" w:sz="0" w:space="0" w:color="auto"/>
                    <w:right w:val="none" w:sz="0" w:space="0" w:color="auto"/>
                  </w:divBdr>
                  <w:divsChild>
                    <w:div w:id="1327787688">
                      <w:marLeft w:val="0"/>
                      <w:marRight w:val="0"/>
                      <w:marTop w:val="0"/>
                      <w:marBottom w:val="0"/>
                      <w:divBdr>
                        <w:top w:val="none" w:sz="0" w:space="0" w:color="auto"/>
                        <w:left w:val="none" w:sz="0" w:space="0" w:color="auto"/>
                        <w:bottom w:val="none" w:sz="0" w:space="0" w:color="auto"/>
                        <w:right w:val="none" w:sz="0" w:space="0" w:color="auto"/>
                      </w:divBdr>
                      <w:divsChild>
                        <w:div w:id="111631282">
                          <w:marLeft w:val="0"/>
                          <w:marRight w:val="0"/>
                          <w:marTop w:val="0"/>
                          <w:marBottom w:val="0"/>
                          <w:divBdr>
                            <w:top w:val="none" w:sz="0" w:space="0" w:color="auto"/>
                            <w:left w:val="none" w:sz="0" w:space="0" w:color="auto"/>
                            <w:bottom w:val="none" w:sz="0" w:space="0" w:color="auto"/>
                            <w:right w:val="none" w:sz="0" w:space="0" w:color="auto"/>
                          </w:divBdr>
                        </w:div>
                      </w:divsChild>
                    </w:div>
                    <w:div w:id="1900094902">
                      <w:marLeft w:val="0"/>
                      <w:marRight w:val="0"/>
                      <w:marTop w:val="0"/>
                      <w:marBottom w:val="0"/>
                      <w:divBdr>
                        <w:top w:val="none" w:sz="0" w:space="0" w:color="auto"/>
                        <w:left w:val="none" w:sz="0" w:space="0" w:color="auto"/>
                        <w:bottom w:val="none" w:sz="0" w:space="0" w:color="auto"/>
                        <w:right w:val="none" w:sz="0" w:space="0" w:color="auto"/>
                      </w:divBdr>
                      <w:divsChild>
                        <w:div w:id="1533569551">
                          <w:marLeft w:val="0"/>
                          <w:marRight w:val="0"/>
                          <w:marTop w:val="0"/>
                          <w:marBottom w:val="0"/>
                          <w:divBdr>
                            <w:top w:val="none" w:sz="0" w:space="0" w:color="auto"/>
                            <w:left w:val="none" w:sz="0" w:space="0" w:color="auto"/>
                            <w:bottom w:val="none" w:sz="0" w:space="0" w:color="auto"/>
                            <w:right w:val="none" w:sz="0" w:space="0" w:color="auto"/>
                          </w:divBdr>
                        </w:div>
                      </w:divsChild>
                    </w:div>
                    <w:div w:id="1777946631">
                      <w:marLeft w:val="0"/>
                      <w:marRight w:val="0"/>
                      <w:marTop w:val="0"/>
                      <w:marBottom w:val="0"/>
                      <w:divBdr>
                        <w:top w:val="none" w:sz="0" w:space="0" w:color="auto"/>
                        <w:left w:val="none" w:sz="0" w:space="0" w:color="auto"/>
                        <w:bottom w:val="none" w:sz="0" w:space="0" w:color="auto"/>
                        <w:right w:val="none" w:sz="0" w:space="0" w:color="auto"/>
                      </w:divBdr>
                      <w:divsChild>
                        <w:div w:id="1470702637">
                          <w:marLeft w:val="0"/>
                          <w:marRight w:val="0"/>
                          <w:marTop w:val="0"/>
                          <w:marBottom w:val="0"/>
                          <w:divBdr>
                            <w:top w:val="none" w:sz="0" w:space="0" w:color="auto"/>
                            <w:left w:val="none" w:sz="0" w:space="0" w:color="auto"/>
                            <w:bottom w:val="none" w:sz="0" w:space="0" w:color="auto"/>
                            <w:right w:val="none" w:sz="0" w:space="0" w:color="auto"/>
                          </w:divBdr>
                        </w:div>
                      </w:divsChild>
                    </w:div>
                    <w:div w:id="1894465130">
                      <w:marLeft w:val="0"/>
                      <w:marRight w:val="0"/>
                      <w:marTop w:val="0"/>
                      <w:marBottom w:val="0"/>
                      <w:divBdr>
                        <w:top w:val="none" w:sz="0" w:space="0" w:color="auto"/>
                        <w:left w:val="none" w:sz="0" w:space="0" w:color="auto"/>
                        <w:bottom w:val="none" w:sz="0" w:space="0" w:color="auto"/>
                        <w:right w:val="none" w:sz="0" w:space="0" w:color="auto"/>
                      </w:divBdr>
                      <w:divsChild>
                        <w:div w:id="1224175340">
                          <w:marLeft w:val="0"/>
                          <w:marRight w:val="0"/>
                          <w:marTop w:val="0"/>
                          <w:marBottom w:val="0"/>
                          <w:divBdr>
                            <w:top w:val="none" w:sz="0" w:space="0" w:color="auto"/>
                            <w:left w:val="none" w:sz="0" w:space="0" w:color="auto"/>
                            <w:bottom w:val="none" w:sz="0" w:space="0" w:color="auto"/>
                            <w:right w:val="none" w:sz="0" w:space="0" w:color="auto"/>
                          </w:divBdr>
                        </w:div>
                      </w:divsChild>
                    </w:div>
                    <w:div w:id="1141651265">
                      <w:marLeft w:val="0"/>
                      <w:marRight w:val="0"/>
                      <w:marTop w:val="0"/>
                      <w:marBottom w:val="0"/>
                      <w:divBdr>
                        <w:top w:val="none" w:sz="0" w:space="0" w:color="auto"/>
                        <w:left w:val="none" w:sz="0" w:space="0" w:color="auto"/>
                        <w:bottom w:val="none" w:sz="0" w:space="0" w:color="auto"/>
                        <w:right w:val="none" w:sz="0" w:space="0" w:color="auto"/>
                      </w:divBdr>
                      <w:divsChild>
                        <w:div w:id="729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307708077">
      <w:bodyDiv w:val="1"/>
      <w:marLeft w:val="0"/>
      <w:marRight w:val="0"/>
      <w:marTop w:val="0"/>
      <w:marBottom w:val="0"/>
      <w:divBdr>
        <w:top w:val="none" w:sz="0" w:space="0" w:color="auto"/>
        <w:left w:val="none" w:sz="0" w:space="0" w:color="auto"/>
        <w:bottom w:val="none" w:sz="0" w:space="0" w:color="auto"/>
        <w:right w:val="none" w:sz="0" w:space="0" w:color="auto"/>
      </w:divBdr>
      <w:divsChild>
        <w:div w:id="1645743220">
          <w:marLeft w:val="0"/>
          <w:marRight w:val="0"/>
          <w:marTop w:val="0"/>
          <w:marBottom w:val="0"/>
          <w:divBdr>
            <w:top w:val="none" w:sz="0" w:space="0" w:color="auto"/>
            <w:left w:val="none" w:sz="0" w:space="0" w:color="auto"/>
            <w:bottom w:val="none" w:sz="0" w:space="0" w:color="auto"/>
            <w:right w:val="none" w:sz="0" w:space="0" w:color="auto"/>
          </w:divBdr>
          <w:divsChild>
            <w:div w:id="440761992">
              <w:marLeft w:val="0"/>
              <w:marRight w:val="0"/>
              <w:marTop w:val="0"/>
              <w:marBottom w:val="0"/>
              <w:divBdr>
                <w:top w:val="none" w:sz="0" w:space="0" w:color="auto"/>
                <w:left w:val="none" w:sz="0" w:space="0" w:color="auto"/>
                <w:bottom w:val="none" w:sz="0" w:space="0" w:color="auto"/>
                <w:right w:val="none" w:sz="0" w:space="0" w:color="auto"/>
              </w:divBdr>
              <w:divsChild>
                <w:div w:id="618337055">
                  <w:marLeft w:val="0"/>
                  <w:marRight w:val="0"/>
                  <w:marTop w:val="0"/>
                  <w:marBottom w:val="0"/>
                  <w:divBdr>
                    <w:top w:val="none" w:sz="0" w:space="0" w:color="auto"/>
                    <w:left w:val="none" w:sz="0" w:space="0" w:color="auto"/>
                    <w:bottom w:val="none" w:sz="0" w:space="0" w:color="auto"/>
                    <w:right w:val="none" w:sz="0" w:space="0" w:color="auto"/>
                  </w:divBdr>
                  <w:divsChild>
                    <w:div w:id="245765775">
                      <w:marLeft w:val="0"/>
                      <w:marRight w:val="0"/>
                      <w:marTop w:val="0"/>
                      <w:marBottom w:val="0"/>
                      <w:divBdr>
                        <w:top w:val="none" w:sz="0" w:space="0" w:color="auto"/>
                        <w:left w:val="none" w:sz="0" w:space="0" w:color="auto"/>
                        <w:bottom w:val="none" w:sz="0" w:space="0" w:color="auto"/>
                        <w:right w:val="none" w:sz="0" w:space="0" w:color="auto"/>
                      </w:divBdr>
                      <w:divsChild>
                        <w:div w:id="1593078022">
                          <w:marLeft w:val="0"/>
                          <w:marRight w:val="0"/>
                          <w:marTop w:val="0"/>
                          <w:marBottom w:val="0"/>
                          <w:divBdr>
                            <w:top w:val="none" w:sz="0" w:space="0" w:color="auto"/>
                            <w:left w:val="none" w:sz="0" w:space="0" w:color="auto"/>
                            <w:bottom w:val="none" w:sz="0" w:space="0" w:color="auto"/>
                            <w:right w:val="none" w:sz="0" w:space="0" w:color="auto"/>
                          </w:divBdr>
                        </w:div>
                      </w:divsChild>
                    </w:div>
                    <w:div w:id="1377388040">
                      <w:marLeft w:val="0"/>
                      <w:marRight w:val="0"/>
                      <w:marTop w:val="0"/>
                      <w:marBottom w:val="0"/>
                      <w:divBdr>
                        <w:top w:val="none" w:sz="0" w:space="0" w:color="auto"/>
                        <w:left w:val="none" w:sz="0" w:space="0" w:color="auto"/>
                        <w:bottom w:val="none" w:sz="0" w:space="0" w:color="auto"/>
                        <w:right w:val="none" w:sz="0" w:space="0" w:color="auto"/>
                      </w:divBdr>
                      <w:divsChild>
                        <w:div w:id="163908234">
                          <w:marLeft w:val="0"/>
                          <w:marRight w:val="0"/>
                          <w:marTop w:val="0"/>
                          <w:marBottom w:val="0"/>
                          <w:divBdr>
                            <w:top w:val="none" w:sz="0" w:space="0" w:color="auto"/>
                            <w:left w:val="none" w:sz="0" w:space="0" w:color="auto"/>
                            <w:bottom w:val="none" w:sz="0" w:space="0" w:color="auto"/>
                            <w:right w:val="none" w:sz="0" w:space="0" w:color="auto"/>
                          </w:divBdr>
                        </w:div>
                      </w:divsChild>
                    </w:div>
                    <w:div w:id="1533880461">
                      <w:marLeft w:val="0"/>
                      <w:marRight w:val="0"/>
                      <w:marTop w:val="0"/>
                      <w:marBottom w:val="0"/>
                      <w:divBdr>
                        <w:top w:val="none" w:sz="0" w:space="0" w:color="auto"/>
                        <w:left w:val="none" w:sz="0" w:space="0" w:color="auto"/>
                        <w:bottom w:val="none" w:sz="0" w:space="0" w:color="auto"/>
                        <w:right w:val="none" w:sz="0" w:space="0" w:color="auto"/>
                      </w:divBdr>
                      <w:divsChild>
                        <w:div w:id="1201937446">
                          <w:marLeft w:val="0"/>
                          <w:marRight w:val="0"/>
                          <w:marTop w:val="0"/>
                          <w:marBottom w:val="0"/>
                          <w:divBdr>
                            <w:top w:val="none" w:sz="0" w:space="0" w:color="auto"/>
                            <w:left w:val="none" w:sz="0" w:space="0" w:color="auto"/>
                            <w:bottom w:val="none" w:sz="0" w:space="0" w:color="auto"/>
                            <w:right w:val="none" w:sz="0" w:space="0" w:color="auto"/>
                          </w:divBdr>
                        </w:div>
                      </w:divsChild>
                    </w:div>
                    <w:div w:id="1778477998">
                      <w:marLeft w:val="0"/>
                      <w:marRight w:val="0"/>
                      <w:marTop w:val="0"/>
                      <w:marBottom w:val="0"/>
                      <w:divBdr>
                        <w:top w:val="none" w:sz="0" w:space="0" w:color="auto"/>
                        <w:left w:val="none" w:sz="0" w:space="0" w:color="auto"/>
                        <w:bottom w:val="none" w:sz="0" w:space="0" w:color="auto"/>
                        <w:right w:val="none" w:sz="0" w:space="0" w:color="auto"/>
                      </w:divBdr>
                      <w:divsChild>
                        <w:div w:id="1014377391">
                          <w:marLeft w:val="0"/>
                          <w:marRight w:val="0"/>
                          <w:marTop w:val="0"/>
                          <w:marBottom w:val="0"/>
                          <w:divBdr>
                            <w:top w:val="none" w:sz="0" w:space="0" w:color="auto"/>
                            <w:left w:val="none" w:sz="0" w:space="0" w:color="auto"/>
                            <w:bottom w:val="none" w:sz="0" w:space="0" w:color="auto"/>
                            <w:right w:val="none" w:sz="0" w:space="0" w:color="auto"/>
                          </w:divBdr>
                        </w:div>
                      </w:divsChild>
                    </w:div>
                    <w:div w:id="1823496794">
                      <w:marLeft w:val="0"/>
                      <w:marRight w:val="0"/>
                      <w:marTop w:val="0"/>
                      <w:marBottom w:val="0"/>
                      <w:divBdr>
                        <w:top w:val="none" w:sz="0" w:space="0" w:color="auto"/>
                        <w:left w:val="none" w:sz="0" w:space="0" w:color="auto"/>
                        <w:bottom w:val="none" w:sz="0" w:space="0" w:color="auto"/>
                        <w:right w:val="none" w:sz="0" w:space="0" w:color="auto"/>
                      </w:divBdr>
                      <w:divsChild>
                        <w:div w:id="7390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581282612">
      <w:bodyDiv w:val="1"/>
      <w:marLeft w:val="0"/>
      <w:marRight w:val="0"/>
      <w:marTop w:val="0"/>
      <w:marBottom w:val="0"/>
      <w:divBdr>
        <w:top w:val="none" w:sz="0" w:space="0" w:color="auto"/>
        <w:left w:val="none" w:sz="0" w:space="0" w:color="auto"/>
        <w:bottom w:val="none" w:sz="0" w:space="0" w:color="auto"/>
        <w:right w:val="none" w:sz="0" w:space="0" w:color="auto"/>
      </w:divBdr>
      <w:divsChild>
        <w:div w:id="1696693112">
          <w:marLeft w:val="0"/>
          <w:marRight w:val="0"/>
          <w:marTop w:val="0"/>
          <w:marBottom w:val="0"/>
          <w:divBdr>
            <w:top w:val="none" w:sz="0" w:space="0" w:color="auto"/>
            <w:left w:val="none" w:sz="0" w:space="0" w:color="auto"/>
            <w:bottom w:val="none" w:sz="0" w:space="0" w:color="auto"/>
            <w:right w:val="none" w:sz="0" w:space="0" w:color="auto"/>
          </w:divBdr>
          <w:divsChild>
            <w:div w:id="1251547510">
              <w:marLeft w:val="0"/>
              <w:marRight w:val="0"/>
              <w:marTop w:val="0"/>
              <w:marBottom w:val="0"/>
              <w:divBdr>
                <w:top w:val="none" w:sz="0" w:space="0" w:color="auto"/>
                <w:left w:val="none" w:sz="0" w:space="0" w:color="auto"/>
                <w:bottom w:val="none" w:sz="0" w:space="0" w:color="auto"/>
                <w:right w:val="none" w:sz="0" w:space="0" w:color="auto"/>
              </w:divBdr>
              <w:divsChild>
                <w:div w:id="1781297478">
                  <w:marLeft w:val="0"/>
                  <w:marRight w:val="0"/>
                  <w:marTop w:val="0"/>
                  <w:marBottom w:val="0"/>
                  <w:divBdr>
                    <w:top w:val="none" w:sz="0" w:space="0" w:color="auto"/>
                    <w:left w:val="none" w:sz="0" w:space="0" w:color="auto"/>
                    <w:bottom w:val="none" w:sz="0" w:space="0" w:color="auto"/>
                    <w:right w:val="none" w:sz="0" w:space="0" w:color="auto"/>
                  </w:divBdr>
                  <w:divsChild>
                    <w:div w:id="1072433826">
                      <w:marLeft w:val="0"/>
                      <w:marRight w:val="0"/>
                      <w:marTop w:val="0"/>
                      <w:marBottom w:val="0"/>
                      <w:divBdr>
                        <w:top w:val="none" w:sz="0" w:space="0" w:color="auto"/>
                        <w:left w:val="none" w:sz="0" w:space="0" w:color="auto"/>
                        <w:bottom w:val="none" w:sz="0" w:space="0" w:color="auto"/>
                        <w:right w:val="none" w:sz="0" w:space="0" w:color="auto"/>
                      </w:divBdr>
                      <w:divsChild>
                        <w:div w:id="1136993895">
                          <w:marLeft w:val="0"/>
                          <w:marRight w:val="0"/>
                          <w:marTop w:val="0"/>
                          <w:marBottom w:val="0"/>
                          <w:divBdr>
                            <w:top w:val="none" w:sz="0" w:space="0" w:color="auto"/>
                            <w:left w:val="none" w:sz="0" w:space="0" w:color="auto"/>
                            <w:bottom w:val="none" w:sz="0" w:space="0" w:color="auto"/>
                            <w:right w:val="none" w:sz="0" w:space="0" w:color="auto"/>
                          </w:divBdr>
                        </w:div>
                      </w:divsChild>
                    </w:div>
                    <w:div w:id="113447617">
                      <w:marLeft w:val="0"/>
                      <w:marRight w:val="0"/>
                      <w:marTop w:val="0"/>
                      <w:marBottom w:val="0"/>
                      <w:divBdr>
                        <w:top w:val="none" w:sz="0" w:space="0" w:color="auto"/>
                        <w:left w:val="none" w:sz="0" w:space="0" w:color="auto"/>
                        <w:bottom w:val="none" w:sz="0" w:space="0" w:color="auto"/>
                        <w:right w:val="none" w:sz="0" w:space="0" w:color="auto"/>
                      </w:divBdr>
                      <w:divsChild>
                        <w:div w:id="87847213">
                          <w:marLeft w:val="0"/>
                          <w:marRight w:val="0"/>
                          <w:marTop w:val="0"/>
                          <w:marBottom w:val="0"/>
                          <w:divBdr>
                            <w:top w:val="none" w:sz="0" w:space="0" w:color="auto"/>
                            <w:left w:val="none" w:sz="0" w:space="0" w:color="auto"/>
                            <w:bottom w:val="none" w:sz="0" w:space="0" w:color="auto"/>
                            <w:right w:val="none" w:sz="0" w:space="0" w:color="auto"/>
                          </w:divBdr>
                        </w:div>
                      </w:divsChild>
                    </w:div>
                    <w:div w:id="379984684">
                      <w:marLeft w:val="0"/>
                      <w:marRight w:val="0"/>
                      <w:marTop w:val="0"/>
                      <w:marBottom w:val="0"/>
                      <w:divBdr>
                        <w:top w:val="none" w:sz="0" w:space="0" w:color="auto"/>
                        <w:left w:val="none" w:sz="0" w:space="0" w:color="auto"/>
                        <w:bottom w:val="none" w:sz="0" w:space="0" w:color="auto"/>
                        <w:right w:val="none" w:sz="0" w:space="0" w:color="auto"/>
                      </w:divBdr>
                      <w:divsChild>
                        <w:div w:id="196551366">
                          <w:marLeft w:val="0"/>
                          <w:marRight w:val="0"/>
                          <w:marTop w:val="0"/>
                          <w:marBottom w:val="0"/>
                          <w:divBdr>
                            <w:top w:val="none" w:sz="0" w:space="0" w:color="auto"/>
                            <w:left w:val="none" w:sz="0" w:space="0" w:color="auto"/>
                            <w:bottom w:val="none" w:sz="0" w:space="0" w:color="auto"/>
                            <w:right w:val="none" w:sz="0" w:space="0" w:color="auto"/>
                          </w:divBdr>
                        </w:div>
                      </w:divsChild>
                    </w:div>
                    <w:div w:id="639573579">
                      <w:marLeft w:val="0"/>
                      <w:marRight w:val="0"/>
                      <w:marTop w:val="0"/>
                      <w:marBottom w:val="0"/>
                      <w:divBdr>
                        <w:top w:val="none" w:sz="0" w:space="0" w:color="auto"/>
                        <w:left w:val="none" w:sz="0" w:space="0" w:color="auto"/>
                        <w:bottom w:val="none" w:sz="0" w:space="0" w:color="auto"/>
                        <w:right w:val="none" w:sz="0" w:space="0" w:color="auto"/>
                      </w:divBdr>
                      <w:divsChild>
                        <w:div w:id="2003970732">
                          <w:marLeft w:val="0"/>
                          <w:marRight w:val="0"/>
                          <w:marTop w:val="0"/>
                          <w:marBottom w:val="0"/>
                          <w:divBdr>
                            <w:top w:val="none" w:sz="0" w:space="0" w:color="auto"/>
                            <w:left w:val="none" w:sz="0" w:space="0" w:color="auto"/>
                            <w:bottom w:val="none" w:sz="0" w:space="0" w:color="auto"/>
                            <w:right w:val="none" w:sz="0" w:space="0" w:color="auto"/>
                          </w:divBdr>
                        </w:div>
                      </w:divsChild>
                    </w:div>
                    <w:div w:id="914751733">
                      <w:marLeft w:val="0"/>
                      <w:marRight w:val="0"/>
                      <w:marTop w:val="0"/>
                      <w:marBottom w:val="0"/>
                      <w:divBdr>
                        <w:top w:val="none" w:sz="0" w:space="0" w:color="auto"/>
                        <w:left w:val="none" w:sz="0" w:space="0" w:color="auto"/>
                        <w:bottom w:val="none" w:sz="0" w:space="0" w:color="auto"/>
                        <w:right w:val="none" w:sz="0" w:space="0" w:color="auto"/>
                      </w:divBdr>
                      <w:divsChild>
                        <w:div w:id="1067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D201E880</Template>
  <TotalTime>0</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2015-08-18T06:42:00Z</dcterms:created>
  <dcterms:modified xsi:type="dcterms:W3CDTF">2015-08-18T06:48:00Z</dcterms:modified>
</cp:coreProperties>
</file>