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Default="00646D39" w:rsidP="00AF2164">
      <w:pPr>
        <w:pStyle w:val="Heading1"/>
        <w:numPr>
          <w:ilvl w:val="0"/>
          <w:numId w:val="0"/>
        </w:numPr>
        <w:spacing w:before="120" w:after="0"/>
      </w:pPr>
      <w:bookmarkStart w:id="0" w:name="OLE_LINK66"/>
      <w:bookmarkStart w:id="1" w:name="OLE_LINK67"/>
      <w:bookmarkStart w:id="2" w:name="_GoBack"/>
      <w:bookmarkEnd w:id="2"/>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15pt;height:98.8pt" o:allowoverlap="f">
            <v:imagedata r:id="rId9" o:title=""/>
          </v:shape>
        </w:pict>
      </w:r>
      <w:r>
        <w:rPr>
          <w:noProof/>
          <w:sz w:val="28"/>
          <w:szCs w:val="28"/>
        </w:rPr>
        <w:pict>
          <v:shapetype id="_x0000_t202" coordsize="21600,21600" o:spt="202" path="m,l,21600r21600,l21600,xe">
            <v:stroke joinstyle="miter"/>
            <v:path gradientshapeok="t" o:connecttype="rect"/>
          </v:shapetype>
          <v:shape id="_x0000_s1032" type="#_x0000_t202" style="position:absolute;margin-left:-.55pt;margin-top:8.25pt;width:249.4pt;height:72.75pt;z-index:251658240;mso-position-horizontal-relative:text;mso-position-vertical-relative:text" filled="f" stroked="f">
            <v:textbox style="mso-next-textbox:#_x0000_s1032">
              <w:txbxContent>
                <w:p w:rsidR="00FF0D8A" w:rsidRDefault="00FF0D8A" w:rsidP="00231B0A">
                  <w:pPr>
                    <w:pStyle w:val="Title"/>
                  </w:pPr>
                  <w:r w:rsidRPr="00231B0A">
                    <w:t xml:space="preserve">Weekly Gas </w:t>
                  </w:r>
                  <w:r>
                    <w:t>M</w:t>
                  </w:r>
                  <w:r w:rsidRPr="00231B0A">
                    <w:t xml:space="preserve">arket Report </w:t>
                  </w:r>
                </w:p>
                <w:p w:rsidR="00FF0D8A" w:rsidRPr="00A65EC8" w:rsidRDefault="002C03A7" w:rsidP="00231B0A">
                  <w:pPr>
                    <w:pStyle w:val="Title"/>
                  </w:pPr>
                  <w:r w:rsidRPr="002C03A7">
                    <w:t>19 – 25 July 2015</w:t>
                  </w:r>
                </w:p>
                <w:p w:rsidR="00FF0D8A" w:rsidRPr="00231B0A" w:rsidRDefault="00FF0D8A" w:rsidP="00231B0A">
                  <w:pPr>
                    <w:pStyle w:val="Subtitle"/>
                  </w:pPr>
                </w:p>
              </w:txbxContent>
            </v:textbox>
          </v:shape>
        </w:pict>
      </w:r>
      <w:r>
        <w:rPr>
          <w:noProof/>
        </w:rPr>
        <w:pict>
          <v:shape id="_x0000_s1029" type="#_x0000_t75" style="position:absolute;margin-left:720.75pt;margin-top:282.05pt;width:386.3pt;height:299.3pt;z-index:251657216;mso-position-horizontal-relative:text;mso-position-vertical-relative:text" fillcolor="black" strokecolor="white" strokeweight="3e-5mm">
            <v:imagedata r:id="rId10" o:title=""/>
            <o:lock v:ext="edit" rotation="t"/>
          </v:shape>
        </w:pict>
      </w:r>
    </w:p>
    <w:p w:rsidR="00AF2164" w:rsidRDefault="00A67716" w:rsidP="00604BCC">
      <w:pPr>
        <w:pStyle w:val="Heading1"/>
        <w:numPr>
          <w:ilvl w:val="0"/>
          <w:numId w:val="0"/>
        </w:numPr>
        <w:spacing w:before="0" w:after="120"/>
        <w:rPr>
          <w:rFonts w:cs="Times New Roman"/>
          <w:noProof/>
          <w:color w:val="2272A3"/>
          <w:kern w:val="0"/>
          <w:szCs w:val="20"/>
          <w:lang w:eastAsia="en-US"/>
        </w:rPr>
      </w:pPr>
      <w:r w:rsidRPr="00AF2164">
        <w:rPr>
          <w:rFonts w:cs="Times New Roman"/>
          <w:noProof/>
          <w:color w:val="2272A3"/>
          <w:kern w:val="0"/>
          <w:szCs w:val="20"/>
          <w:lang w:eastAsia="en-US"/>
        </w:rPr>
        <w:t>Wee</w:t>
      </w:r>
      <w:r w:rsidR="00AF2164" w:rsidRPr="00AF2164">
        <w:rPr>
          <w:rFonts w:cs="Times New Roman"/>
          <w:noProof/>
          <w:color w:val="2272A3"/>
          <w:kern w:val="0"/>
          <w:szCs w:val="20"/>
          <w:lang w:eastAsia="en-US"/>
        </w:rPr>
        <w:t>kly summary</w:t>
      </w:r>
    </w:p>
    <w:p w:rsidR="00604BCC" w:rsidRPr="00604BCC" w:rsidRDefault="00EC68E5" w:rsidP="00EC68E5">
      <w:pPr>
        <w:jc w:val="both"/>
        <w:rPr>
          <w:lang w:eastAsia="en-US"/>
        </w:rPr>
      </w:pPr>
      <w:r>
        <w:rPr>
          <w:lang w:eastAsia="en-US"/>
        </w:rPr>
        <w:t>Average prices increased in all markets this week except Wallumbilla</w:t>
      </w:r>
      <w:r w:rsidR="0079137B">
        <w:rPr>
          <w:lang w:eastAsia="en-US"/>
        </w:rPr>
        <w:t xml:space="preserve">. The largest increases were </w:t>
      </w:r>
      <w:r>
        <w:rPr>
          <w:lang w:eastAsia="en-US"/>
        </w:rPr>
        <w:t xml:space="preserve">in </w:t>
      </w:r>
      <w:r w:rsidR="00604BCC">
        <w:rPr>
          <w:lang w:eastAsia="en-US"/>
        </w:rPr>
        <w:t>Victoria and Adelaide.</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AF2164">
        <w:rPr>
          <w:rFonts w:cs="Times New Roman"/>
          <w:noProof/>
          <w:color w:val="2272A3"/>
          <w:kern w:val="0"/>
          <w:szCs w:val="20"/>
          <w:lang w:eastAsia="en-US"/>
        </w:rPr>
        <w:t>Long term statistics and explanatory mate</w:t>
      </w:r>
      <w:r w:rsidR="007D470C">
        <w:rPr>
          <w:rFonts w:cs="Times New Roman"/>
          <w:noProof/>
          <w:color w:val="2272A3"/>
          <w:kern w:val="0"/>
          <w:szCs w:val="20"/>
          <w:lang w:eastAsia="en-US"/>
        </w:rPr>
        <w:t>rial</w:t>
      </w:r>
    </w:p>
    <w:p w:rsidR="00AF2164" w:rsidRPr="00AF2164" w:rsidRDefault="00AF2164" w:rsidP="00FF0D8A">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D1641C">
        <w:rPr>
          <w:rFonts w:cs="Times New Roman"/>
          <w:noProof/>
          <w:color w:val="2272A3"/>
          <w:kern w:val="0"/>
          <w:szCs w:val="20"/>
          <w:lang w:eastAsia="en-US"/>
        </w:rPr>
        <w:t>Market overview</w:t>
      </w:r>
    </w:p>
    <w:p w:rsidR="00D1641C" w:rsidRDefault="00D1641C" w:rsidP="00FF0D8A">
      <w:pPr>
        <w:jc w:val="both"/>
        <w:rPr>
          <w:szCs w:val="22"/>
        </w:rPr>
      </w:pPr>
      <w:r w:rsidRPr="008D4DAB">
        <w:t xml:space="preserve">Figure 1 sets out the average daily prices ($/GJ) in the Victorian Declared Wholesale Market </w:t>
      </w:r>
      <w:r w:rsidRPr="000F2287">
        <w:rPr>
          <w:b/>
          <w:szCs w:val="22"/>
        </w:rPr>
        <w:t>(VGM or Victorian gas market)</w:t>
      </w:r>
      <w:r w:rsidRPr="000F2287">
        <w:rPr>
          <w:szCs w:val="22"/>
        </w:rPr>
        <w:t xml:space="preserve"> and for the Sydney </w:t>
      </w:r>
      <w:r w:rsidRPr="000F2287">
        <w:rPr>
          <w:b/>
          <w:szCs w:val="22"/>
        </w:rPr>
        <w:t>(SYD)</w:t>
      </w:r>
      <w:r w:rsidRPr="000F2287">
        <w:rPr>
          <w:szCs w:val="22"/>
        </w:rPr>
        <w:t xml:space="preserve">, Adelaide </w:t>
      </w:r>
      <w:r w:rsidRPr="000F2287">
        <w:rPr>
          <w:b/>
          <w:szCs w:val="22"/>
        </w:rPr>
        <w:t xml:space="preserve">(ADL) </w:t>
      </w:r>
      <w:r w:rsidRPr="000F2287">
        <w:rPr>
          <w:szCs w:val="22"/>
        </w:rPr>
        <w:t xml:space="preserve">and Brisbane </w:t>
      </w:r>
      <w:r w:rsidRPr="000F2287">
        <w:rPr>
          <w:b/>
          <w:szCs w:val="22"/>
        </w:rPr>
        <w:t xml:space="preserve">(BRI) </w:t>
      </w:r>
      <w:r w:rsidRPr="000F2287">
        <w:rPr>
          <w:szCs w:val="22"/>
        </w:rPr>
        <w:t xml:space="preserve">Short Term Trading Market hubs </w:t>
      </w:r>
      <w:r w:rsidRPr="000F2287">
        <w:rPr>
          <w:b/>
          <w:szCs w:val="22"/>
        </w:rPr>
        <w:t>(STTM)</w:t>
      </w:r>
      <w:r w:rsidRPr="000F2287">
        <w:rPr>
          <w:szCs w:val="22"/>
        </w:rPr>
        <w:t xml:space="preserve"> for the current week compared to historical averages.</w:t>
      </w:r>
    </w:p>
    <w:p w:rsidR="00D1641C" w:rsidRPr="006E7E57" w:rsidRDefault="00D1641C" w:rsidP="006E7E57">
      <w:pPr>
        <w:pStyle w:val="Heading2"/>
        <w:ind w:firstLine="0"/>
        <w:rPr>
          <w:i w:val="0"/>
          <w:color w:val="2272A3"/>
          <w:sz w:val="24"/>
          <w:szCs w:val="24"/>
        </w:rPr>
      </w:pPr>
      <w:r w:rsidRPr="006E7E57">
        <w:rPr>
          <w:i w:val="0"/>
          <w:color w:val="2272A3"/>
          <w:sz w:val="24"/>
          <w:szCs w:val="24"/>
        </w:rPr>
        <w:t>Average daily prices – all markets ($/GJ)</w:t>
      </w:r>
      <w:r w:rsidRPr="006E7E57">
        <w:rPr>
          <w:i w:val="0"/>
          <w:color w:val="2272A3"/>
          <w:sz w:val="24"/>
          <w:szCs w:val="24"/>
          <w:vertAlign w:val="superscript"/>
        </w:rPr>
        <w:footnoteReference w:id="1"/>
      </w:r>
    </w:p>
    <w:tbl>
      <w:tblPr>
        <w:tblStyle w:val="AERTable-Text0"/>
        <w:tblW w:w="9468" w:type="dxa"/>
        <w:tblLayout w:type="fixed"/>
        <w:tblLook w:val="01E0" w:firstRow="1" w:lastRow="1" w:firstColumn="1" w:lastColumn="1" w:noHBand="0" w:noVBand="0"/>
      </w:tblPr>
      <w:tblGrid>
        <w:gridCol w:w="3710"/>
        <w:gridCol w:w="1439"/>
        <w:gridCol w:w="1440"/>
        <w:gridCol w:w="1439"/>
        <w:gridCol w:w="1440"/>
      </w:tblGrid>
      <w:tr w:rsidR="00FF0D8A" w:rsidRPr="00936A7B" w:rsidTr="00FF0D8A">
        <w:trPr>
          <w:cnfStyle w:val="100000000000" w:firstRow="1" w:lastRow="0" w:firstColumn="0" w:lastColumn="0" w:oddVBand="0" w:evenVBand="0" w:oddHBand="0" w:evenHBand="0" w:firstRowFirstColumn="0" w:firstRowLastColumn="0" w:lastRowFirstColumn="0" w:lastRowLastColumn="0"/>
          <w:trHeight w:val="226"/>
          <w:tblHeader/>
        </w:trPr>
        <w:tc>
          <w:tcPr>
            <w:tcW w:w="3710" w:type="dxa"/>
            <w:noWrap/>
          </w:tcPr>
          <w:p w:rsidR="00FF0D8A" w:rsidRPr="00936A7B" w:rsidRDefault="00FF0D8A" w:rsidP="00FF0D8A">
            <w:pPr>
              <w:jc w:val="center"/>
              <w:rPr>
                <w:sz w:val="20"/>
              </w:rPr>
            </w:pPr>
            <w:r>
              <w:rPr>
                <w:sz w:val="20"/>
              </w:rPr>
              <w:t>Region</w:t>
            </w:r>
            <w:r w:rsidRPr="00936A7B">
              <w:rPr>
                <w:sz w:val="20"/>
              </w:rPr>
              <w:t> </w:t>
            </w:r>
          </w:p>
        </w:tc>
        <w:tc>
          <w:tcPr>
            <w:tcW w:w="1439" w:type="dxa"/>
            <w:noWrap/>
          </w:tcPr>
          <w:p w:rsidR="00FF0D8A" w:rsidRPr="00936A7B" w:rsidRDefault="00FF0D8A" w:rsidP="00FF0D8A">
            <w:pPr>
              <w:jc w:val="center"/>
              <w:rPr>
                <w:sz w:val="20"/>
              </w:rPr>
            </w:pPr>
            <w:r w:rsidRPr="00936A7B">
              <w:rPr>
                <w:sz w:val="20"/>
              </w:rPr>
              <w:t>Victoria</w:t>
            </w:r>
          </w:p>
        </w:tc>
        <w:tc>
          <w:tcPr>
            <w:tcW w:w="1440" w:type="dxa"/>
            <w:noWrap/>
          </w:tcPr>
          <w:p w:rsidR="00FF0D8A" w:rsidRPr="00936A7B" w:rsidRDefault="00FF0D8A" w:rsidP="00FF0D8A">
            <w:pPr>
              <w:jc w:val="center"/>
              <w:rPr>
                <w:sz w:val="20"/>
              </w:rPr>
            </w:pPr>
            <w:r w:rsidRPr="00936A7B">
              <w:rPr>
                <w:sz w:val="20"/>
              </w:rPr>
              <w:t>Sydney</w:t>
            </w:r>
          </w:p>
        </w:tc>
        <w:tc>
          <w:tcPr>
            <w:tcW w:w="1439" w:type="dxa"/>
            <w:noWrap/>
          </w:tcPr>
          <w:p w:rsidR="00FF0D8A" w:rsidRPr="00936A7B" w:rsidRDefault="00FF0D8A" w:rsidP="00FF0D8A">
            <w:pPr>
              <w:jc w:val="center"/>
              <w:rPr>
                <w:sz w:val="20"/>
              </w:rPr>
            </w:pPr>
            <w:r w:rsidRPr="00936A7B">
              <w:rPr>
                <w:sz w:val="20"/>
              </w:rPr>
              <w:t>Adelaide</w:t>
            </w:r>
          </w:p>
        </w:tc>
        <w:tc>
          <w:tcPr>
            <w:tcW w:w="1440" w:type="dxa"/>
            <w:noWrap/>
          </w:tcPr>
          <w:p w:rsidR="00FF0D8A" w:rsidRPr="00936A7B" w:rsidRDefault="00FF0D8A" w:rsidP="00FF0D8A">
            <w:pPr>
              <w:jc w:val="center"/>
              <w:rPr>
                <w:sz w:val="20"/>
              </w:rPr>
            </w:pPr>
            <w:r w:rsidRPr="00936A7B">
              <w:rPr>
                <w:sz w:val="20"/>
              </w:rPr>
              <w:t>Brisbane</w:t>
            </w:r>
          </w:p>
        </w:tc>
      </w:tr>
      <w:tr w:rsidR="002C03A7" w:rsidRPr="00936A7B" w:rsidTr="00E906AF">
        <w:trPr>
          <w:trHeight w:val="382"/>
        </w:trPr>
        <w:tc>
          <w:tcPr>
            <w:tcW w:w="3710" w:type="dxa"/>
            <w:noWrap/>
            <w:vAlign w:val="center"/>
          </w:tcPr>
          <w:p w:rsidR="002C03A7" w:rsidRDefault="002C03A7">
            <w:pPr>
              <w:rPr>
                <w:rFonts w:cs="Arial"/>
                <w:sz w:val="20"/>
                <w:szCs w:val="20"/>
              </w:rPr>
            </w:pPr>
            <w:r>
              <w:rPr>
                <w:rFonts w:cs="Arial"/>
                <w:sz w:val="20"/>
                <w:szCs w:val="20"/>
              </w:rPr>
              <w:t>19 Jul - 25 Jul 2015</w:t>
            </w:r>
          </w:p>
        </w:tc>
        <w:tc>
          <w:tcPr>
            <w:tcW w:w="1439" w:type="dxa"/>
            <w:noWrap/>
            <w:vAlign w:val="center"/>
          </w:tcPr>
          <w:p w:rsidR="002C03A7" w:rsidRDefault="002C03A7">
            <w:pPr>
              <w:jc w:val="center"/>
              <w:rPr>
                <w:rFonts w:cs="Arial"/>
                <w:sz w:val="20"/>
                <w:szCs w:val="20"/>
              </w:rPr>
            </w:pPr>
            <w:r>
              <w:rPr>
                <w:rFonts w:cs="Arial"/>
                <w:sz w:val="20"/>
                <w:szCs w:val="20"/>
              </w:rPr>
              <w:t>6.14</w:t>
            </w:r>
          </w:p>
        </w:tc>
        <w:tc>
          <w:tcPr>
            <w:tcW w:w="1440" w:type="dxa"/>
            <w:noWrap/>
            <w:vAlign w:val="center"/>
          </w:tcPr>
          <w:p w:rsidR="002C03A7" w:rsidRDefault="002C03A7">
            <w:pPr>
              <w:jc w:val="center"/>
              <w:rPr>
                <w:rFonts w:cs="Arial"/>
                <w:sz w:val="20"/>
                <w:szCs w:val="20"/>
              </w:rPr>
            </w:pPr>
            <w:r>
              <w:rPr>
                <w:rFonts w:cs="Arial"/>
                <w:sz w:val="20"/>
                <w:szCs w:val="20"/>
              </w:rPr>
              <w:t>6.49</w:t>
            </w:r>
          </w:p>
        </w:tc>
        <w:tc>
          <w:tcPr>
            <w:tcW w:w="1439" w:type="dxa"/>
            <w:noWrap/>
            <w:vAlign w:val="center"/>
          </w:tcPr>
          <w:p w:rsidR="002C03A7" w:rsidRDefault="002C03A7">
            <w:pPr>
              <w:jc w:val="center"/>
              <w:rPr>
                <w:rFonts w:cs="Arial"/>
                <w:sz w:val="20"/>
                <w:szCs w:val="20"/>
              </w:rPr>
            </w:pPr>
            <w:r>
              <w:rPr>
                <w:rFonts w:cs="Arial"/>
                <w:sz w:val="20"/>
                <w:szCs w:val="20"/>
              </w:rPr>
              <w:t>7.34</w:t>
            </w:r>
          </w:p>
        </w:tc>
        <w:tc>
          <w:tcPr>
            <w:tcW w:w="1440" w:type="dxa"/>
            <w:noWrap/>
            <w:vAlign w:val="center"/>
          </w:tcPr>
          <w:p w:rsidR="002C03A7" w:rsidRDefault="002C03A7">
            <w:pPr>
              <w:jc w:val="center"/>
              <w:rPr>
                <w:rFonts w:cs="Arial"/>
                <w:sz w:val="20"/>
                <w:szCs w:val="20"/>
              </w:rPr>
            </w:pPr>
            <w:r>
              <w:rPr>
                <w:rFonts w:cs="Arial"/>
                <w:sz w:val="20"/>
                <w:szCs w:val="20"/>
              </w:rPr>
              <w:t>6.68</w:t>
            </w:r>
          </w:p>
        </w:tc>
      </w:tr>
      <w:tr w:rsidR="002C03A7" w:rsidRPr="00936A7B" w:rsidTr="00E906AF">
        <w:trPr>
          <w:cnfStyle w:val="000000010000" w:firstRow="0" w:lastRow="0" w:firstColumn="0" w:lastColumn="0" w:oddVBand="0" w:evenVBand="0" w:oddHBand="0" w:evenHBand="1" w:firstRowFirstColumn="0" w:firstRowLastColumn="0" w:lastRowFirstColumn="0" w:lastRowLastColumn="0"/>
          <w:trHeight w:val="382"/>
        </w:trPr>
        <w:tc>
          <w:tcPr>
            <w:tcW w:w="3710" w:type="dxa"/>
            <w:noWrap/>
            <w:vAlign w:val="center"/>
          </w:tcPr>
          <w:p w:rsidR="002C03A7" w:rsidRDefault="002C03A7">
            <w:pPr>
              <w:rPr>
                <w:rFonts w:cs="Arial"/>
                <w:sz w:val="20"/>
                <w:szCs w:val="20"/>
              </w:rPr>
            </w:pPr>
            <w:r>
              <w:rPr>
                <w:rFonts w:cs="Arial"/>
                <w:sz w:val="20"/>
                <w:szCs w:val="20"/>
              </w:rPr>
              <w:t>% change from previous week</w:t>
            </w:r>
          </w:p>
        </w:tc>
        <w:tc>
          <w:tcPr>
            <w:tcW w:w="1439" w:type="dxa"/>
            <w:noWrap/>
            <w:vAlign w:val="center"/>
          </w:tcPr>
          <w:p w:rsidR="002C03A7" w:rsidRDefault="002C03A7">
            <w:pPr>
              <w:jc w:val="center"/>
              <w:rPr>
                <w:rFonts w:cs="Arial"/>
                <w:sz w:val="20"/>
                <w:szCs w:val="20"/>
              </w:rPr>
            </w:pPr>
            <w:r>
              <w:rPr>
                <w:rFonts w:cs="Arial"/>
                <w:sz w:val="20"/>
                <w:szCs w:val="20"/>
              </w:rPr>
              <w:t>22</w:t>
            </w:r>
          </w:p>
        </w:tc>
        <w:tc>
          <w:tcPr>
            <w:tcW w:w="1440" w:type="dxa"/>
            <w:noWrap/>
            <w:vAlign w:val="center"/>
          </w:tcPr>
          <w:p w:rsidR="002C03A7" w:rsidRDefault="002C03A7">
            <w:pPr>
              <w:jc w:val="center"/>
              <w:rPr>
                <w:rFonts w:cs="Arial"/>
                <w:sz w:val="20"/>
                <w:szCs w:val="20"/>
              </w:rPr>
            </w:pPr>
            <w:r>
              <w:rPr>
                <w:rFonts w:cs="Arial"/>
                <w:sz w:val="20"/>
                <w:szCs w:val="20"/>
              </w:rPr>
              <w:t>9</w:t>
            </w:r>
          </w:p>
        </w:tc>
        <w:tc>
          <w:tcPr>
            <w:tcW w:w="1439" w:type="dxa"/>
            <w:noWrap/>
            <w:vAlign w:val="center"/>
          </w:tcPr>
          <w:p w:rsidR="002C03A7" w:rsidRDefault="002C03A7">
            <w:pPr>
              <w:jc w:val="center"/>
              <w:rPr>
                <w:rFonts w:cs="Arial"/>
                <w:sz w:val="20"/>
                <w:szCs w:val="20"/>
              </w:rPr>
            </w:pPr>
            <w:r>
              <w:rPr>
                <w:rFonts w:cs="Arial"/>
                <w:sz w:val="20"/>
                <w:szCs w:val="20"/>
              </w:rPr>
              <w:t>21</w:t>
            </w:r>
          </w:p>
        </w:tc>
        <w:tc>
          <w:tcPr>
            <w:tcW w:w="1440" w:type="dxa"/>
            <w:noWrap/>
            <w:vAlign w:val="center"/>
          </w:tcPr>
          <w:p w:rsidR="002C03A7" w:rsidRDefault="002C03A7">
            <w:pPr>
              <w:jc w:val="center"/>
              <w:rPr>
                <w:rFonts w:cs="Arial"/>
                <w:sz w:val="20"/>
                <w:szCs w:val="20"/>
              </w:rPr>
            </w:pPr>
            <w:r>
              <w:rPr>
                <w:rFonts w:cs="Arial"/>
                <w:sz w:val="20"/>
                <w:szCs w:val="20"/>
              </w:rPr>
              <w:t>4</w:t>
            </w:r>
          </w:p>
        </w:tc>
      </w:tr>
      <w:tr w:rsidR="002C03A7" w:rsidRPr="00936A7B" w:rsidTr="00E906AF">
        <w:trPr>
          <w:trHeight w:val="382"/>
        </w:trPr>
        <w:tc>
          <w:tcPr>
            <w:tcW w:w="3710" w:type="dxa"/>
            <w:noWrap/>
            <w:vAlign w:val="center"/>
          </w:tcPr>
          <w:p w:rsidR="002C03A7" w:rsidRDefault="002C03A7">
            <w:pPr>
              <w:rPr>
                <w:rFonts w:cs="Arial"/>
                <w:sz w:val="20"/>
                <w:szCs w:val="20"/>
              </w:rPr>
            </w:pPr>
            <w:r>
              <w:rPr>
                <w:rFonts w:cs="Arial"/>
                <w:sz w:val="20"/>
                <w:szCs w:val="20"/>
              </w:rPr>
              <w:t>15-16 financial YTD</w:t>
            </w:r>
          </w:p>
        </w:tc>
        <w:tc>
          <w:tcPr>
            <w:tcW w:w="1439" w:type="dxa"/>
            <w:noWrap/>
            <w:vAlign w:val="center"/>
          </w:tcPr>
          <w:p w:rsidR="002C03A7" w:rsidRDefault="002C03A7">
            <w:pPr>
              <w:jc w:val="center"/>
              <w:rPr>
                <w:rFonts w:cs="Arial"/>
                <w:sz w:val="20"/>
                <w:szCs w:val="20"/>
              </w:rPr>
            </w:pPr>
            <w:r>
              <w:rPr>
                <w:rFonts w:cs="Arial"/>
                <w:sz w:val="20"/>
                <w:szCs w:val="20"/>
              </w:rPr>
              <w:t>5.06</w:t>
            </w:r>
          </w:p>
        </w:tc>
        <w:tc>
          <w:tcPr>
            <w:tcW w:w="1440" w:type="dxa"/>
            <w:noWrap/>
            <w:vAlign w:val="center"/>
          </w:tcPr>
          <w:p w:rsidR="002C03A7" w:rsidRDefault="002C03A7">
            <w:pPr>
              <w:jc w:val="center"/>
              <w:rPr>
                <w:rFonts w:cs="Arial"/>
                <w:sz w:val="20"/>
                <w:szCs w:val="20"/>
              </w:rPr>
            </w:pPr>
            <w:r>
              <w:rPr>
                <w:rFonts w:cs="Arial"/>
                <w:sz w:val="20"/>
                <w:szCs w:val="20"/>
              </w:rPr>
              <w:t>5.49</w:t>
            </w:r>
          </w:p>
        </w:tc>
        <w:tc>
          <w:tcPr>
            <w:tcW w:w="1439" w:type="dxa"/>
            <w:noWrap/>
            <w:vAlign w:val="center"/>
          </w:tcPr>
          <w:p w:rsidR="002C03A7" w:rsidRDefault="002C03A7">
            <w:pPr>
              <w:jc w:val="center"/>
              <w:rPr>
                <w:rFonts w:cs="Arial"/>
                <w:sz w:val="20"/>
                <w:szCs w:val="20"/>
              </w:rPr>
            </w:pPr>
            <w:r>
              <w:rPr>
                <w:rFonts w:cs="Arial"/>
                <w:sz w:val="20"/>
                <w:szCs w:val="20"/>
              </w:rPr>
              <w:t>5.87</w:t>
            </w:r>
          </w:p>
        </w:tc>
        <w:tc>
          <w:tcPr>
            <w:tcW w:w="1440" w:type="dxa"/>
            <w:noWrap/>
            <w:vAlign w:val="center"/>
          </w:tcPr>
          <w:p w:rsidR="002C03A7" w:rsidRDefault="002C03A7">
            <w:pPr>
              <w:jc w:val="center"/>
              <w:rPr>
                <w:rFonts w:cs="Arial"/>
                <w:sz w:val="20"/>
                <w:szCs w:val="20"/>
              </w:rPr>
            </w:pPr>
            <w:r>
              <w:rPr>
                <w:rFonts w:cs="Arial"/>
                <w:sz w:val="20"/>
                <w:szCs w:val="20"/>
              </w:rPr>
              <w:t>5.00</w:t>
            </w:r>
          </w:p>
        </w:tc>
      </w:tr>
      <w:tr w:rsidR="002C03A7" w:rsidRPr="00936A7B" w:rsidTr="00E906AF">
        <w:trPr>
          <w:cnfStyle w:val="000000010000" w:firstRow="0" w:lastRow="0" w:firstColumn="0" w:lastColumn="0" w:oddVBand="0" w:evenVBand="0" w:oddHBand="0" w:evenHBand="1" w:firstRowFirstColumn="0" w:firstRowLastColumn="0" w:lastRowFirstColumn="0" w:lastRowLastColumn="0"/>
          <w:trHeight w:val="382"/>
        </w:trPr>
        <w:tc>
          <w:tcPr>
            <w:tcW w:w="3710" w:type="dxa"/>
            <w:noWrap/>
            <w:vAlign w:val="center"/>
          </w:tcPr>
          <w:p w:rsidR="002C03A7" w:rsidRDefault="002C03A7">
            <w:pPr>
              <w:rPr>
                <w:rFonts w:cs="Arial"/>
                <w:sz w:val="20"/>
                <w:szCs w:val="20"/>
              </w:rPr>
            </w:pPr>
            <w:r>
              <w:rPr>
                <w:rFonts w:cs="Arial"/>
                <w:sz w:val="20"/>
                <w:szCs w:val="20"/>
              </w:rPr>
              <w:t>% change from previous financial YTD</w:t>
            </w:r>
          </w:p>
        </w:tc>
        <w:tc>
          <w:tcPr>
            <w:tcW w:w="1439" w:type="dxa"/>
            <w:noWrap/>
            <w:vAlign w:val="center"/>
          </w:tcPr>
          <w:p w:rsidR="002C03A7" w:rsidRDefault="002C03A7">
            <w:pPr>
              <w:jc w:val="center"/>
              <w:rPr>
                <w:rFonts w:cs="Arial"/>
                <w:sz w:val="20"/>
                <w:szCs w:val="20"/>
              </w:rPr>
            </w:pPr>
            <w:r>
              <w:rPr>
                <w:rFonts w:cs="Arial"/>
                <w:sz w:val="20"/>
                <w:szCs w:val="20"/>
              </w:rPr>
              <w:t>29</w:t>
            </w:r>
          </w:p>
        </w:tc>
        <w:tc>
          <w:tcPr>
            <w:tcW w:w="1440" w:type="dxa"/>
            <w:noWrap/>
            <w:vAlign w:val="center"/>
          </w:tcPr>
          <w:p w:rsidR="002C03A7" w:rsidRDefault="002C03A7">
            <w:pPr>
              <w:jc w:val="center"/>
              <w:rPr>
                <w:rFonts w:cs="Arial"/>
                <w:sz w:val="20"/>
                <w:szCs w:val="20"/>
              </w:rPr>
            </w:pPr>
            <w:r>
              <w:rPr>
                <w:rFonts w:cs="Arial"/>
                <w:sz w:val="20"/>
                <w:szCs w:val="20"/>
              </w:rPr>
              <w:t>35</w:t>
            </w:r>
          </w:p>
        </w:tc>
        <w:tc>
          <w:tcPr>
            <w:tcW w:w="1439" w:type="dxa"/>
            <w:noWrap/>
            <w:vAlign w:val="center"/>
          </w:tcPr>
          <w:p w:rsidR="002C03A7" w:rsidRDefault="002C03A7">
            <w:pPr>
              <w:jc w:val="center"/>
              <w:rPr>
                <w:rFonts w:cs="Arial"/>
                <w:sz w:val="20"/>
                <w:szCs w:val="20"/>
              </w:rPr>
            </w:pPr>
            <w:r>
              <w:rPr>
                <w:rFonts w:cs="Arial"/>
                <w:sz w:val="20"/>
                <w:szCs w:val="20"/>
              </w:rPr>
              <w:t>41</w:t>
            </w:r>
          </w:p>
        </w:tc>
        <w:tc>
          <w:tcPr>
            <w:tcW w:w="1440" w:type="dxa"/>
            <w:noWrap/>
            <w:vAlign w:val="center"/>
          </w:tcPr>
          <w:p w:rsidR="002C03A7" w:rsidRDefault="002C03A7">
            <w:pPr>
              <w:jc w:val="center"/>
              <w:rPr>
                <w:rFonts w:cs="Arial"/>
                <w:sz w:val="20"/>
                <w:szCs w:val="20"/>
              </w:rPr>
            </w:pPr>
            <w:r>
              <w:rPr>
                <w:rFonts w:cs="Arial"/>
                <w:sz w:val="20"/>
                <w:szCs w:val="20"/>
              </w:rPr>
              <w:t>111</w:t>
            </w:r>
          </w:p>
        </w:tc>
      </w:tr>
    </w:tbl>
    <w:p w:rsidR="00FF0D8A" w:rsidRPr="008D4DAB" w:rsidRDefault="00FF0D8A" w:rsidP="00FF0D8A">
      <w:pPr>
        <w:pStyle w:val="AERbodytext"/>
        <w:spacing w:before="120" w:after="120"/>
        <w:jc w:val="both"/>
      </w:pPr>
      <w:r>
        <w:t>Figure</w:t>
      </w:r>
      <w:r w:rsidRPr="008D4DAB">
        <w:t xml:space="preserve"> 2 compare</w:t>
      </w:r>
      <w:r>
        <w:t>s</w:t>
      </w:r>
      <w:r w:rsidRPr="008D4DAB">
        <w:t xml:space="preserve"> average weekly gas prices, ancillary market payments and </w:t>
      </w:r>
      <w:r>
        <w:t>scheduled</w:t>
      </w:r>
      <w:r w:rsidRPr="008D4DAB">
        <w:t xml:space="preserve"> </w:t>
      </w:r>
      <w:r>
        <w:t>injections</w:t>
      </w:r>
      <w:r w:rsidRPr="008D4DAB">
        <w:t xml:space="preserve"> against historical averages for the </w:t>
      </w:r>
      <w:r>
        <w:t xml:space="preserve">Victorian </w:t>
      </w:r>
      <w:r w:rsidRPr="008D4DAB">
        <w:t>gas market.</w:t>
      </w:r>
    </w:p>
    <w:p w:rsidR="00D1641C" w:rsidRPr="006E7E57" w:rsidRDefault="00FF0D8A" w:rsidP="00D1641C">
      <w:pPr>
        <w:pStyle w:val="Heading2"/>
        <w:ind w:firstLine="0"/>
        <w:rPr>
          <w:i w:val="0"/>
          <w:color w:val="2272A3"/>
          <w:sz w:val="24"/>
          <w:szCs w:val="24"/>
        </w:rPr>
      </w:pPr>
      <w:r w:rsidRPr="006E7E57">
        <w:rPr>
          <w:i w:val="0"/>
          <w:color w:val="2272A3"/>
          <w:sz w:val="24"/>
          <w:szCs w:val="24"/>
        </w:rPr>
        <w:t>Victorian Gas Market</w:t>
      </w:r>
    </w:p>
    <w:tbl>
      <w:tblPr>
        <w:tblStyle w:val="AERTable-Text0"/>
        <w:tblW w:w="9468" w:type="dxa"/>
        <w:tblLayout w:type="fixed"/>
        <w:tblLook w:val="01E0" w:firstRow="1" w:lastRow="1" w:firstColumn="1" w:lastColumn="1" w:noHBand="0" w:noVBand="0"/>
      </w:tblPr>
      <w:tblGrid>
        <w:gridCol w:w="3708"/>
        <w:gridCol w:w="1440"/>
        <w:gridCol w:w="2160"/>
        <w:gridCol w:w="2160"/>
      </w:tblGrid>
      <w:tr w:rsidR="00FF0D8A" w:rsidRPr="006376D7" w:rsidTr="00FF0D8A">
        <w:trPr>
          <w:cnfStyle w:val="100000000000" w:firstRow="1" w:lastRow="0" w:firstColumn="0" w:lastColumn="0" w:oddVBand="0" w:evenVBand="0" w:oddHBand="0" w:evenHBand="0" w:firstRowFirstColumn="0" w:firstRowLastColumn="0" w:lastRowFirstColumn="0" w:lastRowLastColumn="0"/>
          <w:trHeight w:val="226"/>
        </w:trPr>
        <w:tc>
          <w:tcPr>
            <w:tcW w:w="3708" w:type="dxa"/>
            <w:noWrap/>
          </w:tcPr>
          <w:p w:rsidR="00FF0D8A" w:rsidRPr="002861A9" w:rsidRDefault="00FF0D8A" w:rsidP="00FF0D8A">
            <w:pPr>
              <w:keepNext/>
              <w:spacing w:before="40" w:after="40"/>
              <w:rPr>
                <w:rFonts w:cs="Arial"/>
                <w:b w:val="0"/>
                <w:bCs/>
                <w:sz w:val="20"/>
                <w:szCs w:val="20"/>
              </w:rPr>
            </w:pPr>
          </w:p>
        </w:tc>
        <w:tc>
          <w:tcPr>
            <w:tcW w:w="1440" w:type="dxa"/>
            <w:noWrap/>
          </w:tcPr>
          <w:p w:rsidR="00FF0D8A" w:rsidRPr="002861A9" w:rsidRDefault="00FF0D8A" w:rsidP="00FF0D8A">
            <w:pPr>
              <w:keepNext/>
              <w:spacing w:before="40" w:after="40"/>
              <w:jc w:val="center"/>
              <w:rPr>
                <w:rFonts w:cs="Arial"/>
                <w:b w:val="0"/>
                <w:bCs/>
                <w:sz w:val="20"/>
                <w:szCs w:val="20"/>
              </w:rPr>
            </w:pPr>
            <w:r w:rsidRPr="002861A9">
              <w:rPr>
                <w:rFonts w:cs="Arial"/>
                <w:bCs/>
                <w:sz w:val="20"/>
                <w:szCs w:val="20"/>
              </w:rPr>
              <w:t>Price ($/GJ)</w:t>
            </w:r>
          </w:p>
        </w:tc>
        <w:tc>
          <w:tcPr>
            <w:tcW w:w="2160" w:type="dxa"/>
            <w:noWrap/>
          </w:tcPr>
          <w:p w:rsidR="00FF0D8A" w:rsidRPr="002861A9" w:rsidRDefault="00FF0D8A" w:rsidP="00FF0D8A">
            <w:pPr>
              <w:keepNext/>
              <w:spacing w:before="40" w:after="40"/>
              <w:jc w:val="center"/>
              <w:rPr>
                <w:rFonts w:cs="Arial"/>
                <w:b w:val="0"/>
                <w:bCs/>
                <w:sz w:val="20"/>
                <w:szCs w:val="20"/>
              </w:rPr>
            </w:pPr>
            <w:r w:rsidRPr="002861A9">
              <w:rPr>
                <w:rFonts w:cs="Arial"/>
                <w:bCs/>
                <w:sz w:val="20"/>
                <w:szCs w:val="20"/>
              </w:rPr>
              <w:t>Ancillary payments ($000)</w:t>
            </w:r>
            <w:r>
              <w:rPr>
                <w:rFonts w:cs="Arial"/>
                <w:bCs/>
                <w:sz w:val="20"/>
                <w:szCs w:val="20"/>
              </w:rPr>
              <w:t>*</w:t>
            </w:r>
          </w:p>
        </w:tc>
        <w:tc>
          <w:tcPr>
            <w:tcW w:w="2160" w:type="dxa"/>
            <w:noWrap/>
          </w:tcPr>
          <w:p w:rsidR="00FF0D8A" w:rsidRPr="002861A9" w:rsidRDefault="00FF0D8A" w:rsidP="00FF0D8A">
            <w:pPr>
              <w:keepNext/>
              <w:spacing w:before="40" w:after="40"/>
              <w:jc w:val="center"/>
              <w:rPr>
                <w:rFonts w:cs="Arial"/>
                <w:b w:val="0"/>
                <w:bCs/>
                <w:sz w:val="20"/>
                <w:szCs w:val="20"/>
              </w:rPr>
            </w:pPr>
            <w:r w:rsidRPr="002861A9">
              <w:rPr>
                <w:rFonts w:cs="Arial"/>
                <w:bCs/>
                <w:sz w:val="20"/>
                <w:szCs w:val="20"/>
              </w:rPr>
              <w:t>BOD forecast demand quantity (TJ)</w:t>
            </w:r>
          </w:p>
        </w:tc>
      </w:tr>
      <w:tr w:rsidR="002C03A7" w:rsidRPr="006376D7" w:rsidTr="00B010FC">
        <w:trPr>
          <w:trHeight w:val="382"/>
        </w:trPr>
        <w:tc>
          <w:tcPr>
            <w:tcW w:w="3708" w:type="dxa"/>
            <w:noWrap/>
            <w:vAlign w:val="center"/>
          </w:tcPr>
          <w:p w:rsidR="002C03A7" w:rsidRDefault="002C03A7">
            <w:pPr>
              <w:rPr>
                <w:rFonts w:cs="Arial"/>
                <w:sz w:val="20"/>
                <w:szCs w:val="20"/>
              </w:rPr>
            </w:pPr>
            <w:r>
              <w:rPr>
                <w:rFonts w:cs="Arial"/>
                <w:sz w:val="20"/>
                <w:szCs w:val="20"/>
              </w:rPr>
              <w:t>19 Jul - 25 Jul 2015</w:t>
            </w:r>
          </w:p>
        </w:tc>
        <w:tc>
          <w:tcPr>
            <w:tcW w:w="1440" w:type="dxa"/>
            <w:noWrap/>
            <w:vAlign w:val="center"/>
          </w:tcPr>
          <w:p w:rsidR="002C03A7" w:rsidRDefault="002C03A7">
            <w:pPr>
              <w:jc w:val="center"/>
              <w:rPr>
                <w:rFonts w:cs="Arial"/>
                <w:sz w:val="20"/>
                <w:szCs w:val="20"/>
              </w:rPr>
            </w:pPr>
            <w:r>
              <w:rPr>
                <w:rFonts w:cs="Arial"/>
                <w:sz w:val="20"/>
                <w:szCs w:val="20"/>
              </w:rPr>
              <w:t>6.14</w:t>
            </w:r>
          </w:p>
        </w:tc>
        <w:tc>
          <w:tcPr>
            <w:tcW w:w="2160" w:type="dxa"/>
            <w:noWrap/>
            <w:vAlign w:val="center"/>
          </w:tcPr>
          <w:p w:rsidR="002C03A7" w:rsidRDefault="002C03A7">
            <w:pPr>
              <w:jc w:val="center"/>
              <w:rPr>
                <w:rFonts w:cs="Arial"/>
                <w:sz w:val="20"/>
                <w:szCs w:val="20"/>
              </w:rPr>
            </w:pPr>
            <w:r>
              <w:rPr>
                <w:rFonts w:cs="Arial"/>
                <w:sz w:val="20"/>
                <w:szCs w:val="20"/>
              </w:rPr>
              <w:t>-</w:t>
            </w:r>
          </w:p>
        </w:tc>
        <w:tc>
          <w:tcPr>
            <w:tcW w:w="2160" w:type="dxa"/>
            <w:noWrap/>
            <w:vAlign w:val="center"/>
          </w:tcPr>
          <w:p w:rsidR="002C03A7" w:rsidRDefault="002C03A7">
            <w:pPr>
              <w:jc w:val="center"/>
              <w:rPr>
                <w:rFonts w:cs="Arial"/>
                <w:sz w:val="20"/>
                <w:szCs w:val="20"/>
              </w:rPr>
            </w:pPr>
            <w:r>
              <w:rPr>
                <w:rFonts w:cs="Arial"/>
                <w:sz w:val="20"/>
                <w:szCs w:val="20"/>
              </w:rPr>
              <w:t>943</w:t>
            </w:r>
          </w:p>
        </w:tc>
      </w:tr>
      <w:tr w:rsidR="002C03A7" w:rsidRPr="006376D7" w:rsidTr="00B010FC">
        <w:trPr>
          <w:cnfStyle w:val="000000010000" w:firstRow="0" w:lastRow="0" w:firstColumn="0" w:lastColumn="0" w:oddVBand="0" w:evenVBand="0" w:oddHBand="0" w:evenHBand="1" w:firstRowFirstColumn="0" w:firstRowLastColumn="0" w:lastRowFirstColumn="0" w:lastRowLastColumn="0"/>
          <w:trHeight w:val="382"/>
        </w:trPr>
        <w:tc>
          <w:tcPr>
            <w:tcW w:w="3708" w:type="dxa"/>
            <w:noWrap/>
            <w:vAlign w:val="center"/>
          </w:tcPr>
          <w:p w:rsidR="002C03A7" w:rsidRDefault="002C03A7">
            <w:pPr>
              <w:rPr>
                <w:rFonts w:cs="Arial"/>
                <w:sz w:val="20"/>
                <w:szCs w:val="20"/>
              </w:rPr>
            </w:pPr>
            <w:r>
              <w:rPr>
                <w:rFonts w:cs="Arial"/>
                <w:sz w:val="20"/>
                <w:szCs w:val="20"/>
              </w:rPr>
              <w:t>% change from previous week</w:t>
            </w:r>
          </w:p>
        </w:tc>
        <w:tc>
          <w:tcPr>
            <w:tcW w:w="1440" w:type="dxa"/>
            <w:noWrap/>
            <w:vAlign w:val="center"/>
          </w:tcPr>
          <w:p w:rsidR="002C03A7" w:rsidRDefault="002C03A7">
            <w:pPr>
              <w:jc w:val="center"/>
              <w:rPr>
                <w:rFonts w:cs="Arial"/>
                <w:sz w:val="20"/>
                <w:szCs w:val="20"/>
              </w:rPr>
            </w:pPr>
            <w:r>
              <w:rPr>
                <w:rFonts w:cs="Arial"/>
                <w:sz w:val="20"/>
                <w:szCs w:val="20"/>
              </w:rPr>
              <w:t>22</w:t>
            </w:r>
          </w:p>
        </w:tc>
        <w:tc>
          <w:tcPr>
            <w:tcW w:w="2160" w:type="dxa"/>
            <w:noWrap/>
            <w:vAlign w:val="center"/>
          </w:tcPr>
          <w:p w:rsidR="002C03A7" w:rsidRDefault="002C03A7">
            <w:pPr>
              <w:jc w:val="center"/>
              <w:rPr>
                <w:rFonts w:cs="Arial"/>
                <w:sz w:val="20"/>
                <w:szCs w:val="20"/>
              </w:rPr>
            </w:pPr>
            <w:r>
              <w:rPr>
                <w:rFonts w:cs="Arial"/>
                <w:sz w:val="20"/>
                <w:szCs w:val="20"/>
              </w:rPr>
              <w:t>-</w:t>
            </w:r>
          </w:p>
        </w:tc>
        <w:tc>
          <w:tcPr>
            <w:tcW w:w="2160" w:type="dxa"/>
            <w:noWrap/>
            <w:vAlign w:val="center"/>
          </w:tcPr>
          <w:p w:rsidR="002C03A7" w:rsidRDefault="002C03A7">
            <w:pPr>
              <w:jc w:val="center"/>
              <w:rPr>
                <w:rFonts w:cs="Arial"/>
                <w:sz w:val="20"/>
                <w:szCs w:val="20"/>
              </w:rPr>
            </w:pPr>
            <w:r>
              <w:rPr>
                <w:rFonts w:cs="Arial"/>
                <w:sz w:val="20"/>
                <w:szCs w:val="20"/>
              </w:rPr>
              <w:t>-14</w:t>
            </w:r>
          </w:p>
        </w:tc>
      </w:tr>
      <w:tr w:rsidR="002C03A7" w:rsidRPr="006376D7" w:rsidTr="00B010FC">
        <w:trPr>
          <w:trHeight w:val="382"/>
        </w:trPr>
        <w:tc>
          <w:tcPr>
            <w:tcW w:w="3708" w:type="dxa"/>
            <w:noWrap/>
            <w:vAlign w:val="center"/>
          </w:tcPr>
          <w:p w:rsidR="002C03A7" w:rsidRDefault="002C03A7">
            <w:pPr>
              <w:rPr>
                <w:rFonts w:cs="Arial"/>
                <w:sz w:val="20"/>
                <w:szCs w:val="20"/>
              </w:rPr>
            </w:pPr>
            <w:r>
              <w:rPr>
                <w:rFonts w:cs="Arial"/>
                <w:sz w:val="20"/>
                <w:szCs w:val="20"/>
              </w:rPr>
              <w:t>15-16 financial YTD</w:t>
            </w:r>
          </w:p>
        </w:tc>
        <w:tc>
          <w:tcPr>
            <w:tcW w:w="1440" w:type="dxa"/>
            <w:noWrap/>
            <w:vAlign w:val="center"/>
          </w:tcPr>
          <w:p w:rsidR="002C03A7" w:rsidRDefault="002C03A7">
            <w:pPr>
              <w:jc w:val="center"/>
              <w:rPr>
                <w:rFonts w:cs="Arial"/>
                <w:sz w:val="20"/>
                <w:szCs w:val="20"/>
              </w:rPr>
            </w:pPr>
            <w:r>
              <w:rPr>
                <w:rFonts w:cs="Arial"/>
                <w:sz w:val="20"/>
                <w:szCs w:val="20"/>
              </w:rPr>
              <w:t>5.06</w:t>
            </w:r>
          </w:p>
        </w:tc>
        <w:tc>
          <w:tcPr>
            <w:tcW w:w="2160" w:type="dxa"/>
            <w:noWrap/>
            <w:vAlign w:val="center"/>
          </w:tcPr>
          <w:p w:rsidR="002C03A7" w:rsidRDefault="002C03A7">
            <w:pPr>
              <w:jc w:val="center"/>
              <w:rPr>
                <w:rFonts w:cs="Arial"/>
                <w:sz w:val="20"/>
                <w:szCs w:val="20"/>
              </w:rPr>
            </w:pPr>
            <w:r>
              <w:rPr>
                <w:rFonts w:cs="Arial"/>
                <w:sz w:val="20"/>
                <w:szCs w:val="20"/>
              </w:rPr>
              <w:t>-</w:t>
            </w:r>
          </w:p>
        </w:tc>
        <w:tc>
          <w:tcPr>
            <w:tcW w:w="2160" w:type="dxa"/>
            <w:noWrap/>
            <w:vAlign w:val="center"/>
          </w:tcPr>
          <w:p w:rsidR="002C03A7" w:rsidRDefault="002C03A7">
            <w:pPr>
              <w:jc w:val="center"/>
              <w:rPr>
                <w:rFonts w:cs="Arial"/>
                <w:sz w:val="20"/>
                <w:szCs w:val="20"/>
              </w:rPr>
            </w:pPr>
            <w:r>
              <w:rPr>
                <w:rFonts w:cs="Arial"/>
                <w:sz w:val="20"/>
                <w:szCs w:val="20"/>
              </w:rPr>
              <w:t>1007</w:t>
            </w:r>
          </w:p>
        </w:tc>
      </w:tr>
      <w:tr w:rsidR="002C03A7" w:rsidRPr="006376D7" w:rsidTr="00B010FC">
        <w:trPr>
          <w:cnfStyle w:val="000000010000" w:firstRow="0" w:lastRow="0" w:firstColumn="0" w:lastColumn="0" w:oddVBand="0" w:evenVBand="0" w:oddHBand="0" w:evenHBand="1" w:firstRowFirstColumn="0" w:firstRowLastColumn="0" w:lastRowFirstColumn="0" w:lastRowLastColumn="0"/>
          <w:trHeight w:val="382"/>
        </w:trPr>
        <w:tc>
          <w:tcPr>
            <w:tcW w:w="3708" w:type="dxa"/>
            <w:noWrap/>
            <w:vAlign w:val="center"/>
          </w:tcPr>
          <w:p w:rsidR="002C03A7" w:rsidRDefault="002C03A7">
            <w:pPr>
              <w:rPr>
                <w:rFonts w:cs="Arial"/>
                <w:sz w:val="20"/>
                <w:szCs w:val="20"/>
              </w:rPr>
            </w:pPr>
            <w:r>
              <w:rPr>
                <w:rFonts w:cs="Arial"/>
                <w:sz w:val="20"/>
                <w:szCs w:val="20"/>
              </w:rPr>
              <w:t xml:space="preserve">% change from previous financial YTD </w:t>
            </w:r>
          </w:p>
        </w:tc>
        <w:tc>
          <w:tcPr>
            <w:tcW w:w="1440" w:type="dxa"/>
            <w:noWrap/>
            <w:vAlign w:val="center"/>
          </w:tcPr>
          <w:p w:rsidR="002C03A7" w:rsidRDefault="002C03A7">
            <w:pPr>
              <w:jc w:val="center"/>
              <w:rPr>
                <w:rFonts w:cs="Arial"/>
                <w:sz w:val="20"/>
                <w:szCs w:val="20"/>
              </w:rPr>
            </w:pPr>
            <w:r>
              <w:rPr>
                <w:rFonts w:cs="Arial"/>
                <w:sz w:val="20"/>
                <w:szCs w:val="20"/>
              </w:rPr>
              <w:t>29</w:t>
            </w:r>
          </w:p>
        </w:tc>
        <w:tc>
          <w:tcPr>
            <w:tcW w:w="2160" w:type="dxa"/>
            <w:noWrap/>
            <w:vAlign w:val="center"/>
          </w:tcPr>
          <w:p w:rsidR="002C03A7" w:rsidRDefault="002C03A7">
            <w:pPr>
              <w:jc w:val="center"/>
              <w:rPr>
                <w:rFonts w:cs="Arial"/>
                <w:sz w:val="20"/>
                <w:szCs w:val="20"/>
              </w:rPr>
            </w:pPr>
            <w:r>
              <w:rPr>
                <w:rFonts w:cs="Arial"/>
                <w:sz w:val="20"/>
                <w:szCs w:val="20"/>
              </w:rPr>
              <w:t>-</w:t>
            </w:r>
          </w:p>
        </w:tc>
        <w:tc>
          <w:tcPr>
            <w:tcW w:w="2160" w:type="dxa"/>
            <w:noWrap/>
            <w:vAlign w:val="center"/>
          </w:tcPr>
          <w:p w:rsidR="002C03A7" w:rsidRDefault="002C03A7">
            <w:pPr>
              <w:jc w:val="center"/>
              <w:rPr>
                <w:rFonts w:cs="Arial"/>
                <w:sz w:val="20"/>
                <w:szCs w:val="20"/>
              </w:rPr>
            </w:pPr>
            <w:r>
              <w:rPr>
                <w:rFonts w:cs="Arial"/>
                <w:sz w:val="20"/>
                <w:szCs w:val="20"/>
              </w:rPr>
              <w:t>5</w:t>
            </w:r>
          </w:p>
        </w:tc>
      </w:tr>
    </w:tbl>
    <w:p w:rsidR="00FF0D8A" w:rsidRDefault="00FF0D8A" w:rsidP="00FF0D8A">
      <w:pPr>
        <w:pStyle w:val="AERbodytext"/>
        <w:spacing w:before="120" w:after="120"/>
        <w:jc w:val="both"/>
      </w:pPr>
      <w:r w:rsidRPr="006619E5">
        <w:rPr>
          <w:sz w:val="20"/>
        </w:rPr>
        <w:t>*</w:t>
      </w:r>
      <w:r w:rsidRPr="001420EB">
        <w:rPr>
          <w:sz w:val="20"/>
        </w:rPr>
        <w:t xml:space="preserve"> </w:t>
      </w:r>
      <w:r w:rsidRPr="006619E5">
        <w:rPr>
          <w:sz w:val="20"/>
        </w:rPr>
        <w:t>Note: only positive ancillary payments, reflecting system con</w:t>
      </w:r>
      <w:r>
        <w:rPr>
          <w:sz w:val="20"/>
        </w:rPr>
        <w:t>straints will be shown here.</w:t>
      </w:r>
      <w:r>
        <w:t xml:space="preserve"> </w:t>
      </w:r>
    </w:p>
    <w:p w:rsidR="00FF0D8A" w:rsidRDefault="00FF0D8A" w:rsidP="00FF0D8A">
      <w:pPr>
        <w:pStyle w:val="AERbodytext"/>
        <w:spacing w:before="120" w:after="120"/>
        <w:jc w:val="both"/>
      </w:pPr>
      <w:r>
        <w:lastRenderedPageBreak/>
        <w:t>More</w:t>
      </w:r>
      <w:r w:rsidRPr="00D329E0">
        <w:t xml:space="preserve"> </w:t>
      </w:r>
      <w:r>
        <w:t xml:space="preserve">detailed </w:t>
      </w:r>
      <w:r w:rsidRPr="00D329E0">
        <w:t xml:space="preserve">analysis on the </w:t>
      </w:r>
      <w:r>
        <w:t>VGM is provided in section 1</w:t>
      </w:r>
      <w:r w:rsidRPr="00D329E0">
        <w:t xml:space="preserve">. </w:t>
      </w:r>
    </w:p>
    <w:p w:rsidR="00FF0D8A" w:rsidRPr="008D4DAB" w:rsidRDefault="00FF0D8A" w:rsidP="00FF0D8A">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Market Operator Service </w:t>
      </w:r>
      <w:r w:rsidRPr="00950C55">
        <w:rPr>
          <w:b/>
        </w:rPr>
        <w:t>(MOS)</w:t>
      </w:r>
      <w:r>
        <w:t xml:space="preserve"> balancing gas service payments together with the related daily</w:t>
      </w:r>
      <w:r w:rsidRPr="008D4DAB">
        <w:t xml:space="preserve"> demand </w:t>
      </w:r>
      <w:r>
        <w:t xml:space="preserve">quantities against </w:t>
      </w:r>
      <w:r w:rsidRPr="008D4DAB">
        <w:t xml:space="preserve">historical averages </w:t>
      </w:r>
      <w:r>
        <w:t>for the Sydney, Adelaide and Brisbane STTM hubs, respectively.</w:t>
      </w:r>
    </w:p>
    <w:p w:rsidR="00D1641C" w:rsidRPr="006E7E57" w:rsidRDefault="006E7E57" w:rsidP="00D1641C">
      <w:pPr>
        <w:pStyle w:val="Heading2"/>
        <w:ind w:firstLine="0"/>
        <w:rPr>
          <w:i w:val="0"/>
          <w:color w:val="2272A3"/>
          <w:sz w:val="24"/>
          <w:szCs w:val="24"/>
        </w:rPr>
      </w:pPr>
      <w:r>
        <w:rPr>
          <w:i w:val="0"/>
          <w:color w:val="2272A3"/>
          <w:sz w:val="24"/>
          <w:szCs w:val="24"/>
        </w:rPr>
        <w:t>Sydney STTM</w:t>
      </w:r>
    </w:p>
    <w:tbl>
      <w:tblPr>
        <w:tblStyle w:val="AERTable-Text0"/>
        <w:tblW w:w="9288" w:type="dxa"/>
        <w:tblLayout w:type="fixed"/>
        <w:tblLook w:val="01E0" w:firstRow="1" w:lastRow="1" w:firstColumn="1" w:lastColumn="1" w:noHBand="0" w:noVBand="0"/>
      </w:tblPr>
      <w:tblGrid>
        <w:gridCol w:w="2670"/>
        <w:gridCol w:w="1359"/>
        <w:gridCol w:w="1360"/>
        <w:gridCol w:w="1359"/>
        <w:gridCol w:w="1280"/>
        <w:gridCol w:w="1260"/>
      </w:tblGrid>
      <w:tr w:rsidR="006E7E57" w:rsidRPr="00900CEB" w:rsidTr="00B71928">
        <w:trPr>
          <w:cnfStyle w:val="100000000000" w:firstRow="1" w:lastRow="0" w:firstColumn="0" w:lastColumn="0" w:oddVBand="0" w:evenVBand="0" w:oddHBand="0" w:evenHBand="0" w:firstRowFirstColumn="0" w:firstRowLastColumn="0" w:lastRowFirstColumn="0" w:lastRowLastColumn="0"/>
          <w:trHeight w:val="226"/>
        </w:trPr>
        <w:tc>
          <w:tcPr>
            <w:tcW w:w="2670" w:type="dxa"/>
            <w:noWrap/>
          </w:tcPr>
          <w:p w:rsidR="006E7E57" w:rsidRPr="002861A9" w:rsidRDefault="006E7E57" w:rsidP="00B71928">
            <w:pPr>
              <w:keepNext/>
              <w:spacing w:before="40" w:after="40"/>
              <w:rPr>
                <w:rFonts w:cs="Arial"/>
                <w:b w:val="0"/>
                <w:bCs/>
                <w:sz w:val="20"/>
                <w:szCs w:val="20"/>
              </w:rPr>
            </w:pPr>
            <w:r w:rsidRPr="002861A9">
              <w:rPr>
                <w:rFonts w:cs="Arial"/>
                <w:bCs/>
                <w:sz w:val="20"/>
                <w:szCs w:val="20"/>
              </w:rPr>
              <w:t> </w:t>
            </w:r>
          </w:p>
        </w:tc>
        <w:tc>
          <w:tcPr>
            <w:tcW w:w="135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price ($/GJ)</w:t>
            </w:r>
          </w:p>
        </w:tc>
        <w:tc>
          <w:tcPr>
            <w:tcW w:w="13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price ($/GJ)</w:t>
            </w:r>
          </w:p>
        </w:tc>
        <w:tc>
          <w:tcPr>
            <w:tcW w:w="135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MOS payments ($000)</w:t>
            </w:r>
          </w:p>
        </w:tc>
        <w:tc>
          <w:tcPr>
            <w:tcW w:w="128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quantity (TJ)</w:t>
            </w:r>
          </w:p>
        </w:tc>
        <w:tc>
          <w:tcPr>
            <w:tcW w:w="12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quantity (TJ)</w:t>
            </w:r>
          </w:p>
        </w:tc>
      </w:tr>
      <w:tr w:rsidR="002C03A7" w:rsidRPr="002861A9" w:rsidTr="008F4806">
        <w:trPr>
          <w:trHeight w:val="382"/>
        </w:trPr>
        <w:tc>
          <w:tcPr>
            <w:tcW w:w="2670" w:type="dxa"/>
            <w:noWrap/>
            <w:vAlign w:val="center"/>
          </w:tcPr>
          <w:p w:rsidR="002C03A7" w:rsidRDefault="002C03A7">
            <w:pPr>
              <w:rPr>
                <w:rFonts w:cs="Arial"/>
                <w:sz w:val="20"/>
                <w:szCs w:val="20"/>
              </w:rPr>
            </w:pPr>
            <w:r>
              <w:rPr>
                <w:rFonts w:cs="Arial"/>
                <w:sz w:val="20"/>
                <w:szCs w:val="20"/>
              </w:rPr>
              <w:t>19 Jul - 25 Jul 2015</w:t>
            </w:r>
          </w:p>
        </w:tc>
        <w:tc>
          <w:tcPr>
            <w:tcW w:w="1359" w:type="dxa"/>
            <w:noWrap/>
            <w:vAlign w:val="center"/>
          </w:tcPr>
          <w:p w:rsidR="002C03A7" w:rsidRDefault="002C03A7">
            <w:pPr>
              <w:jc w:val="center"/>
              <w:rPr>
                <w:rFonts w:cs="Arial"/>
                <w:sz w:val="20"/>
                <w:szCs w:val="20"/>
              </w:rPr>
            </w:pPr>
            <w:r>
              <w:rPr>
                <w:rFonts w:cs="Arial"/>
                <w:sz w:val="20"/>
                <w:szCs w:val="20"/>
              </w:rPr>
              <w:t>6.49</w:t>
            </w:r>
          </w:p>
        </w:tc>
        <w:tc>
          <w:tcPr>
            <w:tcW w:w="1360" w:type="dxa"/>
            <w:noWrap/>
            <w:vAlign w:val="center"/>
          </w:tcPr>
          <w:p w:rsidR="002C03A7" w:rsidRDefault="002C03A7">
            <w:pPr>
              <w:jc w:val="center"/>
              <w:rPr>
                <w:rFonts w:cs="Arial"/>
                <w:sz w:val="20"/>
                <w:szCs w:val="20"/>
              </w:rPr>
            </w:pPr>
            <w:r>
              <w:rPr>
                <w:rFonts w:cs="Arial"/>
                <w:sz w:val="20"/>
                <w:szCs w:val="20"/>
              </w:rPr>
              <w:t>6.35</w:t>
            </w:r>
          </w:p>
        </w:tc>
        <w:tc>
          <w:tcPr>
            <w:tcW w:w="1359" w:type="dxa"/>
            <w:noWrap/>
            <w:vAlign w:val="center"/>
          </w:tcPr>
          <w:p w:rsidR="002C03A7" w:rsidRDefault="002C03A7">
            <w:pPr>
              <w:jc w:val="center"/>
              <w:rPr>
                <w:rFonts w:cs="Arial"/>
                <w:sz w:val="20"/>
                <w:szCs w:val="20"/>
              </w:rPr>
            </w:pPr>
            <w:r>
              <w:rPr>
                <w:rFonts w:cs="Arial"/>
                <w:sz w:val="20"/>
                <w:szCs w:val="20"/>
              </w:rPr>
              <w:t>25.07</w:t>
            </w:r>
          </w:p>
        </w:tc>
        <w:tc>
          <w:tcPr>
            <w:tcW w:w="1280" w:type="dxa"/>
            <w:noWrap/>
            <w:vAlign w:val="center"/>
          </w:tcPr>
          <w:p w:rsidR="002C03A7" w:rsidRDefault="002C03A7">
            <w:pPr>
              <w:jc w:val="center"/>
              <w:rPr>
                <w:rFonts w:cs="Arial"/>
                <w:sz w:val="20"/>
                <w:szCs w:val="20"/>
              </w:rPr>
            </w:pPr>
            <w:r>
              <w:rPr>
                <w:rFonts w:cs="Arial"/>
                <w:sz w:val="20"/>
                <w:szCs w:val="20"/>
              </w:rPr>
              <w:t>286</w:t>
            </w:r>
          </w:p>
        </w:tc>
        <w:tc>
          <w:tcPr>
            <w:tcW w:w="1260" w:type="dxa"/>
            <w:noWrap/>
            <w:vAlign w:val="center"/>
          </w:tcPr>
          <w:p w:rsidR="002C03A7" w:rsidRDefault="002C03A7">
            <w:pPr>
              <w:jc w:val="center"/>
              <w:rPr>
                <w:rFonts w:cs="Arial"/>
                <w:sz w:val="20"/>
                <w:szCs w:val="20"/>
              </w:rPr>
            </w:pPr>
            <w:r>
              <w:rPr>
                <w:rFonts w:cs="Arial"/>
                <w:sz w:val="20"/>
                <w:szCs w:val="20"/>
              </w:rPr>
              <w:t>282</w:t>
            </w:r>
          </w:p>
        </w:tc>
      </w:tr>
      <w:tr w:rsidR="002C03A7" w:rsidRPr="002861A9" w:rsidTr="008F4806">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2C03A7" w:rsidRDefault="002C03A7">
            <w:pPr>
              <w:rPr>
                <w:rFonts w:cs="Arial"/>
                <w:sz w:val="20"/>
                <w:szCs w:val="20"/>
              </w:rPr>
            </w:pPr>
            <w:r>
              <w:rPr>
                <w:rFonts w:cs="Arial"/>
                <w:sz w:val="20"/>
                <w:szCs w:val="20"/>
              </w:rPr>
              <w:t>% change from previous week</w:t>
            </w:r>
          </w:p>
        </w:tc>
        <w:tc>
          <w:tcPr>
            <w:tcW w:w="1359" w:type="dxa"/>
            <w:noWrap/>
            <w:vAlign w:val="center"/>
          </w:tcPr>
          <w:p w:rsidR="002C03A7" w:rsidRDefault="002C03A7">
            <w:pPr>
              <w:jc w:val="center"/>
              <w:rPr>
                <w:rFonts w:cs="Arial"/>
                <w:sz w:val="20"/>
                <w:szCs w:val="20"/>
              </w:rPr>
            </w:pPr>
            <w:r>
              <w:rPr>
                <w:rFonts w:cs="Arial"/>
                <w:sz w:val="20"/>
                <w:szCs w:val="20"/>
              </w:rPr>
              <w:t>9</w:t>
            </w:r>
          </w:p>
        </w:tc>
        <w:tc>
          <w:tcPr>
            <w:tcW w:w="1360" w:type="dxa"/>
            <w:noWrap/>
            <w:vAlign w:val="center"/>
          </w:tcPr>
          <w:p w:rsidR="002C03A7" w:rsidRDefault="002C03A7">
            <w:pPr>
              <w:jc w:val="center"/>
              <w:rPr>
                <w:rFonts w:cs="Arial"/>
                <w:sz w:val="20"/>
                <w:szCs w:val="20"/>
              </w:rPr>
            </w:pPr>
            <w:r>
              <w:rPr>
                <w:rFonts w:cs="Arial"/>
                <w:sz w:val="20"/>
                <w:szCs w:val="20"/>
              </w:rPr>
              <w:t>4</w:t>
            </w:r>
          </w:p>
        </w:tc>
        <w:tc>
          <w:tcPr>
            <w:tcW w:w="1359" w:type="dxa"/>
            <w:noWrap/>
            <w:vAlign w:val="center"/>
          </w:tcPr>
          <w:p w:rsidR="002C03A7" w:rsidRDefault="002C03A7">
            <w:pPr>
              <w:jc w:val="center"/>
              <w:rPr>
                <w:rFonts w:cs="Arial"/>
                <w:sz w:val="20"/>
                <w:szCs w:val="20"/>
              </w:rPr>
            </w:pPr>
            <w:r>
              <w:rPr>
                <w:rFonts w:cs="Arial"/>
                <w:sz w:val="20"/>
                <w:szCs w:val="20"/>
              </w:rPr>
              <w:t>-42</w:t>
            </w:r>
          </w:p>
        </w:tc>
        <w:tc>
          <w:tcPr>
            <w:tcW w:w="1280" w:type="dxa"/>
            <w:noWrap/>
            <w:vAlign w:val="center"/>
          </w:tcPr>
          <w:p w:rsidR="002C03A7" w:rsidRDefault="002C03A7">
            <w:pPr>
              <w:jc w:val="center"/>
              <w:rPr>
                <w:rFonts w:cs="Arial"/>
                <w:sz w:val="20"/>
                <w:szCs w:val="20"/>
              </w:rPr>
            </w:pPr>
            <w:r>
              <w:rPr>
                <w:rFonts w:cs="Arial"/>
                <w:sz w:val="20"/>
                <w:szCs w:val="20"/>
              </w:rPr>
              <w:t>-7</w:t>
            </w:r>
          </w:p>
        </w:tc>
        <w:tc>
          <w:tcPr>
            <w:tcW w:w="1260" w:type="dxa"/>
            <w:noWrap/>
            <w:vAlign w:val="center"/>
          </w:tcPr>
          <w:p w:rsidR="002C03A7" w:rsidRDefault="002C03A7">
            <w:pPr>
              <w:jc w:val="center"/>
              <w:rPr>
                <w:rFonts w:cs="Arial"/>
                <w:sz w:val="20"/>
                <w:szCs w:val="20"/>
              </w:rPr>
            </w:pPr>
            <w:r>
              <w:rPr>
                <w:rFonts w:cs="Arial"/>
                <w:sz w:val="20"/>
                <w:szCs w:val="20"/>
              </w:rPr>
              <w:t>-9</w:t>
            </w:r>
          </w:p>
        </w:tc>
      </w:tr>
      <w:tr w:rsidR="002C03A7" w:rsidRPr="002861A9" w:rsidTr="008F4806">
        <w:trPr>
          <w:trHeight w:val="382"/>
        </w:trPr>
        <w:tc>
          <w:tcPr>
            <w:tcW w:w="2670" w:type="dxa"/>
            <w:noWrap/>
            <w:vAlign w:val="center"/>
          </w:tcPr>
          <w:p w:rsidR="002C03A7" w:rsidRDefault="002C03A7">
            <w:pPr>
              <w:rPr>
                <w:rFonts w:cs="Arial"/>
                <w:sz w:val="20"/>
                <w:szCs w:val="20"/>
              </w:rPr>
            </w:pPr>
            <w:r>
              <w:rPr>
                <w:rFonts w:cs="Arial"/>
                <w:sz w:val="20"/>
                <w:szCs w:val="20"/>
              </w:rPr>
              <w:t>15-16 financial YTD</w:t>
            </w:r>
          </w:p>
        </w:tc>
        <w:tc>
          <w:tcPr>
            <w:tcW w:w="1359" w:type="dxa"/>
            <w:noWrap/>
            <w:vAlign w:val="center"/>
          </w:tcPr>
          <w:p w:rsidR="002C03A7" w:rsidRDefault="002C03A7">
            <w:pPr>
              <w:jc w:val="center"/>
              <w:rPr>
                <w:rFonts w:cs="Arial"/>
                <w:sz w:val="20"/>
                <w:szCs w:val="20"/>
              </w:rPr>
            </w:pPr>
            <w:r>
              <w:rPr>
                <w:rFonts w:cs="Arial"/>
                <w:sz w:val="20"/>
                <w:szCs w:val="20"/>
              </w:rPr>
              <w:t>5.49</w:t>
            </w:r>
          </w:p>
        </w:tc>
        <w:tc>
          <w:tcPr>
            <w:tcW w:w="1360" w:type="dxa"/>
            <w:noWrap/>
            <w:vAlign w:val="center"/>
          </w:tcPr>
          <w:p w:rsidR="002C03A7" w:rsidRDefault="002C03A7">
            <w:pPr>
              <w:jc w:val="center"/>
              <w:rPr>
                <w:rFonts w:cs="Arial"/>
                <w:sz w:val="20"/>
                <w:szCs w:val="20"/>
              </w:rPr>
            </w:pPr>
            <w:r>
              <w:rPr>
                <w:rFonts w:cs="Arial"/>
                <w:sz w:val="20"/>
                <w:szCs w:val="20"/>
              </w:rPr>
              <w:t>5.49</w:t>
            </w:r>
          </w:p>
        </w:tc>
        <w:tc>
          <w:tcPr>
            <w:tcW w:w="1359" w:type="dxa"/>
            <w:noWrap/>
            <w:vAlign w:val="center"/>
          </w:tcPr>
          <w:p w:rsidR="002C03A7" w:rsidRDefault="002C03A7">
            <w:pPr>
              <w:jc w:val="center"/>
              <w:rPr>
                <w:rFonts w:cs="Arial"/>
                <w:sz w:val="20"/>
                <w:szCs w:val="20"/>
              </w:rPr>
            </w:pPr>
            <w:r>
              <w:rPr>
                <w:rFonts w:cs="Arial"/>
                <w:sz w:val="20"/>
                <w:szCs w:val="20"/>
              </w:rPr>
              <w:t>36.20</w:t>
            </w:r>
          </w:p>
        </w:tc>
        <w:tc>
          <w:tcPr>
            <w:tcW w:w="1280" w:type="dxa"/>
            <w:noWrap/>
            <w:vAlign w:val="center"/>
          </w:tcPr>
          <w:p w:rsidR="002C03A7" w:rsidRDefault="002C03A7">
            <w:pPr>
              <w:jc w:val="center"/>
              <w:rPr>
                <w:rFonts w:cs="Arial"/>
                <w:sz w:val="20"/>
                <w:szCs w:val="20"/>
              </w:rPr>
            </w:pPr>
            <w:r>
              <w:rPr>
                <w:rFonts w:cs="Arial"/>
                <w:sz w:val="20"/>
                <w:szCs w:val="20"/>
              </w:rPr>
              <w:t>299</w:t>
            </w:r>
          </w:p>
        </w:tc>
        <w:tc>
          <w:tcPr>
            <w:tcW w:w="1260" w:type="dxa"/>
            <w:noWrap/>
            <w:vAlign w:val="center"/>
          </w:tcPr>
          <w:p w:rsidR="002C03A7" w:rsidRDefault="002C03A7">
            <w:pPr>
              <w:jc w:val="center"/>
              <w:rPr>
                <w:rFonts w:cs="Arial"/>
                <w:sz w:val="20"/>
                <w:szCs w:val="20"/>
              </w:rPr>
            </w:pPr>
            <w:r>
              <w:rPr>
                <w:rFonts w:cs="Arial"/>
                <w:sz w:val="20"/>
                <w:szCs w:val="20"/>
              </w:rPr>
              <w:t>299</w:t>
            </w:r>
          </w:p>
        </w:tc>
      </w:tr>
      <w:tr w:rsidR="002C03A7" w:rsidRPr="002861A9" w:rsidTr="008F4806">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2C03A7" w:rsidRDefault="002C03A7">
            <w:pPr>
              <w:rPr>
                <w:rFonts w:cs="Arial"/>
                <w:sz w:val="20"/>
                <w:szCs w:val="20"/>
              </w:rPr>
            </w:pPr>
            <w:r>
              <w:rPr>
                <w:rFonts w:cs="Arial"/>
                <w:sz w:val="20"/>
                <w:szCs w:val="20"/>
              </w:rPr>
              <w:t>% change from previous financial YTD</w:t>
            </w:r>
          </w:p>
        </w:tc>
        <w:tc>
          <w:tcPr>
            <w:tcW w:w="1359" w:type="dxa"/>
            <w:noWrap/>
            <w:vAlign w:val="center"/>
          </w:tcPr>
          <w:p w:rsidR="002C03A7" w:rsidRDefault="002C03A7">
            <w:pPr>
              <w:jc w:val="center"/>
              <w:rPr>
                <w:rFonts w:cs="Arial"/>
                <w:sz w:val="20"/>
                <w:szCs w:val="20"/>
              </w:rPr>
            </w:pPr>
            <w:r>
              <w:rPr>
                <w:rFonts w:cs="Arial"/>
                <w:sz w:val="20"/>
                <w:szCs w:val="20"/>
              </w:rPr>
              <w:t>35</w:t>
            </w:r>
          </w:p>
        </w:tc>
        <w:tc>
          <w:tcPr>
            <w:tcW w:w="1360" w:type="dxa"/>
            <w:noWrap/>
            <w:vAlign w:val="center"/>
          </w:tcPr>
          <w:p w:rsidR="002C03A7" w:rsidRDefault="002C03A7">
            <w:pPr>
              <w:jc w:val="center"/>
              <w:rPr>
                <w:rFonts w:cs="Arial"/>
                <w:sz w:val="20"/>
                <w:szCs w:val="20"/>
              </w:rPr>
            </w:pPr>
            <w:r>
              <w:rPr>
                <w:rFonts w:cs="Arial"/>
                <w:sz w:val="20"/>
                <w:szCs w:val="20"/>
              </w:rPr>
              <w:t>33</w:t>
            </w:r>
          </w:p>
        </w:tc>
        <w:tc>
          <w:tcPr>
            <w:tcW w:w="1359" w:type="dxa"/>
            <w:noWrap/>
            <w:vAlign w:val="center"/>
          </w:tcPr>
          <w:p w:rsidR="002C03A7" w:rsidRDefault="002C03A7">
            <w:pPr>
              <w:jc w:val="center"/>
              <w:rPr>
                <w:rFonts w:cs="Arial"/>
                <w:sz w:val="20"/>
                <w:szCs w:val="20"/>
              </w:rPr>
            </w:pPr>
            <w:r>
              <w:rPr>
                <w:rFonts w:cs="Arial"/>
                <w:sz w:val="20"/>
                <w:szCs w:val="20"/>
              </w:rPr>
              <w:t>84</w:t>
            </w:r>
          </w:p>
        </w:tc>
        <w:tc>
          <w:tcPr>
            <w:tcW w:w="1280" w:type="dxa"/>
            <w:noWrap/>
            <w:vAlign w:val="center"/>
          </w:tcPr>
          <w:p w:rsidR="002C03A7" w:rsidRDefault="002C03A7">
            <w:pPr>
              <w:jc w:val="center"/>
              <w:rPr>
                <w:rFonts w:cs="Arial"/>
                <w:sz w:val="20"/>
                <w:szCs w:val="20"/>
              </w:rPr>
            </w:pPr>
            <w:r>
              <w:rPr>
                <w:rFonts w:cs="Arial"/>
                <w:sz w:val="20"/>
                <w:szCs w:val="20"/>
              </w:rPr>
              <w:t>0</w:t>
            </w:r>
          </w:p>
        </w:tc>
        <w:tc>
          <w:tcPr>
            <w:tcW w:w="1260" w:type="dxa"/>
            <w:noWrap/>
            <w:vAlign w:val="center"/>
          </w:tcPr>
          <w:p w:rsidR="002C03A7" w:rsidRDefault="002C03A7">
            <w:pPr>
              <w:jc w:val="center"/>
              <w:rPr>
                <w:rFonts w:cs="Arial"/>
                <w:sz w:val="20"/>
                <w:szCs w:val="20"/>
              </w:rPr>
            </w:pPr>
            <w:r>
              <w:rPr>
                <w:rFonts w:cs="Arial"/>
                <w:sz w:val="20"/>
                <w:szCs w:val="20"/>
              </w:rPr>
              <w:t>-1</w:t>
            </w:r>
          </w:p>
        </w:tc>
      </w:tr>
    </w:tbl>
    <w:p w:rsidR="00D1641C" w:rsidRPr="006E7E57" w:rsidRDefault="006E7E57" w:rsidP="00D1641C">
      <w:pPr>
        <w:pStyle w:val="Heading2"/>
        <w:ind w:firstLine="0"/>
        <w:rPr>
          <w:i w:val="0"/>
          <w:color w:val="2272A3"/>
          <w:sz w:val="24"/>
          <w:szCs w:val="24"/>
        </w:rPr>
      </w:pPr>
      <w:r>
        <w:rPr>
          <w:i w:val="0"/>
          <w:color w:val="2272A3"/>
          <w:sz w:val="24"/>
          <w:szCs w:val="24"/>
        </w:rPr>
        <w:t>Adelaide STTM</w:t>
      </w:r>
    </w:p>
    <w:tbl>
      <w:tblPr>
        <w:tblStyle w:val="AERTable-Text0"/>
        <w:tblW w:w="9288" w:type="dxa"/>
        <w:tblLayout w:type="fixed"/>
        <w:tblLook w:val="01E0" w:firstRow="1" w:lastRow="1" w:firstColumn="1" w:lastColumn="1" w:noHBand="0" w:noVBand="0"/>
      </w:tblPr>
      <w:tblGrid>
        <w:gridCol w:w="2670"/>
        <w:gridCol w:w="1359"/>
        <w:gridCol w:w="1360"/>
        <w:gridCol w:w="1379"/>
        <w:gridCol w:w="1260"/>
        <w:gridCol w:w="1260"/>
      </w:tblGrid>
      <w:tr w:rsidR="006E7E57" w:rsidRPr="00900CEB" w:rsidTr="00B71928">
        <w:trPr>
          <w:cnfStyle w:val="100000000000" w:firstRow="1" w:lastRow="0" w:firstColumn="0" w:lastColumn="0" w:oddVBand="0" w:evenVBand="0" w:oddHBand="0" w:evenHBand="0" w:firstRowFirstColumn="0" w:firstRowLastColumn="0" w:lastRowFirstColumn="0" w:lastRowLastColumn="0"/>
          <w:trHeight w:val="226"/>
        </w:trPr>
        <w:tc>
          <w:tcPr>
            <w:tcW w:w="2670" w:type="dxa"/>
            <w:noWrap/>
          </w:tcPr>
          <w:p w:rsidR="006E7E57" w:rsidRPr="002861A9" w:rsidRDefault="006E7E57" w:rsidP="00B71928">
            <w:pPr>
              <w:keepNext/>
              <w:spacing w:before="40" w:after="40"/>
              <w:rPr>
                <w:rFonts w:cs="Arial"/>
                <w:b w:val="0"/>
                <w:bCs/>
                <w:sz w:val="20"/>
                <w:szCs w:val="20"/>
              </w:rPr>
            </w:pPr>
            <w:r w:rsidRPr="002861A9">
              <w:rPr>
                <w:rFonts w:cs="Arial"/>
                <w:bCs/>
                <w:sz w:val="20"/>
                <w:szCs w:val="20"/>
              </w:rPr>
              <w:t> </w:t>
            </w:r>
          </w:p>
        </w:tc>
        <w:tc>
          <w:tcPr>
            <w:tcW w:w="135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price ($/GJ)</w:t>
            </w:r>
          </w:p>
        </w:tc>
        <w:tc>
          <w:tcPr>
            <w:tcW w:w="13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price ($/GJ)</w:t>
            </w:r>
          </w:p>
        </w:tc>
        <w:tc>
          <w:tcPr>
            <w:tcW w:w="137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MOS payments ($000)</w:t>
            </w:r>
          </w:p>
        </w:tc>
        <w:tc>
          <w:tcPr>
            <w:tcW w:w="12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quantity (TJ)</w:t>
            </w:r>
          </w:p>
        </w:tc>
        <w:tc>
          <w:tcPr>
            <w:tcW w:w="12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quantity (TJ)</w:t>
            </w:r>
          </w:p>
        </w:tc>
      </w:tr>
      <w:tr w:rsidR="002C03A7" w:rsidRPr="002861A9" w:rsidTr="00C92835">
        <w:trPr>
          <w:trHeight w:val="382"/>
        </w:trPr>
        <w:tc>
          <w:tcPr>
            <w:tcW w:w="2670" w:type="dxa"/>
            <w:noWrap/>
            <w:vAlign w:val="center"/>
          </w:tcPr>
          <w:p w:rsidR="002C03A7" w:rsidRDefault="002C03A7">
            <w:pPr>
              <w:rPr>
                <w:rFonts w:cs="Arial"/>
                <w:sz w:val="20"/>
                <w:szCs w:val="20"/>
              </w:rPr>
            </w:pPr>
            <w:r>
              <w:rPr>
                <w:rFonts w:cs="Arial"/>
                <w:sz w:val="20"/>
                <w:szCs w:val="20"/>
              </w:rPr>
              <w:t>19 Jul - 25 Jul 2015</w:t>
            </w:r>
          </w:p>
        </w:tc>
        <w:tc>
          <w:tcPr>
            <w:tcW w:w="1359" w:type="dxa"/>
            <w:noWrap/>
            <w:vAlign w:val="center"/>
          </w:tcPr>
          <w:p w:rsidR="002C03A7" w:rsidRDefault="002C03A7">
            <w:pPr>
              <w:jc w:val="center"/>
              <w:rPr>
                <w:rFonts w:cs="Arial"/>
                <w:sz w:val="20"/>
                <w:szCs w:val="20"/>
              </w:rPr>
            </w:pPr>
            <w:r>
              <w:rPr>
                <w:rFonts w:cs="Arial"/>
                <w:sz w:val="20"/>
                <w:szCs w:val="20"/>
              </w:rPr>
              <w:t>7.34</w:t>
            </w:r>
          </w:p>
        </w:tc>
        <w:tc>
          <w:tcPr>
            <w:tcW w:w="1360" w:type="dxa"/>
            <w:noWrap/>
            <w:vAlign w:val="center"/>
          </w:tcPr>
          <w:p w:rsidR="002C03A7" w:rsidRDefault="002C03A7">
            <w:pPr>
              <w:jc w:val="center"/>
              <w:rPr>
                <w:rFonts w:cs="Arial"/>
                <w:sz w:val="20"/>
                <w:szCs w:val="20"/>
              </w:rPr>
            </w:pPr>
            <w:r>
              <w:rPr>
                <w:rFonts w:cs="Arial"/>
                <w:sz w:val="20"/>
                <w:szCs w:val="20"/>
              </w:rPr>
              <w:t>8.01</w:t>
            </w:r>
          </w:p>
        </w:tc>
        <w:tc>
          <w:tcPr>
            <w:tcW w:w="1379" w:type="dxa"/>
            <w:noWrap/>
            <w:vAlign w:val="center"/>
          </w:tcPr>
          <w:p w:rsidR="002C03A7" w:rsidRDefault="002C03A7">
            <w:pPr>
              <w:jc w:val="center"/>
              <w:rPr>
                <w:rFonts w:cs="Arial"/>
                <w:sz w:val="20"/>
                <w:szCs w:val="20"/>
              </w:rPr>
            </w:pPr>
            <w:r>
              <w:rPr>
                <w:rFonts w:cs="Arial"/>
                <w:sz w:val="20"/>
                <w:szCs w:val="20"/>
              </w:rPr>
              <w:t>26.89</w:t>
            </w:r>
          </w:p>
        </w:tc>
        <w:tc>
          <w:tcPr>
            <w:tcW w:w="1260" w:type="dxa"/>
            <w:noWrap/>
            <w:vAlign w:val="center"/>
          </w:tcPr>
          <w:p w:rsidR="002C03A7" w:rsidRDefault="002C03A7">
            <w:pPr>
              <w:jc w:val="center"/>
              <w:rPr>
                <w:rFonts w:cs="Arial"/>
                <w:sz w:val="20"/>
                <w:szCs w:val="20"/>
              </w:rPr>
            </w:pPr>
            <w:r>
              <w:rPr>
                <w:rFonts w:cs="Arial"/>
                <w:sz w:val="20"/>
                <w:szCs w:val="20"/>
              </w:rPr>
              <w:t>92</w:t>
            </w:r>
          </w:p>
        </w:tc>
        <w:tc>
          <w:tcPr>
            <w:tcW w:w="1260" w:type="dxa"/>
            <w:noWrap/>
            <w:vAlign w:val="center"/>
          </w:tcPr>
          <w:p w:rsidR="002C03A7" w:rsidRDefault="002C03A7">
            <w:pPr>
              <w:jc w:val="center"/>
              <w:rPr>
                <w:rFonts w:cs="Arial"/>
                <w:sz w:val="20"/>
                <w:szCs w:val="20"/>
              </w:rPr>
            </w:pPr>
            <w:r>
              <w:rPr>
                <w:rFonts w:cs="Arial"/>
                <w:sz w:val="20"/>
                <w:szCs w:val="20"/>
              </w:rPr>
              <w:t>96</w:t>
            </w:r>
          </w:p>
        </w:tc>
      </w:tr>
      <w:tr w:rsidR="002C03A7" w:rsidRPr="002861A9" w:rsidTr="00C92835">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2C03A7" w:rsidRDefault="002C03A7">
            <w:pPr>
              <w:rPr>
                <w:rFonts w:cs="Arial"/>
                <w:sz w:val="20"/>
                <w:szCs w:val="20"/>
              </w:rPr>
            </w:pPr>
            <w:r>
              <w:rPr>
                <w:rFonts w:cs="Arial"/>
                <w:sz w:val="20"/>
                <w:szCs w:val="20"/>
              </w:rPr>
              <w:t>% change from previous week</w:t>
            </w:r>
          </w:p>
        </w:tc>
        <w:tc>
          <w:tcPr>
            <w:tcW w:w="1359" w:type="dxa"/>
            <w:noWrap/>
            <w:vAlign w:val="center"/>
          </w:tcPr>
          <w:p w:rsidR="002C03A7" w:rsidRDefault="002C03A7">
            <w:pPr>
              <w:jc w:val="center"/>
              <w:rPr>
                <w:rFonts w:cs="Arial"/>
                <w:sz w:val="20"/>
                <w:szCs w:val="20"/>
              </w:rPr>
            </w:pPr>
            <w:r>
              <w:rPr>
                <w:rFonts w:cs="Arial"/>
                <w:sz w:val="20"/>
                <w:szCs w:val="20"/>
              </w:rPr>
              <w:t>21</w:t>
            </w:r>
          </w:p>
        </w:tc>
        <w:tc>
          <w:tcPr>
            <w:tcW w:w="1360" w:type="dxa"/>
            <w:noWrap/>
            <w:vAlign w:val="center"/>
          </w:tcPr>
          <w:p w:rsidR="002C03A7" w:rsidRDefault="002C03A7">
            <w:pPr>
              <w:jc w:val="center"/>
              <w:rPr>
                <w:rFonts w:cs="Arial"/>
                <w:sz w:val="20"/>
                <w:szCs w:val="20"/>
              </w:rPr>
            </w:pPr>
            <w:r>
              <w:rPr>
                <w:rFonts w:cs="Arial"/>
                <w:sz w:val="20"/>
                <w:szCs w:val="20"/>
              </w:rPr>
              <w:t>32</w:t>
            </w:r>
          </w:p>
        </w:tc>
        <w:tc>
          <w:tcPr>
            <w:tcW w:w="1379" w:type="dxa"/>
            <w:noWrap/>
            <w:vAlign w:val="center"/>
          </w:tcPr>
          <w:p w:rsidR="002C03A7" w:rsidRDefault="002C03A7">
            <w:pPr>
              <w:jc w:val="center"/>
              <w:rPr>
                <w:rFonts w:cs="Arial"/>
                <w:sz w:val="20"/>
                <w:szCs w:val="20"/>
              </w:rPr>
            </w:pPr>
            <w:r>
              <w:rPr>
                <w:rFonts w:cs="Arial"/>
                <w:sz w:val="20"/>
                <w:szCs w:val="20"/>
              </w:rPr>
              <w:t>192</w:t>
            </w:r>
          </w:p>
        </w:tc>
        <w:tc>
          <w:tcPr>
            <w:tcW w:w="1260" w:type="dxa"/>
            <w:noWrap/>
            <w:vAlign w:val="center"/>
          </w:tcPr>
          <w:p w:rsidR="002C03A7" w:rsidRDefault="002C03A7">
            <w:pPr>
              <w:jc w:val="center"/>
              <w:rPr>
                <w:rFonts w:cs="Arial"/>
                <w:sz w:val="20"/>
                <w:szCs w:val="20"/>
              </w:rPr>
            </w:pPr>
            <w:r>
              <w:rPr>
                <w:rFonts w:cs="Arial"/>
                <w:sz w:val="20"/>
                <w:szCs w:val="20"/>
              </w:rPr>
              <w:t>-1</w:t>
            </w:r>
          </w:p>
        </w:tc>
        <w:tc>
          <w:tcPr>
            <w:tcW w:w="1260" w:type="dxa"/>
            <w:noWrap/>
            <w:vAlign w:val="center"/>
          </w:tcPr>
          <w:p w:rsidR="002C03A7" w:rsidRDefault="002C03A7">
            <w:pPr>
              <w:jc w:val="center"/>
              <w:rPr>
                <w:rFonts w:cs="Arial"/>
                <w:sz w:val="20"/>
                <w:szCs w:val="20"/>
              </w:rPr>
            </w:pPr>
            <w:r>
              <w:rPr>
                <w:rFonts w:cs="Arial"/>
                <w:sz w:val="20"/>
                <w:szCs w:val="20"/>
              </w:rPr>
              <w:t>5</w:t>
            </w:r>
          </w:p>
        </w:tc>
      </w:tr>
      <w:tr w:rsidR="002C03A7" w:rsidRPr="002861A9" w:rsidTr="00C92835">
        <w:trPr>
          <w:trHeight w:val="382"/>
        </w:trPr>
        <w:tc>
          <w:tcPr>
            <w:tcW w:w="2670" w:type="dxa"/>
            <w:noWrap/>
            <w:vAlign w:val="center"/>
          </w:tcPr>
          <w:p w:rsidR="002C03A7" w:rsidRDefault="002C03A7">
            <w:pPr>
              <w:rPr>
                <w:rFonts w:cs="Arial"/>
                <w:sz w:val="20"/>
                <w:szCs w:val="20"/>
              </w:rPr>
            </w:pPr>
            <w:r>
              <w:rPr>
                <w:rFonts w:cs="Arial"/>
                <w:sz w:val="20"/>
                <w:szCs w:val="20"/>
              </w:rPr>
              <w:t>15-16 financial YTD</w:t>
            </w:r>
          </w:p>
        </w:tc>
        <w:tc>
          <w:tcPr>
            <w:tcW w:w="1359" w:type="dxa"/>
            <w:noWrap/>
            <w:vAlign w:val="center"/>
          </w:tcPr>
          <w:p w:rsidR="002C03A7" w:rsidRDefault="002C03A7">
            <w:pPr>
              <w:jc w:val="center"/>
              <w:rPr>
                <w:rFonts w:cs="Arial"/>
                <w:sz w:val="20"/>
                <w:szCs w:val="20"/>
              </w:rPr>
            </w:pPr>
            <w:r>
              <w:rPr>
                <w:rFonts w:cs="Arial"/>
                <w:sz w:val="20"/>
                <w:szCs w:val="20"/>
              </w:rPr>
              <w:t>5.87</w:t>
            </w:r>
          </w:p>
        </w:tc>
        <w:tc>
          <w:tcPr>
            <w:tcW w:w="1360" w:type="dxa"/>
            <w:noWrap/>
            <w:vAlign w:val="center"/>
          </w:tcPr>
          <w:p w:rsidR="002C03A7" w:rsidRDefault="002C03A7">
            <w:pPr>
              <w:jc w:val="center"/>
              <w:rPr>
                <w:rFonts w:cs="Arial"/>
                <w:sz w:val="20"/>
                <w:szCs w:val="20"/>
              </w:rPr>
            </w:pPr>
            <w:r>
              <w:rPr>
                <w:rFonts w:cs="Arial"/>
                <w:sz w:val="20"/>
                <w:szCs w:val="20"/>
              </w:rPr>
              <w:t>5.95</w:t>
            </w:r>
          </w:p>
        </w:tc>
        <w:tc>
          <w:tcPr>
            <w:tcW w:w="1379" w:type="dxa"/>
            <w:noWrap/>
            <w:vAlign w:val="center"/>
          </w:tcPr>
          <w:p w:rsidR="002C03A7" w:rsidRDefault="002C03A7">
            <w:pPr>
              <w:jc w:val="center"/>
              <w:rPr>
                <w:rFonts w:cs="Arial"/>
                <w:sz w:val="20"/>
                <w:szCs w:val="20"/>
              </w:rPr>
            </w:pPr>
            <w:r>
              <w:rPr>
                <w:rFonts w:cs="Arial"/>
                <w:sz w:val="20"/>
                <w:szCs w:val="20"/>
              </w:rPr>
              <w:t>17.72</w:t>
            </w:r>
          </w:p>
        </w:tc>
        <w:tc>
          <w:tcPr>
            <w:tcW w:w="1260" w:type="dxa"/>
            <w:noWrap/>
            <w:vAlign w:val="center"/>
          </w:tcPr>
          <w:p w:rsidR="002C03A7" w:rsidRDefault="002C03A7">
            <w:pPr>
              <w:jc w:val="center"/>
              <w:rPr>
                <w:rFonts w:cs="Arial"/>
                <w:sz w:val="20"/>
                <w:szCs w:val="20"/>
              </w:rPr>
            </w:pPr>
            <w:r>
              <w:rPr>
                <w:rFonts w:cs="Arial"/>
                <w:sz w:val="20"/>
                <w:szCs w:val="20"/>
              </w:rPr>
              <w:t>91</w:t>
            </w:r>
          </w:p>
        </w:tc>
        <w:tc>
          <w:tcPr>
            <w:tcW w:w="1260" w:type="dxa"/>
            <w:noWrap/>
            <w:vAlign w:val="center"/>
          </w:tcPr>
          <w:p w:rsidR="002C03A7" w:rsidRDefault="002C03A7">
            <w:pPr>
              <w:jc w:val="center"/>
              <w:rPr>
                <w:rFonts w:cs="Arial"/>
                <w:sz w:val="20"/>
                <w:szCs w:val="20"/>
              </w:rPr>
            </w:pPr>
            <w:r>
              <w:rPr>
                <w:rFonts w:cs="Arial"/>
                <w:sz w:val="20"/>
                <w:szCs w:val="20"/>
              </w:rPr>
              <w:t>90</w:t>
            </w:r>
          </w:p>
        </w:tc>
      </w:tr>
      <w:tr w:rsidR="002C03A7" w:rsidRPr="002861A9" w:rsidTr="00C92835">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2C03A7" w:rsidRDefault="002C03A7">
            <w:pPr>
              <w:rPr>
                <w:rFonts w:cs="Arial"/>
                <w:sz w:val="20"/>
                <w:szCs w:val="20"/>
              </w:rPr>
            </w:pPr>
            <w:r>
              <w:rPr>
                <w:rFonts w:cs="Arial"/>
                <w:sz w:val="20"/>
                <w:szCs w:val="20"/>
              </w:rPr>
              <w:t>% change from previous financial YTD</w:t>
            </w:r>
          </w:p>
        </w:tc>
        <w:tc>
          <w:tcPr>
            <w:tcW w:w="1359" w:type="dxa"/>
            <w:noWrap/>
            <w:vAlign w:val="center"/>
          </w:tcPr>
          <w:p w:rsidR="002C03A7" w:rsidRDefault="002C03A7">
            <w:pPr>
              <w:jc w:val="center"/>
              <w:rPr>
                <w:rFonts w:cs="Arial"/>
                <w:sz w:val="20"/>
                <w:szCs w:val="20"/>
              </w:rPr>
            </w:pPr>
            <w:r>
              <w:rPr>
                <w:rFonts w:cs="Arial"/>
                <w:sz w:val="20"/>
                <w:szCs w:val="20"/>
              </w:rPr>
              <w:t>41</w:t>
            </w:r>
          </w:p>
        </w:tc>
        <w:tc>
          <w:tcPr>
            <w:tcW w:w="1360" w:type="dxa"/>
            <w:noWrap/>
            <w:vAlign w:val="center"/>
          </w:tcPr>
          <w:p w:rsidR="002C03A7" w:rsidRDefault="002C03A7">
            <w:pPr>
              <w:jc w:val="center"/>
              <w:rPr>
                <w:rFonts w:cs="Arial"/>
                <w:sz w:val="20"/>
                <w:szCs w:val="20"/>
              </w:rPr>
            </w:pPr>
            <w:r>
              <w:rPr>
                <w:rFonts w:cs="Arial"/>
                <w:sz w:val="20"/>
                <w:szCs w:val="20"/>
              </w:rPr>
              <w:t>41</w:t>
            </w:r>
          </w:p>
        </w:tc>
        <w:tc>
          <w:tcPr>
            <w:tcW w:w="1379" w:type="dxa"/>
            <w:noWrap/>
            <w:vAlign w:val="center"/>
          </w:tcPr>
          <w:p w:rsidR="002C03A7" w:rsidRDefault="002C03A7">
            <w:pPr>
              <w:jc w:val="center"/>
              <w:rPr>
                <w:rFonts w:cs="Arial"/>
                <w:sz w:val="20"/>
                <w:szCs w:val="20"/>
              </w:rPr>
            </w:pPr>
            <w:r>
              <w:rPr>
                <w:rFonts w:cs="Arial"/>
                <w:sz w:val="20"/>
                <w:szCs w:val="20"/>
              </w:rPr>
              <w:t>90</w:t>
            </w:r>
          </w:p>
        </w:tc>
        <w:tc>
          <w:tcPr>
            <w:tcW w:w="1260" w:type="dxa"/>
            <w:noWrap/>
            <w:vAlign w:val="center"/>
          </w:tcPr>
          <w:p w:rsidR="002C03A7" w:rsidRDefault="002C03A7">
            <w:pPr>
              <w:jc w:val="center"/>
              <w:rPr>
                <w:rFonts w:cs="Arial"/>
                <w:sz w:val="20"/>
                <w:szCs w:val="20"/>
              </w:rPr>
            </w:pPr>
            <w:r>
              <w:rPr>
                <w:rFonts w:cs="Arial"/>
                <w:sz w:val="20"/>
                <w:szCs w:val="20"/>
              </w:rPr>
              <w:t>0</w:t>
            </w:r>
          </w:p>
        </w:tc>
        <w:tc>
          <w:tcPr>
            <w:tcW w:w="1260" w:type="dxa"/>
            <w:noWrap/>
            <w:vAlign w:val="center"/>
          </w:tcPr>
          <w:p w:rsidR="002C03A7" w:rsidRDefault="002C03A7">
            <w:pPr>
              <w:jc w:val="center"/>
              <w:rPr>
                <w:rFonts w:cs="Arial"/>
                <w:sz w:val="20"/>
                <w:szCs w:val="20"/>
              </w:rPr>
            </w:pPr>
            <w:r>
              <w:rPr>
                <w:rFonts w:cs="Arial"/>
                <w:sz w:val="20"/>
                <w:szCs w:val="20"/>
              </w:rPr>
              <w:t>-2</w:t>
            </w:r>
          </w:p>
        </w:tc>
      </w:tr>
    </w:tbl>
    <w:p w:rsidR="00D1641C" w:rsidRPr="006E7E57" w:rsidRDefault="006E7E57" w:rsidP="00D1641C">
      <w:pPr>
        <w:pStyle w:val="Heading2"/>
        <w:ind w:firstLine="0"/>
        <w:rPr>
          <w:i w:val="0"/>
          <w:color w:val="2272A3"/>
          <w:sz w:val="24"/>
          <w:szCs w:val="24"/>
        </w:rPr>
      </w:pPr>
      <w:r>
        <w:rPr>
          <w:i w:val="0"/>
          <w:color w:val="2272A3"/>
          <w:sz w:val="24"/>
          <w:szCs w:val="24"/>
        </w:rPr>
        <w:t>Brisbane STTM</w:t>
      </w:r>
    </w:p>
    <w:tbl>
      <w:tblPr>
        <w:tblStyle w:val="AERTable-Text0"/>
        <w:tblW w:w="9208" w:type="dxa"/>
        <w:tblLayout w:type="fixed"/>
        <w:tblLook w:val="01E0" w:firstRow="1" w:lastRow="1" w:firstColumn="1" w:lastColumn="1" w:noHBand="0" w:noVBand="0"/>
      </w:tblPr>
      <w:tblGrid>
        <w:gridCol w:w="2670"/>
        <w:gridCol w:w="1359"/>
        <w:gridCol w:w="1360"/>
        <w:gridCol w:w="1359"/>
        <w:gridCol w:w="1280"/>
        <w:gridCol w:w="1180"/>
      </w:tblGrid>
      <w:tr w:rsidR="006E7E57" w:rsidRPr="00900CEB" w:rsidTr="00B71928">
        <w:trPr>
          <w:cnfStyle w:val="100000000000" w:firstRow="1" w:lastRow="0" w:firstColumn="0" w:lastColumn="0" w:oddVBand="0" w:evenVBand="0" w:oddHBand="0" w:evenHBand="0" w:firstRowFirstColumn="0" w:firstRowLastColumn="0" w:lastRowFirstColumn="0" w:lastRowLastColumn="0"/>
          <w:trHeight w:val="226"/>
        </w:trPr>
        <w:tc>
          <w:tcPr>
            <w:tcW w:w="2670" w:type="dxa"/>
            <w:noWrap/>
          </w:tcPr>
          <w:p w:rsidR="006E7E57" w:rsidRPr="002861A9" w:rsidRDefault="006E7E57" w:rsidP="00B71928">
            <w:pPr>
              <w:keepNext/>
              <w:spacing w:before="40" w:after="40"/>
              <w:rPr>
                <w:rFonts w:cs="Arial"/>
                <w:b w:val="0"/>
                <w:bCs/>
                <w:sz w:val="20"/>
                <w:szCs w:val="20"/>
              </w:rPr>
            </w:pPr>
            <w:r w:rsidRPr="002861A9">
              <w:rPr>
                <w:rFonts w:cs="Arial"/>
                <w:bCs/>
                <w:sz w:val="20"/>
                <w:szCs w:val="20"/>
              </w:rPr>
              <w:t> </w:t>
            </w:r>
          </w:p>
        </w:tc>
        <w:tc>
          <w:tcPr>
            <w:tcW w:w="135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price ($/GJ)</w:t>
            </w:r>
          </w:p>
        </w:tc>
        <w:tc>
          <w:tcPr>
            <w:tcW w:w="13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price ($/GJ)</w:t>
            </w:r>
          </w:p>
        </w:tc>
        <w:tc>
          <w:tcPr>
            <w:tcW w:w="135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MOS payments ($000)</w:t>
            </w:r>
          </w:p>
        </w:tc>
        <w:tc>
          <w:tcPr>
            <w:tcW w:w="128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quantity (TJ)</w:t>
            </w:r>
          </w:p>
        </w:tc>
        <w:tc>
          <w:tcPr>
            <w:tcW w:w="118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quantity (TJ)</w:t>
            </w:r>
          </w:p>
        </w:tc>
      </w:tr>
      <w:tr w:rsidR="002C03A7" w:rsidRPr="002861A9" w:rsidTr="004D5887">
        <w:trPr>
          <w:trHeight w:val="382"/>
        </w:trPr>
        <w:tc>
          <w:tcPr>
            <w:tcW w:w="2670" w:type="dxa"/>
            <w:noWrap/>
            <w:vAlign w:val="center"/>
          </w:tcPr>
          <w:p w:rsidR="002C03A7" w:rsidRDefault="002C03A7">
            <w:pPr>
              <w:rPr>
                <w:rFonts w:cs="Arial"/>
                <w:sz w:val="20"/>
                <w:szCs w:val="20"/>
              </w:rPr>
            </w:pPr>
            <w:r>
              <w:rPr>
                <w:rFonts w:cs="Arial"/>
                <w:sz w:val="20"/>
                <w:szCs w:val="20"/>
              </w:rPr>
              <w:t>19 Jul - 25 Jul 2015</w:t>
            </w:r>
          </w:p>
        </w:tc>
        <w:tc>
          <w:tcPr>
            <w:tcW w:w="1359" w:type="dxa"/>
            <w:noWrap/>
            <w:vAlign w:val="center"/>
          </w:tcPr>
          <w:p w:rsidR="002C03A7" w:rsidRDefault="002C03A7">
            <w:pPr>
              <w:jc w:val="center"/>
              <w:rPr>
                <w:rFonts w:cs="Arial"/>
                <w:sz w:val="20"/>
                <w:szCs w:val="20"/>
              </w:rPr>
            </w:pPr>
            <w:r>
              <w:rPr>
                <w:rFonts w:cs="Arial"/>
                <w:sz w:val="20"/>
                <w:szCs w:val="20"/>
              </w:rPr>
              <w:t>6.68</w:t>
            </w:r>
          </w:p>
        </w:tc>
        <w:tc>
          <w:tcPr>
            <w:tcW w:w="1360" w:type="dxa"/>
            <w:noWrap/>
            <w:vAlign w:val="center"/>
          </w:tcPr>
          <w:p w:rsidR="002C03A7" w:rsidRDefault="002C03A7">
            <w:pPr>
              <w:jc w:val="center"/>
              <w:rPr>
                <w:rFonts w:cs="Arial"/>
                <w:sz w:val="20"/>
                <w:szCs w:val="20"/>
              </w:rPr>
            </w:pPr>
            <w:r>
              <w:rPr>
                <w:rFonts w:cs="Arial"/>
                <w:sz w:val="20"/>
                <w:szCs w:val="20"/>
              </w:rPr>
              <w:t>6.55</w:t>
            </w:r>
          </w:p>
        </w:tc>
        <w:tc>
          <w:tcPr>
            <w:tcW w:w="1359" w:type="dxa"/>
            <w:noWrap/>
            <w:vAlign w:val="center"/>
          </w:tcPr>
          <w:p w:rsidR="002C03A7" w:rsidRDefault="002C03A7">
            <w:pPr>
              <w:jc w:val="center"/>
              <w:rPr>
                <w:rFonts w:cs="Arial"/>
                <w:sz w:val="20"/>
                <w:szCs w:val="20"/>
              </w:rPr>
            </w:pPr>
            <w:r>
              <w:rPr>
                <w:rFonts w:cs="Arial"/>
                <w:sz w:val="20"/>
                <w:szCs w:val="20"/>
              </w:rPr>
              <w:t>1.45</w:t>
            </w:r>
          </w:p>
        </w:tc>
        <w:tc>
          <w:tcPr>
            <w:tcW w:w="1280" w:type="dxa"/>
            <w:noWrap/>
            <w:vAlign w:val="center"/>
          </w:tcPr>
          <w:p w:rsidR="002C03A7" w:rsidRDefault="002C03A7">
            <w:pPr>
              <w:jc w:val="center"/>
              <w:rPr>
                <w:rFonts w:cs="Arial"/>
                <w:sz w:val="20"/>
                <w:szCs w:val="20"/>
              </w:rPr>
            </w:pPr>
            <w:r>
              <w:rPr>
                <w:rFonts w:cs="Arial"/>
                <w:sz w:val="20"/>
                <w:szCs w:val="20"/>
              </w:rPr>
              <w:t>98</w:t>
            </w:r>
          </w:p>
        </w:tc>
        <w:tc>
          <w:tcPr>
            <w:tcW w:w="1180" w:type="dxa"/>
            <w:noWrap/>
            <w:vAlign w:val="center"/>
          </w:tcPr>
          <w:p w:rsidR="002C03A7" w:rsidRDefault="002C03A7">
            <w:pPr>
              <w:jc w:val="center"/>
              <w:rPr>
                <w:rFonts w:cs="Arial"/>
                <w:sz w:val="20"/>
                <w:szCs w:val="20"/>
              </w:rPr>
            </w:pPr>
            <w:r>
              <w:rPr>
                <w:rFonts w:cs="Arial"/>
                <w:sz w:val="20"/>
                <w:szCs w:val="20"/>
              </w:rPr>
              <w:t>97</w:t>
            </w:r>
          </w:p>
        </w:tc>
      </w:tr>
      <w:tr w:rsidR="002C03A7" w:rsidRPr="002861A9" w:rsidTr="004D5887">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2C03A7" w:rsidRDefault="002C03A7">
            <w:pPr>
              <w:rPr>
                <w:rFonts w:cs="Arial"/>
                <w:sz w:val="20"/>
                <w:szCs w:val="20"/>
              </w:rPr>
            </w:pPr>
            <w:r>
              <w:rPr>
                <w:rFonts w:cs="Arial"/>
                <w:sz w:val="20"/>
                <w:szCs w:val="20"/>
              </w:rPr>
              <w:t>% change from previous week</w:t>
            </w:r>
          </w:p>
        </w:tc>
        <w:tc>
          <w:tcPr>
            <w:tcW w:w="1359" w:type="dxa"/>
            <w:noWrap/>
            <w:vAlign w:val="center"/>
          </w:tcPr>
          <w:p w:rsidR="002C03A7" w:rsidRDefault="002C03A7">
            <w:pPr>
              <w:jc w:val="center"/>
              <w:rPr>
                <w:rFonts w:cs="Arial"/>
                <w:sz w:val="20"/>
                <w:szCs w:val="20"/>
              </w:rPr>
            </w:pPr>
            <w:r>
              <w:rPr>
                <w:rFonts w:cs="Arial"/>
                <w:sz w:val="20"/>
                <w:szCs w:val="20"/>
              </w:rPr>
              <w:t>4</w:t>
            </w:r>
          </w:p>
        </w:tc>
        <w:tc>
          <w:tcPr>
            <w:tcW w:w="1360" w:type="dxa"/>
            <w:noWrap/>
            <w:vAlign w:val="center"/>
          </w:tcPr>
          <w:p w:rsidR="002C03A7" w:rsidRDefault="002C03A7">
            <w:pPr>
              <w:jc w:val="center"/>
              <w:rPr>
                <w:rFonts w:cs="Arial"/>
                <w:sz w:val="20"/>
                <w:szCs w:val="20"/>
              </w:rPr>
            </w:pPr>
            <w:r>
              <w:rPr>
                <w:rFonts w:cs="Arial"/>
                <w:sz w:val="20"/>
                <w:szCs w:val="20"/>
              </w:rPr>
              <w:t>5</w:t>
            </w:r>
          </w:p>
        </w:tc>
        <w:tc>
          <w:tcPr>
            <w:tcW w:w="1359" w:type="dxa"/>
            <w:noWrap/>
            <w:vAlign w:val="center"/>
          </w:tcPr>
          <w:p w:rsidR="002C03A7" w:rsidRDefault="002C03A7">
            <w:pPr>
              <w:jc w:val="center"/>
              <w:rPr>
                <w:rFonts w:cs="Arial"/>
                <w:sz w:val="20"/>
                <w:szCs w:val="20"/>
              </w:rPr>
            </w:pPr>
            <w:r>
              <w:rPr>
                <w:rFonts w:cs="Arial"/>
                <w:sz w:val="20"/>
                <w:szCs w:val="20"/>
              </w:rPr>
              <w:t>-31</w:t>
            </w:r>
          </w:p>
        </w:tc>
        <w:tc>
          <w:tcPr>
            <w:tcW w:w="1280" w:type="dxa"/>
            <w:noWrap/>
            <w:vAlign w:val="center"/>
          </w:tcPr>
          <w:p w:rsidR="002C03A7" w:rsidRDefault="002C03A7">
            <w:pPr>
              <w:jc w:val="center"/>
              <w:rPr>
                <w:rFonts w:cs="Arial"/>
                <w:sz w:val="20"/>
                <w:szCs w:val="20"/>
              </w:rPr>
            </w:pPr>
            <w:r>
              <w:rPr>
                <w:rFonts w:cs="Arial"/>
                <w:sz w:val="20"/>
                <w:szCs w:val="20"/>
              </w:rPr>
              <w:t>-3</w:t>
            </w:r>
          </w:p>
        </w:tc>
        <w:tc>
          <w:tcPr>
            <w:tcW w:w="1180" w:type="dxa"/>
            <w:noWrap/>
            <w:vAlign w:val="center"/>
          </w:tcPr>
          <w:p w:rsidR="002C03A7" w:rsidRDefault="002C03A7">
            <w:pPr>
              <w:jc w:val="center"/>
              <w:rPr>
                <w:rFonts w:cs="Arial"/>
                <w:sz w:val="20"/>
                <w:szCs w:val="20"/>
              </w:rPr>
            </w:pPr>
            <w:r>
              <w:rPr>
                <w:rFonts w:cs="Arial"/>
                <w:sz w:val="20"/>
                <w:szCs w:val="20"/>
              </w:rPr>
              <w:t>-4</w:t>
            </w:r>
          </w:p>
        </w:tc>
      </w:tr>
      <w:tr w:rsidR="002C03A7" w:rsidRPr="002861A9" w:rsidTr="004D5887">
        <w:trPr>
          <w:trHeight w:val="382"/>
        </w:trPr>
        <w:tc>
          <w:tcPr>
            <w:tcW w:w="2670" w:type="dxa"/>
            <w:noWrap/>
            <w:vAlign w:val="center"/>
          </w:tcPr>
          <w:p w:rsidR="002C03A7" w:rsidRDefault="002C03A7">
            <w:pPr>
              <w:rPr>
                <w:rFonts w:cs="Arial"/>
                <w:sz w:val="20"/>
                <w:szCs w:val="20"/>
              </w:rPr>
            </w:pPr>
            <w:r>
              <w:rPr>
                <w:rFonts w:cs="Arial"/>
                <w:sz w:val="20"/>
                <w:szCs w:val="20"/>
              </w:rPr>
              <w:t>15-16 financial YTD</w:t>
            </w:r>
          </w:p>
        </w:tc>
        <w:tc>
          <w:tcPr>
            <w:tcW w:w="1359" w:type="dxa"/>
            <w:noWrap/>
            <w:vAlign w:val="center"/>
          </w:tcPr>
          <w:p w:rsidR="002C03A7" w:rsidRDefault="002C03A7">
            <w:pPr>
              <w:jc w:val="center"/>
              <w:rPr>
                <w:rFonts w:cs="Arial"/>
                <w:sz w:val="20"/>
                <w:szCs w:val="20"/>
              </w:rPr>
            </w:pPr>
            <w:r>
              <w:rPr>
                <w:rFonts w:cs="Arial"/>
                <w:sz w:val="20"/>
                <w:szCs w:val="20"/>
              </w:rPr>
              <w:t>5.00</w:t>
            </w:r>
          </w:p>
        </w:tc>
        <w:tc>
          <w:tcPr>
            <w:tcW w:w="1360" w:type="dxa"/>
            <w:noWrap/>
            <w:vAlign w:val="center"/>
          </w:tcPr>
          <w:p w:rsidR="002C03A7" w:rsidRDefault="002C03A7">
            <w:pPr>
              <w:jc w:val="center"/>
              <w:rPr>
                <w:rFonts w:cs="Arial"/>
                <w:sz w:val="20"/>
                <w:szCs w:val="20"/>
              </w:rPr>
            </w:pPr>
            <w:r>
              <w:rPr>
                <w:rFonts w:cs="Arial"/>
                <w:sz w:val="20"/>
                <w:szCs w:val="20"/>
              </w:rPr>
              <w:t>4.70</w:t>
            </w:r>
          </w:p>
        </w:tc>
        <w:tc>
          <w:tcPr>
            <w:tcW w:w="1359" w:type="dxa"/>
            <w:noWrap/>
            <w:vAlign w:val="center"/>
          </w:tcPr>
          <w:p w:rsidR="002C03A7" w:rsidRDefault="002C03A7">
            <w:pPr>
              <w:jc w:val="center"/>
              <w:rPr>
                <w:rFonts w:cs="Arial"/>
                <w:sz w:val="20"/>
                <w:szCs w:val="20"/>
              </w:rPr>
            </w:pPr>
            <w:r>
              <w:rPr>
                <w:rFonts w:cs="Arial"/>
                <w:sz w:val="20"/>
                <w:szCs w:val="20"/>
              </w:rPr>
              <w:t>1.68</w:t>
            </w:r>
          </w:p>
        </w:tc>
        <w:tc>
          <w:tcPr>
            <w:tcW w:w="1280" w:type="dxa"/>
            <w:noWrap/>
            <w:vAlign w:val="center"/>
          </w:tcPr>
          <w:p w:rsidR="002C03A7" w:rsidRDefault="002C03A7">
            <w:pPr>
              <w:jc w:val="center"/>
              <w:rPr>
                <w:rFonts w:cs="Arial"/>
                <w:sz w:val="20"/>
                <w:szCs w:val="20"/>
              </w:rPr>
            </w:pPr>
            <w:r>
              <w:rPr>
                <w:rFonts w:cs="Arial"/>
                <w:sz w:val="20"/>
                <w:szCs w:val="20"/>
              </w:rPr>
              <w:t>97</w:t>
            </w:r>
          </w:p>
        </w:tc>
        <w:tc>
          <w:tcPr>
            <w:tcW w:w="1180" w:type="dxa"/>
            <w:noWrap/>
            <w:vAlign w:val="center"/>
          </w:tcPr>
          <w:p w:rsidR="002C03A7" w:rsidRDefault="002C03A7">
            <w:pPr>
              <w:jc w:val="center"/>
              <w:rPr>
                <w:rFonts w:cs="Arial"/>
                <w:sz w:val="20"/>
                <w:szCs w:val="20"/>
              </w:rPr>
            </w:pPr>
            <w:r>
              <w:rPr>
                <w:rFonts w:cs="Arial"/>
                <w:sz w:val="20"/>
                <w:szCs w:val="20"/>
              </w:rPr>
              <w:t>96</w:t>
            </w:r>
          </w:p>
        </w:tc>
      </w:tr>
      <w:tr w:rsidR="002C03A7" w:rsidRPr="002861A9" w:rsidTr="004D5887">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2C03A7" w:rsidRDefault="002C03A7">
            <w:pPr>
              <w:rPr>
                <w:rFonts w:cs="Arial"/>
                <w:sz w:val="20"/>
                <w:szCs w:val="20"/>
              </w:rPr>
            </w:pPr>
            <w:r>
              <w:rPr>
                <w:rFonts w:cs="Arial"/>
                <w:sz w:val="20"/>
                <w:szCs w:val="20"/>
              </w:rPr>
              <w:t>% change from previous financial YTD</w:t>
            </w:r>
          </w:p>
        </w:tc>
        <w:tc>
          <w:tcPr>
            <w:tcW w:w="1359" w:type="dxa"/>
            <w:noWrap/>
            <w:vAlign w:val="center"/>
          </w:tcPr>
          <w:p w:rsidR="002C03A7" w:rsidRDefault="002C03A7">
            <w:pPr>
              <w:jc w:val="center"/>
              <w:rPr>
                <w:rFonts w:cs="Arial"/>
                <w:sz w:val="20"/>
                <w:szCs w:val="20"/>
              </w:rPr>
            </w:pPr>
            <w:r>
              <w:rPr>
                <w:rFonts w:cs="Arial"/>
                <w:sz w:val="20"/>
                <w:szCs w:val="20"/>
              </w:rPr>
              <w:t>111</w:t>
            </w:r>
          </w:p>
        </w:tc>
        <w:tc>
          <w:tcPr>
            <w:tcW w:w="1360" w:type="dxa"/>
            <w:noWrap/>
            <w:vAlign w:val="center"/>
          </w:tcPr>
          <w:p w:rsidR="002C03A7" w:rsidRDefault="002C03A7">
            <w:pPr>
              <w:jc w:val="center"/>
              <w:rPr>
                <w:rFonts w:cs="Arial"/>
                <w:sz w:val="20"/>
                <w:szCs w:val="20"/>
              </w:rPr>
            </w:pPr>
            <w:r>
              <w:rPr>
                <w:rFonts w:cs="Arial"/>
                <w:sz w:val="20"/>
                <w:szCs w:val="20"/>
              </w:rPr>
              <w:t>109</w:t>
            </w:r>
          </w:p>
        </w:tc>
        <w:tc>
          <w:tcPr>
            <w:tcW w:w="1359" w:type="dxa"/>
            <w:noWrap/>
            <w:vAlign w:val="center"/>
          </w:tcPr>
          <w:p w:rsidR="002C03A7" w:rsidRDefault="002C03A7">
            <w:pPr>
              <w:jc w:val="center"/>
              <w:rPr>
                <w:rFonts w:cs="Arial"/>
                <w:sz w:val="20"/>
                <w:szCs w:val="20"/>
              </w:rPr>
            </w:pPr>
            <w:r>
              <w:rPr>
                <w:rFonts w:cs="Arial"/>
                <w:sz w:val="20"/>
                <w:szCs w:val="20"/>
              </w:rPr>
              <w:t>73</w:t>
            </w:r>
          </w:p>
        </w:tc>
        <w:tc>
          <w:tcPr>
            <w:tcW w:w="1280" w:type="dxa"/>
            <w:noWrap/>
            <w:vAlign w:val="center"/>
          </w:tcPr>
          <w:p w:rsidR="002C03A7" w:rsidRDefault="002C03A7">
            <w:pPr>
              <w:jc w:val="center"/>
              <w:rPr>
                <w:rFonts w:cs="Arial"/>
                <w:sz w:val="20"/>
                <w:szCs w:val="20"/>
              </w:rPr>
            </w:pPr>
            <w:r>
              <w:rPr>
                <w:rFonts w:cs="Arial"/>
                <w:sz w:val="20"/>
                <w:szCs w:val="20"/>
              </w:rPr>
              <w:t>-40</w:t>
            </w:r>
          </w:p>
        </w:tc>
        <w:tc>
          <w:tcPr>
            <w:tcW w:w="1180" w:type="dxa"/>
            <w:noWrap/>
            <w:vAlign w:val="center"/>
          </w:tcPr>
          <w:p w:rsidR="002C03A7" w:rsidRDefault="002C03A7">
            <w:pPr>
              <w:jc w:val="center"/>
              <w:rPr>
                <w:rFonts w:cs="Arial"/>
                <w:sz w:val="20"/>
                <w:szCs w:val="20"/>
              </w:rPr>
            </w:pPr>
            <w:r>
              <w:rPr>
                <w:rFonts w:cs="Arial"/>
                <w:sz w:val="20"/>
                <w:szCs w:val="20"/>
              </w:rPr>
              <w:t>-40</w:t>
            </w:r>
          </w:p>
        </w:tc>
      </w:tr>
    </w:tbl>
    <w:p w:rsidR="006E7E57" w:rsidRPr="008D4DAB" w:rsidRDefault="006E7E57" w:rsidP="00345444">
      <w:pPr>
        <w:pStyle w:val="AERbodytext"/>
        <w:spacing w:before="120" w:after="120" w:line="240" w:lineRule="auto"/>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D1641C" w:rsidRPr="00D1641C" w:rsidRDefault="006E7E57" w:rsidP="009962A0">
      <w:pPr>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xml:space="preserve">, and section 6 provides information on the </w:t>
      </w:r>
      <w:r w:rsidR="009962A0">
        <w:t>G</w:t>
      </w:r>
      <w:r>
        <w:t xml:space="preserve">as </w:t>
      </w:r>
      <w:r w:rsidR="009962A0">
        <w:t>S</w:t>
      </w:r>
      <w:r>
        <w:t xml:space="preserve">upply </w:t>
      </w:r>
      <w:r w:rsidR="009962A0">
        <w:t>H</w:t>
      </w:r>
      <w:r>
        <w:t xml:space="preserve">ub </w:t>
      </w:r>
      <w:r w:rsidR="009962A0" w:rsidRPr="009962A0">
        <w:rPr>
          <w:b/>
        </w:rPr>
        <w:t>(GSH)</w:t>
      </w:r>
      <w:r w:rsidR="009962A0">
        <w:t xml:space="preserve"> </w:t>
      </w:r>
      <w:r>
        <w:t>at Wallumbilla</w:t>
      </w:r>
      <w:r w:rsidRPr="008D4DAB">
        <w:t>.</w:t>
      </w:r>
    </w:p>
    <w:p w:rsidR="00BC18FB" w:rsidRPr="006E7E57" w:rsidRDefault="00DA78FA" w:rsidP="00BC18FB">
      <w:pPr>
        <w:pStyle w:val="Heading1"/>
        <w:numPr>
          <w:ilvl w:val="0"/>
          <w:numId w:val="0"/>
        </w:numPr>
        <w:rPr>
          <w:color w:val="2272A3"/>
        </w:rPr>
      </w:pPr>
      <w:r>
        <w:rPr>
          <w:color w:val="2272A3"/>
        </w:rPr>
        <w:br w:type="page"/>
      </w:r>
      <w:r w:rsidR="00BC18FB" w:rsidRPr="006E7E57">
        <w:rPr>
          <w:color w:val="2272A3"/>
        </w:rPr>
        <w:lastRenderedPageBreak/>
        <w:t>Significant</w:t>
      </w:r>
      <w:r w:rsidR="006E7E57">
        <w:rPr>
          <w:color w:val="2272A3"/>
        </w:rPr>
        <w:t xml:space="preserve"> Market Events or Issues this week</w:t>
      </w:r>
    </w:p>
    <w:p w:rsidR="00FD5903" w:rsidRDefault="00FD5903" w:rsidP="00FD5903">
      <w:pPr>
        <w:jc w:val="both"/>
      </w:pPr>
      <w:r w:rsidRPr="003E1689">
        <w:rPr>
          <w:i/>
          <w:sz w:val="24"/>
        </w:rPr>
        <w:t>Contingency gas event in the Sydney STTM hub</w:t>
      </w:r>
      <w:r w:rsidRPr="008179BB">
        <w:t xml:space="preserve"> </w:t>
      </w:r>
    </w:p>
    <w:p w:rsidR="00FD5903" w:rsidRPr="008179BB" w:rsidRDefault="00FD5903" w:rsidP="00FD5903">
      <w:pPr>
        <w:jc w:val="both"/>
      </w:pPr>
      <w:r w:rsidRPr="008179BB">
        <w:t xml:space="preserve">At 6 pm on 22 July, </w:t>
      </w:r>
      <w:proofErr w:type="spellStart"/>
      <w:r w:rsidRPr="008179BB">
        <w:t>Jemena</w:t>
      </w:r>
      <w:proofErr w:type="spellEnd"/>
      <w:r w:rsidRPr="008179BB">
        <w:t xml:space="preserve"> Gas Networks contacted AEMO to trigger a Contingency Gas event in the Sydney hub. Contingency gas arrangements are triggered when there is an expected supply shortfall and participants are convened to resolve the issue.</w:t>
      </w:r>
      <w:r w:rsidR="00456D13">
        <w:rPr>
          <w:rStyle w:val="FootnoteReference"/>
        </w:rPr>
        <w:footnoteReference w:id="2"/>
      </w:r>
    </w:p>
    <w:p w:rsidR="00FD5903" w:rsidRPr="008179BB" w:rsidRDefault="00FD5903" w:rsidP="00FD5903">
      <w:pPr>
        <w:jc w:val="both"/>
      </w:pPr>
      <w:r w:rsidRPr="008179BB">
        <w:t>A number of conference calls managed to alleviate the expected supply shortfall through participant renominations which switched to gas deliveries from other supply sources. Following continued monitoring over the following day, AEMO determined on the afternoon of 23 July that the Contingency Gas event was closed and that no contingency gas would be required.</w:t>
      </w:r>
    </w:p>
    <w:p w:rsidR="00FD5903" w:rsidRPr="008179BB" w:rsidRDefault="00FD5903" w:rsidP="00FD5903">
      <w:pPr>
        <w:jc w:val="both"/>
      </w:pPr>
      <w:r w:rsidRPr="008179BB">
        <w:t xml:space="preserve">The event was triggered as a result of a drop in pressure in the </w:t>
      </w:r>
      <w:proofErr w:type="spellStart"/>
      <w:r w:rsidRPr="008179BB">
        <w:t>Jemena</w:t>
      </w:r>
      <w:proofErr w:type="spellEnd"/>
      <w:r w:rsidRPr="008179BB">
        <w:t xml:space="preserve"> distribution network. The cause was traced back to a suspected line valve closure on the Moomba to Sydney Pipeline </w:t>
      </w:r>
      <w:r w:rsidRPr="00EC68E5">
        <w:rPr>
          <w:b/>
        </w:rPr>
        <w:t>(MSP)</w:t>
      </w:r>
      <w:r w:rsidRPr="008179BB">
        <w:t xml:space="preserve"> between Moomba and Bulla Park.</w:t>
      </w:r>
      <w:r w:rsidR="00456D13">
        <w:rPr>
          <w:rStyle w:val="FootnoteReference"/>
        </w:rPr>
        <w:footnoteReference w:id="3"/>
      </w:r>
      <w:r w:rsidRPr="008179BB">
        <w:t xml:space="preserve"> </w:t>
      </w:r>
    </w:p>
    <w:p w:rsidR="00FD5903" w:rsidRDefault="00FD5903" w:rsidP="00FD5903">
      <w:pPr>
        <w:jc w:val="both"/>
      </w:pPr>
      <w:r w:rsidRPr="008179BB">
        <w:t>APA informed the market of potential supply issues through the publication of an AMBER</w:t>
      </w:r>
      <w:r w:rsidR="00456D13">
        <w:rPr>
          <w:rStyle w:val="FootnoteReference"/>
        </w:rPr>
        <w:footnoteReference w:id="4"/>
      </w:r>
      <w:r w:rsidRPr="008179BB">
        <w:t xml:space="preserve"> line pack capacity adequacy </w:t>
      </w:r>
      <w:r w:rsidRPr="00EC68E5">
        <w:rPr>
          <w:b/>
        </w:rPr>
        <w:t>(LCA)</w:t>
      </w:r>
      <w:r w:rsidRPr="008179BB">
        <w:t xml:space="preserve"> flag on the Gas Market Bulletin Board. As APA investigated the cause of the reduced MSP flows, a conference was held and participants ended up renominating supply from Victoria to the Eastern Gas Pipeline </w:t>
      </w:r>
      <w:r w:rsidRPr="00EC68E5">
        <w:rPr>
          <w:b/>
        </w:rPr>
        <w:t>(EGP)</w:t>
      </w:r>
      <w:r w:rsidRPr="008179BB">
        <w:t xml:space="preserve"> and the MSP via Culcairn</w:t>
      </w:r>
      <w:r w:rsidR="00456D13">
        <w:rPr>
          <w:rStyle w:val="FootnoteReference"/>
        </w:rPr>
        <w:footnoteReference w:id="5"/>
      </w:r>
      <w:r w:rsidRPr="008179BB">
        <w:t>. When constraints restricted withdrawals from Victoria through Culcairn, a further conference was held and participants shifted additional supply to the EGP. APA subsequently identified the problem and opened a separate valve to correct the pressure on the pipeline. The event remained open until APA confirmed pressure issues had been rectified.</w:t>
      </w:r>
    </w:p>
    <w:p w:rsidR="00E33FF8" w:rsidRDefault="00EC68E5" w:rsidP="00FD5903">
      <w:pPr>
        <w:jc w:val="both"/>
      </w:pPr>
      <w:r>
        <w:t>This led to some large supply side deviations in the Sydney market for the 23 July gas day, with 76.2 TJ of gas scheduled on MSP not being delivered and an additional 58.6 TJ of supply being renominated to the EGP</w:t>
      </w:r>
      <w:r w:rsidR="00DA78FA">
        <w:t xml:space="preserve"> (see figure 2.3)</w:t>
      </w:r>
      <w:r>
        <w:t>.</w:t>
      </w:r>
      <w:r w:rsidR="00DA78FA">
        <w:t xml:space="preserve"> The following day saw demand over forecast by most participants which led to a large decrease MOS requirement (see figure 2.4).</w:t>
      </w:r>
    </w:p>
    <w:p w:rsidR="00CE620D" w:rsidRDefault="00CE620D" w:rsidP="00FD5903">
      <w:pPr>
        <w:jc w:val="both"/>
      </w:pPr>
      <w:r>
        <w:t xml:space="preserve">The event </w:t>
      </w:r>
      <w:r w:rsidR="0086783F">
        <w:t xml:space="preserve">also </w:t>
      </w:r>
      <w:r>
        <w:t xml:space="preserve">resulted in a number of changes being made to offers and bids in day </w:t>
      </w:r>
      <w:proofErr w:type="gramStart"/>
      <w:r>
        <w:t>ahead</w:t>
      </w:r>
      <w:proofErr w:type="gramEnd"/>
      <w:r>
        <w:t xml:space="preserve"> schedules across a number of markets</w:t>
      </w:r>
      <w:r w:rsidR="0079137B">
        <w:t>.</w:t>
      </w:r>
      <w:r>
        <w:t xml:space="preserve"> </w:t>
      </w:r>
      <w:r w:rsidR="0079137B">
        <w:t>The</w:t>
      </w:r>
      <w:r>
        <w:t xml:space="preserve"> price in Victoria on </w:t>
      </w:r>
      <w:r w:rsidR="00AA40C6">
        <w:t>23 July reach</w:t>
      </w:r>
      <w:r w:rsidR="0079137B">
        <w:t>ed</w:t>
      </w:r>
      <w:r w:rsidR="00AA40C6">
        <w:t xml:space="preserve"> around $10/GJ during schedules at the beginning of the gas day (see figure 1.1)</w:t>
      </w:r>
      <w:r w:rsidR="0079137B">
        <w:t xml:space="preserve">. There was also </w:t>
      </w:r>
      <w:r w:rsidR="00AA40C6">
        <w:t>an increase in withdrawal bids priced at the cap ($800/GJ) over multiple schedules</w:t>
      </w:r>
      <w:r w:rsidR="00983479">
        <w:t xml:space="preserve"> (see figure 1.4)</w:t>
      </w:r>
      <w:r w:rsidR="00AA40C6">
        <w:t>.</w:t>
      </w:r>
      <w:r w:rsidR="00983479">
        <w:t xml:space="preserve"> </w:t>
      </w:r>
      <w:r w:rsidR="0079137B">
        <w:t xml:space="preserve">In </w:t>
      </w:r>
      <w:r w:rsidR="00983479">
        <w:t xml:space="preserve">Adelaide offers </w:t>
      </w:r>
      <w:r w:rsidR="0079137B">
        <w:t xml:space="preserve">were </w:t>
      </w:r>
      <w:r w:rsidR="00983479">
        <w:t>priced at higher levels in the day</w:t>
      </w:r>
      <w:r w:rsidR="00A00FFF">
        <w:t>-</w:t>
      </w:r>
      <w:r w:rsidR="00983479">
        <w:t>ahead schedule for the 24 July gas day</w:t>
      </w:r>
      <w:r w:rsidR="00A00FFF">
        <w:t xml:space="preserve"> (see figure 3.2)</w:t>
      </w:r>
      <w:r w:rsidR="00983479">
        <w:t xml:space="preserve"> which saw the </w:t>
      </w:r>
      <w:proofErr w:type="spellStart"/>
      <w:r w:rsidR="00983479">
        <w:t>ex ante</w:t>
      </w:r>
      <w:proofErr w:type="spellEnd"/>
      <w:r w:rsidR="00983479">
        <w:t xml:space="preserve"> price increase to just over $12/GJ.</w:t>
      </w:r>
      <w:r w:rsidR="00A00FFF">
        <w:t xml:space="preserve"> This was brought about by participants shifting gas offered on the </w:t>
      </w:r>
      <w:proofErr w:type="spellStart"/>
      <w:r w:rsidR="00A00FFF">
        <w:t>SEAGas</w:t>
      </w:r>
      <w:proofErr w:type="spellEnd"/>
      <w:r w:rsidR="00A00FFF">
        <w:t xml:space="preserve"> pipeline into higher prices and reducing the price of a number of offers on the Moomba to Adelaide Pipeline </w:t>
      </w:r>
      <w:r w:rsidR="00A00FFF" w:rsidRPr="00EC68E5">
        <w:rPr>
          <w:b/>
        </w:rPr>
        <w:t>(MAP)</w:t>
      </w:r>
      <w:r w:rsidR="006F2C6F">
        <w:t>, effectively reducing supply from the Victorian market</w:t>
      </w:r>
      <w:r w:rsidR="00A00FFF">
        <w:t xml:space="preserve">. </w:t>
      </w:r>
    </w:p>
    <w:p w:rsidR="00FD5903" w:rsidRDefault="00FD5903" w:rsidP="00FD5903">
      <w:pPr>
        <w:jc w:val="both"/>
      </w:pPr>
      <w:r w:rsidRPr="003E1689">
        <w:rPr>
          <w:i/>
          <w:sz w:val="24"/>
        </w:rPr>
        <w:t>AGL Newcastle Gas Storage Facility testing</w:t>
      </w:r>
    </w:p>
    <w:p w:rsidR="00FD5903" w:rsidRDefault="00FD5903" w:rsidP="00FD5903">
      <w:pPr>
        <w:jc w:val="both"/>
      </w:pPr>
      <w:r w:rsidRPr="008179BB">
        <w:t xml:space="preserve">AGL commenced testing the delivery of supply to the Sydney STTM hub through the new </w:t>
      </w:r>
      <w:r w:rsidR="00A23D7C">
        <w:t xml:space="preserve">Newcastle Gas Storage </w:t>
      </w:r>
      <w:r w:rsidR="00A23D7C" w:rsidRPr="00EC68E5">
        <w:rPr>
          <w:b/>
        </w:rPr>
        <w:t>(</w:t>
      </w:r>
      <w:r w:rsidRPr="00EC68E5">
        <w:rPr>
          <w:b/>
        </w:rPr>
        <w:t>NGS</w:t>
      </w:r>
      <w:r w:rsidR="00A23D7C" w:rsidRPr="00EC68E5">
        <w:rPr>
          <w:b/>
        </w:rPr>
        <w:t>)</w:t>
      </w:r>
      <w:r w:rsidRPr="008179BB">
        <w:t xml:space="preserve"> </w:t>
      </w:r>
      <w:r w:rsidR="00A23D7C">
        <w:t xml:space="preserve">facility </w:t>
      </w:r>
      <w:r w:rsidRPr="008179BB">
        <w:t>system point for the first time on 23 and 24 July</w:t>
      </w:r>
      <w:r w:rsidR="00A23D7C">
        <w:t xml:space="preserve"> (see figure 2.3)</w:t>
      </w:r>
      <w:r w:rsidRPr="008179BB">
        <w:t>.</w:t>
      </w:r>
    </w:p>
    <w:p w:rsidR="00FD5903" w:rsidRPr="006A7228" w:rsidRDefault="00FD5903" w:rsidP="00D11DDB">
      <w:pPr>
        <w:jc w:val="both"/>
        <w:rPr>
          <w:color w:val="FF0000"/>
        </w:rPr>
      </w:pPr>
      <w:r>
        <w:rPr>
          <w:i/>
          <w:sz w:val="24"/>
        </w:rPr>
        <w:t>Increase in Wallumbilla trades on the SWQP</w:t>
      </w:r>
    </w:p>
    <w:p w:rsidR="00A00FFF" w:rsidRDefault="0079137B" w:rsidP="00004A63">
      <w:pPr>
        <w:jc w:val="both"/>
      </w:pPr>
      <w:r>
        <w:t xml:space="preserve">There </w:t>
      </w:r>
      <w:r w:rsidR="00FD5903">
        <w:t xml:space="preserve">has been a significant increase in South West Queensland Pipeline </w:t>
      </w:r>
      <w:r w:rsidR="00FD5903" w:rsidRPr="00EC68E5">
        <w:rPr>
          <w:b/>
        </w:rPr>
        <w:t>(SWQP)</w:t>
      </w:r>
      <w:r w:rsidR="00FD5903">
        <w:t xml:space="preserve"> trades </w:t>
      </w:r>
      <w:r>
        <w:t xml:space="preserve">on the Gas Supply Hub </w:t>
      </w:r>
      <w:r w:rsidRPr="00491559">
        <w:rPr>
          <w:b/>
        </w:rPr>
        <w:t>(GSH)</w:t>
      </w:r>
      <w:r>
        <w:t xml:space="preserve"> </w:t>
      </w:r>
      <w:r w:rsidR="00FD5903">
        <w:t>from around mid-June (see figure</w:t>
      </w:r>
      <w:r w:rsidR="006D38AC">
        <w:t> 6.2</w:t>
      </w:r>
      <w:r w:rsidR="00FD5903">
        <w:t>).</w:t>
      </w:r>
      <w:r w:rsidR="006D38AC">
        <w:t xml:space="preserve"> The pipeline saw record </w:t>
      </w:r>
      <w:r w:rsidR="00491559">
        <w:t xml:space="preserve">quantities traded </w:t>
      </w:r>
      <w:r w:rsidR="006D38AC">
        <w:t>on 24 July</w:t>
      </w:r>
      <w:r w:rsidR="00456D13">
        <w:rPr>
          <w:rStyle w:val="FootnoteReference"/>
        </w:rPr>
        <w:footnoteReference w:id="6"/>
      </w:r>
      <w:r w:rsidR="006D38AC">
        <w:t xml:space="preserve"> and</w:t>
      </w:r>
      <w:r w:rsidR="00CE2F02">
        <w:t xml:space="preserve"> reached its 2</w:t>
      </w:r>
      <w:r w:rsidR="00CE2F02" w:rsidRPr="00CE2F02">
        <w:rPr>
          <w:vertAlign w:val="superscript"/>
        </w:rPr>
        <w:t>nd</w:t>
      </w:r>
      <w:r w:rsidR="00CE2F02">
        <w:t xml:space="preserve"> highest level of gas traded across the week</w:t>
      </w:r>
      <w:r w:rsidR="00456D13">
        <w:rPr>
          <w:rStyle w:val="FootnoteReference"/>
        </w:rPr>
        <w:footnoteReference w:id="7"/>
      </w:r>
      <w:r>
        <w:t xml:space="preserve"> since the commencement of trading at the hub</w:t>
      </w:r>
      <w:r w:rsidR="00CE2F02">
        <w:t>.</w:t>
      </w:r>
    </w:p>
    <w:p w:rsidR="006E7E57" w:rsidRPr="00356566" w:rsidRDefault="006E7E57" w:rsidP="00004A63">
      <w:pPr>
        <w:jc w:val="both"/>
      </w:pPr>
      <w:r>
        <w:rPr>
          <w:color w:val="2272A3"/>
        </w:rPr>
        <w:br w:type="page"/>
      </w:r>
      <w:r w:rsidR="002B4C49">
        <w:lastRenderedPageBreak/>
        <w:pict>
          <v:shape id="_x0000_i1026" type="#_x0000_t75" style="width:503.15pt;height:1in" o:allowoverlap="f">
            <v:imagedata r:id="rId9" o:title="" cropbottom="17873f" cropright="30275f"/>
          </v:shape>
        </w:pict>
      </w:r>
    </w:p>
    <w:p w:rsidR="00BC18FB" w:rsidRDefault="00646D39" w:rsidP="00004A63">
      <w:pPr>
        <w:pStyle w:val="Heading3"/>
        <w:ind w:firstLine="0"/>
        <w:rPr>
          <w:color w:val="2272A3"/>
          <w:sz w:val="32"/>
          <w:szCs w:val="32"/>
        </w:rPr>
      </w:pPr>
      <w:r>
        <w:rPr>
          <w:noProof/>
          <w:color w:val="2272A3"/>
          <w:sz w:val="32"/>
          <w:szCs w:val="32"/>
        </w:rPr>
        <w:pict>
          <v:shape id="_x0000_s1054" type="#_x0000_t202" style="position:absolute;left:0;text-align:left;margin-left:.15pt;margin-top:-73.5pt;width:234pt;height:66.75pt;z-index:251661312" filled="f" stroked="f">
            <v:textbox style="mso-next-textbox:#_x0000_s1054">
              <w:txbxContent>
                <w:p w:rsidR="00004A63" w:rsidRDefault="00004A63" w:rsidP="00004A63">
                  <w:pPr>
                    <w:pStyle w:val="Title"/>
                  </w:pPr>
                  <w:r w:rsidRPr="007C13A5">
                    <w:t xml:space="preserve">Detailed Market </w:t>
                  </w:r>
                  <w:r>
                    <w:t>Figures</w:t>
                  </w:r>
                </w:p>
                <w:p w:rsidR="002C03A7" w:rsidRPr="00A65EC8" w:rsidRDefault="002C03A7" w:rsidP="002C03A7">
                  <w:pPr>
                    <w:pStyle w:val="Title"/>
                  </w:pPr>
                  <w:r w:rsidRPr="002C03A7">
                    <w:t>19 – 25 July 2015</w:t>
                  </w:r>
                </w:p>
                <w:p w:rsidR="00004A63" w:rsidRPr="000F2287" w:rsidRDefault="00004A63" w:rsidP="00004A63">
                  <w:pPr>
                    <w:pStyle w:val="Subtitle"/>
                  </w:pPr>
                </w:p>
                <w:p w:rsidR="00004A63" w:rsidRPr="000F2287" w:rsidRDefault="00004A63" w:rsidP="00004A63">
                  <w:pPr>
                    <w:pStyle w:val="Subtitle"/>
                  </w:pPr>
                </w:p>
              </w:txbxContent>
            </v:textbox>
          </v:shape>
        </w:pict>
      </w:r>
      <w:r w:rsidR="00004A63" w:rsidRPr="00004A63">
        <w:rPr>
          <w:color w:val="2272A3"/>
          <w:sz w:val="32"/>
          <w:szCs w:val="32"/>
        </w:rPr>
        <w:t xml:space="preserve"> Victorian Declared Wholesale Market</w:t>
      </w:r>
    </w:p>
    <w:p w:rsidR="00004A63" w:rsidRPr="00EF58A8" w:rsidRDefault="00EF58A8" w:rsidP="00345444">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8"/>
      </w:r>
      <w:r w:rsidRPr="00EF58A8">
        <w:t xml:space="preserve"> which is the schedule at which most gas is traded.</w:t>
      </w:r>
      <w:r w:rsidR="00004A63" w:rsidRPr="00EF58A8">
        <w:t xml:space="preserve"> </w:t>
      </w:r>
    </w:p>
    <w:p w:rsidR="00004A63" w:rsidRPr="00EF58A8" w:rsidRDefault="00EF58A8" w:rsidP="00345444">
      <w:pPr>
        <w:jc w:val="both"/>
      </w:pPr>
      <w:r w:rsidRPr="00EF58A8">
        <w:t>The main drivers</w:t>
      </w:r>
      <w:r w:rsidRPr="00EF58A8">
        <w:rPr>
          <w:rStyle w:val="FootnoteReference"/>
        </w:rPr>
        <w:footnoteReference w:id="9"/>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10"/>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BC18FB" w:rsidRPr="00DD0358" w:rsidRDefault="00004A63" w:rsidP="00FF0D8A">
      <w:pPr>
        <w:pStyle w:val="Heading4"/>
        <w:ind w:hanging="338"/>
        <w:rPr>
          <w:color w:val="2272A3"/>
          <w:sz w:val="24"/>
        </w:rPr>
      </w:pPr>
      <w:r w:rsidRPr="00DD0358">
        <w:rPr>
          <w:color w:val="2272A3"/>
          <w:sz w:val="24"/>
        </w:rPr>
        <w:t>Prices by schedule</w:t>
      </w:r>
    </w:p>
    <w:p w:rsidR="00362B9A" w:rsidRPr="00362B9A" w:rsidRDefault="002B4C49" w:rsidP="00362B9A">
      <w:r>
        <w:pict>
          <v:shape id="_x0000_i1027" type="#_x0000_t75" style="width:476.35pt;height:137.3pt">
            <v:imagedata r:id="rId13" o:title=""/>
          </v:shape>
        </w:pict>
      </w:r>
    </w:p>
    <w:p w:rsidR="00BC18FB" w:rsidRPr="00DD0358" w:rsidRDefault="00004A63" w:rsidP="00FF0D8A">
      <w:pPr>
        <w:pStyle w:val="Heading4"/>
        <w:ind w:hanging="338"/>
        <w:rPr>
          <w:color w:val="2272A3"/>
          <w:sz w:val="24"/>
        </w:rPr>
      </w:pPr>
      <w:r w:rsidRPr="00DD0358">
        <w:rPr>
          <w:color w:val="2272A3"/>
          <w:sz w:val="24"/>
        </w:rPr>
        <w:t>Demand forecasts</w:t>
      </w:r>
    </w:p>
    <w:p w:rsidR="00362B9A" w:rsidRPr="00362B9A" w:rsidRDefault="002B4C49" w:rsidP="00362B9A">
      <w:r>
        <w:pict>
          <v:shape id="_x0000_i1028" type="#_x0000_t75" style="width:476.35pt;height:176.65pt">
            <v:imagedata r:id="rId14" o:title=""/>
          </v:shape>
        </w:pict>
      </w:r>
    </w:p>
    <w:p w:rsidR="00BC18FB" w:rsidRPr="00DD0358" w:rsidRDefault="00004A63" w:rsidP="00FF0D8A">
      <w:pPr>
        <w:pStyle w:val="Heading4"/>
        <w:ind w:hanging="338"/>
        <w:rPr>
          <w:color w:val="2272A3"/>
          <w:sz w:val="24"/>
        </w:rPr>
      </w:pPr>
      <w:r w:rsidRPr="00DD0358">
        <w:rPr>
          <w:color w:val="2272A3"/>
          <w:sz w:val="24"/>
        </w:rPr>
        <w:t>Injection bids by price bands</w:t>
      </w:r>
    </w:p>
    <w:p w:rsidR="00362B9A" w:rsidRPr="00362B9A" w:rsidRDefault="002B4C49" w:rsidP="00362B9A">
      <w:r>
        <w:pict>
          <v:shape id="_x0000_i1029" type="#_x0000_t75" style="width:476.35pt;height:205.95pt">
            <v:imagedata r:id="rId15" o:title=""/>
          </v:shape>
        </w:pict>
      </w:r>
    </w:p>
    <w:p w:rsidR="00BC18FB" w:rsidRPr="00DD0358" w:rsidRDefault="00362B9A" w:rsidP="00FF0D8A">
      <w:pPr>
        <w:pStyle w:val="Heading4"/>
        <w:ind w:hanging="338"/>
        <w:rPr>
          <w:color w:val="2272A3"/>
          <w:sz w:val="24"/>
        </w:rPr>
      </w:pPr>
      <w:r w:rsidRPr="00DD0358">
        <w:rPr>
          <w:color w:val="2272A3"/>
          <w:sz w:val="24"/>
        </w:rPr>
        <w:t>Withdrawal bids by price bands</w:t>
      </w:r>
    </w:p>
    <w:p w:rsidR="00362B9A" w:rsidRPr="00362B9A" w:rsidRDefault="002B4C49" w:rsidP="00362B9A">
      <w:r>
        <w:pict>
          <v:shape id="_x0000_i1030" type="#_x0000_t75" style="width:476.35pt;height:162.4pt">
            <v:imagedata r:id="rId16" o:title=""/>
          </v:shape>
        </w:pict>
      </w:r>
    </w:p>
    <w:p w:rsidR="00BC18FB" w:rsidRPr="00DD0358" w:rsidRDefault="00362B9A" w:rsidP="00FF0D8A">
      <w:pPr>
        <w:pStyle w:val="Heading4"/>
        <w:ind w:hanging="338"/>
        <w:rPr>
          <w:color w:val="2272A3"/>
          <w:sz w:val="24"/>
        </w:rPr>
      </w:pPr>
      <w:r w:rsidRPr="00DD0358">
        <w:rPr>
          <w:color w:val="2272A3"/>
          <w:sz w:val="24"/>
        </w:rPr>
        <w:t>Metered Injections by System Injection Point</w:t>
      </w:r>
    </w:p>
    <w:p w:rsidR="00BC18FB" w:rsidRDefault="002B4C49" w:rsidP="00BC18FB">
      <w:r>
        <w:pict>
          <v:shape id="_x0000_i1031" type="#_x0000_t75" style="width:476.35pt;height:177.5pt">
            <v:imagedata r:id="rId17" o:title=""/>
          </v:shape>
        </w:pict>
      </w:r>
    </w:p>
    <w:p w:rsidR="00345444" w:rsidRPr="00EF58A8" w:rsidRDefault="00EF58A8" w:rsidP="00EF58A8">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345444" w:rsidRDefault="00345444" w:rsidP="00BC18FB"/>
    <w:p w:rsidR="00EF58A8" w:rsidRPr="00BC18FB" w:rsidRDefault="00EF58A8" w:rsidP="00BC18FB"/>
    <w:p w:rsidR="00BC18FB" w:rsidRDefault="00BC18FB" w:rsidP="00BC18FB">
      <w:pPr>
        <w:pStyle w:val="Heading3"/>
        <w:ind w:firstLine="0"/>
        <w:rPr>
          <w:color w:val="2272A3"/>
          <w:sz w:val="32"/>
          <w:szCs w:val="32"/>
        </w:rPr>
      </w:pPr>
      <w:r w:rsidRPr="00004A63">
        <w:rPr>
          <w:color w:val="2272A3"/>
          <w:sz w:val="32"/>
          <w:szCs w:val="32"/>
        </w:rPr>
        <w:t>S</w:t>
      </w:r>
      <w:r w:rsidR="00362B9A">
        <w:rPr>
          <w:color w:val="2272A3"/>
          <w:sz w:val="32"/>
          <w:szCs w:val="32"/>
        </w:rPr>
        <w:t>ydney STTM</w:t>
      </w:r>
    </w:p>
    <w:p w:rsidR="00EF58A8" w:rsidRPr="00EF58A8" w:rsidRDefault="00EF58A8" w:rsidP="00EF58A8">
      <w:pPr>
        <w:jc w:val="both"/>
      </w:pPr>
      <w:r>
        <w:t xml:space="preserve">In each </w:t>
      </w:r>
      <w:r w:rsidRPr="00EF58A8">
        <w:t xml:space="preserve">STTM hub, a daily gas price is calculated before the gas day (the </w:t>
      </w:r>
      <w:proofErr w:type="spellStart"/>
      <w:r w:rsidRPr="00EF58A8">
        <w:t>ex ante</w:t>
      </w:r>
      <w:proofErr w:type="spellEnd"/>
      <w:r w:rsidRPr="00EF58A8">
        <w:t xml:space="preserve"> price) and after the gas day (the ex post price). The main drivers of these prices are participant demand forecasts, and offers to inject or bids to withdraw gas traded at the hub.</w:t>
      </w:r>
      <w:r w:rsidRPr="00EF58A8">
        <w:rPr>
          <w:rStyle w:val="FootnoteReference"/>
        </w:rPr>
        <w:footnoteReference w:id="11"/>
      </w:r>
      <w:r w:rsidRPr="00EF58A8">
        <w:t xml:space="preserve"> Divergences in ex ante and ex post prices for a gas day may occur due to differences in scheduled (forecast) and allocated (actual) quantities.</w:t>
      </w:r>
      <w:r>
        <w:t xml:space="preserve"> Pipeline acronyms are defined in the </w:t>
      </w:r>
      <w:hyperlink r:id="rId18" w:history="1">
        <w:r w:rsidR="00586C57">
          <w:rPr>
            <w:rStyle w:val="Hyperlink"/>
          </w:rPr>
          <w:t>user guide</w:t>
        </w:r>
      </w:hyperlink>
      <w:r w:rsidR="00586C57">
        <w:t>.</w:t>
      </w:r>
    </w:p>
    <w:p w:rsidR="00EF58A8" w:rsidRPr="00EF58A8" w:rsidRDefault="00EF58A8" w:rsidP="00EF58A8">
      <w:pPr>
        <w:pStyle w:val="AERbodytext"/>
        <w:spacing w:before="120" w:after="120" w:line="240" w:lineRule="auto"/>
        <w:jc w:val="both"/>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12"/>
      </w:r>
      <w:r w:rsidRPr="00EF58A8">
        <w:t xml:space="preserve"> </w:t>
      </w:r>
    </w:p>
    <w:p w:rsidR="00362B9A" w:rsidRPr="00362B9A" w:rsidRDefault="00EF58A8" w:rsidP="00EF58A8">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BC18FB" w:rsidRDefault="00362B9A" w:rsidP="00362B9A">
      <w:pPr>
        <w:pStyle w:val="Heading4"/>
        <w:ind w:left="340" w:hanging="340"/>
        <w:rPr>
          <w:color w:val="2272A3"/>
          <w:sz w:val="24"/>
          <w:szCs w:val="24"/>
        </w:rPr>
      </w:pPr>
      <w:r w:rsidRPr="00362B9A">
        <w:rPr>
          <w:color w:val="2272A3"/>
          <w:sz w:val="24"/>
          <w:szCs w:val="24"/>
        </w:rPr>
        <w:t>SYD STTM daily ex ante and ex post prices and quantities</w:t>
      </w:r>
    </w:p>
    <w:tbl>
      <w:tblPr>
        <w:tblStyle w:val="AERTable-Text0"/>
        <w:tblW w:w="9360" w:type="dxa"/>
        <w:tblLayout w:type="fixed"/>
        <w:tblLook w:val="01E0" w:firstRow="1" w:lastRow="1" w:firstColumn="1" w:lastColumn="1" w:noHBand="0" w:noVBand="0"/>
      </w:tblPr>
      <w:tblGrid>
        <w:gridCol w:w="2160"/>
        <w:gridCol w:w="1028"/>
        <w:gridCol w:w="1029"/>
        <w:gridCol w:w="1028"/>
        <w:gridCol w:w="1029"/>
        <w:gridCol w:w="1028"/>
        <w:gridCol w:w="1029"/>
        <w:gridCol w:w="1029"/>
      </w:tblGrid>
      <w:tr w:rsidR="003625A6" w:rsidRPr="00442756" w:rsidTr="00B71928">
        <w:trPr>
          <w:cnfStyle w:val="100000000000" w:firstRow="1" w:lastRow="0" w:firstColumn="0" w:lastColumn="0" w:oddVBand="0" w:evenVBand="0" w:oddHBand="0" w:evenHBand="0" w:firstRowFirstColumn="0" w:firstRowLastColumn="0" w:lastRowFirstColumn="0" w:lastRowLastColumn="0"/>
          <w:trHeight w:val="255"/>
        </w:trPr>
        <w:tc>
          <w:tcPr>
            <w:tcW w:w="2160" w:type="dxa"/>
            <w:noWrap/>
          </w:tcPr>
          <w:p w:rsidR="003625A6" w:rsidRPr="00442756" w:rsidRDefault="003625A6" w:rsidP="00B71928">
            <w:pPr>
              <w:spacing w:before="40" w:after="40"/>
              <w:rPr>
                <w:rFonts w:cs="Arial"/>
                <w:b w:val="0"/>
                <w:bCs/>
                <w:sz w:val="20"/>
                <w:szCs w:val="20"/>
              </w:rPr>
            </w:pPr>
            <w:r w:rsidRPr="00442756">
              <w:rPr>
                <w:rFonts w:cs="Arial"/>
                <w:bCs/>
                <w:sz w:val="20"/>
                <w:szCs w:val="20"/>
              </w:rPr>
              <w:t> </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Sun</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Mon</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Tue</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Wed</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Thu</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Fri</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Sat</w:t>
            </w:r>
          </w:p>
        </w:tc>
      </w:tr>
      <w:tr w:rsidR="002C03A7" w:rsidRPr="00442756" w:rsidTr="00B71928">
        <w:trPr>
          <w:trHeight w:val="255"/>
        </w:trPr>
        <w:tc>
          <w:tcPr>
            <w:tcW w:w="2160" w:type="dxa"/>
            <w:noWrap/>
            <w:vAlign w:val="center"/>
          </w:tcPr>
          <w:p w:rsidR="002C03A7" w:rsidRPr="008C268E" w:rsidRDefault="002C03A7" w:rsidP="003625A6">
            <w:pPr>
              <w:spacing w:before="60" w:after="60"/>
              <w:rPr>
                <w:rFonts w:cs="Arial"/>
                <w:sz w:val="20"/>
                <w:szCs w:val="20"/>
              </w:rPr>
            </w:pPr>
            <w:r w:rsidRPr="008C268E">
              <w:rPr>
                <w:rFonts w:cs="Arial"/>
                <w:sz w:val="20"/>
                <w:szCs w:val="20"/>
              </w:rPr>
              <w:t>Ex ante price ($/GJ)</w:t>
            </w:r>
          </w:p>
        </w:tc>
        <w:tc>
          <w:tcPr>
            <w:tcW w:w="1028" w:type="dxa"/>
            <w:noWrap/>
            <w:vAlign w:val="center"/>
          </w:tcPr>
          <w:p w:rsidR="002C03A7" w:rsidRDefault="002C03A7">
            <w:pPr>
              <w:jc w:val="center"/>
              <w:rPr>
                <w:rFonts w:cs="Arial"/>
                <w:sz w:val="20"/>
                <w:szCs w:val="20"/>
              </w:rPr>
            </w:pPr>
            <w:r>
              <w:rPr>
                <w:rFonts w:cs="Arial"/>
                <w:sz w:val="20"/>
                <w:szCs w:val="20"/>
              </w:rPr>
              <w:t>6.22</w:t>
            </w:r>
          </w:p>
        </w:tc>
        <w:tc>
          <w:tcPr>
            <w:tcW w:w="1029" w:type="dxa"/>
            <w:noWrap/>
            <w:vAlign w:val="center"/>
          </w:tcPr>
          <w:p w:rsidR="002C03A7" w:rsidRDefault="002C03A7">
            <w:pPr>
              <w:jc w:val="center"/>
              <w:rPr>
                <w:rFonts w:cs="Arial"/>
                <w:sz w:val="20"/>
                <w:szCs w:val="20"/>
              </w:rPr>
            </w:pPr>
            <w:r>
              <w:rPr>
                <w:rFonts w:cs="Arial"/>
                <w:sz w:val="20"/>
                <w:szCs w:val="20"/>
              </w:rPr>
              <w:t>7.17</w:t>
            </w:r>
          </w:p>
        </w:tc>
        <w:tc>
          <w:tcPr>
            <w:tcW w:w="1028" w:type="dxa"/>
            <w:noWrap/>
            <w:vAlign w:val="center"/>
          </w:tcPr>
          <w:p w:rsidR="002C03A7" w:rsidRDefault="002C03A7">
            <w:pPr>
              <w:jc w:val="center"/>
              <w:rPr>
                <w:rFonts w:cs="Arial"/>
                <w:sz w:val="20"/>
                <w:szCs w:val="20"/>
              </w:rPr>
            </w:pPr>
            <w:r>
              <w:rPr>
                <w:rFonts w:cs="Arial"/>
                <w:sz w:val="20"/>
                <w:szCs w:val="20"/>
              </w:rPr>
              <w:t>8.05</w:t>
            </w:r>
          </w:p>
        </w:tc>
        <w:tc>
          <w:tcPr>
            <w:tcW w:w="1029" w:type="dxa"/>
            <w:noWrap/>
            <w:vAlign w:val="center"/>
          </w:tcPr>
          <w:p w:rsidR="002C03A7" w:rsidRDefault="002C03A7">
            <w:pPr>
              <w:jc w:val="center"/>
              <w:rPr>
                <w:rFonts w:cs="Arial"/>
                <w:sz w:val="20"/>
                <w:szCs w:val="20"/>
              </w:rPr>
            </w:pPr>
            <w:r>
              <w:rPr>
                <w:rFonts w:cs="Arial"/>
                <w:sz w:val="20"/>
                <w:szCs w:val="20"/>
              </w:rPr>
              <w:t>7.16</w:t>
            </w:r>
          </w:p>
        </w:tc>
        <w:tc>
          <w:tcPr>
            <w:tcW w:w="1028" w:type="dxa"/>
            <w:noWrap/>
            <w:vAlign w:val="center"/>
          </w:tcPr>
          <w:p w:rsidR="002C03A7" w:rsidRDefault="002C03A7">
            <w:pPr>
              <w:jc w:val="center"/>
              <w:rPr>
                <w:rFonts w:cs="Arial"/>
                <w:sz w:val="20"/>
                <w:szCs w:val="20"/>
              </w:rPr>
            </w:pPr>
            <w:r>
              <w:rPr>
                <w:rFonts w:cs="Arial"/>
                <w:sz w:val="20"/>
                <w:szCs w:val="20"/>
              </w:rPr>
              <w:t>6.03</w:t>
            </w:r>
          </w:p>
        </w:tc>
        <w:tc>
          <w:tcPr>
            <w:tcW w:w="1029" w:type="dxa"/>
            <w:noWrap/>
            <w:vAlign w:val="center"/>
          </w:tcPr>
          <w:p w:rsidR="002C03A7" w:rsidRDefault="002C03A7">
            <w:pPr>
              <w:jc w:val="center"/>
              <w:rPr>
                <w:rFonts w:cs="Arial"/>
                <w:sz w:val="20"/>
                <w:szCs w:val="20"/>
              </w:rPr>
            </w:pPr>
            <w:r>
              <w:rPr>
                <w:rFonts w:cs="Arial"/>
                <w:sz w:val="20"/>
                <w:szCs w:val="20"/>
              </w:rPr>
              <w:t>5.80</w:t>
            </w:r>
          </w:p>
        </w:tc>
        <w:tc>
          <w:tcPr>
            <w:tcW w:w="1029" w:type="dxa"/>
            <w:noWrap/>
            <w:vAlign w:val="center"/>
          </w:tcPr>
          <w:p w:rsidR="002C03A7" w:rsidRDefault="002C03A7">
            <w:pPr>
              <w:jc w:val="center"/>
              <w:rPr>
                <w:rFonts w:cs="Arial"/>
                <w:sz w:val="20"/>
                <w:szCs w:val="20"/>
              </w:rPr>
            </w:pPr>
            <w:r>
              <w:rPr>
                <w:rFonts w:cs="Arial"/>
                <w:sz w:val="20"/>
                <w:szCs w:val="20"/>
              </w:rPr>
              <w:t>5.00</w:t>
            </w:r>
          </w:p>
        </w:tc>
      </w:tr>
      <w:tr w:rsidR="002C03A7" w:rsidRPr="00442756" w:rsidTr="00B71928">
        <w:trPr>
          <w:cnfStyle w:val="000000010000" w:firstRow="0" w:lastRow="0" w:firstColumn="0" w:lastColumn="0" w:oddVBand="0" w:evenVBand="0" w:oddHBand="0" w:evenHBand="1" w:firstRowFirstColumn="0" w:firstRowLastColumn="0" w:lastRowFirstColumn="0" w:lastRowLastColumn="0"/>
          <w:trHeight w:val="255"/>
        </w:trPr>
        <w:tc>
          <w:tcPr>
            <w:tcW w:w="2160" w:type="dxa"/>
            <w:noWrap/>
            <w:vAlign w:val="center"/>
          </w:tcPr>
          <w:p w:rsidR="002C03A7" w:rsidRPr="008C268E" w:rsidRDefault="002C03A7" w:rsidP="003625A6">
            <w:pPr>
              <w:spacing w:before="60" w:after="60"/>
              <w:rPr>
                <w:rFonts w:cs="Arial"/>
                <w:sz w:val="20"/>
                <w:szCs w:val="20"/>
              </w:rPr>
            </w:pPr>
            <w:r w:rsidRPr="008C268E">
              <w:rPr>
                <w:rFonts w:cs="Arial"/>
                <w:sz w:val="20"/>
                <w:szCs w:val="20"/>
              </w:rPr>
              <w:t>Ex ante quantity (TJ)</w:t>
            </w:r>
          </w:p>
        </w:tc>
        <w:tc>
          <w:tcPr>
            <w:tcW w:w="1028" w:type="dxa"/>
            <w:noWrap/>
            <w:vAlign w:val="center"/>
          </w:tcPr>
          <w:p w:rsidR="002C03A7" w:rsidRDefault="002C03A7">
            <w:pPr>
              <w:jc w:val="center"/>
              <w:rPr>
                <w:rFonts w:cs="Arial"/>
                <w:sz w:val="20"/>
                <w:szCs w:val="20"/>
              </w:rPr>
            </w:pPr>
            <w:r>
              <w:rPr>
                <w:rFonts w:cs="Arial"/>
                <w:sz w:val="20"/>
                <w:szCs w:val="20"/>
              </w:rPr>
              <w:t>274</w:t>
            </w:r>
          </w:p>
        </w:tc>
        <w:tc>
          <w:tcPr>
            <w:tcW w:w="1029" w:type="dxa"/>
            <w:noWrap/>
            <w:vAlign w:val="center"/>
          </w:tcPr>
          <w:p w:rsidR="002C03A7" w:rsidRDefault="002C03A7">
            <w:pPr>
              <w:jc w:val="center"/>
              <w:rPr>
                <w:rFonts w:cs="Arial"/>
                <w:sz w:val="20"/>
                <w:szCs w:val="20"/>
              </w:rPr>
            </w:pPr>
            <w:r>
              <w:rPr>
                <w:rFonts w:cs="Arial"/>
                <w:sz w:val="20"/>
                <w:szCs w:val="20"/>
              </w:rPr>
              <w:t>302</w:t>
            </w:r>
          </w:p>
        </w:tc>
        <w:tc>
          <w:tcPr>
            <w:tcW w:w="1028" w:type="dxa"/>
            <w:noWrap/>
            <w:vAlign w:val="center"/>
          </w:tcPr>
          <w:p w:rsidR="002C03A7" w:rsidRDefault="002C03A7">
            <w:pPr>
              <w:jc w:val="center"/>
              <w:rPr>
                <w:rFonts w:cs="Arial"/>
                <w:sz w:val="20"/>
                <w:szCs w:val="20"/>
              </w:rPr>
            </w:pPr>
            <w:r>
              <w:rPr>
                <w:rFonts w:cs="Arial"/>
                <w:sz w:val="20"/>
                <w:szCs w:val="20"/>
              </w:rPr>
              <w:t>300</w:t>
            </w:r>
          </w:p>
        </w:tc>
        <w:tc>
          <w:tcPr>
            <w:tcW w:w="1029" w:type="dxa"/>
            <w:noWrap/>
            <w:vAlign w:val="center"/>
          </w:tcPr>
          <w:p w:rsidR="002C03A7" w:rsidRDefault="002C03A7">
            <w:pPr>
              <w:jc w:val="center"/>
              <w:rPr>
                <w:rFonts w:cs="Arial"/>
                <w:sz w:val="20"/>
                <w:szCs w:val="20"/>
              </w:rPr>
            </w:pPr>
            <w:r>
              <w:rPr>
                <w:rFonts w:cs="Arial"/>
                <w:sz w:val="20"/>
                <w:szCs w:val="20"/>
              </w:rPr>
              <w:t>297</w:t>
            </w:r>
          </w:p>
        </w:tc>
        <w:tc>
          <w:tcPr>
            <w:tcW w:w="1028" w:type="dxa"/>
            <w:noWrap/>
            <w:vAlign w:val="center"/>
          </w:tcPr>
          <w:p w:rsidR="002C03A7" w:rsidRDefault="002C03A7">
            <w:pPr>
              <w:jc w:val="center"/>
              <w:rPr>
                <w:rFonts w:cs="Arial"/>
                <w:sz w:val="20"/>
                <w:szCs w:val="20"/>
              </w:rPr>
            </w:pPr>
            <w:r>
              <w:rPr>
                <w:rFonts w:cs="Arial"/>
                <w:sz w:val="20"/>
                <w:szCs w:val="20"/>
              </w:rPr>
              <w:t>288</w:t>
            </w:r>
          </w:p>
        </w:tc>
        <w:tc>
          <w:tcPr>
            <w:tcW w:w="1029" w:type="dxa"/>
            <w:noWrap/>
            <w:vAlign w:val="center"/>
          </w:tcPr>
          <w:p w:rsidR="002C03A7" w:rsidRDefault="002C03A7">
            <w:pPr>
              <w:jc w:val="center"/>
              <w:rPr>
                <w:rFonts w:cs="Arial"/>
                <w:sz w:val="20"/>
                <w:szCs w:val="20"/>
              </w:rPr>
            </w:pPr>
            <w:r>
              <w:rPr>
                <w:rFonts w:cs="Arial"/>
                <w:sz w:val="20"/>
                <w:szCs w:val="20"/>
              </w:rPr>
              <w:t>298</w:t>
            </w:r>
          </w:p>
        </w:tc>
        <w:tc>
          <w:tcPr>
            <w:tcW w:w="1029" w:type="dxa"/>
            <w:noWrap/>
            <w:vAlign w:val="center"/>
          </w:tcPr>
          <w:p w:rsidR="002C03A7" w:rsidRDefault="002C03A7">
            <w:pPr>
              <w:jc w:val="center"/>
              <w:rPr>
                <w:rFonts w:cs="Arial"/>
                <w:sz w:val="20"/>
                <w:szCs w:val="20"/>
              </w:rPr>
            </w:pPr>
            <w:r>
              <w:rPr>
                <w:rFonts w:cs="Arial"/>
                <w:sz w:val="20"/>
                <w:szCs w:val="20"/>
              </w:rPr>
              <w:t>244</w:t>
            </w:r>
          </w:p>
        </w:tc>
      </w:tr>
      <w:tr w:rsidR="002C03A7" w:rsidRPr="00442756" w:rsidTr="00B71928">
        <w:trPr>
          <w:trHeight w:val="255"/>
        </w:trPr>
        <w:tc>
          <w:tcPr>
            <w:tcW w:w="2160" w:type="dxa"/>
            <w:noWrap/>
            <w:vAlign w:val="center"/>
          </w:tcPr>
          <w:p w:rsidR="002C03A7" w:rsidRPr="008C268E" w:rsidRDefault="002C03A7" w:rsidP="003625A6">
            <w:pPr>
              <w:spacing w:before="60" w:after="60"/>
              <w:rPr>
                <w:rFonts w:cs="Arial"/>
                <w:sz w:val="20"/>
                <w:szCs w:val="20"/>
              </w:rPr>
            </w:pPr>
            <w:r w:rsidRPr="008C268E">
              <w:rPr>
                <w:rFonts w:cs="Arial"/>
                <w:sz w:val="20"/>
                <w:szCs w:val="20"/>
              </w:rPr>
              <w:t>Ex post price ($/GJ)</w:t>
            </w:r>
          </w:p>
        </w:tc>
        <w:tc>
          <w:tcPr>
            <w:tcW w:w="1028" w:type="dxa"/>
            <w:noWrap/>
            <w:vAlign w:val="center"/>
          </w:tcPr>
          <w:p w:rsidR="002C03A7" w:rsidRDefault="002C03A7">
            <w:pPr>
              <w:jc w:val="center"/>
              <w:rPr>
                <w:rFonts w:cs="Arial"/>
                <w:sz w:val="20"/>
                <w:szCs w:val="20"/>
              </w:rPr>
            </w:pPr>
            <w:r>
              <w:rPr>
                <w:rFonts w:cs="Arial"/>
                <w:sz w:val="20"/>
                <w:szCs w:val="20"/>
              </w:rPr>
              <w:t>6.22</w:t>
            </w:r>
          </w:p>
        </w:tc>
        <w:tc>
          <w:tcPr>
            <w:tcW w:w="1029" w:type="dxa"/>
            <w:noWrap/>
            <w:vAlign w:val="center"/>
          </w:tcPr>
          <w:p w:rsidR="002C03A7" w:rsidRDefault="002C03A7">
            <w:pPr>
              <w:jc w:val="center"/>
              <w:rPr>
                <w:rFonts w:cs="Arial"/>
                <w:sz w:val="20"/>
                <w:szCs w:val="20"/>
              </w:rPr>
            </w:pPr>
            <w:r>
              <w:rPr>
                <w:rFonts w:cs="Arial"/>
                <w:sz w:val="20"/>
                <w:szCs w:val="20"/>
              </w:rPr>
              <w:t>7.17</w:t>
            </w:r>
          </w:p>
        </w:tc>
        <w:tc>
          <w:tcPr>
            <w:tcW w:w="1028" w:type="dxa"/>
            <w:noWrap/>
            <w:vAlign w:val="center"/>
          </w:tcPr>
          <w:p w:rsidR="002C03A7" w:rsidRDefault="002C03A7">
            <w:pPr>
              <w:jc w:val="center"/>
              <w:rPr>
                <w:rFonts w:cs="Arial"/>
                <w:sz w:val="20"/>
                <w:szCs w:val="20"/>
              </w:rPr>
            </w:pPr>
            <w:r>
              <w:rPr>
                <w:rFonts w:cs="Arial"/>
                <w:sz w:val="20"/>
                <w:szCs w:val="20"/>
              </w:rPr>
              <w:t>8.05</w:t>
            </w:r>
          </w:p>
        </w:tc>
        <w:tc>
          <w:tcPr>
            <w:tcW w:w="1029" w:type="dxa"/>
            <w:noWrap/>
            <w:vAlign w:val="center"/>
          </w:tcPr>
          <w:p w:rsidR="002C03A7" w:rsidRDefault="002C03A7">
            <w:pPr>
              <w:jc w:val="center"/>
              <w:rPr>
                <w:rFonts w:cs="Arial"/>
                <w:sz w:val="20"/>
                <w:szCs w:val="20"/>
              </w:rPr>
            </w:pPr>
            <w:r>
              <w:rPr>
                <w:rFonts w:cs="Arial"/>
                <w:sz w:val="20"/>
                <w:szCs w:val="20"/>
              </w:rPr>
              <w:t>7.89</w:t>
            </w:r>
          </w:p>
        </w:tc>
        <w:tc>
          <w:tcPr>
            <w:tcW w:w="1028" w:type="dxa"/>
            <w:noWrap/>
            <w:vAlign w:val="center"/>
          </w:tcPr>
          <w:p w:rsidR="002C03A7" w:rsidRDefault="002C03A7">
            <w:pPr>
              <w:jc w:val="center"/>
              <w:rPr>
                <w:rFonts w:cs="Arial"/>
                <w:sz w:val="20"/>
                <w:szCs w:val="20"/>
              </w:rPr>
            </w:pPr>
            <w:r>
              <w:rPr>
                <w:rFonts w:cs="Arial"/>
                <w:sz w:val="20"/>
                <w:szCs w:val="20"/>
              </w:rPr>
              <w:t>5.99</w:t>
            </w:r>
          </w:p>
        </w:tc>
        <w:tc>
          <w:tcPr>
            <w:tcW w:w="1029" w:type="dxa"/>
            <w:noWrap/>
            <w:vAlign w:val="center"/>
          </w:tcPr>
          <w:p w:rsidR="002C03A7" w:rsidRDefault="002C03A7">
            <w:pPr>
              <w:jc w:val="center"/>
              <w:rPr>
                <w:rFonts w:cs="Arial"/>
                <w:sz w:val="20"/>
                <w:szCs w:val="20"/>
              </w:rPr>
            </w:pPr>
            <w:r>
              <w:rPr>
                <w:rFonts w:cs="Arial"/>
                <w:sz w:val="20"/>
                <w:szCs w:val="20"/>
              </w:rPr>
              <w:t>4.60</w:t>
            </w:r>
          </w:p>
        </w:tc>
        <w:tc>
          <w:tcPr>
            <w:tcW w:w="1029" w:type="dxa"/>
            <w:noWrap/>
            <w:vAlign w:val="center"/>
          </w:tcPr>
          <w:p w:rsidR="002C03A7" w:rsidRDefault="002C03A7">
            <w:pPr>
              <w:jc w:val="center"/>
              <w:rPr>
                <w:rFonts w:cs="Arial"/>
                <w:sz w:val="20"/>
                <w:szCs w:val="20"/>
              </w:rPr>
            </w:pPr>
            <w:r>
              <w:rPr>
                <w:rFonts w:cs="Arial"/>
                <w:sz w:val="20"/>
                <w:szCs w:val="20"/>
              </w:rPr>
              <w:t>4.50</w:t>
            </w:r>
          </w:p>
        </w:tc>
      </w:tr>
      <w:tr w:rsidR="002C03A7" w:rsidRPr="00442756" w:rsidTr="00B71928">
        <w:trPr>
          <w:cnfStyle w:val="000000010000" w:firstRow="0" w:lastRow="0" w:firstColumn="0" w:lastColumn="0" w:oddVBand="0" w:evenVBand="0" w:oddHBand="0" w:evenHBand="1" w:firstRowFirstColumn="0" w:firstRowLastColumn="0" w:lastRowFirstColumn="0" w:lastRowLastColumn="0"/>
          <w:trHeight w:val="255"/>
        </w:trPr>
        <w:tc>
          <w:tcPr>
            <w:tcW w:w="2160" w:type="dxa"/>
            <w:noWrap/>
            <w:vAlign w:val="center"/>
          </w:tcPr>
          <w:p w:rsidR="002C03A7" w:rsidRPr="008C268E" w:rsidRDefault="002C03A7" w:rsidP="003625A6">
            <w:pPr>
              <w:spacing w:before="60" w:after="60"/>
              <w:rPr>
                <w:rFonts w:cs="Arial"/>
                <w:sz w:val="20"/>
                <w:szCs w:val="20"/>
              </w:rPr>
            </w:pPr>
            <w:r w:rsidRPr="008C268E">
              <w:rPr>
                <w:rFonts w:cs="Arial"/>
                <w:sz w:val="20"/>
                <w:szCs w:val="20"/>
              </w:rPr>
              <w:t>Ex post quantity (TJ)</w:t>
            </w:r>
          </w:p>
        </w:tc>
        <w:tc>
          <w:tcPr>
            <w:tcW w:w="1028" w:type="dxa"/>
            <w:noWrap/>
            <w:vAlign w:val="center"/>
          </w:tcPr>
          <w:p w:rsidR="002C03A7" w:rsidRDefault="002C03A7">
            <w:pPr>
              <w:jc w:val="center"/>
              <w:rPr>
                <w:rFonts w:cs="Arial"/>
                <w:sz w:val="20"/>
                <w:szCs w:val="20"/>
              </w:rPr>
            </w:pPr>
            <w:r>
              <w:rPr>
                <w:rFonts w:cs="Arial"/>
                <w:sz w:val="20"/>
                <w:szCs w:val="20"/>
              </w:rPr>
              <w:t>273</w:t>
            </w:r>
          </w:p>
        </w:tc>
        <w:tc>
          <w:tcPr>
            <w:tcW w:w="1029" w:type="dxa"/>
            <w:noWrap/>
            <w:vAlign w:val="center"/>
          </w:tcPr>
          <w:p w:rsidR="002C03A7" w:rsidRDefault="002C03A7">
            <w:pPr>
              <w:jc w:val="center"/>
              <w:rPr>
                <w:rFonts w:cs="Arial"/>
                <w:sz w:val="20"/>
                <w:szCs w:val="20"/>
              </w:rPr>
            </w:pPr>
            <w:r>
              <w:rPr>
                <w:rFonts w:cs="Arial"/>
                <w:sz w:val="20"/>
                <w:szCs w:val="20"/>
              </w:rPr>
              <w:t>306</w:t>
            </w:r>
          </w:p>
        </w:tc>
        <w:tc>
          <w:tcPr>
            <w:tcW w:w="1028" w:type="dxa"/>
            <w:noWrap/>
            <w:vAlign w:val="center"/>
          </w:tcPr>
          <w:p w:rsidR="002C03A7" w:rsidRDefault="002C03A7">
            <w:pPr>
              <w:jc w:val="center"/>
              <w:rPr>
                <w:rFonts w:cs="Arial"/>
                <w:sz w:val="20"/>
                <w:szCs w:val="20"/>
              </w:rPr>
            </w:pPr>
            <w:r>
              <w:rPr>
                <w:rFonts w:cs="Arial"/>
                <w:sz w:val="20"/>
                <w:szCs w:val="20"/>
              </w:rPr>
              <w:t>296</w:t>
            </w:r>
          </w:p>
        </w:tc>
        <w:tc>
          <w:tcPr>
            <w:tcW w:w="1029" w:type="dxa"/>
            <w:noWrap/>
            <w:vAlign w:val="center"/>
          </w:tcPr>
          <w:p w:rsidR="002C03A7" w:rsidRDefault="002C03A7">
            <w:pPr>
              <w:jc w:val="center"/>
              <w:rPr>
                <w:rFonts w:cs="Arial"/>
                <w:sz w:val="20"/>
                <w:szCs w:val="20"/>
              </w:rPr>
            </w:pPr>
            <w:r>
              <w:rPr>
                <w:rFonts w:cs="Arial"/>
                <w:sz w:val="20"/>
                <w:szCs w:val="20"/>
              </w:rPr>
              <w:t>300</w:t>
            </w:r>
          </w:p>
        </w:tc>
        <w:tc>
          <w:tcPr>
            <w:tcW w:w="1028" w:type="dxa"/>
            <w:noWrap/>
            <w:vAlign w:val="center"/>
          </w:tcPr>
          <w:p w:rsidR="002C03A7" w:rsidRDefault="002C03A7">
            <w:pPr>
              <w:jc w:val="center"/>
              <w:rPr>
                <w:rFonts w:cs="Arial"/>
                <w:sz w:val="20"/>
                <w:szCs w:val="20"/>
              </w:rPr>
            </w:pPr>
            <w:r>
              <w:rPr>
                <w:rFonts w:cs="Arial"/>
                <w:sz w:val="20"/>
                <w:szCs w:val="20"/>
              </w:rPr>
              <w:t>283</w:t>
            </w:r>
          </w:p>
        </w:tc>
        <w:tc>
          <w:tcPr>
            <w:tcW w:w="1029" w:type="dxa"/>
            <w:noWrap/>
            <w:vAlign w:val="center"/>
          </w:tcPr>
          <w:p w:rsidR="002C03A7" w:rsidRDefault="002C03A7">
            <w:pPr>
              <w:jc w:val="center"/>
              <w:rPr>
                <w:rFonts w:cs="Arial"/>
                <w:sz w:val="20"/>
                <w:szCs w:val="20"/>
              </w:rPr>
            </w:pPr>
            <w:r>
              <w:rPr>
                <w:rFonts w:cs="Arial"/>
                <w:sz w:val="20"/>
                <w:szCs w:val="20"/>
              </w:rPr>
              <w:t>279</w:t>
            </w:r>
          </w:p>
        </w:tc>
        <w:tc>
          <w:tcPr>
            <w:tcW w:w="1029" w:type="dxa"/>
            <w:noWrap/>
            <w:vAlign w:val="center"/>
          </w:tcPr>
          <w:p w:rsidR="002C03A7" w:rsidRDefault="002C03A7">
            <w:pPr>
              <w:jc w:val="center"/>
              <w:rPr>
                <w:rFonts w:cs="Arial"/>
                <w:sz w:val="20"/>
                <w:szCs w:val="20"/>
              </w:rPr>
            </w:pPr>
            <w:r>
              <w:rPr>
                <w:rFonts w:cs="Arial"/>
                <w:sz w:val="20"/>
                <w:szCs w:val="20"/>
              </w:rPr>
              <w:t>234</w:t>
            </w:r>
          </w:p>
        </w:tc>
      </w:tr>
    </w:tbl>
    <w:p w:rsidR="00362B9A" w:rsidRPr="00362B9A" w:rsidRDefault="00362B9A" w:rsidP="00362B9A"/>
    <w:p w:rsidR="00BC18FB" w:rsidRPr="00DD0358" w:rsidRDefault="00362B9A" w:rsidP="00362B9A">
      <w:pPr>
        <w:pStyle w:val="Heading4"/>
        <w:ind w:left="340" w:hanging="340"/>
        <w:rPr>
          <w:color w:val="2272A3"/>
          <w:sz w:val="24"/>
          <w:szCs w:val="24"/>
        </w:rPr>
      </w:pPr>
      <w:r w:rsidRPr="00DD0358">
        <w:rPr>
          <w:color w:val="2272A3"/>
          <w:sz w:val="24"/>
          <w:szCs w:val="24"/>
        </w:rPr>
        <w:t>SYD daily hub offers and daily hub bids in price bands ($/GJ)</w:t>
      </w:r>
    </w:p>
    <w:p w:rsidR="00362B9A" w:rsidRPr="00362B9A" w:rsidRDefault="002B4C49" w:rsidP="00362B9A">
      <w:r>
        <w:pict>
          <v:shape id="_x0000_i1032" type="#_x0000_t75" style="width:475.55pt;height:169.95pt">
            <v:imagedata r:id="rId19" o:title=""/>
          </v:shape>
        </w:pict>
      </w:r>
    </w:p>
    <w:p w:rsidR="00BC18FB" w:rsidRPr="00DD0358" w:rsidRDefault="00362B9A" w:rsidP="00FF0D8A">
      <w:pPr>
        <w:pStyle w:val="Heading4"/>
        <w:ind w:hanging="338"/>
        <w:rPr>
          <w:color w:val="2272A3"/>
          <w:sz w:val="24"/>
          <w:szCs w:val="24"/>
        </w:rPr>
      </w:pPr>
      <w:r w:rsidRPr="00DD0358">
        <w:rPr>
          <w:color w:val="2272A3"/>
          <w:sz w:val="24"/>
          <w:szCs w:val="24"/>
        </w:rPr>
        <w:t xml:space="preserve">SYD net scheduled and allocated </w:t>
      </w:r>
      <w:r w:rsidR="003625A6" w:rsidRPr="00DD0358">
        <w:rPr>
          <w:color w:val="2272A3"/>
          <w:sz w:val="24"/>
          <w:szCs w:val="24"/>
        </w:rPr>
        <w:t xml:space="preserve">gas hub supply </w:t>
      </w:r>
      <w:r w:rsidRPr="00DD0358">
        <w:rPr>
          <w:color w:val="2272A3"/>
          <w:sz w:val="24"/>
          <w:szCs w:val="24"/>
        </w:rPr>
        <w:t xml:space="preserve">(excluding MOS) </w:t>
      </w:r>
    </w:p>
    <w:p w:rsidR="00362B9A" w:rsidRPr="00362B9A" w:rsidRDefault="002B4C49" w:rsidP="00362B9A">
      <w:r>
        <w:pict>
          <v:shape id="_x0000_i1033" type="#_x0000_t75" style="width:478.05pt;height:212.65pt">
            <v:imagedata r:id="rId20" o:title=""/>
          </v:shape>
        </w:pict>
      </w:r>
    </w:p>
    <w:p w:rsidR="00BC18FB" w:rsidRPr="00DD0358" w:rsidRDefault="00362B9A" w:rsidP="00FF0D8A">
      <w:pPr>
        <w:pStyle w:val="Heading4"/>
        <w:ind w:hanging="338"/>
        <w:rPr>
          <w:color w:val="2272A3"/>
          <w:sz w:val="24"/>
          <w:szCs w:val="24"/>
        </w:rPr>
      </w:pPr>
      <w:r w:rsidRPr="00DD0358">
        <w:rPr>
          <w:color w:val="2272A3"/>
          <w:sz w:val="24"/>
          <w:szCs w:val="24"/>
        </w:rPr>
        <w:t>SYD MOS allocations (TJ), service payments and commodity payments/charges ($000)</w:t>
      </w:r>
    </w:p>
    <w:p w:rsidR="00362B9A" w:rsidRDefault="002B4C49" w:rsidP="00362B9A">
      <w:r>
        <w:pict>
          <v:shape id="_x0000_i1034" type="#_x0000_t75" style="width:475.55pt;height:180.85pt">
            <v:imagedata r:id="rId21" o:title=""/>
          </v:shape>
        </w:pict>
      </w:r>
    </w:p>
    <w:p w:rsidR="00BC18FB" w:rsidRDefault="0056485C" w:rsidP="00BC18FB">
      <w:pPr>
        <w:pStyle w:val="Heading3"/>
        <w:ind w:firstLine="0"/>
        <w:rPr>
          <w:color w:val="2272A3"/>
          <w:sz w:val="32"/>
          <w:szCs w:val="32"/>
        </w:rPr>
      </w:pPr>
      <w:r>
        <w:rPr>
          <w:color w:val="2272A3"/>
          <w:sz w:val="32"/>
          <w:szCs w:val="32"/>
        </w:rPr>
        <w:br w:type="page"/>
      </w:r>
      <w:r w:rsidR="00BC18FB" w:rsidRPr="00004A63">
        <w:rPr>
          <w:color w:val="2272A3"/>
          <w:sz w:val="32"/>
          <w:szCs w:val="32"/>
        </w:rPr>
        <w:t>A</w:t>
      </w:r>
      <w:r w:rsidR="00362B9A">
        <w:rPr>
          <w:color w:val="2272A3"/>
          <w:sz w:val="32"/>
          <w:szCs w:val="32"/>
        </w:rPr>
        <w:t>delaide STTM</w:t>
      </w:r>
    </w:p>
    <w:p w:rsidR="003625A6" w:rsidRPr="003625A6" w:rsidRDefault="003625A6" w:rsidP="00345444">
      <w:pPr>
        <w:jc w:val="both"/>
      </w:pPr>
      <w:r>
        <w:t>The Adelaide STTM hub functions in the same way as the Sydney STTM hub.  The same data that was presented for the Sydney hub is presented for the Adelaide hub in the figures below.</w:t>
      </w:r>
    </w:p>
    <w:p w:rsidR="00BC18FB" w:rsidRDefault="003625A6" w:rsidP="00FF0D8A">
      <w:pPr>
        <w:pStyle w:val="Heading4"/>
        <w:ind w:hanging="338"/>
        <w:rPr>
          <w:color w:val="2272A3"/>
          <w:sz w:val="24"/>
        </w:rPr>
      </w:pPr>
      <w:r>
        <w:rPr>
          <w:color w:val="2272A3"/>
          <w:sz w:val="24"/>
          <w:szCs w:val="24"/>
        </w:rPr>
        <w:t>ADL</w:t>
      </w:r>
      <w:r w:rsidRPr="00362B9A">
        <w:rPr>
          <w:color w:val="2272A3"/>
          <w:sz w:val="24"/>
          <w:szCs w:val="24"/>
        </w:rPr>
        <w:t xml:space="preserve"> STTM daily ex ante and ex post prices and quantities</w:t>
      </w:r>
    </w:p>
    <w:tbl>
      <w:tblPr>
        <w:tblStyle w:val="AERTable-Text0"/>
        <w:tblW w:w="9360" w:type="dxa"/>
        <w:tblLayout w:type="fixed"/>
        <w:tblLook w:val="01E0" w:firstRow="1" w:lastRow="1" w:firstColumn="1" w:lastColumn="1" w:noHBand="0" w:noVBand="0"/>
      </w:tblPr>
      <w:tblGrid>
        <w:gridCol w:w="2160"/>
        <w:gridCol w:w="1028"/>
        <w:gridCol w:w="1029"/>
        <w:gridCol w:w="1028"/>
        <w:gridCol w:w="1029"/>
        <w:gridCol w:w="1028"/>
        <w:gridCol w:w="1029"/>
        <w:gridCol w:w="1029"/>
      </w:tblGrid>
      <w:tr w:rsidR="003625A6" w:rsidRPr="00442756" w:rsidTr="00B71928">
        <w:trPr>
          <w:cnfStyle w:val="100000000000" w:firstRow="1" w:lastRow="0" w:firstColumn="0" w:lastColumn="0" w:oddVBand="0" w:evenVBand="0" w:oddHBand="0" w:evenHBand="0" w:firstRowFirstColumn="0" w:firstRowLastColumn="0" w:lastRowFirstColumn="0" w:lastRowLastColumn="0"/>
          <w:trHeight w:val="255"/>
        </w:trPr>
        <w:tc>
          <w:tcPr>
            <w:tcW w:w="2160" w:type="dxa"/>
            <w:noWrap/>
          </w:tcPr>
          <w:p w:rsidR="003625A6" w:rsidRPr="00442756" w:rsidRDefault="003625A6" w:rsidP="00B71928">
            <w:pPr>
              <w:spacing w:before="40" w:after="40"/>
              <w:rPr>
                <w:rFonts w:cs="Arial"/>
                <w:b w:val="0"/>
                <w:bCs/>
                <w:sz w:val="20"/>
                <w:szCs w:val="20"/>
              </w:rPr>
            </w:pPr>
            <w:r w:rsidRPr="00442756">
              <w:rPr>
                <w:rFonts w:cs="Arial"/>
                <w:bCs/>
                <w:sz w:val="20"/>
                <w:szCs w:val="20"/>
              </w:rPr>
              <w:t> </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Sun</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Mon</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Tue</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Wed</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Thu</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Fri</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Sat</w:t>
            </w:r>
          </w:p>
        </w:tc>
      </w:tr>
      <w:tr w:rsidR="002C03A7" w:rsidRPr="00442756" w:rsidTr="00B71928">
        <w:trPr>
          <w:trHeight w:val="255"/>
        </w:trPr>
        <w:tc>
          <w:tcPr>
            <w:tcW w:w="2160" w:type="dxa"/>
            <w:noWrap/>
            <w:vAlign w:val="center"/>
          </w:tcPr>
          <w:p w:rsidR="002C03A7" w:rsidRPr="00442756" w:rsidRDefault="002C03A7" w:rsidP="00B71928">
            <w:pPr>
              <w:spacing w:before="60" w:after="60"/>
              <w:rPr>
                <w:rFonts w:cs="Arial"/>
                <w:sz w:val="20"/>
                <w:szCs w:val="20"/>
              </w:rPr>
            </w:pPr>
            <w:r w:rsidRPr="00442756">
              <w:rPr>
                <w:rFonts w:cs="Arial"/>
                <w:sz w:val="20"/>
                <w:szCs w:val="20"/>
              </w:rPr>
              <w:t>Ex ante price ($/GJ)</w:t>
            </w:r>
          </w:p>
        </w:tc>
        <w:tc>
          <w:tcPr>
            <w:tcW w:w="1028" w:type="dxa"/>
            <w:noWrap/>
            <w:vAlign w:val="center"/>
          </w:tcPr>
          <w:p w:rsidR="002C03A7" w:rsidRDefault="002C03A7">
            <w:pPr>
              <w:jc w:val="center"/>
              <w:rPr>
                <w:rFonts w:cs="Arial"/>
                <w:sz w:val="20"/>
                <w:szCs w:val="20"/>
              </w:rPr>
            </w:pPr>
            <w:r>
              <w:rPr>
                <w:rFonts w:cs="Arial"/>
                <w:sz w:val="20"/>
                <w:szCs w:val="20"/>
              </w:rPr>
              <w:t>6.26</w:t>
            </w:r>
          </w:p>
        </w:tc>
        <w:tc>
          <w:tcPr>
            <w:tcW w:w="1029" w:type="dxa"/>
            <w:noWrap/>
            <w:vAlign w:val="center"/>
          </w:tcPr>
          <w:p w:rsidR="002C03A7" w:rsidRDefault="002C03A7">
            <w:pPr>
              <w:jc w:val="center"/>
              <w:rPr>
                <w:rFonts w:cs="Arial"/>
                <w:sz w:val="20"/>
                <w:szCs w:val="20"/>
              </w:rPr>
            </w:pPr>
            <w:r>
              <w:rPr>
                <w:rFonts w:cs="Arial"/>
                <w:sz w:val="20"/>
                <w:szCs w:val="20"/>
              </w:rPr>
              <w:t>6.15</w:t>
            </w:r>
          </w:p>
        </w:tc>
        <w:tc>
          <w:tcPr>
            <w:tcW w:w="1028" w:type="dxa"/>
            <w:noWrap/>
            <w:vAlign w:val="center"/>
          </w:tcPr>
          <w:p w:rsidR="002C03A7" w:rsidRDefault="002C03A7">
            <w:pPr>
              <w:jc w:val="center"/>
              <w:rPr>
                <w:rFonts w:cs="Arial"/>
                <w:sz w:val="20"/>
                <w:szCs w:val="20"/>
              </w:rPr>
            </w:pPr>
            <w:r>
              <w:rPr>
                <w:rFonts w:cs="Arial"/>
                <w:sz w:val="20"/>
                <w:szCs w:val="20"/>
              </w:rPr>
              <w:t>7.90</w:t>
            </w:r>
          </w:p>
        </w:tc>
        <w:tc>
          <w:tcPr>
            <w:tcW w:w="1029" w:type="dxa"/>
            <w:noWrap/>
            <w:vAlign w:val="center"/>
          </w:tcPr>
          <w:p w:rsidR="002C03A7" w:rsidRDefault="002C03A7">
            <w:pPr>
              <w:jc w:val="center"/>
              <w:rPr>
                <w:rFonts w:cs="Arial"/>
                <w:sz w:val="20"/>
                <w:szCs w:val="20"/>
              </w:rPr>
            </w:pPr>
            <w:r>
              <w:rPr>
                <w:rFonts w:cs="Arial"/>
                <w:sz w:val="20"/>
                <w:szCs w:val="20"/>
              </w:rPr>
              <w:t>7.90</w:t>
            </w:r>
          </w:p>
        </w:tc>
        <w:tc>
          <w:tcPr>
            <w:tcW w:w="1028" w:type="dxa"/>
            <w:noWrap/>
            <w:vAlign w:val="center"/>
          </w:tcPr>
          <w:p w:rsidR="002C03A7" w:rsidRDefault="002C03A7">
            <w:pPr>
              <w:jc w:val="center"/>
              <w:rPr>
                <w:rFonts w:cs="Arial"/>
                <w:sz w:val="20"/>
                <w:szCs w:val="20"/>
              </w:rPr>
            </w:pPr>
            <w:r>
              <w:rPr>
                <w:rFonts w:cs="Arial"/>
                <w:sz w:val="20"/>
                <w:szCs w:val="20"/>
              </w:rPr>
              <w:t>5.69</w:t>
            </w:r>
          </w:p>
        </w:tc>
        <w:tc>
          <w:tcPr>
            <w:tcW w:w="1029" w:type="dxa"/>
            <w:noWrap/>
            <w:vAlign w:val="center"/>
          </w:tcPr>
          <w:p w:rsidR="002C03A7" w:rsidRDefault="002C03A7">
            <w:pPr>
              <w:jc w:val="center"/>
              <w:rPr>
                <w:rFonts w:cs="Arial"/>
                <w:sz w:val="20"/>
                <w:szCs w:val="20"/>
              </w:rPr>
            </w:pPr>
            <w:r>
              <w:rPr>
                <w:rFonts w:cs="Arial"/>
                <w:sz w:val="20"/>
                <w:szCs w:val="20"/>
              </w:rPr>
              <w:t>12.02</w:t>
            </w:r>
          </w:p>
        </w:tc>
        <w:tc>
          <w:tcPr>
            <w:tcW w:w="1029" w:type="dxa"/>
            <w:noWrap/>
            <w:vAlign w:val="center"/>
          </w:tcPr>
          <w:p w:rsidR="002C03A7" w:rsidRDefault="002C03A7">
            <w:pPr>
              <w:jc w:val="center"/>
              <w:rPr>
                <w:rFonts w:cs="Arial"/>
                <w:sz w:val="20"/>
                <w:szCs w:val="20"/>
              </w:rPr>
            </w:pPr>
            <w:r>
              <w:rPr>
                <w:rFonts w:cs="Arial"/>
                <w:sz w:val="20"/>
                <w:szCs w:val="20"/>
              </w:rPr>
              <w:t>5.49</w:t>
            </w:r>
          </w:p>
        </w:tc>
      </w:tr>
      <w:tr w:rsidR="002C03A7" w:rsidRPr="00442756" w:rsidTr="00B71928">
        <w:trPr>
          <w:cnfStyle w:val="000000010000" w:firstRow="0" w:lastRow="0" w:firstColumn="0" w:lastColumn="0" w:oddVBand="0" w:evenVBand="0" w:oddHBand="0" w:evenHBand="1" w:firstRowFirstColumn="0" w:firstRowLastColumn="0" w:lastRowFirstColumn="0" w:lastRowLastColumn="0"/>
          <w:trHeight w:val="255"/>
        </w:trPr>
        <w:tc>
          <w:tcPr>
            <w:tcW w:w="2160" w:type="dxa"/>
            <w:noWrap/>
            <w:vAlign w:val="center"/>
          </w:tcPr>
          <w:p w:rsidR="002C03A7" w:rsidRPr="00442756" w:rsidRDefault="002C03A7" w:rsidP="00B71928">
            <w:pPr>
              <w:spacing w:before="60" w:after="60"/>
              <w:rPr>
                <w:rFonts w:cs="Arial"/>
                <w:sz w:val="20"/>
                <w:szCs w:val="20"/>
              </w:rPr>
            </w:pPr>
            <w:r w:rsidRPr="00442756">
              <w:rPr>
                <w:rFonts w:cs="Arial"/>
                <w:sz w:val="20"/>
                <w:szCs w:val="20"/>
              </w:rPr>
              <w:t>Ex ante quantity (TJ)</w:t>
            </w:r>
          </w:p>
        </w:tc>
        <w:tc>
          <w:tcPr>
            <w:tcW w:w="1028" w:type="dxa"/>
            <w:noWrap/>
            <w:vAlign w:val="center"/>
          </w:tcPr>
          <w:p w:rsidR="002C03A7" w:rsidRDefault="002C03A7">
            <w:pPr>
              <w:jc w:val="center"/>
              <w:rPr>
                <w:rFonts w:cs="Arial"/>
                <w:sz w:val="20"/>
                <w:szCs w:val="20"/>
              </w:rPr>
            </w:pPr>
            <w:r>
              <w:rPr>
                <w:rFonts w:cs="Arial"/>
                <w:sz w:val="20"/>
                <w:szCs w:val="20"/>
              </w:rPr>
              <w:t>92</w:t>
            </w:r>
          </w:p>
        </w:tc>
        <w:tc>
          <w:tcPr>
            <w:tcW w:w="1029" w:type="dxa"/>
            <w:noWrap/>
            <w:vAlign w:val="center"/>
          </w:tcPr>
          <w:p w:rsidR="002C03A7" w:rsidRDefault="002C03A7">
            <w:pPr>
              <w:jc w:val="center"/>
              <w:rPr>
                <w:rFonts w:cs="Arial"/>
                <w:sz w:val="20"/>
                <w:szCs w:val="20"/>
              </w:rPr>
            </w:pPr>
            <w:r>
              <w:rPr>
                <w:rFonts w:cs="Arial"/>
                <w:sz w:val="20"/>
                <w:szCs w:val="20"/>
              </w:rPr>
              <w:t>101</w:t>
            </w:r>
          </w:p>
        </w:tc>
        <w:tc>
          <w:tcPr>
            <w:tcW w:w="1028" w:type="dxa"/>
            <w:noWrap/>
            <w:vAlign w:val="center"/>
          </w:tcPr>
          <w:p w:rsidR="002C03A7" w:rsidRDefault="002C03A7">
            <w:pPr>
              <w:jc w:val="center"/>
              <w:rPr>
                <w:rFonts w:cs="Arial"/>
                <w:sz w:val="20"/>
                <w:szCs w:val="20"/>
              </w:rPr>
            </w:pPr>
            <w:r>
              <w:rPr>
                <w:rFonts w:cs="Arial"/>
                <w:sz w:val="20"/>
                <w:szCs w:val="20"/>
              </w:rPr>
              <w:t>97</w:t>
            </w:r>
          </w:p>
        </w:tc>
        <w:tc>
          <w:tcPr>
            <w:tcW w:w="1029" w:type="dxa"/>
            <w:noWrap/>
            <w:vAlign w:val="center"/>
          </w:tcPr>
          <w:p w:rsidR="002C03A7" w:rsidRDefault="002C03A7">
            <w:pPr>
              <w:jc w:val="center"/>
              <w:rPr>
                <w:rFonts w:cs="Arial"/>
                <w:sz w:val="20"/>
                <w:szCs w:val="20"/>
              </w:rPr>
            </w:pPr>
            <w:r>
              <w:rPr>
                <w:rFonts w:cs="Arial"/>
                <w:sz w:val="20"/>
                <w:szCs w:val="20"/>
              </w:rPr>
              <w:t>98</w:t>
            </w:r>
          </w:p>
        </w:tc>
        <w:tc>
          <w:tcPr>
            <w:tcW w:w="1028" w:type="dxa"/>
            <w:noWrap/>
            <w:vAlign w:val="center"/>
          </w:tcPr>
          <w:p w:rsidR="002C03A7" w:rsidRDefault="002C03A7">
            <w:pPr>
              <w:jc w:val="center"/>
              <w:rPr>
                <w:rFonts w:cs="Arial"/>
                <w:sz w:val="20"/>
                <w:szCs w:val="20"/>
              </w:rPr>
            </w:pPr>
            <w:r>
              <w:rPr>
                <w:rFonts w:cs="Arial"/>
                <w:sz w:val="20"/>
                <w:szCs w:val="20"/>
              </w:rPr>
              <w:t>89</w:t>
            </w:r>
          </w:p>
        </w:tc>
        <w:tc>
          <w:tcPr>
            <w:tcW w:w="1029" w:type="dxa"/>
            <w:noWrap/>
            <w:vAlign w:val="center"/>
          </w:tcPr>
          <w:p w:rsidR="002C03A7" w:rsidRDefault="002C03A7">
            <w:pPr>
              <w:jc w:val="center"/>
              <w:rPr>
                <w:rFonts w:cs="Arial"/>
                <w:sz w:val="20"/>
                <w:szCs w:val="20"/>
              </w:rPr>
            </w:pPr>
            <w:r>
              <w:rPr>
                <w:rFonts w:cs="Arial"/>
                <w:sz w:val="20"/>
                <w:szCs w:val="20"/>
              </w:rPr>
              <w:t>90</w:t>
            </w:r>
          </w:p>
        </w:tc>
        <w:tc>
          <w:tcPr>
            <w:tcW w:w="1029" w:type="dxa"/>
            <w:noWrap/>
            <w:vAlign w:val="center"/>
          </w:tcPr>
          <w:p w:rsidR="002C03A7" w:rsidRDefault="002C03A7">
            <w:pPr>
              <w:jc w:val="center"/>
              <w:rPr>
                <w:rFonts w:cs="Arial"/>
                <w:sz w:val="20"/>
                <w:szCs w:val="20"/>
              </w:rPr>
            </w:pPr>
            <w:r>
              <w:rPr>
                <w:rFonts w:cs="Arial"/>
                <w:sz w:val="20"/>
                <w:szCs w:val="20"/>
              </w:rPr>
              <w:t>80</w:t>
            </w:r>
          </w:p>
        </w:tc>
      </w:tr>
      <w:tr w:rsidR="002C03A7" w:rsidRPr="00442756" w:rsidTr="00B71928">
        <w:trPr>
          <w:trHeight w:val="255"/>
        </w:trPr>
        <w:tc>
          <w:tcPr>
            <w:tcW w:w="2160" w:type="dxa"/>
            <w:noWrap/>
            <w:vAlign w:val="center"/>
          </w:tcPr>
          <w:p w:rsidR="002C03A7" w:rsidRPr="00442756" w:rsidRDefault="002C03A7" w:rsidP="00B71928">
            <w:pPr>
              <w:spacing w:before="60" w:after="60"/>
              <w:rPr>
                <w:rFonts w:cs="Arial"/>
                <w:sz w:val="20"/>
                <w:szCs w:val="20"/>
              </w:rPr>
            </w:pPr>
            <w:r w:rsidRPr="00442756">
              <w:rPr>
                <w:rFonts w:cs="Arial"/>
                <w:sz w:val="20"/>
                <w:szCs w:val="20"/>
              </w:rPr>
              <w:t>Ex post price ($/GJ)</w:t>
            </w:r>
          </w:p>
        </w:tc>
        <w:tc>
          <w:tcPr>
            <w:tcW w:w="1028" w:type="dxa"/>
            <w:noWrap/>
            <w:vAlign w:val="center"/>
          </w:tcPr>
          <w:p w:rsidR="002C03A7" w:rsidRDefault="002C03A7">
            <w:pPr>
              <w:jc w:val="center"/>
              <w:rPr>
                <w:rFonts w:cs="Arial"/>
                <w:sz w:val="20"/>
                <w:szCs w:val="20"/>
              </w:rPr>
            </w:pPr>
            <w:r>
              <w:rPr>
                <w:rFonts w:cs="Arial"/>
                <w:sz w:val="20"/>
                <w:szCs w:val="20"/>
              </w:rPr>
              <w:t>6.55</w:t>
            </w:r>
          </w:p>
        </w:tc>
        <w:tc>
          <w:tcPr>
            <w:tcW w:w="1029" w:type="dxa"/>
            <w:noWrap/>
            <w:vAlign w:val="center"/>
          </w:tcPr>
          <w:p w:rsidR="002C03A7" w:rsidRDefault="002C03A7">
            <w:pPr>
              <w:jc w:val="center"/>
              <w:rPr>
                <w:rFonts w:cs="Arial"/>
                <w:sz w:val="20"/>
                <w:szCs w:val="20"/>
              </w:rPr>
            </w:pPr>
            <w:r>
              <w:rPr>
                <w:rFonts w:cs="Arial"/>
                <w:sz w:val="20"/>
                <w:szCs w:val="20"/>
              </w:rPr>
              <w:t>11.56</w:t>
            </w:r>
          </w:p>
        </w:tc>
        <w:tc>
          <w:tcPr>
            <w:tcW w:w="1028" w:type="dxa"/>
            <w:noWrap/>
            <w:vAlign w:val="center"/>
          </w:tcPr>
          <w:p w:rsidR="002C03A7" w:rsidRDefault="002C03A7">
            <w:pPr>
              <w:jc w:val="center"/>
              <w:rPr>
                <w:rFonts w:cs="Arial"/>
                <w:sz w:val="20"/>
                <w:szCs w:val="20"/>
              </w:rPr>
            </w:pPr>
            <w:r>
              <w:rPr>
                <w:rFonts w:cs="Arial"/>
                <w:sz w:val="20"/>
                <w:szCs w:val="20"/>
              </w:rPr>
              <w:t>8.49</w:t>
            </w:r>
          </w:p>
        </w:tc>
        <w:tc>
          <w:tcPr>
            <w:tcW w:w="1029" w:type="dxa"/>
            <w:noWrap/>
            <w:vAlign w:val="center"/>
          </w:tcPr>
          <w:p w:rsidR="002C03A7" w:rsidRDefault="002C03A7">
            <w:pPr>
              <w:jc w:val="center"/>
              <w:rPr>
                <w:rFonts w:cs="Arial"/>
                <w:sz w:val="20"/>
                <w:szCs w:val="20"/>
              </w:rPr>
            </w:pPr>
            <w:r>
              <w:rPr>
                <w:rFonts w:cs="Arial"/>
                <w:sz w:val="20"/>
                <w:szCs w:val="20"/>
              </w:rPr>
              <w:t>6.34</w:t>
            </w:r>
          </w:p>
        </w:tc>
        <w:tc>
          <w:tcPr>
            <w:tcW w:w="1028" w:type="dxa"/>
            <w:noWrap/>
            <w:vAlign w:val="center"/>
          </w:tcPr>
          <w:p w:rsidR="002C03A7" w:rsidRDefault="002C03A7">
            <w:pPr>
              <w:jc w:val="center"/>
              <w:rPr>
                <w:rFonts w:cs="Arial"/>
                <w:sz w:val="20"/>
                <w:szCs w:val="20"/>
              </w:rPr>
            </w:pPr>
            <w:r>
              <w:rPr>
                <w:rFonts w:cs="Arial"/>
                <w:sz w:val="20"/>
                <w:szCs w:val="20"/>
              </w:rPr>
              <w:t>5.69</w:t>
            </w:r>
          </w:p>
        </w:tc>
        <w:tc>
          <w:tcPr>
            <w:tcW w:w="1029" w:type="dxa"/>
            <w:noWrap/>
            <w:vAlign w:val="center"/>
          </w:tcPr>
          <w:p w:rsidR="002C03A7" w:rsidRDefault="002C03A7">
            <w:pPr>
              <w:jc w:val="center"/>
              <w:rPr>
                <w:rFonts w:cs="Arial"/>
                <w:sz w:val="20"/>
                <w:szCs w:val="20"/>
              </w:rPr>
            </w:pPr>
            <w:r>
              <w:rPr>
                <w:rFonts w:cs="Arial"/>
                <w:sz w:val="20"/>
                <w:szCs w:val="20"/>
              </w:rPr>
              <w:t>12.02</w:t>
            </w:r>
          </w:p>
        </w:tc>
        <w:tc>
          <w:tcPr>
            <w:tcW w:w="1029" w:type="dxa"/>
            <w:noWrap/>
            <w:vAlign w:val="center"/>
          </w:tcPr>
          <w:p w:rsidR="002C03A7" w:rsidRDefault="002C03A7">
            <w:pPr>
              <w:jc w:val="center"/>
              <w:rPr>
                <w:rFonts w:cs="Arial"/>
                <w:sz w:val="20"/>
                <w:szCs w:val="20"/>
              </w:rPr>
            </w:pPr>
            <w:r>
              <w:rPr>
                <w:rFonts w:cs="Arial"/>
                <w:sz w:val="20"/>
                <w:szCs w:val="20"/>
              </w:rPr>
              <w:t>5.45</w:t>
            </w:r>
          </w:p>
        </w:tc>
      </w:tr>
      <w:tr w:rsidR="002C03A7" w:rsidRPr="00442756" w:rsidTr="00B71928">
        <w:trPr>
          <w:cnfStyle w:val="000000010000" w:firstRow="0" w:lastRow="0" w:firstColumn="0" w:lastColumn="0" w:oddVBand="0" w:evenVBand="0" w:oddHBand="0" w:evenHBand="1" w:firstRowFirstColumn="0" w:firstRowLastColumn="0" w:lastRowFirstColumn="0" w:lastRowLastColumn="0"/>
          <w:trHeight w:val="255"/>
        </w:trPr>
        <w:tc>
          <w:tcPr>
            <w:tcW w:w="2160" w:type="dxa"/>
            <w:noWrap/>
            <w:vAlign w:val="center"/>
          </w:tcPr>
          <w:p w:rsidR="002C03A7" w:rsidRPr="00442756" w:rsidRDefault="002C03A7" w:rsidP="00B71928">
            <w:pPr>
              <w:spacing w:before="60" w:after="60"/>
              <w:rPr>
                <w:rFonts w:cs="Arial"/>
                <w:sz w:val="20"/>
                <w:szCs w:val="20"/>
              </w:rPr>
            </w:pPr>
            <w:r w:rsidRPr="00442756">
              <w:rPr>
                <w:rFonts w:cs="Arial"/>
                <w:sz w:val="20"/>
                <w:szCs w:val="20"/>
              </w:rPr>
              <w:t>Ex post quantity (TJ)</w:t>
            </w:r>
          </w:p>
        </w:tc>
        <w:tc>
          <w:tcPr>
            <w:tcW w:w="1028" w:type="dxa"/>
            <w:noWrap/>
            <w:vAlign w:val="center"/>
          </w:tcPr>
          <w:p w:rsidR="002C03A7" w:rsidRDefault="002C03A7">
            <w:pPr>
              <w:jc w:val="center"/>
              <w:rPr>
                <w:rFonts w:cs="Arial"/>
                <w:sz w:val="20"/>
                <w:szCs w:val="20"/>
              </w:rPr>
            </w:pPr>
            <w:r>
              <w:rPr>
                <w:rFonts w:cs="Arial"/>
                <w:sz w:val="20"/>
                <w:szCs w:val="20"/>
              </w:rPr>
              <w:t>93</w:t>
            </w:r>
          </w:p>
        </w:tc>
        <w:tc>
          <w:tcPr>
            <w:tcW w:w="1029" w:type="dxa"/>
            <w:noWrap/>
            <w:vAlign w:val="center"/>
          </w:tcPr>
          <w:p w:rsidR="002C03A7" w:rsidRDefault="002C03A7">
            <w:pPr>
              <w:jc w:val="center"/>
              <w:rPr>
                <w:rFonts w:cs="Arial"/>
                <w:sz w:val="20"/>
                <w:szCs w:val="20"/>
              </w:rPr>
            </w:pPr>
            <w:r>
              <w:rPr>
                <w:rFonts w:cs="Arial"/>
                <w:sz w:val="20"/>
                <w:szCs w:val="20"/>
              </w:rPr>
              <w:t>118</w:t>
            </w:r>
          </w:p>
        </w:tc>
        <w:tc>
          <w:tcPr>
            <w:tcW w:w="1028" w:type="dxa"/>
            <w:noWrap/>
            <w:vAlign w:val="center"/>
          </w:tcPr>
          <w:p w:rsidR="002C03A7" w:rsidRDefault="002C03A7">
            <w:pPr>
              <w:jc w:val="center"/>
              <w:rPr>
                <w:rFonts w:cs="Arial"/>
                <w:sz w:val="20"/>
                <w:szCs w:val="20"/>
              </w:rPr>
            </w:pPr>
            <w:r>
              <w:rPr>
                <w:rFonts w:cs="Arial"/>
                <w:sz w:val="20"/>
                <w:szCs w:val="20"/>
              </w:rPr>
              <w:t>104</w:t>
            </w:r>
          </w:p>
        </w:tc>
        <w:tc>
          <w:tcPr>
            <w:tcW w:w="1029" w:type="dxa"/>
            <w:noWrap/>
            <w:vAlign w:val="center"/>
          </w:tcPr>
          <w:p w:rsidR="002C03A7" w:rsidRDefault="002C03A7">
            <w:pPr>
              <w:jc w:val="center"/>
              <w:rPr>
                <w:rFonts w:cs="Arial"/>
                <w:sz w:val="20"/>
                <w:szCs w:val="20"/>
              </w:rPr>
            </w:pPr>
            <w:r>
              <w:rPr>
                <w:rFonts w:cs="Arial"/>
                <w:sz w:val="20"/>
                <w:szCs w:val="20"/>
              </w:rPr>
              <w:t>95</w:t>
            </w:r>
          </w:p>
        </w:tc>
        <w:tc>
          <w:tcPr>
            <w:tcW w:w="1028" w:type="dxa"/>
            <w:noWrap/>
            <w:vAlign w:val="center"/>
          </w:tcPr>
          <w:p w:rsidR="002C03A7" w:rsidRDefault="002C03A7">
            <w:pPr>
              <w:jc w:val="center"/>
              <w:rPr>
                <w:rFonts w:cs="Arial"/>
                <w:sz w:val="20"/>
                <w:szCs w:val="20"/>
              </w:rPr>
            </w:pPr>
            <w:r>
              <w:rPr>
                <w:rFonts w:cs="Arial"/>
                <w:sz w:val="20"/>
                <w:szCs w:val="20"/>
              </w:rPr>
              <w:t>95</w:t>
            </w:r>
          </w:p>
        </w:tc>
        <w:tc>
          <w:tcPr>
            <w:tcW w:w="1029" w:type="dxa"/>
            <w:noWrap/>
            <w:vAlign w:val="center"/>
          </w:tcPr>
          <w:p w:rsidR="002C03A7" w:rsidRDefault="002C03A7">
            <w:pPr>
              <w:jc w:val="center"/>
              <w:rPr>
                <w:rFonts w:cs="Arial"/>
                <w:sz w:val="20"/>
                <w:szCs w:val="20"/>
              </w:rPr>
            </w:pPr>
            <w:r>
              <w:rPr>
                <w:rFonts w:cs="Arial"/>
                <w:sz w:val="20"/>
                <w:szCs w:val="20"/>
              </w:rPr>
              <w:t>90</w:t>
            </w:r>
          </w:p>
        </w:tc>
        <w:tc>
          <w:tcPr>
            <w:tcW w:w="1029" w:type="dxa"/>
            <w:noWrap/>
            <w:vAlign w:val="center"/>
          </w:tcPr>
          <w:p w:rsidR="002C03A7" w:rsidRDefault="002C03A7">
            <w:pPr>
              <w:jc w:val="center"/>
              <w:rPr>
                <w:rFonts w:cs="Arial"/>
                <w:sz w:val="20"/>
                <w:szCs w:val="20"/>
              </w:rPr>
            </w:pPr>
            <w:r>
              <w:rPr>
                <w:rFonts w:cs="Arial"/>
                <w:sz w:val="20"/>
                <w:szCs w:val="20"/>
              </w:rPr>
              <w:t>77</w:t>
            </w:r>
          </w:p>
        </w:tc>
      </w:tr>
    </w:tbl>
    <w:p w:rsidR="00BC18FB" w:rsidRPr="00DD0358" w:rsidRDefault="003625A6" w:rsidP="00FF0D8A">
      <w:pPr>
        <w:pStyle w:val="Heading4"/>
        <w:ind w:hanging="338"/>
        <w:rPr>
          <w:color w:val="2272A3"/>
          <w:sz w:val="24"/>
        </w:rPr>
      </w:pPr>
      <w:r w:rsidRPr="00DD0358">
        <w:rPr>
          <w:color w:val="2272A3"/>
          <w:sz w:val="24"/>
          <w:szCs w:val="24"/>
        </w:rPr>
        <w:t>ADL daily hub offers and daily hub bids in price bands ($/GJ)</w:t>
      </w:r>
    </w:p>
    <w:p w:rsidR="00362B9A" w:rsidRPr="00362B9A" w:rsidRDefault="002B4C49" w:rsidP="00362B9A">
      <w:r>
        <w:pict>
          <v:shape id="_x0000_i1035" type="#_x0000_t75" style="width:475.55pt;height:162.4pt">
            <v:imagedata r:id="rId22" o:title=""/>
          </v:shape>
        </w:pict>
      </w:r>
    </w:p>
    <w:p w:rsidR="00BC18FB" w:rsidRPr="00DD0358" w:rsidRDefault="003625A6" w:rsidP="00FF0D8A">
      <w:pPr>
        <w:pStyle w:val="Heading4"/>
        <w:ind w:hanging="338"/>
        <w:rPr>
          <w:color w:val="2272A3"/>
          <w:sz w:val="24"/>
        </w:rPr>
      </w:pPr>
      <w:r w:rsidRPr="00DD0358">
        <w:rPr>
          <w:color w:val="2272A3"/>
          <w:sz w:val="24"/>
          <w:szCs w:val="24"/>
        </w:rPr>
        <w:t>ADL net scheduled and allocated gas hub supply (excluding MOS)</w:t>
      </w:r>
    </w:p>
    <w:p w:rsidR="00362B9A" w:rsidRPr="00362B9A" w:rsidRDefault="002B4C49" w:rsidP="00362B9A">
      <w:r>
        <w:pict>
          <v:shape id="_x0000_i1036" type="#_x0000_t75" style="width:478.05pt;height:124.75pt">
            <v:imagedata r:id="rId23" o:title=""/>
          </v:shape>
        </w:pict>
      </w:r>
    </w:p>
    <w:p w:rsidR="00BC18FB" w:rsidRPr="00DD0358" w:rsidRDefault="004560B0" w:rsidP="003625A6">
      <w:pPr>
        <w:pStyle w:val="Heading4"/>
        <w:ind w:hanging="338"/>
        <w:rPr>
          <w:color w:val="2272A3"/>
          <w:sz w:val="24"/>
          <w:szCs w:val="24"/>
        </w:rPr>
      </w:pPr>
      <w:r w:rsidRPr="00DD0358">
        <w:rPr>
          <w:color w:val="2272A3"/>
          <w:sz w:val="24"/>
          <w:szCs w:val="24"/>
        </w:rPr>
        <w:t>ADL</w:t>
      </w:r>
      <w:r w:rsidR="003625A6" w:rsidRPr="00DD0358">
        <w:rPr>
          <w:color w:val="2272A3"/>
          <w:sz w:val="24"/>
          <w:szCs w:val="24"/>
        </w:rPr>
        <w:t xml:space="preserve"> MOS allocations (TJ), service payments and commodity payments/charges ($000)</w:t>
      </w:r>
    </w:p>
    <w:p w:rsidR="00362B9A" w:rsidRDefault="002B4C49" w:rsidP="00362B9A">
      <w:r>
        <w:pict>
          <v:shape id="_x0000_i1037" type="#_x0000_t75" style="width:476.35pt;height:145.65pt">
            <v:imagedata r:id="rId24" o:title=""/>
          </v:shape>
        </w:pict>
      </w:r>
    </w:p>
    <w:p w:rsidR="00BC18FB" w:rsidRDefault="00F268DD" w:rsidP="003625A6">
      <w:pPr>
        <w:pStyle w:val="Heading3"/>
        <w:ind w:firstLine="0"/>
        <w:rPr>
          <w:color w:val="2272A3"/>
          <w:sz w:val="32"/>
          <w:szCs w:val="32"/>
        </w:rPr>
      </w:pPr>
      <w:r>
        <w:rPr>
          <w:color w:val="2272A3"/>
          <w:sz w:val="32"/>
          <w:szCs w:val="32"/>
        </w:rPr>
        <w:br w:type="page"/>
      </w:r>
      <w:r w:rsidR="00BC18FB" w:rsidRPr="003625A6">
        <w:rPr>
          <w:color w:val="2272A3"/>
          <w:sz w:val="32"/>
          <w:szCs w:val="32"/>
        </w:rPr>
        <w:t>B</w:t>
      </w:r>
      <w:r w:rsidR="00362B9A" w:rsidRPr="003625A6">
        <w:rPr>
          <w:color w:val="2272A3"/>
          <w:sz w:val="32"/>
          <w:szCs w:val="32"/>
        </w:rPr>
        <w:t>risbane STTM</w:t>
      </w:r>
    </w:p>
    <w:p w:rsidR="003625A6" w:rsidRPr="003625A6" w:rsidRDefault="003625A6" w:rsidP="00345444">
      <w:pPr>
        <w:jc w:val="both"/>
      </w:pPr>
      <w:r>
        <w:t>The Brisbane STTM hub functions in the same way as the Sydney STTM hub.  The same data that was presented for the Sydney hub is presented for the Brisbane hub in the figures below.</w:t>
      </w:r>
    </w:p>
    <w:p w:rsidR="00BC18FB" w:rsidRDefault="003625A6" w:rsidP="00FF0D8A">
      <w:pPr>
        <w:pStyle w:val="Heading4"/>
        <w:ind w:hanging="338"/>
        <w:rPr>
          <w:color w:val="2272A3"/>
          <w:sz w:val="24"/>
        </w:rPr>
      </w:pPr>
      <w:r>
        <w:rPr>
          <w:color w:val="2272A3"/>
          <w:sz w:val="24"/>
          <w:szCs w:val="24"/>
        </w:rPr>
        <w:t>BRI</w:t>
      </w:r>
      <w:r w:rsidRPr="00362B9A">
        <w:rPr>
          <w:color w:val="2272A3"/>
          <w:sz w:val="24"/>
          <w:szCs w:val="24"/>
        </w:rPr>
        <w:t xml:space="preserve"> STTM daily ex ante and ex post prices and quantities</w:t>
      </w:r>
    </w:p>
    <w:tbl>
      <w:tblPr>
        <w:tblStyle w:val="AERTable-Text0"/>
        <w:tblW w:w="9360" w:type="dxa"/>
        <w:tblLayout w:type="fixed"/>
        <w:tblLook w:val="01E0" w:firstRow="1" w:lastRow="1" w:firstColumn="1" w:lastColumn="1" w:noHBand="0" w:noVBand="0"/>
      </w:tblPr>
      <w:tblGrid>
        <w:gridCol w:w="2160"/>
        <w:gridCol w:w="1028"/>
        <w:gridCol w:w="1029"/>
        <w:gridCol w:w="1028"/>
        <w:gridCol w:w="1029"/>
        <w:gridCol w:w="1028"/>
        <w:gridCol w:w="1029"/>
        <w:gridCol w:w="1029"/>
      </w:tblGrid>
      <w:tr w:rsidR="003625A6" w:rsidRPr="00442756" w:rsidTr="00B71928">
        <w:trPr>
          <w:cnfStyle w:val="100000000000" w:firstRow="1" w:lastRow="0" w:firstColumn="0" w:lastColumn="0" w:oddVBand="0" w:evenVBand="0" w:oddHBand="0" w:evenHBand="0" w:firstRowFirstColumn="0" w:firstRowLastColumn="0" w:lastRowFirstColumn="0" w:lastRowLastColumn="0"/>
          <w:trHeight w:val="255"/>
        </w:trPr>
        <w:tc>
          <w:tcPr>
            <w:tcW w:w="2160" w:type="dxa"/>
            <w:noWrap/>
          </w:tcPr>
          <w:p w:rsidR="003625A6" w:rsidRPr="00442756" w:rsidRDefault="003625A6" w:rsidP="00B71928">
            <w:pPr>
              <w:spacing w:before="40" w:after="40"/>
              <w:rPr>
                <w:rFonts w:cs="Arial"/>
                <w:b w:val="0"/>
                <w:bCs/>
                <w:sz w:val="20"/>
                <w:szCs w:val="20"/>
              </w:rPr>
            </w:pPr>
            <w:r w:rsidRPr="00442756">
              <w:rPr>
                <w:rFonts w:cs="Arial"/>
                <w:bCs/>
                <w:sz w:val="20"/>
                <w:szCs w:val="20"/>
              </w:rPr>
              <w:t> </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Sun</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Mon</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Tue</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Wed</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Thu</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Fri</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Sat</w:t>
            </w:r>
          </w:p>
        </w:tc>
      </w:tr>
      <w:tr w:rsidR="002C03A7" w:rsidRPr="00442756" w:rsidTr="00B71928">
        <w:trPr>
          <w:trHeight w:val="255"/>
        </w:trPr>
        <w:tc>
          <w:tcPr>
            <w:tcW w:w="2160" w:type="dxa"/>
            <w:noWrap/>
            <w:vAlign w:val="center"/>
          </w:tcPr>
          <w:p w:rsidR="002C03A7" w:rsidRPr="00442756" w:rsidRDefault="002C03A7" w:rsidP="00B71928">
            <w:pPr>
              <w:spacing w:before="60" w:after="60"/>
              <w:rPr>
                <w:rFonts w:cs="Arial"/>
                <w:sz w:val="20"/>
                <w:szCs w:val="20"/>
              </w:rPr>
            </w:pPr>
            <w:r w:rsidRPr="00442756">
              <w:rPr>
                <w:rFonts w:cs="Arial"/>
                <w:sz w:val="20"/>
                <w:szCs w:val="20"/>
              </w:rPr>
              <w:t>Ex ante price ($/GJ)</w:t>
            </w:r>
          </w:p>
        </w:tc>
        <w:tc>
          <w:tcPr>
            <w:tcW w:w="1028" w:type="dxa"/>
            <w:noWrap/>
            <w:vAlign w:val="center"/>
          </w:tcPr>
          <w:p w:rsidR="002C03A7" w:rsidRDefault="002C03A7">
            <w:pPr>
              <w:jc w:val="center"/>
              <w:rPr>
                <w:rFonts w:cs="Arial"/>
                <w:sz w:val="20"/>
                <w:szCs w:val="20"/>
              </w:rPr>
            </w:pPr>
            <w:r>
              <w:rPr>
                <w:rFonts w:cs="Arial"/>
                <w:sz w:val="20"/>
                <w:szCs w:val="20"/>
              </w:rPr>
              <w:t>6.10</w:t>
            </w:r>
          </w:p>
        </w:tc>
        <w:tc>
          <w:tcPr>
            <w:tcW w:w="1029" w:type="dxa"/>
            <w:noWrap/>
            <w:vAlign w:val="center"/>
          </w:tcPr>
          <w:p w:rsidR="002C03A7" w:rsidRDefault="002C03A7">
            <w:pPr>
              <w:jc w:val="center"/>
              <w:rPr>
                <w:rFonts w:cs="Arial"/>
                <w:sz w:val="20"/>
                <w:szCs w:val="20"/>
              </w:rPr>
            </w:pPr>
            <w:r>
              <w:rPr>
                <w:rFonts w:cs="Arial"/>
                <w:sz w:val="20"/>
                <w:szCs w:val="20"/>
              </w:rPr>
              <w:t>8.70</w:t>
            </w:r>
          </w:p>
        </w:tc>
        <w:tc>
          <w:tcPr>
            <w:tcW w:w="1028" w:type="dxa"/>
            <w:noWrap/>
            <w:vAlign w:val="center"/>
          </w:tcPr>
          <w:p w:rsidR="002C03A7" w:rsidRDefault="002C03A7">
            <w:pPr>
              <w:jc w:val="center"/>
              <w:rPr>
                <w:rFonts w:cs="Arial"/>
                <w:sz w:val="20"/>
                <w:szCs w:val="20"/>
              </w:rPr>
            </w:pPr>
            <w:r>
              <w:rPr>
                <w:rFonts w:cs="Arial"/>
                <w:sz w:val="20"/>
                <w:szCs w:val="20"/>
              </w:rPr>
              <w:t>7.90</w:t>
            </w:r>
          </w:p>
        </w:tc>
        <w:tc>
          <w:tcPr>
            <w:tcW w:w="1029" w:type="dxa"/>
            <w:noWrap/>
            <w:vAlign w:val="center"/>
          </w:tcPr>
          <w:p w:rsidR="002C03A7" w:rsidRDefault="002C03A7">
            <w:pPr>
              <w:jc w:val="center"/>
              <w:rPr>
                <w:rFonts w:cs="Arial"/>
                <w:sz w:val="20"/>
                <w:szCs w:val="20"/>
              </w:rPr>
            </w:pPr>
            <w:r>
              <w:rPr>
                <w:rFonts w:cs="Arial"/>
                <w:sz w:val="20"/>
                <w:szCs w:val="20"/>
              </w:rPr>
              <w:t>7.35</w:t>
            </w:r>
          </w:p>
        </w:tc>
        <w:tc>
          <w:tcPr>
            <w:tcW w:w="1028" w:type="dxa"/>
            <w:noWrap/>
            <w:vAlign w:val="center"/>
          </w:tcPr>
          <w:p w:rsidR="002C03A7" w:rsidRDefault="002C03A7">
            <w:pPr>
              <w:jc w:val="center"/>
              <w:rPr>
                <w:rFonts w:cs="Arial"/>
                <w:sz w:val="20"/>
                <w:szCs w:val="20"/>
              </w:rPr>
            </w:pPr>
            <w:r>
              <w:rPr>
                <w:rFonts w:cs="Arial"/>
                <w:sz w:val="20"/>
                <w:szCs w:val="20"/>
              </w:rPr>
              <w:t>6.05</w:t>
            </w:r>
          </w:p>
        </w:tc>
        <w:tc>
          <w:tcPr>
            <w:tcW w:w="1029" w:type="dxa"/>
            <w:noWrap/>
            <w:vAlign w:val="center"/>
          </w:tcPr>
          <w:p w:rsidR="002C03A7" w:rsidRDefault="002C03A7">
            <w:pPr>
              <w:jc w:val="center"/>
              <w:rPr>
                <w:rFonts w:cs="Arial"/>
                <w:sz w:val="20"/>
                <w:szCs w:val="20"/>
              </w:rPr>
            </w:pPr>
            <w:r>
              <w:rPr>
                <w:rFonts w:cs="Arial"/>
                <w:sz w:val="20"/>
                <w:szCs w:val="20"/>
              </w:rPr>
              <w:t>6.12</w:t>
            </w:r>
          </w:p>
        </w:tc>
        <w:tc>
          <w:tcPr>
            <w:tcW w:w="1029" w:type="dxa"/>
            <w:noWrap/>
            <w:vAlign w:val="center"/>
          </w:tcPr>
          <w:p w:rsidR="002C03A7" w:rsidRDefault="002C03A7">
            <w:pPr>
              <w:jc w:val="center"/>
              <w:rPr>
                <w:rFonts w:cs="Arial"/>
                <w:sz w:val="20"/>
                <w:szCs w:val="20"/>
              </w:rPr>
            </w:pPr>
            <w:r>
              <w:rPr>
                <w:rFonts w:cs="Arial"/>
                <w:sz w:val="20"/>
                <w:szCs w:val="20"/>
              </w:rPr>
              <w:t>4.54</w:t>
            </w:r>
          </w:p>
        </w:tc>
      </w:tr>
      <w:tr w:rsidR="002C03A7" w:rsidRPr="00442756" w:rsidTr="00B71928">
        <w:trPr>
          <w:cnfStyle w:val="000000010000" w:firstRow="0" w:lastRow="0" w:firstColumn="0" w:lastColumn="0" w:oddVBand="0" w:evenVBand="0" w:oddHBand="0" w:evenHBand="1" w:firstRowFirstColumn="0" w:firstRowLastColumn="0" w:lastRowFirstColumn="0" w:lastRowLastColumn="0"/>
          <w:trHeight w:val="255"/>
        </w:trPr>
        <w:tc>
          <w:tcPr>
            <w:tcW w:w="2160" w:type="dxa"/>
            <w:noWrap/>
            <w:vAlign w:val="center"/>
          </w:tcPr>
          <w:p w:rsidR="002C03A7" w:rsidRPr="00442756" w:rsidRDefault="002C03A7" w:rsidP="00B71928">
            <w:pPr>
              <w:spacing w:before="60" w:after="60"/>
              <w:rPr>
                <w:rFonts w:cs="Arial"/>
                <w:sz w:val="20"/>
                <w:szCs w:val="20"/>
              </w:rPr>
            </w:pPr>
            <w:r w:rsidRPr="00442756">
              <w:rPr>
                <w:rFonts w:cs="Arial"/>
                <w:sz w:val="20"/>
                <w:szCs w:val="20"/>
              </w:rPr>
              <w:t>Ex ante quantity (TJ)</w:t>
            </w:r>
          </w:p>
        </w:tc>
        <w:tc>
          <w:tcPr>
            <w:tcW w:w="1028" w:type="dxa"/>
            <w:noWrap/>
            <w:vAlign w:val="center"/>
          </w:tcPr>
          <w:p w:rsidR="002C03A7" w:rsidRDefault="002C03A7">
            <w:pPr>
              <w:jc w:val="center"/>
              <w:rPr>
                <w:rFonts w:cs="Arial"/>
                <w:sz w:val="20"/>
                <w:szCs w:val="20"/>
              </w:rPr>
            </w:pPr>
            <w:r>
              <w:rPr>
                <w:rFonts w:cs="Arial"/>
                <w:sz w:val="20"/>
                <w:szCs w:val="20"/>
              </w:rPr>
              <w:t>87</w:t>
            </w:r>
          </w:p>
        </w:tc>
        <w:tc>
          <w:tcPr>
            <w:tcW w:w="1029" w:type="dxa"/>
            <w:noWrap/>
            <w:vAlign w:val="center"/>
          </w:tcPr>
          <w:p w:rsidR="002C03A7" w:rsidRDefault="002C03A7">
            <w:pPr>
              <w:jc w:val="center"/>
              <w:rPr>
                <w:rFonts w:cs="Arial"/>
                <w:sz w:val="20"/>
                <w:szCs w:val="20"/>
              </w:rPr>
            </w:pPr>
            <w:r>
              <w:rPr>
                <w:rFonts w:cs="Arial"/>
                <w:sz w:val="20"/>
                <w:szCs w:val="20"/>
              </w:rPr>
              <w:t>107</w:t>
            </w:r>
          </w:p>
        </w:tc>
        <w:tc>
          <w:tcPr>
            <w:tcW w:w="1028" w:type="dxa"/>
            <w:noWrap/>
            <w:vAlign w:val="center"/>
          </w:tcPr>
          <w:p w:rsidR="002C03A7" w:rsidRDefault="002C03A7">
            <w:pPr>
              <w:jc w:val="center"/>
              <w:rPr>
                <w:rFonts w:cs="Arial"/>
                <w:sz w:val="20"/>
                <w:szCs w:val="20"/>
              </w:rPr>
            </w:pPr>
            <w:r>
              <w:rPr>
                <w:rFonts w:cs="Arial"/>
                <w:sz w:val="20"/>
                <w:szCs w:val="20"/>
              </w:rPr>
              <w:t>105</w:t>
            </w:r>
          </w:p>
        </w:tc>
        <w:tc>
          <w:tcPr>
            <w:tcW w:w="1029" w:type="dxa"/>
            <w:noWrap/>
            <w:vAlign w:val="center"/>
          </w:tcPr>
          <w:p w:rsidR="002C03A7" w:rsidRDefault="002C03A7">
            <w:pPr>
              <w:jc w:val="center"/>
              <w:rPr>
                <w:rFonts w:cs="Arial"/>
                <w:sz w:val="20"/>
                <w:szCs w:val="20"/>
              </w:rPr>
            </w:pPr>
            <w:r>
              <w:rPr>
                <w:rFonts w:cs="Arial"/>
                <w:sz w:val="20"/>
                <w:szCs w:val="20"/>
              </w:rPr>
              <w:t>105</w:t>
            </w:r>
          </w:p>
        </w:tc>
        <w:tc>
          <w:tcPr>
            <w:tcW w:w="1028" w:type="dxa"/>
            <w:noWrap/>
            <w:vAlign w:val="center"/>
          </w:tcPr>
          <w:p w:rsidR="002C03A7" w:rsidRDefault="002C03A7">
            <w:pPr>
              <w:jc w:val="center"/>
              <w:rPr>
                <w:rFonts w:cs="Arial"/>
                <w:sz w:val="20"/>
                <w:szCs w:val="20"/>
              </w:rPr>
            </w:pPr>
            <w:r>
              <w:rPr>
                <w:rFonts w:cs="Arial"/>
                <w:sz w:val="20"/>
                <w:szCs w:val="20"/>
              </w:rPr>
              <w:t>103</w:t>
            </w:r>
          </w:p>
        </w:tc>
        <w:tc>
          <w:tcPr>
            <w:tcW w:w="1029" w:type="dxa"/>
            <w:noWrap/>
            <w:vAlign w:val="center"/>
          </w:tcPr>
          <w:p w:rsidR="002C03A7" w:rsidRDefault="002C03A7">
            <w:pPr>
              <w:jc w:val="center"/>
              <w:rPr>
                <w:rFonts w:cs="Arial"/>
                <w:sz w:val="20"/>
                <w:szCs w:val="20"/>
              </w:rPr>
            </w:pPr>
            <w:r>
              <w:rPr>
                <w:rFonts w:cs="Arial"/>
                <w:sz w:val="20"/>
                <w:szCs w:val="20"/>
              </w:rPr>
              <w:t>100</w:t>
            </w:r>
          </w:p>
        </w:tc>
        <w:tc>
          <w:tcPr>
            <w:tcW w:w="1029" w:type="dxa"/>
            <w:noWrap/>
            <w:vAlign w:val="center"/>
          </w:tcPr>
          <w:p w:rsidR="002C03A7" w:rsidRDefault="002C03A7">
            <w:pPr>
              <w:jc w:val="center"/>
              <w:rPr>
                <w:rFonts w:cs="Arial"/>
                <w:sz w:val="20"/>
                <w:szCs w:val="20"/>
              </w:rPr>
            </w:pPr>
            <w:r>
              <w:rPr>
                <w:rFonts w:cs="Arial"/>
                <w:sz w:val="20"/>
                <w:szCs w:val="20"/>
              </w:rPr>
              <w:t>83</w:t>
            </w:r>
          </w:p>
        </w:tc>
      </w:tr>
      <w:tr w:rsidR="002C03A7" w:rsidRPr="00442756" w:rsidTr="00B71928">
        <w:trPr>
          <w:trHeight w:val="255"/>
        </w:trPr>
        <w:tc>
          <w:tcPr>
            <w:tcW w:w="2160" w:type="dxa"/>
            <w:noWrap/>
            <w:vAlign w:val="center"/>
          </w:tcPr>
          <w:p w:rsidR="002C03A7" w:rsidRPr="00442756" w:rsidRDefault="002C03A7" w:rsidP="00B71928">
            <w:pPr>
              <w:spacing w:before="60" w:after="60"/>
              <w:rPr>
                <w:rFonts w:cs="Arial"/>
                <w:sz w:val="20"/>
                <w:szCs w:val="20"/>
              </w:rPr>
            </w:pPr>
            <w:r w:rsidRPr="00442756">
              <w:rPr>
                <w:rFonts w:cs="Arial"/>
                <w:sz w:val="20"/>
                <w:szCs w:val="20"/>
              </w:rPr>
              <w:t>Ex post price ($/GJ)</w:t>
            </w:r>
          </w:p>
        </w:tc>
        <w:tc>
          <w:tcPr>
            <w:tcW w:w="1028" w:type="dxa"/>
            <w:noWrap/>
            <w:vAlign w:val="center"/>
          </w:tcPr>
          <w:p w:rsidR="002C03A7" w:rsidRDefault="002C03A7">
            <w:pPr>
              <w:jc w:val="center"/>
              <w:rPr>
                <w:rFonts w:cs="Arial"/>
                <w:sz w:val="20"/>
                <w:szCs w:val="20"/>
              </w:rPr>
            </w:pPr>
            <w:r>
              <w:rPr>
                <w:rFonts w:cs="Arial"/>
                <w:sz w:val="20"/>
                <w:szCs w:val="20"/>
              </w:rPr>
              <w:t>6.70</w:t>
            </w:r>
          </w:p>
        </w:tc>
        <w:tc>
          <w:tcPr>
            <w:tcW w:w="1029" w:type="dxa"/>
            <w:noWrap/>
            <w:vAlign w:val="center"/>
          </w:tcPr>
          <w:p w:rsidR="002C03A7" w:rsidRDefault="002C03A7">
            <w:pPr>
              <w:jc w:val="center"/>
              <w:rPr>
                <w:rFonts w:cs="Arial"/>
                <w:sz w:val="20"/>
                <w:szCs w:val="20"/>
              </w:rPr>
            </w:pPr>
            <w:r>
              <w:rPr>
                <w:rFonts w:cs="Arial"/>
                <w:sz w:val="20"/>
                <w:szCs w:val="20"/>
              </w:rPr>
              <w:t>8.70</w:t>
            </w:r>
          </w:p>
        </w:tc>
        <w:tc>
          <w:tcPr>
            <w:tcW w:w="1028" w:type="dxa"/>
            <w:noWrap/>
            <w:vAlign w:val="center"/>
          </w:tcPr>
          <w:p w:rsidR="002C03A7" w:rsidRDefault="002C03A7">
            <w:pPr>
              <w:jc w:val="center"/>
              <w:rPr>
                <w:rFonts w:cs="Arial"/>
                <w:sz w:val="20"/>
                <w:szCs w:val="20"/>
              </w:rPr>
            </w:pPr>
            <w:r>
              <w:rPr>
                <w:rFonts w:cs="Arial"/>
                <w:sz w:val="20"/>
                <w:szCs w:val="20"/>
              </w:rPr>
              <w:t>7.90</w:t>
            </w:r>
          </w:p>
        </w:tc>
        <w:tc>
          <w:tcPr>
            <w:tcW w:w="1029" w:type="dxa"/>
            <w:noWrap/>
            <w:vAlign w:val="center"/>
          </w:tcPr>
          <w:p w:rsidR="002C03A7" w:rsidRDefault="002C03A7">
            <w:pPr>
              <w:jc w:val="center"/>
              <w:rPr>
                <w:rFonts w:cs="Arial"/>
                <w:sz w:val="20"/>
                <w:szCs w:val="20"/>
              </w:rPr>
            </w:pPr>
            <w:r>
              <w:rPr>
                <w:rFonts w:cs="Arial"/>
                <w:sz w:val="20"/>
                <w:szCs w:val="20"/>
              </w:rPr>
              <w:t>7.35</w:t>
            </w:r>
          </w:p>
        </w:tc>
        <w:tc>
          <w:tcPr>
            <w:tcW w:w="1028" w:type="dxa"/>
            <w:noWrap/>
            <w:vAlign w:val="center"/>
          </w:tcPr>
          <w:p w:rsidR="002C03A7" w:rsidRDefault="002C03A7">
            <w:pPr>
              <w:jc w:val="center"/>
              <w:rPr>
                <w:rFonts w:cs="Arial"/>
                <w:sz w:val="20"/>
                <w:szCs w:val="20"/>
              </w:rPr>
            </w:pPr>
            <w:r>
              <w:rPr>
                <w:rFonts w:cs="Arial"/>
                <w:sz w:val="20"/>
                <w:szCs w:val="20"/>
              </w:rPr>
              <w:t>4.52</w:t>
            </w:r>
          </w:p>
        </w:tc>
        <w:tc>
          <w:tcPr>
            <w:tcW w:w="1029" w:type="dxa"/>
            <w:noWrap/>
            <w:vAlign w:val="center"/>
          </w:tcPr>
          <w:p w:rsidR="002C03A7" w:rsidRDefault="002C03A7">
            <w:pPr>
              <w:jc w:val="center"/>
              <w:rPr>
                <w:rFonts w:cs="Arial"/>
                <w:sz w:val="20"/>
                <w:szCs w:val="20"/>
              </w:rPr>
            </w:pPr>
            <w:r>
              <w:rPr>
                <w:rFonts w:cs="Arial"/>
                <w:sz w:val="20"/>
                <w:szCs w:val="20"/>
              </w:rPr>
              <w:t>6.12</w:t>
            </w:r>
          </w:p>
        </w:tc>
        <w:tc>
          <w:tcPr>
            <w:tcW w:w="1029" w:type="dxa"/>
            <w:noWrap/>
            <w:vAlign w:val="center"/>
          </w:tcPr>
          <w:p w:rsidR="002C03A7" w:rsidRDefault="002C03A7">
            <w:pPr>
              <w:jc w:val="center"/>
              <w:rPr>
                <w:rFonts w:cs="Arial"/>
                <w:sz w:val="20"/>
                <w:szCs w:val="20"/>
              </w:rPr>
            </w:pPr>
            <w:r>
              <w:rPr>
                <w:rFonts w:cs="Arial"/>
                <w:sz w:val="20"/>
                <w:szCs w:val="20"/>
              </w:rPr>
              <w:t>4.54</w:t>
            </w:r>
          </w:p>
        </w:tc>
      </w:tr>
      <w:tr w:rsidR="002C03A7" w:rsidRPr="00442756" w:rsidTr="00B71928">
        <w:trPr>
          <w:cnfStyle w:val="000000010000" w:firstRow="0" w:lastRow="0" w:firstColumn="0" w:lastColumn="0" w:oddVBand="0" w:evenVBand="0" w:oddHBand="0" w:evenHBand="1" w:firstRowFirstColumn="0" w:firstRowLastColumn="0" w:lastRowFirstColumn="0" w:lastRowLastColumn="0"/>
          <w:trHeight w:val="255"/>
        </w:trPr>
        <w:tc>
          <w:tcPr>
            <w:tcW w:w="2160" w:type="dxa"/>
            <w:noWrap/>
            <w:vAlign w:val="center"/>
          </w:tcPr>
          <w:p w:rsidR="002C03A7" w:rsidRPr="00442756" w:rsidRDefault="002C03A7" w:rsidP="00B71928">
            <w:pPr>
              <w:spacing w:before="60" w:after="60"/>
              <w:rPr>
                <w:rFonts w:cs="Arial"/>
                <w:sz w:val="20"/>
                <w:szCs w:val="20"/>
              </w:rPr>
            </w:pPr>
            <w:r w:rsidRPr="00442756">
              <w:rPr>
                <w:rFonts w:cs="Arial"/>
                <w:sz w:val="20"/>
                <w:szCs w:val="20"/>
              </w:rPr>
              <w:t>Ex post quantity (TJ)</w:t>
            </w:r>
          </w:p>
        </w:tc>
        <w:tc>
          <w:tcPr>
            <w:tcW w:w="1028" w:type="dxa"/>
            <w:noWrap/>
            <w:vAlign w:val="center"/>
          </w:tcPr>
          <w:p w:rsidR="002C03A7" w:rsidRDefault="002C03A7">
            <w:pPr>
              <w:jc w:val="center"/>
              <w:rPr>
                <w:rFonts w:cs="Arial"/>
                <w:sz w:val="20"/>
                <w:szCs w:val="20"/>
              </w:rPr>
            </w:pPr>
            <w:r>
              <w:rPr>
                <w:rFonts w:cs="Arial"/>
                <w:sz w:val="20"/>
                <w:szCs w:val="20"/>
              </w:rPr>
              <w:t>89</w:t>
            </w:r>
          </w:p>
        </w:tc>
        <w:tc>
          <w:tcPr>
            <w:tcW w:w="1029" w:type="dxa"/>
            <w:noWrap/>
            <w:vAlign w:val="center"/>
          </w:tcPr>
          <w:p w:rsidR="002C03A7" w:rsidRDefault="002C03A7">
            <w:pPr>
              <w:jc w:val="center"/>
              <w:rPr>
                <w:rFonts w:cs="Arial"/>
                <w:sz w:val="20"/>
                <w:szCs w:val="20"/>
              </w:rPr>
            </w:pPr>
            <w:r>
              <w:rPr>
                <w:rFonts w:cs="Arial"/>
                <w:sz w:val="20"/>
                <w:szCs w:val="20"/>
              </w:rPr>
              <w:t>109</w:t>
            </w:r>
          </w:p>
        </w:tc>
        <w:tc>
          <w:tcPr>
            <w:tcW w:w="1028" w:type="dxa"/>
            <w:noWrap/>
            <w:vAlign w:val="center"/>
          </w:tcPr>
          <w:p w:rsidR="002C03A7" w:rsidRDefault="002C03A7">
            <w:pPr>
              <w:jc w:val="center"/>
              <w:rPr>
                <w:rFonts w:cs="Arial"/>
                <w:sz w:val="20"/>
                <w:szCs w:val="20"/>
              </w:rPr>
            </w:pPr>
            <w:r>
              <w:rPr>
                <w:rFonts w:cs="Arial"/>
                <w:sz w:val="20"/>
                <w:szCs w:val="20"/>
              </w:rPr>
              <w:t>104</w:t>
            </w:r>
          </w:p>
        </w:tc>
        <w:tc>
          <w:tcPr>
            <w:tcW w:w="1029" w:type="dxa"/>
            <w:noWrap/>
            <w:vAlign w:val="center"/>
          </w:tcPr>
          <w:p w:rsidR="002C03A7" w:rsidRDefault="002C03A7">
            <w:pPr>
              <w:jc w:val="center"/>
              <w:rPr>
                <w:rFonts w:cs="Arial"/>
                <w:sz w:val="20"/>
                <w:szCs w:val="20"/>
              </w:rPr>
            </w:pPr>
            <w:r>
              <w:rPr>
                <w:rFonts w:cs="Arial"/>
                <w:sz w:val="20"/>
                <w:szCs w:val="20"/>
              </w:rPr>
              <w:t>103</w:t>
            </w:r>
          </w:p>
        </w:tc>
        <w:tc>
          <w:tcPr>
            <w:tcW w:w="1028" w:type="dxa"/>
            <w:noWrap/>
            <w:vAlign w:val="center"/>
          </w:tcPr>
          <w:p w:rsidR="002C03A7" w:rsidRDefault="002C03A7">
            <w:pPr>
              <w:jc w:val="center"/>
              <w:rPr>
                <w:rFonts w:cs="Arial"/>
                <w:sz w:val="20"/>
                <w:szCs w:val="20"/>
              </w:rPr>
            </w:pPr>
            <w:r>
              <w:rPr>
                <w:rFonts w:cs="Arial"/>
                <w:sz w:val="20"/>
                <w:szCs w:val="20"/>
              </w:rPr>
              <w:t>101</w:t>
            </w:r>
          </w:p>
        </w:tc>
        <w:tc>
          <w:tcPr>
            <w:tcW w:w="1029" w:type="dxa"/>
            <w:noWrap/>
            <w:vAlign w:val="center"/>
          </w:tcPr>
          <w:p w:rsidR="002C03A7" w:rsidRDefault="002C03A7">
            <w:pPr>
              <w:jc w:val="center"/>
              <w:rPr>
                <w:rFonts w:cs="Arial"/>
                <w:sz w:val="20"/>
                <w:szCs w:val="20"/>
              </w:rPr>
            </w:pPr>
            <w:r>
              <w:rPr>
                <w:rFonts w:cs="Arial"/>
                <w:sz w:val="20"/>
                <w:szCs w:val="20"/>
              </w:rPr>
              <w:t>94</w:t>
            </w:r>
          </w:p>
        </w:tc>
        <w:tc>
          <w:tcPr>
            <w:tcW w:w="1029" w:type="dxa"/>
            <w:noWrap/>
            <w:vAlign w:val="center"/>
          </w:tcPr>
          <w:p w:rsidR="002C03A7" w:rsidRDefault="002C03A7">
            <w:pPr>
              <w:jc w:val="center"/>
              <w:rPr>
                <w:rFonts w:cs="Arial"/>
                <w:sz w:val="20"/>
                <w:szCs w:val="20"/>
              </w:rPr>
            </w:pPr>
            <w:r>
              <w:rPr>
                <w:rFonts w:cs="Arial"/>
                <w:sz w:val="20"/>
                <w:szCs w:val="20"/>
              </w:rPr>
              <w:t>81</w:t>
            </w:r>
          </w:p>
        </w:tc>
      </w:tr>
    </w:tbl>
    <w:p w:rsidR="00BC18FB" w:rsidRPr="00DD0358" w:rsidRDefault="003625A6" w:rsidP="00FF0D8A">
      <w:pPr>
        <w:pStyle w:val="Heading4"/>
        <w:ind w:hanging="338"/>
        <w:rPr>
          <w:color w:val="2272A3"/>
          <w:sz w:val="24"/>
        </w:rPr>
      </w:pPr>
      <w:r w:rsidRPr="00DD0358">
        <w:rPr>
          <w:color w:val="2272A3"/>
          <w:sz w:val="24"/>
          <w:szCs w:val="24"/>
        </w:rPr>
        <w:t>BRI daily hub offers and daily hub bids in price bands ($/GJ)</w:t>
      </w:r>
    </w:p>
    <w:p w:rsidR="00362B9A" w:rsidRPr="00362B9A" w:rsidRDefault="002B4C49" w:rsidP="00362B9A">
      <w:r>
        <w:pict>
          <v:shape id="_x0000_i1038" type="#_x0000_t75" style="width:475.55pt;height:162.4pt">
            <v:imagedata r:id="rId25" o:title=""/>
          </v:shape>
        </w:pict>
      </w:r>
    </w:p>
    <w:p w:rsidR="00BC18FB" w:rsidRPr="00DD0358" w:rsidRDefault="003625A6" w:rsidP="00FF0D8A">
      <w:pPr>
        <w:pStyle w:val="Heading4"/>
        <w:ind w:hanging="338"/>
        <w:rPr>
          <w:color w:val="2272A3"/>
          <w:sz w:val="24"/>
        </w:rPr>
      </w:pPr>
      <w:r w:rsidRPr="00DD0358">
        <w:rPr>
          <w:color w:val="2272A3"/>
          <w:sz w:val="24"/>
          <w:szCs w:val="24"/>
        </w:rPr>
        <w:t>BRI net scheduled and allocated gas hub supply (excluding MOS)</w:t>
      </w:r>
    </w:p>
    <w:p w:rsidR="00362B9A" w:rsidRPr="00362B9A" w:rsidRDefault="002B4C49" w:rsidP="00362B9A">
      <w:r>
        <w:pict>
          <v:shape id="_x0000_i1039" type="#_x0000_t75" style="width:478.05pt;height:113pt">
            <v:imagedata r:id="rId26" o:title=""/>
          </v:shape>
        </w:pict>
      </w:r>
    </w:p>
    <w:p w:rsidR="00BC18FB" w:rsidRPr="00DD0358" w:rsidRDefault="004560B0" w:rsidP="004560B0">
      <w:pPr>
        <w:pStyle w:val="Heading4"/>
        <w:ind w:hanging="338"/>
        <w:rPr>
          <w:color w:val="2272A3"/>
          <w:sz w:val="24"/>
          <w:szCs w:val="24"/>
        </w:rPr>
      </w:pPr>
      <w:r w:rsidRPr="00DD0358">
        <w:rPr>
          <w:color w:val="2272A3"/>
          <w:sz w:val="24"/>
          <w:szCs w:val="24"/>
        </w:rPr>
        <w:t>BRI MOS allocations (TJ), service payments and commodity payments/charges ($000)</w:t>
      </w:r>
    </w:p>
    <w:p w:rsidR="004560B0" w:rsidRPr="00362B9A" w:rsidRDefault="002B4C49" w:rsidP="00362B9A">
      <w:r>
        <w:pict>
          <v:shape id="_x0000_i1040" type="#_x0000_t75" style="width:475.55pt;height:158.25pt">
            <v:imagedata r:id="rId27" o:title=""/>
          </v:shape>
        </w:pict>
      </w:r>
    </w:p>
    <w:p w:rsidR="00BC18FB" w:rsidRDefault="007059A9" w:rsidP="00BC18FB">
      <w:pPr>
        <w:pStyle w:val="Heading3"/>
        <w:ind w:firstLine="0"/>
        <w:rPr>
          <w:color w:val="2272A3"/>
          <w:sz w:val="32"/>
          <w:szCs w:val="32"/>
        </w:rPr>
      </w:pPr>
      <w:r>
        <w:rPr>
          <w:color w:val="2272A3"/>
          <w:sz w:val="32"/>
          <w:szCs w:val="32"/>
        </w:rPr>
        <w:br w:type="page"/>
      </w:r>
      <w:r w:rsidR="00362B9A">
        <w:rPr>
          <w:color w:val="2272A3"/>
          <w:sz w:val="32"/>
          <w:szCs w:val="32"/>
        </w:rPr>
        <w:t>National Gas Bulletin Board</w:t>
      </w:r>
    </w:p>
    <w:p w:rsidR="00362B9A" w:rsidRPr="00362B9A" w:rsidRDefault="004560B0" w:rsidP="00345444">
      <w:pPr>
        <w:jc w:val="both"/>
      </w:pPr>
      <w:r w:rsidRPr="00A475A2">
        <w:t xml:space="preserve">Figure </w:t>
      </w:r>
      <w:r>
        <w:t>5</w:t>
      </w:r>
      <w:r w:rsidRPr="00A475A2">
        <w:t xml:space="preserve">.1 shows average daily </w:t>
      </w:r>
      <w:r>
        <w:t xml:space="preserve">actual </w:t>
      </w:r>
      <w:r w:rsidRPr="00A475A2">
        <w:t xml:space="preserve">flows for the current week </w:t>
      </w:r>
      <w:r>
        <w:t>in the aqua boxes</w:t>
      </w:r>
      <w:r>
        <w:rPr>
          <w:rStyle w:val="FootnoteReference"/>
        </w:rPr>
        <w:footnoteReference w:id="13"/>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 xml:space="preserve">as powered generation (GPG) </w:t>
      </w:r>
      <w:r w:rsidRPr="009B5F18">
        <w:t xml:space="preserve">gas usage </w:t>
      </w:r>
      <w:r>
        <w:t xml:space="preserve">is also shown </w:t>
      </w:r>
      <w:r w:rsidRPr="009B5F18">
        <w:t>in each region</w:t>
      </w:r>
      <w:r>
        <w:t xml:space="preserve"> in the aqua boxes. </w:t>
      </w:r>
      <w:r w:rsidR="00586C57">
        <w:t>T</w:t>
      </w:r>
      <w:r>
        <w:t xml:space="preserve">he orange boxes </w:t>
      </w:r>
      <w:r w:rsidR="00586C57">
        <w:t xml:space="preserve">provide </w:t>
      </w:r>
      <w:r>
        <w:t>average daily scheduled volumes and prices</w:t>
      </w:r>
      <w:r>
        <w:rPr>
          <w:rStyle w:val="FootnoteReference"/>
        </w:rPr>
        <w:footnoteReference w:id="14"/>
      </w:r>
      <w:r>
        <w:t xml:space="preserve"> for each gas market.</w:t>
      </w:r>
    </w:p>
    <w:p w:rsidR="00BC18FB" w:rsidRPr="00DD0358" w:rsidRDefault="004560B0" w:rsidP="00FF0D8A">
      <w:pPr>
        <w:pStyle w:val="Heading4"/>
        <w:ind w:hanging="338"/>
        <w:rPr>
          <w:color w:val="2272A3"/>
          <w:sz w:val="24"/>
          <w:szCs w:val="24"/>
        </w:rPr>
      </w:pPr>
      <w:r w:rsidRPr="00DD0358">
        <w:rPr>
          <w:color w:val="2272A3"/>
          <w:sz w:val="24"/>
          <w:szCs w:val="24"/>
        </w:rPr>
        <w:t>Gas market data ($/GJ, TJ</w:t>
      </w:r>
      <w:r w:rsidR="00C3163F" w:rsidRPr="00DD0358">
        <w:rPr>
          <w:color w:val="2272A3"/>
          <w:sz w:val="24"/>
          <w:szCs w:val="24"/>
        </w:rPr>
        <w:t>/day</w:t>
      </w:r>
      <w:r w:rsidRPr="00DD0358">
        <w:rPr>
          <w:color w:val="2272A3"/>
          <w:sz w:val="24"/>
          <w:szCs w:val="24"/>
        </w:rPr>
        <w:t>); Production, Consumption and Pipeline flows (TJ)</w:t>
      </w:r>
    </w:p>
    <w:p w:rsidR="00362B9A" w:rsidRPr="00362B9A" w:rsidRDefault="002B4C49" w:rsidP="00362B9A">
      <w:r>
        <w:pict>
          <v:shape id="_x0000_i1041" type="#_x0000_t75" style="width:412.75pt;height:532.45pt">
            <v:imagedata r:id="rId28" o:title=""/>
          </v:shape>
        </w:pict>
      </w:r>
    </w:p>
    <w:p w:rsidR="00BC18FB" w:rsidRDefault="007059A9" w:rsidP="00BC18FB">
      <w:pPr>
        <w:pStyle w:val="Heading3"/>
        <w:ind w:firstLine="0"/>
        <w:rPr>
          <w:color w:val="2272A3"/>
          <w:sz w:val="32"/>
          <w:szCs w:val="32"/>
        </w:rPr>
      </w:pPr>
      <w:r>
        <w:rPr>
          <w:color w:val="2272A3"/>
          <w:sz w:val="32"/>
          <w:szCs w:val="32"/>
        </w:rPr>
        <w:br w:type="page"/>
      </w:r>
      <w:r w:rsidR="00BC18FB" w:rsidRPr="00004A63">
        <w:rPr>
          <w:color w:val="2272A3"/>
          <w:sz w:val="32"/>
          <w:szCs w:val="32"/>
        </w:rPr>
        <w:t>G</w:t>
      </w:r>
      <w:r w:rsidR="004560B0">
        <w:rPr>
          <w:color w:val="2272A3"/>
          <w:sz w:val="32"/>
          <w:szCs w:val="32"/>
        </w:rPr>
        <w:t xml:space="preserve">as </w:t>
      </w:r>
      <w:r w:rsidR="00BC18FB" w:rsidRPr="00004A63">
        <w:rPr>
          <w:color w:val="2272A3"/>
          <w:sz w:val="32"/>
          <w:szCs w:val="32"/>
        </w:rPr>
        <w:t>S</w:t>
      </w:r>
      <w:r w:rsidR="004560B0">
        <w:rPr>
          <w:color w:val="2272A3"/>
          <w:sz w:val="32"/>
          <w:szCs w:val="32"/>
        </w:rPr>
        <w:t xml:space="preserve">upply </w:t>
      </w:r>
      <w:r w:rsidR="00BC18FB" w:rsidRPr="00004A63">
        <w:rPr>
          <w:color w:val="2272A3"/>
          <w:sz w:val="32"/>
          <w:szCs w:val="32"/>
        </w:rPr>
        <w:t>H</w:t>
      </w:r>
      <w:r w:rsidR="004560B0">
        <w:rPr>
          <w:color w:val="2272A3"/>
          <w:sz w:val="32"/>
          <w:szCs w:val="32"/>
        </w:rPr>
        <w:t>ub</w:t>
      </w:r>
    </w:p>
    <w:p w:rsidR="00E37A86" w:rsidRDefault="00E37A86" w:rsidP="00345444">
      <w:pPr>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15"/>
      </w:r>
      <w:r>
        <w:t xml:space="preserve"> for the supply of gas traded between separate participants, with products listed for sale and purchase at delivery points on three major connecting </w:t>
      </w:r>
      <w:r w:rsidRPr="005A6687">
        <w:t xml:space="preserve">pipelines at Wallumbilla – the Queensland Gas Pipeline </w:t>
      </w:r>
      <w:r w:rsidRPr="00586C57">
        <w:rPr>
          <w:b/>
        </w:rPr>
        <w:t>(QGP)</w:t>
      </w:r>
      <w:r w:rsidRPr="005A6687">
        <w:t xml:space="preserve">, the South West Queensland Pipeline </w:t>
      </w:r>
      <w:r w:rsidRPr="00586C57">
        <w:rPr>
          <w:b/>
        </w:rPr>
        <w:t>(SWQP)</w:t>
      </w:r>
      <w:r w:rsidRPr="005A6687">
        <w:t xml:space="preserve"> and the Roma to Brisbane Pipeline </w:t>
      </w:r>
      <w:r w:rsidRPr="00586C57">
        <w:rPr>
          <w:b/>
        </w:rPr>
        <w:t>(RBP)</w:t>
      </w:r>
      <w:r w:rsidRPr="005A6687">
        <w:t>. There are separate products for each p</w:t>
      </w:r>
      <w:r>
        <w:t>ipeline (each pipeline is considered a trading location, and each has a number of delivery points) and delivery period (daily, day-ahead, balance-of-day and weekly).</w:t>
      </w:r>
    </w:p>
    <w:p w:rsidR="00255BA4" w:rsidRPr="00255BA4" w:rsidRDefault="00255BA4" w:rsidP="005F4342">
      <w:pPr>
        <w:jc w:val="both"/>
        <w:rPr>
          <w:rFonts w:eastAsia="MS Mincho"/>
        </w:rPr>
      </w:pPr>
      <w:r>
        <w:rPr>
          <w:rFonts w:eastAsia="MS Mincho"/>
        </w:rPr>
        <w:t>There were 45 trades at Wallumbilla this week for 298.4</w:t>
      </w:r>
      <w:r w:rsidR="005F4342">
        <w:rPr>
          <w:rFonts w:eastAsia="MS Mincho"/>
        </w:rPr>
        <w:t> </w:t>
      </w:r>
      <w:r>
        <w:rPr>
          <w:rFonts w:eastAsia="MS Mincho"/>
        </w:rPr>
        <w:t xml:space="preserve">TJ at a volume weighted price of $5.51/GJ. </w:t>
      </w:r>
      <w:r w:rsidR="005F4342">
        <w:rPr>
          <w:rFonts w:eastAsia="MS Mincho"/>
        </w:rPr>
        <w:t>The RBP saw 26 trades of mostly daily and day-ahead products valued at $6.45/GJ, while the SWQP saw 19 trades of daily and day-ahead products valued at $4.89/GJ.</w:t>
      </w:r>
    </w:p>
    <w:p w:rsidR="00E37A86" w:rsidRPr="00E37A86" w:rsidRDefault="00E37A86" w:rsidP="00345444">
      <w:pPr>
        <w:rPr>
          <w:rFonts w:cs="Arial"/>
          <w:szCs w:val="22"/>
        </w:rPr>
      </w:pPr>
      <w:r w:rsidRPr="00E37A86">
        <w:rPr>
          <w:rFonts w:cs="Arial"/>
          <w:szCs w:val="22"/>
        </w:rPr>
        <w:t>Figure 6.1 shows volumes traded</w:t>
      </w:r>
      <w:r w:rsidRPr="00E37A86">
        <w:rPr>
          <w:rStyle w:val="FootnoteReference"/>
          <w:rFonts w:cs="Arial"/>
          <w:szCs w:val="22"/>
        </w:rPr>
        <w:footnoteReference w:id="16"/>
      </w:r>
      <w:r w:rsidRPr="00E37A86">
        <w:rPr>
          <w:rFonts w:cs="Arial"/>
          <w:szCs w:val="22"/>
        </w:rPr>
        <w:t xml:space="preserve"> on each gas day and trading day </w:t>
      </w:r>
      <w:r>
        <w:rPr>
          <w:rFonts w:cs="Arial"/>
          <w:szCs w:val="22"/>
        </w:rPr>
        <w:t>for the current week</w:t>
      </w:r>
      <w:r w:rsidRPr="00E37A86">
        <w:rPr>
          <w:rFonts w:cs="Arial"/>
          <w:szCs w:val="22"/>
        </w:rPr>
        <w:t>.</w:t>
      </w:r>
    </w:p>
    <w:p w:rsidR="00BC18FB" w:rsidRPr="00DD0358" w:rsidRDefault="00E37A86" w:rsidP="00FF0D8A">
      <w:pPr>
        <w:pStyle w:val="Heading4"/>
        <w:ind w:hanging="338"/>
        <w:rPr>
          <w:color w:val="2272A3"/>
          <w:sz w:val="24"/>
        </w:rPr>
      </w:pPr>
      <w:r w:rsidRPr="00DD0358">
        <w:rPr>
          <w:color w:val="2272A3"/>
          <w:sz w:val="24"/>
        </w:rPr>
        <w:t>Volume Traded (by Gas Day and by Trading Day)</w:t>
      </w:r>
    </w:p>
    <w:bookmarkEnd w:id="0"/>
    <w:bookmarkEnd w:id="1"/>
    <w:p w:rsidR="006D38AC" w:rsidRDefault="002B4C49" w:rsidP="00E37A86">
      <w:pPr>
        <w:rPr>
          <w:rFonts w:eastAsia="MS Mincho"/>
        </w:rPr>
      </w:pPr>
      <w:r>
        <w:rPr>
          <w:rFonts w:eastAsia="MS Mincho"/>
        </w:rPr>
        <w:pict>
          <v:shape id="_x0000_i1042" type="#_x0000_t75" style="width:475.55pt;height:152.35pt">
            <v:imagedata r:id="rId29" o:title=""/>
          </v:shape>
        </w:pict>
      </w:r>
      <w:r w:rsidR="006D38AC" w:rsidRPr="006D38AC">
        <w:rPr>
          <w:rFonts w:eastAsia="MS Mincho"/>
        </w:rPr>
        <w:t xml:space="preserve"> </w:t>
      </w:r>
    </w:p>
    <w:p w:rsidR="006D38AC" w:rsidRPr="00DD0358" w:rsidRDefault="006D38AC" w:rsidP="006D38AC">
      <w:pPr>
        <w:pStyle w:val="Heading4"/>
        <w:ind w:hanging="338"/>
        <w:rPr>
          <w:color w:val="2272A3"/>
          <w:sz w:val="24"/>
        </w:rPr>
      </w:pPr>
      <w:r>
        <w:rPr>
          <w:color w:val="2272A3"/>
          <w:sz w:val="24"/>
        </w:rPr>
        <w:t>Historical Volume Traded</w:t>
      </w:r>
    </w:p>
    <w:p w:rsidR="009E74E3" w:rsidRPr="006520EE" w:rsidRDefault="002B4C49" w:rsidP="00E37A86">
      <w:r>
        <w:rPr>
          <w:rFonts w:eastAsia="MS Mincho"/>
        </w:rPr>
        <w:pict>
          <v:shape id="_x0000_i1043" type="#_x0000_t75" style="width:475.55pt;height:185pt">
            <v:imagedata r:id="rId30" o:title=""/>
          </v:shape>
        </w:pict>
      </w:r>
    </w:p>
    <w:sectPr w:rsidR="009E74E3" w:rsidRPr="006520EE" w:rsidSect="00D635F1">
      <w:footerReference w:type="default" r:id="rId31"/>
      <w:footerReference w:type="first" r:id="rId3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0D8A" w:rsidRDefault="00FF0D8A">
      <w:r>
        <w:separator/>
      </w:r>
    </w:p>
  </w:endnote>
  <w:endnote w:type="continuationSeparator" w:id="0">
    <w:p w:rsidR="00FF0D8A" w:rsidRDefault="00FF0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D8A" w:rsidRDefault="00FF0D8A" w:rsidP="00D22793">
    <w:pPr>
      <w:pBdr>
        <w:top w:val="single" w:sz="4" w:space="0" w:color="auto"/>
      </w:pBdr>
      <w:ind w:left="-284" w:right="-329" w:firstLine="284"/>
      <w:jc w:val="center"/>
      <w:rPr>
        <w:i/>
        <w:sz w:val="16"/>
        <w:szCs w:val="16"/>
      </w:rPr>
    </w:pPr>
    <w:r>
      <w:rPr>
        <w:i/>
        <w:sz w:val="20"/>
      </w:rPr>
      <w:t>© Commonwealth of Australia.</w:t>
    </w:r>
  </w:p>
  <w:p w:rsidR="00FF0D8A" w:rsidRDefault="00FF0D8A" w:rsidP="005A77AC">
    <w:pPr>
      <w:jc w:val="center"/>
    </w:pPr>
    <w:r>
      <w:fldChar w:fldCharType="begin"/>
    </w:r>
    <w:r>
      <w:instrText xml:space="preserve"> PAGE  \* MERGEFORMAT </w:instrText>
    </w:r>
    <w:r>
      <w:fldChar w:fldCharType="separate"/>
    </w:r>
    <w:r w:rsidR="00646D39">
      <w:rPr>
        <w:noProof/>
      </w:rPr>
      <w:t>2</w:t>
    </w:r>
    <w:r>
      <w:fldChar w:fldCharType="end"/>
    </w:r>
  </w:p>
  <w:p w:rsidR="00FF0D8A" w:rsidRDefault="00FF0D8A" w:rsidP="0035758F">
    <w:pPr>
      <w:pStyle w:val="Footer"/>
      <w:pBdr>
        <w:top w:val="none" w:sz="0" w:space="0" w:color="auto"/>
      </w:pBd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D8A" w:rsidRDefault="00FF0D8A" w:rsidP="00491029">
    <w:pPr>
      <w:pBdr>
        <w:top w:val="single" w:sz="4" w:space="0" w:color="auto"/>
      </w:pBdr>
      <w:ind w:left="-284" w:right="-329" w:firstLine="284"/>
      <w:jc w:val="center"/>
      <w:rPr>
        <w:i/>
        <w:sz w:val="20"/>
      </w:rPr>
    </w:pPr>
    <w:r>
      <w:rPr>
        <w:i/>
        <w:sz w:val="20"/>
      </w:rPr>
      <w:t>© Commonwealth of Australia.</w:t>
    </w:r>
  </w:p>
  <w:p w:rsidR="00FF0D8A" w:rsidRPr="002D773A" w:rsidRDefault="00FF0D8A" w:rsidP="00491029">
    <w:pPr>
      <w:jc w:val="center"/>
    </w:pPr>
    <w:r>
      <w:fldChar w:fldCharType="begin"/>
    </w:r>
    <w:r>
      <w:instrText xml:space="preserve"> PAGE  \* MERGEFORMAT </w:instrText>
    </w:r>
    <w:r>
      <w:fldChar w:fldCharType="separate"/>
    </w:r>
    <w:r w:rsidR="00646D39">
      <w:rPr>
        <w:noProof/>
      </w:rPr>
      <w:t>1</w:t>
    </w:r>
    <w:r>
      <w:fldChar w:fldCharType="end"/>
    </w:r>
  </w:p>
  <w:p w:rsidR="00FF0D8A" w:rsidRDefault="00FF0D8A" w:rsidP="00491029">
    <w:pPr>
      <w:pStyle w:val="Footer"/>
      <w:jc w:val="right"/>
    </w:pPr>
    <w:r w:rsidRPr="00F52F00">
      <w:rPr>
        <w:rFonts w:cs="Arial"/>
        <w:i/>
      </w:rPr>
      <w:t>AER reference: 392</w:t>
    </w:r>
    <w:r>
      <w:rPr>
        <w:rFonts w:cs="Arial"/>
        <w:i/>
      </w:rPr>
      <w:t>7</w:t>
    </w:r>
    <w:r w:rsidRPr="00F52F00">
      <w:rPr>
        <w:rFonts w:cs="Arial"/>
        <w:i/>
      </w:rPr>
      <w:t>0 – D1</w:t>
    </w:r>
    <w:r>
      <w:rPr>
        <w:rFonts w:cs="Arial"/>
        <w:i/>
      </w:rPr>
      <w:t>5</w:t>
    </w:r>
    <w:r w:rsidRPr="00F52F00">
      <w:rPr>
        <w:rFonts w:cs="Arial"/>
        <w:i/>
      </w:rPr>
      <w:t>/</w:t>
    </w:r>
    <w:r w:rsidR="0056485C">
      <w:rPr>
        <w:rFonts w:cs="Arial"/>
        <w:i/>
      </w:rPr>
      <w:t>115276</w:t>
    </w:r>
  </w:p>
  <w:p w:rsidR="00FF0D8A" w:rsidRDefault="00FF0D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0D8A" w:rsidRDefault="00FF0D8A">
      <w:r>
        <w:separator/>
      </w:r>
    </w:p>
  </w:footnote>
  <w:footnote w:type="continuationSeparator" w:id="0">
    <w:p w:rsidR="00FF0D8A" w:rsidRDefault="00FF0D8A">
      <w:r>
        <w:continuationSeparator/>
      </w:r>
    </w:p>
  </w:footnote>
  <w:footnote w:id="1">
    <w:p w:rsidR="00FF0D8A" w:rsidRPr="00942640" w:rsidRDefault="00FF0D8A" w:rsidP="004560B0">
      <w:pPr>
        <w:pStyle w:val="FootnoteText"/>
        <w:spacing w:before="0" w:after="0"/>
        <w:jc w:val="both"/>
        <w:rPr>
          <w:sz w:val="18"/>
          <w:szCs w:val="16"/>
        </w:rPr>
      </w:pPr>
      <w:r>
        <w:rPr>
          <w:rStyle w:val="FootnoteReference"/>
        </w:rPr>
        <w:footnoteRef/>
      </w:r>
      <w:r>
        <w:t xml:space="preserve"> </w:t>
      </w:r>
      <w:r>
        <w:tab/>
      </w:r>
      <w:r w:rsidRPr="00942640">
        <w:rPr>
          <w:sz w:val="18"/>
          <w:szCs w:val="16"/>
        </w:rPr>
        <w:t>The weighted average daily imbalance price applies for Victoria.</w:t>
      </w:r>
    </w:p>
  </w:footnote>
  <w:footnote w:id="2">
    <w:p w:rsidR="00456D13" w:rsidRPr="00456D13" w:rsidRDefault="00456D13" w:rsidP="00456D13">
      <w:pPr>
        <w:pStyle w:val="FootnoteText"/>
        <w:spacing w:before="0" w:after="0"/>
        <w:rPr>
          <w:sz w:val="18"/>
        </w:rPr>
      </w:pPr>
      <w:r>
        <w:rPr>
          <w:rStyle w:val="FootnoteReference"/>
        </w:rPr>
        <w:footnoteRef/>
      </w:r>
      <w:r>
        <w:t xml:space="preserve"> </w:t>
      </w:r>
      <w:r>
        <w:tab/>
      </w:r>
      <w:r w:rsidRPr="00456D13">
        <w:rPr>
          <w:sz w:val="18"/>
        </w:rPr>
        <w:t>Contingency gas bids (for payments to shut down demand) and offers (to provide additional supply) are confirmed with individual participants at an AEMO assessment conference (when required).</w:t>
      </w:r>
    </w:p>
  </w:footnote>
  <w:footnote w:id="3">
    <w:p w:rsidR="00456D13" w:rsidRPr="00456D13" w:rsidRDefault="00456D13" w:rsidP="00456D13">
      <w:pPr>
        <w:pStyle w:val="FootnoteText"/>
        <w:spacing w:before="0" w:after="0"/>
        <w:rPr>
          <w:sz w:val="18"/>
        </w:rPr>
      </w:pPr>
      <w:r>
        <w:rPr>
          <w:rStyle w:val="FootnoteReference"/>
        </w:rPr>
        <w:footnoteRef/>
      </w:r>
      <w:r>
        <w:t xml:space="preserve"> </w:t>
      </w:r>
      <w:r>
        <w:tab/>
      </w:r>
      <w:r w:rsidRPr="00456D13">
        <w:rPr>
          <w:sz w:val="18"/>
        </w:rPr>
        <w:t>The MSP is a pressure controlled pipeline and is the main source of MOS (balancing gas) when demand errors occur in the hub. The EGP is flow controlled and will not flow additional gas to the hub unless it is nominated by participants.</w:t>
      </w:r>
    </w:p>
  </w:footnote>
  <w:footnote w:id="4">
    <w:p w:rsidR="00456D13" w:rsidRDefault="00456D13" w:rsidP="00456D13">
      <w:pPr>
        <w:pStyle w:val="FootnoteText"/>
        <w:spacing w:before="0" w:after="0"/>
      </w:pPr>
      <w:r>
        <w:rPr>
          <w:rStyle w:val="FootnoteReference"/>
        </w:rPr>
        <w:footnoteRef/>
      </w:r>
      <w:r>
        <w:t xml:space="preserve"> </w:t>
      </w:r>
      <w:r>
        <w:tab/>
      </w:r>
      <w:r w:rsidRPr="00456D13">
        <w:rPr>
          <w:sz w:val="18"/>
        </w:rPr>
        <w:t>AMBER indicates the likelihood of voluntary or contractual load shedding occurring on the pipeline.</w:t>
      </w:r>
    </w:p>
  </w:footnote>
  <w:footnote w:id="5">
    <w:p w:rsidR="00456D13" w:rsidRPr="00456D13" w:rsidRDefault="00456D13" w:rsidP="00456D13">
      <w:pPr>
        <w:pStyle w:val="FootnoteText"/>
        <w:spacing w:before="0" w:after="0"/>
        <w:rPr>
          <w:sz w:val="18"/>
        </w:rPr>
      </w:pPr>
      <w:r>
        <w:rPr>
          <w:rStyle w:val="FootnoteReference"/>
        </w:rPr>
        <w:footnoteRef/>
      </w:r>
      <w:r>
        <w:t xml:space="preserve"> </w:t>
      </w:r>
      <w:r>
        <w:tab/>
      </w:r>
      <w:r w:rsidRPr="00456D13">
        <w:rPr>
          <w:sz w:val="18"/>
        </w:rPr>
        <w:t>Northerly flows on the Victoria-NSW interconnector on 22 and 23 July were above 110 TJ/day.</w:t>
      </w:r>
    </w:p>
  </w:footnote>
  <w:footnote w:id="6">
    <w:p w:rsidR="00456D13" w:rsidRPr="00456D13" w:rsidRDefault="00456D13" w:rsidP="00456D13">
      <w:pPr>
        <w:pStyle w:val="FootnoteText"/>
        <w:spacing w:before="0" w:after="0"/>
        <w:rPr>
          <w:sz w:val="18"/>
        </w:rPr>
      </w:pPr>
      <w:r>
        <w:rPr>
          <w:rStyle w:val="FootnoteReference"/>
        </w:rPr>
        <w:footnoteRef/>
      </w:r>
      <w:r>
        <w:t xml:space="preserve"> </w:t>
      </w:r>
      <w:r>
        <w:tab/>
      </w:r>
      <w:r w:rsidRPr="00456D13">
        <w:rPr>
          <w:sz w:val="18"/>
        </w:rPr>
        <w:t>Record daily trade of 105 TJ on SWQP set on the 4 September 2014 and 23 July 2015 trading days.</w:t>
      </w:r>
    </w:p>
  </w:footnote>
  <w:footnote w:id="7">
    <w:p w:rsidR="00456D13" w:rsidRPr="00456D13" w:rsidRDefault="00456D13" w:rsidP="00456D13">
      <w:pPr>
        <w:pStyle w:val="FootnoteText"/>
        <w:spacing w:before="0" w:after="0"/>
        <w:rPr>
          <w:sz w:val="18"/>
        </w:rPr>
      </w:pPr>
      <w:r>
        <w:rPr>
          <w:rStyle w:val="FootnoteReference"/>
        </w:rPr>
        <w:footnoteRef/>
      </w:r>
      <w:r>
        <w:t xml:space="preserve"> </w:t>
      </w:r>
      <w:r>
        <w:tab/>
      </w:r>
      <w:r w:rsidRPr="00456D13">
        <w:rPr>
          <w:sz w:val="18"/>
        </w:rPr>
        <w:t>The highest volume traded over a reporting week was 195 TJ, traded during the week ending 13 December 2014. The 2</w:t>
      </w:r>
      <w:r w:rsidRPr="00456D13">
        <w:rPr>
          <w:sz w:val="18"/>
          <w:vertAlign w:val="superscript"/>
        </w:rPr>
        <w:t>nd</w:t>
      </w:r>
      <w:r w:rsidRPr="00456D13">
        <w:rPr>
          <w:sz w:val="18"/>
        </w:rPr>
        <w:t xml:space="preserve"> highest volume traded over a reporting week was 179 TJ for the week ending 25 July 2015.</w:t>
      </w:r>
    </w:p>
  </w:footnote>
  <w:footnote w:id="8">
    <w:p w:rsidR="00EF58A8" w:rsidRPr="00EF58A8" w:rsidRDefault="00EF58A8" w:rsidP="00EF58A8">
      <w:pPr>
        <w:pStyle w:val="FootnoteText"/>
        <w:spacing w:before="0" w:after="0"/>
        <w:jc w:val="both"/>
      </w:pPr>
      <w:r w:rsidRPr="00EF58A8">
        <w:rPr>
          <w:rStyle w:val="FootnoteReference"/>
        </w:rPr>
        <w:footnoteRef/>
      </w:r>
      <w:r w:rsidRPr="00EF58A8">
        <w:t xml:space="preserve"> </w:t>
      </w:r>
      <w:r w:rsidRPr="00EF58A8">
        <w:tab/>
      </w:r>
      <w:r w:rsidRPr="00EF58A8">
        <w:rPr>
          <w:sz w:val="18"/>
        </w:rPr>
        <w:t>Prices for subsequent schedules are applied only to the differences in scheduled quantities (imbalances) to calculate the weighted price. The 6 am price applies to the entire scheduled quantity in the initial schedule.</w:t>
      </w:r>
    </w:p>
  </w:footnote>
  <w:footnote w:id="9">
    <w:p w:rsidR="00EF58A8" w:rsidRPr="00EF58A8" w:rsidRDefault="00EF58A8" w:rsidP="00EF58A8">
      <w:pPr>
        <w:pStyle w:val="FootnoteText"/>
        <w:spacing w:before="0" w:after="0"/>
        <w:jc w:val="both"/>
        <w:rPr>
          <w:sz w:val="18"/>
          <w:szCs w:val="18"/>
        </w:rPr>
      </w:pPr>
      <w:r w:rsidRPr="00EF58A8">
        <w:rPr>
          <w:rStyle w:val="FootnoteReference"/>
        </w:rPr>
        <w:footnoteRef/>
      </w:r>
      <w:r w:rsidRPr="00EF58A8">
        <w:t xml:space="preserve"> </w:t>
      </w:r>
      <w:r w:rsidRPr="00EF58A8">
        <w:tab/>
      </w:r>
      <w:r w:rsidRPr="00EF58A8">
        <w:rPr>
          <w:sz w:val="18"/>
          <w:szCs w:val="18"/>
        </w:rPr>
        <w:t>The price might also be affected by transmission or production (contractual) constraints limiting how much gas can be delivered from a locale or System Injection Point (SIP) from time to time.</w:t>
      </w:r>
    </w:p>
  </w:footnote>
  <w:footnote w:id="10">
    <w:p w:rsidR="00EF58A8" w:rsidRPr="00EF58A8" w:rsidRDefault="00EF58A8" w:rsidP="00EF58A8">
      <w:pPr>
        <w:pStyle w:val="FootnoteText"/>
        <w:spacing w:before="0" w:after="0"/>
        <w:jc w:val="both"/>
      </w:pPr>
      <w:r w:rsidRPr="00EF58A8">
        <w:rPr>
          <w:rStyle w:val="FootnoteReference"/>
        </w:rPr>
        <w:footnoteRef/>
      </w:r>
      <w:r w:rsidRPr="00EF58A8">
        <w:t xml:space="preserve">  </w:t>
      </w:r>
      <w:r w:rsidRPr="00EF58A8">
        <w:tab/>
      </w:r>
      <w:r w:rsidRPr="00EF58A8">
        <w:rPr>
          <w:sz w:val="18"/>
          <w:szCs w:val="18"/>
        </w:rPr>
        <w:t>These are Market Participants’ aggregate demand forecasts adjusted for any override as applied by AEMO from time to time. These forecasts must be scheduled and cannot respond to price like withdrawal bids.</w:t>
      </w:r>
    </w:p>
  </w:footnote>
  <w:footnote w:id="11">
    <w:p w:rsidR="00EF58A8" w:rsidRPr="00362B9A" w:rsidRDefault="00EF58A8" w:rsidP="00586C57">
      <w:pPr>
        <w:pStyle w:val="FootnoteText"/>
        <w:spacing w:before="0" w:after="0"/>
        <w:jc w:val="both"/>
        <w:rPr>
          <w:sz w:val="18"/>
          <w:szCs w:val="18"/>
        </w:rPr>
      </w:pPr>
      <w:r w:rsidRPr="003F7E55">
        <w:rPr>
          <w:rStyle w:val="FootnoteReference"/>
        </w:rPr>
        <w:footnoteRef/>
      </w:r>
      <w:r w:rsidRPr="003F7E55">
        <w:t xml:space="preserve"> </w:t>
      </w:r>
      <w:r w:rsidRPr="003F7E55">
        <w:tab/>
      </w:r>
      <w:r w:rsidRPr="00362B9A">
        <w:rPr>
          <w:sz w:val="18"/>
          <w:szCs w:val="18"/>
        </w:rPr>
        <w:t>The main driver of the amount of gas scheduled on a gas day is the ‘price-taker’ bid, which is forecast hub demand that cannot respond to price and which must be delivered, regardless of the price.</w:t>
      </w:r>
    </w:p>
  </w:footnote>
  <w:footnote w:id="12">
    <w:p w:rsidR="00EF58A8" w:rsidRDefault="00EF58A8" w:rsidP="00586C57">
      <w:pPr>
        <w:pStyle w:val="AERbodytext"/>
        <w:spacing w:before="0" w:line="240" w:lineRule="auto"/>
        <w:ind w:left="340" w:hanging="340"/>
        <w:jc w:val="both"/>
      </w:pPr>
      <w:r w:rsidRPr="002E7E9E">
        <w:rPr>
          <w:rStyle w:val="FootnoteReference"/>
          <w:sz w:val="20"/>
        </w:rPr>
        <w:footnoteRef/>
      </w:r>
      <w:r w:rsidRPr="002E7E9E">
        <w:rPr>
          <w:sz w:val="20"/>
          <w:szCs w:val="20"/>
        </w:rPr>
        <w:t xml:space="preserve"> </w:t>
      </w:r>
      <w:r>
        <w:rPr>
          <w:sz w:val="20"/>
          <w:szCs w:val="20"/>
        </w:rPr>
        <w:tab/>
      </w:r>
      <w:r w:rsidRPr="002E7E9E">
        <w:rPr>
          <w:sz w:val="18"/>
          <w:szCs w:val="18"/>
        </w:rPr>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13">
    <w:p w:rsidR="004560B0" w:rsidRPr="002E7E9E" w:rsidRDefault="004560B0" w:rsidP="004560B0">
      <w:pPr>
        <w:pStyle w:val="FootnoteText"/>
        <w:spacing w:before="0" w:after="0"/>
        <w:rPr>
          <w:sz w:val="18"/>
          <w:szCs w:val="18"/>
        </w:rPr>
      </w:pPr>
      <w:r>
        <w:rPr>
          <w:rStyle w:val="FootnoteReference"/>
        </w:rPr>
        <w:footnoteRef/>
      </w:r>
      <w:r>
        <w:t xml:space="preserve"> </w:t>
      </w:r>
      <w:r>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4560B0" w:rsidRDefault="004560B0" w:rsidP="004560B0">
      <w:pPr>
        <w:pStyle w:val="FootnoteText"/>
        <w:spacing w:before="0" w:after="0"/>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4560B0" w:rsidRDefault="004560B0" w:rsidP="004560B0">
      <w:pPr>
        <w:pStyle w:val="FootnoteText"/>
        <w:spacing w:before="0" w:after="0"/>
        <w:ind w:firstLine="0"/>
        <w:rPr>
          <w:sz w:val="18"/>
          <w:szCs w:val="18"/>
        </w:rPr>
      </w:pPr>
      <w:r w:rsidRPr="002E7E9E">
        <w:rPr>
          <w:sz w:val="18"/>
          <w:szCs w:val="18"/>
        </w:rPr>
        <w:t xml:space="preserve">GPG volumes </w:t>
      </w:r>
      <w:r w:rsidR="00586C57">
        <w:rPr>
          <w:sz w:val="18"/>
          <w:szCs w:val="18"/>
        </w:rPr>
        <w:t xml:space="preserve">may </w:t>
      </w:r>
      <w:r w:rsidRPr="002E7E9E">
        <w:rPr>
          <w:sz w:val="18"/>
          <w:szCs w:val="18"/>
        </w:rPr>
        <w:t xml:space="preserve">include gas usage that </w:t>
      </w:r>
      <w:r w:rsidR="00586C57">
        <w:rPr>
          <w:sz w:val="18"/>
          <w:szCs w:val="18"/>
        </w:rPr>
        <w:t>does</w:t>
      </w:r>
      <w:r w:rsidRPr="002E7E9E">
        <w:rPr>
          <w:sz w:val="18"/>
          <w:szCs w:val="18"/>
        </w:rPr>
        <w:t xml:space="preserve"> not show up on Bulletin Board pipeline flows.</w:t>
      </w:r>
    </w:p>
    <w:p w:rsidR="004560B0" w:rsidRPr="002E7E9E" w:rsidRDefault="004560B0" w:rsidP="004560B0">
      <w:pPr>
        <w:pStyle w:val="FootnoteText"/>
        <w:spacing w:before="0" w:after="0"/>
        <w:ind w:firstLine="0"/>
        <w:rPr>
          <w:sz w:val="18"/>
          <w:szCs w:val="18"/>
        </w:rPr>
      </w:pPr>
      <w:r>
        <w:rPr>
          <w:sz w:val="18"/>
          <w:szCs w:val="18"/>
        </w:rPr>
        <w:t>From October 2014, production flows reported for the Roma region include quantities of gas for LNG export trains.</w:t>
      </w:r>
    </w:p>
  </w:footnote>
  <w:footnote w:id="14">
    <w:p w:rsidR="004560B0" w:rsidRDefault="004560B0" w:rsidP="004560B0">
      <w:pPr>
        <w:pStyle w:val="FootnoteText"/>
        <w:spacing w:before="0" w:after="0"/>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15">
    <w:p w:rsidR="00E37A86" w:rsidRPr="009E74E3" w:rsidRDefault="00E37A86" w:rsidP="00E37A86">
      <w:pPr>
        <w:pStyle w:val="FootnoteText"/>
        <w:spacing w:before="0" w:after="0"/>
        <w:ind w:left="284" w:hanging="284"/>
        <w:jc w:val="both"/>
        <w:rPr>
          <w:sz w:val="18"/>
          <w:szCs w:val="18"/>
        </w:rPr>
      </w:pPr>
      <w:r>
        <w:rPr>
          <w:rStyle w:val="FootnoteReference"/>
        </w:rPr>
        <w:footnoteRef/>
      </w:r>
      <w:r>
        <w:t xml:space="preserve"> </w:t>
      </w:r>
      <w:r>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6">
    <w:p w:rsidR="00E37A86" w:rsidRPr="007300C3" w:rsidRDefault="00E37A86" w:rsidP="00E37A86">
      <w:pPr>
        <w:pStyle w:val="FootnoteText"/>
        <w:spacing w:before="0" w:after="0"/>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BDD4AC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nsid w:val="21AD2891"/>
    <w:multiLevelType w:val="multilevel"/>
    <w:tmpl w:val="427C2556"/>
    <w:lvl w:ilvl="0">
      <w:start w:val="1"/>
      <w:numFmt w:val="none"/>
      <w:pStyle w:val="Heading1"/>
      <w:lvlText w:val="%1"/>
      <w:lvlJc w:val="left"/>
      <w:pPr>
        <w:ind w:left="0" w:firstLine="0"/>
      </w:pPr>
      <w:rPr>
        <w:rFonts w:ascii="Arial Bold" w:hAnsi="Arial Bold" w:hint="default"/>
        <w:b/>
        <w:i w:val="0"/>
        <w:color w:val="2272A3"/>
        <w:sz w:val="32"/>
      </w:rPr>
    </w:lvl>
    <w:lvl w:ilvl="1">
      <w:start w:val="1"/>
      <w:numFmt w:val="decimal"/>
      <w:pStyle w:val="Heading2"/>
      <w:lvlText w:val="Figure %2:"/>
      <w:lvlJc w:val="left"/>
      <w:pPr>
        <w:ind w:left="0" w:firstLine="360"/>
      </w:pPr>
      <w:rPr>
        <w:rFonts w:ascii="Arial Bold" w:hAnsi="Arial Bold" w:hint="default"/>
        <w:b/>
        <w:i w:val="0"/>
        <w:color w:val="2272A3"/>
        <w:sz w:val="24"/>
      </w:rPr>
    </w:lvl>
    <w:lvl w:ilvl="2">
      <w:start w:val="1"/>
      <w:numFmt w:val="decimal"/>
      <w:pStyle w:val="Heading3"/>
      <w:lvlText w:val="%3."/>
      <w:lvlJc w:val="left"/>
      <w:pPr>
        <w:ind w:left="0" w:firstLine="720"/>
      </w:pPr>
      <w:rPr>
        <w:rFonts w:ascii="Arial Bold" w:hAnsi="Arial Bold" w:hint="default"/>
        <w:b/>
        <w:i w:val="0"/>
        <w:color w:val="2272A3"/>
        <w:sz w:val="32"/>
      </w:rPr>
    </w:lvl>
    <w:lvl w:ilvl="3">
      <w:start w:val="1"/>
      <w:numFmt w:val="decimal"/>
      <w:pStyle w:val="Heading4"/>
      <w:lvlText w:val="Figure %3.%4:"/>
      <w:lvlJc w:val="left"/>
      <w:pPr>
        <w:ind w:left="338" w:firstLine="1080"/>
      </w:pPr>
      <w:rPr>
        <w:rFonts w:ascii="Arial Bold" w:hAnsi="Arial Bold" w:hint="default"/>
        <w:b/>
        <w:i w:val="0"/>
        <w:color w:val="2272A3"/>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2B401B7"/>
    <w:multiLevelType w:val="hybridMultilevel"/>
    <w:tmpl w:val="ABCA068E"/>
    <w:lvl w:ilvl="0" w:tplc="BE58AF30">
      <w:start w:val="1"/>
      <w:numFmt w:val="decimal"/>
      <w:pStyle w:val="AERNumberedheading1nonewpage"/>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6">
    <w:nsid w:val="2B4A6D4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8">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9">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1">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12">
    <w:nsid w:val="50895FE3"/>
    <w:multiLevelType w:val="multilevel"/>
    <w:tmpl w:val="CFB0230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3">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4">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5">
    <w:nsid w:val="713E3892"/>
    <w:multiLevelType w:val="multilevel"/>
    <w:tmpl w:val="98546364"/>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0"/>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6">
    <w:nsid w:val="78F3491B"/>
    <w:multiLevelType w:val="multilevel"/>
    <w:tmpl w:val="0A222A44"/>
    <w:styleLink w:val="Style1"/>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2"/>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7">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8"/>
  </w:num>
  <w:num w:numId="3">
    <w:abstractNumId w:val="10"/>
  </w:num>
  <w:num w:numId="4">
    <w:abstractNumId w:val="17"/>
  </w:num>
  <w:num w:numId="5">
    <w:abstractNumId w:val="2"/>
  </w:num>
  <w:num w:numId="6">
    <w:abstractNumId w:val="14"/>
  </w:num>
  <w:num w:numId="7">
    <w:abstractNumId w:val="11"/>
  </w:num>
  <w:num w:numId="8">
    <w:abstractNumId w:val="7"/>
  </w:num>
  <w:num w:numId="9">
    <w:abstractNumId w:val="5"/>
  </w:num>
  <w:num w:numId="10">
    <w:abstractNumId w:val="9"/>
  </w:num>
  <w:num w:numId="11">
    <w:abstractNumId w:val="0"/>
  </w:num>
  <w:num w:numId="12">
    <w:abstractNumId w:val="12"/>
  </w:num>
  <w:num w:numId="1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4">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5">
    <w:abstractNumId w:val="4"/>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8">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9">
    <w:abstractNumId w:val="15"/>
  </w:num>
  <w:num w:numId="20">
    <w:abstractNumId w:val="16"/>
  </w:num>
  <w:num w:numId="21">
    <w:abstractNumId w:val="1"/>
  </w:num>
  <w:num w:numId="22">
    <w:abstractNumId w:val="6"/>
  </w:num>
  <w:num w:numId="23">
    <w:abstractNumId w:val="3"/>
  </w:num>
  <w:num w:numId="24">
    <w:abstractNumId w:val="3"/>
    <w:lvlOverride w:ilvl="0">
      <w:lvl w:ilvl="0">
        <w:start w:val="1"/>
        <w:numFmt w:val="none"/>
        <w:pStyle w:val="Heading1"/>
        <w:lvlText w:val="%1"/>
        <w:lvlJc w:val="left"/>
        <w:pPr>
          <w:ind w:left="0" w:firstLine="0"/>
        </w:pPr>
        <w:rPr>
          <w:rFonts w:ascii="Arial Bold" w:hAnsi="Arial Bold" w:hint="default"/>
          <w:b/>
          <w:i w:val="0"/>
          <w:color w:val="365F91" w:themeColor="accent1" w:themeShade="BF"/>
          <w:sz w:val="32"/>
        </w:rPr>
      </w:lvl>
    </w:lvlOverride>
    <w:lvlOverride w:ilvl="1">
      <w:lvl w:ilvl="1">
        <w:start w:val="1"/>
        <w:numFmt w:val="decimal"/>
        <w:pStyle w:val="Heading2"/>
        <w:lvlText w:val="Figure %2"/>
        <w:lvlJc w:val="left"/>
        <w:pPr>
          <w:ind w:left="0" w:firstLine="0"/>
        </w:pPr>
        <w:rPr>
          <w:rFonts w:ascii="Arial Bold" w:hAnsi="Arial Bold" w:hint="default"/>
          <w:b/>
          <w:i w:val="0"/>
          <w:color w:val="365F91" w:themeColor="accent1" w:themeShade="BF"/>
          <w:sz w:val="24"/>
        </w:rPr>
      </w:lvl>
    </w:lvlOverride>
    <w:lvlOverride w:ilvl="2">
      <w:lvl w:ilvl="2">
        <w:start w:val="1"/>
        <w:numFmt w:val="decimal"/>
        <w:pStyle w:val="Heading3"/>
        <w:lvlText w:val="%3"/>
        <w:lvlJc w:val="left"/>
        <w:pPr>
          <w:ind w:left="0" w:firstLine="0"/>
        </w:pPr>
        <w:rPr>
          <w:rFonts w:ascii="Arial Bold" w:hAnsi="Arial Bold" w:hint="default"/>
          <w:b/>
          <w:i w:val="0"/>
          <w:color w:val="365F91" w:themeColor="accent1" w:themeShade="BF"/>
          <w:sz w:val="24"/>
        </w:rPr>
      </w:lvl>
    </w:lvlOverride>
    <w:lvlOverride w:ilvl="3">
      <w:lvl w:ilvl="3">
        <w:start w:val="1"/>
        <w:numFmt w:val="decimal"/>
        <w:pStyle w:val="Heading4"/>
        <w:lvlText w:val="Figure %3.%4"/>
        <w:lvlJc w:val="left"/>
        <w:pPr>
          <w:ind w:left="0" w:firstLine="0"/>
        </w:pPr>
        <w:rPr>
          <w:rFonts w:ascii="Arial Bold" w:hAnsi="Arial Bold" w:hint="default"/>
          <w:b/>
          <w:i w:val="0"/>
          <w:color w:val="365F91" w:themeColor="accent1" w:themeShade="BF"/>
          <w:sz w:val="24"/>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5">
    <w:abstractNumId w:val="3"/>
  </w:num>
  <w:num w:numId="26">
    <w:abstractNumId w:val="3"/>
  </w:num>
  <w:num w:numId="27">
    <w:abstractNumId w:val="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oNotTrackMoves/>
  <w:defaultTabStop w:val="720"/>
  <w:characterSpacingControl w:val="doNotCompress"/>
  <w:hdrShapeDefaults>
    <o:shapedefaults v:ext="edit" spidmax="3686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adrae\Desktop\20150719 - 20150725 gas weekly report.docx"/>
  </w:docVars>
  <w:rsids>
    <w:rsidRoot w:val="005F18AD"/>
    <w:rsid w:val="000013C1"/>
    <w:rsid w:val="00001BFB"/>
    <w:rsid w:val="00002313"/>
    <w:rsid w:val="00004A63"/>
    <w:rsid w:val="00010025"/>
    <w:rsid w:val="000123CA"/>
    <w:rsid w:val="00020978"/>
    <w:rsid w:val="0002268D"/>
    <w:rsid w:val="00027115"/>
    <w:rsid w:val="000323BA"/>
    <w:rsid w:val="00033456"/>
    <w:rsid w:val="00040F6B"/>
    <w:rsid w:val="000552AF"/>
    <w:rsid w:val="00055584"/>
    <w:rsid w:val="00061656"/>
    <w:rsid w:val="0006609A"/>
    <w:rsid w:val="00073D01"/>
    <w:rsid w:val="00076046"/>
    <w:rsid w:val="000813BF"/>
    <w:rsid w:val="00085092"/>
    <w:rsid w:val="000876E7"/>
    <w:rsid w:val="00093854"/>
    <w:rsid w:val="000974A2"/>
    <w:rsid w:val="00097D40"/>
    <w:rsid w:val="000B4A1F"/>
    <w:rsid w:val="000B6397"/>
    <w:rsid w:val="000B69E0"/>
    <w:rsid w:val="000B7FAF"/>
    <w:rsid w:val="000D1FEB"/>
    <w:rsid w:val="000E1F9A"/>
    <w:rsid w:val="000F0BBB"/>
    <w:rsid w:val="000F2287"/>
    <w:rsid w:val="000F3B46"/>
    <w:rsid w:val="000F59F8"/>
    <w:rsid w:val="000F5F5E"/>
    <w:rsid w:val="000F6D05"/>
    <w:rsid w:val="00117C98"/>
    <w:rsid w:val="00125818"/>
    <w:rsid w:val="001420EB"/>
    <w:rsid w:val="001452B3"/>
    <w:rsid w:val="00150A19"/>
    <w:rsid w:val="00153729"/>
    <w:rsid w:val="001574BD"/>
    <w:rsid w:val="00157AFD"/>
    <w:rsid w:val="001608BE"/>
    <w:rsid w:val="00171BD5"/>
    <w:rsid w:val="00181F4A"/>
    <w:rsid w:val="001831BF"/>
    <w:rsid w:val="00183D85"/>
    <w:rsid w:val="00193ECC"/>
    <w:rsid w:val="001A41B4"/>
    <w:rsid w:val="001A5893"/>
    <w:rsid w:val="001A5B94"/>
    <w:rsid w:val="001A5C1A"/>
    <w:rsid w:val="001A765F"/>
    <w:rsid w:val="001B294E"/>
    <w:rsid w:val="001B2ADA"/>
    <w:rsid w:val="001C006C"/>
    <w:rsid w:val="001C5A74"/>
    <w:rsid w:val="001E79FF"/>
    <w:rsid w:val="001F0F9B"/>
    <w:rsid w:val="002052B6"/>
    <w:rsid w:val="00206559"/>
    <w:rsid w:val="002168D4"/>
    <w:rsid w:val="00223FD8"/>
    <w:rsid w:val="002312F5"/>
    <w:rsid w:val="00231B0A"/>
    <w:rsid w:val="00233988"/>
    <w:rsid w:val="00234764"/>
    <w:rsid w:val="00252A22"/>
    <w:rsid w:val="00254746"/>
    <w:rsid w:val="00255BA4"/>
    <w:rsid w:val="00266CA5"/>
    <w:rsid w:val="0026725A"/>
    <w:rsid w:val="0026764C"/>
    <w:rsid w:val="00270B82"/>
    <w:rsid w:val="002765A2"/>
    <w:rsid w:val="00285E00"/>
    <w:rsid w:val="002861A9"/>
    <w:rsid w:val="00290C57"/>
    <w:rsid w:val="002910A1"/>
    <w:rsid w:val="002A0CD1"/>
    <w:rsid w:val="002A30E7"/>
    <w:rsid w:val="002A3E5D"/>
    <w:rsid w:val="002A46AC"/>
    <w:rsid w:val="002A5634"/>
    <w:rsid w:val="002B3D3C"/>
    <w:rsid w:val="002B4C49"/>
    <w:rsid w:val="002B4D21"/>
    <w:rsid w:val="002C03A7"/>
    <w:rsid w:val="002C0499"/>
    <w:rsid w:val="002C2576"/>
    <w:rsid w:val="002C6020"/>
    <w:rsid w:val="002D0C16"/>
    <w:rsid w:val="002D59B3"/>
    <w:rsid w:val="002D5CEC"/>
    <w:rsid w:val="002E0688"/>
    <w:rsid w:val="002E2C96"/>
    <w:rsid w:val="002E2E46"/>
    <w:rsid w:val="002E7E9E"/>
    <w:rsid w:val="002F0AE7"/>
    <w:rsid w:val="002F139A"/>
    <w:rsid w:val="002F4250"/>
    <w:rsid w:val="0030240F"/>
    <w:rsid w:val="00311A09"/>
    <w:rsid w:val="00314A8B"/>
    <w:rsid w:val="0032174C"/>
    <w:rsid w:val="00323327"/>
    <w:rsid w:val="00330B70"/>
    <w:rsid w:val="003348F7"/>
    <w:rsid w:val="00336E8E"/>
    <w:rsid w:val="003410C4"/>
    <w:rsid w:val="00345444"/>
    <w:rsid w:val="00347FBB"/>
    <w:rsid w:val="003548AA"/>
    <w:rsid w:val="00356566"/>
    <w:rsid w:val="0035758F"/>
    <w:rsid w:val="00357C72"/>
    <w:rsid w:val="003625A6"/>
    <w:rsid w:val="00362B9A"/>
    <w:rsid w:val="003632A4"/>
    <w:rsid w:val="003664D0"/>
    <w:rsid w:val="00366BDF"/>
    <w:rsid w:val="00372976"/>
    <w:rsid w:val="00374CF9"/>
    <w:rsid w:val="003800B4"/>
    <w:rsid w:val="00387B66"/>
    <w:rsid w:val="00396C2C"/>
    <w:rsid w:val="00396C7A"/>
    <w:rsid w:val="003B0AAD"/>
    <w:rsid w:val="003B65E0"/>
    <w:rsid w:val="003C5272"/>
    <w:rsid w:val="003C5482"/>
    <w:rsid w:val="003E313D"/>
    <w:rsid w:val="003F190B"/>
    <w:rsid w:val="003F3391"/>
    <w:rsid w:val="003F44AD"/>
    <w:rsid w:val="003F51E6"/>
    <w:rsid w:val="003F7FD2"/>
    <w:rsid w:val="0040076C"/>
    <w:rsid w:val="004055AC"/>
    <w:rsid w:val="00411C3F"/>
    <w:rsid w:val="004149DB"/>
    <w:rsid w:val="00421FFF"/>
    <w:rsid w:val="00433231"/>
    <w:rsid w:val="00434FC1"/>
    <w:rsid w:val="00442756"/>
    <w:rsid w:val="00445D38"/>
    <w:rsid w:val="00447C09"/>
    <w:rsid w:val="004505EA"/>
    <w:rsid w:val="0045204B"/>
    <w:rsid w:val="00452149"/>
    <w:rsid w:val="00452AAD"/>
    <w:rsid w:val="004560B0"/>
    <w:rsid w:val="00456D13"/>
    <w:rsid w:val="00460629"/>
    <w:rsid w:val="00463EFA"/>
    <w:rsid w:val="004777B8"/>
    <w:rsid w:val="00483EDA"/>
    <w:rsid w:val="00491029"/>
    <w:rsid w:val="00491559"/>
    <w:rsid w:val="00492501"/>
    <w:rsid w:val="00496CEF"/>
    <w:rsid w:val="004A09D6"/>
    <w:rsid w:val="004A10A7"/>
    <w:rsid w:val="004B068E"/>
    <w:rsid w:val="004B18D8"/>
    <w:rsid w:val="004B2256"/>
    <w:rsid w:val="004B2A1A"/>
    <w:rsid w:val="004B6D60"/>
    <w:rsid w:val="004D09C9"/>
    <w:rsid w:val="004D1EBF"/>
    <w:rsid w:val="004D3B99"/>
    <w:rsid w:val="004D3E78"/>
    <w:rsid w:val="004F3D13"/>
    <w:rsid w:val="00502181"/>
    <w:rsid w:val="00505139"/>
    <w:rsid w:val="00514A82"/>
    <w:rsid w:val="005157B0"/>
    <w:rsid w:val="005178FC"/>
    <w:rsid w:val="00522E00"/>
    <w:rsid w:val="005244DA"/>
    <w:rsid w:val="0053609E"/>
    <w:rsid w:val="00541108"/>
    <w:rsid w:val="00547827"/>
    <w:rsid w:val="00563C94"/>
    <w:rsid w:val="0056485C"/>
    <w:rsid w:val="00564C71"/>
    <w:rsid w:val="0056618C"/>
    <w:rsid w:val="0058198F"/>
    <w:rsid w:val="00582F1C"/>
    <w:rsid w:val="005859CC"/>
    <w:rsid w:val="00586C57"/>
    <w:rsid w:val="00587CD1"/>
    <w:rsid w:val="005A1650"/>
    <w:rsid w:val="005A4569"/>
    <w:rsid w:val="005A6687"/>
    <w:rsid w:val="005A77AC"/>
    <w:rsid w:val="005C4B8B"/>
    <w:rsid w:val="005C68CE"/>
    <w:rsid w:val="005D1037"/>
    <w:rsid w:val="005D4097"/>
    <w:rsid w:val="005D6652"/>
    <w:rsid w:val="005E3DFB"/>
    <w:rsid w:val="005E4C48"/>
    <w:rsid w:val="005F18AD"/>
    <w:rsid w:val="005F31D0"/>
    <w:rsid w:val="005F4342"/>
    <w:rsid w:val="00601A25"/>
    <w:rsid w:val="00601C18"/>
    <w:rsid w:val="00601E71"/>
    <w:rsid w:val="00604BCC"/>
    <w:rsid w:val="0060661E"/>
    <w:rsid w:val="00612663"/>
    <w:rsid w:val="00645036"/>
    <w:rsid w:val="00646D39"/>
    <w:rsid w:val="00647DD2"/>
    <w:rsid w:val="006520EE"/>
    <w:rsid w:val="00652A42"/>
    <w:rsid w:val="006540A8"/>
    <w:rsid w:val="006705A4"/>
    <w:rsid w:val="00686F6E"/>
    <w:rsid w:val="00697E41"/>
    <w:rsid w:val="006A5317"/>
    <w:rsid w:val="006A7228"/>
    <w:rsid w:val="006B004C"/>
    <w:rsid w:val="006C1858"/>
    <w:rsid w:val="006C242A"/>
    <w:rsid w:val="006C2B2B"/>
    <w:rsid w:val="006C57B2"/>
    <w:rsid w:val="006C5A2C"/>
    <w:rsid w:val="006C6D60"/>
    <w:rsid w:val="006D38AC"/>
    <w:rsid w:val="006D6520"/>
    <w:rsid w:val="006D6E0B"/>
    <w:rsid w:val="006E1063"/>
    <w:rsid w:val="006E312B"/>
    <w:rsid w:val="006E40BD"/>
    <w:rsid w:val="006E7E57"/>
    <w:rsid w:val="006F2C6F"/>
    <w:rsid w:val="006F4169"/>
    <w:rsid w:val="007001FF"/>
    <w:rsid w:val="007059A9"/>
    <w:rsid w:val="00706720"/>
    <w:rsid w:val="00710600"/>
    <w:rsid w:val="0071106C"/>
    <w:rsid w:val="00715BED"/>
    <w:rsid w:val="007201F8"/>
    <w:rsid w:val="007209C0"/>
    <w:rsid w:val="00722B62"/>
    <w:rsid w:val="0072650E"/>
    <w:rsid w:val="007306EC"/>
    <w:rsid w:val="00740EE4"/>
    <w:rsid w:val="00747724"/>
    <w:rsid w:val="00750C0F"/>
    <w:rsid w:val="00763150"/>
    <w:rsid w:val="0076429B"/>
    <w:rsid w:val="00767397"/>
    <w:rsid w:val="00773AE0"/>
    <w:rsid w:val="00776BBA"/>
    <w:rsid w:val="00781A4A"/>
    <w:rsid w:val="00791198"/>
    <w:rsid w:val="0079137B"/>
    <w:rsid w:val="007941C2"/>
    <w:rsid w:val="00795966"/>
    <w:rsid w:val="007966A5"/>
    <w:rsid w:val="007A12DE"/>
    <w:rsid w:val="007A24B5"/>
    <w:rsid w:val="007A7E7A"/>
    <w:rsid w:val="007B7771"/>
    <w:rsid w:val="007D470C"/>
    <w:rsid w:val="007D4B14"/>
    <w:rsid w:val="007D4F53"/>
    <w:rsid w:val="007E52F7"/>
    <w:rsid w:val="007E5F68"/>
    <w:rsid w:val="0080456D"/>
    <w:rsid w:val="00811D1C"/>
    <w:rsid w:val="008133CF"/>
    <w:rsid w:val="008170C0"/>
    <w:rsid w:val="008344A6"/>
    <w:rsid w:val="0086783F"/>
    <w:rsid w:val="00875D0C"/>
    <w:rsid w:val="008776EF"/>
    <w:rsid w:val="00882958"/>
    <w:rsid w:val="008936C5"/>
    <w:rsid w:val="00895965"/>
    <w:rsid w:val="008A5DFE"/>
    <w:rsid w:val="008A6DB5"/>
    <w:rsid w:val="008B7161"/>
    <w:rsid w:val="008C0EC8"/>
    <w:rsid w:val="008C268E"/>
    <w:rsid w:val="008C7F3A"/>
    <w:rsid w:val="008D39F4"/>
    <w:rsid w:val="008D4DAB"/>
    <w:rsid w:val="008D70A4"/>
    <w:rsid w:val="008E2239"/>
    <w:rsid w:val="008E24DA"/>
    <w:rsid w:val="008F4BF5"/>
    <w:rsid w:val="008F4EAE"/>
    <w:rsid w:val="008F5409"/>
    <w:rsid w:val="00900CEB"/>
    <w:rsid w:val="00903620"/>
    <w:rsid w:val="009136B3"/>
    <w:rsid w:val="009143E0"/>
    <w:rsid w:val="00936A7B"/>
    <w:rsid w:val="00937543"/>
    <w:rsid w:val="00942622"/>
    <w:rsid w:val="00942640"/>
    <w:rsid w:val="00950C55"/>
    <w:rsid w:val="00951926"/>
    <w:rsid w:val="00956CE9"/>
    <w:rsid w:val="009629B5"/>
    <w:rsid w:val="00976584"/>
    <w:rsid w:val="00983479"/>
    <w:rsid w:val="00987973"/>
    <w:rsid w:val="00990F83"/>
    <w:rsid w:val="009962A0"/>
    <w:rsid w:val="009A04DD"/>
    <w:rsid w:val="009B2F99"/>
    <w:rsid w:val="009B4053"/>
    <w:rsid w:val="009B6259"/>
    <w:rsid w:val="009B77E9"/>
    <w:rsid w:val="009B7937"/>
    <w:rsid w:val="009C2C0E"/>
    <w:rsid w:val="009C30E2"/>
    <w:rsid w:val="009C341E"/>
    <w:rsid w:val="009C4CBD"/>
    <w:rsid w:val="009C7F8C"/>
    <w:rsid w:val="009D2B17"/>
    <w:rsid w:val="009D7763"/>
    <w:rsid w:val="009D7D0F"/>
    <w:rsid w:val="009E18FE"/>
    <w:rsid w:val="009E74E3"/>
    <w:rsid w:val="009F43B1"/>
    <w:rsid w:val="009F4655"/>
    <w:rsid w:val="009F4DF7"/>
    <w:rsid w:val="009F6FA3"/>
    <w:rsid w:val="00A00FFF"/>
    <w:rsid w:val="00A0223D"/>
    <w:rsid w:val="00A13F97"/>
    <w:rsid w:val="00A156EE"/>
    <w:rsid w:val="00A200D0"/>
    <w:rsid w:val="00A23D7C"/>
    <w:rsid w:val="00A26940"/>
    <w:rsid w:val="00A324A8"/>
    <w:rsid w:val="00A349B0"/>
    <w:rsid w:val="00A475A2"/>
    <w:rsid w:val="00A51DDD"/>
    <w:rsid w:val="00A55660"/>
    <w:rsid w:val="00A55C96"/>
    <w:rsid w:val="00A642B8"/>
    <w:rsid w:val="00A66FD2"/>
    <w:rsid w:val="00A67716"/>
    <w:rsid w:val="00A677D8"/>
    <w:rsid w:val="00A834DF"/>
    <w:rsid w:val="00A91C53"/>
    <w:rsid w:val="00A936AE"/>
    <w:rsid w:val="00AA1D87"/>
    <w:rsid w:val="00AA40C6"/>
    <w:rsid w:val="00AD3EBD"/>
    <w:rsid w:val="00AE03A4"/>
    <w:rsid w:val="00AE4633"/>
    <w:rsid w:val="00AE748C"/>
    <w:rsid w:val="00AF2164"/>
    <w:rsid w:val="00AF2281"/>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9666A"/>
    <w:rsid w:val="00BA16E2"/>
    <w:rsid w:val="00BA31C3"/>
    <w:rsid w:val="00BA65E6"/>
    <w:rsid w:val="00BA6C2E"/>
    <w:rsid w:val="00BB2FF6"/>
    <w:rsid w:val="00BC18FB"/>
    <w:rsid w:val="00BC21AB"/>
    <w:rsid w:val="00BC254C"/>
    <w:rsid w:val="00BC4C5B"/>
    <w:rsid w:val="00BC77F9"/>
    <w:rsid w:val="00BD3A40"/>
    <w:rsid w:val="00BD60AA"/>
    <w:rsid w:val="00BE18D0"/>
    <w:rsid w:val="00BE240C"/>
    <w:rsid w:val="00BE4577"/>
    <w:rsid w:val="00BF1D01"/>
    <w:rsid w:val="00BF3080"/>
    <w:rsid w:val="00C21D81"/>
    <w:rsid w:val="00C26B1D"/>
    <w:rsid w:val="00C26E38"/>
    <w:rsid w:val="00C3163F"/>
    <w:rsid w:val="00C560C2"/>
    <w:rsid w:val="00C60857"/>
    <w:rsid w:val="00C75920"/>
    <w:rsid w:val="00C80FD8"/>
    <w:rsid w:val="00C83657"/>
    <w:rsid w:val="00C859CC"/>
    <w:rsid w:val="00C94431"/>
    <w:rsid w:val="00C9498F"/>
    <w:rsid w:val="00CA0EE1"/>
    <w:rsid w:val="00CB0C0E"/>
    <w:rsid w:val="00CC300D"/>
    <w:rsid w:val="00CC385B"/>
    <w:rsid w:val="00CC4A35"/>
    <w:rsid w:val="00CD3544"/>
    <w:rsid w:val="00CE2F02"/>
    <w:rsid w:val="00CE48FC"/>
    <w:rsid w:val="00CE5DB6"/>
    <w:rsid w:val="00CE620D"/>
    <w:rsid w:val="00CE75EF"/>
    <w:rsid w:val="00CF32A8"/>
    <w:rsid w:val="00CF53CA"/>
    <w:rsid w:val="00CF5471"/>
    <w:rsid w:val="00D10FA6"/>
    <w:rsid w:val="00D11DDB"/>
    <w:rsid w:val="00D161D7"/>
    <w:rsid w:val="00D1641C"/>
    <w:rsid w:val="00D16FE8"/>
    <w:rsid w:val="00D22793"/>
    <w:rsid w:val="00D329E0"/>
    <w:rsid w:val="00D40430"/>
    <w:rsid w:val="00D41D64"/>
    <w:rsid w:val="00D50980"/>
    <w:rsid w:val="00D60D45"/>
    <w:rsid w:val="00D635F1"/>
    <w:rsid w:val="00D67440"/>
    <w:rsid w:val="00D71951"/>
    <w:rsid w:val="00D76436"/>
    <w:rsid w:val="00D84A8C"/>
    <w:rsid w:val="00DA0113"/>
    <w:rsid w:val="00DA37EC"/>
    <w:rsid w:val="00DA38A8"/>
    <w:rsid w:val="00DA3AAA"/>
    <w:rsid w:val="00DA562F"/>
    <w:rsid w:val="00DA78FA"/>
    <w:rsid w:val="00DB0182"/>
    <w:rsid w:val="00DB12E4"/>
    <w:rsid w:val="00DB3B79"/>
    <w:rsid w:val="00DB3D7F"/>
    <w:rsid w:val="00DB5A3A"/>
    <w:rsid w:val="00DC0A52"/>
    <w:rsid w:val="00DC12FF"/>
    <w:rsid w:val="00DC154F"/>
    <w:rsid w:val="00DC158D"/>
    <w:rsid w:val="00DD0358"/>
    <w:rsid w:val="00DD5ACD"/>
    <w:rsid w:val="00E01475"/>
    <w:rsid w:val="00E032F3"/>
    <w:rsid w:val="00E16C03"/>
    <w:rsid w:val="00E2040E"/>
    <w:rsid w:val="00E2256B"/>
    <w:rsid w:val="00E27FEA"/>
    <w:rsid w:val="00E33FF8"/>
    <w:rsid w:val="00E37A86"/>
    <w:rsid w:val="00E40361"/>
    <w:rsid w:val="00E41452"/>
    <w:rsid w:val="00E524B2"/>
    <w:rsid w:val="00E52E2A"/>
    <w:rsid w:val="00E74D68"/>
    <w:rsid w:val="00E7639D"/>
    <w:rsid w:val="00E77449"/>
    <w:rsid w:val="00E8378F"/>
    <w:rsid w:val="00E86AAA"/>
    <w:rsid w:val="00E92E1D"/>
    <w:rsid w:val="00E93C7C"/>
    <w:rsid w:val="00E94C7D"/>
    <w:rsid w:val="00EA2F65"/>
    <w:rsid w:val="00EA4813"/>
    <w:rsid w:val="00EA6E29"/>
    <w:rsid w:val="00EC68E5"/>
    <w:rsid w:val="00ED5E08"/>
    <w:rsid w:val="00EE2B5F"/>
    <w:rsid w:val="00EE51D2"/>
    <w:rsid w:val="00EE6F2C"/>
    <w:rsid w:val="00EF4E45"/>
    <w:rsid w:val="00EF58A8"/>
    <w:rsid w:val="00EF5A5D"/>
    <w:rsid w:val="00EF6B0C"/>
    <w:rsid w:val="00F01843"/>
    <w:rsid w:val="00F02D8D"/>
    <w:rsid w:val="00F16C55"/>
    <w:rsid w:val="00F25FA8"/>
    <w:rsid w:val="00F268DD"/>
    <w:rsid w:val="00F415E2"/>
    <w:rsid w:val="00F427B4"/>
    <w:rsid w:val="00F45735"/>
    <w:rsid w:val="00F5024F"/>
    <w:rsid w:val="00F50297"/>
    <w:rsid w:val="00F51FA1"/>
    <w:rsid w:val="00F5594F"/>
    <w:rsid w:val="00F55D61"/>
    <w:rsid w:val="00F63042"/>
    <w:rsid w:val="00F645EC"/>
    <w:rsid w:val="00F67024"/>
    <w:rsid w:val="00F67559"/>
    <w:rsid w:val="00F71200"/>
    <w:rsid w:val="00F73DCA"/>
    <w:rsid w:val="00F76C75"/>
    <w:rsid w:val="00F77722"/>
    <w:rsid w:val="00F803DE"/>
    <w:rsid w:val="00F96C04"/>
    <w:rsid w:val="00F976F4"/>
    <w:rsid w:val="00FB594A"/>
    <w:rsid w:val="00FB7DD0"/>
    <w:rsid w:val="00FC4B88"/>
    <w:rsid w:val="00FD08B1"/>
    <w:rsid w:val="00FD5903"/>
    <w:rsid w:val="00FD7009"/>
    <w:rsid w:val="00FD7231"/>
    <w:rsid w:val="00FE0150"/>
    <w:rsid w:val="00FF0D8A"/>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footnote text" w:uiPriority="2" w:qFormat="1"/>
    <w:lsdException w:name="annotation text" w:uiPriority="99"/>
    <w:lsdException w:name="caption"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6A7B"/>
    <w:pPr>
      <w:spacing w:before="120" w:after="120"/>
    </w:pPr>
    <w:rPr>
      <w:rFonts w:ascii="Arial" w:hAnsi="Arial"/>
      <w:sz w:val="22"/>
      <w:szCs w:val="24"/>
    </w:rPr>
  </w:style>
  <w:style w:type="paragraph" w:styleId="Heading1">
    <w:name w:val="heading 1"/>
    <w:basedOn w:val="Normal"/>
    <w:next w:val="Normal"/>
    <w:link w:val="Heading1Char"/>
    <w:qFormat/>
    <w:rsid w:val="005F18AD"/>
    <w:pPr>
      <w:keepNext/>
      <w:numPr>
        <w:numId w:val="23"/>
      </w:numPr>
      <w:spacing w:before="240" w:after="60"/>
      <w:outlineLvl w:val="0"/>
    </w:pPr>
    <w:rPr>
      <w:rFonts w:cs="Arial"/>
      <w:b/>
      <w:bCs/>
      <w:kern w:val="32"/>
      <w:sz w:val="32"/>
      <w:szCs w:val="32"/>
    </w:rPr>
  </w:style>
  <w:style w:type="paragraph" w:styleId="Heading2">
    <w:name w:val="heading 2"/>
    <w:basedOn w:val="Normal"/>
    <w:next w:val="Normal"/>
    <w:link w:val="Heading2Char"/>
    <w:qFormat/>
    <w:rsid w:val="005F18AD"/>
    <w:pPr>
      <w:keepNext/>
      <w:numPr>
        <w:ilvl w:val="1"/>
        <w:numId w:val="23"/>
      </w:numPr>
      <w:spacing w:before="240" w:after="60"/>
      <w:outlineLvl w:val="1"/>
    </w:pPr>
    <w:rPr>
      <w:rFonts w:cs="Arial"/>
      <w:b/>
      <w:bCs/>
      <w:i/>
      <w:iCs/>
      <w:sz w:val="28"/>
      <w:szCs w:val="28"/>
    </w:rPr>
  </w:style>
  <w:style w:type="paragraph" w:styleId="Heading3">
    <w:name w:val="heading 3"/>
    <w:basedOn w:val="Normal"/>
    <w:next w:val="Normal"/>
    <w:link w:val="Heading3Char"/>
    <w:qFormat/>
    <w:rsid w:val="005F18AD"/>
    <w:pPr>
      <w:keepNext/>
      <w:numPr>
        <w:ilvl w:val="2"/>
        <w:numId w:val="23"/>
      </w:numPr>
      <w:spacing w:before="240" w:after="60"/>
      <w:outlineLvl w:val="2"/>
    </w:pPr>
    <w:rPr>
      <w:rFonts w:cs="Arial"/>
      <w:b/>
      <w:bCs/>
      <w:sz w:val="26"/>
      <w:szCs w:val="26"/>
    </w:rPr>
  </w:style>
  <w:style w:type="paragraph" w:styleId="Heading4">
    <w:name w:val="heading 4"/>
    <w:basedOn w:val="Normal"/>
    <w:next w:val="Normal"/>
    <w:link w:val="Heading4Char"/>
    <w:qFormat/>
    <w:rsid w:val="005F18AD"/>
    <w:pPr>
      <w:keepNext/>
      <w:numPr>
        <w:ilvl w:val="3"/>
        <w:numId w:val="23"/>
      </w:numPr>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rPr>
  </w:style>
  <w:style w:type="character" w:customStyle="1" w:styleId="Heading2Char">
    <w:name w:val="Heading 2 Char"/>
    <w:link w:val="Heading2"/>
    <w:locked/>
    <w:rsid w:val="005F18AD"/>
    <w:rPr>
      <w:rFonts w:ascii="Arial" w:hAnsi="Arial" w:cs="Arial"/>
      <w:b/>
      <w:bCs/>
      <w:i/>
      <w:iCs/>
      <w:sz w:val="28"/>
      <w:szCs w:val="28"/>
    </w:rPr>
  </w:style>
  <w:style w:type="character" w:customStyle="1" w:styleId="Heading3Char">
    <w:name w:val="Heading 3 Char"/>
    <w:link w:val="Heading3"/>
    <w:locked/>
    <w:rsid w:val="005F18AD"/>
    <w:rPr>
      <w:rFonts w:ascii="Arial" w:hAnsi="Arial" w:cs="Arial"/>
      <w:b/>
      <w:bCs/>
      <w:sz w:val="26"/>
      <w:szCs w:val="26"/>
    </w:rPr>
  </w:style>
  <w:style w:type="character" w:customStyle="1" w:styleId="Heading4Char">
    <w:name w:val="Heading 4 Char"/>
    <w:link w:val="Heading4"/>
    <w:locked/>
    <w:rsid w:val="005F18AD"/>
    <w:rPr>
      <w:rFonts w:ascii="Arial" w:hAnsi="Arial"/>
      <w:b/>
      <w:bCs/>
      <w:sz w:val="28"/>
      <w:szCs w:val="28"/>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uiPriority w:val="99"/>
    <w:semiHidden/>
    <w:rsid w:val="005F18AD"/>
    <w:rPr>
      <w:sz w:val="20"/>
    </w:rPr>
  </w:style>
  <w:style w:type="character" w:customStyle="1" w:styleId="CommentTextChar">
    <w:name w:val="Comment Text Char"/>
    <w:link w:val="CommentText"/>
    <w:uiPriority w:val="99"/>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cs="Arial"/>
      <w:b/>
      <w:sz w:val="20"/>
    </w:rPr>
  </w:style>
  <w:style w:type="character" w:customStyle="1" w:styleId="FigHeadingCharChar">
    <w:name w:val="Fig Heading Char Char"/>
    <w:link w:val="FigHeading"/>
    <w:rsid w:val="005F18AD"/>
    <w:rPr>
      <w:rFonts w:ascii="Arial" w:hAnsi="Arial" w:cs="Arial"/>
      <w:b/>
      <w:szCs w:val="24"/>
    </w:rPr>
  </w:style>
  <w:style w:type="paragraph" w:customStyle="1" w:styleId="AERbodytext">
    <w:name w:val="AER body text"/>
    <w:basedOn w:val="Normal"/>
    <w:rsid w:val="00936A7B"/>
    <w:pPr>
      <w:spacing w:before="200" w:after="0" w:line="276" w:lineRule="auto"/>
    </w:pPr>
    <w:rPr>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uiPriority w:val="99"/>
    <w:rsid w:val="005F18AD"/>
    <w:rPr>
      <w:vertAlign w:val="superscript"/>
    </w:rPr>
  </w:style>
  <w:style w:type="paragraph" w:styleId="FootnoteText">
    <w:name w:val="footnote text"/>
    <w:aliases w:val="Footnote Text Char1 Char,Footnote Text Char Char Char,Footnote Text Char2 Char Char Char,ALTS FOOTNOTE Char2 Char Char Char,Footnote Text Char1 Char1 Char Char Char,Footnote Text Char Char Char1 Char Char Char,Footnote Text2,Footnote Text1"/>
    <w:basedOn w:val="Normal"/>
    <w:link w:val="FootnoteTextChar"/>
    <w:uiPriority w:val="2"/>
    <w:qFormat/>
    <w:rsid w:val="005F18AD"/>
    <w:pPr>
      <w:ind w:left="340" w:hanging="340"/>
    </w:pPr>
    <w:rPr>
      <w:sz w:val="20"/>
      <w:szCs w:val="20"/>
      <w:lang w:eastAsia="en-US"/>
    </w:rPr>
  </w:style>
  <w:style w:type="character" w:customStyle="1" w:styleId="FootnoteTextChar">
    <w:name w:val="Footnote Text Char"/>
    <w:aliases w:val="Footnote Text Char1 Char Char,Footnote Text Char Char Char Char,Footnote Text Char2 Char Char Char Char,ALTS FOOTNOTE Char2 Char Char Char Char,Footnote Text Char1 Char1 Char Char Char Char,Footnote Text2 Char,Footnote Text1 Char"/>
    <w:link w:val="FootnoteText"/>
    <w:uiPriority w:val="2"/>
    <w:locked/>
    <w:rsid w:val="005F18AD"/>
    <w:rPr>
      <w:lang w:val="en-AU" w:eastAsia="en-US" w:bidi="ar-SA"/>
    </w:rPr>
  </w:style>
  <w:style w:type="paragraph" w:styleId="Caption">
    <w:name w:val="caption"/>
    <w:basedOn w:val="Normal"/>
    <w:next w:val="Normal"/>
    <w:qFormat/>
    <w:rsid w:val="000F2287"/>
    <w:pPr>
      <w:keepNext/>
      <w:spacing w:before="240" w:line="276" w:lineRule="auto"/>
    </w:pPr>
    <w:rPr>
      <w:rFonts w:eastAsiaTheme="minorHAnsi" w:cstheme="minorBidi"/>
      <w:b/>
      <w:bCs/>
      <w:color w:val="0070C0"/>
      <w:szCs w:val="22"/>
      <w:lang w:eastAsia="en-US"/>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spacing w:after="120"/>
    </w:pPr>
    <w:rPr>
      <w:i w:val="0"/>
      <w:sz w:val="30"/>
      <w:lang w:eastAsia="en-US"/>
    </w:rPr>
  </w:style>
  <w:style w:type="paragraph" w:customStyle="1" w:styleId="AERheading3">
    <w:name w:val="AER heading 3"/>
    <w:basedOn w:val="Heading3"/>
    <w:next w:val="AERbodytext"/>
    <w:rsid w:val="005F18AD"/>
    <w:pPr>
      <w:spacing w:after="120"/>
    </w:pPr>
    <w:rPr>
      <w:rFonts w:ascii="Arial Bold" w:hAnsi="Arial Bold"/>
      <w:sz w:val="24"/>
      <w:szCs w:val="24"/>
      <w:lang w:eastAsia="en-US"/>
    </w:rPr>
  </w:style>
  <w:style w:type="paragraph" w:customStyle="1" w:styleId="AERheading4">
    <w:name w:val="AER heading 4"/>
    <w:basedOn w:val="Heading4"/>
    <w:next w:val="AERbodytext"/>
    <w:rsid w:val="005F18AD"/>
    <w:pPr>
      <w:spacing w:after="120"/>
    </w:pPr>
    <w:rPr>
      <w:sz w:val="22"/>
      <w:lang w:eastAsia="en-US"/>
    </w:rPr>
  </w:style>
  <w:style w:type="paragraph" w:customStyle="1" w:styleId="AERtableheading">
    <w:name w:val="AER table heading"/>
    <w:basedOn w:val="Normal"/>
    <w:next w:val="Normal"/>
    <w:rsid w:val="005F18AD"/>
    <w:pPr>
      <w:keepNext/>
      <w:spacing w:before="240"/>
      <w:outlineLvl w:val="3"/>
    </w:pPr>
    <w:rPr>
      <w:b/>
      <w:lang w:eastAsia="en-US"/>
    </w:rPr>
  </w:style>
  <w:style w:type="paragraph" w:customStyle="1" w:styleId="AERfigureheading">
    <w:name w:val="AER figure heading"/>
    <w:basedOn w:val="Normal"/>
    <w:next w:val="AERbodytext"/>
    <w:rsid w:val="000F2287"/>
    <w:pPr>
      <w:keepNext/>
      <w:spacing w:before="240"/>
      <w:outlineLvl w:val="3"/>
    </w:pPr>
    <w:rPr>
      <w:b/>
      <w:color w:val="0070C0"/>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tabs>
        <w:tab w:val="num" w:pos="1134"/>
      </w:tabs>
      <w:ind w:left="1361" w:hanging="1361"/>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rPr>
  </w:style>
  <w:style w:type="paragraph" w:customStyle="1" w:styleId="FigheadingA">
    <w:name w:val="Fig heading A"/>
    <w:basedOn w:val="Heading6"/>
    <w:rsid w:val="005F18AD"/>
    <w:pPr>
      <w:numPr>
        <w:ilvl w:val="5"/>
        <w:numId w:val="3"/>
      </w:numPr>
      <w:spacing w:before="0" w:after="120"/>
    </w:pPr>
    <w:rPr>
      <w:rFonts w:cs="Arial"/>
      <w:sz w:val="20"/>
      <w:szCs w:val="20"/>
    </w:rPr>
  </w:style>
  <w:style w:type="paragraph" w:customStyle="1" w:styleId="aerbodytext0">
    <w:name w:val="aerbodytext"/>
    <w:basedOn w:val="Normal"/>
    <w:rsid w:val="005F18AD"/>
    <w:pPr>
      <w:spacing w:after="240"/>
    </w:pPr>
  </w:style>
  <w:style w:type="character" w:styleId="CommentReference">
    <w:name w:val="annotation reference"/>
    <w:uiPriority w:val="99"/>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outlineLvl w:val="3"/>
    </w:pPr>
    <w:rPr>
      <w:b/>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tabs>
        <w:tab w:val="num" w:pos="851"/>
      </w:tabs>
      <w:ind w:left="851" w:hanging="851"/>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link w:val="TitleChar"/>
    <w:qFormat/>
    <w:rsid w:val="00231B0A"/>
    <w:pPr>
      <w:spacing w:before="100" w:beforeAutospacing="1" w:after="100" w:afterAutospacing="1"/>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pPr>
    <w:rPr>
      <w:rFonts w:ascii="Arial Bold" w:hAnsi="Arial Bold"/>
      <w:sz w:val="30"/>
      <w:lang w:eastAsia="en-US"/>
    </w:rPr>
  </w:style>
  <w:style w:type="paragraph" w:customStyle="1" w:styleId="AERunnumberedheading3">
    <w:name w:val="AER unnumbered heading 3"/>
    <w:basedOn w:val="AERHeading10"/>
    <w:next w:val="AERbodytext"/>
    <w:rsid w:val="00936A7B"/>
  </w:style>
  <w:style w:type="paragraph" w:customStyle="1" w:styleId="AERunnumberedheading4">
    <w:name w:val="AER unnumbered heading 4"/>
    <w:basedOn w:val="Normal"/>
    <w:next w:val="AERbodytext"/>
    <w:rsid w:val="005F18AD"/>
    <w:pPr>
      <w:keepNext/>
      <w:tabs>
        <w:tab w:val="left" w:pos="851"/>
        <w:tab w:val="left" w:pos="1080"/>
      </w:tabs>
      <w:spacing w:before="240"/>
      <w:outlineLvl w:val="3"/>
    </w:pPr>
    <w:rPr>
      <w:b/>
      <w:lang w:eastAsia="en-US"/>
    </w:rPr>
  </w:style>
  <w:style w:type="character" w:styleId="PageNumber">
    <w:name w:val="page number"/>
    <w:rsid w:val="005F18AD"/>
    <w:rPr>
      <w:rFonts w:ascii="Arial" w:hAnsi="Arial"/>
      <w:sz w:val="20"/>
    </w:rPr>
  </w:style>
  <w:style w:type="paragraph" w:styleId="Subtitle">
    <w:name w:val="Subtitle"/>
    <w:link w:val="SubtitleChar"/>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 w:type="table" w:customStyle="1" w:styleId="AERTable-Text0">
    <w:name w:val="AER Table - Text"/>
    <w:basedOn w:val="TableNormal"/>
    <w:uiPriority w:val="99"/>
    <w:rsid w:val="00936A7B"/>
    <w:pPr>
      <w:spacing w:before="120" w:after="120"/>
    </w:pPr>
    <w:rPr>
      <w:rFonts w:ascii="Arial" w:eastAsia="Arial" w:hAnsi="Arial"/>
      <w:sz w:val="18"/>
      <w:szCs w:val="22"/>
      <w:lang w:eastAsia="en-US"/>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AERHeading10">
    <w:name w:val="AER Heading 1"/>
    <w:basedOn w:val="Normal"/>
    <w:link w:val="AERHeading1Char"/>
    <w:qFormat/>
    <w:rsid w:val="00936A7B"/>
    <w:pPr>
      <w:tabs>
        <w:tab w:val="left" w:pos="680"/>
      </w:tabs>
      <w:spacing w:before="200" w:after="0" w:line="240" w:lineRule="atLeast"/>
      <w:outlineLvl w:val="1"/>
    </w:pPr>
    <w:rPr>
      <w:b/>
      <w:bCs/>
      <w:color w:val="2272A3"/>
      <w:sz w:val="32"/>
      <w:szCs w:val="20"/>
      <w:lang w:eastAsia="en-US"/>
    </w:rPr>
  </w:style>
  <w:style w:type="character" w:customStyle="1" w:styleId="AERHeading1Char">
    <w:name w:val="AER Heading 1 Char"/>
    <w:link w:val="AERHeading10"/>
    <w:rsid w:val="00936A7B"/>
    <w:rPr>
      <w:rFonts w:ascii="Arial" w:hAnsi="Arial"/>
      <w:b/>
      <w:bCs/>
      <w:color w:val="2272A3"/>
      <w:sz w:val="32"/>
      <w:lang w:eastAsia="en-US"/>
    </w:rPr>
  </w:style>
  <w:style w:type="paragraph" w:customStyle="1" w:styleId="AERNumberedheading1nonewpage">
    <w:name w:val="AER Numbered heading 1 no new page"/>
    <w:basedOn w:val="AERHeading10"/>
    <w:link w:val="AERNumberedheading1nonewpageChar"/>
    <w:qFormat/>
    <w:rsid w:val="000F2287"/>
    <w:pPr>
      <w:numPr>
        <w:numId w:val="15"/>
      </w:numPr>
      <w:tabs>
        <w:tab w:val="clear" w:pos="680"/>
        <w:tab w:val="left" w:pos="709"/>
      </w:tabs>
    </w:pPr>
  </w:style>
  <w:style w:type="character" w:customStyle="1" w:styleId="AERNumberedheading1nonewpageChar">
    <w:name w:val="AER Numbered heading 1 no new page Char"/>
    <w:basedOn w:val="AERHeading1Char"/>
    <w:link w:val="AERNumberedheading1nonewpage"/>
    <w:rsid w:val="000F2287"/>
    <w:rPr>
      <w:rFonts w:ascii="Arial" w:hAnsi="Arial"/>
      <w:b/>
      <w:bCs/>
      <w:color w:val="2272A3"/>
      <w:sz w:val="32"/>
      <w:lang w:eastAsia="en-US"/>
    </w:rPr>
  </w:style>
  <w:style w:type="numbering" w:customStyle="1" w:styleId="Style1">
    <w:name w:val="Style1"/>
    <w:uiPriority w:val="99"/>
    <w:rsid w:val="00E2040E"/>
    <w:pPr>
      <w:numPr>
        <w:numId w:val="20"/>
      </w:numPr>
    </w:pPr>
  </w:style>
  <w:style w:type="character" w:customStyle="1" w:styleId="TitleChar">
    <w:name w:val="Title Char"/>
    <w:link w:val="Title"/>
    <w:rsid w:val="00004A63"/>
    <w:rPr>
      <w:rFonts w:ascii="Arial" w:hAnsi="Arial" w:cs="Arial"/>
      <w:b/>
      <w:bCs/>
      <w:kern w:val="28"/>
      <w:sz w:val="36"/>
      <w:szCs w:val="32"/>
      <w:lang w:eastAsia="en-US"/>
    </w:rPr>
  </w:style>
  <w:style w:type="character" w:customStyle="1" w:styleId="SubtitleChar">
    <w:name w:val="Subtitle Char"/>
    <w:link w:val="Subtitle"/>
    <w:rsid w:val="00004A63"/>
    <w:rPr>
      <w:rFonts w:ascii="Arial" w:hAnsi="Arial" w:cs="Arial"/>
      <w:sz w:val="28"/>
      <w:szCs w:val="24"/>
      <w:lang w:eastAsia="en-US"/>
    </w:rPr>
  </w:style>
  <w:style w:type="paragraph" w:styleId="Revision">
    <w:name w:val="Revision"/>
    <w:hidden/>
    <w:uiPriority w:val="99"/>
    <w:semiHidden/>
    <w:rsid w:val="0079137B"/>
    <w:rPr>
      <w:rFonts w:ascii="Arial" w:hAnsi="Arial"/>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1"/>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www.aer.gov.au/node/451" TargetMode="External"/><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aer.gov.au/node/456"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node/451" TargetMode="External"/><Relationship Id="rId24" Type="http://schemas.openxmlformats.org/officeDocument/2006/relationships/image" Target="media/image13.emf"/><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image" Target="media/image2.emf"/><Relationship Id="rId19" Type="http://schemas.openxmlformats.org/officeDocument/2006/relationships/image" Target="media/image8.emf"/><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F64675-BFA1-4E7B-8879-AA77F95D7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36DFA61.dotm</Template>
  <TotalTime>0</TotalTime>
  <Pages>11</Pages>
  <Words>2152</Words>
  <Characters>10239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12367</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2015-08-11T07:03:00Z</dcterms:created>
  <dcterms:modified xsi:type="dcterms:W3CDTF">2015-08-11T07:05:00Z</dcterms:modified>
</cp:coreProperties>
</file>