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2286F9C5" wp14:editId="2F28B204">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76D" w:rsidRPr="000E2946" w:rsidRDefault="0004076D" w:rsidP="000E2946">
                            <w:pPr>
                              <w:pStyle w:val="Title"/>
                            </w:pPr>
                            <w:r w:rsidRPr="000E2946">
                              <w:t>Electricity Report</w:t>
                            </w:r>
                          </w:p>
                          <w:p w:rsidR="0004076D" w:rsidRPr="000E2946" w:rsidRDefault="0004076D" w:rsidP="000E2946">
                            <w:pPr>
                              <w:pStyle w:val="Title"/>
                            </w:pPr>
                            <w:r>
                              <w:t xml:space="preserve">19 – 25 July </w:t>
                            </w:r>
                            <w:r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04076D" w:rsidRPr="000E2946" w:rsidRDefault="0004076D" w:rsidP="000E2946">
                      <w:pPr>
                        <w:pStyle w:val="Title"/>
                      </w:pPr>
                      <w:r w:rsidRPr="000E2946">
                        <w:t>Electricity Report</w:t>
                      </w:r>
                    </w:p>
                    <w:p w:rsidR="0004076D" w:rsidRPr="000E2946" w:rsidRDefault="0004076D" w:rsidP="000E2946">
                      <w:pPr>
                        <w:pStyle w:val="Title"/>
                      </w:pPr>
                      <w:r>
                        <w:t xml:space="preserve">19 – 25 July </w:t>
                      </w:r>
                      <w:r w:rsidRPr="000E2946">
                        <w:t>2015</w:t>
                      </w:r>
                    </w:p>
                  </w:txbxContent>
                </v:textbox>
              </v:shape>
            </w:pict>
          </mc:Fallback>
        </mc:AlternateContent>
      </w:r>
      <w:r w:rsidRPr="0031019A">
        <w:rPr>
          <w:noProof/>
          <w:lang w:eastAsia="en-AU"/>
        </w:rPr>
        <w:drawing>
          <wp:inline distT="0" distB="0" distL="0" distR="0" wp14:anchorId="474206D0" wp14:editId="4B0C3EB7">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F04BDA" w:rsidRDefault="001D0CE3" w:rsidP="006B7CE0">
      <w:pPr>
        <w:jc w:val="both"/>
        <w:rPr>
          <w:rFonts w:cs="Arial"/>
        </w:rPr>
      </w:pPr>
      <w:r>
        <w:rPr>
          <w:rFonts w:cs="Arial"/>
        </w:rPr>
        <w:fldChar w:fldCharType="begin"/>
      </w:r>
      <w:r>
        <w:rPr>
          <w:rFonts w:cs="Arial"/>
        </w:rPr>
        <w:instrText xml:space="preserve"> REF _Ref410382491 \h </w:instrText>
      </w:r>
      <w:r w:rsidR="006B7CE0">
        <w:rPr>
          <w:rFonts w:cs="Arial"/>
        </w:rPr>
        <w:instrText xml:space="preserve"> \* MERGEFORMAT </w:instrText>
      </w:r>
      <w:r>
        <w:rPr>
          <w:rFonts w:cs="Arial"/>
        </w:rPr>
      </w:r>
      <w:r>
        <w:rPr>
          <w:rFonts w:cs="Arial"/>
        </w:rPr>
        <w:fldChar w:fldCharType="separate"/>
      </w:r>
      <w:r w:rsidR="00000C83" w:rsidRPr="000E2946">
        <w:t xml:space="preserve">Figure </w:t>
      </w:r>
      <w:r w:rsidR="00000C83">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F04BDA">
        <w:rPr>
          <w:rFonts w:cs="Arial"/>
        </w:rPr>
        <w:t>19</w:t>
      </w:r>
      <w:r w:rsidR="00F40FF7">
        <w:rPr>
          <w:rFonts w:cs="Arial"/>
        </w:rPr>
        <w:t xml:space="preserve"> to </w:t>
      </w:r>
      <w:r w:rsidR="00F04BDA">
        <w:rPr>
          <w:rFonts w:cs="Arial"/>
        </w:rPr>
        <w:t>25</w:t>
      </w:r>
      <w:r w:rsidR="00AE3E9D">
        <w:rPr>
          <w:rFonts w:cs="Arial"/>
        </w:rPr>
        <w:t> </w:t>
      </w:r>
      <w:r w:rsidR="00F40FF7">
        <w:rPr>
          <w:rFonts w:cs="Arial"/>
        </w:rPr>
        <w:t>July</w:t>
      </w:r>
      <w:r w:rsidR="00760FD8">
        <w:rPr>
          <w:rFonts w:cs="Arial"/>
        </w:rPr>
        <w:t xml:space="preserve"> </w:t>
      </w:r>
      <w:r w:rsidR="00AF7058">
        <w:rPr>
          <w:rFonts w:cs="Arial"/>
        </w:rPr>
        <w:t>2015</w:t>
      </w:r>
      <w:r w:rsidR="00AF7058" w:rsidRPr="003061FA">
        <w:rPr>
          <w:rFonts w:cs="Arial"/>
        </w:rPr>
        <w:t xml:space="preserve">. </w:t>
      </w:r>
      <w:r w:rsidR="00F04BDA" w:rsidRPr="00F04BDA">
        <w:rPr>
          <w:rFonts w:cs="Arial"/>
        </w:rPr>
        <w:t>There were six occasions where the spot price in South Australia was greater than three times the South Australia weekly average price</w:t>
      </w:r>
      <w:r w:rsidR="00F04BDA">
        <w:rPr>
          <w:rFonts w:cs="Arial"/>
        </w:rPr>
        <w:t xml:space="preserve"> of $75/MWh and above $250/MWh. </w:t>
      </w:r>
      <w:r w:rsidR="00F04BDA" w:rsidRPr="00F04BDA">
        <w:rPr>
          <w:rFonts w:cs="Arial"/>
        </w:rPr>
        <w:t>There was one occasion where the spot price in Queensland was greater than three times the Queensland weekly average price of $45/MWh and above $250/MWh</w:t>
      </w:r>
      <w:r w:rsidR="00F04BDA">
        <w:rPr>
          <w:rFonts w:cs="Arial"/>
        </w:rPr>
        <w:t xml:space="preserve">. </w:t>
      </w:r>
      <w:r w:rsidR="00AE4A04" w:rsidRPr="003061FA">
        <w:rPr>
          <w:rFonts w:cs="Arial"/>
        </w:rPr>
        <w:t>These are discussed later in this report.</w:t>
      </w:r>
      <w:r w:rsidR="00AE4A04">
        <w:rPr>
          <w:rFonts w:cs="Arial"/>
        </w:rPr>
        <w:t xml:space="preserve"> </w:t>
      </w:r>
    </w:p>
    <w:p w:rsidR="00275002" w:rsidRDefault="00275002" w:rsidP="000E2946">
      <w:pPr>
        <w:pStyle w:val="Caption"/>
      </w:pPr>
      <w:bookmarkStart w:id="7" w:name="_Ref410382491"/>
      <w:bookmarkStart w:id="8" w:name="OLE_LINK28"/>
      <w:bookmarkStart w:id="9" w:name="OLE_LINK29"/>
      <w:r w:rsidRPr="000E2946">
        <w:t xml:space="preserve">Figure </w:t>
      </w:r>
      <w:r w:rsidR="00000C83">
        <w:fldChar w:fldCharType="begin"/>
      </w:r>
      <w:r w:rsidR="00000C83">
        <w:instrText xml:space="preserve"> SEQ Figure \* ARABIC </w:instrText>
      </w:r>
      <w:r w:rsidR="00000C83">
        <w:fldChar w:fldCharType="separate"/>
      </w:r>
      <w:r w:rsidR="00000C83">
        <w:rPr>
          <w:noProof/>
        </w:rPr>
        <w:t>1</w:t>
      </w:r>
      <w:r w:rsidR="00000C83">
        <w:rPr>
          <w:noProof/>
        </w:rPr>
        <w:fldChar w:fldCharType="end"/>
      </w:r>
      <w:bookmarkEnd w:id="7"/>
      <w:r w:rsidRPr="000E2946">
        <w:t>: Spot price by region ($/MWh)</w:t>
      </w:r>
    </w:p>
    <w:p w:rsidR="00275002" w:rsidRPr="0031019A" w:rsidRDefault="00BB25A3" w:rsidP="00275002">
      <w:r w:rsidRPr="00BB25A3">
        <w:rPr>
          <w:noProof/>
          <w:lang w:eastAsia="en-AU"/>
        </w:rPr>
        <w:drawing>
          <wp:inline distT="0" distB="0" distL="0" distR="0" wp14:anchorId="0D01BFB5" wp14:editId="1724460B">
            <wp:extent cx="5543550" cy="4120206"/>
            <wp:effectExtent l="0" t="0" r="0" b="0"/>
            <wp:docPr id="10" name="Picture 10" descr="Figure 1 shows the spot prices for this week in each region. The markers indicate the daily maximum and minimum spot prices in each region.    &#10;"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2322" cy="4119293"/>
                    </a:xfrm>
                    <a:prstGeom prst="rect">
                      <a:avLst/>
                    </a:prstGeom>
                    <a:noFill/>
                    <a:ln>
                      <a:noFill/>
                    </a:ln>
                  </pic:spPr>
                </pic:pic>
              </a:graphicData>
            </a:graphic>
          </wp:inline>
        </w:drawing>
      </w:r>
    </w:p>
    <w:p w:rsidR="00275002" w:rsidRPr="0031019A" w:rsidRDefault="00275002" w:rsidP="009A3D22">
      <w:pPr>
        <w:jc w:val="both"/>
      </w:pPr>
      <w:r>
        <w:lastRenderedPageBreak/>
        <w:fldChar w:fldCharType="begin"/>
      </w:r>
      <w:r>
        <w:instrText xml:space="preserve"> REF _Ref410382517 \h </w:instrText>
      </w:r>
      <w:r w:rsidR="009A3D22">
        <w:instrText xml:space="preserve"> \* MERGEFORMAT </w:instrText>
      </w:r>
      <w:r>
        <w:fldChar w:fldCharType="separate"/>
      </w:r>
      <w:r w:rsidR="00000C83">
        <w:t xml:space="preserve">Figure </w:t>
      </w:r>
      <w:r w:rsidR="00000C83">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000C83">
        <w:t xml:space="preserve">Table </w:t>
      </w:r>
      <w:r w:rsidR="00000C83">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t xml:space="preserve">Figure </w:t>
      </w:r>
      <w:r w:rsidR="00000C83">
        <w:fldChar w:fldCharType="begin"/>
      </w:r>
      <w:r w:rsidR="00000C83">
        <w:instrText xml:space="preserve"> SEQ Figure \* ARABIC </w:instrText>
      </w:r>
      <w:r w:rsidR="00000C83">
        <w:fldChar w:fldCharType="separate"/>
      </w:r>
      <w:r w:rsidR="00000C83">
        <w:rPr>
          <w:noProof/>
        </w:rPr>
        <w:t>2</w:t>
      </w:r>
      <w:r w:rsidR="00000C83">
        <w:rPr>
          <w:noProof/>
        </w:rPr>
        <w:fldChar w:fldCharType="end"/>
      </w:r>
      <w:bookmarkEnd w:id="10"/>
      <w:r>
        <w:t>:</w:t>
      </w:r>
      <w:r w:rsidRPr="00037176">
        <w:t xml:space="preserve"> Volume weighted average spot price by region ($/MWh)</w:t>
      </w:r>
    </w:p>
    <w:p w:rsidR="00FF3373" w:rsidRPr="00FF3373" w:rsidRDefault="00891E3A" w:rsidP="00FF3373">
      <w:r w:rsidRPr="00891E3A">
        <w:rPr>
          <w:noProof/>
          <w:lang w:eastAsia="en-AU"/>
        </w:rPr>
        <w:drawing>
          <wp:inline distT="0" distB="0" distL="0" distR="0" wp14:anchorId="659FCBD1" wp14:editId="3E5AF721">
            <wp:extent cx="5731510" cy="2861162"/>
            <wp:effectExtent l="0" t="0" r="2540" b="0"/>
            <wp:docPr id="16" name="Picture 16" descr="Figure 2 shows the volume weighted average (VWA) prices for this week (with prices shown in Table 1) and the preceding 12 weeks, as well as the VWA price over the previous 3 financial years.    &#10;"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1162"/>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000C83">
        <w:fldChar w:fldCharType="begin"/>
      </w:r>
      <w:r w:rsidR="00000C83">
        <w:instrText xml:space="preserve"> SEQ Table \* ARABIC </w:instrText>
      </w:r>
      <w:r w:rsidR="00000C83">
        <w:fldChar w:fldCharType="separate"/>
      </w:r>
      <w:r w:rsidR="00000C83">
        <w:rPr>
          <w:noProof/>
        </w:rPr>
        <w:t>1</w:t>
      </w:r>
      <w:r w:rsidR="00000C83">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B61471">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tcBorders>
              <w:bottom w:val="nil"/>
            </w:tcBorders>
            <w:noWrap/>
            <w:vAlign w:val="center"/>
            <w:hideMark/>
          </w:tcPr>
          <w:p w:rsidR="00B92CD5" w:rsidRPr="00B92CD5" w:rsidRDefault="00B92CD5" w:rsidP="009B21F2">
            <w:pPr>
              <w:spacing w:before="0" w:after="0"/>
              <w:jc w:val="center"/>
              <w:rPr>
                <w:sz w:val="20"/>
              </w:rPr>
            </w:pPr>
            <w:r w:rsidRPr="00B92CD5">
              <w:rPr>
                <w:sz w:val="20"/>
              </w:rPr>
              <w:t>Qld</w:t>
            </w:r>
          </w:p>
        </w:tc>
        <w:tc>
          <w:tcPr>
            <w:tcW w:w="729" w:type="pct"/>
            <w:tcBorders>
              <w:bottom w:val="nil"/>
            </w:tcBorders>
            <w:noWrap/>
            <w:vAlign w:val="center"/>
            <w:hideMark/>
          </w:tcPr>
          <w:p w:rsidR="00B92CD5" w:rsidRPr="00B92CD5" w:rsidRDefault="00B92CD5" w:rsidP="009B21F2">
            <w:pPr>
              <w:spacing w:before="0" w:after="0"/>
              <w:jc w:val="center"/>
              <w:rPr>
                <w:sz w:val="20"/>
              </w:rPr>
            </w:pPr>
            <w:r w:rsidRPr="00B92CD5">
              <w:rPr>
                <w:sz w:val="20"/>
              </w:rPr>
              <w:t>NSW</w:t>
            </w:r>
          </w:p>
        </w:tc>
        <w:tc>
          <w:tcPr>
            <w:tcW w:w="728" w:type="pct"/>
            <w:tcBorders>
              <w:bottom w:val="nil"/>
            </w:tcBorders>
            <w:noWrap/>
            <w:vAlign w:val="center"/>
            <w:hideMark/>
          </w:tcPr>
          <w:p w:rsidR="00B92CD5" w:rsidRPr="00B92CD5" w:rsidRDefault="00B92CD5" w:rsidP="009B21F2">
            <w:pPr>
              <w:spacing w:before="0" w:after="0"/>
              <w:jc w:val="center"/>
              <w:rPr>
                <w:sz w:val="20"/>
              </w:rPr>
            </w:pPr>
            <w:r w:rsidRPr="00B92CD5">
              <w:rPr>
                <w:sz w:val="20"/>
              </w:rPr>
              <w:t>Vic</w:t>
            </w:r>
          </w:p>
        </w:tc>
        <w:tc>
          <w:tcPr>
            <w:tcW w:w="729" w:type="pct"/>
            <w:tcBorders>
              <w:bottom w:val="nil"/>
            </w:tcBorders>
            <w:noWrap/>
            <w:vAlign w:val="center"/>
            <w:hideMark/>
          </w:tcPr>
          <w:p w:rsidR="00B92CD5" w:rsidRPr="00B92CD5" w:rsidRDefault="00B92CD5" w:rsidP="009B21F2">
            <w:pPr>
              <w:spacing w:before="0" w:after="0"/>
              <w:jc w:val="center"/>
              <w:rPr>
                <w:sz w:val="20"/>
              </w:rPr>
            </w:pPr>
            <w:r w:rsidRPr="00B92CD5">
              <w:rPr>
                <w:sz w:val="20"/>
              </w:rPr>
              <w:t>SA</w:t>
            </w:r>
          </w:p>
        </w:tc>
        <w:tc>
          <w:tcPr>
            <w:tcW w:w="729" w:type="pct"/>
            <w:tcBorders>
              <w:bottom w:val="nil"/>
            </w:tcBorders>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891E3A" w:rsidRPr="009B21F2" w:rsidTr="00B61471">
        <w:trPr>
          <w:trHeight w:hRule="exact" w:val="340"/>
        </w:trPr>
        <w:tc>
          <w:tcPr>
            <w:tcW w:w="1357" w:type="pct"/>
            <w:noWrap/>
            <w:vAlign w:val="center"/>
            <w:hideMark/>
          </w:tcPr>
          <w:p w:rsidR="00891E3A" w:rsidRPr="009B21F2" w:rsidRDefault="00891E3A" w:rsidP="006B7CE0">
            <w:pPr>
              <w:spacing w:before="0" w:after="0" w:line="240" w:lineRule="auto"/>
              <w:rPr>
                <w:rFonts w:cs="Arial"/>
                <w:sz w:val="20"/>
                <w:szCs w:val="20"/>
              </w:rPr>
            </w:pPr>
            <w:r w:rsidRPr="009B21F2">
              <w:rPr>
                <w:rFonts w:cs="Arial"/>
                <w:sz w:val="20"/>
                <w:szCs w:val="20"/>
              </w:rPr>
              <w:t>Current week</w:t>
            </w:r>
          </w:p>
        </w:tc>
        <w:tc>
          <w:tcPr>
            <w:tcW w:w="728" w:type="pct"/>
            <w:tcBorders>
              <w:bottom w:val="nil"/>
            </w:tcBorders>
            <w:noWrap/>
            <w:vAlign w:val="center"/>
          </w:tcPr>
          <w:p w:rsidR="00891E3A" w:rsidRDefault="00891E3A" w:rsidP="006B7CE0">
            <w:pPr>
              <w:spacing w:before="0" w:after="0" w:line="240" w:lineRule="auto"/>
              <w:jc w:val="center"/>
              <w:rPr>
                <w:rFonts w:cs="Arial"/>
                <w:sz w:val="20"/>
                <w:szCs w:val="20"/>
              </w:rPr>
            </w:pPr>
            <w:r>
              <w:rPr>
                <w:rFonts w:cs="Arial"/>
                <w:sz w:val="20"/>
                <w:szCs w:val="20"/>
              </w:rPr>
              <w:t>45</w:t>
            </w:r>
          </w:p>
        </w:tc>
        <w:tc>
          <w:tcPr>
            <w:tcW w:w="729" w:type="pct"/>
            <w:tcBorders>
              <w:bottom w:val="nil"/>
            </w:tcBorders>
            <w:noWrap/>
            <w:vAlign w:val="center"/>
          </w:tcPr>
          <w:p w:rsidR="00891E3A" w:rsidRDefault="00891E3A" w:rsidP="006B7CE0">
            <w:pPr>
              <w:spacing w:before="0" w:after="0" w:line="240" w:lineRule="auto"/>
              <w:jc w:val="center"/>
              <w:rPr>
                <w:rFonts w:cs="Arial"/>
                <w:sz w:val="20"/>
                <w:szCs w:val="20"/>
              </w:rPr>
            </w:pPr>
            <w:r>
              <w:rPr>
                <w:rFonts w:cs="Arial"/>
                <w:sz w:val="20"/>
                <w:szCs w:val="20"/>
              </w:rPr>
              <w:t>38</w:t>
            </w:r>
          </w:p>
        </w:tc>
        <w:tc>
          <w:tcPr>
            <w:tcW w:w="728" w:type="pct"/>
            <w:tcBorders>
              <w:bottom w:val="nil"/>
            </w:tcBorders>
            <w:noWrap/>
            <w:vAlign w:val="center"/>
          </w:tcPr>
          <w:p w:rsidR="00891E3A" w:rsidRDefault="00891E3A" w:rsidP="006B7CE0">
            <w:pPr>
              <w:spacing w:before="0" w:after="0" w:line="240" w:lineRule="auto"/>
              <w:jc w:val="center"/>
              <w:rPr>
                <w:rFonts w:cs="Arial"/>
                <w:sz w:val="20"/>
                <w:szCs w:val="20"/>
              </w:rPr>
            </w:pPr>
            <w:r>
              <w:rPr>
                <w:rFonts w:cs="Arial"/>
                <w:sz w:val="20"/>
                <w:szCs w:val="20"/>
              </w:rPr>
              <w:t>33</w:t>
            </w:r>
          </w:p>
        </w:tc>
        <w:tc>
          <w:tcPr>
            <w:tcW w:w="729" w:type="pct"/>
            <w:tcBorders>
              <w:bottom w:val="nil"/>
            </w:tcBorders>
            <w:noWrap/>
            <w:vAlign w:val="center"/>
          </w:tcPr>
          <w:p w:rsidR="00891E3A" w:rsidRDefault="00891E3A" w:rsidP="006B7CE0">
            <w:pPr>
              <w:spacing w:before="0" w:after="0" w:line="240" w:lineRule="auto"/>
              <w:jc w:val="center"/>
              <w:rPr>
                <w:rFonts w:cs="Arial"/>
                <w:sz w:val="20"/>
                <w:szCs w:val="20"/>
              </w:rPr>
            </w:pPr>
            <w:r>
              <w:rPr>
                <w:rFonts w:cs="Arial"/>
                <w:sz w:val="20"/>
                <w:szCs w:val="20"/>
              </w:rPr>
              <w:t>75</w:t>
            </w:r>
          </w:p>
        </w:tc>
        <w:tc>
          <w:tcPr>
            <w:tcW w:w="729" w:type="pct"/>
            <w:tcBorders>
              <w:bottom w:val="nil"/>
            </w:tcBorders>
            <w:noWrap/>
            <w:vAlign w:val="center"/>
          </w:tcPr>
          <w:p w:rsidR="00891E3A" w:rsidRDefault="00891E3A" w:rsidP="006B7CE0">
            <w:pPr>
              <w:spacing w:before="0" w:after="0" w:line="240" w:lineRule="auto"/>
              <w:jc w:val="center"/>
              <w:rPr>
                <w:rFonts w:cs="Arial"/>
                <w:sz w:val="20"/>
                <w:szCs w:val="20"/>
              </w:rPr>
            </w:pPr>
            <w:r>
              <w:rPr>
                <w:rFonts w:cs="Arial"/>
                <w:sz w:val="20"/>
                <w:szCs w:val="20"/>
              </w:rPr>
              <w:t>35</w:t>
            </w:r>
          </w:p>
        </w:tc>
      </w:tr>
      <w:tr w:rsidR="006B7CE0" w:rsidRPr="009B21F2" w:rsidTr="00B61471">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B7CE0" w:rsidRDefault="006B7CE0" w:rsidP="006B7CE0">
            <w:pPr>
              <w:pStyle w:val="Tabletext"/>
              <w:spacing w:before="0" w:after="0" w:line="240" w:lineRule="auto"/>
            </w:pPr>
            <w:r>
              <w:t>14-15 financial YTD</w:t>
            </w:r>
          </w:p>
        </w:tc>
        <w:tc>
          <w:tcPr>
            <w:tcW w:w="728" w:type="pct"/>
            <w:tcBorders>
              <w:bottom w:val="nil"/>
            </w:tcBorders>
            <w:noWrap/>
            <w:vAlign w:val="center"/>
          </w:tcPr>
          <w:p w:rsidR="006B7CE0" w:rsidRDefault="006B7CE0" w:rsidP="006B7CE0">
            <w:pPr>
              <w:spacing w:before="0" w:after="0" w:line="240" w:lineRule="auto"/>
              <w:jc w:val="center"/>
              <w:rPr>
                <w:rFonts w:cs="Arial"/>
                <w:szCs w:val="20"/>
              </w:rPr>
            </w:pPr>
            <w:r>
              <w:rPr>
                <w:rFonts w:cs="Arial"/>
                <w:szCs w:val="20"/>
              </w:rPr>
              <w:t>36</w:t>
            </w:r>
          </w:p>
        </w:tc>
        <w:tc>
          <w:tcPr>
            <w:tcW w:w="729" w:type="pct"/>
            <w:tcBorders>
              <w:bottom w:val="nil"/>
            </w:tcBorders>
            <w:noWrap/>
            <w:vAlign w:val="center"/>
          </w:tcPr>
          <w:p w:rsidR="006B7CE0" w:rsidRDefault="006B7CE0" w:rsidP="006B7CE0">
            <w:pPr>
              <w:spacing w:before="0" w:after="0" w:line="240" w:lineRule="auto"/>
              <w:jc w:val="center"/>
              <w:rPr>
                <w:rFonts w:cs="Arial"/>
                <w:szCs w:val="20"/>
              </w:rPr>
            </w:pPr>
            <w:r>
              <w:rPr>
                <w:rFonts w:cs="Arial"/>
                <w:szCs w:val="20"/>
              </w:rPr>
              <w:t>45</w:t>
            </w:r>
          </w:p>
        </w:tc>
        <w:tc>
          <w:tcPr>
            <w:tcW w:w="728" w:type="pct"/>
            <w:tcBorders>
              <w:bottom w:val="nil"/>
            </w:tcBorders>
            <w:noWrap/>
            <w:vAlign w:val="center"/>
          </w:tcPr>
          <w:p w:rsidR="006B7CE0" w:rsidRDefault="006B7CE0" w:rsidP="006B7CE0">
            <w:pPr>
              <w:spacing w:before="0" w:after="0" w:line="240" w:lineRule="auto"/>
              <w:jc w:val="center"/>
              <w:rPr>
                <w:rFonts w:cs="Arial"/>
                <w:szCs w:val="20"/>
              </w:rPr>
            </w:pPr>
            <w:r>
              <w:rPr>
                <w:rFonts w:cs="Arial"/>
                <w:szCs w:val="20"/>
              </w:rPr>
              <w:t>43</w:t>
            </w:r>
          </w:p>
        </w:tc>
        <w:tc>
          <w:tcPr>
            <w:tcW w:w="729" w:type="pct"/>
            <w:tcBorders>
              <w:bottom w:val="nil"/>
            </w:tcBorders>
            <w:noWrap/>
            <w:vAlign w:val="center"/>
          </w:tcPr>
          <w:p w:rsidR="006B7CE0" w:rsidRDefault="006B7CE0" w:rsidP="006B7CE0">
            <w:pPr>
              <w:spacing w:before="0" w:after="0" w:line="240" w:lineRule="auto"/>
              <w:jc w:val="center"/>
              <w:rPr>
                <w:rFonts w:cs="Arial"/>
                <w:szCs w:val="20"/>
              </w:rPr>
            </w:pPr>
            <w:r>
              <w:rPr>
                <w:rFonts w:cs="Arial"/>
                <w:szCs w:val="20"/>
              </w:rPr>
              <w:t>62</w:t>
            </w:r>
          </w:p>
        </w:tc>
        <w:tc>
          <w:tcPr>
            <w:tcW w:w="729" w:type="pct"/>
            <w:tcBorders>
              <w:bottom w:val="nil"/>
            </w:tcBorders>
            <w:noWrap/>
            <w:vAlign w:val="center"/>
          </w:tcPr>
          <w:p w:rsidR="006B7CE0" w:rsidRDefault="006B7CE0" w:rsidP="006B7CE0">
            <w:pPr>
              <w:spacing w:before="0" w:after="0" w:line="240" w:lineRule="auto"/>
              <w:jc w:val="center"/>
              <w:rPr>
                <w:rFonts w:cs="Arial"/>
                <w:szCs w:val="20"/>
              </w:rPr>
            </w:pPr>
            <w:r>
              <w:rPr>
                <w:rFonts w:cs="Arial"/>
                <w:szCs w:val="20"/>
              </w:rPr>
              <w:t>36</w:t>
            </w:r>
          </w:p>
        </w:tc>
      </w:tr>
      <w:tr w:rsidR="006B7CE0" w:rsidRPr="009B21F2" w:rsidTr="00B61471">
        <w:trPr>
          <w:trHeight w:hRule="exact" w:val="340"/>
        </w:trPr>
        <w:tc>
          <w:tcPr>
            <w:tcW w:w="1357" w:type="pct"/>
            <w:noWrap/>
            <w:vAlign w:val="center"/>
            <w:hideMark/>
          </w:tcPr>
          <w:p w:rsidR="006B7CE0" w:rsidRDefault="006B7CE0" w:rsidP="006B7CE0">
            <w:pPr>
              <w:pStyle w:val="Tabletext"/>
              <w:spacing w:before="0" w:after="0" w:line="240" w:lineRule="auto"/>
            </w:pPr>
            <w:r>
              <w:t>15-16 financial YTD</w:t>
            </w:r>
          </w:p>
        </w:tc>
        <w:tc>
          <w:tcPr>
            <w:tcW w:w="728" w:type="pct"/>
            <w:tcBorders>
              <w:bottom w:val="single" w:sz="4" w:space="0" w:color="auto"/>
            </w:tcBorders>
            <w:noWrap/>
            <w:vAlign w:val="center"/>
          </w:tcPr>
          <w:p w:rsidR="006B7CE0" w:rsidRDefault="006B7CE0" w:rsidP="006B7CE0">
            <w:pPr>
              <w:spacing w:before="0" w:after="0" w:line="240" w:lineRule="auto"/>
              <w:jc w:val="center"/>
              <w:rPr>
                <w:rFonts w:cs="Arial"/>
                <w:sz w:val="20"/>
                <w:szCs w:val="20"/>
              </w:rPr>
            </w:pPr>
            <w:r>
              <w:rPr>
                <w:rFonts w:cs="Arial"/>
                <w:sz w:val="20"/>
                <w:szCs w:val="20"/>
              </w:rPr>
              <w:t>49</w:t>
            </w:r>
          </w:p>
        </w:tc>
        <w:tc>
          <w:tcPr>
            <w:tcW w:w="729" w:type="pct"/>
            <w:tcBorders>
              <w:bottom w:val="single" w:sz="4" w:space="0" w:color="auto"/>
            </w:tcBorders>
            <w:noWrap/>
            <w:vAlign w:val="center"/>
          </w:tcPr>
          <w:p w:rsidR="006B7CE0" w:rsidRDefault="006B7CE0" w:rsidP="006B7CE0">
            <w:pPr>
              <w:spacing w:before="0" w:after="0" w:line="240" w:lineRule="auto"/>
              <w:jc w:val="center"/>
              <w:rPr>
                <w:rFonts w:cs="Arial"/>
                <w:sz w:val="20"/>
                <w:szCs w:val="20"/>
              </w:rPr>
            </w:pPr>
            <w:r>
              <w:rPr>
                <w:rFonts w:cs="Arial"/>
                <w:sz w:val="20"/>
                <w:szCs w:val="20"/>
              </w:rPr>
              <w:t>41</w:t>
            </w:r>
          </w:p>
        </w:tc>
        <w:tc>
          <w:tcPr>
            <w:tcW w:w="728" w:type="pct"/>
            <w:tcBorders>
              <w:bottom w:val="single" w:sz="4" w:space="0" w:color="auto"/>
            </w:tcBorders>
            <w:noWrap/>
            <w:vAlign w:val="center"/>
          </w:tcPr>
          <w:p w:rsidR="006B7CE0" w:rsidRDefault="006B7CE0" w:rsidP="006B7CE0">
            <w:pPr>
              <w:spacing w:before="0" w:after="0" w:line="240" w:lineRule="auto"/>
              <w:jc w:val="center"/>
              <w:rPr>
                <w:rFonts w:cs="Arial"/>
                <w:sz w:val="20"/>
                <w:szCs w:val="20"/>
              </w:rPr>
            </w:pPr>
            <w:r>
              <w:rPr>
                <w:rFonts w:cs="Arial"/>
                <w:sz w:val="20"/>
                <w:szCs w:val="20"/>
              </w:rPr>
              <w:t>37</w:t>
            </w:r>
          </w:p>
        </w:tc>
        <w:tc>
          <w:tcPr>
            <w:tcW w:w="729" w:type="pct"/>
            <w:tcBorders>
              <w:bottom w:val="single" w:sz="4" w:space="0" w:color="auto"/>
            </w:tcBorders>
            <w:noWrap/>
            <w:vAlign w:val="center"/>
          </w:tcPr>
          <w:p w:rsidR="006B7CE0" w:rsidRDefault="006B7CE0" w:rsidP="006B7CE0">
            <w:pPr>
              <w:spacing w:before="0" w:after="0" w:line="240" w:lineRule="auto"/>
              <w:jc w:val="center"/>
              <w:rPr>
                <w:rFonts w:cs="Arial"/>
                <w:sz w:val="20"/>
                <w:szCs w:val="20"/>
              </w:rPr>
            </w:pPr>
            <w:r>
              <w:rPr>
                <w:rFonts w:cs="Arial"/>
                <w:sz w:val="20"/>
                <w:szCs w:val="20"/>
              </w:rPr>
              <w:t>72</w:t>
            </w:r>
          </w:p>
        </w:tc>
        <w:tc>
          <w:tcPr>
            <w:tcW w:w="729" w:type="pct"/>
            <w:tcBorders>
              <w:bottom w:val="single" w:sz="4" w:space="0" w:color="auto"/>
            </w:tcBorders>
            <w:noWrap/>
            <w:vAlign w:val="center"/>
          </w:tcPr>
          <w:p w:rsidR="006B7CE0" w:rsidRDefault="006B7CE0" w:rsidP="006B7CE0">
            <w:pPr>
              <w:spacing w:before="0" w:after="0" w:line="240" w:lineRule="auto"/>
              <w:jc w:val="center"/>
              <w:rPr>
                <w:rFonts w:cs="Arial"/>
                <w:sz w:val="20"/>
                <w:szCs w:val="20"/>
              </w:rPr>
            </w:pPr>
            <w:r>
              <w:rPr>
                <w:rFonts w:cs="Arial"/>
                <w:sz w:val="20"/>
                <w:szCs w:val="20"/>
              </w:rPr>
              <w:t>37</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E15E82" w:rsidP="00E15E82">
      <w:pPr>
        <w:jc w:val="both"/>
      </w:pPr>
      <w:r>
        <w:t>There were 199 trading intervals throughout the week where actual prices varied significantly from forecasts. This compares to the weekly average in 2014 of 71 counts</w:t>
      </w:r>
      <w:r w:rsidR="006B7CE0">
        <w:t xml:space="preserve"> and the average in 2013 of 97. </w:t>
      </w:r>
      <w:r w:rsidR="00275002" w:rsidRPr="0031019A">
        <w:t xml:space="preserve">Reasons for the variations for this week are summarised in </w:t>
      </w:r>
      <w:r w:rsidR="00E7472E">
        <w:fldChar w:fldCharType="begin"/>
      </w:r>
      <w:r w:rsidR="00E7472E">
        <w:instrText xml:space="preserve"> REF _Ref410993002 \h </w:instrText>
      </w:r>
      <w:r w:rsidR="00E7472E">
        <w:fldChar w:fldCharType="separate"/>
      </w:r>
      <w:r w:rsidR="00000C83">
        <w:t xml:space="preserve">Table </w:t>
      </w:r>
      <w:r w:rsidR="00000C83">
        <w:rPr>
          <w:noProof/>
        </w:rPr>
        <w:t>2</w:t>
      </w:r>
      <w:r w:rsidR="00E7472E">
        <w:fldChar w:fldCharType="end"/>
      </w:r>
      <w:r w:rsidR="00275002" w:rsidRPr="0031019A">
        <w:t xml:space="preserve">. Based on AER analysis, the table summarises (as a percentage) the </w:t>
      </w:r>
      <w:r w:rsidR="00275002" w:rsidRPr="0031019A">
        <w:lastRenderedPageBreak/>
        <w:t xml:space="preserve">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000C83">
        <w:fldChar w:fldCharType="begin"/>
      </w:r>
      <w:r w:rsidR="00000C83">
        <w:instrText xml:space="preserve"> SEQ Table \* ARABIC </w:instrText>
      </w:r>
      <w:r w:rsidR="00000C83">
        <w:fldChar w:fldCharType="separate"/>
      </w:r>
      <w:r w:rsidR="00000C83">
        <w:rPr>
          <w:noProof/>
        </w:rPr>
        <w:t>2</w:t>
      </w:r>
      <w:r w:rsidR="00000C83">
        <w:rPr>
          <w:noProof/>
        </w:rPr>
        <w:fldChar w:fldCharType="end"/>
      </w:r>
      <w:bookmarkEnd w:id="12"/>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E15E82" w:rsidRPr="00F52F00" w:rsidTr="0079277A">
        <w:trPr>
          <w:trHeight w:hRule="exact" w:val="369"/>
        </w:trPr>
        <w:tc>
          <w:tcPr>
            <w:tcW w:w="2835" w:type="dxa"/>
            <w:noWrap/>
            <w:vAlign w:val="center"/>
            <w:hideMark/>
          </w:tcPr>
          <w:p w:rsidR="00E15E82" w:rsidRPr="009B21F2" w:rsidRDefault="00E15E82" w:rsidP="009B21F2">
            <w:pPr>
              <w:spacing w:before="0" w:after="0"/>
              <w:rPr>
                <w:sz w:val="20"/>
                <w:szCs w:val="20"/>
              </w:rPr>
            </w:pPr>
            <w:r w:rsidRPr="009B21F2">
              <w:rPr>
                <w:sz w:val="20"/>
                <w:szCs w:val="20"/>
              </w:rPr>
              <w:t>% of total above forecast</w:t>
            </w:r>
          </w:p>
        </w:tc>
        <w:tc>
          <w:tcPr>
            <w:tcW w:w="1571" w:type="dxa"/>
            <w:noWrap/>
            <w:vAlign w:val="center"/>
          </w:tcPr>
          <w:p w:rsidR="00E15E82" w:rsidRDefault="00E15E82" w:rsidP="006B7CE0">
            <w:pPr>
              <w:spacing w:before="0" w:after="0" w:line="240" w:lineRule="auto"/>
              <w:jc w:val="center"/>
              <w:rPr>
                <w:rFonts w:cs="Arial"/>
                <w:sz w:val="20"/>
                <w:szCs w:val="20"/>
              </w:rPr>
            </w:pPr>
            <w:r>
              <w:rPr>
                <w:rFonts w:cs="Arial"/>
                <w:sz w:val="20"/>
                <w:szCs w:val="20"/>
              </w:rPr>
              <w:t>11</w:t>
            </w:r>
          </w:p>
        </w:tc>
        <w:tc>
          <w:tcPr>
            <w:tcW w:w="1572" w:type="dxa"/>
            <w:noWrap/>
            <w:vAlign w:val="center"/>
          </w:tcPr>
          <w:p w:rsidR="00E15E82" w:rsidRDefault="00E15E82" w:rsidP="006B7CE0">
            <w:pPr>
              <w:spacing w:before="0" w:after="0" w:line="240" w:lineRule="auto"/>
              <w:jc w:val="center"/>
              <w:rPr>
                <w:rFonts w:cs="Arial"/>
                <w:sz w:val="20"/>
                <w:szCs w:val="20"/>
              </w:rPr>
            </w:pPr>
            <w:r>
              <w:rPr>
                <w:rFonts w:cs="Arial"/>
                <w:sz w:val="20"/>
                <w:szCs w:val="20"/>
              </w:rPr>
              <w:t>30</w:t>
            </w:r>
          </w:p>
        </w:tc>
        <w:tc>
          <w:tcPr>
            <w:tcW w:w="1572" w:type="dxa"/>
            <w:noWrap/>
            <w:vAlign w:val="center"/>
          </w:tcPr>
          <w:p w:rsidR="00E15E82" w:rsidRDefault="00E15E82" w:rsidP="006B7CE0">
            <w:pPr>
              <w:spacing w:before="0" w:after="0" w:line="240" w:lineRule="auto"/>
              <w:jc w:val="center"/>
              <w:rPr>
                <w:rFonts w:cs="Arial"/>
                <w:sz w:val="20"/>
                <w:szCs w:val="20"/>
              </w:rPr>
            </w:pPr>
            <w:r>
              <w:rPr>
                <w:rFonts w:cs="Arial"/>
                <w:sz w:val="20"/>
                <w:szCs w:val="20"/>
              </w:rPr>
              <w:t>0</w:t>
            </w:r>
          </w:p>
        </w:tc>
        <w:tc>
          <w:tcPr>
            <w:tcW w:w="1572" w:type="dxa"/>
            <w:vAlign w:val="center"/>
          </w:tcPr>
          <w:p w:rsidR="00E15E82" w:rsidRDefault="00E15E82" w:rsidP="006B7CE0">
            <w:pPr>
              <w:spacing w:before="0" w:after="0" w:line="240" w:lineRule="auto"/>
              <w:jc w:val="center"/>
              <w:rPr>
                <w:rFonts w:cs="Arial"/>
                <w:sz w:val="20"/>
                <w:szCs w:val="20"/>
              </w:rPr>
            </w:pPr>
            <w:r>
              <w:rPr>
                <w:rFonts w:cs="Arial"/>
                <w:sz w:val="20"/>
                <w:szCs w:val="20"/>
              </w:rPr>
              <w:t>3</w:t>
            </w:r>
          </w:p>
        </w:tc>
      </w:tr>
      <w:tr w:rsidR="00E15E82" w:rsidRPr="00F52F00" w:rsidTr="0079277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E15E82" w:rsidRPr="009B21F2" w:rsidRDefault="00E15E82" w:rsidP="009B21F2">
            <w:pPr>
              <w:spacing w:before="0" w:after="0"/>
              <w:rPr>
                <w:szCs w:val="20"/>
              </w:rPr>
            </w:pPr>
            <w:r w:rsidRPr="009B21F2">
              <w:rPr>
                <w:szCs w:val="20"/>
              </w:rPr>
              <w:t>% of total below forecast</w:t>
            </w:r>
          </w:p>
        </w:tc>
        <w:tc>
          <w:tcPr>
            <w:tcW w:w="1571" w:type="dxa"/>
            <w:noWrap/>
            <w:vAlign w:val="center"/>
          </w:tcPr>
          <w:p w:rsidR="00E15E82" w:rsidRDefault="00E15E82" w:rsidP="006B7CE0">
            <w:pPr>
              <w:spacing w:before="0" w:after="0" w:line="240" w:lineRule="auto"/>
              <w:jc w:val="center"/>
              <w:rPr>
                <w:rFonts w:cs="Arial"/>
                <w:szCs w:val="20"/>
              </w:rPr>
            </w:pPr>
            <w:r>
              <w:rPr>
                <w:rFonts w:cs="Arial"/>
                <w:szCs w:val="20"/>
              </w:rPr>
              <w:t>33</w:t>
            </w:r>
          </w:p>
        </w:tc>
        <w:tc>
          <w:tcPr>
            <w:tcW w:w="1572" w:type="dxa"/>
            <w:noWrap/>
            <w:vAlign w:val="center"/>
          </w:tcPr>
          <w:p w:rsidR="00E15E82" w:rsidRDefault="00E15E82" w:rsidP="006B7CE0">
            <w:pPr>
              <w:spacing w:before="0" w:after="0" w:line="240" w:lineRule="auto"/>
              <w:jc w:val="center"/>
              <w:rPr>
                <w:rFonts w:cs="Arial"/>
                <w:szCs w:val="20"/>
              </w:rPr>
            </w:pPr>
            <w:r>
              <w:rPr>
                <w:rFonts w:cs="Arial"/>
                <w:szCs w:val="20"/>
              </w:rPr>
              <w:t>18</w:t>
            </w:r>
          </w:p>
        </w:tc>
        <w:tc>
          <w:tcPr>
            <w:tcW w:w="1572" w:type="dxa"/>
            <w:noWrap/>
            <w:vAlign w:val="center"/>
          </w:tcPr>
          <w:p w:rsidR="00E15E82" w:rsidRDefault="00E15E82" w:rsidP="006B7CE0">
            <w:pPr>
              <w:spacing w:before="0" w:after="0" w:line="240" w:lineRule="auto"/>
              <w:jc w:val="center"/>
              <w:rPr>
                <w:rFonts w:cs="Arial"/>
                <w:szCs w:val="20"/>
              </w:rPr>
            </w:pPr>
            <w:r>
              <w:rPr>
                <w:rFonts w:cs="Arial"/>
                <w:szCs w:val="20"/>
              </w:rPr>
              <w:t>0</w:t>
            </w:r>
          </w:p>
        </w:tc>
        <w:tc>
          <w:tcPr>
            <w:tcW w:w="1572" w:type="dxa"/>
            <w:vAlign w:val="center"/>
          </w:tcPr>
          <w:p w:rsidR="00E15E82" w:rsidRDefault="00E15E82" w:rsidP="006B7CE0">
            <w:pPr>
              <w:spacing w:before="0" w:after="0" w:line="240" w:lineRule="auto"/>
              <w:jc w:val="center"/>
              <w:rPr>
                <w:rFonts w:cs="Arial"/>
                <w:szCs w:val="20"/>
              </w:rPr>
            </w:pPr>
            <w:r>
              <w:rPr>
                <w:rFonts w:cs="Arial"/>
                <w:szCs w:val="20"/>
              </w:rPr>
              <w:t>5</w:t>
            </w:r>
          </w:p>
        </w:tc>
      </w:tr>
    </w:tbl>
    <w:p w:rsidR="00275002" w:rsidRPr="00B61471" w:rsidRDefault="00275002" w:rsidP="00B61471">
      <w:pPr>
        <w:spacing w:before="120" w:after="120"/>
        <w:jc w:val="center"/>
        <w:rPr>
          <w:rFonts w:cs="Arial"/>
          <w:sz w:val="18"/>
          <w:szCs w:val="18"/>
        </w:rPr>
      </w:pPr>
      <w:r w:rsidRPr="00B61471">
        <w:rPr>
          <w:rFonts w:cs="Arial"/>
          <w:sz w:val="18"/>
          <w:szCs w:val="18"/>
        </w:rPr>
        <w:t>Note: Due to rounding, the total may not be 100 per cent.</w:t>
      </w:r>
    </w:p>
    <w:p w:rsidR="00275002" w:rsidRPr="000A130D" w:rsidRDefault="00275002" w:rsidP="00914A87">
      <w:pPr>
        <w:pStyle w:val="AERHeading1"/>
      </w:pPr>
      <w:r w:rsidRPr="000A130D">
        <w:t>Generation and bidding patterns</w:t>
      </w:r>
    </w:p>
    <w:p w:rsidR="006B7CE0" w:rsidRDefault="00275002" w:rsidP="009A3D22">
      <w:pPr>
        <w:jc w:val="both"/>
      </w:pPr>
      <w:r w:rsidRPr="000A130D">
        <w:t xml:space="preserve">The AER reviews generator bidding as part of its market monitoring to better understand the drivers behind price variations. </w:t>
      </w:r>
      <w:r w:rsidRPr="000A130D">
        <w:fldChar w:fldCharType="begin"/>
      </w:r>
      <w:r w:rsidRPr="000A130D">
        <w:instrText xml:space="preserve"> REF _Ref410383507 \h </w:instrText>
      </w:r>
      <w:r w:rsidR="009A3D22" w:rsidRPr="000A130D">
        <w:instrText xml:space="preserve"> \* MERGEFORMAT </w:instrText>
      </w:r>
      <w:r w:rsidRPr="000A130D">
        <w:fldChar w:fldCharType="separate"/>
      </w:r>
      <w:r w:rsidR="00000C83" w:rsidRPr="000A130D">
        <w:t xml:space="preserve">Figure </w:t>
      </w:r>
      <w:r w:rsidR="00000C83">
        <w:rPr>
          <w:noProof/>
        </w:rPr>
        <w:t>3</w:t>
      </w:r>
      <w:r w:rsidRPr="000A130D">
        <w:fldChar w:fldCharType="end"/>
      </w:r>
      <w:r w:rsidRPr="000A130D">
        <w:t xml:space="preserve"> to </w:t>
      </w:r>
      <w:r w:rsidR="000E04C1">
        <w:fldChar w:fldCharType="begin"/>
      </w:r>
      <w:r w:rsidR="000E04C1">
        <w:instrText xml:space="preserve"> REF _Ref427065263 \h </w:instrText>
      </w:r>
      <w:r w:rsidR="000E04C1">
        <w:fldChar w:fldCharType="separate"/>
      </w:r>
      <w:r w:rsidR="00000C83" w:rsidRPr="000A130D">
        <w:t xml:space="preserve">Figure </w:t>
      </w:r>
      <w:r w:rsidR="00000C83">
        <w:rPr>
          <w:noProof/>
        </w:rPr>
        <w:t>7</w:t>
      </w:r>
      <w:r w:rsidR="000E04C1">
        <w:fldChar w:fldCharType="end"/>
      </w:r>
      <w:r w:rsidR="000E04C1">
        <w:t xml:space="preserve"> </w:t>
      </w:r>
      <w:r w:rsidRPr="000A130D">
        <w:t xml:space="preserve">show, the total generation dispatched and the amounts of capacity offered within certain price bands for each 30 minute trading interval in each region. </w:t>
      </w:r>
    </w:p>
    <w:p w:rsidR="00275002" w:rsidRPr="000A130D" w:rsidRDefault="00275002" w:rsidP="000E2946">
      <w:pPr>
        <w:pStyle w:val="Caption"/>
      </w:pPr>
      <w:bookmarkStart w:id="14" w:name="_Ref410383507"/>
      <w:r w:rsidRPr="000A130D">
        <w:t xml:space="preserve">Figure </w:t>
      </w:r>
      <w:r w:rsidR="00000C83">
        <w:fldChar w:fldCharType="begin"/>
      </w:r>
      <w:r w:rsidR="00000C83">
        <w:instrText xml:space="preserve"> SEQ Figure \* ARABIC </w:instrText>
      </w:r>
      <w:r w:rsidR="00000C83">
        <w:fldChar w:fldCharType="separate"/>
      </w:r>
      <w:r w:rsidR="00000C83">
        <w:rPr>
          <w:noProof/>
        </w:rPr>
        <w:t>3</w:t>
      </w:r>
      <w:r w:rsidR="00000C83">
        <w:rPr>
          <w:noProof/>
        </w:rPr>
        <w:fldChar w:fldCharType="end"/>
      </w:r>
      <w:bookmarkEnd w:id="14"/>
      <w:r w:rsidRPr="000A130D">
        <w:t>: Queensland generation and bidding patterns</w:t>
      </w:r>
    </w:p>
    <w:p w:rsidR="00963425" w:rsidRDefault="00963425" w:rsidP="00275002">
      <w:r>
        <w:rPr>
          <w:noProof/>
          <w:lang w:eastAsia="en-AU"/>
        </w:rPr>
        <mc:AlternateContent>
          <mc:Choice Requires="wps">
            <w:drawing>
              <wp:anchor distT="0" distB="0" distL="114300" distR="114300" simplePos="0" relativeHeight="251660288" behindDoc="0" locked="0" layoutInCell="1" allowOverlap="1" wp14:anchorId="62396D2D" wp14:editId="501E3648">
                <wp:simplePos x="0" y="0"/>
                <wp:positionH relativeFrom="column">
                  <wp:posOffset>1733384</wp:posOffset>
                </wp:positionH>
                <wp:positionV relativeFrom="paragraph">
                  <wp:posOffset>549662</wp:posOffset>
                </wp:positionV>
                <wp:extent cx="214686" cy="787179"/>
                <wp:effectExtent l="0" t="0" r="13970" b="13335"/>
                <wp:wrapNone/>
                <wp:docPr id="3" name="Oval 3"/>
                <wp:cNvGraphicFramePr/>
                <a:graphic xmlns:a="http://schemas.openxmlformats.org/drawingml/2006/main">
                  <a:graphicData uri="http://schemas.microsoft.com/office/word/2010/wordprocessingShape">
                    <wps:wsp>
                      <wps:cNvSpPr/>
                      <wps:spPr>
                        <a:xfrm>
                          <a:off x="0" y="0"/>
                          <a:ext cx="214686" cy="787179"/>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36.5pt;margin-top:43.3pt;width:16.9pt;height: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" filled="f" strokecolor="red" strokeweight="2pt"/>
            </w:pict>
          </mc:Fallback>
        </mc:AlternateContent>
      </w:r>
      <w:r w:rsidR="00E15E82" w:rsidRPr="00E15E82">
        <w:rPr>
          <w:noProof/>
          <w:lang w:eastAsia="en-AU"/>
        </w:rPr>
        <w:drawing>
          <wp:inline distT="0" distB="0" distL="0" distR="0" wp14:anchorId="32154751" wp14:editId="755DBC20">
            <wp:extent cx="5731510" cy="4114813"/>
            <wp:effectExtent l="0" t="0" r="2540" b="0"/>
            <wp:docPr id="17" name="Picture 1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Pr="000A130D" w:rsidRDefault="00963425" w:rsidP="00275002">
      <w:r>
        <w:t>The red ellipse highlights where Queensland participants rebid from low to high price causing a high spot price detailed in the “</w:t>
      </w:r>
      <w:r w:rsidRPr="00963425">
        <w:t>Detailed market analysis of significant price events</w:t>
      </w:r>
      <w:r>
        <w:t>” section below.</w:t>
      </w:r>
    </w:p>
    <w:p w:rsidR="00275002" w:rsidRPr="000A130D" w:rsidRDefault="00275002" w:rsidP="00275002"/>
    <w:p w:rsidR="00275002" w:rsidRPr="000A130D" w:rsidRDefault="00275002" w:rsidP="000E2946">
      <w:pPr>
        <w:pStyle w:val="Caption"/>
      </w:pPr>
      <w:r w:rsidRPr="000A130D">
        <w:t xml:space="preserve">Figure </w:t>
      </w:r>
      <w:r w:rsidR="00000C83">
        <w:fldChar w:fldCharType="begin"/>
      </w:r>
      <w:r w:rsidR="00000C83">
        <w:instrText xml:space="preserve"> SEQ Figure \* ARABIC </w:instrText>
      </w:r>
      <w:r w:rsidR="00000C83">
        <w:fldChar w:fldCharType="separate"/>
      </w:r>
      <w:r w:rsidR="00000C83">
        <w:rPr>
          <w:noProof/>
        </w:rPr>
        <w:t>4</w:t>
      </w:r>
      <w:r w:rsidR="00000C83">
        <w:rPr>
          <w:noProof/>
        </w:rPr>
        <w:fldChar w:fldCharType="end"/>
      </w:r>
      <w:r w:rsidRPr="000A130D">
        <w:t>: New South Wales generation and bidding patterns</w:t>
      </w:r>
    </w:p>
    <w:p w:rsidR="00275002" w:rsidRPr="000A130D" w:rsidRDefault="00E15E82" w:rsidP="00275002">
      <w:r w:rsidRPr="00E15E82">
        <w:rPr>
          <w:noProof/>
          <w:lang w:eastAsia="en-AU"/>
        </w:rPr>
        <w:drawing>
          <wp:inline distT="0" distB="0" distL="0" distR="0" wp14:anchorId="2806FF54" wp14:editId="2F7DFBFA">
            <wp:extent cx="5731510" cy="4123947"/>
            <wp:effectExtent l="0" t="0" r="2540" b="0"/>
            <wp:docPr id="19" name="Picture 1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947"/>
                    </a:xfrm>
                    <a:prstGeom prst="rect">
                      <a:avLst/>
                    </a:prstGeom>
                    <a:noFill/>
                    <a:ln>
                      <a:noFill/>
                    </a:ln>
                  </pic:spPr>
                </pic:pic>
              </a:graphicData>
            </a:graphic>
          </wp:inline>
        </w:drawing>
      </w:r>
    </w:p>
    <w:p w:rsidR="00275002" w:rsidRPr="000A130D" w:rsidRDefault="00275002" w:rsidP="000E2946">
      <w:pPr>
        <w:pStyle w:val="Caption"/>
      </w:pPr>
      <w:r w:rsidRPr="000A130D">
        <w:t xml:space="preserve">Figure </w:t>
      </w:r>
      <w:r w:rsidR="00000C83">
        <w:fldChar w:fldCharType="begin"/>
      </w:r>
      <w:r w:rsidR="00000C83">
        <w:instrText xml:space="preserve"> SEQ Figure \* ARABIC </w:instrText>
      </w:r>
      <w:r w:rsidR="00000C83">
        <w:fldChar w:fldCharType="separate"/>
      </w:r>
      <w:r w:rsidR="00000C83">
        <w:rPr>
          <w:noProof/>
        </w:rPr>
        <w:t>5</w:t>
      </w:r>
      <w:r w:rsidR="00000C83">
        <w:rPr>
          <w:noProof/>
        </w:rPr>
        <w:fldChar w:fldCharType="end"/>
      </w:r>
      <w:r w:rsidRPr="000A130D">
        <w:t>: Victoria generation and bidding patterns</w:t>
      </w:r>
    </w:p>
    <w:p w:rsidR="00275002" w:rsidRPr="000A130D" w:rsidRDefault="00E15E82" w:rsidP="00275002">
      <w:r w:rsidRPr="00E15E82">
        <w:rPr>
          <w:noProof/>
          <w:lang w:eastAsia="en-AU"/>
        </w:rPr>
        <w:drawing>
          <wp:inline distT="0" distB="0" distL="0" distR="0" wp14:anchorId="0F388415" wp14:editId="062FE071">
            <wp:extent cx="5731510" cy="4114813"/>
            <wp:effectExtent l="0" t="0" r="2540" b="0"/>
            <wp:docPr id="22" name="Picture 22"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Pr="000A130D" w:rsidRDefault="00275002" w:rsidP="000E2946">
      <w:pPr>
        <w:pStyle w:val="Caption"/>
      </w:pPr>
      <w:r w:rsidRPr="000A130D">
        <w:t xml:space="preserve">Figure </w:t>
      </w:r>
      <w:r w:rsidR="00000C83">
        <w:fldChar w:fldCharType="begin"/>
      </w:r>
      <w:r w:rsidR="00000C83">
        <w:instrText xml:space="preserve"> SEQ Figure \* ARABIC </w:instrText>
      </w:r>
      <w:r w:rsidR="00000C83">
        <w:fldChar w:fldCharType="separate"/>
      </w:r>
      <w:r w:rsidR="00000C83">
        <w:rPr>
          <w:noProof/>
        </w:rPr>
        <w:t>6</w:t>
      </w:r>
      <w:r w:rsidR="00000C83">
        <w:rPr>
          <w:noProof/>
        </w:rPr>
        <w:fldChar w:fldCharType="end"/>
      </w:r>
      <w:r w:rsidRPr="000A130D">
        <w:t>: South Australia generation and bidding patterns</w:t>
      </w:r>
    </w:p>
    <w:p w:rsidR="00E15E82" w:rsidRDefault="00E15E82" w:rsidP="000E2946">
      <w:pPr>
        <w:pStyle w:val="Caption"/>
      </w:pPr>
      <w:bookmarkStart w:id="15" w:name="_Ref410383520"/>
      <w:r w:rsidRPr="00E15E82">
        <w:rPr>
          <w:noProof/>
          <w:lang w:eastAsia="en-AU"/>
        </w:rPr>
        <w:drawing>
          <wp:inline distT="0" distB="0" distL="0" distR="0" wp14:anchorId="75C1F51D" wp14:editId="2CE53DDE">
            <wp:extent cx="5731510" cy="4119380"/>
            <wp:effectExtent l="0" t="0" r="2540" b="0"/>
            <wp:docPr id="23" name="Picture 23"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9380"/>
                    </a:xfrm>
                    <a:prstGeom prst="rect">
                      <a:avLst/>
                    </a:prstGeom>
                    <a:noFill/>
                    <a:ln>
                      <a:noFill/>
                    </a:ln>
                  </pic:spPr>
                </pic:pic>
              </a:graphicData>
            </a:graphic>
          </wp:inline>
        </w:drawing>
      </w:r>
    </w:p>
    <w:p w:rsidR="00275002" w:rsidRDefault="00275002" w:rsidP="000E2946">
      <w:pPr>
        <w:pStyle w:val="Caption"/>
      </w:pPr>
      <w:bookmarkStart w:id="16" w:name="_Ref427065251"/>
      <w:bookmarkStart w:id="17" w:name="_Ref427065263"/>
      <w:r w:rsidRPr="000A130D">
        <w:t xml:space="preserve">Figure </w:t>
      </w:r>
      <w:r w:rsidR="00000C83">
        <w:fldChar w:fldCharType="begin"/>
      </w:r>
      <w:r w:rsidR="00000C83">
        <w:instrText xml:space="preserve"> SEQ Figure \* ARABIC </w:instrText>
      </w:r>
      <w:r w:rsidR="00000C83">
        <w:fldChar w:fldCharType="separate"/>
      </w:r>
      <w:r w:rsidR="00000C83">
        <w:rPr>
          <w:noProof/>
        </w:rPr>
        <w:t>7</w:t>
      </w:r>
      <w:r w:rsidR="00000C83">
        <w:rPr>
          <w:noProof/>
        </w:rPr>
        <w:fldChar w:fldCharType="end"/>
      </w:r>
      <w:bookmarkEnd w:id="15"/>
      <w:bookmarkEnd w:id="17"/>
      <w:r w:rsidRPr="000A130D">
        <w:t>: Tasmania generation and bidding patterns</w:t>
      </w:r>
      <w:bookmarkEnd w:id="16"/>
    </w:p>
    <w:p w:rsidR="00275002" w:rsidRDefault="00E15E82" w:rsidP="00275002">
      <w:r w:rsidRPr="00E15E82">
        <w:rPr>
          <w:noProof/>
          <w:lang w:eastAsia="en-AU"/>
        </w:rPr>
        <w:drawing>
          <wp:inline distT="0" distB="0" distL="0" distR="0" wp14:anchorId="6378D62D" wp14:editId="2DBD5C68">
            <wp:extent cx="5731510" cy="4114813"/>
            <wp:effectExtent l="0" t="0" r="2540" b="0"/>
            <wp:docPr id="24" name="Picture 24"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E15E82" w:rsidRPr="00E15E82" w:rsidRDefault="00E15E82" w:rsidP="00E15E82">
      <w:pPr>
        <w:spacing w:before="120" w:after="120"/>
        <w:jc w:val="both"/>
      </w:pPr>
      <w:bookmarkStart w:id="18" w:name="_Ref410383413"/>
      <w:r w:rsidRPr="00E15E82">
        <w:t>The total cost of FCAS on the mainland for the week was $338</w:t>
      </w:r>
      <w:r w:rsidR="006B7CE0">
        <w:t> </w:t>
      </w:r>
      <w:r w:rsidRPr="00E15E82">
        <w:t>000 or less than 1 per cent of energy turnover on the mainland.</w:t>
      </w:r>
    </w:p>
    <w:p w:rsidR="00E15E82" w:rsidRDefault="00E15E82" w:rsidP="00E15E82">
      <w:pPr>
        <w:spacing w:before="120" w:after="120"/>
        <w:jc w:val="both"/>
      </w:pPr>
      <w:r w:rsidRPr="00E15E82">
        <w:t xml:space="preserve">The total cost of FCAS in Tasmania for the </w:t>
      </w:r>
      <w:r>
        <w:t>week was $135</w:t>
      </w:r>
      <w:r w:rsidR="006B7CE0">
        <w:t> </w:t>
      </w:r>
      <w:r>
        <w:t xml:space="preserve">500 or </w:t>
      </w:r>
      <w:r w:rsidR="006B7CE0">
        <w:t>around</w:t>
      </w:r>
      <w:r>
        <w:t xml:space="preserve"> 2</w:t>
      </w:r>
      <w:r w:rsidRPr="00E15E82">
        <w:t xml:space="preserve"> 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000C83">
        <w:t xml:space="preserve">Figure </w:t>
      </w:r>
      <w:r w:rsidR="00000C83">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9" w:name="_Ref418082853"/>
      <w:r>
        <w:t xml:space="preserve">Figure </w:t>
      </w:r>
      <w:r w:rsidR="00000C83">
        <w:fldChar w:fldCharType="begin"/>
      </w:r>
      <w:r w:rsidR="00000C83">
        <w:instrText xml:space="preserve"> SEQ Figure \* ARABIC </w:instrText>
      </w:r>
      <w:r w:rsidR="00000C83">
        <w:fldChar w:fldCharType="separate"/>
      </w:r>
      <w:r w:rsidR="00000C83">
        <w:rPr>
          <w:noProof/>
        </w:rPr>
        <w:t>8</w:t>
      </w:r>
      <w:r w:rsidR="00000C83">
        <w:rPr>
          <w:noProof/>
        </w:rPr>
        <w:fldChar w:fldCharType="end"/>
      </w:r>
      <w:bookmarkEnd w:id="18"/>
      <w:bookmarkEnd w:id="19"/>
      <w:r w:rsidRPr="007707C6">
        <w:t>: Daily frequency control ancillary service cost</w:t>
      </w:r>
    </w:p>
    <w:p w:rsidR="00275002" w:rsidRDefault="00E15E82" w:rsidP="00275002">
      <w:r w:rsidRPr="00E15E82">
        <w:rPr>
          <w:noProof/>
          <w:lang w:eastAsia="en-AU"/>
        </w:rPr>
        <w:drawing>
          <wp:inline distT="0" distB="0" distL="0" distR="0" wp14:anchorId="4B7A1333" wp14:editId="253F6BF6">
            <wp:extent cx="5731510" cy="2891075"/>
            <wp:effectExtent l="0" t="0" r="2540" b="5080"/>
            <wp:docPr id="26" name="Picture 26"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1075"/>
                    </a:xfrm>
                    <a:prstGeom prst="rect">
                      <a:avLst/>
                    </a:prstGeom>
                    <a:noFill/>
                    <a:ln>
                      <a:noFill/>
                    </a:ln>
                  </pic:spPr>
                </pic:pic>
              </a:graphicData>
            </a:graphic>
          </wp:inline>
        </w:drawing>
      </w:r>
    </w:p>
    <w:bookmarkEnd w:id="0"/>
    <w:bookmarkEnd w:id="1"/>
    <w:bookmarkEnd w:id="2"/>
    <w:bookmarkEnd w:id="3"/>
    <w:bookmarkEnd w:id="4"/>
    <w:bookmarkEnd w:id="5"/>
    <w:p w:rsidR="005F7247" w:rsidRDefault="005F7247" w:rsidP="005F6ADE">
      <w:pPr>
        <w:pStyle w:val="Heading2"/>
      </w:pPr>
    </w:p>
    <w:p w:rsidR="00FB623B" w:rsidRPr="00FB623B" w:rsidRDefault="00FB623B" w:rsidP="00FB623B"/>
    <w:p w:rsidR="005F7247" w:rsidRPr="00405CDE" w:rsidRDefault="005F7247" w:rsidP="009270F7">
      <w:pPr>
        <w:pStyle w:val="AERHeading1"/>
        <w:keepNext/>
        <w:rPr>
          <w:rFonts w:cs="Arial"/>
        </w:rPr>
      </w:pPr>
      <w:r w:rsidRPr="00405CDE">
        <w:rPr>
          <w:rFonts w:cs="Arial"/>
        </w:rPr>
        <w:t>Detailed market analysis of significant price events</w:t>
      </w:r>
    </w:p>
    <w:p w:rsidR="005F7247"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7535E5" w:rsidRPr="007535E5" w:rsidRDefault="007535E5" w:rsidP="007535E5">
      <w:pPr>
        <w:pStyle w:val="AERHeading3"/>
      </w:pPr>
      <w:r w:rsidRPr="007535E5">
        <w:t xml:space="preserve">Queensland </w:t>
      </w:r>
    </w:p>
    <w:p w:rsidR="007535E5" w:rsidRPr="007535E5" w:rsidRDefault="007535E5" w:rsidP="007535E5">
      <w:pPr>
        <w:jc w:val="both"/>
        <w:rPr>
          <w:rFonts w:cs="Arial"/>
        </w:rPr>
      </w:pPr>
      <w:r w:rsidRPr="007535E5">
        <w:rPr>
          <w:rFonts w:cs="Arial"/>
        </w:rPr>
        <w:t>There was one occasion where the spot price in Queensland was greater than three times the Queensland weekly average price of $45/MWh and above $250/MWh.</w:t>
      </w:r>
    </w:p>
    <w:p w:rsidR="007535E5" w:rsidRDefault="007535E5" w:rsidP="007535E5">
      <w:pPr>
        <w:pStyle w:val="AERHeading3"/>
      </w:pPr>
      <w:r w:rsidRPr="007535E5">
        <w:t>Monday, 20 July</w:t>
      </w:r>
    </w:p>
    <w:p w:rsidR="007535E5" w:rsidRPr="00F00BD3" w:rsidRDefault="007535E5" w:rsidP="007535E5">
      <w:pPr>
        <w:pStyle w:val="Caption"/>
      </w:pPr>
      <w:r w:rsidRPr="00F00BD3">
        <w:t xml:space="preserve">Table </w:t>
      </w:r>
      <w:r w:rsidR="00000C83">
        <w:fldChar w:fldCharType="begin"/>
      </w:r>
      <w:r w:rsidR="00000C83">
        <w:instrText xml:space="preserve"> SEQ Table \* ARABIC </w:instrText>
      </w:r>
      <w:r w:rsidR="00000C83">
        <w:fldChar w:fldCharType="separate"/>
      </w:r>
      <w:r w:rsidR="00000C83">
        <w:rPr>
          <w:noProof/>
        </w:rPr>
        <w:t>3</w:t>
      </w:r>
      <w:r w:rsidR="00000C83">
        <w:rPr>
          <w:noProof/>
        </w:rPr>
        <w:fldChar w:fldCharType="end"/>
      </w:r>
      <w:r w:rsidRPr="00F00BD3">
        <w:t xml:space="preserve">: Rebids for the </w:t>
      </w:r>
      <w:r>
        <w:t>7 a</w:t>
      </w:r>
      <w:r w:rsidRPr="00F00BD3">
        <w:t xml:space="preserve">m trading interval </w:t>
      </w:r>
    </w:p>
    <w:tbl>
      <w:tblPr>
        <w:tblStyle w:val="AERTable-Text1"/>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7535E5">
            <w:pPr>
              <w:spacing w:before="60" w:after="60"/>
              <w:jc w:val="center"/>
              <w:rPr>
                <w:rFonts w:cs="Arial"/>
                <w:sz w:val="20"/>
                <w:szCs w:val="20"/>
              </w:rPr>
            </w:pPr>
            <w:r w:rsidRPr="007535E5">
              <w:rPr>
                <w:rFonts w:cs="Arial"/>
                <w:sz w:val="20"/>
                <w:szCs w:val="20"/>
              </w:rPr>
              <w:t xml:space="preserve">Time </w:t>
            </w:r>
          </w:p>
        </w:tc>
        <w:tc>
          <w:tcPr>
            <w:tcW w:w="1515" w:type="pct"/>
            <w:gridSpan w:val="3"/>
            <w:tcBorders>
              <w:bottom w:val="nil"/>
            </w:tcBorders>
            <w:hideMark/>
          </w:tcPr>
          <w:p w:rsidR="007535E5" w:rsidRPr="007535E5" w:rsidRDefault="007535E5" w:rsidP="007535E5">
            <w:pPr>
              <w:spacing w:before="60" w:after="60"/>
              <w:jc w:val="center"/>
              <w:rPr>
                <w:rFonts w:cs="Arial"/>
                <w:sz w:val="20"/>
                <w:szCs w:val="20"/>
              </w:rPr>
            </w:pPr>
            <w:r w:rsidRPr="007535E5">
              <w:rPr>
                <w:rFonts w:cs="Arial"/>
                <w:sz w:val="20"/>
                <w:szCs w:val="20"/>
              </w:rPr>
              <w:t>Price ($/MWh)</w:t>
            </w:r>
          </w:p>
        </w:tc>
        <w:tc>
          <w:tcPr>
            <w:tcW w:w="1477" w:type="pct"/>
            <w:gridSpan w:val="3"/>
            <w:tcBorders>
              <w:bottom w:val="nil"/>
            </w:tcBorders>
            <w:hideMark/>
          </w:tcPr>
          <w:p w:rsidR="007535E5" w:rsidRPr="007535E5" w:rsidRDefault="007535E5" w:rsidP="007535E5">
            <w:pPr>
              <w:spacing w:before="60" w:after="60"/>
              <w:jc w:val="center"/>
              <w:rPr>
                <w:rFonts w:cs="Arial"/>
                <w:sz w:val="20"/>
                <w:szCs w:val="20"/>
              </w:rPr>
            </w:pPr>
            <w:r w:rsidRPr="007535E5">
              <w:rPr>
                <w:rFonts w:cs="Arial"/>
                <w:sz w:val="20"/>
                <w:szCs w:val="20"/>
              </w:rPr>
              <w:t>Demand (MW)</w:t>
            </w:r>
          </w:p>
        </w:tc>
        <w:tc>
          <w:tcPr>
            <w:tcW w:w="1477" w:type="pct"/>
            <w:gridSpan w:val="3"/>
            <w:tcBorders>
              <w:bottom w:val="nil"/>
            </w:tcBorders>
            <w:hideMark/>
          </w:tcPr>
          <w:p w:rsidR="007535E5" w:rsidRPr="007535E5" w:rsidRDefault="007535E5" w:rsidP="007535E5">
            <w:pPr>
              <w:spacing w:before="60" w:after="60"/>
              <w:jc w:val="center"/>
              <w:rPr>
                <w:rFonts w:cs="Arial"/>
                <w:sz w:val="20"/>
                <w:szCs w:val="20"/>
              </w:rPr>
            </w:pPr>
            <w:r w:rsidRPr="007535E5">
              <w:rPr>
                <w:rFonts w:cs="Arial"/>
                <w:sz w:val="20"/>
                <w:szCs w:val="20"/>
              </w:rPr>
              <w:t>Availability (MW)</w:t>
            </w:r>
          </w:p>
        </w:tc>
      </w:tr>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7535E5">
            <w:pPr>
              <w:spacing w:before="0"/>
              <w:jc w:val="center"/>
              <w:rPr>
                <w:rFonts w:cs="Arial"/>
                <w:b w:val="0"/>
                <w:sz w:val="20"/>
                <w:szCs w:val="20"/>
              </w:rPr>
            </w:pPr>
            <w:r w:rsidRPr="007535E5">
              <w:rPr>
                <w:rFonts w:cs="Arial"/>
                <w:b w:val="0"/>
                <w:sz w:val="20"/>
                <w:szCs w:val="20"/>
              </w:rPr>
              <w:t>12 hr forecast</w:t>
            </w:r>
          </w:p>
        </w:tc>
      </w:tr>
      <w:tr w:rsidR="007535E5" w:rsidRPr="007535E5" w:rsidTr="002529A1">
        <w:trPr>
          <w:trHeight w:val="510"/>
        </w:trPr>
        <w:tc>
          <w:tcPr>
            <w:tcW w:w="531" w:type="pct"/>
            <w:tcBorders>
              <w:top w:val="nil"/>
              <w:bottom w:val="single" w:sz="4" w:space="0" w:color="auto"/>
            </w:tcBorders>
            <w:vAlign w:val="center"/>
          </w:tcPr>
          <w:p w:rsidR="007535E5" w:rsidRPr="00212020" w:rsidRDefault="007535E5" w:rsidP="007535E5">
            <w:pPr>
              <w:spacing w:before="100" w:beforeAutospacing="1" w:after="100" w:afterAutospacing="1" w:line="240" w:lineRule="auto"/>
              <w:jc w:val="center"/>
              <w:rPr>
                <w:rFonts w:eastAsia="Times New Roman" w:cs="Arial"/>
                <w:b/>
                <w:szCs w:val="24"/>
                <w:lang w:eastAsia="en-AU"/>
              </w:rPr>
            </w:pPr>
            <w:r w:rsidRPr="00212020">
              <w:rPr>
                <w:rFonts w:eastAsia="Times New Roman" w:cs="Arial"/>
                <w:b/>
                <w:bCs/>
                <w:szCs w:val="16"/>
                <w:lang w:eastAsia="en-AU"/>
              </w:rPr>
              <w:t>7 am</w:t>
            </w:r>
          </w:p>
        </w:tc>
        <w:tc>
          <w:tcPr>
            <w:tcW w:w="511"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2335.61</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41.90</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33.95</w:t>
            </w:r>
          </w:p>
        </w:tc>
        <w:tc>
          <w:tcPr>
            <w:tcW w:w="473"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6373</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6390</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6474</w:t>
            </w:r>
          </w:p>
        </w:tc>
        <w:tc>
          <w:tcPr>
            <w:tcW w:w="473"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9925</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9935</w:t>
            </w:r>
          </w:p>
        </w:tc>
        <w:tc>
          <w:tcPr>
            <w:tcW w:w="502" w:type="pct"/>
            <w:tcBorders>
              <w:top w:val="nil"/>
              <w:bottom w:val="single" w:sz="4" w:space="0" w:color="auto"/>
            </w:tcBorders>
            <w:vAlign w:val="center"/>
          </w:tcPr>
          <w:p w:rsidR="007535E5" w:rsidRPr="007535E5" w:rsidRDefault="007535E5" w:rsidP="007535E5">
            <w:pPr>
              <w:spacing w:before="100" w:beforeAutospacing="1" w:after="100" w:afterAutospacing="1" w:line="240" w:lineRule="auto"/>
              <w:jc w:val="center"/>
              <w:rPr>
                <w:rFonts w:eastAsia="Times New Roman" w:cs="Arial"/>
                <w:bCs/>
                <w:szCs w:val="16"/>
                <w:lang w:eastAsia="en-AU"/>
              </w:rPr>
            </w:pPr>
            <w:r w:rsidRPr="007535E5">
              <w:rPr>
                <w:rFonts w:eastAsia="Times New Roman" w:cs="Arial"/>
                <w:bCs/>
                <w:szCs w:val="16"/>
                <w:lang w:eastAsia="en-AU"/>
              </w:rPr>
              <w:t>10 255</w:t>
            </w:r>
          </w:p>
        </w:tc>
      </w:tr>
    </w:tbl>
    <w:p w:rsidR="00920E27" w:rsidRDefault="003C2913" w:rsidP="005F7247">
      <w:pPr>
        <w:jc w:val="both"/>
        <w:rPr>
          <w:rFonts w:cs="Arial"/>
        </w:rPr>
      </w:pPr>
      <w:r>
        <w:rPr>
          <w:rFonts w:cs="Arial"/>
        </w:rPr>
        <w:t>Conditions at the time saw d</w:t>
      </w:r>
      <w:r w:rsidR="00FB623B">
        <w:rPr>
          <w:rFonts w:cs="Arial"/>
        </w:rPr>
        <w:t>emand and avail</w:t>
      </w:r>
      <w:r>
        <w:rPr>
          <w:rFonts w:cs="Arial"/>
        </w:rPr>
        <w:t xml:space="preserve">able capacity </w:t>
      </w:r>
      <w:r w:rsidR="00FB623B">
        <w:rPr>
          <w:rFonts w:cs="Arial"/>
        </w:rPr>
        <w:t>close to forecast four hours ahead.</w:t>
      </w:r>
      <w:r w:rsidR="00C5057C">
        <w:rPr>
          <w:rFonts w:cs="Arial"/>
        </w:rPr>
        <w:t xml:space="preserve"> </w:t>
      </w:r>
    </w:p>
    <w:p w:rsidR="00E96F9A" w:rsidRPr="00E96F9A" w:rsidRDefault="00E96F9A" w:rsidP="00E96F9A">
      <w:pPr>
        <w:pStyle w:val="Caption"/>
      </w:pPr>
      <w:r w:rsidRPr="00E96F9A">
        <w:t xml:space="preserve">Table 4: Rebids for the 7 am trading interval </w:t>
      </w:r>
    </w:p>
    <w:tbl>
      <w:tblPr>
        <w:tblStyle w:val="AERsummarytable"/>
        <w:tblW w:w="4966" w:type="pct"/>
        <w:tblLayout w:type="fixed"/>
        <w:tblLook w:val="04A0" w:firstRow="1" w:lastRow="0" w:firstColumn="1" w:lastColumn="0" w:noHBand="0" w:noVBand="1"/>
      </w:tblPr>
      <w:tblGrid>
        <w:gridCol w:w="959"/>
        <w:gridCol w:w="912"/>
        <w:gridCol w:w="1153"/>
        <w:gridCol w:w="1116"/>
        <w:gridCol w:w="1006"/>
        <w:gridCol w:w="953"/>
        <w:gridCol w:w="938"/>
        <w:gridCol w:w="2142"/>
      </w:tblGrid>
      <w:tr w:rsidR="002529A1" w:rsidTr="00505B4F">
        <w:trPr>
          <w:cnfStyle w:val="100000000000" w:firstRow="1" w:lastRow="0" w:firstColumn="0" w:lastColumn="0" w:oddVBand="0" w:evenVBand="0" w:oddHBand="0" w:evenHBand="0" w:firstRowFirstColumn="0" w:firstRowLastColumn="0" w:lastRowFirstColumn="0" w:lastRowLastColumn="0"/>
          <w:trHeight w:val="780"/>
          <w:tblHeader/>
        </w:trPr>
        <w:tc>
          <w:tcPr>
            <w:tcW w:w="522" w:type="pct"/>
            <w:hideMark/>
          </w:tcPr>
          <w:p w:rsidR="002529A1" w:rsidRDefault="002529A1" w:rsidP="002529A1">
            <w:pPr>
              <w:pStyle w:val="TableHeading"/>
              <w:rPr>
                <w:color w:val="FFFFFF"/>
                <w:szCs w:val="18"/>
              </w:rPr>
            </w:pPr>
            <w:r>
              <w:rPr>
                <w:bCs/>
                <w:color w:val="FFFFFF"/>
                <w:szCs w:val="18"/>
              </w:rPr>
              <w:t>Submit time</w:t>
            </w:r>
          </w:p>
        </w:tc>
        <w:tc>
          <w:tcPr>
            <w:tcW w:w="497" w:type="pct"/>
            <w:hideMark/>
          </w:tcPr>
          <w:p w:rsidR="002529A1" w:rsidRDefault="002529A1" w:rsidP="002529A1">
            <w:pPr>
              <w:pStyle w:val="TableHeading"/>
              <w:ind w:left="-108"/>
              <w:rPr>
                <w:color w:val="FFFFFF"/>
                <w:szCs w:val="18"/>
              </w:rPr>
            </w:pPr>
            <w:r>
              <w:rPr>
                <w:bCs/>
                <w:color w:val="FFFFFF"/>
                <w:szCs w:val="18"/>
              </w:rPr>
              <w:t>Time effective</w:t>
            </w:r>
          </w:p>
        </w:tc>
        <w:tc>
          <w:tcPr>
            <w:tcW w:w="628" w:type="pct"/>
            <w:hideMark/>
          </w:tcPr>
          <w:p w:rsidR="002529A1" w:rsidRDefault="002529A1" w:rsidP="002529A1">
            <w:pPr>
              <w:pStyle w:val="TableHeading"/>
              <w:rPr>
                <w:color w:val="FFFFFF"/>
                <w:szCs w:val="18"/>
              </w:rPr>
            </w:pPr>
            <w:r>
              <w:rPr>
                <w:bCs/>
                <w:color w:val="FFFFFF"/>
                <w:szCs w:val="18"/>
              </w:rPr>
              <w:t>Participant</w:t>
            </w:r>
          </w:p>
        </w:tc>
        <w:tc>
          <w:tcPr>
            <w:tcW w:w="608" w:type="pct"/>
            <w:hideMark/>
          </w:tcPr>
          <w:p w:rsidR="002529A1" w:rsidRDefault="002529A1" w:rsidP="002529A1">
            <w:pPr>
              <w:pStyle w:val="TableHeading"/>
              <w:rPr>
                <w:color w:val="FFFFFF"/>
                <w:szCs w:val="18"/>
              </w:rPr>
            </w:pPr>
            <w:r>
              <w:rPr>
                <w:bCs/>
                <w:color w:val="FFFFFF"/>
                <w:szCs w:val="18"/>
              </w:rPr>
              <w:t>Station</w:t>
            </w:r>
          </w:p>
        </w:tc>
        <w:tc>
          <w:tcPr>
            <w:tcW w:w="548" w:type="pct"/>
            <w:hideMark/>
          </w:tcPr>
          <w:p w:rsidR="002529A1" w:rsidRDefault="002529A1" w:rsidP="002529A1">
            <w:pPr>
              <w:pStyle w:val="TableHeading"/>
              <w:rPr>
                <w:color w:val="FFFFFF"/>
                <w:szCs w:val="18"/>
              </w:rPr>
            </w:pPr>
            <w:r>
              <w:rPr>
                <w:bCs/>
                <w:color w:val="FFFFFF"/>
                <w:szCs w:val="18"/>
              </w:rPr>
              <w:t>Capacity rebid (MW)</w:t>
            </w:r>
          </w:p>
        </w:tc>
        <w:tc>
          <w:tcPr>
            <w:tcW w:w="519" w:type="pct"/>
            <w:hideMark/>
          </w:tcPr>
          <w:p w:rsidR="002529A1" w:rsidRDefault="002529A1" w:rsidP="002529A1">
            <w:pPr>
              <w:pStyle w:val="TableHeading"/>
              <w:rPr>
                <w:color w:val="FFFFFF"/>
                <w:szCs w:val="18"/>
              </w:rPr>
            </w:pPr>
            <w:r>
              <w:rPr>
                <w:bCs/>
                <w:color w:val="FFFFFF"/>
                <w:szCs w:val="18"/>
              </w:rPr>
              <w:t>Price from ($/MWh)</w:t>
            </w:r>
          </w:p>
        </w:tc>
        <w:tc>
          <w:tcPr>
            <w:tcW w:w="511" w:type="pct"/>
            <w:hideMark/>
          </w:tcPr>
          <w:p w:rsidR="002529A1" w:rsidRDefault="002529A1" w:rsidP="002529A1">
            <w:pPr>
              <w:pStyle w:val="TableHeading"/>
              <w:rPr>
                <w:color w:val="FFFFFF"/>
                <w:szCs w:val="18"/>
              </w:rPr>
            </w:pPr>
            <w:r>
              <w:rPr>
                <w:bCs/>
                <w:color w:val="FFFFFF"/>
                <w:szCs w:val="18"/>
              </w:rPr>
              <w:t>Price to ($/MWh)</w:t>
            </w:r>
          </w:p>
        </w:tc>
        <w:tc>
          <w:tcPr>
            <w:tcW w:w="1167" w:type="pct"/>
            <w:hideMark/>
          </w:tcPr>
          <w:p w:rsidR="002529A1" w:rsidRDefault="002529A1" w:rsidP="002529A1">
            <w:pPr>
              <w:pStyle w:val="TableHeading"/>
              <w:rPr>
                <w:color w:val="FFFFFF"/>
                <w:szCs w:val="18"/>
              </w:rPr>
            </w:pPr>
            <w:r>
              <w:rPr>
                <w:bCs/>
                <w:color w:val="FFFFFF"/>
                <w:szCs w:val="18"/>
              </w:rPr>
              <w:t>Rebid reason</w:t>
            </w:r>
          </w:p>
        </w:tc>
      </w:tr>
      <w:tr w:rsidR="002529A1" w:rsidRPr="00C8473D" w:rsidTr="00505B4F">
        <w:trPr>
          <w:cnfStyle w:val="000000100000" w:firstRow="0" w:lastRow="0" w:firstColumn="0" w:lastColumn="0" w:oddVBand="0" w:evenVBand="0" w:oddHBand="1" w:evenHBand="0" w:firstRowFirstColumn="0" w:firstRowLastColumn="0" w:lastRowFirstColumn="0" w:lastRowLastColumn="0"/>
          <w:trHeight w:val="606"/>
        </w:trPr>
        <w:tc>
          <w:tcPr>
            <w:tcW w:w="522" w:type="pct"/>
            <w:vAlign w:val="center"/>
          </w:tcPr>
          <w:p w:rsidR="002529A1" w:rsidRPr="00541092" w:rsidRDefault="002E0650" w:rsidP="00005B4A">
            <w:pPr>
              <w:spacing w:before="100" w:beforeAutospacing="1" w:after="100" w:afterAutospacing="1" w:line="240" w:lineRule="auto"/>
              <w:jc w:val="center"/>
              <w:rPr>
                <w:rFonts w:cs="Arial"/>
                <w:szCs w:val="18"/>
                <w:lang w:eastAsia="en-AU"/>
              </w:rPr>
            </w:pPr>
            <w:r>
              <w:rPr>
                <w:rFonts w:cs="Arial"/>
                <w:szCs w:val="18"/>
                <w:lang w:eastAsia="en-AU"/>
              </w:rPr>
              <w:t>6.37 am</w:t>
            </w:r>
          </w:p>
        </w:tc>
        <w:tc>
          <w:tcPr>
            <w:tcW w:w="497"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6.45 am</w:t>
            </w:r>
          </w:p>
        </w:tc>
        <w:tc>
          <w:tcPr>
            <w:tcW w:w="62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Millmerran Energy</w:t>
            </w:r>
          </w:p>
        </w:tc>
        <w:tc>
          <w:tcPr>
            <w:tcW w:w="60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Millmerran</w:t>
            </w:r>
          </w:p>
        </w:tc>
        <w:tc>
          <w:tcPr>
            <w:tcW w:w="54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190</w:t>
            </w:r>
          </w:p>
        </w:tc>
        <w:tc>
          <w:tcPr>
            <w:tcW w:w="519"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7</w:t>
            </w:r>
          </w:p>
        </w:tc>
        <w:tc>
          <w:tcPr>
            <w:tcW w:w="511" w:type="pct"/>
            <w:vAlign w:val="center"/>
          </w:tcPr>
          <w:p w:rsidR="002529A1" w:rsidRPr="00541092" w:rsidRDefault="002E0650" w:rsidP="002529A1">
            <w:pPr>
              <w:spacing w:before="100" w:beforeAutospacing="1" w:after="100" w:afterAutospacing="1" w:line="240" w:lineRule="auto"/>
              <w:jc w:val="center"/>
              <w:rPr>
                <w:rFonts w:cs="Arial"/>
                <w:szCs w:val="18"/>
              </w:rPr>
            </w:pPr>
            <w:r>
              <w:rPr>
                <w:rFonts w:cs="Arial"/>
                <w:szCs w:val="18"/>
              </w:rPr>
              <w:t>13 800</w:t>
            </w:r>
          </w:p>
        </w:tc>
        <w:tc>
          <w:tcPr>
            <w:tcW w:w="1167" w:type="pct"/>
            <w:vAlign w:val="center"/>
          </w:tcPr>
          <w:p w:rsidR="002529A1" w:rsidRPr="007F7F50" w:rsidRDefault="002E0650" w:rsidP="006154E6">
            <w:pPr>
              <w:spacing w:before="100" w:beforeAutospacing="1" w:after="100" w:afterAutospacing="1" w:line="240" w:lineRule="auto"/>
              <w:rPr>
                <w:rFonts w:cs="Arial"/>
                <w:szCs w:val="18"/>
              </w:rPr>
            </w:pPr>
            <w:r w:rsidRPr="007F7F50">
              <w:rPr>
                <w:rFonts w:cs="Arial"/>
                <w:szCs w:val="16"/>
              </w:rPr>
              <w:t xml:space="preserve">06:31 </w:t>
            </w:r>
            <w:r w:rsidR="006154E6">
              <w:rPr>
                <w:rFonts w:cs="Arial"/>
                <w:szCs w:val="16"/>
              </w:rPr>
              <w:t>A</w:t>
            </w:r>
            <w:r w:rsidRPr="007F7F50">
              <w:rPr>
                <w:rFonts w:cs="Arial"/>
                <w:szCs w:val="16"/>
              </w:rPr>
              <w:t xml:space="preserve"> change in dispatch gen 5min </w:t>
            </w:r>
            <w:proofErr w:type="spellStart"/>
            <w:r w:rsidRPr="007F7F50">
              <w:rPr>
                <w:rFonts w:cs="Arial"/>
                <w:szCs w:val="16"/>
              </w:rPr>
              <w:t>pd</w:t>
            </w:r>
            <w:proofErr w:type="spellEnd"/>
            <w:r w:rsidRPr="007F7F50">
              <w:rPr>
                <w:rFonts w:cs="Arial"/>
                <w:szCs w:val="16"/>
              </w:rPr>
              <w:t xml:space="preserve"> for DI 0700 (+100MW)</w:t>
            </w:r>
          </w:p>
        </w:tc>
      </w:tr>
      <w:tr w:rsidR="002529A1" w:rsidTr="00505B4F">
        <w:trPr>
          <w:cnfStyle w:val="000000010000" w:firstRow="0" w:lastRow="0" w:firstColumn="0" w:lastColumn="0" w:oddVBand="0" w:evenVBand="0" w:oddHBand="0" w:evenHBand="1" w:firstRowFirstColumn="0" w:firstRowLastColumn="0" w:lastRowFirstColumn="0" w:lastRowLastColumn="0"/>
          <w:trHeight w:val="606"/>
        </w:trPr>
        <w:tc>
          <w:tcPr>
            <w:tcW w:w="522"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6.43 am</w:t>
            </w:r>
          </w:p>
        </w:tc>
        <w:tc>
          <w:tcPr>
            <w:tcW w:w="497"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6.50 am</w:t>
            </w:r>
          </w:p>
        </w:tc>
        <w:tc>
          <w:tcPr>
            <w:tcW w:w="62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 xml:space="preserve">Callide Power Trading  </w:t>
            </w:r>
          </w:p>
        </w:tc>
        <w:tc>
          <w:tcPr>
            <w:tcW w:w="608" w:type="pct"/>
            <w:vAlign w:val="center"/>
          </w:tcPr>
          <w:p w:rsidR="002529A1" w:rsidRPr="00541092" w:rsidRDefault="002E0650" w:rsidP="002E0650">
            <w:pPr>
              <w:spacing w:before="100" w:beforeAutospacing="1" w:after="100" w:afterAutospacing="1" w:line="240" w:lineRule="auto"/>
              <w:jc w:val="center"/>
              <w:rPr>
                <w:rFonts w:cs="Arial"/>
                <w:szCs w:val="18"/>
                <w:lang w:eastAsia="en-AU"/>
              </w:rPr>
            </w:pPr>
            <w:r>
              <w:rPr>
                <w:rFonts w:cs="Arial"/>
                <w:szCs w:val="18"/>
                <w:lang w:eastAsia="en-AU"/>
              </w:rPr>
              <w:t>Callide C</w:t>
            </w:r>
          </w:p>
        </w:tc>
        <w:tc>
          <w:tcPr>
            <w:tcW w:w="54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126</w:t>
            </w:r>
          </w:p>
        </w:tc>
        <w:tc>
          <w:tcPr>
            <w:tcW w:w="519" w:type="pct"/>
            <w:vAlign w:val="center"/>
          </w:tcPr>
          <w:p w:rsidR="002529A1" w:rsidRPr="00541092" w:rsidRDefault="002E0650" w:rsidP="002529A1">
            <w:pPr>
              <w:spacing w:before="100" w:beforeAutospacing="1" w:after="100" w:afterAutospacing="1" w:line="240" w:lineRule="auto"/>
              <w:jc w:val="center"/>
              <w:rPr>
                <w:rFonts w:cs="Arial"/>
                <w:szCs w:val="18"/>
              </w:rPr>
            </w:pPr>
            <w:r>
              <w:rPr>
                <w:rFonts w:cs="Arial"/>
                <w:szCs w:val="18"/>
              </w:rPr>
              <w:t>-1000</w:t>
            </w:r>
          </w:p>
        </w:tc>
        <w:tc>
          <w:tcPr>
            <w:tcW w:w="511" w:type="pct"/>
            <w:vAlign w:val="center"/>
          </w:tcPr>
          <w:p w:rsidR="002529A1" w:rsidRPr="00541092" w:rsidRDefault="002E0650" w:rsidP="002529A1">
            <w:pPr>
              <w:spacing w:before="100" w:beforeAutospacing="1" w:after="100" w:afterAutospacing="1" w:line="240" w:lineRule="auto"/>
              <w:jc w:val="center"/>
              <w:rPr>
                <w:rFonts w:cs="Arial"/>
                <w:szCs w:val="18"/>
              </w:rPr>
            </w:pPr>
            <w:r>
              <w:rPr>
                <w:rFonts w:cs="Arial"/>
                <w:szCs w:val="18"/>
              </w:rPr>
              <w:t>13 800</w:t>
            </w:r>
          </w:p>
        </w:tc>
        <w:tc>
          <w:tcPr>
            <w:tcW w:w="1167" w:type="pct"/>
            <w:vAlign w:val="center"/>
          </w:tcPr>
          <w:p w:rsidR="002529A1" w:rsidRPr="007F7F50" w:rsidRDefault="002E0650" w:rsidP="002529A1">
            <w:pPr>
              <w:spacing w:before="100" w:beforeAutospacing="1" w:after="100" w:afterAutospacing="1" w:line="240" w:lineRule="auto"/>
              <w:rPr>
                <w:rFonts w:cs="Arial"/>
                <w:szCs w:val="18"/>
              </w:rPr>
            </w:pPr>
            <w:r w:rsidRPr="007F7F50">
              <w:rPr>
                <w:rFonts w:cs="Arial"/>
                <w:szCs w:val="16"/>
              </w:rPr>
              <w:t xml:space="preserve">0611A change in dispatch gen 5min </w:t>
            </w:r>
            <w:proofErr w:type="spellStart"/>
            <w:r w:rsidRPr="007F7F50">
              <w:rPr>
                <w:rFonts w:cs="Arial"/>
                <w:szCs w:val="16"/>
              </w:rPr>
              <w:t>pd</w:t>
            </w:r>
            <w:proofErr w:type="spellEnd"/>
            <w:r w:rsidRPr="007F7F50">
              <w:rPr>
                <w:rFonts w:cs="Arial"/>
                <w:szCs w:val="16"/>
              </w:rPr>
              <w:t xml:space="preserve"> for DI 0700 (+100MW)</w:t>
            </w:r>
          </w:p>
        </w:tc>
      </w:tr>
      <w:tr w:rsidR="002529A1" w:rsidTr="00505B4F">
        <w:trPr>
          <w:cnfStyle w:val="000000100000" w:firstRow="0" w:lastRow="0" w:firstColumn="0" w:lastColumn="0" w:oddVBand="0" w:evenVBand="0" w:oddHBand="1" w:evenHBand="0" w:firstRowFirstColumn="0" w:firstRowLastColumn="0" w:lastRowFirstColumn="0" w:lastRowLastColumn="0"/>
          <w:trHeight w:val="673"/>
        </w:trPr>
        <w:tc>
          <w:tcPr>
            <w:tcW w:w="522"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 xml:space="preserve">6.55 am </w:t>
            </w:r>
          </w:p>
        </w:tc>
        <w:tc>
          <w:tcPr>
            <w:tcW w:w="497"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6.55 am</w:t>
            </w:r>
          </w:p>
        </w:tc>
        <w:tc>
          <w:tcPr>
            <w:tcW w:w="62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 xml:space="preserve">CS Energy </w:t>
            </w:r>
          </w:p>
        </w:tc>
        <w:tc>
          <w:tcPr>
            <w:tcW w:w="60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Gladstone</w:t>
            </w:r>
          </w:p>
        </w:tc>
        <w:tc>
          <w:tcPr>
            <w:tcW w:w="548" w:type="pct"/>
            <w:vAlign w:val="center"/>
          </w:tcPr>
          <w:p w:rsidR="002529A1" w:rsidRPr="00541092" w:rsidRDefault="002E0650" w:rsidP="002529A1">
            <w:pPr>
              <w:spacing w:before="100" w:beforeAutospacing="1" w:after="100" w:afterAutospacing="1" w:line="240" w:lineRule="auto"/>
              <w:jc w:val="center"/>
              <w:rPr>
                <w:rFonts w:cs="Arial"/>
                <w:szCs w:val="18"/>
                <w:lang w:eastAsia="en-AU"/>
              </w:rPr>
            </w:pPr>
            <w:r>
              <w:rPr>
                <w:rFonts w:cs="Arial"/>
                <w:szCs w:val="18"/>
                <w:lang w:eastAsia="en-AU"/>
              </w:rPr>
              <w:t>160</w:t>
            </w:r>
          </w:p>
        </w:tc>
        <w:tc>
          <w:tcPr>
            <w:tcW w:w="519" w:type="pct"/>
            <w:vAlign w:val="center"/>
          </w:tcPr>
          <w:p w:rsidR="002529A1" w:rsidRPr="00541092" w:rsidRDefault="00005B4A" w:rsidP="002529A1">
            <w:pPr>
              <w:spacing w:before="100" w:beforeAutospacing="1" w:after="100" w:afterAutospacing="1" w:line="240" w:lineRule="auto"/>
              <w:jc w:val="center"/>
              <w:rPr>
                <w:rFonts w:cs="Arial"/>
                <w:szCs w:val="18"/>
              </w:rPr>
            </w:pPr>
            <w:r>
              <w:rPr>
                <w:rFonts w:cs="Arial"/>
                <w:szCs w:val="18"/>
              </w:rPr>
              <w:t>13 800</w:t>
            </w:r>
          </w:p>
        </w:tc>
        <w:tc>
          <w:tcPr>
            <w:tcW w:w="511" w:type="pct"/>
            <w:vAlign w:val="center"/>
          </w:tcPr>
          <w:p w:rsidR="002529A1" w:rsidRPr="00541092" w:rsidRDefault="002E0650" w:rsidP="002529A1">
            <w:pPr>
              <w:spacing w:before="100" w:beforeAutospacing="1" w:after="100" w:afterAutospacing="1" w:line="240" w:lineRule="auto"/>
              <w:jc w:val="center"/>
              <w:rPr>
                <w:rFonts w:cs="Arial"/>
                <w:szCs w:val="18"/>
              </w:rPr>
            </w:pPr>
            <w:r>
              <w:rPr>
                <w:rFonts w:cs="Arial"/>
                <w:szCs w:val="18"/>
              </w:rPr>
              <w:t>0</w:t>
            </w:r>
          </w:p>
        </w:tc>
        <w:tc>
          <w:tcPr>
            <w:tcW w:w="1167" w:type="pct"/>
            <w:vAlign w:val="center"/>
          </w:tcPr>
          <w:p w:rsidR="002529A1" w:rsidRPr="007F7F50" w:rsidRDefault="002E0650" w:rsidP="00005B4A">
            <w:pPr>
              <w:spacing w:before="100" w:beforeAutospacing="1" w:after="100" w:afterAutospacing="1" w:line="240" w:lineRule="auto"/>
              <w:rPr>
                <w:rFonts w:cs="Arial"/>
                <w:szCs w:val="18"/>
              </w:rPr>
            </w:pPr>
            <w:r w:rsidRPr="007F7F50">
              <w:rPr>
                <w:rFonts w:cs="Arial"/>
                <w:szCs w:val="16"/>
              </w:rPr>
              <w:t>0648P portfolio rearrangement due to-</w:t>
            </w:r>
            <w:r w:rsidR="00005B4A">
              <w:rPr>
                <w:rFonts w:cs="Arial"/>
                <w:szCs w:val="16"/>
              </w:rPr>
              <w:t>QNI</w:t>
            </w:r>
            <w:r w:rsidRPr="007F7F50">
              <w:rPr>
                <w:rFonts w:cs="Arial"/>
                <w:szCs w:val="16"/>
              </w:rPr>
              <w:t xml:space="preserve"> close to binding north-</w:t>
            </w:r>
          </w:p>
        </w:tc>
      </w:tr>
    </w:tbl>
    <w:p w:rsidR="00C5057C" w:rsidRDefault="00920E27" w:rsidP="00920E27">
      <w:pPr>
        <w:jc w:val="both"/>
        <w:rPr>
          <w:rFonts w:cs="Arial"/>
        </w:rPr>
      </w:pPr>
      <w:r>
        <w:rPr>
          <w:rFonts w:cs="Arial"/>
        </w:rPr>
        <w:t>The above rebids contributed to creatin</w:t>
      </w:r>
      <w:r w:rsidR="00C5057C">
        <w:rPr>
          <w:rFonts w:cs="Arial"/>
        </w:rPr>
        <w:t xml:space="preserve">g a steep supply curve </w:t>
      </w:r>
      <w:r w:rsidR="004C67EE">
        <w:rPr>
          <w:rFonts w:cs="Arial"/>
        </w:rPr>
        <w:t xml:space="preserve">(despite CS Energy’s rebid) </w:t>
      </w:r>
      <w:r w:rsidR="00C5057C">
        <w:rPr>
          <w:rFonts w:cs="Arial"/>
        </w:rPr>
        <w:t>with limited capacity available priced between $100/MWh and $12</w:t>
      </w:r>
      <w:r w:rsidR="00AB7700">
        <w:rPr>
          <w:rFonts w:cs="Arial"/>
        </w:rPr>
        <w:t> </w:t>
      </w:r>
      <w:r w:rsidR="00C5057C">
        <w:rPr>
          <w:rFonts w:cs="Arial"/>
        </w:rPr>
        <w:t>000/MWh. Consequently, small changes in demand, interconnectors and availability le</w:t>
      </w:r>
      <w:r w:rsidR="00A14E28">
        <w:rPr>
          <w:rFonts w:cs="Arial"/>
        </w:rPr>
        <w:t>a</w:t>
      </w:r>
      <w:r w:rsidR="00C5057C">
        <w:rPr>
          <w:rFonts w:cs="Arial"/>
        </w:rPr>
        <w:t xml:space="preserve">d to large changes in price. </w:t>
      </w:r>
    </w:p>
    <w:p w:rsidR="00920E27" w:rsidRDefault="00C5057C" w:rsidP="007535E5">
      <w:pPr>
        <w:jc w:val="both"/>
        <w:rPr>
          <w:rFonts w:cs="Arial"/>
        </w:rPr>
      </w:pPr>
      <w:r>
        <w:rPr>
          <w:rFonts w:cs="Arial"/>
        </w:rPr>
        <w:t>At 7</w:t>
      </w:r>
      <w:r w:rsidR="00AB7700">
        <w:rPr>
          <w:rFonts w:cs="Arial"/>
        </w:rPr>
        <w:t> </w:t>
      </w:r>
      <w:r>
        <w:rPr>
          <w:rFonts w:cs="Arial"/>
        </w:rPr>
        <w:t>am there was a 50</w:t>
      </w:r>
      <w:r w:rsidR="00AB7700">
        <w:rPr>
          <w:rFonts w:cs="Arial"/>
        </w:rPr>
        <w:t> </w:t>
      </w:r>
      <w:r>
        <w:rPr>
          <w:rFonts w:cs="Arial"/>
        </w:rPr>
        <w:t>MW increase in demand, with low priced capacity either</w:t>
      </w:r>
      <w:r w:rsidR="00920E27">
        <w:rPr>
          <w:rFonts w:cs="Arial"/>
        </w:rPr>
        <w:t xml:space="preserve"> </w:t>
      </w:r>
      <w:r>
        <w:rPr>
          <w:rFonts w:cs="Arial"/>
        </w:rPr>
        <w:t>f</w:t>
      </w:r>
      <w:r w:rsidR="00920E27">
        <w:rPr>
          <w:rFonts w:cs="Arial"/>
        </w:rPr>
        <w:t>ully dispatched, ramp rate limited or stranded in FCAS</w:t>
      </w:r>
      <w:r>
        <w:rPr>
          <w:rFonts w:cs="Arial"/>
        </w:rPr>
        <w:t xml:space="preserve"> the dispatch price went from $54/MWh at 6.55</w:t>
      </w:r>
      <w:r w:rsidR="00AB7700">
        <w:rPr>
          <w:rFonts w:cs="Arial"/>
        </w:rPr>
        <w:t> </w:t>
      </w:r>
      <w:r>
        <w:rPr>
          <w:rFonts w:cs="Arial"/>
        </w:rPr>
        <w:t>am to the price cap at 7</w:t>
      </w:r>
      <w:r w:rsidR="00AB7700">
        <w:rPr>
          <w:rFonts w:cs="Arial"/>
        </w:rPr>
        <w:t> </w:t>
      </w:r>
      <w:r>
        <w:rPr>
          <w:rFonts w:cs="Arial"/>
        </w:rPr>
        <w:t>am.</w:t>
      </w:r>
      <w:r w:rsidR="00B03D33">
        <w:rPr>
          <w:rFonts w:cs="Arial"/>
        </w:rPr>
        <w:t xml:space="preserve"> </w:t>
      </w:r>
      <w:r>
        <w:rPr>
          <w:rFonts w:cs="Arial"/>
        </w:rPr>
        <w:t>The p</w:t>
      </w:r>
      <w:r w:rsidR="00920E27">
        <w:rPr>
          <w:rFonts w:cs="Arial"/>
        </w:rPr>
        <w:t>rice set by Stanwell</w:t>
      </w:r>
      <w:r>
        <w:rPr>
          <w:rFonts w:cs="Arial"/>
        </w:rPr>
        <w:t xml:space="preserve"> (</w:t>
      </w:r>
      <w:proofErr w:type="spellStart"/>
      <w:r>
        <w:rPr>
          <w:rFonts w:cs="Arial"/>
        </w:rPr>
        <w:t>Tarong</w:t>
      </w:r>
      <w:proofErr w:type="spellEnd"/>
      <w:r>
        <w:rPr>
          <w:rFonts w:cs="Arial"/>
        </w:rPr>
        <w:t xml:space="preserve"> and Stanwell) </w:t>
      </w:r>
      <w:r w:rsidR="00920E27">
        <w:rPr>
          <w:rFonts w:cs="Arial"/>
        </w:rPr>
        <w:t>and Millmerran units</w:t>
      </w:r>
      <w:r>
        <w:rPr>
          <w:rFonts w:cs="Arial"/>
        </w:rPr>
        <w:t xml:space="preserve">. </w:t>
      </w:r>
      <w:r w:rsidR="00920E27">
        <w:rPr>
          <w:rFonts w:cs="Arial"/>
        </w:rPr>
        <w:t xml:space="preserve"> </w:t>
      </w:r>
    </w:p>
    <w:p w:rsidR="00542D4F" w:rsidRDefault="00542D4F">
      <w:pPr>
        <w:spacing w:line="240" w:lineRule="auto"/>
        <w:rPr>
          <w:rFonts w:eastAsia="Times New Roman" w:cs="Times New Roman"/>
          <w:b/>
          <w:bCs/>
          <w:color w:val="51626F"/>
          <w:sz w:val="24"/>
          <w:szCs w:val="20"/>
        </w:rPr>
      </w:pPr>
      <w:r>
        <w:br w:type="page"/>
      </w:r>
    </w:p>
    <w:p w:rsidR="007535E5" w:rsidRPr="007535E5" w:rsidRDefault="007535E5" w:rsidP="007535E5">
      <w:pPr>
        <w:pStyle w:val="AERHeading3"/>
      </w:pPr>
      <w:r w:rsidRPr="007535E5">
        <w:t xml:space="preserve">South Australia </w:t>
      </w:r>
    </w:p>
    <w:p w:rsidR="00C5057C" w:rsidRPr="007535E5" w:rsidRDefault="007535E5" w:rsidP="007535E5">
      <w:pPr>
        <w:jc w:val="both"/>
        <w:rPr>
          <w:rFonts w:cs="Arial"/>
        </w:rPr>
      </w:pPr>
      <w:r w:rsidRPr="007535E5">
        <w:rPr>
          <w:rFonts w:cs="Arial"/>
        </w:rPr>
        <w:t>There were six occasions where the spot price in South Australia was greater than three times the South Australia weekly average price of $75/MWh and above $250/MWh.</w:t>
      </w:r>
    </w:p>
    <w:p w:rsidR="007535E5" w:rsidRPr="00342F02" w:rsidRDefault="007535E5" w:rsidP="00342F02">
      <w:pPr>
        <w:pStyle w:val="AERHeading3"/>
      </w:pPr>
      <w:r w:rsidRPr="007535E5">
        <w:t xml:space="preserve">Sunday, 19 July </w:t>
      </w:r>
    </w:p>
    <w:p w:rsidR="007535E5" w:rsidRPr="00F00BD3" w:rsidRDefault="007535E5" w:rsidP="007535E5">
      <w:pPr>
        <w:pStyle w:val="Caption"/>
      </w:pPr>
      <w:r w:rsidRPr="00F00BD3">
        <w:t xml:space="preserve">Table </w:t>
      </w:r>
      <w:r>
        <w:t>5</w:t>
      </w:r>
      <w:r w:rsidRPr="00F00BD3">
        <w:t xml:space="preserve">: Rebids for the </w:t>
      </w:r>
      <w:r>
        <w:t>6.30 p</w:t>
      </w:r>
      <w:r w:rsidRPr="00F00BD3">
        <w:t xml:space="preserve">m trading interval </w:t>
      </w:r>
    </w:p>
    <w:tbl>
      <w:tblPr>
        <w:tblStyle w:val="AERTable-Text1"/>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 xml:space="preserve">Time </w:t>
            </w:r>
          </w:p>
        </w:tc>
        <w:tc>
          <w:tcPr>
            <w:tcW w:w="1515"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Price ($/MWh)</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Demand (MW)</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Availability (MW)</w:t>
            </w:r>
          </w:p>
        </w:tc>
      </w:tr>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r>
      <w:tr w:rsidR="007535E5" w:rsidRPr="00212020" w:rsidTr="002529A1">
        <w:trPr>
          <w:trHeight w:val="510"/>
        </w:trPr>
        <w:tc>
          <w:tcPr>
            <w:tcW w:w="531"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b/>
                <w:bCs/>
                <w:sz w:val="18"/>
                <w:szCs w:val="18"/>
              </w:rPr>
              <w:t>6.30 pm</w:t>
            </w:r>
          </w:p>
        </w:tc>
        <w:tc>
          <w:tcPr>
            <w:tcW w:w="511"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2372.11</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109.65</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115.77</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2065</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2073</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2080</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2381</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2385</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2394</w:t>
            </w:r>
          </w:p>
        </w:tc>
      </w:tr>
    </w:tbl>
    <w:p w:rsidR="00383B8E" w:rsidRPr="00383B8E" w:rsidRDefault="00641F14" w:rsidP="005F7247">
      <w:pPr>
        <w:jc w:val="both"/>
        <w:rPr>
          <w:rFonts w:cs="Arial"/>
        </w:rPr>
      </w:pPr>
      <w:r>
        <w:rPr>
          <w:rFonts w:cs="Arial"/>
        </w:rPr>
        <w:t>Conditions at the t</w:t>
      </w:r>
      <w:r w:rsidR="00BC06EC">
        <w:rPr>
          <w:rFonts w:cs="Arial"/>
        </w:rPr>
        <w:t>ime saw demand and available capacity close to forecast four hours ahead. Wind generation was close to zero.</w:t>
      </w:r>
      <w:r w:rsidR="00DE3450">
        <w:rPr>
          <w:rFonts w:cs="Arial"/>
        </w:rPr>
        <w:t xml:space="preserve"> Imports across t</w:t>
      </w:r>
      <w:r w:rsidR="00383B8E" w:rsidRPr="00383B8E">
        <w:rPr>
          <w:rFonts w:cs="Arial"/>
        </w:rPr>
        <w:t xml:space="preserve">he Heywood </w:t>
      </w:r>
      <w:r w:rsidR="00DE3450">
        <w:rPr>
          <w:rFonts w:cs="Arial"/>
        </w:rPr>
        <w:t>and</w:t>
      </w:r>
      <w:r w:rsidR="00383B8E">
        <w:rPr>
          <w:rFonts w:cs="Arial"/>
        </w:rPr>
        <w:t xml:space="preserve"> M</w:t>
      </w:r>
      <w:r w:rsidR="00383B8E" w:rsidRPr="00383B8E">
        <w:rPr>
          <w:rFonts w:cs="Arial"/>
        </w:rPr>
        <w:t>urraylink interconnector</w:t>
      </w:r>
      <w:r w:rsidR="00DE3450">
        <w:rPr>
          <w:rFonts w:cs="Arial"/>
        </w:rPr>
        <w:t>s</w:t>
      </w:r>
      <w:r w:rsidR="00383B8E" w:rsidRPr="00383B8E">
        <w:rPr>
          <w:rFonts w:cs="Arial"/>
        </w:rPr>
        <w:t xml:space="preserve"> </w:t>
      </w:r>
      <w:r w:rsidR="00DE3450">
        <w:rPr>
          <w:rFonts w:cs="Arial"/>
        </w:rPr>
        <w:t>were</w:t>
      </w:r>
      <w:r w:rsidR="00DE3450" w:rsidRPr="00383B8E">
        <w:rPr>
          <w:rFonts w:cs="Arial"/>
        </w:rPr>
        <w:t xml:space="preserve"> close to forecast four hours ahead</w:t>
      </w:r>
      <w:r w:rsidR="00383B8E" w:rsidRPr="00383B8E">
        <w:rPr>
          <w:rFonts w:cs="Arial"/>
        </w:rPr>
        <w:t xml:space="preserve">.  </w:t>
      </w:r>
    </w:p>
    <w:p w:rsidR="00831FD2" w:rsidRPr="00E96F9A" w:rsidRDefault="00E96F9A" w:rsidP="00E96F9A">
      <w:pPr>
        <w:pStyle w:val="Caption"/>
      </w:pPr>
      <w:r>
        <w:t>Table 6: Rebids for the 6.30</w:t>
      </w:r>
      <w:r w:rsidR="00143FE9">
        <w:t> </w:t>
      </w:r>
      <w:r>
        <w:t>p</w:t>
      </w:r>
      <w:r w:rsidRPr="00E96F9A">
        <w:t xml:space="preserve">m trading interval </w:t>
      </w:r>
    </w:p>
    <w:tbl>
      <w:tblPr>
        <w:tblStyle w:val="AERsummarytable"/>
        <w:tblW w:w="4966" w:type="pct"/>
        <w:tblLayout w:type="fixed"/>
        <w:tblLook w:val="04A0" w:firstRow="1" w:lastRow="0" w:firstColumn="1" w:lastColumn="0" w:noHBand="0" w:noVBand="1"/>
      </w:tblPr>
      <w:tblGrid>
        <w:gridCol w:w="959"/>
        <w:gridCol w:w="911"/>
        <w:gridCol w:w="1153"/>
        <w:gridCol w:w="1116"/>
        <w:gridCol w:w="1006"/>
        <w:gridCol w:w="953"/>
        <w:gridCol w:w="955"/>
        <w:gridCol w:w="2126"/>
      </w:tblGrid>
      <w:tr w:rsidR="002529A1" w:rsidTr="00542D4F">
        <w:trPr>
          <w:cnfStyle w:val="100000000000" w:firstRow="1" w:lastRow="0" w:firstColumn="0" w:lastColumn="0" w:oddVBand="0" w:evenVBand="0" w:oddHBand="0" w:evenHBand="0" w:firstRowFirstColumn="0" w:firstRowLastColumn="0" w:lastRowFirstColumn="0" w:lastRowLastColumn="0"/>
          <w:trHeight w:val="780"/>
          <w:tblHeader/>
        </w:trPr>
        <w:tc>
          <w:tcPr>
            <w:tcW w:w="522" w:type="pct"/>
            <w:hideMark/>
          </w:tcPr>
          <w:p w:rsidR="002529A1" w:rsidRDefault="002529A1" w:rsidP="002529A1">
            <w:pPr>
              <w:pStyle w:val="TableHeading"/>
              <w:rPr>
                <w:color w:val="FFFFFF"/>
                <w:szCs w:val="18"/>
              </w:rPr>
            </w:pPr>
            <w:r>
              <w:rPr>
                <w:bCs/>
                <w:color w:val="FFFFFF"/>
                <w:szCs w:val="18"/>
              </w:rPr>
              <w:t>Submit time</w:t>
            </w:r>
          </w:p>
        </w:tc>
        <w:tc>
          <w:tcPr>
            <w:tcW w:w="496" w:type="pct"/>
            <w:hideMark/>
          </w:tcPr>
          <w:p w:rsidR="002529A1" w:rsidRDefault="002529A1" w:rsidP="002529A1">
            <w:pPr>
              <w:pStyle w:val="TableHeading"/>
              <w:ind w:left="-108"/>
              <w:rPr>
                <w:color w:val="FFFFFF"/>
                <w:szCs w:val="18"/>
              </w:rPr>
            </w:pPr>
            <w:r>
              <w:rPr>
                <w:bCs/>
                <w:color w:val="FFFFFF"/>
                <w:szCs w:val="18"/>
              </w:rPr>
              <w:t>Time effective</w:t>
            </w:r>
          </w:p>
        </w:tc>
        <w:tc>
          <w:tcPr>
            <w:tcW w:w="628" w:type="pct"/>
            <w:hideMark/>
          </w:tcPr>
          <w:p w:rsidR="002529A1" w:rsidRDefault="002529A1" w:rsidP="002529A1">
            <w:pPr>
              <w:pStyle w:val="TableHeading"/>
              <w:rPr>
                <w:color w:val="FFFFFF"/>
                <w:szCs w:val="18"/>
              </w:rPr>
            </w:pPr>
            <w:r>
              <w:rPr>
                <w:bCs/>
                <w:color w:val="FFFFFF"/>
                <w:szCs w:val="18"/>
              </w:rPr>
              <w:t>Participant</w:t>
            </w:r>
          </w:p>
        </w:tc>
        <w:tc>
          <w:tcPr>
            <w:tcW w:w="608" w:type="pct"/>
            <w:hideMark/>
          </w:tcPr>
          <w:p w:rsidR="002529A1" w:rsidRDefault="002529A1" w:rsidP="002529A1">
            <w:pPr>
              <w:pStyle w:val="TableHeading"/>
              <w:rPr>
                <w:color w:val="FFFFFF"/>
                <w:szCs w:val="18"/>
              </w:rPr>
            </w:pPr>
            <w:r>
              <w:rPr>
                <w:bCs/>
                <w:color w:val="FFFFFF"/>
                <w:szCs w:val="18"/>
              </w:rPr>
              <w:t>Station</w:t>
            </w:r>
          </w:p>
        </w:tc>
        <w:tc>
          <w:tcPr>
            <w:tcW w:w="548" w:type="pct"/>
            <w:hideMark/>
          </w:tcPr>
          <w:p w:rsidR="002529A1" w:rsidRDefault="002529A1" w:rsidP="002529A1">
            <w:pPr>
              <w:pStyle w:val="TableHeading"/>
              <w:rPr>
                <w:color w:val="FFFFFF"/>
                <w:szCs w:val="18"/>
              </w:rPr>
            </w:pPr>
            <w:r>
              <w:rPr>
                <w:bCs/>
                <w:color w:val="FFFFFF"/>
                <w:szCs w:val="18"/>
              </w:rPr>
              <w:t>Capacity rebid (MW)</w:t>
            </w:r>
          </w:p>
        </w:tc>
        <w:tc>
          <w:tcPr>
            <w:tcW w:w="519" w:type="pct"/>
            <w:hideMark/>
          </w:tcPr>
          <w:p w:rsidR="002529A1" w:rsidRDefault="002529A1" w:rsidP="002529A1">
            <w:pPr>
              <w:pStyle w:val="TableHeading"/>
              <w:rPr>
                <w:color w:val="FFFFFF"/>
                <w:szCs w:val="18"/>
              </w:rPr>
            </w:pPr>
            <w:r>
              <w:rPr>
                <w:bCs/>
                <w:color w:val="FFFFFF"/>
                <w:szCs w:val="18"/>
              </w:rPr>
              <w:t>Price from ($/MWh)</w:t>
            </w:r>
          </w:p>
        </w:tc>
        <w:tc>
          <w:tcPr>
            <w:tcW w:w="520" w:type="pct"/>
            <w:hideMark/>
          </w:tcPr>
          <w:p w:rsidR="002529A1" w:rsidRDefault="002529A1" w:rsidP="002529A1">
            <w:pPr>
              <w:pStyle w:val="TableHeading"/>
              <w:rPr>
                <w:color w:val="FFFFFF"/>
                <w:szCs w:val="18"/>
              </w:rPr>
            </w:pPr>
            <w:r>
              <w:rPr>
                <w:bCs/>
                <w:color w:val="FFFFFF"/>
                <w:szCs w:val="18"/>
              </w:rPr>
              <w:t>Price to ($/MWh)</w:t>
            </w:r>
          </w:p>
        </w:tc>
        <w:tc>
          <w:tcPr>
            <w:tcW w:w="1158" w:type="pct"/>
            <w:hideMark/>
          </w:tcPr>
          <w:p w:rsidR="002529A1" w:rsidRDefault="002529A1" w:rsidP="002529A1">
            <w:pPr>
              <w:pStyle w:val="TableHeading"/>
              <w:rPr>
                <w:color w:val="FFFFFF"/>
                <w:szCs w:val="18"/>
              </w:rPr>
            </w:pPr>
            <w:r>
              <w:rPr>
                <w:bCs/>
                <w:color w:val="FFFFFF"/>
                <w:szCs w:val="18"/>
              </w:rPr>
              <w:t>Rebid reason</w:t>
            </w:r>
          </w:p>
        </w:tc>
      </w:tr>
      <w:tr w:rsidR="004C31CE" w:rsidTr="00542D4F">
        <w:trPr>
          <w:cnfStyle w:val="000000100000" w:firstRow="0" w:lastRow="0" w:firstColumn="0" w:lastColumn="0" w:oddVBand="0" w:evenVBand="0" w:oddHBand="1" w:evenHBand="0" w:firstRowFirstColumn="0" w:firstRowLastColumn="0" w:lastRowFirstColumn="0" w:lastRowLastColumn="0"/>
          <w:trHeight w:val="606"/>
        </w:trPr>
        <w:tc>
          <w:tcPr>
            <w:tcW w:w="522" w:type="pct"/>
            <w:vAlign w:val="center"/>
          </w:tcPr>
          <w:p w:rsidR="004C31CE" w:rsidRPr="00541092" w:rsidRDefault="004C31CE" w:rsidP="00D030A8">
            <w:pPr>
              <w:spacing w:before="100" w:beforeAutospacing="1" w:after="100" w:afterAutospacing="1" w:line="240" w:lineRule="auto"/>
              <w:jc w:val="center"/>
              <w:rPr>
                <w:rFonts w:cs="Arial"/>
                <w:szCs w:val="18"/>
                <w:lang w:eastAsia="en-AU"/>
              </w:rPr>
            </w:pPr>
            <w:r>
              <w:rPr>
                <w:rFonts w:cs="Arial"/>
                <w:szCs w:val="18"/>
                <w:lang w:eastAsia="en-AU"/>
              </w:rPr>
              <w:t xml:space="preserve">6.18 pm </w:t>
            </w:r>
          </w:p>
        </w:tc>
        <w:tc>
          <w:tcPr>
            <w:tcW w:w="496" w:type="pct"/>
            <w:vAlign w:val="center"/>
          </w:tcPr>
          <w:p w:rsidR="004C31CE" w:rsidRPr="00541092" w:rsidRDefault="004C31CE" w:rsidP="00D030A8">
            <w:pPr>
              <w:spacing w:before="100" w:beforeAutospacing="1" w:after="100" w:afterAutospacing="1" w:line="240" w:lineRule="auto"/>
              <w:jc w:val="center"/>
              <w:rPr>
                <w:rFonts w:cs="Arial"/>
                <w:szCs w:val="18"/>
                <w:lang w:eastAsia="en-AU"/>
              </w:rPr>
            </w:pPr>
            <w:r>
              <w:rPr>
                <w:rFonts w:cs="Arial"/>
                <w:szCs w:val="18"/>
                <w:lang w:eastAsia="en-AU"/>
              </w:rPr>
              <w:t>6.25 pm</w:t>
            </w:r>
          </w:p>
        </w:tc>
        <w:tc>
          <w:tcPr>
            <w:tcW w:w="628" w:type="pct"/>
            <w:vAlign w:val="center"/>
          </w:tcPr>
          <w:p w:rsidR="004C31CE" w:rsidRPr="00541092" w:rsidRDefault="004C31CE" w:rsidP="00D030A8">
            <w:pPr>
              <w:spacing w:before="100" w:beforeAutospacing="1" w:after="100" w:afterAutospacing="1" w:line="240" w:lineRule="auto"/>
              <w:jc w:val="center"/>
              <w:rPr>
                <w:rFonts w:cs="Arial"/>
                <w:szCs w:val="18"/>
                <w:lang w:eastAsia="en-AU"/>
              </w:rPr>
            </w:pPr>
            <w:proofErr w:type="spellStart"/>
            <w:r>
              <w:rPr>
                <w:rFonts w:cs="Arial"/>
                <w:szCs w:val="18"/>
                <w:lang w:eastAsia="en-AU"/>
              </w:rPr>
              <w:t>Alinta</w:t>
            </w:r>
            <w:proofErr w:type="spellEnd"/>
            <w:r>
              <w:rPr>
                <w:rFonts w:cs="Arial"/>
                <w:szCs w:val="18"/>
                <w:lang w:eastAsia="en-AU"/>
              </w:rPr>
              <w:t xml:space="preserve"> Energy</w:t>
            </w:r>
          </w:p>
        </w:tc>
        <w:tc>
          <w:tcPr>
            <w:tcW w:w="608" w:type="pct"/>
            <w:vAlign w:val="center"/>
          </w:tcPr>
          <w:p w:rsidR="004C31CE" w:rsidRPr="00541092" w:rsidRDefault="004C31CE" w:rsidP="00D030A8">
            <w:pPr>
              <w:spacing w:before="100" w:beforeAutospacing="1" w:after="100" w:afterAutospacing="1" w:line="240" w:lineRule="auto"/>
              <w:jc w:val="center"/>
              <w:rPr>
                <w:rFonts w:cs="Arial"/>
                <w:szCs w:val="18"/>
                <w:lang w:eastAsia="en-AU"/>
              </w:rPr>
            </w:pPr>
            <w:r>
              <w:rPr>
                <w:rFonts w:cs="Arial"/>
                <w:szCs w:val="18"/>
                <w:lang w:eastAsia="en-AU"/>
              </w:rPr>
              <w:t>Northern Power</w:t>
            </w:r>
          </w:p>
        </w:tc>
        <w:tc>
          <w:tcPr>
            <w:tcW w:w="548" w:type="pct"/>
            <w:vAlign w:val="center"/>
          </w:tcPr>
          <w:p w:rsidR="004C31CE" w:rsidRPr="00541092" w:rsidRDefault="004C31CE" w:rsidP="00D030A8">
            <w:pPr>
              <w:spacing w:before="100" w:beforeAutospacing="1" w:after="100" w:afterAutospacing="1" w:line="240" w:lineRule="auto"/>
              <w:jc w:val="center"/>
              <w:rPr>
                <w:rFonts w:cs="Arial"/>
                <w:szCs w:val="18"/>
                <w:lang w:eastAsia="en-AU"/>
              </w:rPr>
            </w:pPr>
            <w:r>
              <w:rPr>
                <w:rFonts w:cs="Arial"/>
                <w:szCs w:val="18"/>
                <w:lang w:eastAsia="en-AU"/>
              </w:rPr>
              <w:t>95</w:t>
            </w:r>
          </w:p>
        </w:tc>
        <w:tc>
          <w:tcPr>
            <w:tcW w:w="519" w:type="pct"/>
            <w:vAlign w:val="center"/>
          </w:tcPr>
          <w:p w:rsidR="004C31CE" w:rsidRPr="00541092" w:rsidRDefault="004C31CE" w:rsidP="00D030A8">
            <w:pPr>
              <w:spacing w:before="100" w:beforeAutospacing="1" w:after="100" w:afterAutospacing="1" w:line="240" w:lineRule="auto"/>
              <w:jc w:val="center"/>
              <w:rPr>
                <w:rFonts w:cs="Arial"/>
                <w:szCs w:val="18"/>
              </w:rPr>
            </w:pPr>
            <w:r>
              <w:rPr>
                <w:rFonts w:cs="Arial"/>
                <w:szCs w:val="18"/>
              </w:rPr>
              <w:t>287</w:t>
            </w:r>
          </w:p>
        </w:tc>
        <w:tc>
          <w:tcPr>
            <w:tcW w:w="520" w:type="pct"/>
            <w:vAlign w:val="center"/>
          </w:tcPr>
          <w:p w:rsidR="004C31CE" w:rsidRPr="00541092" w:rsidRDefault="004C31CE" w:rsidP="00D030A8">
            <w:pPr>
              <w:spacing w:before="100" w:beforeAutospacing="1" w:after="100" w:afterAutospacing="1" w:line="240" w:lineRule="auto"/>
              <w:jc w:val="center"/>
              <w:rPr>
                <w:rFonts w:cs="Arial"/>
                <w:szCs w:val="18"/>
              </w:rPr>
            </w:pPr>
            <w:r>
              <w:rPr>
                <w:rFonts w:cs="Arial"/>
                <w:szCs w:val="18"/>
              </w:rPr>
              <w:t>13</w:t>
            </w:r>
            <w:r w:rsidR="00DE3450">
              <w:rPr>
                <w:rFonts w:cs="Arial"/>
                <w:szCs w:val="18"/>
              </w:rPr>
              <w:t> </w:t>
            </w:r>
            <w:r>
              <w:rPr>
                <w:rFonts w:cs="Arial"/>
                <w:szCs w:val="18"/>
              </w:rPr>
              <w:t>334</w:t>
            </w:r>
          </w:p>
        </w:tc>
        <w:tc>
          <w:tcPr>
            <w:tcW w:w="1158" w:type="pct"/>
            <w:vAlign w:val="center"/>
          </w:tcPr>
          <w:p w:rsidR="004C31CE" w:rsidRPr="00541092" w:rsidRDefault="004C31CE" w:rsidP="00D030A8">
            <w:pPr>
              <w:spacing w:before="100" w:beforeAutospacing="1" w:after="100" w:afterAutospacing="1" w:line="240" w:lineRule="auto"/>
              <w:rPr>
                <w:rFonts w:cs="Arial"/>
                <w:szCs w:val="18"/>
              </w:rPr>
            </w:pPr>
            <w:r w:rsidRPr="004C31CE">
              <w:rPr>
                <w:rFonts w:cs="Arial"/>
                <w:szCs w:val="16"/>
              </w:rPr>
              <w:t xml:space="preserve">1815~A~spot price higher than </w:t>
            </w:r>
            <w:proofErr w:type="spellStart"/>
            <w:r w:rsidRPr="004C31CE">
              <w:rPr>
                <w:rFonts w:cs="Arial"/>
                <w:szCs w:val="16"/>
              </w:rPr>
              <w:t>pd</w:t>
            </w:r>
            <w:proofErr w:type="spellEnd"/>
            <w:r w:rsidRPr="004C31CE">
              <w:rPr>
                <w:rFonts w:cs="Arial"/>
                <w:szCs w:val="16"/>
              </w:rPr>
              <w:t>~</w:t>
            </w:r>
          </w:p>
        </w:tc>
      </w:tr>
    </w:tbl>
    <w:p w:rsidR="003113CF" w:rsidRDefault="00354C0D" w:rsidP="003113CF">
      <w:pPr>
        <w:jc w:val="both"/>
        <w:rPr>
          <w:rFonts w:cs="Arial"/>
        </w:rPr>
      </w:pPr>
      <w:proofErr w:type="gramStart"/>
      <w:r>
        <w:rPr>
          <w:rFonts w:cs="Arial"/>
        </w:rPr>
        <w:t>As demand increased over the afternoon peak and with limit capacity priced between $100/MWh and $10 000/</w:t>
      </w:r>
      <w:r w:rsidR="00A14E28">
        <w:rPr>
          <w:rFonts w:cs="Arial"/>
        </w:rPr>
        <w:t>MWh</w:t>
      </w:r>
      <w:r>
        <w:rPr>
          <w:rFonts w:cs="Arial"/>
        </w:rPr>
        <w:t xml:space="preserve"> small changes in demand and rebidding lead to large changes in dispatch prices.</w:t>
      </w:r>
      <w:proofErr w:type="gramEnd"/>
      <w:r w:rsidR="003113CF">
        <w:rPr>
          <w:rFonts w:cs="Arial"/>
        </w:rPr>
        <w:t xml:space="preserve"> </w:t>
      </w:r>
    </w:p>
    <w:p w:rsidR="003113CF" w:rsidRDefault="003113CF" w:rsidP="003113CF">
      <w:pPr>
        <w:jc w:val="both"/>
        <w:rPr>
          <w:rFonts w:cs="Arial"/>
        </w:rPr>
      </w:pPr>
      <w:r>
        <w:rPr>
          <w:rFonts w:cs="Arial"/>
        </w:rPr>
        <w:t>At 6.30</w:t>
      </w:r>
      <w:r w:rsidR="00AB7700">
        <w:rPr>
          <w:rFonts w:cs="Arial"/>
        </w:rPr>
        <w:t> </w:t>
      </w:r>
      <w:r>
        <w:rPr>
          <w:rFonts w:cs="Arial"/>
        </w:rPr>
        <w:t>pm</w:t>
      </w:r>
      <w:r w:rsidR="00354C0D">
        <w:rPr>
          <w:rFonts w:cs="Arial"/>
        </w:rPr>
        <w:t xml:space="preserve"> there was a 42 MW increase in demand</w:t>
      </w:r>
      <w:r>
        <w:rPr>
          <w:rFonts w:cs="Arial"/>
        </w:rPr>
        <w:t>, with all low priced capacity either ramp rate limited, fully dispatched or stranded in FCAS the dispatch increased to $13</w:t>
      </w:r>
      <w:r w:rsidR="00AB7700">
        <w:rPr>
          <w:rFonts w:cs="Arial"/>
        </w:rPr>
        <w:t> </w:t>
      </w:r>
      <w:r>
        <w:rPr>
          <w:rFonts w:cs="Arial"/>
        </w:rPr>
        <w:t>334/MWh</w:t>
      </w:r>
      <w:r w:rsidR="004252C0">
        <w:rPr>
          <w:rFonts w:cs="Arial"/>
        </w:rPr>
        <w:t>,</w:t>
      </w:r>
      <w:r>
        <w:rPr>
          <w:rFonts w:cs="Arial"/>
        </w:rPr>
        <w:t xml:space="preserve"> </w:t>
      </w:r>
      <w:r w:rsidR="004252C0">
        <w:rPr>
          <w:rFonts w:cs="Arial"/>
        </w:rPr>
        <w:t>with</w:t>
      </w:r>
      <w:r>
        <w:rPr>
          <w:rFonts w:cs="Arial"/>
        </w:rPr>
        <w:t xml:space="preserve"> </w:t>
      </w:r>
      <w:r w:rsidR="004252C0">
        <w:rPr>
          <w:rFonts w:cs="Arial"/>
        </w:rPr>
        <w:t xml:space="preserve">Northern Power station setting the price </w:t>
      </w:r>
    </w:p>
    <w:p w:rsidR="003113CF" w:rsidRDefault="003113CF" w:rsidP="003113CF">
      <w:pPr>
        <w:jc w:val="both"/>
        <w:rPr>
          <w:rFonts w:cs="Arial"/>
        </w:rPr>
      </w:pPr>
      <w:r>
        <w:rPr>
          <w:rFonts w:cs="Arial"/>
        </w:rPr>
        <w:t>The dispatch price fell back to $116/MWh at 6.35</w:t>
      </w:r>
      <w:r w:rsidR="00AB7700">
        <w:rPr>
          <w:rFonts w:cs="Arial"/>
        </w:rPr>
        <w:t> </w:t>
      </w:r>
      <w:r>
        <w:rPr>
          <w:rFonts w:cs="Arial"/>
        </w:rPr>
        <w:t>pm dispatch interval following a 111</w:t>
      </w:r>
      <w:r w:rsidR="00AB7700">
        <w:rPr>
          <w:rFonts w:cs="Arial"/>
        </w:rPr>
        <w:t> </w:t>
      </w:r>
      <w:r>
        <w:rPr>
          <w:rFonts w:cs="Arial"/>
        </w:rPr>
        <w:t xml:space="preserve">MW fall in demand (most likely due to an increase in South Australian non-scheduled generation).   </w:t>
      </w:r>
    </w:p>
    <w:p w:rsidR="007535E5" w:rsidRDefault="007535E5" w:rsidP="00CF5CD3">
      <w:pPr>
        <w:pStyle w:val="AERHeading3"/>
      </w:pPr>
      <w:r w:rsidRPr="00CF5CD3">
        <w:t xml:space="preserve">Monday, 20 July </w:t>
      </w:r>
    </w:p>
    <w:p w:rsidR="007535E5" w:rsidRPr="00E96F9A" w:rsidRDefault="00E96F9A" w:rsidP="00E96F9A">
      <w:pPr>
        <w:pStyle w:val="Caption"/>
      </w:pPr>
      <w:r w:rsidRPr="00F00BD3">
        <w:t xml:space="preserve">Table </w:t>
      </w:r>
      <w:r w:rsidR="00342F02">
        <w:t>7</w:t>
      </w:r>
      <w:r w:rsidRPr="00F00BD3">
        <w:t xml:space="preserve">: Rebids for the </w:t>
      </w:r>
      <w:r>
        <w:t>6.30 pm</w:t>
      </w:r>
      <w:r w:rsidRPr="00F00BD3">
        <w:t xml:space="preserve"> trading interval </w:t>
      </w:r>
    </w:p>
    <w:tbl>
      <w:tblPr>
        <w:tblStyle w:val="AERTable-Text1"/>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 xml:space="preserve">Time </w:t>
            </w:r>
          </w:p>
        </w:tc>
        <w:tc>
          <w:tcPr>
            <w:tcW w:w="1515"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Price ($/MWh)</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Demand (MW)</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Availability (MW)</w:t>
            </w:r>
          </w:p>
        </w:tc>
      </w:tr>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r>
      <w:tr w:rsidR="007535E5" w:rsidRPr="00212020" w:rsidTr="002529A1">
        <w:trPr>
          <w:trHeight w:val="510"/>
        </w:trPr>
        <w:tc>
          <w:tcPr>
            <w:tcW w:w="531" w:type="pct"/>
            <w:tcBorders>
              <w:top w:val="nil"/>
              <w:bottom w:val="single" w:sz="4" w:space="0" w:color="auto"/>
            </w:tcBorders>
            <w:vAlign w:val="center"/>
          </w:tcPr>
          <w:p w:rsidR="007535E5"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b/>
                <w:bCs/>
                <w:sz w:val="18"/>
                <w:szCs w:val="18"/>
              </w:rPr>
              <w:t>6.</w:t>
            </w:r>
            <w:r w:rsidR="007535E5" w:rsidRPr="00212020">
              <w:rPr>
                <w:rFonts w:asciiTheme="minorHAnsi" w:hAnsiTheme="minorHAnsi" w:cstheme="minorHAnsi"/>
                <w:b/>
                <w:bCs/>
                <w:sz w:val="18"/>
                <w:szCs w:val="18"/>
              </w:rPr>
              <w:t xml:space="preserve">30 </w:t>
            </w:r>
            <w:r w:rsidRPr="00212020">
              <w:rPr>
                <w:rFonts w:asciiTheme="minorHAnsi" w:hAnsiTheme="minorHAnsi" w:cstheme="minorHAnsi"/>
                <w:b/>
                <w:bCs/>
                <w:sz w:val="18"/>
                <w:szCs w:val="18"/>
              </w:rPr>
              <w:t>pm</w:t>
            </w:r>
          </w:p>
        </w:tc>
        <w:tc>
          <w:tcPr>
            <w:tcW w:w="511"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266.62</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94.99</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94.99</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2148</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2089</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2166</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2530</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2686</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2798</w:t>
            </w:r>
          </w:p>
        </w:tc>
      </w:tr>
    </w:tbl>
    <w:p w:rsidR="00BF7063" w:rsidRDefault="001607A4" w:rsidP="005F7247">
      <w:pPr>
        <w:jc w:val="both"/>
        <w:rPr>
          <w:rFonts w:cs="Arial"/>
        </w:rPr>
      </w:pPr>
      <w:r>
        <w:rPr>
          <w:rFonts w:cs="Arial"/>
        </w:rPr>
        <w:t>D</w:t>
      </w:r>
      <w:r w:rsidR="00FF578F">
        <w:rPr>
          <w:rFonts w:cs="Arial"/>
        </w:rPr>
        <w:t xml:space="preserve">emand was close to </w:t>
      </w:r>
      <w:r>
        <w:rPr>
          <w:rFonts w:cs="Arial"/>
        </w:rPr>
        <w:t xml:space="preserve">forecast four hours ahead </w:t>
      </w:r>
      <w:r w:rsidR="00FF578F">
        <w:rPr>
          <w:rFonts w:cs="Arial"/>
        </w:rPr>
        <w:t>and availability was 100</w:t>
      </w:r>
      <w:r w:rsidR="00AB7700">
        <w:rPr>
          <w:rFonts w:cs="Arial"/>
        </w:rPr>
        <w:t> </w:t>
      </w:r>
      <w:r w:rsidR="00FF578F">
        <w:rPr>
          <w:rFonts w:cs="Arial"/>
        </w:rPr>
        <w:t xml:space="preserve">MW below </w:t>
      </w:r>
      <w:r>
        <w:rPr>
          <w:rFonts w:cs="Arial"/>
        </w:rPr>
        <w:t xml:space="preserve">forecast </w:t>
      </w:r>
      <w:r w:rsidR="00FF578F">
        <w:rPr>
          <w:rFonts w:cs="Arial"/>
        </w:rPr>
        <w:t>four hour</w:t>
      </w:r>
      <w:r>
        <w:rPr>
          <w:rFonts w:cs="Arial"/>
        </w:rPr>
        <w:t>s</w:t>
      </w:r>
      <w:r w:rsidR="00FF578F">
        <w:rPr>
          <w:rFonts w:cs="Arial"/>
        </w:rPr>
        <w:t xml:space="preserve"> ahead. </w:t>
      </w:r>
      <w:r w:rsidR="000C44EA">
        <w:rPr>
          <w:rFonts w:cs="Arial"/>
        </w:rPr>
        <w:t xml:space="preserve">Imports across </w:t>
      </w:r>
      <w:r w:rsidR="008A4DBF">
        <w:rPr>
          <w:rFonts w:cs="Arial"/>
        </w:rPr>
        <w:t>Murraylink and Heywood interconnector</w:t>
      </w:r>
      <w:r w:rsidR="000C44EA">
        <w:rPr>
          <w:rFonts w:cs="Arial"/>
        </w:rPr>
        <w:t>s</w:t>
      </w:r>
      <w:r w:rsidR="008A4DBF">
        <w:rPr>
          <w:rFonts w:cs="Arial"/>
        </w:rPr>
        <w:t xml:space="preserve"> were </w:t>
      </w:r>
      <w:r w:rsidR="00146EEA">
        <w:rPr>
          <w:rFonts w:cs="Arial"/>
        </w:rPr>
        <w:t>close to</w:t>
      </w:r>
      <w:r w:rsidR="008A4DBF">
        <w:rPr>
          <w:rFonts w:cs="Arial"/>
        </w:rPr>
        <w:t xml:space="preserve"> forecasts </w:t>
      </w:r>
      <w:r w:rsidR="00AB7700">
        <w:rPr>
          <w:rFonts w:cs="Arial"/>
        </w:rPr>
        <w:t>four</w:t>
      </w:r>
      <w:r w:rsidR="008A4DBF">
        <w:rPr>
          <w:rFonts w:cs="Arial"/>
        </w:rPr>
        <w:t xml:space="preserve"> hours ahead</w:t>
      </w:r>
      <w:r w:rsidR="00BF7063">
        <w:rPr>
          <w:rFonts w:cs="Arial"/>
        </w:rPr>
        <w:t>.</w:t>
      </w:r>
    </w:p>
    <w:p w:rsidR="001607A4" w:rsidRDefault="001607A4" w:rsidP="005F7247">
      <w:pPr>
        <w:jc w:val="both"/>
        <w:rPr>
          <w:rFonts w:cs="Arial"/>
        </w:rPr>
      </w:pPr>
      <w:r>
        <w:rPr>
          <w:rFonts w:cs="Arial"/>
        </w:rPr>
        <w:t>At 5.56</w:t>
      </w:r>
      <w:r w:rsidR="00AB7700">
        <w:rPr>
          <w:rFonts w:cs="Arial"/>
        </w:rPr>
        <w:t> </w:t>
      </w:r>
      <w:r>
        <w:rPr>
          <w:rFonts w:cs="Arial"/>
        </w:rPr>
        <w:t>pm</w:t>
      </w:r>
      <w:r w:rsidR="001D5326">
        <w:rPr>
          <w:rFonts w:cs="Arial"/>
        </w:rPr>
        <w:t>,</w:t>
      </w:r>
      <w:r>
        <w:rPr>
          <w:rFonts w:cs="Arial"/>
        </w:rPr>
        <w:t xml:space="preserve"> effective from 6.05</w:t>
      </w:r>
      <w:r w:rsidR="00AB7700">
        <w:rPr>
          <w:rFonts w:cs="Arial"/>
        </w:rPr>
        <w:t> </w:t>
      </w:r>
      <w:r>
        <w:rPr>
          <w:rFonts w:cs="Arial"/>
        </w:rPr>
        <w:t xml:space="preserve">pm, </w:t>
      </w:r>
      <w:proofErr w:type="spellStart"/>
      <w:r>
        <w:rPr>
          <w:rFonts w:cs="Arial"/>
        </w:rPr>
        <w:t>Alinta</w:t>
      </w:r>
      <w:proofErr w:type="spellEnd"/>
      <w:r>
        <w:rPr>
          <w:rFonts w:cs="Arial"/>
        </w:rPr>
        <w:t xml:space="preserve"> Energy rebid 193</w:t>
      </w:r>
      <w:r w:rsidR="00AB7700">
        <w:rPr>
          <w:rFonts w:cs="Arial"/>
        </w:rPr>
        <w:t> </w:t>
      </w:r>
      <w:r>
        <w:rPr>
          <w:rFonts w:cs="Arial"/>
        </w:rPr>
        <w:t xml:space="preserve">MW of </w:t>
      </w:r>
      <w:r w:rsidR="007E5C84">
        <w:rPr>
          <w:rFonts w:cs="Arial"/>
        </w:rPr>
        <w:t xml:space="preserve">Northern Power’s </w:t>
      </w:r>
      <w:r>
        <w:rPr>
          <w:rFonts w:cs="Arial"/>
        </w:rPr>
        <w:t>available capacity from</w:t>
      </w:r>
      <w:r w:rsidR="007E5C84">
        <w:rPr>
          <w:rFonts w:cs="Arial"/>
        </w:rPr>
        <w:t xml:space="preserve"> </w:t>
      </w:r>
      <w:r w:rsidR="00AB7700">
        <w:rPr>
          <w:rFonts w:cs="Arial"/>
        </w:rPr>
        <w:t>below $95/MWh to $13 </w:t>
      </w:r>
      <w:r>
        <w:rPr>
          <w:rFonts w:cs="Arial"/>
        </w:rPr>
        <w:t xml:space="preserve">334/MWh. The reason provided was </w:t>
      </w:r>
      <w:r w:rsidR="001D5326">
        <w:rPr>
          <w:rFonts w:cs="Arial"/>
        </w:rPr>
        <w:t>“</w:t>
      </w:r>
      <w:r w:rsidRPr="00B03D33">
        <w:rPr>
          <w:rFonts w:cs="Arial"/>
          <w:szCs w:val="16"/>
        </w:rPr>
        <w:t>1750~A~dispatch $107.79 v 5pd $95.16~</w:t>
      </w:r>
      <w:r w:rsidR="001D5326">
        <w:rPr>
          <w:rFonts w:cs="Arial"/>
          <w:szCs w:val="16"/>
        </w:rPr>
        <w:t>”</w:t>
      </w:r>
      <w:r w:rsidRPr="00B03D33">
        <w:rPr>
          <w:rFonts w:cs="Arial"/>
          <w:sz w:val="18"/>
          <w:szCs w:val="16"/>
        </w:rPr>
        <w:t>.</w:t>
      </w:r>
      <w:r w:rsidRPr="00B03D33">
        <w:rPr>
          <w:rFonts w:cs="Arial"/>
          <w:sz w:val="24"/>
        </w:rPr>
        <w:t xml:space="preserve">  </w:t>
      </w:r>
    </w:p>
    <w:p w:rsidR="003153D8" w:rsidRDefault="001C0270" w:rsidP="005F7247">
      <w:pPr>
        <w:jc w:val="both"/>
        <w:rPr>
          <w:rFonts w:cs="Arial"/>
        </w:rPr>
      </w:pPr>
      <w:r>
        <w:rPr>
          <w:rFonts w:cs="Arial"/>
        </w:rPr>
        <w:t xml:space="preserve">The above rebid contributed to an already steep </w:t>
      </w:r>
      <w:r w:rsidR="00FF578F">
        <w:rPr>
          <w:rFonts w:cs="Arial"/>
        </w:rPr>
        <w:t>supply curve,</w:t>
      </w:r>
      <w:r w:rsidR="00B03D33">
        <w:rPr>
          <w:rFonts w:cs="Arial"/>
        </w:rPr>
        <w:t xml:space="preserve"> as a result of this,</w:t>
      </w:r>
      <w:r w:rsidR="00FF578F">
        <w:rPr>
          <w:rFonts w:cs="Arial"/>
        </w:rPr>
        <w:t xml:space="preserve"> </w:t>
      </w:r>
      <w:r w:rsidR="001607A4">
        <w:rPr>
          <w:rFonts w:cs="Arial"/>
        </w:rPr>
        <w:t xml:space="preserve">minor changes in demand and </w:t>
      </w:r>
      <w:r w:rsidR="000C44EA">
        <w:rPr>
          <w:rFonts w:cs="Arial"/>
        </w:rPr>
        <w:t>imports</w:t>
      </w:r>
      <w:r w:rsidR="001607A4">
        <w:rPr>
          <w:rFonts w:cs="Arial"/>
        </w:rPr>
        <w:t xml:space="preserve"> </w:t>
      </w:r>
      <w:r w:rsidR="007E5C84">
        <w:rPr>
          <w:rFonts w:cs="Arial"/>
        </w:rPr>
        <w:t>led to the</w:t>
      </w:r>
      <w:r w:rsidR="001607A4">
        <w:rPr>
          <w:rFonts w:cs="Arial"/>
        </w:rPr>
        <w:t xml:space="preserve"> dispatch price</w:t>
      </w:r>
      <w:r w:rsidR="007E5C84">
        <w:rPr>
          <w:rFonts w:cs="Arial"/>
        </w:rPr>
        <w:t xml:space="preserve"> fluctuating </w:t>
      </w:r>
      <w:r w:rsidR="00FF578F">
        <w:rPr>
          <w:rFonts w:cs="Arial"/>
        </w:rPr>
        <w:t>between $112</w:t>
      </w:r>
      <w:r w:rsidR="00AB7700">
        <w:rPr>
          <w:rFonts w:cs="Arial"/>
        </w:rPr>
        <w:t xml:space="preserve">/MWh </w:t>
      </w:r>
      <w:r w:rsidR="00FF578F">
        <w:rPr>
          <w:rFonts w:cs="Arial"/>
        </w:rPr>
        <w:t>and $360/MWh</w:t>
      </w:r>
      <w:r w:rsidR="001607A4">
        <w:rPr>
          <w:rFonts w:cs="Arial"/>
        </w:rPr>
        <w:t xml:space="preserve"> during the 6.30</w:t>
      </w:r>
      <w:r w:rsidR="00AB7700">
        <w:rPr>
          <w:rFonts w:cs="Arial"/>
        </w:rPr>
        <w:t> </w:t>
      </w:r>
      <w:r w:rsidR="001607A4">
        <w:rPr>
          <w:rFonts w:cs="Arial"/>
        </w:rPr>
        <w:t xml:space="preserve">pm trading interval.  </w:t>
      </w:r>
    </w:p>
    <w:p w:rsidR="007535E5" w:rsidRDefault="007535E5" w:rsidP="00CF5CD3">
      <w:pPr>
        <w:pStyle w:val="AERHeading3"/>
      </w:pPr>
      <w:r w:rsidRPr="00CF5CD3">
        <w:t>Tuesday, 21 July</w:t>
      </w:r>
    </w:p>
    <w:p w:rsidR="00E96F9A" w:rsidRPr="00CF5CD3" w:rsidRDefault="00E96F9A" w:rsidP="00E96F9A">
      <w:pPr>
        <w:pStyle w:val="Caption"/>
      </w:pPr>
      <w:r w:rsidRPr="00F00BD3">
        <w:t xml:space="preserve">Table </w:t>
      </w:r>
      <w:r w:rsidR="00342F02">
        <w:t>8</w:t>
      </w:r>
      <w:r w:rsidRPr="00F00BD3">
        <w:t xml:space="preserve">: Rebids for the </w:t>
      </w:r>
      <w:r>
        <w:t>5 p</w:t>
      </w:r>
      <w:r w:rsidRPr="00F00BD3">
        <w:t xml:space="preserve">m trading interval </w:t>
      </w:r>
    </w:p>
    <w:tbl>
      <w:tblPr>
        <w:tblStyle w:val="AERTable-Text1"/>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 xml:space="preserve">Time </w:t>
            </w:r>
          </w:p>
        </w:tc>
        <w:tc>
          <w:tcPr>
            <w:tcW w:w="1515"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Price ($/MWh)</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Demand (MW)</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Availability (MW)</w:t>
            </w:r>
          </w:p>
        </w:tc>
      </w:tr>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r>
      <w:tr w:rsidR="007535E5" w:rsidRPr="00212020" w:rsidTr="002529A1">
        <w:trPr>
          <w:trHeight w:val="510"/>
        </w:trPr>
        <w:tc>
          <w:tcPr>
            <w:tcW w:w="531" w:type="pct"/>
            <w:tcBorders>
              <w:top w:val="nil"/>
              <w:bottom w:val="single" w:sz="4" w:space="0" w:color="auto"/>
            </w:tcBorders>
            <w:vAlign w:val="center"/>
          </w:tcPr>
          <w:p w:rsidR="007535E5" w:rsidRPr="00212020" w:rsidRDefault="00E96F9A">
            <w:pPr>
              <w:pStyle w:val="NormalWeb"/>
              <w:jc w:val="center"/>
              <w:rPr>
                <w:rFonts w:asciiTheme="minorHAnsi" w:hAnsiTheme="minorHAnsi" w:cstheme="minorHAnsi"/>
                <w:sz w:val="18"/>
                <w:szCs w:val="18"/>
              </w:rPr>
            </w:pPr>
            <w:r w:rsidRPr="00212020">
              <w:rPr>
                <w:rFonts w:asciiTheme="minorHAnsi" w:hAnsiTheme="minorHAnsi" w:cstheme="minorHAnsi"/>
                <w:b/>
                <w:bCs/>
                <w:sz w:val="18"/>
                <w:szCs w:val="18"/>
              </w:rPr>
              <w:t>5</w:t>
            </w:r>
            <w:r w:rsidR="007535E5" w:rsidRPr="00212020">
              <w:rPr>
                <w:rFonts w:asciiTheme="minorHAnsi" w:hAnsiTheme="minorHAnsi" w:cstheme="minorHAnsi"/>
                <w:b/>
                <w:bCs/>
                <w:sz w:val="18"/>
                <w:szCs w:val="18"/>
              </w:rPr>
              <w:t xml:space="preserve"> </w:t>
            </w:r>
            <w:r w:rsidR="00CF5CD3" w:rsidRPr="00212020">
              <w:rPr>
                <w:rFonts w:asciiTheme="minorHAnsi" w:hAnsiTheme="minorHAnsi" w:cstheme="minorHAnsi"/>
                <w:b/>
                <w:bCs/>
                <w:sz w:val="18"/>
                <w:szCs w:val="18"/>
              </w:rPr>
              <w:t>pm</w:t>
            </w:r>
          </w:p>
        </w:tc>
        <w:tc>
          <w:tcPr>
            <w:tcW w:w="511"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250.73</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32.32</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32.27</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1797</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1661</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1510</w:t>
            </w:r>
          </w:p>
        </w:tc>
        <w:tc>
          <w:tcPr>
            <w:tcW w:w="473"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2645</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2709</w:t>
            </w:r>
          </w:p>
        </w:tc>
        <w:tc>
          <w:tcPr>
            <w:tcW w:w="502" w:type="pct"/>
            <w:tcBorders>
              <w:top w:val="nil"/>
              <w:bottom w:val="single" w:sz="4" w:space="0" w:color="auto"/>
            </w:tcBorders>
            <w:vAlign w:val="center"/>
          </w:tcPr>
          <w:p w:rsidR="007535E5" w:rsidRPr="00212020" w:rsidRDefault="007535E5">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2694</w:t>
            </w:r>
          </w:p>
        </w:tc>
      </w:tr>
    </w:tbl>
    <w:p w:rsidR="007535E5" w:rsidRDefault="008A4DBF" w:rsidP="005F7247">
      <w:pPr>
        <w:jc w:val="both"/>
        <w:rPr>
          <w:rFonts w:cs="Arial"/>
        </w:rPr>
      </w:pPr>
      <w:r>
        <w:rPr>
          <w:rFonts w:cs="Arial"/>
        </w:rPr>
        <w:t>Conditions at the time saw d</w:t>
      </w:r>
      <w:r w:rsidR="00285936">
        <w:rPr>
          <w:rFonts w:cs="Arial"/>
        </w:rPr>
        <w:t xml:space="preserve">emand </w:t>
      </w:r>
      <w:r w:rsidR="000070A3">
        <w:rPr>
          <w:rFonts w:cs="Arial"/>
        </w:rPr>
        <w:t>around</w:t>
      </w:r>
      <w:r w:rsidR="00285936">
        <w:rPr>
          <w:rFonts w:cs="Arial"/>
        </w:rPr>
        <w:t xml:space="preserve"> 1</w:t>
      </w:r>
      <w:r w:rsidR="000070A3">
        <w:rPr>
          <w:rFonts w:cs="Arial"/>
        </w:rPr>
        <w:t>35</w:t>
      </w:r>
      <w:r w:rsidR="001D5326">
        <w:rPr>
          <w:rFonts w:cs="Arial"/>
        </w:rPr>
        <w:t> </w:t>
      </w:r>
      <w:r w:rsidR="00285936">
        <w:rPr>
          <w:rFonts w:cs="Arial"/>
        </w:rPr>
        <w:t xml:space="preserve">MW above forecast four hours ahead and </w:t>
      </w:r>
      <w:r>
        <w:rPr>
          <w:rFonts w:cs="Arial"/>
        </w:rPr>
        <w:t>availability</w:t>
      </w:r>
      <w:r w:rsidR="00285936">
        <w:rPr>
          <w:rFonts w:cs="Arial"/>
        </w:rPr>
        <w:t xml:space="preserve"> was close to forecasts. </w:t>
      </w:r>
      <w:r>
        <w:rPr>
          <w:rFonts w:cs="Arial"/>
        </w:rPr>
        <w:t xml:space="preserve">Both interconnectors were close to forecast four hours ahead. </w:t>
      </w:r>
    </w:p>
    <w:p w:rsidR="007535E5" w:rsidRPr="007E5C84" w:rsidRDefault="007E5C84" w:rsidP="005F7247">
      <w:pPr>
        <w:jc w:val="both"/>
        <w:rPr>
          <w:rFonts w:cs="Arial"/>
        </w:rPr>
      </w:pPr>
      <w:r>
        <w:rPr>
          <w:rFonts w:cs="Arial"/>
        </w:rPr>
        <w:t>With a steep supply curve, minor changes in dem</w:t>
      </w:r>
      <w:r w:rsidR="0030022F">
        <w:rPr>
          <w:rFonts w:cs="Arial"/>
        </w:rPr>
        <w:t xml:space="preserve">and and </w:t>
      </w:r>
      <w:r>
        <w:rPr>
          <w:rFonts w:cs="Arial"/>
        </w:rPr>
        <w:t>interconnectors</w:t>
      </w:r>
      <w:r w:rsidR="000139C8">
        <w:rPr>
          <w:rFonts w:cs="Arial"/>
        </w:rPr>
        <w:t xml:space="preserve"> flows</w:t>
      </w:r>
      <w:r w:rsidR="00B13CB8">
        <w:rPr>
          <w:rFonts w:cs="Arial"/>
        </w:rPr>
        <w:t xml:space="preserve"> saw</w:t>
      </w:r>
      <w:r>
        <w:rPr>
          <w:rFonts w:cs="Arial"/>
        </w:rPr>
        <w:t xml:space="preserve"> </w:t>
      </w:r>
      <w:r w:rsidR="0030022F">
        <w:rPr>
          <w:rFonts w:cs="Arial"/>
        </w:rPr>
        <w:t>the dispatch price fluctuated</w:t>
      </w:r>
      <w:r>
        <w:rPr>
          <w:rFonts w:cs="Arial"/>
        </w:rPr>
        <w:t xml:space="preserve"> between $95</w:t>
      </w:r>
      <w:r w:rsidR="00AB7700">
        <w:rPr>
          <w:rFonts w:cs="Arial"/>
        </w:rPr>
        <w:t xml:space="preserve">/MWh </w:t>
      </w:r>
      <w:r>
        <w:rPr>
          <w:rFonts w:cs="Arial"/>
        </w:rPr>
        <w:t>and $351/MWh during the 5</w:t>
      </w:r>
      <w:r w:rsidR="00AB7700">
        <w:rPr>
          <w:rFonts w:cs="Arial"/>
        </w:rPr>
        <w:t> </w:t>
      </w:r>
      <w:r w:rsidR="00542D4F">
        <w:rPr>
          <w:rFonts w:cs="Arial"/>
        </w:rPr>
        <w:t>pm trading interval.</w:t>
      </w:r>
    </w:p>
    <w:p w:rsidR="007535E5" w:rsidRDefault="007535E5" w:rsidP="00FB623B">
      <w:pPr>
        <w:pStyle w:val="AERHeading3"/>
      </w:pPr>
      <w:r w:rsidRPr="00FB623B">
        <w:t>Wednesday, 22 July</w:t>
      </w:r>
    </w:p>
    <w:p w:rsidR="002210D5" w:rsidRPr="00FB623B" w:rsidRDefault="00342F02" w:rsidP="00342F02">
      <w:pPr>
        <w:pStyle w:val="Caption"/>
      </w:pPr>
      <w:r w:rsidRPr="00F00BD3">
        <w:t xml:space="preserve">Table </w:t>
      </w:r>
      <w:r>
        <w:t>9</w:t>
      </w:r>
      <w:r w:rsidRPr="00F00BD3">
        <w:t xml:space="preserve">: Rebids for the </w:t>
      </w:r>
      <w:r>
        <w:t>6.30 pm</w:t>
      </w:r>
      <w:r w:rsidRPr="00F00BD3">
        <w:t xml:space="preserve"> trading interval </w:t>
      </w:r>
    </w:p>
    <w:tbl>
      <w:tblPr>
        <w:tblStyle w:val="AERTable-Text1"/>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 xml:space="preserve">Time </w:t>
            </w:r>
          </w:p>
        </w:tc>
        <w:tc>
          <w:tcPr>
            <w:tcW w:w="1515"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Price ($/MWh)</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Demand (MW)</w:t>
            </w:r>
          </w:p>
        </w:tc>
        <w:tc>
          <w:tcPr>
            <w:tcW w:w="1477"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Availability (MW)</w:t>
            </w:r>
          </w:p>
        </w:tc>
      </w:tr>
      <w:tr w:rsidR="007535E5" w:rsidRPr="007535E5" w:rsidTr="002529A1">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73"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r>
      <w:tr w:rsidR="00CF5CD3" w:rsidRPr="00043651" w:rsidTr="002529A1">
        <w:trPr>
          <w:trHeight w:val="510"/>
        </w:trPr>
        <w:tc>
          <w:tcPr>
            <w:tcW w:w="531"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b/>
                <w:bCs/>
                <w:sz w:val="18"/>
                <w:szCs w:val="18"/>
              </w:rPr>
              <w:t>6.30 pm</w:t>
            </w:r>
          </w:p>
        </w:tc>
        <w:tc>
          <w:tcPr>
            <w:tcW w:w="511"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2296.07</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83.31</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590.07</w:t>
            </w:r>
          </w:p>
        </w:tc>
        <w:tc>
          <w:tcPr>
            <w:tcW w:w="473"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2024</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2038</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2086</w:t>
            </w:r>
          </w:p>
        </w:tc>
        <w:tc>
          <w:tcPr>
            <w:tcW w:w="473"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2102</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2280</w:t>
            </w:r>
          </w:p>
        </w:tc>
        <w:tc>
          <w:tcPr>
            <w:tcW w:w="502" w:type="pct"/>
            <w:tcBorders>
              <w:top w:val="nil"/>
              <w:bottom w:val="single" w:sz="4" w:space="0" w:color="auto"/>
            </w:tcBorders>
            <w:vAlign w:val="center"/>
          </w:tcPr>
          <w:p w:rsidR="00CF5CD3" w:rsidRPr="00AB7700" w:rsidRDefault="00CF5CD3">
            <w:pPr>
              <w:pStyle w:val="NormalWeb"/>
              <w:jc w:val="center"/>
              <w:rPr>
                <w:rFonts w:ascii="Arial" w:hAnsi="Arial" w:cs="Arial"/>
                <w:sz w:val="18"/>
                <w:szCs w:val="18"/>
              </w:rPr>
            </w:pPr>
            <w:r w:rsidRPr="00AB7700">
              <w:rPr>
                <w:rFonts w:ascii="Arial" w:hAnsi="Arial" w:cs="Arial"/>
                <w:sz w:val="18"/>
                <w:szCs w:val="18"/>
              </w:rPr>
              <w:t>2176</w:t>
            </w:r>
          </w:p>
        </w:tc>
      </w:tr>
    </w:tbl>
    <w:p w:rsidR="002210D5" w:rsidRDefault="008A4DBF" w:rsidP="005F7247">
      <w:pPr>
        <w:jc w:val="both"/>
        <w:rPr>
          <w:rFonts w:cs="Arial"/>
        </w:rPr>
      </w:pPr>
      <w:r>
        <w:rPr>
          <w:rFonts w:cs="Arial"/>
        </w:rPr>
        <w:t xml:space="preserve">Conditions at the time saw demand close to forecast </w:t>
      </w:r>
      <w:r w:rsidR="000070A3">
        <w:rPr>
          <w:rFonts w:cs="Arial"/>
        </w:rPr>
        <w:t>four hours ahead and available</w:t>
      </w:r>
      <w:r>
        <w:rPr>
          <w:rFonts w:cs="Arial"/>
        </w:rPr>
        <w:t xml:space="preserve"> </w:t>
      </w:r>
      <w:r w:rsidR="000070A3">
        <w:rPr>
          <w:rFonts w:cs="Arial"/>
        </w:rPr>
        <w:t>capacity around</w:t>
      </w:r>
      <w:r>
        <w:rPr>
          <w:rFonts w:cs="Arial"/>
        </w:rPr>
        <w:t xml:space="preserve"> 1</w:t>
      </w:r>
      <w:r w:rsidR="000070A3">
        <w:rPr>
          <w:rFonts w:cs="Arial"/>
        </w:rPr>
        <w:t>8</w:t>
      </w:r>
      <w:r>
        <w:rPr>
          <w:rFonts w:cs="Arial"/>
        </w:rPr>
        <w:t>0</w:t>
      </w:r>
      <w:r w:rsidR="0004076D">
        <w:rPr>
          <w:rFonts w:cs="Arial"/>
        </w:rPr>
        <w:t> </w:t>
      </w:r>
      <w:r>
        <w:rPr>
          <w:rFonts w:cs="Arial"/>
        </w:rPr>
        <w:t xml:space="preserve">MW below forecast four hours ahead. </w:t>
      </w:r>
      <w:r w:rsidR="00B03D33">
        <w:rPr>
          <w:rFonts w:cs="Arial"/>
        </w:rPr>
        <w:t>Both Interconnectors were close to forecast four hours ahead.</w:t>
      </w:r>
    </w:p>
    <w:p w:rsidR="00E96F9A" w:rsidRPr="00E96F9A" w:rsidRDefault="00E96F9A" w:rsidP="00E96F9A">
      <w:pPr>
        <w:pStyle w:val="Caption"/>
      </w:pPr>
      <w:r w:rsidRPr="00E96F9A">
        <w:t xml:space="preserve">Table </w:t>
      </w:r>
      <w:r w:rsidR="00342F02">
        <w:t>10</w:t>
      </w:r>
      <w:r>
        <w:t>: Rebids for the 6 p</w:t>
      </w:r>
      <w:r w:rsidRPr="00E96F9A">
        <w:t xml:space="preserve">m trading interval </w:t>
      </w:r>
    </w:p>
    <w:tbl>
      <w:tblPr>
        <w:tblStyle w:val="AERsummarytable"/>
        <w:tblW w:w="4890" w:type="pct"/>
        <w:tblLayout w:type="fixed"/>
        <w:tblLook w:val="04A0" w:firstRow="1" w:lastRow="0" w:firstColumn="1" w:lastColumn="0" w:noHBand="0" w:noVBand="1"/>
      </w:tblPr>
      <w:tblGrid>
        <w:gridCol w:w="958"/>
        <w:gridCol w:w="911"/>
        <w:gridCol w:w="1153"/>
        <w:gridCol w:w="1117"/>
        <w:gridCol w:w="1007"/>
        <w:gridCol w:w="953"/>
        <w:gridCol w:w="955"/>
        <w:gridCol w:w="1985"/>
      </w:tblGrid>
      <w:tr w:rsidR="002210D5" w:rsidTr="00522B6C">
        <w:trPr>
          <w:cnfStyle w:val="100000000000" w:firstRow="1" w:lastRow="0" w:firstColumn="0" w:lastColumn="0" w:oddVBand="0" w:evenVBand="0" w:oddHBand="0" w:evenHBand="0" w:firstRowFirstColumn="0" w:firstRowLastColumn="0" w:lastRowFirstColumn="0" w:lastRowLastColumn="0"/>
          <w:trHeight w:val="780"/>
          <w:tblHeader/>
        </w:trPr>
        <w:tc>
          <w:tcPr>
            <w:tcW w:w="530" w:type="pct"/>
            <w:hideMark/>
          </w:tcPr>
          <w:p w:rsidR="002210D5" w:rsidRDefault="002210D5" w:rsidP="00522B6C">
            <w:pPr>
              <w:pStyle w:val="TableHeading"/>
              <w:rPr>
                <w:color w:val="FFFFFF"/>
                <w:szCs w:val="18"/>
              </w:rPr>
            </w:pPr>
            <w:r>
              <w:rPr>
                <w:bCs/>
                <w:color w:val="FFFFFF"/>
                <w:szCs w:val="18"/>
              </w:rPr>
              <w:t>Submit time</w:t>
            </w:r>
          </w:p>
        </w:tc>
        <w:tc>
          <w:tcPr>
            <w:tcW w:w="504" w:type="pct"/>
            <w:hideMark/>
          </w:tcPr>
          <w:p w:rsidR="002210D5" w:rsidRDefault="002210D5" w:rsidP="00522B6C">
            <w:pPr>
              <w:pStyle w:val="TableHeading"/>
              <w:ind w:left="-108"/>
              <w:rPr>
                <w:color w:val="FFFFFF"/>
                <w:szCs w:val="18"/>
              </w:rPr>
            </w:pPr>
            <w:r>
              <w:rPr>
                <w:bCs/>
                <w:color w:val="FFFFFF"/>
                <w:szCs w:val="18"/>
              </w:rPr>
              <w:t>Time effective</w:t>
            </w:r>
          </w:p>
        </w:tc>
        <w:tc>
          <w:tcPr>
            <w:tcW w:w="638" w:type="pct"/>
            <w:hideMark/>
          </w:tcPr>
          <w:p w:rsidR="002210D5" w:rsidRDefault="002210D5" w:rsidP="00522B6C">
            <w:pPr>
              <w:pStyle w:val="TableHeading"/>
              <w:rPr>
                <w:color w:val="FFFFFF"/>
                <w:szCs w:val="18"/>
              </w:rPr>
            </w:pPr>
            <w:r>
              <w:rPr>
                <w:bCs/>
                <w:color w:val="FFFFFF"/>
                <w:szCs w:val="18"/>
              </w:rPr>
              <w:t>Participant</w:t>
            </w:r>
          </w:p>
        </w:tc>
        <w:tc>
          <w:tcPr>
            <w:tcW w:w="618" w:type="pct"/>
            <w:hideMark/>
          </w:tcPr>
          <w:p w:rsidR="002210D5" w:rsidRDefault="002210D5" w:rsidP="00522B6C">
            <w:pPr>
              <w:pStyle w:val="TableHeading"/>
              <w:rPr>
                <w:color w:val="FFFFFF"/>
                <w:szCs w:val="18"/>
              </w:rPr>
            </w:pPr>
            <w:r>
              <w:rPr>
                <w:bCs/>
                <w:color w:val="FFFFFF"/>
                <w:szCs w:val="18"/>
              </w:rPr>
              <w:t>Station</w:t>
            </w:r>
          </w:p>
        </w:tc>
        <w:tc>
          <w:tcPr>
            <w:tcW w:w="557" w:type="pct"/>
            <w:hideMark/>
          </w:tcPr>
          <w:p w:rsidR="002210D5" w:rsidRDefault="002210D5" w:rsidP="00522B6C">
            <w:pPr>
              <w:pStyle w:val="TableHeading"/>
              <w:rPr>
                <w:color w:val="FFFFFF"/>
                <w:szCs w:val="18"/>
              </w:rPr>
            </w:pPr>
            <w:r>
              <w:rPr>
                <w:bCs/>
                <w:color w:val="FFFFFF"/>
                <w:szCs w:val="18"/>
              </w:rPr>
              <w:t>Capacity rebid (MW)</w:t>
            </w:r>
          </w:p>
        </w:tc>
        <w:tc>
          <w:tcPr>
            <w:tcW w:w="527" w:type="pct"/>
            <w:hideMark/>
          </w:tcPr>
          <w:p w:rsidR="002210D5" w:rsidRDefault="002210D5" w:rsidP="00522B6C">
            <w:pPr>
              <w:pStyle w:val="TableHeading"/>
              <w:rPr>
                <w:color w:val="FFFFFF"/>
                <w:szCs w:val="18"/>
              </w:rPr>
            </w:pPr>
            <w:r>
              <w:rPr>
                <w:bCs/>
                <w:color w:val="FFFFFF"/>
                <w:szCs w:val="18"/>
              </w:rPr>
              <w:t>Price from ($/MWh)</w:t>
            </w:r>
          </w:p>
        </w:tc>
        <w:tc>
          <w:tcPr>
            <w:tcW w:w="528" w:type="pct"/>
            <w:hideMark/>
          </w:tcPr>
          <w:p w:rsidR="002210D5" w:rsidRDefault="002210D5" w:rsidP="00522B6C">
            <w:pPr>
              <w:pStyle w:val="TableHeading"/>
              <w:rPr>
                <w:color w:val="FFFFFF"/>
                <w:szCs w:val="18"/>
              </w:rPr>
            </w:pPr>
            <w:r>
              <w:rPr>
                <w:bCs/>
                <w:color w:val="FFFFFF"/>
                <w:szCs w:val="18"/>
              </w:rPr>
              <w:t>Price to ($/MWh)</w:t>
            </w:r>
          </w:p>
        </w:tc>
        <w:tc>
          <w:tcPr>
            <w:tcW w:w="1098" w:type="pct"/>
            <w:hideMark/>
          </w:tcPr>
          <w:p w:rsidR="002210D5" w:rsidRDefault="002210D5" w:rsidP="00522B6C">
            <w:pPr>
              <w:pStyle w:val="TableHeading"/>
              <w:rPr>
                <w:color w:val="FFFFFF"/>
                <w:szCs w:val="18"/>
              </w:rPr>
            </w:pPr>
            <w:r>
              <w:rPr>
                <w:bCs/>
                <w:color w:val="FFFFFF"/>
                <w:szCs w:val="18"/>
              </w:rPr>
              <w:t>Rebid reason</w:t>
            </w:r>
          </w:p>
        </w:tc>
      </w:tr>
      <w:tr w:rsidR="001B2F1B" w:rsidRPr="00C8473D" w:rsidTr="001B2F1B">
        <w:trPr>
          <w:cnfStyle w:val="000000100000" w:firstRow="0" w:lastRow="0" w:firstColumn="0" w:lastColumn="0" w:oddVBand="0" w:evenVBand="0" w:oddHBand="1" w:evenHBand="0" w:firstRowFirstColumn="0" w:firstRowLastColumn="0" w:lastRowFirstColumn="0" w:lastRowLastColumn="0"/>
          <w:trHeight w:val="794"/>
        </w:trPr>
        <w:tc>
          <w:tcPr>
            <w:tcW w:w="530" w:type="pct"/>
            <w:vAlign w:val="center"/>
          </w:tcPr>
          <w:p w:rsidR="001B2F1B" w:rsidRPr="00541092" w:rsidRDefault="001B2F1B" w:rsidP="00522B6C">
            <w:pPr>
              <w:spacing w:before="100" w:beforeAutospacing="1" w:after="100" w:afterAutospacing="1" w:line="240" w:lineRule="auto"/>
              <w:jc w:val="center"/>
              <w:rPr>
                <w:rFonts w:cs="Arial"/>
                <w:szCs w:val="18"/>
                <w:lang w:eastAsia="en-AU"/>
              </w:rPr>
            </w:pPr>
            <w:r>
              <w:rPr>
                <w:rFonts w:cs="Arial"/>
                <w:szCs w:val="18"/>
                <w:lang w:eastAsia="en-AU"/>
              </w:rPr>
              <w:t>6 pm</w:t>
            </w:r>
          </w:p>
        </w:tc>
        <w:tc>
          <w:tcPr>
            <w:tcW w:w="504" w:type="pct"/>
            <w:vAlign w:val="center"/>
          </w:tcPr>
          <w:p w:rsidR="001B2F1B" w:rsidRPr="00541092" w:rsidRDefault="001B2F1B" w:rsidP="00522B6C">
            <w:pPr>
              <w:spacing w:before="100" w:beforeAutospacing="1" w:after="100" w:afterAutospacing="1" w:line="240" w:lineRule="auto"/>
              <w:jc w:val="center"/>
              <w:rPr>
                <w:rFonts w:cs="Arial"/>
                <w:szCs w:val="18"/>
                <w:lang w:eastAsia="en-AU"/>
              </w:rPr>
            </w:pPr>
            <w:r>
              <w:rPr>
                <w:rFonts w:cs="Arial"/>
                <w:szCs w:val="18"/>
                <w:lang w:eastAsia="en-AU"/>
              </w:rPr>
              <w:t>6.10 pm</w:t>
            </w:r>
          </w:p>
        </w:tc>
        <w:tc>
          <w:tcPr>
            <w:tcW w:w="638" w:type="pct"/>
            <w:vAlign w:val="center"/>
          </w:tcPr>
          <w:p w:rsidR="001B2F1B" w:rsidRPr="00541092" w:rsidRDefault="001B2F1B" w:rsidP="00522B6C">
            <w:pPr>
              <w:spacing w:before="100" w:beforeAutospacing="1" w:after="100" w:afterAutospacing="1" w:line="240" w:lineRule="auto"/>
              <w:jc w:val="center"/>
              <w:rPr>
                <w:rFonts w:cs="Arial"/>
                <w:szCs w:val="18"/>
                <w:lang w:eastAsia="en-AU"/>
              </w:rPr>
            </w:pPr>
            <w:r>
              <w:rPr>
                <w:rFonts w:cs="Arial"/>
                <w:szCs w:val="18"/>
                <w:lang w:eastAsia="en-AU"/>
              </w:rPr>
              <w:t>AGL</w:t>
            </w:r>
          </w:p>
        </w:tc>
        <w:tc>
          <w:tcPr>
            <w:tcW w:w="618" w:type="pct"/>
            <w:vAlign w:val="center"/>
          </w:tcPr>
          <w:p w:rsidR="001B2F1B" w:rsidRPr="00541092" w:rsidRDefault="001B2F1B" w:rsidP="00522B6C">
            <w:pPr>
              <w:spacing w:before="100" w:beforeAutospacing="1" w:after="100" w:afterAutospacing="1" w:line="240" w:lineRule="auto"/>
              <w:jc w:val="center"/>
              <w:rPr>
                <w:rFonts w:cs="Arial"/>
                <w:szCs w:val="18"/>
                <w:lang w:eastAsia="en-AU"/>
              </w:rPr>
            </w:pPr>
            <w:r>
              <w:rPr>
                <w:rFonts w:cs="Arial"/>
                <w:szCs w:val="18"/>
                <w:lang w:eastAsia="en-AU"/>
              </w:rPr>
              <w:t>Torrens Island</w:t>
            </w:r>
          </w:p>
        </w:tc>
        <w:tc>
          <w:tcPr>
            <w:tcW w:w="557" w:type="pct"/>
            <w:vAlign w:val="center"/>
          </w:tcPr>
          <w:p w:rsidR="001B2F1B" w:rsidRPr="00541092" w:rsidRDefault="001B2F1B" w:rsidP="001B2F1B">
            <w:pPr>
              <w:spacing w:before="100" w:beforeAutospacing="1" w:after="100" w:afterAutospacing="1" w:line="240" w:lineRule="auto"/>
              <w:jc w:val="center"/>
              <w:rPr>
                <w:rFonts w:cs="Arial"/>
                <w:szCs w:val="18"/>
                <w:lang w:eastAsia="en-AU"/>
              </w:rPr>
            </w:pPr>
            <w:r>
              <w:rPr>
                <w:rFonts w:cs="Arial"/>
                <w:szCs w:val="18"/>
                <w:lang w:eastAsia="en-AU"/>
              </w:rPr>
              <w:t>100</w:t>
            </w:r>
          </w:p>
        </w:tc>
        <w:tc>
          <w:tcPr>
            <w:tcW w:w="527" w:type="pct"/>
            <w:vAlign w:val="center"/>
          </w:tcPr>
          <w:p w:rsidR="001B2F1B" w:rsidRPr="00541092" w:rsidRDefault="001B2F1B" w:rsidP="00522B6C">
            <w:pPr>
              <w:spacing w:before="100" w:beforeAutospacing="1" w:after="100" w:afterAutospacing="1" w:line="240" w:lineRule="auto"/>
              <w:jc w:val="center"/>
              <w:rPr>
                <w:rFonts w:cs="Arial"/>
                <w:szCs w:val="18"/>
                <w:lang w:eastAsia="en-AU"/>
              </w:rPr>
            </w:pPr>
            <w:r>
              <w:rPr>
                <w:rFonts w:cs="Arial"/>
                <w:szCs w:val="18"/>
                <w:lang w:eastAsia="en-AU"/>
              </w:rPr>
              <w:t>&lt;65</w:t>
            </w:r>
          </w:p>
        </w:tc>
        <w:tc>
          <w:tcPr>
            <w:tcW w:w="528" w:type="pct"/>
            <w:vAlign w:val="center"/>
          </w:tcPr>
          <w:p w:rsidR="001B2F1B" w:rsidRPr="00541092" w:rsidRDefault="001B2F1B" w:rsidP="00522B6C">
            <w:pPr>
              <w:spacing w:before="100" w:beforeAutospacing="1" w:after="100" w:afterAutospacing="1" w:line="240" w:lineRule="auto"/>
              <w:jc w:val="center"/>
              <w:rPr>
                <w:rFonts w:cs="Arial"/>
                <w:szCs w:val="18"/>
              </w:rPr>
            </w:pPr>
            <w:r>
              <w:rPr>
                <w:rFonts w:cs="Arial"/>
                <w:szCs w:val="18"/>
              </w:rPr>
              <w:t>13 500</w:t>
            </w:r>
          </w:p>
        </w:tc>
        <w:tc>
          <w:tcPr>
            <w:tcW w:w="1098" w:type="pct"/>
            <w:vAlign w:val="center"/>
          </w:tcPr>
          <w:p w:rsidR="001B2F1B" w:rsidRPr="001B2F1B" w:rsidRDefault="001B2F1B" w:rsidP="001B2F1B">
            <w:pPr>
              <w:spacing w:line="240" w:lineRule="auto"/>
              <w:textAlignment w:val="center"/>
              <w:rPr>
                <w:rFonts w:eastAsia="Times New Roman" w:cs="Arial"/>
                <w:color w:val="000000"/>
                <w:szCs w:val="18"/>
                <w:lang w:eastAsia="en-AU"/>
              </w:rPr>
            </w:pPr>
            <w:r w:rsidRPr="001B2F1B">
              <w:rPr>
                <w:rFonts w:eastAsia="Times New Roman" w:cs="Arial"/>
                <w:color w:val="000000"/>
                <w:szCs w:val="18"/>
                <w:lang w:eastAsia="en-AU"/>
              </w:rPr>
              <w:t xml:space="preserve">1755~F~060 </w:t>
            </w:r>
            <w:proofErr w:type="spellStart"/>
            <w:r w:rsidRPr="001B2F1B">
              <w:rPr>
                <w:rFonts w:eastAsia="Times New Roman" w:cs="Arial"/>
                <w:color w:val="000000"/>
                <w:szCs w:val="18"/>
                <w:lang w:eastAsia="en-AU"/>
              </w:rPr>
              <w:t>chg</w:t>
            </w:r>
            <w:proofErr w:type="spellEnd"/>
            <w:r w:rsidRPr="001B2F1B">
              <w:rPr>
                <w:rFonts w:eastAsia="Times New Roman" w:cs="Arial"/>
                <w:color w:val="000000"/>
                <w:szCs w:val="18"/>
                <w:lang w:eastAsia="en-AU"/>
              </w:rPr>
              <w:t xml:space="preserve"> in fuel cost~60 increase in f/cast gas value</w:t>
            </w:r>
          </w:p>
        </w:tc>
      </w:tr>
      <w:tr w:rsidR="001B2F1B" w:rsidRPr="00C8473D" w:rsidTr="001B2F1B">
        <w:trPr>
          <w:cnfStyle w:val="000000010000" w:firstRow="0" w:lastRow="0" w:firstColumn="0" w:lastColumn="0" w:oddVBand="0" w:evenVBand="0" w:oddHBand="0" w:evenHBand="1" w:firstRowFirstColumn="0" w:firstRowLastColumn="0" w:lastRowFirstColumn="0" w:lastRowLastColumn="0"/>
          <w:trHeight w:val="991"/>
        </w:trPr>
        <w:tc>
          <w:tcPr>
            <w:tcW w:w="530" w:type="pct"/>
            <w:vAlign w:val="center"/>
          </w:tcPr>
          <w:p w:rsidR="001B2F1B" w:rsidRDefault="001B2F1B" w:rsidP="001B2F1B">
            <w:pPr>
              <w:jc w:val="center"/>
              <w:textAlignment w:val="center"/>
              <w:rPr>
                <w:rFonts w:cs="Arial"/>
                <w:color w:val="000000"/>
                <w:szCs w:val="18"/>
              </w:rPr>
            </w:pPr>
            <w:r>
              <w:rPr>
                <w:rFonts w:cs="Arial"/>
                <w:color w:val="000000"/>
                <w:szCs w:val="18"/>
              </w:rPr>
              <w:t>6.07 pm</w:t>
            </w:r>
          </w:p>
        </w:tc>
        <w:tc>
          <w:tcPr>
            <w:tcW w:w="504" w:type="pct"/>
            <w:vAlign w:val="center"/>
          </w:tcPr>
          <w:p w:rsidR="001B2F1B" w:rsidRDefault="001B2F1B" w:rsidP="001B2F1B">
            <w:pPr>
              <w:jc w:val="center"/>
              <w:textAlignment w:val="center"/>
              <w:rPr>
                <w:rFonts w:cs="Arial"/>
                <w:color w:val="000000"/>
                <w:szCs w:val="18"/>
              </w:rPr>
            </w:pPr>
            <w:r>
              <w:rPr>
                <w:rFonts w:cs="Arial"/>
                <w:color w:val="000000"/>
                <w:szCs w:val="18"/>
              </w:rPr>
              <w:t>6.15 pm</w:t>
            </w:r>
          </w:p>
        </w:tc>
        <w:tc>
          <w:tcPr>
            <w:tcW w:w="638" w:type="pct"/>
            <w:vAlign w:val="center"/>
          </w:tcPr>
          <w:p w:rsidR="001B2F1B" w:rsidRDefault="001B2F1B">
            <w:pPr>
              <w:textAlignment w:val="center"/>
              <w:rPr>
                <w:rFonts w:cs="Arial"/>
                <w:color w:val="000000"/>
                <w:szCs w:val="18"/>
              </w:rPr>
            </w:pPr>
            <w:r>
              <w:rPr>
                <w:rFonts w:cs="Arial"/>
                <w:color w:val="000000"/>
                <w:szCs w:val="18"/>
              </w:rPr>
              <w:t>AGL Energy</w:t>
            </w:r>
          </w:p>
        </w:tc>
        <w:tc>
          <w:tcPr>
            <w:tcW w:w="618" w:type="pct"/>
            <w:vAlign w:val="center"/>
          </w:tcPr>
          <w:p w:rsidR="001B2F1B" w:rsidRDefault="001B2F1B">
            <w:pPr>
              <w:textAlignment w:val="center"/>
              <w:rPr>
                <w:rFonts w:cs="Arial"/>
                <w:color w:val="000000"/>
                <w:szCs w:val="18"/>
              </w:rPr>
            </w:pPr>
            <w:r>
              <w:rPr>
                <w:rFonts w:cs="Arial"/>
                <w:color w:val="000000"/>
                <w:szCs w:val="18"/>
              </w:rPr>
              <w:t>Torrens Island</w:t>
            </w:r>
          </w:p>
        </w:tc>
        <w:tc>
          <w:tcPr>
            <w:tcW w:w="557" w:type="pct"/>
            <w:vAlign w:val="center"/>
          </w:tcPr>
          <w:p w:rsidR="001B2F1B" w:rsidRDefault="001B2F1B">
            <w:pPr>
              <w:jc w:val="center"/>
              <w:textAlignment w:val="center"/>
              <w:rPr>
                <w:rFonts w:cs="Arial"/>
                <w:color w:val="000000"/>
                <w:szCs w:val="18"/>
              </w:rPr>
            </w:pPr>
            <w:r>
              <w:rPr>
                <w:rFonts w:cs="Arial"/>
                <w:color w:val="000000"/>
                <w:szCs w:val="18"/>
              </w:rPr>
              <w:t>100</w:t>
            </w:r>
          </w:p>
        </w:tc>
        <w:tc>
          <w:tcPr>
            <w:tcW w:w="527" w:type="pct"/>
            <w:vAlign w:val="center"/>
          </w:tcPr>
          <w:p w:rsidR="001B2F1B" w:rsidRDefault="001B2F1B">
            <w:pPr>
              <w:jc w:val="center"/>
              <w:textAlignment w:val="center"/>
              <w:rPr>
                <w:rFonts w:cs="Arial"/>
                <w:color w:val="000000"/>
                <w:szCs w:val="18"/>
              </w:rPr>
            </w:pPr>
            <w:r>
              <w:rPr>
                <w:rFonts w:cs="Arial"/>
                <w:color w:val="000000"/>
                <w:szCs w:val="18"/>
              </w:rPr>
              <w:t>13500</w:t>
            </w:r>
          </w:p>
        </w:tc>
        <w:tc>
          <w:tcPr>
            <w:tcW w:w="528" w:type="pct"/>
            <w:vAlign w:val="center"/>
          </w:tcPr>
          <w:p w:rsidR="001B2F1B" w:rsidRDefault="001B2F1B">
            <w:pPr>
              <w:jc w:val="center"/>
              <w:textAlignment w:val="center"/>
              <w:rPr>
                <w:rFonts w:cs="Arial"/>
                <w:color w:val="000000"/>
                <w:szCs w:val="18"/>
              </w:rPr>
            </w:pPr>
            <w:r>
              <w:rPr>
                <w:rFonts w:cs="Arial"/>
                <w:color w:val="000000"/>
                <w:szCs w:val="18"/>
              </w:rPr>
              <w:t>-1000</w:t>
            </w:r>
          </w:p>
        </w:tc>
        <w:tc>
          <w:tcPr>
            <w:tcW w:w="1098" w:type="pct"/>
            <w:vAlign w:val="center"/>
          </w:tcPr>
          <w:p w:rsidR="001B2F1B" w:rsidRDefault="001B2F1B">
            <w:pPr>
              <w:textAlignment w:val="center"/>
              <w:rPr>
                <w:rFonts w:cs="Arial"/>
                <w:color w:val="000000"/>
                <w:szCs w:val="18"/>
              </w:rPr>
            </w:pPr>
            <w:r>
              <w:rPr>
                <w:rFonts w:cs="Arial"/>
                <w:color w:val="000000"/>
                <w:szCs w:val="18"/>
              </w:rPr>
              <w:t xml:space="preserve">1805~A~040 </w:t>
            </w:r>
            <w:proofErr w:type="spellStart"/>
            <w:r>
              <w:rPr>
                <w:rFonts w:cs="Arial"/>
                <w:color w:val="000000"/>
                <w:szCs w:val="18"/>
              </w:rPr>
              <w:t>chg</w:t>
            </w:r>
            <w:proofErr w:type="spellEnd"/>
            <w:r>
              <w:rPr>
                <w:rFonts w:cs="Arial"/>
                <w:color w:val="000000"/>
                <w:szCs w:val="18"/>
              </w:rPr>
              <w:t xml:space="preserve"> in AEMO disp~45 price increase vs PD SA $13,481.8</w:t>
            </w:r>
          </w:p>
        </w:tc>
      </w:tr>
    </w:tbl>
    <w:p w:rsidR="00D30B7E" w:rsidRDefault="00CB2491" w:rsidP="005F7247">
      <w:pPr>
        <w:jc w:val="both"/>
        <w:rPr>
          <w:rFonts w:cs="Arial"/>
        </w:rPr>
      </w:pPr>
      <w:r>
        <w:rPr>
          <w:rFonts w:cs="Arial"/>
        </w:rPr>
        <w:t>At 6.10</w:t>
      </w:r>
      <w:r w:rsidR="006B7CE0">
        <w:rPr>
          <w:rFonts w:cs="Arial"/>
        </w:rPr>
        <w:t> </w:t>
      </w:r>
      <w:r>
        <w:rPr>
          <w:rFonts w:cs="Arial"/>
        </w:rPr>
        <w:t>pm</w:t>
      </w:r>
      <w:r w:rsidR="00342F02">
        <w:rPr>
          <w:rFonts w:cs="Arial"/>
        </w:rPr>
        <w:t>,</w:t>
      </w:r>
      <w:r>
        <w:rPr>
          <w:rFonts w:cs="Arial"/>
        </w:rPr>
        <w:t xml:space="preserve"> </w:t>
      </w:r>
      <w:r w:rsidR="00342F02">
        <w:rPr>
          <w:rFonts w:cs="Arial"/>
        </w:rPr>
        <w:t>a</w:t>
      </w:r>
      <w:r>
        <w:rPr>
          <w:rFonts w:cs="Arial"/>
        </w:rPr>
        <w:t xml:space="preserve">s a result </w:t>
      </w:r>
      <w:r w:rsidR="00342F02">
        <w:rPr>
          <w:rFonts w:cs="Arial"/>
        </w:rPr>
        <w:t>of a</w:t>
      </w:r>
      <w:r w:rsidR="00043651">
        <w:rPr>
          <w:rFonts w:cs="Arial"/>
        </w:rPr>
        <w:t xml:space="preserve"> </w:t>
      </w:r>
      <w:r w:rsidR="00342F02">
        <w:rPr>
          <w:rFonts w:cs="Arial"/>
        </w:rPr>
        <w:t>50</w:t>
      </w:r>
      <w:r w:rsidR="006B7CE0">
        <w:rPr>
          <w:rFonts w:cs="Arial"/>
        </w:rPr>
        <w:t> </w:t>
      </w:r>
      <w:r w:rsidR="00342F02">
        <w:rPr>
          <w:rFonts w:cs="Arial"/>
        </w:rPr>
        <w:t xml:space="preserve">MW </w:t>
      </w:r>
      <w:r w:rsidR="00043651">
        <w:rPr>
          <w:rFonts w:cs="Arial"/>
        </w:rPr>
        <w:t xml:space="preserve">change in demand and </w:t>
      </w:r>
      <w:r w:rsidR="00B03D33">
        <w:rPr>
          <w:rFonts w:cs="Arial"/>
        </w:rPr>
        <w:t>AGL’s</w:t>
      </w:r>
      <w:r>
        <w:rPr>
          <w:rFonts w:cs="Arial"/>
        </w:rPr>
        <w:t xml:space="preserve"> rebid</w:t>
      </w:r>
      <w:r w:rsidR="001B2F1B">
        <w:rPr>
          <w:rFonts w:cs="Arial"/>
        </w:rPr>
        <w:t xml:space="preserve"> becoming effective</w:t>
      </w:r>
      <w:r w:rsidR="00612377">
        <w:rPr>
          <w:rFonts w:cs="Arial"/>
        </w:rPr>
        <w:t>,</w:t>
      </w:r>
      <w:r>
        <w:rPr>
          <w:rFonts w:cs="Arial"/>
        </w:rPr>
        <w:t xml:space="preserve"> with low priced generation either ramp</w:t>
      </w:r>
      <w:r w:rsidR="0030022F">
        <w:rPr>
          <w:rFonts w:cs="Arial"/>
        </w:rPr>
        <w:t xml:space="preserve"> rate limited,</w:t>
      </w:r>
      <w:r>
        <w:rPr>
          <w:rFonts w:cs="Arial"/>
        </w:rPr>
        <w:t xml:space="preserve"> fully dispatched or stranded in FCAS, the dispatch increased from $98/MWh at 6.05</w:t>
      </w:r>
      <w:r w:rsidR="006B7CE0">
        <w:rPr>
          <w:rFonts w:cs="Arial"/>
        </w:rPr>
        <w:t> </w:t>
      </w:r>
      <w:r>
        <w:rPr>
          <w:rFonts w:cs="Arial"/>
        </w:rPr>
        <w:t>pm to $13</w:t>
      </w:r>
      <w:r w:rsidR="00AB7700">
        <w:rPr>
          <w:rFonts w:cs="Arial"/>
        </w:rPr>
        <w:t> </w:t>
      </w:r>
      <w:r>
        <w:rPr>
          <w:rFonts w:cs="Arial"/>
        </w:rPr>
        <w:t>481/MWh at 6.10</w:t>
      </w:r>
      <w:r w:rsidR="00AB7700">
        <w:rPr>
          <w:rFonts w:cs="Arial"/>
        </w:rPr>
        <w:t> </w:t>
      </w:r>
      <w:r>
        <w:rPr>
          <w:rFonts w:cs="Arial"/>
        </w:rPr>
        <w:t xml:space="preserve">pm. The dispatch price </w:t>
      </w:r>
      <w:r w:rsidR="0030022F">
        <w:rPr>
          <w:rFonts w:cs="Arial"/>
        </w:rPr>
        <w:t xml:space="preserve">then </w:t>
      </w:r>
      <w:r>
        <w:rPr>
          <w:rFonts w:cs="Arial"/>
        </w:rPr>
        <w:t>reduce</w:t>
      </w:r>
      <w:r w:rsidR="00AB7700">
        <w:rPr>
          <w:rFonts w:cs="Arial"/>
        </w:rPr>
        <w:t>d</w:t>
      </w:r>
      <w:r>
        <w:rPr>
          <w:rFonts w:cs="Arial"/>
        </w:rPr>
        <w:t xml:space="preserve"> to $53/MWh at 6.15</w:t>
      </w:r>
      <w:r w:rsidR="00AB7700">
        <w:rPr>
          <w:rFonts w:cs="Arial"/>
        </w:rPr>
        <w:t> </w:t>
      </w:r>
      <w:r>
        <w:rPr>
          <w:rFonts w:cs="Arial"/>
        </w:rPr>
        <w:t xml:space="preserve">pm when AGL’s rebid of all available capacity to the price floor took effect. </w:t>
      </w:r>
    </w:p>
    <w:p w:rsidR="00D30B7E" w:rsidRPr="00B03D33" w:rsidRDefault="00342F02" w:rsidP="00B03D33">
      <w:pPr>
        <w:pStyle w:val="Caption"/>
      </w:pPr>
      <w:r w:rsidRPr="00F00BD3">
        <w:t xml:space="preserve">Table </w:t>
      </w:r>
      <w:r>
        <w:t>11</w:t>
      </w:r>
      <w:r w:rsidRPr="00F00BD3">
        <w:t xml:space="preserve">: Rebids for the </w:t>
      </w:r>
      <w:r>
        <w:t>7.30 p</w:t>
      </w:r>
      <w:r w:rsidRPr="00F00BD3">
        <w:t>m</w:t>
      </w:r>
      <w:r>
        <w:t xml:space="preserve"> and 8 pm trading intervals</w:t>
      </w:r>
    </w:p>
    <w:tbl>
      <w:tblPr>
        <w:tblStyle w:val="AERTable-Text1"/>
        <w:tblW w:w="5000" w:type="pct"/>
        <w:tblLayout w:type="fixed"/>
        <w:tblLook w:val="04A0" w:firstRow="1" w:lastRow="0" w:firstColumn="1" w:lastColumn="0" w:noHBand="0" w:noVBand="1"/>
      </w:tblPr>
      <w:tblGrid>
        <w:gridCol w:w="981"/>
        <w:gridCol w:w="944"/>
        <w:gridCol w:w="928"/>
        <w:gridCol w:w="1063"/>
        <w:gridCol w:w="797"/>
        <w:gridCol w:w="939"/>
        <w:gridCol w:w="937"/>
        <w:gridCol w:w="797"/>
        <w:gridCol w:w="928"/>
        <w:gridCol w:w="928"/>
      </w:tblGrid>
      <w:tr w:rsidR="007535E5" w:rsidRPr="007535E5" w:rsidTr="00AB7700">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 xml:space="preserve">Time </w:t>
            </w:r>
          </w:p>
        </w:tc>
        <w:tc>
          <w:tcPr>
            <w:tcW w:w="1588"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Price ($/MWh)</w:t>
            </w:r>
          </w:p>
        </w:tc>
        <w:tc>
          <w:tcPr>
            <w:tcW w:w="1446"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Demand (MW)</w:t>
            </w:r>
          </w:p>
        </w:tc>
        <w:tc>
          <w:tcPr>
            <w:tcW w:w="1435" w:type="pct"/>
            <w:gridSpan w:val="3"/>
            <w:tcBorders>
              <w:bottom w:val="nil"/>
            </w:tcBorders>
            <w:hideMark/>
          </w:tcPr>
          <w:p w:rsidR="007535E5" w:rsidRPr="007535E5" w:rsidRDefault="007535E5" w:rsidP="002529A1">
            <w:pPr>
              <w:spacing w:before="60" w:after="60"/>
              <w:jc w:val="center"/>
              <w:rPr>
                <w:rFonts w:cs="Arial"/>
                <w:sz w:val="20"/>
                <w:szCs w:val="20"/>
              </w:rPr>
            </w:pPr>
            <w:r w:rsidRPr="007535E5">
              <w:rPr>
                <w:rFonts w:cs="Arial"/>
                <w:sz w:val="20"/>
                <w:szCs w:val="20"/>
              </w:rPr>
              <w:t>Availability (MW)</w:t>
            </w:r>
          </w:p>
        </w:tc>
      </w:tr>
      <w:tr w:rsidR="007535E5" w:rsidRPr="007535E5" w:rsidTr="00AB7700">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 </w:t>
            </w:r>
          </w:p>
        </w:tc>
        <w:tc>
          <w:tcPr>
            <w:tcW w:w="51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75"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8"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7"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c>
          <w:tcPr>
            <w:tcW w:w="431"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Actual</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4 hr forecast</w:t>
            </w:r>
          </w:p>
        </w:tc>
        <w:tc>
          <w:tcPr>
            <w:tcW w:w="502" w:type="pct"/>
            <w:tcBorders>
              <w:bottom w:val="nil"/>
            </w:tcBorders>
            <w:shd w:val="clear" w:color="auto" w:fill="007192" w:themeFill="accent3" w:themeFillShade="BF"/>
            <w:hideMark/>
          </w:tcPr>
          <w:p w:rsidR="007535E5" w:rsidRPr="007535E5" w:rsidRDefault="007535E5" w:rsidP="002529A1">
            <w:pPr>
              <w:spacing w:before="0"/>
              <w:jc w:val="center"/>
              <w:rPr>
                <w:rFonts w:cs="Arial"/>
                <w:b w:val="0"/>
                <w:sz w:val="20"/>
                <w:szCs w:val="20"/>
              </w:rPr>
            </w:pPr>
            <w:r w:rsidRPr="007535E5">
              <w:rPr>
                <w:rFonts w:cs="Arial"/>
                <w:b w:val="0"/>
                <w:sz w:val="20"/>
                <w:szCs w:val="20"/>
              </w:rPr>
              <w:t>12 hr forecast</w:t>
            </w:r>
          </w:p>
        </w:tc>
      </w:tr>
      <w:tr w:rsidR="00CF5CD3" w:rsidRPr="00212020" w:rsidTr="00AB7700">
        <w:trPr>
          <w:trHeight w:val="510"/>
        </w:trPr>
        <w:tc>
          <w:tcPr>
            <w:tcW w:w="531"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b/>
                <w:bCs/>
                <w:sz w:val="18"/>
                <w:szCs w:val="18"/>
              </w:rPr>
              <w:t>7.30 pm</w:t>
            </w:r>
          </w:p>
        </w:tc>
        <w:tc>
          <w:tcPr>
            <w:tcW w:w="511"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288.60</w:t>
            </w:r>
          </w:p>
        </w:tc>
        <w:tc>
          <w:tcPr>
            <w:tcW w:w="502"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360.81</w:t>
            </w:r>
          </w:p>
        </w:tc>
        <w:tc>
          <w:tcPr>
            <w:tcW w:w="575"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12 301.30</w:t>
            </w:r>
          </w:p>
        </w:tc>
        <w:tc>
          <w:tcPr>
            <w:tcW w:w="431"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2103</w:t>
            </w:r>
          </w:p>
        </w:tc>
        <w:tc>
          <w:tcPr>
            <w:tcW w:w="508"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2096</w:t>
            </w:r>
          </w:p>
        </w:tc>
        <w:tc>
          <w:tcPr>
            <w:tcW w:w="507"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2151</w:t>
            </w:r>
          </w:p>
        </w:tc>
        <w:tc>
          <w:tcPr>
            <w:tcW w:w="431"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2082</w:t>
            </w:r>
          </w:p>
        </w:tc>
        <w:tc>
          <w:tcPr>
            <w:tcW w:w="502"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2146</w:t>
            </w:r>
          </w:p>
        </w:tc>
        <w:tc>
          <w:tcPr>
            <w:tcW w:w="502" w:type="pct"/>
            <w:tcBorders>
              <w:top w:val="nil"/>
              <w:bottom w:val="nil"/>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2145</w:t>
            </w:r>
          </w:p>
        </w:tc>
      </w:tr>
      <w:tr w:rsidR="00CF5CD3" w:rsidRPr="00212020" w:rsidTr="00AB7700">
        <w:trPr>
          <w:cnfStyle w:val="000000010000" w:firstRow="0" w:lastRow="0" w:firstColumn="0" w:lastColumn="0" w:oddVBand="0" w:evenVBand="0" w:oddHBand="0" w:evenHBand="1" w:firstRowFirstColumn="0" w:firstRowLastColumn="0" w:lastRowFirstColumn="0" w:lastRowLastColumn="0"/>
          <w:trHeight w:val="510"/>
        </w:trPr>
        <w:tc>
          <w:tcPr>
            <w:tcW w:w="531" w:type="pct"/>
            <w:tcBorders>
              <w:top w:val="nil"/>
              <w:bottom w:val="single" w:sz="4" w:space="0" w:color="auto"/>
            </w:tcBorders>
            <w:vAlign w:val="center"/>
          </w:tcPr>
          <w:p w:rsidR="00CF5CD3" w:rsidRPr="00212020" w:rsidRDefault="002B20CE">
            <w:pPr>
              <w:pStyle w:val="NormalWeb"/>
              <w:jc w:val="center"/>
              <w:rPr>
                <w:rFonts w:asciiTheme="minorHAnsi" w:hAnsiTheme="minorHAnsi" w:cstheme="minorHAnsi"/>
                <w:sz w:val="18"/>
                <w:szCs w:val="18"/>
              </w:rPr>
            </w:pPr>
            <w:r w:rsidRPr="00212020">
              <w:rPr>
                <w:rFonts w:asciiTheme="minorHAnsi" w:hAnsiTheme="minorHAnsi" w:cstheme="minorHAnsi"/>
                <w:b/>
                <w:bCs/>
                <w:sz w:val="18"/>
                <w:szCs w:val="18"/>
              </w:rPr>
              <w:t>8</w:t>
            </w:r>
            <w:r w:rsidR="00CF5CD3" w:rsidRPr="00212020">
              <w:rPr>
                <w:rFonts w:asciiTheme="minorHAnsi" w:hAnsiTheme="minorHAnsi" w:cstheme="minorHAnsi"/>
                <w:b/>
                <w:bCs/>
                <w:sz w:val="18"/>
                <w:szCs w:val="18"/>
              </w:rPr>
              <w:t xml:space="preserve"> pm</w:t>
            </w:r>
          </w:p>
        </w:tc>
        <w:tc>
          <w:tcPr>
            <w:tcW w:w="511"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268.16</w:t>
            </w:r>
          </w:p>
        </w:tc>
        <w:tc>
          <w:tcPr>
            <w:tcW w:w="502"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360.81</w:t>
            </w:r>
          </w:p>
        </w:tc>
        <w:tc>
          <w:tcPr>
            <w:tcW w:w="575"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10 750.20</w:t>
            </w:r>
          </w:p>
        </w:tc>
        <w:tc>
          <w:tcPr>
            <w:tcW w:w="431"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2099</w:t>
            </w:r>
          </w:p>
        </w:tc>
        <w:tc>
          <w:tcPr>
            <w:tcW w:w="508"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2071</w:t>
            </w:r>
          </w:p>
        </w:tc>
        <w:tc>
          <w:tcPr>
            <w:tcW w:w="507"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2113</w:t>
            </w:r>
          </w:p>
        </w:tc>
        <w:tc>
          <w:tcPr>
            <w:tcW w:w="431"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2081</w:t>
            </w:r>
          </w:p>
        </w:tc>
        <w:tc>
          <w:tcPr>
            <w:tcW w:w="502"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2128</w:t>
            </w:r>
          </w:p>
        </w:tc>
        <w:tc>
          <w:tcPr>
            <w:tcW w:w="502" w:type="pct"/>
            <w:tcBorders>
              <w:top w:val="nil"/>
              <w:bottom w:val="single" w:sz="4" w:space="0" w:color="auto"/>
            </w:tcBorders>
            <w:vAlign w:val="center"/>
          </w:tcPr>
          <w:p w:rsidR="00CF5CD3" w:rsidRPr="00212020" w:rsidRDefault="00CF5CD3">
            <w:pPr>
              <w:pStyle w:val="NormalWeb"/>
              <w:jc w:val="center"/>
              <w:rPr>
                <w:rFonts w:asciiTheme="minorHAnsi" w:hAnsiTheme="minorHAnsi" w:cstheme="minorHAnsi"/>
                <w:sz w:val="18"/>
                <w:szCs w:val="18"/>
              </w:rPr>
            </w:pPr>
            <w:r w:rsidRPr="00212020">
              <w:rPr>
                <w:rFonts w:asciiTheme="minorHAnsi" w:hAnsiTheme="minorHAnsi" w:cstheme="minorHAnsi"/>
                <w:sz w:val="18"/>
                <w:szCs w:val="18"/>
              </w:rPr>
              <w:t>2144</w:t>
            </w:r>
          </w:p>
        </w:tc>
      </w:tr>
    </w:tbl>
    <w:p w:rsidR="00043651" w:rsidRDefault="006852EA" w:rsidP="005F7247">
      <w:pPr>
        <w:jc w:val="both"/>
        <w:rPr>
          <w:rFonts w:cs="Arial"/>
        </w:rPr>
      </w:pPr>
      <w:r>
        <w:rPr>
          <w:rFonts w:cs="Arial"/>
        </w:rPr>
        <w:t>P</w:t>
      </w:r>
      <w:r w:rsidR="0068409C">
        <w:rPr>
          <w:rFonts w:cs="Arial"/>
        </w:rPr>
        <w:t xml:space="preserve">rices were </w:t>
      </w:r>
      <w:r w:rsidR="006D2EBC">
        <w:rPr>
          <w:rFonts w:cs="Arial"/>
        </w:rPr>
        <w:t xml:space="preserve">around </w:t>
      </w:r>
      <w:r w:rsidR="0068409C">
        <w:rPr>
          <w:rFonts w:cs="Arial"/>
        </w:rPr>
        <w:t>$70</w:t>
      </w:r>
      <w:r w:rsidR="006B7CE0">
        <w:rPr>
          <w:rFonts w:cs="Arial"/>
        </w:rPr>
        <w:t>/MWh</w:t>
      </w:r>
      <w:r w:rsidR="0068409C">
        <w:rPr>
          <w:rFonts w:cs="Arial"/>
        </w:rPr>
        <w:t xml:space="preserve"> below forecasts </w:t>
      </w:r>
      <w:r w:rsidR="006B7CE0">
        <w:rPr>
          <w:rFonts w:cs="Arial"/>
        </w:rPr>
        <w:t>four</w:t>
      </w:r>
      <w:r w:rsidR="0068409C">
        <w:rPr>
          <w:rFonts w:cs="Arial"/>
        </w:rPr>
        <w:t xml:space="preserve"> hours ahead</w:t>
      </w:r>
      <w:r w:rsidR="006D2EBC">
        <w:rPr>
          <w:rFonts w:cs="Arial"/>
        </w:rPr>
        <w:t xml:space="preserve"> and significantly below that forecast 12 hours ahead</w:t>
      </w:r>
      <w:r w:rsidR="0068409C">
        <w:rPr>
          <w:rFonts w:cs="Arial"/>
        </w:rPr>
        <w:t>. D</w:t>
      </w:r>
      <w:r w:rsidR="00FA6FC9">
        <w:rPr>
          <w:rFonts w:cs="Arial"/>
        </w:rPr>
        <w:t xml:space="preserve">emand </w:t>
      </w:r>
      <w:r>
        <w:rPr>
          <w:rFonts w:cs="Arial"/>
        </w:rPr>
        <w:t>and available capacity were</w:t>
      </w:r>
      <w:r w:rsidR="00FA6FC9">
        <w:rPr>
          <w:rFonts w:cs="Arial"/>
        </w:rPr>
        <w:t xml:space="preserve"> close to forecast four </w:t>
      </w:r>
      <w:r>
        <w:rPr>
          <w:rFonts w:cs="Arial"/>
        </w:rPr>
        <w:t xml:space="preserve">and 12 hours </w:t>
      </w:r>
      <w:r w:rsidR="00FA6FC9">
        <w:rPr>
          <w:rFonts w:cs="Arial"/>
        </w:rPr>
        <w:t>ahead</w:t>
      </w:r>
      <w:r>
        <w:rPr>
          <w:rFonts w:cs="Arial"/>
        </w:rPr>
        <w:t>.</w:t>
      </w:r>
      <w:r w:rsidR="00FA6FC9">
        <w:rPr>
          <w:rFonts w:cs="Arial"/>
        </w:rPr>
        <w:t xml:space="preserve"> </w:t>
      </w:r>
      <w:r w:rsidR="002B20CE">
        <w:rPr>
          <w:rFonts w:cs="Arial"/>
        </w:rPr>
        <w:t>Flows on the M</w:t>
      </w:r>
      <w:r w:rsidR="00CF760F">
        <w:rPr>
          <w:rFonts w:cs="Arial"/>
        </w:rPr>
        <w:t>urraylink interconnector</w:t>
      </w:r>
      <w:r w:rsidR="002B20CE">
        <w:rPr>
          <w:rFonts w:cs="Arial"/>
        </w:rPr>
        <w:t xml:space="preserve"> were close to forecast four hours ahead whilst Heywood was approximately 30</w:t>
      </w:r>
      <w:r w:rsidR="006B7CE0">
        <w:rPr>
          <w:rFonts w:cs="Arial"/>
        </w:rPr>
        <w:t> </w:t>
      </w:r>
      <w:r w:rsidR="002B20CE">
        <w:rPr>
          <w:rFonts w:cs="Arial"/>
        </w:rPr>
        <w:t xml:space="preserve">MW above the forecast. </w:t>
      </w:r>
      <w:r w:rsidR="00CF760F">
        <w:rPr>
          <w:rFonts w:cs="Arial"/>
        </w:rPr>
        <w:t xml:space="preserve"> </w:t>
      </w:r>
    </w:p>
    <w:p w:rsidR="006852EA" w:rsidRDefault="0097009A" w:rsidP="005F7247">
      <w:pPr>
        <w:jc w:val="both"/>
        <w:rPr>
          <w:rFonts w:cs="Arial"/>
        </w:rPr>
      </w:pPr>
      <w:r>
        <w:rPr>
          <w:rFonts w:cs="Arial"/>
        </w:rPr>
        <w:t xml:space="preserve">With a steep supply curve small changes in demand, available capacity, rebidding and imports can lead to large changes in prices. Within 12 hours of dispatch there was around 170 MW of capacity rebid from high to low prices by South Australian participants which saw the forecast price fall to around $290/MWh by 7 pm. The dispatch prices for the 7.30 pm and 8 pm trading intervals were all around $300/MWh except for 7.40 pm when there was a small decrease in demand and further capacity was rebid into low prices. </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000C83">
        <w:t xml:space="preserve">Figure </w:t>
      </w:r>
      <w:r w:rsidR="00000C83">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E15E82" w:rsidRDefault="00275002" w:rsidP="00DC1064">
      <w:pPr>
        <w:pStyle w:val="Caption"/>
        <w:spacing w:before="120" w:after="0" w:line="240" w:lineRule="auto"/>
        <w:rPr>
          <w:noProof/>
          <w:lang w:eastAsia="en-AU"/>
        </w:rPr>
      </w:pPr>
      <w:bookmarkStart w:id="20" w:name="_Ref410386540"/>
      <w:r>
        <w:t xml:space="preserve">Figure </w:t>
      </w:r>
      <w:r w:rsidR="00000C83">
        <w:fldChar w:fldCharType="begin"/>
      </w:r>
      <w:r w:rsidR="00000C83">
        <w:instrText xml:space="preserve"> SEQ Figure \* ARABIC </w:instrText>
      </w:r>
      <w:r w:rsidR="00000C83">
        <w:fldChar w:fldCharType="separate"/>
      </w:r>
      <w:r w:rsidR="00000C83">
        <w:rPr>
          <w:noProof/>
        </w:rPr>
        <w:t>9</w:t>
      </w:r>
      <w:r w:rsidR="00000C83">
        <w:rPr>
          <w:noProof/>
        </w:rPr>
        <w:fldChar w:fldCharType="end"/>
      </w:r>
      <w:bookmarkEnd w:id="20"/>
      <w:r>
        <w:t xml:space="preserve">: </w:t>
      </w:r>
      <w:r w:rsidRPr="007A6ACB">
        <w:t>Quarterly base future prices Q</w:t>
      </w:r>
      <w:r w:rsidR="003A01C6">
        <w:t>3</w:t>
      </w:r>
      <w:r w:rsidRPr="007A6ACB">
        <w:t xml:space="preserve"> 2015 – Q</w:t>
      </w:r>
      <w:r w:rsidR="003A01C6">
        <w:t>2</w:t>
      </w:r>
      <w:r w:rsidRPr="007A6ACB">
        <w:t xml:space="preserve"> 201</w:t>
      </w:r>
      <w:r w:rsidR="00F87EBA">
        <w:t>9</w:t>
      </w:r>
      <w:r w:rsidR="00E47EAD" w:rsidRPr="00E47EAD">
        <w:rPr>
          <w:b w:val="0"/>
          <w:bCs w:val="0"/>
          <w:noProof/>
          <w:lang w:eastAsia="en-AU"/>
        </w:rPr>
        <w:t xml:space="preserve"> </w:t>
      </w:r>
    </w:p>
    <w:p w:rsidR="00E15E82" w:rsidRDefault="00E15E82" w:rsidP="00DC1064">
      <w:pPr>
        <w:pStyle w:val="Caption"/>
        <w:spacing w:before="0" w:line="240" w:lineRule="auto"/>
        <w:rPr>
          <w:noProof/>
          <w:lang w:eastAsia="en-AU"/>
        </w:rPr>
      </w:pPr>
      <w:r w:rsidRPr="00E15E82">
        <w:rPr>
          <w:noProof/>
          <w:lang w:eastAsia="en-AU"/>
        </w:rPr>
        <w:drawing>
          <wp:inline distT="0" distB="0" distL="0" distR="0" wp14:anchorId="20399D8D" wp14:editId="5D5DF41A">
            <wp:extent cx="5731510" cy="2884155"/>
            <wp:effectExtent l="0" t="0" r="2540" b="0"/>
            <wp:docPr id="27" name="Picture 27" descr="Figure 9 shows for all mainland regions the prices for base contracts (and total traded quantities for the week) for each quarter for the next four financial years.     &#10;" title="Figure 9: Quarterly base future prices Q3 2015 – Q2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4155"/>
                    </a:xfrm>
                    <a:prstGeom prst="rect">
                      <a:avLst/>
                    </a:prstGeom>
                    <a:noFill/>
                    <a:ln>
                      <a:noFill/>
                    </a:ln>
                  </pic:spPr>
                </pic:pic>
              </a:graphicData>
            </a:graphic>
          </wp:inline>
        </w:drawing>
      </w:r>
    </w:p>
    <w:p w:rsidR="00275002" w:rsidRPr="00A64EBB" w:rsidRDefault="00275002" w:rsidP="00DC1064">
      <w:pPr>
        <w:pStyle w:val="Caption"/>
        <w:spacing w:before="0" w:line="240" w:lineRule="auto"/>
        <w:rPr>
          <w:b w:val="0"/>
          <w:bCs w:val="0"/>
          <w:color w:val="auto"/>
        </w:rPr>
      </w:pPr>
      <w:r w:rsidRPr="00A64EBB">
        <w:rPr>
          <w:b w:val="0"/>
          <w:bCs w:val="0"/>
          <w:color w:val="auto"/>
          <w:sz w:val="16"/>
          <w:szCs w:val="16"/>
        </w:rPr>
        <w:t xml:space="preserve">Source: </w:t>
      </w:r>
      <w:hyperlink r:id="rId21"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000C83">
        <w:t xml:space="preserve">Figure </w:t>
      </w:r>
      <w:r w:rsidR="00000C83">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F37575">
      <w:pPr>
        <w:pStyle w:val="Caption"/>
        <w:spacing w:before="200" w:line="240" w:lineRule="auto"/>
      </w:pPr>
      <w:bookmarkStart w:id="21" w:name="_Ref410380382"/>
      <w:r>
        <w:t xml:space="preserve">Figure </w:t>
      </w:r>
      <w:r w:rsidR="00000C83">
        <w:fldChar w:fldCharType="begin"/>
      </w:r>
      <w:r w:rsidR="00000C83">
        <w:instrText xml:space="preserve"> SEQ Figure \* ARABIC </w:instrText>
      </w:r>
      <w:r w:rsidR="00000C83">
        <w:fldChar w:fldCharType="separate"/>
      </w:r>
      <w:r w:rsidR="00000C83">
        <w:rPr>
          <w:noProof/>
        </w:rPr>
        <w:t>10</w:t>
      </w:r>
      <w:r w:rsidR="00000C83">
        <w:rPr>
          <w:noProof/>
        </w:rPr>
        <w:fldChar w:fldCharType="end"/>
      </w:r>
      <w:bookmarkEnd w:id="21"/>
      <w:r w:rsidRPr="00DF093A">
        <w:t>: Price of Q1 201</w:t>
      </w:r>
      <w:r w:rsidR="00F87EBA">
        <w:t>6</w:t>
      </w:r>
      <w:r w:rsidRPr="00DF093A">
        <w:t xml:space="preserve"> base contracts over the past 10 weeks (and the past 2 years)</w:t>
      </w:r>
    </w:p>
    <w:p w:rsidR="00275002" w:rsidRPr="0031019A" w:rsidRDefault="006B7CE0" w:rsidP="000A5EA0">
      <w:pPr>
        <w:spacing w:before="0" w:after="120" w:line="240" w:lineRule="auto"/>
      </w:pPr>
      <w:r w:rsidRPr="006B7CE0">
        <w:rPr>
          <w:noProof/>
          <w:lang w:eastAsia="en-AU"/>
        </w:rPr>
        <w:drawing>
          <wp:inline distT="0" distB="0" distL="0" distR="0" wp14:anchorId="15ED9DE9" wp14:editId="57CFBCB3">
            <wp:extent cx="5731510" cy="2896942"/>
            <wp:effectExtent l="0" t="0" r="2540" b="0"/>
            <wp:docPr id="2" name="Picture 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0A5EA0">
      <w:pPr>
        <w:pStyle w:val="Source"/>
        <w:spacing w:before="0" w:after="120" w:line="240" w:lineRule="auto"/>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0A5EA0">
      <w:pPr>
        <w:pStyle w:val="Source"/>
        <w:spacing w:before="0" w:after="120" w:line="240" w:lineRule="auto"/>
      </w:pPr>
      <w:r w:rsidRPr="002A7439">
        <w:t xml:space="preserve">Source: </w:t>
      </w:r>
      <w:hyperlink r:id="rId23" w:history="1">
        <w:r w:rsidRPr="002A7439">
          <w:rPr>
            <w:rStyle w:val="Hyperlink"/>
            <w:color w:val="auto"/>
            <w:sz w:val="16"/>
            <w:u w:val="none"/>
          </w:rPr>
          <w:t>ASXEnergy.com.au</w:t>
        </w:r>
      </w:hyperlink>
    </w:p>
    <w:p w:rsidR="00275002" w:rsidRDefault="00275002" w:rsidP="00DA3817">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r w:rsidR="00DA3817">
        <w:t xml:space="preserve"> </w:t>
      </w:r>
      <w:r w:rsidR="00DA3817">
        <w:fldChar w:fldCharType="begin"/>
      </w:r>
      <w:r w:rsidR="00DA3817">
        <w:instrText xml:space="preserve"> REF _Ref423438788 \h </w:instrText>
      </w:r>
      <w:r w:rsidR="00DA3817">
        <w:fldChar w:fldCharType="separate"/>
      </w:r>
      <w:r w:rsidR="00000C83">
        <w:t xml:space="preserve">Figure </w:t>
      </w:r>
      <w:r w:rsidR="00000C83">
        <w:rPr>
          <w:noProof/>
        </w:rPr>
        <w:t>11</w:t>
      </w:r>
      <w:r w:rsidR="00DA3817">
        <w:fldChar w:fldCharType="end"/>
      </w:r>
      <w:r w:rsidR="00DA3817">
        <w:t xml:space="preserve"> </w:t>
      </w:r>
      <w:r w:rsidRPr="0031019A">
        <w:t>shows how the price for each regional Quarter 1 201</w:t>
      </w:r>
      <w:r w:rsidR="00F87EBA">
        <w:t>6</w:t>
      </w:r>
      <w:r w:rsidRPr="0031019A">
        <w:t xml:space="preserve"> cap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w:t>
      </w:r>
    </w:p>
    <w:p w:rsidR="00275002" w:rsidRDefault="00275002" w:rsidP="00F37575">
      <w:pPr>
        <w:pStyle w:val="Caption"/>
        <w:spacing w:before="200" w:line="240" w:lineRule="auto"/>
      </w:pPr>
      <w:bookmarkStart w:id="22" w:name="_Ref423438788"/>
      <w:bookmarkStart w:id="23" w:name="_Ref410744936"/>
      <w:r>
        <w:t xml:space="preserve">Figure </w:t>
      </w:r>
      <w:r w:rsidR="00000C83">
        <w:fldChar w:fldCharType="begin"/>
      </w:r>
      <w:r w:rsidR="00000C83">
        <w:instrText xml:space="preserve"> SEQ Figure \* ARABIC </w:instrText>
      </w:r>
      <w:r w:rsidR="00000C83">
        <w:fldChar w:fldCharType="separate"/>
      </w:r>
      <w:r w:rsidR="00000C83">
        <w:rPr>
          <w:noProof/>
        </w:rPr>
        <w:t>11</w:t>
      </w:r>
      <w:r w:rsidR="00000C83">
        <w:rPr>
          <w:noProof/>
        </w:rPr>
        <w:fldChar w:fldCharType="end"/>
      </w:r>
      <w:bookmarkEnd w:id="22"/>
      <w:r w:rsidRPr="0074419D">
        <w:t>: Price of Q1 201</w:t>
      </w:r>
      <w:r w:rsidR="00F87EBA">
        <w:t>6</w:t>
      </w:r>
      <w:r w:rsidRPr="0074419D">
        <w:t xml:space="preserve"> cap contracts over the past 10 weeks (and the past 2 years)</w:t>
      </w:r>
      <w:bookmarkEnd w:id="23"/>
    </w:p>
    <w:p w:rsidR="00275002" w:rsidRPr="0031019A" w:rsidRDefault="00F04BDA" w:rsidP="000A5EA0">
      <w:pPr>
        <w:spacing w:before="0" w:after="120" w:line="240" w:lineRule="auto"/>
      </w:pPr>
      <w:r w:rsidRPr="00F04BDA">
        <w:rPr>
          <w:noProof/>
          <w:lang w:eastAsia="en-AU"/>
        </w:rPr>
        <w:drawing>
          <wp:inline distT="0" distB="0" distL="0" distR="0" wp14:anchorId="1BF6DFCE" wp14:editId="68F498FB">
            <wp:extent cx="5731510" cy="2872627"/>
            <wp:effectExtent l="0" t="0" r="2540" b="4445"/>
            <wp:docPr id="29" name="Picture 29" descr="Figure 11 shows how the price for each regional Quarter 1 2016 cap contract has changed over the last 10 weeks (as well as the total number of trades each week). The closing quarter 1 2014 and quarter 1 2015 prices are also shown.       &#10;"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0A5EA0">
      <w:pPr>
        <w:pStyle w:val="Source"/>
        <w:spacing w:before="0" w:after="120" w:line="240" w:lineRule="auto"/>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4E7D10" w:rsidRPr="0031019A" w:rsidRDefault="00F04BDA" w:rsidP="000A5EA0">
      <w:pPr>
        <w:pStyle w:val="Heading4notnumbered"/>
      </w:pPr>
      <w:r>
        <w:t>August</w:t>
      </w:r>
      <w:r w:rsidR="004D5447" w:rsidRPr="0031019A">
        <w:t xml:space="preserve"> </w:t>
      </w:r>
      <w:r w:rsidR="00275002" w:rsidRPr="0031019A">
        <w:t>2015</w:t>
      </w:r>
    </w:p>
    <w:sectPr w:rsidR="004E7D10" w:rsidRPr="0031019A" w:rsidSect="000A5EA0">
      <w:footerReference w:type="even" r:id="rId27"/>
      <w:footerReference w:type="default" r:id="rId28"/>
      <w:footerReference w:type="first" r:id="rId29"/>
      <w:pgSz w:w="11906" w:h="16838"/>
      <w:pgMar w:top="993" w:right="1440" w:bottom="993"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6D" w:rsidRDefault="0004076D" w:rsidP="004B4412">
      <w:pPr>
        <w:spacing w:before="0"/>
      </w:pPr>
      <w:r>
        <w:separator/>
      </w:r>
    </w:p>
  </w:endnote>
  <w:endnote w:type="continuationSeparator" w:id="0">
    <w:p w:rsidR="0004076D" w:rsidRDefault="0004076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6D" w:rsidRPr="00A91A9E" w:rsidRDefault="0004076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4076D" w:rsidRDefault="0004076D"/>
  <w:p w:rsidR="0004076D" w:rsidRDefault="00040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6D" w:rsidRPr="00A94D89" w:rsidRDefault="0004076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00C83">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6D" w:rsidRPr="00A94D89" w:rsidRDefault="0004076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00C83">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109716</w:t>
    </w:r>
  </w:p>
  <w:p w:rsidR="0004076D" w:rsidRDefault="000407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6D" w:rsidRDefault="0004076D" w:rsidP="004B4412">
      <w:pPr>
        <w:spacing w:before="0"/>
      </w:pPr>
      <w:r>
        <w:separator/>
      </w:r>
    </w:p>
  </w:footnote>
  <w:footnote w:type="continuationSeparator" w:id="0">
    <w:p w:rsidR="0004076D" w:rsidRDefault="0004076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0719 - 20150725 electricity weekly report.docx"/>
  </w:docVars>
  <w:rsids>
    <w:rsidRoot w:val="00275002"/>
    <w:rsid w:val="00000C83"/>
    <w:rsid w:val="00005B4A"/>
    <w:rsid w:val="000070A3"/>
    <w:rsid w:val="000139C8"/>
    <w:rsid w:val="000147C1"/>
    <w:rsid w:val="00021202"/>
    <w:rsid w:val="00022F09"/>
    <w:rsid w:val="000242E7"/>
    <w:rsid w:val="000316E7"/>
    <w:rsid w:val="00031732"/>
    <w:rsid w:val="0003578C"/>
    <w:rsid w:val="0004076D"/>
    <w:rsid w:val="00043651"/>
    <w:rsid w:val="00043FA7"/>
    <w:rsid w:val="00051880"/>
    <w:rsid w:val="000528FD"/>
    <w:rsid w:val="00061CE2"/>
    <w:rsid w:val="00063247"/>
    <w:rsid w:val="00066157"/>
    <w:rsid w:val="00070B5A"/>
    <w:rsid w:val="00070F9F"/>
    <w:rsid w:val="0007137B"/>
    <w:rsid w:val="000766E2"/>
    <w:rsid w:val="0008157E"/>
    <w:rsid w:val="00085663"/>
    <w:rsid w:val="00085EBF"/>
    <w:rsid w:val="00086CF3"/>
    <w:rsid w:val="00092DF6"/>
    <w:rsid w:val="0009584C"/>
    <w:rsid w:val="00097B4D"/>
    <w:rsid w:val="000A130D"/>
    <w:rsid w:val="000A29ED"/>
    <w:rsid w:val="000A5EA0"/>
    <w:rsid w:val="000B0311"/>
    <w:rsid w:val="000C44EA"/>
    <w:rsid w:val="000D122C"/>
    <w:rsid w:val="000D68C5"/>
    <w:rsid w:val="000E04C1"/>
    <w:rsid w:val="000E1819"/>
    <w:rsid w:val="000E2946"/>
    <w:rsid w:val="000E6C72"/>
    <w:rsid w:val="000E77BB"/>
    <w:rsid w:val="000E7E24"/>
    <w:rsid w:val="000F5855"/>
    <w:rsid w:val="00107A35"/>
    <w:rsid w:val="001158FE"/>
    <w:rsid w:val="00116EB2"/>
    <w:rsid w:val="001237E1"/>
    <w:rsid w:val="00124609"/>
    <w:rsid w:val="00127CAB"/>
    <w:rsid w:val="0013053B"/>
    <w:rsid w:val="00136A08"/>
    <w:rsid w:val="001373F1"/>
    <w:rsid w:val="00143FE9"/>
    <w:rsid w:val="0014511E"/>
    <w:rsid w:val="00146EEA"/>
    <w:rsid w:val="00155113"/>
    <w:rsid w:val="001573E4"/>
    <w:rsid w:val="00160756"/>
    <w:rsid w:val="001607A4"/>
    <w:rsid w:val="001711CC"/>
    <w:rsid w:val="0017232E"/>
    <w:rsid w:val="00174102"/>
    <w:rsid w:val="00176E88"/>
    <w:rsid w:val="00180157"/>
    <w:rsid w:val="00184401"/>
    <w:rsid w:val="00186F77"/>
    <w:rsid w:val="00191C6F"/>
    <w:rsid w:val="00192441"/>
    <w:rsid w:val="001926A4"/>
    <w:rsid w:val="00192AB9"/>
    <w:rsid w:val="00193ED7"/>
    <w:rsid w:val="001A33E6"/>
    <w:rsid w:val="001A7443"/>
    <w:rsid w:val="001B0C3B"/>
    <w:rsid w:val="001B2BCA"/>
    <w:rsid w:val="001B2F1B"/>
    <w:rsid w:val="001B45A0"/>
    <w:rsid w:val="001B6856"/>
    <w:rsid w:val="001B6C15"/>
    <w:rsid w:val="001C0270"/>
    <w:rsid w:val="001C17B3"/>
    <w:rsid w:val="001C1BC0"/>
    <w:rsid w:val="001C5AA9"/>
    <w:rsid w:val="001D055E"/>
    <w:rsid w:val="001D0CE3"/>
    <w:rsid w:val="001D5326"/>
    <w:rsid w:val="001E01B4"/>
    <w:rsid w:val="001E5AEE"/>
    <w:rsid w:val="001F03EF"/>
    <w:rsid w:val="001F0EC9"/>
    <w:rsid w:val="001F1B78"/>
    <w:rsid w:val="001F492E"/>
    <w:rsid w:val="001F6DA3"/>
    <w:rsid w:val="00200EC7"/>
    <w:rsid w:val="0020489F"/>
    <w:rsid w:val="002050F5"/>
    <w:rsid w:val="002072A2"/>
    <w:rsid w:val="00212020"/>
    <w:rsid w:val="00214FBA"/>
    <w:rsid w:val="00216865"/>
    <w:rsid w:val="002210D5"/>
    <w:rsid w:val="00224DB9"/>
    <w:rsid w:val="00227C97"/>
    <w:rsid w:val="00242A53"/>
    <w:rsid w:val="00251745"/>
    <w:rsid w:val="00251C37"/>
    <w:rsid w:val="002529A1"/>
    <w:rsid w:val="00262F65"/>
    <w:rsid w:val="00263AC0"/>
    <w:rsid w:val="002649D2"/>
    <w:rsid w:val="002649D8"/>
    <w:rsid w:val="00265486"/>
    <w:rsid w:val="0026772D"/>
    <w:rsid w:val="00275002"/>
    <w:rsid w:val="00285936"/>
    <w:rsid w:val="00286874"/>
    <w:rsid w:val="0029246F"/>
    <w:rsid w:val="00292D47"/>
    <w:rsid w:val="00296B65"/>
    <w:rsid w:val="002A7439"/>
    <w:rsid w:val="002A7DEF"/>
    <w:rsid w:val="002B0DAE"/>
    <w:rsid w:val="002B1F9C"/>
    <w:rsid w:val="002B20CE"/>
    <w:rsid w:val="002B4565"/>
    <w:rsid w:val="002D1C45"/>
    <w:rsid w:val="002D484E"/>
    <w:rsid w:val="002E0650"/>
    <w:rsid w:val="002E6254"/>
    <w:rsid w:val="002F7986"/>
    <w:rsid w:val="0030022F"/>
    <w:rsid w:val="003061FA"/>
    <w:rsid w:val="00307F6D"/>
    <w:rsid w:val="003113CF"/>
    <w:rsid w:val="003153D8"/>
    <w:rsid w:val="003177A2"/>
    <w:rsid w:val="00321853"/>
    <w:rsid w:val="003271B5"/>
    <w:rsid w:val="00331264"/>
    <w:rsid w:val="00334C8D"/>
    <w:rsid w:val="00336D50"/>
    <w:rsid w:val="00341169"/>
    <w:rsid w:val="003425D3"/>
    <w:rsid w:val="00342F02"/>
    <w:rsid w:val="003518B3"/>
    <w:rsid w:val="00352DA8"/>
    <w:rsid w:val="00354887"/>
    <w:rsid w:val="00354C0D"/>
    <w:rsid w:val="00371F3A"/>
    <w:rsid w:val="00383B8E"/>
    <w:rsid w:val="003846F1"/>
    <w:rsid w:val="00384A55"/>
    <w:rsid w:val="00384B54"/>
    <w:rsid w:val="003A01C6"/>
    <w:rsid w:val="003A0810"/>
    <w:rsid w:val="003A3E2D"/>
    <w:rsid w:val="003A41E0"/>
    <w:rsid w:val="003B6F90"/>
    <w:rsid w:val="003C2913"/>
    <w:rsid w:val="003C2B22"/>
    <w:rsid w:val="003C3C98"/>
    <w:rsid w:val="003C62E9"/>
    <w:rsid w:val="003C7EFA"/>
    <w:rsid w:val="003D6F2E"/>
    <w:rsid w:val="003E7D3B"/>
    <w:rsid w:val="003F0289"/>
    <w:rsid w:val="003F75C8"/>
    <w:rsid w:val="00402D7E"/>
    <w:rsid w:val="00403473"/>
    <w:rsid w:val="00411897"/>
    <w:rsid w:val="00414425"/>
    <w:rsid w:val="00414488"/>
    <w:rsid w:val="00415788"/>
    <w:rsid w:val="00416641"/>
    <w:rsid w:val="00421AE4"/>
    <w:rsid w:val="004252C0"/>
    <w:rsid w:val="0046788B"/>
    <w:rsid w:val="00471E68"/>
    <w:rsid w:val="00480B4B"/>
    <w:rsid w:val="004831F8"/>
    <w:rsid w:val="00485DC4"/>
    <w:rsid w:val="00492A06"/>
    <w:rsid w:val="00493B02"/>
    <w:rsid w:val="004943E0"/>
    <w:rsid w:val="004B104F"/>
    <w:rsid w:val="004B3BE3"/>
    <w:rsid w:val="004B4412"/>
    <w:rsid w:val="004B7A31"/>
    <w:rsid w:val="004C31CE"/>
    <w:rsid w:val="004C348C"/>
    <w:rsid w:val="004C63B9"/>
    <w:rsid w:val="004C67EE"/>
    <w:rsid w:val="004C6C5B"/>
    <w:rsid w:val="004D5447"/>
    <w:rsid w:val="004D55BA"/>
    <w:rsid w:val="004E1E95"/>
    <w:rsid w:val="004E34E7"/>
    <w:rsid w:val="004E7D10"/>
    <w:rsid w:val="004F6ED0"/>
    <w:rsid w:val="00505B4F"/>
    <w:rsid w:val="005177C0"/>
    <w:rsid w:val="00522486"/>
    <w:rsid w:val="00522668"/>
    <w:rsid w:val="00522B6C"/>
    <w:rsid w:val="00530128"/>
    <w:rsid w:val="00532467"/>
    <w:rsid w:val="0053796C"/>
    <w:rsid w:val="00542D4F"/>
    <w:rsid w:val="00555667"/>
    <w:rsid w:val="00556B64"/>
    <w:rsid w:val="005575B9"/>
    <w:rsid w:val="00564A4D"/>
    <w:rsid w:val="00571680"/>
    <w:rsid w:val="00571B35"/>
    <w:rsid w:val="00575C43"/>
    <w:rsid w:val="00577A09"/>
    <w:rsid w:val="00584D5F"/>
    <w:rsid w:val="00584D8F"/>
    <w:rsid w:val="005920C1"/>
    <w:rsid w:val="00595ED0"/>
    <w:rsid w:val="005A1339"/>
    <w:rsid w:val="005A404D"/>
    <w:rsid w:val="005B0461"/>
    <w:rsid w:val="005B1E3C"/>
    <w:rsid w:val="005B7F8F"/>
    <w:rsid w:val="005C26CC"/>
    <w:rsid w:val="005C3411"/>
    <w:rsid w:val="005C5058"/>
    <w:rsid w:val="005C5E72"/>
    <w:rsid w:val="005D2FBD"/>
    <w:rsid w:val="005D69AF"/>
    <w:rsid w:val="005E2908"/>
    <w:rsid w:val="005E7E9B"/>
    <w:rsid w:val="005F6ADE"/>
    <w:rsid w:val="005F7247"/>
    <w:rsid w:val="00603914"/>
    <w:rsid w:val="00612006"/>
    <w:rsid w:val="00612377"/>
    <w:rsid w:val="00613DEC"/>
    <w:rsid w:val="006154E6"/>
    <w:rsid w:val="00615C6B"/>
    <w:rsid w:val="00620B1B"/>
    <w:rsid w:val="00621545"/>
    <w:rsid w:val="0062525D"/>
    <w:rsid w:val="00630A15"/>
    <w:rsid w:val="006319C1"/>
    <w:rsid w:val="00632D6D"/>
    <w:rsid w:val="00641F14"/>
    <w:rsid w:val="00642C3E"/>
    <w:rsid w:val="00647804"/>
    <w:rsid w:val="00651005"/>
    <w:rsid w:val="00661F88"/>
    <w:rsid w:val="00663DAD"/>
    <w:rsid w:val="00676679"/>
    <w:rsid w:val="006777D7"/>
    <w:rsid w:val="0068409C"/>
    <w:rsid w:val="006852EA"/>
    <w:rsid w:val="00694FD6"/>
    <w:rsid w:val="006A6D53"/>
    <w:rsid w:val="006A6EDD"/>
    <w:rsid w:val="006B4CF9"/>
    <w:rsid w:val="006B7AC8"/>
    <w:rsid w:val="006B7CE0"/>
    <w:rsid w:val="006C1E8B"/>
    <w:rsid w:val="006D2EBC"/>
    <w:rsid w:val="006D550F"/>
    <w:rsid w:val="006D7923"/>
    <w:rsid w:val="006E1E7D"/>
    <w:rsid w:val="006F3750"/>
    <w:rsid w:val="006F3FCB"/>
    <w:rsid w:val="00700DAB"/>
    <w:rsid w:val="00701CAB"/>
    <w:rsid w:val="00702B65"/>
    <w:rsid w:val="00707563"/>
    <w:rsid w:val="00712D03"/>
    <w:rsid w:val="00713648"/>
    <w:rsid w:val="0071774D"/>
    <w:rsid w:val="0072348C"/>
    <w:rsid w:val="00724A37"/>
    <w:rsid w:val="007303C3"/>
    <w:rsid w:val="00743223"/>
    <w:rsid w:val="00746E01"/>
    <w:rsid w:val="00751821"/>
    <w:rsid w:val="007532DD"/>
    <w:rsid w:val="007535E5"/>
    <w:rsid w:val="00753ADA"/>
    <w:rsid w:val="00760FD8"/>
    <w:rsid w:val="00762D41"/>
    <w:rsid w:val="00763E5D"/>
    <w:rsid w:val="00767740"/>
    <w:rsid w:val="00772A95"/>
    <w:rsid w:val="00777EE6"/>
    <w:rsid w:val="00780452"/>
    <w:rsid w:val="00782EEA"/>
    <w:rsid w:val="0079277A"/>
    <w:rsid w:val="00795F1B"/>
    <w:rsid w:val="007A1428"/>
    <w:rsid w:val="007A33E8"/>
    <w:rsid w:val="007A7224"/>
    <w:rsid w:val="007B1732"/>
    <w:rsid w:val="007B2C72"/>
    <w:rsid w:val="007C1C53"/>
    <w:rsid w:val="007D1346"/>
    <w:rsid w:val="007D2028"/>
    <w:rsid w:val="007D3A5A"/>
    <w:rsid w:val="007E1516"/>
    <w:rsid w:val="007E4904"/>
    <w:rsid w:val="007E4CB5"/>
    <w:rsid w:val="007E5C84"/>
    <w:rsid w:val="007F066B"/>
    <w:rsid w:val="007F0F77"/>
    <w:rsid w:val="007F475F"/>
    <w:rsid w:val="007F5D2F"/>
    <w:rsid w:val="007F7F50"/>
    <w:rsid w:val="008033C4"/>
    <w:rsid w:val="00806C88"/>
    <w:rsid w:val="00807A5C"/>
    <w:rsid w:val="0081034E"/>
    <w:rsid w:val="0081253D"/>
    <w:rsid w:val="008238B2"/>
    <w:rsid w:val="00831DD8"/>
    <w:rsid w:val="00831FD2"/>
    <w:rsid w:val="008344F6"/>
    <w:rsid w:val="0083510F"/>
    <w:rsid w:val="008366CD"/>
    <w:rsid w:val="00847ED9"/>
    <w:rsid w:val="00851209"/>
    <w:rsid w:val="008537BC"/>
    <w:rsid w:val="00857917"/>
    <w:rsid w:val="00861AED"/>
    <w:rsid w:val="0087280A"/>
    <w:rsid w:val="00872A73"/>
    <w:rsid w:val="00873B1F"/>
    <w:rsid w:val="008837AC"/>
    <w:rsid w:val="00884D30"/>
    <w:rsid w:val="00886BAB"/>
    <w:rsid w:val="00887EBF"/>
    <w:rsid w:val="00891E3A"/>
    <w:rsid w:val="008A4DBF"/>
    <w:rsid w:val="008A587D"/>
    <w:rsid w:val="008B416B"/>
    <w:rsid w:val="008B4527"/>
    <w:rsid w:val="008B6DA5"/>
    <w:rsid w:val="008C1FE0"/>
    <w:rsid w:val="008C5486"/>
    <w:rsid w:val="008C6B16"/>
    <w:rsid w:val="008E1E8E"/>
    <w:rsid w:val="008E535A"/>
    <w:rsid w:val="008E6CAE"/>
    <w:rsid w:val="008E7031"/>
    <w:rsid w:val="008F6FC7"/>
    <w:rsid w:val="0090239D"/>
    <w:rsid w:val="009057E0"/>
    <w:rsid w:val="00914975"/>
    <w:rsid w:val="00914A87"/>
    <w:rsid w:val="00920E27"/>
    <w:rsid w:val="009233EE"/>
    <w:rsid w:val="0092422F"/>
    <w:rsid w:val="00925435"/>
    <w:rsid w:val="009270F7"/>
    <w:rsid w:val="009377D8"/>
    <w:rsid w:val="009410EC"/>
    <w:rsid w:val="00956C19"/>
    <w:rsid w:val="00957591"/>
    <w:rsid w:val="00960AC5"/>
    <w:rsid w:val="00963425"/>
    <w:rsid w:val="009661DE"/>
    <w:rsid w:val="0097009A"/>
    <w:rsid w:val="00972A40"/>
    <w:rsid w:val="00973437"/>
    <w:rsid w:val="00982FEB"/>
    <w:rsid w:val="009835B4"/>
    <w:rsid w:val="009837D1"/>
    <w:rsid w:val="009856B7"/>
    <w:rsid w:val="00985A66"/>
    <w:rsid w:val="009A3D22"/>
    <w:rsid w:val="009B21F2"/>
    <w:rsid w:val="009B4E65"/>
    <w:rsid w:val="009B6787"/>
    <w:rsid w:val="009B69AA"/>
    <w:rsid w:val="009B74B0"/>
    <w:rsid w:val="009C6A83"/>
    <w:rsid w:val="009D3016"/>
    <w:rsid w:val="009D4D37"/>
    <w:rsid w:val="009D6B46"/>
    <w:rsid w:val="009E7749"/>
    <w:rsid w:val="009E7AC6"/>
    <w:rsid w:val="009F0D29"/>
    <w:rsid w:val="009F4940"/>
    <w:rsid w:val="00A041F4"/>
    <w:rsid w:val="00A14E28"/>
    <w:rsid w:val="00A159BF"/>
    <w:rsid w:val="00A4478A"/>
    <w:rsid w:val="00A44852"/>
    <w:rsid w:val="00A55A98"/>
    <w:rsid w:val="00A57D04"/>
    <w:rsid w:val="00A60A26"/>
    <w:rsid w:val="00A61598"/>
    <w:rsid w:val="00A64EBB"/>
    <w:rsid w:val="00A71AA6"/>
    <w:rsid w:val="00A75AAA"/>
    <w:rsid w:val="00A81EF8"/>
    <w:rsid w:val="00A84F46"/>
    <w:rsid w:val="00A871F4"/>
    <w:rsid w:val="00A923DD"/>
    <w:rsid w:val="00A94D89"/>
    <w:rsid w:val="00AA649A"/>
    <w:rsid w:val="00AB0B74"/>
    <w:rsid w:val="00AB6478"/>
    <w:rsid w:val="00AB7700"/>
    <w:rsid w:val="00AC1B2C"/>
    <w:rsid w:val="00AC3264"/>
    <w:rsid w:val="00AD592F"/>
    <w:rsid w:val="00AE1BF1"/>
    <w:rsid w:val="00AE3E9D"/>
    <w:rsid w:val="00AE4A04"/>
    <w:rsid w:val="00AF0DD2"/>
    <w:rsid w:val="00AF46F3"/>
    <w:rsid w:val="00AF7058"/>
    <w:rsid w:val="00B005DE"/>
    <w:rsid w:val="00B03D33"/>
    <w:rsid w:val="00B057C8"/>
    <w:rsid w:val="00B1285B"/>
    <w:rsid w:val="00B13048"/>
    <w:rsid w:val="00B13CB8"/>
    <w:rsid w:val="00B14CE4"/>
    <w:rsid w:val="00B1716D"/>
    <w:rsid w:val="00B17A1D"/>
    <w:rsid w:val="00B207A0"/>
    <w:rsid w:val="00B35810"/>
    <w:rsid w:val="00B4128D"/>
    <w:rsid w:val="00B41686"/>
    <w:rsid w:val="00B56E03"/>
    <w:rsid w:val="00B61471"/>
    <w:rsid w:val="00B61C25"/>
    <w:rsid w:val="00B63E2C"/>
    <w:rsid w:val="00B70539"/>
    <w:rsid w:val="00B70CA5"/>
    <w:rsid w:val="00B752C5"/>
    <w:rsid w:val="00B8080B"/>
    <w:rsid w:val="00B87C39"/>
    <w:rsid w:val="00B87DD6"/>
    <w:rsid w:val="00B904FF"/>
    <w:rsid w:val="00B92CD5"/>
    <w:rsid w:val="00B97577"/>
    <w:rsid w:val="00BA390A"/>
    <w:rsid w:val="00BA4665"/>
    <w:rsid w:val="00BA4D16"/>
    <w:rsid w:val="00BB25A3"/>
    <w:rsid w:val="00BB2FB2"/>
    <w:rsid w:val="00BB3304"/>
    <w:rsid w:val="00BC06EC"/>
    <w:rsid w:val="00BC675F"/>
    <w:rsid w:val="00BD3446"/>
    <w:rsid w:val="00BE1F1B"/>
    <w:rsid w:val="00BE47B5"/>
    <w:rsid w:val="00BF7063"/>
    <w:rsid w:val="00BF771C"/>
    <w:rsid w:val="00C064A7"/>
    <w:rsid w:val="00C16B2C"/>
    <w:rsid w:val="00C23429"/>
    <w:rsid w:val="00C30BBE"/>
    <w:rsid w:val="00C34065"/>
    <w:rsid w:val="00C36941"/>
    <w:rsid w:val="00C42FC5"/>
    <w:rsid w:val="00C43D47"/>
    <w:rsid w:val="00C4709E"/>
    <w:rsid w:val="00C5057C"/>
    <w:rsid w:val="00C538A9"/>
    <w:rsid w:val="00C53B5A"/>
    <w:rsid w:val="00C54F5A"/>
    <w:rsid w:val="00C56506"/>
    <w:rsid w:val="00C565C5"/>
    <w:rsid w:val="00C62797"/>
    <w:rsid w:val="00C628F3"/>
    <w:rsid w:val="00C6290C"/>
    <w:rsid w:val="00C672E0"/>
    <w:rsid w:val="00C73A47"/>
    <w:rsid w:val="00C73C83"/>
    <w:rsid w:val="00C74A11"/>
    <w:rsid w:val="00C74B01"/>
    <w:rsid w:val="00C8473D"/>
    <w:rsid w:val="00C86679"/>
    <w:rsid w:val="00C86919"/>
    <w:rsid w:val="00C872DB"/>
    <w:rsid w:val="00C950AF"/>
    <w:rsid w:val="00CB2491"/>
    <w:rsid w:val="00CB666B"/>
    <w:rsid w:val="00CB695E"/>
    <w:rsid w:val="00CD40AD"/>
    <w:rsid w:val="00CE1831"/>
    <w:rsid w:val="00CF0E01"/>
    <w:rsid w:val="00CF455C"/>
    <w:rsid w:val="00CF5382"/>
    <w:rsid w:val="00CF5CD3"/>
    <w:rsid w:val="00CF760F"/>
    <w:rsid w:val="00D01CF0"/>
    <w:rsid w:val="00D030A8"/>
    <w:rsid w:val="00D0442A"/>
    <w:rsid w:val="00D07128"/>
    <w:rsid w:val="00D14380"/>
    <w:rsid w:val="00D2306D"/>
    <w:rsid w:val="00D270E1"/>
    <w:rsid w:val="00D30B7E"/>
    <w:rsid w:val="00D32767"/>
    <w:rsid w:val="00D35E3D"/>
    <w:rsid w:val="00D44037"/>
    <w:rsid w:val="00D4681D"/>
    <w:rsid w:val="00D6103D"/>
    <w:rsid w:val="00D61388"/>
    <w:rsid w:val="00D615F9"/>
    <w:rsid w:val="00D61A54"/>
    <w:rsid w:val="00D6303D"/>
    <w:rsid w:val="00D64DEA"/>
    <w:rsid w:val="00D74261"/>
    <w:rsid w:val="00D74971"/>
    <w:rsid w:val="00D80893"/>
    <w:rsid w:val="00D92CF1"/>
    <w:rsid w:val="00D92D38"/>
    <w:rsid w:val="00D936B6"/>
    <w:rsid w:val="00D950F5"/>
    <w:rsid w:val="00DA3817"/>
    <w:rsid w:val="00DA7D52"/>
    <w:rsid w:val="00DB0F93"/>
    <w:rsid w:val="00DC1064"/>
    <w:rsid w:val="00DC153A"/>
    <w:rsid w:val="00DC24BF"/>
    <w:rsid w:val="00DC2907"/>
    <w:rsid w:val="00DC5E54"/>
    <w:rsid w:val="00DC7981"/>
    <w:rsid w:val="00DD15C2"/>
    <w:rsid w:val="00DE3450"/>
    <w:rsid w:val="00DE4EFA"/>
    <w:rsid w:val="00DE5520"/>
    <w:rsid w:val="00DF7793"/>
    <w:rsid w:val="00E00A7B"/>
    <w:rsid w:val="00E00EC9"/>
    <w:rsid w:val="00E03069"/>
    <w:rsid w:val="00E04818"/>
    <w:rsid w:val="00E06442"/>
    <w:rsid w:val="00E135DB"/>
    <w:rsid w:val="00E14305"/>
    <w:rsid w:val="00E15E82"/>
    <w:rsid w:val="00E23993"/>
    <w:rsid w:val="00E25B8C"/>
    <w:rsid w:val="00E32A8C"/>
    <w:rsid w:val="00E3678B"/>
    <w:rsid w:val="00E3724C"/>
    <w:rsid w:val="00E37F0B"/>
    <w:rsid w:val="00E40B9C"/>
    <w:rsid w:val="00E47EAD"/>
    <w:rsid w:val="00E52A27"/>
    <w:rsid w:val="00E6192A"/>
    <w:rsid w:val="00E65C85"/>
    <w:rsid w:val="00E66199"/>
    <w:rsid w:val="00E715D5"/>
    <w:rsid w:val="00E7472E"/>
    <w:rsid w:val="00E755EC"/>
    <w:rsid w:val="00E7624D"/>
    <w:rsid w:val="00E76E39"/>
    <w:rsid w:val="00E823D9"/>
    <w:rsid w:val="00E86851"/>
    <w:rsid w:val="00E96F9A"/>
    <w:rsid w:val="00EA3D42"/>
    <w:rsid w:val="00EA6B1B"/>
    <w:rsid w:val="00EB049F"/>
    <w:rsid w:val="00EB540F"/>
    <w:rsid w:val="00EB7D7F"/>
    <w:rsid w:val="00EC317E"/>
    <w:rsid w:val="00ED3C5B"/>
    <w:rsid w:val="00ED4A25"/>
    <w:rsid w:val="00EE28F3"/>
    <w:rsid w:val="00EE347F"/>
    <w:rsid w:val="00EF5110"/>
    <w:rsid w:val="00F00BD3"/>
    <w:rsid w:val="00F02D9B"/>
    <w:rsid w:val="00F031FE"/>
    <w:rsid w:val="00F04BDA"/>
    <w:rsid w:val="00F13EAA"/>
    <w:rsid w:val="00F15882"/>
    <w:rsid w:val="00F1785E"/>
    <w:rsid w:val="00F20BD3"/>
    <w:rsid w:val="00F3590E"/>
    <w:rsid w:val="00F373A5"/>
    <w:rsid w:val="00F37575"/>
    <w:rsid w:val="00F40FF7"/>
    <w:rsid w:val="00F45B2F"/>
    <w:rsid w:val="00F47559"/>
    <w:rsid w:val="00F64C7B"/>
    <w:rsid w:val="00F662F1"/>
    <w:rsid w:val="00F676DD"/>
    <w:rsid w:val="00F70811"/>
    <w:rsid w:val="00F75A26"/>
    <w:rsid w:val="00F83FAD"/>
    <w:rsid w:val="00F87EBA"/>
    <w:rsid w:val="00F952A0"/>
    <w:rsid w:val="00F965FC"/>
    <w:rsid w:val="00FA3830"/>
    <w:rsid w:val="00FA3C7F"/>
    <w:rsid w:val="00FA6FC9"/>
    <w:rsid w:val="00FB153F"/>
    <w:rsid w:val="00FB623B"/>
    <w:rsid w:val="00FB74E2"/>
    <w:rsid w:val="00FC447B"/>
    <w:rsid w:val="00FD0763"/>
    <w:rsid w:val="00FD2F97"/>
    <w:rsid w:val="00FD4DDC"/>
    <w:rsid w:val="00FD5614"/>
    <w:rsid w:val="00FD72DC"/>
    <w:rsid w:val="00FE0BE1"/>
    <w:rsid w:val="00FE1DE9"/>
    <w:rsid w:val="00FE39C2"/>
    <w:rsid w:val="00FE64AE"/>
    <w:rsid w:val="00FF3373"/>
    <w:rsid w:val="00FF44C5"/>
    <w:rsid w:val="00FF578F"/>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character" w:customStyle="1" w:styleId="displayonly">
    <w:name w:val="display_only"/>
    <w:basedOn w:val="DefaultParagraphFont"/>
    <w:rsid w:val="002B4565"/>
  </w:style>
  <w:style w:type="table" w:customStyle="1" w:styleId="AERTable-Text1">
    <w:name w:val="AER Table - Text1"/>
    <w:basedOn w:val="TableNormal"/>
    <w:uiPriority w:val="99"/>
    <w:rsid w:val="007535E5"/>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character" w:customStyle="1" w:styleId="displayonly">
    <w:name w:val="display_only"/>
    <w:basedOn w:val="DefaultParagraphFont"/>
    <w:rsid w:val="002B4565"/>
  </w:style>
  <w:style w:type="table" w:customStyle="1" w:styleId="AERTable-Text1">
    <w:name w:val="AER Table - Text1"/>
    <w:basedOn w:val="TableNormal"/>
    <w:uiPriority w:val="99"/>
    <w:rsid w:val="007535E5"/>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981810847">
      <w:bodyDiv w:val="1"/>
      <w:marLeft w:val="0"/>
      <w:marRight w:val="0"/>
      <w:marTop w:val="0"/>
      <w:marBottom w:val="0"/>
      <w:divBdr>
        <w:top w:val="none" w:sz="0" w:space="0" w:color="auto"/>
        <w:left w:val="none" w:sz="0" w:space="0" w:color="auto"/>
        <w:bottom w:val="none" w:sz="0" w:space="0" w:color="auto"/>
        <w:right w:val="none" w:sz="0" w:space="0" w:color="auto"/>
      </w:divBdr>
      <w:divsChild>
        <w:div w:id="473913278">
          <w:marLeft w:val="0"/>
          <w:marRight w:val="0"/>
          <w:marTop w:val="0"/>
          <w:marBottom w:val="0"/>
          <w:divBdr>
            <w:top w:val="none" w:sz="0" w:space="0" w:color="auto"/>
            <w:left w:val="none" w:sz="0" w:space="0" w:color="auto"/>
            <w:bottom w:val="none" w:sz="0" w:space="0" w:color="auto"/>
            <w:right w:val="none" w:sz="0" w:space="0" w:color="auto"/>
          </w:divBdr>
          <w:divsChild>
            <w:div w:id="1949510693">
              <w:marLeft w:val="0"/>
              <w:marRight w:val="0"/>
              <w:marTop w:val="0"/>
              <w:marBottom w:val="0"/>
              <w:divBdr>
                <w:top w:val="none" w:sz="0" w:space="0" w:color="auto"/>
                <w:left w:val="none" w:sz="0" w:space="0" w:color="auto"/>
                <w:bottom w:val="none" w:sz="0" w:space="0" w:color="auto"/>
                <w:right w:val="none" w:sz="0" w:space="0" w:color="auto"/>
              </w:divBdr>
              <w:divsChild>
                <w:div w:id="559483471">
                  <w:marLeft w:val="0"/>
                  <w:marRight w:val="0"/>
                  <w:marTop w:val="0"/>
                  <w:marBottom w:val="0"/>
                  <w:divBdr>
                    <w:top w:val="none" w:sz="0" w:space="0" w:color="auto"/>
                    <w:left w:val="none" w:sz="0" w:space="0" w:color="auto"/>
                    <w:bottom w:val="none" w:sz="0" w:space="0" w:color="auto"/>
                    <w:right w:val="none" w:sz="0" w:space="0" w:color="auto"/>
                  </w:divBdr>
                  <w:divsChild>
                    <w:div w:id="1709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73855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1070750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048E0C-E06A-42E6-93F2-C5258DD7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9BDFAF48</Template>
  <TotalTime>0</TotalTime>
  <Pages>11</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2015-08-11T04:33:00Z</dcterms:created>
  <dcterms:modified xsi:type="dcterms:W3CDTF">2015-08-11T04:37:00Z</dcterms:modified>
</cp:coreProperties>
</file>