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Default="00406A97" w:rsidP="00AF2164">
      <w:pPr>
        <w:pStyle w:val="Heading1"/>
        <w:numPr>
          <w:ilvl w:val="0"/>
          <w:numId w:val="0"/>
        </w:numPr>
        <w:spacing w:before="120" w:after="0"/>
      </w:pPr>
      <w:bookmarkStart w:id="0" w:name="OLE_LINK66"/>
      <w:bookmarkStart w:id="1" w:name="OLE_LINK6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3pt;height:99.15pt" o:allowoverlap="f">
            <v:imagedata r:id="rId9" o:title=""/>
          </v:shape>
        </w:pict>
      </w:r>
      <w:r w:rsidR="006578C8">
        <w:rPr>
          <w:noProof/>
          <w:sz w:val="28"/>
          <w:szCs w:val="28"/>
        </w:rPr>
        <w:pict>
          <v:shapetype id="_x0000_t202" coordsize="21600,21600" o:spt="202" path="m,l,21600r21600,l21600,xe">
            <v:stroke joinstyle="miter"/>
            <v:path gradientshapeok="t" o:connecttype="rect"/>
          </v:shapetype>
          <v:shape id="_x0000_s1032" type="#_x0000_t202" style="position:absolute;margin-left:-.55pt;margin-top:8.25pt;width:249.4pt;height:72.75pt;z-index:251658240;mso-position-horizontal-relative:text;mso-position-vertical-relative:text" filled="f" stroked="f">
            <v:textbox style="mso-next-textbox:#_x0000_s1032">
              <w:txbxContent>
                <w:p w:rsidR="00FF0D8A" w:rsidRDefault="00FF0D8A" w:rsidP="00231B0A">
                  <w:pPr>
                    <w:pStyle w:val="Title"/>
                  </w:pPr>
                  <w:r w:rsidRPr="00231B0A">
                    <w:t xml:space="preserve">Weekly Gas </w:t>
                  </w:r>
                  <w:r>
                    <w:t>M</w:t>
                  </w:r>
                  <w:r w:rsidRPr="00231B0A">
                    <w:t xml:space="preserve">arket Report </w:t>
                  </w:r>
                </w:p>
                <w:p w:rsidR="00FF0D8A" w:rsidRPr="00A65EC8" w:rsidRDefault="0072694B" w:rsidP="00231B0A">
                  <w:pPr>
                    <w:pStyle w:val="Title"/>
                  </w:pPr>
                  <w:r>
                    <w:t>5</w:t>
                  </w:r>
                  <w:r w:rsidR="004A1362" w:rsidRPr="004A1362">
                    <w:t xml:space="preserve"> – 11</w:t>
                  </w:r>
                  <w:r w:rsidR="006A7228" w:rsidRPr="004A1362">
                    <w:t xml:space="preserve"> </w:t>
                  </w:r>
                  <w:r w:rsidR="004A1362" w:rsidRPr="004A1362">
                    <w:t>July</w:t>
                  </w:r>
                  <w:r w:rsidR="006A7228" w:rsidRPr="004A1362">
                    <w:t xml:space="preserve"> </w:t>
                  </w:r>
                  <w:r w:rsidR="004A1362" w:rsidRPr="004A1362">
                    <w:t>2015</w:t>
                  </w:r>
                </w:p>
                <w:p w:rsidR="00FF0D8A" w:rsidRPr="00231B0A" w:rsidRDefault="00FF0D8A" w:rsidP="00231B0A">
                  <w:pPr>
                    <w:pStyle w:val="Subtitle"/>
                  </w:pPr>
                </w:p>
              </w:txbxContent>
            </v:textbox>
          </v:shape>
        </w:pict>
      </w:r>
      <w:r w:rsidR="006578C8">
        <w:rPr>
          <w:noProof/>
        </w:rPr>
        <w:pict>
          <v:shape id="_x0000_s1029" type="#_x0000_t75" style="position:absolute;margin-left:720.75pt;margin-top:282.05pt;width:386.3pt;height:299.3pt;z-index:251657216;mso-position-horizontal-relative:text;mso-position-vertical-relative:text" fillcolor="black" strokecolor="white" strokeweight="3e-5mm">
            <v:imagedata r:id="rId10" o:title=""/>
            <o:lock v:ext="edit" rotation="t"/>
          </v:shape>
        </w:pict>
      </w:r>
    </w:p>
    <w:p w:rsidR="00A67716" w:rsidRDefault="00A67716" w:rsidP="00D1641C">
      <w:pPr>
        <w:pStyle w:val="Heading1"/>
        <w:numPr>
          <w:ilvl w:val="0"/>
          <w:numId w:val="0"/>
        </w:numPr>
        <w:spacing w:before="0" w:after="120"/>
        <w:rPr>
          <w:rFonts w:cs="Times New Roman"/>
          <w:noProof/>
          <w:color w:val="2272A3"/>
          <w:kern w:val="0"/>
          <w:szCs w:val="20"/>
          <w:lang w:eastAsia="en-US"/>
        </w:rPr>
      </w:pPr>
      <w:r w:rsidRPr="00AF2164">
        <w:rPr>
          <w:rFonts w:cs="Times New Roman"/>
          <w:noProof/>
          <w:color w:val="2272A3"/>
          <w:kern w:val="0"/>
          <w:szCs w:val="20"/>
          <w:lang w:eastAsia="en-US"/>
        </w:rPr>
        <w:t>Wee</w:t>
      </w:r>
      <w:bookmarkStart w:id="2" w:name="_GoBack"/>
      <w:bookmarkEnd w:id="2"/>
      <w:r w:rsidR="00AF2164" w:rsidRPr="00AF2164">
        <w:rPr>
          <w:rFonts w:cs="Times New Roman"/>
          <w:noProof/>
          <w:color w:val="2272A3"/>
          <w:kern w:val="0"/>
          <w:szCs w:val="20"/>
          <w:lang w:eastAsia="en-US"/>
        </w:rPr>
        <w:t>kly summary</w:t>
      </w:r>
    </w:p>
    <w:p w:rsidR="00C0146C" w:rsidRDefault="00C0146C" w:rsidP="00AC1E89">
      <w:pPr>
        <w:pStyle w:val="Heading1"/>
        <w:numPr>
          <w:ilvl w:val="0"/>
          <w:numId w:val="0"/>
        </w:numPr>
        <w:spacing w:before="180"/>
        <w:jc w:val="both"/>
        <w:rPr>
          <w:rFonts w:cs="Times New Roman"/>
          <w:b w:val="0"/>
          <w:bCs w:val="0"/>
          <w:kern w:val="0"/>
          <w:sz w:val="22"/>
          <w:szCs w:val="24"/>
        </w:rPr>
      </w:pPr>
      <w:r w:rsidRPr="00C0146C">
        <w:rPr>
          <w:rFonts w:cs="Times New Roman"/>
          <w:b w:val="0"/>
          <w:bCs w:val="0"/>
          <w:kern w:val="0"/>
          <w:sz w:val="22"/>
          <w:szCs w:val="24"/>
        </w:rPr>
        <w:t>Gas prices have increased in Wallumbilla, Brisbane and Sydney this week while remaining stable in the other regions. The increases in Sydney may be related to the recent colder temperatures and higher demand observed in the region from the start of the month</w:t>
      </w:r>
      <w:r>
        <w:rPr>
          <w:rFonts w:cs="Times New Roman"/>
          <w:b w:val="0"/>
          <w:bCs w:val="0"/>
          <w:kern w:val="0"/>
          <w:sz w:val="22"/>
          <w:szCs w:val="24"/>
        </w:rPr>
        <w:t>.</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AF2164">
        <w:rPr>
          <w:rFonts w:cs="Times New Roman"/>
          <w:noProof/>
          <w:color w:val="2272A3"/>
          <w:kern w:val="0"/>
          <w:szCs w:val="20"/>
          <w:lang w:eastAsia="en-US"/>
        </w:rPr>
        <w:t>Long term statistics and explanatory mate</w:t>
      </w:r>
      <w:r w:rsidR="007D470C">
        <w:rPr>
          <w:rFonts w:cs="Times New Roman"/>
          <w:noProof/>
          <w:color w:val="2272A3"/>
          <w:kern w:val="0"/>
          <w:szCs w:val="20"/>
          <w:lang w:eastAsia="en-US"/>
        </w:rPr>
        <w:t>rial</w:t>
      </w:r>
    </w:p>
    <w:p w:rsidR="00AF2164" w:rsidRPr="00AF2164" w:rsidRDefault="00AF2164" w:rsidP="00FF0D8A">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D1641C">
        <w:rPr>
          <w:rFonts w:cs="Times New Roman"/>
          <w:noProof/>
          <w:color w:val="2272A3"/>
          <w:kern w:val="0"/>
          <w:szCs w:val="20"/>
          <w:lang w:eastAsia="en-US"/>
        </w:rPr>
        <w:t>Market overview</w:t>
      </w:r>
    </w:p>
    <w:p w:rsidR="00D1641C" w:rsidRDefault="00D1641C" w:rsidP="00FF0D8A">
      <w:pPr>
        <w:jc w:val="both"/>
        <w:rPr>
          <w:szCs w:val="22"/>
        </w:rPr>
      </w:pPr>
      <w:r w:rsidRPr="008D4DAB">
        <w:t xml:space="preserve">Figure 1 sets out the average daily prices ($/GJ) in the Victorian Declared Wholesale Market </w:t>
      </w:r>
      <w:r w:rsidRPr="000F2287">
        <w:rPr>
          <w:b/>
          <w:szCs w:val="22"/>
        </w:rPr>
        <w:t>(VGM or Victorian gas market)</w:t>
      </w:r>
      <w:r w:rsidRPr="000F2287">
        <w:rPr>
          <w:szCs w:val="22"/>
        </w:rPr>
        <w:t xml:space="preserve"> and for the Sydney </w:t>
      </w:r>
      <w:r w:rsidRPr="000F2287">
        <w:rPr>
          <w:b/>
          <w:szCs w:val="22"/>
        </w:rPr>
        <w:t>(SYD)</w:t>
      </w:r>
      <w:r w:rsidRPr="000F2287">
        <w:rPr>
          <w:szCs w:val="22"/>
        </w:rPr>
        <w:t xml:space="preserve">, Adelaide </w:t>
      </w:r>
      <w:r w:rsidRPr="000F2287">
        <w:rPr>
          <w:b/>
          <w:szCs w:val="22"/>
        </w:rPr>
        <w:t xml:space="preserve">(ADL) </w:t>
      </w:r>
      <w:r w:rsidRPr="000F2287">
        <w:rPr>
          <w:szCs w:val="22"/>
        </w:rPr>
        <w:t xml:space="preserve">and Brisbane </w:t>
      </w:r>
      <w:r w:rsidRPr="000F2287">
        <w:rPr>
          <w:b/>
          <w:szCs w:val="22"/>
        </w:rPr>
        <w:t xml:space="preserve">(BRI) </w:t>
      </w:r>
      <w:r w:rsidRPr="000F2287">
        <w:rPr>
          <w:szCs w:val="22"/>
        </w:rPr>
        <w:t xml:space="preserve">Short Term Trading Market hubs </w:t>
      </w:r>
      <w:r w:rsidRPr="000F2287">
        <w:rPr>
          <w:b/>
          <w:szCs w:val="22"/>
        </w:rPr>
        <w:t>(STTM)</w:t>
      </w:r>
      <w:r w:rsidRPr="000F2287">
        <w:rPr>
          <w:szCs w:val="22"/>
        </w:rPr>
        <w:t xml:space="preserve"> for the current week compared to historical averages.</w:t>
      </w:r>
    </w:p>
    <w:p w:rsidR="00D1641C" w:rsidRPr="006E7E57" w:rsidRDefault="00D1641C" w:rsidP="006E7E57">
      <w:pPr>
        <w:pStyle w:val="Heading2"/>
        <w:ind w:firstLine="0"/>
        <w:rPr>
          <w:i w:val="0"/>
          <w:color w:val="2272A3"/>
          <w:sz w:val="24"/>
          <w:szCs w:val="24"/>
        </w:rPr>
      </w:pPr>
      <w:r w:rsidRPr="006E7E57">
        <w:rPr>
          <w:i w:val="0"/>
          <w:color w:val="2272A3"/>
          <w:sz w:val="24"/>
          <w:szCs w:val="24"/>
        </w:rPr>
        <w:t>Average daily prices – all markets ($/GJ)</w:t>
      </w:r>
      <w:r w:rsidRPr="006E7E57">
        <w:rPr>
          <w:i w:val="0"/>
          <w:color w:val="2272A3"/>
          <w:sz w:val="24"/>
          <w:szCs w:val="24"/>
          <w:vertAlign w:val="superscript"/>
        </w:rPr>
        <w:footnoteReference w:id="1"/>
      </w:r>
    </w:p>
    <w:tbl>
      <w:tblPr>
        <w:tblStyle w:val="AERTable-Text0"/>
        <w:tblW w:w="9468" w:type="dxa"/>
        <w:tblLayout w:type="fixed"/>
        <w:tblLook w:val="01E0" w:firstRow="1" w:lastRow="1" w:firstColumn="1" w:lastColumn="1" w:noHBand="0" w:noVBand="0"/>
      </w:tblPr>
      <w:tblGrid>
        <w:gridCol w:w="3710"/>
        <w:gridCol w:w="1439"/>
        <w:gridCol w:w="1440"/>
        <w:gridCol w:w="1439"/>
        <w:gridCol w:w="1440"/>
      </w:tblGrid>
      <w:tr w:rsidR="00FF0D8A" w:rsidRPr="00936A7B" w:rsidTr="00FF0D8A">
        <w:trPr>
          <w:cnfStyle w:val="100000000000" w:firstRow="1" w:lastRow="0" w:firstColumn="0" w:lastColumn="0" w:oddVBand="0" w:evenVBand="0" w:oddHBand="0" w:evenHBand="0" w:firstRowFirstColumn="0" w:firstRowLastColumn="0" w:lastRowFirstColumn="0" w:lastRowLastColumn="0"/>
          <w:trHeight w:val="226"/>
          <w:tblHeader/>
        </w:trPr>
        <w:tc>
          <w:tcPr>
            <w:tcW w:w="3710" w:type="dxa"/>
            <w:noWrap/>
          </w:tcPr>
          <w:p w:rsidR="00FF0D8A" w:rsidRPr="00936A7B" w:rsidRDefault="00FF0D8A" w:rsidP="00FF0D8A">
            <w:pPr>
              <w:jc w:val="center"/>
              <w:rPr>
                <w:sz w:val="20"/>
              </w:rPr>
            </w:pPr>
            <w:r>
              <w:rPr>
                <w:sz w:val="20"/>
              </w:rPr>
              <w:t>Region</w:t>
            </w:r>
            <w:r w:rsidRPr="00936A7B">
              <w:rPr>
                <w:sz w:val="20"/>
              </w:rPr>
              <w:t> </w:t>
            </w:r>
          </w:p>
        </w:tc>
        <w:tc>
          <w:tcPr>
            <w:tcW w:w="1439" w:type="dxa"/>
            <w:noWrap/>
          </w:tcPr>
          <w:p w:rsidR="00FF0D8A" w:rsidRPr="00936A7B" w:rsidRDefault="00FF0D8A" w:rsidP="00FF0D8A">
            <w:pPr>
              <w:jc w:val="center"/>
              <w:rPr>
                <w:sz w:val="20"/>
              </w:rPr>
            </w:pPr>
            <w:r w:rsidRPr="00936A7B">
              <w:rPr>
                <w:sz w:val="20"/>
              </w:rPr>
              <w:t>Victoria</w:t>
            </w:r>
          </w:p>
        </w:tc>
        <w:tc>
          <w:tcPr>
            <w:tcW w:w="1440" w:type="dxa"/>
            <w:noWrap/>
          </w:tcPr>
          <w:p w:rsidR="00FF0D8A" w:rsidRPr="00936A7B" w:rsidRDefault="00FF0D8A" w:rsidP="00FF0D8A">
            <w:pPr>
              <w:jc w:val="center"/>
              <w:rPr>
                <w:sz w:val="20"/>
              </w:rPr>
            </w:pPr>
            <w:r w:rsidRPr="00936A7B">
              <w:rPr>
                <w:sz w:val="20"/>
              </w:rPr>
              <w:t>Sydney</w:t>
            </w:r>
          </w:p>
        </w:tc>
        <w:tc>
          <w:tcPr>
            <w:tcW w:w="1439" w:type="dxa"/>
            <w:noWrap/>
          </w:tcPr>
          <w:p w:rsidR="00FF0D8A" w:rsidRPr="00936A7B" w:rsidRDefault="00FF0D8A" w:rsidP="00FF0D8A">
            <w:pPr>
              <w:jc w:val="center"/>
              <w:rPr>
                <w:sz w:val="20"/>
              </w:rPr>
            </w:pPr>
            <w:r w:rsidRPr="00936A7B">
              <w:rPr>
                <w:sz w:val="20"/>
              </w:rPr>
              <w:t>Adelaide</w:t>
            </w:r>
          </w:p>
        </w:tc>
        <w:tc>
          <w:tcPr>
            <w:tcW w:w="1440" w:type="dxa"/>
            <w:noWrap/>
          </w:tcPr>
          <w:p w:rsidR="00FF0D8A" w:rsidRPr="00936A7B" w:rsidRDefault="00FF0D8A" w:rsidP="00FF0D8A">
            <w:pPr>
              <w:jc w:val="center"/>
              <w:rPr>
                <w:sz w:val="20"/>
              </w:rPr>
            </w:pPr>
            <w:r w:rsidRPr="00936A7B">
              <w:rPr>
                <w:sz w:val="20"/>
              </w:rPr>
              <w:t>Brisbane</w:t>
            </w:r>
          </w:p>
        </w:tc>
      </w:tr>
      <w:tr w:rsidR="004A1362" w:rsidRPr="00936A7B" w:rsidTr="00C27666">
        <w:trPr>
          <w:trHeight w:val="382"/>
        </w:trPr>
        <w:tc>
          <w:tcPr>
            <w:tcW w:w="3710" w:type="dxa"/>
            <w:noWrap/>
            <w:vAlign w:val="center"/>
          </w:tcPr>
          <w:p w:rsidR="004A1362" w:rsidRDefault="004A1362">
            <w:pPr>
              <w:rPr>
                <w:rFonts w:cs="Arial"/>
                <w:sz w:val="20"/>
                <w:szCs w:val="20"/>
              </w:rPr>
            </w:pPr>
            <w:r>
              <w:rPr>
                <w:rFonts w:cs="Arial"/>
                <w:sz w:val="20"/>
                <w:szCs w:val="20"/>
              </w:rPr>
              <w:t>05 Jul - 11 Jul 2015</w:t>
            </w:r>
          </w:p>
        </w:tc>
        <w:tc>
          <w:tcPr>
            <w:tcW w:w="1439" w:type="dxa"/>
            <w:noWrap/>
            <w:vAlign w:val="center"/>
          </w:tcPr>
          <w:p w:rsidR="004A1362" w:rsidRDefault="004A1362">
            <w:pPr>
              <w:jc w:val="center"/>
              <w:rPr>
                <w:rFonts w:cs="Arial"/>
                <w:sz w:val="20"/>
                <w:szCs w:val="20"/>
              </w:rPr>
            </w:pPr>
            <w:r>
              <w:rPr>
                <w:rFonts w:cs="Arial"/>
                <w:sz w:val="20"/>
                <w:szCs w:val="20"/>
              </w:rPr>
              <w:t>4.32</w:t>
            </w:r>
          </w:p>
        </w:tc>
        <w:tc>
          <w:tcPr>
            <w:tcW w:w="1440" w:type="dxa"/>
            <w:noWrap/>
            <w:vAlign w:val="center"/>
          </w:tcPr>
          <w:p w:rsidR="004A1362" w:rsidRDefault="004A1362">
            <w:pPr>
              <w:jc w:val="center"/>
              <w:rPr>
                <w:rFonts w:cs="Arial"/>
                <w:sz w:val="20"/>
                <w:szCs w:val="20"/>
              </w:rPr>
            </w:pPr>
            <w:r>
              <w:rPr>
                <w:rFonts w:cs="Arial"/>
                <w:sz w:val="20"/>
                <w:szCs w:val="20"/>
              </w:rPr>
              <w:t>5.22</w:t>
            </w:r>
          </w:p>
        </w:tc>
        <w:tc>
          <w:tcPr>
            <w:tcW w:w="1439" w:type="dxa"/>
            <w:noWrap/>
            <w:vAlign w:val="center"/>
          </w:tcPr>
          <w:p w:rsidR="004A1362" w:rsidRDefault="004A1362">
            <w:pPr>
              <w:jc w:val="center"/>
              <w:rPr>
                <w:rFonts w:cs="Arial"/>
                <w:sz w:val="20"/>
                <w:szCs w:val="20"/>
              </w:rPr>
            </w:pPr>
            <w:r>
              <w:rPr>
                <w:rFonts w:cs="Arial"/>
                <w:sz w:val="20"/>
                <w:szCs w:val="20"/>
              </w:rPr>
              <w:t>4.89</w:t>
            </w:r>
          </w:p>
        </w:tc>
        <w:tc>
          <w:tcPr>
            <w:tcW w:w="1440" w:type="dxa"/>
            <w:noWrap/>
            <w:vAlign w:val="center"/>
          </w:tcPr>
          <w:p w:rsidR="004A1362" w:rsidRDefault="004A1362">
            <w:pPr>
              <w:jc w:val="center"/>
              <w:rPr>
                <w:rFonts w:cs="Arial"/>
                <w:sz w:val="20"/>
                <w:szCs w:val="20"/>
              </w:rPr>
            </w:pPr>
            <w:r>
              <w:rPr>
                <w:rFonts w:cs="Arial"/>
                <w:sz w:val="20"/>
                <w:szCs w:val="20"/>
              </w:rPr>
              <w:t>3.46</w:t>
            </w:r>
          </w:p>
        </w:tc>
      </w:tr>
      <w:tr w:rsidR="004A1362" w:rsidRPr="00936A7B" w:rsidTr="00C27666">
        <w:trPr>
          <w:cnfStyle w:val="000000010000" w:firstRow="0" w:lastRow="0" w:firstColumn="0" w:lastColumn="0" w:oddVBand="0" w:evenVBand="0" w:oddHBand="0" w:evenHBand="1" w:firstRowFirstColumn="0" w:firstRowLastColumn="0" w:lastRowFirstColumn="0" w:lastRowLastColumn="0"/>
          <w:trHeight w:val="382"/>
        </w:trPr>
        <w:tc>
          <w:tcPr>
            <w:tcW w:w="3710" w:type="dxa"/>
            <w:noWrap/>
            <w:vAlign w:val="center"/>
          </w:tcPr>
          <w:p w:rsidR="004A1362" w:rsidRDefault="004A1362">
            <w:pPr>
              <w:rPr>
                <w:rFonts w:cs="Arial"/>
                <w:sz w:val="20"/>
                <w:szCs w:val="20"/>
              </w:rPr>
            </w:pPr>
            <w:r>
              <w:rPr>
                <w:rFonts w:cs="Arial"/>
                <w:sz w:val="20"/>
                <w:szCs w:val="20"/>
              </w:rPr>
              <w:t>% change from previous week</w:t>
            </w:r>
          </w:p>
        </w:tc>
        <w:tc>
          <w:tcPr>
            <w:tcW w:w="1439" w:type="dxa"/>
            <w:noWrap/>
            <w:vAlign w:val="center"/>
          </w:tcPr>
          <w:p w:rsidR="004A1362" w:rsidRDefault="004A1362">
            <w:pPr>
              <w:jc w:val="center"/>
              <w:rPr>
                <w:rFonts w:cs="Arial"/>
                <w:sz w:val="20"/>
                <w:szCs w:val="20"/>
              </w:rPr>
            </w:pPr>
            <w:r>
              <w:rPr>
                <w:rFonts w:cs="Arial"/>
                <w:sz w:val="20"/>
                <w:szCs w:val="20"/>
              </w:rPr>
              <w:t>-1</w:t>
            </w:r>
          </w:p>
        </w:tc>
        <w:tc>
          <w:tcPr>
            <w:tcW w:w="1440" w:type="dxa"/>
            <w:noWrap/>
            <w:vAlign w:val="center"/>
          </w:tcPr>
          <w:p w:rsidR="004A1362" w:rsidRDefault="004A1362">
            <w:pPr>
              <w:jc w:val="center"/>
              <w:rPr>
                <w:rFonts w:cs="Arial"/>
                <w:sz w:val="20"/>
                <w:szCs w:val="20"/>
              </w:rPr>
            </w:pPr>
            <w:r>
              <w:rPr>
                <w:rFonts w:cs="Arial"/>
                <w:sz w:val="20"/>
                <w:szCs w:val="20"/>
              </w:rPr>
              <w:t>56</w:t>
            </w:r>
          </w:p>
        </w:tc>
        <w:tc>
          <w:tcPr>
            <w:tcW w:w="1439" w:type="dxa"/>
            <w:noWrap/>
            <w:vAlign w:val="center"/>
          </w:tcPr>
          <w:p w:rsidR="004A1362" w:rsidRDefault="004A1362">
            <w:pPr>
              <w:jc w:val="center"/>
              <w:rPr>
                <w:rFonts w:cs="Arial"/>
                <w:sz w:val="20"/>
                <w:szCs w:val="20"/>
              </w:rPr>
            </w:pPr>
            <w:r>
              <w:rPr>
                <w:rFonts w:cs="Arial"/>
                <w:sz w:val="20"/>
                <w:szCs w:val="20"/>
              </w:rPr>
              <w:t>8</w:t>
            </w:r>
          </w:p>
        </w:tc>
        <w:tc>
          <w:tcPr>
            <w:tcW w:w="1440" w:type="dxa"/>
            <w:noWrap/>
            <w:vAlign w:val="center"/>
          </w:tcPr>
          <w:p w:rsidR="004A1362" w:rsidRDefault="004A1362">
            <w:pPr>
              <w:jc w:val="center"/>
              <w:rPr>
                <w:rFonts w:cs="Arial"/>
                <w:sz w:val="20"/>
                <w:szCs w:val="20"/>
              </w:rPr>
            </w:pPr>
            <w:r>
              <w:rPr>
                <w:rFonts w:cs="Arial"/>
                <w:sz w:val="20"/>
                <w:szCs w:val="20"/>
              </w:rPr>
              <w:t>100</w:t>
            </w:r>
          </w:p>
        </w:tc>
      </w:tr>
      <w:tr w:rsidR="004A1362" w:rsidRPr="00936A7B" w:rsidTr="00C27666">
        <w:trPr>
          <w:trHeight w:val="382"/>
        </w:trPr>
        <w:tc>
          <w:tcPr>
            <w:tcW w:w="3710" w:type="dxa"/>
            <w:noWrap/>
            <w:vAlign w:val="center"/>
          </w:tcPr>
          <w:p w:rsidR="004A1362" w:rsidRDefault="004A1362">
            <w:pPr>
              <w:rPr>
                <w:rFonts w:cs="Arial"/>
                <w:sz w:val="20"/>
                <w:szCs w:val="20"/>
              </w:rPr>
            </w:pPr>
            <w:r>
              <w:rPr>
                <w:rFonts w:cs="Arial"/>
                <w:sz w:val="20"/>
                <w:szCs w:val="20"/>
              </w:rPr>
              <w:t>15-16 financial YTD</w:t>
            </w:r>
          </w:p>
        </w:tc>
        <w:tc>
          <w:tcPr>
            <w:tcW w:w="1439" w:type="dxa"/>
            <w:noWrap/>
            <w:vAlign w:val="center"/>
          </w:tcPr>
          <w:p w:rsidR="004A1362" w:rsidRDefault="004A1362">
            <w:pPr>
              <w:jc w:val="center"/>
              <w:rPr>
                <w:rFonts w:cs="Arial"/>
                <w:sz w:val="20"/>
                <w:szCs w:val="20"/>
              </w:rPr>
            </w:pPr>
            <w:r>
              <w:rPr>
                <w:rFonts w:cs="Arial"/>
                <w:sz w:val="20"/>
                <w:szCs w:val="20"/>
              </w:rPr>
              <w:t>4.39</w:t>
            </w:r>
          </w:p>
        </w:tc>
        <w:tc>
          <w:tcPr>
            <w:tcW w:w="1440" w:type="dxa"/>
            <w:noWrap/>
            <w:vAlign w:val="center"/>
          </w:tcPr>
          <w:p w:rsidR="004A1362" w:rsidRDefault="004A1362">
            <w:pPr>
              <w:jc w:val="center"/>
              <w:rPr>
                <w:rFonts w:cs="Arial"/>
                <w:sz w:val="20"/>
                <w:szCs w:val="20"/>
              </w:rPr>
            </w:pPr>
            <w:r>
              <w:rPr>
                <w:rFonts w:cs="Arial"/>
                <w:sz w:val="20"/>
                <w:szCs w:val="20"/>
              </w:rPr>
              <w:t>4.56</w:t>
            </w:r>
          </w:p>
        </w:tc>
        <w:tc>
          <w:tcPr>
            <w:tcW w:w="1439" w:type="dxa"/>
            <w:noWrap/>
            <w:vAlign w:val="center"/>
          </w:tcPr>
          <w:p w:rsidR="004A1362" w:rsidRDefault="004A1362">
            <w:pPr>
              <w:jc w:val="center"/>
              <w:rPr>
                <w:rFonts w:cs="Arial"/>
                <w:sz w:val="20"/>
                <w:szCs w:val="20"/>
              </w:rPr>
            </w:pPr>
            <w:r>
              <w:rPr>
                <w:rFonts w:cs="Arial"/>
                <w:sz w:val="20"/>
                <w:szCs w:val="20"/>
              </w:rPr>
              <w:t>4.79</w:t>
            </w:r>
          </w:p>
        </w:tc>
        <w:tc>
          <w:tcPr>
            <w:tcW w:w="1440" w:type="dxa"/>
            <w:noWrap/>
            <w:vAlign w:val="center"/>
          </w:tcPr>
          <w:p w:rsidR="004A1362" w:rsidRDefault="004A1362">
            <w:pPr>
              <w:jc w:val="center"/>
              <w:rPr>
                <w:rFonts w:cs="Arial"/>
                <w:sz w:val="20"/>
                <w:szCs w:val="20"/>
              </w:rPr>
            </w:pPr>
            <w:r>
              <w:rPr>
                <w:rFonts w:cs="Arial"/>
                <w:sz w:val="20"/>
                <w:szCs w:val="20"/>
              </w:rPr>
              <w:t>3.02</w:t>
            </w:r>
          </w:p>
        </w:tc>
      </w:tr>
      <w:tr w:rsidR="004A1362" w:rsidRPr="00936A7B" w:rsidTr="00C27666">
        <w:trPr>
          <w:cnfStyle w:val="000000010000" w:firstRow="0" w:lastRow="0" w:firstColumn="0" w:lastColumn="0" w:oddVBand="0" w:evenVBand="0" w:oddHBand="0" w:evenHBand="1" w:firstRowFirstColumn="0" w:firstRowLastColumn="0" w:lastRowFirstColumn="0" w:lastRowLastColumn="0"/>
          <w:trHeight w:val="382"/>
        </w:trPr>
        <w:tc>
          <w:tcPr>
            <w:tcW w:w="3710" w:type="dxa"/>
            <w:noWrap/>
            <w:vAlign w:val="center"/>
          </w:tcPr>
          <w:p w:rsidR="004A1362" w:rsidRDefault="004A1362">
            <w:pPr>
              <w:rPr>
                <w:rFonts w:cs="Arial"/>
                <w:sz w:val="20"/>
                <w:szCs w:val="20"/>
              </w:rPr>
            </w:pPr>
            <w:r>
              <w:rPr>
                <w:rFonts w:cs="Arial"/>
                <w:sz w:val="20"/>
                <w:szCs w:val="20"/>
              </w:rPr>
              <w:t>% change from previous financial YTD</w:t>
            </w:r>
          </w:p>
        </w:tc>
        <w:tc>
          <w:tcPr>
            <w:tcW w:w="1439" w:type="dxa"/>
            <w:noWrap/>
            <w:vAlign w:val="center"/>
          </w:tcPr>
          <w:p w:rsidR="004A1362" w:rsidRDefault="004A1362">
            <w:pPr>
              <w:jc w:val="center"/>
              <w:rPr>
                <w:rFonts w:cs="Arial"/>
                <w:sz w:val="20"/>
                <w:szCs w:val="20"/>
              </w:rPr>
            </w:pPr>
            <w:r>
              <w:rPr>
                <w:rFonts w:cs="Arial"/>
                <w:sz w:val="20"/>
                <w:szCs w:val="20"/>
              </w:rPr>
              <w:t>15</w:t>
            </w:r>
          </w:p>
        </w:tc>
        <w:tc>
          <w:tcPr>
            <w:tcW w:w="1440" w:type="dxa"/>
            <w:noWrap/>
            <w:vAlign w:val="center"/>
          </w:tcPr>
          <w:p w:rsidR="004A1362" w:rsidRDefault="004A1362">
            <w:pPr>
              <w:jc w:val="center"/>
              <w:rPr>
                <w:rFonts w:cs="Arial"/>
                <w:sz w:val="20"/>
                <w:szCs w:val="20"/>
              </w:rPr>
            </w:pPr>
            <w:r>
              <w:rPr>
                <w:rFonts w:cs="Arial"/>
                <w:sz w:val="20"/>
                <w:szCs w:val="20"/>
              </w:rPr>
              <w:t>10</w:t>
            </w:r>
          </w:p>
        </w:tc>
        <w:tc>
          <w:tcPr>
            <w:tcW w:w="1439" w:type="dxa"/>
            <w:noWrap/>
            <w:vAlign w:val="center"/>
          </w:tcPr>
          <w:p w:rsidR="004A1362" w:rsidRDefault="004A1362">
            <w:pPr>
              <w:jc w:val="center"/>
              <w:rPr>
                <w:rFonts w:cs="Arial"/>
                <w:sz w:val="20"/>
                <w:szCs w:val="20"/>
              </w:rPr>
            </w:pPr>
            <w:r>
              <w:rPr>
                <w:rFonts w:cs="Arial"/>
                <w:sz w:val="20"/>
                <w:szCs w:val="20"/>
              </w:rPr>
              <w:t>14</w:t>
            </w:r>
          </w:p>
        </w:tc>
        <w:tc>
          <w:tcPr>
            <w:tcW w:w="1440" w:type="dxa"/>
            <w:noWrap/>
            <w:vAlign w:val="center"/>
          </w:tcPr>
          <w:p w:rsidR="004A1362" w:rsidRDefault="004A1362">
            <w:pPr>
              <w:jc w:val="center"/>
              <w:rPr>
                <w:rFonts w:cs="Arial"/>
                <w:sz w:val="20"/>
                <w:szCs w:val="20"/>
              </w:rPr>
            </w:pPr>
            <w:r>
              <w:rPr>
                <w:rFonts w:cs="Arial"/>
                <w:sz w:val="20"/>
                <w:szCs w:val="20"/>
              </w:rPr>
              <w:t>11</w:t>
            </w:r>
          </w:p>
        </w:tc>
      </w:tr>
    </w:tbl>
    <w:p w:rsidR="00FF0D8A" w:rsidRPr="008D4DAB" w:rsidRDefault="00FF0D8A" w:rsidP="00FF0D8A">
      <w:pPr>
        <w:pStyle w:val="AERbodytext"/>
        <w:spacing w:before="120" w:after="120"/>
        <w:jc w:val="both"/>
      </w:pPr>
      <w:r>
        <w:t>Figure</w:t>
      </w:r>
      <w:r w:rsidRPr="008D4DAB">
        <w:t xml:space="preserve"> 2 compare</w:t>
      </w:r>
      <w:r>
        <w:t>s</w:t>
      </w:r>
      <w:r w:rsidRPr="008D4DAB">
        <w:t xml:space="preserve"> average weekly gas prices, ancillary market payments and </w:t>
      </w:r>
      <w:r>
        <w:t>scheduled</w:t>
      </w:r>
      <w:r w:rsidRPr="008D4DAB">
        <w:t xml:space="preserve"> </w:t>
      </w:r>
      <w:r>
        <w:t>injections</w:t>
      </w:r>
      <w:r w:rsidRPr="008D4DAB">
        <w:t xml:space="preserve"> against historical averages for the </w:t>
      </w:r>
      <w:r>
        <w:t xml:space="preserve">Victorian </w:t>
      </w:r>
      <w:r w:rsidRPr="008D4DAB">
        <w:t>gas market.</w:t>
      </w:r>
    </w:p>
    <w:p w:rsidR="00D1641C" w:rsidRPr="006E7E57" w:rsidRDefault="00FF0D8A" w:rsidP="00D1641C">
      <w:pPr>
        <w:pStyle w:val="Heading2"/>
        <w:ind w:firstLine="0"/>
        <w:rPr>
          <w:i w:val="0"/>
          <w:color w:val="2272A3"/>
          <w:sz w:val="24"/>
          <w:szCs w:val="24"/>
        </w:rPr>
      </w:pPr>
      <w:r w:rsidRPr="006E7E57">
        <w:rPr>
          <w:i w:val="0"/>
          <w:color w:val="2272A3"/>
          <w:sz w:val="24"/>
          <w:szCs w:val="24"/>
        </w:rPr>
        <w:t>Victorian Gas Market</w:t>
      </w:r>
    </w:p>
    <w:tbl>
      <w:tblPr>
        <w:tblStyle w:val="AERTable-Text0"/>
        <w:tblW w:w="9468" w:type="dxa"/>
        <w:tblLayout w:type="fixed"/>
        <w:tblLook w:val="01E0" w:firstRow="1" w:lastRow="1" w:firstColumn="1" w:lastColumn="1" w:noHBand="0" w:noVBand="0"/>
      </w:tblPr>
      <w:tblGrid>
        <w:gridCol w:w="3708"/>
        <w:gridCol w:w="1440"/>
        <w:gridCol w:w="2160"/>
        <w:gridCol w:w="2160"/>
      </w:tblGrid>
      <w:tr w:rsidR="00FF0D8A" w:rsidRPr="006376D7" w:rsidTr="00FF0D8A">
        <w:trPr>
          <w:cnfStyle w:val="100000000000" w:firstRow="1" w:lastRow="0" w:firstColumn="0" w:lastColumn="0" w:oddVBand="0" w:evenVBand="0" w:oddHBand="0" w:evenHBand="0" w:firstRowFirstColumn="0" w:firstRowLastColumn="0" w:lastRowFirstColumn="0" w:lastRowLastColumn="0"/>
          <w:trHeight w:val="226"/>
        </w:trPr>
        <w:tc>
          <w:tcPr>
            <w:tcW w:w="3708" w:type="dxa"/>
            <w:noWrap/>
          </w:tcPr>
          <w:p w:rsidR="00FF0D8A" w:rsidRPr="002861A9" w:rsidRDefault="00FF0D8A" w:rsidP="00FF0D8A">
            <w:pPr>
              <w:keepNext/>
              <w:spacing w:before="40" w:after="40"/>
              <w:rPr>
                <w:rFonts w:cs="Arial"/>
                <w:b w:val="0"/>
                <w:bCs/>
                <w:sz w:val="20"/>
                <w:szCs w:val="20"/>
              </w:rPr>
            </w:pPr>
          </w:p>
        </w:tc>
        <w:tc>
          <w:tcPr>
            <w:tcW w:w="1440" w:type="dxa"/>
            <w:noWrap/>
          </w:tcPr>
          <w:p w:rsidR="00FF0D8A" w:rsidRPr="002861A9" w:rsidRDefault="00FF0D8A" w:rsidP="00FF0D8A">
            <w:pPr>
              <w:keepNext/>
              <w:spacing w:before="40" w:after="40"/>
              <w:jc w:val="center"/>
              <w:rPr>
                <w:rFonts w:cs="Arial"/>
                <w:b w:val="0"/>
                <w:bCs/>
                <w:sz w:val="20"/>
                <w:szCs w:val="20"/>
              </w:rPr>
            </w:pPr>
            <w:r w:rsidRPr="002861A9">
              <w:rPr>
                <w:rFonts w:cs="Arial"/>
                <w:bCs/>
                <w:sz w:val="20"/>
                <w:szCs w:val="20"/>
              </w:rPr>
              <w:t>Price ($/GJ)</w:t>
            </w:r>
          </w:p>
        </w:tc>
        <w:tc>
          <w:tcPr>
            <w:tcW w:w="2160" w:type="dxa"/>
            <w:noWrap/>
          </w:tcPr>
          <w:p w:rsidR="00FF0D8A" w:rsidRPr="002861A9" w:rsidRDefault="00FF0D8A" w:rsidP="00FF0D8A">
            <w:pPr>
              <w:keepNext/>
              <w:spacing w:before="40" w:after="40"/>
              <w:jc w:val="center"/>
              <w:rPr>
                <w:rFonts w:cs="Arial"/>
                <w:b w:val="0"/>
                <w:bCs/>
                <w:sz w:val="20"/>
                <w:szCs w:val="20"/>
              </w:rPr>
            </w:pPr>
            <w:r w:rsidRPr="002861A9">
              <w:rPr>
                <w:rFonts w:cs="Arial"/>
                <w:bCs/>
                <w:sz w:val="20"/>
                <w:szCs w:val="20"/>
              </w:rPr>
              <w:t>Ancillary payments ($000)</w:t>
            </w:r>
            <w:r>
              <w:rPr>
                <w:rFonts w:cs="Arial"/>
                <w:bCs/>
                <w:sz w:val="20"/>
                <w:szCs w:val="20"/>
              </w:rPr>
              <w:t>*</w:t>
            </w:r>
          </w:p>
        </w:tc>
        <w:tc>
          <w:tcPr>
            <w:tcW w:w="2160" w:type="dxa"/>
            <w:noWrap/>
          </w:tcPr>
          <w:p w:rsidR="00FF0D8A" w:rsidRPr="002861A9" w:rsidRDefault="00FF0D8A" w:rsidP="00FF0D8A">
            <w:pPr>
              <w:keepNext/>
              <w:spacing w:before="40" w:after="40"/>
              <w:jc w:val="center"/>
              <w:rPr>
                <w:rFonts w:cs="Arial"/>
                <w:b w:val="0"/>
                <w:bCs/>
                <w:sz w:val="20"/>
                <w:szCs w:val="20"/>
              </w:rPr>
            </w:pPr>
            <w:r w:rsidRPr="002861A9">
              <w:rPr>
                <w:rFonts w:cs="Arial"/>
                <w:bCs/>
                <w:sz w:val="20"/>
                <w:szCs w:val="20"/>
              </w:rPr>
              <w:t>BOD forecast demand quantity (TJ)</w:t>
            </w:r>
          </w:p>
        </w:tc>
      </w:tr>
      <w:tr w:rsidR="004A1362" w:rsidRPr="006376D7" w:rsidTr="009B0153">
        <w:trPr>
          <w:trHeight w:val="382"/>
        </w:trPr>
        <w:tc>
          <w:tcPr>
            <w:tcW w:w="3708" w:type="dxa"/>
            <w:noWrap/>
            <w:vAlign w:val="center"/>
          </w:tcPr>
          <w:p w:rsidR="004A1362" w:rsidRDefault="004A1362">
            <w:pPr>
              <w:rPr>
                <w:rFonts w:cs="Arial"/>
                <w:sz w:val="20"/>
                <w:szCs w:val="20"/>
              </w:rPr>
            </w:pPr>
            <w:r>
              <w:rPr>
                <w:rFonts w:cs="Arial"/>
                <w:sz w:val="20"/>
                <w:szCs w:val="20"/>
              </w:rPr>
              <w:t>05 Jul - 11 Jul 2015</w:t>
            </w:r>
          </w:p>
        </w:tc>
        <w:tc>
          <w:tcPr>
            <w:tcW w:w="1440" w:type="dxa"/>
            <w:noWrap/>
            <w:vAlign w:val="center"/>
          </w:tcPr>
          <w:p w:rsidR="004A1362" w:rsidRDefault="004A1362">
            <w:pPr>
              <w:jc w:val="center"/>
              <w:rPr>
                <w:rFonts w:cs="Arial"/>
                <w:sz w:val="20"/>
                <w:szCs w:val="20"/>
              </w:rPr>
            </w:pPr>
            <w:r>
              <w:rPr>
                <w:rFonts w:cs="Arial"/>
                <w:sz w:val="20"/>
                <w:szCs w:val="20"/>
              </w:rPr>
              <w:t>4.32</w:t>
            </w:r>
          </w:p>
        </w:tc>
        <w:tc>
          <w:tcPr>
            <w:tcW w:w="2160" w:type="dxa"/>
            <w:noWrap/>
            <w:vAlign w:val="center"/>
          </w:tcPr>
          <w:p w:rsidR="004A1362" w:rsidRDefault="004A1362">
            <w:pPr>
              <w:jc w:val="center"/>
              <w:rPr>
                <w:rFonts w:cs="Arial"/>
                <w:sz w:val="20"/>
                <w:szCs w:val="20"/>
              </w:rPr>
            </w:pPr>
            <w:r>
              <w:rPr>
                <w:rFonts w:cs="Arial"/>
                <w:sz w:val="20"/>
                <w:szCs w:val="20"/>
              </w:rPr>
              <w:t>-</w:t>
            </w:r>
          </w:p>
        </w:tc>
        <w:tc>
          <w:tcPr>
            <w:tcW w:w="2160" w:type="dxa"/>
            <w:noWrap/>
            <w:vAlign w:val="center"/>
          </w:tcPr>
          <w:p w:rsidR="004A1362" w:rsidRDefault="004A1362">
            <w:pPr>
              <w:jc w:val="center"/>
              <w:rPr>
                <w:rFonts w:cs="Arial"/>
                <w:sz w:val="20"/>
                <w:szCs w:val="20"/>
              </w:rPr>
            </w:pPr>
            <w:r>
              <w:rPr>
                <w:rFonts w:cs="Arial"/>
                <w:sz w:val="20"/>
                <w:szCs w:val="20"/>
              </w:rPr>
              <w:t>975</w:t>
            </w:r>
          </w:p>
        </w:tc>
      </w:tr>
      <w:tr w:rsidR="004A1362" w:rsidRPr="006376D7" w:rsidTr="009B0153">
        <w:trPr>
          <w:cnfStyle w:val="000000010000" w:firstRow="0" w:lastRow="0" w:firstColumn="0" w:lastColumn="0" w:oddVBand="0" w:evenVBand="0" w:oddHBand="0" w:evenHBand="1" w:firstRowFirstColumn="0" w:firstRowLastColumn="0" w:lastRowFirstColumn="0" w:lastRowLastColumn="0"/>
          <w:trHeight w:val="382"/>
        </w:trPr>
        <w:tc>
          <w:tcPr>
            <w:tcW w:w="3708" w:type="dxa"/>
            <w:noWrap/>
            <w:vAlign w:val="center"/>
          </w:tcPr>
          <w:p w:rsidR="004A1362" w:rsidRDefault="004A1362">
            <w:pPr>
              <w:rPr>
                <w:rFonts w:cs="Arial"/>
                <w:sz w:val="20"/>
                <w:szCs w:val="20"/>
              </w:rPr>
            </w:pPr>
            <w:r>
              <w:rPr>
                <w:rFonts w:cs="Arial"/>
                <w:sz w:val="20"/>
                <w:szCs w:val="20"/>
              </w:rPr>
              <w:t>% change from previous week</w:t>
            </w:r>
          </w:p>
        </w:tc>
        <w:tc>
          <w:tcPr>
            <w:tcW w:w="1440" w:type="dxa"/>
            <w:noWrap/>
            <w:vAlign w:val="center"/>
          </w:tcPr>
          <w:p w:rsidR="004A1362" w:rsidRDefault="004A1362">
            <w:pPr>
              <w:jc w:val="center"/>
              <w:rPr>
                <w:rFonts w:cs="Arial"/>
                <w:sz w:val="20"/>
                <w:szCs w:val="20"/>
              </w:rPr>
            </w:pPr>
            <w:r>
              <w:rPr>
                <w:rFonts w:cs="Arial"/>
                <w:sz w:val="20"/>
                <w:szCs w:val="20"/>
              </w:rPr>
              <w:t>-1</w:t>
            </w:r>
          </w:p>
        </w:tc>
        <w:tc>
          <w:tcPr>
            <w:tcW w:w="2160" w:type="dxa"/>
            <w:noWrap/>
            <w:vAlign w:val="center"/>
          </w:tcPr>
          <w:p w:rsidR="004A1362" w:rsidRDefault="004A1362">
            <w:pPr>
              <w:jc w:val="center"/>
              <w:rPr>
                <w:rFonts w:cs="Arial"/>
                <w:sz w:val="20"/>
                <w:szCs w:val="20"/>
              </w:rPr>
            </w:pPr>
            <w:r>
              <w:rPr>
                <w:rFonts w:cs="Arial"/>
                <w:sz w:val="20"/>
                <w:szCs w:val="20"/>
              </w:rPr>
              <w:t>-</w:t>
            </w:r>
          </w:p>
        </w:tc>
        <w:tc>
          <w:tcPr>
            <w:tcW w:w="2160" w:type="dxa"/>
            <w:noWrap/>
            <w:vAlign w:val="center"/>
          </w:tcPr>
          <w:p w:rsidR="004A1362" w:rsidRDefault="004A1362">
            <w:pPr>
              <w:jc w:val="center"/>
              <w:rPr>
                <w:rFonts w:cs="Arial"/>
                <w:sz w:val="20"/>
                <w:szCs w:val="20"/>
              </w:rPr>
            </w:pPr>
            <w:r>
              <w:rPr>
                <w:rFonts w:cs="Arial"/>
                <w:sz w:val="20"/>
                <w:szCs w:val="20"/>
              </w:rPr>
              <w:t>0</w:t>
            </w:r>
          </w:p>
        </w:tc>
      </w:tr>
      <w:tr w:rsidR="004A1362" w:rsidRPr="006376D7" w:rsidTr="009B0153">
        <w:trPr>
          <w:trHeight w:val="382"/>
        </w:trPr>
        <w:tc>
          <w:tcPr>
            <w:tcW w:w="3708" w:type="dxa"/>
            <w:noWrap/>
            <w:vAlign w:val="center"/>
          </w:tcPr>
          <w:p w:rsidR="004A1362" w:rsidRDefault="004A1362">
            <w:pPr>
              <w:rPr>
                <w:rFonts w:cs="Arial"/>
                <w:sz w:val="20"/>
                <w:szCs w:val="20"/>
              </w:rPr>
            </w:pPr>
            <w:r>
              <w:rPr>
                <w:rFonts w:cs="Arial"/>
                <w:sz w:val="20"/>
                <w:szCs w:val="20"/>
              </w:rPr>
              <w:t>15-16 financial YTD</w:t>
            </w:r>
          </w:p>
        </w:tc>
        <w:tc>
          <w:tcPr>
            <w:tcW w:w="1440" w:type="dxa"/>
            <w:noWrap/>
            <w:vAlign w:val="center"/>
          </w:tcPr>
          <w:p w:rsidR="004A1362" w:rsidRDefault="004A1362">
            <w:pPr>
              <w:jc w:val="center"/>
              <w:rPr>
                <w:rFonts w:cs="Arial"/>
                <w:sz w:val="20"/>
                <w:szCs w:val="20"/>
              </w:rPr>
            </w:pPr>
            <w:r>
              <w:rPr>
                <w:rFonts w:cs="Arial"/>
                <w:sz w:val="20"/>
                <w:szCs w:val="20"/>
              </w:rPr>
              <w:t>4.39</w:t>
            </w:r>
          </w:p>
        </w:tc>
        <w:tc>
          <w:tcPr>
            <w:tcW w:w="2160" w:type="dxa"/>
            <w:noWrap/>
            <w:vAlign w:val="center"/>
          </w:tcPr>
          <w:p w:rsidR="004A1362" w:rsidRDefault="004A1362">
            <w:pPr>
              <w:jc w:val="center"/>
              <w:rPr>
                <w:rFonts w:cs="Arial"/>
                <w:sz w:val="20"/>
                <w:szCs w:val="20"/>
              </w:rPr>
            </w:pPr>
            <w:r>
              <w:rPr>
                <w:rFonts w:cs="Arial"/>
                <w:sz w:val="20"/>
                <w:szCs w:val="20"/>
              </w:rPr>
              <w:t>-</w:t>
            </w:r>
          </w:p>
        </w:tc>
        <w:tc>
          <w:tcPr>
            <w:tcW w:w="2160" w:type="dxa"/>
            <w:noWrap/>
            <w:vAlign w:val="center"/>
          </w:tcPr>
          <w:p w:rsidR="004A1362" w:rsidRDefault="004A1362">
            <w:pPr>
              <w:jc w:val="center"/>
              <w:rPr>
                <w:rFonts w:cs="Arial"/>
                <w:sz w:val="20"/>
                <w:szCs w:val="20"/>
              </w:rPr>
            </w:pPr>
            <w:r>
              <w:rPr>
                <w:rFonts w:cs="Arial"/>
                <w:sz w:val="20"/>
                <w:szCs w:val="20"/>
              </w:rPr>
              <w:t>990</w:t>
            </w:r>
          </w:p>
        </w:tc>
      </w:tr>
      <w:tr w:rsidR="004A1362" w:rsidRPr="006376D7" w:rsidTr="009B0153">
        <w:trPr>
          <w:cnfStyle w:val="000000010000" w:firstRow="0" w:lastRow="0" w:firstColumn="0" w:lastColumn="0" w:oddVBand="0" w:evenVBand="0" w:oddHBand="0" w:evenHBand="1" w:firstRowFirstColumn="0" w:firstRowLastColumn="0" w:lastRowFirstColumn="0" w:lastRowLastColumn="0"/>
          <w:trHeight w:val="382"/>
        </w:trPr>
        <w:tc>
          <w:tcPr>
            <w:tcW w:w="3708" w:type="dxa"/>
            <w:noWrap/>
            <w:vAlign w:val="center"/>
          </w:tcPr>
          <w:p w:rsidR="004A1362" w:rsidRDefault="004A1362">
            <w:pPr>
              <w:rPr>
                <w:rFonts w:cs="Arial"/>
                <w:sz w:val="20"/>
                <w:szCs w:val="20"/>
              </w:rPr>
            </w:pPr>
            <w:r>
              <w:rPr>
                <w:rFonts w:cs="Arial"/>
                <w:sz w:val="20"/>
                <w:szCs w:val="20"/>
              </w:rPr>
              <w:t xml:space="preserve">% change from previous financial YTD </w:t>
            </w:r>
          </w:p>
        </w:tc>
        <w:tc>
          <w:tcPr>
            <w:tcW w:w="1440" w:type="dxa"/>
            <w:noWrap/>
            <w:vAlign w:val="center"/>
          </w:tcPr>
          <w:p w:rsidR="004A1362" w:rsidRDefault="004A1362">
            <w:pPr>
              <w:jc w:val="center"/>
              <w:rPr>
                <w:rFonts w:cs="Arial"/>
                <w:sz w:val="20"/>
                <w:szCs w:val="20"/>
              </w:rPr>
            </w:pPr>
            <w:r>
              <w:rPr>
                <w:rFonts w:cs="Arial"/>
                <w:sz w:val="20"/>
                <w:szCs w:val="20"/>
              </w:rPr>
              <w:t>15</w:t>
            </w:r>
          </w:p>
        </w:tc>
        <w:tc>
          <w:tcPr>
            <w:tcW w:w="2160" w:type="dxa"/>
            <w:noWrap/>
            <w:vAlign w:val="center"/>
          </w:tcPr>
          <w:p w:rsidR="004A1362" w:rsidRDefault="004A1362">
            <w:pPr>
              <w:jc w:val="center"/>
              <w:rPr>
                <w:rFonts w:cs="Arial"/>
                <w:sz w:val="20"/>
                <w:szCs w:val="20"/>
              </w:rPr>
            </w:pPr>
            <w:r>
              <w:rPr>
                <w:rFonts w:cs="Arial"/>
                <w:sz w:val="20"/>
                <w:szCs w:val="20"/>
              </w:rPr>
              <w:t>-</w:t>
            </w:r>
          </w:p>
        </w:tc>
        <w:tc>
          <w:tcPr>
            <w:tcW w:w="2160" w:type="dxa"/>
            <w:noWrap/>
            <w:vAlign w:val="center"/>
          </w:tcPr>
          <w:p w:rsidR="004A1362" w:rsidRDefault="004A1362">
            <w:pPr>
              <w:jc w:val="center"/>
              <w:rPr>
                <w:rFonts w:cs="Arial"/>
                <w:sz w:val="20"/>
                <w:szCs w:val="20"/>
              </w:rPr>
            </w:pPr>
            <w:r>
              <w:rPr>
                <w:rFonts w:cs="Arial"/>
                <w:sz w:val="20"/>
                <w:szCs w:val="20"/>
              </w:rPr>
              <w:t>7</w:t>
            </w:r>
          </w:p>
        </w:tc>
      </w:tr>
    </w:tbl>
    <w:p w:rsidR="00FF0D8A" w:rsidRDefault="00FF0D8A" w:rsidP="00FF0D8A">
      <w:pPr>
        <w:pStyle w:val="AERbodytext"/>
        <w:spacing w:before="120" w:after="120"/>
        <w:jc w:val="both"/>
      </w:pPr>
      <w:r w:rsidRPr="006619E5">
        <w:rPr>
          <w:sz w:val="20"/>
        </w:rPr>
        <w:lastRenderedPageBreak/>
        <w:t>*</w:t>
      </w:r>
      <w:r w:rsidRPr="001420EB">
        <w:rPr>
          <w:sz w:val="20"/>
        </w:rPr>
        <w:t xml:space="preserve"> </w:t>
      </w:r>
      <w:r w:rsidRPr="006619E5">
        <w:rPr>
          <w:sz w:val="20"/>
        </w:rPr>
        <w:t>Note: only positive ancillary payments, reflecting system con</w:t>
      </w:r>
      <w:r>
        <w:rPr>
          <w:sz w:val="20"/>
        </w:rPr>
        <w:t>straints will be shown here.</w:t>
      </w:r>
      <w:r>
        <w:t xml:space="preserve"> </w:t>
      </w:r>
    </w:p>
    <w:p w:rsidR="00FF0D8A" w:rsidRDefault="00FF0D8A" w:rsidP="00FF0D8A">
      <w:pPr>
        <w:pStyle w:val="AERbodytext"/>
        <w:spacing w:before="120" w:after="120"/>
        <w:jc w:val="both"/>
      </w:pPr>
      <w:r>
        <w:t>More</w:t>
      </w:r>
      <w:r w:rsidRPr="00D329E0">
        <w:t xml:space="preserve"> </w:t>
      </w:r>
      <w:r>
        <w:t xml:space="preserve">detailed </w:t>
      </w:r>
      <w:r w:rsidRPr="00D329E0">
        <w:t xml:space="preserve">analysis on the </w:t>
      </w:r>
      <w:r>
        <w:t>VGM is provided in section 1</w:t>
      </w:r>
      <w:r w:rsidRPr="00D329E0">
        <w:t xml:space="preserve">. </w:t>
      </w:r>
    </w:p>
    <w:p w:rsidR="00FF0D8A" w:rsidRPr="008D4DAB" w:rsidRDefault="00FF0D8A" w:rsidP="00FF0D8A">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Market Operator Service </w:t>
      </w:r>
      <w:r w:rsidRPr="00950C55">
        <w:rPr>
          <w:b/>
        </w:rPr>
        <w:t>(MOS)</w:t>
      </w:r>
      <w:r>
        <w:t xml:space="preserve"> balancing gas service payments together with the related daily</w:t>
      </w:r>
      <w:r w:rsidRPr="008D4DAB">
        <w:t xml:space="preserve"> demand </w:t>
      </w:r>
      <w:r>
        <w:t xml:space="preserve">quantities against </w:t>
      </w:r>
      <w:r w:rsidRPr="008D4DAB">
        <w:t xml:space="preserve">historical averages </w:t>
      </w:r>
      <w:r>
        <w:t>for the Sydney, Adelaide and Brisbane STTM hubs, respectively.</w:t>
      </w:r>
    </w:p>
    <w:p w:rsidR="00D1641C" w:rsidRPr="006E7E57" w:rsidRDefault="006E7E57" w:rsidP="00D1641C">
      <w:pPr>
        <w:pStyle w:val="Heading2"/>
        <w:ind w:firstLine="0"/>
        <w:rPr>
          <w:i w:val="0"/>
          <w:color w:val="2272A3"/>
          <w:sz w:val="24"/>
          <w:szCs w:val="24"/>
        </w:rPr>
      </w:pPr>
      <w:r>
        <w:rPr>
          <w:i w:val="0"/>
          <w:color w:val="2272A3"/>
          <w:sz w:val="24"/>
          <w:szCs w:val="24"/>
        </w:rPr>
        <w:t>Sydney STTM</w:t>
      </w:r>
    </w:p>
    <w:tbl>
      <w:tblPr>
        <w:tblStyle w:val="AERTable-Text0"/>
        <w:tblW w:w="9288" w:type="dxa"/>
        <w:tblLayout w:type="fixed"/>
        <w:tblLook w:val="01E0" w:firstRow="1" w:lastRow="1" w:firstColumn="1" w:lastColumn="1" w:noHBand="0" w:noVBand="0"/>
      </w:tblPr>
      <w:tblGrid>
        <w:gridCol w:w="2670"/>
        <w:gridCol w:w="1359"/>
        <w:gridCol w:w="1360"/>
        <w:gridCol w:w="1359"/>
        <w:gridCol w:w="1280"/>
        <w:gridCol w:w="1260"/>
      </w:tblGrid>
      <w:tr w:rsidR="006E7E57" w:rsidRPr="00900CEB" w:rsidTr="00B71928">
        <w:trPr>
          <w:cnfStyle w:val="100000000000" w:firstRow="1" w:lastRow="0" w:firstColumn="0" w:lastColumn="0" w:oddVBand="0" w:evenVBand="0" w:oddHBand="0" w:evenHBand="0" w:firstRowFirstColumn="0" w:firstRowLastColumn="0" w:lastRowFirstColumn="0" w:lastRowLastColumn="0"/>
          <w:trHeight w:val="226"/>
        </w:trPr>
        <w:tc>
          <w:tcPr>
            <w:tcW w:w="2670" w:type="dxa"/>
            <w:noWrap/>
          </w:tcPr>
          <w:p w:rsidR="006E7E57" w:rsidRPr="002861A9" w:rsidRDefault="006E7E57" w:rsidP="00B71928">
            <w:pPr>
              <w:keepNext/>
              <w:spacing w:before="40" w:after="40"/>
              <w:rPr>
                <w:rFonts w:cs="Arial"/>
                <w:b w:val="0"/>
                <w:bCs/>
                <w:sz w:val="20"/>
                <w:szCs w:val="20"/>
              </w:rPr>
            </w:pPr>
            <w:r w:rsidRPr="002861A9">
              <w:rPr>
                <w:rFonts w:cs="Arial"/>
                <w:bCs/>
                <w:sz w:val="20"/>
                <w:szCs w:val="20"/>
              </w:rPr>
              <w:t> </w:t>
            </w:r>
          </w:p>
        </w:tc>
        <w:tc>
          <w:tcPr>
            <w:tcW w:w="135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price ($/GJ)</w:t>
            </w:r>
          </w:p>
        </w:tc>
        <w:tc>
          <w:tcPr>
            <w:tcW w:w="13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price ($/GJ)</w:t>
            </w:r>
          </w:p>
        </w:tc>
        <w:tc>
          <w:tcPr>
            <w:tcW w:w="135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MOS payments ($000)</w:t>
            </w:r>
          </w:p>
        </w:tc>
        <w:tc>
          <w:tcPr>
            <w:tcW w:w="128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quantity (TJ)</w:t>
            </w:r>
          </w:p>
        </w:tc>
        <w:tc>
          <w:tcPr>
            <w:tcW w:w="12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quantity (TJ)</w:t>
            </w:r>
          </w:p>
        </w:tc>
      </w:tr>
      <w:tr w:rsidR="004A1362" w:rsidRPr="002861A9" w:rsidTr="005D0FFE">
        <w:trPr>
          <w:trHeight w:val="382"/>
        </w:trPr>
        <w:tc>
          <w:tcPr>
            <w:tcW w:w="2670" w:type="dxa"/>
            <w:noWrap/>
            <w:vAlign w:val="center"/>
          </w:tcPr>
          <w:p w:rsidR="004A1362" w:rsidRDefault="004A1362">
            <w:pPr>
              <w:rPr>
                <w:rFonts w:cs="Arial"/>
                <w:sz w:val="20"/>
                <w:szCs w:val="20"/>
              </w:rPr>
            </w:pPr>
            <w:r>
              <w:rPr>
                <w:rFonts w:cs="Arial"/>
                <w:sz w:val="20"/>
                <w:szCs w:val="20"/>
              </w:rPr>
              <w:t>05 Jul - 11 Jul 2015</w:t>
            </w:r>
          </w:p>
        </w:tc>
        <w:tc>
          <w:tcPr>
            <w:tcW w:w="1359" w:type="dxa"/>
            <w:noWrap/>
            <w:vAlign w:val="center"/>
          </w:tcPr>
          <w:p w:rsidR="004A1362" w:rsidRDefault="004A1362">
            <w:pPr>
              <w:jc w:val="center"/>
              <w:rPr>
                <w:rFonts w:cs="Arial"/>
                <w:sz w:val="20"/>
                <w:szCs w:val="20"/>
              </w:rPr>
            </w:pPr>
            <w:r>
              <w:rPr>
                <w:rFonts w:cs="Arial"/>
                <w:sz w:val="20"/>
                <w:szCs w:val="20"/>
              </w:rPr>
              <w:t>5.22</w:t>
            </w:r>
          </w:p>
        </w:tc>
        <w:tc>
          <w:tcPr>
            <w:tcW w:w="1360" w:type="dxa"/>
            <w:noWrap/>
            <w:vAlign w:val="center"/>
          </w:tcPr>
          <w:p w:rsidR="004A1362" w:rsidRDefault="004A1362">
            <w:pPr>
              <w:jc w:val="center"/>
              <w:rPr>
                <w:rFonts w:cs="Arial"/>
                <w:sz w:val="20"/>
                <w:szCs w:val="20"/>
              </w:rPr>
            </w:pPr>
            <w:r>
              <w:rPr>
                <w:rFonts w:cs="Arial"/>
                <w:sz w:val="20"/>
                <w:szCs w:val="20"/>
              </w:rPr>
              <w:t>5.28</w:t>
            </w:r>
          </w:p>
        </w:tc>
        <w:tc>
          <w:tcPr>
            <w:tcW w:w="1359" w:type="dxa"/>
            <w:noWrap/>
            <w:vAlign w:val="center"/>
          </w:tcPr>
          <w:p w:rsidR="004A1362" w:rsidRDefault="004A1362">
            <w:pPr>
              <w:jc w:val="center"/>
              <w:rPr>
                <w:rFonts w:cs="Arial"/>
                <w:sz w:val="20"/>
                <w:szCs w:val="20"/>
              </w:rPr>
            </w:pPr>
            <w:r>
              <w:rPr>
                <w:rFonts w:cs="Arial"/>
                <w:sz w:val="20"/>
                <w:szCs w:val="20"/>
              </w:rPr>
              <w:t>37.79</w:t>
            </w:r>
          </w:p>
        </w:tc>
        <w:tc>
          <w:tcPr>
            <w:tcW w:w="1280" w:type="dxa"/>
            <w:noWrap/>
            <w:vAlign w:val="center"/>
          </w:tcPr>
          <w:p w:rsidR="004A1362" w:rsidRDefault="004A1362">
            <w:pPr>
              <w:jc w:val="center"/>
              <w:rPr>
                <w:rFonts w:cs="Arial"/>
                <w:sz w:val="20"/>
                <w:szCs w:val="20"/>
              </w:rPr>
            </w:pPr>
            <w:r>
              <w:rPr>
                <w:rFonts w:cs="Arial"/>
                <w:sz w:val="20"/>
                <w:szCs w:val="20"/>
              </w:rPr>
              <w:t>300</w:t>
            </w:r>
          </w:p>
        </w:tc>
        <w:tc>
          <w:tcPr>
            <w:tcW w:w="1260" w:type="dxa"/>
            <w:noWrap/>
            <w:vAlign w:val="center"/>
          </w:tcPr>
          <w:p w:rsidR="004A1362" w:rsidRDefault="004A1362">
            <w:pPr>
              <w:jc w:val="center"/>
              <w:rPr>
                <w:rFonts w:cs="Arial"/>
                <w:sz w:val="20"/>
                <w:szCs w:val="20"/>
              </w:rPr>
            </w:pPr>
            <w:r>
              <w:rPr>
                <w:rFonts w:cs="Arial"/>
                <w:sz w:val="20"/>
                <w:szCs w:val="20"/>
              </w:rPr>
              <w:t>305</w:t>
            </w:r>
          </w:p>
        </w:tc>
      </w:tr>
      <w:tr w:rsidR="004A1362" w:rsidRPr="002861A9" w:rsidTr="005D0FFE">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4A1362" w:rsidRDefault="004A1362">
            <w:pPr>
              <w:rPr>
                <w:rFonts w:cs="Arial"/>
                <w:sz w:val="20"/>
                <w:szCs w:val="20"/>
              </w:rPr>
            </w:pPr>
            <w:r>
              <w:rPr>
                <w:rFonts w:cs="Arial"/>
                <w:sz w:val="20"/>
                <w:szCs w:val="20"/>
              </w:rPr>
              <w:t>% change from previous week</w:t>
            </w:r>
          </w:p>
        </w:tc>
        <w:tc>
          <w:tcPr>
            <w:tcW w:w="1359" w:type="dxa"/>
            <w:noWrap/>
            <w:vAlign w:val="center"/>
          </w:tcPr>
          <w:p w:rsidR="004A1362" w:rsidRDefault="004A1362">
            <w:pPr>
              <w:jc w:val="center"/>
              <w:rPr>
                <w:rFonts w:cs="Arial"/>
                <w:sz w:val="20"/>
                <w:szCs w:val="20"/>
              </w:rPr>
            </w:pPr>
            <w:r>
              <w:rPr>
                <w:rFonts w:cs="Arial"/>
                <w:sz w:val="20"/>
                <w:szCs w:val="20"/>
              </w:rPr>
              <w:t>56</w:t>
            </w:r>
          </w:p>
        </w:tc>
        <w:tc>
          <w:tcPr>
            <w:tcW w:w="1360" w:type="dxa"/>
            <w:noWrap/>
            <w:vAlign w:val="center"/>
          </w:tcPr>
          <w:p w:rsidR="004A1362" w:rsidRDefault="004A1362">
            <w:pPr>
              <w:jc w:val="center"/>
              <w:rPr>
                <w:rFonts w:cs="Arial"/>
                <w:sz w:val="20"/>
                <w:szCs w:val="20"/>
              </w:rPr>
            </w:pPr>
            <w:r>
              <w:rPr>
                <w:rFonts w:cs="Arial"/>
                <w:sz w:val="20"/>
                <w:szCs w:val="20"/>
              </w:rPr>
              <w:t>61</w:t>
            </w:r>
          </w:p>
        </w:tc>
        <w:tc>
          <w:tcPr>
            <w:tcW w:w="1359" w:type="dxa"/>
            <w:noWrap/>
            <w:vAlign w:val="center"/>
          </w:tcPr>
          <w:p w:rsidR="004A1362" w:rsidRDefault="004A1362">
            <w:pPr>
              <w:jc w:val="center"/>
              <w:rPr>
                <w:rFonts w:cs="Arial"/>
                <w:sz w:val="20"/>
                <w:szCs w:val="20"/>
              </w:rPr>
            </w:pPr>
            <w:r>
              <w:rPr>
                <w:rFonts w:cs="Arial"/>
                <w:sz w:val="20"/>
                <w:szCs w:val="20"/>
              </w:rPr>
              <w:t>16</w:t>
            </w:r>
          </w:p>
        </w:tc>
        <w:tc>
          <w:tcPr>
            <w:tcW w:w="1280" w:type="dxa"/>
            <w:noWrap/>
            <w:vAlign w:val="center"/>
          </w:tcPr>
          <w:p w:rsidR="004A1362" w:rsidRDefault="004A1362">
            <w:pPr>
              <w:jc w:val="center"/>
              <w:rPr>
                <w:rFonts w:cs="Arial"/>
                <w:sz w:val="20"/>
                <w:szCs w:val="20"/>
              </w:rPr>
            </w:pPr>
            <w:r>
              <w:rPr>
                <w:rFonts w:cs="Arial"/>
                <w:sz w:val="20"/>
                <w:szCs w:val="20"/>
              </w:rPr>
              <w:t>1</w:t>
            </w:r>
          </w:p>
        </w:tc>
        <w:tc>
          <w:tcPr>
            <w:tcW w:w="1260" w:type="dxa"/>
            <w:noWrap/>
            <w:vAlign w:val="center"/>
          </w:tcPr>
          <w:p w:rsidR="004A1362" w:rsidRDefault="004A1362">
            <w:pPr>
              <w:jc w:val="center"/>
              <w:rPr>
                <w:rFonts w:cs="Arial"/>
                <w:sz w:val="20"/>
                <w:szCs w:val="20"/>
              </w:rPr>
            </w:pPr>
            <w:r>
              <w:rPr>
                <w:rFonts w:cs="Arial"/>
                <w:sz w:val="20"/>
                <w:szCs w:val="20"/>
              </w:rPr>
              <w:t>3</w:t>
            </w:r>
          </w:p>
        </w:tc>
      </w:tr>
      <w:tr w:rsidR="004A1362" w:rsidRPr="002861A9" w:rsidTr="005D0FFE">
        <w:trPr>
          <w:trHeight w:val="382"/>
        </w:trPr>
        <w:tc>
          <w:tcPr>
            <w:tcW w:w="2670" w:type="dxa"/>
            <w:noWrap/>
            <w:vAlign w:val="center"/>
          </w:tcPr>
          <w:p w:rsidR="004A1362" w:rsidRDefault="004A1362">
            <w:pPr>
              <w:rPr>
                <w:rFonts w:cs="Arial"/>
                <w:sz w:val="20"/>
                <w:szCs w:val="20"/>
              </w:rPr>
            </w:pPr>
            <w:r>
              <w:rPr>
                <w:rFonts w:cs="Arial"/>
                <w:sz w:val="20"/>
                <w:szCs w:val="20"/>
              </w:rPr>
              <w:t>15-16 financial YTD</w:t>
            </w:r>
          </w:p>
        </w:tc>
        <w:tc>
          <w:tcPr>
            <w:tcW w:w="1359" w:type="dxa"/>
            <w:noWrap/>
            <w:vAlign w:val="center"/>
          </w:tcPr>
          <w:p w:rsidR="004A1362" w:rsidRDefault="004A1362">
            <w:pPr>
              <w:jc w:val="center"/>
              <w:rPr>
                <w:rFonts w:cs="Arial"/>
                <w:sz w:val="20"/>
                <w:szCs w:val="20"/>
              </w:rPr>
            </w:pPr>
            <w:r>
              <w:rPr>
                <w:rFonts w:cs="Arial"/>
                <w:sz w:val="20"/>
                <w:szCs w:val="20"/>
              </w:rPr>
              <w:t>4.56</w:t>
            </w:r>
          </w:p>
        </w:tc>
        <w:tc>
          <w:tcPr>
            <w:tcW w:w="1360" w:type="dxa"/>
            <w:noWrap/>
            <w:vAlign w:val="center"/>
          </w:tcPr>
          <w:p w:rsidR="004A1362" w:rsidRDefault="004A1362">
            <w:pPr>
              <w:jc w:val="center"/>
              <w:rPr>
                <w:rFonts w:cs="Arial"/>
                <w:sz w:val="20"/>
                <w:szCs w:val="20"/>
              </w:rPr>
            </w:pPr>
            <w:r>
              <w:rPr>
                <w:rFonts w:cs="Arial"/>
                <w:sz w:val="20"/>
                <w:szCs w:val="20"/>
              </w:rPr>
              <w:t>4.56</w:t>
            </w:r>
          </w:p>
        </w:tc>
        <w:tc>
          <w:tcPr>
            <w:tcW w:w="1359" w:type="dxa"/>
            <w:noWrap/>
            <w:vAlign w:val="center"/>
          </w:tcPr>
          <w:p w:rsidR="004A1362" w:rsidRDefault="004A1362">
            <w:pPr>
              <w:jc w:val="center"/>
              <w:rPr>
                <w:rFonts w:cs="Arial"/>
                <w:sz w:val="20"/>
                <w:szCs w:val="20"/>
              </w:rPr>
            </w:pPr>
            <w:r>
              <w:rPr>
                <w:rFonts w:cs="Arial"/>
                <w:sz w:val="20"/>
                <w:szCs w:val="20"/>
              </w:rPr>
              <w:t>39.01</w:t>
            </w:r>
          </w:p>
        </w:tc>
        <w:tc>
          <w:tcPr>
            <w:tcW w:w="1280" w:type="dxa"/>
            <w:noWrap/>
            <w:vAlign w:val="center"/>
          </w:tcPr>
          <w:p w:rsidR="004A1362" w:rsidRDefault="004A1362">
            <w:pPr>
              <w:jc w:val="center"/>
              <w:rPr>
                <w:rFonts w:cs="Arial"/>
                <w:sz w:val="20"/>
                <w:szCs w:val="20"/>
              </w:rPr>
            </w:pPr>
            <w:r>
              <w:rPr>
                <w:rFonts w:cs="Arial"/>
                <w:sz w:val="20"/>
                <w:szCs w:val="20"/>
              </w:rPr>
              <w:t>300</w:t>
            </w:r>
          </w:p>
        </w:tc>
        <w:tc>
          <w:tcPr>
            <w:tcW w:w="1260" w:type="dxa"/>
            <w:noWrap/>
            <w:vAlign w:val="center"/>
          </w:tcPr>
          <w:p w:rsidR="004A1362" w:rsidRDefault="004A1362">
            <w:pPr>
              <w:jc w:val="center"/>
              <w:rPr>
                <w:rFonts w:cs="Arial"/>
                <w:sz w:val="20"/>
                <w:szCs w:val="20"/>
              </w:rPr>
            </w:pPr>
            <w:r>
              <w:rPr>
                <w:rFonts w:cs="Arial"/>
                <w:sz w:val="20"/>
                <w:szCs w:val="20"/>
              </w:rPr>
              <w:t>303</w:t>
            </w:r>
          </w:p>
        </w:tc>
      </w:tr>
      <w:tr w:rsidR="004A1362" w:rsidRPr="002861A9" w:rsidTr="005D0FFE">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4A1362" w:rsidRDefault="004A1362">
            <w:pPr>
              <w:rPr>
                <w:rFonts w:cs="Arial"/>
                <w:sz w:val="20"/>
                <w:szCs w:val="20"/>
              </w:rPr>
            </w:pPr>
            <w:r>
              <w:rPr>
                <w:rFonts w:cs="Arial"/>
                <w:sz w:val="20"/>
                <w:szCs w:val="20"/>
              </w:rPr>
              <w:t>% change from previous financial YTD</w:t>
            </w:r>
          </w:p>
        </w:tc>
        <w:tc>
          <w:tcPr>
            <w:tcW w:w="1359" w:type="dxa"/>
            <w:noWrap/>
            <w:vAlign w:val="center"/>
          </w:tcPr>
          <w:p w:rsidR="004A1362" w:rsidRDefault="004A1362">
            <w:pPr>
              <w:jc w:val="center"/>
              <w:rPr>
                <w:rFonts w:cs="Arial"/>
                <w:sz w:val="20"/>
                <w:szCs w:val="20"/>
              </w:rPr>
            </w:pPr>
            <w:r>
              <w:rPr>
                <w:rFonts w:cs="Arial"/>
                <w:sz w:val="20"/>
                <w:szCs w:val="20"/>
              </w:rPr>
              <w:t>10</w:t>
            </w:r>
          </w:p>
        </w:tc>
        <w:tc>
          <w:tcPr>
            <w:tcW w:w="1360" w:type="dxa"/>
            <w:noWrap/>
            <w:vAlign w:val="center"/>
          </w:tcPr>
          <w:p w:rsidR="004A1362" w:rsidRDefault="004A1362">
            <w:pPr>
              <w:jc w:val="center"/>
              <w:rPr>
                <w:rFonts w:cs="Arial"/>
                <w:sz w:val="20"/>
                <w:szCs w:val="20"/>
              </w:rPr>
            </w:pPr>
            <w:r>
              <w:rPr>
                <w:rFonts w:cs="Arial"/>
                <w:sz w:val="20"/>
                <w:szCs w:val="20"/>
              </w:rPr>
              <w:t>14</w:t>
            </w:r>
          </w:p>
        </w:tc>
        <w:tc>
          <w:tcPr>
            <w:tcW w:w="1359" w:type="dxa"/>
            <w:noWrap/>
            <w:vAlign w:val="center"/>
          </w:tcPr>
          <w:p w:rsidR="004A1362" w:rsidRDefault="004A1362">
            <w:pPr>
              <w:jc w:val="center"/>
              <w:rPr>
                <w:rFonts w:cs="Arial"/>
                <w:sz w:val="20"/>
                <w:szCs w:val="20"/>
              </w:rPr>
            </w:pPr>
            <w:r>
              <w:rPr>
                <w:rFonts w:cs="Arial"/>
                <w:sz w:val="20"/>
                <w:szCs w:val="20"/>
              </w:rPr>
              <w:t>70</w:t>
            </w:r>
          </w:p>
        </w:tc>
        <w:tc>
          <w:tcPr>
            <w:tcW w:w="1280" w:type="dxa"/>
            <w:noWrap/>
            <w:vAlign w:val="center"/>
          </w:tcPr>
          <w:p w:rsidR="004A1362" w:rsidRDefault="004A1362">
            <w:pPr>
              <w:jc w:val="center"/>
              <w:rPr>
                <w:rFonts w:cs="Arial"/>
                <w:sz w:val="20"/>
                <w:szCs w:val="20"/>
              </w:rPr>
            </w:pPr>
            <w:r>
              <w:rPr>
                <w:rFonts w:cs="Arial"/>
                <w:sz w:val="20"/>
                <w:szCs w:val="20"/>
              </w:rPr>
              <w:t>-3</w:t>
            </w:r>
          </w:p>
        </w:tc>
        <w:tc>
          <w:tcPr>
            <w:tcW w:w="1260" w:type="dxa"/>
            <w:noWrap/>
            <w:vAlign w:val="center"/>
          </w:tcPr>
          <w:p w:rsidR="004A1362" w:rsidRDefault="004A1362">
            <w:pPr>
              <w:jc w:val="center"/>
              <w:rPr>
                <w:rFonts w:cs="Arial"/>
                <w:sz w:val="20"/>
                <w:szCs w:val="20"/>
              </w:rPr>
            </w:pPr>
            <w:r>
              <w:rPr>
                <w:rFonts w:cs="Arial"/>
                <w:sz w:val="20"/>
                <w:szCs w:val="20"/>
              </w:rPr>
              <w:t>-1</w:t>
            </w:r>
          </w:p>
        </w:tc>
      </w:tr>
    </w:tbl>
    <w:p w:rsidR="00D1641C" w:rsidRPr="006E7E57" w:rsidRDefault="006E7E57" w:rsidP="00D1641C">
      <w:pPr>
        <w:pStyle w:val="Heading2"/>
        <w:ind w:firstLine="0"/>
        <w:rPr>
          <w:i w:val="0"/>
          <w:color w:val="2272A3"/>
          <w:sz w:val="24"/>
          <w:szCs w:val="24"/>
        </w:rPr>
      </w:pPr>
      <w:r>
        <w:rPr>
          <w:i w:val="0"/>
          <w:color w:val="2272A3"/>
          <w:sz w:val="24"/>
          <w:szCs w:val="24"/>
        </w:rPr>
        <w:t>Adelaide STTM</w:t>
      </w:r>
    </w:p>
    <w:tbl>
      <w:tblPr>
        <w:tblStyle w:val="AERTable-Text0"/>
        <w:tblW w:w="9288" w:type="dxa"/>
        <w:tblLayout w:type="fixed"/>
        <w:tblLook w:val="01E0" w:firstRow="1" w:lastRow="1" w:firstColumn="1" w:lastColumn="1" w:noHBand="0" w:noVBand="0"/>
      </w:tblPr>
      <w:tblGrid>
        <w:gridCol w:w="2670"/>
        <w:gridCol w:w="1359"/>
        <w:gridCol w:w="1360"/>
        <w:gridCol w:w="1379"/>
        <w:gridCol w:w="1260"/>
        <w:gridCol w:w="1260"/>
      </w:tblGrid>
      <w:tr w:rsidR="006E7E57" w:rsidRPr="00900CEB" w:rsidTr="00B71928">
        <w:trPr>
          <w:cnfStyle w:val="100000000000" w:firstRow="1" w:lastRow="0" w:firstColumn="0" w:lastColumn="0" w:oddVBand="0" w:evenVBand="0" w:oddHBand="0" w:evenHBand="0" w:firstRowFirstColumn="0" w:firstRowLastColumn="0" w:lastRowFirstColumn="0" w:lastRowLastColumn="0"/>
          <w:trHeight w:val="226"/>
        </w:trPr>
        <w:tc>
          <w:tcPr>
            <w:tcW w:w="2670" w:type="dxa"/>
            <w:noWrap/>
          </w:tcPr>
          <w:p w:rsidR="006E7E57" w:rsidRPr="002861A9" w:rsidRDefault="006E7E57" w:rsidP="00B71928">
            <w:pPr>
              <w:keepNext/>
              <w:spacing w:before="40" w:after="40"/>
              <w:rPr>
                <w:rFonts w:cs="Arial"/>
                <w:b w:val="0"/>
                <w:bCs/>
                <w:sz w:val="20"/>
                <w:szCs w:val="20"/>
              </w:rPr>
            </w:pPr>
            <w:r w:rsidRPr="002861A9">
              <w:rPr>
                <w:rFonts w:cs="Arial"/>
                <w:bCs/>
                <w:sz w:val="20"/>
                <w:szCs w:val="20"/>
              </w:rPr>
              <w:t> </w:t>
            </w:r>
          </w:p>
        </w:tc>
        <w:tc>
          <w:tcPr>
            <w:tcW w:w="135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price ($/GJ)</w:t>
            </w:r>
          </w:p>
        </w:tc>
        <w:tc>
          <w:tcPr>
            <w:tcW w:w="13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price ($/GJ)</w:t>
            </w:r>
          </w:p>
        </w:tc>
        <w:tc>
          <w:tcPr>
            <w:tcW w:w="137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MOS payments ($000)</w:t>
            </w:r>
          </w:p>
        </w:tc>
        <w:tc>
          <w:tcPr>
            <w:tcW w:w="12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quantity (TJ)</w:t>
            </w:r>
          </w:p>
        </w:tc>
        <w:tc>
          <w:tcPr>
            <w:tcW w:w="12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quantity (TJ)</w:t>
            </w:r>
          </w:p>
        </w:tc>
      </w:tr>
      <w:tr w:rsidR="004A1362" w:rsidRPr="002861A9" w:rsidTr="00B71684">
        <w:trPr>
          <w:trHeight w:val="382"/>
        </w:trPr>
        <w:tc>
          <w:tcPr>
            <w:tcW w:w="2670" w:type="dxa"/>
            <w:noWrap/>
            <w:vAlign w:val="center"/>
          </w:tcPr>
          <w:p w:rsidR="004A1362" w:rsidRDefault="004A1362">
            <w:pPr>
              <w:rPr>
                <w:rFonts w:cs="Arial"/>
                <w:sz w:val="20"/>
                <w:szCs w:val="20"/>
              </w:rPr>
            </w:pPr>
            <w:r>
              <w:rPr>
                <w:rFonts w:cs="Arial"/>
                <w:sz w:val="20"/>
                <w:szCs w:val="20"/>
              </w:rPr>
              <w:t>05 Jul - 11 Jul 2015</w:t>
            </w:r>
          </w:p>
        </w:tc>
        <w:tc>
          <w:tcPr>
            <w:tcW w:w="1359" w:type="dxa"/>
            <w:noWrap/>
            <w:vAlign w:val="center"/>
          </w:tcPr>
          <w:p w:rsidR="004A1362" w:rsidRDefault="004A1362">
            <w:pPr>
              <w:jc w:val="center"/>
              <w:rPr>
                <w:rFonts w:cs="Arial"/>
                <w:sz w:val="20"/>
                <w:szCs w:val="20"/>
              </w:rPr>
            </w:pPr>
            <w:r>
              <w:rPr>
                <w:rFonts w:cs="Arial"/>
                <w:sz w:val="20"/>
                <w:szCs w:val="20"/>
              </w:rPr>
              <w:t>4.89</w:t>
            </w:r>
          </w:p>
        </w:tc>
        <w:tc>
          <w:tcPr>
            <w:tcW w:w="1360" w:type="dxa"/>
            <w:noWrap/>
            <w:vAlign w:val="center"/>
          </w:tcPr>
          <w:p w:rsidR="004A1362" w:rsidRDefault="004A1362">
            <w:pPr>
              <w:jc w:val="center"/>
              <w:rPr>
                <w:rFonts w:cs="Arial"/>
                <w:sz w:val="20"/>
                <w:szCs w:val="20"/>
              </w:rPr>
            </w:pPr>
            <w:r>
              <w:rPr>
                <w:rFonts w:cs="Arial"/>
                <w:sz w:val="20"/>
                <w:szCs w:val="20"/>
              </w:rPr>
              <w:t>4.68</w:t>
            </w:r>
          </w:p>
        </w:tc>
        <w:tc>
          <w:tcPr>
            <w:tcW w:w="1379" w:type="dxa"/>
            <w:noWrap/>
            <w:vAlign w:val="center"/>
          </w:tcPr>
          <w:p w:rsidR="004A1362" w:rsidRDefault="004A1362">
            <w:pPr>
              <w:jc w:val="center"/>
              <w:rPr>
                <w:rFonts w:cs="Arial"/>
                <w:sz w:val="20"/>
                <w:szCs w:val="20"/>
              </w:rPr>
            </w:pPr>
            <w:r>
              <w:rPr>
                <w:rFonts w:cs="Arial"/>
                <w:sz w:val="20"/>
                <w:szCs w:val="20"/>
              </w:rPr>
              <w:t>19.74</w:t>
            </w:r>
          </w:p>
        </w:tc>
        <w:tc>
          <w:tcPr>
            <w:tcW w:w="1260" w:type="dxa"/>
            <w:noWrap/>
            <w:vAlign w:val="center"/>
          </w:tcPr>
          <w:p w:rsidR="004A1362" w:rsidRDefault="004A1362">
            <w:pPr>
              <w:jc w:val="center"/>
              <w:rPr>
                <w:rFonts w:cs="Arial"/>
                <w:sz w:val="20"/>
                <w:szCs w:val="20"/>
              </w:rPr>
            </w:pPr>
            <w:r>
              <w:rPr>
                <w:rFonts w:cs="Arial"/>
                <w:sz w:val="20"/>
                <w:szCs w:val="20"/>
              </w:rPr>
              <w:t>88</w:t>
            </w:r>
          </w:p>
        </w:tc>
        <w:tc>
          <w:tcPr>
            <w:tcW w:w="1260" w:type="dxa"/>
            <w:noWrap/>
            <w:vAlign w:val="center"/>
          </w:tcPr>
          <w:p w:rsidR="004A1362" w:rsidRDefault="004A1362">
            <w:pPr>
              <w:jc w:val="center"/>
              <w:rPr>
                <w:rFonts w:cs="Arial"/>
                <w:sz w:val="20"/>
                <w:szCs w:val="20"/>
              </w:rPr>
            </w:pPr>
            <w:r>
              <w:rPr>
                <w:rFonts w:cs="Arial"/>
                <w:sz w:val="20"/>
                <w:szCs w:val="20"/>
              </w:rPr>
              <w:t>84</w:t>
            </w:r>
          </w:p>
        </w:tc>
      </w:tr>
      <w:tr w:rsidR="004A1362" w:rsidRPr="002861A9" w:rsidTr="00B71684">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4A1362" w:rsidRDefault="004A1362">
            <w:pPr>
              <w:rPr>
                <w:rFonts w:cs="Arial"/>
                <w:sz w:val="20"/>
                <w:szCs w:val="20"/>
              </w:rPr>
            </w:pPr>
            <w:r>
              <w:rPr>
                <w:rFonts w:cs="Arial"/>
                <w:sz w:val="20"/>
                <w:szCs w:val="20"/>
              </w:rPr>
              <w:t>% change from previous week</w:t>
            </w:r>
          </w:p>
        </w:tc>
        <w:tc>
          <w:tcPr>
            <w:tcW w:w="1359" w:type="dxa"/>
            <w:noWrap/>
            <w:vAlign w:val="center"/>
          </w:tcPr>
          <w:p w:rsidR="004A1362" w:rsidRDefault="004A1362">
            <w:pPr>
              <w:jc w:val="center"/>
              <w:rPr>
                <w:rFonts w:cs="Arial"/>
                <w:sz w:val="20"/>
                <w:szCs w:val="20"/>
              </w:rPr>
            </w:pPr>
            <w:r>
              <w:rPr>
                <w:rFonts w:cs="Arial"/>
                <w:sz w:val="20"/>
                <w:szCs w:val="20"/>
              </w:rPr>
              <w:t>8</w:t>
            </w:r>
          </w:p>
        </w:tc>
        <w:tc>
          <w:tcPr>
            <w:tcW w:w="1360" w:type="dxa"/>
            <w:noWrap/>
            <w:vAlign w:val="center"/>
          </w:tcPr>
          <w:p w:rsidR="004A1362" w:rsidRDefault="004A1362">
            <w:pPr>
              <w:jc w:val="center"/>
              <w:rPr>
                <w:rFonts w:cs="Arial"/>
                <w:sz w:val="20"/>
                <w:szCs w:val="20"/>
              </w:rPr>
            </w:pPr>
            <w:r>
              <w:rPr>
                <w:rFonts w:cs="Arial"/>
                <w:sz w:val="20"/>
                <w:szCs w:val="20"/>
              </w:rPr>
              <w:t>10</w:t>
            </w:r>
          </w:p>
        </w:tc>
        <w:tc>
          <w:tcPr>
            <w:tcW w:w="1379" w:type="dxa"/>
            <w:noWrap/>
            <w:vAlign w:val="center"/>
          </w:tcPr>
          <w:p w:rsidR="004A1362" w:rsidRDefault="004A1362">
            <w:pPr>
              <w:jc w:val="center"/>
              <w:rPr>
                <w:rFonts w:cs="Arial"/>
                <w:sz w:val="20"/>
                <w:szCs w:val="20"/>
              </w:rPr>
            </w:pPr>
            <w:r>
              <w:rPr>
                <w:rFonts w:cs="Arial"/>
                <w:sz w:val="20"/>
                <w:szCs w:val="20"/>
              </w:rPr>
              <w:t>22</w:t>
            </w:r>
          </w:p>
        </w:tc>
        <w:tc>
          <w:tcPr>
            <w:tcW w:w="1260" w:type="dxa"/>
            <w:noWrap/>
            <w:vAlign w:val="center"/>
          </w:tcPr>
          <w:p w:rsidR="004A1362" w:rsidRDefault="004A1362">
            <w:pPr>
              <w:jc w:val="center"/>
              <w:rPr>
                <w:rFonts w:cs="Arial"/>
                <w:sz w:val="20"/>
                <w:szCs w:val="20"/>
              </w:rPr>
            </w:pPr>
            <w:r>
              <w:rPr>
                <w:rFonts w:cs="Arial"/>
                <w:sz w:val="20"/>
                <w:szCs w:val="20"/>
              </w:rPr>
              <w:t>-4</w:t>
            </w:r>
          </w:p>
        </w:tc>
        <w:tc>
          <w:tcPr>
            <w:tcW w:w="1260" w:type="dxa"/>
            <w:noWrap/>
            <w:vAlign w:val="center"/>
          </w:tcPr>
          <w:p w:rsidR="004A1362" w:rsidRDefault="004A1362">
            <w:pPr>
              <w:jc w:val="center"/>
              <w:rPr>
                <w:rFonts w:cs="Arial"/>
                <w:sz w:val="20"/>
                <w:szCs w:val="20"/>
              </w:rPr>
            </w:pPr>
            <w:r>
              <w:rPr>
                <w:rFonts w:cs="Arial"/>
                <w:sz w:val="20"/>
                <w:szCs w:val="20"/>
              </w:rPr>
              <w:t>-4</w:t>
            </w:r>
          </w:p>
        </w:tc>
      </w:tr>
      <w:tr w:rsidR="004A1362" w:rsidRPr="002861A9" w:rsidTr="00B71684">
        <w:trPr>
          <w:trHeight w:val="382"/>
        </w:trPr>
        <w:tc>
          <w:tcPr>
            <w:tcW w:w="2670" w:type="dxa"/>
            <w:noWrap/>
            <w:vAlign w:val="center"/>
          </w:tcPr>
          <w:p w:rsidR="004A1362" w:rsidRDefault="004A1362">
            <w:pPr>
              <w:rPr>
                <w:rFonts w:cs="Arial"/>
                <w:sz w:val="20"/>
                <w:szCs w:val="20"/>
              </w:rPr>
            </w:pPr>
            <w:r>
              <w:rPr>
                <w:rFonts w:cs="Arial"/>
                <w:sz w:val="20"/>
                <w:szCs w:val="20"/>
              </w:rPr>
              <w:t>15-16 financial YTD</w:t>
            </w:r>
          </w:p>
        </w:tc>
        <w:tc>
          <w:tcPr>
            <w:tcW w:w="1359" w:type="dxa"/>
            <w:noWrap/>
            <w:vAlign w:val="center"/>
          </w:tcPr>
          <w:p w:rsidR="004A1362" w:rsidRDefault="004A1362">
            <w:pPr>
              <w:jc w:val="center"/>
              <w:rPr>
                <w:rFonts w:cs="Arial"/>
                <w:sz w:val="20"/>
                <w:szCs w:val="20"/>
              </w:rPr>
            </w:pPr>
            <w:r>
              <w:rPr>
                <w:rFonts w:cs="Arial"/>
                <w:sz w:val="20"/>
                <w:szCs w:val="20"/>
              </w:rPr>
              <w:t>4.79</w:t>
            </w:r>
          </w:p>
        </w:tc>
        <w:tc>
          <w:tcPr>
            <w:tcW w:w="1360" w:type="dxa"/>
            <w:noWrap/>
            <w:vAlign w:val="center"/>
          </w:tcPr>
          <w:p w:rsidR="004A1362" w:rsidRDefault="004A1362">
            <w:pPr>
              <w:jc w:val="center"/>
              <w:rPr>
                <w:rFonts w:cs="Arial"/>
                <w:sz w:val="20"/>
                <w:szCs w:val="20"/>
              </w:rPr>
            </w:pPr>
            <w:r>
              <w:rPr>
                <w:rFonts w:cs="Arial"/>
                <w:sz w:val="20"/>
                <w:szCs w:val="20"/>
              </w:rPr>
              <w:t>4.58</w:t>
            </w:r>
          </w:p>
        </w:tc>
        <w:tc>
          <w:tcPr>
            <w:tcW w:w="1379" w:type="dxa"/>
            <w:noWrap/>
            <w:vAlign w:val="center"/>
          </w:tcPr>
          <w:p w:rsidR="004A1362" w:rsidRDefault="004A1362">
            <w:pPr>
              <w:jc w:val="center"/>
              <w:rPr>
                <w:rFonts w:cs="Arial"/>
                <w:sz w:val="20"/>
                <w:szCs w:val="20"/>
              </w:rPr>
            </w:pPr>
            <w:r>
              <w:rPr>
                <w:rFonts w:cs="Arial"/>
                <w:sz w:val="20"/>
                <w:szCs w:val="20"/>
              </w:rPr>
              <w:t>17.30</w:t>
            </w:r>
          </w:p>
        </w:tc>
        <w:tc>
          <w:tcPr>
            <w:tcW w:w="1260" w:type="dxa"/>
            <w:noWrap/>
            <w:vAlign w:val="center"/>
          </w:tcPr>
          <w:p w:rsidR="004A1362" w:rsidRDefault="004A1362">
            <w:pPr>
              <w:jc w:val="center"/>
              <w:rPr>
                <w:rFonts w:cs="Arial"/>
                <w:sz w:val="20"/>
                <w:szCs w:val="20"/>
              </w:rPr>
            </w:pPr>
            <w:r>
              <w:rPr>
                <w:rFonts w:cs="Arial"/>
                <w:sz w:val="20"/>
                <w:szCs w:val="20"/>
              </w:rPr>
              <w:t>89</w:t>
            </w:r>
          </w:p>
        </w:tc>
        <w:tc>
          <w:tcPr>
            <w:tcW w:w="1260" w:type="dxa"/>
            <w:noWrap/>
            <w:vAlign w:val="center"/>
          </w:tcPr>
          <w:p w:rsidR="004A1362" w:rsidRDefault="004A1362">
            <w:pPr>
              <w:jc w:val="center"/>
              <w:rPr>
                <w:rFonts w:cs="Arial"/>
                <w:sz w:val="20"/>
                <w:szCs w:val="20"/>
              </w:rPr>
            </w:pPr>
            <w:r>
              <w:rPr>
                <w:rFonts w:cs="Arial"/>
                <w:sz w:val="20"/>
                <w:szCs w:val="20"/>
              </w:rPr>
              <w:t>85</w:t>
            </w:r>
          </w:p>
        </w:tc>
      </w:tr>
      <w:tr w:rsidR="004A1362" w:rsidRPr="002861A9" w:rsidTr="00B71684">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4A1362" w:rsidRDefault="004A1362">
            <w:pPr>
              <w:rPr>
                <w:rFonts w:cs="Arial"/>
                <w:sz w:val="20"/>
                <w:szCs w:val="20"/>
              </w:rPr>
            </w:pPr>
            <w:r>
              <w:rPr>
                <w:rFonts w:cs="Arial"/>
                <w:sz w:val="20"/>
                <w:szCs w:val="20"/>
              </w:rPr>
              <w:t>% change from previous financial YTD</w:t>
            </w:r>
          </w:p>
        </w:tc>
        <w:tc>
          <w:tcPr>
            <w:tcW w:w="1359" w:type="dxa"/>
            <w:noWrap/>
            <w:vAlign w:val="center"/>
          </w:tcPr>
          <w:p w:rsidR="004A1362" w:rsidRDefault="004A1362">
            <w:pPr>
              <w:jc w:val="center"/>
              <w:rPr>
                <w:rFonts w:cs="Arial"/>
                <w:sz w:val="20"/>
                <w:szCs w:val="20"/>
              </w:rPr>
            </w:pPr>
            <w:r>
              <w:rPr>
                <w:rFonts w:cs="Arial"/>
                <w:sz w:val="20"/>
                <w:szCs w:val="20"/>
              </w:rPr>
              <w:t>14</w:t>
            </w:r>
          </w:p>
        </w:tc>
        <w:tc>
          <w:tcPr>
            <w:tcW w:w="1360" w:type="dxa"/>
            <w:noWrap/>
            <w:vAlign w:val="center"/>
          </w:tcPr>
          <w:p w:rsidR="004A1362" w:rsidRDefault="004A1362">
            <w:pPr>
              <w:jc w:val="center"/>
              <w:rPr>
                <w:rFonts w:cs="Arial"/>
                <w:sz w:val="20"/>
                <w:szCs w:val="20"/>
              </w:rPr>
            </w:pPr>
            <w:r>
              <w:rPr>
                <w:rFonts w:cs="Arial"/>
                <w:sz w:val="20"/>
                <w:szCs w:val="20"/>
              </w:rPr>
              <w:t>7</w:t>
            </w:r>
          </w:p>
        </w:tc>
        <w:tc>
          <w:tcPr>
            <w:tcW w:w="1379" w:type="dxa"/>
            <w:noWrap/>
            <w:vAlign w:val="center"/>
          </w:tcPr>
          <w:p w:rsidR="004A1362" w:rsidRDefault="004A1362">
            <w:pPr>
              <w:jc w:val="center"/>
              <w:rPr>
                <w:rFonts w:cs="Arial"/>
                <w:sz w:val="20"/>
                <w:szCs w:val="20"/>
              </w:rPr>
            </w:pPr>
            <w:r>
              <w:rPr>
                <w:rFonts w:cs="Arial"/>
                <w:sz w:val="20"/>
                <w:szCs w:val="20"/>
              </w:rPr>
              <w:t>255</w:t>
            </w:r>
          </w:p>
        </w:tc>
        <w:tc>
          <w:tcPr>
            <w:tcW w:w="1260" w:type="dxa"/>
            <w:noWrap/>
            <w:vAlign w:val="center"/>
          </w:tcPr>
          <w:p w:rsidR="004A1362" w:rsidRDefault="004A1362">
            <w:pPr>
              <w:jc w:val="center"/>
              <w:rPr>
                <w:rFonts w:cs="Arial"/>
                <w:sz w:val="20"/>
                <w:szCs w:val="20"/>
              </w:rPr>
            </w:pPr>
            <w:r>
              <w:rPr>
                <w:rFonts w:cs="Arial"/>
                <w:sz w:val="20"/>
                <w:szCs w:val="20"/>
              </w:rPr>
              <w:t>7</w:t>
            </w:r>
          </w:p>
        </w:tc>
        <w:tc>
          <w:tcPr>
            <w:tcW w:w="1260" w:type="dxa"/>
            <w:noWrap/>
            <w:vAlign w:val="center"/>
          </w:tcPr>
          <w:p w:rsidR="004A1362" w:rsidRDefault="004A1362">
            <w:pPr>
              <w:jc w:val="center"/>
              <w:rPr>
                <w:rFonts w:cs="Arial"/>
                <w:sz w:val="20"/>
                <w:szCs w:val="20"/>
              </w:rPr>
            </w:pPr>
            <w:r>
              <w:rPr>
                <w:rFonts w:cs="Arial"/>
                <w:sz w:val="20"/>
                <w:szCs w:val="20"/>
              </w:rPr>
              <w:t>1</w:t>
            </w:r>
          </w:p>
        </w:tc>
      </w:tr>
    </w:tbl>
    <w:p w:rsidR="00D1641C" w:rsidRPr="006E7E57" w:rsidRDefault="006E7E57" w:rsidP="00D1641C">
      <w:pPr>
        <w:pStyle w:val="Heading2"/>
        <w:ind w:firstLine="0"/>
        <w:rPr>
          <w:i w:val="0"/>
          <w:color w:val="2272A3"/>
          <w:sz w:val="24"/>
          <w:szCs w:val="24"/>
        </w:rPr>
      </w:pPr>
      <w:r>
        <w:rPr>
          <w:i w:val="0"/>
          <w:color w:val="2272A3"/>
          <w:sz w:val="24"/>
          <w:szCs w:val="24"/>
        </w:rPr>
        <w:t>Brisbane STTM</w:t>
      </w:r>
    </w:p>
    <w:tbl>
      <w:tblPr>
        <w:tblStyle w:val="AERTable-Text0"/>
        <w:tblW w:w="9208" w:type="dxa"/>
        <w:tblLayout w:type="fixed"/>
        <w:tblLook w:val="01E0" w:firstRow="1" w:lastRow="1" w:firstColumn="1" w:lastColumn="1" w:noHBand="0" w:noVBand="0"/>
      </w:tblPr>
      <w:tblGrid>
        <w:gridCol w:w="2670"/>
        <w:gridCol w:w="1359"/>
        <w:gridCol w:w="1360"/>
        <w:gridCol w:w="1359"/>
        <w:gridCol w:w="1280"/>
        <w:gridCol w:w="1180"/>
      </w:tblGrid>
      <w:tr w:rsidR="006E7E57" w:rsidRPr="00900CEB" w:rsidTr="00B71928">
        <w:trPr>
          <w:cnfStyle w:val="100000000000" w:firstRow="1" w:lastRow="0" w:firstColumn="0" w:lastColumn="0" w:oddVBand="0" w:evenVBand="0" w:oddHBand="0" w:evenHBand="0" w:firstRowFirstColumn="0" w:firstRowLastColumn="0" w:lastRowFirstColumn="0" w:lastRowLastColumn="0"/>
          <w:trHeight w:val="226"/>
        </w:trPr>
        <w:tc>
          <w:tcPr>
            <w:tcW w:w="2670" w:type="dxa"/>
            <w:noWrap/>
          </w:tcPr>
          <w:p w:rsidR="006E7E57" w:rsidRPr="002861A9" w:rsidRDefault="006E7E57" w:rsidP="00B71928">
            <w:pPr>
              <w:keepNext/>
              <w:spacing w:before="40" w:after="40"/>
              <w:rPr>
                <w:rFonts w:cs="Arial"/>
                <w:b w:val="0"/>
                <w:bCs/>
                <w:sz w:val="20"/>
                <w:szCs w:val="20"/>
              </w:rPr>
            </w:pPr>
            <w:r w:rsidRPr="002861A9">
              <w:rPr>
                <w:rFonts w:cs="Arial"/>
                <w:bCs/>
                <w:sz w:val="20"/>
                <w:szCs w:val="20"/>
              </w:rPr>
              <w:t> </w:t>
            </w:r>
          </w:p>
        </w:tc>
        <w:tc>
          <w:tcPr>
            <w:tcW w:w="135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price ($/GJ)</w:t>
            </w:r>
          </w:p>
        </w:tc>
        <w:tc>
          <w:tcPr>
            <w:tcW w:w="13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price ($/GJ)</w:t>
            </w:r>
          </w:p>
        </w:tc>
        <w:tc>
          <w:tcPr>
            <w:tcW w:w="135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MOS payments ($000)</w:t>
            </w:r>
          </w:p>
        </w:tc>
        <w:tc>
          <w:tcPr>
            <w:tcW w:w="128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quantity (TJ)</w:t>
            </w:r>
          </w:p>
        </w:tc>
        <w:tc>
          <w:tcPr>
            <w:tcW w:w="118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quantity (TJ)</w:t>
            </w:r>
          </w:p>
        </w:tc>
      </w:tr>
      <w:tr w:rsidR="004A1362" w:rsidRPr="002861A9" w:rsidTr="009F3FAB">
        <w:trPr>
          <w:trHeight w:val="382"/>
        </w:trPr>
        <w:tc>
          <w:tcPr>
            <w:tcW w:w="2670" w:type="dxa"/>
            <w:noWrap/>
            <w:vAlign w:val="center"/>
          </w:tcPr>
          <w:p w:rsidR="004A1362" w:rsidRDefault="004A1362">
            <w:pPr>
              <w:rPr>
                <w:rFonts w:cs="Arial"/>
                <w:sz w:val="20"/>
                <w:szCs w:val="20"/>
              </w:rPr>
            </w:pPr>
            <w:r>
              <w:rPr>
                <w:rFonts w:cs="Arial"/>
                <w:sz w:val="20"/>
                <w:szCs w:val="20"/>
              </w:rPr>
              <w:t>05 Jul - 11 Jul 2015</w:t>
            </w:r>
          </w:p>
        </w:tc>
        <w:tc>
          <w:tcPr>
            <w:tcW w:w="1359" w:type="dxa"/>
            <w:noWrap/>
            <w:vAlign w:val="center"/>
          </w:tcPr>
          <w:p w:rsidR="004A1362" w:rsidRDefault="004A1362">
            <w:pPr>
              <w:jc w:val="center"/>
              <w:rPr>
                <w:rFonts w:cs="Arial"/>
                <w:sz w:val="20"/>
                <w:szCs w:val="20"/>
              </w:rPr>
            </w:pPr>
            <w:r>
              <w:rPr>
                <w:rFonts w:cs="Arial"/>
                <w:sz w:val="20"/>
                <w:szCs w:val="20"/>
              </w:rPr>
              <w:t>3.46</w:t>
            </w:r>
          </w:p>
        </w:tc>
        <w:tc>
          <w:tcPr>
            <w:tcW w:w="1360" w:type="dxa"/>
            <w:noWrap/>
            <w:vAlign w:val="center"/>
          </w:tcPr>
          <w:p w:rsidR="004A1362" w:rsidRDefault="004A1362">
            <w:pPr>
              <w:jc w:val="center"/>
              <w:rPr>
                <w:rFonts w:cs="Arial"/>
                <w:sz w:val="20"/>
                <w:szCs w:val="20"/>
              </w:rPr>
            </w:pPr>
            <w:r>
              <w:rPr>
                <w:rFonts w:cs="Arial"/>
                <w:sz w:val="20"/>
                <w:szCs w:val="20"/>
              </w:rPr>
              <w:t>3.46</w:t>
            </w:r>
          </w:p>
        </w:tc>
        <w:tc>
          <w:tcPr>
            <w:tcW w:w="1359" w:type="dxa"/>
            <w:noWrap/>
            <w:vAlign w:val="center"/>
          </w:tcPr>
          <w:p w:rsidR="004A1362" w:rsidRDefault="004A1362">
            <w:pPr>
              <w:jc w:val="center"/>
              <w:rPr>
                <w:rFonts w:cs="Arial"/>
                <w:sz w:val="20"/>
                <w:szCs w:val="20"/>
              </w:rPr>
            </w:pPr>
            <w:r>
              <w:rPr>
                <w:rFonts w:cs="Arial"/>
                <w:sz w:val="20"/>
                <w:szCs w:val="20"/>
              </w:rPr>
              <w:t>1.16</w:t>
            </w:r>
          </w:p>
        </w:tc>
        <w:tc>
          <w:tcPr>
            <w:tcW w:w="1280" w:type="dxa"/>
            <w:noWrap/>
            <w:vAlign w:val="center"/>
          </w:tcPr>
          <w:p w:rsidR="004A1362" w:rsidRDefault="004A1362">
            <w:pPr>
              <w:jc w:val="center"/>
              <w:rPr>
                <w:rFonts w:cs="Arial"/>
                <w:sz w:val="20"/>
                <w:szCs w:val="20"/>
              </w:rPr>
            </w:pPr>
            <w:r>
              <w:rPr>
                <w:rFonts w:cs="Arial"/>
                <w:sz w:val="20"/>
                <w:szCs w:val="20"/>
              </w:rPr>
              <w:t>96</w:t>
            </w:r>
          </w:p>
        </w:tc>
        <w:tc>
          <w:tcPr>
            <w:tcW w:w="1180" w:type="dxa"/>
            <w:noWrap/>
            <w:vAlign w:val="center"/>
          </w:tcPr>
          <w:p w:rsidR="004A1362" w:rsidRDefault="004A1362">
            <w:pPr>
              <w:jc w:val="center"/>
              <w:rPr>
                <w:rFonts w:cs="Arial"/>
                <w:sz w:val="20"/>
                <w:szCs w:val="20"/>
              </w:rPr>
            </w:pPr>
            <w:r>
              <w:rPr>
                <w:rFonts w:cs="Arial"/>
                <w:sz w:val="20"/>
                <w:szCs w:val="20"/>
              </w:rPr>
              <w:t>96</w:t>
            </w:r>
          </w:p>
        </w:tc>
      </w:tr>
      <w:tr w:rsidR="004A1362" w:rsidRPr="002861A9" w:rsidTr="009F3FAB">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4A1362" w:rsidRDefault="004A1362">
            <w:pPr>
              <w:rPr>
                <w:rFonts w:cs="Arial"/>
                <w:sz w:val="20"/>
                <w:szCs w:val="20"/>
              </w:rPr>
            </w:pPr>
            <w:r>
              <w:rPr>
                <w:rFonts w:cs="Arial"/>
                <w:sz w:val="20"/>
                <w:szCs w:val="20"/>
              </w:rPr>
              <w:t>% change from previous week</w:t>
            </w:r>
          </w:p>
        </w:tc>
        <w:tc>
          <w:tcPr>
            <w:tcW w:w="1359" w:type="dxa"/>
            <w:noWrap/>
            <w:vAlign w:val="center"/>
          </w:tcPr>
          <w:p w:rsidR="004A1362" w:rsidRDefault="004A1362">
            <w:pPr>
              <w:jc w:val="center"/>
              <w:rPr>
                <w:rFonts w:cs="Arial"/>
                <w:sz w:val="20"/>
                <w:szCs w:val="20"/>
              </w:rPr>
            </w:pPr>
            <w:r>
              <w:rPr>
                <w:rFonts w:cs="Arial"/>
                <w:sz w:val="20"/>
                <w:szCs w:val="20"/>
              </w:rPr>
              <w:t>100</w:t>
            </w:r>
          </w:p>
        </w:tc>
        <w:tc>
          <w:tcPr>
            <w:tcW w:w="1360" w:type="dxa"/>
            <w:noWrap/>
            <w:vAlign w:val="center"/>
          </w:tcPr>
          <w:p w:rsidR="004A1362" w:rsidRDefault="004A1362">
            <w:pPr>
              <w:jc w:val="center"/>
              <w:rPr>
                <w:rFonts w:cs="Arial"/>
                <w:sz w:val="20"/>
                <w:szCs w:val="20"/>
              </w:rPr>
            </w:pPr>
            <w:r>
              <w:rPr>
                <w:rFonts w:cs="Arial"/>
                <w:sz w:val="20"/>
                <w:szCs w:val="20"/>
              </w:rPr>
              <w:t>301</w:t>
            </w:r>
          </w:p>
        </w:tc>
        <w:tc>
          <w:tcPr>
            <w:tcW w:w="1359" w:type="dxa"/>
            <w:noWrap/>
            <w:vAlign w:val="center"/>
          </w:tcPr>
          <w:p w:rsidR="004A1362" w:rsidRDefault="004A1362">
            <w:pPr>
              <w:jc w:val="center"/>
              <w:rPr>
                <w:rFonts w:cs="Arial"/>
                <w:sz w:val="20"/>
                <w:szCs w:val="20"/>
              </w:rPr>
            </w:pPr>
            <w:r>
              <w:rPr>
                <w:rFonts w:cs="Arial"/>
                <w:sz w:val="20"/>
                <w:szCs w:val="20"/>
              </w:rPr>
              <w:t>-64</w:t>
            </w:r>
          </w:p>
        </w:tc>
        <w:tc>
          <w:tcPr>
            <w:tcW w:w="1280" w:type="dxa"/>
            <w:noWrap/>
            <w:vAlign w:val="center"/>
          </w:tcPr>
          <w:p w:rsidR="004A1362" w:rsidRDefault="004A1362">
            <w:pPr>
              <w:jc w:val="center"/>
              <w:rPr>
                <w:rFonts w:cs="Arial"/>
                <w:sz w:val="20"/>
                <w:szCs w:val="20"/>
              </w:rPr>
            </w:pPr>
            <w:r>
              <w:rPr>
                <w:rFonts w:cs="Arial"/>
                <w:sz w:val="20"/>
                <w:szCs w:val="20"/>
              </w:rPr>
              <w:t>8</w:t>
            </w:r>
          </w:p>
        </w:tc>
        <w:tc>
          <w:tcPr>
            <w:tcW w:w="1180" w:type="dxa"/>
            <w:noWrap/>
            <w:vAlign w:val="center"/>
          </w:tcPr>
          <w:p w:rsidR="004A1362" w:rsidRDefault="004A1362">
            <w:pPr>
              <w:jc w:val="center"/>
              <w:rPr>
                <w:rFonts w:cs="Arial"/>
                <w:sz w:val="20"/>
                <w:szCs w:val="20"/>
              </w:rPr>
            </w:pPr>
            <w:r>
              <w:rPr>
                <w:rFonts w:cs="Arial"/>
                <w:sz w:val="20"/>
                <w:szCs w:val="20"/>
              </w:rPr>
              <w:t>16</w:t>
            </w:r>
          </w:p>
        </w:tc>
      </w:tr>
      <w:tr w:rsidR="004A1362" w:rsidRPr="002861A9" w:rsidTr="009F3FAB">
        <w:trPr>
          <w:trHeight w:val="382"/>
        </w:trPr>
        <w:tc>
          <w:tcPr>
            <w:tcW w:w="2670" w:type="dxa"/>
            <w:noWrap/>
            <w:vAlign w:val="center"/>
          </w:tcPr>
          <w:p w:rsidR="004A1362" w:rsidRDefault="004A1362">
            <w:pPr>
              <w:rPr>
                <w:rFonts w:cs="Arial"/>
                <w:sz w:val="20"/>
                <w:szCs w:val="20"/>
              </w:rPr>
            </w:pPr>
            <w:r>
              <w:rPr>
                <w:rFonts w:cs="Arial"/>
                <w:sz w:val="20"/>
                <w:szCs w:val="20"/>
              </w:rPr>
              <w:t>15-16 financial YTD</w:t>
            </w:r>
          </w:p>
        </w:tc>
        <w:tc>
          <w:tcPr>
            <w:tcW w:w="1359" w:type="dxa"/>
            <w:noWrap/>
            <w:vAlign w:val="center"/>
          </w:tcPr>
          <w:p w:rsidR="004A1362" w:rsidRDefault="004A1362">
            <w:pPr>
              <w:jc w:val="center"/>
              <w:rPr>
                <w:rFonts w:cs="Arial"/>
                <w:sz w:val="20"/>
                <w:szCs w:val="20"/>
              </w:rPr>
            </w:pPr>
            <w:r>
              <w:rPr>
                <w:rFonts w:cs="Arial"/>
                <w:sz w:val="20"/>
                <w:szCs w:val="20"/>
              </w:rPr>
              <w:t>3.02</w:t>
            </w:r>
          </w:p>
        </w:tc>
        <w:tc>
          <w:tcPr>
            <w:tcW w:w="1360" w:type="dxa"/>
            <w:noWrap/>
            <w:vAlign w:val="center"/>
          </w:tcPr>
          <w:p w:rsidR="004A1362" w:rsidRDefault="004A1362">
            <w:pPr>
              <w:jc w:val="center"/>
              <w:rPr>
                <w:rFonts w:cs="Arial"/>
                <w:sz w:val="20"/>
                <w:szCs w:val="20"/>
              </w:rPr>
            </w:pPr>
            <w:r>
              <w:rPr>
                <w:rFonts w:cs="Arial"/>
                <w:sz w:val="20"/>
                <w:szCs w:val="20"/>
              </w:rPr>
              <w:t>2.54</w:t>
            </w:r>
          </w:p>
        </w:tc>
        <w:tc>
          <w:tcPr>
            <w:tcW w:w="1359" w:type="dxa"/>
            <w:noWrap/>
            <w:vAlign w:val="center"/>
          </w:tcPr>
          <w:p w:rsidR="004A1362" w:rsidRDefault="004A1362">
            <w:pPr>
              <w:jc w:val="center"/>
              <w:rPr>
                <w:rFonts w:cs="Arial"/>
                <w:sz w:val="20"/>
                <w:szCs w:val="20"/>
              </w:rPr>
            </w:pPr>
            <w:r>
              <w:rPr>
                <w:rFonts w:cs="Arial"/>
                <w:sz w:val="20"/>
                <w:szCs w:val="20"/>
              </w:rPr>
              <w:t>1.56</w:t>
            </w:r>
          </w:p>
        </w:tc>
        <w:tc>
          <w:tcPr>
            <w:tcW w:w="1280" w:type="dxa"/>
            <w:noWrap/>
            <w:vAlign w:val="center"/>
          </w:tcPr>
          <w:p w:rsidR="004A1362" w:rsidRDefault="004A1362">
            <w:pPr>
              <w:jc w:val="center"/>
              <w:rPr>
                <w:rFonts w:cs="Arial"/>
                <w:sz w:val="20"/>
                <w:szCs w:val="20"/>
              </w:rPr>
            </w:pPr>
            <w:r>
              <w:rPr>
                <w:rFonts w:cs="Arial"/>
                <w:sz w:val="20"/>
                <w:szCs w:val="20"/>
              </w:rPr>
              <w:t>94</w:t>
            </w:r>
          </w:p>
        </w:tc>
        <w:tc>
          <w:tcPr>
            <w:tcW w:w="1180" w:type="dxa"/>
            <w:noWrap/>
            <w:vAlign w:val="center"/>
          </w:tcPr>
          <w:p w:rsidR="004A1362" w:rsidRDefault="004A1362">
            <w:pPr>
              <w:jc w:val="center"/>
              <w:rPr>
                <w:rFonts w:cs="Arial"/>
                <w:sz w:val="20"/>
                <w:szCs w:val="20"/>
              </w:rPr>
            </w:pPr>
            <w:r>
              <w:rPr>
                <w:rFonts w:cs="Arial"/>
                <w:sz w:val="20"/>
                <w:szCs w:val="20"/>
              </w:rPr>
              <w:t>91</w:t>
            </w:r>
          </w:p>
        </w:tc>
      </w:tr>
      <w:tr w:rsidR="004A1362" w:rsidRPr="002861A9" w:rsidTr="009F3FAB">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4A1362" w:rsidRDefault="004A1362">
            <w:pPr>
              <w:rPr>
                <w:rFonts w:cs="Arial"/>
                <w:sz w:val="20"/>
                <w:szCs w:val="20"/>
              </w:rPr>
            </w:pPr>
            <w:r>
              <w:rPr>
                <w:rFonts w:cs="Arial"/>
                <w:sz w:val="20"/>
                <w:szCs w:val="20"/>
              </w:rPr>
              <w:t>% change from previous financial YTD</w:t>
            </w:r>
          </w:p>
        </w:tc>
        <w:tc>
          <w:tcPr>
            <w:tcW w:w="1359" w:type="dxa"/>
            <w:noWrap/>
            <w:vAlign w:val="center"/>
          </w:tcPr>
          <w:p w:rsidR="004A1362" w:rsidRDefault="004A1362">
            <w:pPr>
              <w:jc w:val="center"/>
              <w:rPr>
                <w:rFonts w:cs="Arial"/>
                <w:sz w:val="20"/>
                <w:szCs w:val="20"/>
              </w:rPr>
            </w:pPr>
            <w:r>
              <w:rPr>
                <w:rFonts w:cs="Arial"/>
                <w:sz w:val="20"/>
                <w:szCs w:val="20"/>
              </w:rPr>
              <w:t>11</w:t>
            </w:r>
          </w:p>
        </w:tc>
        <w:tc>
          <w:tcPr>
            <w:tcW w:w="1360" w:type="dxa"/>
            <w:noWrap/>
            <w:vAlign w:val="center"/>
          </w:tcPr>
          <w:p w:rsidR="004A1362" w:rsidRDefault="004A1362">
            <w:pPr>
              <w:jc w:val="center"/>
              <w:rPr>
                <w:rFonts w:cs="Arial"/>
                <w:sz w:val="20"/>
                <w:szCs w:val="20"/>
              </w:rPr>
            </w:pPr>
            <w:r>
              <w:rPr>
                <w:rFonts w:cs="Arial"/>
                <w:sz w:val="20"/>
                <w:szCs w:val="20"/>
              </w:rPr>
              <w:t>4</w:t>
            </w:r>
          </w:p>
        </w:tc>
        <w:tc>
          <w:tcPr>
            <w:tcW w:w="1359" w:type="dxa"/>
            <w:noWrap/>
            <w:vAlign w:val="center"/>
          </w:tcPr>
          <w:p w:rsidR="004A1362" w:rsidRDefault="004A1362">
            <w:pPr>
              <w:jc w:val="center"/>
              <w:rPr>
                <w:rFonts w:cs="Arial"/>
                <w:sz w:val="20"/>
                <w:szCs w:val="20"/>
              </w:rPr>
            </w:pPr>
            <w:r>
              <w:rPr>
                <w:rFonts w:cs="Arial"/>
                <w:sz w:val="20"/>
                <w:szCs w:val="20"/>
              </w:rPr>
              <w:t>15</w:t>
            </w:r>
          </w:p>
        </w:tc>
        <w:tc>
          <w:tcPr>
            <w:tcW w:w="1280" w:type="dxa"/>
            <w:noWrap/>
            <w:vAlign w:val="center"/>
          </w:tcPr>
          <w:p w:rsidR="004A1362" w:rsidRDefault="004A1362">
            <w:pPr>
              <w:jc w:val="center"/>
              <w:rPr>
                <w:rFonts w:cs="Arial"/>
                <w:sz w:val="20"/>
                <w:szCs w:val="20"/>
              </w:rPr>
            </w:pPr>
            <w:r>
              <w:rPr>
                <w:rFonts w:cs="Arial"/>
                <w:sz w:val="20"/>
                <w:szCs w:val="20"/>
              </w:rPr>
              <w:t>-48</w:t>
            </w:r>
          </w:p>
        </w:tc>
        <w:tc>
          <w:tcPr>
            <w:tcW w:w="1180" w:type="dxa"/>
            <w:noWrap/>
            <w:vAlign w:val="center"/>
          </w:tcPr>
          <w:p w:rsidR="004A1362" w:rsidRDefault="004A1362">
            <w:pPr>
              <w:jc w:val="center"/>
              <w:rPr>
                <w:rFonts w:cs="Arial"/>
                <w:sz w:val="20"/>
                <w:szCs w:val="20"/>
              </w:rPr>
            </w:pPr>
            <w:r>
              <w:rPr>
                <w:rFonts w:cs="Arial"/>
                <w:sz w:val="20"/>
                <w:szCs w:val="20"/>
              </w:rPr>
              <w:t>-49</w:t>
            </w:r>
          </w:p>
        </w:tc>
      </w:tr>
    </w:tbl>
    <w:p w:rsidR="006E7E57" w:rsidRPr="008D4DAB" w:rsidRDefault="006E7E57" w:rsidP="00345444">
      <w:pPr>
        <w:pStyle w:val="AERbodytext"/>
        <w:spacing w:before="120" w:after="120" w:line="240" w:lineRule="auto"/>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D1641C" w:rsidRPr="00D1641C" w:rsidRDefault="006E7E57" w:rsidP="009962A0">
      <w:pPr>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xml:space="preserve">, and section 6 provides information on the </w:t>
      </w:r>
      <w:r w:rsidR="009962A0">
        <w:t>G</w:t>
      </w:r>
      <w:r>
        <w:t xml:space="preserve">as </w:t>
      </w:r>
      <w:r w:rsidR="009962A0">
        <w:t>S</w:t>
      </w:r>
      <w:r>
        <w:t xml:space="preserve">upply </w:t>
      </w:r>
      <w:r w:rsidR="009962A0">
        <w:t>H</w:t>
      </w:r>
      <w:r>
        <w:t xml:space="preserve">ub </w:t>
      </w:r>
      <w:r w:rsidR="009962A0" w:rsidRPr="009962A0">
        <w:rPr>
          <w:b/>
        </w:rPr>
        <w:t>(GSH)</w:t>
      </w:r>
      <w:r w:rsidR="009962A0">
        <w:t xml:space="preserve"> </w:t>
      </w:r>
      <w:r>
        <w:t>at Wallumbilla</w:t>
      </w:r>
      <w:r w:rsidRPr="008D4DAB">
        <w:t>.</w:t>
      </w:r>
    </w:p>
    <w:p w:rsidR="00BC18FB" w:rsidRDefault="00BC18FB" w:rsidP="00345444"/>
    <w:p w:rsidR="00BC18FB" w:rsidRPr="00BC18FB" w:rsidRDefault="00BC18FB" w:rsidP="00345444"/>
    <w:p w:rsidR="006E7E57" w:rsidRPr="00004A63" w:rsidRDefault="006E7E57" w:rsidP="00004A63">
      <w:pPr>
        <w:jc w:val="both"/>
        <w:rPr>
          <w:b/>
          <w:szCs w:val="22"/>
        </w:rPr>
      </w:pPr>
      <w:r>
        <w:rPr>
          <w:color w:val="2272A3"/>
        </w:rPr>
        <w:br w:type="page"/>
      </w:r>
      <w:r w:rsidR="00406A97">
        <w:lastRenderedPageBreak/>
        <w:pict>
          <v:shape id="_x0000_i1026" type="#_x0000_t75" style="width:503.3pt;height:1in" o:allowoverlap="f">
            <v:imagedata r:id="rId9" o:title="" cropbottom="17873f" cropright="30275f"/>
          </v:shape>
        </w:pict>
      </w:r>
    </w:p>
    <w:p w:rsidR="00BC18FB" w:rsidRDefault="006578C8" w:rsidP="00004A63">
      <w:pPr>
        <w:pStyle w:val="Heading3"/>
        <w:ind w:firstLine="0"/>
        <w:rPr>
          <w:color w:val="2272A3"/>
          <w:sz w:val="32"/>
          <w:szCs w:val="32"/>
        </w:rPr>
      </w:pPr>
      <w:r>
        <w:rPr>
          <w:noProof/>
          <w:color w:val="2272A3"/>
          <w:sz w:val="32"/>
          <w:szCs w:val="32"/>
        </w:rPr>
        <w:pict>
          <v:shape id="_x0000_s1054" type="#_x0000_t202" style="position:absolute;left:0;text-align:left;margin-left:.15pt;margin-top:-73.5pt;width:234pt;height:66.75pt;z-index:251661312" filled="f" stroked="f">
            <v:textbox style="mso-next-textbox:#_x0000_s1054">
              <w:txbxContent>
                <w:p w:rsidR="00004A63" w:rsidRDefault="00004A63" w:rsidP="00004A63">
                  <w:pPr>
                    <w:pStyle w:val="Title"/>
                  </w:pPr>
                  <w:r w:rsidRPr="007C13A5">
                    <w:t xml:space="preserve">Detailed Market </w:t>
                  </w:r>
                  <w:r>
                    <w:t>Figures</w:t>
                  </w:r>
                </w:p>
                <w:p w:rsidR="00004A63" w:rsidRPr="00A65EC8" w:rsidRDefault="0072694B" w:rsidP="00004A63">
                  <w:pPr>
                    <w:pStyle w:val="Title"/>
                  </w:pPr>
                  <w:r>
                    <w:t>5</w:t>
                  </w:r>
                  <w:r w:rsidR="004A1362" w:rsidRPr="004A1362">
                    <w:t xml:space="preserve"> – 11</w:t>
                  </w:r>
                  <w:r w:rsidR="006A7228" w:rsidRPr="004A1362">
                    <w:t xml:space="preserve"> </w:t>
                  </w:r>
                  <w:r w:rsidR="004A1362" w:rsidRPr="004A1362">
                    <w:t>July</w:t>
                  </w:r>
                  <w:r w:rsidR="006A7228" w:rsidRPr="004A1362">
                    <w:t xml:space="preserve"> </w:t>
                  </w:r>
                  <w:r w:rsidR="004A1362" w:rsidRPr="004A1362">
                    <w:t>2015</w:t>
                  </w:r>
                </w:p>
                <w:p w:rsidR="00004A63" w:rsidRPr="000F2287" w:rsidRDefault="00004A63" w:rsidP="00004A63">
                  <w:pPr>
                    <w:pStyle w:val="Subtitle"/>
                  </w:pPr>
                </w:p>
                <w:p w:rsidR="00004A63" w:rsidRPr="000F2287" w:rsidRDefault="00004A63" w:rsidP="00004A63">
                  <w:pPr>
                    <w:pStyle w:val="Subtitle"/>
                  </w:pPr>
                </w:p>
              </w:txbxContent>
            </v:textbox>
          </v:shape>
        </w:pict>
      </w:r>
      <w:r w:rsidR="00004A63" w:rsidRPr="00004A63">
        <w:rPr>
          <w:color w:val="2272A3"/>
          <w:sz w:val="32"/>
          <w:szCs w:val="32"/>
        </w:rPr>
        <w:t xml:space="preserve"> Victorian Declared Wholesale Market</w:t>
      </w:r>
    </w:p>
    <w:p w:rsidR="00004A63" w:rsidRPr="00EF58A8" w:rsidRDefault="00EF58A8" w:rsidP="00345444">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2"/>
      </w:r>
      <w:r w:rsidRPr="00EF58A8">
        <w:t xml:space="preserve"> which is the schedule at which most gas is traded.</w:t>
      </w:r>
      <w:r w:rsidR="00004A63" w:rsidRPr="00EF58A8">
        <w:t xml:space="preserve"> </w:t>
      </w:r>
    </w:p>
    <w:p w:rsidR="00004A63" w:rsidRPr="00EF58A8" w:rsidRDefault="00EF58A8" w:rsidP="00345444">
      <w:pPr>
        <w:jc w:val="both"/>
      </w:pPr>
      <w:r w:rsidRPr="00EF58A8">
        <w:t>The main drivers</w:t>
      </w:r>
      <w:r w:rsidRPr="00EF58A8">
        <w:rPr>
          <w:rStyle w:val="FootnoteReference"/>
        </w:rPr>
        <w:footnoteReference w:id="3"/>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4"/>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BC18FB" w:rsidRPr="00DD0358" w:rsidRDefault="00004A63" w:rsidP="00FF0D8A">
      <w:pPr>
        <w:pStyle w:val="Heading4"/>
        <w:ind w:hanging="338"/>
        <w:rPr>
          <w:color w:val="2272A3"/>
          <w:sz w:val="24"/>
        </w:rPr>
      </w:pPr>
      <w:r w:rsidRPr="00DD0358">
        <w:rPr>
          <w:color w:val="2272A3"/>
          <w:sz w:val="24"/>
        </w:rPr>
        <w:t>Prices by schedule</w:t>
      </w:r>
    </w:p>
    <w:p w:rsidR="00362B9A" w:rsidRPr="00362B9A" w:rsidRDefault="00406A97" w:rsidP="00362B9A">
      <w:r>
        <w:pict>
          <v:shape id="_x0000_i1027" type="#_x0000_t75" style="width:476.15pt;height:137.2pt">
            <v:imagedata r:id="rId13" o:title=""/>
          </v:shape>
        </w:pict>
      </w:r>
    </w:p>
    <w:p w:rsidR="00BC18FB" w:rsidRPr="00DD0358" w:rsidRDefault="00004A63" w:rsidP="00FF0D8A">
      <w:pPr>
        <w:pStyle w:val="Heading4"/>
        <w:ind w:hanging="338"/>
        <w:rPr>
          <w:color w:val="2272A3"/>
          <w:sz w:val="24"/>
        </w:rPr>
      </w:pPr>
      <w:r w:rsidRPr="00DD0358">
        <w:rPr>
          <w:color w:val="2272A3"/>
          <w:sz w:val="24"/>
        </w:rPr>
        <w:t>Demand forecasts</w:t>
      </w:r>
    </w:p>
    <w:p w:rsidR="00362B9A" w:rsidRPr="00362B9A" w:rsidRDefault="00406A97" w:rsidP="00362B9A">
      <w:r>
        <w:pict>
          <v:shape id="_x0000_i1028" type="#_x0000_t75" style="width:476.15pt;height:177.3pt">
            <v:imagedata r:id="rId14" o:title=""/>
          </v:shape>
        </w:pict>
      </w:r>
    </w:p>
    <w:p w:rsidR="00BC18FB" w:rsidRPr="00DD0358" w:rsidRDefault="00004A63" w:rsidP="00FF0D8A">
      <w:pPr>
        <w:pStyle w:val="Heading4"/>
        <w:ind w:hanging="338"/>
        <w:rPr>
          <w:color w:val="2272A3"/>
          <w:sz w:val="24"/>
        </w:rPr>
      </w:pPr>
      <w:r w:rsidRPr="00DD0358">
        <w:rPr>
          <w:color w:val="2272A3"/>
          <w:sz w:val="24"/>
        </w:rPr>
        <w:t>Injection bids by price bands</w:t>
      </w:r>
    </w:p>
    <w:p w:rsidR="00362B9A" w:rsidRPr="00362B9A" w:rsidRDefault="00406A97" w:rsidP="00362B9A">
      <w:r>
        <w:pict>
          <v:shape id="_x0000_i1029" type="#_x0000_t75" style="width:476.15pt;height:206.5pt">
            <v:imagedata r:id="rId15" o:title=""/>
          </v:shape>
        </w:pict>
      </w:r>
    </w:p>
    <w:p w:rsidR="00BC18FB" w:rsidRPr="00DD0358" w:rsidRDefault="00362B9A" w:rsidP="00FF0D8A">
      <w:pPr>
        <w:pStyle w:val="Heading4"/>
        <w:ind w:hanging="338"/>
        <w:rPr>
          <w:color w:val="2272A3"/>
          <w:sz w:val="24"/>
        </w:rPr>
      </w:pPr>
      <w:r w:rsidRPr="00DD0358">
        <w:rPr>
          <w:color w:val="2272A3"/>
          <w:sz w:val="24"/>
        </w:rPr>
        <w:t>Withdrawal bids by price bands</w:t>
      </w:r>
    </w:p>
    <w:p w:rsidR="00362B9A" w:rsidRPr="00362B9A" w:rsidRDefault="00406A97" w:rsidP="00362B9A">
      <w:r>
        <w:pict>
          <v:shape id="_x0000_i1030" type="#_x0000_t75" style="width:476.85pt;height:163pt">
            <v:imagedata r:id="rId16" o:title=""/>
          </v:shape>
        </w:pict>
      </w:r>
    </w:p>
    <w:p w:rsidR="00BC18FB" w:rsidRPr="00DD0358" w:rsidRDefault="00362B9A" w:rsidP="00FF0D8A">
      <w:pPr>
        <w:pStyle w:val="Heading4"/>
        <w:ind w:hanging="338"/>
        <w:rPr>
          <w:color w:val="2272A3"/>
          <w:sz w:val="24"/>
        </w:rPr>
      </w:pPr>
      <w:r w:rsidRPr="00DD0358">
        <w:rPr>
          <w:color w:val="2272A3"/>
          <w:sz w:val="24"/>
        </w:rPr>
        <w:t>Metered Injections by System Injection Point</w:t>
      </w:r>
    </w:p>
    <w:p w:rsidR="00BC18FB" w:rsidRDefault="00406A97" w:rsidP="00BC18FB">
      <w:r>
        <w:pict>
          <v:shape id="_x0000_i1031" type="#_x0000_t75" style="width:476.15pt;height:177.95pt">
            <v:imagedata r:id="rId17" o:title=""/>
          </v:shape>
        </w:pict>
      </w:r>
    </w:p>
    <w:p w:rsidR="00345444" w:rsidRPr="00EF58A8" w:rsidRDefault="00EF58A8" w:rsidP="00EF58A8">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345444" w:rsidRDefault="00345444" w:rsidP="00BC18FB"/>
    <w:p w:rsidR="00EF58A8" w:rsidRPr="00BC18FB" w:rsidRDefault="00EF58A8" w:rsidP="00BC18FB"/>
    <w:p w:rsidR="00BC18FB" w:rsidRDefault="00BC18FB" w:rsidP="00BC18FB">
      <w:pPr>
        <w:pStyle w:val="Heading3"/>
        <w:ind w:firstLine="0"/>
        <w:rPr>
          <w:color w:val="2272A3"/>
          <w:sz w:val="32"/>
          <w:szCs w:val="32"/>
        </w:rPr>
      </w:pPr>
      <w:r w:rsidRPr="00004A63">
        <w:rPr>
          <w:color w:val="2272A3"/>
          <w:sz w:val="32"/>
          <w:szCs w:val="32"/>
        </w:rPr>
        <w:t>S</w:t>
      </w:r>
      <w:r w:rsidR="00362B9A">
        <w:rPr>
          <w:color w:val="2272A3"/>
          <w:sz w:val="32"/>
          <w:szCs w:val="32"/>
        </w:rPr>
        <w:t>ydney STTM</w:t>
      </w:r>
    </w:p>
    <w:p w:rsidR="00EF58A8" w:rsidRPr="00EF58A8" w:rsidRDefault="00EF58A8" w:rsidP="00EF58A8">
      <w:pPr>
        <w:jc w:val="both"/>
      </w:pPr>
      <w:r>
        <w:t xml:space="preserve">In each </w:t>
      </w:r>
      <w:r w:rsidRPr="00EF58A8">
        <w:t xml:space="preserve">STTM hub, a daily gas price is calculated before the gas day (the </w:t>
      </w:r>
      <w:proofErr w:type="spellStart"/>
      <w:r w:rsidRPr="00EF58A8">
        <w:t>ex ante</w:t>
      </w:r>
      <w:proofErr w:type="spellEnd"/>
      <w:r w:rsidRPr="00EF58A8">
        <w:t xml:space="preserve"> price) and after the gas day (the ex post price). The main drivers of these prices are participant demand forecasts, and offers to inject or bids to withdraw gas traded at the hub.</w:t>
      </w:r>
      <w:r w:rsidRPr="00EF58A8">
        <w:rPr>
          <w:rStyle w:val="FootnoteReference"/>
        </w:rPr>
        <w:footnoteReference w:id="5"/>
      </w:r>
      <w:r w:rsidRPr="00EF58A8">
        <w:t xml:space="preserve"> Divergences in ex ante and ex post prices for a gas day may occur due to differences in scheduled (forecast) and allocated (actual) quantities.</w:t>
      </w:r>
      <w:r>
        <w:t xml:space="preserve"> Pipeline acronyms are defined in the </w:t>
      </w:r>
      <w:hyperlink r:id="rId18" w:history="1">
        <w:r w:rsidR="00586C57">
          <w:rPr>
            <w:rStyle w:val="Hyperlink"/>
          </w:rPr>
          <w:t>user guide</w:t>
        </w:r>
      </w:hyperlink>
      <w:r w:rsidR="00586C57">
        <w:t>.</w:t>
      </w:r>
    </w:p>
    <w:p w:rsidR="00EF58A8" w:rsidRPr="00EF58A8" w:rsidRDefault="00EF58A8" w:rsidP="00EF58A8">
      <w:pPr>
        <w:pStyle w:val="AERbodytext"/>
        <w:spacing w:before="120" w:after="120" w:line="240" w:lineRule="auto"/>
        <w:jc w:val="both"/>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6"/>
      </w:r>
      <w:r w:rsidRPr="00EF58A8">
        <w:t xml:space="preserve"> </w:t>
      </w:r>
    </w:p>
    <w:p w:rsidR="00362B9A" w:rsidRPr="00362B9A" w:rsidRDefault="00EF58A8" w:rsidP="00EF58A8">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BC18FB" w:rsidRDefault="00362B9A" w:rsidP="00362B9A">
      <w:pPr>
        <w:pStyle w:val="Heading4"/>
        <w:ind w:left="340" w:hanging="340"/>
        <w:rPr>
          <w:color w:val="2272A3"/>
          <w:sz w:val="24"/>
          <w:szCs w:val="24"/>
        </w:rPr>
      </w:pPr>
      <w:r w:rsidRPr="00362B9A">
        <w:rPr>
          <w:color w:val="2272A3"/>
          <w:sz w:val="24"/>
          <w:szCs w:val="24"/>
        </w:rPr>
        <w:t>SYD STTM daily ex ante and ex post prices and quantities</w:t>
      </w:r>
    </w:p>
    <w:tbl>
      <w:tblPr>
        <w:tblStyle w:val="AERTable-Text0"/>
        <w:tblW w:w="9360" w:type="dxa"/>
        <w:tblLayout w:type="fixed"/>
        <w:tblLook w:val="01E0" w:firstRow="1" w:lastRow="1" w:firstColumn="1" w:lastColumn="1" w:noHBand="0" w:noVBand="0"/>
      </w:tblPr>
      <w:tblGrid>
        <w:gridCol w:w="2160"/>
        <w:gridCol w:w="1028"/>
        <w:gridCol w:w="1029"/>
        <w:gridCol w:w="1028"/>
        <w:gridCol w:w="1029"/>
        <w:gridCol w:w="1028"/>
        <w:gridCol w:w="1029"/>
        <w:gridCol w:w="1029"/>
      </w:tblGrid>
      <w:tr w:rsidR="003625A6" w:rsidRPr="00442756" w:rsidTr="00B71928">
        <w:trPr>
          <w:cnfStyle w:val="100000000000" w:firstRow="1" w:lastRow="0" w:firstColumn="0" w:lastColumn="0" w:oddVBand="0" w:evenVBand="0" w:oddHBand="0" w:evenHBand="0" w:firstRowFirstColumn="0" w:firstRowLastColumn="0" w:lastRowFirstColumn="0" w:lastRowLastColumn="0"/>
          <w:trHeight w:val="255"/>
        </w:trPr>
        <w:tc>
          <w:tcPr>
            <w:tcW w:w="2160" w:type="dxa"/>
            <w:noWrap/>
          </w:tcPr>
          <w:p w:rsidR="003625A6" w:rsidRPr="00442756" w:rsidRDefault="003625A6" w:rsidP="00B71928">
            <w:pPr>
              <w:spacing w:before="40" w:after="40"/>
              <w:rPr>
                <w:rFonts w:cs="Arial"/>
                <w:b w:val="0"/>
                <w:bCs/>
                <w:sz w:val="20"/>
                <w:szCs w:val="20"/>
              </w:rPr>
            </w:pPr>
            <w:r w:rsidRPr="00442756">
              <w:rPr>
                <w:rFonts w:cs="Arial"/>
                <w:bCs/>
                <w:sz w:val="20"/>
                <w:szCs w:val="20"/>
              </w:rPr>
              <w:t> </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Sun</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Mon</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Tue</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Wed</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Thu</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Fri</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Sat</w:t>
            </w:r>
          </w:p>
        </w:tc>
      </w:tr>
      <w:tr w:rsidR="004A1362" w:rsidRPr="00442756" w:rsidTr="00B71928">
        <w:trPr>
          <w:trHeight w:val="255"/>
        </w:trPr>
        <w:tc>
          <w:tcPr>
            <w:tcW w:w="2160" w:type="dxa"/>
            <w:noWrap/>
            <w:vAlign w:val="center"/>
          </w:tcPr>
          <w:p w:rsidR="004A1362" w:rsidRPr="008C268E" w:rsidRDefault="004A1362" w:rsidP="003625A6">
            <w:pPr>
              <w:spacing w:before="60" w:after="60"/>
              <w:rPr>
                <w:rFonts w:cs="Arial"/>
                <w:sz w:val="20"/>
                <w:szCs w:val="20"/>
              </w:rPr>
            </w:pPr>
            <w:r w:rsidRPr="008C268E">
              <w:rPr>
                <w:rFonts w:cs="Arial"/>
                <w:sz w:val="20"/>
                <w:szCs w:val="20"/>
              </w:rPr>
              <w:t>Ex ante price ($/GJ)</w:t>
            </w:r>
          </w:p>
        </w:tc>
        <w:tc>
          <w:tcPr>
            <w:tcW w:w="1028" w:type="dxa"/>
            <w:noWrap/>
            <w:vAlign w:val="center"/>
          </w:tcPr>
          <w:p w:rsidR="004A1362" w:rsidRDefault="004A1362">
            <w:pPr>
              <w:jc w:val="center"/>
              <w:rPr>
                <w:rFonts w:cs="Arial"/>
                <w:sz w:val="20"/>
                <w:szCs w:val="20"/>
              </w:rPr>
            </w:pPr>
            <w:r>
              <w:rPr>
                <w:rFonts w:cs="Arial"/>
                <w:sz w:val="20"/>
                <w:szCs w:val="20"/>
              </w:rPr>
              <w:t>3.60</w:t>
            </w:r>
          </w:p>
        </w:tc>
        <w:tc>
          <w:tcPr>
            <w:tcW w:w="1029" w:type="dxa"/>
            <w:noWrap/>
            <w:vAlign w:val="center"/>
          </w:tcPr>
          <w:p w:rsidR="004A1362" w:rsidRDefault="004A1362">
            <w:pPr>
              <w:jc w:val="center"/>
              <w:rPr>
                <w:rFonts w:cs="Arial"/>
                <w:sz w:val="20"/>
                <w:szCs w:val="20"/>
              </w:rPr>
            </w:pPr>
            <w:r>
              <w:rPr>
                <w:rFonts w:cs="Arial"/>
                <w:sz w:val="20"/>
                <w:szCs w:val="20"/>
              </w:rPr>
              <w:t>5.04</w:t>
            </w:r>
          </w:p>
        </w:tc>
        <w:tc>
          <w:tcPr>
            <w:tcW w:w="1028" w:type="dxa"/>
            <w:noWrap/>
            <w:vAlign w:val="center"/>
          </w:tcPr>
          <w:p w:rsidR="004A1362" w:rsidRDefault="004A1362">
            <w:pPr>
              <w:jc w:val="center"/>
              <w:rPr>
                <w:rFonts w:cs="Arial"/>
                <w:sz w:val="20"/>
                <w:szCs w:val="20"/>
              </w:rPr>
            </w:pPr>
            <w:r>
              <w:rPr>
                <w:rFonts w:cs="Arial"/>
                <w:sz w:val="20"/>
                <w:szCs w:val="20"/>
              </w:rPr>
              <w:t>4.56</w:t>
            </w:r>
          </w:p>
        </w:tc>
        <w:tc>
          <w:tcPr>
            <w:tcW w:w="1029" w:type="dxa"/>
            <w:noWrap/>
            <w:vAlign w:val="center"/>
          </w:tcPr>
          <w:p w:rsidR="004A1362" w:rsidRDefault="004A1362">
            <w:pPr>
              <w:jc w:val="center"/>
              <w:rPr>
                <w:rFonts w:cs="Arial"/>
                <w:sz w:val="20"/>
                <w:szCs w:val="20"/>
              </w:rPr>
            </w:pPr>
            <w:r>
              <w:rPr>
                <w:rFonts w:cs="Arial"/>
                <w:sz w:val="20"/>
                <w:szCs w:val="20"/>
              </w:rPr>
              <w:t>5.98</w:t>
            </w:r>
          </w:p>
        </w:tc>
        <w:tc>
          <w:tcPr>
            <w:tcW w:w="1028" w:type="dxa"/>
            <w:noWrap/>
            <w:vAlign w:val="center"/>
          </w:tcPr>
          <w:p w:rsidR="004A1362" w:rsidRDefault="004A1362">
            <w:pPr>
              <w:jc w:val="center"/>
              <w:rPr>
                <w:rFonts w:cs="Arial"/>
                <w:sz w:val="20"/>
                <w:szCs w:val="20"/>
              </w:rPr>
            </w:pPr>
            <w:r>
              <w:rPr>
                <w:rFonts w:cs="Arial"/>
                <w:sz w:val="20"/>
                <w:szCs w:val="20"/>
              </w:rPr>
              <w:t>5.90</w:t>
            </w:r>
          </w:p>
        </w:tc>
        <w:tc>
          <w:tcPr>
            <w:tcW w:w="1029" w:type="dxa"/>
            <w:noWrap/>
            <w:vAlign w:val="center"/>
          </w:tcPr>
          <w:p w:rsidR="004A1362" w:rsidRDefault="004A1362">
            <w:pPr>
              <w:jc w:val="center"/>
              <w:rPr>
                <w:rFonts w:cs="Arial"/>
                <w:sz w:val="20"/>
                <w:szCs w:val="20"/>
              </w:rPr>
            </w:pPr>
            <w:r>
              <w:rPr>
                <w:rFonts w:cs="Arial"/>
                <w:sz w:val="20"/>
                <w:szCs w:val="20"/>
              </w:rPr>
              <w:t>5.85</w:t>
            </w:r>
          </w:p>
        </w:tc>
        <w:tc>
          <w:tcPr>
            <w:tcW w:w="1029" w:type="dxa"/>
            <w:noWrap/>
            <w:vAlign w:val="center"/>
          </w:tcPr>
          <w:p w:rsidR="004A1362" w:rsidRDefault="004A1362">
            <w:pPr>
              <w:jc w:val="center"/>
              <w:rPr>
                <w:rFonts w:cs="Arial"/>
                <w:sz w:val="20"/>
                <w:szCs w:val="20"/>
              </w:rPr>
            </w:pPr>
            <w:r>
              <w:rPr>
                <w:rFonts w:cs="Arial"/>
                <w:sz w:val="20"/>
                <w:szCs w:val="20"/>
              </w:rPr>
              <w:t>5.60</w:t>
            </w:r>
          </w:p>
        </w:tc>
      </w:tr>
      <w:tr w:rsidR="004A1362"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4A1362" w:rsidRPr="008C268E" w:rsidRDefault="004A1362" w:rsidP="003625A6">
            <w:pPr>
              <w:spacing w:before="60" w:after="60"/>
              <w:rPr>
                <w:rFonts w:cs="Arial"/>
                <w:sz w:val="20"/>
                <w:szCs w:val="20"/>
              </w:rPr>
            </w:pPr>
            <w:r w:rsidRPr="008C268E">
              <w:rPr>
                <w:rFonts w:cs="Arial"/>
                <w:sz w:val="20"/>
                <w:szCs w:val="20"/>
              </w:rPr>
              <w:t>Ex ante quantity (TJ)</w:t>
            </w:r>
          </w:p>
        </w:tc>
        <w:tc>
          <w:tcPr>
            <w:tcW w:w="1028" w:type="dxa"/>
            <w:noWrap/>
            <w:vAlign w:val="center"/>
          </w:tcPr>
          <w:p w:rsidR="004A1362" w:rsidRDefault="004A1362">
            <w:pPr>
              <w:jc w:val="center"/>
              <w:rPr>
                <w:rFonts w:cs="Arial"/>
                <w:sz w:val="20"/>
                <w:szCs w:val="20"/>
              </w:rPr>
            </w:pPr>
            <w:r>
              <w:rPr>
                <w:rFonts w:cs="Arial"/>
                <w:sz w:val="20"/>
                <w:szCs w:val="20"/>
              </w:rPr>
              <w:t>274</w:t>
            </w:r>
          </w:p>
        </w:tc>
        <w:tc>
          <w:tcPr>
            <w:tcW w:w="1029" w:type="dxa"/>
            <w:noWrap/>
            <w:vAlign w:val="center"/>
          </w:tcPr>
          <w:p w:rsidR="004A1362" w:rsidRDefault="004A1362">
            <w:pPr>
              <w:jc w:val="center"/>
              <w:rPr>
                <w:rFonts w:cs="Arial"/>
                <w:sz w:val="20"/>
                <w:szCs w:val="20"/>
              </w:rPr>
            </w:pPr>
            <w:r>
              <w:rPr>
                <w:rFonts w:cs="Arial"/>
                <w:sz w:val="20"/>
                <w:szCs w:val="20"/>
              </w:rPr>
              <w:t>314</w:t>
            </w:r>
          </w:p>
        </w:tc>
        <w:tc>
          <w:tcPr>
            <w:tcW w:w="1028" w:type="dxa"/>
            <w:noWrap/>
            <w:vAlign w:val="center"/>
          </w:tcPr>
          <w:p w:rsidR="004A1362" w:rsidRDefault="004A1362">
            <w:pPr>
              <w:jc w:val="center"/>
              <w:rPr>
                <w:rFonts w:cs="Arial"/>
                <w:sz w:val="20"/>
                <w:szCs w:val="20"/>
              </w:rPr>
            </w:pPr>
            <w:r>
              <w:rPr>
                <w:rFonts w:cs="Arial"/>
                <w:sz w:val="20"/>
                <w:szCs w:val="20"/>
              </w:rPr>
              <w:t>311</w:t>
            </w:r>
          </w:p>
        </w:tc>
        <w:tc>
          <w:tcPr>
            <w:tcW w:w="1029" w:type="dxa"/>
            <w:noWrap/>
            <w:vAlign w:val="center"/>
          </w:tcPr>
          <w:p w:rsidR="004A1362" w:rsidRDefault="004A1362">
            <w:pPr>
              <w:jc w:val="center"/>
              <w:rPr>
                <w:rFonts w:cs="Arial"/>
                <w:sz w:val="20"/>
                <w:szCs w:val="20"/>
              </w:rPr>
            </w:pPr>
            <w:r>
              <w:rPr>
                <w:rFonts w:cs="Arial"/>
                <w:sz w:val="20"/>
                <w:szCs w:val="20"/>
              </w:rPr>
              <w:t>311</w:t>
            </w:r>
          </w:p>
        </w:tc>
        <w:tc>
          <w:tcPr>
            <w:tcW w:w="1028" w:type="dxa"/>
            <w:noWrap/>
            <w:vAlign w:val="center"/>
          </w:tcPr>
          <w:p w:rsidR="004A1362" w:rsidRDefault="004A1362">
            <w:pPr>
              <w:jc w:val="center"/>
              <w:rPr>
                <w:rFonts w:cs="Arial"/>
                <w:sz w:val="20"/>
                <w:szCs w:val="20"/>
              </w:rPr>
            </w:pPr>
            <w:r>
              <w:rPr>
                <w:rFonts w:cs="Arial"/>
                <w:sz w:val="20"/>
                <w:szCs w:val="20"/>
              </w:rPr>
              <w:t>305</w:t>
            </w:r>
          </w:p>
        </w:tc>
        <w:tc>
          <w:tcPr>
            <w:tcW w:w="1029" w:type="dxa"/>
            <w:noWrap/>
            <w:vAlign w:val="center"/>
          </w:tcPr>
          <w:p w:rsidR="004A1362" w:rsidRDefault="004A1362">
            <w:pPr>
              <w:jc w:val="center"/>
              <w:rPr>
                <w:rFonts w:cs="Arial"/>
                <w:sz w:val="20"/>
                <w:szCs w:val="20"/>
              </w:rPr>
            </w:pPr>
            <w:r>
              <w:rPr>
                <w:rFonts w:cs="Arial"/>
                <w:sz w:val="20"/>
                <w:szCs w:val="20"/>
              </w:rPr>
              <w:t>311</w:t>
            </w:r>
          </w:p>
        </w:tc>
        <w:tc>
          <w:tcPr>
            <w:tcW w:w="1029" w:type="dxa"/>
            <w:noWrap/>
            <w:vAlign w:val="center"/>
          </w:tcPr>
          <w:p w:rsidR="004A1362" w:rsidRDefault="004A1362">
            <w:pPr>
              <w:jc w:val="center"/>
              <w:rPr>
                <w:rFonts w:cs="Arial"/>
                <w:sz w:val="20"/>
                <w:szCs w:val="20"/>
              </w:rPr>
            </w:pPr>
            <w:r>
              <w:rPr>
                <w:rFonts w:cs="Arial"/>
                <w:sz w:val="20"/>
                <w:szCs w:val="20"/>
              </w:rPr>
              <w:t>271</w:t>
            </w:r>
          </w:p>
        </w:tc>
      </w:tr>
      <w:tr w:rsidR="004A1362" w:rsidRPr="00442756" w:rsidTr="00B71928">
        <w:trPr>
          <w:trHeight w:val="255"/>
        </w:trPr>
        <w:tc>
          <w:tcPr>
            <w:tcW w:w="2160" w:type="dxa"/>
            <w:noWrap/>
            <w:vAlign w:val="center"/>
          </w:tcPr>
          <w:p w:rsidR="004A1362" w:rsidRPr="008C268E" w:rsidRDefault="004A1362" w:rsidP="003625A6">
            <w:pPr>
              <w:spacing w:before="60" w:after="60"/>
              <w:rPr>
                <w:rFonts w:cs="Arial"/>
                <w:sz w:val="20"/>
                <w:szCs w:val="20"/>
              </w:rPr>
            </w:pPr>
            <w:r w:rsidRPr="008C268E">
              <w:rPr>
                <w:rFonts w:cs="Arial"/>
                <w:sz w:val="20"/>
                <w:szCs w:val="20"/>
              </w:rPr>
              <w:t>Ex post price ($/GJ)</w:t>
            </w:r>
          </w:p>
        </w:tc>
        <w:tc>
          <w:tcPr>
            <w:tcW w:w="1028" w:type="dxa"/>
            <w:noWrap/>
            <w:vAlign w:val="center"/>
          </w:tcPr>
          <w:p w:rsidR="004A1362" w:rsidRDefault="004A1362">
            <w:pPr>
              <w:jc w:val="center"/>
              <w:rPr>
                <w:rFonts w:cs="Arial"/>
                <w:sz w:val="20"/>
                <w:szCs w:val="20"/>
              </w:rPr>
            </w:pPr>
            <w:r>
              <w:rPr>
                <w:rFonts w:cs="Arial"/>
                <w:sz w:val="20"/>
                <w:szCs w:val="20"/>
              </w:rPr>
              <w:t>3.60</w:t>
            </w:r>
          </w:p>
        </w:tc>
        <w:tc>
          <w:tcPr>
            <w:tcW w:w="1029" w:type="dxa"/>
            <w:noWrap/>
            <w:vAlign w:val="center"/>
          </w:tcPr>
          <w:p w:rsidR="004A1362" w:rsidRDefault="004A1362">
            <w:pPr>
              <w:jc w:val="center"/>
              <w:rPr>
                <w:rFonts w:cs="Arial"/>
                <w:sz w:val="20"/>
                <w:szCs w:val="20"/>
              </w:rPr>
            </w:pPr>
            <w:r>
              <w:rPr>
                <w:rFonts w:cs="Arial"/>
                <w:sz w:val="20"/>
                <w:szCs w:val="20"/>
              </w:rPr>
              <w:t>5.04</w:t>
            </w:r>
          </w:p>
        </w:tc>
        <w:tc>
          <w:tcPr>
            <w:tcW w:w="1028" w:type="dxa"/>
            <w:noWrap/>
            <w:vAlign w:val="center"/>
          </w:tcPr>
          <w:p w:rsidR="004A1362" w:rsidRDefault="004A1362">
            <w:pPr>
              <w:jc w:val="center"/>
              <w:rPr>
                <w:rFonts w:cs="Arial"/>
                <w:sz w:val="20"/>
                <w:szCs w:val="20"/>
              </w:rPr>
            </w:pPr>
            <w:r>
              <w:rPr>
                <w:rFonts w:cs="Arial"/>
                <w:sz w:val="20"/>
                <w:szCs w:val="20"/>
              </w:rPr>
              <w:t>4.56</w:t>
            </w:r>
          </w:p>
        </w:tc>
        <w:tc>
          <w:tcPr>
            <w:tcW w:w="1029" w:type="dxa"/>
            <w:noWrap/>
            <w:vAlign w:val="center"/>
          </w:tcPr>
          <w:p w:rsidR="004A1362" w:rsidRDefault="004A1362">
            <w:pPr>
              <w:jc w:val="center"/>
              <w:rPr>
                <w:rFonts w:cs="Arial"/>
                <w:sz w:val="20"/>
                <w:szCs w:val="20"/>
              </w:rPr>
            </w:pPr>
            <w:r>
              <w:rPr>
                <w:rFonts w:cs="Arial"/>
                <w:sz w:val="20"/>
                <w:szCs w:val="20"/>
              </w:rPr>
              <w:t>6.00</w:t>
            </w:r>
          </w:p>
        </w:tc>
        <w:tc>
          <w:tcPr>
            <w:tcW w:w="1028" w:type="dxa"/>
            <w:noWrap/>
            <w:vAlign w:val="center"/>
          </w:tcPr>
          <w:p w:rsidR="004A1362" w:rsidRDefault="004A1362">
            <w:pPr>
              <w:jc w:val="center"/>
              <w:rPr>
                <w:rFonts w:cs="Arial"/>
                <w:sz w:val="20"/>
                <w:szCs w:val="20"/>
              </w:rPr>
            </w:pPr>
            <w:r>
              <w:rPr>
                <w:rFonts w:cs="Arial"/>
                <w:sz w:val="20"/>
                <w:szCs w:val="20"/>
              </w:rPr>
              <w:t>6.36</w:t>
            </w:r>
          </w:p>
        </w:tc>
        <w:tc>
          <w:tcPr>
            <w:tcW w:w="1029" w:type="dxa"/>
            <w:noWrap/>
            <w:vAlign w:val="center"/>
          </w:tcPr>
          <w:p w:rsidR="004A1362" w:rsidRDefault="004A1362">
            <w:pPr>
              <w:jc w:val="center"/>
              <w:rPr>
                <w:rFonts w:cs="Arial"/>
                <w:sz w:val="20"/>
                <w:szCs w:val="20"/>
              </w:rPr>
            </w:pPr>
            <w:r>
              <w:rPr>
                <w:rFonts w:cs="Arial"/>
                <w:sz w:val="20"/>
                <w:szCs w:val="20"/>
              </w:rPr>
              <w:t>5.89</w:t>
            </w:r>
          </w:p>
        </w:tc>
        <w:tc>
          <w:tcPr>
            <w:tcW w:w="1029" w:type="dxa"/>
            <w:noWrap/>
            <w:vAlign w:val="center"/>
          </w:tcPr>
          <w:p w:rsidR="004A1362" w:rsidRDefault="004A1362">
            <w:pPr>
              <w:jc w:val="center"/>
              <w:rPr>
                <w:rFonts w:cs="Arial"/>
                <w:sz w:val="20"/>
                <w:szCs w:val="20"/>
              </w:rPr>
            </w:pPr>
            <w:r>
              <w:rPr>
                <w:rFonts w:cs="Arial"/>
                <w:sz w:val="20"/>
                <w:szCs w:val="20"/>
              </w:rPr>
              <w:t>5.50</w:t>
            </w:r>
          </w:p>
        </w:tc>
      </w:tr>
      <w:tr w:rsidR="004A1362"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4A1362" w:rsidRPr="008C268E" w:rsidRDefault="004A1362" w:rsidP="003625A6">
            <w:pPr>
              <w:spacing w:before="60" w:after="60"/>
              <w:rPr>
                <w:rFonts w:cs="Arial"/>
                <w:sz w:val="20"/>
                <w:szCs w:val="20"/>
              </w:rPr>
            </w:pPr>
            <w:r w:rsidRPr="008C268E">
              <w:rPr>
                <w:rFonts w:cs="Arial"/>
                <w:sz w:val="20"/>
                <w:szCs w:val="20"/>
              </w:rPr>
              <w:t>Ex post quantity (TJ)</w:t>
            </w:r>
          </w:p>
        </w:tc>
        <w:tc>
          <w:tcPr>
            <w:tcW w:w="1028" w:type="dxa"/>
            <w:noWrap/>
            <w:vAlign w:val="center"/>
          </w:tcPr>
          <w:p w:rsidR="004A1362" w:rsidRDefault="004A1362">
            <w:pPr>
              <w:jc w:val="center"/>
              <w:rPr>
                <w:rFonts w:cs="Arial"/>
                <w:sz w:val="20"/>
                <w:szCs w:val="20"/>
              </w:rPr>
            </w:pPr>
            <w:r>
              <w:rPr>
                <w:rFonts w:cs="Arial"/>
                <w:sz w:val="20"/>
                <w:szCs w:val="20"/>
              </w:rPr>
              <w:t>277</w:t>
            </w:r>
          </w:p>
        </w:tc>
        <w:tc>
          <w:tcPr>
            <w:tcW w:w="1029" w:type="dxa"/>
            <w:noWrap/>
            <w:vAlign w:val="center"/>
          </w:tcPr>
          <w:p w:rsidR="004A1362" w:rsidRDefault="004A1362">
            <w:pPr>
              <w:jc w:val="center"/>
              <w:rPr>
                <w:rFonts w:cs="Arial"/>
                <w:sz w:val="20"/>
                <w:szCs w:val="20"/>
              </w:rPr>
            </w:pPr>
            <w:r>
              <w:rPr>
                <w:rFonts w:cs="Arial"/>
                <w:sz w:val="20"/>
                <w:szCs w:val="20"/>
              </w:rPr>
              <w:t>319</w:t>
            </w:r>
          </w:p>
        </w:tc>
        <w:tc>
          <w:tcPr>
            <w:tcW w:w="1028" w:type="dxa"/>
            <w:noWrap/>
            <w:vAlign w:val="center"/>
          </w:tcPr>
          <w:p w:rsidR="004A1362" w:rsidRDefault="004A1362">
            <w:pPr>
              <w:jc w:val="center"/>
              <w:rPr>
                <w:rFonts w:cs="Arial"/>
                <w:sz w:val="20"/>
                <w:szCs w:val="20"/>
              </w:rPr>
            </w:pPr>
            <w:r>
              <w:rPr>
                <w:rFonts w:cs="Arial"/>
                <w:sz w:val="20"/>
                <w:szCs w:val="20"/>
              </w:rPr>
              <w:t>325</w:t>
            </w:r>
          </w:p>
        </w:tc>
        <w:tc>
          <w:tcPr>
            <w:tcW w:w="1029" w:type="dxa"/>
            <w:noWrap/>
            <w:vAlign w:val="center"/>
          </w:tcPr>
          <w:p w:rsidR="004A1362" w:rsidRDefault="004A1362">
            <w:pPr>
              <w:jc w:val="center"/>
              <w:rPr>
                <w:rFonts w:cs="Arial"/>
                <w:sz w:val="20"/>
                <w:szCs w:val="20"/>
              </w:rPr>
            </w:pPr>
            <w:r>
              <w:rPr>
                <w:rFonts w:cs="Arial"/>
                <w:sz w:val="20"/>
                <w:szCs w:val="20"/>
              </w:rPr>
              <w:t>316</w:t>
            </w:r>
          </w:p>
        </w:tc>
        <w:tc>
          <w:tcPr>
            <w:tcW w:w="1028" w:type="dxa"/>
            <w:noWrap/>
            <w:vAlign w:val="center"/>
          </w:tcPr>
          <w:p w:rsidR="004A1362" w:rsidRDefault="004A1362">
            <w:pPr>
              <w:jc w:val="center"/>
              <w:rPr>
                <w:rFonts w:cs="Arial"/>
                <w:sz w:val="20"/>
                <w:szCs w:val="20"/>
              </w:rPr>
            </w:pPr>
            <w:r>
              <w:rPr>
                <w:rFonts w:cs="Arial"/>
                <w:sz w:val="20"/>
                <w:szCs w:val="20"/>
              </w:rPr>
              <w:t>313</w:t>
            </w:r>
          </w:p>
        </w:tc>
        <w:tc>
          <w:tcPr>
            <w:tcW w:w="1029" w:type="dxa"/>
            <w:noWrap/>
            <w:vAlign w:val="center"/>
          </w:tcPr>
          <w:p w:rsidR="004A1362" w:rsidRDefault="004A1362">
            <w:pPr>
              <w:jc w:val="center"/>
              <w:rPr>
                <w:rFonts w:cs="Arial"/>
                <w:sz w:val="20"/>
                <w:szCs w:val="20"/>
              </w:rPr>
            </w:pPr>
            <w:r>
              <w:rPr>
                <w:rFonts w:cs="Arial"/>
                <w:sz w:val="20"/>
                <w:szCs w:val="20"/>
              </w:rPr>
              <w:t>318</w:t>
            </w:r>
          </w:p>
        </w:tc>
        <w:tc>
          <w:tcPr>
            <w:tcW w:w="1029" w:type="dxa"/>
            <w:noWrap/>
            <w:vAlign w:val="center"/>
          </w:tcPr>
          <w:p w:rsidR="004A1362" w:rsidRDefault="004A1362">
            <w:pPr>
              <w:jc w:val="center"/>
              <w:rPr>
                <w:rFonts w:cs="Arial"/>
                <w:sz w:val="20"/>
                <w:szCs w:val="20"/>
              </w:rPr>
            </w:pPr>
            <w:r>
              <w:rPr>
                <w:rFonts w:cs="Arial"/>
                <w:sz w:val="20"/>
                <w:szCs w:val="20"/>
              </w:rPr>
              <w:t>266</w:t>
            </w:r>
          </w:p>
        </w:tc>
      </w:tr>
    </w:tbl>
    <w:p w:rsidR="00362B9A" w:rsidRPr="00362B9A" w:rsidRDefault="00362B9A" w:rsidP="00362B9A"/>
    <w:p w:rsidR="00BC18FB" w:rsidRPr="00DD0358" w:rsidRDefault="00362B9A" w:rsidP="00362B9A">
      <w:pPr>
        <w:pStyle w:val="Heading4"/>
        <w:ind w:left="340" w:hanging="340"/>
        <w:rPr>
          <w:color w:val="2272A3"/>
          <w:sz w:val="24"/>
          <w:szCs w:val="24"/>
        </w:rPr>
      </w:pPr>
      <w:r w:rsidRPr="00DD0358">
        <w:rPr>
          <w:color w:val="2272A3"/>
          <w:sz w:val="24"/>
          <w:szCs w:val="24"/>
        </w:rPr>
        <w:t>SYD daily hub offers and daily hub bids in price bands ($/GJ)</w:t>
      </w:r>
    </w:p>
    <w:p w:rsidR="00362B9A" w:rsidRPr="00362B9A" w:rsidRDefault="00406A97" w:rsidP="00362B9A">
      <w:r>
        <w:pict>
          <v:shape id="_x0000_i1032" type="#_x0000_t75" style="width:475.45pt;height:170.5pt">
            <v:imagedata r:id="rId19" o:title=""/>
          </v:shape>
        </w:pict>
      </w:r>
    </w:p>
    <w:p w:rsidR="00BC18FB" w:rsidRPr="00DD0358" w:rsidRDefault="00362B9A" w:rsidP="00FF0D8A">
      <w:pPr>
        <w:pStyle w:val="Heading4"/>
        <w:ind w:hanging="338"/>
        <w:rPr>
          <w:color w:val="2272A3"/>
          <w:sz w:val="24"/>
          <w:szCs w:val="24"/>
        </w:rPr>
      </w:pPr>
      <w:r w:rsidRPr="00DD0358">
        <w:rPr>
          <w:color w:val="2272A3"/>
          <w:sz w:val="24"/>
          <w:szCs w:val="24"/>
        </w:rPr>
        <w:t xml:space="preserve">SYD net scheduled and allocated </w:t>
      </w:r>
      <w:r w:rsidR="003625A6" w:rsidRPr="00DD0358">
        <w:rPr>
          <w:color w:val="2272A3"/>
          <w:sz w:val="24"/>
          <w:szCs w:val="24"/>
        </w:rPr>
        <w:t xml:space="preserve">gas hub supply </w:t>
      </w:r>
      <w:r w:rsidRPr="00DD0358">
        <w:rPr>
          <w:color w:val="2272A3"/>
          <w:sz w:val="24"/>
          <w:szCs w:val="24"/>
        </w:rPr>
        <w:t xml:space="preserve">(excluding MOS) </w:t>
      </w:r>
    </w:p>
    <w:p w:rsidR="00362B9A" w:rsidRPr="00362B9A" w:rsidRDefault="00406A97" w:rsidP="00362B9A">
      <w:r>
        <w:pict>
          <v:shape id="_x0000_i1033" type="#_x0000_t75" style="width:477.5pt;height:213.3pt">
            <v:imagedata r:id="rId20" o:title=""/>
          </v:shape>
        </w:pict>
      </w:r>
    </w:p>
    <w:p w:rsidR="00BC18FB" w:rsidRPr="00DD0358" w:rsidRDefault="00362B9A" w:rsidP="00FF0D8A">
      <w:pPr>
        <w:pStyle w:val="Heading4"/>
        <w:ind w:hanging="338"/>
        <w:rPr>
          <w:color w:val="2272A3"/>
          <w:sz w:val="24"/>
          <w:szCs w:val="24"/>
        </w:rPr>
      </w:pPr>
      <w:r w:rsidRPr="00DD0358">
        <w:rPr>
          <w:color w:val="2272A3"/>
          <w:sz w:val="24"/>
          <w:szCs w:val="24"/>
        </w:rPr>
        <w:t>SYD MOS allocations (TJ), service payments and commodity payments/charges ($000)</w:t>
      </w:r>
    </w:p>
    <w:p w:rsidR="00362B9A" w:rsidRDefault="00406A97" w:rsidP="00362B9A">
      <w:r>
        <w:pict>
          <v:shape id="_x0000_i1034" type="#_x0000_t75" style="width:476.15pt;height:180.7pt">
            <v:imagedata r:id="rId21" o:title=""/>
          </v:shape>
        </w:pict>
      </w:r>
    </w:p>
    <w:p w:rsidR="00BC18FB" w:rsidRDefault="00AC1E89" w:rsidP="00BC18FB">
      <w:pPr>
        <w:pStyle w:val="Heading3"/>
        <w:ind w:firstLine="0"/>
        <w:rPr>
          <w:color w:val="2272A3"/>
          <w:sz w:val="32"/>
          <w:szCs w:val="32"/>
        </w:rPr>
      </w:pPr>
      <w:r>
        <w:rPr>
          <w:color w:val="2272A3"/>
          <w:sz w:val="32"/>
          <w:szCs w:val="32"/>
        </w:rPr>
        <w:br w:type="page"/>
      </w:r>
      <w:r w:rsidR="00BC18FB" w:rsidRPr="00004A63">
        <w:rPr>
          <w:color w:val="2272A3"/>
          <w:sz w:val="32"/>
          <w:szCs w:val="32"/>
        </w:rPr>
        <w:t>A</w:t>
      </w:r>
      <w:r w:rsidR="00362B9A">
        <w:rPr>
          <w:color w:val="2272A3"/>
          <w:sz w:val="32"/>
          <w:szCs w:val="32"/>
        </w:rPr>
        <w:t>delaide STTM</w:t>
      </w:r>
    </w:p>
    <w:p w:rsidR="003625A6" w:rsidRPr="003625A6" w:rsidRDefault="003625A6" w:rsidP="00345444">
      <w:pPr>
        <w:jc w:val="both"/>
      </w:pPr>
      <w:r>
        <w:t>The Adelaide STTM hub functions in the same way as the Sydney STTM hub.  The same data that was presented for the Sydney hub is presented for the Adelaide hub in the figures below.</w:t>
      </w:r>
    </w:p>
    <w:p w:rsidR="00BC18FB" w:rsidRDefault="003625A6" w:rsidP="00FF0D8A">
      <w:pPr>
        <w:pStyle w:val="Heading4"/>
        <w:ind w:hanging="338"/>
        <w:rPr>
          <w:color w:val="2272A3"/>
          <w:sz w:val="24"/>
        </w:rPr>
      </w:pPr>
      <w:r>
        <w:rPr>
          <w:color w:val="2272A3"/>
          <w:sz w:val="24"/>
          <w:szCs w:val="24"/>
        </w:rPr>
        <w:t>ADL</w:t>
      </w:r>
      <w:r w:rsidRPr="00362B9A">
        <w:rPr>
          <w:color w:val="2272A3"/>
          <w:sz w:val="24"/>
          <w:szCs w:val="24"/>
        </w:rPr>
        <w:t xml:space="preserve"> STTM daily ex ante and ex post prices and quantities</w:t>
      </w:r>
    </w:p>
    <w:tbl>
      <w:tblPr>
        <w:tblStyle w:val="AERTable-Text0"/>
        <w:tblW w:w="9360" w:type="dxa"/>
        <w:tblLayout w:type="fixed"/>
        <w:tblLook w:val="01E0" w:firstRow="1" w:lastRow="1" w:firstColumn="1" w:lastColumn="1" w:noHBand="0" w:noVBand="0"/>
      </w:tblPr>
      <w:tblGrid>
        <w:gridCol w:w="2160"/>
        <w:gridCol w:w="1028"/>
        <w:gridCol w:w="1029"/>
        <w:gridCol w:w="1028"/>
        <w:gridCol w:w="1029"/>
        <w:gridCol w:w="1028"/>
        <w:gridCol w:w="1029"/>
        <w:gridCol w:w="1029"/>
      </w:tblGrid>
      <w:tr w:rsidR="003625A6" w:rsidRPr="00442756" w:rsidTr="00B71928">
        <w:trPr>
          <w:cnfStyle w:val="100000000000" w:firstRow="1" w:lastRow="0" w:firstColumn="0" w:lastColumn="0" w:oddVBand="0" w:evenVBand="0" w:oddHBand="0" w:evenHBand="0" w:firstRowFirstColumn="0" w:firstRowLastColumn="0" w:lastRowFirstColumn="0" w:lastRowLastColumn="0"/>
          <w:trHeight w:val="255"/>
        </w:trPr>
        <w:tc>
          <w:tcPr>
            <w:tcW w:w="2160" w:type="dxa"/>
            <w:noWrap/>
          </w:tcPr>
          <w:p w:rsidR="003625A6" w:rsidRPr="00442756" w:rsidRDefault="003625A6" w:rsidP="00B71928">
            <w:pPr>
              <w:spacing w:before="40" w:after="40"/>
              <w:rPr>
                <w:rFonts w:cs="Arial"/>
                <w:b w:val="0"/>
                <w:bCs/>
                <w:sz w:val="20"/>
                <w:szCs w:val="20"/>
              </w:rPr>
            </w:pPr>
            <w:r w:rsidRPr="00442756">
              <w:rPr>
                <w:rFonts w:cs="Arial"/>
                <w:bCs/>
                <w:sz w:val="20"/>
                <w:szCs w:val="20"/>
              </w:rPr>
              <w:t> </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Sun</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Mon</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Tue</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Wed</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Thu</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Fri</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Sat</w:t>
            </w:r>
          </w:p>
        </w:tc>
      </w:tr>
      <w:tr w:rsidR="00C52D69" w:rsidRPr="00442756" w:rsidTr="00B71928">
        <w:trPr>
          <w:trHeight w:val="255"/>
        </w:trPr>
        <w:tc>
          <w:tcPr>
            <w:tcW w:w="2160" w:type="dxa"/>
            <w:noWrap/>
            <w:vAlign w:val="center"/>
          </w:tcPr>
          <w:p w:rsidR="00C52D69" w:rsidRPr="00442756" w:rsidRDefault="00C52D69" w:rsidP="00B71928">
            <w:pPr>
              <w:spacing w:before="60" w:after="60"/>
              <w:rPr>
                <w:rFonts w:cs="Arial"/>
                <w:sz w:val="20"/>
                <w:szCs w:val="20"/>
              </w:rPr>
            </w:pPr>
            <w:r w:rsidRPr="00442756">
              <w:rPr>
                <w:rFonts w:cs="Arial"/>
                <w:sz w:val="20"/>
                <w:szCs w:val="20"/>
              </w:rPr>
              <w:t>Ex ante price ($/GJ)</w:t>
            </w:r>
          </w:p>
        </w:tc>
        <w:tc>
          <w:tcPr>
            <w:tcW w:w="1028" w:type="dxa"/>
            <w:noWrap/>
            <w:vAlign w:val="center"/>
          </w:tcPr>
          <w:p w:rsidR="00C52D69" w:rsidRDefault="00C52D69">
            <w:pPr>
              <w:jc w:val="center"/>
              <w:rPr>
                <w:rFonts w:cs="Arial"/>
                <w:sz w:val="20"/>
                <w:szCs w:val="20"/>
              </w:rPr>
            </w:pPr>
            <w:r>
              <w:rPr>
                <w:rFonts w:cs="Arial"/>
                <w:sz w:val="20"/>
                <w:szCs w:val="20"/>
              </w:rPr>
              <w:t>4.31</w:t>
            </w:r>
          </w:p>
        </w:tc>
        <w:tc>
          <w:tcPr>
            <w:tcW w:w="1029" w:type="dxa"/>
            <w:noWrap/>
            <w:vAlign w:val="center"/>
          </w:tcPr>
          <w:p w:rsidR="00C52D69" w:rsidRDefault="00C52D69">
            <w:pPr>
              <w:jc w:val="center"/>
              <w:rPr>
                <w:rFonts w:cs="Arial"/>
                <w:sz w:val="20"/>
                <w:szCs w:val="20"/>
              </w:rPr>
            </w:pPr>
            <w:r>
              <w:rPr>
                <w:rFonts w:cs="Arial"/>
                <w:sz w:val="20"/>
                <w:szCs w:val="20"/>
              </w:rPr>
              <w:t>4.81</w:t>
            </w:r>
          </w:p>
        </w:tc>
        <w:tc>
          <w:tcPr>
            <w:tcW w:w="1028" w:type="dxa"/>
            <w:noWrap/>
            <w:vAlign w:val="center"/>
          </w:tcPr>
          <w:p w:rsidR="00C52D69" w:rsidRDefault="00C52D69">
            <w:pPr>
              <w:jc w:val="center"/>
              <w:rPr>
                <w:rFonts w:cs="Arial"/>
                <w:sz w:val="20"/>
                <w:szCs w:val="20"/>
              </w:rPr>
            </w:pPr>
            <w:r>
              <w:rPr>
                <w:rFonts w:cs="Arial"/>
                <w:sz w:val="20"/>
                <w:szCs w:val="20"/>
              </w:rPr>
              <w:t>4.55</w:t>
            </w:r>
          </w:p>
        </w:tc>
        <w:tc>
          <w:tcPr>
            <w:tcW w:w="1029" w:type="dxa"/>
            <w:noWrap/>
            <w:vAlign w:val="center"/>
          </w:tcPr>
          <w:p w:rsidR="00C52D69" w:rsidRDefault="00C52D69">
            <w:pPr>
              <w:jc w:val="center"/>
              <w:rPr>
                <w:rFonts w:cs="Arial"/>
                <w:sz w:val="20"/>
                <w:szCs w:val="20"/>
              </w:rPr>
            </w:pPr>
            <w:r>
              <w:rPr>
                <w:rFonts w:cs="Arial"/>
                <w:sz w:val="20"/>
                <w:szCs w:val="20"/>
              </w:rPr>
              <w:t>5.52</w:t>
            </w:r>
          </w:p>
        </w:tc>
        <w:tc>
          <w:tcPr>
            <w:tcW w:w="1028" w:type="dxa"/>
            <w:noWrap/>
            <w:vAlign w:val="center"/>
          </w:tcPr>
          <w:p w:rsidR="00C52D69" w:rsidRDefault="00C52D69">
            <w:pPr>
              <w:jc w:val="center"/>
              <w:rPr>
                <w:rFonts w:cs="Arial"/>
                <w:sz w:val="20"/>
                <w:szCs w:val="20"/>
              </w:rPr>
            </w:pPr>
            <w:r>
              <w:rPr>
                <w:rFonts w:cs="Arial"/>
                <w:sz w:val="20"/>
                <w:szCs w:val="20"/>
              </w:rPr>
              <w:t>5.00</w:t>
            </w:r>
          </w:p>
        </w:tc>
        <w:tc>
          <w:tcPr>
            <w:tcW w:w="1029" w:type="dxa"/>
            <w:noWrap/>
            <w:vAlign w:val="center"/>
          </w:tcPr>
          <w:p w:rsidR="00C52D69" w:rsidRDefault="00C52D69">
            <w:pPr>
              <w:jc w:val="center"/>
              <w:rPr>
                <w:rFonts w:cs="Arial"/>
                <w:sz w:val="20"/>
                <w:szCs w:val="20"/>
              </w:rPr>
            </w:pPr>
            <w:r>
              <w:rPr>
                <w:rFonts w:cs="Arial"/>
                <w:sz w:val="20"/>
                <w:szCs w:val="20"/>
              </w:rPr>
              <w:t>5.51</w:t>
            </w:r>
          </w:p>
        </w:tc>
        <w:tc>
          <w:tcPr>
            <w:tcW w:w="1029" w:type="dxa"/>
            <w:noWrap/>
            <w:vAlign w:val="center"/>
          </w:tcPr>
          <w:p w:rsidR="00C52D69" w:rsidRDefault="00C52D69">
            <w:pPr>
              <w:jc w:val="center"/>
              <w:rPr>
                <w:rFonts w:cs="Arial"/>
                <w:sz w:val="20"/>
                <w:szCs w:val="20"/>
              </w:rPr>
            </w:pPr>
            <w:r>
              <w:rPr>
                <w:rFonts w:cs="Arial"/>
                <w:sz w:val="20"/>
                <w:szCs w:val="20"/>
              </w:rPr>
              <w:t>4.50</w:t>
            </w:r>
          </w:p>
        </w:tc>
      </w:tr>
      <w:tr w:rsidR="00C52D69"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C52D69" w:rsidRPr="00442756" w:rsidRDefault="00C52D69" w:rsidP="00B71928">
            <w:pPr>
              <w:spacing w:before="60" w:after="60"/>
              <w:rPr>
                <w:rFonts w:cs="Arial"/>
                <w:sz w:val="20"/>
                <w:szCs w:val="20"/>
              </w:rPr>
            </w:pPr>
            <w:r w:rsidRPr="00442756">
              <w:rPr>
                <w:rFonts w:cs="Arial"/>
                <w:sz w:val="20"/>
                <w:szCs w:val="20"/>
              </w:rPr>
              <w:t>Ex ante quantity (TJ)</w:t>
            </w:r>
          </w:p>
        </w:tc>
        <w:tc>
          <w:tcPr>
            <w:tcW w:w="1028" w:type="dxa"/>
            <w:noWrap/>
            <w:vAlign w:val="center"/>
          </w:tcPr>
          <w:p w:rsidR="00C52D69" w:rsidRDefault="00C52D69">
            <w:pPr>
              <w:jc w:val="center"/>
              <w:rPr>
                <w:rFonts w:cs="Arial"/>
                <w:sz w:val="20"/>
                <w:szCs w:val="20"/>
              </w:rPr>
            </w:pPr>
            <w:r>
              <w:rPr>
                <w:rFonts w:cs="Arial"/>
                <w:sz w:val="20"/>
                <w:szCs w:val="20"/>
              </w:rPr>
              <w:t>78</w:t>
            </w:r>
          </w:p>
        </w:tc>
        <w:tc>
          <w:tcPr>
            <w:tcW w:w="1029" w:type="dxa"/>
            <w:noWrap/>
            <w:vAlign w:val="center"/>
          </w:tcPr>
          <w:p w:rsidR="00C52D69" w:rsidRDefault="00C52D69">
            <w:pPr>
              <w:jc w:val="center"/>
              <w:rPr>
                <w:rFonts w:cs="Arial"/>
                <w:sz w:val="20"/>
                <w:szCs w:val="20"/>
              </w:rPr>
            </w:pPr>
            <w:r>
              <w:rPr>
                <w:rFonts w:cs="Arial"/>
                <w:sz w:val="20"/>
                <w:szCs w:val="20"/>
              </w:rPr>
              <w:t>91</w:t>
            </w:r>
          </w:p>
        </w:tc>
        <w:tc>
          <w:tcPr>
            <w:tcW w:w="1028" w:type="dxa"/>
            <w:noWrap/>
            <w:vAlign w:val="center"/>
          </w:tcPr>
          <w:p w:rsidR="00C52D69" w:rsidRDefault="00C52D69">
            <w:pPr>
              <w:jc w:val="center"/>
              <w:rPr>
                <w:rFonts w:cs="Arial"/>
                <w:sz w:val="20"/>
                <w:szCs w:val="20"/>
              </w:rPr>
            </w:pPr>
            <w:r>
              <w:rPr>
                <w:rFonts w:cs="Arial"/>
                <w:sz w:val="20"/>
                <w:szCs w:val="20"/>
              </w:rPr>
              <w:t>92</w:t>
            </w:r>
          </w:p>
        </w:tc>
        <w:tc>
          <w:tcPr>
            <w:tcW w:w="1029" w:type="dxa"/>
            <w:noWrap/>
            <w:vAlign w:val="center"/>
          </w:tcPr>
          <w:p w:rsidR="00C52D69" w:rsidRDefault="00C52D69">
            <w:pPr>
              <w:jc w:val="center"/>
              <w:rPr>
                <w:rFonts w:cs="Arial"/>
                <w:sz w:val="20"/>
                <w:szCs w:val="20"/>
              </w:rPr>
            </w:pPr>
            <w:r>
              <w:rPr>
                <w:rFonts w:cs="Arial"/>
                <w:sz w:val="20"/>
                <w:szCs w:val="20"/>
              </w:rPr>
              <w:t>91</w:t>
            </w:r>
          </w:p>
        </w:tc>
        <w:tc>
          <w:tcPr>
            <w:tcW w:w="1028" w:type="dxa"/>
            <w:noWrap/>
            <w:vAlign w:val="center"/>
          </w:tcPr>
          <w:p w:rsidR="00C52D69" w:rsidRDefault="00C52D69">
            <w:pPr>
              <w:jc w:val="center"/>
              <w:rPr>
                <w:rFonts w:cs="Arial"/>
                <w:sz w:val="20"/>
                <w:szCs w:val="20"/>
              </w:rPr>
            </w:pPr>
            <w:r>
              <w:rPr>
                <w:rFonts w:cs="Arial"/>
                <w:sz w:val="20"/>
                <w:szCs w:val="20"/>
              </w:rPr>
              <w:t>90</w:t>
            </w:r>
          </w:p>
        </w:tc>
        <w:tc>
          <w:tcPr>
            <w:tcW w:w="1029" w:type="dxa"/>
            <w:noWrap/>
            <w:vAlign w:val="center"/>
          </w:tcPr>
          <w:p w:rsidR="00C52D69" w:rsidRDefault="00C52D69">
            <w:pPr>
              <w:jc w:val="center"/>
              <w:rPr>
                <w:rFonts w:cs="Arial"/>
                <w:sz w:val="20"/>
                <w:szCs w:val="20"/>
              </w:rPr>
            </w:pPr>
            <w:r>
              <w:rPr>
                <w:rFonts w:cs="Arial"/>
                <w:sz w:val="20"/>
                <w:szCs w:val="20"/>
              </w:rPr>
              <w:t>90</w:t>
            </w:r>
          </w:p>
        </w:tc>
        <w:tc>
          <w:tcPr>
            <w:tcW w:w="1029" w:type="dxa"/>
            <w:noWrap/>
            <w:vAlign w:val="center"/>
          </w:tcPr>
          <w:p w:rsidR="00C52D69" w:rsidRDefault="00C52D69">
            <w:pPr>
              <w:jc w:val="center"/>
              <w:rPr>
                <w:rFonts w:cs="Arial"/>
                <w:sz w:val="20"/>
                <w:szCs w:val="20"/>
              </w:rPr>
            </w:pPr>
            <w:r>
              <w:rPr>
                <w:rFonts w:cs="Arial"/>
                <w:sz w:val="20"/>
                <w:szCs w:val="20"/>
              </w:rPr>
              <w:t>83</w:t>
            </w:r>
          </w:p>
        </w:tc>
      </w:tr>
      <w:tr w:rsidR="00C52D69" w:rsidRPr="00442756" w:rsidTr="00B71928">
        <w:trPr>
          <w:trHeight w:val="255"/>
        </w:trPr>
        <w:tc>
          <w:tcPr>
            <w:tcW w:w="2160" w:type="dxa"/>
            <w:noWrap/>
            <w:vAlign w:val="center"/>
          </w:tcPr>
          <w:p w:rsidR="00C52D69" w:rsidRPr="00442756" w:rsidRDefault="00C52D69" w:rsidP="00B71928">
            <w:pPr>
              <w:spacing w:before="60" w:after="60"/>
              <w:rPr>
                <w:rFonts w:cs="Arial"/>
                <w:sz w:val="20"/>
                <w:szCs w:val="20"/>
              </w:rPr>
            </w:pPr>
            <w:r w:rsidRPr="00442756">
              <w:rPr>
                <w:rFonts w:cs="Arial"/>
                <w:sz w:val="20"/>
                <w:szCs w:val="20"/>
              </w:rPr>
              <w:t>Ex post price ($/GJ)</w:t>
            </w:r>
          </w:p>
        </w:tc>
        <w:tc>
          <w:tcPr>
            <w:tcW w:w="1028" w:type="dxa"/>
            <w:noWrap/>
            <w:vAlign w:val="center"/>
          </w:tcPr>
          <w:p w:rsidR="00C52D69" w:rsidRDefault="00C52D69">
            <w:pPr>
              <w:jc w:val="center"/>
              <w:rPr>
                <w:rFonts w:cs="Arial"/>
                <w:sz w:val="20"/>
                <w:szCs w:val="20"/>
              </w:rPr>
            </w:pPr>
            <w:r>
              <w:rPr>
                <w:rFonts w:cs="Arial"/>
                <w:sz w:val="20"/>
                <w:szCs w:val="20"/>
              </w:rPr>
              <w:t>4.19</w:t>
            </w:r>
          </w:p>
        </w:tc>
        <w:tc>
          <w:tcPr>
            <w:tcW w:w="1029" w:type="dxa"/>
            <w:noWrap/>
            <w:vAlign w:val="center"/>
          </w:tcPr>
          <w:p w:rsidR="00C52D69" w:rsidRDefault="00C52D69">
            <w:pPr>
              <w:jc w:val="center"/>
              <w:rPr>
                <w:rFonts w:cs="Arial"/>
                <w:sz w:val="20"/>
                <w:szCs w:val="20"/>
              </w:rPr>
            </w:pPr>
            <w:r>
              <w:rPr>
                <w:rFonts w:cs="Arial"/>
                <w:sz w:val="20"/>
                <w:szCs w:val="20"/>
              </w:rPr>
              <w:t>4.49</w:t>
            </w:r>
          </w:p>
        </w:tc>
        <w:tc>
          <w:tcPr>
            <w:tcW w:w="1028" w:type="dxa"/>
            <w:noWrap/>
            <w:vAlign w:val="center"/>
          </w:tcPr>
          <w:p w:rsidR="00C52D69" w:rsidRDefault="00C52D69">
            <w:pPr>
              <w:jc w:val="center"/>
              <w:rPr>
                <w:rFonts w:cs="Arial"/>
                <w:sz w:val="20"/>
                <w:szCs w:val="20"/>
              </w:rPr>
            </w:pPr>
            <w:r>
              <w:rPr>
                <w:rFonts w:cs="Arial"/>
                <w:sz w:val="20"/>
                <w:szCs w:val="20"/>
              </w:rPr>
              <w:t>4.55</w:t>
            </w:r>
          </w:p>
        </w:tc>
        <w:tc>
          <w:tcPr>
            <w:tcW w:w="1029" w:type="dxa"/>
            <w:noWrap/>
            <w:vAlign w:val="center"/>
          </w:tcPr>
          <w:p w:rsidR="00C52D69" w:rsidRDefault="00C52D69">
            <w:pPr>
              <w:jc w:val="center"/>
              <w:rPr>
                <w:rFonts w:cs="Arial"/>
                <w:sz w:val="20"/>
                <w:szCs w:val="20"/>
              </w:rPr>
            </w:pPr>
            <w:r>
              <w:rPr>
                <w:rFonts w:cs="Arial"/>
                <w:sz w:val="20"/>
                <w:szCs w:val="20"/>
              </w:rPr>
              <w:t>5.52</w:t>
            </w:r>
          </w:p>
        </w:tc>
        <w:tc>
          <w:tcPr>
            <w:tcW w:w="1028" w:type="dxa"/>
            <w:noWrap/>
            <w:vAlign w:val="center"/>
          </w:tcPr>
          <w:p w:rsidR="00C52D69" w:rsidRDefault="00C52D69">
            <w:pPr>
              <w:jc w:val="center"/>
              <w:rPr>
                <w:rFonts w:cs="Arial"/>
                <w:sz w:val="20"/>
                <w:szCs w:val="20"/>
              </w:rPr>
            </w:pPr>
            <w:r>
              <w:rPr>
                <w:rFonts w:cs="Arial"/>
                <w:sz w:val="20"/>
                <w:szCs w:val="20"/>
              </w:rPr>
              <w:t>4.50</w:t>
            </w:r>
          </w:p>
        </w:tc>
        <w:tc>
          <w:tcPr>
            <w:tcW w:w="1029" w:type="dxa"/>
            <w:noWrap/>
            <w:vAlign w:val="center"/>
          </w:tcPr>
          <w:p w:rsidR="00C52D69" w:rsidRDefault="00C52D69">
            <w:pPr>
              <w:jc w:val="center"/>
              <w:rPr>
                <w:rFonts w:cs="Arial"/>
                <w:sz w:val="20"/>
                <w:szCs w:val="20"/>
              </w:rPr>
            </w:pPr>
            <w:r>
              <w:rPr>
                <w:rFonts w:cs="Arial"/>
                <w:sz w:val="20"/>
                <w:szCs w:val="20"/>
              </w:rPr>
              <w:t>5.00</w:t>
            </w:r>
          </w:p>
        </w:tc>
        <w:tc>
          <w:tcPr>
            <w:tcW w:w="1029" w:type="dxa"/>
            <w:noWrap/>
            <w:vAlign w:val="center"/>
          </w:tcPr>
          <w:p w:rsidR="00C52D69" w:rsidRDefault="00C52D69">
            <w:pPr>
              <w:jc w:val="center"/>
              <w:rPr>
                <w:rFonts w:cs="Arial"/>
                <w:sz w:val="20"/>
                <w:szCs w:val="20"/>
              </w:rPr>
            </w:pPr>
            <w:r>
              <w:rPr>
                <w:rFonts w:cs="Arial"/>
                <w:sz w:val="20"/>
                <w:szCs w:val="20"/>
              </w:rPr>
              <w:t>4.50</w:t>
            </w:r>
          </w:p>
        </w:tc>
      </w:tr>
      <w:tr w:rsidR="00C52D69"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C52D69" w:rsidRPr="00442756" w:rsidRDefault="00C52D69" w:rsidP="00B71928">
            <w:pPr>
              <w:spacing w:before="60" w:after="60"/>
              <w:rPr>
                <w:rFonts w:cs="Arial"/>
                <w:sz w:val="20"/>
                <w:szCs w:val="20"/>
              </w:rPr>
            </w:pPr>
            <w:r w:rsidRPr="00442756">
              <w:rPr>
                <w:rFonts w:cs="Arial"/>
                <w:sz w:val="20"/>
                <w:szCs w:val="20"/>
              </w:rPr>
              <w:t>Ex post quantity (TJ)</w:t>
            </w:r>
          </w:p>
        </w:tc>
        <w:tc>
          <w:tcPr>
            <w:tcW w:w="1028" w:type="dxa"/>
            <w:noWrap/>
            <w:vAlign w:val="center"/>
          </w:tcPr>
          <w:p w:rsidR="00C52D69" w:rsidRDefault="00C52D69">
            <w:pPr>
              <w:jc w:val="center"/>
              <w:rPr>
                <w:rFonts w:cs="Arial"/>
                <w:sz w:val="20"/>
                <w:szCs w:val="20"/>
              </w:rPr>
            </w:pPr>
            <w:r>
              <w:rPr>
                <w:rFonts w:cs="Arial"/>
                <w:sz w:val="20"/>
                <w:szCs w:val="20"/>
              </w:rPr>
              <w:t>74</w:t>
            </w:r>
          </w:p>
        </w:tc>
        <w:tc>
          <w:tcPr>
            <w:tcW w:w="1029" w:type="dxa"/>
            <w:noWrap/>
            <w:vAlign w:val="center"/>
          </w:tcPr>
          <w:p w:rsidR="00C52D69" w:rsidRDefault="00C52D69">
            <w:pPr>
              <w:jc w:val="center"/>
              <w:rPr>
                <w:rFonts w:cs="Arial"/>
                <w:sz w:val="20"/>
                <w:szCs w:val="20"/>
              </w:rPr>
            </w:pPr>
            <w:r>
              <w:rPr>
                <w:rFonts w:cs="Arial"/>
                <w:sz w:val="20"/>
                <w:szCs w:val="20"/>
              </w:rPr>
              <w:t>89</w:t>
            </w:r>
          </w:p>
        </w:tc>
        <w:tc>
          <w:tcPr>
            <w:tcW w:w="1028" w:type="dxa"/>
            <w:noWrap/>
            <w:vAlign w:val="center"/>
          </w:tcPr>
          <w:p w:rsidR="00C52D69" w:rsidRDefault="00C52D69">
            <w:pPr>
              <w:jc w:val="center"/>
              <w:rPr>
                <w:rFonts w:cs="Arial"/>
                <w:sz w:val="20"/>
                <w:szCs w:val="20"/>
              </w:rPr>
            </w:pPr>
            <w:r>
              <w:rPr>
                <w:rFonts w:cs="Arial"/>
                <w:sz w:val="20"/>
                <w:szCs w:val="20"/>
              </w:rPr>
              <w:t>90</w:t>
            </w:r>
          </w:p>
        </w:tc>
        <w:tc>
          <w:tcPr>
            <w:tcW w:w="1029" w:type="dxa"/>
            <w:noWrap/>
            <w:vAlign w:val="center"/>
          </w:tcPr>
          <w:p w:rsidR="00C52D69" w:rsidRDefault="00C52D69">
            <w:pPr>
              <w:jc w:val="center"/>
              <w:rPr>
                <w:rFonts w:cs="Arial"/>
                <w:sz w:val="20"/>
                <w:szCs w:val="20"/>
              </w:rPr>
            </w:pPr>
            <w:r>
              <w:rPr>
                <w:rFonts w:cs="Arial"/>
                <w:sz w:val="20"/>
                <w:szCs w:val="20"/>
              </w:rPr>
              <w:t>91</w:t>
            </w:r>
          </w:p>
        </w:tc>
        <w:tc>
          <w:tcPr>
            <w:tcW w:w="1028" w:type="dxa"/>
            <w:noWrap/>
            <w:vAlign w:val="center"/>
          </w:tcPr>
          <w:p w:rsidR="00C52D69" w:rsidRDefault="00C52D69">
            <w:pPr>
              <w:jc w:val="center"/>
              <w:rPr>
                <w:rFonts w:cs="Arial"/>
                <w:sz w:val="20"/>
                <w:szCs w:val="20"/>
              </w:rPr>
            </w:pPr>
            <w:r>
              <w:rPr>
                <w:rFonts w:cs="Arial"/>
                <w:sz w:val="20"/>
                <w:szCs w:val="20"/>
              </w:rPr>
              <w:t>82</w:t>
            </w:r>
          </w:p>
        </w:tc>
        <w:tc>
          <w:tcPr>
            <w:tcW w:w="1029" w:type="dxa"/>
            <w:noWrap/>
            <w:vAlign w:val="center"/>
          </w:tcPr>
          <w:p w:rsidR="00C52D69" w:rsidRDefault="00C52D69">
            <w:pPr>
              <w:jc w:val="center"/>
              <w:rPr>
                <w:rFonts w:cs="Arial"/>
                <w:sz w:val="20"/>
                <w:szCs w:val="20"/>
              </w:rPr>
            </w:pPr>
            <w:r>
              <w:rPr>
                <w:rFonts w:cs="Arial"/>
                <w:sz w:val="20"/>
                <w:szCs w:val="20"/>
              </w:rPr>
              <w:t>78</w:t>
            </w:r>
          </w:p>
        </w:tc>
        <w:tc>
          <w:tcPr>
            <w:tcW w:w="1029" w:type="dxa"/>
            <w:noWrap/>
            <w:vAlign w:val="center"/>
          </w:tcPr>
          <w:p w:rsidR="00C52D69" w:rsidRDefault="00C52D69">
            <w:pPr>
              <w:jc w:val="center"/>
              <w:rPr>
                <w:rFonts w:cs="Arial"/>
                <w:sz w:val="20"/>
                <w:szCs w:val="20"/>
              </w:rPr>
            </w:pPr>
            <w:r>
              <w:rPr>
                <w:rFonts w:cs="Arial"/>
                <w:sz w:val="20"/>
                <w:szCs w:val="20"/>
              </w:rPr>
              <w:t>83</w:t>
            </w:r>
          </w:p>
        </w:tc>
      </w:tr>
    </w:tbl>
    <w:p w:rsidR="00BC18FB" w:rsidRPr="00DD0358" w:rsidRDefault="003625A6" w:rsidP="00FF0D8A">
      <w:pPr>
        <w:pStyle w:val="Heading4"/>
        <w:ind w:hanging="338"/>
        <w:rPr>
          <w:color w:val="2272A3"/>
          <w:sz w:val="24"/>
        </w:rPr>
      </w:pPr>
      <w:r w:rsidRPr="00DD0358">
        <w:rPr>
          <w:color w:val="2272A3"/>
          <w:sz w:val="24"/>
          <w:szCs w:val="24"/>
        </w:rPr>
        <w:t>ADL daily hub offers and daily hub bids in price bands ($/GJ)</w:t>
      </w:r>
    </w:p>
    <w:p w:rsidR="00362B9A" w:rsidRPr="00362B9A" w:rsidRDefault="00406A97" w:rsidP="00362B9A">
      <w:r>
        <w:pict>
          <v:shape id="_x0000_i1035" type="#_x0000_t75" style="width:475.45pt;height:169.8pt">
            <v:imagedata r:id="rId22" o:title=""/>
          </v:shape>
        </w:pict>
      </w:r>
    </w:p>
    <w:p w:rsidR="00BC18FB" w:rsidRPr="00DD0358" w:rsidRDefault="003625A6" w:rsidP="00FF0D8A">
      <w:pPr>
        <w:pStyle w:val="Heading4"/>
        <w:ind w:hanging="338"/>
        <w:rPr>
          <w:color w:val="2272A3"/>
          <w:sz w:val="24"/>
        </w:rPr>
      </w:pPr>
      <w:r w:rsidRPr="00DD0358">
        <w:rPr>
          <w:color w:val="2272A3"/>
          <w:sz w:val="24"/>
          <w:szCs w:val="24"/>
        </w:rPr>
        <w:t>ADL net scheduled and allocated gas hub supply (excluding MOS)</w:t>
      </w:r>
    </w:p>
    <w:p w:rsidR="00362B9A" w:rsidRPr="00362B9A" w:rsidRDefault="00406A97" w:rsidP="00362B9A">
      <w:r>
        <w:pict>
          <v:shape id="_x0000_i1036" type="#_x0000_t75" style="width:477.5pt;height:116.85pt">
            <v:imagedata r:id="rId23" o:title=""/>
          </v:shape>
        </w:pict>
      </w:r>
    </w:p>
    <w:p w:rsidR="00BC18FB" w:rsidRPr="00DD0358" w:rsidRDefault="004560B0" w:rsidP="003625A6">
      <w:pPr>
        <w:pStyle w:val="Heading4"/>
        <w:ind w:hanging="338"/>
        <w:rPr>
          <w:color w:val="2272A3"/>
          <w:sz w:val="24"/>
          <w:szCs w:val="24"/>
        </w:rPr>
      </w:pPr>
      <w:r w:rsidRPr="00DD0358">
        <w:rPr>
          <w:color w:val="2272A3"/>
          <w:sz w:val="24"/>
          <w:szCs w:val="24"/>
        </w:rPr>
        <w:t>ADL</w:t>
      </w:r>
      <w:r w:rsidR="003625A6" w:rsidRPr="00DD0358">
        <w:rPr>
          <w:color w:val="2272A3"/>
          <w:sz w:val="24"/>
          <w:szCs w:val="24"/>
        </w:rPr>
        <w:t xml:space="preserve"> MOS allocations (TJ), service payments and commodity payments/charges ($000)</w:t>
      </w:r>
    </w:p>
    <w:p w:rsidR="00362B9A" w:rsidRDefault="00406A97" w:rsidP="00362B9A">
      <w:r>
        <w:pict>
          <v:shape id="_x0000_i1037" type="#_x0000_t75" style="width:476.15pt;height:150.1pt">
            <v:imagedata r:id="rId24" o:title=""/>
          </v:shape>
        </w:pict>
      </w:r>
    </w:p>
    <w:p w:rsidR="00BC18FB" w:rsidRDefault="00AC1E89" w:rsidP="003625A6">
      <w:pPr>
        <w:pStyle w:val="Heading3"/>
        <w:ind w:firstLine="0"/>
        <w:rPr>
          <w:color w:val="2272A3"/>
          <w:sz w:val="32"/>
          <w:szCs w:val="32"/>
        </w:rPr>
      </w:pPr>
      <w:r>
        <w:rPr>
          <w:color w:val="2272A3"/>
          <w:sz w:val="32"/>
          <w:szCs w:val="32"/>
        </w:rPr>
        <w:br w:type="page"/>
      </w:r>
      <w:r w:rsidR="00BC18FB" w:rsidRPr="003625A6">
        <w:rPr>
          <w:color w:val="2272A3"/>
          <w:sz w:val="32"/>
          <w:szCs w:val="32"/>
        </w:rPr>
        <w:t>B</w:t>
      </w:r>
      <w:r w:rsidR="00362B9A" w:rsidRPr="003625A6">
        <w:rPr>
          <w:color w:val="2272A3"/>
          <w:sz w:val="32"/>
          <w:szCs w:val="32"/>
        </w:rPr>
        <w:t>risbane STTM</w:t>
      </w:r>
    </w:p>
    <w:p w:rsidR="003625A6" w:rsidRPr="003625A6" w:rsidRDefault="003625A6" w:rsidP="00345444">
      <w:pPr>
        <w:jc w:val="both"/>
      </w:pPr>
      <w:r>
        <w:t>The Brisbane STTM hub functions in the same way as the Sydney STTM hub.  The same data that was presented for the Sydney hub is presented for the Brisbane hub in the figures below.</w:t>
      </w:r>
    </w:p>
    <w:p w:rsidR="00BC18FB" w:rsidRDefault="003625A6" w:rsidP="00FF0D8A">
      <w:pPr>
        <w:pStyle w:val="Heading4"/>
        <w:ind w:hanging="338"/>
        <w:rPr>
          <w:color w:val="2272A3"/>
          <w:sz w:val="24"/>
        </w:rPr>
      </w:pPr>
      <w:r>
        <w:rPr>
          <w:color w:val="2272A3"/>
          <w:sz w:val="24"/>
          <w:szCs w:val="24"/>
        </w:rPr>
        <w:t>BRI</w:t>
      </w:r>
      <w:r w:rsidRPr="00362B9A">
        <w:rPr>
          <w:color w:val="2272A3"/>
          <w:sz w:val="24"/>
          <w:szCs w:val="24"/>
        </w:rPr>
        <w:t xml:space="preserve"> STTM daily ex ante and ex post prices and quantities</w:t>
      </w:r>
    </w:p>
    <w:tbl>
      <w:tblPr>
        <w:tblStyle w:val="AERTable-Text0"/>
        <w:tblW w:w="9360" w:type="dxa"/>
        <w:tblLayout w:type="fixed"/>
        <w:tblLook w:val="01E0" w:firstRow="1" w:lastRow="1" w:firstColumn="1" w:lastColumn="1" w:noHBand="0" w:noVBand="0"/>
      </w:tblPr>
      <w:tblGrid>
        <w:gridCol w:w="2160"/>
        <w:gridCol w:w="1028"/>
        <w:gridCol w:w="1029"/>
        <w:gridCol w:w="1028"/>
        <w:gridCol w:w="1029"/>
        <w:gridCol w:w="1028"/>
        <w:gridCol w:w="1029"/>
        <w:gridCol w:w="1029"/>
      </w:tblGrid>
      <w:tr w:rsidR="003625A6" w:rsidRPr="00442756" w:rsidTr="00B71928">
        <w:trPr>
          <w:cnfStyle w:val="100000000000" w:firstRow="1" w:lastRow="0" w:firstColumn="0" w:lastColumn="0" w:oddVBand="0" w:evenVBand="0" w:oddHBand="0" w:evenHBand="0" w:firstRowFirstColumn="0" w:firstRowLastColumn="0" w:lastRowFirstColumn="0" w:lastRowLastColumn="0"/>
          <w:trHeight w:val="255"/>
        </w:trPr>
        <w:tc>
          <w:tcPr>
            <w:tcW w:w="2160" w:type="dxa"/>
            <w:noWrap/>
          </w:tcPr>
          <w:p w:rsidR="003625A6" w:rsidRPr="00442756" w:rsidRDefault="003625A6" w:rsidP="00B71928">
            <w:pPr>
              <w:spacing w:before="40" w:after="40"/>
              <w:rPr>
                <w:rFonts w:cs="Arial"/>
                <w:b w:val="0"/>
                <w:bCs/>
                <w:sz w:val="20"/>
                <w:szCs w:val="20"/>
              </w:rPr>
            </w:pPr>
            <w:r w:rsidRPr="00442756">
              <w:rPr>
                <w:rFonts w:cs="Arial"/>
                <w:bCs/>
                <w:sz w:val="20"/>
                <w:szCs w:val="20"/>
              </w:rPr>
              <w:t> </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Sun</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Mon</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Tue</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Wed</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Thu</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Fri</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Sat</w:t>
            </w:r>
          </w:p>
        </w:tc>
      </w:tr>
      <w:tr w:rsidR="00C52D69" w:rsidRPr="00442756" w:rsidTr="00B71928">
        <w:trPr>
          <w:trHeight w:val="255"/>
        </w:trPr>
        <w:tc>
          <w:tcPr>
            <w:tcW w:w="2160" w:type="dxa"/>
            <w:noWrap/>
            <w:vAlign w:val="center"/>
          </w:tcPr>
          <w:p w:rsidR="00C52D69" w:rsidRPr="00442756" w:rsidRDefault="00C52D69" w:rsidP="00B71928">
            <w:pPr>
              <w:spacing w:before="60" w:after="60"/>
              <w:rPr>
                <w:rFonts w:cs="Arial"/>
                <w:sz w:val="20"/>
                <w:szCs w:val="20"/>
              </w:rPr>
            </w:pPr>
            <w:r w:rsidRPr="00442756">
              <w:rPr>
                <w:rFonts w:cs="Arial"/>
                <w:sz w:val="20"/>
                <w:szCs w:val="20"/>
              </w:rPr>
              <w:t>Ex ante price ($/GJ)</w:t>
            </w:r>
          </w:p>
        </w:tc>
        <w:tc>
          <w:tcPr>
            <w:tcW w:w="1028" w:type="dxa"/>
            <w:noWrap/>
            <w:vAlign w:val="center"/>
          </w:tcPr>
          <w:p w:rsidR="00C52D69" w:rsidRDefault="00C52D69">
            <w:pPr>
              <w:jc w:val="center"/>
              <w:rPr>
                <w:rFonts w:cs="Arial"/>
                <w:sz w:val="20"/>
                <w:szCs w:val="20"/>
              </w:rPr>
            </w:pPr>
            <w:r>
              <w:rPr>
                <w:rFonts w:cs="Arial"/>
                <w:sz w:val="20"/>
                <w:szCs w:val="20"/>
              </w:rPr>
              <w:t>1.11</w:t>
            </w:r>
          </w:p>
        </w:tc>
        <w:tc>
          <w:tcPr>
            <w:tcW w:w="1029" w:type="dxa"/>
            <w:noWrap/>
            <w:vAlign w:val="center"/>
          </w:tcPr>
          <w:p w:rsidR="00C52D69" w:rsidRDefault="00C52D69">
            <w:pPr>
              <w:jc w:val="center"/>
              <w:rPr>
                <w:rFonts w:cs="Arial"/>
                <w:sz w:val="20"/>
                <w:szCs w:val="20"/>
              </w:rPr>
            </w:pPr>
            <w:r>
              <w:rPr>
                <w:rFonts w:cs="Arial"/>
                <w:sz w:val="20"/>
                <w:szCs w:val="20"/>
              </w:rPr>
              <w:t>3.21</w:t>
            </w:r>
          </w:p>
        </w:tc>
        <w:tc>
          <w:tcPr>
            <w:tcW w:w="1028" w:type="dxa"/>
            <w:noWrap/>
            <w:vAlign w:val="center"/>
          </w:tcPr>
          <w:p w:rsidR="00C52D69" w:rsidRDefault="00C52D69">
            <w:pPr>
              <w:jc w:val="center"/>
              <w:rPr>
                <w:rFonts w:cs="Arial"/>
                <w:sz w:val="20"/>
                <w:szCs w:val="20"/>
              </w:rPr>
            </w:pPr>
            <w:r>
              <w:rPr>
                <w:rFonts w:cs="Arial"/>
                <w:sz w:val="20"/>
                <w:szCs w:val="20"/>
              </w:rPr>
              <w:t>3.40</w:t>
            </w:r>
          </w:p>
        </w:tc>
        <w:tc>
          <w:tcPr>
            <w:tcW w:w="1029" w:type="dxa"/>
            <w:noWrap/>
            <w:vAlign w:val="center"/>
          </w:tcPr>
          <w:p w:rsidR="00C52D69" w:rsidRDefault="00C52D69">
            <w:pPr>
              <w:jc w:val="center"/>
              <w:rPr>
                <w:rFonts w:cs="Arial"/>
                <w:sz w:val="20"/>
                <w:szCs w:val="20"/>
              </w:rPr>
            </w:pPr>
            <w:r>
              <w:rPr>
                <w:rFonts w:cs="Arial"/>
                <w:sz w:val="20"/>
                <w:szCs w:val="20"/>
              </w:rPr>
              <w:t>4.31</w:t>
            </w:r>
          </w:p>
        </w:tc>
        <w:tc>
          <w:tcPr>
            <w:tcW w:w="1028" w:type="dxa"/>
            <w:noWrap/>
            <w:vAlign w:val="center"/>
          </w:tcPr>
          <w:p w:rsidR="00C52D69" w:rsidRDefault="00C52D69">
            <w:pPr>
              <w:jc w:val="center"/>
              <w:rPr>
                <w:rFonts w:cs="Arial"/>
                <w:sz w:val="20"/>
                <w:szCs w:val="20"/>
              </w:rPr>
            </w:pPr>
            <w:r>
              <w:rPr>
                <w:rFonts w:cs="Arial"/>
                <w:sz w:val="20"/>
                <w:szCs w:val="20"/>
              </w:rPr>
              <w:t>4.88</w:t>
            </w:r>
          </w:p>
        </w:tc>
        <w:tc>
          <w:tcPr>
            <w:tcW w:w="1029" w:type="dxa"/>
            <w:noWrap/>
            <w:vAlign w:val="center"/>
          </w:tcPr>
          <w:p w:rsidR="00C52D69" w:rsidRDefault="00C52D69">
            <w:pPr>
              <w:jc w:val="center"/>
              <w:rPr>
                <w:rFonts w:cs="Arial"/>
                <w:sz w:val="20"/>
                <w:szCs w:val="20"/>
              </w:rPr>
            </w:pPr>
            <w:r>
              <w:rPr>
                <w:rFonts w:cs="Arial"/>
                <w:sz w:val="20"/>
                <w:szCs w:val="20"/>
              </w:rPr>
              <w:t>3.00</w:t>
            </w:r>
          </w:p>
        </w:tc>
        <w:tc>
          <w:tcPr>
            <w:tcW w:w="1029" w:type="dxa"/>
            <w:noWrap/>
            <w:vAlign w:val="center"/>
          </w:tcPr>
          <w:p w:rsidR="00C52D69" w:rsidRDefault="00C52D69">
            <w:pPr>
              <w:jc w:val="center"/>
              <w:rPr>
                <w:rFonts w:cs="Arial"/>
                <w:sz w:val="20"/>
                <w:szCs w:val="20"/>
              </w:rPr>
            </w:pPr>
            <w:r>
              <w:rPr>
                <w:rFonts w:cs="Arial"/>
                <w:sz w:val="20"/>
                <w:szCs w:val="20"/>
              </w:rPr>
              <w:t>4.29</w:t>
            </w:r>
          </w:p>
        </w:tc>
      </w:tr>
      <w:tr w:rsidR="00C52D69"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C52D69" w:rsidRPr="00442756" w:rsidRDefault="00C52D69" w:rsidP="00B71928">
            <w:pPr>
              <w:spacing w:before="60" w:after="60"/>
              <w:rPr>
                <w:rFonts w:cs="Arial"/>
                <w:sz w:val="20"/>
                <w:szCs w:val="20"/>
              </w:rPr>
            </w:pPr>
            <w:r w:rsidRPr="00442756">
              <w:rPr>
                <w:rFonts w:cs="Arial"/>
                <w:sz w:val="20"/>
                <w:szCs w:val="20"/>
              </w:rPr>
              <w:t>Ex ante quantity (TJ)</w:t>
            </w:r>
          </w:p>
        </w:tc>
        <w:tc>
          <w:tcPr>
            <w:tcW w:w="1028" w:type="dxa"/>
            <w:noWrap/>
            <w:vAlign w:val="center"/>
          </w:tcPr>
          <w:p w:rsidR="00C52D69" w:rsidRDefault="00C52D69">
            <w:pPr>
              <w:jc w:val="center"/>
              <w:rPr>
                <w:rFonts w:cs="Arial"/>
                <w:sz w:val="20"/>
                <w:szCs w:val="20"/>
              </w:rPr>
            </w:pPr>
            <w:r>
              <w:rPr>
                <w:rFonts w:cs="Arial"/>
                <w:sz w:val="20"/>
                <w:szCs w:val="20"/>
              </w:rPr>
              <w:t>74</w:t>
            </w:r>
          </w:p>
        </w:tc>
        <w:tc>
          <w:tcPr>
            <w:tcW w:w="1029" w:type="dxa"/>
            <w:noWrap/>
            <w:vAlign w:val="center"/>
          </w:tcPr>
          <w:p w:rsidR="00C52D69" w:rsidRDefault="00C52D69">
            <w:pPr>
              <w:jc w:val="center"/>
              <w:rPr>
                <w:rFonts w:cs="Arial"/>
                <w:sz w:val="20"/>
                <w:szCs w:val="20"/>
              </w:rPr>
            </w:pPr>
            <w:r>
              <w:rPr>
                <w:rFonts w:cs="Arial"/>
                <w:sz w:val="20"/>
                <w:szCs w:val="20"/>
              </w:rPr>
              <w:t>99</w:t>
            </w:r>
          </w:p>
        </w:tc>
        <w:tc>
          <w:tcPr>
            <w:tcW w:w="1028" w:type="dxa"/>
            <w:noWrap/>
            <w:vAlign w:val="center"/>
          </w:tcPr>
          <w:p w:rsidR="00C52D69" w:rsidRDefault="00C52D69">
            <w:pPr>
              <w:jc w:val="center"/>
              <w:rPr>
                <w:rFonts w:cs="Arial"/>
                <w:sz w:val="20"/>
                <w:szCs w:val="20"/>
              </w:rPr>
            </w:pPr>
            <w:r>
              <w:rPr>
                <w:rFonts w:cs="Arial"/>
                <w:sz w:val="20"/>
                <w:szCs w:val="20"/>
              </w:rPr>
              <w:t>103</w:t>
            </w:r>
          </w:p>
        </w:tc>
        <w:tc>
          <w:tcPr>
            <w:tcW w:w="1029" w:type="dxa"/>
            <w:noWrap/>
            <w:vAlign w:val="center"/>
          </w:tcPr>
          <w:p w:rsidR="00C52D69" w:rsidRDefault="00C52D69">
            <w:pPr>
              <w:jc w:val="center"/>
              <w:rPr>
                <w:rFonts w:cs="Arial"/>
                <w:sz w:val="20"/>
                <w:szCs w:val="20"/>
              </w:rPr>
            </w:pPr>
            <w:r>
              <w:rPr>
                <w:rFonts w:cs="Arial"/>
                <w:sz w:val="20"/>
                <w:szCs w:val="20"/>
              </w:rPr>
              <w:t>107</w:t>
            </w:r>
          </w:p>
        </w:tc>
        <w:tc>
          <w:tcPr>
            <w:tcW w:w="1028" w:type="dxa"/>
            <w:noWrap/>
            <w:vAlign w:val="center"/>
          </w:tcPr>
          <w:p w:rsidR="00C52D69" w:rsidRDefault="00C52D69">
            <w:pPr>
              <w:jc w:val="center"/>
              <w:rPr>
                <w:rFonts w:cs="Arial"/>
                <w:sz w:val="20"/>
                <w:szCs w:val="20"/>
              </w:rPr>
            </w:pPr>
            <w:r>
              <w:rPr>
                <w:rFonts w:cs="Arial"/>
                <w:sz w:val="20"/>
                <w:szCs w:val="20"/>
              </w:rPr>
              <w:t>103</w:t>
            </w:r>
          </w:p>
        </w:tc>
        <w:tc>
          <w:tcPr>
            <w:tcW w:w="1029" w:type="dxa"/>
            <w:noWrap/>
            <w:vAlign w:val="center"/>
          </w:tcPr>
          <w:p w:rsidR="00C52D69" w:rsidRDefault="00C52D69">
            <w:pPr>
              <w:jc w:val="center"/>
              <w:rPr>
                <w:rFonts w:cs="Arial"/>
                <w:sz w:val="20"/>
                <w:szCs w:val="20"/>
              </w:rPr>
            </w:pPr>
            <w:r>
              <w:rPr>
                <w:rFonts w:cs="Arial"/>
                <w:sz w:val="20"/>
                <w:szCs w:val="20"/>
              </w:rPr>
              <w:t>97</w:t>
            </w:r>
          </w:p>
        </w:tc>
        <w:tc>
          <w:tcPr>
            <w:tcW w:w="1029" w:type="dxa"/>
            <w:noWrap/>
            <w:vAlign w:val="center"/>
          </w:tcPr>
          <w:p w:rsidR="00C52D69" w:rsidRDefault="00C52D69">
            <w:pPr>
              <w:jc w:val="center"/>
              <w:rPr>
                <w:rFonts w:cs="Arial"/>
                <w:sz w:val="20"/>
                <w:szCs w:val="20"/>
              </w:rPr>
            </w:pPr>
            <w:r>
              <w:rPr>
                <w:rFonts w:cs="Arial"/>
                <w:sz w:val="20"/>
                <w:szCs w:val="20"/>
              </w:rPr>
              <w:t>85</w:t>
            </w:r>
          </w:p>
        </w:tc>
      </w:tr>
      <w:tr w:rsidR="00C52D69" w:rsidRPr="00442756" w:rsidTr="00B71928">
        <w:trPr>
          <w:trHeight w:val="255"/>
        </w:trPr>
        <w:tc>
          <w:tcPr>
            <w:tcW w:w="2160" w:type="dxa"/>
            <w:noWrap/>
            <w:vAlign w:val="center"/>
          </w:tcPr>
          <w:p w:rsidR="00C52D69" w:rsidRPr="00442756" w:rsidRDefault="00C52D69" w:rsidP="00B71928">
            <w:pPr>
              <w:spacing w:before="60" w:after="60"/>
              <w:rPr>
                <w:rFonts w:cs="Arial"/>
                <w:sz w:val="20"/>
                <w:szCs w:val="20"/>
              </w:rPr>
            </w:pPr>
            <w:r w:rsidRPr="00442756">
              <w:rPr>
                <w:rFonts w:cs="Arial"/>
                <w:sz w:val="20"/>
                <w:szCs w:val="20"/>
              </w:rPr>
              <w:t>Ex post price ($/GJ)</w:t>
            </w:r>
          </w:p>
        </w:tc>
        <w:tc>
          <w:tcPr>
            <w:tcW w:w="1028" w:type="dxa"/>
            <w:noWrap/>
            <w:vAlign w:val="center"/>
          </w:tcPr>
          <w:p w:rsidR="00C52D69" w:rsidRDefault="00C52D69">
            <w:pPr>
              <w:jc w:val="center"/>
              <w:rPr>
                <w:rFonts w:cs="Arial"/>
                <w:sz w:val="20"/>
                <w:szCs w:val="20"/>
              </w:rPr>
            </w:pPr>
            <w:r>
              <w:rPr>
                <w:rFonts w:cs="Arial"/>
                <w:sz w:val="20"/>
                <w:szCs w:val="20"/>
              </w:rPr>
              <w:t>1.41</w:t>
            </w:r>
          </w:p>
        </w:tc>
        <w:tc>
          <w:tcPr>
            <w:tcW w:w="1029" w:type="dxa"/>
            <w:noWrap/>
            <w:vAlign w:val="center"/>
          </w:tcPr>
          <w:p w:rsidR="00C52D69" w:rsidRDefault="00C52D69">
            <w:pPr>
              <w:jc w:val="center"/>
              <w:rPr>
                <w:rFonts w:cs="Arial"/>
                <w:sz w:val="20"/>
                <w:szCs w:val="20"/>
              </w:rPr>
            </w:pPr>
            <w:r>
              <w:rPr>
                <w:rFonts w:cs="Arial"/>
                <w:sz w:val="20"/>
                <w:szCs w:val="20"/>
              </w:rPr>
              <w:t>3.21</w:t>
            </w:r>
          </w:p>
        </w:tc>
        <w:tc>
          <w:tcPr>
            <w:tcW w:w="1028" w:type="dxa"/>
            <w:noWrap/>
            <w:vAlign w:val="center"/>
          </w:tcPr>
          <w:p w:rsidR="00C52D69" w:rsidRDefault="00C52D69">
            <w:pPr>
              <w:jc w:val="center"/>
              <w:rPr>
                <w:rFonts w:cs="Arial"/>
                <w:sz w:val="20"/>
                <w:szCs w:val="20"/>
              </w:rPr>
            </w:pPr>
            <w:r>
              <w:rPr>
                <w:rFonts w:cs="Arial"/>
                <w:sz w:val="20"/>
                <w:szCs w:val="20"/>
              </w:rPr>
              <w:t>3.50</w:t>
            </w:r>
          </w:p>
        </w:tc>
        <w:tc>
          <w:tcPr>
            <w:tcW w:w="1029" w:type="dxa"/>
            <w:noWrap/>
            <w:vAlign w:val="center"/>
          </w:tcPr>
          <w:p w:rsidR="00C52D69" w:rsidRDefault="00C52D69">
            <w:pPr>
              <w:jc w:val="center"/>
              <w:rPr>
                <w:rFonts w:cs="Arial"/>
                <w:sz w:val="20"/>
                <w:szCs w:val="20"/>
              </w:rPr>
            </w:pPr>
            <w:r>
              <w:rPr>
                <w:rFonts w:cs="Arial"/>
                <w:sz w:val="20"/>
                <w:szCs w:val="20"/>
              </w:rPr>
              <w:t>3.50</w:t>
            </w:r>
          </w:p>
        </w:tc>
        <w:tc>
          <w:tcPr>
            <w:tcW w:w="1028" w:type="dxa"/>
            <w:noWrap/>
            <w:vAlign w:val="center"/>
          </w:tcPr>
          <w:p w:rsidR="00C52D69" w:rsidRDefault="00C52D69">
            <w:pPr>
              <w:jc w:val="center"/>
              <w:rPr>
                <w:rFonts w:cs="Arial"/>
                <w:sz w:val="20"/>
                <w:szCs w:val="20"/>
              </w:rPr>
            </w:pPr>
            <w:r>
              <w:rPr>
                <w:rFonts w:cs="Arial"/>
                <w:sz w:val="20"/>
                <w:szCs w:val="20"/>
              </w:rPr>
              <w:t>4.88</w:t>
            </w:r>
          </w:p>
        </w:tc>
        <w:tc>
          <w:tcPr>
            <w:tcW w:w="1029" w:type="dxa"/>
            <w:noWrap/>
            <w:vAlign w:val="center"/>
          </w:tcPr>
          <w:p w:rsidR="00C52D69" w:rsidRDefault="00C52D69">
            <w:pPr>
              <w:jc w:val="center"/>
              <w:rPr>
                <w:rFonts w:cs="Arial"/>
                <w:sz w:val="20"/>
                <w:szCs w:val="20"/>
              </w:rPr>
            </w:pPr>
            <w:r>
              <w:rPr>
                <w:rFonts w:cs="Arial"/>
                <w:sz w:val="20"/>
                <w:szCs w:val="20"/>
              </w:rPr>
              <w:t>3.43</w:t>
            </w:r>
          </w:p>
        </w:tc>
        <w:tc>
          <w:tcPr>
            <w:tcW w:w="1029" w:type="dxa"/>
            <w:noWrap/>
            <w:vAlign w:val="center"/>
          </w:tcPr>
          <w:p w:rsidR="00C52D69" w:rsidRDefault="00C52D69">
            <w:pPr>
              <w:jc w:val="center"/>
              <w:rPr>
                <w:rFonts w:cs="Arial"/>
                <w:sz w:val="20"/>
                <w:szCs w:val="20"/>
              </w:rPr>
            </w:pPr>
            <w:r>
              <w:rPr>
                <w:rFonts w:cs="Arial"/>
                <w:sz w:val="20"/>
                <w:szCs w:val="20"/>
              </w:rPr>
              <w:t>4.29</w:t>
            </w:r>
          </w:p>
        </w:tc>
      </w:tr>
      <w:tr w:rsidR="00C52D69"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C52D69" w:rsidRPr="00442756" w:rsidRDefault="00C52D69" w:rsidP="00B71928">
            <w:pPr>
              <w:spacing w:before="60" w:after="60"/>
              <w:rPr>
                <w:rFonts w:cs="Arial"/>
                <w:sz w:val="20"/>
                <w:szCs w:val="20"/>
              </w:rPr>
            </w:pPr>
            <w:r w:rsidRPr="00442756">
              <w:rPr>
                <w:rFonts w:cs="Arial"/>
                <w:sz w:val="20"/>
                <w:szCs w:val="20"/>
              </w:rPr>
              <w:t>Ex post quantity (TJ)</w:t>
            </w:r>
          </w:p>
        </w:tc>
        <w:tc>
          <w:tcPr>
            <w:tcW w:w="1028" w:type="dxa"/>
            <w:noWrap/>
            <w:vAlign w:val="center"/>
          </w:tcPr>
          <w:p w:rsidR="00C52D69" w:rsidRDefault="00C52D69">
            <w:pPr>
              <w:jc w:val="center"/>
              <w:rPr>
                <w:rFonts w:cs="Arial"/>
                <w:sz w:val="20"/>
                <w:szCs w:val="20"/>
              </w:rPr>
            </w:pPr>
            <w:r>
              <w:rPr>
                <w:rFonts w:cs="Arial"/>
                <w:sz w:val="20"/>
                <w:szCs w:val="20"/>
              </w:rPr>
              <w:t>77</w:t>
            </w:r>
          </w:p>
        </w:tc>
        <w:tc>
          <w:tcPr>
            <w:tcW w:w="1029" w:type="dxa"/>
            <w:noWrap/>
            <w:vAlign w:val="center"/>
          </w:tcPr>
          <w:p w:rsidR="00C52D69" w:rsidRDefault="00C52D69">
            <w:pPr>
              <w:jc w:val="center"/>
              <w:rPr>
                <w:rFonts w:cs="Arial"/>
                <w:sz w:val="20"/>
                <w:szCs w:val="20"/>
              </w:rPr>
            </w:pPr>
            <w:r>
              <w:rPr>
                <w:rFonts w:cs="Arial"/>
                <w:sz w:val="20"/>
                <w:szCs w:val="20"/>
              </w:rPr>
              <w:t>100</w:t>
            </w:r>
          </w:p>
        </w:tc>
        <w:tc>
          <w:tcPr>
            <w:tcW w:w="1028" w:type="dxa"/>
            <w:noWrap/>
            <w:vAlign w:val="center"/>
          </w:tcPr>
          <w:p w:rsidR="00C52D69" w:rsidRDefault="00C52D69">
            <w:pPr>
              <w:jc w:val="center"/>
              <w:rPr>
                <w:rFonts w:cs="Arial"/>
                <w:sz w:val="20"/>
                <w:szCs w:val="20"/>
              </w:rPr>
            </w:pPr>
            <w:r>
              <w:rPr>
                <w:rFonts w:cs="Arial"/>
                <w:sz w:val="20"/>
                <w:szCs w:val="20"/>
              </w:rPr>
              <w:t>106</w:t>
            </w:r>
          </w:p>
        </w:tc>
        <w:tc>
          <w:tcPr>
            <w:tcW w:w="1029" w:type="dxa"/>
            <w:noWrap/>
            <w:vAlign w:val="center"/>
          </w:tcPr>
          <w:p w:rsidR="00C52D69" w:rsidRDefault="00C52D69">
            <w:pPr>
              <w:jc w:val="center"/>
              <w:rPr>
                <w:rFonts w:cs="Arial"/>
                <w:sz w:val="20"/>
                <w:szCs w:val="20"/>
              </w:rPr>
            </w:pPr>
            <w:r>
              <w:rPr>
                <w:rFonts w:cs="Arial"/>
                <w:sz w:val="20"/>
                <w:szCs w:val="20"/>
              </w:rPr>
              <w:t>103</w:t>
            </w:r>
          </w:p>
        </w:tc>
        <w:tc>
          <w:tcPr>
            <w:tcW w:w="1028" w:type="dxa"/>
            <w:noWrap/>
            <w:vAlign w:val="center"/>
          </w:tcPr>
          <w:p w:rsidR="00C52D69" w:rsidRDefault="00C52D69">
            <w:pPr>
              <w:jc w:val="center"/>
              <w:rPr>
                <w:rFonts w:cs="Arial"/>
                <w:sz w:val="20"/>
                <w:szCs w:val="20"/>
              </w:rPr>
            </w:pPr>
            <w:r>
              <w:rPr>
                <w:rFonts w:cs="Arial"/>
                <w:sz w:val="20"/>
                <w:szCs w:val="20"/>
              </w:rPr>
              <w:t>103</w:t>
            </w:r>
          </w:p>
        </w:tc>
        <w:tc>
          <w:tcPr>
            <w:tcW w:w="1029" w:type="dxa"/>
            <w:noWrap/>
            <w:vAlign w:val="center"/>
          </w:tcPr>
          <w:p w:rsidR="00C52D69" w:rsidRDefault="00C52D69">
            <w:pPr>
              <w:jc w:val="center"/>
              <w:rPr>
                <w:rFonts w:cs="Arial"/>
                <w:sz w:val="20"/>
                <w:szCs w:val="20"/>
              </w:rPr>
            </w:pPr>
            <w:r>
              <w:rPr>
                <w:rFonts w:cs="Arial"/>
                <w:sz w:val="20"/>
                <w:szCs w:val="20"/>
              </w:rPr>
              <w:t>98</w:t>
            </w:r>
          </w:p>
        </w:tc>
        <w:tc>
          <w:tcPr>
            <w:tcW w:w="1029" w:type="dxa"/>
            <w:noWrap/>
            <w:vAlign w:val="center"/>
          </w:tcPr>
          <w:p w:rsidR="00C52D69" w:rsidRDefault="00C52D69">
            <w:pPr>
              <w:jc w:val="center"/>
              <w:rPr>
                <w:rFonts w:cs="Arial"/>
                <w:sz w:val="20"/>
                <w:szCs w:val="20"/>
              </w:rPr>
            </w:pPr>
            <w:r>
              <w:rPr>
                <w:rFonts w:cs="Arial"/>
                <w:sz w:val="20"/>
                <w:szCs w:val="20"/>
              </w:rPr>
              <w:t>87</w:t>
            </w:r>
          </w:p>
        </w:tc>
      </w:tr>
    </w:tbl>
    <w:p w:rsidR="00BC18FB" w:rsidRPr="00DD0358" w:rsidRDefault="003625A6" w:rsidP="00FF0D8A">
      <w:pPr>
        <w:pStyle w:val="Heading4"/>
        <w:ind w:hanging="338"/>
        <w:rPr>
          <w:color w:val="2272A3"/>
          <w:sz w:val="24"/>
        </w:rPr>
      </w:pPr>
      <w:r w:rsidRPr="00DD0358">
        <w:rPr>
          <w:color w:val="2272A3"/>
          <w:sz w:val="24"/>
          <w:szCs w:val="24"/>
        </w:rPr>
        <w:t>BRI daily hub offers and daily hub bids in price bands ($/GJ)</w:t>
      </w:r>
    </w:p>
    <w:p w:rsidR="00362B9A" w:rsidRPr="00362B9A" w:rsidRDefault="00406A97" w:rsidP="00362B9A">
      <w:r>
        <w:pict>
          <v:shape id="_x0000_i1038" type="#_x0000_t75" style="width:475.45pt;height:164.4pt">
            <v:imagedata r:id="rId25" o:title=""/>
          </v:shape>
        </w:pict>
      </w:r>
    </w:p>
    <w:p w:rsidR="00BC18FB" w:rsidRPr="00DD0358" w:rsidRDefault="003625A6" w:rsidP="00FF0D8A">
      <w:pPr>
        <w:pStyle w:val="Heading4"/>
        <w:ind w:hanging="338"/>
        <w:rPr>
          <w:color w:val="2272A3"/>
          <w:sz w:val="24"/>
        </w:rPr>
      </w:pPr>
      <w:r w:rsidRPr="00DD0358">
        <w:rPr>
          <w:color w:val="2272A3"/>
          <w:sz w:val="24"/>
          <w:szCs w:val="24"/>
        </w:rPr>
        <w:t>BRI net scheduled and allocated gas hub supply (excluding MOS)</w:t>
      </w:r>
    </w:p>
    <w:p w:rsidR="00362B9A" w:rsidRPr="00362B9A" w:rsidRDefault="00406A97" w:rsidP="00362B9A">
      <w:r>
        <w:pict>
          <v:shape id="_x0000_i1039" type="#_x0000_t75" style="width:477.5pt;height:113.45pt">
            <v:imagedata r:id="rId26" o:title=""/>
          </v:shape>
        </w:pict>
      </w:r>
    </w:p>
    <w:p w:rsidR="00BC18FB" w:rsidRPr="00DD0358" w:rsidRDefault="004560B0" w:rsidP="004560B0">
      <w:pPr>
        <w:pStyle w:val="Heading4"/>
        <w:ind w:hanging="338"/>
        <w:rPr>
          <w:color w:val="2272A3"/>
          <w:sz w:val="24"/>
          <w:szCs w:val="24"/>
        </w:rPr>
      </w:pPr>
      <w:r w:rsidRPr="00DD0358">
        <w:rPr>
          <w:color w:val="2272A3"/>
          <w:sz w:val="24"/>
          <w:szCs w:val="24"/>
        </w:rPr>
        <w:t>BRI MOS allocations (TJ), service payments and commodity payments/charges ($000)</w:t>
      </w:r>
    </w:p>
    <w:p w:rsidR="004560B0" w:rsidRPr="00362B9A" w:rsidRDefault="00406A97" w:rsidP="00362B9A">
      <w:r>
        <w:pict>
          <v:shape id="_x0000_i1040" type="#_x0000_t75" style="width:476.15pt;height:158.25pt">
            <v:imagedata r:id="rId27" o:title=""/>
          </v:shape>
        </w:pict>
      </w:r>
    </w:p>
    <w:p w:rsidR="00BC18FB" w:rsidRDefault="007059A9" w:rsidP="00BC18FB">
      <w:pPr>
        <w:pStyle w:val="Heading3"/>
        <w:ind w:firstLine="0"/>
        <w:rPr>
          <w:color w:val="2272A3"/>
          <w:sz w:val="32"/>
          <w:szCs w:val="32"/>
        </w:rPr>
      </w:pPr>
      <w:r>
        <w:rPr>
          <w:color w:val="2272A3"/>
          <w:sz w:val="32"/>
          <w:szCs w:val="32"/>
        </w:rPr>
        <w:br w:type="page"/>
      </w:r>
      <w:r w:rsidR="00362B9A">
        <w:rPr>
          <w:color w:val="2272A3"/>
          <w:sz w:val="32"/>
          <w:szCs w:val="32"/>
        </w:rPr>
        <w:t>National Gas Bulletin Board</w:t>
      </w:r>
    </w:p>
    <w:p w:rsidR="00362B9A" w:rsidRPr="00362B9A" w:rsidRDefault="004560B0" w:rsidP="00345444">
      <w:pPr>
        <w:jc w:val="both"/>
      </w:pPr>
      <w:r w:rsidRPr="00A475A2">
        <w:t xml:space="preserve">Figure </w:t>
      </w:r>
      <w:r>
        <w:t>5</w:t>
      </w:r>
      <w:r w:rsidRPr="00A475A2">
        <w:t xml:space="preserve">.1 shows average daily </w:t>
      </w:r>
      <w:r>
        <w:t xml:space="preserve">actual </w:t>
      </w:r>
      <w:r w:rsidRPr="00A475A2">
        <w:t xml:space="preserve">flows for the current week </w:t>
      </w:r>
      <w:r>
        <w:t>in the aqua boxes</w:t>
      </w:r>
      <w:r>
        <w:rPr>
          <w:rStyle w:val="FootnoteReference"/>
        </w:rPr>
        <w:footnoteReference w:id="7"/>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 xml:space="preserve">as powered generation (GPG) </w:t>
      </w:r>
      <w:r w:rsidRPr="009B5F18">
        <w:t xml:space="preserve">gas usage </w:t>
      </w:r>
      <w:r>
        <w:t xml:space="preserve">is also shown </w:t>
      </w:r>
      <w:r w:rsidRPr="009B5F18">
        <w:t>in each region</w:t>
      </w:r>
      <w:r>
        <w:t xml:space="preserve"> in the aqua boxes. </w:t>
      </w:r>
      <w:r w:rsidR="00586C57">
        <w:t>T</w:t>
      </w:r>
      <w:r>
        <w:t xml:space="preserve">he orange boxes </w:t>
      </w:r>
      <w:r w:rsidR="00586C57">
        <w:t xml:space="preserve">provide </w:t>
      </w:r>
      <w:r>
        <w:t>average daily scheduled volumes and prices</w:t>
      </w:r>
      <w:r>
        <w:rPr>
          <w:rStyle w:val="FootnoteReference"/>
        </w:rPr>
        <w:footnoteReference w:id="8"/>
      </w:r>
      <w:r>
        <w:t xml:space="preserve"> for each gas market.</w:t>
      </w:r>
    </w:p>
    <w:p w:rsidR="00BC18FB" w:rsidRPr="00DD0358" w:rsidRDefault="004560B0" w:rsidP="00FF0D8A">
      <w:pPr>
        <w:pStyle w:val="Heading4"/>
        <w:ind w:hanging="338"/>
        <w:rPr>
          <w:color w:val="2272A3"/>
          <w:sz w:val="24"/>
          <w:szCs w:val="24"/>
        </w:rPr>
      </w:pPr>
      <w:r w:rsidRPr="00DD0358">
        <w:rPr>
          <w:color w:val="2272A3"/>
          <w:sz w:val="24"/>
          <w:szCs w:val="24"/>
        </w:rPr>
        <w:t>Gas market data ($/GJ, TJ</w:t>
      </w:r>
      <w:r w:rsidR="00C3163F" w:rsidRPr="00DD0358">
        <w:rPr>
          <w:color w:val="2272A3"/>
          <w:sz w:val="24"/>
          <w:szCs w:val="24"/>
        </w:rPr>
        <w:t>/day</w:t>
      </w:r>
      <w:r w:rsidRPr="00DD0358">
        <w:rPr>
          <w:color w:val="2272A3"/>
          <w:sz w:val="24"/>
          <w:szCs w:val="24"/>
        </w:rPr>
        <w:t>); Production, Consumption and Pipeline flows (TJ)</w:t>
      </w:r>
    </w:p>
    <w:p w:rsidR="00362B9A" w:rsidRPr="00362B9A" w:rsidRDefault="00406A97" w:rsidP="00362B9A">
      <w:r>
        <w:pict>
          <v:shape id="_x0000_i1041" type="#_x0000_t75" style="width:413.65pt;height:534.55pt;visibility:visible;mso-wrap-style:square">
            <v:imagedata r:id="rId28" o:title=""/>
          </v:shape>
        </w:pict>
      </w:r>
    </w:p>
    <w:p w:rsidR="00BC18FB" w:rsidRDefault="007059A9" w:rsidP="00BC18FB">
      <w:pPr>
        <w:pStyle w:val="Heading3"/>
        <w:ind w:firstLine="0"/>
        <w:rPr>
          <w:color w:val="2272A3"/>
          <w:sz w:val="32"/>
          <w:szCs w:val="32"/>
        </w:rPr>
      </w:pPr>
      <w:r>
        <w:rPr>
          <w:color w:val="2272A3"/>
          <w:sz w:val="32"/>
          <w:szCs w:val="32"/>
        </w:rPr>
        <w:br w:type="page"/>
      </w:r>
      <w:r w:rsidR="00BC18FB" w:rsidRPr="00004A63">
        <w:rPr>
          <w:color w:val="2272A3"/>
          <w:sz w:val="32"/>
          <w:szCs w:val="32"/>
        </w:rPr>
        <w:t>G</w:t>
      </w:r>
      <w:r w:rsidR="004560B0">
        <w:rPr>
          <w:color w:val="2272A3"/>
          <w:sz w:val="32"/>
          <w:szCs w:val="32"/>
        </w:rPr>
        <w:t xml:space="preserve">as </w:t>
      </w:r>
      <w:r w:rsidR="00BC18FB" w:rsidRPr="00004A63">
        <w:rPr>
          <w:color w:val="2272A3"/>
          <w:sz w:val="32"/>
          <w:szCs w:val="32"/>
        </w:rPr>
        <w:t>S</w:t>
      </w:r>
      <w:r w:rsidR="004560B0">
        <w:rPr>
          <w:color w:val="2272A3"/>
          <w:sz w:val="32"/>
          <w:szCs w:val="32"/>
        </w:rPr>
        <w:t xml:space="preserve">upply </w:t>
      </w:r>
      <w:r w:rsidR="00BC18FB" w:rsidRPr="00004A63">
        <w:rPr>
          <w:color w:val="2272A3"/>
          <w:sz w:val="32"/>
          <w:szCs w:val="32"/>
        </w:rPr>
        <w:t>H</w:t>
      </w:r>
      <w:r w:rsidR="004560B0">
        <w:rPr>
          <w:color w:val="2272A3"/>
          <w:sz w:val="32"/>
          <w:szCs w:val="32"/>
        </w:rPr>
        <w:t>ub</w:t>
      </w:r>
    </w:p>
    <w:p w:rsidR="00E37A86" w:rsidRDefault="00E37A86" w:rsidP="00345444">
      <w:pPr>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9"/>
      </w:r>
      <w:r>
        <w:t xml:space="preserve"> for the supply of gas traded between separate participants, with products listed for sale and purchase at delivery points on three major connecting </w:t>
      </w:r>
      <w:r w:rsidRPr="005A6687">
        <w:t xml:space="preserve">pipelines at Wallumbilla – the Queensland Gas Pipeline </w:t>
      </w:r>
      <w:r w:rsidRPr="00586C57">
        <w:rPr>
          <w:b/>
        </w:rPr>
        <w:t>(QGP)</w:t>
      </w:r>
      <w:r w:rsidRPr="005A6687">
        <w:t xml:space="preserve">, the South West Queensland Pipeline </w:t>
      </w:r>
      <w:r w:rsidRPr="00586C57">
        <w:rPr>
          <w:b/>
        </w:rPr>
        <w:t>(SWQP)</w:t>
      </w:r>
      <w:r w:rsidRPr="005A6687">
        <w:t xml:space="preserve"> and the Roma to Brisbane Pipeline </w:t>
      </w:r>
      <w:r w:rsidRPr="00586C57">
        <w:rPr>
          <w:b/>
        </w:rPr>
        <w:t>(RBP)</w:t>
      </w:r>
      <w:r w:rsidRPr="005A6687">
        <w:t>. There are separate products for each p</w:t>
      </w:r>
      <w:r>
        <w:t>ipeline (each pipeline is considered a trading location, and each has a number of delivery points) and delivery period (daily, day-ahead, balance-of-day and weekly).</w:t>
      </w:r>
    </w:p>
    <w:p w:rsidR="00A00B02" w:rsidRPr="00A00B02" w:rsidRDefault="00A00B02" w:rsidP="00A00B02">
      <w:pPr>
        <w:jc w:val="both"/>
      </w:pPr>
      <w:r w:rsidRPr="00A00B02">
        <w:t>There were 16 trades this week for 84 TJ of gas at a volume weighted price of $4.12/GJ. This was comprised of 6 daily and 3 day-</w:t>
      </w:r>
      <w:proofErr w:type="gramStart"/>
      <w:r w:rsidRPr="00A00B02">
        <w:t>ahead</w:t>
      </w:r>
      <w:proofErr w:type="gramEnd"/>
      <w:r w:rsidRPr="00A00B02">
        <w:t xml:space="preserve"> trades on the RBP, and 4 daily and 3 day-ahead trades on the SWQP. The volume weighted price for gas traded on each of the pipelines was $4.13/GJ on RBP and $4.12/GJ on SWQP.</w:t>
      </w:r>
    </w:p>
    <w:p w:rsidR="00E37A86" w:rsidRPr="00E37A86" w:rsidRDefault="00E37A86" w:rsidP="00345444">
      <w:pPr>
        <w:rPr>
          <w:rFonts w:cs="Arial"/>
          <w:szCs w:val="22"/>
        </w:rPr>
      </w:pPr>
      <w:r w:rsidRPr="00E37A86">
        <w:rPr>
          <w:rFonts w:cs="Arial"/>
          <w:szCs w:val="22"/>
        </w:rPr>
        <w:t>Figure 6.1 shows volumes traded</w:t>
      </w:r>
      <w:r w:rsidRPr="00E37A86">
        <w:rPr>
          <w:rStyle w:val="FootnoteReference"/>
          <w:rFonts w:cs="Arial"/>
          <w:szCs w:val="22"/>
        </w:rPr>
        <w:footnoteReference w:id="10"/>
      </w:r>
      <w:r w:rsidRPr="00E37A86">
        <w:rPr>
          <w:rFonts w:cs="Arial"/>
          <w:szCs w:val="22"/>
        </w:rPr>
        <w:t xml:space="preserve"> on each gas day and trading day </w:t>
      </w:r>
      <w:r>
        <w:rPr>
          <w:rFonts w:cs="Arial"/>
          <w:szCs w:val="22"/>
        </w:rPr>
        <w:t>for the current week</w:t>
      </w:r>
      <w:r w:rsidRPr="00E37A86">
        <w:rPr>
          <w:rFonts w:cs="Arial"/>
          <w:szCs w:val="22"/>
        </w:rPr>
        <w:t>.</w:t>
      </w:r>
    </w:p>
    <w:p w:rsidR="00BC18FB" w:rsidRPr="00DD0358" w:rsidRDefault="00E37A86" w:rsidP="00FF0D8A">
      <w:pPr>
        <w:pStyle w:val="Heading4"/>
        <w:ind w:hanging="338"/>
        <w:rPr>
          <w:color w:val="2272A3"/>
          <w:sz w:val="24"/>
        </w:rPr>
      </w:pPr>
      <w:r w:rsidRPr="00DD0358">
        <w:rPr>
          <w:color w:val="2272A3"/>
          <w:sz w:val="24"/>
        </w:rPr>
        <w:t>Volume Traded (by Gas Day and by Trading Day)</w:t>
      </w:r>
    </w:p>
    <w:bookmarkEnd w:id="0"/>
    <w:bookmarkEnd w:id="1"/>
    <w:p w:rsidR="009E74E3" w:rsidRPr="006520EE" w:rsidRDefault="00406A97" w:rsidP="00E37A86">
      <w:r>
        <w:rPr>
          <w:rFonts w:eastAsia="MS Mincho"/>
        </w:rPr>
        <w:pict>
          <v:shape id="_x0000_i1042" type="#_x0000_t75" style="width:475.45pt;height:201.75pt">
            <v:imagedata r:id="rId29" o:title=""/>
          </v:shape>
        </w:pict>
      </w:r>
      <w:r w:rsidR="00E37A86" w:rsidRPr="006520EE">
        <w:t xml:space="preserve"> </w:t>
      </w:r>
    </w:p>
    <w:sectPr w:rsidR="009E74E3" w:rsidRPr="006520EE" w:rsidSect="00D635F1">
      <w:footerReference w:type="default" r:id="rId30"/>
      <w:footerReference w:type="first" r:id="rId31"/>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D8A" w:rsidRDefault="00FF0D8A">
      <w:r>
        <w:separator/>
      </w:r>
    </w:p>
  </w:endnote>
  <w:endnote w:type="continuationSeparator" w:id="0">
    <w:p w:rsidR="00FF0D8A" w:rsidRDefault="00FF0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D8A" w:rsidRDefault="00FF0D8A" w:rsidP="00D22793">
    <w:pPr>
      <w:pBdr>
        <w:top w:val="single" w:sz="4" w:space="0" w:color="auto"/>
      </w:pBdr>
      <w:ind w:left="-284" w:right="-329" w:firstLine="284"/>
      <w:jc w:val="center"/>
      <w:rPr>
        <w:i/>
        <w:sz w:val="16"/>
        <w:szCs w:val="16"/>
      </w:rPr>
    </w:pPr>
    <w:r>
      <w:rPr>
        <w:i/>
        <w:sz w:val="20"/>
      </w:rPr>
      <w:t>© Commonwealth of Australia.</w:t>
    </w:r>
  </w:p>
  <w:p w:rsidR="00FF0D8A" w:rsidRDefault="00FF0D8A" w:rsidP="005A77AC">
    <w:pPr>
      <w:jc w:val="center"/>
    </w:pPr>
    <w:r>
      <w:fldChar w:fldCharType="begin"/>
    </w:r>
    <w:r>
      <w:instrText xml:space="preserve"> PAGE  \* MERGEFORMAT </w:instrText>
    </w:r>
    <w:r>
      <w:fldChar w:fldCharType="separate"/>
    </w:r>
    <w:r w:rsidR="006578C8">
      <w:rPr>
        <w:noProof/>
      </w:rPr>
      <w:t>10</w:t>
    </w:r>
    <w:r>
      <w:fldChar w:fldCharType="end"/>
    </w:r>
  </w:p>
  <w:p w:rsidR="00FF0D8A" w:rsidRDefault="00FF0D8A" w:rsidP="0035758F">
    <w:pPr>
      <w:pStyle w:val="Footer"/>
      <w:pBdr>
        <w:top w:val="none" w:sz="0" w:space="0" w:color="auto"/>
      </w:pBd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D8A" w:rsidRDefault="00FF0D8A" w:rsidP="00491029">
    <w:pPr>
      <w:pBdr>
        <w:top w:val="single" w:sz="4" w:space="0" w:color="auto"/>
      </w:pBdr>
      <w:ind w:left="-284" w:right="-329" w:firstLine="284"/>
      <w:jc w:val="center"/>
      <w:rPr>
        <w:i/>
        <w:sz w:val="20"/>
      </w:rPr>
    </w:pPr>
    <w:r>
      <w:rPr>
        <w:i/>
        <w:sz w:val="20"/>
      </w:rPr>
      <w:t>© Commonwealth of Australia.</w:t>
    </w:r>
  </w:p>
  <w:p w:rsidR="00FF0D8A" w:rsidRPr="002D773A" w:rsidRDefault="00FF0D8A" w:rsidP="00491029">
    <w:pPr>
      <w:jc w:val="center"/>
    </w:pPr>
    <w:r>
      <w:fldChar w:fldCharType="begin"/>
    </w:r>
    <w:r>
      <w:instrText xml:space="preserve"> PAGE  \* MERGEFORMAT </w:instrText>
    </w:r>
    <w:r>
      <w:fldChar w:fldCharType="separate"/>
    </w:r>
    <w:r w:rsidR="006578C8">
      <w:rPr>
        <w:noProof/>
      </w:rPr>
      <w:t>1</w:t>
    </w:r>
    <w:r>
      <w:fldChar w:fldCharType="end"/>
    </w:r>
  </w:p>
  <w:p w:rsidR="00FF0D8A" w:rsidRDefault="00FF0D8A" w:rsidP="00491029">
    <w:pPr>
      <w:pStyle w:val="Footer"/>
      <w:jc w:val="right"/>
    </w:pPr>
    <w:r w:rsidRPr="00F52F00">
      <w:rPr>
        <w:rFonts w:cs="Arial"/>
        <w:i/>
      </w:rPr>
      <w:t>AER reference: 392</w:t>
    </w:r>
    <w:r>
      <w:rPr>
        <w:rFonts w:cs="Arial"/>
        <w:i/>
      </w:rPr>
      <w:t>7</w:t>
    </w:r>
    <w:r w:rsidRPr="00F52F00">
      <w:rPr>
        <w:rFonts w:cs="Arial"/>
        <w:i/>
      </w:rPr>
      <w:t>0 – D1</w:t>
    </w:r>
    <w:r>
      <w:rPr>
        <w:rFonts w:cs="Arial"/>
        <w:i/>
      </w:rPr>
      <w:t>5</w:t>
    </w:r>
    <w:r w:rsidRPr="00F52F00">
      <w:rPr>
        <w:rFonts w:cs="Arial"/>
        <w:i/>
      </w:rPr>
      <w:t>/</w:t>
    </w:r>
    <w:r w:rsidR="00955FC6">
      <w:rPr>
        <w:rFonts w:cs="Arial"/>
        <w:i/>
      </w:rPr>
      <w:t>106700</w:t>
    </w:r>
  </w:p>
  <w:p w:rsidR="00FF0D8A" w:rsidRDefault="00FF0D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D8A" w:rsidRDefault="00FF0D8A">
      <w:r>
        <w:separator/>
      </w:r>
    </w:p>
  </w:footnote>
  <w:footnote w:type="continuationSeparator" w:id="0">
    <w:p w:rsidR="00FF0D8A" w:rsidRDefault="00FF0D8A">
      <w:r>
        <w:continuationSeparator/>
      </w:r>
    </w:p>
  </w:footnote>
  <w:footnote w:id="1">
    <w:p w:rsidR="00FF0D8A" w:rsidRPr="00942640" w:rsidRDefault="00FF0D8A" w:rsidP="004560B0">
      <w:pPr>
        <w:pStyle w:val="FootnoteText"/>
        <w:spacing w:before="0" w:after="0"/>
        <w:jc w:val="both"/>
        <w:rPr>
          <w:sz w:val="18"/>
          <w:szCs w:val="16"/>
        </w:rPr>
      </w:pPr>
      <w:r>
        <w:rPr>
          <w:rStyle w:val="FootnoteReference"/>
        </w:rPr>
        <w:footnoteRef/>
      </w:r>
      <w:r>
        <w:t xml:space="preserve"> </w:t>
      </w:r>
      <w:r>
        <w:tab/>
      </w:r>
      <w:r w:rsidRPr="00942640">
        <w:rPr>
          <w:sz w:val="18"/>
          <w:szCs w:val="16"/>
        </w:rPr>
        <w:t>The weighted average daily imbalance price applies for Victoria.</w:t>
      </w:r>
    </w:p>
  </w:footnote>
  <w:footnote w:id="2">
    <w:p w:rsidR="00EF58A8" w:rsidRPr="00EF58A8" w:rsidRDefault="00EF58A8" w:rsidP="00EF58A8">
      <w:pPr>
        <w:pStyle w:val="FootnoteText"/>
        <w:spacing w:before="0" w:after="0"/>
        <w:jc w:val="both"/>
      </w:pPr>
      <w:r w:rsidRPr="00EF58A8">
        <w:rPr>
          <w:rStyle w:val="FootnoteReference"/>
        </w:rPr>
        <w:footnoteRef/>
      </w:r>
      <w:r w:rsidRPr="00EF58A8">
        <w:t xml:space="preserve"> </w:t>
      </w:r>
      <w:r w:rsidRPr="00EF58A8">
        <w:tab/>
      </w:r>
      <w:r w:rsidRPr="00EF58A8">
        <w:rPr>
          <w:sz w:val="18"/>
        </w:rPr>
        <w:t>Prices for subsequent schedules are applied only to the differences in scheduled quantities (imbalances) to calculate the weighted price. The 6 am price applies to the entire scheduled quantity in the initial schedule.</w:t>
      </w:r>
    </w:p>
  </w:footnote>
  <w:footnote w:id="3">
    <w:p w:rsidR="00EF58A8" w:rsidRPr="00EF58A8" w:rsidRDefault="00EF58A8" w:rsidP="00EF58A8">
      <w:pPr>
        <w:pStyle w:val="FootnoteText"/>
        <w:spacing w:before="0" w:after="0"/>
        <w:jc w:val="both"/>
        <w:rPr>
          <w:sz w:val="18"/>
          <w:szCs w:val="18"/>
        </w:rPr>
      </w:pPr>
      <w:r w:rsidRPr="00EF58A8">
        <w:rPr>
          <w:rStyle w:val="FootnoteReference"/>
        </w:rPr>
        <w:footnoteRef/>
      </w:r>
      <w:r w:rsidRPr="00EF58A8">
        <w:t xml:space="preserve"> </w:t>
      </w:r>
      <w:r w:rsidRPr="00EF58A8">
        <w:tab/>
      </w:r>
      <w:r w:rsidRPr="00EF58A8">
        <w:rPr>
          <w:sz w:val="18"/>
          <w:szCs w:val="18"/>
        </w:rPr>
        <w:t>The price might also be affected by transmission or production (contractual) constraints limiting how much gas can be delivered from a locale or System Injection Point (SIP) from time to time.</w:t>
      </w:r>
    </w:p>
  </w:footnote>
  <w:footnote w:id="4">
    <w:p w:rsidR="00EF58A8" w:rsidRPr="00EF58A8" w:rsidRDefault="00EF58A8" w:rsidP="00EF58A8">
      <w:pPr>
        <w:pStyle w:val="FootnoteText"/>
        <w:spacing w:before="0" w:after="0"/>
        <w:jc w:val="both"/>
      </w:pPr>
      <w:r w:rsidRPr="00EF58A8">
        <w:rPr>
          <w:rStyle w:val="FootnoteReference"/>
        </w:rPr>
        <w:footnoteRef/>
      </w:r>
      <w:r w:rsidRPr="00EF58A8">
        <w:t xml:space="preserve">  </w:t>
      </w:r>
      <w:r w:rsidRPr="00EF58A8">
        <w:tab/>
      </w:r>
      <w:r w:rsidRPr="00EF58A8">
        <w:rPr>
          <w:sz w:val="18"/>
          <w:szCs w:val="18"/>
        </w:rPr>
        <w:t>These are Market Participants’ aggregate demand forecasts adjusted for any override as applied by AEMO from time to time. These forecasts must be scheduled and cannot respond to price like withdrawal bids.</w:t>
      </w:r>
    </w:p>
  </w:footnote>
  <w:footnote w:id="5">
    <w:p w:rsidR="00EF58A8" w:rsidRPr="00362B9A" w:rsidRDefault="00EF58A8" w:rsidP="00586C57">
      <w:pPr>
        <w:pStyle w:val="FootnoteText"/>
        <w:spacing w:before="0" w:after="0"/>
        <w:jc w:val="both"/>
        <w:rPr>
          <w:sz w:val="18"/>
          <w:szCs w:val="18"/>
        </w:rPr>
      </w:pPr>
      <w:r w:rsidRPr="003F7E55">
        <w:rPr>
          <w:rStyle w:val="FootnoteReference"/>
        </w:rPr>
        <w:footnoteRef/>
      </w:r>
      <w:r w:rsidRPr="003F7E55">
        <w:t xml:space="preserve"> </w:t>
      </w:r>
      <w:r w:rsidRPr="003F7E55">
        <w:tab/>
      </w:r>
      <w:r w:rsidRPr="00362B9A">
        <w:rPr>
          <w:sz w:val="18"/>
          <w:szCs w:val="18"/>
        </w:rPr>
        <w:t>The main driver of the amount of gas scheduled on a gas day is the ‘price-taker’ bid, which is forecast hub demand that cannot respond to price and which must be delivered, regardless of the price.</w:t>
      </w:r>
    </w:p>
  </w:footnote>
  <w:footnote w:id="6">
    <w:p w:rsidR="00EF58A8" w:rsidRDefault="00EF58A8" w:rsidP="00586C57">
      <w:pPr>
        <w:pStyle w:val="AERbodytext"/>
        <w:spacing w:before="0" w:line="240" w:lineRule="auto"/>
        <w:ind w:left="340" w:hanging="340"/>
        <w:jc w:val="both"/>
      </w:pPr>
      <w:r w:rsidRPr="002E7E9E">
        <w:rPr>
          <w:rStyle w:val="FootnoteReference"/>
          <w:sz w:val="20"/>
        </w:rPr>
        <w:footnoteRef/>
      </w:r>
      <w:r w:rsidRPr="002E7E9E">
        <w:rPr>
          <w:sz w:val="20"/>
          <w:szCs w:val="20"/>
        </w:rPr>
        <w:t xml:space="preserve"> </w:t>
      </w:r>
      <w:r>
        <w:rPr>
          <w:sz w:val="20"/>
          <w:szCs w:val="20"/>
        </w:rPr>
        <w:tab/>
      </w:r>
      <w:r w:rsidRPr="002E7E9E">
        <w:rPr>
          <w:sz w:val="18"/>
          <w:szCs w:val="18"/>
        </w:rPr>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7">
    <w:p w:rsidR="004560B0" w:rsidRPr="002E7E9E" w:rsidRDefault="004560B0" w:rsidP="004560B0">
      <w:pPr>
        <w:pStyle w:val="FootnoteText"/>
        <w:spacing w:before="0" w:after="0"/>
        <w:rPr>
          <w:sz w:val="18"/>
          <w:szCs w:val="18"/>
        </w:rPr>
      </w:pPr>
      <w:r>
        <w:rPr>
          <w:rStyle w:val="FootnoteReference"/>
        </w:rPr>
        <w:footnoteRef/>
      </w:r>
      <w:r>
        <w:t xml:space="preserve"> </w:t>
      </w:r>
      <w:r>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4560B0" w:rsidRDefault="004560B0" w:rsidP="004560B0">
      <w:pPr>
        <w:pStyle w:val="FootnoteText"/>
        <w:spacing w:before="0" w:after="0"/>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4560B0" w:rsidRDefault="004560B0" w:rsidP="004560B0">
      <w:pPr>
        <w:pStyle w:val="FootnoteText"/>
        <w:spacing w:before="0" w:after="0"/>
        <w:ind w:firstLine="0"/>
        <w:rPr>
          <w:sz w:val="18"/>
          <w:szCs w:val="18"/>
        </w:rPr>
      </w:pPr>
      <w:r w:rsidRPr="002E7E9E">
        <w:rPr>
          <w:sz w:val="18"/>
          <w:szCs w:val="18"/>
        </w:rPr>
        <w:t xml:space="preserve">GPG volumes </w:t>
      </w:r>
      <w:r w:rsidR="00586C57">
        <w:rPr>
          <w:sz w:val="18"/>
          <w:szCs w:val="18"/>
        </w:rPr>
        <w:t xml:space="preserve">may </w:t>
      </w:r>
      <w:r w:rsidRPr="002E7E9E">
        <w:rPr>
          <w:sz w:val="18"/>
          <w:szCs w:val="18"/>
        </w:rPr>
        <w:t xml:space="preserve">include gas usage that </w:t>
      </w:r>
      <w:r w:rsidR="00586C57">
        <w:rPr>
          <w:sz w:val="18"/>
          <w:szCs w:val="18"/>
        </w:rPr>
        <w:t>does</w:t>
      </w:r>
      <w:r w:rsidRPr="002E7E9E">
        <w:rPr>
          <w:sz w:val="18"/>
          <w:szCs w:val="18"/>
        </w:rPr>
        <w:t xml:space="preserve"> not show up on Bulletin Board pipeline flows.</w:t>
      </w:r>
    </w:p>
    <w:p w:rsidR="004560B0" w:rsidRPr="002E7E9E" w:rsidRDefault="004560B0" w:rsidP="004560B0">
      <w:pPr>
        <w:pStyle w:val="FootnoteText"/>
        <w:spacing w:before="0" w:after="0"/>
        <w:ind w:firstLine="0"/>
        <w:rPr>
          <w:sz w:val="18"/>
          <w:szCs w:val="18"/>
        </w:rPr>
      </w:pPr>
      <w:r>
        <w:rPr>
          <w:sz w:val="18"/>
          <w:szCs w:val="18"/>
        </w:rPr>
        <w:t>From October 2014, production flows reported for the Roma region include quantities of gas for LNG export trains.</w:t>
      </w:r>
    </w:p>
  </w:footnote>
  <w:footnote w:id="8">
    <w:p w:rsidR="004560B0" w:rsidRDefault="004560B0" w:rsidP="004560B0">
      <w:pPr>
        <w:pStyle w:val="FootnoteText"/>
        <w:spacing w:before="0" w:after="0"/>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9">
    <w:p w:rsidR="00E37A86" w:rsidRPr="009E74E3" w:rsidRDefault="00E37A86" w:rsidP="00E37A86">
      <w:pPr>
        <w:pStyle w:val="FootnoteText"/>
        <w:spacing w:before="0" w:after="0"/>
        <w:ind w:left="284" w:hanging="284"/>
        <w:jc w:val="both"/>
        <w:rPr>
          <w:sz w:val="18"/>
          <w:szCs w:val="18"/>
        </w:rPr>
      </w:pPr>
      <w:r>
        <w:rPr>
          <w:rStyle w:val="FootnoteReference"/>
        </w:rPr>
        <w:footnoteRef/>
      </w:r>
      <w:r>
        <w:t xml:space="preserve"> </w:t>
      </w:r>
      <w:r>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0">
    <w:p w:rsidR="00E37A86" w:rsidRPr="007300C3" w:rsidRDefault="00E37A86" w:rsidP="00E37A86">
      <w:pPr>
        <w:pStyle w:val="FootnoteText"/>
        <w:spacing w:before="0" w:after="0"/>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BDD4A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nsid w:val="21AD2891"/>
    <w:multiLevelType w:val="multilevel"/>
    <w:tmpl w:val="427C2556"/>
    <w:lvl w:ilvl="0">
      <w:start w:val="1"/>
      <w:numFmt w:val="none"/>
      <w:pStyle w:val="Heading1"/>
      <w:lvlText w:val="%1"/>
      <w:lvlJc w:val="left"/>
      <w:pPr>
        <w:ind w:left="0" w:firstLine="0"/>
      </w:pPr>
      <w:rPr>
        <w:rFonts w:ascii="Arial Bold" w:hAnsi="Arial Bold" w:hint="default"/>
        <w:b/>
        <w:i w:val="0"/>
        <w:color w:val="2272A3"/>
        <w:sz w:val="32"/>
      </w:rPr>
    </w:lvl>
    <w:lvl w:ilvl="1">
      <w:start w:val="1"/>
      <w:numFmt w:val="decimal"/>
      <w:pStyle w:val="Heading2"/>
      <w:lvlText w:val="Figure %2:"/>
      <w:lvlJc w:val="left"/>
      <w:pPr>
        <w:ind w:left="0" w:firstLine="360"/>
      </w:pPr>
      <w:rPr>
        <w:rFonts w:ascii="Arial Bold" w:hAnsi="Arial Bold" w:hint="default"/>
        <w:b/>
        <w:i w:val="0"/>
        <w:color w:val="2272A3"/>
        <w:sz w:val="24"/>
      </w:rPr>
    </w:lvl>
    <w:lvl w:ilvl="2">
      <w:start w:val="1"/>
      <w:numFmt w:val="decimal"/>
      <w:pStyle w:val="Heading3"/>
      <w:lvlText w:val="%3."/>
      <w:lvlJc w:val="left"/>
      <w:pPr>
        <w:ind w:left="0" w:firstLine="720"/>
      </w:pPr>
      <w:rPr>
        <w:rFonts w:ascii="Arial Bold" w:hAnsi="Arial Bold" w:hint="default"/>
        <w:b/>
        <w:i w:val="0"/>
        <w:color w:val="2272A3"/>
        <w:sz w:val="32"/>
      </w:rPr>
    </w:lvl>
    <w:lvl w:ilvl="3">
      <w:start w:val="1"/>
      <w:numFmt w:val="decimal"/>
      <w:pStyle w:val="Heading4"/>
      <w:lvlText w:val="Figure %3.%4:"/>
      <w:lvlJc w:val="left"/>
      <w:pPr>
        <w:ind w:left="338" w:firstLine="1080"/>
      </w:pPr>
      <w:rPr>
        <w:rFonts w:ascii="Arial Bold" w:hAnsi="Arial Bold" w:hint="default"/>
        <w:b/>
        <w:i w:val="0"/>
        <w:color w:val="2272A3"/>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2B401B7"/>
    <w:multiLevelType w:val="hybridMultilevel"/>
    <w:tmpl w:val="ABCA068E"/>
    <w:lvl w:ilvl="0" w:tplc="BE58AF30">
      <w:start w:val="1"/>
      <w:numFmt w:val="decimal"/>
      <w:pStyle w:val="AERNumberedheading1nonewpag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6">
    <w:nsid w:val="2B4A6D4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8">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9">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1">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12">
    <w:nsid w:val="50895FE3"/>
    <w:multiLevelType w:val="multilevel"/>
    <w:tmpl w:val="CFB0230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3">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4">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5">
    <w:nsid w:val="713E3892"/>
    <w:multiLevelType w:val="multilevel"/>
    <w:tmpl w:val="98546364"/>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0"/>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6">
    <w:nsid w:val="78F3491B"/>
    <w:multiLevelType w:val="multilevel"/>
    <w:tmpl w:val="0A222A44"/>
    <w:styleLink w:val="Style1"/>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2"/>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7">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8"/>
  </w:num>
  <w:num w:numId="3">
    <w:abstractNumId w:val="10"/>
  </w:num>
  <w:num w:numId="4">
    <w:abstractNumId w:val="17"/>
  </w:num>
  <w:num w:numId="5">
    <w:abstractNumId w:val="2"/>
  </w:num>
  <w:num w:numId="6">
    <w:abstractNumId w:val="14"/>
  </w:num>
  <w:num w:numId="7">
    <w:abstractNumId w:val="11"/>
  </w:num>
  <w:num w:numId="8">
    <w:abstractNumId w:val="7"/>
  </w:num>
  <w:num w:numId="9">
    <w:abstractNumId w:val="5"/>
  </w:num>
  <w:num w:numId="10">
    <w:abstractNumId w:val="9"/>
  </w:num>
  <w:num w:numId="11">
    <w:abstractNumId w:val="0"/>
  </w:num>
  <w:num w:numId="12">
    <w:abstractNumId w:val="12"/>
  </w:num>
  <w:num w:numId="1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4">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4"/>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8">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9">
    <w:abstractNumId w:val="15"/>
  </w:num>
  <w:num w:numId="20">
    <w:abstractNumId w:val="16"/>
  </w:num>
  <w:num w:numId="21">
    <w:abstractNumId w:val="1"/>
  </w:num>
  <w:num w:numId="22">
    <w:abstractNumId w:val="6"/>
  </w:num>
  <w:num w:numId="23">
    <w:abstractNumId w:val="3"/>
  </w:num>
  <w:num w:numId="24">
    <w:abstractNumId w:val="3"/>
    <w:lvlOverride w:ilvl="0">
      <w:lvl w:ilvl="0">
        <w:start w:val="1"/>
        <w:numFmt w:val="none"/>
        <w:pStyle w:val="Heading1"/>
        <w:lvlText w:val="%1"/>
        <w:lvlJc w:val="left"/>
        <w:pPr>
          <w:ind w:left="0" w:firstLine="0"/>
        </w:pPr>
        <w:rPr>
          <w:rFonts w:ascii="Arial Bold" w:hAnsi="Arial Bold" w:hint="default"/>
          <w:b/>
          <w:i w:val="0"/>
          <w:color w:val="365F91" w:themeColor="accent1" w:themeShade="BF"/>
          <w:sz w:val="32"/>
        </w:rPr>
      </w:lvl>
    </w:lvlOverride>
    <w:lvlOverride w:ilvl="1">
      <w:lvl w:ilvl="1">
        <w:start w:val="1"/>
        <w:numFmt w:val="decimal"/>
        <w:pStyle w:val="Heading2"/>
        <w:lvlText w:val="Figure %2"/>
        <w:lvlJc w:val="left"/>
        <w:pPr>
          <w:ind w:left="0" w:firstLine="0"/>
        </w:pPr>
        <w:rPr>
          <w:rFonts w:ascii="Arial Bold" w:hAnsi="Arial Bold" w:hint="default"/>
          <w:b/>
          <w:i w:val="0"/>
          <w:color w:val="365F91" w:themeColor="accent1" w:themeShade="BF"/>
          <w:sz w:val="24"/>
        </w:rPr>
      </w:lvl>
    </w:lvlOverride>
    <w:lvlOverride w:ilvl="2">
      <w:lvl w:ilvl="2">
        <w:start w:val="1"/>
        <w:numFmt w:val="decimal"/>
        <w:pStyle w:val="Heading3"/>
        <w:lvlText w:val="%3"/>
        <w:lvlJc w:val="left"/>
        <w:pPr>
          <w:ind w:left="0" w:firstLine="0"/>
        </w:pPr>
        <w:rPr>
          <w:rFonts w:ascii="Arial Bold" w:hAnsi="Arial Bold" w:hint="default"/>
          <w:b/>
          <w:i w:val="0"/>
          <w:color w:val="365F91" w:themeColor="accent1" w:themeShade="BF"/>
          <w:sz w:val="24"/>
        </w:rPr>
      </w:lvl>
    </w:lvlOverride>
    <w:lvlOverride w:ilvl="3">
      <w:lvl w:ilvl="3">
        <w:start w:val="1"/>
        <w:numFmt w:val="decimal"/>
        <w:pStyle w:val="Heading4"/>
        <w:lvlText w:val="Figure %3.%4"/>
        <w:lvlJc w:val="left"/>
        <w:pPr>
          <w:ind w:left="0" w:firstLine="0"/>
        </w:pPr>
        <w:rPr>
          <w:rFonts w:ascii="Arial Bold" w:hAnsi="Arial Bold" w:hint="default"/>
          <w:b/>
          <w:i w:val="0"/>
          <w:color w:val="365F91" w:themeColor="accent1" w:themeShade="BF"/>
          <w:sz w:val="24"/>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5">
    <w:abstractNumId w:val="3"/>
  </w:num>
  <w:num w:numId="26">
    <w:abstractNumId w:val="3"/>
  </w:num>
  <w:num w:numId="27">
    <w:abstractNumId w:val="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3481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adrae\Desktop\20150705 - 20150711 Gas weekly report.docx"/>
  </w:docVars>
  <w:rsids>
    <w:rsidRoot w:val="005F18AD"/>
    <w:rsid w:val="000013C1"/>
    <w:rsid w:val="00001BFB"/>
    <w:rsid w:val="00002313"/>
    <w:rsid w:val="00004A63"/>
    <w:rsid w:val="00010025"/>
    <w:rsid w:val="000123CA"/>
    <w:rsid w:val="00020978"/>
    <w:rsid w:val="0002268D"/>
    <w:rsid w:val="00027115"/>
    <w:rsid w:val="000323BA"/>
    <w:rsid w:val="00033456"/>
    <w:rsid w:val="00040F6B"/>
    <w:rsid w:val="000552AF"/>
    <w:rsid w:val="00055584"/>
    <w:rsid w:val="00061656"/>
    <w:rsid w:val="0006609A"/>
    <w:rsid w:val="00073D01"/>
    <w:rsid w:val="00076046"/>
    <w:rsid w:val="000813BF"/>
    <w:rsid w:val="00085092"/>
    <w:rsid w:val="000876E7"/>
    <w:rsid w:val="00093854"/>
    <w:rsid w:val="000974A2"/>
    <w:rsid w:val="00097D40"/>
    <w:rsid w:val="000B4A1F"/>
    <w:rsid w:val="000B6397"/>
    <w:rsid w:val="000B69E0"/>
    <w:rsid w:val="000B7FAF"/>
    <w:rsid w:val="000D1FEB"/>
    <w:rsid w:val="000E1F9A"/>
    <w:rsid w:val="000F0BBB"/>
    <w:rsid w:val="000F2287"/>
    <w:rsid w:val="000F3B46"/>
    <w:rsid w:val="000F59F8"/>
    <w:rsid w:val="000F5F5E"/>
    <w:rsid w:val="000F6D05"/>
    <w:rsid w:val="00117C98"/>
    <w:rsid w:val="00125818"/>
    <w:rsid w:val="001420EB"/>
    <w:rsid w:val="001452B3"/>
    <w:rsid w:val="00150A19"/>
    <w:rsid w:val="00153729"/>
    <w:rsid w:val="00157AFD"/>
    <w:rsid w:val="001608BE"/>
    <w:rsid w:val="00171BD5"/>
    <w:rsid w:val="00181F4A"/>
    <w:rsid w:val="001831BF"/>
    <w:rsid w:val="00183D85"/>
    <w:rsid w:val="00193ECC"/>
    <w:rsid w:val="001A41B4"/>
    <w:rsid w:val="001A5893"/>
    <w:rsid w:val="001A5B94"/>
    <w:rsid w:val="001A5C1A"/>
    <w:rsid w:val="001A765F"/>
    <w:rsid w:val="001B294E"/>
    <w:rsid w:val="001B2ADA"/>
    <w:rsid w:val="001C006C"/>
    <w:rsid w:val="001C5A74"/>
    <w:rsid w:val="001E79FF"/>
    <w:rsid w:val="001F0F9B"/>
    <w:rsid w:val="002052B6"/>
    <w:rsid w:val="00206559"/>
    <w:rsid w:val="002168D4"/>
    <w:rsid w:val="002312F5"/>
    <w:rsid w:val="00231B0A"/>
    <w:rsid w:val="00233988"/>
    <w:rsid w:val="00234764"/>
    <w:rsid w:val="00252A22"/>
    <w:rsid w:val="00254746"/>
    <w:rsid w:val="00266CA5"/>
    <w:rsid w:val="0026725A"/>
    <w:rsid w:val="0026764C"/>
    <w:rsid w:val="00270B82"/>
    <w:rsid w:val="002765A2"/>
    <w:rsid w:val="00285E00"/>
    <w:rsid w:val="002861A9"/>
    <w:rsid w:val="00290C57"/>
    <w:rsid w:val="002910A1"/>
    <w:rsid w:val="002A0CD1"/>
    <w:rsid w:val="002A30E7"/>
    <w:rsid w:val="002A3E5D"/>
    <w:rsid w:val="002A46AC"/>
    <w:rsid w:val="002A5634"/>
    <w:rsid w:val="002B3D3C"/>
    <w:rsid w:val="002B4D21"/>
    <w:rsid w:val="002C0499"/>
    <w:rsid w:val="002C2576"/>
    <w:rsid w:val="002D0C16"/>
    <w:rsid w:val="002D59B3"/>
    <w:rsid w:val="002D5CEC"/>
    <w:rsid w:val="002E0688"/>
    <w:rsid w:val="002E2C96"/>
    <w:rsid w:val="002E2E46"/>
    <w:rsid w:val="002E7E9E"/>
    <w:rsid w:val="002F0AE7"/>
    <w:rsid w:val="002F139A"/>
    <w:rsid w:val="002F4250"/>
    <w:rsid w:val="0030240F"/>
    <w:rsid w:val="00311A09"/>
    <w:rsid w:val="00314A8B"/>
    <w:rsid w:val="0032174C"/>
    <w:rsid w:val="00323327"/>
    <w:rsid w:val="00330B70"/>
    <w:rsid w:val="003348F7"/>
    <w:rsid w:val="00336E8E"/>
    <w:rsid w:val="003410C4"/>
    <w:rsid w:val="00345444"/>
    <w:rsid w:val="00347FBB"/>
    <w:rsid w:val="003548AA"/>
    <w:rsid w:val="0035758F"/>
    <w:rsid w:val="00357C72"/>
    <w:rsid w:val="003625A6"/>
    <w:rsid w:val="00362B9A"/>
    <w:rsid w:val="003632A4"/>
    <w:rsid w:val="003664D0"/>
    <w:rsid w:val="00366BDF"/>
    <w:rsid w:val="00372976"/>
    <w:rsid w:val="00374CF9"/>
    <w:rsid w:val="003800B4"/>
    <w:rsid w:val="00387B66"/>
    <w:rsid w:val="00396C2C"/>
    <w:rsid w:val="00396C7A"/>
    <w:rsid w:val="003B0AAD"/>
    <w:rsid w:val="003B65E0"/>
    <w:rsid w:val="003C5272"/>
    <w:rsid w:val="003C5482"/>
    <w:rsid w:val="003E313D"/>
    <w:rsid w:val="003F3391"/>
    <w:rsid w:val="003F44AD"/>
    <w:rsid w:val="003F51E6"/>
    <w:rsid w:val="003F7FD2"/>
    <w:rsid w:val="0040076C"/>
    <w:rsid w:val="004055AC"/>
    <w:rsid w:val="00406A97"/>
    <w:rsid w:val="00411C3F"/>
    <w:rsid w:val="004149DB"/>
    <w:rsid w:val="00421FFF"/>
    <w:rsid w:val="00433231"/>
    <w:rsid w:val="00434FC1"/>
    <w:rsid w:val="00442756"/>
    <w:rsid w:val="00445D38"/>
    <w:rsid w:val="00447C09"/>
    <w:rsid w:val="004505EA"/>
    <w:rsid w:val="0045204B"/>
    <w:rsid w:val="00452149"/>
    <w:rsid w:val="00452AAD"/>
    <w:rsid w:val="004560B0"/>
    <w:rsid w:val="00460629"/>
    <w:rsid w:val="00463EFA"/>
    <w:rsid w:val="004777B8"/>
    <w:rsid w:val="00483EDA"/>
    <w:rsid w:val="00491029"/>
    <w:rsid w:val="00492501"/>
    <w:rsid w:val="00496CEF"/>
    <w:rsid w:val="004A09D6"/>
    <w:rsid w:val="004A10A7"/>
    <w:rsid w:val="004A1362"/>
    <w:rsid w:val="004B068E"/>
    <w:rsid w:val="004B18D8"/>
    <w:rsid w:val="004B2256"/>
    <w:rsid w:val="004B2A1A"/>
    <w:rsid w:val="004B6D60"/>
    <w:rsid w:val="004D09C9"/>
    <w:rsid w:val="004D1EBF"/>
    <w:rsid w:val="004D3B99"/>
    <w:rsid w:val="004D3E78"/>
    <w:rsid w:val="004F3D13"/>
    <w:rsid w:val="00502181"/>
    <w:rsid w:val="00505139"/>
    <w:rsid w:val="00514A82"/>
    <w:rsid w:val="005157B0"/>
    <w:rsid w:val="005178FC"/>
    <w:rsid w:val="00522E00"/>
    <w:rsid w:val="005244DA"/>
    <w:rsid w:val="0053609E"/>
    <w:rsid w:val="00541108"/>
    <w:rsid w:val="00547827"/>
    <w:rsid w:val="00563C94"/>
    <w:rsid w:val="00564C71"/>
    <w:rsid w:val="0056618C"/>
    <w:rsid w:val="0058198F"/>
    <w:rsid w:val="00582F1C"/>
    <w:rsid w:val="005859CC"/>
    <w:rsid w:val="00586C57"/>
    <w:rsid w:val="00587CD1"/>
    <w:rsid w:val="005A1650"/>
    <w:rsid w:val="005A4569"/>
    <w:rsid w:val="005A6687"/>
    <w:rsid w:val="005A77AC"/>
    <w:rsid w:val="005C4B8B"/>
    <w:rsid w:val="005C68CE"/>
    <w:rsid w:val="005D1037"/>
    <w:rsid w:val="005D4097"/>
    <w:rsid w:val="005D6652"/>
    <w:rsid w:val="005E3DFB"/>
    <w:rsid w:val="005E4C48"/>
    <w:rsid w:val="005F18AD"/>
    <w:rsid w:val="005F31D0"/>
    <w:rsid w:val="00601A25"/>
    <w:rsid w:val="00601C18"/>
    <w:rsid w:val="00601E71"/>
    <w:rsid w:val="0060661E"/>
    <w:rsid w:val="00612663"/>
    <w:rsid w:val="00640BDB"/>
    <w:rsid w:val="00645036"/>
    <w:rsid w:val="00647DD2"/>
    <w:rsid w:val="006520EE"/>
    <w:rsid w:val="00652A42"/>
    <w:rsid w:val="006540A8"/>
    <w:rsid w:val="006578C8"/>
    <w:rsid w:val="006705A4"/>
    <w:rsid w:val="00686F6E"/>
    <w:rsid w:val="00697E41"/>
    <w:rsid w:val="006A5317"/>
    <w:rsid w:val="006A7228"/>
    <w:rsid w:val="006B004C"/>
    <w:rsid w:val="006C1858"/>
    <w:rsid w:val="006C242A"/>
    <w:rsid w:val="006C2B2B"/>
    <w:rsid w:val="006C57B2"/>
    <w:rsid w:val="006C5A2C"/>
    <w:rsid w:val="006C6D60"/>
    <w:rsid w:val="006D6E0B"/>
    <w:rsid w:val="006E1063"/>
    <w:rsid w:val="006E312B"/>
    <w:rsid w:val="006E40BD"/>
    <w:rsid w:val="006E7E57"/>
    <w:rsid w:val="006F4169"/>
    <w:rsid w:val="007001FF"/>
    <w:rsid w:val="007059A9"/>
    <w:rsid w:val="00706720"/>
    <w:rsid w:val="00710600"/>
    <w:rsid w:val="0071106C"/>
    <w:rsid w:val="00715BED"/>
    <w:rsid w:val="007201F8"/>
    <w:rsid w:val="007209C0"/>
    <w:rsid w:val="00722B62"/>
    <w:rsid w:val="0072650E"/>
    <w:rsid w:val="0072694B"/>
    <w:rsid w:val="007306EC"/>
    <w:rsid w:val="00740EE4"/>
    <w:rsid w:val="00747724"/>
    <w:rsid w:val="00750C0F"/>
    <w:rsid w:val="00763150"/>
    <w:rsid w:val="0076429B"/>
    <w:rsid w:val="00767397"/>
    <w:rsid w:val="00773AE0"/>
    <w:rsid w:val="00776BBA"/>
    <w:rsid w:val="00781A4A"/>
    <w:rsid w:val="00791198"/>
    <w:rsid w:val="007941C2"/>
    <w:rsid w:val="00795966"/>
    <w:rsid w:val="007966A5"/>
    <w:rsid w:val="007A12DE"/>
    <w:rsid w:val="007A24B5"/>
    <w:rsid w:val="007A7E7A"/>
    <w:rsid w:val="007B7771"/>
    <w:rsid w:val="007D470C"/>
    <w:rsid w:val="007D4B14"/>
    <w:rsid w:val="007D4F53"/>
    <w:rsid w:val="007E52F7"/>
    <w:rsid w:val="007E5F68"/>
    <w:rsid w:val="0080456D"/>
    <w:rsid w:val="00807AFD"/>
    <w:rsid w:val="00811D1C"/>
    <w:rsid w:val="008133CF"/>
    <w:rsid w:val="008170C0"/>
    <w:rsid w:val="008344A6"/>
    <w:rsid w:val="00875D0C"/>
    <w:rsid w:val="008776EF"/>
    <w:rsid w:val="00882958"/>
    <w:rsid w:val="008936C5"/>
    <w:rsid w:val="00895965"/>
    <w:rsid w:val="008A6DB5"/>
    <w:rsid w:val="008B7161"/>
    <w:rsid w:val="008C0EC8"/>
    <w:rsid w:val="008C268E"/>
    <w:rsid w:val="008C7F3A"/>
    <w:rsid w:val="008D39F4"/>
    <w:rsid w:val="008D4DAB"/>
    <w:rsid w:val="008D70A4"/>
    <w:rsid w:val="008E2239"/>
    <w:rsid w:val="008E24DA"/>
    <w:rsid w:val="008F295F"/>
    <w:rsid w:val="008F4BF5"/>
    <w:rsid w:val="008F4EAE"/>
    <w:rsid w:val="008F5409"/>
    <w:rsid w:val="00900CEB"/>
    <w:rsid w:val="00903620"/>
    <w:rsid w:val="009136B3"/>
    <w:rsid w:val="009143E0"/>
    <w:rsid w:val="00936A7B"/>
    <w:rsid w:val="00937543"/>
    <w:rsid w:val="00942622"/>
    <w:rsid w:val="00942640"/>
    <w:rsid w:val="00950C55"/>
    <w:rsid w:val="00951926"/>
    <w:rsid w:val="00955FC6"/>
    <w:rsid w:val="00956CE9"/>
    <w:rsid w:val="009629B5"/>
    <w:rsid w:val="00976584"/>
    <w:rsid w:val="00987973"/>
    <w:rsid w:val="00990F83"/>
    <w:rsid w:val="009962A0"/>
    <w:rsid w:val="009A04DD"/>
    <w:rsid w:val="009B2F99"/>
    <w:rsid w:val="009B4053"/>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0B02"/>
    <w:rsid w:val="00A0223D"/>
    <w:rsid w:val="00A13F97"/>
    <w:rsid w:val="00A156EE"/>
    <w:rsid w:val="00A200D0"/>
    <w:rsid w:val="00A26940"/>
    <w:rsid w:val="00A324A8"/>
    <w:rsid w:val="00A349B0"/>
    <w:rsid w:val="00A475A2"/>
    <w:rsid w:val="00A51DDD"/>
    <w:rsid w:val="00A55660"/>
    <w:rsid w:val="00A55C96"/>
    <w:rsid w:val="00A642B8"/>
    <w:rsid w:val="00A66FD2"/>
    <w:rsid w:val="00A67716"/>
    <w:rsid w:val="00A677D8"/>
    <w:rsid w:val="00A834DF"/>
    <w:rsid w:val="00A91C53"/>
    <w:rsid w:val="00A936AE"/>
    <w:rsid w:val="00AA1D87"/>
    <w:rsid w:val="00AC1E89"/>
    <w:rsid w:val="00AD3EBD"/>
    <w:rsid w:val="00AE03A4"/>
    <w:rsid w:val="00AE4633"/>
    <w:rsid w:val="00AE748C"/>
    <w:rsid w:val="00AF2164"/>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9666A"/>
    <w:rsid w:val="00BA16E2"/>
    <w:rsid w:val="00BA31C3"/>
    <w:rsid w:val="00BA65E6"/>
    <w:rsid w:val="00BA6C2E"/>
    <w:rsid w:val="00BB2FF6"/>
    <w:rsid w:val="00BC18FB"/>
    <w:rsid w:val="00BC21AB"/>
    <w:rsid w:val="00BC254C"/>
    <w:rsid w:val="00BC4C5B"/>
    <w:rsid w:val="00BC77F9"/>
    <w:rsid w:val="00BD3A40"/>
    <w:rsid w:val="00BD60AA"/>
    <w:rsid w:val="00BE18D0"/>
    <w:rsid w:val="00BE240C"/>
    <w:rsid w:val="00BE4577"/>
    <w:rsid w:val="00BF1D01"/>
    <w:rsid w:val="00BF3080"/>
    <w:rsid w:val="00C0146C"/>
    <w:rsid w:val="00C21D81"/>
    <w:rsid w:val="00C26B1D"/>
    <w:rsid w:val="00C26E38"/>
    <w:rsid w:val="00C3163F"/>
    <w:rsid w:val="00C52D69"/>
    <w:rsid w:val="00C560C2"/>
    <w:rsid w:val="00C60857"/>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1DDB"/>
    <w:rsid w:val="00D161D7"/>
    <w:rsid w:val="00D1641C"/>
    <w:rsid w:val="00D16FE8"/>
    <w:rsid w:val="00D22793"/>
    <w:rsid w:val="00D329E0"/>
    <w:rsid w:val="00D40430"/>
    <w:rsid w:val="00D41D64"/>
    <w:rsid w:val="00D50980"/>
    <w:rsid w:val="00D60D45"/>
    <w:rsid w:val="00D635F1"/>
    <w:rsid w:val="00D67440"/>
    <w:rsid w:val="00D71951"/>
    <w:rsid w:val="00D76436"/>
    <w:rsid w:val="00D84A8C"/>
    <w:rsid w:val="00DA0113"/>
    <w:rsid w:val="00DA37EC"/>
    <w:rsid w:val="00DA38A8"/>
    <w:rsid w:val="00DA3AAA"/>
    <w:rsid w:val="00DB0182"/>
    <w:rsid w:val="00DB12E4"/>
    <w:rsid w:val="00DB3B79"/>
    <w:rsid w:val="00DB3D7F"/>
    <w:rsid w:val="00DB5A3A"/>
    <w:rsid w:val="00DC0A52"/>
    <w:rsid w:val="00DC12FF"/>
    <w:rsid w:val="00DC154F"/>
    <w:rsid w:val="00DC158D"/>
    <w:rsid w:val="00DD0358"/>
    <w:rsid w:val="00DD5ACD"/>
    <w:rsid w:val="00E01475"/>
    <w:rsid w:val="00E032F3"/>
    <w:rsid w:val="00E16C03"/>
    <w:rsid w:val="00E2040E"/>
    <w:rsid w:val="00E2256B"/>
    <w:rsid w:val="00E27FEA"/>
    <w:rsid w:val="00E37A86"/>
    <w:rsid w:val="00E40361"/>
    <w:rsid w:val="00E41452"/>
    <w:rsid w:val="00E524B2"/>
    <w:rsid w:val="00E52E2A"/>
    <w:rsid w:val="00E74D68"/>
    <w:rsid w:val="00E7639D"/>
    <w:rsid w:val="00E77449"/>
    <w:rsid w:val="00E8378F"/>
    <w:rsid w:val="00E86AAA"/>
    <w:rsid w:val="00E92E1D"/>
    <w:rsid w:val="00E93C7C"/>
    <w:rsid w:val="00E94C7D"/>
    <w:rsid w:val="00EA2F65"/>
    <w:rsid w:val="00EA4813"/>
    <w:rsid w:val="00EA6E29"/>
    <w:rsid w:val="00ED5E08"/>
    <w:rsid w:val="00EE2B5F"/>
    <w:rsid w:val="00EE51D2"/>
    <w:rsid w:val="00EE6F2C"/>
    <w:rsid w:val="00EF2F57"/>
    <w:rsid w:val="00EF4E45"/>
    <w:rsid w:val="00EF58A8"/>
    <w:rsid w:val="00EF5A5D"/>
    <w:rsid w:val="00EF6B0C"/>
    <w:rsid w:val="00F01843"/>
    <w:rsid w:val="00F02D8D"/>
    <w:rsid w:val="00F16C55"/>
    <w:rsid w:val="00F25FA8"/>
    <w:rsid w:val="00F415E2"/>
    <w:rsid w:val="00F427B4"/>
    <w:rsid w:val="00F45735"/>
    <w:rsid w:val="00F5024F"/>
    <w:rsid w:val="00F50297"/>
    <w:rsid w:val="00F51FA1"/>
    <w:rsid w:val="00F5594F"/>
    <w:rsid w:val="00F55D61"/>
    <w:rsid w:val="00F63042"/>
    <w:rsid w:val="00F645EC"/>
    <w:rsid w:val="00F67024"/>
    <w:rsid w:val="00F67559"/>
    <w:rsid w:val="00F71200"/>
    <w:rsid w:val="00F73DCA"/>
    <w:rsid w:val="00F76C75"/>
    <w:rsid w:val="00F77722"/>
    <w:rsid w:val="00F803DE"/>
    <w:rsid w:val="00F96C04"/>
    <w:rsid w:val="00F976F4"/>
    <w:rsid w:val="00FB594A"/>
    <w:rsid w:val="00FB7DD0"/>
    <w:rsid w:val="00FC4B88"/>
    <w:rsid w:val="00FD08B1"/>
    <w:rsid w:val="00FD7009"/>
    <w:rsid w:val="00FD7231"/>
    <w:rsid w:val="00FE0150"/>
    <w:rsid w:val="00FF0D8A"/>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A7B"/>
    <w:pPr>
      <w:spacing w:before="120" w:after="120"/>
    </w:pPr>
    <w:rPr>
      <w:rFonts w:ascii="Arial" w:hAnsi="Arial"/>
      <w:sz w:val="22"/>
      <w:szCs w:val="24"/>
    </w:rPr>
  </w:style>
  <w:style w:type="paragraph" w:styleId="Heading1">
    <w:name w:val="heading 1"/>
    <w:basedOn w:val="Normal"/>
    <w:next w:val="Normal"/>
    <w:link w:val="Heading1Char"/>
    <w:qFormat/>
    <w:rsid w:val="005F18AD"/>
    <w:pPr>
      <w:keepNext/>
      <w:numPr>
        <w:numId w:val="2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5F18AD"/>
    <w:pPr>
      <w:keepNext/>
      <w:numPr>
        <w:ilvl w:val="1"/>
        <w:numId w:val="23"/>
      </w:numPr>
      <w:spacing w:before="240" w:after="60"/>
      <w:outlineLvl w:val="1"/>
    </w:pPr>
    <w:rPr>
      <w:rFonts w:cs="Arial"/>
      <w:b/>
      <w:bCs/>
      <w:i/>
      <w:iCs/>
      <w:sz w:val="28"/>
      <w:szCs w:val="28"/>
    </w:rPr>
  </w:style>
  <w:style w:type="paragraph" w:styleId="Heading3">
    <w:name w:val="heading 3"/>
    <w:basedOn w:val="Normal"/>
    <w:next w:val="Normal"/>
    <w:link w:val="Heading3Char"/>
    <w:qFormat/>
    <w:rsid w:val="005F18AD"/>
    <w:pPr>
      <w:keepNext/>
      <w:numPr>
        <w:ilvl w:val="2"/>
        <w:numId w:val="23"/>
      </w:numPr>
      <w:spacing w:before="240" w:after="60"/>
      <w:outlineLvl w:val="2"/>
    </w:pPr>
    <w:rPr>
      <w:rFonts w:cs="Arial"/>
      <w:b/>
      <w:bCs/>
      <w:sz w:val="26"/>
      <w:szCs w:val="26"/>
    </w:rPr>
  </w:style>
  <w:style w:type="paragraph" w:styleId="Heading4">
    <w:name w:val="heading 4"/>
    <w:basedOn w:val="Normal"/>
    <w:next w:val="Normal"/>
    <w:link w:val="Heading4Char"/>
    <w:qFormat/>
    <w:rsid w:val="005F18AD"/>
    <w:pPr>
      <w:keepNext/>
      <w:numPr>
        <w:ilvl w:val="3"/>
        <w:numId w:val="23"/>
      </w:numPr>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rPr>
  </w:style>
  <w:style w:type="character" w:customStyle="1" w:styleId="Heading2Char">
    <w:name w:val="Heading 2 Char"/>
    <w:link w:val="Heading2"/>
    <w:locked/>
    <w:rsid w:val="005F18AD"/>
    <w:rPr>
      <w:rFonts w:ascii="Arial" w:hAnsi="Arial" w:cs="Arial"/>
      <w:b/>
      <w:bCs/>
      <w:i/>
      <w:iCs/>
      <w:sz w:val="28"/>
      <w:szCs w:val="28"/>
    </w:rPr>
  </w:style>
  <w:style w:type="character" w:customStyle="1" w:styleId="Heading3Char">
    <w:name w:val="Heading 3 Char"/>
    <w:link w:val="Heading3"/>
    <w:locked/>
    <w:rsid w:val="005F18AD"/>
    <w:rPr>
      <w:rFonts w:ascii="Arial" w:hAnsi="Arial" w:cs="Arial"/>
      <w:b/>
      <w:bCs/>
      <w:sz w:val="26"/>
      <w:szCs w:val="26"/>
    </w:rPr>
  </w:style>
  <w:style w:type="character" w:customStyle="1" w:styleId="Heading4Char">
    <w:name w:val="Heading 4 Char"/>
    <w:link w:val="Heading4"/>
    <w:locked/>
    <w:rsid w:val="005F18AD"/>
    <w:rPr>
      <w:rFonts w:ascii="Arial" w:hAnsi="Arial"/>
      <w:b/>
      <w:bCs/>
      <w:sz w:val="28"/>
      <w:szCs w:val="28"/>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uiPriority w:val="99"/>
    <w:semiHidden/>
    <w:rsid w:val="005F18AD"/>
    <w:rPr>
      <w:sz w:val="20"/>
    </w:rPr>
  </w:style>
  <w:style w:type="character" w:customStyle="1" w:styleId="CommentTextChar">
    <w:name w:val="Comment Text Char"/>
    <w:link w:val="CommentText"/>
    <w:uiPriority w:val="99"/>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basedOn w:val="Normal"/>
    <w:rsid w:val="00936A7B"/>
    <w:pPr>
      <w:spacing w:before="200" w:after="0" w:line="276" w:lineRule="auto"/>
    </w:pPr>
    <w:rPr>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rsid w:val="005F18AD"/>
    <w:pPr>
      <w:ind w:left="340" w:hanging="340"/>
    </w:pPr>
    <w:rPr>
      <w:sz w:val="20"/>
      <w:szCs w:val="20"/>
      <w:lang w:eastAsia="en-US"/>
    </w:rPr>
  </w:style>
  <w:style w:type="character" w:customStyle="1" w:styleId="FootnoteTextChar">
    <w:name w:val="Footnote Text Char"/>
    <w:link w:val="FootnoteText"/>
    <w:locked/>
    <w:rsid w:val="005F18AD"/>
    <w:rPr>
      <w:lang w:val="en-AU" w:eastAsia="en-US" w:bidi="ar-SA"/>
    </w:rPr>
  </w:style>
  <w:style w:type="paragraph" w:styleId="Caption">
    <w:name w:val="caption"/>
    <w:basedOn w:val="Normal"/>
    <w:next w:val="Normal"/>
    <w:qFormat/>
    <w:rsid w:val="000F2287"/>
    <w:pPr>
      <w:keepNext/>
      <w:spacing w:before="240" w:line="276" w:lineRule="auto"/>
    </w:pPr>
    <w:rPr>
      <w:rFonts w:eastAsiaTheme="minorHAnsi" w:cstheme="minorBidi"/>
      <w:b/>
      <w:bCs/>
      <w:color w:val="0070C0"/>
      <w:szCs w:val="22"/>
      <w:lang w:eastAsia="en-US"/>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spacing w:after="120"/>
    </w:pPr>
    <w:rPr>
      <w:i w:val="0"/>
      <w:sz w:val="30"/>
      <w:lang w:eastAsia="en-US"/>
    </w:rPr>
  </w:style>
  <w:style w:type="paragraph" w:customStyle="1" w:styleId="AERheading3">
    <w:name w:val="AER heading 3"/>
    <w:basedOn w:val="Heading3"/>
    <w:next w:val="AERbodytext"/>
    <w:rsid w:val="005F18AD"/>
    <w:pPr>
      <w:spacing w:after="120"/>
    </w:pPr>
    <w:rPr>
      <w:rFonts w:ascii="Arial Bold" w:hAnsi="Arial Bold"/>
      <w:sz w:val="24"/>
      <w:szCs w:val="24"/>
      <w:lang w:eastAsia="en-US"/>
    </w:rPr>
  </w:style>
  <w:style w:type="paragraph" w:customStyle="1" w:styleId="AERheading4">
    <w:name w:val="AER heading 4"/>
    <w:basedOn w:val="Heading4"/>
    <w:next w:val="AERbodytext"/>
    <w:rsid w:val="005F18AD"/>
    <w:pPr>
      <w:spacing w:after="120"/>
    </w:pPr>
    <w:rPr>
      <w:sz w:val="22"/>
      <w:lang w:eastAsia="en-US"/>
    </w:rPr>
  </w:style>
  <w:style w:type="paragraph" w:customStyle="1" w:styleId="AERtableheading">
    <w:name w:val="AER table heading"/>
    <w:basedOn w:val="Normal"/>
    <w:next w:val="Normal"/>
    <w:rsid w:val="005F18AD"/>
    <w:pPr>
      <w:keepNext/>
      <w:spacing w:before="240"/>
      <w:outlineLvl w:val="3"/>
    </w:pPr>
    <w:rPr>
      <w:b/>
      <w:lang w:eastAsia="en-US"/>
    </w:rPr>
  </w:style>
  <w:style w:type="paragraph" w:customStyle="1" w:styleId="AERfigureheading">
    <w:name w:val="AER figure heading"/>
    <w:basedOn w:val="Normal"/>
    <w:next w:val="AERbodytext"/>
    <w:rsid w:val="000F2287"/>
    <w:pPr>
      <w:keepNext/>
      <w:spacing w:before="240"/>
      <w:outlineLvl w:val="3"/>
    </w:pPr>
    <w:rPr>
      <w:b/>
      <w:color w:val="0070C0"/>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tabs>
        <w:tab w:val="num" w:pos="1134"/>
      </w:tabs>
      <w:ind w:left="1361" w:hanging="1361"/>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cs="Arial"/>
      <w:sz w:val="20"/>
      <w:szCs w:val="20"/>
    </w:rPr>
  </w:style>
  <w:style w:type="paragraph" w:customStyle="1" w:styleId="aerbodytext0">
    <w:name w:val="aerbodytext"/>
    <w:basedOn w:val="Normal"/>
    <w:rsid w:val="005F18AD"/>
    <w:pPr>
      <w:spacing w:after="240"/>
    </w:pPr>
  </w:style>
  <w:style w:type="character" w:styleId="CommentReference">
    <w:name w:val="annotation reference"/>
    <w:uiPriority w:val="99"/>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outlineLvl w:val="3"/>
    </w:pPr>
    <w:rPr>
      <w:b/>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tabs>
        <w:tab w:val="num" w:pos="851"/>
      </w:tabs>
      <w:ind w:left="851" w:hanging="851"/>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link w:val="TitleChar"/>
    <w:qFormat/>
    <w:rsid w:val="00231B0A"/>
    <w:pPr>
      <w:spacing w:before="100" w:beforeAutospacing="1" w:after="100" w:afterAutospacing="1"/>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pPr>
    <w:rPr>
      <w:rFonts w:ascii="Arial Bold" w:hAnsi="Arial Bold"/>
      <w:sz w:val="30"/>
      <w:lang w:eastAsia="en-US"/>
    </w:rPr>
  </w:style>
  <w:style w:type="paragraph" w:customStyle="1" w:styleId="AERunnumberedheading3">
    <w:name w:val="AER unnumbered heading 3"/>
    <w:basedOn w:val="AERHeading10"/>
    <w:next w:val="AERbodytext"/>
    <w:rsid w:val="00936A7B"/>
  </w:style>
  <w:style w:type="paragraph" w:customStyle="1" w:styleId="AERunnumberedheading4">
    <w:name w:val="AER unnumbered heading 4"/>
    <w:basedOn w:val="Normal"/>
    <w:next w:val="AERbodytext"/>
    <w:rsid w:val="005F18AD"/>
    <w:pPr>
      <w:keepNext/>
      <w:tabs>
        <w:tab w:val="left" w:pos="851"/>
        <w:tab w:val="left" w:pos="1080"/>
      </w:tabs>
      <w:spacing w:before="240"/>
      <w:outlineLvl w:val="3"/>
    </w:pPr>
    <w:rPr>
      <w:b/>
      <w:lang w:eastAsia="en-US"/>
    </w:rPr>
  </w:style>
  <w:style w:type="character" w:styleId="PageNumber">
    <w:name w:val="page number"/>
    <w:rsid w:val="005F18AD"/>
    <w:rPr>
      <w:rFonts w:ascii="Arial" w:hAnsi="Arial"/>
      <w:sz w:val="20"/>
    </w:rPr>
  </w:style>
  <w:style w:type="paragraph" w:styleId="Subtitle">
    <w:name w:val="Subtitle"/>
    <w:link w:val="SubtitleChar"/>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 w:type="table" w:customStyle="1" w:styleId="AERTable-Text0">
    <w:name w:val="AER Table - Text"/>
    <w:basedOn w:val="TableNormal"/>
    <w:uiPriority w:val="99"/>
    <w:rsid w:val="00936A7B"/>
    <w:pPr>
      <w:spacing w:before="120" w:after="120"/>
    </w:pPr>
    <w:rPr>
      <w:rFonts w:ascii="Arial" w:eastAsia="Arial" w:hAnsi="Arial"/>
      <w:sz w:val="18"/>
      <w:szCs w:val="22"/>
      <w:lang w:eastAsia="en-US"/>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AERHeading10">
    <w:name w:val="AER Heading 1"/>
    <w:basedOn w:val="Normal"/>
    <w:link w:val="AERHeading1Char"/>
    <w:qFormat/>
    <w:rsid w:val="00936A7B"/>
    <w:pPr>
      <w:tabs>
        <w:tab w:val="left" w:pos="680"/>
      </w:tabs>
      <w:spacing w:before="200" w:after="0" w:line="240" w:lineRule="atLeast"/>
      <w:outlineLvl w:val="1"/>
    </w:pPr>
    <w:rPr>
      <w:b/>
      <w:bCs/>
      <w:color w:val="2272A3"/>
      <w:sz w:val="32"/>
      <w:szCs w:val="20"/>
      <w:lang w:eastAsia="en-US"/>
    </w:rPr>
  </w:style>
  <w:style w:type="character" w:customStyle="1" w:styleId="AERHeading1Char">
    <w:name w:val="AER Heading 1 Char"/>
    <w:link w:val="AERHeading10"/>
    <w:rsid w:val="00936A7B"/>
    <w:rPr>
      <w:rFonts w:ascii="Arial" w:hAnsi="Arial"/>
      <w:b/>
      <w:bCs/>
      <w:color w:val="2272A3"/>
      <w:sz w:val="32"/>
      <w:lang w:eastAsia="en-US"/>
    </w:rPr>
  </w:style>
  <w:style w:type="paragraph" w:customStyle="1" w:styleId="AERNumberedheading1nonewpage">
    <w:name w:val="AER Numbered heading 1 no new page"/>
    <w:basedOn w:val="AERHeading10"/>
    <w:link w:val="AERNumberedheading1nonewpageChar"/>
    <w:qFormat/>
    <w:rsid w:val="000F2287"/>
    <w:pPr>
      <w:numPr>
        <w:numId w:val="15"/>
      </w:numPr>
      <w:tabs>
        <w:tab w:val="clear" w:pos="680"/>
        <w:tab w:val="left" w:pos="709"/>
      </w:tabs>
    </w:pPr>
  </w:style>
  <w:style w:type="character" w:customStyle="1" w:styleId="AERNumberedheading1nonewpageChar">
    <w:name w:val="AER Numbered heading 1 no new page Char"/>
    <w:basedOn w:val="AERHeading1Char"/>
    <w:link w:val="AERNumberedheading1nonewpage"/>
    <w:rsid w:val="000F2287"/>
    <w:rPr>
      <w:rFonts w:ascii="Arial" w:hAnsi="Arial"/>
      <w:b/>
      <w:bCs/>
      <w:color w:val="2272A3"/>
      <w:sz w:val="32"/>
      <w:lang w:eastAsia="en-US"/>
    </w:rPr>
  </w:style>
  <w:style w:type="numbering" w:customStyle="1" w:styleId="Style1">
    <w:name w:val="Style1"/>
    <w:uiPriority w:val="99"/>
    <w:rsid w:val="00E2040E"/>
    <w:pPr>
      <w:numPr>
        <w:numId w:val="20"/>
      </w:numPr>
    </w:pPr>
  </w:style>
  <w:style w:type="character" w:customStyle="1" w:styleId="TitleChar">
    <w:name w:val="Title Char"/>
    <w:link w:val="Title"/>
    <w:rsid w:val="00004A63"/>
    <w:rPr>
      <w:rFonts w:ascii="Arial" w:hAnsi="Arial" w:cs="Arial"/>
      <w:b/>
      <w:bCs/>
      <w:kern w:val="28"/>
      <w:sz w:val="36"/>
      <w:szCs w:val="32"/>
      <w:lang w:eastAsia="en-US"/>
    </w:rPr>
  </w:style>
  <w:style w:type="character" w:customStyle="1" w:styleId="SubtitleChar">
    <w:name w:val="Subtitle Char"/>
    <w:link w:val="Subtitle"/>
    <w:rsid w:val="00004A63"/>
    <w:rPr>
      <w:rFonts w:ascii="Arial" w:hAnsi="Arial" w:cs="Arial"/>
      <w:sz w:val="28"/>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www.aer.gov.au/node/451" TargetMode="External"/><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png"/><Relationship Id="rId10" Type="http://schemas.openxmlformats.org/officeDocument/2006/relationships/image" Target="media/image2.emf"/><Relationship Id="rId19" Type="http://schemas.openxmlformats.org/officeDocument/2006/relationships/image" Target="media/image8.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55310F-C4FA-4562-9E57-1038103DA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71565E66.dotm</Template>
  <TotalTime>0</TotalTime>
  <Pages>10</Pages>
  <Words>1625</Words>
  <Characters>7542</Characters>
  <Application>Microsoft Office Word</Application>
  <DocSecurity>0</DocSecurity>
  <Lines>62</Lines>
  <Paragraphs>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9149</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2015-07-28T05:54:00Z</dcterms:created>
  <dcterms:modified xsi:type="dcterms:W3CDTF">2015-07-28T05:55:00Z</dcterms:modified>
</cp:coreProperties>
</file>