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002" w:rsidRPr="0031019A" w:rsidRDefault="00275002" w:rsidP="00275002">
      <w:bookmarkStart w:id="0" w:name="_Toc305751931"/>
      <w:bookmarkStart w:id="1" w:name="_Toc308601044"/>
      <w:bookmarkStart w:id="2" w:name="_Toc316978870"/>
      <w:bookmarkStart w:id="3" w:name="_Toc317520246"/>
      <w:bookmarkStart w:id="4" w:name="OLE_LINK72"/>
      <w:bookmarkStart w:id="5" w:name="OLE_LINK73"/>
      <w:r w:rsidRPr="0031019A">
        <w:rPr>
          <w:noProof/>
          <w:lang w:eastAsia="en-AU"/>
        </w:rPr>
        <mc:AlternateContent>
          <mc:Choice Requires="wps">
            <w:drawing>
              <wp:anchor distT="0" distB="0" distL="114300" distR="114300" simplePos="0" relativeHeight="251659264" behindDoc="0" locked="0" layoutInCell="1" allowOverlap="1" wp14:anchorId="321FCF4B" wp14:editId="09605088">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64D" w:rsidRPr="000E2946" w:rsidRDefault="0003564D" w:rsidP="000E2946">
                            <w:pPr>
                              <w:pStyle w:val="Title"/>
                            </w:pPr>
                            <w:r w:rsidRPr="000E2946">
                              <w:t>Electricity Report</w:t>
                            </w:r>
                          </w:p>
                          <w:p w:rsidR="0003564D" w:rsidRPr="000E2946" w:rsidRDefault="0003564D" w:rsidP="000E2946">
                            <w:pPr>
                              <w:pStyle w:val="Title"/>
                            </w:pPr>
                            <w:r>
                              <w:t xml:space="preserve">14 – 20 June </w:t>
                            </w:r>
                            <w:r w:rsidRPr="000E2946">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03564D" w:rsidRPr="000E2946" w:rsidRDefault="0003564D" w:rsidP="000E2946">
                      <w:pPr>
                        <w:pStyle w:val="Title"/>
                      </w:pPr>
                      <w:r w:rsidRPr="000E2946">
                        <w:t>Electricity Report</w:t>
                      </w:r>
                    </w:p>
                    <w:p w:rsidR="0003564D" w:rsidRPr="000E2946" w:rsidRDefault="0003564D" w:rsidP="000E2946">
                      <w:pPr>
                        <w:pStyle w:val="Title"/>
                      </w:pPr>
                      <w:r>
                        <w:t xml:space="preserve">14 – 20 June </w:t>
                      </w:r>
                      <w:r w:rsidRPr="000E2946">
                        <w:t>2015</w:t>
                      </w:r>
                    </w:p>
                  </w:txbxContent>
                </v:textbox>
              </v:shape>
            </w:pict>
          </mc:Fallback>
        </mc:AlternateContent>
      </w:r>
      <w:r w:rsidRPr="0031019A">
        <w:rPr>
          <w:noProof/>
          <w:lang w:eastAsia="en-AU"/>
        </w:rPr>
        <w:drawing>
          <wp:inline distT="0" distB="0" distL="0" distR="0" wp14:anchorId="4EFE348B" wp14:editId="093288BF">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030794" w:rsidRPr="000E2946">
        <w:t xml:space="preserve">Figure </w:t>
      </w:r>
      <w:r w:rsidR="00030794">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A3632A">
        <w:rPr>
          <w:rFonts w:cs="Arial"/>
        </w:rPr>
        <w:t>14 to 20</w:t>
      </w:r>
      <w:r w:rsidR="00760FD8">
        <w:rPr>
          <w:rFonts w:cs="Arial"/>
        </w:rPr>
        <w:t xml:space="preserve"> June </w:t>
      </w:r>
      <w:r w:rsidR="00AF7058">
        <w:rPr>
          <w:rFonts w:cs="Arial"/>
        </w:rPr>
        <w:t>2015</w:t>
      </w:r>
      <w:r w:rsidR="00AF7058" w:rsidRPr="003061FA">
        <w:rPr>
          <w:rFonts w:cs="Arial"/>
        </w:rPr>
        <w:t xml:space="preserve">. </w:t>
      </w:r>
      <w:r w:rsidR="00B4128D" w:rsidRPr="003061FA">
        <w:rPr>
          <w:rFonts w:cs="Arial"/>
        </w:rPr>
        <w:t>T</w:t>
      </w:r>
      <w:r w:rsidR="003061FA" w:rsidRPr="003061FA">
        <w:rPr>
          <w:rFonts w:cs="Arial"/>
        </w:rPr>
        <w:t xml:space="preserve">here were </w:t>
      </w:r>
      <w:r w:rsidR="00FB41E6">
        <w:rPr>
          <w:rFonts w:cs="Arial"/>
        </w:rPr>
        <w:t>2</w:t>
      </w:r>
      <w:r w:rsidR="00627B2D">
        <w:rPr>
          <w:rFonts w:cs="Arial"/>
        </w:rPr>
        <w:t xml:space="preserve"> occasions in South Australia where the </w:t>
      </w:r>
      <w:r w:rsidR="00100142" w:rsidRPr="00100142">
        <w:rPr>
          <w:rFonts w:cs="Arial"/>
        </w:rPr>
        <w:t>spot price exceeded the AER reporting threshold</w:t>
      </w:r>
      <w:r w:rsidR="00086CF3" w:rsidRPr="003061FA">
        <w:rPr>
          <w:rFonts w:cs="Arial"/>
        </w:rPr>
        <w:t>. These are discussed later in this report.</w:t>
      </w:r>
    </w:p>
    <w:p w:rsidR="00275002" w:rsidRDefault="00275002" w:rsidP="000E2946">
      <w:pPr>
        <w:pStyle w:val="Caption"/>
      </w:pPr>
      <w:bookmarkStart w:id="6" w:name="_Ref410382491"/>
      <w:bookmarkStart w:id="7" w:name="OLE_LINK28"/>
      <w:bookmarkStart w:id="8" w:name="OLE_LINK29"/>
      <w:r w:rsidRPr="000E2946">
        <w:t xml:space="preserve">Figure </w:t>
      </w:r>
      <w:r w:rsidR="00030794">
        <w:fldChar w:fldCharType="begin"/>
      </w:r>
      <w:r w:rsidR="00030794">
        <w:instrText xml:space="preserve"> SEQ Figure \* ARABIC </w:instrText>
      </w:r>
      <w:r w:rsidR="00030794">
        <w:fldChar w:fldCharType="separate"/>
      </w:r>
      <w:r w:rsidR="00030794">
        <w:rPr>
          <w:noProof/>
        </w:rPr>
        <w:t>1</w:t>
      </w:r>
      <w:r w:rsidR="00030794">
        <w:rPr>
          <w:noProof/>
        </w:rPr>
        <w:fldChar w:fldCharType="end"/>
      </w:r>
      <w:bookmarkEnd w:id="6"/>
      <w:r w:rsidRPr="000E2946">
        <w:t>: Spot price by region ($/</w:t>
      </w:r>
      <w:proofErr w:type="spellStart"/>
      <w:r w:rsidRPr="000E2946">
        <w:t>MWh</w:t>
      </w:r>
      <w:proofErr w:type="spellEnd"/>
      <w:r w:rsidRPr="000E2946">
        <w:t>)</w:t>
      </w:r>
    </w:p>
    <w:p w:rsidR="00275002" w:rsidRPr="0031019A" w:rsidRDefault="005C3D54" w:rsidP="00275002">
      <w:r w:rsidRPr="005C3D54">
        <w:rPr>
          <w:noProof/>
          <w:lang w:eastAsia="en-AU"/>
        </w:rPr>
        <w:drawing>
          <wp:inline distT="0" distB="0" distL="0" distR="0" wp14:anchorId="1A89881E" wp14:editId="2937B606">
            <wp:extent cx="5731510" cy="3044435"/>
            <wp:effectExtent l="0" t="0" r="2540" b="3810"/>
            <wp:docPr id="6" name="Picture 6"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044435"/>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030794">
        <w:t xml:space="preserve">Figure </w:t>
      </w:r>
      <w:r w:rsidR="00030794">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030794">
        <w:t xml:space="preserve">Table </w:t>
      </w:r>
      <w:r w:rsidR="00030794">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9" w:name="_Ref410382517"/>
      <w:r>
        <w:lastRenderedPageBreak/>
        <w:t xml:space="preserve">Figure </w:t>
      </w:r>
      <w:r w:rsidR="00030794">
        <w:fldChar w:fldCharType="begin"/>
      </w:r>
      <w:r w:rsidR="00030794">
        <w:instrText xml:space="preserve"> SEQ Figure \* ARABIC </w:instrText>
      </w:r>
      <w:r w:rsidR="00030794">
        <w:fldChar w:fldCharType="separate"/>
      </w:r>
      <w:r w:rsidR="00030794">
        <w:rPr>
          <w:noProof/>
        </w:rPr>
        <w:t>2</w:t>
      </w:r>
      <w:r w:rsidR="00030794">
        <w:rPr>
          <w:noProof/>
        </w:rPr>
        <w:fldChar w:fldCharType="end"/>
      </w:r>
      <w:bookmarkEnd w:id="9"/>
      <w:r>
        <w:t>:</w:t>
      </w:r>
      <w:r w:rsidRPr="00037176">
        <w:t xml:space="preserve"> Volume weighted average spot price by region ($/</w:t>
      </w:r>
      <w:proofErr w:type="spellStart"/>
      <w:r w:rsidRPr="00037176">
        <w:t>MWh</w:t>
      </w:r>
      <w:proofErr w:type="spellEnd"/>
      <w:r w:rsidRPr="00037176">
        <w:t>)</w:t>
      </w:r>
    </w:p>
    <w:p w:rsidR="00FF3373" w:rsidRPr="00FF3373" w:rsidRDefault="0003564D" w:rsidP="00FF3373">
      <w:r w:rsidRPr="0003564D">
        <w:rPr>
          <w:noProof/>
          <w:lang w:eastAsia="en-AU"/>
        </w:rPr>
        <w:drawing>
          <wp:inline distT="0" distB="0" distL="0" distR="0" wp14:anchorId="594ED6D3" wp14:editId="409443E7">
            <wp:extent cx="5731510" cy="2857945"/>
            <wp:effectExtent l="0" t="0" r="2540" b="0"/>
            <wp:docPr id="8" name="Picture 8" descr="Figure 2 shows the volume weighted average (VWA) prices for this week (with prices shown in Table 1) and the preceding 12 weeks, as well as the VWA price over the previous 3 financial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7945"/>
                    </a:xfrm>
                    <a:prstGeom prst="rect">
                      <a:avLst/>
                    </a:prstGeom>
                    <a:noFill/>
                    <a:ln>
                      <a:noFill/>
                    </a:ln>
                  </pic:spPr>
                </pic:pic>
              </a:graphicData>
            </a:graphic>
          </wp:inline>
        </w:drawing>
      </w:r>
    </w:p>
    <w:p w:rsidR="00275002" w:rsidRPr="0031019A" w:rsidRDefault="00275002" w:rsidP="00275002"/>
    <w:p w:rsidR="00275002" w:rsidRPr="0031019A" w:rsidRDefault="00275002" w:rsidP="000E2946">
      <w:pPr>
        <w:pStyle w:val="Caption"/>
      </w:pPr>
      <w:bookmarkStart w:id="10" w:name="_Ref410382587"/>
      <w:r>
        <w:t xml:space="preserve">Table </w:t>
      </w:r>
      <w:r w:rsidR="00030794">
        <w:fldChar w:fldCharType="begin"/>
      </w:r>
      <w:r w:rsidR="00030794">
        <w:instrText xml:space="preserve"> SEQ Table \* ARABIC </w:instrText>
      </w:r>
      <w:r w:rsidR="00030794">
        <w:fldChar w:fldCharType="separate"/>
      </w:r>
      <w:r w:rsidR="00030794">
        <w:rPr>
          <w:noProof/>
        </w:rPr>
        <w:t>1</w:t>
      </w:r>
      <w:r w:rsidR="00030794">
        <w:rPr>
          <w:noProof/>
        </w:rPr>
        <w:fldChar w:fldCharType="end"/>
      </w:r>
      <w:bookmarkEnd w:id="10"/>
      <w:r w:rsidRPr="00731409">
        <w:t>: Volume weighted average spot prices by region ($/</w:t>
      </w:r>
      <w:proofErr w:type="spellStart"/>
      <w:r w:rsidRPr="00731409">
        <w:t>MWh</w:t>
      </w:r>
      <w:proofErr w:type="spellEnd"/>
      <w:r w:rsidRPr="00731409">
        <w:t>)</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627B2D">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03564D" w:rsidRPr="009B21F2" w:rsidTr="00627B2D">
        <w:trPr>
          <w:trHeight w:hRule="exact" w:val="340"/>
        </w:trPr>
        <w:tc>
          <w:tcPr>
            <w:tcW w:w="1357" w:type="pct"/>
            <w:noWrap/>
            <w:vAlign w:val="center"/>
            <w:hideMark/>
          </w:tcPr>
          <w:p w:rsidR="0003564D" w:rsidRPr="009B21F2" w:rsidRDefault="0003564D" w:rsidP="009B21F2">
            <w:pPr>
              <w:spacing w:before="0" w:after="0"/>
              <w:rPr>
                <w:rFonts w:cs="Arial"/>
                <w:sz w:val="20"/>
                <w:szCs w:val="20"/>
              </w:rPr>
            </w:pPr>
            <w:r w:rsidRPr="009B21F2">
              <w:rPr>
                <w:rFonts w:cs="Arial"/>
                <w:sz w:val="20"/>
                <w:szCs w:val="20"/>
              </w:rPr>
              <w:t>Current week</w:t>
            </w:r>
          </w:p>
        </w:tc>
        <w:tc>
          <w:tcPr>
            <w:tcW w:w="728" w:type="pct"/>
            <w:noWrap/>
            <w:vAlign w:val="center"/>
          </w:tcPr>
          <w:p w:rsidR="0003564D" w:rsidRDefault="0003564D">
            <w:pPr>
              <w:spacing w:before="0" w:after="0" w:line="240" w:lineRule="auto"/>
              <w:jc w:val="center"/>
              <w:rPr>
                <w:rFonts w:cs="Arial"/>
                <w:sz w:val="20"/>
                <w:szCs w:val="20"/>
              </w:rPr>
            </w:pPr>
            <w:r w:rsidRPr="009C6D07">
              <w:t>30</w:t>
            </w:r>
          </w:p>
        </w:tc>
        <w:tc>
          <w:tcPr>
            <w:tcW w:w="729" w:type="pct"/>
            <w:noWrap/>
            <w:vAlign w:val="center"/>
          </w:tcPr>
          <w:p w:rsidR="0003564D" w:rsidRDefault="0003564D">
            <w:pPr>
              <w:spacing w:before="0" w:after="0" w:line="240" w:lineRule="auto"/>
              <w:jc w:val="center"/>
              <w:rPr>
                <w:rFonts w:cs="Arial"/>
                <w:sz w:val="20"/>
                <w:szCs w:val="20"/>
              </w:rPr>
            </w:pPr>
            <w:r w:rsidRPr="009C6D07">
              <w:t>36</w:t>
            </w:r>
          </w:p>
        </w:tc>
        <w:tc>
          <w:tcPr>
            <w:tcW w:w="728" w:type="pct"/>
            <w:noWrap/>
            <w:vAlign w:val="center"/>
          </w:tcPr>
          <w:p w:rsidR="0003564D" w:rsidRDefault="0003564D">
            <w:pPr>
              <w:spacing w:before="0" w:after="0" w:line="240" w:lineRule="auto"/>
              <w:jc w:val="center"/>
              <w:rPr>
                <w:rFonts w:cs="Arial"/>
                <w:sz w:val="20"/>
                <w:szCs w:val="20"/>
              </w:rPr>
            </w:pPr>
            <w:r w:rsidRPr="009C6D07">
              <w:t>37</w:t>
            </w:r>
          </w:p>
        </w:tc>
        <w:tc>
          <w:tcPr>
            <w:tcW w:w="729" w:type="pct"/>
            <w:noWrap/>
            <w:vAlign w:val="center"/>
          </w:tcPr>
          <w:p w:rsidR="0003564D" w:rsidRDefault="0003564D">
            <w:pPr>
              <w:spacing w:before="0" w:after="0" w:line="240" w:lineRule="auto"/>
              <w:jc w:val="center"/>
              <w:rPr>
                <w:rFonts w:cs="Arial"/>
                <w:sz w:val="20"/>
                <w:szCs w:val="20"/>
              </w:rPr>
            </w:pPr>
            <w:r w:rsidRPr="009C6D07">
              <w:t>61</w:t>
            </w:r>
          </w:p>
        </w:tc>
        <w:tc>
          <w:tcPr>
            <w:tcW w:w="729" w:type="pct"/>
            <w:noWrap/>
            <w:vAlign w:val="center"/>
          </w:tcPr>
          <w:p w:rsidR="0003564D" w:rsidRDefault="0003564D">
            <w:pPr>
              <w:spacing w:before="0" w:after="0" w:line="240" w:lineRule="auto"/>
              <w:jc w:val="center"/>
              <w:rPr>
                <w:rFonts w:cs="Arial"/>
                <w:sz w:val="20"/>
                <w:szCs w:val="20"/>
              </w:rPr>
            </w:pPr>
            <w:r w:rsidRPr="009C6D07">
              <w:t>34</w:t>
            </w:r>
          </w:p>
        </w:tc>
      </w:tr>
      <w:tr w:rsidR="0003564D" w:rsidRPr="009B21F2" w:rsidTr="00627B2D">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03564D" w:rsidRPr="009B21F2" w:rsidRDefault="0003564D" w:rsidP="009B21F2">
            <w:pPr>
              <w:spacing w:before="0" w:after="0"/>
              <w:rPr>
                <w:rFonts w:cs="Arial"/>
                <w:szCs w:val="20"/>
              </w:rPr>
            </w:pPr>
            <w:r w:rsidRPr="009B21F2">
              <w:rPr>
                <w:rFonts w:cs="Arial"/>
                <w:szCs w:val="20"/>
              </w:rPr>
              <w:t>13-14 financial YTD</w:t>
            </w:r>
          </w:p>
        </w:tc>
        <w:tc>
          <w:tcPr>
            <w:tcW w:w="728" w:type="pct"/>
            <w:noWrap/>
            <w:vAlign w:val="center"/>
          </w:tcPr>
          <w:p w:rsidR="0003564D" w:rsidRDefault="0003564D">
            <w:pPr>
              <w:spacing w:before="0" w:after="0" w:line="240" w:lineRule="auto"/>
              <w:jc w:val="center"/>
              <w:rPr>
                <w:rFonts w:cs="Arial"/>
                <w:szCs w:val="20"/>
              </w:rPr>
            </w:pPr>
            <w:r w:rsidRPr="009C6D07">
              <w:t>61</w:t>
            </w:r>
          </w:p>
        </w:tc>
        <w:tc>
          <w:tcPr>
            <w:tcW w:w="729" w:type="pct"/>
            <w:noWrap/>
            <w:vAlign w:val="center"/>
          </w:tcPr>
          <w:p w:rsidR="0003564D" w:rsidRDefault="0003564D">
            <w:pPr>
              <w:spacing w:before="0" w:after="0" w:line="240" w:lineRule="auto"/>
              <w:jc w:val="center"/>
              <w:rPr>
                <w:rFonts w:cs="Arial"/>
                <w:szCs w:val="20"/>
              </w:rPr>
            </w:pPr>
            <w:r w:rsidRPr="009C6D07">
              <w:t>53</w:t>
            </w:r>
          </w:p>
        </w:tc>
        <w:tc>
          <w:tcPr>
            <w:tcW w:w="728" w:type="pct"/>
            <w:noWrap/>
            <w:vAlign w:val="center"/>
          </w:tcPr>
          <w:p w:rsidR="0003564D" w:rsidRDefault="0003564D">
            <w:pPr>
              <w:spacing w:before="0" w:after="0" w:line="240" w:lineRule="auto"/>
              <w:jc w:val="center"/>
              <w:rPr>
                <w:rFonts w:cs="Arial"/>
                <w:szCs w:val="20"/>
              </w:rPr>
            </w:pPr>
            <w:r w:rsidRPr="009C6D07">
              <w:t>55</w:t>
            </w:r>
          </w:p>
        </w:tc>
        <w:tc>
          <w:tcPr>
            <w:tcW w:w="729" w:type="pct"/>
            <w:noWrap/>
            <w:vAlign w:val="center"/>
          </w:tcPr>
          <w:p w:rsidR="0003564D" w:rsidRDefault="0003564D">
            <w:pPr>
              <w:spacing w:before="0" w:after="0" w:line="240" w:lineRule="auto"/>
              <w:jc w:val="center"/>
              <w:rPr>
                <w:rFonts w:cs="Arial"/>
                <w:szCs w:val="20"/>
              </w:rPr>
            </w:pPr>
            <w:r w:rsidRPr="009C6D07">
              <w:t>69</w:t>
            </w:r>
          </w:p>
        </w:tc>
        <w:tc>
          <w:tcPr>
            <w:tcW w:w="729" w:type="pct"/>
            <w:noWrap/>
            <w:vAlign w:val="center"/>
          </w:tcPr>
          <w:p w:rsidR="0003564D" w:rsidRDefault="0003564D">
            <w:pPr>
              <w:spacing w:before="0" w:after="0" w:line="240" w:lineRule="auto"/>
              <w:jc w:val="center"/>
              <w:rPr>
                <w:rFonts w:cs="Arial"/>
                <w:szCs w:val="20"/>
              </w:rPr>
            </w:pPr>
            <w:r w:rsidRPr="009C6D07">
              <w:t>42</w:t>
            </w:r>
          </w:p>
        </w:tc>
      </w:tr>
      <w:tr w:rsidR="0003564D" w:rsidRPr="009B21F2" w:rsidTr="00627B2D">
        <w:trPr>
          <w:trHeight w:hRule="exact" w:val="340"/>
        </w:trPr>
        <w:tc>
          <w:tcPr>
            <w:tcW w:w="1357" w:type="pct"/>
            <w:noWrap/>
            <w:vAlign w:val="center"/>
            <w:hideMark/>
          </w:tcPr>
          <w:p w:rsidR="0003564D" w:rsidRPr="009B21F2" w:rsidRDefault="0003564D" w:rsidP="009B21F2">
            <w:pPr>
              <w:spacing w:before="0" w:after="0"/>
              <w:rPr>
                <w:rFonts w:cs="Arial"/>
                <w:sz w:val="20"/>
                <w:szCs w:val="20"/>
              </w:rPr>
            </w:pPr>
            <w:r w:rsidRPr="009B21F2">
              <w:rPr>
                <w:rFonts w:cs="Arial"/>
                <w:sz w:val="20"/>
                <w:szCs w:val="20"/>
              </w:rPr>
              <w:t>14-15 financial YTD</w:t>
            </w:r>
          </w:p>
        </w:tc>
        <w:tc>
          <w:tcPr>
            <w:tcW w:w="728" w:type="pct"/>
            <w:noWrap/>
            <w:vAlign w:val="center"/>
          </w:tcPr>
          <w:p w:rsidR="0003564D" w:rsidRDefault="0003564D">
            <w:pPr>
              <w:spacing w:before="0" w:after="0" w:line="240" w:lineRule="auto"/>
              <w:jc w:val="center"/>
              <w:rPr>
                <w:rFonts w:cs="Arial"/>
                <w:sz w:val="20"/>
                <w:szCs w:val="20"/>
              </w:rPr>
            </w:pPr>
            <w:r w:rsidRPr="009C6D07">
              <w:t>62</w:t>
            </w:r>
          </w:p>
        </w:tc>
        <w:tc>
          <w:tcPr>
            <w:tcW w:w="729" w:type="pct"/>
            <w:noWrap/>
            <w:vAlign w:val="center"/>
          </w:tcPr>
          <w:p w:rsidR="0003564D" w:rsidRDefault="0003564D">
            <w:pPr>
              <w:spacing w:before="0" w:after="0" w:line="240" w:lineRule="auto"/>
              <w:jc w:val="center"/>
              <w:rPr>
                <w:rFonts w:cs="Arial"/>
                <w:sz w:val="20"/>
                <w:szCs w:val="20"/>
              </w:rPr>
            </w:pPr>
            <w:r w:rsidRPr="009C6D07">
              <w:t>36</w:t>
            </w:r>
          </w:p>
        </w:tc>
        <w:tc>
          <w:tcPr>
            <w:tcW w:w="728" w:type="pct"/>
            <w:noWrap/>
            <w:vAlign w:val="center"/>
          </w:tcPr>
          <w:p w:rsidR="0003564D" w:rsidRDefault="0003564D">
            <w:pPr>
              <w:spacing w:before="0" w:after="0" w:line="240" w:lineRule="auto"/>
              <w:jc w:val="center"/>
              <w:rPr>
                <w:rFonts w:cs="Arial"/>
                <w:sz w:val="20"/>
                <w:szCs w:val="20"/>
              </w:rPr>
            </w:pPr>
            <w:r w:rsidRPr="009C6D07">
              <w:t>32</w:t>
            </w:r>
          </w:p>
        </w:tc>
        <w:tc>
          <w:tcPr>
            <w:tcW w:w="729" w:type="pct"/>
            <w:noWrap/>
            <w:vAlign w:val="center"/>
          </w:tcPr>
          <w:p w:rsidR="0003564D" w:rsidRDefault="0003564D">
            <w:pPr>
              <w:spacing w:before="0" w:after="0" w:line="240" w:lineRule="auto"/>
              <w:jc w:val="center"/>
              <w:rPr>
                <w:rFonts w:cs="Arial"/>
                <w:sz w:val="20"/>
                <w:szCs w:val="20"/>
              </w:rPr>
            </w:pPr>
            <w:r w:rsidRPr="009C6D07">
              <w:t>42</w:t>
            </w:r>
          </w:p>
        </w:tc>
        <w:tc>
          <w:tcPr>
            <w:tcW w:w="729" w:type="pct"/>
            <w:noWrap/>
            <w:vAlign w:val="center"/>
          </w:tcPr>
          <w:p w:rsidR="0003564D" w:rsidRDefault="0003564D">
            <w:pPr>
              <w:spacing w:before="0" w:after="0" w:line="240" w:lineRule="auto"/>
              <w:jc w:val="center"/>
              <w:rPr>
                <w:rFonts w:cs="Arial"/>
                <w:sz w:val="20"/>
                <w:szCs w:val="20"/>
              </w:rPr>
            </w:pPr>
            <w:r w:rsidRPr="009C6D07">
              <w:t>37</w:t>
            </w:r>
          </w:p>
        </w:tc>
      </w:tr>
    </w:tbl>
    <w:p w:rsidR="00275002" w:rsidRPr="00086CF3" w:rsidRDefault="00275002" w:rsidP="009B21F2">
      <w:pPr>
        <w:spacing w:before="120" w:after="120"/>
        <w:jc w:val="center"/>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7"/>
    <w:bookmarkEnd w:id="8"/>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6A6EDD" w:rsidP="00857917">
      <w:pPr>
        <w:jc w:val="both"/>
      </w:pPr>
      <w:r>
        <w:t xml:space="preserve">There were </w:t>
      </w:r>
      <w:r w:rsidR="0003564D">
        <w:t xml:space="preserve">51 </w:t>
      </w:r>
      <w:r w:rsidR="00857917">
        <w:t>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030794">
        <w:t xml:space="preserve">Table </w:t>
      </w:r>
      <w:r w:rsidR="00030794">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w:t>
      </w:r>
      <w:r w:rsidR="00275002" w:rsidRPr="0031019A">
        <w:lastRenderedPageBreak/>
        <w:t xml:space="preserve">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r w:rsidR="00030794">
        <w:fldChar w:fldCharType="begin"/>
      </w:r>
      <w:r w:rsidR="00030794">
        <w:instrText xml:space="preserve"> SEQ Table \* ARABIC </w:instrText>
      </w:r>
      <w:r w:rsidR="00030794">
        <w:fldChar w:fldCharType="separate"/>
      </w:r>
      <w:r w:rsidR="00030794">
        <w:rPr>
          <w:noProof/>
        </w:rPr>
        <w:t>2</w:t>
      </w:r>
      <w:r w:rsidR="00030794">
        <w:rPr>
          <w:noProof/>
        </w:rPr>
        <w:fldChar w:fldCharType="end"/>
      </w:r>
      <w:bookmarkEnd w:id="11"/>
      <w:r w:rsidRPr="00BC7912">
        <w:t>: Reasons for variations between forecast and actual prices</w:t>
      </w:r>
      <w:bookmarkEnd w:id="12"/>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B92CD5" w:rsidRPr="00B92CD5"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B92CD5">
            <w:pPr>
              <w:jc w:val="center"/>
            </w:pPr>
          </w:p>
        </w:tc>
        <w:tc>
          <w:tcPr>
            <w:tcW w:w="1571" w:type="dxa"/>
            <w:noWrap/>
            <w:hideMark/>
          </w:tcPr>
          <w:p w:rsidR="00B92CD5" w:rsidRPr="00B92CD5" w:rsidRDefault="00B92CD5" w:rsidP="000766E2">
            <w:pPr>
              <w:rPr>
                <w:sz w:val="20"/>
              </w:rPr>
            </w:pPr>
            <w:r w:rsidRPr="00B92CD5">
              <w:rPr>
                <w:sz w:val="20"/>
              </w:rPr>
              <w:t>Availability</w:t>
            </w:r>
          </w:p>
        </w:tc>
        <w:tc>
          <w:tcPr>
            <w:tcW w:w="1572" w:type="dxa"/>
            <w:noWrap/>
            <w:hideMark/>
          </w:tcPr>
          <w:p w:rsidR="00B92CD5" w:rsidRPr="00B92CD5" w:rsidRDefault="00B92CD5" w:rsidP="000766E2">
            <w:pPr>
              <w:rPr>
                <w:sz w:val="20"/>
              </w:rPr>
            </w:pPr>
            <w:r w:rsidRPr="00B92CD5">
              <w:rPr>
                <w:sz w:val="20"/>
              </w:rPr>
              <w:t>Demand</w:t>
            </w:r>
          </w:p>
        </w:tc>
        <w:tc>
          <w:tcPr>
            <w:tcW w:w="1572" w:type="dxa"/>
            <w:noWrap/>
            <w:hideMark/>
          </w:tcPr>
          <w:p w:rsidR="00B92CD5" w:rsidRPr="00B92CD5" w:rsidRDefault="00B92CD5" w:rsidP="000766E2">
            <w:pPr>
              <w:rPr>
                <w:sz w:val="20"/>
              </w:rPr>
            </w:pPr>
            <w:r w:rsidRPr="00B92CD5">
              <w:rPr>
                <w:sz w:val="20"/>
              </w:rPr>
              <w:t>Network</w:t>
            </w:r>
          </w:p>
        </w:tc>
        <w:tc>
          <w:tcPr>
            <w:tcW w:w="1572" w:type="dxa"/>
            <w:hideMark/>
          </w:tcPr>
          <w:p w:rsidR="00B92CD5" w:rsidRPr="00B92CD5" w:rsidRDefault="00B92CD5" w:rsidP="000766E2">
            <w:pPr>
              <w:rPr>
                <w:sz w:val="20"/>
              </w:rPr>
            </w:pPr>
            <w:r w:rsidRPr="00B92CD5">
              <w:rPr>
                <w:sz w:val="20"/>
              </w:rPr>
              <w:t>Combination</w:t>
            </w:r>
          </w:p>
        </w:tc>
      </w:tr>
      <w:tr w:rsidR="0003564D" w:rsidRPr="00F52F00" w:rsidTr="00F113FD">
        <w:trPr>
          <w:trHeight w:hRule="exact" w:val="369"/>
        </w:trPr>
        <w:tc>
          <w:tcPr>
            <w:tcW w:w="2835" w:type="dxa"/>
            <w:noWrap/>
            <w:vAlign w:val="center"/>
            <w:hideMark/>
          </w:tcPr>
          <w:p w:rsidR="0003564D" w:rsidRPr="009B21F2" w:rsidRDefault="0003564D" w:rsidP="009B21F2">
            <w:pPr>
              <w:spacing w:before="0" w:after="0"/>
              <w:rPr>
                <w:sz w:val="20"/>
                <w:szCs w:val="20"/>
              </w:rPr>
            </w:pPr>
            <w:r w:rsidRPr="009B21F2">
              <w:rPr>
                <w:sz w:val="20"/>
                <w:szCs w:val="20"/>
              </w:rPr>
              <w:t>% of total above forecast</w:t>
            </w:r>
          </w:p>
        </w:tc>
        <w:tc>
          <w:tcPr>
            <w:tcW w:w="1571" w:type="dxa"/>
            <w:noWrap/>
            <w:vAlign w:val="center"/>
          </w:tcPr>
          <w:p w:rsidR="0003564D" w:rsidRDefault="0003564D">
            <w:pPr>
              <w:spacing w:before="0" w:after="0" w:line="240" w:lineRule="auto"/>
              <w:jc w:val="center"/>
              <w:rPr>
                <w:rFonts w:cs="Arial"/>
                <w:sz w:val="20"/>
                <w:szCs w:val="20"/>
              </w:rPr>
            </w:pPr>
            <w:r w:rsidRPr="0023502B">
              <w:t>3</w:t>
            </w:r>
          </w:p>
        </w:tc>
        <w:tc>
          <w:tcPr>
            <w:tcW w:w="1572" w:type="dxa"/>
            <w:noWrap/>
            <w:vAlign w:val="center"/>
          </w:tcPr>
          <w:p w:rsidR="0003564D" w:rsidRDefault="0003564D">
            <w:pPr>
              <w:spacing w:before="0" w:after="0" w:line="240" w:lineRule="auto"/>
              <w:jc w:val="center"/>
              <w:rPr>
                <w:rFonts w:cs="Arial"/>
                <w:sz w:val="20"/>
                <w:szCs w:val="20"/>
              </w:rPr>
            </w:pPr>
            <w:r w:rsidRPr="0023502B">
              <w:t>40</w:t>
            </w:r>
          </w:p>
        </w:tc>
        <w:tc>
          <w:tcPr>
            <w:tcW w:w="1572" w:type="dxa"/>
            <w:noWrap/>
            <w:vAlign w:val="center"/>
          </w:tcPr>
          <w:p w:rsidR="0003564D" w:rsidRDefault="0003564D">
            <w:pPr>
              <w:spacing w:before="0" w:after="0" w:line="240" w:lineRule="auto"/>
              <w:jc w:val="center"/>
              <w:rPr>
                <w:rFonts w:cs="Arial"/>
                <w:sz w:val="20"/>
                <w:szCs w:val="20"/>
              </w:rPr>
            </w:pPr>
            <w:r w:rsidRPr="0023502B">
              <w:t>0</w:t>
            </w:r>
          </w:p>
        </w:tc>
        <w:tc>
          <w:tcPr>
            <w:tcW w:w="1572" w:type="dxa"/>
            <w:vAlign w:val="center"/>
          </w:tcPr>
          <w:p w:rsidR="0003564D" w:rsidRDefault="0003564D">
            <w:pPr>
              <w:spacing w:before="0" w:after="0" w:line="240" w:lineRule="auto"/>
              <w:jc w:val="center"/>
              <w:rPr>
                <w:rFonts w:cs="Arial"/>
                <w:sz w:val="20"/>
                <w:szCs w:val="20"/>
              </w:rPr>
            </w:pPr>
            <w:r w:rsidRPr="0023502B">
              <w:t>0</w:t>
            </w:r>
          </w:p>
        </w:tc>
      </w:tr>
      <w:tr w:rsidR="0003564D" w:rsidRPr="00F52F00" w:rsidTr="00F113FD">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03564D" w:rsidRPr="009B21F2" w:rsidRDefault="0003564D" w:rsidP="009B21F2">
            <w:pPr>
              <w:spacing w:before="0" w:after="0"/>
              <w:rPr>
                <w:szCs w:val="20"/>
              </w:rPr>
            </w:pPr>
            <w:r w:rsidRPr="009B21F2">
              <w:rPr>
                <w:szCs w:val="20"/>
              </w:rPr>
              <w:t>% of total below forecast</w:t>
            </w:r>
          </w:p>
        </w:tc>
        <w:tc>
          <w:tcPr>
            <w:tcW w:w="1571" w:type="dxa"/>
            <w:noWrap/>
            <w:vAlign w:val="center"/>
          </w:tcPr>
          <w:p w:rsidR="0003564D" w:rsidRDefault="0003564D">
            <w:pPr>
              <w:spacing w:before="0" w:after="0" w:line="240" w:lineRule="auto"/>
              <w:jc w:val="center"/>
              <w:rPr>
                <w:rFonts w:cs="Arial"/>
                <w:szCs w:val="20"/>
              </w:rPr>
            </w:pPr>
            <w:r w:rsidRPr="0023502B">
              <w:t>54</w:t>
            </w:r>
          </w:p>
        </w:tc>
        <w:tc>
          <w:tcPr>
            <w:tcW w:w="1572" w:type="dxa"/>
            <w:noWrap/>
            <w:vAlign w:val="center"/>
          </w:tcPr>
          <w:p w:rsidR="0003564D" w:rsidRDefault="0003564D">
            <w:pPr>
              <w:spacing w:before="0" w:after="0" w:line="240" w:lineRule="auto"/>
              <w:jc w:val="center"/>
              <w:rPr>
                <w:rFonts w:cs="Arial"/>
                <w:szCs w:val="20"/>
              </w:rPr>
            </w:pPr>
            <w:r w:rsidRPr="0023502B">
              <w:t>2</w:t>
            </w:r>
          </w:p>
        </w:tc>
        <w:tc>
          <w:tcPr>
            <w:tcW w:w="1572" w:type="dxa"/>
            <w:noWrap/>
            <w:vAlign w:val="center"/>
          </w:tcPr>
          <w:p w:rsidR="0003564D" w:rsidRDefault="0003564D">
            <w:pPr>
              <w:spacing w:before="0" w:after="0" w:line="240" w:lineRule="auto"/>
              <w:jc w:val="center"/>
              <w:rPr>
                <w:rFonts w:cs="Arial"/>
                <w:szCs w:val="20"/>
              </w:rPr>
            </w:pPr>
            <w:r w:rsidRPr="0023502B">
              <w:t>0</w:t>
            </w:r>
          </w:p>
        </w:tc>
        <w:tc>
          <w:tcPr>
            <w:tcW w:w="1572" w:type="dxa"/>
            <w:vAlign w:val="center"/>
          </w:tcPr>
          <w:p w:rsidR="0003564D" w:rsidRDefault="0003564D">
            <w:pPr>
              <w:spacing w:before="0" w:after="0" w:line="240" w:lineRule="auto"/>
              <w:jc w:val="center"/>
              <w:rPr>
                <w:rFonts w:cs="Arial"/>
                <w:szCs w:val="20"/>
              </w:rPr>
            </w:pPr>
            <w:r w:rsidRPr="0023502B">
              <w:t>0</w:t>
            </w:r>
          </w:p>
        </w:tc>
      </w:tr>
    </w:tbl>
    <w:p w:rsidR="00275002" w:rsidRPr="0031019A" w:rsidRDefault="00275002" w:rsidP="00275002">
      <w:r w:rsidRPr="0031019A">
        <w:t>Note: Due to rounding, the total may not be 100 per cent.</w:t>
      </w:r>
    </w:p>
    <w:p w:rsidR="00275002" w:rsidRPr="0031019A" w:rsidRDefault="00275002" w:rsidP="00914A87">
      <w:pPr>
        <w:pStyle w:val="AERHeading1"/>
      </w:pPr>
      <w:r w:rsidRPr="0031019A">
        <w:t>Generation and bidding patterns</w:t>
      </w:r>
    </w:p>
    <w:p w:rsidR="003A0810"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030794">
        <w:t xml:space="preserve">Figure </w:t>
      </w:r>
      <w:r w:rsidR="00030794">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030794">
        <w:t xml:space="preserve">Figure </w:t>
      </w:r>
      <w:r w:rsidR="00030794">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r w:rsidR="00030794">
        <w:fldChar w:fldCharType="begin"/>
      </w:r>
      <w:r w:rsidR="00030794">
        <w:instrText xml:space="preserve"> SEQ Figure \* ARABIC </w:instrText>
      </w:r>
      <w:r w:rsidR="00030794">
        <w:fldChar w:fldCharType="separate"/>
      </w:r>
      <w:r w:rsidR="00030794">
        <w:rPr>
          <w:noProof/>
        </w:rPr>
        <w:t>3</w:t>
      </w:r>
      <w:r w:rsidR="00030794">
        <w:rPr>
          <w:noProof/>
        </w:rPr>
        <w:fldChar w:fldCharType="end"/>
      </w:r>
      <w:bookmarkEnd w:id="13"/>
      <w:r>
        <w:t xml:space="preserve">: Queensland </w:t>
      </w:r>
      <w:r w:rsidRPr="00690328">
        <w:t>generation and bidding patterns</w:t>
      </w:r>
    </w:p>
    <w:p w:rsidR="00ED3C5B" w:rsidRPr="00ED3C5B" w:rsidRDefault="0003564D" w:rsidP="00ED3C5B">
      <w:r w:rsidRPr="0003564D">
        <w:rPr>
          <w:noProof/>
          <w:lang w:eastAsia="en-AU"/>
        </w:rPr>
        <w:drawing>
          <wp:inline distT="0" distB="0" distL="0" distR="0" wp14:anchorId="0C3D8C7E" wp14:editId="30436F14">
            <wp:extent cx="5731510" cy="4112063"/>
            <wp:effectExtent l="0" t="0" r="2540" b="3175"/>
            <wp:docPr id="11" name="Picture 11"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Pr="00EA4191" w:rsidRDefault="00275002" w:rsidP="00275002"/>
    <w:p w:rsidR="00275002" w:rsidRPr="0031019A" w:rsidRDefault="00275002" w:rsidP="00275002"/>
    <w:p w:rsidR="00275002" w:rsidRDefault="00275002" w:rsidP="000E2946">
      <w:pPr>
        <w:pStyle w:val="Caption"/>
      </w:pPr>
      <w:r>
        <w:lastRenderedPageBreak/>
        <w:t xml:space="preserve">Figure </w:t>
      </w:r>
      <w:r w:rsidR="00030794">
        <w:fldChar w:fldCharType="begin"/>
      </w:r>
      <w:r w:rsidR="00030794">
        <w:instrText xml:space="preserve"> SEQ Figure \* ARABIC </w:instrText>
      </w:r>
      <w:r w:rsidR="00030794">
        <w:fldChar w:fldCharType="separate"/>
      </w:r>
      <w:r w:rsidR="00030794">
        <w:rPr>
          <w:noProof/>
        </w:rPr>
        <w:t>4</w:t>
      </w:r>
      <w:r w:rsidR="00030794">
        <w:rPr>
          <w:noProof/>
        </w:rPr>
        <w:fldChar w:fldCharType="end"/>
      </w:r>
      <w:r>
        <w:t xml:space="preserve">: </w:t>
      </w:r>
      <w:r w:rsidRPr="00CC5077">
        <w:t>New South Wales generation and bidding patterns</w:t>
      </w:r>
    </w:p>
    <w:p w:rsidR="00275002" w:rsidRPr="0031019A" w:rsidRDefault="0003564D" w:rsidP="00275002">
      <w:r w:rsidRPr="0003564D">
        <w:rPr>
          <w:noProof/>
          <w:lang w:eastAsia="en-AU"/>
        </w:rPr>
        <w:drawing>
          <wp:inline distT="0" distB="0" distL="0" distR="0" wp14:anchorId="260919AD" wp14:editId="462AB94B">
            <wp:extent cx="5731510" cy="4122561"/>
            <wp:effectExtent l="0" t="0" r="2540" b="0"/>
            <wp:docPr id="17" name="Picture 17"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561"/>
                    </a:xfrm>
                    <a:prstGeom prst="rect">
                      <a:avLst/>
                    </a:prstGeom>
                    <a:noFill/>
                    <a:ln>
                      <a:noFill/>
                    </a:ln>
                  </pic:spPr>
                </pic:pic>
              </a:graphicData>
            </a:graphic>
          </wp:inline>
        </w:drawing>
      </w:r>
    </w:p>
    <w:p w:rsidR="00275002" w:rsidRDefault="00275002" w:rsidP="000E2946">
      <w:pPr>
        <w:pStyle w:val="Caption"/>
      </w:pPr>
      <w:r>
        <w:t xml:space="preserve">Figure </w:t>
      </w:r>
      <w:r w:rsidR="00030794">
        <w:fldChar w:fldCharType="begin"/>
      </w:r>
      <w:r w:rsidR="00030794">
        <w:instrText xml:space="preserve"> SEQ Figure \* ARABIC </w:instrText>
      </w:r>
      <w:r w:rsidR="00030794">
        <w:fldChar w:fldCharType="separate"/>
      </w:r>
      <w:r w:rsidR="00030794">
        <w:rPr>
          <w:noProof/>
        </w:rPr>
        <w:t>5</w:t>
      </w:r>
      <w:r w:rsidR="00030794">
        <w:rPr>
          <w:noProof/>
        </w:rPr>
        <w:fldChar w:fldCharType="end"/>
      </w:r>
      <w:r w:rsidRPr="0003635A">
        <w:t>: Victoria generation and bidding patterns</w:t>
      </w:r>
    </w:p>
    <w:p w:rsidR="00275002" w:rsidRPr="0031019A" w:rsidRDefault="0003564D" w:rsidP="00275002">
      <w:r w:rsidRPr="0003564D">
        <w:rPr>
          <w:noProof/>
          <w:lang w:eastAsia="en-AU"/>
        </w:rPr>
        <w:drawing>
          <wp:inline distT="0" distB="0" distL="0" distR="0" wp14:anchorId="70135BF8" wp14:editId="31BC1E40">
            <wp:extent cx="5731510" cy="4112063"/>
            <wp:effectExtent l="0" t="0" r="2540" b="3175"/>
            <wp:docPr id="20" name="Picture 20"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Default="00275002" w:rsidP="000E2946">
      <w:pPr>
        <w:pStyle w:val="Caption"/>
      </w:pPr>
      <w:bookmarkStart w:id="14" w:name="_Ref423965683"/>
      <w:r>
        <w:t xml:space="preserve">Figure </w:t>
      </w:r>
      <w:r w:rsidR="00030794">
        <w:fldChar w:fldCharType="begin"/>
      </w:r>
      <w:r w:rsidR="00030794">
        <w:instrText xml:space="preserve"> SEQ Figure \* ARABIC </w:instrText>
      </w:r>
      <w:r w:rsidR="00030794">
        <w:fldChar w:fldCharType="separate"/>
      </w:r>
      <w:r w:rsidR="00030794">
        <w:rPr>
          <w:noProof/>
        </w:rPr>
        <w:t>6</w:t>
      </w:r>
      <w:r w:rsidR="00030794">
        <w:rPr>
          <w:noProof/>
        </w:rPr>
        <w:fldChar w:fldCharType="end"/>
      </w:r>
      <w:bookmarkEnd w:id="14"/>
      <w:r>
        <w:t>:</w:t>
      </w:r>
      <w:r w:rsidRPr="00BD00EB">
        <w:t xml:space="preserve"> South Australia generation and bidding patterns</w:t>
      </w:r>
    </w:p>
    <w:p w:rsidR="00275002" w:rsidRDefault="00627B2D" w:rsidP="00275002">
      <w:r>
        <w:rPr>
          <w:noProof/>
          <w:lang w:eastAsia="en-AU"/>
        </w:rPr>
        <mc:AlternateContent>
          <mc:Choice Requires="wps">
            <w:drawing>
              <wp:anchor distT="0" distB="0" distL="114300" distR="114300" simplePos="0" relativeHeight="251660288" behindDoc="0" locked="0" layoutInCell="1" allowOverlap="1" wp14:anchorId="6D78E27E" wp14:editId="5195E619">
                <wp:simplePos x="0" y="0"/>
                <wp:positionH relativeFrom="column">
                  <wp:posOffset>1628775</wp:posOffset>
                </wp:positionH>
                <wp:positionV relativeFrom="paragraph">
                  <wp:posOffset>1044575</wp:posOffset>
                </wp:positionV>
                <wp:extent cx="428625" cy="1133475"/>
                <wp:effectExtent l="19050" t="19050" r="28575" b="28575"/>
                <wp:wrapNone/>
                <wp:docPr id="1" name="Oval 1"/>
                <wp:cNvGraphicFramePr/>
                <a:graphic xmlns:a="http://schemas.openxmlformats.org/drawingml/2006/main">
                  <a:graphicData uri="http://schemas.microsoft.com/office/word/2010/wordprocessingShape">
                    <wps:wsp>
                      <wps:cNvSpPr/>
                      <wps:spPr>
                        <a:xfrm>
                          <a:off x="0" y="0"/>
                          <a:ext cx="428625" cy="1133475"/>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28.25pt;margin-top:82.25pt;width:33.75pt;height:8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" filled="f" strokecolor="red" strokeweight="2.5pt"/>
            </w:pict>
          </mc:Fallback>
        </mc:AlternateContent>
      </w:r>
      <w:r w:rsidR="0003564D" w:rsidRPr="0003564D">
        <w:rPr>
          <w:noProof/>
          <w:lang w:eastAsia="en-AU"/>
        </w:rPr>
        <w:drawing>
          <wp:inline distT="0" distB="0" distL="0" distR="0" wp14:anchorId="7EA91D54" wp14:editId="38D70DF6">
            <wp:extent cx="5731510" cy="4117084"/>
            <wp:effectExtent l="0" t="0" r="2540" b="0"/>
            <wp:docPr id="21" name="Picture 21"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7084"/>
                    </a:xfrm>
                    <a:prstGeom prst="rect">
                      <a:avLst/>
                    </a:prstGeom>
                    <a:noFill/>
                    <a:ln>
                      <a:noFill/>
                    </a:ln>
                  </pic:spPr>
                </pic:pic>
              </a:graphicData>
            </a:graphic>
          </wp:inline>
        </w:drawing>
      </w:r>
    </w:p>
    <w:p w:rsidR="00275002" w:rsidRDefault="00275002" w:rsidP="000E2946">
      <w:pPr>
        <w:pStyle w:val="Caption"/>
      </w:pPr>
      <w:bookmarkStart w:id="15" w:name="_Ref410383520"/>
      <w:r>
        <w:t xml:space="preserve">Figure </w:t>
      </w:r>
      <w:r w:rsidR="00030794">
        <w:fldChar w:fldCharType="begin"/>
      </w:r>
      <w:r w:rsidR="00030794">
        <w:instrText xml:space="preserve"> SEQ Figure \* ARABIC </w:instrText>
      </w:r>
      <w:r w:rsidR="00030794">
        <w:fldChar w:fldCharType="separate"/>
      </w:r>
      <w:r w:rsidR="00030794">
        <w:rPr>
          <w:noProof/>
        </w:rPr>
        <w:t>7</w:t>
      </w:r>
      <w:r w:rsidR="00030794">
        <w:rPr>
          <w:noProof/>
        </w:rPr>
        <w:fldChar w:fldCharType="end"/>
      </w:r>
      <w:bookmarkEnd w:id="15"/>
      <w:r>
        <w:t xml:space="preserve">: </w:t>
      </w:r>
      <w:r w:rsidRPr="008837C4">
        <w:t>Tasmania generation and bidding patterns</w:t>
      </w:r>
    </w:p>
    <w:p w:rsidR="00275002" w:rsidRDefault="0003564D" w:rsidP="00275002">
      <w:r w:rsidRPr="0003564D">
        <w:rPr>
          <w:noProof/>
          <w:lang w:eastAsia="en-AU"/>
        </w:rPr>
        <w:drawing>
          <wp:inline distT="0" distB="0" distL="0" distR="0" wp14:anchorId="2D3F662B" wp14:editId="743F4441">
            <wp:extent cx="5731510" cy="4112063"/>
            <wp:effectExtent l="0" t="0" r="2540" b="3175"/>
            <wp:docPr id="22" name="Picture 22"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627B2D" w:rsidRDefault="00627B2D" w:rsidP="00275002">
      <w:r>
        <w:t xml:space="preserve">The red ellipse on </w:t>
      </w:r>
      <w:r>
        <w:fldChar w:fldCharType="begin"/>
      </w:r>
      <w:r>
        <w:instrText xml:space="preserve"> REF _Ref423965683 \h </w:instrText>
      </w:r>
      <w:r>
        <w:fldChar w:fldCharType="separate"/>
      </w:r>
      <w:r w:rsidR="00030794">
        <w:t xml:space="preserve">Figure </w:t>
      </w:r>
      <w:r w:rsidR="00030794">
        <w:rPr>
          <w:noProof/>
        </w:rPr>
        <w:t>6</w:t>
      </w:r>
      <w:r>
        <w:fldChar w:fldCharType="end"/>
      </w:r>
      <w:r>
        <w:t xml:space="preserve"> highlights the period in South Australia where there was significant market activity that resulted in volatile prices away from forecast.</w:t>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AD592F">
      <w:pPr>
        <w:spacing w:before="120" w:after="120"/>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AD592F">
      <w:pPr>
        <w:pStyle w:val="AERbodytext"/>
        <w:spacing w:before="120" w:after="120"/>
        <w:rPr>
          <w:b/>
          <w:bCs/>
        </w:rPr>
      </w:pPr>
      <w:bookmarkStart w:id="16" w:name="_Ref410383413"/>
      <w:r w:rsidRPr="00857917">
        <w:t>The total cost of FCAS on the mainland for the</w:t>
      </w:r>
      <w:r w:rsidR="005F7247">
        <w:t xml:space="preserve"> week was $</w:t>
      </w:r>
      <w:r w:rsidR="008F6FC7">
        <w:t>2</w:t>
      </w:r>
      <w:r w:rsidR="0003564D">
        <w:t>78</w:t>
      </w:r>
      <w:r w:rsidR="0079277A">
        <w:t> </w:t>
      </w:r>
      <w:r w:rsidR="00F113FD">
        <w:t>5</w:t>
      </w:r>
      <w:r>
        <w:t xml:space="preserve">00 or less than </w:t>
      </w:r>
      <w:r w:rsidR="00613DEC">
        <w:t>1</w:t>
      </w:r>
      <w:r w:rsidRPr="00857917">
        <w:t xml:space="preserve"> per cent of energy turnover on the mainland.</w:t>
      </w:r>
    </w:p>
    <w:p w:rsidR="00411897" w:rsidRDefault="00857917" w:rsidP="00AD592F">
      <w:pPr>
        <w:pStyle w:val="AERbodytext"/>
        <w:rPr>
          <w:b/>
          <w:bCs/>
        </w:rPr>
      </w:pPr>
      <w:r w:rsidRPr="00857917">
        <w:t>The total cost of FCAS in Tasmania for the week was $</w:t>
      </w:r>
      <w:r w:rsidR="0003564D">
        <w:t>27</w:t>
      </w:r>
      <w:r w:rsidR="0079277A">
        <w:t> </w:t>
      </w:r>
      <w:r w:rsidR="00613DEC">
        <w:t xml:space="preserve">000 or </w:t>
      </w:r>
      <w:r w:rsidR="0003564D">
        <w:t xml:space="preserve">less than </w:t>
      </w:r>
      <w:r w:rsidR="00DF7793">
        <w:t>1</w:t>
      </w:r>
      <w:r w:rsidR="00CB695E">
        <w:t xml:space="preserve"> </w:t>
      </w:r>
      <w:r w:rsidRPr="00857917">
        <w:t>per cent of energy turnover in Tasmania.</w:t>
      </w:r>
    </w:p>
    <w:p w:rsidR="00F3590E" w:rsidRDefault="00F3590E" w:rsidP="00F3590E">
      <w:pPr>
        <w:jc w:val="both"/>
        <w:rPr>
          <w:rFonts w:cs="Arial"/>
        </w:rPr>
      </w:pPr>
      <w:r>
        <w:fldChar w:fldCharType="begin"/>
      </w:r>
      <w:r>
        <w:instrText xml:space="preserve"> REF _Ref418082853 \h </w:instrText>
      </w:r>
      <w:r>
        <w:fldChar w:fldCharType="separate"/>
      </w:r>
      <w:r w:rsidR="00030794">
        <w:t xml:space="preserve">Figure </w:t>
      </w:r>
      <w:r w:rsidR="00030794">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7" w:name="_Ref418082853"/>
      <w:r>
        <w:t xml:space="preserve">Figure </w:t>
      </w:r>
      <w:r w:rsidR="00030794">
        <w:fldChar w:fldCharType="begin"/>
      </w:r>
      <w:r w:rsidR="00030794">
        <w:instrText xml:space="preserve"> SEQ Figure \* ARABIC </w:instrText>
      </w:r>
      <w:r w:rsidR="00030794">
        <w:fldChar w:fldCharType="separate"/>
      </w:r>
      <w:r w:rsidR="00030794">
        <w:rPr>
          <w:noProof/>
        </w:rPr>
        <w:t>8</w:t>
      </w:r>
      <w:r w:rsidR="00030794">
        <w:rPr>
          <w:noProof/>
        </w:rPr>
        <w:fldChar w:fldCharType="end"/>
      </w:r>
      <w:bookmarkEnd w:id="16"/>
      <w:bookmarkEnd w:id="17"/>
      <w:r w:rsidRPr="007707C6">
        <w:t>: Daily frequency control ancillary service cost</w:t>
      </w:r>
    </w:p>
    <w:p w:rsidR="00275002" w:rsidRDefault="0003564D" w:rsidP="00275002">
      <w:r w:rsidRPr="0003564D">
        <w:rPr>
          <w:noProof/>
          <w:lang w:eastAsia="en-AU"/>
        </w:rPr>
        <w:drawing>
          <wp:inline distT="0" distB="0" distL="0" distR="0" wp14:anchorId="48247724" wp14:editId="39FB68E9">
            <wp:extent cx="5731510" cy="2889458"/>
            <wp:effectExtent l="0" t="0" r="2540" b="6350"/>
            <wp:docPr id="24" name="Picture 24"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9458"/>
                    </a:xfrm>
                    <a:prstGeom prst="rect">
                      <a:avLst/>
                    </a:prstGeom>
                    <a:noFill/>
                    <a:ln>
                      <a:noFill/>
                    </a:ln>
                  </pic:spPr>
                </pic:pic>
              </a:graphicData>
            </a:graphic>
          </wp:inline>
        </w:drawing>
      </w:r>
    </w:p>
    <w:bookmarkEnd w:id="0"/>
    <w:bookmarkEnd w:id="1"/>
    <w:bookmarkEnd w:id="2"/>
    <w:bookmarkEnd w:id="3"/>
    <w:bookmarkEnd w:id="4"/>
    <w:bookmarkEnd w:id="5"/>
    <w:p w:rsidR="005F7247" w:rsidRPr="00405CDE" w:rsidRDefault="005F7247" w:rsidP="00627B2D">
      <w:pPr>
        <w:pStyle w:val="AERHeading1"/>
        <w:keepNext/>
        <w:rPr>
          <w:rFonts w:cs="Arial"/>
        </w:rPr>
      </w:pPr>
      <w:r w:rsidRPr="00405CDE">
        <w:rPr>
          <w:rFonts w:cs="Arial"/>
        </w:rPr>
        <w:t>Detailed market analysis of significant price events</w:t>
      </w:r>
    </w:p>
    <w:p w:rsidR="005F7247" w:rsidRPr="00405CDE" w:rsidRDefault="005F7247" w:rsidP="005F7247">
      <w:pPr>
        <w:jc w:val="both"/>
        <w:rPr>
          <w:rFonts w:cs="Arial"/>
        </w:rPr>
      </w:pPr>
      <w:r w:rsidRPr="00405CDE">
        <w:rPr>
          <w:rFonts w:cs="Arial"/>
        </w:rPr>
        <w:t>We provide more detailed analysis of events where the spot price was greater than three times the weekly average price in a region and above $250/</w:t>
      </w:r>
      <w:proofErr w:type="spellStart"/>
      <w:r w:rsidRPr="00405CDE">
        <w:rPr>
          <w:rFonts w:cs="Arial"/>
        </w:rPr>
        <w:t>MWh</w:t>
      </w:r>
      <w:proofErr w:type="spellEnd"/>
      <w:r w:rsidRPr="00405CDE">
        <w:rPr>
          <w:rFonts w:cs="Arial"/>
        </w:rPr>
        <w:t xml:space="preserve"> or was below </w:t>
      </w:r>
      <w:r w:rsidRPr="00405CDE">
        <w:rPr>
          <w:rFonts w:cs="Arial"/>
        </w:rPr>
        <w:noBreakHyphen/>
        <w:t>$100/</w:t>
      </w:r>
      <w:proofErr w:type="spellStart"/>
      <w:r w:rsidRPr="00405CDE">
        <w:rPr>
          <w:rFonts w:cs="Arial"/>
        </w:rPr>
        <w:t>MWh</w:t>
      </w:r>
      <w:proofErr w:type="spellEnd"/>
      <w:r w:rsidRPr="00405CDE">
        <w:rPr>
          <w:rFonts w:cs="Arial"/>
        </w:rPr>
        <w:t xml:space="preserve">. </w:t>
      </w:r>
    </w:p>
    <w:p w:rsidR="005F7247" w:rsidRPr="00002B2F" w:rsidRDefault="005F7247" w:rsidP="005F7247">
      <w:pPr>
        <w:pStyle w:val="AERHeading3"/>
      </w:pPr>
      <w:r w:rsidRPr="00002B2F">
        <w:t xml:space="preserve">South Australia </w:t>
      </w:r>
    </w:p>
    <w:p w:rsidR="00700DAB" w:rsidRDefault="00700DAB" w:rsidP="00700DAB">
      <w:pPr>
        <w:pStyle w:val="AERbodytext"/>
      </w:pPr>
      <w:r>
        <w:t xml:space="preserve">There were </w:t>
      </w:r>
      <w:r w:rsidR="00543BEC">
        <w:t xml:space="preserve">two </w:t>
      </w:r>
      <w:r>
        <w:t>occasions where the spot price in South Australia was greater than three times the South Australia weekly average price of $</w:t>
      </w:r>
      <w:r w:rsidR="00543BEC">
        <w:t>61</w:t>
      </w:r>
      <w:r>
        <w:t>/</w:t>
      </w:r>
      <w:proofErr w:type="spellStart"/>
      <w:r>
        <w:t>MWh</w:t>
      </w:r>
      <w:proofErr w:type="spellEnd"/>
      <w:r>
        <w:t xml:space="preserve"> and above $250/</w:t>
      </w:r>
      <w:proofErr w:type="spellStart"/>
      <w:r>
        <w:t>MWh</w:t>
      </w:r>
      <w:proofErr w:type="spellEnd"/>
      <w:r>
        <w:t>.</w:t>
      </w:r>
    </w:p>
    <w:p w:rsidR="005D2FBD" w:rsidRDefault="00543BEC" w:rsidP="005D2FBD">
      <w:pPr>
        <w:pStyle w:val="AERHeading3"/>
      </w:pPr>
      <w:r>
        <w:t>Monday, 15</w:t>
      </w:r>
      <w:r w:rsidR="00C86919">
        <w:t xml:space="preserve"> June</w:t>
      </w:r>
      <w:r w:rsidR="005D2FBD">
        <w:t xml:space="preserve"> </w:t>
      </w:r>
    </w:p>
    <w:p w:rsidR="005D2FBD" w:rsidRPr="005D2FBD" w:rsidRDefault="005D2FBD" w:rsidP="005D2FBD">
      <w:pPr>
        <w:pStyle w:val="Caption"/>
      </w:pPr>
      <w:r>
        <w:t xml:space="preserve">Table </w:t>
      </w:r>
      <w:r w:rsidR="00030794">
        <w:fldChar w:fldCharType="begin"/>
      </w:r>
      <w:r w:rsidR="00030794">
        <w:instrText xml:space="preserve"> SEQ Table \* ARABIC </w:instrText>
      </w:r>
      <w:r w:rsidR="00030794">
        <w:fldChar w:fldCharType="separate"/>
      </w:r>
      <w:r w:rsidR="00030794">
        <w:rPr>
          <w:noProof/>
        </w:rPr>
        <w:t>3</w:t>
      </w:r>
      <w:r w:rsidR="00030794">
        <w:rPr>
          <w:noProof/>
        </w:rPr>
        <w:fldChar w:fldCharType="end"/>
      </w:r>
      <w:r w:rsidRPr="00431FC4">
        <w:t>: Price, Demand and Availability</w:t>
      </w:r>
    </w:p>
    <w:tbl>
      <w:tblPr>
        <w:tblStyle w:val="AERTable-Text"/>
        <w:tblW w:w="5000" w:type="pct"/>
        <w:tblLook w:val="04A0" w:firstRow="1" w:lastRow="0" w:firstColumn="1" w:lastColumn="0" w:noHBand="0" w:noVBand="1"/>
      </w:tblPr>
      <w:tblGrid>
        <w:gridCol w:w="967"/>
        <w:gridCol w:w="1116"/>
        <w:gridCol w:w="928"/>
        <w:gridCol w:w="928"/>
        <w:gridCol w:w="772"/>
        <w:gridCol w:w="928"/>
        <w:gridCol w:w="928"/>
        <w:gridCol w:w="819"/>
        <w:gridCol w:w="928"/>
        <w:gridCol w:w="928"/>
      </w:tblGrid>
      <w:tr w:rsidR="005D2FBD" w:rsidRPr="00405CDE" w:rsidTr="00F113FD">
        <w:trPr>
          <w:cnfStyle w:val="100000000000" w:firstRow="1" w:lastRow="0" w:firstColumn="0" w:lastColumn="0" w:oddVBand="0" w:evenVBand="0" w:oddHBand="0" w:evenHBand="0" w:firstRowFirstColumn="0" w:firstRowLastColumn="0" w:lastRowFirstColumn="0" w:lastRowLastColumn="0"/>
          <w:tblHeader/>
        </w:trPr>
        <w:tc>
          <w:tcPr>
            <w:tcW w:w="530" w:type="pct"/>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 xml:space="preserve">Time </w:t>
            </w:r>
          </w:p>
        </w:tc>
        <w:tc>
          <w:tcPr>
            <w:tcW w:w="1666"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Price ($/</w:t>
            </w:r>
            <w:proofErr w:type="spellStart"/>
            <w:r w:rsidRPr="00DC24BF">
              <w:rPr>
                <w:rFonts w:cs="Arial"/>
                <w:sz w:val="20"/>
                <w:szCs w:val="20"/>
              </w:rPr>
              <w:t>MWh</w:t>
            </w:r>
            <w:proofErr w:type="spellEnd"/>
            <w:r w:rsidRPr="00DC24BF">
              <w:rPr>
                <w:rFonts w:cs="Arial"/>
                <w:sz w:val="20"/>
                <w:szCs w:val="20"/>
              </w:rPr>
              <w:t>)</w:t>
            </w:r>
          </w:p>
        </w:tc>
        <w:tc>
          <w:tcPr>
            <w:tcW w:w="1402"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Demand (MW)</w:t>
            </w:r>
          </w:p>
        </w:tc>
        <w:tc>
          <w:tcPr>
            <w:tcW w:w="1402"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Availability (MW)</w:t>
            </w:r>
          </w:p>
        </w:tc>
      </w:tr>
      <w:tr w:rsidR="00F113FD" w:rsidRPr="00405CDE" w:rsidTr="00543BEC">
        <w:trPr>
          <w:cnfStyle w:val="100000000000" w:firstRow="1" w:lastRow="0" w:firstColumn="0" w:lastColumn="0" w:oddVBand="0" w:evenVBand="0" w:oddHBand="0" w:evenHBand="0" w:firstRowFirstColumn="0" w:firstRowLastColumn="0" w:lastRowFirstColumn="0" w:lastRowLastColumn="0"/>
          <w:tblHeader/>
        </w:trPr>
        <w:tc>
          <w:tcPr>
            <w:tcW w:w="530"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 </w:t>
            </w:r>
          </w:p>
        </w:tc>
        <w:tc>
          <w:tcPr>
            <w:tcW w:w="643"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11"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11"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67"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467"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467"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67"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467"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467"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r>
      <w:tr w:rsidR="00543BEC" w:rsidRPr="00405CDE" w:rsidTr="00F113FD">
        <w:trPr>
          <w:trHeight w:val="510"/>
        </w:trPr>
        <w:tc>
          <w:tcPr>
            <w:tcW w:w="530" w:type="pct"/>
            <w:tcBorders>
              <w:top w:val="nil"/>
              <w:bottom w:val="nil"/>
            </w:tcBorders>
            <w:vAlign w:val="center"/>
          </w:tcPr>
          <w:p w:rsidR="00543BEC" w:rsidRPr="00627B2D" w:rsidRDefault="00F61AA8" w:rsidP="00700DAB">
            <w:pPr>
              <w:pStyle w:val="tablenormal0"/>
              <w:jc w:val="center"/>
              <w:rPr>
                <w:rFonts w:asciiTheme="minorHAnsi" w:hAnsiTheme="minorHAnsi" w:cstheme="minorHAnsi"/>
                <w:szCs w:val="18"/>
              </w:rPr>
            </w:pPr>
            <w:r w:rsidRPr="00627B2D">
              <w:rPr>
                <w:rFonts w:asciiTheme="minorHAnsi" w:hAnsiTheme="minorHAnsi" w:cstheme="minorHAnsi"/>
                <w:bCs/>
                <w:szCs w:val="18"/>
              </w:rPr>
              <w:t>12:30 pm</w:t>
            </w:r>
          </w:p>
        </w:tc>
        <w:tc>
          <w:tcPr>
            <w:tcW w:w="643"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2287.03</w:t>
            </w:r>
          </w:p>
        </w:tc>
        <w:tc>
          <w:tcPr>
            <w:tcW w:w="511"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54.99</w:t>
            </w:r>
          </w:p>
        </w:tc>
        <w:tc>
          <w:tcPr>
            <w:tcW w:w="511"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46.10</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1626</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1578</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1535</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2049</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2108</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2135</w:t>
            </w:r>
          </w:p>
        </w:tc>
      </w:tr>
      <w:tr w:rsidR="00F61AA8" w:rsidRPr="00405CDE" w:rsidTr="00F113FD">
        <w:trPr>
          <w:cnfStyle w:val="000000010000" w:firstRow="0" w:lastRow="0" w:firstColumn="0" w:lastColumn="0" w:oddVBand="0" w:evenVBand="0" w:oddHBand="0" w:evenHBand="1" w:firstRowFirstColumn="0" w:firstRowLastColumn="0" w:lastRowFirstColumn="0" w:lastRowLastColumn="0"/>
          <w:trHeight w:val="510"/>
        </w:trPr>
        <w:tc>
          <w:tcPr>
            <w:tcW w:w="530" w:type="pct"/>
            <w:tcBorders>
              <w:top w:val="nil"/>
              <w:bottom w:val="nil"/>
            </w:tcBorders>
            <w:vAlign w:val="center"/>
          </w:tcPr>
          <w:p w:rsidR="00543BEC" w:rsidRPr="00627B2D" w:rsidRDefault="00543BEC" w:rsidP="00700DAB">
            <w:pPr>
              <w:pStyle w:val="tablenormal0"/>
              <w:jc w:val="center"/>
              <w:rPr>
                <w:rFonts w:asciiTheme="minorHAnsi" w:hAnsiTheme="minorHAnsi" w:cstheme="minorHAnsi"/>
                <w:szCs w:val="18"/>
              </w:rPr>
            </w:pPr>
            <w:r w:rsidRPr="00627B2D">
              <w:rPr>
                <w:rFonts w:asciiTheme="minorHAnsi" w:hAnsiTheme="minorHAnsi" w:cstheme="minorHAnsi"/>
                <w:bCs/>
                <w:szCs w:val="18"/>
              </w:rPr>
              <w:t xml:space="preserve">2:30 </w:t>
            </w:r>
            <w:r w:rsidR="00F61AA8" w:rsidRPr="00627B2D">
              <w:rPr>
                <w:rFonts w:asciiTheme="minorHAnsi" w:hAnsiTheme="minorHAnsi" w:cstheme="minorHAnsi"/>
                <w:bCs/>
                <w:szCs w:val="18"/>
              </w:rPr>
              <w:t>pm</w:t>
            </w:r>
          </w:p>
        </w:tc>
        <w:tc>
          <w:tcPr>
            <w:tcW w:w="643"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2276.71</w:t>
            </w:r>
          </w:p>
        </w:tc>
        <w:tc>
          <w:tcPr>
            <w:tcW w:w="511"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54.99</w:t>
            </w:r>
          </w:p>
        </w:tc>
        <w:tc>
          <w:tcPr>
            <w:tcW w:w="511"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50.72</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1638</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1630</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1545</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1919</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2079</w:t>
            </w:r>
          </w:p>
        </w:tc>
        <w:tc>
          <w:tcPr>
            <w:tcW w:w="467" w:type="pct"/>
            <w:tcBorders>
              <w:top w:val="nil"/>
              <w:bottom w:val="nil"/>
            </w:tcBorders>
            <w:vAlign w:val="center"/>
          </w:tcPr>
          <w:p w:rsidR="00543BEC" w:rsidRPr="00F113FD" w:rsidRDefault="00543BEC" w:rsidP="003061FA">
            <w:pPr>
              <w:pStyle w:val="tablenormal0"/>
              <w:jc w:val="center"/>
              <w:rPr>
                <w:rFonts w:asciiTheme="minorHAnsi" w:hAnsiTheme="minorHAnsi" w:cstheme="minorHAnsi"/>
                <w:szCs w:val="18"/>
              </w:rPr>
            </w:pPr>
            <w:r w:rsidRPr="00F113FD">
              <w:rPr>
                <w:rFonts w:asciiTheme="minorHAnsi" w:hAnsiTheme="minorHAnsi" w:cstheme="minorHAnsi"/>
                <w:szCs w:val="18"/>
              </w:rPr>
              <w:t>2100</w:t>
            </w:r>
          </w:p>
        </w:tc>
      </w:tr>
    </w:tbl>
    <w:p w:rsidR="00E4680F" w:rsidRDefault="00E4680F" w:rsidP="00884D30">
      <w:pPr>
        <w:pStyle w:val="AERbodytext"/>
        <w:rPr>
          <w:bCs/>
          <w:lang w:eastAsia="en-AU"/>
        </w:rPr>
      </w:pPr>
    </w:p>
    <w:p w:rsidR="00F66967" w:rsidRDefault="00F66967" w:rsidP="00884D30">
      <w:pPr>
        <w:pStyle w:val="AERbodytext"/>
        <w:rPr>
          <w:bCs/>
          <w:lang w:eastAsia="en-AU"/>
        </w:rPr>
      </w:pPr>
      <w:r>
        <w:rPr>
          <w:bCs/>
          <w:lang w:eastAsia="en-AU"/>
        </w:rPr>
        <w:t>For the 12.30 pm trading interval, demand was 48 MW higher</w:t>
      </w:r>
      <w:r w:rsidR="003A7DC0">
        <w:rPr>
          <w:bCs/>
          <w:lang w:eastAsia="en-AU"/>
        </w:rPr>
        <w:t>, and available capacity was 59 </w:t>
      </w:r>
      <w:r>
        <w:rPr>
          <w:bCs/>
          <w:lang w:eastAsia="en-AU"/>
        </w:rPr>
        <w:t>MW lower, than forecast four hours before.</w:t>
      </w:r>
    </w:p>
    <w:p w:rsidR="00F66967" w:rsidRDefault="00F66967" w:rsidP="00F66967">
      <w:pPr>
        <w:pStyle w:val="AERbodytext"/>
        <w:rPr>
          <w:bCs/>
          <w:lang w:eastAsia="en-AU"/>
        </w:rPr>
      </w:pPr>
      <w:r>
        <w:rPr>
          <w:bCs/>
          <w:lang w:eastAsia="en-AU"/>
        </w:rPr>
        <w:t>For the 2.30 pm trading interval, demand was close to forecast. Available capacity was 160 MW lower than forecast four hours before as a result of a</w:t>
      </w:r>
      <w:r w:rsidR="00627B2D">
        <w:rPr>
          <w:bCs/>
          <w:lang w:eastAsia="en-AU"/>
        </w:rPr>
        <w:t xml:space="preserve"> unit</w:t>
      </w:r>
      <w:r>
        <w:rPr>
          <w:bCs/>
          <w:lang w:eastAsia="en-AU"/>
        </w:rPr>
        <w:t xml:space="preserve"> trip at Northern Power Station.</w:t>
      </w:r>
      <w:r>
        <w:rPr>
          <w:rStyle w:val="FootnoteReference"/>
          <w:bCs/>
          <w:lang w:eastAsia="en-AU"/>
        </w:rPr>
        <w:footnoteReference w:id="1"/>
      </w:r>
    </w:p>
    <w:p w:rsidR="00DB16A7" w:rsidRDefault="00543BEC" w:rsidP="00884D30">
      <w:pPr>
        <w:pStyle w:val="AERbodytext"/>
      </w:pPr>
      <w:r>
        <w:rPr>
          <w:bCs/>
          <w:lang w:eastAsia="en-AU"/>
        </w:rPr>
        <w:t>At 12.03</w:t>
      </w:r>
      <w:r w:rsidR="00574241">
        <w:rPr>
          <w:bCs/>
          <w:lang w:eastAsia="en-AU"/>
        </w:rPr>
        <w:t> </w:t>
      </w:r>
      <w:r>
        <w:rPr>
          <w:bCs/>
          <w:lang w:eastAsia="en-AU"/>
        </w:rPr>
        <w:t>pm, effective from 12.10</w:t>
      </w:r>
      <w:r w:rsidR="00574241">
        <w:rPr>
          <w:bCs/>
          <w:lang w:eastAsia="en-AU"/>
        </w:rPr>
        <w:t> </w:t>
      </w:r>
      <w:r>
        <w:rPr>
          <w:bCs/>
          <w:lang w:eastAsia="en-AU"/>
        </w:rPr>
        <w:t>pm, AGL rebid 380</w:t>
      </w:r>
      <w:r w:rsidR="00DB16A7">
        <w:rPr>
          <w:bCs/>
          <w:lang w:eastAsia="en-AU"/>
        </w:rPr>
        <w:t> </w:t>
      </w:r>
      <w:r>
        <w:rPr>
          <w:bCs/>
          <w:lang w:eastAsia="en-AU"/>
        </w:rPr>
        <w:t>MW of capacity at Torrens Island from prices below $95/</w:t>
      </w:r>
      <w:proofErr w:type="spellStart"/>
      <w:r>
        <w:rPr>
          <w:bCs/>
          <w:lang w:eastAsia="en-AU"/>
        </w:rPr>
        <w:t>MWh</w:t>
      </w:r>
      <w:proofErr w:type="spellEnd"/>
      <w:r>
        <w:rPr>
          <w:bCs/>
          <w:lang w:eastAsia="en-AU"/>
        </w:rPr>
        <w:t xml:space="preserve"> to the price cap. The reason given was </w:t>
      </w:r>
      <w:r w:rsidRPr="00543BEC">
        <w:rPr>
          <w:bCs/>
          <w:lang w:eastAsia="en-AU"/>
        </w:rPr>
        <w:t>“</w:t>
      </w:r>
      <w:r w:rsidRPr="00F113FD">
        <w:t xml:space="preserve">1200~A~040 CHG </w:t>
      </w:r>
      <w:r w:rsidR="00DB16A7">
        <w:t>in</w:t>
      </w:r>
      <w:r w:rsidRPr="00F113FD">
        <w:t xml:space="preserve"> AEMO </w:t>
      </w:r>
      <w:proofErr w:type="spellStart"/>
      <w:r w:rsidRPr="00F113FD">
        <w:t>DISP~</w:t>
      </w:r>
      <w:r w:rsidR="00DB16A7">
        <w:t>increase</w:t>
      </w:r>
      <w:proofErr w:type="spellEnd"/>
      <w:r w:rsidR="00DB16A7" w:rsidRPr="00F113FD">
        <w:t xml:space="preserve"> </w:t>
      </w:r>
      <w:r w:rsidR="00DB16A7">
        <w:t>in</w:t>
      </w:r>
      <w:r w:rsidRPr="00F113FD">
        <w:t xml:space="preserve"> </w:t>
      </w:r>
      <w:r w:rsidR="00DB16A7">
        <w:t>generation</w:t>
      </w:r>
      <w:r w:rsidRPr="00F113FD">
        <w:t xml:space="preserve"> QPS1 </w:t>
      </w:r>
      <w:r w:rsidR="00DB16A7">
        <w:t>start</w:t>
      </w:r>
      <w:r w:rsidRPr="00F113FD">
        <w:t xml:space="preserve"> SA”</w:t>
      </w:r>
      <w:r>
        <w:t xml:space="preserve">. </w:t>
      </w:r>
    </w:p>
    <w:p w:rsidR="00543BEC" w:rsidRDefault="00543BEC" w:rsidP="00884D30">
      <w:pPr>
        <w:pStyle w:val="AERbodytext"/>
      </w:pPr>
      <w:r>
        <w:t xml:space="preserve">This saw the dispatch price </w:t>
      </w:r>
      <w:r w:rsidR="00DB16A7">
        <w:t>increase from $65/</w:t>
      </w:r>
      <w:proofErr w:type="spellStart"/>
      <w:r w:rsidR="00DB16A7">
        <w:t>MWh</w:t>
      </w:r>
      <w:proofErr w:type="spellEnd"/>
      <w:r w:rsidR="00DB16A7">
        <w:t xml:space="preserve"> at the </w:t>
      </w:r>
      <w:r w:rsidR="00574241">
        <w:t>12.05 </w:t>
      </w:r>
      <w:r w:rsidR="00DB16A7">
        <w:t>pm dispatch interval</w:t>
      </w:r>
      <w:r>
        <w:t xml:space="preserve"> to the price cap for the 12.10</w:t>
      </w:r>
      <w:r w:rsidR="00574241">
        <w:t> </w:t>
      </w:r>
      <w:r>
        <w:t>pm dispatch interval.</w:t>
      </w:r>
      <w:r w:rsidR="00CA04F2">
        <w:rPr>
          <w:rStyle w:val="FootnoteReference"/>
        </w:rPr>
        <w:footnoteReference w:id="2"/>
      </w:r>
    </w:p>
    <w:p w:rsidR="00543BEC" w:rsidRDefault="00543BEC" w:rsidP="00884D30">
      <w:pPr>
        <w:pStyle w:val="AERbodytext"/>
      </w:pPr>
      <w:r>
        <w:t xml:space="preserve">A </w:t>
      </w:r>
      <w:r w:rsidR="00456C20">
        <w:t xml:space="preserve">127 MW </w:t>
      </w:r>
      <w:r>
        <w:t xml:space="preserve">decrease in demand saw the price </w:t>
      </w:r>
      <w:r w:rsidR="00DB16A7">
        <w:t xml:space="preserve">decrease </w:t>
      </w:r>
      <w:r>
        <w:t>to $52/</w:t>
      </w:r>
      <w:proofErr w:type="spellStart"/>
      <w:r>
        <w:t>MWh</w:t>
      </w:r>
      <w:proofErr w:type="spellEnd"/>
      <w:r>
        <w:t xml:space="preserve"> for the 12.15</w:t>
      </w:r>
      <w:r w:rsidR="00574241">
        <w:t> </w:t>
      </w:r>
      <w:r>
        <w:t xml:space="preserve">pm interval. </w:t>
      </w:r>
      <w:r w:rsidR="00DB16A7">
        <w:t>The price remained around this level for the remainder of the trading interval.</w:t>
      </w:r>
      <w:r w:rsidR="00870903">
        <w:t xml:space="preserve">  The decrease in demand corresponds to the operation of the non-scheduled generation at Lonsdale, Port </w:t>
      </w:r>
      <w:proofErr w:type="spellStart"/>
      <w:r w:rsidR="00870903">
        <w:t>Stanvac</w:t>
      </w:r>
      <w:proofErr w:type="spellEnd"/>
      <w:r w:rsidR="00870903">
        <w:t xml:space="preserve"> and Angaston in South Australia.</w:t>
      </w:r>
    </w:p>
    <w:p w:rsidR="00574241" w:rsidRDefault="00543BEC" w:rsidP="00543BEC">
      <w:pPr>
        <w:pStyle w:val="AERbodytext"/>
      </w:pPr>
      <w:r>
        <w:rPr>
          <w:bCs/>
          <w:lang w:eastAsia="en-AU"/>
        </w:rPr>
        <w:t>At 1.55</w:t>
      </w:r>
      <w:r w:rsidR="00574241">
        <w:rPr>
          <w:bCs/>
          <w:lang w:eastAsia="en-AU"/>
        </w:rPr>
        <w:t> </w:t>
      </w:r>
      <w:r>
        <w:rPr>
          <w:bCs/>
          <w:lang w:eastAsia="en-AU"/>
        </w:rPr>
        <w:t>pm, effective from 2</w:t>
      </w:r>
      <w:r w:rsidRPr="00543BEC">
        <w:rPr>
          <w:bCs/>
          <w:lang w:eastAsia="en-AU"/>
        </w:rPr>
        <w:t>.05</w:t>
      </w:r>
      <w:r w:rsidR="00574241">
        <w:rPr>
          <w:bCs/>
          <w:lang w:eastAsia="en-AU"/>
        </w:rPr>
        <w:t> </w:t>
      </w:r>
      <w:r w:rsidRPr="00543BEC">
        <w:rPr>
          <w:bCs/>
          <w:lang w:eastAsia="en-AU"/>
        </w:rPr>
        <w:t>pm, AGL rebid 365</w:t>
      </w:r>
      <w:r w:rsidR="00574241">
        <w:rPr>
          <w:bCs/>
          <w:lang w:eastAsia="en-AU"/>
        </w:rPr>
        <w:t> </w:t>
      </w:r>
      <w:r w:rsidRPr="00543BEC">
        <w:rPr>
          <w:bCs/>
          <w:lang w:eastAsia="en-AU"/>
        </w:rPr>
        <w:t>MW of capacity at Torrens Island from prices below $95/</w:t>
      </w:r>
      <w:proofErr w:type="spellStart"/>
      <w:r w:rsidRPr="00543BEC">
        <w:rPr>
          <w:bCs/>
          <w:lang w:eastAsia="en-AU"/>
        </w:rPr>
        <w:t>MWh</w:t>
      </w:r>
      <w:proofErr w:type="spellEnd"/>
      <w:r w:rsidRPr="00543BEC">
        <w:rPr>
          <w:bCs/>
          <w:lang w:eastAsia="en-AU"/>
        </w:rPr>
        <w:t xml:space="preserve"> to the price cap. The reason given was “</w:t>
      </w:r>
      <w:r w:rsidRPr="00F113FD">
        <w:t xml:space="preserve">1355~A~030 CHG </w:t>
      </w:r>
      <w:r w:rsidR="00574241">
        <w:t>in</w:t>
      </w:r>
      <w:r w:rsidRPr="00F113FD">
        <w:t xml:space="preserve"> AEMO AVAIL CAP~30 DECREASEN SA -130MW</w:t>
      </w:r>
      <w:r w:rsidRPr="00543BEC">
        <w:t>”.</w:t>
      </w:r>
    </w:p>
    <w:p w:rsidR="00574241" w:rsidRDefault="00574241" w:rsidP="00574241">
      <w:pPr>
        <w:pStyle w:val="AERbodytext"/>
      </w:pPr>
      <w:r>
        <w:t>This saw the dispatch price increase from $65/</w:t>
      </w:r>
      <w:proofErr w:type="spellStart"/>
      <w:r>
        <w:t>MWh</w:t>
      </w:r>
      <w:proofErr w:type="spellEnd"/>
      <w:r>
        <w:t xml:space="preserve"> at the 2 pm dispatch interval to </w:t>
      </w:r>
      <w:r w:rsidR="00A91A4B">
        <w:t>$13 482/</w:t>
      </w:r>
      <w:proofErr w:type="spellStart"/>
      <w:r w:rsidR="00A91A4B">
        <w:t>MWh</w:t>
      </w:r>
      <w:proofErr w:type="spellEnd"/>
      <w:r>
        <w:t xml:space="preserve"> for the 2.05 pm dispatch interval.</w:t>
      </w:r>
      <w:r w:rsidR="00CA04F2">
        <w:rPr>
          <w:rStyle w:val="FootnoteReference"/>
        </w:rPr>
        <w:footnoteReference w:id="3"/>
      </w:r>
    </w:p>
    <w:p w:rsidR="00574241" w:rsidRDefault="00D5111E" w:rsidP="00543BEC">
      <w:pPr>
        <w:pStyle w:val="AERbodytext"/>
      </w:pPr>
      <w:r>
        <w:t xml:space="preserve">At 2.02 pm, effective from 2.10 pm, </w:t>
      </w:r>
      <w:r w:rsidR="00A91A4B">
        <w:t>another rebid</w:t>
      </w:r>
      <w:r>
        <w:t xml:space="preserve"> by AGL at Torrens Island saw 365 MW of capacity priced at </w:t>
      </w:r>
      <w:bookmarkStart w:id="18" w:name="_GoBack"/>
      <w:bookmarkEnd w:id="18"/>
      <w:r>
        <w:t>the cap and an additional 125 MW of capacity priced at $46/</w:t>
      </w:r>
      <w:proofErr w:type="spellStart"/>
      <w:r>
        <w:t>MWh</w:t>
      </w:r>
      <w:proofErr w:type="spellEnd"/>
      <w:r>
        <w:t xml:space="preserve"> </w:t>
      </w:r>
      <w:r w:rsidR="00A91A4B">
        <w:t>shifted</w:t>
      </w:r>
      <w:r>
        <w:t xml:space="preserve"> to the </w:t>
      </w:r>
      <w:r w:rsidR="00981578">
        <w:t>price floor</w:t>
      </w:r>
      <w:r>
        <w:t>.</w:t>
      </w:r>
      <w:r w:rsidR="00A91A4B">
        <w:t xml:space="preserve"> This, combined with a</w:t>
      </w:r>
      <w:r w:rsidR="00574241">
        <w:t xml:space="preserve"> 131 MW decrease in demand</w:t>
      </w:r>
      <w:r w:rsidR="00A91A4B">
        <w:t xml:space="preserve">, </w:t>
      </w:r>
      <w:r w:rsidR="00574241">
        <w:t>resulted in the 2.10 pm dispatch price decreasing to $38/</w:t>
      </w:r>
      <w:proofErr w:type="spellStart"/>
      <w:r w:rsidR="00574241">
        <w:t>MWh</w:t>
      </w:r>
      <w:proofErr w:type="spellEnd"/>
      <w:r w:rsidR="00574241">
        <w:t>. The price remained around this level for the remainder of the dispatch interval.</w:t>
      </w:r>
      <w:r w:rsidR="00870903">
        <w:t xml:space="preserve"> The decrease in demand corresponds to the operation of the non-scheduled generation at Lonsdale, Port </w:t>
      </w:r>
      <w:proofErr w:type="spellStart"/>
      <w:r w:rsidR="00870903">
        <w:t>Stanvac</w:t>
      </w:r>
      <w:proofErr w:type="spellEnd"/>
      <w:r w:rsidR="00870903">
        <w:t xml:space="preserve"> and Angaston in South Australia.</w:t>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030794">
        <w:t xml:space="preserve">Figure </w:t>
      </w:r>
      <w:r w:rsidR="00030794">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75002" w:rsidRPr="00A64EBB" w:rsidRDefault="00275002" w:rsidP="00A64EBB">
      <w:pPr>
        <w:pStyle w:val="Caption"/>
        <w:rPr>
          <w:b w:val="0"/>
          <w:bCs w:val="0"/>
          <w:color w:val="auto"/>
        </w:rPr>
      </w:pPr>
      <w:bookmarkStart w:id="19" w:name="_Ref410386540"/>
      <w:r>
        <w:t xml:space="preserve">Figure </w:t>
      </w:r>
      <w:r w:rsidR="00030794">
        <w:fldChar w:fldCharType="begin"/>
      </w:r>
      <w:r w:rsidR="00030794">
        <w:instrText xml:space="preserve"> SEQ Figure \* ARABIC </w:instrText>
      </w:r>
      <w:r w:rsidR="00030794">
        <w:fldChar w:fldCharType="separate"/>
      </w:r>
      <w:r w:rsidR="00030794">
        <w:rPr>
          <w:noProof/>
        </w:rPr>
        <w:t>9</w:t>
      </w:r>
      <w:r w:rsidR="00030794">
        <w:rPr>
          <w:noProof/>
        </w:rPr>
        <w:fldChar w:fldCharType="end"/>
      </w:r>
      <w:bookmarkEnd w:id="19"/>
      <w:r>
        <w:t xml:space="preserve">: </w:t>
      </w:r>
      <w:r w:rsidRPr="007A6ACB">
        <w:t>Quarterly base future prices Q</w:t>
      </w:r>
      <w:r w:rsidR="00F87EBA">
        <w:t>2</w:t>
      </w:r>
      <w:r w:rsidRPr="007A6ACB">
        <w:t xml:space="preserve"> 2015 – Q</w:t>
      </w:r>
      <w:r w:rsidR="00F87EBA">
        <w:t>1</w:t>
      </w:r>
      <w:r w:rsidRPr="007A6ACB">
        <w:t xml:space="preserve"> 201</w:t>
      </w:r>
      <w:r w:rsidR="00F87EBA">
        <w:t>9</w:t>
      </w:r>
      <w:r w:rsidR="00E47EAD" w:rsidRPr="00E47EAD">
        <w:rPr>
          <w:b w:val="0"/>
          <w:bCs w:val="0"/>
          <w:noProof/>
          <w:lang w:eastAsia="en-AU"/>
        </w:rPr>
        <w:t xml:space="preserve"> </w:t>
      </w:r>
      <w:r w:rsidR="0003564D" w:rsidRPr="0003564D">
        <w:rPr>
          <w:noProof/>
          <w:lang w:eastAsia="en-AU"/>
        </w:rPr>
        <w:drawing>
          <wp:inline distT="0" distB="0" distL="0" distR="0" wp14:anchorId="136E2F94" wp14:editId="0523F5AB">
            <wp:extent cx="5721430" cy="3324225"/>
            <wp:effectExtent l="0" t="0" r="0" b="0"/>
            <wp:docPr id="25" name="Picture 25"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330082"/>
                    </a:xfrm>
                    <a:prstGeom prst="rect">
                      <a:avLst/>
                    </a:prstGeom>
                    <a:noFill/>
                    <a:ln>
                      <a:noFill/>
                    </a:ln>
                  </pic:spPr>
                </pic:pic>
              </a:graphicData>
            </a:graphic>
          </wp:inline>
        </w:drawing>
      </w:r>
      <w:r w:rsidRPr="00A64EBB">
        <w:rPr>
          <w:b w:val="0"/>
          <w:bCs w:val="0"/>
          <w:color w:val="auto"/>
          <w:sz w:val="16"/>
          <w:szCs w:val="16"/>
        </w:rPr>
        <w:t xml:space="preserve">Source: </w:t>
      </w:r>
      <w:hyperlink r:id="rId21" w:history="1">
        <w:r w:rsidRPr="00A64EBB">
          <w:rPr>
            <w:b w:val="0"/>
            <w:bCs w:val="0"/>
            <w:color w:val="auto"/>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030794">
        <w:t xml:space="preserve">Figure </w:t>
      </w:r>
      <w:r w:rsidR="00030794">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0E2946">
      <w:pPr>
        <w:pStyle w:val="Caption"/>
      </w:pPr>
      <w:bookmarkStart w:id="20" w:name="_Ref410380382"/>
      <w:r>
        <w:t xml:space="preserve">Figure </w:t>
      </w:r>
      <w:r w:rsidR="00030794">
        <w:fldChar w:fldCharType="begin"/>
      </w:r>
      <w:r w:rsidR="00030794">
        <w:instrText xml:space="preserve"> SEQ Figure \* ARABIC </w:instrText>
      </w:r>
      <w:r w:rsidR="00030794">
        <w:fldChar w:fldCharType="separate"/>
      </w:r>
      <w:r w:rsidR="00030794">
        <w:rPr>
          <w:noProof/>
        </w:rPr>
        <w:t>10</w:t>
      </w:r>
      <w:r w:rsidR="00030794">
        <w:rPr>
          <w:noProof/>
        </w:rPr>
        <w:fldChar w:fldCharType="end"/>
      </w:r>
      <w:bookmarkEnd w:id="20"/>
      <w:r w:rsidRPr="00DF093A">
        <w:t>: Price of Q1 201</w:t>
      </w:r>
      <w:r w:rsidR="00F87EBA">
        <w:t>6</w:t>
      </w:r>
      <w:r w:rsidRPr="00DF093A">
        <w:t xml:space="preserve"> base contracts over the past 10 weeks (and the past 2 years)</w:t>
      </w:r>
    </w:p>
    <w:p w:rsidR="00275002" w:rsidRPr="0031019A" w:rsidRDefault="00922ACF" w:rsidP="00275002">
      <w:r w:rsidRPr="00922ACF">
        <w:rPr>
          <w:noProof/>
          <w:lang w:eastAsia="en-AU"/>
        </w:rPr>
        <w:drawing>
          <wp:inline distT="0" distB="0" distL="0" distR="0" wp14:anchorId="4F945DBD" wp14:editId="09DCF37B">
            <wp:extent cx="5724525" cy="3295650"/>
            <wp:effectExtent l="0" t="0" r="9525" b="0"/>
            <wp:docPr id="27" name="Picture 27"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299671"/>
                    </a:xfrm>
                    <a:prstGeom prst="rect">
                      <a:avLst/>
                    </a:prstGeom>
                    <a:noFill/>
                    <a:ln>
                      <a:noFill/>
                    </a:ln>
                  </pic:spPr>
                </pic:pic>
              </a:graphicData>
            </a:graphic>
          </wp:inline>
        </w:drawing>
      </w:r>
    </w:p>
    <w:p w:rsidR="00275002" w:rsidRPr="0031019A" w:rsidRDefault="00275002" w:rsidP="002A7439">
      <w:pPr>
        <w:pStyle w:val="Source"/>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 xml:space="preserve">Source: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p>
    <w:p w:rsidR="00275002" w:rsidRDefault="007F475F" w:rsidP="009A3D22">
      <w:pPr>
        <w:jc w:val="both"/>
      </w:pPr>
      <w:r>
        <w:fldChar w:fldCharType="begin"/>
      </w:r>
      <w:r>
        <w:instrText xml:space="preserve"> REF _Ref410744936 \h </w:instrText>
      </w:r>
      <w:r>
        <w:fldChar w:fldCharType="separate"/>
      </w:r>
      <w:r w:rsidR="00030794">
        <w:t xml:space="preserve">Figure </w:t>
      </w:r>
      <w:r w:rsidR="00030794">
        <w:rPr>
          <w:noProof/>
        </w:rPr>
        <w:t>11</w:t>
      </w:r>
      <w:r w:rsidR="00030794" w:rsidRPr="0074419D">
        <w:t>: Price of Q1 201</w:t>
      </w:r>
      <w:r w:rsidR="00030794">
        <w:t>6</w:t>
      </w:r>
      <w:r w:rsidR="00030794" w:rsidRPr="0074419D">
        <w:t xml:space="preserve"> cap contracts over the past 10 weeks (and the past 2 years)</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0E2946">
      <w:pPr>
        <w:pStyle w:val="Caption"/>
      </w:pPr>
      <w:bookmarkStart w:id="21" w:name="_Ref410744936"/>
      <w:r>
        <w:t xml:space="preserve">Figure </w:t>
      </w:r>
      <w:r w:rsidR="00030794">
        <w:fldChar w:fldCharType="begin"/>
      </w:r>
      <w:r w:rsidR="00030794">
        <w:instrText xml:space="preserve"> SEQ Figure \* ARABIC </w:instrText>
      </w:r>
      <w:r w:rsidR="00030794">
        <w:fldChar w:fldCharType="separate"/>
      </w:r>
      <w:r w:rsidR="00030794">
        <w:rPr>
          <w:noProof/>
        </w:rPr>
        <w:t>11</w:t>
      </w:r>
      <w:r w:rsidR="00030794">
        <w:rPr>
          <w:noProof/>
        </w:rPr>
        <w:fldChar w:fldCharType="end"/>
      </w:r>
      <w:r w:rsidRPr="0074419D">
        <w:t>: Price of Q1 201</w:t>
      </w:r>
      <w:r w:rsidR="00F87EBA">
        <w:t>6</w:t>
      </w:r>
      <w:r w:rsidRPr="0074419D">
        <w:t xml:space="preserve"> cap contracts over the past 10 weeks (and the past 2 years)</w:t>
      </w:r>
      <w:bookmarkEnd w:id="21"/>
    </w:p>
    <w:p w:rsidR="00275002" w:rsidRPr="0031019A" w:rsidRDefault="0003564D" w:rsidP="00275002">
      <w:r w:rsidRPr="0003564D">
        <w:rPr>
          <w:noProof/>
          <w:lang w:eastAsia="en-AU"/>
        </w:rPr>
        <w:drawing>
          <wp:inline distT="0" distB="0" distL="0" distR="0" wp14:anchorId="7C7564A9" wp14:editId="3EA3A354">
            <wp:extent cx="5723530" cy="3314700"/>
            <wp:effectExtent l="0" t="0" r="0" b="0"/>
            <wp:docPr id="28" name="Picture 28"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3319322"/>
                    </a:xfrm>
                    <a:prstGeom prst="rect">
                      <a:avLst/>
                    </a:prstGeom>
                    <a:noFill/>
                    <a:ln>
                      <a:noFill/>
                    </a:ln>
                  </pic:spPr>
                </pic:pic>
              </a:graphicData>
            </a:graphic>
          </wp:inline>
        </w:drawing>
      </w:r>
    </w:p>
    <w:p w:rsidR="00275002" w:rsidRPr="002A7439" w:rsidRDefault="00275002" w:rsidP="002A7439">
      <w:pPr>
        <w:pStyle w:val="Source"/>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5F7247" w:rsidP="00275002">
      <w:pPr>
        <w:pStyle w:val="Heading4notnumbered"/>
      </w:pPr>
      <w:r>
        <w:t>Ju</w:t>
      </w:r>
      <w:r w:rsidR="00922ACF">
        <w:t>ly</w:t>
      </w:r>
      <w:r w:rsidR="004D5447" w:rsidRPr="0031019A">
        <w:t xml:space="preserve"> </w:t>
      </w:r>
      <w:r w:rsidR="00275002" w:rsidRPr="0031019A">
        <w:t>2015</w:t>
      </w:r>
    </w:p>
    <w:p w:rsidR="004E7D10" w:rsidRPr="0031019A" w:rsidRDefault="004E7D10">
      <w:pPr>
        <w:pStyle w:val="Heading4notnumbered"/>
      </w:pPr>
    </w:p>
    <w:sectPr w:rsidR="004E7D10" w:rsidRPr="0031019A" w:rsidSect="00620B1B">
      <w:footerReference w:type="even" r:id="rId27"/>
      <w:footerReference w:type="default" r:id="rId28"/>
      <w:footerReference w:type="first" r:id="rId29"/>
      <w:pgSz w:w="11906" w:h="16838"/>
      <w:pgMar w:top="993"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4D" w:rsidRDefault="0003564D" w:rsidP="004B4412">
      <w:pPr>
        <w:spacing w:before="0"/>
      </w:pPr>
      <w:r>
        <w:separator/>
      </w:r>
    </w:p>
  </w:endnote>
  <w:endnote w:type="continuationSeparator" w:id="0">
    <w:p w:rsidR="0003564D" w:rsidRDefault="0003564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4D" w:rsidRPr="00A91A9E" w:rsidRDefault="0003564D"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3564D" w:rsidRDefault="0003564D"/>
  <w:p w:rsidR="0003564D" w:rsidRDefault="000356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4D" w:rsidRPr="00A94D89" w:rsidRDefault="0003564D"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30794">
      <w:rPr>
        <w:rFonts w:cs="Arial"/>
        <w:i/>
        <w:noProof/>
      </w:rPr>
      <w:t>9</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4D" w:rsidRPr="00A94D89" w:rsidRDefault="0003564D"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30794">
      <w:rPr>
        <w:rFonts w:cs="Arial"/>
        <w:i/>
        <w:noProof/>
      </w:rPr>
      <w:t>1</w:t>
    </w:r>
    <w:r w:rsidRPr="001F1B78">
      <w:rPr>
        <w:rFonts w:cs="Arial"/>
        <w:i/>
        <w:noProof/>
      </w:rPr>
      <w:fldChar w:fldCharType="end"/>
    </w:r>
    <w:r w:rsidRPr="00F52F00">
      <w:rPr>
        <w:rFonts w:cs="Arial"/>
        <w:i/>
      </w:rPr>
      <w:tab/>
      <w:t xml:space="preserve">AER reference: 39220 – </w:t>
    </w:r>
    <w:r w:rsidR="00E4680F" w:rsidRPr="00E4680F">
      <w:rPr>
        <w:rFonts w:cs="Arial"/>
        <w:i/>
        <w:szCs w:val="18"/>
      </w:rPr>
      <w:t>D15/91505</w:t>
    </w:r>
  </w:p>
  <w:p w:rsidR="0003564D" w:rsidRDefault="000356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4D" w:rsidRDefault="0003564D" w:rsidP="004B4412">
      <w:pPr>
        <w:spacing w:before="0"/>
      </w:pPr>
      <w:r>
        <w:separator/>
      </w:r>
    </w:p>
  </w:footnote>
  <w:footnote w:type="continuationSeparator" w:id="0">
    <w:p w:rsidR="0003564D" w:rsidRDefault="0003564D" w:rsidP="004B4412">
      <w:pPr>
        <w:spacing w:before="0"/>
      </w:pPr>
      <w:r>
        <w:continuationSeparator/>
      </w:r>
    </w:p>
  </w:footnote>
  <w:footnote w:id="1">
    <w:p w:rsidR="00F66967" w:rsidRDefault="00F66967" w:rsidP="00F66967">
      <w:pPr>
        <w:pStyle w:val="FootnoteText"/>
        <w:jc w:val="both"/>
      </w:pPr>
      <w:r>
        <w:rPr>
          <w:rStyle w:val="FootnoteReference"/>
        </w:rPr>
        <w:footnoteRef/>
      </w:r>
      <w:r>
        <w:t xml:space="preserve"> </w:t>
      </w:r>
      <w:r>
        <w:tab/>
        <w:t>Available capacity at Northern Power Station had been priced at $46/</w:t>
      </w:r>
      <w:proofErr w:type="spellStart"/>
      <w:r>
        <w:t>MWh</w:t>
      </w:r>
      <w:proofErr w:type="spellEnd"/>
      <w:r>
        <w:t xml:space="preserve"> or lower prior to the trip.</w:t>
      </w:r>
    </w:p>
  </w:footnote>
  <w:footnote w:id="2">
    <w:p w:rsidR="00CA04F2" w:rsidRDefault="00CA04F2" w:rsidP="00B85D8A">
      <w:pPr>
        <w:pStyle w:val="FootnoteText"/>
        <w:ind w:left="709" w:hanging="709"/>
        <w:jc w:val="both"/>
      </w:pPr>
      <w:r>
        <w:rPr>
          <w:rStyle w:val="FootnoteReference"/>
        </w:rPr>
        <w:footnoteRef/>
      </w:r>
      <w:r>
        <w:t xml:space="preserve"> </w:t>
      </w:r>
      <w:r>
        <w:tab/>
        <w:t>Required supply from Torrens Island units set the price at the cap at 2.10 pm. Other lower priced generation at Hallett was ramp up constrained at the time and all other non-wind output was bid as inflexible or dispatched at its maximum availability. Wind output was below 14 MW at the time.</w:t>
      </w:r>
    </w:p>
  </w:footnote>
  <w:footnote w:id="3">
    <w:p w:rsidR="00CA04F2" w:rsidRDefault="00CA04F2" w:rsidP="00B85D8A">
      <w:pPr>
        <w:pStyle w:val="FootnoteText"/>
        <w:ind w:left="709" w:hanging="709"/>
        <w:jc w:val="both"/>
      </w:pPr>
      <w:r>
        <w:rPr>
          <w:rStyle w:val="FootnoteReference"/>
        </w:rPr>
        <w:footnoteRef/>
      </w:r>
      <w:r>
        <w:t xml:space="preserve"> </w:t>
      </w:r>
      <w:r>
        <w:tab/>
        <w:t xml:space="preserve">Other lower priced capacity was either ramp up constrained or at maximum availability, while two fast start units at Dry Creek required one dispatch interval to synchronise before </w:t>
      </w:r>
      <w:r w:rsidR="00B85D8A">
        <w:t>generating 40 MW in the following interval. There was no wind output at the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1">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2">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8">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0">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8">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0">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9"/>
  </w:num>
  <w:num w:numId="3">
    <w:abstractNumId w:val="15"/>
  </w:num>
  <w:num w:numId="4">
    <w:abstractNumId w:val="40"/>
  </w:num>
  <w:num w:numId="5">
    <w:abstractNumId w:val="14"/>
  </w:num>
  <w:num w:numId="6">
    <w:abstractNumId w:val="28"/>
  </w:num>
  <w:num w:numId="7">
    <w:abstractNumId w:val="4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9"/>
  </w:num>
  <w:num w:numId="18">
    <w:abstractNumId w:val="29"/>
  </w:num>
  <w:num w:numId="19">
    <w:abstractNumId w:val="19"/>
    <w:lvlOverride w:ilvl="0">
      <w:startOverride w:val="1"/>
    </w:lvlOverride>
  </w:num>
  <w:num w:numId="20">
    <w:abstractNumId w:val="25"/>
  </w:num>
  <w:num w:numId="21">
    <w:abstractNumId w:val="27"/>
  </w:num>
  <w:num w:numId="22">
    <w:abstractNumId w:val="21"/>
  </w:num>
  <w:num w:numId="23">
    <w:abstractNumId w:val="38"/>
  </w:num>
  <w:num w:numId="24">
    <w:abstractNumId w:val="42"/>
  </w:num>
  <w:num w:numId="25">
    <w:abstractNumId w:val="36"/>
  </w:num>
  <w:num w:numId="26">
    <w:abstractNumId w:val="17"/>
  </w:num>
  <w:num w:numId="27">
    <w:abstractNumId w:val="11"/>
  </w:num>
  <w:num w:numId="28">
    <w:abstractNumId w:val="26"/>
  </w:num>
  <w:num w:numId="29">
    <w:abstractNumId w:val="13"/>
  </w:num>
  <w:num w:numId="30">
    <w:abstractNumId w:val="30"/>
  </w:num>
  <w:num w:numId="31">
    <w:abstractNumId w:val="10"/>
  </w:num>
  <w:num w:numId="32">
    <w:abstractNumId w:val="20"/>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2"/>
  </w:num>
  <w:num w:numId="37">
    <w:abstractNumId w:val="31"/>
  </w:num>
  <w:num w:numId="38">
    <w:abstractNumId w:val="12"/>
  </w:num>
  <w:num w:numId="39">
    <w:abstractNumId w:val="24"/>
  </w:num>
  <w:num w:numId="40">
    <w:abstractNumId w:val="32"/>
  </w:num>
  <w:num w:numId="41">
    <w:abstractNumId w:val="41"/>
  </w:num>
  <w:num w:numId="42">
    <w:abstractNumId w:val="37"/>
  </w:num>
  <w:num w:numId="43">
    <w:abstractNumId w:val="18"/>
  </w:num>
  <w:num w:numId="44">
    <w:abstractNumId w:val="9"/>
  </w:num>
  <w:num w:numId="45">
    <w:abstractNumId w:val="2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wvosp\Desktop\20150614 - 20150620 electricity weekly report.docx"/>
  </w:docVars>
  <w:rsids>
    <w:rsidRoot w:val="00275002"/>
    <w:rsid w:val="000147C1"/>
    <w:rsid w:val="00021202"/>
    <w:rsid w:val="00022F09"/>
    <w:rsid w:val="000242E7"/>
    <w:rsid w:val="00030794"/>
    <w:rsid w:val="000316E7"/>
    <w:rsid w:val="00033902"/>
    <w:rsid w:val="0003564D"/>
    <w:rsid w:val="0003578C"/>
    <w:rsid w:val="00043FA7"/>
    <w:rsid w:val="000442BA"/>
    <w:rsid w:val="00051880"/>
    <w:rsid w:val="000528FD"/>
    <w:rsid w:val="00061CE2"/>
    <w:rsid w:val="00063247"/>
    <w:rsid w:val="00066157"/>
    <w:rsid w:val="00070F9F"/>
    <w:rsid w:val="0007137B"/>
    <w:rsid w:val="000766E2"/>
    <w:rsid w:val="00085663"/>
    <w:rsid w:val="00085EBF"/>
    <w:rsid w:val="00086CF3"/>
    <w:rsid w:val="0009584C"/>
    <w:rsid w:val="000A29ED"/>
    <w:rsid w:val="000B0311"/>
    <w:rsid w:val="000B3C8A"/>
    <w:rsid w:val="000D122C"/>
    <w:rsid w:val="000D68C5"/>
    <w:rsid w:val="000E1819"/>
    <w:rsid w:val="000E2946"/>
    <w:rsid w:val="000E6C72"/>
    <w:rsid w:val="000E77BB"/>
    <w:rsid w:val="000E7E24"/>
    <w:rsid w:val="000F5855"/>
    <w:rsid w:val="00100142"/>
    <w:rsid w:val="001158FE"/>
    <w:rsid w:val="00116EB2"/>
    <w:rsid w:val="00124609"/>
    <w:rsid w:val="00127CAB"/>
    <w:rsid w:val="00136A08"/>
    <w:rsid w:val="001373F1"/>
    <w:rsid w:val="0014511E"/>
    <w:rsid w:val="00151F61"/>
    <w:rsid w:val="00155113"/>
    <w:rsid w:val="001573E4"/>
    <w:rsid w:val="00160756"/>
    <w:rsid w:val="001711CC"/>
    <w:rsid w:val="0017232E"/>
    <w:rsid w:val="00174102"/>
    <w:rsid w:val="00180157"/>
    <w:rsid w:val="00186F77"/>
    <w:rsid w:val="00191C6F"/>
    <w:rsid w:val="00192441"/>
    <w:rsid w:val="001926A4"/>
    <w:rsid w:val="00193ED7"/>
    <w:rsid w:val="001B0C3B"/>
    <w:rsid w:val="001B45A0"/>
    <w:rsid w:val="001B6C15"/>
    <w:rsid w:val="001C17B3"/>
    <w:rsid w:val="001C1BC0"/>
    <w:rsid w:val="001D055E"/>
    <w:rsid w:val="001D0CE3"/>
    <w:rsid w:val="001E01B4"/>
    <w:rsid w:val="001E5AEE"/>
    <w:rsid w:val="001F03EF"/>
    <w:rsid w:val="001F0EC9"/>
    <w:rsid w:val="001F1B78"/>
    <w:rsid w:val="001F492E"/>
    <w:rsid w:val="001F6DA3"/>
    <w:rsid w:val="00203300"/>
    <w:rsid w:val="0020489F"/>
    <w:rsid w:val="002050F5"/>
    <w:rsid w:val="002072A2"/>
    <w:rsid w:val="00214FBA"/>
    <w:rsid w:val="00216865"/>
    <w:rsid w:val="00224DB9"/>
    <w:rsid w:val="00227C97"/>
    <w:rsid w:val="00251745"/>
    <w:rsid w:val="00251C37"/>
    <w:rsid w:val="00262F65"/>
    <w:rsid w:val="00263AC0"/>
    <w:rsid w:val="002649D2"/>
    <w:rsid w:val="002649D8"/>
    <w:rsid w:val="00265486"/>
    <w:rsid w:val="0026772D"/>
    <w:rsid w:val="00275002"/>
    <w:rsid w:val="00286874"/>
    <w:rsid w:val="0029246F"/>
    <w:rsid w:val="00296B65"/>
    <w:rsid w:val="002A7439"/>
    <w:rsid w:val="002A7DEF"/>
    <w:rsid w:val="002B0DAE"/>
    <w:rsid w:val="002D484E"/>
    <w:rsid w:val="002E6254"/>
    <w:rsid w:val="002F7986"/>
    <w:rsid w:val="003061FA"/>
    <w:rsid w:val="00307F6D"/>
    <w:rsid w:val="003177A2"/>
    <w:rsid w:val="00321853"/>
    <w:rsid w:val="003271B5"/>
    <w:rsid w:val="00331264"/>
    <w:rsid w:val="00334C8D"/>
    <w:rsid w:val="00336D50"/>
    <w:rsid w:val="00341169"/>
    <w:rsid w:val="003518B3"/>
    <w:rsid w:val="00352DA8"/>
    <w:rsid w:val="00354887"/>
    <w:rsid w:val="00366515"/>
    <w:rsid w:val="00371F3A"/>
    <w:rsid w:val="003846F1"/>
    <w:rsid w:val="00384A55"/>
    <w:rsid w:val="00384B54"/>
    <w:rsid w:val="003A0810"/>
    <w:rsid w:val="003A3E2D"/>
    <w:rsid w:val="003A41E0"/>
    <w:rsid w:val="003A7DC0"/>
    <w:rsid w:val="003B6F90"/>
    <w:rsid w:val="003C2B22"/>
    <w:rsid w:val="003C3C98"/>
    <w:rsid w:val="003C62E9"/>
    <w:rsid w:val="003C7EFA"/>
    <w:rsid w:val="003F0289"/>
    <w:rsid w:val="003F75C8"/>
    <w:rsid w:val="00403473"/>
    <w:rsid w:val="00411897"/>
    <w:rsid w:val="00414488"/>
    <w:rsid w:val="00415788"/>
    <w:rsid w:val="00416641"/>
    <w:rsid w:val="00456C20"/>
    <w:rsid w:val="00471E68"/>
    <w:rsid w:val="00480B4B"/>
    <w:rsid w:val="004831F8"/>
    <w:rsid w:val="00485DC4"/>
    <w:rsid w:val="00492A06"/>
    <w:rsid w:val="00493B02"/>
    <w:rsid w:val="004B104F"/>
    <w:rsid w:val="004B4412"/>
    <w:rsid w:val="004C348C"/>
    <w:rsid w:val="004C63B9"/>
    <w:rsid w:val="004C6C5B"/>
    <w:rsid w:val="004D5447"/>
    <w:rsid w:val="004D55BA"/>
    <w:rsid w:val="004E1E95"/>
    <w:rsid w:val="004E34E7"/>
    <w:rsid w:val="004E7D10"/>
    <w:rsid w:val="004F6ED0"/>
    <w:rsid w:val="005177C0"/>
    <w:rsid w:val="00522486"/>
    <w:rsid w:val="00522668"/>
    <w:rsid w:val="00530128"/>
    <w:rsid w:val="00532467"/>
    <w:rsid w:val="00543BEC"/>
    <w:rsid w:val="00555667"/>
    <w:rsid w:val="00556B64"/>
    <w:rsid w:val="005575B9"/>
    <w:rsid w:val="00564A4D"/>
    <w:rsid w:val="00571680"/>
    <w:rsid w:val="00571B35"/>
    <w:rsid w:val="00574241"/>
    <w:rsid w:val="00575C43"/>
    <w:rsid w:val="00577A09"/>
    <w:rsid w:val="00584D8F"/>
    <w:rsid w:val="00595ED0"/>
    <w:rsid w:val="005A1339"/>
    <w:rsid w:val="005A404D"/>
    <w:rsid w:val="005B0461"/>
    <w:rsid w:val="005B1E3C"/>
    <w:rsid w:val="005B7F8F"/>
    <w:rsid w:val="005C26CC"/>
    <w:rsid w:val="005C3411"/>
    <w:rsid w:val="005C3D54"/>
    <w:rsid w:val="005C5E72"/>
    <w:rsid w:val="005D2FBD"/>
    <w:rsid w:val="005D69AF"/>
    <w:rsid w:val="005F6ADE"/>
    <w:rsid w:val="005F7247"/>
    <w:rsid w:val="00603914"/>
    <w:rsid w:val="00612006"/>
    <w:rsid w:val="00613DEC"/>
    <w:rsid w:val="00615C6B"/>
    <w:rsid w:val="00620B1B"/>
    <w:rsid w:val="00621545"/>
    <w:rsid w:val="0062525D"/>
    <w:rsid w:val="00627B2D"/>
    <w:rsid w:val="00630A15"/>
    <w:rsid w:val="006319C1"/>
    <w:rsid w:val="00632D6D"/>
    <w:rsid w:val="00642C3E"/>
    <w:rsid w:val="00647804"/>
    <w:rsid w:val="00651005"/>
    <w:rsid w:val="00661F88"/>
    <w:rsid w:val="00663DAD"/>
    <w:rsid w:val="00676679"/>
    <w:rsid w:val="006777D7"/>
    <w:rsid w:val="00694FD6"/>
    <w:rsid w:val="006A6EDD"/>
    <w:rsid w:val="006B4CF9"/>
    <w:rsid w:val="006B7AC8"/>
    <w:rsid w:val="006C1E8B"/>
    <w:rsid w:val="006D550F"/>
    <w:rsid w:val="006D7923"/>
    <w:rsid w:val="006E1E7D"/>
    <w:rsid w:val="006F3750"/>
    <w:rsid w:val="006F3FCB"/>
    <w:rsid w:val="00700DAB"/>
    <w:rsid w:val="00701CAB"/>
    <w:rsid w:val="00707563"/>
    <w:rsid w:val="00712D03"/>
    <w:rsid w:val="0072348C"/>
    <w:rsid w:val="00724A37"/>
    <w:rsid w:val="007303C3"/>
    <w:rsid w:val="00743223"/>
    <w:rsid w:val="00746063"/>
    <w:rsid w:val="00746E01"/>
    <w:rsid w:val="00751821"/>
    <w:rsid w:val="007532DD"/>
    <w:rsid w:val="00753ADA"/>
    <w:rsid w:val="00760FD8"/>
    <w:rsid w:val="00762D41"/>
    <w:rsid w:val="00763E5D"/>
    <w:rsid w:val="00767740"/>
    <w:rsid w:val="00772A95"/>
    <w:rsid w:val="00777EE6"/>
    <w:rsid w:val="00780452"/>
    <w:rsid w:val="00782EEA"/>
    <w:rsid w:val="0079277A"/>
    <w:rsid w:val="007A1428"/>
    <w:rsid w:val="007A33E8"/>
    <w:rsid w:val="007B1732"/>
    <w:rsid w:val="007B2C72"/>
    <w:rsid w:val="007C1C53"/>
    <w:rsid w:val="007D2028"/>
    <w:rsid w:val="007E1516"/>
    <w:rsid w:val="007E4904"/>
    <w:rsid w:val="007E4CB5"/>
    <w:rsid w:val="007E5597"/>
    <w:rsid w:val="007F066B"/>
    <w:rsid w:val="007F0F77"/>
    <w:rsid w:val="007F475F"/>
    <w:rsid w:val="008033C4"/>
    <w:rsid w:val="00806C88"/>
    <w:rsid w:val="00807A5C"/>
    <w:rsid w:val="0081034E"/>
    <w:rsid w:val="0081253D"/>
    <w:rsid w:val="008238B2"/>
    <w:rsid w:val="008344F6"/>
    <w:rsid w:val="0083510F"/>
    <w:rsid w:val="008366CD"/>
    <w:rsid w:val="00847ED9"/>
    <w:rsid w:val="00851209"/>
    <w:rsid w:val="00857917"/>
    <w:rsid w:val="00861AED"/>
    <w:rsid w:val="00870903"/>
    <w:rsid w:val="0087280A"/>
    <w:rsid w:val="00873B1F"/>
    <w:rsid w:val="008837AC"/>
    <w:rsid w:val="00884D30"/>
    <w:rsid w:val="00886BAB"/>
    <w:rsid w:val="00887EBF"/>
    <w:rsid w:val="008A587D"/>
    <w:rsid w:val="008B416B"/>
    <w:rsid w:val="008B6DA5"/>
    <w:rsid w:val="008C1FE0"/>
    <w:rsid w:val="008C5486"/>
    <w:rsid w:val="008C6B16"/>
    <w:rsid w:val="008E1E8E"/>
    <w:rsid w:val="008E535A"/>
    <w:rsid w:val="008E6CAE"/>
    <w:rsid w:val="008E7031"/>
    <w:rsid w:val="008F6FC7"/>
    <w:rsid w:val="0090239D"/>
    <w:rsid w:val="009057E0"/>
    <w:rsid w:val="00914975"/>
    <w:rsid w:val="00914A87"/>
    <w:rsid w:val="00922ACF"/>
    <w:rsid w:val="009233EE"/>
    <w:rsid w:val="0092422F"/>
    <w:rsid w:val="009377D8"/>
    <w:rsid w:val="00956C19"/>
    <w:rsid w:val="00957591"/>
    <w:rsid w:val="00960AC5"/>
    <w:rsid w:val="009661DE"/>
    <w:rsid w:val="00972A40"/>
    <w:rsid w:val="00981578"/>
    <w:rsid w:val="00982FEB"/>
    <w:rsid w:val="009837D1"/>
    <w:rsid w:val="009856B7"/>
    <w:rsid w:val="00985A66"/>
    <w:rsid w:val="009A3D22"/>
    <w:rsid w:val="009B21F2"/>
    <w:rsid w:val="009B4E65"/>
    <w:rsid w:val="009B69AA"/>
    <w:rsid w:val="009B74B0"/>
    <w:rsid w:val="009C6A83"/>
    <w:rsid w:val="009D3016"/>
    <w:rsid w:val="009D6B46"/>
    <w:rsid w:val="009E7749"/>
    <w:rsid w:val="009E7AC6"/>
    <w:rsid w:val="009F4940"/>
    <w:rsid w:val="00A041F4"/>
    <w:rsid w:val="00A159BF"/>
    <w:rsid w:val="00A3632A"/>
    <w:rsid w:val="00A4478A"/>
    <w:rsid w:val="00A44852"/>
    <w:rsid w:val="00A57D04"/>
    <w:rsid w:val="00A60A26"/>
    <w:rsid w:val="00A61598"/>
    <w:rsid w:val="00A64EBB"/>
    <w:rsid w:val="00A71AA6"/>
    <w:rsid w:val="00A75AAA"/>
    <w:rsid w:val="00A81EF8"/>
    <w:rsid w:val="00A84F46"/>
    <w:rsid w:val="00A871F4"/>
    <w:rsid w:val="00A91A4B"/>
    <w:rsid w:val="00A923DD"/>
    <w:rsid w:val="00A94D89"/>
    <w:rsid w:val="00AA476F"/>
    <w:rsid w:val="00AA649A"/>
    <w:rsid w:val="00AB6478"/>
    <w:rsid w:val="00AC1B2C"/>
    <w:rsid w:val="00AC3264"/>
    <w:rsid w:val="00AD592F"/>
    <w:rsid w:val="00AE1BF1"/>
    <w:rsid w:val="00AF0DD2"/>
    <w:rsid w:val="00AF46F3"/>
    <w:rsid w:val="00AF7058"/>
    <w:rsid w:val="00B057C8"/>
    <w:rsid w:val="00B1285B"/>
    <w:rsid w:val="00B13048"/>
    <w:rsid w:val="00B14CE4"/>
    <w:rsid w:val="00B1716D"/>
    <w:rsid w:val="00B17A1D"/>
    <w:rsid w:val="00B207A0"/>
    <w:rsid w:val="00B26AAA"/>
    <w:rsid w:val="00B35810"/>
    <w:rsid w:val="00B4128D"/>
    <w:rsid w:val="00B41686"/>
    <w:rsid w:val="00B56E03"/>
    <w:rsid w:val="00B63E2C"/>
    <w:rsid w:val="00B70CA5"/>
    <w:rsid w:val="00B752C5"/>
    <w:rsid w:val="00B8080B"/>
    <w:rsid w:val="00B85D8A"/>
    <w:rsid w:val="00B87C39"/>
    <w:rsid w:val="00B87DD6"/>
    <w:rsid w:val="00B904FF"/>
    <w:rsid w:val="00B92CD5"/>
    <w:rsid w:val="00BA390A"/>
    <w:rsid w:val="00BA4665"/>
    <w:rsid w:val="00BB2FB2"/>
    <w:rsid w:val="00BB3304"/>
    <w:rsid w:val="00BC675F"/>
    <w:rsid w:val="00BD3446"/>
    <w:rsid w:val="00BE1F1B"/>
    <w:rsid w:val="00BE47B5"/>
    <w:rsid w:val="00BF771C"/>
    <w:rsid w:val="00C064A7"/>
    <w:rsid w:val="00C16B2C"/>
    <w:rsid w:val="00C30BBE"/>
    <w:rsid w:val="00C34065"/>
    <w:rsid w:val="00C4709E"/>
    <w:rsid w:val="00C538A9"/>
    <w:rsid w:val="00C53B5A"/>
    <w:rsid w:val="00C54F5A"/>
    <w:rsid w:val="00C56506"/>
    <w:rsid w:val="00C565C5"/>
    <w:rsid w:val="00C62797"/>
    <w:rsid w:val="00C6290C"/>
    <w:rsid w:val="00C672E0"/>
    <w:rsid w:val="00C729B4"/>
    <w:rsid w:val="00C73A47"/>
    <w:rsid w:val="00C73C83"/>
    <w:rsid w:val="00C74A11"/>
    <w:rsid w:val="00C8473D"/>
    <w:rsid w:val="00C86679"/>
    <w:rsid w:val="00C86919"/>
    <w:rsid w:val="00C872DB"/>
    <w:rsid w:val="00C950AF"/>
    <w:rsid w:val="00CA04F2"/>
    <w:rsid w:val="00CB666B"/>
    <w:rsid w:val="00CB695E"/>
    <w:rsid w:val="00CD40AD"/>
    <w:rsid w:val="00CE1831"/>
    <w:rsid w:val="00CF0E01"/>
    <w:rsid w:val="00CF455C"/>
    <w:rsid w:val="00CF5382"/>
    <w:rsid w:val="00D01CF0"/>
    <w:rsid w:val="00D0442A"/>
    <w:rsid w:val="00D07128"/>
    <w:rsid w:val="00D2306D"/>
    <w:rsid w:val="00D270E1"/>
    <w:rsid w:val="00D32767"/>
    <w:rsid w:val="00D44037"/>
    <w:rsid w:val="00D4681D"/>
    <w:rsid w:val="00D5111E"/>
    <w:rsid w:val="00D61388"/>
    <w:rsid w:val="00D615F9"/>
    <w:rsid w:val="00D61A54"/>
    <w:rsid w:val="00D64DEA"/>
    <w:rsid w:val="00D74261"/>
    <w:rsid w:val="00D74971"/>
    <w:rsid w:val="00D80893"/>
    <w:rsid w:val="00D92CF1"/>
    <w:rsid w:val="00D92D38"/>
    <w:rsid w:val="00D936B6"/>
    <w:rsid w:val="00D950F5"/>
    <w:rsid w:val="00DB0F93"/>
    <w:rsid w:val="00DB16A7"/>
    <w:rsid w:val="00DC153A"/>
    <w:rsid w:val="00DC24BF"/>
    <w:rsid w:val="00DC2907"/>
    <w:rsid w:val="00DC5E54"/>
    <w:rsid w:val="00DC7981"/>
    <w:rsid w:val="00DD15C2"/>
    <w:rsid w:val="00DE4EFA"/>
    <w:rsid w:val="00DE5520"/>
    <w:rsid w:val="00DF7793"/>
    <w:rsid w:val="00E00EC9"/>
    <w:rsid w:val="00E03069"/>
    <w:rsid w:val="00E04818"/>
    <w:rsid w:val="00E06442"/>
    <w:rsid w:val="00E135DB"/>
    <w:rsid w:val="00E13C85"/>
    <w:rsid w:val="00E23993"/>
    <w:rsid w:val="00E25B8C"/>
    <w:rsid w:val="00E32A8C"/>
    <w:rsid w:val="00E3678B"/>
    <w:rsid w:val="00E3724C"/>
    <w:rsid w:val="00E37F0B"/>
    <w:rsid w:val="00E40B9C"/>
    <w:rsid w:val="00E4680F"/>
    <w:rsid w:val="00E47EAD"/>
    <w:rsid w:val="00E52A27"/>
    <w:rsid w:val="00E65C85"/>
    <w:rsid w:val="00E66199"/>
    <w:rsid w:val="00E715D5"/>
    <w:rsid w:val="00E7472E"/>
    <w:rsid w:val="00E755EC"/>
    <w:rsid w:val="00E7624D"/>
    <w:rsid w:val="00E823D9"/>
    <w:rsid w:val="00E86851"/>
    <w:rsid w:val="00EA3D42"/>
    <w:rsid w:val="00EA6B1B"/>
    <w:rsid w:val="00EB049F"/>
    <w:rsid w:val="00EB540F"/>
    <w:rsid w:val="00EB7D7F"/>
    <w:rsid w:val="00EC317E"/>
    <w:rsid w:val="00ED3C5B"/>
    <w:rsid w:val="00ED4A25"/>
    <w:rsid w:val="00EE28F3"/>
    <w:rsid w:val="00EE347F"/>
    <w:rsid w:val="00EF5110"/>
    <w:rsid w:val="00F02D9B"/>
    <w:rsid w:val="00F031FE"/>
    <w:rsid w:val="00F113FD"/>
    <w:rsid w:val="00F13EAA"/>
    <w:rsid w:val="00F15882"/>
    <w:rsid w:val="00F1785E"/>
    <w:rsid w:val="00F20BD3"/>
    <w:rsid w:val="00F3590E"/>
    <w:rsid w:val="00F373A5"/>
    <w:rsid w:val="00F45B2F"/>
    <w:rsid w:val="00F47559"/>
    <w:rsid w:val="00F61AA8"/>
    <w:rsid w:val="00F64C7B"/>
    <w:rsid w:val="00F662F1"/>
    <w:rsid w:val="00F66967"/>
    <w:rsid w:val="00F676DD"/>
    <w:rsid w:val="00F70811"/>
    <w:rsid w:val="00F71486"/>
    <w:rsid w:val="00F75A26"/>
    <w:rsid w:val="00F83FAD"/>
    <w:rsid w:val="00F87EBA"/>
    <w:rsid w:val="00F952A0"/>
    <w:rsid w:val="00F965FC"/>
    <w:rsid w:val="00FA3830"/>
    <w:rsid w:val="00FA3C7F"/>
    <w:rsid w:val="00FB153F"/>
    <w:rsid w:val="00FB41E6"/>
    <w:rsid w:val="00FB74E2"/>
    <w:rsid w:val="00FC447B"/>
    <w:rsid w:val="00FD0763"/>
    <w:rsid w:val="00FD166D"/>
    <w:rsid w:val="00FD2F97"/>
    <w:rsid w:val="00FD5614"/>
    <w:rsid w:val="00FD72DC"/>
    <w:rsid w:val="00FE0BE1"/>
    <w:rsid w:val="00FE1DE9"/>
    <w:rsid w:val="00FE39C2"/>
    <w:rsid w:val="00FE3E67"/>
    <w:rsid w:val="00FE64AE"/>
    <w:rsid w:val="00FF3373"/>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5F3929-868E-4838-9D03-8047C452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A7FD39E4</Template>
  <TotalTime>0</TotalTime>
  <Pages>10</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2015-07-07T04:04:00Z</dcterms:created>
  <dcterms:modified xsi:type="dcterms:W3CDTF">2015-07-07T04:05:00Z</dcterms:modified>
</cp:coreProperties>
</file>