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Default="009C4474" w:rsidP="00AF2164">
      <w:pPr>
        <w:pStyle w:val="Heading1"/>
        <w:numPr>
          <w:ilvl w:val="0"/>
          <w:numId w:val="0"/>
        </w:numPr>
        <w:spacing w:before="120" w:after="0"/>
      </w:pPr>
      <w:bookmarkStart w:id="0" w:name="OLE_LINK66"/>
      <w:bookmarkStart w:id="1" w:name="OLE_LINK6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99pt" o:allowoverlap="f">
            <v:imagedata r:id="rId9" o:title=""/>
          </v:shape>
        </w:pict>
      </w:r>
      <w:r w:rsidR="00690FFA">
        <w:rPr>
          <w:noProof/>
          <w:sz w:val="28"/>
          <w:szCs w:val="28"/>
        </w:rPr>
        <w:pict>
          <v:shapetype id="_x0000_t202" coordsize="21600,21600" o:spt="202" path="m,l,21600r21600,l21600,xe">
            <v:stroke joinstyle="miter"/>
            <v:path gradientshapeok="t" o:connecttype="rect"/>
          </v:shapetype>
          <v:shape id="_x0000_s1032" type="#_x0000_t202" style="position:absolute;margin-left:-.55pt;margin-top:8.25pt;width:249.4pt;height:72.75pt;z-index:251658240;mso-position-horizontal-relative:text;mso-position-vertical-relative:text" filled="f" stroked="f">
            <v:textbox style="mso-next-textbox:#_x0000_s1032">
              <w:txbxContent>
                <w:p w:rsidR="00FF0D8A" w:rsidRDefault="00FF0D8A" w:rsidP="00231B0A">
                  <w:pPr>
                    <w:pStyle w:val="Title"/>
                  </w:pPr>
                  <w:r w:rsidRPr="00231B0A">
                    <w:t xml:space="preserve">Weekly Gas </w:t>
                  </w:r>
                  <w:r>
                    <w:t>M</w:t>
                  </w:r>
                  <w:r w:rsidRPr="00231B0A">
                    <w:t xml:space="preserve">arket Report </w:t>
                  </w:r>
                </w:p>
                <w:p w:rsidR="00FF0D8A" w:rsidRPr="00A65EC8" w:rsidRDefault="00AA7088" w:rsidP="00231B0A">
                  <w:pPr>
                    <w:pStyle w:val="Title"/>
                  </w:pPr>
                  <w:r>
                    <w:t>7 – 13 June 2015</w:t>
                  </w:r>
                </w:p>
                <w:p w:rsidR="00FF0D8A" w:rsidRPr="00231B0A" w:rsidRDefault="00FF0D8A" w:rsidP="00231B0A">
                  <w:pPr>
                    <w:pStyle w:val="Subtitle"/>
                  </w:pPr>
                </w:p>
              </w:txbxContent>
            </v:textbox>
          </v:shape>
        </w:pict>
      </w:r>
      <w:r w:rsidR="00690FFA">
        <w:rPr>
          <w:noProof/>
        </w:rPr>
        <w:pict>
          <v:shape id="_x0000_s1029" type="#_x0000_t75" style="position:absolute;margin-left:720.75pt;margin-top:282.05pt;width:386.3pt;height:299.3pt;z-index:251657216;mso-position-horizontal-relative:text;mso-position-vertical-relative:text" fillcolor="black" strokecolor="white" strokeweight="3e-5mm">
            <v:imagedata r:id="rId10" o:title=""/>
            <o:lock v:ext="edit" rotation="t"/>
          </v:shape>
        </w:pict>
      </w:r>
    </w:p>
    <w:p w:rsidR="00A67716" w:rsidRDefault="00A67716" w:rsidP="00D1641C">
      <w:pPr>
        <w:pStyle w:val="Heading1"/>
        <w:numPr>
          <w:ilvl w:val="0"/>
          <w:numId w:val="0"/>
        </w:numPr>
        <w:spacing w:before="0" w:after="120"/>
        <w:rPr>
          <w:rFonts w:cs="Times New Roman"/>
          <w:noProof/>
          <w:color w:val="2272A3"/>
          <w:kern w:val="0"/>
          <w:szCs w:val="20"/>
          <w:lang w:eastAsia="en-US"/>
        </w:rPr>
      </w:pPr>
      <w:r w:rsidRPr="00AF2164">
        <w:rPr>
          <w:rFonts w:cs="Times New Roman"/>
          <w:noProof/>
          <w:color w:val="2272A3"/>
          <w:kern w:val="0"/>
          <w:szCs w:val="20"/>
          <w:lang w:eastAsia="en-US"/>
        </w:rPr>
        <w:t>Wee</w:t>
      </w:r>
      <w:r w:rsidR="00AF2164" w:rsidRPr="00AF2164">
        <w:rPr>
          <w:rFonts w:cs="Times New Roman"/>
          <w:noProof/>
          <w:color w:val="2272A3"/>
          <w:kern w:val="0"/>
          <w:szCs w:val="20"/>
          <w:lang w:eastAsia="en-US"/>
        </w:rPr>
        <w:t>kly summary</w:t>
      </w:r>
    </w:p>
    <w:p w:rsidR="001720DC" w:rsidRDefault="001720DC" w:rsidP="001720DC">
      <w:pPr>
        <w:pStyle w:val="AERbodytext"/>
        <w:spacing w:line="240" w:lineRule="auto"/>
        <w:jc w:val="both"/>
      </w:pPr>
      <w:r w:rsidRPr="00F461DC">
        <w:t>Prices in all regions reduced this week</w:t>
      </w:r>
      <w:r w:rsidR="00AF7215">
        <w:t xml:space="preserve">. This was in contrast to the previous week when </w:t>
      </w:r>
      <w:r w:rsidRPr="00F461DC">
        <w:t>a trip at Longford which saw high prices throughout the week.</w:t>
      </w:r>
    </w:p>
    <w:p w:rsidR="009E76C5" w:rsidRPr="00F461DC" w:rsidRDefault="009E76C5" w:rsidP="001720DC">
      <w:pPr>
        <w:pStyle w:val="AERbodytext"/>
        <w:spacing w:line="240" w:lineRule="auto"/>
        <w:jc w:val="both"/>
      </w:pPr>
      <w:r>
        <w:t>The Condabri North production facility in Roma commenced reporting on the Bulletin Board.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AF2164">
        <w:rPr>
          <w:rFonts w:cs="Times New Roman"/>
          <w:noProof/>
          <w:color w:val="2272A3"/>
          <w:kern w:val="0"/>
          <w:szCs w:val="20"/>
          <w:lang w:eastAsia="en-US"/>
        </w:rPr>
        <w:t>Long term statistics and explanatory mate</w:t>
      </w:r>
      <w:r w:rsidR="007D470C">
        <w:rPr>
          <w:rFonts w:cs="Times New Roman"/>
          <w:noProof/>
          <w:color w:val="2272A3"/>
          <w:kern w:val="0"/>
          <w:szCs w:val="20"/>
          <w:lang w:eastAsia="en-US"/>
        </w:rPr>
        <w:t>rial</w:t>
      </w:r>
    </w:p>
    <w:p w:rsidR="00AF2164" w:rsidRPr="00AF2164" w:rsidRDefault="00AF2164" w:rsidP="00FF0D8A">
      <w:pPr>
        <w:jc w:val="both"/>
      </w:pPr>
      <w:r>
        <w:t xml:space="preserve">The AER has published an </w:t>
      </w:r>
      <w:hyperlink r:id="rId11" w:history="1">
        <w:r>
          <w:rPr>
            <w:rStyle w:val="Hyperlink"/>
          </w:rPr>
          <w:t>explanatory note</w:t>
        </w:r>
      </w:hyperlink>
      <w:r>
        <w:t xml:space="preserve"> to assist with interpreting the data presented in its weekly gas market reports. The AER also publish a range of </w:t>
      </w:r>
      <w:hyperlink r:id="rId12" w:history="1">
        <w:r>
          <w:rPr>
            <w:rStyle w:val="Hyperlink"/>
          </w:rPr>
          <w:t>longer term statistics</w:t>
        </w:r>
      </w:hyperlink>
      <w:r>
        <w:t xml:space="preserve"> on the performance of the gas sector including gas prices, production, pipeline flows and consumer demand.</w:t>
      </w:r>
    </w:p>
    <w:p w:rsidR="00AF2164" w:rsidRPr="00D1641C" w:rsidRDefault="00AF2164" w:rsidP="006E7E57">
      <w:pPr>
        <w:pStyle w:val="Heading1"/>
        <w:numPr>
          <w:ilvl w:val="0"/>
          <w:numId w:val="0"/>
        </w:numPr>
        <w:spacing w:before="180"/>
        <w:rPr>
          <w:rFonts w:cs="Times New Roman"/>
          <w:noProof/>
          <w:color w:val="2272A3"/>
          <w:kern w:val="0"/>
          <w:szCs w:val="20"/>
          <w:lang w:eastAsia="en-US"/>
        </w:rPr>
      </w:pPr>
      <w:r w:rsidRPr="00D1641C">
        <w:rPr>
          <w:rFonts w:cs="Times New Roman"/>
          <w:noProof/>
          <w:color w:val="2272A3"/>
          <w:kern w:val="0"/>
          <w:szCs w:val="20"/>
          <w:lang w:eastAsia="en-US"/>
        </w:rPr>
        <w:t>Market overview</w:t>
      </w:r>
    </w:p>
    <w:p w:rsidR="00D1641C" w:rsidRDefault="00D1641C" w:rsidP="00FF0D8A">
      <w:pPr>
        <w:jc w:val="both"/>
        <w:rPr>
          <w:szCs w:val="22"/>
        </w:rPr>
      </w:pPr>
      <w:r w:rsidRPr="008D4DAB">
        <w:t xml:space="preserve">Figure 1 sets out the average daily prices ($/GJ) in the Victorian Declared Wholesale Market </w:t>
      </w:r>
      <w:r w:rsidRPr="000F2287">
        <w:rPr>
          <w:b/>
          <w:szCs w:val="22"/>
        </w:rPr>
        <w:t>(VGM or Victorian gas market)</w:t>
      </w:r>
      <w:r w:rsidRPr="000F2287">
        <w:rPr>
          <w:szCs w:val="22"/>
        </w:rPr>
        <w:t xml:space="preserve"> and for the Sydney </w:t>
      </w:r>
      <w:r w:rsidRPr="000F2287">
        <w:rPr>
          <w:b/>
          <w:szCs w:val="22"/>
        </w:rPr>
        <w:t>(SYD)</w:t>
      </w:r>
      <w:r w:rsidRPr="000F2287">
        <w:rPr>
          <w:szCs w:val="22"/>
        </w:rPr>
        <w:t xml:space="preserve">, Adelaide </w:t>
      </w:r>
      <w:r w:rsidRPr="000F2287">
        <w:rPr>
          <w:b/>
          <w:szCs w:val="22"/>
        </w:rPr>
        <w:t xml:space="preserve">(ADL) </w:t>
      </w:r>
      <w:r w:rsidRPr="000F2287">
        <w:rPr>
          <w:szCs w:val="22"/>
        </w:rPr>
        <w:t xml:space="preserve">and Brisbane </w:t>
      </w:r>
      <w:r w:rsidRPr="000F2287">
        <w:rPr>
          <w:b/>
          <w:szCs w:val="22"/>
        </w:rPr>
        <w:t xml:space="preserve">(BRI) </w:t>
      </w:r>
      <w:r w:rsidRPr="000F2287">
        <w:rPr>
          <w:szCs w:val="22"/>
        </w:rPr>
        <w:t xml:space="preserve">Short Term Trading Market hubs </w:t>
      </w:r>
      <w:r w:rsidRPr="000F2287">
        <w:rPr>
          <w:b/>
          <w:szCs w:val="22"/>
        </w:rPr>
        <w:t>(STTM)</w:t>
      </w:r>
      <w:r w:rsidRPr="000F2287">
        <w:rPr>
          <w:szCs w:val="22"/>
        </w:rPr>
        <w:t xml:space="preserve"> for the current week compared to historical averages.</w:t>
      </w:r>
    </w:p>
    <w:p w:rsidR="00D1641C" w:rsidRPr="006E7E57" w:rsidRDefault="00D1641C" w:rsidP="006E7E57">
      <w:pPr>
        <w:pStyle w:val="Heading2"/>
        <w:ind w:firstLine="0"/>
        <w:rPr>
          <w:i w:val="0"/>
          <w:color w:val="2272A3"/>
          <w:sz w:val="24"/>
          <w:szCs w:val="24"/>
        </w:rPr>
      </w:pPr>
      <w:r w:rsidRPr="006E7E57">
        <w:rPr>
          <w:i w:val="0"/>
          <w:color w:val="2272A3"/>
          <w:sz w:val="24"/>
          <w:szCs w:val="24"/>
        </w:rPr>
        <w:t>Average daily prices – all markets ($/GJ)</w:t>
      </w:r>
      <w:r w:rsidRPr="006E7E57">
        <w:rPr>
          <w:i w:val="0"/>
          <w:color w:val="2272A3"/>
          <w:sz w:val="24"/>
          <w:szCs w:val="24"/>
          <w:vertAlign w:val="superscript"/>
        </w:rPr>
        <w:footnoteReference w:id="1"/>
      </w:r>
    </w:p>
    <w:tbl>
      <w:tblPr>
        <w:tblStyle w:val="AERTable-Text0"/>
        <w:tblW w:w="9468" w:type="dxa"/>
        <w:tblLayout w:type="fixed"/>
        <w:tblLook w:val="01E0" w:firstRow="1" w:lastRow="1" w:firstColumn="1" w:lastColumn="1" w:noHBand="0" w:noVBand="0"/>
      </w:tblPr>
      <w:tblGrid>
        <w:gridCol w:w="3710"/>
        <w:gridCol w:w="1439"/>
        <w:gridCol w:w="1440"/>
        <w:gridCol w:w="1439"/>
        <w:gridCol w:w="1440"/>
      </w:tblGrid>
      <w:tr w:rsidR="00FF0D8A" w:rsidRPr="00936A7B" w:rsidTr="00FF0D8A">
        <w:trPr>
          <w:cnfStyle w:val="100000000000" w:firstRow="1" w:lastRow="0" w:firstColumn="0" w:lastColumn="0" w:oddVBand="0" w:evenVBand="0" w:oddHBand="0" w:evenHBand="0" w:firstRowFirstColumn="0" w:firstRowLastColumn="0" w:lastRowFirstColumn="0" w:lastRowLastColumn="0"/>
          <w:trHeight w:val="226"/>
          <w:tblHeader/>
        </w:trPr>
        <w:tc>
          <w:tcPr>
            <w:tcW w:w="3710" w:type="dxa"/>
            <w:noWrap/>
          </w:tcPr>
          <w:p w:rsidR="00FF0D8A" w:rsidRPr="00936A7B" w:rsidRDefault="00FF0D8A" w:rsidP="00FF0D8A">
            <w:pPr>
              <w:jc w:val="center"/>
              <w:rPr>
                <w:sz w:val="20"/>
              </w:rPr>
            </w:pPr>
            <w:r>
              <w:rPr>
                <w:sz w:val="20"/>
              </w:rPr>
              <w:t>Region</w:t>
            </w:r>
            <w:r w:rsidRPr="00936A7B">
              <w:rPr>
                <w:sz w:val="20"/>
              </w:rPr>
              <w:t> </w:t>
            </w:r>
          </w:p>
        </w:tc>
        <w:tc>
          <w:tcPr>
            <w:tcW w:w="1439" w:type="dxa"/>
            <w:noWrap/>
          </w:tcPr>
          <w:p w:rsidR="00FF0D8A" w:rsidRPr="00936A7B" w:rsidRDefault="00FF0D8A" w:rsidP="00FF0D8A">
            <w:pPr>
              <w:jc w:val="center"/>
              <w:rPr>
                <w:sz w:val="20"/>
              </w:rPr>
            </w:pPr>
            <w:r w:rsidRPr="00936A7B">
              <w:rPr>
                <w:sz w:val="20"/>
              </w:rPr>
              <w:t>Victoria</w:t>
            </w:r>
          </w:p>
        </w:tc>
        <w:tc>
          <w:tcPr>
            <w:tcW w:w="1440" w:type="dxa"/>
            <w:noWrap/>
          </w:tcPr>
          <w:p w:rsidR="00FF0D8A" w:rsidRPr="00936A7B" w:rsidRDefault="00FF0D8A" w:rsidP="00FF0D8A">
            <w:pPr>
              <w:jc w:val="center"/>
              <w:rPr>
                <w:sz w:val="20"/>
              </w:rPr>
            </w:pPr>
            <w:r w:rsidRPr="00936A7B">
              <w:rPr>
                <w:sz w:val="20"/>
              </w:rPr>
              <w:t>Sydney</w:t>
            </w:r>
          </w:p>
        </w:tc>
        <w:tc>
          <w:tcPr>
            <w:tcW w:w="1439" w:type="dxa"/>
            <w:noWrap/>
          </w:tcPr>
          <w:p w:rsidR="00FF0D8A" w:rsidRPr="00936A7B" w:rsidRDefault="00FF0D8A" w:rsidP="00FF0D8A">
            <w:pPr>
              <w:jc w:val="center"/>
              <w:rPr>
                <w:sz w:val="20"/>
              </w:rPr>
            </w:pPr>
            <w:r w:rsidRPr="00936A7B">
              <w:rPr>
                <w:sz w:val="20"/>
              </w:rPr>
              <w:t>Adelaide</w:t>
            </w:r>
          </w:p>
        </w:tc>
        <w:tc>
          <w:tcPr>
            <w:tcW w:w="1440" w:type="dxa"/>
            <w:noWrap/>
          </w:tcPr>
          <w:p w:rsidR="00FF0D8A" w:rsidRPr="00936A7B" w:rsidRDefault="00FF0D8A" w:rsidP="00FF0D8A">
            <w:pPr>
              <w:jc w:val="center"/>
              <w:rPr>
                <w:sz w:val="20"/>
              </w:rPr>
            </w:pPr>
            <w:r w:rsidRPr="00936A7B">
              <w:rPr>
                <w:sz w:val="20"/>
              </w:rPr>
              <w:t>Brisbane</w:t>
            </w:r>
          </w:p>
        </w:tc>
      </w:tr>
      <w:tr w:rsidR="00AA7088" w:rsidRPr="00936A7B" w:rsidTr="003B29E7">
        <w:trPr>
          <w:trHeight w:val="382"/>
        </w:trPr>
        <w:tc>
          <w:tcPr>
            <w:tcW w:w="3710" w:type="dxa"/>
            <w:noWrap/>
            <w:vAlign w:val="center"/>
          </w:tcPr>
          <w:p w:rsidR="00AA7088" w:rsidRDefault="00AA7088">
            <w:pPr>
              <w:rPr>
                <w:rFonts w:cs="Arial"/>
                <w:sz w:val="20"/>
                <w:szCs w:val="20"/>
              </w:rPr>
            </w:pPr>
            <w:r>
              <w:rPr>
                <w:rFonts w:cs="Arial"/>
                <w:sz w:val="20"/>
                <w:szCs w:val="20"/>
              </w:rPr>
              <w:t>07 Jun - 13 Jun 2015</w:t>
            </w:r>
          </w:p>
        </w:tc>
        <w:tc>
          <w:tcPr>
            <w:tcW w:w="1439" w:type="dxa"/>
            <w:noWrap/>
            <w:vAlign w:val="center"/>
          </w:tcPr>
          <w:p w:rsidR="00AA7088" w:rsidRDefault="00AA7088">
            <w:pPr>
              <w:jc w:val="center"/>
              <w:rPr>
                <w:rFonts w:cs="Arial"/>
                <w:sz w:val="20"/>
                <w:szCs w:val="20"/>
              </w:rPr>
            </w:pPr>
            <w:r>
              <w:rPr>
                <w:rFonts w:cs="Arial"/>
                <w:sz w:val="20"/>
                <w:szCs w:val="20"/>
              </w:rPr>
              <w:t>4.41</w:t>
            </w:r>
          </w:p>
        </w:tc>
        <w:tc>
          <w:tcPr>
            <w:tcW w:w="1440" w:type="dxa"/>
            <w:noWrap/>
            <w:vAlign w:val="center"/>
          </w:tcPr>
          <w:p w:rsidR="00AA7088" w:rsidRDefault="00AA7088">
            <w:pPr>
              <w:jc w:val="center"/>
              <w:rPr>
                <w:rFonts w:cs="Arial"/>
                <w:sz w:val="20"/>
                <w:szCs w:val="20"/>
              </w:rPr>
            </w:pPr>
            <w:r>
              <w:rPr>
                <w:rFonts w:cs="Arial"/>
                <w:sz w:val="20"/>
                <w:szCs w:val="20"/>
              </w:rPr>
              <w:t>5.05</w:t>
            </w:r>
          </w:p>
        </w:tc>
        <w:tc>
          <w:tcPr>
            <w:tcW w:w="1439" w:type="dxa"/>
            <w:noWrap/>
            <w:vAlign w:val="center"/>
          </w:tcPr>
          <w:p w:rsidR="00AA7088" w:rsidRDefault="00AA7088">
            <w:pPr>
              <w:jc w:val="center"/>
              <w:rPr>
                <w:rFonts w:cs="Arial"/>
                <w:sz w:val="20"/>
                <w:szCs w:val="20"/>
              </w:rPr>
            </w:pPr>
            <w:r>
              <w:rPr>
                <w:rFonts w:cs="Arial"/>
                <w:sz w:val="20"/>
                <w:szCs w:val="20"/>
              </w:rPr>
              <w:t>4.96</w:t>
            </w:r>
          </w:p>
        </w:tc>
        <w:tc>
          <w:tcPr>
            <w:tcW w:w="1440" w:type="dxa"/>
            <w:noWrap/>
            <w:vAlign w:val="center"/>
          </w:tcPr>
          <w:p w:rsidR="00AA7088" w:rsidRDefault="00AA7088">
            <w:pPr>
              <w:jc w:val="center"/>
              <w:rPr>
                <w:rFonts w:cs="Arial"/>
                <w:sz w:val="20"/>
                <w:szCs w:val="20"/>
              </w:rPr>
            </w:pPr>
            <w:r>
              <w:rPr>
                <w:rFonts w:cs="Arial"/>
                <w:sz w:val="20"/>
                <w:szCs w:val="20"/>
              </w:rPr>
              <w:t>2.84</w:t>
            </w:r>
          </w:p>
        </w:tc>
      </w:tr>
      <w:tr w:rsidR="00AA7088" w:rsidRPr="00936A7B" w:rsidTr="003B29E7">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AA7088" w:rsidRDefault="00AA7088">
            <w:pPr>
              <w:rPr>
                <w:rFonts w:cs="Arial"/>
                <w:sz w:val="20"/>
                <w:szCs w:val="20"/>
              </w:rPr>
            </w:pPr>
            <w:r>
              <w:rPr>
                <w:rFonts w:cs="Arial"/>
                <w:sz w:val="20"/>
                <w:szCs w:val="20"/>
              </w:rPr>
              <w:t>% change from previous week</w:t>
            </w:r>
          </w:p>
        </w:tc>
        <w:tc>
          <w:tcPr>
            <w:tcW w:w="1439" w:type="dxa"/>
            <w:noWrap/>
            <w:vAlign w:val="center"/>
          </w:tcPr>
          <w:p w:rsidR="00AA7088" w:rsidRDefault="00AA7088">
            <w:pPr>
              <w:jc w:val="center"/>
              <w:rPr>
                <w:rFonts w:cs="Arial"/>
                <w:sz w:val="20"/>
                <w:szCs w:val="20"/>
              </w:rPr>
            </w:pPr>
            <w:r>
              <w:rPr>
                <w:rFonts w:cs="Arial"/>
                <w:sz w:val="20"/>
                <w:szCs w:val="20"/>
              </w:rPr>
              <w:t>-15</w:t>
            </w:r>
          </w:p>
        </w:tc>
        <w:tc>
          <w:tcPr>
            <w:tcW w:w="1440" w:type="dxa"/>
            <w:noWrap/>
            <w:vAlign w:val="center"/>
          </w:tcPr>
          <w:p w:rsidR="00AA7088" w:rsidRDefault="00AA7088">
            <w:pPr>
              <w:jc w:val="center"/>
              <w:rPr>
                <w:rFonts w:cs="Arial"/>
                <w:sz w:val="20"/>
                <w:szCs w:val="20"/>
              </w:rPr>
            </w:pPr>
            <w:r>
              <w:rPr>
                <w:rFonts w:cs="Arial"/>
                <w:sz w:val="20"/>
                <w:szCs w:val="20"/>
              </w:rPr>
              <w:t>-17</w:t>
            </w:r>
          </w:p>
        </w:tc>
        <w:tc>
          <w:tcPr>
            <w:tcW w:w="1439" w:type="dxa"/>
            <w:noWrap/>
            <w:vAlign w:val="center"/>
          </w:tcPr>
          <w:p w:rsidR="00AA7088" w:rsidRDefault="00AA7088">
            <w:pPr>
              <w:jc w:val="center"/>
              <w:rPr>
                <w:rFonts w:cs="Arial"/>
                <w:sz w:val="20"/>
                <w:szCs w:val="20"/>
              </w:rPr>
            </w:pPr>
            <w:r>
              <w:rPr>
                <w:rFonts w:cs="Arial"/>
                <w:sz w:val="20"/>
                <w:szCs w:val="20"/>
              </w:rPr>
              <w:t>-9</w:t>
            </w:r>
          </w:p>
        </w:tc>
        <w:tc>
          <w:tcPr>
            <w:tcW w:w="1440" w:type="dxa"/>
            <w:noWrap/>
            <w:vAlign w:val="center"/>
          </w:tcPr>
          <w:p w:rsidR="00AA7088" w:rsidRDefault="00AA7088">
            <w:pPr>
              <w:jc w:val="center"/>
              <w:rPr>
                <w:rFonts w:cs="Arial"/>
                <w:sz w:val="20"/>
                <w:szCs w:val="20"/>
              </w:rPr>
            </w:pPr>
            <w:r>
              <w:rPr>
                <w:rFonts w:cs="Arial"/>
                <w:sz w:val="20"/>
                <w:szCs w:val="20"/>
              </w:rPr>
              <w:t>-26</w:t>
            </w:r>
          </w:p>
        </w:tc>
      </w:tr>
      <w:tr w:rsidR="00AA7088" w:rsidRPr="00936A7B" w:rsidTr="003B29E7">
        <w:trPr>
          <w:trHeight w:val="382"/>
        </w:trPr>
        <w:tc>
          <w:tcPr>
            <w:tcW w:w="3710" w:type="dxa"/>
            <w:noWrap/>
            <w:vAlign w:val="center"/>
          </w:tcPr>
          <w:p w:rsidR="00AA7088" w:rsidRDefault="00AA7088">
            <w:pPr>
              <w:rPr>
                <w:rFonts w:cs="Arial"/>
                <w:sz w:val="20"/>
                <w:szCs w:val="20"/>
              </w:rPr>
            </w:pPr>
            <w:r>
              <w:rPr>
                <w:rFonts w:cs="Arial"/>
                <w:sz w:val="20"/>
                <w:szCs w:val="20"/>
              </w:rPr>
              <w:t>14-15 financial YTD</w:t>
            </w:r>
          </w:p>
        </w:tc>
        <w:tc>
          <w:tcPr>
            <w:tcW w:w="1439" w:type="dxa"/>
            <w:noWrap/>
            <w:vAlign w:val="center"/>
          </w:tcPr>
          <w:p w:rsidR="00AA7088" w:rsidRDefault="00AA7088">
            <w:pPr>
              <w:jc w:val="center"/>
              <w:rPr>
                <w:rFonts w:cs="Arial"/>
                <w:sz w:val="20"/>
                <w:szCs w:val="20"/>
              </w:rPr>
            </w:pPr>
            <w:r>
              <w:rPr>
                <w:rFonts w:cs="Arial"/>
                <w:sz w:val="20"/>
                <w:szCs w:val="20"/>
              </w:rPr>
              <w:t>3.61</w:t>
            </w:r>
          </w:p>
        </w:tc>
        <w:tc>
          <w:tcPr>
            <w:tcW w:w="1440" w:type="dxa"/>
            <w:noWrap/>
            <w:vAlign w:val="center"/>
          </w:tcPr>
          <w:p w:rsidR="00AA7088" w:rsidRDefault="00AA7088">
            <w:pPr>
              <w:jc w:val="center"/>
              <w:rPr>
                <w:rFonts w:cs="Arial"/>
                <w:sz w:val="20"/>
                <w:szCs w:val="20"/>
              </w:rPr>
            </w:pPr>
            <w:r>
              <w:rPr>
                <w:rFonts w:cs="Arial"/>
                <w:sz w:val="20"/>
                <w:szCs w:val="20"/>
              </w:rPr>
              <w:t>3.42</w:t>
            </w:r>
          </w:p>
        </w:tc>
        <w:tc>
          <w:tcPr>
            <w:tcW w:w="1439" w:type="dxa"/>
            <w:noWrap/>
            <w:vAlign w:val="center"/>
          </w:tcPr>
          <w:p w:rsidR="00AA7088" w:rsidRDefault="00AA7088">
            <w:pPr>
              <w:jc w:val="center"/>
              <w:rPr>
                <w:rFonts w:cs="Arial"/>
                <w:sz w:val="20"/>
                <w:szCs w:val="20"/>
              </w:rPr>
            </w:pPr>
            <w:r>
              <w:rPr>
                <w:rFonts w:cs="Arial"/>
                <w:sz w:val="20"/>
                <w:szCs w:val="20"/>
              </w:rPr>
              <w:t>3.74</w:t>
            </w:r>
          </w:p>
        </w:tc>
        <w:tc>
          <w:tcPr>
            <w:tcW w:w="1440" w:type="dxa"/>
            <w:noWrap/>
            <w:vAlign w:val="center"/>
          </w:tcPr>
          <w:p w:rsidR="00AA7088" w:rsidRDefault="00AA7088">
            <w:pPr>
              <w:jc w:val="center"/>
              <w:rPr>
                <w:rFonts w:cs="Arial"/>
                <w:sz w:val="20"/>
                <w:szCs w:val="20"/>
              </w:rPr>
            </w:pPr>
            <w:r>
              <w:rPr>
                <w:rFonts w:cs="Arial"/>
                <w:sz w:val="20"/>
                <w:szCs w:val="20"/>
              </w:rPr>
              <w:t>2.34</w:t>
            </w:r>
          </w:p>
        </w:tc>
      </w:tr>
      <w:tr w:rsidR="00AA7088" w:rsidRPr="00936A7B" w:rsidTr="003B29E7">
        <w:trPr>
          <w:cnfStyle w:val="000000010000" w:firstRow="0" w:lastRow="0" w:firstColumn="0" w:lastColumn="0" w:oddVBand="0" w:evenVBand="0" w:oddHBand="0" w:evenHBand="1" w:firstRowFirstColumn="0" w:firstRowLastColumn="0" w:lastRowFirstColumn="0" w:lastRowLastColumn="0"/>
          <w:trHeight w:val="382"/>
        </w:trPr>
        <w:tc>
          <w:tcPr>
            <w:tcW w:w="3710" w:type="dxa"/>
            <w:noWrap/>
            <w:vAlign w:val="center"/>
          </w:tcPr>
          <w:p w:rsidR="00AA7088" w:rsidRDefault="00AA7088">
            <w:pPr>
              <w:rPr>
                <w:rFonts w:cs="Arial"/>
                <w:sz w:val="20"/>
                <w:szCs w:val="20"/>
              </w:rPr>
            </w:pPr>
            <w:r>
              <w:rPr>
                <w:rFonts w:cs="Arial"/>
                <w:sz w:val="20"/>
                <w:szCs w:val="20"/>
              </w:rPr>
              <w:t>% change from previous financial YTD</w:t>
            </w:r>
          </w:p>
        </w:tc>
        <w:tc>
          <w:tcPr>
            <w:tcW w:w="1439" w:type="dxa"/>
            <w:noWrap/>
            <w:vAlign w:val="center"/>
          </w:tcPr>
          <w:p w:rsidR="00AA7088" w:rsidRDefault="00AA7088">
            <w:pPr>
              <w:jc w:val="center"/>
              <w:rPr>
                <w:rFonts w:cs="Arial"/>
                <w:sz w:val="20"/>
                <w:szCs w:val="20"/>
              </w:rPr>
            </w:pPr>
            <w:r>
              <w:rPr>
                <w:rFonts w:cs="Arial"/>
                <w:sz w:val="20"/>
                <w:szCs w:val="20"/>
              </w:rPr>
              <w:t>-7</w:t>
            </w:r>
          </w:p>
        </w:tc>
        <w:tc>
          <w:tcPr>
            <w:tcW w:w="1440" w:type="dxa"/>
            <w:noWrap/>
            <w:vAlign w:val="center"/>
          </w:tcPr>
          <w:p w:rsidR="00AA7088" w:rsidRDefault="00AA7088">
            <w:pPr>
              <w:jc w:val="center"/>
              <w:rPr>
                <w:rFonts w:cs="Arial"/>
                <w:sz w:val="20"/>
                <w:szCs w:val="20"/>
              </w:rPr>
            </w:pPr>
            <w:r>
              <w:rPr>
                <w:rFonts w:cs="Arial"/>
                <w:sz w:val="20"/>
                <w:szCs w:val="20"/>
              </w:rPr>
              <w:t>-15</w:t>
            </w:r>
          </w:p>
        </w:tc>
        <w:tc>
          <w:tcPr>
            <w:tcW w:w="1439" w:type="dxa"/>
            <w:noWrap/>
            <w:vAlign w:val="center"/>
          </w:tcPr>
          <w:p w:rsidR="00AA7088" w:rsidRDefault="00AA7088">
            <w:pPr>
              <w:jc w:val="center"/>
              <w:rPr>
                <w:rFonts w:cs="Arial"/>
                <w:sz w:val="20"/>
                <w:szCs w:val="20"/>
              </w:rPr>
            </w:pPr>
            <w:r>
              <w:rPr>
                <w:rFonts w:cs="Arial"/>
                <w:sz w:val="20"/>
                <w:szCs w:val="20"/>
              </w:rPr>
              <w:t>-14</w:t>
            </w:r>
          </w:p>
        </w:tc>
        <w:tc>
          <w:tcPr>
            <w:tcW w:w="1440" w:type="dxa"/>
            <w:noWrap/>
            <w:vAlign w:val="center"/>
          </w:tcPr>
          <w:p w:rsidR="00AA7088" w:rsidRDefault="00AA7088">
            <w:pPr>
              <w:jc w:val="center"/>
              <w:rPr>
                <w:rFonts w:cs="Arial"/>
                <w:sz w:val="20"/>
                <w:szCs w:val="20"/>
              </w:rPr>
            </w:pPr>
            <w:r>
              <w:rPr>
                <w:rFonts w:cs="Arial"/>
                <w:sz w:val="20"/>
                <w:szCs w:val="20"/>
              </w:rPr>
              <w:t>-49</w:t>
            </w:r>
          </w:p>
        </w:tc>
      </w:tr>
    </w:tbl>
    <w:p w:rsidR="00FF0D8A" w:rsidRPr="008D4DAB" w:rsidRDefault="00FF0D8A" w:rsidP="00FF0D8A">
      <w:pPr>
        <w:pStyle w:val="AERbodytext"/>
        <w:spacing w:before="120" w:after="120"/>
        <w:jc w:val="both"/>
      </w:pPr>
      <w:r>
        <w:t>Figure</w:t>
      </w:r>
      <w:r w:rsidRPr="008D4DAB">
        <w:t xml:space="preserve"> 2 compare</w:t>
      </w:r>
      <w:r>
        <w:t>s</w:t>
      </w:r>
      <w:r w:rsidRPr="008D4DAB">
        <w:t xml:space="preserve"> average weekly gas prices, ancillary market payments and </w:t>
      </w:r>
      <w:r>
        <w:t>scheduled</w:t>
      </w:r>
      <w:r w:rsidRPr="008D4DAB">
        <w:t xml:space="preserve"> </w:t>
      </w:r>
      <w:r>
        <w:t>injections</w:t>
      </w:r>
      <w:r w:rsidRPr="008D4DAB">
        <w:t xml:space="preserve"> against historical averages for the </w:t>
      </w:r>
      <w:r>
        <w:t xml:space="preserve">Victorian </w:t>
      </w:r>
      <w:r w:rsidRPr="008D4DAB">
        <w:t>gas market.</w:t>
      </w:r>
    </w:p>
    <w:p w:rsidR="00D1641C" w:rsidRPr="006E7E57" w:rsidRDefault="00FF0D8A" w:rsidP="00D1641C">
      <w:pPr>
        <w:pStyle w:val="Heading2"/>
        <w:ind w:firstLine="0"/>
        <w:rPr>
          <w:i w:val="0"/>
          <w:color w:val="2272A3"/>
          <w:sz w:val="24"/>
          <w:szCs w:val="24"/>
        </w:rPr>
      </w:pPr>
      <w:r w:rsidRPr="006E7E57">
        <w:rPr>
          <w:i w:val="0"/>
          <w:color w:val="2272A3"/>
          <w:sz w:val="24"/>
          <w:szCs w:val="24"/>
        </w:rPr>
        <w:t>Victorian Gas Market</w:t>
      </w:r>
    </w:p>
    <w:tbl>
      <w:tblPr>
        <w:tblStyle w:val="AERTable-Text0"/>
        <w:tblW w:w="9468" w:type="dxa"/>
        <w:tblLayout w:type="fixed"/>
        <w:tblLook w:val="01E0" w:firstRow="1" w:lastRow="1" w:firstColumn="1" w:lastColumn="1" w:noHBand="0" w:noVBand="0"/>
      </w:tblPr>
      <w:tblGrid>
        <w:gridCol w:w="3708"/>
        <w:gridCol w:w="1440"/>
        <w:gridCol w:w="2160"/>
        <w:gridCol w:w="2160"/>
      </w:tblGrid>
      <w:tr w:rsidR="00FF0D8A" w:rsidRPr="006376D7" w:rsidTr="00FF0D8A">
        <w:trPr>
          <w:cnfStyle w:val="100000000000" w:firstRow="1" w:lastRow="0" w:firstColumn="0" w:lastColumn="0" w:oddVBand="0" w:evenVBand="0" w:oddHBand="0" w:evenHBand="0" w:firstRowFirstColumn="0" w:firstRowLastColumn="0" w:lastRowFirstColumn="0" w:lastRowLastColumn="0"/>
          <w:trHeight w:val="226"/>
        </w:trPr>
        <w:tc>
          <w:tcPr>
            <w:tcW w:w="3708" w:type="dxa"/>
            <w:noWrap/>
          </w:tcPr>
          <w:p w:rsidR="00FF0D8A" w:rsidRPr="002861A9" w:rsidRDefault="00FF0D8A" w:rsidP="00FF0D8A">
            <w:pPr>
              <w:keepNext/>
              <w:spacing w:before="40" w:after="40"/>
              <w:rPr>
                <w:rFonts w:cs="Arial"/>
                <w:b w:val="0"/>
                <w:bCs/>
                <w:sz w:val="20"/>
                <w:szCs w:val="20"/>
              </w:rPr>
            </w:pPr>
          </w:p>
        </w:tc>
        <w:tc>
          <w:tcPr>
            <w:tcW w:w="144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Price ($/GJ)</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Ancillary payments ($000)</w:t>
            </w:r>
            <w:r>
              <w:rPr>
                <w:rFonts w:cs="Arial"/>
                <w:bCs/>
                <w:sz w:val="20"/>
                <w:szCs w:val="20"/>
              </w:rPr>
              <w:t>*</w:t>
            </w:r>
          </w:p>
        </w:tc>
        <w:tc>
          <w:tcPr>
            <w:tcW w:w="2160" w:type="dxa"/>
            <w:noWrap/>
          </w:tcPr>
          <w:p w:rsidR="00FF0D8A" w:rsidRPr="002861A9" w:rsidRDefault="00FF0D8A" w:rsidP="00FF0D8A">
            <w:pPr>
              <w:keepNext/>
              <w:spacing w:before="40" w:after="40"/>
              <w:jc w:val="center"/>
              <w:rPr>
                <w:rFonts w:cs="Arial"/>
                <w:b w:val="0"/>
                <w:bCs/>
                <w:sz w:val="20"/>
                <w:szCs w:val="20"/>
              </w:rPr>
            </w:pPr>
            <w:r w:rsidRPr="002861A9">
              <w:rPr>
                <w:rFonts w:cs="Arial"/>
                <w:bCs/>
                <w:sz w:val="20"/>
                <w:szCs w:val="20"/>
              </w:rPr>
              <w:t>BOD forecast demand quantity (TJ)</w:t>
            </w:r>
          </w:p>
        </w:tc>
      </w:tr>
      <w:tr w:rsidR="00AA7088" w:rsidRPr="006376D7" w:rsidTr="001A5A49">
        <w:trPr>
          <w:trHeight w:val="382"/>
        </w:trPr>
        <w:tc>
          <w:tcPr>
            <w:tcW w:w="3708" w:type="dxa"/>
            <w:noWrap/>
            <w:vAlign w:val="center"/>
          </w:tcPr>
          <w:p w:rsidR="00AA7088" w:rsidRDefault="00AA7088">
            <w:pPr>
              <w:rPr>
                <w:rFonts w:cs="Arial"/>
                <w:sz w:val="20"/>
                <w:szCs w:val="20"/>
              </w:rPr>
            </w:pPr>
            <w:r>
              <w:rPr>
                <w:rFonts w:cs="Arial"/>
                <w:sz w:val="20"/>
                <w:szCs w:val="20"/>
              </w:rPr>
              <w:t>07 Jun - 13 Jun 2015</w:t>
            </w:r>
          </w:p>
        </w:tc>
        <w:tc>
          <w:tcPr>
            <w:tcW w:w="1440" w:type="dxa"/>
            <w:noWrap/>
            <w:vAlign w:val="center"/>
          </w:tcPr>
          <w:p w:rsidR="00AA7088" w:rsidRDefault="00AA7088">
            <w:pPr>
              <w:jc w:val="center"/>
              <w:rPr>
                <w:rFonts w:cs="Arial"/>
                <w:sz w:val="20"/>
                <w:szCs w:val="20"/>
              </w:rPr>
            </w:pPr>
            <w:r>
              <w:rPr>
                <w:rFonts w:cs="Arial"/>
                <w:sz w:val="20"/>
                <w:szCs w:val="20"/>
              </w:rPr>
              <w:t>4.41</w:t>
            </w:r>
          </w:p>
        </w:tc>
        <w:tc>
          <w:tcPr>
            <w:tcW w:w="2160" w:type="dxa"/>
            <w:noWrap/>
            <w:vAlign w:val="center"/>
          </w:tcPr>
          <w:p w:rsidR="00AA7088" w:rsidRDefault="00AA7088">
            <w:pPr>
              <w:jc w:val="center"/>
              <w:rPr>
                <w:rFonts w:cs="Arial"/>
                <w:sz w:val="20"/>
                <w:szCs w:val="20"/>
              </w:rPr>
            </w:pPr>
            <w:r>
              <w:rPr>
                <w:rFonts w:cs="Arial"/>
                <w:sz w:val="20"/>
                <w:szCs w:val="20"/>
              </w:rPr>
              <w:t>-</w:t>
            </w:r>
          </w:p>
        </w:tc>
        <w:tc>
          <w:tcPr>
            <w:tcW w:w="2160" w:type="dxa"/>
            <w:noWrap/>
            <w:vAlign w:val="center"/>
          </w:tcPr>
          <w:p w:rsidR="00AA7088" w:rsidRDefault="00AA7088">
            <w:pPr>
              <w:jc w:val="center"/>
              <w:rPr>
                <w:rFonts w:cs="Arial"/>
                <w:sz w:val="20"/>
                <w:szCs w:val="20"/>
              </w:rPr>
            </w:pPr>
            <w:r>
              <w:rPr>
                <w:rFonts w:cs="Arial"/>
                <w:sz w:val="20"/>
                <w:szCs w:val="20"/>
              </w:rPr>
              <w:t>849</w:t>
            </w:r>
          </w:p>
        </w:tc>
      </w:tr>
      <w:tr w:rsidR="00AA7088" w:rsidRPr="006376D7" w:rsidTr="001A5A49">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AA7088" w:rsidRDefault="00AA7088">
            <w:pPr>
              <w:rPr>
                <w:rFonts w:cs="Arial"/>
                <w:sz w:val="20"/>
                <w:szCs w:val="20"/>
              </w:rPr>
            </w:pPr>
            <w:r>
              <w:rPr>
                <w:rFonts w:cs="Arial"/>
                <w:sz w:val="20"/>
                <w:szCs w:val="20"/>
              </w:rPr>
              <w:t>% change from previous week</w:t>
            </w:r>
          </w:p>
        </w:tc>
        <w:tc>
          <w:tcPr>
            <w:tcW w:w="1440" w:type="dxa"/>
            <w:noWrap/>
            <w:vAlign w:val="center"/>
          </w:tcPr>
          <w:p w:rsidR="00AA7088" w:rsidRDefault="00AA7088">
            <w:pPr>
              <w:jc w:val="center"/>
              <w:rPr>
                <w:rFonts w:cs="Arial"/>
                <w:sz w:val="20"/>
                <w:szCs w:val="20"/>
              </w:rPr>
            </w:pPr>
            <w:r>
              <w:rPr>
                <w:rFonts w:cs="Arial"/>
                <w:sz w:val="20"/>
                <w:szCs w:val="20"/>
              </w:rPr>
              <w:t>-15</w:t>
            </w:r>
          </w:p>
        </w:tc>
        <w:tc>
          <w:tcPr>
            <w:tcW w:w="2160" w:type="dxa"/>
            <w:noWrap/>
            <w:vAlign w:val="center"/>
          </w:tcPr>
          <w:p w:rsidR="00AA7088" w:rsidRDefault="00AA7088">
            <w:pPr>
              <w:jc w:val="center"/>
              <w:rPr>
                <w:rFonts w:cs="Arial"/>
                <w:sz w:val="20"/>
                <w:szCs w:val="20"/>
              </w:rPr>
            </w:pPr>
            <w:r>
              <w:rPr>
                <w:rFonts w:cs="Arial"/>
                <w:sz w:val="20"/>
                <w:szCs w:val="20"/>
              </w:rPr>
              <w:t>-</w:t>
            </w:r>
          </w:p>
        </w:tc>
        <w:tc>
          <w:tcPr>
            <w:tcW w:w="2160" w:type="dxa"/>
            <w:noWrap/>
            <w:vAlign w:val="center"/>
          </w:tcPr>
          <w:p w:rsidR="00AA7088" w:rsidRDefault="00AA7088">
            <w:pPr>
              <w:jc w:val="center"/>
              <w:rPr>
                <w:rFonts w:cs="Arial"/>
                <w:sz w:val="20"/>
                <w:szCs w:val="20"/>
              </w:rPr>
            </w:pPr>
            <w:r>
              <w:rPr>
                <w:rFonts w:cs="Arial"/>
                <w:sz w:val="20"/>
                <w:szCs w:val="20"/>
              </w:rPr>
              <w:t>-11</w:t>
            </w:r>
          </w:p>
        </w:tc>
      </w:tr>
      <w:tr w:rsidR="00AA7088" w:rsidRPr="006376D7" w:rsidTr="001A5A49">
        <w:trPr>
          <w:trHeight w:val="382"/>
        </w:trPr>
        <w:tc>
          <w:tcPr>
            <w:tcW w:w="3708" w:type="dxa"/>
            <w:noWrap/>
            <w:vAlign w:val="center"/>
          </w:tcPr>
          <w:p w:rsidR="00AA7088" w:rsidRDefault="00AA7088">
            <w:pPr>
              <w:rPr>
                <w:rFonts w:cs="Arial"/>
                <w:sz w:val="20"/>
                <w:szCs w:val="20"/>
              </w:rPr>
            </w:pPr>
            <w:r>
              <w:rPr>
                <w:rFonts w:cs="Arial"/>
                <w:sz w:val="20"/>
                <w:szCs w:val="20"/>
              </w:rPr>
              <w:t>14-15 financial YTD</w:t>
            </w:r>
          </w:p>
        </w:tc>
        <w:tc>
          <w:tcPr>
            <w:tcW w:w="1440" w:type="dxa"/>
            <w:noWrap/>
            <w:vAlign w:val="center"/>
          </w:tcPr>
          <w:p w:rsidR="00AA7088" w:rsidRDefault="00AA7088">
            <w:pPr>
              <w:jc w:val="center"/>
              <w:rPr>
                <w:rFonts w:cs="Arial"/>
                <w:sz w:val="20"/>
                <w:szCs w:val="20"/>
              </w:rPr>
            </w:pPr>
            <w:r>
              <w:rPr>
                <w:rFonts w:cs="Arial"/>
                <w:sz w:val="20"/>
                <w:szCs w:val="20"/>
              </w:rPr>
              <w:t>3.61</w:t>
            </w:r>
          </w:p>
        </w:tc>
        <w:tc>
          <w:tcPr>
            <w:tcW w:w="2160" w:type="dxa"/>
            <w:noWrap/>
            <w:vAlign w:val="center"/>
          </w:tcPr>
          <w:p w:rsidR="00AA7088" w:rsidRDefault="00AA7088">
            <w:pPr>
              <w:jc w:val="center"/>
              <w:rPr>
                <w:rFonts w:cs="Arial"/>
                <w:sz w:val="20"/>
                <w:szCs w:val="20"/>
              </w:rPr>
            </w:pPr>
            <w:r>
              <w:rPr>
                <w:rFonts w:cs="Arial"/>
                <w:sz w:val="20"/>
                <w:szCs w:val="20"/>
              </w:rPr>
              <w:t>-</w:t>
            </w:r>
          </w:p>
        </w:tc>
        <w:tc>
          <w:tcPr>
            <w:tcW w:w="2160" w:type="dxa"/>
            <w:noWrap/>
            <w:vAlign w:val="center"/>
          </w:tcPr>
          <w:p w:rsidR="00AA7088" w:rsidRDefault="00AA7088">
            <w:pPr>
              <w:jc w:val="center"/>
              <w:rPr>
                <w:rFonts w:cs="Arial"/>
                <w:sz w:val="20"/>
                <w:szCs w:val="20"/>
              </w:rPr>
            </w:pPr>
            <w:r>
              <w:rPr>
                <w:rFonts w:cs="Arial"/>
                <w:sz w:val="20"/>
                <w:szCs w:val="20"/>
              </w:rPr>
              <w:t>541</w:t>
            </w:r>
          </w:p>
        </w:tc>
      </w:tr>
      <w:tr w:rsidR="00AA7088" w:rsidRPr="006376D7" w:rsidTr="001A5A49">
        <w:trPr>
          <w:cnfStyle w:val="000000010000" w:firstRow="0" w:lastRow="0" w:firstColumn="0" w:lastColumn="0" w:oddVBand="0" w:evenVBand="0" w:oddHBand="0" w:evenHBand="1" w:firstRowFirstColumn="0" w:firstRowLastColumn="0" w:lastRowFirstColumn="0" w:lastRowLastColumn="0"/>
          <w:trHeight w:val="382"/>
        </w:trPr>
        <w:tc>
          <w:tcPr>
            <w:tcW w:w="3708" w:type="dxa"/>
            <w:noWrap/>
            <w:vAlign w:val="center"/>
          </w:tcPr>
          <w:p w:rsidR="00AA7088" w:rsidRDefault="00AA7088">
            <w:pPr>
              <w:rPr>
                <w:rFonts w:cs="Arial"/>
                <w:sz w:val="20"/>
                <w:szCs w:val="20"/>
              </w:rPr>
            </w:pPr>
            <w:r>
              <w:rPr>
                <w:rFonts w:cs="Arial"/>
                <w:sz w:val="20"/>
                <w:szCs w:val="20"/>
              </w:rPr>
              <w:t xml:space="preserve">% change from previous financial YTD </w:t>
            </w:r>
          </w:p>
        </w:tc>
        <w:tc>
          <w:tcPr>
            <w:tcW w:w="1440" w:type="dxa"/>
            <w:noWrap/>
            <w:vAlign w:val="center"/>
          </w:tcPr>
          <w:p w:rsidR="00AA7088" w:rsidRDefault="00AA7088">
            <w:pPr>
              <w:jc w:val="center"/>
              <w:rPr>
                <w:rFonts w:cs="Arial"/>
                <w:sz w:val="20"/>
                <w:szCs w:val="20"/>
              </w:rPr>
            </w:pPr>
            <w:r>
              <w:rPr>
                <w:rFonts w:cs="Arial"/>
                <w:sz w:val="20"/>
                <w:szCs w:val="20"/>
              </w:rPr>
              <w:t>-7</w:t>
            </w:r>
          </w:p>
        </w:tc>
        <w:tc>
          <w:tcPr>
            <w:tcW w:w="2160" w:type="dxa"/>
            <w:noWrap/>
            <w:vAlign w:val="center"/>
          </w:tcPr>
          <w:p w:rsidR="00AA7088" w:rsidRDefault="00AA7088">
            <w:pPr>
              <w:jc w:val="center"/>
              <w:rPr>
                <w:rFonts w:cs="Arial"/>
                <w:sz w:val="20"/>
                <w:szCs w:val="20"/>
              </w:rPr>
            </w:pPr>
            <w:r>
              <w:rPr>
                <w:rFonts w:cs="Arial"/>
                <w:sz w:val="20"/>
                <w:szCs w:val="20"/>
              </w:rPr>
              <w:t>-</w:t>
            </w:r>
          </w:p>
        </w:tc>
        <w:tc>
          <w:tcPr>
            <w:tcW w:w="2160" w:type="dxa"/>
            <w:noWrap/>
            <w:vAlign w:val="center"/>
          </w:tcPr>
          <w:p w:rsidR="00AA7088" w:rsidRDefault="00AA7088">
            <w:pPr>
              <w:jc w:val="center"/>
              <w:rPr>
                <w:rFonts w:cs="Arial"/>
                <w:sz w:val="20"/>
                <w:szCs w:val="20"/>
              </w:rPr>
            </w:pPr>
            <w:r>
              <w:rPr>
                <w:rFonts w:cs="Arial"/>
                <w:sz w:val="20"/>
                <w:szCs w:val="20"/>
              </w:rPr>
              <w:t>4</w:t>
            </w:r>
          </w:p>
        </w:tc>
      </w:tr>
    </w:tbl>
    <w:p w:rsidR="00FF0D8A" w:rsidRDefault="00FF0D8A" w:rsidP="00FF0D8A">
      <w:pPr>
        <w:pStyle w:val="AERbodytext"/>
        <w:spacing w:before="120" w:after="120"/>
        <w:jc w:val="both"/>
      </w:pPr>
      <w:r w:rsidRPr="006619E5">
        <w:rPr>
          <w:sz w:val="20"/>
        </w:rPr>
        <w:lastRenderedPageBreak/>
        <w:t>*</w:t>
      </w:r>
      <w:r w:rsidRPr="001420EB">
        <w:rPr>
          <w:sz w:val="20"/>
        </w:rPr>
        <w:t xml:space="preserve"> </w:t>
      </w:r>
      <w:r w:rsidRPr="006619E5">
        <w:rPr>
          <w:sz w:val="20"/>
        </w:rPr>
        <w:t>Note: only positive ancillary payments, reflecting system con</w:t>
      </w:r>
      <w:r>
        <w:rPr>
          <w:sz w:val="20"/>
        </w:rPr>
        <w:t>straints will be shown here.</w:t>
      </w:r>
      <w:r>
        <w:t xml:space="preserve"> </w:t>
      </w:r>
    </w:p>
    <w:p w:rsidR="00FF0D8A" w:rsidRDefault="00FF0D8A" w:rsidP="00FF0D8A">
      <w:pPr>
        <w:pStyle w:val="AERbodytext"/>
        <w:spacing w:before="120" w:after="120"/>
        <w:jc w:val="both"/>
      </w:pPr>
      <w:r>
        <w:t>More</w:t>
      </w:r>
      <w:r w:rsidRPr="00D329E0">
        <w:t xml:space="preserve"> </w:t>
      </w:r>
      <w:r>
        <w:t xml:space="preserve">detailed </w:t>
      </w:r>
      <w:r w:rsidRPr="00D329E0">
        <w:t xml:space="preserve">analysis on the </w:t>
      </w:r>
      <w:r>
        <w:t>VGM is provided in section 1</w:t>
      </w:r>
      <w:r w:rsidRPr="00D329E0">
        <w:t xml:space="preserve">. </w:t>
      </w:r>
    </w:p>
    <w:p w:rsidR="00FF0D8A" w:rsidRPr="008D4DAB" w:rsidRDefault="00FF0D8A" w:rsidP="00FF0D8A">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Market Operator Service </w:t>
      </w:r>
      <w:r w:rsidRPr="00950C55">
        <w:rPr>
          <w:b/>
        </w:rPr>
        <w:t>(MOS)</w:t>
      </w:r>
      <w:r>
        <w:t xml:space="preserve"> balancing gas service payments together with the related daily</w:t>
      </w:r>
      <w:r w:rsidRPr="008D4DAB">
        <w:t xml:space="preserve"> demand </w:t>
      </w:r>
      <w:r>
        <w:t xml:space="preserve">quantities against </w:t>
      </w:r>
      <w:r w:rsidRPr="008D4DAB">
        <w:t xml:space="preserve">historical averages </w:t>
      </w:r>
      <w:r>
        <w:t>for the Sydney, Adelaide and Brisbane STTM hubs, respectively.</w:t>
      </w:r>
    </w:p>
    <w:p w:rsidR="00D1641C" w:rsidRPr="006E7E57" w:rsidRDefault="006E7E57" w:rsidP="00D1641C">
      <w:pPr>
        <w:pStyle w:val="Heading2"/>
        <w:ind w:firstLine="0"/>
        <w:rPr>
          <w:i w:val="0"/>
          <w:color w:val="2272A3"/>
          <w:sz w:val="24"/>
          <w:szCs w:val="24"/>
        </w:rPr>
      </w:pPr>
      <w:r>
        <w:rPr>
          <w:i w:val="0"/>
          <w:color w:val="2272A3"/>
          <w:sz w:val="24"/>
          <w:szCs w:val="24"/>
        </w:rPr>
        <w:t>Sydney STTM</w:t>
      </w:r>
    </w:p>
    <w:tbl>
      <w:tblPr>
        <w:tblStyle w:val="AERTable-Text0"/>
        <w:tblW w:w="9288" w:type="dxa"/>
        <w:tblLayout w:type="fixed"/>
        <w:tblLook w:val="01E0" w:firstRow="1" w:lastRow="1" w:firstColumn="1" w:lastColumn="1" w:noHBand="0" w:noVBand="0"/>
      </w:tblPr>
      <w:tblGrid>
        <w:gridCol w:w="2670"/>
        <w:gridCol w:w="1359"/>
        <w:gridCol w:w="1360"/>
        <w:gridCol w:w="1359"/>
        <w:gridCol w:w="128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AA7088" w:rsidRPr="002861A9" w:rsidTr="001A2CA1">
        <w:trPr>
          <w:trHeight w:val="382"/>
        </w:trPr>
        <w:tc>
          <w:tcPr>
            <w:tcW w:w="2670" w:type="dxa"/>
            <w:noWrap/>
            <w:vAlign w:val="center"/>
          </w:tcPr>
          <w:p w:rsidR="00AA7088" w:rsidRDefault="00AA7088">
            <w:pPr>
              <w:rPr>
                <w:rFonts w:cs="Arial"/>
                <w:sz w:val="20"/>
                <w:szCs w:val="20"/>
              </w:rPr>
            </w:pPr>
            <w:r>
              <w:rPr>
                <w:rFonts w:cs="Arial"/>
                <w:sz w:val="20"/>
                <w:szCs w:val="20"/>
              </w:rPr>
              <w:t>07 Jun - 13 Jun 2015</w:t>
            </w:r>
          </w:p>
        </w:tc>
        <w:tc>
          <w:tcPr>
            <w:tcW w:w="1359" w:type="dxa"/>
            <w:noWrap/>
            <w:vAlign w:val="center"/>
          </w:tcPr>
          <w:p w:rsidR="00AA7088" w:rsidRDefault="00AA7088">
            <w:pPr>
              <w:jc w:val="center"/>
              <w:rPr>
                <w:rFonts w:cs="Arial"/>
                <w:sz w:val="20"/>
                <w:szCs w:val="20"/>
              </w:rPr>
            </w:pPr>
            <w:r>
              <w:rPr>
                <w:rFonts w:cs="Arial"/>
                <w:sz w:val="20"/>
                <w:szCs w:val="20"/>
              </w:rPr>
              <w:t>5.05</w:t>
            </w:r>
          </w:p>
        </w:tc>
        <w:tc>
          <w:tcPr>
            <w:tcW w:w="1360" w:type="dxa"/>
            <w:noWrap/>
            <w:vAlign w:val="center"/>
          </w:tcPr>
          <w:p w:rsidR="00AA7088" w:rsidRDefault="00AA7088">
            <w:pPr>
              <w:jc w:val="center"/>
              <w:rPr>
                <w:rFonts w:cs="Arial"/>
                <w:sz w:val="20"/>
                <w:szCs w:val="20"/>
              </w:rPr>
            </w:pPr>
            <w:r>
              <w:rPr>
                <w:rFonts w:cs="Arial"/>
                <w:sz w:val="20"/>
                <w:szCs w:val="20"/>
              </w:rPr>
              <w:t>4.90</w:t>
            </w:r>
          </w:p>
        </w:tc>
        <w:tc>
          <w:tcPr>
            <w:tcW w:w="1359" w:type="dxa"/>
            <w:noWrap/>
            <w:vAlign w:val="center"/>
          </w:tcPr>
          <w:p w:rsidR="00AA7088" w:rsidRDefault="00AA7088">
            <w:pPr>
              <w:jc w:val="center"/>
              <w:rPr>
                <w:rFonts w:cs="Arial"/>
                <w:sz w:val="20"/>
                <w:szCs w:val="20"/>
              </w:rPr>
            </w:pPr>
            <w:r>
              <w:rPr>
                <w:rFonts w:cs="Arial"/>
                <w:sz w:val="20"/>
                <w:szCs w:val="20"/>
              </w:rPr>
              <w:t>43.24</w:t>
            </w:r>
          </w:p>
        </w:tc>
        <w:tc>
          <w:tcPr>
            <w:tcW w:w="1280" w:type="dxa"/>
            <w:noWrap/>
            <w:vAlign w:val="center"/>
          </w:tcPr>
          <w:p w:rsidR="00AA7088" w:rsidRDefault="00AA7088">
            <w:pPr>
              <w:jc w:val="center"/>
              <w:rPr>
                <w:rFonts w:cs="Arial"/>
                <w:sz w:val="20"/>
                <w:szCs w:val="20"/>
              </w:rPr>
            </w:pPr>
            <w:r>
              <w:rPr>
                <w:rFonts w:cs="Arial"/>
                <w:sz w:val="20"/>
                <w:szCs w:val="20"/>
              </w:rPr>
              <w:t>267</w:t>
            </w:r>
          </w:p>
        </w:tc>
        <w:tc>
          <w:tcPr>
            <w:tcW w:w="1260" w:type="dxa"/>
            <w:noWrap/>
            <w:vAlign w:val="center"/>
          </w:tcPr>
          <w:p w:rsidR="00AA7088" w:rsidRDefault="00AA7088">
            <w:pPr>
              <w:jc w:val="center"/>
              <w:rPr>
                <w:rFonts w:cs="Arial"/>
                <w:sz w:val="20"/>
                <w:szCs w:val="20"/>
              </w:rPr>
            </w:pPr>
            <w:r>
              <w:rPr>
                <w:rFonts w:cs="Arial"/>
                <w:sz w:val="20"/>
                <w:szCs w:val="20"/>
              </w:rPr>
              <w:t>262</w:t>
            </w:r>
          </w:p>
        </w:tc>
      </w:tr>
      <w:tr w:rsidR="00AA7088" w:rsidRPr="002861A9" w:rsidTr="001A2CA1">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AA7088" w:rsidRDefault="00AA7088">
            <w:pPr>
              <w:rPr>
                <w:rFonts w:cs="Arial"/>
                <w:sz w:val="20"/>
                <w:szCs w:val="20"/>
              </w:rPr>
            </w:pPr>
            <w:r>
              <w:rPr>
                <w:rFonts w:cs="Arial"/>
                <w:sz w:val="20"/>
                <w:szCs w:val="20"/>
              </w:rPr>
              <w:t>% change from previous week</w:t>
            </w:r>
          </w:p>
        </w:tc>
        <w:tc>
          <w:tcPr>
            <w:tcW w:w="1359" w:type="dxa"/>
            <w:noWrap/>
            <w:vAlign w:val="center"/>
          </w:tcPr>
          <w:p w:rsidR="00AA7088" w:rsidRDefault="00AA7088">
            <w:pPr>
              <w:jc w:val="center"/>
              <w:rPr>
                <w:rFonts w:cs="Arial"/>
                <w:sz w:val="20"/>
                <w:szCs w:val="20"/>
              </w:rPr>
            </w:pPr>
            <w:r>
              <w:rPr>
                <w:rFonts w:cs="Arial"/>
                <w:sz w:val="20"/>
                <w:szCs w:val="20"/>
              </w:rPr>
              <w:t>-17</w:t>
            </w:r>
          </w:p>
        </w:tc>
        <w:tc>
          <w:tcPr>
            <w:tcW w:w="1360" w:type="dxa"/>
            <w:noWrap/>
            <w:vAlign w:val="center"/>
          </w:tcPr>
          <w:p w:rsidR="00AA7088" w:rsidRDefault="00AA7088">
            <w:pPr>
              <w:jc w:val="center"/>
              <w:rPr>
                <w:rFonts w:cs="Arial"/>
                <w:sz w:val="20"/>
                <w:szCs w:val="20"/>
              </w:rPr>
            </w:pPr>
            <w:r>
              <w:rPr>
                <w:rFonts w:cs="Arial"/>
                <w:sz w:val="20"/>
                <w:szCs w:val="20"/>
              </w:rPr>
              <w:t>-31</w:t>
            </w:r>
          </w:p>
        </w:tc>
        <w:tc>
          <w:tcPr>
            <w:tcW w:w="1359" w:type="dxa"/>
            <w:noWrap/>
            <w:vAlign w:val="center"/>
          </w:tcPr>
          <w:p w:rsidR="00AA7088" w:rsidRDefault="00AA7088">
            <w:pPr>
              <w:jc w:val="center"/>
              <w:rPr>
                <w:rFonts w:cs="Arial"/>
                <w:sz w:val="20"/>
                <w:szCs w:val="20"/>
              </w:rPr>
            </w:pPr>
            <w:r>
              <w:rPr>
                <w:rFonts w:cs="Arial"/>
                <w:sz w:val="20"/>
                <w:szCs w:val="20"/>
              </w:rPr>
              <w:t>21</w:t>
            </w:r>
          </w:p>
        </w:tc>
        <w:tc>
          <w:tcPr>
            <w:tcW w:w="1280" w:type="dxa"/>
            <w:noWrap/>
            <w:vAlign w:val="center"/>
          </w:tcPr>
          <w:p w:rsidR="00AA7088" w:rsidRDefault="00AA7088">
            <w:pPr>
              <w:jc w:val="center"/>
              <w:rPr>
                <w:rFonts w:cs="Arial"/>
                <w:sz w:val="20"/>
                <w:szCs w:val="20"/>
              </w:rPr>
            </w:pPr>
            <w:r>
              <w:rPr>
                <w:rFonts w:cs="Arial"/>
                <w:sz w:val="20"/>
                <w:szCs w:val="20"/>
              </w:rPr>
              <w:t>-6</w:t>
            </w:r>
          </w:p>
        </w:tc>
        <w:tc>
          <w:tcPr>
            <w:tcW w:w="1260" w:type="dxa"/>
            <w:noWrap/>
            <w:vAlign w:val="center"/>
          </w:tcPr>
          <w:p w:rsidR="00AA7088" w:rsidRDefault="00AA7088">
            <w:pPr>
              <w:jc w:val="center"/>
              <w:rPr>
                <w:rFonts w:cs="Arial"/>
                <w:sz w:val="20"/>
                <w:szCs w:val="20"/>
              </w:rPr>
            </w:pPr>
            <w:r>
              <w:rPr>
                <w:rFonts w:cs="Arial"/>
                <w:sz w:val="20"/>
                <w:szCs w:val="20"/>
              </w:rPr>
              <w:t>-10</w:t>
            </w:r>
          </w:p>
        </w:tc>
      </w:tr>
      <w:tr w:rsidR="00AA7088" w:rsidRPr="002861A9" w:rsidTr="001A2CA1">
        <w:trPr>
          <w:trHeight w:val="382"/>
        </w:trPr>
        <w:tc>
          <w:tcPr>
            <w:tcW w:w="2670" w:type="dxa"/>
            <w:noWrap/>
            <w:vAlign w:val="center"/>
          </w:tcPr>
          <w:p w:rsidR="00AA7088" w:rsidRDefault="00AA7088">
            <w:pPr>
              <w:rPr>
                <w:rFonts w:cs="Arial"/>
                <w:sz w:val="20"/>
                <w:szCs w:val="20"/>
              </w:rPr>
            </w:pPr>
            <w:r>
              <w:rPr>
                <w:rFonts w:cs="Arial"/>
                <w:sz w:val="20"/>
                <w:szCs w:val="20"/>
              </w:rPr>
              <w:t>14-15 financial YTD</w:t>
            </w:r>
          </w:p>
        </w:tc>
        <w:tc>
          <w:tcPr>
            <w:tcW w:w="1359" w:type="dxa"/>
            <w:noWrap/>
            <w:vAlign w:val="center"/>
          </w:tcPr>
          <w:p w:rsidR="00AA7088" w:rsidRDefault="00AA7088">
            <w:pPr>
              <w:jc w:val="center"/>
              <w:rPr>
                <w:rFonts w:cs="Arial"/>
                <w:sz w:val="20"/>
                <w:szCs w:val="20"/>
              </w:rPr>
            </w:pPr>
            <w:r>
              <w:rPr>
                <w:rFonts w:cs="Arial"/>
                <w:sz w:val="20"/>
                <w:szCs w:val="20"/>
              </w:rPr>
              <w:t>3.42</w:t>
            </w:r>
          </w:p>
        </w:tc>
        <w:tc>
          <w:tcPr>
            <w:tcW w:w="1360" w:type="dxa"/>
            <w:noWrap/>
            <w:vAlign w:val="center"/>
          </w:tcPr>
          <w:p w:rsidR="00AA7088" w:rsidRDefault="00AA7088">
            <w:pPr>
              <w:jc w:val="center"/>
              <w:rPr>
                <w:rFonts w:cs="Arial"/>
                <w:sz w:val="20"/>
                <w:szCs w:val="20"/>
              </w:rPr>
            </w:pPr>
            <w:r>
              <w:rPr>
                <w:rFonts w:cs="Arial"/>
                <w:sz w:val="20"/>
                <w:szCs w:val="20"/>
              </w:rPr>
              <w:t>3.45</w:t>
            </w:r>
          </w:p>
        </w:tc>
        <w:tc>
          <w:tcPr>
            <w:tcW w:w="1359" w:type="dxa"/>
            <w:noWrap/>
            <w:vAlign w:val="center"/>
          </w:tcPr>
          <w:p w:rsidR="00AA7088" w:rsidRDefault="00AA7088">
            <w:pPr>
              <w:jc w:val="center"/>
              <w:rPr>
                <w:rFonts w:cs="Arial"/>
                <w:sz w:val="20"/>
                <w:szCs w:val="20"/>
              </w:rPr>
            </w:pPr>
            <w:r>
              <w:rPr>
                <w:rFonts w:cs="Arial"/>
                <w:sz w:val="20"/>
                <w:szCs w:val="20"/>
              </w:rPr>
              <w:t>16.00</w:t>
            </w:r>
          </w:p>
        </w:tc>
        <w:tc>
          <w:tcPr>
            <w:tcW w:w="1280" w:type="dxa"/>
            <w:noWrap/>
            <w:vAlign w:val="center"/>
          </w:tcPr>
          <w:p w:rsidR="00AA7088" w:rsidRDefault="00AA7088">
            <w:pPr>
              <w:jc w:val="center"/>
              <w:rPr>
                <w:rFonts w:cs="Arial"/>
                <w:sz w:val="20"/>
                <w:szCs w:val="20"/>
              </w:rPr>
            </w:pPr>
            <w:r>
              <w:rPr>
                <w:rFonts w:cs="Arial"/>
                <w:sz w:val="20"/>
                <w:szCs w:val="20"/>
              </w:rPr>
              <w:t>240</w:t>
            </w:r>
          </w:p>
        </w:tc>
        <w:tc>
          <w:tcPr>
            <w:tcW w:w="1260" w:type="dxa"/>
            <w:noWrap/>
            <w:vAlign w:val="center"/>
          </w:tcPr>
          <w:p w:rsidR="00AA7088" w:rsidRDefault="00AA7088">
            <w:pPr>
              <w:jc w:val="center"/>
              <w:rPr>
                <w:rFonts w:cs="Arial"/>
                <w:sz w:val="20"/>
                <w:szCs w:val="20"/>
              </w:rPr>
            </w:pPr>
            <w:r>
              <w:rPr>
                <w:rFonts w:cs="Arial"/>
                <w:sz w:val="20"/>
                <w:szCs w:val="20"/>
              </w:rPr>
              <w:t>240</w:t>
            </w:r>
          </w:p>
        </w:tc>
      </w:tr>
      <w:tr w:rsidR="00AA7088" w:rsidRPr="002861A9" w:rsidTr="001A2CA1">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AA7088" w:rsidRDefault="00AA7088">
            <w:pPr>
              <w:rPr>
                <w:rFonts w:cs="Arial"/>
                <w:sz w:val="20"/>
                <w:szCs w:val="20"/>
              </w:rPr>
            </w:pPr>
            <w:r>
              <w:rPr>
                <w:rFonts w:cs="Arial"/>
                <w:sz w:val="20"/>
                <w:szCs w:val="20"/>
              </w:rPr>
              <w:t>% change from previous financial YTD</w:t>
            </w:r>
          </w:p>
        </w:tc>
        <w:tc>
          <w:tcPr>
            <w:tcW w:w="1359" w:type="dxa"/>
            <w:noWrap/>
            <w:vAlign w:val="center"/>
          </w:tcPr>
          <w:p w:rsidR="00AA7088" w:rsidRDefault="00AA7088">
            <w:pPr>
              <w:jc w:val="center"/>
              <w:rPr>
                <w:rFonts w:cs="Arial"/>
                <w:sz w:val="20"/>
                <w:szCs w:val="20"/>
              </w:rPr>
            </w:pPr>
            <w:r>
              <w:rPr>
                <w:rFonts w:cs="Arial"/>
                <w:sz w:val="20"/>
                <w:szCs w:val="20"/>
              </w:rPr>
              <w:t>-15</w:t>
            </w:r>
          </w:p>
        </w:tc>
        <w:tc>
          <w:tcPr>
            <w:tcW w:w="1360" w:type="dxa"/>
            <w:noWrap/>
            <w:vAlign w:val="center"/>
          </w:tcPr>
          <w:p w:rsidR="00AA7088" w:rsidRDefault="00AA7088">
            <w:pPr>
              <w:jc w:val="center"/>
              <w:rPr>
                <w:rFonts w:cs="Arial"/>
                <w:sz w:val="20"/>
                <w:szCs w:val="20"/>
              </w:rPr>
            </w:pPr>
            <w:r>
              <w:rPr>
                <w:rFonts w:cs="Arial"/>
                <w:sz w:val="20"/>
                <w:szCs w:val="20"/>
              </w:rPr>
              <w:t>-12</w:t>
            </w:r>
          </w:p>
        </w:tc>
        <w:tc>
          <w:tcPr>
            <w:tcW w:w="1359" w:type="dxa"/>
            <w:noWrap/>
            <w:vAlign w:val="center"/>
          </w:tcPr>
          <w:p w:rsidR="00AA7088" w:rsidRDefault="00AA7088">
            <w:pPr>
              <w:jc w:val="center"/>
              <w:rPr>
                <w:rFonts w:cs="Arial"/>
                <w:sz w:val="20"/>
                <w:szCs w:val="20"/>
              </w:rPr>
            </w:pPr>
            <w:r>
              <w:rPr>
                <w:rFonts w:cs="Arial"/>
                <w:sz w:val="20"/>
                <w:szCs w:val="20"/>
              </w:rPr>
              <w:t>60</w:t>
            </w:r>
          </w:p>
        </w:tc>
        <w:tc>
          <w:tcPr>
            <w:tcW w:w="1280" w:type="dxa"/>
            <w:noWrap/>
            <w:vAlign w:val="center"/>
          </w:tcPr>
          <w:p w:rsidR="00AA7088" w:rsidRDefault="00AA7088">
            <w:pPr>
              <w:jc w:val="center"/>
              <w:rPr>
                <w:rFonts w:cs="Arial"/>
                <w:sz w:val="20"/>
                <w:szCs w:val="20"/>
              </w:rPr>
            </w:pPr>
            <w:r>
              <w:rPr>
                <w:rFonts w:cs="Arial"/>
                <w:sz w:val="20"/>
                <w:szCs w:val="20"/>
              </w:rPr>
              <w:t>2</w:t>
            </w:r>
          </w:p>
        </w:tc>
        <w:tc>
          <w:tcPr>
            <w:tcW w:w="1260" w:type="dxa"/>
            <w:noWrap/>
            <w:vAlign w:val="center"/>
          </w:tcPr>
          <w:p w:rsidR="00AA7088" w:rsidRDefault="00AA7088">
            <w:pPr>
              <w:jc w:val="center"/>
              <w:rPr>
                <w:rFonts w:cs="Arial"/>
                <w:sz w:val="20"/>
                <w:szCs w:val="20"/>
              </w:rPr>
            </w:pPr>
            <w:r>
              <w:rPr>
                <w:rFonts w:cs="Arial"/>
                <w:sz w:val="20"/>
                <w:szCs w:val="20"/>
              </w:rPr>
              <w:t>4</w:t>
            </w:r>
          </w:p>
        </w:tc>
      </w:tr>
    </w:tbl>
    <w:p w:rsidR="00D1641C" w:rsidRPr="006E7E57" w:rsidRDefault="006E7E57" w:rsidP="00D1641C">
      <w:pPr>
        <w:pStyle w:val="Heading2"/>
        <w:ind w:firstLine="0"/>
        <w:rPr>
          <w:i w:val="0"/>
          <w:color w:val="2272A3"/>
          <w:sz w:val="24"/>
          <w:szCs w:val="24"/>
        </w:rPr>
      </w:pPr>
      <w:r>
        <w:rPr>
          <w:i w:val="0"/>
          <w:color w:val="2272A3"/>
          <w:sz w:val="24"/>
          <w:szCs w:val="24"/>
        </w:rPr>
        <w:t>Adelaide STTM</w:t>
      </w:r>
    </w:p>
    <w:tbl>
      <w:tblPr>
        <w:tblStyle w:val="AERTable-Text0"/>
        <w:tblW w:w="9288" w:type="dxa"/>
        <w:tblLayout w:type="fixed"/>
        <w:tblLook w:val="01E0" w:firstRow="1" w:lastRow="1" w:firstColumn="1" w:lastColumn="1" w:noHBand="0" w:noVBand="0"/>
      </w:tblPr>
      <w:tblGrid>
        <w:gridCol w:w="2670"/>
        <w:gridCol w:w="1359"/>
        <w:gridCol w:w="1360"/>
        <w:gridCol w:w="1379"/>
        <w:gridCol w:w="1260"/>
        <w:gridCol w:w="126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7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2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AA7088" w:rsidRPr="002861A9" w:rsidTr="006D4320">
        <w:trPr>
          <w:trHeight w:val="382"/>
        </w:trPr>
        <w:tc>
          <w:tcPr>
            <w:tcW w:w="2670" w:type="dxa"/>
            <w:noWrap/>
            <w:vAlign w:val="center"/>
          </w:tcPr>
          <w:p w:rsidR="00AA7088" w:rsidRDefault="00AA7088">
            <w:pPr>
              <w:rPr>
                <w:rFonts w:cs="Arial"/>
                <w:sz w:val="20"/>
                <w:szCs w:val="20"/>
              </w:rPr>
            </w:pPr>
            <w:r>
              <w:rPr>
                <w:rFonts w:cs="Arial"/>
                <w:sz w:val="20"/>
                <w:szCs w:val="20"/>
              </w:rPr>
              <w:t>07 Jun - 13 Jun 2015</w:t>
            </w:r>
          </w:p>
        </w:tc>
        <w:tc>
          <w:tcPr>
            <w:tcW w:w="1359" w:type="dxa"/>
            <w:noWrap/>
            <w:vAlign w:val="center"/>
          </w:tcPr>
          <w:p w:rsidR="00AA7088" w:rsidRDefault="00AA7088">
            <w:pPr>
              <w:jc w:val="center"/>
              <w:rPr>
                <w:rFonts w:cs="Arial"/>
                <w:sz w:val="20"/>
                <w:szCs w:val="20"/>
              </w:rPr>
            </w:pPr>
            <w:r>
              <w:rPr>
                <w:rFonts w:cs="Arial"/>
                <w:sz w:val="20"/>
                <w:szCs w:val="20"/>
              </w:rPr>
              <w:t>4.96</w:t>
            </w:r>
          </w:p>
        </w:tc>
        <w:tc>
          <w:tcPr>
            <w:tcW w:w="1360" w:type="dxa"/>
            <w:noWrap/>
            <w:vAlign w:val="center"/>
          </w:tcPr>
          <w:p w:rsidR="00AA7088" w:rsidRDefault="00AA7088">
            <w:pPr>
              <w:jc w:val="center"/>
              <w:rPr>
                <w:rFonts w:cs="Arial"/>
                <w:sz w:val="20"/>
                <w:szCs w:val="20"/>
              </w:rPr>
            </w:pPr>
            <w:r>
              <w:rPr>
                <w:rFonts w:cs="Arial"/>
                <w:sz w:val="20"/>
                <w:szCs w:val="20"/>
              </w:rPr>
              <w:t>5.45</w:t>
            </w:r>
          </w:p>
        </w:tc>
        <w:tc>
          <w:tcPr>
            <w:tcW w:w="1379" w:type="dxa"/>
            <w:noWrap/>
            <w:vAlign w:val="center"/>
          </w:tcPr>
          <w:p w:rsidR="00AA7088" w:rsidRDefault="00AA7088">
            <w:pPr>
              <w:jc w:val="center"/>
              <w:rPr>
                <w:rFonts w:cs="Arial"/>
                <w:sz w:val="20"/>
                <w:szCs w:val="20"/>
              </w:rPr>
            </w:pPr>
            <w:r>
              <w:rPr>
                <w:rFonts w:cs="Arial"/>
                <w:sz w:val="20"/>
                <w:szCs w:val="20"/>
              </w:rPr>
              <w:t>33.26</w:t>
            </w:r>
          </w:p>
        </w:tc>
        <w:tc>
          <w:tcPr>
            <w:tcW w:w="1260" w:type="dxa"/>
            <w:noWrap/>
            <w:vAlign w:val="center"/>
          </w:tcPr>
          <w:p w:rsidR="00AA7088" w:rsidRDefault="00AA7088">
            <w:pPr>
              <w:jc w:val="center"/>
              <w:rPr>
                <w:rFonts w:cs="Arial"/>
                <w:sz w:val="20"/>
                <w:szCs w:val="20"/>
              </w:rPr>
            </w:pPr>
            <w:r>
              <w:rPr>
                <w:rFonts w:cs="Arial"/>
                <w:sz w:val="20"/>
                <w:szCs w:val="20"/>
              </w:rPr>
              <w:t>82</w:t>
            </w:r>
          </w:p>
        </w:tc>
        <w:tc>
          <w:tcPr>
            <w:tcW w:w="1260" w:type="dxa"/>
            <w:noWrap/>
            <w:vAlign w:val="center"/>
          </w:tcPr>
          <w:p w:rsidR="00AA7088" w:rsidRDefault="00AA7088">
            <w:pPr>
              <w:jc w:val="center"/>
              <w:rPr>
                <w:rFonts w:cs="Arial"/>
                <w:sz w:val="20"/>
                <w:szCs w:val="20"/>
              </w:rPr>
            </w:pPr>
            <w:r>
              <w:rPr>
                <w:rFonts w:cs="Arial"/>
                <w:sz w:val="20"/>
                <w:szCs w:val="20"/>
              </w:rPr>
              <w:t>88</w:t>
            </w:r>
          </w:p>
        </w:tc>
      </w:tr>
      <w:tr w:rsidR="00AA7088" w:rsidRPr="002861A9" w:rsidTr="006D4320">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AA7088" w:rsidRDefault="00AA7088">
            <w:pPr>
              <w:rPr>
                <w:rFonts w:cs="Arial"/>
                <w:sz w:val="20"/>
                <w:szCs w:val="20"/>
              </w:rPr>
            </w:pPr>
            <w:r>
              <w:rPr>
                <w:rFonts w:cs="Arial"/>
                <w:sz w:val="20"/>
                <w:szCs w:val="20"/>
              </w:rPr>
              <w:t>% change from previous week</w:t>
            </w:r>
          </w:p>
        </w:tc>
        <w:tc>
          <w:tcPr>
            <w:tcW w:w="1359" w:type="dxa"/>
            <w:noWrap/>
            <w:vAlign w:val="center"/>
          </w:tcPr>
          <w:p w:rsidR="00AA7088" w:rsidRDefault="00AA7088">
            <w:pPr>
              <w:jc w:val="center"/>
              <w:rPr>
                <w:rFonts w:cs="Arial"/>
                <w:sz w:val="20"/>
                <w:szCs w:val="20"/>
              </w:rPr>
            </w:pPr>
            <w:r>
              <w:rPr>
                <w:rFonts w:cs="Arial"/>
                <w:sz w:val="20"/>
                <w:szCs w:val="20"/>
              </w:rPr>
              <w:t>-9</w:t>
            </w:r>
          </w:p>
        </w:tc>
        <w:tc>
          <w:tcPr>
            <w:tcW w:w="1360" w:type="dxa"/>
            <w:noWrap/>
            <w:vAlign w:val="center"/>
          </w:tcPr>
          <w:p w:rsidR="00AA7088" w:rsidRDefault="00AA7088">
            <w:pPr>
              <w:jc w:val="center"/>
              <w:rPr>
                <w:rFonts w:cs="Arial"/>
                <w:sz w:val="20"/>
                <w:szCs w:val="20"/>
              </w:rPr>
            </w:pPr>
            <w:r>
              <w:rPr>
                <w:rFonts w:cs="Arial"/>
                <w:sz w:val="20"/>
                <w:szCs w:val="20"/>
              </w:rPr>
              <w:t>3</w:t>
            </w:r>
          </w:p>
        </w:tc>
        <w:tc>
          <w:tcPr>
            <w:tcW w:w="1379" w:type="dxa"/>
            <w:noWrap/>
            <w:vAlign w:val="center"/>
          </w:tcPr>
          <w:p w:rsidR="00AA7088" w:rsidRDefault="00AA7088">
            <w:pPr>
              <w:jc w:val="center"/>
              <w:rPr>
                <w:rFonts w:cs="Arial"/>
                <w:sz w:val="20"/>
                <w:szCs w:val="20"/>
              </w:rPr>
            </w:pPr>
            <w:r>
              <w:rPr>
                <w:rFonts w:cs="Arial"/>
                <w:sz w:val="20"/>
                <w:szCs w:val="20"/>
              </w:rPr>
              <w:t>348</w:t>
            </w:r>
          </w:p>
        </w:tc>
        <w:tc>
          <w:tcPr>
            <w:tcW w:w="1260" w:type="dxa"/>
            <w:noWrap/>
            <w:vAlign w:val="center"/>
          </w:tcPr>
          <w:p w:rsidR="00AA7088" w:rsidRDefault="00AA7088">
            <w:pPr>
              <w:jc w:val="center"/>
              <w:rPr>
                <w:rFonts w:cs="Arial"/>
                <w:sz w:val="20"/>
                <w:szCs w:val="20"/>
              </w:rPr>
            </w:pPr>
            <w:r>
              <w:rPr>
                <w:rFonts w:cs="Arial"/>
                <w:sz w:val="20"/>
                <w:szCs w:val="20"/>
              </w:rPr>
              <w:t>-4</w:t>
            </w:r>
          </w:p>
        </w:tc>
        <w:tc>
          <w:tcPr>
            <w:tcW w:w="1260" w:type="dxa"/>
            <w:noWrap/>
            <w:vAlign w:val="center"/>
          </w:tcPr>
          <w:p w:rsidR="00AA7088" w:rsidRDefault="00AA7088">
            <w:pPr>
              <w:jc w:val="center"/>
              <w:rPr>
                <w:rFonts w:cs="Arial"/>
                <w:sz w:val="20"/>
                <w:szCs w:val="20"/>
              </w:rPr>
            </w:pPr>
            <w:r>
              <w:rPr>
                <w:rFonts w:cs="Arial"/>
                <w:sz w:val="20"/>
                <w:szCs w:val="20"/>
              </w:rPr>
              <w:t>3</w:t>
            </w:r>
          </w:p>
        </w:tc>
      </w:tr>
      <w:tr w:rsidR="00AA7088" w:rsidRPr="002861A9" w:rsidTr="006D4320">
        <w:trPr>
          <w:trHeight w:val="382"/>
        </w:trPr>
        <w:tc>
          <w:tcPr>
            <w:tcW w:w="2670" w:type="dxa"/>
            <w:noWrap/>
            <w:vAlign w:val="center"/>
          </w:tcPr>
          <w:p w:rsidR="00AA7088" w:rsidRDefault="00AA7088">
            <w:pPr>
              <w:rPr>
                <w:rFonts w:cs="Arial"/>
                <w:sz w:val="20"/>
                <w:szCs w:val="20"/>
              </w:rPr>
            </w:pPr>
            <w:r>
              <w:rPr>
                <w:rFonts w:cs="Arial"/>
                <w:sz w:val="20"/>
                <w:szCs w:val="20"/>
              </w:rPr>
              <w:t>14-15 financial YTD</w:t>
            </w:r>
          </w:p>
        </w:tc>
        <w:tc>
          <w:tcPr>
            <w:tcW w:w="1359" w:type="dxa"/>
            <w:noWrap/>
            <w:vAlign w:val="center"/>
          </w:tcPr>
          <w:p w:rsidR="00AA7088" w:rsidRDefault="00AA7088">
            <w:pPr>
              <w:jc w:val="center"/>
              <w:rPr>
                <w:rFonts w:cs="Arial"/>
                <w:sz w:val="20"/>
                <w:szCs w:val="20"/>
              </w:rPr>
            </w:pPr>
            <w:r>
              <w:rPr>
                <w:rFonts w:cs="Arial"/>
                <w:sz w:val="20"/>
                <w:szCs w:val="20"/>
              </w:rPr>
              <w:t>3.74</w:t>
            </w:r>
          </w:p>
        </w:tc>
        <w:tc>
          <w:tcPr>
            <w:tcW w:w="1360" w:type="dxa"/>
            <w:noWrap/>
            <w:vAlign w:val="center"/>
          </w:tcPr>
          <w:p w:rsidR="00AA7088" w:rsidRDefault="00AA7088">
            <w:pPr>
              <w:jc w:val="center"/>
              <w:rPr>
                <w:rFonts w:cs="Arial"/>
                <w:sz w:val="20"/>
                <w:szCs w:val="20"/>
              </w:rPr>
            </w:pPr>
            <w:r>
              <w:rPr>
                <w:rFonts w:cs="Arial"/>
                <w:sz w:val="20"/>
                <w:szCs w:val="20"/>
              </w:rPr>
              <w:t>3.70</w:t>
            </w:r>
          </w:p>
        </w:tc>
        <w:tc>
          <w:tcPr>
            <w:tcW w:w="1379" w:type="dxa"/>
            <w:noWrap/>
            <w:vAlign w:val="center"/>
          </w:tcPr>
          <w:p w:rsidR="00AA7088" w:rsidRDefault="00AA7088">
            <w:pPr>
              <w:jc w:val="center"/>
              <w:rPr>
                <w:rFonts w:cs="Arial"/>
                <w:sz w:val="20"/>
                <w:szCs w:val="20"/>
              </w:rPr>
            </w:pPr>
            <w:r>
              <w:rPr>
                <w:rFonts w:cs="Arial"/>
                <w:sz w:val="20"/>
                <w:szCs w:val="20"/>
              </w:rPr>
              <w:t>13.27</w:t>
            </w:r>
          </w:p>
        </w:tc>
        <w:tc>
          <w:tcPr>
            <w:tcW w:w="1260" w:type="dxa"/>
            <w:noWrap/>
            <w:vAlign w:val="center"/>
          </w:tcPr>
          <w:p w:rsidR="00AA7088" w:rsidRDefault="00AA7088">
            <w:pPr>
              <w:jc w:val="center"/>
              <w:rPr>
                <w:rFonts w:cs="Arial"/>
                <w:sz w:val="20"/>
                <w:szCs w:val="20"/>
              </w:rPr>
            </w:pPr>
            <w:r>
              <w:rPr>
                <w:rFonts w:cs="Arial"/>
                <w:sz w:val="20"/>
                <w:szCs w:val="20"/>
              </w:rPr>
              <w:t>62</w:t>
            </w:r>
          </w:p>
        </w:tc>
        <w:tc>
          <w:tcPr>
            <w:tcW w:w="1260" w:type="dxa"/>
            <w:noWrap/>
            <w:vAlign w:val="center"/>
          </w:tcPr>
          <w:p w:rsidR="00AA7088" w:rsidRDefault="00AA7088">
            <w:pPr>
              <w:jc w:val="center"/>
              <w:rPr>
                <w:rFonts w:cs="Arial"/>
                <w:sz w:val="20"/>
                <w:szCs w:val="20"/>
              </w:rPr>
            </w:pPr>
            <w:r>
              <w:rPr>
                <w:rFonts w:cs="Arial"/>
                <w:sz w:val="20"/>
                <w:szCs w:val="20"/>
              </w:rPr>
              <w:t>62</w:t>
            </w:r>
          </w:p>
        </w:tc>
      </w:tr>
      <w:tr w:rsidR="00AA7088" w:rsidRPr="002861A9" w:rsidTr="006D4320">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AA7088" w:rsidRDefault="00AA7088">
            <w:pPr>
              <w:rPr>
                <w:rFonts w:cs="Arial"/>
                <w:sz w:val="20"/>
                <w:szCs w:val="20"/>
              </w:rPr>
            </w:pPr>
            <w:r>
              <w:rPr>
                <w:rFonts w:cs="Arial"/>
                <w:sz w:val="20"/>
                <w:szCs w:val="20"/>
              </w:rPr>
              <w:t>% change from previous financial YTD</w:t>
            </w:r>
          </w:p>
        </w:tc>
        <w:tc>
          <w:tcPr>
            <w:tcW w:w="1359" w:type="dxa"/>
            <w:noWrap/>
            <w:vAlign w:val="center"/>
          </w:tcPr>
          <w:p w:rsidR="00AA7088" w:rsidRDefault="00AA7088">
            <w:pPr>
              <w:jc w:val="center"/>
              <w:rPr>
                <w:rFonts w:cs="Arial"/>
                <w:sz w:val="20"/>
                <w:szCs w:val="20"/>
              </w:rPr>
            </w:pPr>
            <w:r>
              <w:rPr>
                <w:rFonts w:cs="Arial"/>
                <w:sz w:val="20"/>
                <w:szCs w:val="20"/>
              </w:rPr>
              <w:t>-14</w:t>
            </w:r>
          </w:p>
        </w:tc>
        <w:tc>
          <w:tcPr>
            <w:tcW w:w="1360" w:type="dxa"/>
            <w:noWrap/>
            <w:vAlign w:val="center"/>
          </w:tcPr>
          <w:p w:rsidR="00AA7088" w:rsidRDefault="00AA7088">
            <w:pPr>
              <w:jc w:val="center"/>
              <w:rPr>
                <w:rFonts w:cs="Arial"/>
                <w:sz w:val="20"/>
                <w:szCs w:val="20"/>
              </w:rPr>
            </w:pPr>
            <w:r>
              <w:rPr>
                <w:rFonts w:cs="Arial"/>
                <w:sz w:val="20"/>
                <w:szCs w:val="20"/>
              </w:rPr>
              <w:t>-14</w:t>
            </w:r>
          </w:p>
        </w:tc>
        <w:tc>
          <w:tcPr>
            <w:tcW w:w="1379" w:type="dxa"/>
            <w:noWrap/>
            <w:vAlign w:val="center"/>
          </w:tcPr>
          <w:p w:rsidR="00AA7088" w:rsidRDefault="00AA7088">
            <w:pPr>
              <w:jc w:val="center"/>
              <w:rPr>
                <w:rFonts w:cs="Arial"/>
                <w:sz w:val="20"/>
                <w:szCs w:val="20"/>
              </w:rPr>
            </w:pPr>
            <w:r>
              <w:rPr>
                <w:rFonts w:cs="Arial"/>
                <w:sz w:val="20"/>
                <w:szCs w:val="20"/>
              </w:rPr>
              <w:t>-6</w:t>
            </w:r>
          </w:p>
        </w:tc>
        <w:tc>
          <w:tcPr>
            <w:tcW w:w="1260" w:type="dxa"/>
            <w:noWrap/>
            <w:vAlign w:val="center"/>
          </w:tcPr>
          <w:p w:rsidR="00AA7088" w:rsidRDefault="00AA7088">
            <w:pPr>
              <w:jc w:val="center"/>
              <w:rPr>
                <w:rFonts w:cs="Arial"/>
                <w:sz w:val="20"/>
                <w:szCs w:val="20"/>
              </w:rPr>
            </w:pPr>
            <w:r>
              <w:rPr>
                <w:rFonts w:cs="Arial"/>
                <w:sz w:val="20"/>
                <w:szCs w:val="20"/>
              </w:rPr>
              <w:t>-3</w:t>
            </w:r>
          </w:p>
        </w:tc>
        <w:tc>
          <w:tcPr>
            <w:tcW w:w="1260" w:type="dxa"/>
            <w:noWrap/>
            <w:vAlign w:val="center"/>
          </w:tcPr>
          <w:p w:rsidR="00AA7088" w:rsidRDefault="00AA7088">
            <w:pPr>
              <w:jc w:val="center"/>
              <w:rPr>
                <w:rFonts w:cs="Arial"/>
                <w:sz w:val="20"/>
                <w:szCs w:val="20"/>
              </w:rPr>
            </w:pPr>
            <w:r>
              <w:rPr>
                <w:rFonts w:cs="Arial"/>
                <w:sz w:val="20"/>
                <w:szCs w:val="20"/>
              </w:rPr>
              <w:t>-3</w:t>
            </w:r>
          </w:p>
        </w:tc>
      </w:tr>
    </w:tbl>
    <w:p w:rsidR="00D1641C" w:rsidRPr="006E7E57" w:rsidRDefault="006E7E57" w:rsidP="00D1641C">
      <w:pPr>
        <w:pStyle w:val="Heading2"/>
        <w:ind w:firstLine="0"/>
        <w:rPr>
          <w:i w:val="0"/>
          <w:color w:val="2272A3"/>
          <w:sz w:val="24"/>
          <w:szCs w:val="24"/>
        </w:rPr>
      </w:pPr>
      <w:r>
        <w:rPr>
          <w:i w:val="0"/>
          <w:color w:val="2272A3"/>
          <w:sz w:val="24"/>
          <w:szCs w:val="24"/>
        </w:rPr>
        <w:t>Brisbane STTM</w:t>
      </w:r>
    </w:p>
    <w:tbl>
      <w:tblPr>
        <w:tblStyle w:val="AERTable-Text0"/>
        <w:tblW w:w="9208" w:type="dxa"/>
        <w:tblLayout w:type="fixed"/>
        <w:tblLook w:val="01E0" w:firstRow="1" w:lastRow="1" w:firstColumn="1" w:lastColumn="1" w:noHBand="0" w:noVBand="0"/>
      </w:tblPr>
      <w:tblGrid>
        <w:gridCol w:w="2670"/>
        <w:gridCol w:w="1359"/>
        <w:gridCol w:w="1360"/>
        <w:gridCol w:w="1359"/>
        <w:gridCol w:w="1280"/>
        <w:gridCol w:w="1180"/>
      </w:tblGrid>
      <w:tr w:rsidR="006E7E57" w:rsidRPr="00900CEB" w:rsidTr="00B71928">
        <w:trPr>
          <w:cnfStyle w:val="100000000000" w:firstRow="1" w:lastRow="0" w:firstColumn="0" w:lastColumn="0" w:oddVBand="0" w:evenVBand="0" w:oddHBand="0" w:evenHBand="0" w:firstRowFirstColumn="0" w:firstRowLastColumn="0" w:lastRowFirstColumn="0" w:lastRowLastColumn="0"/>
          <w:trHeight w:val="226"/>
        </w:trPr>
        <w:tc>
          <w:tcPr>
            <w:tcW w:w="2670" w:type="dxa"/>
            <w:noWrap/>
          </w:tcPr>
          <w:p w:rsidR="006E7E57" w:rsidRPr="002861A9" w:rsidRDefault="006E7E57" w:rsidP="00B71928">
            <w:pPr>
              <w:keepNext/>
              <w:spacing w:before="40" w:after="40"/>
              <w:rPr>
                <w:rFonts w:cs="Arial"/>
                <w:b w:val="0"/>
                <w:bCs/>
                <w:sz w:val="20"/>
                <w:szCs w:val="20"/>
              </w:rPr>
            </w:pPr>
            <w:r w:rsidRPr="002861A9">
              <w:rPr>
                <w:rFonts w:cs="Arial"/>
                <w:bCs/>
                <w:sz w:val="20"/>
                <w:szCs w:val="20"/>
              </w:rPr>
              <w:t> </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price ($/GJ)</w:t>
            </w:r>
          </w:p>
        </w:tc>
        <w:tc>
          <w:tcPr>
            <w:tcW w:w="136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price ($/GJ)</w:t>
            </w:r>
          </w:p>
        </w:tc>
        <w:tc>
          <w:tcPr>
            <w:tcW w:w="1359"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MOS payments ($000)</w:t>
            </w:r>
          </w:p>
        </w:tc>
        <w:tc>
          <w:tcPr>
            <w:tcW w:w="12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ante quantity (TJ)</w:t>
            </w:r>
          </w:p>
        </w:tc>
        <w:tc>
          <w:tcPr>
            <w:tcW w:w="1180" w:type="dxa"/>
            <w:noWrap/>
          </w:tcPr>
          <w:p w:rsidR="006E7E57" w:rsidRPr="002861A9" w:rsidRDefault="006E7E57" w:rsidP="00B71928">
            <w:pPr>
              <w:keepNext/>
              <w:spacing w:before="40" w:after="40"/>
              <w:jc w:val="center"/>
              <w:rPr>
                <w:rFonts w:cs="Arial"/>
                <w:b w:val="0"/>
                <w:bCs/>
                <w:sz w:val="20"/>
                <w:szCs w:val="20"/>
              </w:rPr>
            </w:pPr>
            <w:r w:rsidRPr="002861A9">
              <w:rPr>
                <w:rFonts w:cs="Arial"/>
                <w:bCs/>
                <w:sz w:val="20"/>
                <w:szCs w:val="20"/>
              </w:rPr>
              <w:t>Ex post quantity (TJ)</w:t>
            </w:r>
          </w:p>
        </w:tc>
      </w:tr>
      <w:tr w:rsidR="00AA7088" w:rsidRPr="002861A9" w:rsidTr="005B7135">
        <w:trPr>
          <w:trHeight w:val="382"/>
        </w:trPr>
        <w:tc>
          <w:tcPr>
            <w:tcW w:w="2670" w:type="dxa"/>
            <w:noWrap/>
            <w:vAlign w:val="center"/>
          </w:tcPr>
          <w:p w:rsidR="00AA7088" w:rsidRDefault="00AA7088">
            <w:pPr>
              <w:rPr>
                <w:rFonts w:cs="Arial"/>
                <w:sz w:val="20"/>
                <w:szCs w:val="20"/>
              </w:rPr>
            </w:pPr>
            <w:r>
              <w:rPr>
                <w:rFonts w:cs="Arial"/>
                <w:sz w:val="20"/>
                <w:szCs w:val="20"/>
              </w:rPr>
              <w:t>07 Jun - 13 Jun 2015</w:t>
            </w:r>
          </w:p>
        </w:tc>
        <w:tc>
          <w:tcPr>
            <w:tcW w:w="1359" w:type="dxa"/>
            <w:noWrap/>
            <w:vAlign w:val="center"/>
          </w:tcPr>
          <w:p w:rsidR="00AA7088" w:rsidRDefault="00AA7088">
            <w:pPr>
              <w:jc w:val="center"/>
              <w:rPr>
                <w:rFonts w:cs="Arial"/>
                <w:sz w:val="20"/>
                <w:szCs w:val="20"/>
              </w:rPr>
            </w:pPr>
            <w:r>
              <w:rPr>
                <w:rFonts w:cs="Arial"/>
                <w:sz w:val="20"/>
                <w:szCs w:val="20"/>
              </w:rPr>
              <w:t>2.84</w:t>
            </w:r>
          </w:p>
        </w:tc>
        <w:tc>
          <w:tcPr>
            <w:tcW w:w="1360" w:type="dxa"/>
            <w:noWrap/>
            <w:vAlign w:val="center"/>
          </w:tcPr>
          <w:p w:rsidR="00AA7088" w:rsidRDefault="00AA7088">
            <w:pPr>
              <w:jc w:val="center"/>
              <w:rPr>
                <w:rFonts w:cs="Arial"/>
                <w:sz w:val="20"/>
                <w:szCs w:val="20"/>
              </w:rPr>
            </w:pPr>
            <w:r>
              <w:rPr>
                <w:rFonts w:cs="Arial"/>
                <w:sz w:val="20"/>
                <w:szCs w:val="20"/>
              </w:rPr>
              <w:t>2.39</w:t>
            </w:r>
          </w:p>
        </w:tc>
        <w:tc>
          <w:tcPr>
            <w:tcW w:w="1359" w:type="dxa"/>
            <w:noWrap/>
            <w:vAlign w:val="center"/>
          </w:tcPr>
          <w:p w:rsidR="00AA7088" w:rsidRDefault="00AA7088">
            <w:pPr>
              <w:jc w:val="center"/>
              <w:rPr>
                <w:rFonts w:cs="Arial"/>
                <w:sz w:val="20"/>
                <w:szCs w:val="20"/>
              </w:rPr>
            </w:pPr>
            <w:r>
              <w:rPr>
                <w:rFonts w:cs="Arial"/>
                <w:sz w:val="20"/>
                <w:szCs w:val="20"/>
              </w:rPr>
              <w:t>3.23</w:t>
            </w:r>
          </w:p>
        </w:tc>
        <w:tc>
          <w:tcPr>
            <w:tcW w:w="1280" w:type="dxa"/>
            <w:noWrap/>
            <w:vAlign w:val="center"/>
          </w:tcPr>
          <w:p w:rsidR="00AA7088" w:rsidRDefault="00AA7088">
            <w:pPr>
              <w:jc w:val="center"/>
              <w:rPr>
                <w:rFonts w:cs="Arial"/>
                <w:sz w:val="20"/>
                <w:szCs w:val="20"/>
              </w:rPr>
            </w:pPr>
            <w:r>
              <w:rPr>
                <w:rFonts w:cs="Arial"/>
                <w:sz w:val="20"/>
                <w:szCs w:val="20"/>
              </w:rPr>
              <w:t>75</w:t>
            </w:r>
          </w:p>
        </w:tc>
        <w:tc>
          <w:tcPr>
            <w:tcW w:w="1180" w:type="dxa"/>
            <w:noWrap/>
            <w:vAlign w:val="center"/>
          </w:tcPr>
          <w:p w:rsidR="00AA7088" w:rsidRDefault="00AA7088">
            <w:pPr>
              <w:jc w:val="center"/>
              <w:rPr>
                <w:rFonts w:cs="Arial"/>
                <w:sz w:val="20"/>
                <w:szCs w:val="20"/>
              </w:rPr>
            </w:pPr>
            <w:r>
              <w:rPr>
                <w:rFonts w:cs="Arial"/>
                <w:sz w:val="20"/>
                <w:szCs w:val="20"/>
              </w:rPr>
              <w:t>68</w:t>
            </w:r>
          </w:p>
        </w:tc>
      </w:tr>
      <w:tr w:rsidR="00AA7088" w:rsidRPr="002861A9" w:rsidTr="005B7135">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AA7088" w:rsidRDefault="00AA7088">
            <w:pPr>
              <w:rPr>
                <w:rFonts w:cs="Arial"/>
                <w:sz w:val="20"/>
                <w:szCs w:val="20"/>
              </w:rPr>
            </w:pPr>
            <w:r>
              <w:rPr>
                <w:rFonts w:cs="Arial"/>
                <w:sz w:val="20"/>
                <w:szCs w:val="20"/>
              </w:rPr>
              <w:t>% change from previous week</w:t>
            </w:r>
          </w:p>
        </w:tc>
        <w:tc>
          <w:tcPr>
            <w:tcW w:w="1359" w:type="dxa"/>
            <w:noWrap/>
            <w:vAlign w:val="center"/>
          </w:tcPr>
          <w:p w:rsidR="00AA7088" w:rsidRDefault="00AA7088">
            <w:pPr>
              <w:jc w:val="center"/>
              <w:rPr>
                <w:rFonts w:cs="Arial"/>
                <w:sz w:val="20"/>
                <w:szCs w:val="20"/>
              </w:rPr>
            </w:pPr>
            <w:r>
              <w:rPr>
                <w:rFonts w:cs="Arial"/>
                <w:sz w:val="20"/>
                <w:szCs w:val="20"/>
              </w:rPr>
              <w:t>-26</w:t>
            </w:r>
          </w:p>
        </w:tc>
        <w:tc>
          <w:tcPr>
            <w:tcW w:w="1360" w:type="dxa"/>
            <w:noWrap/>
            <w:vAlign w:val="center"/>
          </w:tcPr>
          <w:p w:rsidR="00AA7088" w:rsidRDefault="00AA7088">
            <w:pPr>
              <w:jc w:val="center"/>
              <w:rPr>
                <w:rFonts w:cs="Arial"/>
                <w:sz w:val="20"/>
                <w:szCs w:val="20"/>
              </w:rPr>
            </w:pPr>
            <w:r>
              <w:rPr>
                <w:rFonts w:cs="Arial"/>
                <w:sz w:val="20"/>
                <w:szCs w:val="20"/>
              </w:rPr>
              <w:t>-36</w:t>
            </w:r>
          </w:p>
        </w:tc>
        <w:tc>
          <w:tcPr>
            <w:tcW w:w="1359" w:type="dxa"/>
            <w:noWrap/>
            <w:vAlign w:val="center"/>
          </w:tcPr>
          <w:p w:rsidR="00AA7088" w:rsidRDefault="00AA7088">
            <w:pPr>
              <w:jc w:val="center"/>
              <w:rPr>
                <w:rFonts w:cs="Arial"/>
                <w:sz w:val="20"/>
                <w:szCs w:val="20"/>
              </w:rPr>
            </w:pPr>
            <w:r>
              <w:rPr>
                <w:rFonts w:cs="Arial"/>
                <w:sz w:val="20"/>
                <w:szCs w:val="20"/>
              </w:rPr>
              <w:t>178</w:t>
            </w:r>
          </w:p>
        </w:tc>
        <w:tc>
          <w:tcPr>
            <w:tcW w:w="1280" w:type="dxa"/>
            <w:noWrap/>
            <w:vAlign w:val="center"/>
          </w:tcPr>
          <w:p w:rsidR="00AA7088" w:rsidRDefault="00AA7088">
            <w:pPr>
              <w:jc w:val="center"/>
              <w:rPr>
                <w:rFonts w:cs="Arial"/>
                <w:sz w:val="20"/>
                <w:szCs w:val="20"/>
              </w:rPr>
            </w:pPr>
            <w:r>
              <w:rPr>
                <w:rFonts w:cs="Arial"/>
                <w:sz w:val="20"/>
                <w:szCs w:val="20"/>
              </w:rPr>
              <w:t>-20</w:t>
            </w:r>
          </w:p>
        </w:tc>
        <w:tc>
          <w:tcPr>
            <w:tcW w:w="1180" w:type="dxa"/>
            <w:noWrap/>
            <w:vAlign w:val="center"/>
          </w:tcPr>
          <w:p w:rsidR="00AA7088" w:rsidRDefault="00AA7088">
            <w:pPr>
              <w:jc w:val="center"/>
              <w:rPr>
                <w:rFonts w:cs="Arial"/>
                <w:sz w:val="20"/>
                <w:szCs w:val="20"/>
              </w:rPr>
            </w:pPr>
            <w:r>
              <w:rPr>
                <w:rFonts w:cs="Arial"/>
                <w:sz w:val="20"/>
                <w:szCs w:val="20"/>
              </w:rPr>
              <w:t>-27</w:t>
            </w:r>
          </w:p>
        </w:tc>
      </w:tr>
      <w:tr w:rsidR="00AA7088" w:rsidRPr="002861A9" w:rsidTr="005B7135">
        <w:trPr>
          <w:trHeight w:val="382"/>
        </w:trPr>
        <w:tc>
          <w:tcPr>
            <w:tcW w:w="2670" w:type="dxa"/>
            <w:noWrap/>
            <w:vAlign w:val="center"/>
          </w:tcPr>
          <w:p w:rsidR="00AA7088" w:rsidRDefault="00AA7088">
            <w:pPr>
              <w:rPr>
                <w:rFonts w:cs="Arial"/>
                <w:sz w:val="20"/>
                <w:szCs w:val="20"/>
              </w:rPr>
            </w:pPr>
            <w:r>
              <w:rPr>
                <w:rFonts w:cs="Arial"/>
                <w:sz w:val="20"/>
                <w:szCs w:val="20"/>
              </w:rPr>
              <w:t>14-15 financial YTD</w:t>
            </w:r>
          </w:p>
        </w:tc>
        <w:tc>
          <w:tcPr>
            <w:tcW w:w="1359" w:type="dxa"/>
            <w:noWrap/>
            <w:vAlign w:val="center"/>
          </w:tcPr>
          <w:p w:rsidR="00AA7088" w:rsidRDefault="00AA7088">
            <w:pPr>
              <w:jc w:val="center"/>
              <w:rPr>
                <w:rFonts w:cs="Arial"/>
                <w:sz w:val="20"/>
                <w:szCs w:val="20"/>
              </w:rPr>
            </w:pPr>
            <w:r>
              <w:rPr>
                <w:rFonts w:cs="Arial"/>
                <w:sz w:val="20"/>
                <w:szCs w:val="20"/>
              </w:rPr>
              <w:t>2.34</w:t>
            </w:r>
          </w:p>
        </w:tc>
        <w:tc>
          <w:tcPr>
            <w:tcW w:w="1360" w:type="dxa"/>
            <w:noWrap/>
            <w:vAlign w:val="center"/>
          </w:tcPr>
          <w:p w:rsidR="00AA7088" w:rsidRDefault="00AA7088">
            <w:pPr>
              <w:jc w:val="center"/>
              <w:rPr>
                <w:rFonts w:cs="Arial"/>
                <w:sz w:val="20"/>
                <w:szCs w:val="20"/>
              </w:rPr>
            </w:pPr>
            <w:r>
              <w:rPr>
                <w:rFonts w:cs="Arial"/>
                <w:sz w:val="20"/>
                <w:szCs w:val="20"/>
              </w:rPr>
              <w:t>2.22</w:t>
            </w:r>
          </w:p>
        </w:tc>
        <w:tc>
          <w:tcPr>
            <w:tcW w:w="1359" w:type="dxa"/>
            <w:noWrap/>
            <w:vAlign w:val="center"/>
          </w:tcPr>
          <w:p w:rsidR="00AA7088" w:rsidRDefault="00AA7088">
            <w:pPr>
              <w:jc w:val="center"/>
              <w:rPr>
                <w:rFonts w:cs="Arial"/>
                <w:sz w:val="20"/>
                <w:szCs w:val="20"/>
              </w:rPr>
            </w:pPr>
            <w:r>
              <w:rPr>
                <w:rFonts w:cs="Arial"/>
                <w:sz w:val="20"/>
                <w:szCs w:val="20"/>
              </w:rPr>
              <w:t>1.73</w:t>
            </w:r>
          </w:p>
        </w:tc>
        <w:tc>
          <w:tcPr>
            <w:tcW w:w="1280" w:type="dxa"/>
            <w:noWrap/>
            <w:vAlign w:val="center"/>
          </w:tcPr>
          <w:p w:rsidR="00AA7088" w:rsidRDefault="00AA7088">
            <w:pPr>
              <w:jc w:val="center"/>
              <w:rPr>
                <w:rFonts w:cs="Arial"/>
                <w:sz w:val="20"/>
                <w:szCs w:val="20"/>
              </w:rPr>
            </w:pPr>
            <w:r>
              <w:rPr>
                <w:rFonts w:cs="Arial"/>
                <w:sz w:val="20"/>
                <w:szCs w:val="20"/>
              </w:rPr>
              <w:t>131</w:t>
            </w:r>
          </w:p>
        </w:tc>
        <w:tc>
          <w:tcPr>
            <w:tcW w:w="1180" w:type="dxa"/>
            <w:noWrap/>
            <w:vAlign w:val="center"/>
          </w:tcPr>
          <w:p w:rsidR="00AA7088" w:rsidRDefault="00AA7088">
            <w:pPr>
              <w:jc w:val="center"/>
              <w:rPr>
                <w:rFonts w:cs="Arial"/>
                <w:sz w:val="20"/>
                <w:szCs w:val="20"/>
              </w:rPr>
            </w:pPr>
            <w:r>
              <w:rPr>
                <w:rFonts w:cs="Arial"/>
                <w:sz w:val="20"/>
                <w:szCs w:val="20"/>
              </w:rPr>
              <w:t>131</w:t>
            </w:r>
          </w:p>
        </w:tc>
      </w:tr>
      <w:tr w:rsidR="00AA7088" w:rsidRPr="002861A9" w:rsidTr="005B7135">
        <w:trPr>
          <w:cnfStyle w:val="000000010000" w:firstRow="0" w:lastRow="0" w:firstColumn="0" w:lastColumn="0" w:oddVBand="0" w:evenVBand="0" w:oddHBand="0" w:evenHBand="1" w:firstRowFirstColumn="0" w:firstRowLastColumn="0" w:lastRowFirstColumn="0" w:lastRowLastColumn="0"/>
          <w:trHeight w:val="382"/>
        </w:trPr>
        <w:tc>
          <w:tcPr>
            <w:tcW w:w="2670" w:type="dxa"/>
            <w:noWrap/>
            <w:vAlign w:val="center"/>
          </w:tcPr>
          <w:p w:rsidR="00AA7088" w:rsidRDefault="00AA7088">
            <w:pPr>
              <w:rPr>
                <w:rFonts w:cs="Arial"/>
                <w:sz w:val="20"/>
                <w:szCs w:val="20"/>
              </w:rPr>
            </w:pPr>
            <w:r>
              <w:rPr>
                <w:rFonts w:cs="Arial"/>
                <w:sz w:val="20"/>
                <w:szCs w:val="20"/>
              </w:rPr>
              <w:t>% change from previous financial YTD</w:t>
            </w:r>
          </w:p>
        </w:tc>
        <w:tc>
          <w:tcPr>
            <w:tcW w:w="1359" w:type="dxa"/>
            <w:noWrap/>
            <w:vAlign w:val="center"/>
          </w:tcPr>
          <w:p w:rsidR="00AA7088" w:rsidRDefault="00AA7088">
            <w:pPr>
              <w:jc w:val="center"/>
              <w:rPr>
                <w:rFonts w:cs="Arial"/>
                <w:sz w:val="20"/>
                <w:szCs w:val="20"/>
              </w:rPr>
            </w:pPr>
            <w:r>
              <w:rPr>
                <w:rFonts w:cs="Arial"/>
                <w:sz w:val="20"/>
                <w:szCs w:val="20"/>
              </w:rPr>
              <w:t>-49</w:t>
            </w:r>
          </w:p>
        </w:tc>
        <w:tc>
          <w:tcPr>
            <w:tcW w:w="1360" w:type="dxa"/>
            <w:noWrap/>
            <w:vAlign w:val="center"/>
          </w:tcPr>
          <w:p w:rsidR="00AA7088" w:rsidRDefault="00AA7088">
            <w:pPr>
              <w:jc w:val="center"/>
              <w:rPr>
                <w:rFonts w:cs="Arial"/>
                <w:sz w:val="20"/>
                <w:szCs w:val="20"/>
              </w:rPr>
            </w:pPr>
            <w:r>
              <w:rPr>
                <w:rFonts w:cs="Arial"/>
                <w:sz w:val="20"/>
                <w:szCs w:val="20"/>
              </w:rPr>
              <w:t>-53</w:t>
            </w:r>
          </w:p>
        </w:tc>
        <w:tc>
          <w:tcPr>
            <w:tcW w:w="1359" w:type="dxa"/>
            <w:noWrap/>
            <w:vAlign w:val="center"/>
          </w:tcPr>
          <w:p w:rsidR="00AA7088" w:rsidRDefault="00AA7088">
            <w:pPr>
              <w:jc w:val="center"/>
              <w:rPr>
                <w:rFonts w:cs="Arial"/>
                <w:sz w:val="20"/>
                <w:szCs w:val="20"/>
              </w:rPr>
            </w:pPr>
            <w:r>
              <w:rPr>
                <w:rFonts w:cs="Arial"/>
                <w:sz w:val="20"/>
                <w:szCs w:val="20"/>
              </w:rPr>
              <w:t>11</w:t>
            </w:r>
          </w:p>
        </w:tc>
        <w:tc>
          <w:tcPr>
            <w:tcW w:w="1280" w:type="dxa"/>
            <w:noWrap/>
            <w:vAlign w:val="center"/>
          </w:tcPr>
          <w:p w:rsidR="00AA7088" w:rsidRDefault="00AA7088">
            <w:pPr>
              <w:jc w:val="center"/>
              <w:rPr>
                <w:rFonts w:cs="Arial"/>
                <w:sz w:val="20"/>
                <w:szCs w:val="20"/>
              </w:rPr>
            </w:pPr>
            <w:r>
              <w:rPr>
                <w:rFonts w:cs="Arial"/>
                <w:sz w:val="20"/>
                <w:szCs w:val="20"/>
              </w:rPr>
              <w:t>-14</w:t>
            </w:r>
          </w:p>
        </w:tc>
        <w:tc>
          <w:tcPr>
            <w:tcW w:w="1180" w:type="dxa"/>
            <w:noWrap/>
            <w:vAlign w:val="center"/>
          </w:tcPr>
          <w:p w:rsidR="00AA7088" w:rsidRDefault="00AA7088">
            <w:pPr>
              <w:jc w:val="center"/>
              <w:rPr>
                <w:rFonts w:cs="Arial"/>
                <w:sz w:val="20"/>
                <w:szCs w:val="20"/>
              </w:rPr>
            </w:pPr>
            <w:r>
              <w:rPr>
                <w:rFonts w:cs="Arial"/>
                <w:sz w:val="20"/>
                <w:szCs w:val="20"/>
              </w:rPr>
              <w:t>-15</w:t>
            </w:r>
          </w:p>
        </w:tc>
      </w:tr>
    </w:tbl>
    <w:p w:rsidR="006E7E57" w:rsidRPr="008D4DAB" w:rsidRDefault="006E7E57" w:rsidP="00345444">
      <w:pPr>
        <w:pStyle w:val="AERbodytext"/>
        <w:spacing w:before="120" w:after="120" w:line="240" w:lineRule="auto"/>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D1641C" w:rsidRPr="00D1641C" w:rsidRDefault="006E7E57" w:rsidP="009962A0">
      <w:pPr>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xml:space="preserve">, and section 6 provides information on the </w:t>
      </w:r>
      <w:r w:rsidR="009962A0">
        <w:t>G</w:t>
      </w:r>
      <w:r>
        <w:t xml:space="preserve">as </w:t>
      </w:r>
      <w:r w:rsidR="009962A0">
        <w:t>S</w:t>
      </w:r>
      <w:r>
        <w:t xml:space="preserve">upply </w:t>
      </w:r>
      <w:r w:rsidR="009962A0">
        <w:t>H</w:t>
      </w:r>
      <w:r>
        <w:t xml:space="preserve">ub </w:t>
      </w:r>
      <w:r w:rsidR="009962A0" w:rsidRPr="009962A0">
        <w:rPr>
          <w:b/>
        </w:rPr>
        <w:t>(GSH)</w:t>
      </w:r>
      <w:r w:rsidR="009962A0">
        <w:t xml:space="preserve"> </w:t>
      </w:r>
      <w:r>
        <w:t>at Wallumbilla</w:t>
      </w:r>
      <w:r w:rsidRPr="008D4DAB">
        <w:t>.</w:t>
      </w:r>
    </w:p>
    <w:p w:rsidR="00BC18FB" w:rsidRPr="006E7E57" w:rsidRDefault="00BC18FB" w:rsidP="00BC18FB">
      <w:pPr>
        <w:pStyle w:val="Heading1"/>
        <w:numPr>
          <w:ilvl w:val="0"/>
          <w:numId w:val="0"/>
        </w:numPr>
        <w:rPr>
          <w:color w:val="2272A3"/>
        </w:rPr>
      </w:pPr>
      <w:r w:rsidRPr="006E7E57">
        <w:rPr>
          <w:color w:val="2272A3"/>
        </w:rPr>
        <w:lastRenderedPageBreak/>
        <w:t>Significant</w:t>
      </w:r>
      <w:r w:rsidR="006E7E57">
        <w:rPr>
          <w:color w:val="2272A3"/>
        </w:rPr>
        <w:t xml:space="preserve"> Market Events or Issues this week</w:t>
      </w:r>
    </w:p>
    <w:p w:rsidR="001720DC" w:rsidRPr="001720DC" w:rsidRDefault="001720DC" w:rsidP="001720DC">
      <w:pPr>
        <w:jc w:val="both"/>
        <w:rPr>
          <w:rFonts w:eastAsia="MS Mincho"/>
        </w:rPr>
      </w:pPr>
      <w:r w:rsidRPr="001720DC">
        <w:rPr>
          <w:rFonts w:eastAsia="MS Mincho"/>
        </w:rPr>
        <w:t>On 7, 8 and 9 June, over forecasting in Sydney saw decrease MOS requirements ranging from 12.9 TJ to 18.2 TJ, leading to service payments of up to $74 800 on 7 June.</w:t>
      </w:r>
    </w:p>
    <w:p w:rsidR="001720DC" w:rsidRPr="001720DC" w:rsidRDefault="001720DC" w:rsidP="001720DC">
      <w:pPr>
        <w:jc w:val="both"/>
        <w:rPr>
          <w:rFonts w:eastAsia="MS Mincho"/>
        </w:rPr>
      </w:pPr>
      <w:r w:rsidRPr="001720DC">
        <w:rPr>
          <w:rFonts w:eastAsia="MS Mincho"/>
        </w:rPr>
        <w:t>On 9 June, Brisbane saw a large decrease MOS requirement of 10.9 TJ. This was influenced by over forecasting and a trip at an industrial facility.</w:t>
      </w:r>
    </w:p>
    <w:p w:rsidR="001720DC" w:rsidRPr="001720DC" w:rsidRDefault="001720DC" w:rsidP="001720DC">
      <w:pPr>
        <w:jc w:val="both"/>
      </w:pPr>
      <w:r w:rsidRPr="001720DC">
        <w:rPr>
          <w:rFonts w:eastAsia="MS Mincho"/>
        </w:rPr>
        <w:t xml:space="preserve">On 10, 11 and 12 June, Adelaide saw significant volumes of counteracting MOS and payments of up to $102 000 on 11 June. This appeared to be influenced by unscheduled backhaul bids allocated on the MAP and corresponding renominations to supply the hub from </w:t>
      </w:r>
      <w:proofErr w:type="spellStart"/>
      <w:r w:rsidRPr="001720DC">
        <w:rPr>
          <w:rFonts w:eastAsia="MS Mincho"/>
        </w:rPr>
        <w:t>SEAGas</w:t>
      </w:r>
      <w:proofErr w:type="spellEnd"/>
      <w:r w:rsidRPr="001720DC">
        <w:rPr>
          <w:rFonts w:eastAsia="MS Mincho"/>
        </w:rPr>
        <w:t>.</w:t>
      </w:r>
    </w:p>
    <w:p w:rsidR="00BC18FB" w:rsidRDefault="00BC18FB" w:rsidP="00345444"/>
    <w:p w:rsidR="00BC18FB" w:rsidRPr="00BC18FB" w:rsidRDefault="00BC18FB" w:rsidP="00345444"/>
    <w:p w:rsidR="006E7E57" w:rsidRPr="00004A63" w:rsidRDefault="006E7E57" w:rsidP="00004A63">
      <w:pPr>
        <w:jc w:val="both"/>
        <w:rPr>
          <w:b/>
          <w:szCs w:val="22"/>
        </w:rPr>
      </w:pPr>
      <w:r>
        <w:rPr>
          <w:color w:val="2272A3"/>
        </w:rPr>
        <w:br w:type="page"/>
      </w:r>
      <w:r w:rsidR="009C4474">
        <w:lastRenderedPageBreak/>
        <w:pict>
          <v:shape id="_x0000_i1026" type="#_x0000_t75" style="width:503.25pt;height:1in" o:allowoverlap="f">
            <v:imagedata r:id="rId9" o:title="" cropbottom="17873f" cropright="30275f"/>
          </v:shape>
        </w:pict>
      </w:r>
    </w:p>
    <w:p w:rsidR="00BC18FB" w:rsidRDefault="00690FFA" w:rsidP="00004A63">
      <w:pPr>
        <w:pStyle w:val="Heading3"/>
        <w:ind w:firstLine="0"/>
        <w:rPr>
          <w:color w:val="2272A3"/>
          <w:sz w:val="32"/>
          <w:szCs w:val="32"/>
        </w:rPr>
      </w:pPr>
      <w:r>
        <w:rPr>
          <w:noProof/>
          <w:color w:val="2272A3"/>
          <w:sz w:val="32"/>
          <w:szCs w:val="32"/>
        </w:rPr>
        <w:pict>
          <v:shape id="_x0000_s1054" type="#_x0000_t202" style="position:absolute;left:0;text-align:left;margin-left:.15pt;margin-top:-73.5pt;width:234pt;height:66.75pt;z-index:251661312" filled="f" stroked="f">
            <v:textbox style="mso-next-textbox:#_x0000_s1054">
              <w:txbxContent>
                <w:p w:rsidR="00004A63" w:rsidRDefault="00004A63" w:rsidP="00004A63">
                  <w:pPr>
                    <w:pStyle w:val="Title"/>
                  </w:pPr>
                  <w:r w:rsidRPr="007C13A5">
                    <w:t xml:space="preserve">Detailed Market </w:t>
                  </w:r>
                  <w:r>
                    <w:t>Figures</w:t>
                  </w:r>
                </w:p>
                <w:p w:rsidR="00004A63" w:rsidRPr="00A65EC8" w:rsidRDefault="00AA7088" w:rsidP="00004A63">
                  <w:pPr>
                    <w:pStyle w:val="Title"/>
                  </w:pPr>
                  <w:r>
                    <w:t>7 – 13 June 2015</w:t>
                  </w:r>
                </w:p>
                <w:p w:rsidR="00004A63" w:rsidRPr="000F2287" w:rsidRDefault="00004A63" w:rsidP="00004A63">
                  <w:pPr>
                    <w:pStyle w:val="Subtitle"/>
                  </w:pPr>
                </w:p>
                <w:p w:rsidR="00004A63" w:rsidRPr="000F2287" w:rsidRDefault="00004A63" w:rsidP="00004A63">
                  <w:pPr>
                    <w:pStyle w:val="Subtitle"/>
                  </w:pPr>
                </w:p>
              </w:txbxContent>
            </v:textbox>
          </v:shape>
        </w:pict>
      </w:r>
      <w:r w:rsidR="00004A63" w:rsidRPr="00004A63">
        <w:rPr>
          <w:color w:val="2272A3"/>
          <w:sz w:val="32"/>
          <w:szCs w:val="32"/>
        </w:rPr>
        <w:t xml:space="preserve"> Victorian Declared Wholesale Market</w:t>
      </w:r>
    </w:p>
    <w:p w:rsidR="00004A63" w:rsidRPr="00EF58A8" w:rsidRDefault="00EF58A8" w:rsidP="00345444">
      <w:pPr>
        <w:jc w:val="both"/>
      </w:pPr>
      <w:r w:rsidRPr="00EF58A8">
        <w:t>In the Victorian gas market, gas is priced five times daily at 6 am, 10 am, 2 pm, 6 pm and 10 pm. The imbalance weighted price on a gas day tends towards the 6 am price</w:t>
      </w:r>
      <w:r w:rsidRPr="00EF58A8">
        <w:rPr>
          <w:rStyle w:val="FootnoteReference"/>
        </w:rPr>
        <w:footnoteReference w:id="2"/>
      </w:r>
      <w:r w:rsidRPr="00EF58A8">
        <w:t xml:space="preserve"> which is the schedule at which most gas is traded.</w:t>
      </w:r>
      <w:r w:rsidR="00004A63" w:rsidRPr="00EF58A8">
        <w:t xml:space="preserve"> </w:t>
      </w:r>
    </w:p>
    <w:p w:rsidR="00004A63" w:rsidRPr="00EF58A8" w:rsidRDefault="00EF58A8" w:rsidP="00345444">
      <w:pPr>
        <w:jc w:val="both"/>
      </w:pPr>
      <w:r w:rsidRPr="00EF58A8">
        <w:t>The main drivers</w:t>
      </w:r>
      <w:r w:rsidRPr="00EF58A8">
        <w:rPr>
          <w:rStyle w:val="FootnoteReference"/>
        </w:rPr>
        <w:footnoteReference w:id="3"/>
      </w:r>
      <w:r w:rsidRPr="00EF58A8">
        <w:t xml:space="preserve"> of price are demand forecasts and bids to inject or withdraw gas from the market.</w:t>
      </w:r>
      <w:r w:rsidRPr="00EF58A8">
        <w:rPr>
          <w:rStyle w:val="FootnoteReference"/>
        </w:rPr>
        <w:t xml:space="preserve"> </w:t>
      </w:r>
      <w:r w:rsidRPr="00EF58A8">
        <w:t>Figures 1.1 to 1.4 below show the daily prices, demand forecasts</w:t>
      </w:r>
      <w:r w:rsidRPr="00EF58A8">
        <w:rPr>
          <w:rStyle w:val="FootnoteReference"/>
        </w:rPr>
        <w:footnoteReference w:id="4"/>
      </w:r>
      <w:r w:rsidRPr="00EF58A8">
        <w:t>, and injection/withdrawal bids for each of the five pricing schedules. Figure 1.5 provides information on which system injection points were used to deliver gas, in turn indicating the location and relative quantity of gas injection bids cleared through the market.</w:t>
      </w:r>
    </w:p>
    <w:p w:rsidR="00BC18FB" w:rsidRPr="00893044" w:rsidRDefault="00004A63" w:rsidP="00FF0D8A">
      <w:pPr>
        <w:pStyle w:val="Heading4"/>
        <w:ind w:hanging="338"/>
        <w:rPr>
          <w:color w:val="2272A3"/>
          <w:sz w:val="24"/>
        </w:rPr>
      </w:pPr>
      <w:r w:rsidRPr="00893044">
        <w:rPr>
          <w:color w:val="2272A3"/>
          <w:sz w:val="24"/>
        </w:rPr>
        <w:t>Prices by schedule</w:t>
      </w:r>
    </w:p>
    <w:p w:rsidR="00362B9A" w:rsidRPr="00362B9A" w:rsidRDefault="009C4474" w:rsidP="00362B9A">
      <w:r>
        <w:pict>
          <v:shape id="_x0000_i1027" type="#_x0000_t75" style="width:476.25pt;height:137.25pt">
            <v:imagedata r:id="rId13" o:title=""/>
          </v:shape>
        </w:pict>
      </w:r>
    </w:p>
    <w:p w:rsidR="00BC18FB" w:rsidRPr="00893044" w:rsidRDefault="00004A63" w:rsidP="00FF0D8A">
      <w:pPr>
        <w:pStyle w:val="Heading4"/>
        <w:ind w:hanging="338"/>
        <w:rPr>
          <w:color w:val="2272A3"/>
          <w:sz w:val="24"/>
        </w:rPr>
      </w:pPr>
      <w:r w:rsidRPr="00893044">
        <w:rPr>
          <w:color w:val="2272A3"/>
          <w:sz w:val="24"/>
        </w:rPr>
        <w:t>Demand forecasts</w:t>
      </w:r>
    </w:p>
    <w:p w:rsidR="00362B9A" w:rsidRPr="00362B9A" w:rsidRDefault="009C4474" w:rsidP="00362B9A">
      <w:r>
        <w:pict>
          <v:shape id="_x0000_i1028" type="#_x0000_t75" style="width:476.25pt;height:177pt">
            <v:imagedata r:id="rId14" o:title=""/>
          </v:shape>
        </w:pict>
      </w:r>
    </w:p>
    <w:p w:rsidR="00BC18FB" w:rsidRPr="00893044" w:rsidRDefault="00004A63" w:rsidP="00FF0D8A">
      <w:pPr>
        <w:pStyle w:val="Heading4"/>
        <w:ind w:hanging="338"/>
        <w:rPr>
          <w:color w:val="2272A3"/>
          <w:sz w:val="24"/>
        </w:rPr>
      </w:pPr>
      <w:r w:rsidRPr="00893044">
        <w:rPr>
          <w:color w:val="2272A3"/>
          <w:sz w:val="24"/>
        </w:rPr>
        <w:lastRenderedPageBreak/>
        <w:t>Injection bids by price bands</w:t>
      </w:r>
    </w:p>
    <w:p w:rsidR="00362B9A" w:rsidRPr="00362B9A" w:rsidRDefault="009C4474" w:rsidP="00362B9A">
      <w:r>
        <w:pict>
          <v:shape id="_x0000_i1029" type="#_x0000_t75" style="width:476.25pt;height:206.25pt">
            <v:imagedata r:id="rId15" o:title=""/>
          </v:shape>
        </w:pict>
      </w:r>
    </w:p>
    <w:p w:rsidR="00BC18FB" w:rsidRPr="00893044" w:rsidRDefault="00362B9A" w:rsidP="00FF0D8A">
      <w:pPr>
        <w:pStyle w:val="Heading4"/>
        <w:ind w:hanging="338"/>
        <w:rPr>
          <w:color w:val="2272A3"/>
          <w:sz w:val="24"/>
        </w:rPr>
      </w:pPr>
      <w:r w:rsidRPr="00893044">
        <w:rPr>
          <w:color w:val="2272A3"/>
          <w:sz w:val="24"/>
        </w:rPr>
        <w:t>Withdrawal bids by price bands</w:t>
      </w:r>
    </w:p>
    <w:p w:rsidR="00362B9A" w:rsidRPr="00362B9A" w:rsidRDefault="009C4474" w:rsidP="00362B9A">
      <w:r>
        <w:pict>
          <v:shape id="_x0000_i1030" type="#_x0000_t75" style="width:476.25pt;height:162.75pt">
            <v:imagedata r:id="rId16" o:title=""/>
          </v:shape>
        </w:pict>
      </w:r>
    </w:p>
    <w:p w:rsidR="00BC18FB" w:rsidRPr="00893044" w:rsidRDefault="00362B9A" w:rsidP="00FF0D8A">
      <w:pPr>
        <w:pStyle w:val="Heading4"/>
        <w:ind w:hanging="338"/>
        <w:rPr>
          <w:color w:val="2272A3"/>
          <w:sz w:val="24"/>
        </w:rPr>
      </w:pPr>
      <w:r w:rsidRPr="00893044">
        <w:rPr>
          <w:color w:val="2272A3"/>
          <w:sz w:val="24"/>
        </w:rPr>
        <w:t>Metered Injections by System Injection Point</w:t>
      </w:r>
    </w:p>
    <w:p w:rsidR="00BC18FB" w:rsidRDefault="009C4474" w:rsidP="00BC18FB">
      <w:r>
        <w:pict>
          <v:shape id="_x0000_i1031" type="#_x0000_t75" style="width:476.25pt;height:177.75pt">
            <v:imagedata r:id="rId17" o:title=""/>
          </v:shape>
        </w:pict>
      </w:r>
    </w:p>
    <w:p w:rsidR="00345444" w:rsidRPr="00EF58A8" w:rsidRDefault="00EF58A8" w:rsidP="00EF58A8">
      <w:pPr>
        <w:ind w:left="720"/>
        <w:rPr>
          <w:sz w:val="18"/>
          <w:szCs w:val="18"/>
        </w:rPr>
      </w:pPr>
      <w:r w:rsidRPr="00EF58A8">
        <w:rPr>
          <w:sz w:val="18"/>
          <w:szCs w:val="18"/>
        </w:rPr>
        <w:t>Note that in figure 1.5, the last 8</w:t>
      </w:r>
      <w:r w:rsidRPr="00EF58A8">
        <w:rPr>
          <w:sz w:val="18"/>
          <w:szCs w:val="18"/>
        </w:rPr>
        <w:noBreakHyphen/>
        <w:t>hour schedule from 10 pm has been separated into two 4</w:t>
      </w:r>
      <w:r w:rsidRPr="00EF58A8">
        <w:rPr>
          <w:sz w:val="18"/>
          <w:szCs w:val="18"/>
        </w:rPr>
        <w:noBreakHyphen/>
        <w:t>hour blocks to provide a consistent comparison with earlier scheduled injection volumes.</w:t>
      </w:r>
    </w:p>
    <w:p w:rsidR="00345444" w:rsidRDefault="00345444" w:rsidP="00BC18FB"/>
    <w:p w:rsidR="00EF58A8" w:rsidRPr="00BC18FB" w:rsidRDefault="00EF58A8" w:rsidP="00BC18FB"/>
    <w:p w:rsidR="00BC18FB" w:rsidRDefault="00BC18FB" w:rsidP="00BC18FB">
      <w:pPr>
        <w:pStyle w:val="Heading3"/>
        <w:ind w:firstLine="0"/>
        <w:rPr>
          <w:color w:val="2272A3"/>
          <w:sz w:val="32"/>
          <w:szCs w:val="32"/>
        </w:rPr>
      </w:pPr>
      <w:r w:rsidRPr="00004A63">
        <w:rPr>
          <w:color w:val="2272A3"/>
          <w:sz w:val="32"/>
          <w:szCs w:val="32"/>
        </w:rPr>
        <w:lastRenderedPageBreak/>
        <w:t>S</w:t>
      </w:r>
      <w:r w:rsidR="00362B9A">
        <w:rPr>
          <w:color w:val="2272A3"/>
          <w:sz w:val="32"/>
          <w:szCs w:val="32"/>
        </w:rPr>
        <w:t>ydney STTM</w:t>
      </w:r>
    </w:p>
    <w:p w:rsidR="00EF58A8" w:rsidRPr="00EF58A8" w:rsidRDefault="00EF58A8" w:rsidP="00EF58A8">
      <w:pPr>
        <w:jc w:val="both"/>
      </w:pPr>
      <w:r>
        <w:t xml:space="preserve">In each </w:t>
      </w:r>
      <w:r w:rsidRPr="00EF58A8">
        <w:t xml:space="preserve">STTM hub, a daily gas price is calculated before the gas day (the </w:t>
      </w:r>
      <w:proofErr w:type="spellStart"/>
      <w:r w:rsidRPr="00EF58A8">
        <w:t>ex ante</w:t>
      </w:r>
      <w:proofErr w:type="spellEnd"/>
      <w:r w:rsidRPr="00EF58A8">
        <w:t xml:space="preserve"> price) and after the gas day (the ex post price). The main drivers of these prices are participant demand forecasts, and offers to inject or bids to withdraw gas traded at the hub.</w:t>
      </w:r>
      <w:r w:rsidRPr="00EF58A8">
        <w:rPr>
          <w:rStyle w:val="FootnoteReference"/>
        </w:rPr>
        <w:footnoteReference w:id="5"/>
      </w:r>
      <w:r w:rsidRPr="00EF58A8">
        <w:t xml:space="preserve"> Divergences in ex ante and ex post prices for a gas day may occur due to differences in scheduled (forecast) and allocated (actual) quantities.</w:t>
      </w:r>
      <w:r>
        <w:t xml:space="preserve"> Pipeline acronyms are defined in the </w:t>
      </w:r>
      <w:hyperlink r:id="rId18" w:history="1">
        <w:r w:rsidR="00586C57">
          <w:rPr>
            <w:rStyle w:val="Hyperlink"/>
          </w:rPr>
          <w:t>user guide</w:t>
        </w:r>
      </w:hyperlink>
      <w:r w:rsidR="00586C57">
        <w:t>.</w:t>
      </w:r>
    </w:p>
    <w:p w:rsidR="00EF58A8" w:rsidRPr="00EF58A8" w:rsidRDefault="00EF58A8" w:rsidP="00EF58A8">
      <w:pPr>
        <w:pStyle w:val="AERbodytext"/>
        <w:spacing w:before="120" w:after="120" w:line="240" w:lineRule="auto"/>
        <w:jc w:val="both"/>
      </w:pPr>
      <w:r w:rsidRPr="00EF58A8">
        <w:t xml:space="preserve">Market Operator Service balancing gas </w:t>
      </w:r>
      <w:r w:rsidRPr="004F371C">
        <w:rPr>
          <w:b/>
        </w:rPr>
        <w:t>(MOS)</w:t>
      </w:r>
      <w:r w:rsidRPr="00EF58A8">
        <w:t xml:space="preserve"> payments arise because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sidRPr="00EF58A8">
        <w:rPr>
          <w:rStyle w:val="FootnoteReference"/>
        </w:rPr>
        <w:footnoteReference w:id="6"/>
      </w:r>
      <w:r w:rsidRPr="00EF58A8">
        <w:t xml:space="preserve"> </w:t>
      </w:r>
    </w:p>
    <w:p w:rsidR="00362B9A" w:rsidRPr="00362B9A" w:rsidRDefault="00EF58A8" w:rsidP="00EF58A8">
      <w:pPr>
        <w:jc w:val="both"/>
      </w:pPr>
      <w:r w:rsidRPr="00EF58A8">
        <w:t>Figures 2.1 and 2.2 show daily prices, demand, offers and bids. Figures 2.3 and 2.4 show gas scheduled and allocated on pipelines to supply the hub, indicating</w:t>
      </w:r>
      <w:r w:rsidRPr="00442756">
        <w:t xml:space="preserve"> the location and relative quantity of gas offers across pipelines and also the amount of MOS allocated for each pipeline.</w:t>
      </w:r>
    </w:p>
    <w:p w:rsidR="00BC18FB" w:rsidRDefault="00362B9A" w:rsidP="00362B9A">
      <w:pPr>
        <w:pStyle w:val="Heading4"/>
        <w:ind w:left="340" w:hanging="340"/>
        <w:rPr>
          <w:color w:val="2272A3"/>
          <w:sz w:val="24"/>
          <w:szCs w:val="24"/>
        </w:rPr>
      </w:pPr>
      <w:r w:rsidRPr="00362B9A">
        <w:rPr>
          <w:color w:val="2272A3"/>
          <w:sz w:val="24"/>
          <w:szCs w:val="24"/>
        </w:rPr>
        <w:t>SYD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AA7088" w:rsidRPr="00442756" w:rsidTr="00AA7088">
        <w:trPr>
          <w:trHeight w:val="57"/>
        </w:trPr>
        <w:tc>
          <w:tcPr>
            <w:tcW w:w="2160" w:type="dxa"/>
            <w:noWrap/>
            <w:vAlign w:val="center"/>
          </w:tcPr>
          <w:p w:rsidR="00AA7088" w:rsidRPr="008C268E" w:rsidRDefault="00AA7088" w:rsidP="003625A6">
            <w:pPr>
              <w:spacing w:before="60" w:after="60"/>
              <w:rPr>
                <w:rFonts w:cs="Arial"/>
                <w:sz w:val="20"/>
                <w:szCs w:val="20"/>
              </w:rPr>
            </w:pPr>
            <w:r w:rsidRPr="008C268E">
              <w:rPr>
                <w:rFonts w:cs="Arial"/>
                <w:sz w:val="20"/>
                <w:szCs w:val="20"/>
              </w:rPr>
              <w:t>Ex ante price ($/GJ)</w:t>
            </w:r>
          </w:p>
        </w:tc>
        <w:tc>
          <w:tcPr>
            <w:tcW w:w="1028" w:type="dxa"/>
            <w:noWrap/>
            <w:vAlign w:val="center"/>
          </w:tcPr>
          <w:p w:rsidR="00AA7088" w:rsidRDefault="00AA7088">
            <w:pPr>
              <w:jc w:val="center"/>
              <w:rPr>
                <w:rFonts w:cs="Arial"/>
                <w:sz w:val="20"/>
                <w:szCs w:val="20"/>
              </w:rPr>
            </w:pPr>
            <w:r>
              <w:rPr>
                <w:rFonts w:cs="Arial"/>
                <w:sz w:val="20"/>
                <w:szCs w:val="20"/>
              </w:rPr>
              <w:t>5.42</w:t>
            </w:r>
          </w:p>
        </w:tc>
        <w:tc>
          <w:tcPr>
            <w:tcW w:w="1029" w:type="dxa"/>
            <w:noWrap/>
            <w:vAlign w:val="center"/>
          </w:tcPr>
          <w:p w:rsidR="00AA7088" w:rsidRDefault="00AA7088">
            <w:pPr>
              <w:jc w:val="center"/>
              <w:rPr>
                <w:rFonts w:cs="Arial"/>
                <w:sz w:val="20"/>
                <w:szCs w:val="20"/>
              </w:rPr>
            </w:pPr>
            <w:r>
              <w:rPr>
                <w:rFonts w:cs="Arial"/>
                <w:sz w:val="20"/>
                <w:szCs w:val="20"/>
              </w:rPr>
              <w:t>4.18</w:t>
            </w:r>
          </w:p>
        </w:tc>
        <w:tc>
          <w:tcPr>
            <w:tcW w:w="1028" w:type="dxa"/>
            <w:noWrap/>
            <w:vAlign w:val="center"/>
          </w:tcPr>
          <w:p w:rsidR="00AA7088" w:rsidRDefault="00AA7088">
            <w:pPr>
              <w:jc w:val="center"/>
              <w:rPr>
                <w:rFonts w:cs="Arial"/>
                <w:sz w:val="20"/>
                <w:szCs w:val="20"/>
              </w:rPr>
            </w:pPr>
            <w:r>
              <w:rPr>
                <w:rFonts w:cs="Arial"/>
                <w:sz w:val="20"/>
                <w:szCs w:val="20"/>
              </w:rPr>
              <w:t>4.18</w:t>
            </w:r>
          </w:p>
        </w:tc>
        <w:tc>
          <w:tcPr>
            <w:tcW w:w="1029" w:type="dxa"/>
            <w:noWrap/>
            <w:vAlign w:val="center"/>
          </w:tcPr>
          <w:p w:rsidR="00AA7088" w:rsidRDefault="00AA7088">
            <w:pPr>
              <w:jc w:val="center"/>
              <w:rPr>
                <w:rFonts w:cs="Arial"/>
                <w:sz w:val="20"/>
                <w:szCs w:val="20"/>
              </w:rPr>
            </w:pPr>
            <w:r>
              <w:rPr>
                <w:rFonts w:cs="Arial"/>
                <w:sz w:val="20"/>
                <w:szCs w:val="20"/>
              </w:rPr>
              <w:t>4.81</w:t>
            </w:r>
          </w:p>
        </w:tc>
        <w:tc>
          <w:tcPr>
            <w:tcW w:w="1028" w:type="dxa"/>
            <w:noWrap/>
            <w:vAlign w:val="center"/>
          </w:tcPr>
          <w:p w:rsidR="00AA7088" w:rsidRDefault="00AA7088">
            <w:pPr>
              <w:jc w:val="center"/>
              <w:rPr>
                <w:rFonts w:cs="Arial"/>
                <w:sz w:val="20"/>
                <w:szCs w:val="20"/>
              </w:rPr>
            </w:pPr>
            <w:r>
              <w:rPr>
                <w:rFonts w:cs="Arial"/>
                <w:sz w:val="20"/>
                <w:szCs w:val="20"/>
              </w:rPr>
              <w:t>5.99</w:t>
            </w:r>
          </w:p>
        </w:tc>
        <w:tc>
          <w:tcPr>
            <w:tcW w:w="1029" w:type="dxa"/>
            <w:noWrap/>
            <w:vAlign w:val="center"/>
          </w:tcPr>
          <w:p w:rsidR="00AA7088" w:rsidRDefault="00AA7088">
            <w:pPr>
              <w:jc w:val="center"/>
              <w:rPr>
                <w:rFonts w:cs="Arial"/>
                <w:sz w:val="20"/>
                <w:szCs w:val="20"/>
              </w:rPr>
            </w:pPr>
            <w:r>
              <w:rPr>
                <w:rFonts w:cs="Arial"/>
                <w:sz w:val="20"/>
                <w:szCs w:val="20"/>
              </w:rPr>
              <w:t>5.99</w:t>
            </w:r>
          </w:p>
        </w:tc>
        <w:tc>
          <w:tcPr>
            <w:tcW w:w="1029" w:type="dxa"/>
            <w:noWrap/>
            <w:vAlign w:val="center"/>
          </w:tcPr>
          <w:p w:rsidR="00AA7088" w:rsidRDefault="00AA7088">
            <w:pPr>
              <w:jc w:val="center"/>
              <w:rPr>
                <w:rFonts w:cs="Arial"/>
                <w:sz w:val="20"/>
                <w:szCs w:val="20"/>
              </w:rPr>
            </w:pPr>
            <w:r>
              <w:rPr>
                <w:rFonts w:cs="Arial"/>
                <w:sz w:val="20"/>
                <w:szCs w:val="20"/>
              </w:rPr>
              <w:t>4.77</w:t>
            </w:r>
          </w:p>
        </w:tc>
      </w:tr>
      <w:tr w:rsidR="00AA7088" w:rsidRPr="00442756" w:rsidTr="00AA7088">
        <w:trPr>
          <w:cnfStyle w:val="000000010000" w:firstRow="0" w:lastRow="0" w:firstColumn="0" w:lastColumn="0" w:oddVBand="0" w:evenVBand="0" w:oddHBand="0" w:evenHBand="1" w:firstRowFirstColumn="0" w:firstRowLastColumn="0" w:lastRowFirstColumn="0" w:lastRowLastColumn="0"/>
          <w:trHeight w:val="57"/>
        </w:trPr>
        <w:tc>
          <w:tcPr>
            <w:tcW w:w="2160" w:type="dxa"/>
            <w:noWrap/>
            <w:vAlign w:val="center"/>
          </w:tcPr>
          <w:p w:rsidR="00AA7088" w:rsidRPr="008C268E" w:rsidRDefault="00AA7088" w:rsidP="003625A6">
            <w:pPr>
              <w:spacing w:before="60" w:after="60"/>
              <w:rPr>
                <w:rFonts w:cs="Arial"/>
                <w:sz w:val="20"/>
                <w:szCs w:val="20"/>
              </w:rPr>
            </w:pPr>
            <w:r w:rsidRPr="008C268E">
              <w:rPr>
                <w:rFonts w:cs="Arial"/>
                <w:sz w:val="20"/>
                <w:szCs w:val="20"/>
              </w:rPr>
              <w:t>Ex ante quantity (TJ)</w:t>
            </w:r>
          </w:p>
        </w:tc>
        <w:tc>
          <w:tcPr>
            <w:tcW w:w="1028" w:type="dxa"/>
            <w:noWrap/>
            <w:vAlign w:val="center"/>
          </w:tcPr>
          <w:p w:rsidR="00AA7088" w:rsidRDefault="009E76C5">
            <w:pPr>
              <w:jc w:val="center"/>
              <w:rPr>
                <w:rFonts w:cs="Arial"/>
                <w:sz w:val="20"/>
                <w:szCs w:val="20"/>
              </w:rPr>
            </w:pPr>
            <w:r>
              <w:rPr>
                <w:rFonts w:cs="Arial"/>
                <w:sz w:val="20"/>
                <w:szCs w:val="20"/>
              </w:rPr>
              <w:t>249</w:t>
            </w:r>
          </w:p>
        </w:tc>
        <w:tc>
          <w:tcPr>
            <w:tcW w:w="1029" w:type="dxa"/>
            <w:noWrap/>
            <w:vAlign w:val="center"/>
          </w:tcPr>
          <w:p w:rsidR="00AA7088" w:rsidRDefault="009E76C5">
            <w:pPr>
              <w:jc w:val="center"/>
              <w:rPr>
                <w:rFonts w:cs="Arial"/>
                <w:sz w:val="20"/>
                <w:szCs w:val="20"/>
              </w:rPr>
            </w:pPr>
            <w:r>
              <w:rPr>
                <w:rFonts w:cs="Arial"/>
                <w:sz w:val="20"/>
                <w:szCs w:val="20"/>
              </w:rPr>
              <w:t>245</w:t>
            </w:r>
          </w:p>
        </w:tc>
        <w:tc>
          <w:tcPr>
            <w:tcW w:w="1028" w:type="dxa"/>
            <w:noWrap/>
            <w:vAlign w:val="center"/>
          </w:tcPr>
          <w:p w:rsidR="00AA7088" w:rsidRDefault="009E76C5">
            <w:pPr>
              <w:jc w:val="center"/>
              <w:rPr>
                <w:rFonts w:cs="Arial"/>
                <w:sz w:val="20"/>
                <w:szCs w:val="20"/>
              </w:rPr>
            </w:pPr>
            <w:r>
              <w:rPr>
                <w:rFonts w:cs="Arial"/>
                <w:sz w:val="20"/>
                <w:szCs w:val="20"/>
              </w:rPr>
              <w:t>282</w:t>
            </w:r>
          </w:p>
        </w:tc>
        <w:tc>
          <w:tcPr>
            <w:tcW w:w="1029" w:type="dxa"/>
            <w:noWrap/>
            <w:vAlign w:val="center"/>
          </w:tcPr>
          <w:p w:rsidR="00AA7088" w:rsidRDefault="009E76C5">
            <w:pPr>
              <w:jc w:val="center"/>
              <w:rPr>
                <w:rFonts w:cs="Arial"/>
                <w:sz w:val="20"/>
                <w:szCs w:val="20"/>
              </w:rPr>
            </w:pPr>
            <w:r>
              <w:rPr>
                <w:rFonts w:cs="Arial"/>
                <w:sz w:val="20"/>
                <w:szCs w:val="20"/>
              </w:rPr>
              <w:t>293</w:t>
            </w:r>
          </w:p>
        </w:tc>
        <w:tc>
          <w:tcPr>
            <w:tcW w:w="1028" w:type="dxa"/>
            <w:noWrap/>
            <w:vAlign w:val="center"/>
          </w:tcPr>
          <w:p w:rsidR="00AA7088" w:rsidRDefault="009E76C5">
            <w:pPr>
              <w:jc w:val="center"/>
              <w:rPr>
                <w:rFonts w:cs="Arial"/>
                <w:sz w:val="20"/>
                <w:szCs w:val="20"/>
              </w:rPr>
            </w:pPr>
            <w:r>
              <w:rPr>
                <w:rFonts w:cs="Arial"/>
                <w:sz w:val="20"/>
                <w:szCs w:val="20"/>
              </w:rPr>
              <w:t>282</w:t>
            </w:r>
          </w:p>
        </w:tc>
        <w:tc>
          <w:tcPr>
            <w:tcW w:w="1029" w:type="dxa"/>
            <w:noWrap/>
            <w:vAlign w:val="center"/>
          </w:tcPr>
          <w:p w:rsidR="00AA7088" w:rsidRDefault="009E76C5">
            <w:pPr>
              <w:jc w:val="center"/>
              <w:rPr>
                <w:rFonts w:cs="Arial"/>
                <w:sz w:val="20"/>
                <w:szCs w:val="20"/>
              </w:rPr>
            </w:pPr>
            <w:r>
              <w:rPr>
                <w:rFonts w:cs="Arial"/>
                <w:sz w:val="20"/>
                <w:szCs w:val="20"/>
              </w:rPr>
              <w:t>274</w:t>
            </w:r>
          </w:p>
        </w:tc>
        <w:tc>
          <w:tcPr>
            <w:tcW w:w="1029" w:type="dxa"/>
            <w:noWrap/>
            <w:vAlign w:val="center"/>
          </w:tcPr>
          <w:p w:rsidR="00AA7088" w:rsidRDefault="009E76C5">
            <w:pPr>
              <w:jc w:val="center"/>
              <w:rPr>
                <w:rFonts w:cs="Arial"/>
                <w:sz w:val="20"/>
                <w:szCs w:val="20"/>
              </w:rPr>
            </w:pPr>
            <w:r>
              <w:rPr>
                <w:rFonts w:cs="Arial"/>
                <w:sz w:val="20"/>
                <w:szCs w:val="20"/>
              </w:rPr>
              <w:t>241</w:t>
            </w:r>
          </w:p>
        </w:tc>
      </w:tr>
      <w:tr w:rsidR="00AA7088" w:rsidRPr="00442756" w:rsidTr="00AA7088">
        <w:trPr>
          <w:trHeight w:val="57"/>
        </w:trPr>
        <w:tc>
          <w:tcPr>
            <w:tcW w:w="2160" w:type="dxa"/>
            <w:noWrap/>
            <w:vAlign w:val="center"/>
          </w:tcPr>
          <w:p w:rsidR="00AA7088" w:rsidRPr="008C268E" w:rsidRDefault="00AA7088" w:rsidP="003625A6">
            <w:pPr>
              <w:spacing w:before="60" w:after="60"/>
              <w:rPr>
                <w:rFonts w:cs="Arial"/>
                <w:sz w:val="20"/>
                <w:szCs w:val="20"/>
              </w:rPr>
            </w:pPr>
            <w:r w:rsidRPr="008C268E">
              <w:rPr>
                <w:rFonts w:cs="Arial"/>
                <w:sz w:val="20"/>
                <w:szCs w:val="20"/>
              </w:rPr>
              <w:t>Ex post price ($/GJ)</w:t>
            </w:r>
          </w:p>
        </w:tc>
        <w:tc>
          <w:tcPr>
            <w:tcW w:w="1028" w:type="dxa"/>
            <w:noWrap/>
            <w:vAlign w:val="center"/>
          </w:tcPr>
          <w:p w:rsidR="00AA7088" w:rsidRDefault="00AA7088">
            <w:pPr>
              <w:jc w:val="center"/>
              <w:rPr>
                <w:rFonts w:cs="Arial"/>
                <w:sz w:val="20"/>
                <w:szCs w:val="20"/>
              </w:rPr>
            </w:pPr>
            <w:r>
              <w:rPr>
                <w:rFonts w:cs="Arial"/>
                <w:sz w:val="20"/>
                <w:szCs w:val="20"/>
              </w:rPr>
              <w:t>3.80</w:t>
            </w:r>
          </w:p>
        </w:tc>
        <w:tc>
          <w:tcPr>
            <w:tcW w:w="1029" w:type="dxa"/>
            <w:noWrap/>
            <w:vAlign w:val="center"/>
          </w:tcPr>
          <w:p w:rsidR="00AA7088" w:rsidRDefault="00AA7088">
            <w:pPr>
              <w:jc w:val="center"/>
              <w:rPr>
                <w:rFonts w:cs="Arial"/>
                <w:sz w:val="20"/>
                <w:szCs w:val="20"/>
              </w:rPr>
            </w:pPr>
            <w:r>
              <w:rPr>
                <w:rFonts w:cs="Arial"/>
                <w:sz w:val="20"/>
                <w:szCs w:val="20"/>
              </w:rPr>
              <w:t>3.81</w:t>
            </w:r>
          </w:p>
        </w:tc>
        <w:tc>
          <w:tcPr>
            <w:tcW w:w="1028" w:type="dxa"/>
            <w:noWrap/>
            <w:vAlign w:val="center"/>
          </w:tcPr>
          <w:p w:rsidR="00AA7088" w:rsidRDefault="00AA7088">
            <w:pPr>
              <w:jc w:val="center"/>
              <w:rPr>
                <w:rFonts w:cs="Arial"/>
                <w:sz w:val="20"/>
                <w:szCs w:val="20"/>
              </w:rPr>
            </w:pPr>
            <w:r>
              <w:rPr>
                <w:rFonts w:cs="Arial"/>
                <w:sz w:val="20"/>
                <w:szCs w:val="20"/>
              </w:rPr>
              <w:t>3.76</w:t>
            </w:r>
          </w:p>
        </w:tc>
        <w:tc>
          <w:tcPr>
            <w:tcW w:w="1029" w:type="dxa"/>
            <w:noWrap/>
            <w:vAlign w:val="center"/>
          </w:tcPr>
          <w:p w:rsidR="00AA7088" w:rsidRDefault="00AA7088">
            <w:pPr>
              <w:jc w:val="center"/>
              <w:rPr>
                <w:rFonts w:cs="Arial"/>
                <w:sz w:val="20"/>
                <w:szCs w:val="20"/>
              </w:rPr>
            </w:pPr>
            <w:r>
              <w:rPr>
                <w:rFonts w:cs="Arial"/>
                <w:sz w:val="20"/>
                <w:szCs w:val="20"/>
              </w:rPr>
              <w:t>6.19</w:t>
            </w:r>
          </w:p>
        </w:tc>
        <w:tc>
          <w:tcPr>
            <w:tcW w:w="1028" w:type="dxa"/>
            <w:noWrap/>
            <w:vAlign w:val="center"/>
          </w:tcPr>
          <w:p w:rsidR="00AA7088" w:rsidRDefault="00AA7088">
            <w:pPr>
              <w:jc w:val="center"/>
              <w:rPr>
                <w:rFonts w:cs="Arial"/>
                <w:sz w:val="20"/>
                <w:szCs w:val="20"/>
              </w:rPr>
            </w:pPr>
            <w:r>
              <w:rPr>
                <w:rFonts w:cs="Arial"/>
                <w:sz w:val="20"/>
                <w:szCs w:val="20"/>
              </w:rPr>
              <w:t>6.01</w:t>
            </w:r>
          </w:p>
        </w:tc>
        <w:tc>
          <w:tcPr>
            <w:tcW w:w="1029" w:type="dxa"/>
            <w:noWrap/>
            <w:vAlign w:val="center"/>
          </w:tcPr>
          <w:p w:rsidR="00AA7088" w:rsidRDefault="00AA7088">
            <w:pPr>
              <w:jc w:val="center"/>
              <w:rPr>
                <w:rFonts w:cs="Arial"/>
                <w:sz w:val="20"/>
                <w:szCs w:val="20"/>
              </w:rPr>
            </w:pPr>
            <w:r>
              <w:rPr>
                <w:rFonts w:cs="Arial"/>
                <w:sz w:val="20"/>
                <w:szCs w:val="20"/>
              </w:rPr>
              <w:t>5.38</w:t>
            </w:r>
          </w:p>
        </w:tc>
        <w:tc>
          <w:tcPr>
            <w:tcW w:w="1029" w:type="dxa"/>
            <w:noWrap/>
            <w:vAlign w:val="center"/>
          </w:tcPr>
          <w:p w:rsidR="00AA7088" w:rsidRDefault="00AA7088">
            <w:pPr>
              <w:jc w:val="center"/>
              <w:rPr>
                <w:rFonts w:cs="Arial"/>
                <w:sz w:val="20"/>
                <w:szCs w:val="20"/>
              </w:rPr>
            </w:pPr>
            <w:r>
              <w:rPr>
                <w:rFonts w:cs="Arial"/>
                <w:sz w:val="20"/>
                <w:szCs w:val="20"/>
              </w:rPr>
              <w:t>5.36</w:t>
            </w:r>
          </w:p>
        </w:tc>
      </w:tr>
      <w:tr w:rsidR="00AA7088" w:rsidRPr="00442756" w:rsidTr="00AA7088">
        <w:trPr>
          <w:cnfStyle w:val="000000010000" w:firstRow="0" w:lastRow="0" w:firstColumn="0" w:lastColumn="0" w:oddVBand="0" w:evenVBand="0" w:oddHBand="0" w:evenHBand="1" w:firstRowFirstColumn="0" w:firstRowLastColumn="0" w:lastRowFirstColumn="0" w:lastRowLastColumn="0"/>
          <w:trHeight w:val="57"/>
        </w:trPr>
        <w:tc>
          <w:tcPr>
            <w:tcW w:w="2160" w:type="dxa"/>
            <w:noWrap/>
            <w:vAlign w:val="center"/>
          </w:tcPr>
          <w:p w:rsidR="00AA7088" w:rsidRPr="008C268E" w:rsidRDefault="00AA7088" w:rsidP="003625A6">
            <w:pPr>
              <w:spacing w:before="60" w:after="60"/>
              <w:rPr>
                <w:rFonts w:cs="Arial"/>
                <w:sz w:val="20"/>
                <w:szCs w:val="20"/>
              </w:rPr>
            </w:pPr>
            <w:r w:rsidRPr="008C268E">
              <w:rPr>
                <w:rFonts w:cs="Arial"/>
                <w:sz w:val="20"/>
                <w:szCs w:val="20"/>
              </w:rPr>
              <w:t>Ex post quantity (TJ)</w:t>
            </w:r>
          </w:p>
        </w:tc>
        <w:tc>
          <w:tcPr>
            <w:tcW w:w="1028" w:type="dxa"/>
            <w:noWrap/>
            <w:vAlign w:val="center"/>
          </w:tcPr>
          <w:p w:rsidR="00AA7088" w:rsidRDefault="009E76C5">
            <w:pPr>
              <w:jc w:val="center"/>
              <w:rPr>
                <w:rFonts w:cs="Arial"/>
                <w:sz w:val="20"/>
                <w:szCs w:val="20"/>
              </w:rPr>
            </w:pPr>
            <w:r>
              <w:rPr>
                <w:rFonts w:cs="Arial"/>
                <w:sz w:val="20"/>
                <w:szCs w:val="20"/>
              </w:rPr>
              <w:t>231</w:t>
            </w:r>
          </w:p>
        </w:tc>
        <w:tc>
          <w:tcPr>
            <w:tcW w:w="1029" w:type="dxa"/>
            <w:noWrap/>
            <w:vAlign w:val="center"/>
          </w:tcPr>
          <w:p w:rsidR="00AA7088" w:rsidRDefault="009E76C5">
            <w:pPr>
              <w:jc w:val="center"/>
              <w:rPr>
                <w:rFonts w:cs="Arial"/>
                <w:sz w:val="20"/>
                <w:szCs w:val="20"/>
              </w:rPr>
            </w:pPr>
            <w:r>
              <w:rPr>
                <w:rFonts w:cs="Arial"/>
                <w:sz w:val="20"/>
                <w:szCs w:val="20"/>
              </w:rPr>
              <w:t>232</w:t>
            </w:r>
          </w:p>
        </w:tc>
        <w:tc>
          <w:tcPr>
            <w:tcW w:w="1028" w:type="dxa"/>
            <w:noWrap/>
            <w:vAlign w:val="center"/>
          </w:tcPr>
          <w:p w:rsidR="00AA7088" w:rsidRDefault="009E76C5">
            <w:pPr>
              <w:jc w:val="center"/>
              <w:rPr>
                <w:rFonts w:cs="Arial"/>
                <w:sz w:val="20"/>
                <w:szCs w:val="20"/>
              </w:rPr>
            </w:pPr>
            <w:r>
              <w:rPr>
                <w:rFonts w:cs="Arial"/>
                <w:sz w:val="20"/>
                <w:szCs w:val="20"/>
              </w:rPr>
              <w:t>267</w:t>
            </w:r>
          </w:p>
        </w:tc>
        <w:tc>
          <w:tcPr>
            <w:tcW w:w="1029" w:type="dxa"/>
            <w:noWrap/>
            <w:vAlign w:val="center"/>
          </w:tcPr>
          <w:p w:rsidR="00AA7088" w:rsidRDefault="009E76C5">
            <w:pPr>
              <w:jc w:val="center"/>
              <w:rPr>
                <w:rFonts w:cs="Arial"/>
                <w:sz w:val="20"/>
                <w:szCs w:val="20"/>
              </w:rPr>
            </w:pPr>
            <w:r>
              <w:rPr>
                <w:rFonts w:cs="Arial"/>
                <w:sz w:val="20"/>
                <w:szCs w:val="20"/>
              </w:rPr>
              <w:t>304</w:t>
            </w:r>
          </w:p>
        </w:tc>
        <w:tc>
          <w:tcPr>
            <w:tcW w:w="1028" w:type="dxa"/>
            <w:noWrap/>
            <w:vAlign w:val="center"/>
          </w:tcPr>
          <w:p w:rsidR="00AA7088" w:rsidRDefault="009E76C5">
            <w:pPr>
              <w:jc w:val="center"/>
              <w:rPr>
                <w:rFonts w:cs="Arial"/>
                <w:sz w:val="20"/>
                <w:szCs w:val="20"/>
              </w:rPr>
            </w:pPr>
            <w:r>
              <w:rPr>
                <w:rFonts w:cs="Arial"/>
                <w:sz w:val="20"/>
                <w:szCs w:val="20"/>
              </w:rPr>
              <w:t>289</w:t>
            </w:r>
          </w:p>
        </w:tc>
        <w:tc>
          <w:tcPr>
            <w:tcW w:w="1029" w:type="dxa"/>
            <w:noWrap/>
            <w:vAlign w:val="center"/>
          </w:tcPr>
          <w:p w:rsidR="00AA7088" w:rsidRDefault="009E76C5">
            <w:pPr>
              <w:jc w:val="center"/>
              <w:rPr>
                <w:rFonts w:cs="Arial"/>
                <w:sz w:val="20"/>
                <w:szCs w:val="20"/>
              </w:rPr>
            </w:pPr>
            <w:r>
              <w:rPr>
                <w:rFonts w:cs="Arial"/>
                <w:sz w:val="20"/>
                <w:szCs w:val="20"/>
              </w:rPr>
              <w:t>270</w:t>
            </w:r>
          </w:p>
        </w:tc>
        <w:tc>
          <w:tcPr>
            <w:tcW w:w="1029" w:type="dxa"/>
            <w:noWrap/>
            <w:vAlign w:val="center"/>
          </w:tcPr>
          <w:p w:rsidR="00AA7088" w:rsidRDefault="009E76C5">
            <w:pPr>
              <w:jc w:val="center"/>
              <w:rPr>
                <w:rFonts w:cs="Arial"/>
                <w:sz w:val="20"/>
                <w:szCs w:val="20"/>
              </w:rPr>
            </w:pPr>
            <w:r>
              <w:rPr>
                <w:rFonts w:cs="Arial"/>
                <w:sz w:val="20"/>
                <w:szCs w:val="20"/>
              </w:rPr>
              <w:t>245</w:t>
            </w:r>
          </w:p>
        </w:tc>
      </w:tr>
    </w:tbl>
    <w:p w:rsidR="00362B9A" w:rsidRPr="00362B9A" w:rsidRDefault="00362B9A" w:rsidP="00362B9A"/>
    <w:p w:rsidR="00BC18FB" w:rsidRPr="00893044" w:rsidRDefault="00362B9A" w:rsidP="00362B9A">
      <w:pPr>
        <w:pStyle w:val="Heading4"/>
        <w:ind w:left="340" w:hanging="340"/>
        <w:rPr>
          <w:color w:val="2272A3"/>
          <w:sz w:val="24"/>
          <w:szCs w:val="24"/>
        </w:rPr>
      </w:pPr>
      <w:r w:rsidRPr="00893044">
        <w:rPr>
          <w:color w:val="2272A3"/>
          <w:sz w:val="24"/>
          <w:szCs w:val="24"/>
        </w:rPr>
        <w:t>SYD daily hub offers and daily hub bids in price bands ($/GJ)</w:t>
      </w:r>
    </w:p>
    <w:p w:rsidR="00362B9A" w:rsidRPr="00362B9A" w:rsidRDefault="009C4474" w:rsidP="00362B9A">
      <w:r>
        <w:pict>
          <v:shape id="_x0000_i1032" type="#_x0000_t75" style="width:475.5pt;height:170.25pt">
            <v:imagedata r:id="rId19" o:title=""/>
          </v:shape>
        </w:pict>
      </w:r>
    </w:p>
    <w:p w:rsidR="00BC18FB" w:rsidRPr="00893044" w:rsidRDefault="00362B9A" w:rsidP="00FF0D8A">
      <w:pPr>
        <w:pStyle w:val="Heading4"/>
        <w:ind w:hanging="338"/>
        <w:rPr>
          <w:color w:val="2272A3"/>
          <w:sz w:val="24"/>
          <w:szCs w:val="24"/>
        </w:rPr>
      </w:pPr>
      <w:r w:rsidRPr="00893044">
        <w:rPr>
          <w:color w:val="2272A3"/>
          <w:sz w:val="24"/>
          <w:szCs w:val="24"/>
        </w:rPr>
        <w:lastRenderedPageBreak/>
        <w:t xml:space="preserve">SYD net scheduled and allocated </w:t>
      </w:r>
      <w:r w:rsidR="003625A6" w:rsidRPr="00893044">
        <w:rPr>
          <w:color w:val="2272A3"/>
          <w:sz w:val="24"/>
          <w:szCs w:val="24"/>
        </w:rPr>
        <w:t xml:space="preserve">gas hub supply </w:t>
      </w:r>
      <w:r w:rsidRPr="00893044">
        <w:rPr>
          <w:color w:val="2272A3"/>
          <w:sz w:val="24"/>
          <w:szCs w:val="24"/>
        </w:rPr>
        <w:t xml:space="preserve">(excluding MOS) </w:t>
      </w:r>
    </w:p>
    <w:p w:rsidR="00362B9A" w:rsidRPr="00362B9A" w:rsidRDefault="009C4474" w:rsidP="00362B9A">
      <w:r>
        <w:pict>
          <v:shape id="_x0000_i1033" type="#_x0000_t75" style="width:477.75pt;height:213pt">
            <v:imagedata r:id="rId20" o:title=""/>
          </v:shape>
        </w:pict>
      </w:r>
    </w:p>
    <w:p w:rsidR="00BC18FB" w:rsidRPr="00893044" w:rsidRDefault="00362B9A" w:rsidP="00FF0D8A">
      <w:pPr>
        <w:pStyle w:val="Heading4"/>
        <w:ind w:hanging="338"/>
        <w:rPr>
          <w:color w:val="2272A3"/>
          <w:sz w:val="24"/>
          <w:szCs w:val="24"/>
        </w:rPr>
      </w:pPr>
      <w:r w:rsidRPr="00893044">
        <w:rPr>
          <w:color w:val="2272A3"/>
          <w:sz w:val="24"/>
          <w:szCs w:val="24"/>
        </w:rPr>
        <w:t>SYD MOS allocations (TJ), service payments and commodity payments/charges ($000)</w:t>
      </w:r>
    </w:p>
    <w:p w:rsidR="00362B9A" w:rsidRDefault="009C4474" w:rsidP="00362B9A">
      <w:r>
        <w:pict>
          <v:shape id="_x0000_i1034" type="#_x0000_t75" style="width:475.5pt;height:180.75pt">
            <v:imagedata r:id="rId21" o:title=""/>
          </v:shape>
        </w:pict>
      </w:r>
    </w:p>
    <w:p w:rsidR="00345444" w:rsidRDefault="00345444" w:rsidP="00362B9A"/>
    <w:p w:rsidR="00345444" w:rsidRDefault="00345444" w:rsidP="00362B9A"/>
    <w:p w:rsidR="00345444" w:rsidRDefault="00345444" w:rsidP="00362B9A"/>
    <w:p w:rsidR="00345444" w:rsidRDefault="00345444" w:rsidP="00362B9A"/>
    <w:p w:rsidR="00345444" w:rsidRDefault="00345444" w:rsidP="00362B9A"/>
    <w:p w:rsidR="00345444" w:rsidRDefault="00345444" w:rsidP="00362B9A"/>
    <w:p w:rsidR="00345444" w:rsidRDefault="00345444" w:rsidP="00362B9A"/>
    <w:p w:rsidR="00345444" w:rsidRDefault="00345444" w:rsidP="00362B9A"/>
    <w:p w:rsidR="00345444" w:rsidRDefault="00345444" w:rsidP="00362B9A"/>
    <w:p w:rsidR="00345444" w:rsidRDefault="00345444" w:rsidP="00362B9A"/>
    <w:p w:rsidR="00345444" w:rsidRDefault="00345444" w:rsidP="00362B9A"/>
    <w:p w:rsidR="00345444" w:rsidRPr="00362B9A" w:rsidRDefault="00345444" w:rsidP="00362B9A"/>
    <w:p w:rsidR="00BC18FB" w:rsidRDefault="00BC18FB" w:rsidP="00BC18FB">
      <w:pPr>
        <w:pStyle w:val="Heading3"/>
        <w:ind w:firstLine="0"/>
        <w:rPr>
          <w:color w:val="2272A3"/>
          <w:sz w:val="32"/>
          <w:szCs w:val="32"/>
        </w:rPr>
      </w:pPr>
      <w:r w:rsidRPr="00004A63">
        <w:rPr>
          <w:color w:val="2272A3"/>
          <w:sz w:val="32"/>
          <w:szCs w:val="32"/>
        </w:rPr>
        <w:lastRenderedPageBreak/>
        <w:t>A</w:t>
      </w:r>
      <w:r w:rsidR="00362B9A">
        <w:rPr>
          <w:color w:val="2272A3"/>
          <w:sz w:val="32"/>
          <w:szCs w:val="32"/>
        </w:rPr>
        <w:t>delaide STTM</w:t>
      </w:r>
    </w:p>
    <w:p w:rsidR="003625A6" w:rsidRPr="003625A6" w:rsidRDefault="003625A6" w:rsidP="00345444">
      <w:pPr>
        <w:jc w:val="both"/>
      </w:pPr>
      <w:r>
        <w:t>The Adelaide STTM hub functions in the same way as the Sydney STTM hub.  The same data that was presented for the Sydney hub is presented for the Adelaide hub in the figures below.</w:t>
      </w:r>
    </w:p>
    <w:p w:rsidR="00BC18FB" w:rsidRDefault="003625A6" w:rsidP="00FF0D8A">
      <w:pPr>
        <w:pStyle w:val="Heading4"/>
        <w:ind w:hanging="338"/>
        <w:rPr>
          <w:color w:val="2272A3"/>
          <w:sz w:val="24"/>
        </w:rPr>
      </w:pPr>
      <w:r>
        <w:rPr>
          <w:color w:val="2272A3"/>
          <w:sz w:val="24"/>
          <w:szCs w:val="24"/>
        </w:rPr>
        <w:t>ADL</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893044" w:rsidRPr="00442756" w:rsidTr="00B71928">
        <w:trPr>
          <w:trHeight w:val="255"/>
        </w:trPr>
        <w:tc>
          <w:tcPr>
            <w:tcW w:w="2160" w:type="dxa"/>
            <w:noWrap/>
            <w:vAlign w:val="center"/>
          </w:tcPr>
          <w:p w:rsidR="00893044" w:rsidRPr="00442756" w:rsidRDefault="00893044" w:rsidP="00B71928">
            <w:pPr>
              <w:spacing w:before="60" w:after="60"/>
              <w:rPr>
                <w:rFonts w:cs="Arial"/>
                <w:sz w:val="20"/>
                <w:szCs w:val="20"/>
              </w:rPr>
            </w:pPr>
            <w:r w:rsidRPr="00442756">
              <w:rPr>
                <w:rFonts w:cs="Arial"/>
                <w:sz w:val="20"/>
                <w:szCs w:val="20"/>
              </w:rPr>
              <w:t>Ex ante price ($/GJ)</w:t>
            </w:r>
          </w:p>
        </w:tc>
        <w:tc>
          <w:tcPr>
            <w:tcW w:w="1028" w:type="dxa"/>
            <w:noWrap/>
            <w:vAlign w:val="center"/>
          </w:tcPr>
          <w:p w:rsidR="00893044" w:rsidRDefault="00893044">
            <w:pPr>
              <w:jc w:val="center"/>
              <w:rPr>
                <w:rFonts w:cs="Arial"/>
                <w:sz w:val="20"/>
                <w:szCs w:val="20"/>
              </w:rPr>
            </w:pPr>
            <w:r>
              <w:rPr>
                <w:rFonts w:cs="Arial"/>
                <w:sz w:val="20"/>
                <w:szCs w:val="20"/>
              </w:rPr>
              <w:t>4.15</w:t>
            </w:r>
          </w:p>
        </w:tc>
        <w:tc>
          <w:tcPr>
            <w:tcW w:w="1029" w:type="dxa"/>
            <w:noWrap/>
            <w:vAlign w:val="center"/>
          </w:tcPr>
          <w:p w:rsidR="00893044" w:rsidRDefault="00893044">
            <w:pPr>
              <w:jc w:val="center"/>
              <w:rPr>
                <w:rFonts w:cs="Arial"/>
                <w:sz w:val="20"/>
                <w:szCs w:val="20"/>
              </w:rPr>
            </w:pPr>
            <w:r>
              <w:rPr>
                <w:rFonts w:cs="Arial"/>
                <w:sz w:val="20"/>
                <w:szCs w:val="20"/>
              </w:rPr>
              <w:t>4.14</w:t>
            </w:r>
          </w:p>
        </w:tc>
        <w:tc>
          <w:tcPr>
            <w:tcW w:w="1028" w:type="dxa"/>
            <w:noWrap/>
            <w:vAlign w:val="center"/>
          </w:tcPr>
          <w:p w:rsidR="00893044" w:rsidRDefault="00893044">
            <w:pPr>
              <w:jc w:val="center"/>
              <w:rPr>
                <w:rFonts w:cs="Arial"/>
                <w:sz w:val="20"/>
                <w:szCs w:val="20"/>
              </w:rPr>
            </w:pPr>
            <w:r>
              <w:rPr>
                <w:rFonts w:cs="Arial"/>
                <w:sz w:val="20"/>
                <w:szCs w:val="20"/>
              </w:rPr>
              <w:t>4.21</w:t>
            </w:r>
          </w:p>
        </w:tc>
        <w:tc>
          <w:tcPr>
            <w:tcW w:w="1029" w:type="dxa"/>
            <w:noWrap/>
            <w:vAlign w:val="center"/>
          </w:tcPr>
          <w:p w:rsidR="00893044" w:rsidRDefault="00893044">
            <w:pPr>
              <w:jc w:val="center"/>
              <w:rPr>
                <w:rFonts w:cs="Arial"/>
                <w:sz w:val="20"/>
                <w:szCs w:val="20"/>
              </w:rPr>
            </w:pPr>
            <w:r>
              <w:rPr>
                <w:rFonts w:cs="Arial"/>
                <w:sz w:val="20"/>
                <w:szCs w:val="20"/>
              </w:rPr>
              <w:t>5.53</w:t>
            </w:r>
          </w:p>
        </w:tc>
        <w:tc>
          <w:tcPr>
            <w:tcW w:w="1028" w:type="dxa"/>
            <w:noWrap/>
            <w:vAlign w:val="center"/>
          </w:tcPr>
          <w:p w:rsidR="00893044" w:rsidRDefault="00893044">
            <w:pPr>
              <w:jc w:val="center"/>
              <w:rPr>
                <w:rFonts w:cs="Arial"/>
                <w:sz w:val="20"/>
                <w:szCs w:val="20"/>
              </w:rPr>
            </w:pPr>
            <w:r>
              <w:rPr>
                <w:rFonts w:cs="Arial"/>
                <w:sz w:val="20"/>
                <w:szCs w:val="20"/>
              </w:rPr>
              <w:t>5.56</w:t>
            </w:r>
          </w:p>
        </w:tc>
        <w:tc>
          <w:tcPr>
            <w:tcW w:w="1029" w:type="dxa"/>
            <w:noWrap/>
            <w:vAlign w:val="center"/>
          </w:tcPr>
          <w:p w:rsidR="00893044" w:rsidRDefault="00893044">
            <w:pPr>
              <w:jc w:val="center"/>
              <w:rPr>
                <w:rFonts w:cs="Arial"/>
                <w:sz w:val="20"/>
                <w:szCs w:val="20"/>
              </w:rPr>
            </w:pPr>
            <w:r>
              <w:rPr>
                <w:rFonts w:cs="Arial"/>
                <w:sz w:val="20"/>
                <w:szCs w:val="20"/>
              </w:rPr>
              <w:t>5.65</w:t>
            </w:r>
          </w:p>
        </w:tc>
        <w:tc>
          <w:tcPr>
            <w:tcW w:w="1029" w:type="dxa"/>
            <w:noWrap/>
            <w:vAlign w:val="center"/>
          </w:tcPr>
          <w:p w:rsidR="00893044" w:rsidRDefault="00893044">
            <w:pPr>
              <w:jc w:val="center"/>
              <w:rPr>
                <w:rFonts w:cs="Arial"/>
                <w:sz w:val="20"/>
                <w:szCs w:val="20"/>
              </w:rPr>
            </w:pPr>
            <w:r>
              <w:rPr>
                <w:rFonts w:cs="Arial"/>
                <w:sz w:val="20"/>
                <w:szCs w:val="20"/>
              </w:rPr>
              <w:t>5.45</w:t>
            </w:r>
          </w:p>
        </w:tc>
      </w:tr>
      <w:tr w:rsidR="00893044"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893044" w:rsidRPr="00442756" w:rsidRDefault="00893044" w:rsidP="00B71928">
            <w:pPr>
              <w:spacing w:before="60" w:after="60"/>
              <w:rPr>
                <w:rFonts w:cs="Arial"/>
                <w:sz w:val="20"/>
                <w:szCs w:val="20"/>
              </w:rPr>
            </w:pPr>
            <w:r w:rsidRPr="00442756">
              <w:rPr>
                <w:rFonts w:cs="Arial"/>
                <w:sz w:val="20"/>
                <w:szCs w:val="20"/>
              </w:rPr>
              <w:t>Ex ante quantity (TJ)</w:t>
            </w:r>
          </w:p>
        </w:tc>
        <w:tc>
          <w:tcPr>
            <w:tcW w:w="1028" w:type="dxa"/>
            <w:noWrap/>
            <w:vAlign w:val="center"/>
          </w:tcPr>
          <w:p w:rsidR="00893044" w:rsidRDefault="009E76C5">
            <w:pPr>
              <w:jc w:val="center"/>
              <w:rPr>
                <w:rFonts w:cs="Arial"/>
                <w:sz w:val="20"/>
                <w:szCs w:val="20"/>
              </w:rPr>
            </w:pPr>
            <w:r>
              <w:rPr>
                <w:rFonts w:cs="Arial"/>
                <w:sz w:val="20"/>
                <w:szCs w:val="20"/>
              </w:rPr>
              <w:t>69</w:t>
            </w:r>
          </w:p>
        </w:tc>
        <w:tc>
          <w:tcPr>
            <w:tcW w:w="1029" w:type="dxa"/>
            <w:noWrap/>
            <w:vAlign w:val="center"/>
          </w:tcPr>
          <w:p w:rsidR="00893044" w:rsidRDefault="009E76C5">
            <w:pPr>
              <w:jc w:val="center"/>
              <w:rPr>
                <w:rFonts w:cs="Arial"/>
                <w:sz w:val="20"/>
                <w:szCs w:val="20"/>
              </w:rPr>
            </w:pPr>
            <w:r>
              <w:rPr>
                <w:rFonts w:cs="Arial"/>
                <w:sz w:val="20"/>
                <w:szCs w:val="20"/>
              </w:rPr>
              <w:t>69</w:t>
            </w:r>
          </w:p>
        </w:tc>
        <w:tc>
          <w:tcPr>
            <w:tcW w:w="1028" w:type="dxa"/>
            <w:noWrap/>
            <w:vAlign w:val="center"/>
          </w:tcPr>
          <w:p w:rsidR="00893044" w:rsidRDefault="009E76C5">
            <w:pPr>
              <w:jc w:val="center"/>
              <w:rPr>
                <w:rFonts w:cs="Arial"/>
                <w:sz w:val="20"/>
                <w:szCs w:val="20"/>
              </w:rPr>
            </w:pPr>
            <w:r>
              <w:rPr>
                <w:rFonts w:cs="Arial"/>
                <w:sz w:val="20"/>
                <w:szCs w:val="20"/>
              </w:rPr>
              <w:t>89</w:t>
            </w:r>
          </w:p>
        </w:tc>
        <w:tc>
          <w:tcPr>
            <w:tcW w:w="1029" w:type="dxa"/>
            <w:noWrap/>
            <w:vAlign w:val="center"/>
          </w:tcPr>
          <w:p w:rsidR="00893044" w:rsidRDefault="009E76C5">
            <w:pPr>
              <w:jc w:val="center"/>
              <w:rPr>
                <w:rFonts w:cs="Arial"/>
                <w:sz w:val="20"/>
                <w:szCs w:val="20"/>
              </w:rPr>
            </w:pPr>
            <w:r>
              <w:rPr>
                <w:rFonts w:cs="Arial"/>
                <w:sz w:val="20"/>
                <w:szCs w:val="20"/>
              </w:rPr>
              <w:t>94</w:t>
            </w:r>
          </w:p>
        </w:tc>
        <w:tc>
          <w:tcPr>
            <w:tcW w:w="1028" w:type="dxa"/>
            <w:noWrap/>
            <w:vAlign w:val="center"/>
          </w:tcPr>
          <w:p w:rsidR="00893044" w:rsidRDefault="009E76C5">
            <w:pPr>
              <w:jc w:val="center"/>
              <w:rPr>
                <w:rFonts w:cs="Arial"/>
                <w:sz w:val="20"/>
                <w:szCs w:val="20"/>
              </w:rPr>
            </w:pPr>
            <w:r>
              <w:rPr>
                <w:rFonts w:cs="Arial"/>
                <w:sz w:val="20"/>
                <w:szCs w:val="20"/>
              </w:rPr>
              <w:t>96</w:t>
            </w:r>
          </w:p>
        </w:tc>
        <w:tc>
          <w:tcPr>
            <w:tcW w:w="1029" w:type="dxa"/>
            <w:noWrap/>
            <w:vAlign w:val="center"/>
          </w:tcPr>
          <w:p w:rsidR="00893044" w:rsidRDefault="009E76C5">
            <w:pPr>
              <w:jc w:val="center"/>
              <w:rPr>
                <w:rFonts w:cs="Arial"/>
                <w:sz w:val="20"/>
                <w:szCs w:val="20"/>
              </w:rPr>
            </w:pPr>
            <w:r>
              <w:rPr>
                <w:rFonts w:cs="Arial"/>
                <w:sz w:val="20"/>
                <w:szCs w:val="20"/>
              </w:rPr>
              <w:t>88</w:t>
            </w:r>
          </w:p>
        </w:tc>
        <w:tc>
          <w:tcPr>
            <w:tcW w:w="1029" w:type="dxa"/>
            <w:noWrap/>
            <w:vAlign w:val="center"/>
          </w:tcPr>
          <w:p w:rsidR="00893044" w:rsidRDefault="009E76C5">
            <w:pPr>
              <w:jc w:val="center"/>
              <w:rPr>
                <w:rFonts w:cs="Arial"/>
                <w:sz w:val="20"/>
                <w:szCs w:val="20"/>
              </w:rPr>
            </w:pPr>
            <w:r>
              <w:rPr>
                <w:rFonts w:cs="Arial"/>
                <w:sz w:val="20"/>
                <w:szCs w:val="20"/>
              </w:rPr>
              <w:t>68</w:t>
            </w:r>
          </w:p>
        </w:tc>
      </w:tr>
      <w:tr w:rsidR="00893044" w:rsidRPr="00442756" w:rsidTr="00B71928">
        <w:trPr>
          <w:trHeight w:val="255"/>
        </w:trPr>
        <w:tc>
          <w:tcPr>
            <w:tcW w:w="2160" w:type="dxa"/>
            <w:noWrap/>
            <w:vAlign w:val="center"/>
          </w:tcPr>
          <w:p w:rsidR="00893044" w:rsidRPr="00442756" w:rsidRDefault="00893044" w:rsidP="00B71928">
            <w:pPr>
              <w:spacing w:before="60" w:after="60"/>
              <w:rPr>
                <w:rFonts w:cs="Arial"/>
                <w:sz w:val="20"/>
                <w:szCs w:val="20"/>
              </w:rPr>
            </w:pPr>
            <w:r w:rsidRPr="00442756">
              <w:rPr>
                <w:rFonts w:cs="Arial"/>
                <w:sz w:val="20"/>
                <w:szCs w:val="20"/>
              </w:rPr>
              <w:t>Ex post price ($/GJ)</w:t>
            </w:r>
          </w:p>
        </w:tc>
        <w:tc>
          <w:tcPr>
            <w:tcW w:w="1028" w:type="dxa"/>
            <w:noWrap/>
            <w:vAlign w:val="center"/>
          </w:tcPr>
          <w:p w:rsidR="00893044" w:rsidRDefault="00893044">
            <w:pPr>
              <w:jc w:val="center"/>
              <w:rPr>
                <w:rFonts w:cs="Arial"/>
                <w:sz w:val="20"/>
                <w:szCs w:val="20"/>
              </w:rPr>
            </w:pPr>
            <w:r>
              <w:rPr>
                <w:rFonts w:cs="Arial"/>
                <w:sz w:val="20"/>
                <w:szCs w:val="20"/>
              </w:rPr>
              <w:t>4.15</w:t>
            </w:r>
          </w:p>
        </w:tc>
        <w:tc>
          <w:tcPr>
            <w:tcW w:w="1029" w:type="dxa"/>
            <w:noWrap/>
            <w:vAlign w:val="center"/>
          </w:tcPr>
          <w:p w:rsidR="00893044" w:rsidRDefault="00893044">
            <w:pPr>
              <w:jc w:val="center"/>
              <w:rPr>
                <w:rFonts w:cs="Arial"/>
                <w:sz w:val="20"/>
                <w:szCs w:val="20"/>
              </w:rPr>
            </w:pPr>
            <w:r>
              <w:rPr>
                <w:rFonts w:cs="Arial"/>
                <w:sz w:val="20"/>
                <w:szCs w:val="20"/>
              </w:rPr>
              <w:t>4.14</w:t>
            </w:r>
          </w:p>
        </w:tc>
        <w:tc>
          <w:tcPr>
            <w:tcW w:w="1028" w:type="dxa"/>
            <w:noWrap/>
            <w:vAlign w:val="center"/>
          </w:tcPr>
          <w:p w:rsidR="00893044" w:rsidRDefault="00893044">
            <w:pPr>
              <w:jc w:val="center"/>
              <w:rPr>
                <w:rFonts w:cs="Arial"/>
                <w:sz w:val="20"/>
                <w:szCs w:val="20"/>
              </w:rPr>
            </w:pPr>
            <w:r>
              <w:rPr>
                <w:rFonts w:cs="Arial"/>
                <w:sz w:val="20"/>
                <w:szCs w:val="20"/>
              </w:rPr>
              <w:t>4.79</w:t>
            </w:r>
          </w:p>
        </w:tc>
        <w:tc>
          <w:tcPr>
            <w:tcW w:w="1029" w:type="dxa"/>
            <w:noWrap/>
            <w:vAlign w:val="center"/>
          </w:tcPr>
          <w:p w:rsidR="00893044" w:rsidRDefault="00893044">
            <w:pPr>
              <w:jc w:val="center"/>
              <w:rPr>
                <w:rFonts w:cs="Arial"/>
                <w:sz w:val="20"/>
                <w:szCs w:val="20"/>
              </w:rPr>
            </w:pPr>
            <w:r>
              <w:rPr>
                <w:rFonts w:cs="Arial"/>
                <w:sz w:val="20"/>
                <w:szCs w:val="20"/>
              </w:rPr>
              <w:t>8.00</w:t>
            </w:r>
          </w:p>
        </w:tc>
        <w:tc>
          <w:tcPr>
            <w:tcW w:w="1028" w:type="dxa"/>
            <w:noWrap/>
            <w:vAlign w:val="center"/>
          </w:tcPr>
          <w:p w:rsidR="00893044" w:rsidRDefault="00893044">
            <w:pPr>
              <w:jc w:val="center"/>
              <w:rPr>
                <w:rFonts w:cs="Arial"/>
                <w:sz w:val="20"/>
                <w:szCs w:val="20"/>
              </w:rPr>
            </w:pPr>
            <w:r>
              <w:rPr>
                <w:rFonts w:cs="Arial"/>
                <w:sz w:val="20"/>
                <w:szCs w:val="20"/>
              </w:rPr>
              <w:t>5.56</w:t>
            </w:r>
          </w:p>
        </w:tc>
        <w:tc>
          <w:tcPr>
            <w:tcW w:w="1029" w:type="dxa"/>
            <w:noWrap/>
            <w:vAlign w:val="center"/>
          </w:tcPr>
          <w:p w:rsidR="00893044" w:rsidRDefault="00893044">
            <w:pPr>
              <w:jc w:val="center"/>
              <w:rPr>
                <w:rFonts w:cs="Arial"/>
                <w:sz w:val="20"/>
                <w:szCs w:val="20"/>
              </w:rPr>
            </w:pPr>
            <w:r>
              <w:rPr>
                <w:rFonts w:cs="Arial"/>
                <w:sz w:val="20"/>
                <w:szCs w:val="20"/>
              </w:rPr>
              <w:t>6.06</w:t>
            </w:r>
          </w:p>
        </w:tc>
        <w:tc>
          <w:tcPr>
            <w:tcW w:w="1029" w:type="dxa"/>
            <w:noWrap/>
            <w:vAlign w:val="center"/>
          </w:tcPr>
          <w:p w:rsidR="00893044" w:rsidRDefault="00893044">
            <w:pPr>
              <w:jc w:val="center"/>
              <w:rPr>
                <w:rFonts w:cs="Arial"/>
                <w:sz w:val="20"/>
                <w:szCs w:val="20"/>
              </w:rPr>
            </w:pPr>
            <w:r>
              <w:rPr>
                <w:rFonts w:cs="Arial"/>
                <w:sz w:val="20"/>
                <w:szCs w:val="20"/>
              </w:rPr>
              <w:t>5.45</w:t>
            </w:r>
          </w:p>
        </w:tc>
      </w:tr>
      <w:tr w:rsidR="00893044"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893044" w:rsidRPr="00442756" w:rsidRDefault="00893044" w:rsidP="00B71928">
            <w:pPr>
              <w:spacing w:before="60" w:after="60"/>
              <w:rPr>
                <w:rFonts w:cs="Arial"/>
                <w:sz w:val="20"/>
                <w:szCs w:val="20"/>
              </w:rPr>
            </w:pPr>
            <w:r w:rsidRPr="00442756">
              <w:rPr>
                <w:rFonts w:cs="Arial"/>
                <w:sz w:val="20"/>
                <w:szCs w:val="20"/>
              </w:rPr>
              <w:t>Ex post quantity (TJ)</w:t>
            </w:r>
          </w:p>
        </w:tc>
        <w:tc>
          <w:tcPr>
            <w:tcW w:w="1028" w:type="dxa"/>
            <w:noWrap/>
            <w:vAlign w:val="center"/>
          </w:tcPr>
          <w:p w:rsidR="00893044" w:rsidRDefault="009E76C5">
            <w:pPr>
              <w:jc w:val="center"/>
              <w:rPr>
                <w:rFonts w:cs="Arial"/>
                <w:sz w:val="20"/>
                <w:szCs w:val="20"/>
              </w:rPr>
            </w:pPr>
            <w:r>
              <w:rPr>
                <w:rFonts w:cs="Arial"/>
                <w:sz w:val="20"/>
                <w:szCs w:val="20"/>
              </w:rPr>
              <w:t>66</w:t>
            </w:r>
          </w:p>
        </w:tc>
        <w:tc>
          <w:tcPr>
            <w:tcW w:w="1029" w:type="dxa"/>
            <w:noWrap/>
            <w:vAlign w:val="center"/>
          </w:tcPr>
          <w:p w:rsidR="00893044" w:rsidRDefault="009E76C5">
            <w:pPr>
              <w:jc w:val="center"/>
              <w:rPr>
                <w:rFonts w:cs="Arial"/>
                <w:sz w:val="20"/>
                <w:szCs w:val="20"/>
              </w:rPr>
            </w:pPr>
            <w:r>
              <w:rPr>
                <w:rFonts w:cs="Arial"/>
                <w:sz w:val="20"/>
                <w:szCs w:val="20"/>
              </w:rPr>
              <w:t>71</w:t>
            </w:r>
          </w:p>
        </w:tc>
        <w:tc>
          <w:tcPr>
            <w:tcW w:w="1028" w:type="dxa"/>
            <w:noWrap/>
            <w:vAlign w:val="center"/>
          </w:tcPr>
          <w:p w:rsidR="00893044" w:rsidRDefault="009E76C5">
            <w:pPr>
              <w:jc w:val="center"/>
              <w:rPr>
                <w:rFonts w:cs="Arial"/>
                <w:sz w:val="20"/>
                <w:szCs w:val="20"/>
              </w:rPr>
            </w:pPr>
            <w:r>
              <w:rPr>
                <w:rFonts w:cs="Arial"/>
                <w:sz w:val="20"/>
                <w:szCs w:val="20"/>
              </w:rPr>
              <w:t>101</w:t>
            </w:r>
          </w:p>
        </w:tc>
        <w:tc>
          <w:tcPr>
            <w:tcW w:w="1029" w:type="dxa"/>
            <w:noWrap/>
            <w:vAlign w:val="center"/>
          </w:tcPr>
          <w:p w:rsidR="00893044" w:rsidRDefault="009E76C5">
            <w:pPr>
              <w:jc w:val="center"/>
              <w:rPr>
                <w:rFonts w:cs="Arial"/>
                <w:sz w:val="20"/>
                <w:szCs w:val="20"/>
              </w:rPr>
            </w:pPr>
            <w:r>
              <w:rPr>
                <w:rFonts w:cs="Arial"/>
                <w:sz w:val="20"/>
                <w:szCs w:val="20"/>
              </w:rPr>
              <w:t>111</w:t>
            </w:r>
          </w:p>
        </w:tc>
        <w:tc>
          <w:tcPr>
            <w:tcW w:w="1028" w:type="dxa"/>
            <w:noWrap/>
            <w:vAlign w:val="center"/>
          </w:tcPr>
          <w:p w:rsidR="00893044" w:rsidRDefault="009E76C5">
            <w:pPr>
              <w:jc w:val="center"/>
              <w:rPr>
                <w:rFonts w:cs="Arial"/>
                <w:sz w:val="20"/>
                <w:szCs w:val="20"/>
              </w:rPr>
            </w:pPr>
            <w:r>
              <w:rPr>
                <w:rFonts w:cs="Arial"/>
                <w:sz w:val="20"/>
                <w:szCs w:val="20"/>
              </w:rPr>
              <w:t>107</w:t>
            </w:r>
          </w:p>
        </w:tc>
        <w:tc>
          <w:tcPr>
            <w:tcW w:w="1029" w:type="dxa"/>
            <w:noWrap/>
            <w:vAlign w:val="center"/>
          </w:tcPr>
          <w:p w:rsidR="00893044" w:rsidRDefault="009E76C5">
            <w:pPr>
              <w:jc w:val="center"/>
              <w:rPr>
                <w:rFonts w:cs="Arial"/>
                <w:sz w:val="20"/>
                <w:szCs w:val="20"/>
              </w:rPr>
            </w:pPr>
            <w:r>
              <w:rPr>
                <w:rFonts w:cs="Arial"/>
                <w:sz w:val="20"/>
                <w:szCs w:val="20"/>
              </w:rPr>
              <w:t>92</w:t>
            </w:r>
          </w:p>
        </w:tc>
        <w:tc>
          <w:tcPr>
            <w:tcW w:w="1029" w:type="dxa"/>
            <w:noWrap/>
            <w:vAlign w:val="center"/>
          </w:tcPr>
          <w:p w:rsidR="00893044" w:rsidRDefault="009E76C5">
            <w:pPr>
              <w:jc w:val="center"/>
              <w:rPr>
                <w:rFonts w:cs="Arial"/>
                <w:sz w:val="20"/>
                <w:szCs w:val="20"/>
              </w:rPr>
            </w:pPr>
            <w:r>
              <w:rPr>
                <w:rFonts w:cs="Arial"/>
                <w:sz w:val="20"/>
                <w:szCs w:val="20"/>
              </w:rPr>
              <w:t>67</w:t>
            </w:r>
          </w:p>
        </w:tc>
      </w:tr>
    </w:tbl>
    <w:p w:rsidR="00BC18FB" w:rsidRPr="00893044" w:rsidRDefault="003625A6" w:rsidP="00FF0D8A">
      <w:pPr>
        <w:pStyle w:val="Heading4"/>
        <w:ind w:hanging="338"/>
        <w:rPr>
          <w:color w:val="2272A3"/>
          <w:sz w:val="24"/>
        </w:rPr>
      </w:pPr>
      <w:r w:rsidRPr="00893044">
        <w:rPr>
          <w:color w:val="2272A3"/>
          <w:sz w:val="24"/>
          <w:szCs w:val="24"/>
        </w:rPr>
        <w:t>ADL daily hub offers and daily hub bids in price bands ($/GJ)</w:t>
      </w:r>
    </w:p>
    <w:p w:rsidR="00362B9A" w:rsidRPr="00362B9A" w:rsidRDefault="009C4474" w:rsidP="00362B9A">
      <w:r>
        <w:pict>
          <v:shape id="_x0000_i1035" type="#_x0000_t75" style="width:475.5pt;height:165.75pt">
            <v:imagedata r:id="rId22" o:title=""/>
          </v:shape>
        </w:pict>
      </w:r>
    </w:p>
    <w:p w:rsidR="00BC18FB" w:rsidRPr="00893044" w:rsidRDefault="003625A6" w:rsidP="00FF0D8A">
      <w:pPr>
        <w:pStyle w:val="Heading4"/>
        <w:ind w:hanging="338"/>
        <w:rPr>
          <w:color w:val="2272A3"/>
          <w:sz w:val="24"/>
        </w:rPr>
      </w:pPr>
      <w:r w:rsidRPr="00893044">
        <w:rPr>
          <w:color w:val="2272A3"/>
          <w:sz w:val="24"/>
          <w:szCs w:val="24"/>
        </w:rPr>
        <w:t>ADL net scheduled and allocated gas hub supply (excluding MOS)</w:t>
      </w:r>
    </w:p>
    <w:p w:rsidR="00362B9A" w:rsidRPr="00362B9A" w:rsidRDefault="009C4474" w:rsidP="00362B9A">
      <w:r>
        <w:pict>
          <v:shape id="_x0000_i1036" type="#_x0000_t75" style="width:477.75pt;height:110.25pt">
            <v:imagedata r:id="rId23" o:title=""/>
          </v:shape>
        </w:pict>
      </w:r>
    </w:p>
    <w:p w:rsidR="00BC18FB" w:rsidRPr="00893044" w:rsidRDefault="004560B0" w:rsidP="003625A6">
      <w:pPr>
        <w:pStyle w:val="Heading4"/>
        <w:ind w:hanging="338"/>
        <w:rPr>
          <w:color w:val="2272A3"/>
          <w:sz w:val="24"/>
          <w:szCs w:val="24"/>
        </w:rPr>
      </w:pPr>
      <w:r w:rsidRPr="00893044">
        <w:rPr>
          <w:color w:val="2272A3"/>
          <w:sz w:val="24"/>
          <w:szCs w:val="24"/>
        </w:rPr>
        <w:t>ADL</w:t>
      </w:r>
      <w:r w:rsidR="003625A6" w:rsidRPr="00893044">
        <w:rPr>
          <w:color w:val="2272A3"/>
          <w:sz w:val="24"/>
          <w:szCs w:val="24"/>
        </w:rPr>
        <w:t xml:space="preserve"> MOS allocations (TJ), service payments and commodity payments/charges ($000)</w:t>
      </w:r>
    </w:p>
    <w:p w:rsidR="00362B9A" w:rsidRPr="00362B9A" w:rsidRDefault="009C4474" w:rsidP="00362B9A">
      <w:r>
        <w:pict>
          <v:shape id="_x0000_i1037" type="#_x0000_t75" style="width:476.25pt;height:167.25pt">
            <v:imagedata r:id="rId24" o:title=""/>
          </v:shape>
        </w:pict>
      </w:r>
    </w:p>
    <w:p w:rsidR="00BC18FB" w:rsidRDefault="004F371C" w:rsidP="003625A6">
      <w:pPr>
        <w:pStyle w:val="Heading3"/>
        <w:ind w:firstLine="0"/>
        <w:rPr>
          <w:color w:val="2272A3"/>
          <w:sz w:val="32"/>
          <w:szCs w:val="32"/>
        </w:rPr>
      </w:pPr>
      <w:r>
        <w:rPr>
          <w:color w:val="2272A3"/>
          <w:sz w:val="32"/>
          <w:szCs w:val="32"/>
        </w:rPr>
        <w:br w:type="page"/>
      </w:r>
      <w:r w:rsidR="00BC18FB" w:rsidRPr="003625A6">
        <w:rPr>
          <w:color w:val="2272A3"/>
          <w:sz w:val="32"/>
          <w:szCs w:val="32"/>
        </w:rPr>
        <w:lastRenderedPageBreak/>
        <w:t>B</w:t>
      </w:r>
      <w:r w:rsidR="00362B9A" w:rsidRPr="003625A6">
        <w:rPr>
          <w:color w:val="2272A3"/>
          <w:sz w:val="32"/>
          <w:szCs w:val="32"/>
        </w:rPr>
        <w:t>risbane STTM</w:t>
      </w:r>
    </w:p>
    <w:p w:rsidR="003625A6" w:rsidRPr="003625A6" w:rsidRDefault="003625A6" w:rsidP="00345444">
      <w:pPr>
        <w:jc w:val="both"/>
      </w:pPr>
      <w:r>
        <w:t>The Brisbane STTM hub functions in the same way as the Sydney STTM hub.  The same data that was presented for the Sydney hub is presented for the Brisbane hub in the figures below.</w:t>
      </w:r>
    </w:p>
    <w:p w:rsidR="00BC18FB" w:rsidRDefault="003625A6" w:rsidP="00FF0D8A">
      <w:pPr>
        <w:pStyle w:val="Heading4"/>
        <w:ind w:hanging="338"/>
        <w:rPr>
          <w:color w:val="2272A3"/>
          <w:sz w:val="24"/>
        </w:rPr>
      </w:pPr>
      <w:r>
        <w:rPr>
          <w:color w:val="2272A3"/>
          <w:sz w:val="24"/>
          <w:szCs w:val="24"/>
        </w:rPr>
        <w:t>BRI</w:t>
      </w:r>
      <w:r w:rsidRPr="00362B9A">
        <w:rPr>
          <w:color w:val="2272A3"/>
          <w:sz w:val="24"/>
          <w:szCs w:val="24"/>
        </w:rPr>
        <w:t xml:space="preserve"> STTM daily ex ante and ex post prices and quantities</w:t>
      </w:r>
    </w:p>
    <w:tbl>
      <w:tblPr>
        <w:tblStyle w:val="AERTable-Text0"/>
        <w:tblW w:w="9360" w:type="dxa"/>
        <w:tblLayout w:type="fixed"/>
        <w:tblLook w:val="01E0" w:firstRow="1" w:lastRow="1" w:firstColumn="1" w:lastColumn="1" w:noHBand="0" w:noVBand="0"/>
      </w:tblPr>
      <w:tblGrid>
        <w:gridCol w:w="2160"/>
        <w:gridCol w:w="1028"/>
        <w:gridCol w:w="1029"/>
        <w:gridCol w:w="1028"/>
        <w:gridCol w:w="1029"/>
        <w:gridCol w:w="1028"/>
        <w:gridCol w:w="1029"/>
        <w:gridCol w:w="1029"/>
      </w:tblGrid>
      <w:tr w:rsidR="003625A6" w:rsidRPr="00442756" w:rsidTr="00B71928">
        <w:trPr>
          <w:cnfStyle w:val="100000000000" w:firstRow="1" w:lastRow="0" w:firstColumn="0" w:lastColumn="0" w:oddVBand="0" w:evenVBand="0" w:oddHBand="0" w:evenHBand="0" w:firstRowFirstColumn="0" w:firstRowLastColumn="0" w:lastRowFirstColumn="0" w:lastRowLastColumn="0"/>
          <w:trHeight w:val="255"/>
        </w:trPr>
        <w:tc>
          <w:tcPr>
            <w:tcW w:w="2160" w:type="dxa"/>
            <w:noWrap/>
          </w:tcPr>
          <w:p w:rsidR="003625A6" w:rsidRPr="00442756" w:rsidRDefault="003625A6" w:rsidP="00B71928">
            <w:pPr>
              <w:spacing w:before="40" w:after="40"/>
              <w:rPr>
                <w:rFonts w:cs="Arial"/>
                <w:b w:val="0"/>
                <w:bCs/>
                <w:sz w:val="20"/>
                <w:szCs w:val="20"/>
              </w:rPr>
            </w:pPr>
            <w:r w:rsidRPr="00442756">
              <w:rPr>
                <w:rFonts w:cs="Arial"/>
                <w:bCs/>
                <w:sz w:val="20"/>
                <w:szCs w:val="20"/>
              </w:rPr>
              <w:t> </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Sun</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Mon</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Tue</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Wed</w:t>
            </w:r>
          </w:p>
        </w:tc>
        <w:tc>
          <w:tcPr>
            <w:tcW w:w="1028"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Thu</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Fri</w:t>
            </w:r>
          </w:p>
        </w:tc>
        <w:tc>
          <w:tcPr>
            <w:tcW w:w="1029" w:type="dxa"/>
            <w:noWrap/>
          </w:tcPr>
          <w:p w:rsidR="003625A6" w:rsidRPr="00442756" w:rsidRDefault="003625A6" w:rsidP="00B71928">
            <w:pPr>
              <w:spacing w:before="40" w:after="40"/>
              <w:jc w:val="center"/>
              <w:rPr>
                <w:rFonts w:cs="Arial"/>
                <w:b w:val="0"/>
                <w:bCs/>
                <w:sz w:val="20"/>
                <w:szCs w:val="20"/>
              </w:rPr>
            </w:pPr>
            <w:r w:rsidRPr="00442756">
              <w:rPr>
                <w:rFonts w:cs="Arial"/>
                <w:bCs/>
                <w:sz w:val="20"/>
                <w:szCs w:val="20"/>
              </w:rPr>
              <w:t>Sat</w:t>
            </w:r>
          </w:p>
        </w:tc>
      </w:tr>
      <w:tr w:rsidR="00893044" w:rsidRPr="00442756" w:rsidTr="00B71928">
        <w:trPr>
          <w:trHeight w:val="255"/>
        </w:trPr>
        <w:tc>
          <w:tcPr>
            <w:tcW w:w="2160" w:type="dxa"/>
            <w:noWrap/>
            <w:vAlign w:val="center"/>
          </w:tcPr>
          <w:p w:rsidR="00893044" w:rsidRPr="00442756" w:rsidRDefault="00893044" w:rsidP="00B71928">
            <w:pPr>
              <w:spacing w:before="60" w:after="60"/>
              <w:rPr>
                <w:rFonts w:cs="Arial"/>
                <w:sz w:val="20"/>
                <w:szCs w:val="20"/>
              </w:rPr>
            </w:pPr>
            <w:r w:rsidRPr="00442756">
              <w:rPr>
                <w:rFonts w:cs="Arial"/>
                <w:sz w:val="20"/>
                <w:szCs w:val="20"/>
              </w:rPr>
              <w:t>Ex ante price ($/GJ)</w:t>
            </w:r>
          </w:p>
        </w:tc>
        <w:tc>
          <w:tcPr>
            <w:tcW w:w="1028" w:type="dxa"/>
            <w:noWrap/>
            <w:vAlign w:val="center"/>
          </w:tcPr>
          <w:p w:rsidR="00893044" w:rsidRDefault="00893044">
            <w:pPr>
              <w:jc w:val="center"/>
              <w:rPr>
                <w:rFonts w:cs="Arial"/>
                <w:sz w:val="20"/>
                <w:szCs w:val="20"/>
              </w:rPr>
            </w:pPr>
            <w:r>
              <w:rPr>
                <w:rFonts w:cs="Arial"/>
                <w:sz w:val="20"/>
                <w:szCs w:val="20"/>
              </w:rPr>
              <w:t>3.45</w:t>
            </w:r>
          </w:p>
        </w:tc>
        <w:tc>
          <w:tcPr>
            <w:tcW w:w="1029" w:type="dxa"/>
            <w:noWrap/>
            <w:vAlign w:val="center"/>
          </w:tcPr>
          <w:p w:rsidR="00893044" w:rsidRDefault="00893044">
            <w:pPr>
              <w:jc w:val="center"/>
              <w:rPr>
                <w:rFonts w:cs="Arial"/>
                <w:sz w:val="20"/>
                <w:szCs w:val="20"/>
              </w:rPr>
            </w:pPr>
            <w:r>
              <w:rPr>
                <w:rFonts w:cs="Arial"/>
                <w:sz w:val="20"/>
                <w:szCs w:val="20"/>
              </w:rPr>
              <w:t>2.85</w:t>
            </w:r>
          </w:p>
        </w:tc>
        <w:tc>
          <w:tcPr>
            <w:tcW w:w="1028" w:type="dxa"/>
            <w:noWrap/>
            <w:vAlign w:val="center"/>
          </w:tcPr>
          <w:p w:rsidR="00893044" w:rsidRDefault="00893044">
            <w:pPr>
              <w:jc w:val="center"/>
              <w:rPr>
                <w:rFonts w:cs="Arial"/>
                <w:sz w:val="20"/>
                <w:szCs w:val="20"/>
              </w:rPr>
            </w:pPr>
            <w:r>
              <w:rPr>
                <w:rFonts w:cs="Arial"/>
                <w:sz w:val="20"/>
                <w:szCs w:val="20"/>
              </w:rPr>
              <w:t>3.01</w:t>
            </w:r>
          </w:p>
        </w:tc>
        <w:tc>
          <w:tcPr>
            <w:tcW w:w="1029" w:type="dxa"/>
            <w:noWrap/>
            <w:vAlign w:val="center"/>
          </w:tcPr>
          <w:p w:rsidR="00893044" w:rsidRDefault="00893044">
            <w:pPr>
              <w:jc w:val="center"/>
              <w:rPr>
                <w:rFonts w:cs="Arial"/>
                <w:sz w:val="20"/>
                <w:szCs w:val="20"/>
              </w:rPr>
            </w:pPr>
            <w:r>
              <w:rPr>
                <w:rFonts w:cs="Arial"/>
                <w:sz w:val="20"/>
                <w:szCs w:val="20"/>
              </w:rPr>
              <w:t>4.45</w:t>
            </w:r>
          </w:p>
        </w:tc>
        <w:tc>
          <w:tcPr>
            <w:tcW w:w="1028" w:type="dxa"/>
            <w:noWrap/>
            <w:vAlign w:val="center"/>
          </w:tcPr>
          <w:p w:rsidR="00893044" w:rsidRDefault="00893044">
            <w:pPr>
              <w:jc w:val="center"/>
              <w:rPr>
                <w:rFonts w:cs="Arial"/>
                <w:sz w:val="20"/>
                <w:szCs w:val="20"/>
              </w:rPr>
            </w:pPr>
            <w:r>
              <w:rPr>
                <w:rFonts w:cs="Arial"/>
                <w:sz w:val="20"/>
                <w:szCs w:val="20"/>
              </w:rPr>
              <w:t>1.26</w:t>
            </w:r>
          </w:p>
        </w:tc>
        <w:tc>
          <w:tcPr>
            <w:tcW w:w="1029" w:type="dxa"/>
            <w:noWrap/>
            <w:vAlign w:val="center"/>
          </w:tcPr>
          <w:p w:rsidR="00893044" w:rsidRDefault="00893044">
            <w:pPr>
              <w:jc w:val="center"/>
              <w:rPr>
                <w:rFonts w:cs="Arial"/>
                <w:sz w:val="20"/>
                <w:szCs w:val="20"/>
              </w:rPr>
            </w:pPr>
            <w:r>
              <w:rPr>
                <w:rFonts w:cs="Arial"/>
                <w:sz w:val="20"/>
                <w:szCs w:val="20"/>
              </w:rPr>
              <w:t>3.50</w:t>
            </w:r>
          </w:p>
        </w:tc>
        <w:tc>
          <w:tcPr>
            <w:tcW w:w="1029" w:type="dxa"/>
            <w:noWrap/>
            <w:vAlign w:val="center"/>
          </w:tcPr>
          <w:p w:rsidR="00893044" w:rsidRDefault="00893044">
            <w:pPr>
              <w:jc w:val="center"/>
              <w:rPr>
                <w:rFonts w:cs="Arial"/>
                <w:sz w:val="20"/>
                <w:szCs w:val="20"/>
              </w:rPr>
            </w:pPr>
            <w:r>
              <w:rPr>
                <w:rFonts w:cs="Arial"/>
                <w:sz w:val="20"/>
                <w:szCs w:val="20"/>
              </w:rPr>
              <w:t>1.35</w:t>
            </w:r>
          </w:p>
        </w:tc>
      </w:tr>
      <w:tr w:rsidR="00893044"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893044" w:rsidRPr="00442756" w:rsidRDefault="00893044" w:rsidP="00B71928">
            <w:pPr>
              <w:spacing w:before="60" w:after="60"/>
              <w:rPr>
                <w:rFonts w:cs="Arial"/>
                <w:sz w:val="20"/>
                <w:szCs w:val="20"/>
              </w:rPr>
            </w:pPr>
            <w:r w:rsidRPr="00442756">
              <w:rPr>
                <w:rFonts w:cs="Arial"/>
                <w:sz w:val="20"/>
                <w:szCs w:val="20"/>
              </w:rPr>
              <w:t>Ex ante quantity (TJ)</w:t>
            </w:r>
          </w:p>
        </w:tc>
        <w:tc>
          <w:tcPr>
            <w:tcW w:w="1028" w:type="dxa"/>
            <w:noWrap/>
            <w:vAlign w:val="center"/>
          </w:tcPr>
          <w:p w:rsidR="00893044" w:rsidRDefault="009E76C5">
            <w:pPr>
              <w:jc w:val="center"/>
              <w:rPr>
                <w:rFonts w:cs="Arial"/>
                <w:sz w:val="20"/>
                <w:szCs w:val="20"/>
              </w:rPr>
            </w:pPr>
            <w:r>
              <w:rPr>
                <w:rFonts w:cs="Arial"/>
                <w:sz w:val="20"/>
                <w:szCs w:val="20"/>
              </w:rPr>
              <w:t>84</w:t>
            </w:r>
          </w:p>
        </w:tc>
        <w:tc>
          <w:tcPr>
            <w:tcW w:w="1029" w:type="dxa"/>
            <w:noWrap/>
            <w:vAlign w:val="center"/>
          </w:tcPr>
          <w:p w:rsidR="00893044" w:rsidRDefault="009E76C5">
            <w:pPr>
              <w:jc w:val="center"/>
              <w:rPr>
                <w:rFonts w:cs="Arial"/>
                <w:sz w:val="20"/>
                <w:szCs w:val="20"/>
              </w:rPr>
            </w:pPr>
            <w:r>
              <w:rPr>
                <w:rFonts w:cs="Arial"/>
                <w:sz w:val="20"/>
                <w:szCs w:val="20"/>
              </w:rPr>
              <w:t>84</w:t>
            </w:r>
          </w:p>
        </w:tc>
        <w:tc>
          <w:tcPr>
            <w:tcW w:w="1028" w:type="dxa"/>
            <w:noWrap/>
            <w:vAlign w:val="center"/>
          </w:tcPr>
          <w:p w:rsidR="00893044" w:rsidRDefault="009E76C5">
            <w:pPr>
              <w:jc w:val="center"/>
              <w:rPr>
                <w:rFonts w:cs="Arial"/>
                <w:sz w:val="20"/>
                <w:szCs w:val="20"/>
              </w:rPr>
            </w:pPr>
            <w:r>
              <w:rPr>
                <w:rFonts w:cs="Arial"/>
                <w:sz w:val="20"/>
                <w:szCs w:val="20"/>
              </w:rPr>
              <w:t>103</w:t>
            </w:r>
          </w:p>
        </w:tc>
        <w:tc>
          <w:tcPr>
            <w:tcW w:w="1029" w:type="dxa"/>
            <w:noWrap/>
            <w:vAlign w:val="center"/>
          </w:tcPr>
          <w:p w:rsidR="00893044" w:rsidRDefault="009E76C5">
            <w:pPr>
              <w:jc w:val="center"/>
              <w:rPr>
                <w:rFonts w:cs="Arial"/>
                <w:sz w:val="20"/>
                <w:szCs w:val="20"/>
              </w:rPr>
            </w:pPr>
            <w:r>
              <w:rPr>
                <w:rFonts w:cs="Arial"/>
                <w:sz w:val="20"/>
                <w:szCs w:val="20"/>
              </w:rPr>
              <w:t>79</w:t>
            </w:r>
          </w:p>
        </w:tc>
        <w:tc>
          <w:tcPr>
            <w:tcW w:w="1028" w:type="dxa"/>
            <w:noWrap/>
            <w:vAlign w:val="center"/>
          </w:tcPr>
          <w:p w:rsidR="00893044" w:rsidRDefault="009E76C5">
            <w:pPr>
              <w:jc w:val="center"/>
              <w:rPr>
                <w:rFonts w:cs="Arial"/>
                <w:sz w:val="20"/>
                <w:szCs w:val="20"/>
              </w:rPr>
            </w:pPr>
            <w:r>
              <w:rPr>
                <w:rFonts w:cs="Arial"/>
                <w:sz w:val="20"/>
                <w:szCs w:val="20"/>
              </w:rPr>
              <w:t>65</w:t>
            </w:r>
          </w:p>
        </w:tc>
        <w:tc>
          <w:tcPr>
            <w:tcW w:w="1029" w:type="dxa"/>
            <w:noWrap/>
            <w:vAlign w:val="center"/>
          </w:tcPr>
          <w:p w:rsidR="00893044" w:rsidRDefault="009E76C5">
            <w:pPr>
              <w:jc w:val="center"/>
              <w:rPr>
                <w:rFonts w:cs="Arial"/>
                <w:sz w:val="20"/>
                <w:szCs w:val="20"/>
              </w:rPr>
            </w:pPr>
            <w:r>
              <w:rPr>
                <w:rFonts w:cs="Arial"/>
                <w:sz w:val="20"/>
                <w:szCs w:val="20"/>
              </w:rPr>
              <w:t>63</w:t>
            </w:r>
          </w:p>
        </w:tc>
        <w:tc>
          <w:tcPr>
            <w:tcW w:w="1029" w:type="dxa"/>
            <w:noWrap/>
            <w:vAlign w:val="center"/>
          </w:tcPr>
          <w:p w:rsidR="00893044" w:rsidRDefault="009E76C5">
            <w:pPr>
              <w:jc w:val="center"/>
              <w:rPr>
                <w:rFonts w:cs="Arial"/>
                <w:sz w:val="20"/>
                <w:szCs w:val="20"/>
              </w:rPr>
            </w:pPr>
            <w:r>
              <w:rPr>
                <w:rFonts w:cs="Arial"/>
                <w:sz w:val="20"/>
                <w:szCs w:val="20"/>
              </w:rPr>
              <w:t>48</w:t>
            </w:r>
          </w:p>
        </w:tc>
      </w:tr>
      <w:tr w:rsidR="00893044" w:rsidRPr="00442756" w:rsidTr="00B71928">
        <w:trPr>
          <w:trHeight w:val="255"/>
        </w:trPr>
        <w:tc>
          <w:tcPr>
            <w:tcW w:w="2160" w:type="dxa"/>
            <w:noWrap/>
            <w:vAlign w:val="center"/>
          </w:tcPr>
          <w:p w:rsidR="00893044" w:rsidRPr="00442756" w:rsidRDefault="00893044" w:rsidP="00B71928">
            <w:pPr>
              <w:spacing w:before="60" w:after="60"/>
              <w:rPr>
                <w:rFonts w:cs="Arial"/>
                <w:sz w:val="20"/>
                <w:szCs w:val="20"/>
              </w:rPr>
            </w:pPr>
            <w:r w:rsidRPr="00442756">
              <w:rPr>
                <w:rFonts w:cs="Arial"/>
                <w:sz w:val="20"/>
                <w:szCs w:val="20"/>
              </w:rPr>
              <w:t>Ex post price ($/GJ)</w:t>
            </w:r>
          </w:p>
        </w:tc>
        <w:tc>
          <w:tcPr>
            <w:tcW w:w="1028" w:type="dxa"/>
            <w:noWrap/>
            <w:vAlign w:val="center"/>
          </w:tcPr>
          <w:p w:rsidR="00893044" w:rsidRDefault="00893044">
            <w:pPr>
              <w:jc w:val="center"/>
              <w:rPr>
                <w:rFonts w:cs="Arial"/>
                <w:sz w:val="20"/>
                <w:szCs w:val="20"/>
              </w:rPr>
            </w:pPr>
            <w:r>
              <w:rPr>
                <w:rFonts w:cs="Arial"/>
                <w:sz w:val="20"/>
                <w:szCs w:val="20"/>
              </w:rPr>
              <w:t>2.85</w:t>
            </w:r>
          </w:p>
        </w:tc>
        <w:tc>
          <w:tcPr>
            <w:tcW w:w="1029" w:type="dxa"/>
            <w:noWrap/>
            <w:vAlign w:val="center"/>
          </w:tcPr>
          <w:p w:rsidR="00893044" w:rsidRDefault="00893044">
            <w:pPr>
              <w:jc w:val="center"/>
              <w:rPr>
                <w:rFonts w:cs="Arial"/>
                <w:sz w:val="20"/>
                <w:szCs w:val="20"/>
              </w:rPr>
            </w:pPr>
            <w:r>
              <w:rPr>
                <w:rFonts w:cs="Arial"/>
                <w:sz w:val="20"/>
                <w:szCs w:val="20"/>
              </w:rPr>
              <w:t>2.85</w:t>
            </w:r>
          </w:p>
        </w:tc>
        <w:tc>
          <w:tcPr>
            <w:tcW w:w="1028" w:type="dxa"/>
            <w:noWrap/>
            <w:vAlign w:val="center"/>
          </w:tcPr>
          <w:p w:rsidR="00893044" w:rsidRDefault="00893044">
            <w:pPr>
              <w:jc w:val="center"/>
              <w:rPr>
                <w:rFonts w:cs="Arial"/>
                <w:sz w:val="20"/>
                <w:szCs w:val="20"/>
              </w:rPr>
            </w:pPr>
            <w:r>
              <w:rPr>
                <w:rFonts w:cs="Arial"/>
                <w:sz w:val="20"/>
                <w:szCs w:val="20"/>
              </w:rPr>
              <w:t>0.56</w:t>
            </w:r>
          </w:p>
        </w:tc>
        <w:tc>
          <w:tcPr>
            <w:tcW w:w="1029" w:type="dxa"/>
            <w:noWrap/>
            <w:vAlign w:val="center"/>
          </w:tcPr>
          <w:p w:rsidR="00893044" w:rsidRDefault="00893044">
            <w:pPr>
              <w:jc w:val="center"/>
              <w:rPr>
                <w:rFonts w:cs="Arial"/>
                <w:sz w:val="20"/>
                <w:szCs w:val="20"/>
              </w:rPr>
            </w:pPr>
            <w:r>
              <w:rPr>
                <w:rFonts w:cs="Arial"/>
                <w:sz w:val="20"/>
                <w:szCs w:val="20"/>
              </w:rPr>
              <w:t>2.80</w:t>
            </w:r>
          </w:p>
        </w:tc>
        <w:tc>
          <w:tcPr>
            <w:tcW w:w="1028" w:type="dxa"/>
            <w:noWrap/>
            <w:vAlign w:val="center"/>
          </w:tcPr>
          <w:p w:rsidR="00893044" w:rsidRDefault="00893044">
            <w:pPr>
              <w:jc w:val="center"/>
              <w:rPr>
                <w:rFonts w:cs="Arial"/>
                <w:sz w:val="20"/>
                <w:szCs w:val="20"/>
              </w:rPr>
            </w:pPr>
            <w:r>
              <w:rPr>
                <w:rFonts w:cs="Arial"/>
                <w:sz w:val="20"/>
                <w:szCs w:val="20"/>
              </w:rPr>
              <w:t>2.83</w:t>
            </w:r>
          </w:p>
        </w:tc>
        <w:tc>
          <w:tcPr>
            <w:tcW w:w="1029" w:type="dxa"/>
            <w:noWrap/>
            <w:vAlign w:val="center"/>
          </w:tcPr>
          <w:p w:rsidR="00893044" w:rsidRDefault="00893044">
            <w:pPr>
              <w:jc w:val="center"/>
              <w:rPr>
                <w:rFonts w:cs="Arial"/>
                <w:sz w:val="20"/>
                <w:szCs w:val="20"/>
              </w:rPr>
            </w:pPr>
            <w:r>
              <w:rPr>
                <w:rFonts w:cs="Arial"/>
                <w:sz w:val="20"/>
                <w:szCs w:val="20"/>
              </w:rPr>
              <w:t>3.50</w:t>
            </w:r>
          </w:p>
        </w:tc>
        <w:tc>
          <w:tcPr>
            <w:tcW w:w="1029" w:type="dxa"/>
            <w:noWrap/>
            <w:vAlign w:val="center"/>
          </w:tcPr>
          <w:p w:rsidR="00893044" w:rsidRDefault="00893044">
            <w:pPr>
              <w:jc w:val="center"/>
              <w:rPr>
                <w:rFonts w:cs="Arial"/>
                <w:sz w:val="20"/>
                <w:szCs w:val="20"/>
              </w:rPr>
            </w:pPr>
            <w:r>
              <w:rPr>
                <w:rFonts w:cs="Arial"/>
                <w:sz w:val="20"/>
                <w:szCs w:val="20"/>
              </w:rPr>
              <w:t>1.35</w:t>
            </w:r>
          </w:p>
        </w:tc>
      </w:tr>
      <w:tr w:rsidR="00893044" w:rsidRPr="00442756" w:rsidTr="00B71928">
        <w:trPr>
          <w:cnfStyle w:val="000000010000" w:firstRow="0" w:lastRow="0" w:firstColumn="0" w:lastColumn="0" w:oddVBand="0" w:evenVBand="0" w:oddHBand="0" w:evenHBand="1" w:firstRowFirstColumn="0" w:firstRowLastColumn="0" w:lastRowFirstColumn="0" w:lastRowLastColumn="0"/>
          <w:trHeight w:val="255"/>
        </w:trPr>
        <w:tc>
          <w:tcPr>
            <w:tcW w:w="2160" w:type="dxa"/>
            <w:noWrap/>
            <w:vAlign w:val="center"/>
          </w:tcPr>
          <w:p w:rsidR="00893044" w:rsidRPr="00442756" w:rsidRDefault="00893044" w:rsidP="00B71928">
            <w:pPr>
              <w:spacing w:before="60" w:after="60"/>
              <w:rPr>
                <w:rFonts w:cs="Arial"/>
                <w:sz w:val="20"/>
                <w:szCs w:val="20"/>
              </w:rPr>
            </w:pPr>
            <w:r w:rsidRPr="00442756">
              <w:rPr>
                <w:rFonts w:cs="Arial"/>
                <w:sz w:val="20"/>
                <w:szCs w:val="20"/>
              </w:rPr>
              <w:t>Ex post quantity (TJ)</w:t>
            </w:r>
          </w:p>
        </w:tc>
        <w:tc>
          <w:tcPr>
            <w:tcW w:w="1028" w:type="dxa"/>
            <w:noWrap/>
            <w:vAlign w:val="center"/>
          </w:tcPr>
          <w:p w:rsidR="00893044" w:rsidRDefault="009E76C5">
            <w:pPr>
              <w:jc w:val="center"/>
              <w:rPr>
                <w:rFonts w:cs="Arial"/>
                <w:sz w:val="20"/>
                <w:szCs w:val="20"/>
              </w:rPr>
            </w:pPr>
            <w:r>
              <w:rPr>
                <w:rFonts w:cs="Arial"/>
                <w:sz w:val="20"/>
                <w:szCs w:val="20"/>
              </w:rPr>
              <w:t>80</w:t>
            </w:r>
          </w:p>
        </w:tc>
        <w:tc>
          <w:tcPr>
            <w:tcW w:w="1029" w:type="dxa"/>
            <w:noWrap/>
            <w:vAlign w:val="center"/>
          </w:tcPr>
          <w:p w:rsidR="00893044" w:rsidRDefault="009E76C5">
            <w:pPr>
              <w:jc w:val="center"/>
              <w:rPr>
                <w:rFonts w:cs="Arial"/>
                <w:sz w:val="20"/>
                <w:szCs w:val="20"/>
              </w:rPr>
            </w:pPr>
            <w:r>
              <w:rPr>
                <w:rFonts w:cs="Arial"/>
                <w:sz w:val="20"/>
                <w:szCs w:val="20"/>
              </w:rPr>
              <w:t>84</w:t>
            </w:r>
          </w:p>
        </w:tc>
        <w:tc>
          <w:tcPr>
            <w:tcW w:w="1028" w:type="dxa"/>
            <w:noWrap/>
            <w:vAlign w:val="center"/>
          </w:tcPr>
          <w:p w:rsidR="00893044" w:rsidRDefault="009E76C5">
            <w:pPr>
              <w:jc w:val="center"/>
              <w:rPr>
                <w:rFonts w:cs="Arial"/>
                <w:sz w:val="20"/>
                <w:szCs w:val="20"/>
              </w:rPr>
            </w:pPr>
            <w:r>
              <w:rPr>
                <w:rFonts w:cs="Arial"/>
                <w:sz w:val="20"/>
                <w:szCs w:val="20"/>
              </w:rPr>
              <w:t>71</w:t>
            </w:r>
          </w:p>
        </w:tc>
        <w:tc>
          <w:tcPr>
            <w:tcW w:w="1029" w:type="dxa"/>
            <w:noWrap/>
            <w:vAlign w:val="center"/>
          </w:tcPr>
          <w:p w:rsidR="00893044" w:rsidRDefault="009E76C5">
            <w:pPr>
              <w:jc w:val="center"/>
              <w:rPr>
                <w:rFonts w:cs="Arial"/>
                <w:sz w:val="20"/>
                <w:szCs w:val="20"/>
              </w:rPr>
            </w:pPr>
            <w:r>
              <w:rPr>
                <w:rFonts w:cs="Arial"/>
                <w:sz w:val="20"/>
                <w:szCs w:val="20"/>
              </w:rPr>
              <w:t>65</w:t>
            </w:r>
          </w:p>
        </w:tc>
        <w:tc>
          <w:tcPr>
            <w:tcW w:w="1028" w:type="dxa"/>
            <w:noWrap/>
            <w:vAlign w:val="center"/>
          </w:tcPr>
          <w:p w:rsidR="00893044" w:rsidRDefault="009E76C5">
            <w:pPr>
              <w:jc w:val="center"/>
              <w:rPr>
                <w:rFonts w:cs="Arial"/>
                <w:sz w:val="20"/>
                <w:szCs w:val="20"/>
              </w:rPr>
            </w:pPr>
            <w:r>
              <w:rPr>
                <w:rFonts w:cs="Arial"/>
                <w:sz w:val="20"/>
                <w:szCs w:val="20"/>
              </w:rPr>
              <w:t>67</w:t>
            </w:r>
          </w:p>
        </w:tc>
        <w:tc>
          <w:tcPr>
            <w:tcW w:w="1029" w:type="dxa"/>
            <w:noWrap/>
            <w:vAlign w:val="center"/>
          </w:tcPr>
          <w:p w:rsidR="00893044" w:rsidRDefault="009E76C5">
            <w:pPr>
              <w:jc w:val="center"/>
              <w:rPr>
                <w:rFonts w:cs="Arial"/>
                <w:sz w:val="20"/>
                <w:szCs w:val="20"/>
              </w:rPr>
            </w:pPr>
            <w:r>
              <w:rPr>
                <w:rFonts w:cs="Arial"/>
                <w:sz w:val="20"/>
                <w:szCs w:val="20"/>
              </w:rPr>
              <w:t>63</w:t>
            </w:r>
          </w:p>
        </w:tc>
        <w:tc>
          <w:tcPr>
            <w:tcW w:w="1029" w:type="dxa"/>
            <w:noWrap/>
            <w:vAlign w:val="center"/>
          </w:tcPr>
          <w:p w:rsidR="00893044" w:rsidRDefault="009E76C5">
            <w:pPr>
              <w:jc w:val="center"/>
              <w:rPr>
                <w:rFonts w:cs="Arial"/>
                <w:sz w:val="20"/>
                <w:szCs w:val="20"/>
              </w:rPr>
            </w:pPr>
            <w:r>
              <w:rPr>
                <w:rFonts w:cs="Arial"/>
                <w:sz w:val="20"/>
                <w:szCs w:val="20"/>
              </w:rPr>
              <w:t>47</w:t>
            </w:r>
          </w:p>
        </w:tc>
      </w:tr>
    </w:tbl>
    <w:p w:rsidR="00BC18FB" w:rsidRPr="00893044" w:rsidRDefault="003625A6" w:rsidP="00FF0D8A">
      <w:pPr>
        <w:pStyle w:val="Heading4"/>
        <w:ind w:hanging="338"/>
        <w:rPr>
          <w:color w:val="2272A3"/>
          <w:sz w:val="24"/>
        </w:rPr>
      </w:pPr>
      <w:r w:rsidRPr="00893044">
        <w:rPr>
          <w:color w:val="2272A3"/>
          <w:sz w:val="24"/>
          <w:szCs w:val="24"/>
        </w:rPr>
        <w:t>BRI daily hub offers and daily hub bids in price bands ($/GJ)</w:t>
      </w:r>
    </w:p>
    <w:p w:rsidR="00362B9A" w:rsidRPr="00362B9A" w:rsidRDefault="009C4474" w:rsidP="00362B9A">
      <w:r>
        <w:pict>
          <v:shape id="_x0000_i1038" type="#_x0000_t75" style="width:475.5pt;height:165pt">
            <v:imagedata r:id="rId25" o:title=""/>
          </v:shape>
        </w:pict>
      </w:r>
    </w:p>
    <w:p w:rsidR="00BC18FB" w:rsidRPr="00893044" w:rsidRDefault="003625A6" w:rsidP="00FF0D8A">
      <w:pPr>
        <w:pStyle w:val="Heading4"/>
        <w:ind w:hanging="338"/>
        <w:rPr>
          <w:color w:val="2272A3"/>
          <w:sz w:val="24"/>
        </w:rPr>
      </w:pPr>
      <w:r w:rsidRPr="00893044">
        <w:rPr>
          <w:color w:val="2272A3"/>
          <w:sz w:val="24"/>
          <w:szCs w:val="24"/>
        </w:rPr>
        <w:t>BRI net scheduled and allocated gas hub supply (excluding MOS)</w:t>
      </w:r>
    </w:p>
    <w:p w:rsidR="00362B9A" w:rsidRPr="00362B9A" w:rsidRDefault="009C4474" w:rsidP="00362B9A">
      <w:r>
        <w:pict>
          <v:shape id="_x0000_i1039" type="#_x0000_t75" style="width:477.75pt;height:111pt">
            <v:imagedata r:id="rId26" o:title=""/>
          </v:shape>
        </w:pict>
      </w:r>
    </w:p>
    <w:p w:rsidR="00BC18FB" w:rsidRPr="00893044" w:rsidRDefault="004560B0" w:rsidP="004560B0">
      <w:pPr>
        <w:pStyle w:val="Heading4"/>
        <w:ind w:hanging="338"/>
        <w:rPr>
          <w:color w:val="2272A3"/>
          <w:sz w:val="24"/>
          <w:szCs w:val="24"/>
        </w:rPr>
      </w:pPr>
      <w:r w:rsidRPr="00893044">
        <w:rPr>
          <w:color w:val="2272A3"/>
          <w:sz w:val="24"/>
          <w:szCs w:val="24"/>
        </w:rPr>
        <w:t>BRI MOS allocations (TJ), service payments and commodity payments/charges ($000)</w:t>
      </w:r>
    </w:p>
    <w:p w:rsidR="004560B0" w:rsidRPr="00362B9A" w:rsidRDefault="009C4474" w:rsidP="00362B9A">
      <w:r>
        <w:pict>
          <v:shape id="_x0000_i1040" type="#_x0000_t75" style="width:475.5pt;height:158.25pt">
            <v:imagedata r:id="rId27" o:title=""/>
          </v:shape>
        </w:pict>
      </w:r>
    </w:p>
    <w:p w:rsidR="00BC18FB" w:rsidRDefault="00AF0537" w:rsidP="00BC18FB">
      <w:pPr>
        <w:pStyle w:val="Heading3"/>
        <w:ind w:firstLine="0"/>
        <w:rPr>
          <w:color w:val="2272A3"/>
          <w:sz w:val="32"/>
          <w:szCs w:val="32"/>
        </w:rPr>
      </w:pPr>
      <w:r>
        <w:rPr>
          <w:color w:val="2272A3"/>
          <w:sz w:val="32"/>
          <w:szCs w:val="32"/>
        </w:rPr>
        <w:br w:type="page"/>
      </w:r>
      <w:r w:rsidR="00362B9A">
        <w:rPr>
          <w:color w:val="2272A3"/>
          <w:sz w:val="32"/>
          <w:szCs w:val="32"/>
        </w:rPr>
        <w:lastRenderedPageBreak/>
        <w:t>National Gas Bulletin Board</w:t>
      </w:r>
    </w:p>
    <w:p w:rsidR="00362B9A" w:rsidRPr="00362B9A" w:rsidRDefault="004560B0" w:rsidP="00345444">
      <w:pPr>
        <w:jc w:val="both"/>
      </w:pPr>
      <w:r w:rsidRPr="00A475A2">
        <w:t xml:space="preserve">Figure </w:t>
      </w:r>
      <w:r>
        <w:t>5</w:t>
      </w:r>
      <w:r w:rsidRPr="00A475A2">
        <w:t xml:space="preserve">.1 shows average daily </w:t>
      </w:r>
      <w:r>
        <w:t xml:space="preserve">actual </w:t>
      </w:r>
      <w:r w:rsidRPr="00A475A2">
        <w:t xml:space="preserve">flows for the current week </w:t>
      </w:r>
      <w:r>
        <w:t>in the aqua boxes</w:t>
      </w:r>
      <w:r>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 xml:space="preserve">as powered generation </w:t>
      </w:r>
      <w:r w:rsidRPr="004F371C">
        <w:rPr>
          <w:b/>
        </w:rPr>
        <w:t xml:space="preserve">(GPG) </w:t>
      </w:r>
      <w:r w:rsidRPr="009B5F18">
        <w:t xml:space="preserve">gas usage </w:t>
      </w:r>
      <w:r>
        <w:t xml:space="preserve">is also shown </w:t>
      </w:r>
      <w:r w:rsidRPr="009B5F18">
        <w:t>in each region</w:t>
      </w:r>
      <w:r>
        <w:t xml:space="preserve"> in the aqua boxes. </w:t>
      </w:r>
      <w:r w:rsidR="00586C57">
        <w:t>T</w:t>
      </w:r>
      <w:r>
        <w:t xml:space="preserve">he orange boxes </w:t>
      </w:r>
      <w:r w:rsidR="00586C57">
        <w:t xml:space="preserve">provide </w:t>
      </w:r>
      <w:r>
        <w:t>average daily scheduled volumes and prices</w:t>
      </w:r>
      <w:r>
        <w:rPr>
          <w:rStyle w:val="FootnoteReference"/>
        </w:rPr>
        <w:footnoteReference w:id="8"/>
      </w:r>
      <w:r>
        <w:t xml:space="preserve"> for each gas market.</w:t>
      </w:r>
    </w:p>
    <w:p w:rsidR="00BC18FB" w:rsidRPr="00893044" w:rsidRDefault="004560B0" w:rsidP="00FF0D8A">
      <w:pPr>
        <w:pStyle w:val="Heading4"/>
        <w:ind w:hanging="338"/>
        <w:rPr>
          <w:color w:val="2272A3"/>
          <w:sz w:val="24"/>
          <w:szCs w:val="24"/>
        </w:rPr>
      </w:pPr>
      <w:r w:rsidRPr="00893044">
        <w:rPr>
          <w:color w:val="2272A3"/>
          <w:sz w:val="24"/>
          <w:szCs w:val="24"/>
        </w:rPr>
        <w:t>Gas market data ($/GJ, TJ</w:t>
      </w:r>
      <w:r w:rsidR="00C3163F" w:rsidRPr="00893044">
        <w:rPr>
          <w:color w:val="2272A3"/>
          <w:sz w:val="24"/>
          <w:szCs w:val="24"/>
        </w:rPr>
        <w:t>/day</w:t>
      </w:r>
      <w:r w:rsidRPr="00893044">
        <w:rPr>
          <w:color w:val="2272A3"/>
          <w:sz w:val="24"/>
          <w:szCs w:val="24"/>
        </w:rPr>
        <w:t>); Production, Consumption and Pipeline flows (TJ)</w:t>
      </w:r>
    </w:p>
    <w:p w:rsidR="00362B9A" w:rsidRPr="00362B9A" w:rsidRDefault="009C4474" w:rsidP="00362B9A">
      <w:r>
        <w:pict>
          <v:shape id="_x0000_i1041" type="#_x0000_t75" style="width:414.75pt;height:536.25pt;visibility:visible;mso-wrap-style:square">
            <v:imagedata r:id="rId28" o:title=""/>
          </v:shape>
        </w:pict>
      </w:r>
    </w:p>
    <w:p w:rsidR="00BC18FB" w:rsidRDefault="00AF0537" w:rsidP="00BC18FB">
      <w:pPr>
        <w:pStyle w:val="Heading3"/>
        <w:ind w:firstLine="0"/>
        <w:rPr>
          <w:color w:val="2272A3"/>
          <w:sz w:val="32"/>
          <w:szCs w:val="32"/>
        </w:rPr>
      </w:pPr>
      <w:r>
        <w:rPr>
          <w:color w:val="2272A3"/>
          <w:sz w:val="32"/>
          <w:szCs w:val="32"/>
        </w:rPr>
        <w:br w:type="page"/>
      </w:r>
      <w:r w:rsidR="00BC18FB" w:rsidRPr="00004A63">
        <w:rPr>
          <w:color w:val="2272A3"/>
          <w:sz w:val="32"/>
          <w:szCs w:val="32"/>
        </w:rPr>
        <w:lastRenderedPageBreak/>
        <w:t>G</w:t>
      </w:r>
      <w:r w:rsidR="004560B0">
        <w:rPr>
          <w:color w:val="2272A3"/>
          <w:sz w:val="32"/>
          <w:szCs w:val="32"/>
        </w:rPr>
        <w:t xml:space="preserve">as </w:t>
      </w:r>
      <w:r w:rsidR="00BC18FB" w:rsidRPr="00004A63">
        <w:rPr>
          <w:color w:val="2272A3"/>
          <w:sz w:val="32"/>
          <w:szCs w:val="32"/>
        </w:rPr>
        <w:t>S</w:t>
      </w:r>
      <w:r w:rsidR="004560B0">
        <w:rPr>
          <w:color w:val="2272A3"/>
          <w:sz w:val="32"/>
          <w:szCs w:val="32"/>
        </w:rPr>
        <w:t xml:space="preserve">upply </w:t>
      </w:r>
      <w:r w:rsidR="00BC18FB" w:rsidRPr="00004A63">
        <w:rPr>
          <w:color w:val="2272A3"/>
          <w:sz w:val="32"/>
          <w:szCs w:val="32"/>
        </w:rPr>
        <w:t>H</w:t>
      </w:r>
      <w:r w:rsidR="004560B0">
        <w:rPr>
          <w:color w:val="2272A3"/>
          <w:sz w:val="32"/>
          <w:szCs w:val="32"/>
        </w:rPr>
        <w:t>ub</w:t>
      </w:r>
    </w:p>
    <w:p w:rsidR="00E37A86" w:rsidRDefault="00E37A86" w:rsidP="00345444">
      <w:pPr>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 xml:space="preserve">pipelines at Wallumbilla – the Queensland Gas Pipeline </w:t>
      </w:r>
      <w:r w:rsidRPr="00586C57">
        <w:rPr>
          <w:b/>
        </w:rPr>
        <w:t>(QGP)</w:t>
      </w:r>
      <w:r w:rsidRPr="005A6687">
        <w:t xml:space="preserve">, the South West Queensland Pipeline </w:t>
      </w:r>
      <w:r w:rsidRPr="00586C57">
        <w:rPr>
          <w:b/>
        </w:rPr>
        <w:t>(SWQP)</w:t>
      </w:r>
      <w:r w:rsidRPr="005A6687">
        <w:t xml:space="preserve"> and the Roma to Brisbane Pipeline </w:t>
      </w:r>
      <w:r w:rsidRPr="00586C57">
        <w:rPr>
          <w:b/>
        </w:rPr>
        <w:t>(RBP)</w:t>
      </w:r>
      <w:r w:rsidRPr="005A6687">
        <w:t>. There are separate products for each p</w:t>
      </w:r>
      <w:r>
        <w:t>ipeline (each pipeline is considered a trading location, and each has a number of delivery points) and delivery period (daily, day-ahead, balance-of-day and weekly).</w:t>
      </w:r>
    </w:p>
    <w:p w:rsidR="008C268E" w:rsidRPr="00BF33C1" w:rsidRDefault="00893044" w:rsidP="00345444">
      <w:pPr>
        <w:jc w:val="both"/>
        <w:rPr>
          <w:rFonts w:eastAsia="MS Mincho"/>
        </w:rPr>
      </w:pPr>
      <w:r w:rsidRPr="00BF33C1">
        <w:rPr>
          <w:rFonts w:eastAsia="MS Mincho"/>
        </w:rPr>
        <w:t>There were 14 trades this week on the RBP</w:t>
      </w:r>
      <w:r w:rsidR="00AF0537" w:rsidRPr="00BF33C1">
        <w:rPr>
          <w:rFonts w:eastAsia="MS Mincho"/>
        </w:rPr>
        <w:t xml:space="preserve"> for 73.875 TJ of gas. All products were traded, selling at a volume weighted price of $3.42/GJ.</w:t>
      </w:r>
    </w:p>
    <w:p w:rsidR="00E37A86" w:rsidRPr="00E37A86" w:rsidRDefault="00E37A86" w:rsidP="00345444">
      <w:pPr>
        <w:rPr>
          <w:rFonts w:cs="Arial"/>
          <w:szCs w:val="22"/>
        </w:rPr>
      </w:pPr>
      <w:r w:rsidRPr="00E37A86">
        <w:rPr>
          <w:rFonts w:cs="Arial"/>
          <w:szCs w:val="22"/>
        </w:rPr>
        <w:t>Figure 6.1 shows volumes traded</w:t>
      </w:r>
      <w:r w:rsidRPr="00E37A86">
        <w:rPr>
          <w:rStyle w:val="FootnoteReference"/>
          <w:rFonts w:cs="Arial"/>
          <w:szCs w:val="22"/>
        </w:rPr>
        <w:footnoteReference w:id="10"/>
      </w:r>
      <w:r w:rsidRPr="00E37A86">
        <w:rPr>
          <w:rFonts w:cs="Arial"/>
          <w:szCs w:val="22"/>
        </w:rPr>
        <w:t xml:space="preserve"> on each gas day and trading day </w:t>
      </w:r>
      <w:r>
        <w:rPr>
          <w:rFonts w:cs="Arial"/>
          <w:szCs w:val="22"/>
        </w:rPr>
        <w:t>for the current week</w:t>
      </w:r>
      <w:r w:rsidRPr="00E37A86">
        <w:rPr>
          <w:rFonts w:cs="Arial"/>
          <w:szCs w:val="22"/>
        </w:rPr>
        <w:t>.</w:t>
      </w:r>
    </w:p>
    <w:p w:rsidR="00BC18FB" w:rsidRPr="00893044" w:rsidRDefault="00E37A86" w:rsidP="00FF0D8A">
      <w:pPr>
        <w:pStyle w:val="Heading4"/>
        <w:ind w:hanging="338"/>
        <w:rPr>
          <w:color w:val="2272A3"/>
          <w:sz w:val="24"/>
        </w:rPr>
      </w:pPr>
      <w:r w:rsidRPr="00893044">
        <w:rPr>
          <w:color w:val="2272A3"/>
          <w:sz w:val="24"/>
        </w:rPr>
        <w:t>Volume Traded (by Gas Day and by Trading Day)</w:t>
      </w:r>
    </w:p>
    <w:bookmarkEnd w:id="0"/>
    <w:bookmarkEnd w:id="1"/>
    <w:p w:rsidR="009E74E3" w:rsidRPr="006520EE" w:rsidRDefault="009C4474" w:rsidP="00E37A86">
      <w:r>
        <w:rPr>
          <w:rFonts w:eastAsia="MS Mincho"/>
        </w:rPr>
        <w:pict>
          <v:shape id="_x0000_i1042" type="#_x0000_t75" style="width:475.5pt;height:201.75pt">
            <v:imagedata r:id="rId29" o:title=""/>
          </v:shape>
        </w:pict>
      </w:r>
      <w:r w:rsidR="00E37A86" w:rsidRPr="006520EE">
        <w:t xml:space="preserve"> </w:t>
      </w:r>
      <w:bookmarkStart w:id="2" w:name="_GoBack"/>
      <w:bookmarkEnd w:id="2"/>
    </w:p>
    <w:sectPr w:rsidR="009E74E3" w:rsidRPr="006520EE" w:rsidSect="00D635F1">
      <w:footerReference w:type="default" r:id="rId30"/>
      <w:footerReference w:type="first" r:id="rId31"/>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0D8A" w:rsidRDefault="00FF0D8A">
      <w:r>
        <w:separator/>
      </w:r>
    </w:p>
  </w:endnote>
  <w:endnote w:type="continuationSeparator" w:id="0">
    <w:p w:rsidR="00FF0D8A" w:rsidRDefault="00FF0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D22793">
    <w:pPr>
      <w:pBdr>
        <w:top w:val="single" w:sz="4" w:space="0" w:color="auto"/>
      </w:pBdr>
      <w:ind w:left="-284" w:right="-329" w:firstLine="284"/>
      <w:jc w:val="center"/>
      <w:rPr>
        <w:i/>
        <w:sz w:val="16"/>
        <w:szCs w:val="16"/>
      </w:rPr>
    </w:pPr>
    <w:r>
      <w:rPr>
        <w:i/>
        <w:sz w:val="20"/>
      </w:rPr>
      <w:t>© Commonwealth of Australia.</w:t>
    </w:r>
  </w:p>
  <w:p w:rsidR="00FF0D8A" w:rsidRDefault="00FF0D8A" w:rsidP="005A77AC">
    <w:pPr>
      <w:jc w:val="center"/>
    </w:pPr>
    <w:r>
      <w:fldChar w:fldCharType="begin"/>
    </w:r>
    <w:r>
      <w:instrText xml:space="preserve"> PAGE  \* MERGEFORMAT </w:instrText>
    </w:r>
    <w:r>
      <w:fldChar w:fldCharType="separate"/>
    </w:r>
    <w:r w:rsidR="00690FFA">
      <w:rPr>
        <w:noProof/>
      </w:rPr>
      <w:t>10</w:t>
    </w:r>
    <w:r>
      <w:fldChar w:fldCharType="end"/>
    </w:r>
  </w:p>
  <w:p w:rsidR="00FF0D8A" w:rsidRDefault="00FF0D8A" w:rsidP="0035758F">
    <w:pPr>
      <w:pStyle w:val="Footer"/>
      <w:pBdr>
        <w:top w:val="none" w:sz="0" w:space="0" w:color="auto"/>
      </w:pBd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0D8A" w:rsidRDefault="00FF0D8A" w:rsidP="00491029">
    <w:pPr>
      <w:pBdr>
        <w:top w:val="single" w:sz="4" w:space="0" w:color="auto"/>
      </w:pBdr>
      <w:ind w:left="-284" w:right="-329" w:firstLine="284"/>
      <w:jc w:val="center"/>
      <w:rPr>
        <w:i/>
        <w:sz w:val="20"/>
      </w:rPr>
    </w:pPr>
    <w:r>
      <w:rPr>
        <w:i/>
        <w:sz w:val="20"/>
      </w:rPr>
      <w:t>© Commonwealth of Australia.</w:t>
    </w:r>
  </w:p>
  <w:p w:rsidR="00FF0D8A" w:rsidRPr="002D773A" w:rsidRDefault="00FF0D8A" w:rsidP="00491029">
    <w:pPr>
      <w:jc w:val="center"/>
    </w:pPr>
    <w:r>
      <w:fldChar w:fldCharType="begin"/>
    </w:r>
    <w:r>
      <w:instrText xml:space="preserve"> PAGE  \* MERGEFORMAT </w:instrText>
    </w:r>
    <w:r>
      <w:fldChar w:fldCharType="separate"/>
    </w:r>
    <w:r w:rsidR="00690FFA">
      <w:rPr>
        <w:noProof/>
      </w:rPr>
      <w:t>1</w:t>
    </w:r>
    <w:r>
      <w:fldChar w:fldCharType="end"/>
    </w:r>
  </w:p>
  <w:p w:rsidR="00FF0D8A" w:rsidRDefault="00FF0D8A" w:rsidP="00491029">
    <w:pPr>
      <w:pStyle w:val="Footer"/>
      <w:jc w:val="right"/>
    </w:pPr>
    <w:r w:rsidRPr="00F52F00">
      <w:rPr>
        <w:rFonts w:cs="Arial"/>
        <w:i/>
      </w:rPr>
      <w:t>AER reference: 392</w:t>
    </w:r>
    <w:r>
      <w:rPr>
        <w:rFonts w:cs="Arial"/>
        <w:i/>
      </w:rPr>
      <w:t>7</w:t>
    </w:r>
    <w:r w:rsidRPr="00F52F00">
      <w:rPr>
        <w:rFonts w:cs="Arial"/>
        <w:i/>
      </w:rPr>
      <w:t>0 – D1</w:t>
    </w:r>
    <w:r>
      <w:rPr>
        <w:rFonts w:cs="Arial"/>
        <w:i/>
      </w:rPr>
      <w:t>5</w:t>
    </w:r>
    <w:r w:rsidRPr="00F52F00">
      <w:rPr>
        <w:rFonts w:cs="Arial"/>
        <w:i/>
      </w:rPr>
      <w:t>/</w:t>
    </w:r>
    <w:r w:rsidR="00574647">
      <w:rPr>
        <w:rFonts w:cs="Arial"/>
        <w:i/>
      </w:rPr>
      <w:t>92086</w:t>
    </w:r>
  </w:p>
  <w:p w:rsidR="00FF0D8A" w:rsidRDefault="00FF0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0D8A" w:rsidRDefault="00FF0D8A">
      <w:r>
        <w:separator/>
      </w:r>
    </w:p>
  </w:footnote>
  <w:footnote w:type="continuationSeparator" w:id="0">
    <w:p w:rsidR="00FF0D8A" w:rsidRDefault="00FF0D8A">
      <w:r>
        <w:continuationSeparator/>
      </w:r>
    </w:p>
  </w:footnote>
  <w:footnote w:id="1">
    <w:p w:rsidR="00FF0D8A" w:rsidRPr="00942640" w:rsidRDefault="00FF0D8A" w:rsidP="004560B0">
      <w:pPr>
        <w:pStyle w:val="FootnoteText"/>
        <w:spacing w:before="0" w:after="0"/>
        <w:jc w:val="both"/>
        <w:rPr>
          <w:sz w:val="18"/>
          <w:szCs w:val="16"/>
        </w:rPr>
      </w:pPr>
      <w:r>
        <w:rPr>
          <w:rStyle w:val="FootnoteReference"/>
        </w:rPr>
        <w:footnoteRef/>
      </w:r>
      <w:r>
        <w:t xml:space="preserve"> </w:t>
      </w:r>
      <w:r>
        <w:tab/>
      </w:r>
      <w:r w:rsidRPr="00942640">
        <w:rPr>
          <w:sz w:val="18"/>
          <w:szCs w:val="16"/>
        </w:rPr>
        <w:t>The weighted average daily imbalance price applies for Victoria.</w:t>
      </w:r>
    </w:p>
  </w:footnote>
  <w:footnote w:id="2">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rPr>
        <w:t>Prices for subsequent schedules are applied only to the differences in scheduled quantities (imbalances) to calculate the weighted price. The 6 am price applies to the entire scheduled quantity in the initial schedule.</w:t>
      </w:r>
    </w:p>
  </w:footnote>
  <w:footnote w:id="3">
    <w:p w:rsidR="00EF58A8" w:rsidRPr="00EF58A8" w:rsidRDefault="00EF58A8" w:rsidP="00EF58A8">
      <w:pPr>
        <w:pStyle w:val="FootnoteText"/>
        <w:spacing w:before="0" w:after="0"/>
        <w:jc w:val="both"/>
        <w:rPr>
          <w:sz w:val="18"/>
          <w:szCs w:val="18"/>
        </w:rPr>
      </w:pPr>
      <w:r w:rsidRPr="00EF58A8">
        <w:rPr>
          <w:rStyle w:val="FootnoteReference"/>
        </w:rPr>
        <w:footnoteRef/>
      </w:r>
      <w:r w:rsidRPr="00EF58A8">
        <w:t xml:space="preserve"> </w:t>
      </w:r>
      <w:r w:rsidRPr="00EF58A8">
        <w:tab/>
      </w:r>
      <w:r w:rsidRPr="00EF58A8">
        <w:rPr>
          <w:sz w:val="18"/>
          <w:szCs w:val="18"/>
        </w:rPr>
        <w:t>The price might also be affected by transmission or production (contractual) constraints limiting how much gas can be delivered from a locale or System Injection Point (SIP) from time to time.</w:t>
      </w:r>
    </w:p>
  </w:footnote>
  <w:footnote w:id="4">
    <w:p w:rsidR="00EF58A8" w:rsidRPr="00EF58A8" w:rsidRDefault="00EF58A8" w:rsidP="00EF58A8">
      <w:pPr>
        <w:pStyle w:val="FootnoteText"/>
        <w:spacing w:before="0" w:after="0"/>
        <w:jc w:val="both"/>
      </w:pPr>
      <w:r w:rsidRPr="00EF58A8">
        <w:rPr>
          <w:rStyle w:val="FootnoteReference"/>
        </w:rPr>
        <w:footnoteRef/>
      </w:r>
      <w:r w:rsidRPr="00EF58A8">
        <w:t xml:space="preserve">  </w:t>
      </w:r>
      <w:r w:rsidRPr="00EF58A8">
        <w:tab/>
      </w:r>
      <w:r w:rsidRPr="00EF58A8">
        <w:rPr>
          <w:sz w:val="18"/>
          <w:szCs w:val="18"/>
        </w:rPr>
        <w:t>These are Market Participants’ aggregate demand forecasts adjusted for any override as applied by AEMO from time to time. These forecasts must be scheduled and cannot respond to price like withdrawal bids.</w:t>
      </w:r>
    </w:p>
  </w:footnote>
  <w:footnote w:id="5">
    <w:p w:rsidR="00EF58A8" w:rsidRPr="00362B9A" w:rsidRDefault="00EF58A8" w:rsidP="00586C57">
      <w:pPr>
        <w:pStyle w:val="FootnoteText"/>
        <w:spacing w:before="0" w:after="0"/>
        <w:jc w:val="both"/>
        <w:rPr>
          <w:sz w:val="18"/>
          <w:szCs w:val="18"/>
        </w:rPr>
      </w:pPr>
      <w:r w:rsidRPr="003F7E55">
        <w:rPr>
          <w:rStyle w:val="FootnoteReference"/>
        </w:rPr>
        <w:footnoteRef/>
      </w:r>
      <w:r w:rsidRPr="003F7E55">
        <w:t xml:space="preserve"> </w:t>
      </w:r>
      <w:r w:rsidRPr="003F7E55">
        <w:tab/>
      </w:r>
      <w:r w:rsidRPr="00362B9A">
        <w:rPr>
          <w:sz w:val="18"/>
          <w:szCs w:val="18"/>
        </w:rPr>
        <w:t>The main driver of the amount of gas scheduled on a gas day is the ‘price-taker’ bid, which is forecast hub demand that cannot respond to price and which must be delivered, regardless of the price.</w:t>
      </w:r>
    </w:p>
  </w:footnote>
  <w:footnote w:id="6">
    <w:p w:rsidR="00EF58A8" w:rsidRDefault="00EF58A8" w:rsidP="00586C57">
      <w:pPr>
        <w:pStyle w:val="AERbodytext"/>
        <w:spacing w:before="0" w:line="240" w:lineRule="auto"/>
        <w:ind w:left="340" w:hanging="340"/>
        <w:jc w:val="both"/>
      </w:pPr>
      <w:r w:rsidRPr="002E7E9E">
        <w:rPr>
          <w:rStyle w:val="FootnoteReference"/>
          <w:sz w:val="20"/>
        </w:rPr>
        <w:footnoteRef/>
      </w:r>
      <w:r w:rsidRPr="002E7E9E">
        <w:rPr>
          <w:sz w:val="20"/>
          <w:szCs w:val="20"/>
        </w:rPr>
        <w:t xml:space="preserve"> </w:t>
      </w:r>
      <w:r>
        <w:rPr>
          <w:sz w:val="20"/>
          <w:szCs w:val="20"/>
        </w:rPr>
        <w:tab/>
      </w:r>
      <w:r w:rsidRPr="002E7E9E">
        <w:rPr>
          <w:sz w:val="18"/>
          <w:szCs w:val="18"/>
        </w:rPr>
        <w:t>MOS service payments involve a payment for a MOS increase service when the actual quantity delivered exceeds final gas nominations for delivery to a hub, and a payment for a MOS decrease service when the actual quantity delivered is less than final nominations. As well as a MOS ‘service’ payment, as shown in figure 2.4, MOS providers are paid for or pay for the quantity of MOS sold into the market or bought from the market (MOS ‘commodity’ payments/charges).</w:t>
      </w:r>
    </w:p>
  </w:footnote>
  <w:footnote w:id="7">
    <w:p w:rsidR="004560B0" w:rsidRPr="002E7E9E" w:rsidRDefault="004560B0" w:rsidP="004560B0">
      <w:pPr>
        <w:pStyle w:val="FootnoteText"/>
        <w:spacing w:before="0" w:after="0"/>
        <w:rPr>
          <w:sz w:val="18"/>
          <w:szCs w:val="18"/>
        </w:rPr>
      </w:pPr>
      <w:r>
        <w:rPr>
          <w:rStyle w:val="FootnoteReference"/>
        </w:rPr>
        <w:footnoteRef/>
      </w:r>
      <w:r>
        <w:t xml:space="preserve"> </w:t>
      </w:r>
      <w:r>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4560B0" w:rsidRDefault="004560B0" w:rsidP="004560B0">
      <w:pPr>
        <w:pStyle w:val="FootnoteText"/>
        <w:spacing w:before="0" w:after="0"/>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4560B0" w:rsidRDefault="004560B0" w:rsidP="004560B0">
      <w:pPr>
        <w:pStyle w:val="FootnoteText"/>
        <w:spacing w:before="0" w:after="0"/>
        <w:ind w:firstLine="0"/>
        <w:rPr>
          <w:sz w:val="18"/>
          <w:szCs w:val="18"/>
        </w:rPr>
      </w:pPr>
      <w:r w:rsidRPr="002E7E9E">
        <w:rPr>
          <w:sz w:val="18"/>
          <w:szCs w:val="18"/>
        </w:rPr>
        <w:t xml:space="preserve">GPG volumes </w:t>
      </w:r>
      <w:r w:rsidR="00586C57">
        <w:rPr>
          <w:sz w:val="18"/>
          <w:szCs w:val="18"/>
        </w:rPr>
        <w:t xml:space="preserve">may </w:t>
      </w:r>
      <w:r w:rsidRPr="002E7E9E">
        <w:rPr>
          <w:sz w:val="18"/>
          <w:szCs w:val="18"/>
        </w:rPr>
        <w:t xml:space="preserve">include gas usage that </w:t>
      </w:r>
      <w:r w:rsidR="00586C57">
        <w:rPr>
          <w:sz w:val="18"/>
          <w:szCs w:val="18"/>
        </w:rPr>
        <w:t>does</w:t>
      </w:r>
      <w:r w:rsidRPr="002E7E9E">
        <w:rPr>
          <w:sz w:val="18"/>
          <w:szCs w:val="18"/>
        </w:rPr>
        <w:t xml:space="preserve"> not show up on Bulletin Board pipeline flows.</w:t>
      </w:r>
    </w:p>
    <w:p w:rsidR="004560B0" w:rsidRPr="002E7E9E" w:rsidRDefault="004560B0" w:rsidP="004560B0">
      <w:pPr>
        <w:pStyle w:val="FootnoteText"/>
        <w:spacing w:before="0" w:after="0"/>
        <w:ind w:firstLine="0"/>
        <w:rPr>
          <w:sz w:val="18"/>
          <w:szCs w:val="18"/>
        </w:rPr>
      </w:pPr>
      <w:r>
        <w:rPr>
          <w:sz w:val="18"/>
          <w:szCs w:val="18"/>
        </w:rPr>
        <w:t>From October 2014, production flows reported for the Roma region include quantities of gas for LNG export trains.</w:t>
      </w:r>
    </w:p>
  </w:footnote>
  <w:footnote w:id="8">
    <w:p w:rsidR="004560B0" w:rsidRDefault="004560B0" w:rsidP="004560B0">
      <w:pPr>
        <w:pStyle w:val="FootnoteText"/>
        <w:spacing w:before="0" w:after="0"/>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E37A86" w:rsidRPr="009E74E3" w:rsidRDefault="00E37A86" w:rsidP="00E37A86">
      <w:pPr>
        <w:pStyle w:val="FootnoteText"/>
        <w:spacing w:before="0" w:after="0"/>
        <w:ind w:left="284" w:hanging="284"/>
        <w:jc w:val="both"/>
        <w:rPr>
          <w:sz w:val="18"/>
          <w:szCs w:val="18"/>
        </w:rPr>
      </w:pPr>
      <w:r>
        <w:rPr>
          <w:rStyle w:val="FootnoteReference"/>
        </w:rPr>
        <w:footnoteRef/>
      </w:r>
      <w:r>
        <w:t xml:space="preserve"> </w:t>
      </w:r>
      <w:r>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E37A86" w:rsidRPr="007300C3" w:rsidRDefault="00E37A86" w:rsidP="00E37A86">
      <w:pPr>
        <w:pStyle w:val="FootnoteText"/>
        <w:spacing w:before="0" w:after="0"/>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0BDD4A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21AD2891"/>
    <w:multiLevelType w:val="multilevel"/>
    <w:tmpl w:val="427C2556"/>
    <w:lvl w:ilvl="0">
      <w:start w:val="1"/>
      <w:numFmt w:val="none"/>
      <w:pStyle w:val="Heading1"/>
      <w:lvlText w:val="%1"/>
      <w:lvlJc w:val="left"/>
      <w:pPr>
        <w:ind w:left="0" w:firstLine="0"/>
      </w:pPr>
      <w:rPr>
        <w:rFonts w:ascii="Arial Bold" w:hAnsi="Arial Bold" w:hint="default"/>
        <w:b/>
        <w:i w:val="0"/>
        <w:color w:val="2272A3"/>
        <w:sz w:val="32"/>
      </w:rPr>
    </w:lvl>
    <w:lvl w:ilvl="1">
      <w:start w:val="1"/>
      <w:numFmt w:val="decimal"/>
      <w:pStyle w:val="Heading2"/>
      <w:lvlText w:val="Figure %2:"/>
      <w:lvlJc w:val="left"/>
      <w:pPr>
        <w:ind w:left="0" w:firstLine="360"/>
      </w:pPr>
      <w:rPr>
        <w:rFonts w:ascii="Arial Bold" w:hAnsi="Arial Bold" w:hint="default"/>
        <w:b/>
        <w:i w:val="0"/>
        <w:color w:val="2272A3"/>
        <w:sz w:val="24"/>
      </w:rPr>
    </w:lvl>
    <w:lvl w:ilvl="2">
      <w:start w:val="1"/>
      <w:numFmt w:val="decimal"/>
      <w:pStyle w:val="Heading3"/>
      <w:lvlText w:val="%3."/>
      <w:lvlJc w:val="left"/>
      <w:pPr>
        <w:ind w:left="0" w:firstLine="720"/>
      </w:pPr>
      <w:rPr>
        <w:rFonts w:ascii="Arial Bold" w:hAnsi="Arial Bold" w:hint="default"/>
        <w:b/>
        <w:i w:val="0"/>
        <w:color w:val="2272A3"/>
        <w:sz w:val="32"/>
      </w:rPr>
    </w:lvl>
    <w:lvl w:ilvl="3">
      <w:start w:val="1"/>
      <w:numFmt w:val="decimal"/>
      <w:pStyle w:val="Heading4"/>
      <w:lvlText w:val="Figure %3.%4:"/>
      <w:lvlJc w:val="left"/>
      <w:pPr>
        <w:ind w:left="338" w:firstLine="1080"/>
      </w:pPr>
      <w:rPr>
        <w:rFonts w:ascii="Arial Bold" w:hAnsi="Arial Bold" w:hint="default"/>
        <w:b/>
        <w:i w:val="0"/>
        <w:color w:val="2272A3"/>
        <w:sz w:val="24"/>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22B401B7"/>
    <w:multiLevelType w:val="hybridMultilevel"/>
    <w:tmpl w:val="ABCA068E"/>
    <w:lvl w:ilvl="0" w:tplc="BE58AF30">
      <w:start w:val="1"/>
      <w:numFmt w:val="decimal"/>
      <w:pStyle w:val="AERNumberedheading1nonewpage"/>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6">
    <w:nsid w:val="2B4A6D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8">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9">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1">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12">
    <w:nsid w:val="50895FE3"/>
    <w:multiLevelType w:val="multilevel"/>
    <w:tmpl w:val="CFB0230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3">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15">
    <w:nsid w:val="713E3892"/>
    <w:multiLevelType w:val="multilevel"/>
    <w:tmpl w:val="98546364"/>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0"/>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6">
    <w:nsid w:val="78F3491B"/>
    <w:multiLevelType w:val="multilevel"/>
    <w:tmpl w:val="0A222A44"/>
    <w:styleLink w:val="Style1"/>
    <w:lvl w:ilvl="0">
      <w:start w:val="2"/>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2"/>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 w:ilvl="8">
      <w:start w:val="1"/>
      <w:numFmt w:val="none"/>
      <w:lvlText w:val=""/>
      <w:lvlJc w:val="right"/>
      <w:pPr>
        <w:tabs>
          <w:tab w:val="num" w:pos="1584"/>
        </w:tabs>
        <w:ind w:left="1584" w:hanging="144"/>
      </w:pPr>
      <w:rPr>
        <w:rFonts w:hint="default"/>
      </w:rPr>
    </w:lvl>
  </w:abstractNum>
  <w:abstractNum w:abstractNumId="17">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8"/>
  </w:num>
  <w:num w:numId="3">
    <w:abstractNumId w:val="10"/>
  </w:num>
  <w:num w:numId="4">
    <w:abstractNumId w:val="17"/>
  </w:num>
  <w:num w:numId="5">
    <w:abstractNumId w:val="2"/>
  </w:num>
  <w:num w:numId="6">
    <w:abstractNumId w:val="14"/>
  </w:num>
  <w:num w:numId="7">
    <w:abstractNumId w:val="11"/>
  </w:num>
  <w:num w:numId="8">
    <w:abstractNumId w:val="7"/>
  </w:num>
  <w:num w:numId="9">
    <w:abstractNumId w:val="5"/>
  </w:num>
  <w:num w:numId="10">
    <w:abstractNumId w:val="9"/>
  </w:num>
  <w:num w:numId="11">
    <w:abstractNumId w:val="0"/>
  </w:num>
  <w:num w:numId="12">
    <w:abstractNumId w:val="12"/>
  </w:num>
  <w:num w:numId="1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4">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8">
    <w:abstractNumId w:val="12"/>
    <w:lvlOverride w:ilvl="0">
      <w:lvl w:ilvl="0">
        <w:start w:val="1"/>
        <w:numFmt w:val="decimal"/>
        <w:lvlText w:val="%1"/>
        <w:lvlJc w:val="left"/>
        <w:pPr>
          <w:tabs>
            <w:tab w:val="num" w:pos="851"/>
          </w:tabs>
          <w:ind w:left="851" w:hanging="851"/>
        </w:pPr>
        <w:rPr>
          <w:rFonts w:hint="default"/>
        </w:rPr>
      </w:lvl>
    </w:lvlOverride>
    <w:lvlOverride w:ilvl="1">
      <w:lvl w:ilvl="1">
        <w:start w:val="1"/>
        <w:numFmt w:val="decimal"/>
        <w:lvlText w:val="%1.%2"/>
        <w:lvlJc w:val="left"/>
        <w:pPr>
          <w:tabs>
            <w:tab w:val="num" w:pos="851"/>
          </w:tabs>
          <w:ind w:left="851" w:hanging="851"/>
        </w:pPr>
        <w:rPr>
          <w:rFonts w:hint="default"/>
        </w:rPr>
      </w:lvl>
    </w:lvlOverride>
    <w:lvlOverride w:ilvl="2">
      <w:lvl w:ilvl="2">
        <w:start w:val="1"/>
        <w:numFmt w:val="decimal"/>
        <w:lvlText w:val="%1.%2.%3"/>
        <w:lvlJc w:val="left"/>
        <w:pPr>
          <w:tabs>
            <w:tab w:val="num" w:pos="851"/>
          </w:tabs>
          <w:ind w:left="851" w:hanging="851"/>
        </w:pPr>
        <w:rPr>
          <w:rFonts w:hint="default"/>
        </w:rPr>
      </w:lvl>
    </w:lvlOverride>
    <w:lvlOverride w:ilvl="3">
      <w:lvl w:ilvl="3">
        <w:start w:val="1"/>
        <w:numFmt w:val="decimal"/>
        <w:lvlText w:val="%1.%2.%3.%4"/>
        <w:lvlJc w:val="left"/>
        <w:pPr>
          <w:tabs>
            <w:tab w:val="num" w:pos="851"/>
          </w:tabs>
          <w:ind w:left="851" w:hanging="851"/>
        </w:pPr>
        <w:rPr>
          <w:rFonts w:hint="default"/>
        </w:rPr>
      </w:lvl>
    </w:lvlOverride>
    <w:lvlOverride w:ilvl="4">
      <w:lvl w:ilvl="4">
        <w:start w:val="1"/>
        <w:numFmt w:val="decimal"/>
        <w:lvlRestart w:val="1"/>
        <w:lvlText w:val="Table %1.%5"/>
        <w:lvlJc w:val="left"/>
        <w:pPr>
          <w:tabs>
            <w:tab w:val="num" w:pos="1361"/>
          </w:tabs>
          <w:ind w:left="1361" w:hanging="1361"/>
        </w:pPr>
        <w:rPr>
          <w:rFonts w:hint="default"/>
        </w:rPr>
      </w:lvl>
    </w:lvlOverride>
    <w:lvlOverride w:ilvl="5">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2"/>
          <w:szCs w:val="22"/>
          <w:vertAlign w:val="baseline"/>
        </w:rPr>
      </w:lvl>
    </w:lvlOverride>
    <w:lvlOverride w:ilvl="6">
      <w:lvl w:ilvl="6">
        <w:start w:val="1"/>
        <w:numFmt w:val="lowerLetter"/>
        <w:lvlRestart w:val="0"/>
        <w:lvlText w:val="Figure 2.2 (%7)"/>
        <w:lvlJc w:val="left"/>
        <w:pPr>
          <w:tabs>
            <w:tab w:val="num" w:pos="1361"/>
          </w:tabs>
          <w:ind w:left="1361" w:hanging="1361"/>
        </w:pPr>
        <w:rPr>
          <w:rFonts w:hint="default"/>
        </w:rPr>
      </w:lvl>
    </w:lvlOverride>
    <w:lvlOverride w:ilvl="7">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2"/>
          <w:szCs w:val="22"/>
          <w:vertAlign w:val="baseline"/>
        </w:rPr>
      </w:lvl>
    </w:lvlOverride>
    <w:lvlOverride w:ilvl="8">
      <w:lvl w:ilvl="8">
        <w:start w:val="1"/>
        <w:numFmt w:val="none"/>
        <w:lvlText w:val=""/>
        <w:lvlJc w:val="right"/>
        <w:pPr>
          <w:tabs>
            <w:tab w:val="num" w:pos="1584"/>
          </w:tabs>
          <w:ind w:left="1584" w:hanging="144"/>
        </w:pPr>
        <w:rPr>
          <w:rFonts w:hint="default"/>
        </w:rPr>
      </w:lvl>
    </w:lvlOverride>
  </w:num>
  <w:num w:numId="19">
    <w:abstractNumId w:val="15"/>
  </w:num>
  <w:num w:numId="20">
    <w:abstractNumId w:val="16"/>
  </w:num>
  <w:num w:numId="21">
    <w:abstractNumId w:val="1"/>
  </w:num>
  <w:num w:numId="22">
    <w:abstractNumId w:val="6"/>
  </w:num>
  <w:num w:numId="23">
    <w:abstractNumId w:val="3"/>
  </w:num>
  <w:num w:numId="24">
    <w:abstractNumId w:val="3"/>
    <w:lvlOverride w:ilvl="0">
      <w:lvl w:ilvl="0">
        <w:start w:val="1"/>
        <w:numFmt w:val="none"/>
        <w:pStyle w:val="Heading1"/>
        <w:lvlText w:val="%1"/>
        <w:lvlJc w:val="left"/>
        <w:pPr>
          <w:ind w:left="0" w:firstLine="0"/>
        </w:pPr>
        <w:rPr>
          <w:rFonts w:ascii="Arial Bold" w:hAnsi="Arial Bold" w:hint="default"/>
          <w:b/>
          <w:i w:val="0"/>
          <w:color w:val="365F91" w:themeColor="accent1" w:themeShade="BF"/>
          <w:sz w:val="32"/>
        </w:rPr>
      </w:lvl>
    </w:lvlOverride>
    <w:lvlOverride w:ilvl="1">
      <w:lvl w:ilvl="1">
        <w:start w:val="1"/>
        <w:numFmt w:val="decimal"/>
        <w:pStyle w:val="Heading2"/>
        <w:lvlText w:val="Figure %2"/>
        <w:lvlJc w:val="left"/>
        <w:pPr>
          <w:ind w:left="0" w:firstLine="0"/>
        </w:pPr>
        <w:rPr>
          <w:rFonts w:ascii="Arial Bold" w:hAnsi="Arial Bold" w:hint="default"/>
          <w:b/>
          <w:i w:val="0"/>
          <w:color w:val="365F91" w:themeColor="accent1" w:themeShade="BF"/>
          <w:sz w:val="24"/>
        </w:rPr>
      </w:lvl>
    </w:lvlOverride>
    <w:lvlOverride w:ilvl="2">
      <w:lvl w:ilvl="2">
        <w:start w:val="1"/>
        <w:numFmt w:val="decimal"/>
        <w:pStyle w:val="Heading3"/>
        <w:lvlText w:val="%3"/>
        <w:lvlJc w:val="left"/>
        <w:pPr>
          <w:ind w:left="0" w:firstLine="0"/>
        </w:pPr>
        <w:rPr>
          <w:rFonts w:ascii="Arial Bold" w:hAnsi="Arial Bold" w:hint="default"/>
          <w:b/>
          <w:i w:val="0"/>
          <w:color w:val="365F91" w:themeColor="accent1" w:themeShade="BF"/>
          <w:sz w:val="24"/>
        </w:rPr>
      </w:lvl>
    </w:lvlOverride>
    <w:lvlOverride w:ilvl="3">
      <w:lvl w:ilvl="3">
        <w:start w:val="1"/>
        <w:numFmt w:val="decimal"/>
        <w:pStyle w:val="Heading4"/>
        <w:lvlText w:val="Figure %3.%4"/>
        <w:lvlJc w:val="left"/>
        <w:pPr>
          <w:ind w:left="0" w:firstLine="0"/>
        </w:pPr>
        <w:rPr>
          <w:rFonts w:ascii="Arial Bold" w:hAnsi="Arial Bold" w:hint="default"/>
          <w:b/>
          <w:i w:val="0"/>
          <w:color w:val="365F91" w:themeColor="accent1" w:themeShade="BF"/>
          <w:sz w:val="24"/>
        </w:rPr>
      </w:lvl>
    </w:lvlOverride>
    <w:lvlOverride w:ilvl="4">
      <w:lvl w:ilvl="4">
        <w:start w:val="1"/>
        <w:numFmt w:val="lowerLetter"/>
        <w:lvlText w:val="(%5)"/>
        <w:lvlJc w:val="left"/>
        <w:pPr>
          <w:ind w:left="0" w:firstLine="0"/>
        </w:pPr>
        <w:rPr>
          <w:rFonts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5">
    <w:abstractNumId w:val="3"/>
  </w:num>
  <w:num w:numId="26">
    <w:abstractNumId w:val="3"/>
  </w:num>
  <w:num w:numId="27">
    <w:abstractNumId w:val="3"/>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oNotTrackMoves/>
  <w:defaultTabStop w:val="720"/>
  <w:characterSpacingControl w:val="doNotCompress"/>
  <w:hdrShapeDefaults>
    <o:shapedefaults v:ext="edit" spidmax="327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Desktop\20150607-20150613 Gas weekly report.docx"/>
  </w:docVars>
  <w:rsids>
    <w:rsidRoot w:val="005F18AD"/>
    <w:rsid w:val="000013C1"/>
    <w:rsid w:val="00001BFB"/>
    <w:rsid w:val="00002313"/>
    <w:rsid w:val="00004A63"/>
    <w:rsid w:val="00010025"/>
    <w:rsid w:val="000123CA"/>
    <w:rsid w:val="00020978"/>
    <w:rsid w:val="0002268D"/>
    <w:rsid w:val="00027115"/>
    <w:rsid w:val="000323BA"/>
    <w:rsid w:val="00033456"/>
    <w:rsid w:val="00040F6B"/>
    <w:rsid w:val="000552AF"/>
    <w:rsid w:val="00055584"/>
    <w:rsid w:val="00061656"/>
    <w:rsid w:val="0006609A"/>
    <w:rsid w:val="00073D01"/>
    <w:rsid w:val="00076046"/>
    <w:rsid w:val="000813BF"/>
    <w:rsid w:val="00085092"/>
    <w:rsid w:val="000876E7"/>
    <w:rsid w:val="00093854"/>
    <w:rsid w:val="000974A2"/>
    <w:rsid w:val="00097D40"/>
    <w:rsid w:val="000B4A1F"/>
    <w:rsid w:val="000B6397"/>
    <w:rsid w:val="000B69E0"/>
    <w:rsid w:val="000B7FAF"/>
    <w:rsid w:val="000D1FEB"/>
    <w:rsid w:val="000E1F9A"/>
    <w:rsid w:val="000F0BBB"/>
    <w:rsid w:val="000F2287"/>
    <w:rsid w:val="000F3B46"/>
    <w:rsid w:val="000F59F8"/>
    <w:rsid w:val="000F5F5E"/>
    <w:rsid w:val="000F6D05"/>
    <w:rsid w:val="00117C98"/>
    <w:rsid w:val="00125818"/>
    <w:rsid w:val="001420EB"/>
    <w:rsid w:val="001452B3"/>
    <w:rsid w:val="00150A19"/>
    <w:rsid w:val="00153729"/>
    <w:rsid w:val="00157AFD"/>
    <w:rsid w:val="001608BE"/>
    <w:rsid w:val="00171BD5"/>
    <w:rsid w:val="001720DC"/>
    <w:rsid w:val="00181F4A"/>
    <w:rsid w:val="001831BF"/>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1B0A"/>
    <w:rsid w:val="00233988"/>
    <w:rsid w:val="00234764"/>
    <w:rsid w:val="00252A22"/>
    <w:rsid w:val="00254746"/>
    <w:rsid w:val="00266CA5"/>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D0C16"/>
    <w:rsid w:val="002D59B3"/>
    <w:rsid w:val="002D5CEC"/>
    <w:rsid w:val="002E0688"/>
    <w:rsid w:val="002E2C96"/>
    <w:rsid w:val="002E2E46"/>
    <w:rsid w:val="002E7E9E"/>
    <w:rsid w:val="002F0AE7"/>
    <w:rsid w:val="002F139A"/>
    <w:rsid w:val="002F4250"/>
    <w:rsid w:val="0030240F"/>
    <w:rsid w:val="00311A09"/>
    <w:rsid w:val="00314A8B"/>
    <w:rsid w:val="00316542"/>
    <w:rsid w:val="0032174C"/>
    <w:rsid w:val="00323327"/>
    <w:rsid w:val="00330B70"/>
    <w:rsid w:val="003348F7"/>
    <w:rsid w:val="00336E8E"/>
    <w:rsid w:val="003410C4"/>
    <w:rsid w:val="00345444"/>
    <w:rsid w:val="00347FBB"/>
    <w:rsid w:val="003548AA"/>
    <w:rsid w:val="0035758F"/>
    <w:rsid w:val="00357C72"/>
    <w:rsid w:val="003625A6"/>
    <w:rsid w:val="00362B9A"/>
    <w:rsid w:val="003632A4"/>
    <w:rsid w:val="003664D0"/>
    <w:rsid w:val="00366BDF"/>
    <w:rsid w:val="00372976"/>
    <w:rsid w:val="00374CF9"/>
    <w:rsid w:val="003800B4"/>
    <w:rsid w:val="00387B66"/>
    <w:rsid w:val="00396C2C"/>
    <w:rsid w:val="00396C7A"/>
    <w:rsid w:val="003B0AAD"/>
    <w:rsid w:val="003B65E0"/>
    <w:rsid w:val="003C5272"/>
    <w:rsid w:val="003C5482"/>
    <w:rsid w:val="003E313D"/>
    <w:rsid w:val="003F3391"/>
    <w:rsid w:val="003F44AD"/>
    <w:rsid w:val="003F51E6"/>
    <w:rsid w:val="003F7FD2"/>
    <w:rsid w:val="0040076C"/>
    <w:rsid w:val="004055AC"/>
    <w:rsid w:val="00411C3F"/>
    <w:rsid w:val="004149DB"/>
    <w:rsid w:val="00421FFF"/>
    <w:rsid w:val="00433231"/>
    <w:rsid w:val="00434FC1"/>
    <w:rsid w:val="00442756"/>
    <w:rsid w:val="00445D38"/>
    <w:rsid w:val="00447C09"/>
    <w:rsid w:val="004505EA"/>
    <w:rsid w:val="0045204B"/>
    <w:rsid w:val="00452149"/>
    <w:rsid w:val="00452AAD"/>
    <w:rsid w:val="004560B0"/>
    <w:rsid w:val="00460629"/>
    <w:rsid w:val="00463EFA"/>
    <w:rsid w:val="004777B8"/>
    <w:rsid w:val="00483EDA"/>
    <w:rsid w:val="00491029"/>
    <w:rsid w:val="00492501"/>
    <w:rsid w:val="00496CEF"/>
    <w:rsid w:val="004A09D6"/>
    <w:rsid w:val="004A10A7"/>
    <w:rsid w:val="004B068E"/>
    <w:rsid w:val="004B18D8"/>
    <w:rsid w:val="004B2256"/>
    <w:rsid w:val="004B2A1A"/>
    <w:rsid w:val="004B6D60"/>
    <w:rsid w:val="004D09C9"/>
    <w:rsid w:val="004D1EBF"/>
    <w:rsid w:val="004D3B99"/>
    <w:rsid w:val="004D3E78"/>
    <w:rsid w:val="004F371C"/>
    <w:rsid w:val="004F3D13"/>
    <w:rsid w:val="00502181"/>
    <w:rsid w:val="00505139"/>
    <w:rsid w:val="00514A82"/>
    <w:rsid w:val="005157B0"/>
    <w:rsid w:val="005178FC"/>
    <w:rsid w:val="00522E00"/>
    <w:rsid w:val="005244DA"/>
    <w:rsid w:val="0053609E"/>
    <w:rsid w:val="00541108"/>
    <w:rsid w:val="00547827"/>
    <w:rsid w:val="00563C94"/>
    <w:rsid w:val="00564C71"/>
    <w:rsid w:val="0056618C"/>
    <w:rsid w:val="00574647"/>
    <w:rsid w:val="0058198F"/>
    <w:rsid w:val="00582F1C"/>
    <w:rsid w:val="005859CC"/>
    <w:rsid w:val="00586C57"/>
    <w:rsid w:val="00587CD1"/>
    <w:rsid w:val="005A1650"/>
    <w:rsid w:val="005A4569"/>
    <w:rsid w:val="005A6687"/>
    <w:rsid w:val="005A77AC"/>
    <w:rsid w:val="005C4B8B"/>
    <w:rsid w:val="005C68CE"/>
    <w:rsid w:val="005D1037"/>
    <w:rsid w:val="005D4097"/>
    <w:rsid w:val="005D6652"/>
    <w:rsid w:val="005E3DFB"/>
    <w:rsid w:val="005E4C48"/>
    <w:rsid w:val="005F18AD"/>
    <w:rsid w:val="005F31D0"/>
    <w:rsid w:val="00601A25"/>
    <w:rsid w:val="00601C18"/>
    <w:rsid w:val="00601E71"/>
    <w:rsid w:val="0060661E"/>
    <w:rsid w:val="00612663"/>
    <w:rsid w:val="00645036"/>
    <w:rsid w:val="00647DD2"/>
    <w:rsid w:val="006520EE"/>
    <w:rsid w:val="00652A42"/>
    <w:rsid w:val="006540A8"/>
    <w:rsid w:val="00662632"/>
    <w:rsid w:val="006705A4"/>
    <w:rsid w:val="00686F6E"/>
    <w:rsid w:val="00690FFA"/>
    <w:rsid w:val="00697E41"/>
    <w:rsid w:val="006A5317"/>
    <w:rsid w:val="006A7228"/>
    <w:rsid w:val="006B004C"/>
    <w:rsid w:val="006C1858"/>
    <w:rsid w:val="006C242A"/>
    <w:rsid w:val="006C2B2B"/>
    <w:rsid w:val="006C57B2"/>
    <w:rsid w:val="006C5A2C"/>
    <w:rsid w:val="006C6D60"/>
    <w:rsid w:val="006D6E0B"/>
    <w:rsid w:val="006E1063"/>
    <w:rsid w:val="006E312B"/>
    <w:rsid w:val="006E40BD"/>
    <w:rsid w:val="006E7E57"/>
    <w:rsid w:val="006F4169"/>
    <w:rsid w:val="007001FF"/>
    <w:rsid w:val="00706720"/>
    <w:rsid w:val="00710600"/>
    <w:rsid w:val="0071106C"/>
    <w:rsid w:val="00715BED"/>
    <w:rsid w:val="007201F8"/>
    <w:rsid w:val="007209C0"/>
    <w:rsid w:val="00722B62"/>
    <w:rsid w:val="0072650E"/>
    <w:rsid w:val="007306EC"/>
    <w:rsid w:val="00740EE4"/>
    <w:rsid w:val="0074772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70C"/>
    <w:rsid w:val="007D4B14"/>
    <w:rsid w:val="007D4F53"/>
    <w:rsid w:val="007E52F7"/>
    <w:rsid w:val="007E5F68"/>
    <w:rsid w:val="0080456D"/>
    <w:rsid w:val="00811D1C"/>
    <w:rsid w:val="008133CF"/>
    <w:rsid w:val="008170C0"/>
    <w:rsid w:val="008344A6"/>
    <w:rsid w:val="00875D0C"/>
    <w:rsid w:val="008776EF"/>
    <w:rsid w:val="00882958"/>
    <w:rsid w:val="00893044"/>
    <w:rsid w:val="008936C5"/>
    <w:rsid w:val="00895965"/>
    <w:rsid w:val="008A6DB5"/>
    <w:rsid w:val="008B7161"/>
    <w:rsid w:val="008C0EC8"/>
    <w:rsid w:val="008C268E"/>
    <w:rsid w:val="008C7F3A"/>
    <w:rsid w:val="008D39F4"/>
    <w:rsid w:val="008D4DAB"/>
    <w:rsid w:val="008D70A4"/>
    <w:rsid w:val="008E2239"/>
    <w:rsid w:val="008E24DA"/>
    <w:rsid w:val="008F4BF5"/>
    <w:rsid w:val="008F4EAE"/>
    <w:rsid w:val="008F5409"/>
    <w:rsid w:val="00900CEB"/>
    <w:rsid w:val="00903620"/>
    <w:rsid w:val="009136B3"/>
    <w:rsid w:val="009143E0"/>
    <w:rsid w:val="00936A7B"/>
    <w:rsid w:val="00937543"/>
    <w:rsid w:val="00942622"/>
    <w:rsid w:val="00942640"/>
    <w:rsid w:val="00950C55"/>
    <w:rsid w:val="00951926"/>
    <w:rsid w:val="00956CE9"/>
    <w:rsid w:val="009629B5"/>
    <w:rsid w:val="00976584"/>
    <w:rsid w:val="00987973"/>
    <w:rsid w:val="00990F83"/>
    <w:rsid w:val="009962A0"/>
    <w:rsid w:val="009A04DD"/>
    <w:rsid w:val="009B2F99"/>
    <w:rsid w:val="009B4053"/>
    <w:rsid w:val="009B6259"/>
    <w:rsid w:val="009B77E9"/>
    <w:rsid w:val="009B7937"/>
    <w:rsid w:val="009C2C0E"/>
    <w:rsid w:val="009C30E2"/>
    <w:rsid w:val="009C4474"/>
    <w:rsid w:val="009C4CBD"/>
    <w:rsid w:val="009C7F8C"/>
    <w:rsid w:val="009D2B17"/>
    <w:rsid w:val="009D7763"/>
    <w:rsid w:val="009D7D0F"/>
    <w:rsid w:val="009E18FE"/>
    <w:rsid w:val="009E74E3"/>
    <w:rsid w:val="009E76C5"/>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16"/>
    <w:rsid w:val="00A677D8"/>
    <w:rsid w:val="00A834DF"/>
    <w:rsid w:val="00A91C53"/>
    <w:rsid w:val="00A936AE"/>
    <w:rsid w:val="00AA1D87"/>
    <w:rsid w:val="00AA7088"/>
    <w:rsid w:val="00AD3EBD"/>
    <w:rsid w:val="00AE03A4"/>
    <w:rsid w:val="00AE4633"/>
    <w:rsid w:val="00AE748C"/>
    <w:rsid w:val="00AF0537"/>
    <w:rsid w:val="00AF2164"/>
    <w:rsid w:val="00AF2281"/>
    <w:rsid w:val="00AF7215"/>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9666A"/>
    <w:rsid w:val="00BA16E2"/>
    <w:rsid w:val="00BA31C3"/>
    <w:rsid w:val="00BA65E6"/>
    <w:rsid w:val="00BA6C2E"/>
    <w:rsid w:val="00BB2FF6"/>
    <w:rsid w:val="00BC18FB"/>
    <w:rsid w:val="00BC21AB"/>
    <w:rsid w:val="00BC254C"/>
    <w:rsid w:val="00BC4C5B"/>
    <w:rsid w:val="00BC77F9"/>
    <w:rsid w:val="00BD3A40"/>
    <w:rsid w:val="00BD60AA"/>
    <w:rsid w:val="00BE18D0"/>
    <w:rsid w:val="00BE240C"/>
    <w:rsid w:val="00BE4577"/>
    <w:rsid w:val="00BF1D01"/>
    <w:rsid w:val="00BF3080"/>
    <w:rsid w:val="00BF33C1"/>
    <w:rsid w:val="00C21D81"/>
    <w:rsid w:val="00C26B1D"/>
    <w:rsid w:val="00C26E38"/>
    <w:rsid w:val="00C3163F"/>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41C"/>
    <w:rsid w:val="00D16FE8"/>
    <w:rsid w:val="00D22793"/>
    <w:rsid w:val="00D329E0"/>
    <w:rsid w:val="00D40430"/>
    <w:rsid w:val="00D41D64"/>
    <w:rsid w:val="00D50980"/>
    <w:rsid w:val="00D60D45"/>
    <w:rsid w:val="00D635F1"/>
    <w:rsid w:val="00D67440"/>
    <w:rsid w:val="00D71951"/>
    <w:rsid w:val="00D76436"/>
    <w:rsid w:val="00D84A8C"/>
    <w:rsid w:val="00DA0113"/>
    <w:rsid w:val="00DA37EC"/>
    <w:rsid w:val="00DA38A8"/>
    <w:rsid w:val="00DA3AAA"/>
    <w:rsid w:val="00DB0182"/>
    <w:rsid w:val="00DB12E4"/>
    <w:rsid w:val="00DB3B79"/>
    <w:rsid w:val="00DB3D7F"/>
    <w:rsid w:val="00DB5A3A"/>
    <w:rsid w:val="00DC0A52"/>
    <w:rsid w:val="00DC12FF"/>
    <w:rsid w:val="00DC154F"/>
    <w:rsid w:val="00DC158D"/>
    <w:rsid w:val="00DD5ACD"/>
    <w:rsid w:val="00E01475"/>
    <w:rsid w:val="00E032F3"/>
    <w:rsid w:val="00E16C03"/>
    <w:rsid w:val="00E2040E"/>
    <w:rsid w:val="00E2256B"/>
    <w:rsid w:val="00E27FEA"/>
    <w:rsid w:val="00E37A86"/>
    <w:rsid w:val="00E40361"/>
    <w:rsid w:val="00E41452"/>
    <w:rsid w:val="00E524B2"/>
    <w:rsid w:val="00E52E2A"/>
    <w:rsid w:val="00E74D68"/>
    <w:rsid w:val="00E7639D"/>
    <w:rsid w:val="00E77449"/>
    <w:rsid w:val="00E8378F"/>
    <w:rsid w:val="00E86AAA"/>
    <w:rsid w:val="00E92E1D"/>
    <w:rsid w:val="00E93C7C"/>
    <w:rsid w:val="00E94C7D"/>
    <w:rsid w:val="00EA2F65"/>
    <w:rsid w:val="00EA4813"/>
    <w:rsid w:val="00EA6E29"/>
    <w:rsid w:val="00ED5E08"/>
    <w:rsid w:val="00EE2B5F"/>
    <w:rsid w:val="00EE51D2"/>
    <w:rsid w:val="00EE6F2C"/>
    <w:rsid w:val="00EF4E45"/>
    <w:rsid w:val="00EF58A8"/>
    <w:rsid w:val="00EF5A5D"/>
    <w:rsid w:val="00EF6B0C"/>
    <w:rsid w:val="00F01843"/>
    <w:rsid w:val="00F02D8D"/>
    <w:rsid w:val="00F16C55"/>
    <w:rsid w:val="00F25FA8"/>
    <w:rsid w:val="00F415E2"/>
    <w:rsid w:val="00F427B4"/>
    <w:rsid w:val="00F45735"/>
    <w:rsid w:val="00F5024F"/>
    <w:rsid w:val="00F50297"/>
    <w:rsid w:val="00F51FA1"/>
    <w:rsid w:val="00F5594F"/>
    <w:rsid w:val="00F55D61"/>
    <w:rsid w:val="00F63042"/>
    <w:rsid w:val="00F645EC"/>
    <w:rsid w:val="00F67024"/>
    <w:rsid w:val="00F67559"/>
    <w:rsid w:val="00F71200"/>
    <w:rsid w:val="00F73DCA"/>
    <w:rsid w:val="00F76C75"/>
    <w:rsid w:val="00F77722"/>
    <w:rsid w:val="00F803DE"/>
    <w:rsid w:val="00F96C04"/>
    <w:rsid w:val="00F976F4"/>
    <w:rsid w:val="00FB594A"/>
    <w:rsid w:val="00FB7DD0"/>
    <w:rsid w:val="00FC4B88"/>
    <w:rsid w:val="00FD08B1"/>
    <w:rsid w:val="00FD7009"/>
    <w:rsid w:val="00FD7231"/>
    <w:rsid w:val="00FE0150"/>
    <w:rsid w:val="00FF0D8A"/>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36A7B"/>
    <w:pPr>
      <w:spacing w:before="120" w:after="120"/>
    </w:pPr>
    <w:rPr>
      <w:rFonts w:ascii="Arial" w:hAnsi="Arial"/>
      <w:sz w:val="22"/>
      <w:szCs w:val="24"/>
    </w:rPr>
  </w:style>
  <w:style w:type="paragraph" w:styleId="Heading1">
    <w:name w:val="heading 1"/>
    <w:basedOn w:val="Normal"/>
    <w:next w:val="Normal"/>
    <w:link w:val="Heading1Char"/>
    <w:qFormat/>
    <w:rsid w:val="005F18AD"/>
    <w:pPr>
      <w:keepNext/>
      <w:numPr>
        <w:numId w:val="23"/>
      </w:numPr>
      <w:spacing w:before="240" w:after="60"/>
      <w:outlineLvl w:val="0"/>
    </w:pPr>
    <w:rPr>
      <w:rFonts w:cs="Arial"/>
      <w:b/>
      <w:bCs/>
      <w:kern w:val="32"/>
      <w:sz w:val="32"/>
      <w:szCs w:val="32"/>
    </w:rPr>
  </w:style>
  <w:style w:type="paragraph" w:styleId="Heading2">
    <w:name w:val="heading 2"/>
    <w:basedOn w:val="Normal"/>
    <w:next w:val="Normal"/>
    <w:link w:val="Heading2Char"/>
    <w:qFormat/>
    <w:rsid w:val="005F18AD"/>
    <w:pPr>
      <w:keepNext/>
      <w:numPr>
        <w:ilvl w:val="1"/>
        <w:numId w:val="23"/>
      </w:numPr>
      <w:spacing w:before="240" w:after="60"/>
      <w:outlineLvl w:val="1"/>
    </w:pPr>
    <w:rPr>
      <w:rFonts w:cs="Arial"/>
      <w:b/>
      <w:bCs/>
      <w:i/>
      <w:iCs/>
      <w:sz w:val="28"/>
      <w:szCs w:val="28"/>
    </w:rPr>
  </w:style>
  <w:style w:type="paragraph" w:styleId="Heading3">
    <w:name w:val="heading 3"/>
    <w:basedOn w:val="Normal"/>
    <w:next w:val="Normal"/>
    <w:link w:val="Heading3Char"/>
    <w:qFormat/>
    <w:rsid w:val="005F18AD"/>
    <w:pPr>
      <w:keepNext/>
      <w:numPr>
        <w:ilvl w:val="2"/>
        <w:numId w:val="23"/>
      </w:numPr>
      <w:spacing w:before="240" w:after="60"/>
      <w:outlineLvl w:val="2"/>
    </w:pPr>
    <w:rPr>
      <w:rFonts w:cs="Arial"/>
      <w:b/>
      <w:bCs/>
      <w:sz w:val="26"/>
      <w:szCs w:val="26"/>
    </w:rPr>
  </w:style>
  <w:style w:type="paragraph" w:styleId="Heading4">
    <w:name w:val="heading 4"/>
    <w:basedOn w:val="Normal"/>
    <w:next w:val="Normal"/>
    <w:link w:val="Heading4Char"/>
    <w:qFormat/>
    <w:rsid w:val="005F18AD"/>
    <w:pPr>
      <w:keepNext/>
      <w:numPr>
        <w:ilvl w:val="3"/>
        <w:numId w:val="23"/>
      </w:numPr>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rPr>
  </w:style>
  <w:style w:type="character" w:customStyle="1" w:styleId="Heading2Char">
    <w:name w:val="Heading 2 Char"/>
    <w:link w:val="Heading2"/>
    <w:locked/>
    <w:rsid w:val="005F18AD"/>
    <w:rPr>
      <w:rFonts w:ascii="Arial" w:hAnsi="Arial" w:cs="Arial"/>
      <w:b/>
      <w:bCs/>
      <w:i/>
      <w:iCs/>
      <w:sz w:val="28"/>
      <w:szCs w:val="28"/>
    </w:rPr>
  </w:style>
  <w:style w:type="character" w:customStyle="1" w:styleId="Heading3Char">
    <w:name w:val="Heading 3 Char"/>
    <w:link w:val="Heading3"/>
    <w:locked/>
    <w:rsid w:val="005F18AD"/>
    <w:rPr>
      <w:rFonts w:ascii="Arial" w:hAnsi="Arial" w:cs="Arial"/>
      <w:b/>
      <w:bCs/>
      <w:sz w:val="26"/>
      <w:szCs w:val="26"/>
    </w:rPr>
  </w:style>
  <w:style w:type="character" w:customStyle="1" w:styleId="Heading4Char">
    <w:name w:val="Heading 4 Char"/>
    <w:link w:val="Heading4"/>
    <w:locked/>
    <w:rsid w:val="005F18AD"/>
    <w:rPr>
      <w:rFonts w:ascii="Arial" w:hAnsi="Arial"/>
      <w:b/>
      <w:bCs/>
      <w:sz w:val="28"/>
      <w:szCs w:val="28"/>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uiPriority w:val="99"/>
    <w:semiHidden/>
    <w:rsid w:val="005F18AD"/>
    <w:rPr>
      <w:sz w:val="20"/>
    </w:rPr>
  </w:style>
  <w:style w:type="character" w:customStyle="1" w:styleId="CommentTextChar">
    <w:name w:val="Comment Text Char"/>
    <w:link w:val="CommentText"/>
    <w:uiPriority w:val="99"/>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cs="Arial"/>
      <w:b/>
      <w:sz w:val="20"/>
    </w:rPr>
  </w:style>
  <w:style w:type="character" w:customStyle="1" w:styleId="FigHeadingCharChar">
    <w:name w:val="Fig Heading Char Char"/>
    <w:link w:val="FigHeading"/>
    <w:rsid w:val="005F18AD"/>
    <w:rPr>
      <w:rFonts w:ascii="Arial" w:hAnsi="Arial" w:cs="Arial"/>
      <w:b/>
      <w:szCs w:val="24"/>
    </w:rPr>
  </w:style>
  <w:style w:type="paragraph" w:customStyle="1" w:styleId="AERbodytext">
    <w:name w:val="AER body text"/>
    <w:basedOn w:val="Normal"/>
    <w:rsid w:val="00936A7B"/>
    <w:pPr>
      <w:spacing w:before="200" w:after="0" w:line="276" w:lineRule="auto"/>
    </w:pPr>
    <w:rPr>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rsid w:val="005F18AD"/>
    <w:pPr>
      <w:ind w:left="340" w:hanging="340"/>
    </w:pPr>
    <w:rPr>
      <w:sz w:val="20"/>
      <w:szCs w:val="20"/>
      <w:lang w:eastAsia="en-US"/>
    </w:rPr>
  </w:style>
  <w:style w:type="character" w:customStyle="1" w:styleId="FootnoteTextChar">
    <w:name w:val="Footnote Text Char"/>
    <w:link w:val="FootnoteText"/>
    <w:locked/>
    <w:rsid w:val="005F18AD"/>
    <w:rPr>
      <w:lang w:val="en-AU" w:eastAsia="en-US" w:bidi="ar-SA"/>
    </w:rPr>
  </w:style>
  <w:style w:type="paragraph" w:styleId="Caption">
    <w:name w:val="caption"/>
    <w:basedOn w:val="Normal"/>
    <w:next w:val="Normal"/>
    <w:qFormat/>
    <w:rsid w:val="000F2287"/>
    <w:pPr>
      <w:keepNext/>
      <w:spacing w:before="240" w:line="276" w:lineRule="auto"/>
    </w:pPr>
    <w:rPr>
      <w:rFonts w:eastAsiaTheme="minorHAnsi" w:cstheme="minorBidi"/>
      <w:b/>
      <w:bCs/>
      <w:color w:val="0070C0"/>
      <w:szCs w:val="22"/>
      <w:lang w:eastAsia="en-US"/>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spacing w:after="120"/>
    </w:pPr>
    <w:rPr>
      <w:i w:val="0"/>
      <w:sz w:val="30"/>
      <w:lang w:eastAsia="en-US"/>
    </w:rPr>
  </w:style>
  <w:style w:type="paragraph" w:customStyle="1" w:styleId="AERheading3">
    <w:name w:val="AER heading 3"/>
    <w:basedOn w:val="Heading3"/>
    <w:next w:val="AERbodytext"/>
    <w:rsid w:val="005F18AD"/>
    <w:pPr>
      <w:spacing w:after="120"/>
    </w:pPr>
    <w:rPr>
      <w:rFonts w:ascii="Arial Bold" w:hAnsi="Arial Bold"/>
      <w:sz w:val="24"/>
      <w:szCs w:val="24"/>
      <w:lang w:eastAsia="en-US"/>
    </w:rPr>
  </w:style>
  <w:style w:type="paragraph" w:customStyle="1" w:styleId="AERheading4">
    <w:name w:val="AER heading 4"/>
    <w:basedOn w:val="Heading4"/>
    <w:next w:val="AERbodytext"/>
    <w:rsid w:val="005F18AD"/>
    <w:pPr>
      <w:spacing w:after="120"/>
    </w:pPr>
    <w:rPr>
      <w:sz w:val="22"/>
      <w:lang w:eastAsia="en-US"/>
    </w:rPr>
  </w:style>
  <w:style w:type="paragraph" w:customStyle="1" w:styleId="AERtableheading">
    <w:name w:val="AER table heading"/>
    <w:basedOn w:val="Normal"/>
    <w:next w:val="Normal"/>
    <w:rsid w:val="005F18AD"/>
    <w:pPr>
      <w:keepNext/>
      <w:spacing w:before="240"/>
      <w:outlineLvl w:val="3"/>
    </w:pPr>
    <w:rPr>
      <w:b/>
      <w:lang w:eastAsia="en-US"/>
    </w:rPr>
  </w:style>
  <w:style w:type="paragraph" w:customStyle="1" w:styleId="AERfigureheading">
    <w:name w:val="AER figure heading"/>
    <w:basedOn w:val="Normal"/>
    <w:next w:val="AERbodytext"/>
    <w:rsid w:val="000F2287"/>
    <w:pPr>
      <w:keepNext/>
      <w:spacing w:before="240"/>
      <w:outlineLvl w:val="3"/>
    </w:pPr>
    <w:rPr>
      <w:b/>
      <w:color w:val="0070C0"/>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tabs>
        <w:tab w:val="num" w:pos="1134"/>
      </w:tabs>
      <w:ind w:left="1361" w:hanging="1361"/>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rPr>
  </w:style>
  <w:style w:type="paragraph" w:customStyle="1" w:styleId="FigheadingA">
    <w:name w:val="Fig heading A"/>
    <w:basedOn w:val="Heading6"/>
    <w:rsid w:val="005F18AD"/>
    <w:pPr>
      <w:numPr>
        <w:ilvl w:val="5"/>
        <w:numId w:val="3"/>
      </w:numPr>
      <w:spacing w:before="0" w:after="120"/>
    </w:pPr>
    <w:rPr>
      <w:rFonts w:cs="Arial"/>
      <w:sz w:val="20"/>
      <w:szCs w:val="20"/>
    </w:rPr>
  </w:style>
  <w:style w:type="paragraph" w:customStyle="1" w:styleId="aerbodytext0">
    <w:name w:val="aerbodytext"/>
    <w:basedOn w:val="Normal"/>
    <w:rsid w:val="005F18AD"/>
    <w:pPr>
      <w:spacing w:after="240"/>
    </w:pPr>
  </w:style>
  <w:style w:type="character" w:styleId="CommentReference">
    <w:name w:val="annotation reference"/>
    <w:uiPriority w:val="99"/>
    <w:semiHidden/>
    <w:rsid w:val="005F18AD"/>
    <w:rPr>
      <w:sz w:val="16"/>
      <w:szCs w:val="16"/>
    </w:rPr>
  </w:style>
  <w:style w:type="table" w:styleId="TableGrid">
    <w:name w:val="Table Grid"/>
    <w:basedOn w:val="TableNormal"/>
    <w:rsid w:val="005F18AD"/>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outlineLvl w:val="3"/>
    </w:pPr>
    <w:rPr>
      <w:b/>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tabs>
        <w:tab w:val="num" w:pos="851"/>
      </w:tabs>
      <w:ind w:left="851" w:hanging="851"/>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link w:val="TitleChar"/>
    <w:qFormat/>
    <w:rsid w:val="00231B0A"/>
    <w:pPr>
      <w:spacing w:before="100" w:beforeAutospacing="1" w:after="100" w:afterAutospacing="1"/>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Borders>
        <w:top w:val="single" w:sz="12" w:space="0" w:color="auto"/>
        <w:bottom w:val="single" w:sz="4" w:space="0" w:color="auto"/>
      </w:tblBorders>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pPr>
    <w:rPr>
      <w:rFonts w:ascii="Arial Bold" w:hAnsi="Arial Bold"/>
      <w:sz w:val="30"/>
      <w:lang w:eastAsia="en-US"/>
    </w:rPr>
  </w:style>
  <w:style w:type="paragraph" w:customStyle="1" w:styleId="AERunnumberedheading3">
    <w:name w:val="AER unnumbered heading 3"/>
    <w:basedOn w:val="AERHeading10"/>
    <w:next w:val="AERbodytext"/>
    <w:rsid w:val="00936A7B"/>
  </w:style>
  <w:style w:type="paragraph" w:customStyle="1" w:styleId="AERunnumberedheading4">
    <w:name w:val="AER unnumbered heading 4"/>
    <w:basedOn w:val="Normal"/>
    <w:next w:val="AERbodytext"/>
    <w:rsid w:val="005F18AD"/>
    <w:pPr>
      <w:keepNext/>
      <w:tabs>
        <w:tab w:val="left" w:pos="851"/>
        <w:tab w:val="left" w:pos="1080"/>
      </w:tabs>
      <w:spacing w:before="240"/>
      <w:outlineLvl w:val="3"/>
    </w:pPr>
    <w:rPr>
      <w:b/>
      <w:lang w:eastAsia="en-US"/>
    </w:rPr>
  </w:style>
  <w:style w:type="character" w:styleId="PageNumber">
    <w:name w:val="page number"/>
    <w:rsid w:val="005F18AD"/>
    <w:rPr>
      <w:rFonts w:ascii="Arial" w:hAnsi="Arial"/>
      <w:sz w:val="20"/>
    </w:rPr>
  </w:style>
  <w:style w:type="paragraph" w:styleId="Subtitle">
    <w:name w:val="Subtitle"/>
    <w:link w:val="SubtitleChar"/>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 w:type="table" w:customStyle="1" w:styleId="AERTable-Text0">
    <w:name w:val="AER Table - Text"/>
    <w:basedOn w:val="TableNormal"/>
    <w:uiPriority w:val="99"/>
    <w:rsid w:val="00936A7B"/>
    <w:pPr>
      <w:spacing w:before="120" w:after="120"/>
    </w:pPr>
    <w:rPr>
      <w:rFonts w:ascii="Arial" w:eastAsia="Arial" w:hAnsi="Arial"/>
      <w:sz w:val="18"/>
      <w:szCs w:val="22"/>
      <w:lang w:eastAsia="en-US"/>
    </w:rPr>
    <w:tblPr>
      <w:tblStyleRowBandSize w:val="1"/>
      <w:tblBorders>
        <w:bottom w:val="single" w:sz="4" w:space="0" w:color="auto"/>
      </w:tblBorders>
    </w:tblPr>
    <w:trPr>
      <w:cantSplit/>
    </w:trPr>
    <w:tblStylePr w:type="firstRow">
      <w:pPr>
        <w:wordWrap/>
        <w:spacing w:beforeLines="0" w:before="240" w:beforeAutospacing="0" w:afterLines="0" w:after="120" w:afterAutospacing="0"/>
      </w:pPr>
      <w:rPr>
        <w:rFonts w:ascii="Arial" w:hAnsi="Arial"/>
        <w:b/>
        <w:color w:val="FFFFFF"/>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AERHeading10">
    <w:name w:val="AER Heading 1"/>
    <w:basedOn w:val="Normal"/>
    <w:link w:val="AERHeading1Char"/>
    <w:qFormat/>
    <w:rsid w:val="00936A7B"/>
    <w:pPr>
      <w:tabs>
        <w:tab w:val="left" w:pos="680"/>
      </w:tabs>
      <w:spacing w:before="200" w:after="0" w:line="240" w:lineRule="atLeast"/>
      <w:outlineLvl w:val="1"/>
    </w:pPr>
    <w:rPr>
      <w:b/>
      <w:bCs/>
      <w:color w:val="2272A3"/>
      <w:sz w:val="32"/>
      <w:szCs w:val="20"/>
      <w:lang w:eastAsia="en-US"/>
    </w:rPr>
  </w:style>
  <w:style w:type="character" w:customStyle="1" w:styleId="AERHeading1Char">
    <w:name w:val="AER Heading 1 Char"/>
    <w:link w:val="AERHeading10"/>
    <w:rsid w:val="00936A7B"/>
    <w:rPr>
      <w:rFonts w:ascii="Arial" w:hAnsi="Arial"/>
      <w:b/>
      <w:bCs/>
      <w:color w:val="2272A3"/>
      <w:sz w:val="32"/>
      <w:lang w:eastAsia="en-US"/>
    </w:rPr>
  </w:style>
  <w:style w:type="paragraph" w:customStyle="1" w:styleId="AERNumberedheading1nonewpage">
    <w:name w:val="AER Numbered heading 1 no new page"/>
    <w:basedOn w:val="AERHeading10"/>
    <w:link w:val="AERNumberedheading1nonewpageChar"/>
    <w:qFormat/>
    <w:rsid w:val="000F2287"/>
    <w:pPr>
      <w:numPr>
        <w:numId w:val="15"/>
      </w:numPr>
      <w:tabs>
        <w:tab w:val="clear" w:pos="680"/>
        <w:tab w:val="left" w:pos="709"/>
      </w:tabs>
    </w:pPr>
  </w:style>
  <w:style w:type="character" w:customStyle="1" w:styleId="AERNumberedheading1nonewpageChar">
    <w:name w:val="AER Numbered heading 1 no new page Char"/>
    <w:basedOn w:val="AERHeading1Char"/>
    <w:link w:val="AERNumberedheading1nonewpage"/>
    <w:rsid w:val="000F2287"/>
    <w:rPr>
      <w:rFonts w:ascii="Arial" w:hAnsi="Arial"/>
      <w:b/>
      <w:bCs/>
      <w:color w:val="2272A3"/>
      <w:sz w:val="32"/>
      <w:lang w:eastAsia="en-US"/>
    </w:rPr>
  </w:style>
  <w:style w:type="numbering" w:customStyle="1" w:styleId="Style1">
    <w:name w:val="Style1"/>
    <w:uiPriority w:val="99"/>
    <w:rsid w:val="00E2040E"/>
    <w:pPr>
      <w:numPr>
        <w:numId w:val="20"/>
      </w:numPr>
    </w:pPr>
  </w:style>
  <w:style w:type="character" w:customStyle="1" w:styleId="TitleChar">
    <w:name w:val="Title Char"/>
    <w:link w:val="Title"/>
    <w:rsid w:val="00004A63"/>
    <w:rPr>
      <w:rFonts w:ascii="Arial" w:hAnsi="Arial" w:cs="Arial"/>
      <w:b/>
      <w:bCs/>
      <w:kern w:val="28"/>
      <w:sz w:val="36"/>
      <w:szCs w:val="32"/>
      <w:lang w:eastAsia="en-US"/>
    </w:rPr>
  </w:style>
  <w:style w:type="character" w:customStyle="1" w:styleId="SubtitleChar">
    <w:name w:val="Subtitle Char"/>
    <w:link w:val="Subtitle"/>
    <w:rsid w:val="00004A63"/>
    <w:rPr>
      <w:rFonts w:ascii="Arial" w:hAnsi="Arial" w:cs="Arial"/>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http://www.aer.gov.au/node/451" TargetMode="External"/><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hyperlink" Target="http://www.aer.gov.au/node/456"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9.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er.gov.au/node/451" TargetMode="External"/><Relationship Id="rId24" Type="http://schemas.openxmlformats.org/officeDocument/2006/relationships/image" Target="media/image13.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E24182-E977-4899-A998-02EF189C7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7734155.dotm</Template>
  <TotalTime>0</TotalTime>
  <Pages>11</Pages>
  <Words>1698</Words>
  <Characters>7935</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9614</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2015-06-30T05:57:00Z</dcterms:created>
  <dcterms:modified xsi:type="dcterms:W3CDTF">2015-06-30T05:57:00Z</dcterms:modified>
</cp:coreProperties>
</file>