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F73811"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B94695" w:rsidP="00BD60AA">
                  <w:pPr>
                    <w:spacing w:before="140"/>
                    <w:rPr>
                      <w:b/>
                    </w:rPr>
                  </w:pPr>
                  <w:r>
                    <w:rPr>
                      <w:b/>
                    </w:rPr>
                    <w:t>31 May – 6 June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691548" w:rsidRDefault="00B94695" w:rsidP="00FF2760">
      <w:pPr>
        <w:pStyle w:val="AERunnumberedheading3"/>
        <w:jc w:val="both"/>
        <w:rPr>
          <w:rFonts w:ascii="Times New Roman" w:hAnsi="Times New Roman"/>
        </w:rPr>
      </w:pPr>
      <w:r w:rsidRPr="00691548">
        <w:rPr>
          <w:rFonts w:ascii="Times New Roman" w:hAnsi="Times New Roman"/>
        </w:rPr>
        <w:t>Prices increased in all regions this week as an outage at Longford affected supply in Victoria</w:t>
      </w:r>
      <w:r w:rsidR="002F1CC7">
        <w:rPr>
          <w:rFonts w:ascii="Times New Roman" w:hAnsi="Times New Roman"/>
        </w:rPr>
        <w:t xml:space="preserve">. Average prices increased between </w:t>
      </w:r>
      <w:r w:rsidRPr="00691548">
        <w:rPr>
          <w:rFonts w:ascii="Times New Roman" w:hAnsi="Times New Roman"/>
        </w:rPr>
        <w:t xml:space="preserve">25 per cent </w:t>
      </w:r>
      <w:r w:rsidR="002F1CC7">
        <w:rPr>
          <w:rFonts w:ascii="Times New Roman" w:hAnsi="Times New Roman"/>
        </w:rPr>
        <w:t>(</w:t>
      </w:r>
      <w:r w:rsidRPr="00691548">
        <w:rPr>
          <w:rFonts w:ascii="Times New Roman" w:hAnsi="Times New Roman"/>
        </w:rPr>
        <w:t>in Victoria</w:t>
      </w:r>
      <w:r w:rsidR="002F1CC7">
        <w:rPr>
          <w:rFonts w:ascii="Times New Roman" w:hAnsi="Times New Roman"/>
        </w:rPr>
        <w:t>)</w:t>
      </w:r>
      <w:r w:rsidRPr="00691548">
        <w:rPr>
          <w:rFonts w:ascii="Times New Roman" w:hAnsi="Times New Roman"/>
        </w:rPr>
        <w:t xml:space="preserve"> to 44 per cent </w:t>
      </w:r>
      <w:r w:rsidR="002F1CC7">
        <w:rPr>
          <w:rFonts w:ascii="Times New Roman" w:hAnsi="Times New Roman"/>
        </w:rPr>
        <w:t>(</w:t>
      </w:r>
      <w:r w:rsidRPr="00691548">
        <w:rPr>
          <w:rFonts w:ascii="Times New Roman" w:hAnsi="Times New Roman"/>
        </w:rPr>
        <w:t>in Queensland</w:t>
      </w:r>
      <w:r w:rsidR="002F1CC7">
        <w:rPr>
          <w:rFonts w:ascii="Times New Roman" w:hAnsi="Times New Roman"/>
        </w:rPr>
        <w:t>)</w:t>
      </w:r>
      <w:r w:rsidRPr="00691548">
        <w:rPr>
          <w:rFonts w:ascii="Times New Roman" w:hAnsi="Times New Roman"/>
        </w:rPr>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E12780" w:rsidRPr="006376D7" w:rsidTr="002861A9">
        <w:trPr>
          <w:trHeight w:val="382"/>
        </w:trPr>
        <w:tc>
          <w:tcPr>
            <w:tcW w:w="3710"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31 May - 06 Jun 2015</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5.19</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6.06</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5.47</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3.83</w:t>
            </w:r>
          </w:p>
        </w:tc>
      </w:tr>
      <w:tr w:rsidR="00E12780" w:rsidRPr="006376D7" w:rsidTr="002861A9">
        <w:trPr>
          <w:trHeight w:val="382"/>
        </w:trPr>
        <w:tc>
          <w:tcPr>
            <w:tcW w:w="3710"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42</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31</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44</w:t>
            </w:r>
          </w:p>
        </w:tc>
      </w:tr>
      <w:tr w:rsidR="00E12780" w:rsidRPr="006376D7" w:rsidTr="002861A9">
        <w:trPr>
          <w:trHeight w:val="382"/>
        </w:trPr>
        <w:tc>
          <w:tcPr>
            <w:tcW w:w="3710"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3.59</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3.39</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3.72</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2.33</w:t>
            </w:r>
          </w:p>
        </w:tc>
      </w:tr>
      <w:tr w:rsidR="00E12780" w:rsidRPr="006376D7" w:rsidTr="002861A9">
        <w:trPr>
          <w:trHeight w:val="382"/>
        </w:trPr>
        <w:tc>
          <w:tcPr>
            <w:tcW w:w="3710"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-8</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-16</w:t>
            </w:r>
          </w:p>
        </w:tc>
        <w:tc>
          <w:tcPr>
            <w:tcW w:w="1439"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-50</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E12780" w:rsidRPr="006376D7" w:rsidTr="002861A9">
        <w:trPr>
          <w:trHeight w:val="382"/>
        </w:trPr>
        <w:tc>
          <w:tcPr>
            <w:tcW w:w="3708"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31 May - 06 Jun 2015</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5.19</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955</w:t>
            </w:r>
          </w:p>
        </w:tc>
      </w:tr>
      <w:tr w:rsidR="00E12780" w:rsidRPr="006376D7" w:rsidTr="002861A9">
        <w:trPr>
          <w:trHeight w:val="382"/>
        </w:trPr>
        <w:tc>
          <w:tcPr>
            <w:tcW w:w="3708"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25</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31</w:t>
            </w:r>
          </w:p>
        </w:tc>
      </w:tr>
      <w:tr w:rsidR="00E12780" w:rsidRPr="006376D7" w:rsidTr="002861A9">
        <w:trPr>
          <w:trHeight w:val="382"/>
        </w:trPr>
        <w:tc>
          <w:tcPr>
            <w:tcW w:w="3708"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3.59</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534</w:t>
            </w:r>
          </w:p>
        </w:tc>
      </w:tr>
      <w:tr w:rsidR="00E12780" w:rsidRPr="006376D7" w:rsidTr="002861A9">
        <w:trPr>
          <w:trHeight w:val="382"/>
        </w:trPr>
        <w:tc>
          <w:tcPr>
            <w:tcW w:w="3708" w:type="dxa"/>
            <w:noWrap/>
            <w:tcMar>
              <w:top w:w="0" w:type="dxa"/>
              <w:bottom w:w="0" w:type="dxa"/>
            </w:tcMar>
            <w:vAlign w:val="center"/>
          </w:tcPr>
          <w:p w:rsidR="00E12780" w:rsidRDefault="00E12780">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-8</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12780" w:rsidRDefault="00E12780">
            <w:pPr>
              <w:jc w:val="center"/>
              <w:rPr>
                <w:rFonts w:ascii="Arial" w:hAnsi="Arial" w:cs="Arial"/>
                <w:sz w:val="20"/>
                <w:szCs w:val="20"/>
              </w:rPr>
            </w:pPr>
            <w:r>
              <w:rPr>
                <w:rFonts w:ascii="Arial" w:hAnsi="Arial" w:cs="Arial"/>
                <w:sz w:val="20"/>
                <w:szCs w:val="20"/>
              </w:rPr>
              <w:t>4</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31 May - 06 Jun 2015</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6.06</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7.07</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35.71</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283</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292</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42</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57</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10</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3.39</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3.42</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15.44</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239</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239</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-16</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-13</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55</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31 May - 06 Jun 2015</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5.47</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5.31</w:t>
            </w:r>
          </w:p>
        </w:tc>
        <w:tc>
          <w:tcPr>
            <w:tcW w:w="137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7.43</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85</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31</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27</w:t>
            </w:r>
          </w:p>
        </w:tc>
        <w:tc>
          <w:tcPr>
            <w:tcW w:w="137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14</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14</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3.72</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3.66</w:t>
            </w:r>
          </w:p>
        </w:tc>
        <w:tc>
          <w:tcPr>
            <w:tcW w:w="137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12.86</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62</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62</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-15</w:t>
            </w:r>
          </w:p>
        </w:tc>
        <w:tc>
          <w:tcPr>
            <w:tcW w:w="137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-9</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31 May - 06 Jun 2015</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3.83</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3.74</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1.16</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93</w:t>
            </w:r>
          </w:p>
        </w:tc>
        <w:tc>
          <w:tcPr>
            <w:tcW w:w="11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94</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44</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63</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13</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2.33</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2.21</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1.70</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132</w:t>
            </w:r>
          </w:p>
        </w:tc>
        <w:tc>
          <w:tcPr>
            <w:tcW w:w="11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132</w:t>
            </w:r>
          </w:p>
        </w:tc>
      </w:tr>
      <w:tr w:rsidR="00522DBF" w:rsidRPr="002861A9" w:rsidTr="002861A9">
        <w:trPr>
          <w:trHeight w:val="382"/>
        </w:trPr>
        <w:tc>
          <w:tcPr>
            <w:tcW w:w="2670" w:type="dxa"/>
            <w:noWrap/>
            <w:tcMar>
              <w:top w:w="0" w:type="dxa"/>
              <w:bottom w:w="0" w:type="dxa"/>
            </w:tcMar>
            <w:vAlign w:val="center"/>
          </w:tcPr>
          <w:p w:rsidR="00522DBF" w:rsidRDefault="00522DBF">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-50</w:t>
            </w:r>
          </w:p>
        </w:tc>
        <w:tc>
          <w:tcPr>
            <w:tcW w:w="136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-54</w:t>
            </w:r>
          </w:p>
        </w:tc>
        <w:tc>
          <w:tcPr>
            <w:tcW w:w="1359"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-13</w:t>
            </w:r>
          </w:p>
        </w:tc>
        <w:tc>
          <w:tcPr>
            <w:tcW w:w="1180" w:type="dxa"/>
            <w:noWrap/>
            <w:tcMar>
              <w:top w:w="0" w:type="dxa"/>
              <w:bottom w:w="0" w:type="dxa"/>
            </w:tcMar>
            <w:vAlign w:val="center"/>
          </w:tcPr>
          <w:p w:rsidR="00522DBF" w:rsidRDefault="00522DBF">
            <w:pPr>
              <w:jc w:val="center"/>
              <w:rPr>
                <w:rFonts w:ascii="Arial" w:hAnsi="Arial" w:cs="Arial"/>
                <w:sz w:val="20"/>
                <w:szCs w:val="20"/>
              </w:rPr>
            </w:pPr>
            <w:r>
              <w:rPr>
                <w:rFonts w:ascii="Arial" w:hAnsi="Arial" w:cs="Arial"/>
                <w:sz w:val="20"/>
                <w:szCs w:val="20"/>
              </w:rPr>
              <w:t>-14</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1041B8" w:rsidRPr="00522DBF" w:rsidRDefault="001041B8" w:rsidP="001041B8">
      <w:pPr>
        <w:pStyle w:val="ListParagraph"/>
        <w:spacing w:after="120"/>
        <w:ind w:left="0"/>
        <w:contextualSpacing w:val="0"/>
        <w:jc w:val="both"/>
        <w:rPr>
          <w:rFonts w:ascii="Times New Roman" w:eastAsia="MS Mincho" w:hAnsi="Times New Roman" w:cs="Times New Roman"/>
          <w:i/>
          <w:sz w:val="24"/>
          <w:szCs w:val="24"/>
        </w:rPr>
      </w:pPr>
      <w:r>
        <w:rPr>
          <w:rFonts w:ascii="Times New Roman" w:eastAsia="MS Mincho" w:hAnsi="Times New Roman" w:cs="Times New Roman"/>
          <w:i/>
          <w:sz w:val="24"/>
          <w:szCs w:val="24"/>
        </w:rPr>
        <w:t>Unplanned outage at Longford and higher prices in Victoria, Sydney and Adelaide</w:t>
      </w:r>
    </w:p>
    <w:p w:rsidR="001041B8" w:rsidRPr="00691548" w:rsidRDefault="001041B8" w:rsidP="001041B8">
      <w:pPr>
        <w:pStyle w:val="ListParagraph"/>
        <w:spacing w:after="120"/>
        <w:ind w:left="0"/>
        <w:contextualSpacing w:val="0"/>
        <w:jc w:val="both"/>
        <w:rPr>
          <w:rFonts w:ascii="Times New Roman" w:eastAsia="MS Mincho" w:hAnsi="Times New Roman" w:cs="Times New Roman"/>
          <w:sz w:val="24"/>
          <w:szCs w:val="24"/>
        </w:rPr>
      </w:pPr>
      <w:r w:rsidRPr="00691548">
        <w:rPr>
          <w:rFonts w:ascii="Times New Roman" w:eastAsia="MS Mincho" w:hAnsi="Times New Roman" w:cs="Times New Roman"/>
          <w:sz w:val="24"/>
          <w:szCs w:val="24"/>
        </w:rPr>
        <w:t xml:space="preserve">On Monday 1 June in Victoria, the Longford gas production facility tripped and constraints were applied to limit injection capacity to around 30 TJ/h from 6 pm. Additionally, unplanned maintenance on the Winchelsea Compressor Station </w:t>
      </w:r>
      <w:r>
        <w:rPr>
          <w:rFonts w:ascii="Times New Roman" w:eastAsia="MS Mincho" w:hAnsi="Times New Roman" w:cs="Times New Roman"/>
          <w:sz w:val="24"/>
          <w:szCs w:val="24"/>
        </w:rPr>
        <w:t xml:space="preserve">constrained </w:t>
      </w:r>
      <w:r w:rsidRPr="00691548">
        <w:rPr>
          <w:rFonts w:ascii="Times New Roman" w:eastAsia="MS Mincho" w:hAnsi="Times New Roman" w:cs="Times New Roman"/>
          <w:sz w:val="24"/>
          <w:szCs w:val="24"/>
        </w:rPr>
        <w:t>flows on the South West Pipeline for a few hours from 6 pm</w:t>
      </w:r>
      <w:r>
        <w:rPr>
          <w:rFonts w:ascii="Times New Roman" w:eastAsia="MS Mincho" w:hAnsi="Times New Roman" w:cs="Times New Roman"/>
          <w:sz w:val="24"/>
          <w:szCs w:val="24"/>
        </w:rPr>
        <w:t xml:space="preserve"> before it was returned to service, while </w:t>
      </w:r>
      <w:r w:rsidRPr="00691548">
        <w:rPr>
          <w:rFonts w:ascii="Times New Roman" w:eastAsia="MS Mincho" w:hAnsi="Times New Roman" w:cs="Times New Roman"/>
          <w:sz w:val="24"/>
          <w:szCs w:val="24"/>
        </w:rPr>
        <w:t xml:space="preserve">further constraints were applied </w:t>
      </w:r>
      <w:r>
        <w:rPr>
          <w:rFonts w:ascii="Times New Roman" w:eastAsia="MS Mincho" w:hAnsi="Times New Roman" w:cs="Times New Roman"/>
          <w:sz w:val="24"/>
          <w:szCs w:val="24"/>
        </w:rPr>
        <w:t xml:space="preserve">to the South West Pipeline </w:t>
      </w:r>
      <w:r w:rsidRPr="00691548">
        <w:rPr>
          <w:rFonts w:ascii="Times New Roman" w:eastAsia="MS Mincho" w:hAnsi="Times New Roman" w:cs="Times New Roman"/>
          <w:sz w:val="24"/>
          <w:szCs w:val="24"/>
        </w:rPr>
        <w:t>due to system capacity limitations</w:t>
      </w:r>
      <w:r>
        <w:rPr>
          <w:rFonts w:ascii="Times New Roman" w:eastAsia="MS Mincho" w:hAnsi="Times New Roman" w:cs="Times New Roman"/>
          <w:sz w:val="24"/>
          <w:szCs w:val="24"/>
        </w:rPr>
        <w:t xml:space="preserve"> from 10 pm</w:t>
      </w:r>
      <w:r w:rsidRPr="00691548">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691548">
        <w:rPr>
          <w:rFonts w:ascii="Times New Roman" w:eastAsia="MS Mincho" w:hAnsi="Times New Roman" w:cs="Times New Roman"/>
          <w:sz w:val="24"/>
          <w:szCs w:val="24"/>
        </w:rPr>
        <w:t xml:space="preserve">LNG </w:t>
      </w:r>
      <w:r>
        <w:rPr>
          <w:rFonts w:ascii="Times New Roman" w:eastAsia="MS Mincho" w:hAnsi="Times New Roman" w:cs="Times New Roman"/>
          <w:sz w:val="24"/>
          <w:szCs w:val="24"/>
        </w:rPr>
        <w:t xml:space="preserve">was </w:t>
      </w:r>
      <w:r w:rsidRPr="00691548">
        <w:rPr>
          <w:rFonts w:ascii="Times New Roman" w:eastAsia="MS Mincho" w:hAnsi="Times New Roman" w:cs="Times New Roman"/>
          <w:sz w:val="24"/>
          <w:szCs w:val="24"/>
        </w:rPr>
        <w:t xml:space="preserve">injected </w:t>
      </w:r>
      <w:r>
        <w:rPr>
          <w:rFonts w:ascii="Times New Roman" w:eastAsia="MS Mincho" w:hAnsi="Times New Roman" w:cs="Times New Roman"/>
          <w:sz w:val="24"/>
          <w:szCs w:val="24"/>
        </w:rPr>
        <w:t>in response to these events and a</w:t>
      </w:r>
      <w:r w:rsidRPr="00691548">
        <w:rPr>
          <w:rFonts w:ascii="Times New Roman" w:eastAsia="MS Mincho" w:hAnsi="Times New Roman" w:cs="Times New Roman"/>
          <w:sz w:val="24"/>
          <w:szCs w:val="24"/>
        </w:rPr>
        <w:t>ncillary payments of $3200 accrue</w:t>
      </w:r>
      <w:r>
        <w:rPr>
          <w:rFonts w:ascii="Times New Roman" w:eastAsia="MS Mincho" w:hAnsi="Times New Roman" w:cs="Times New Roman"/>
          <w:sz w:val="24"/>
          <w:szCs w:val="24"/>
        </w:rPr>
        <w:t>d</w:t>
      </w:r>
      <w:r w:rsidRPr="00691548">
        <w:rPr>
          <w:rFonts w:ascii="Times New Roman" w:eastAsia="MS Mincho" w:hAnsi="Times New Roman" w:cs="Times New Roman"/>
          <w:sz w:val="24"/>
          <w:szCs w:val="24"/>
        </w:rPr>
        <w:t xml:space="preserve"> during the last scheduling interval of the gas day.</w:t>
      </w:r>
    </w:p>
    <w:p w:rsidR="001041B8" w:rsidRDefault="001041B8" w:rsidP="001041B8">
      <w:pPr>
        <w:spacing w:before="120" w:after="120"/>
        <w:jc w:val="both"/>
        <w:rPr>
          <w:rFonts w:eastAsia="MS Mincho"/>
        </w:rPr>
      </w:pPr>
      <w:r>
        <w:rPr>
          <w:rFonts w:eastAsia="MS Mincho"/>
        </w:rPr>
        <w:lastRenderedPageBreak/>
        <w:t xml:space="preserve">There were high prices in the </w:t>
      </w:r>
      <w:r w:rsidRPr="00691548">
        <w:rPr>
          <w:rFonts w:eastAsia="MS Mincho"/>
        </w:rPr>
        <w:t>following days in Victoria</w:t>
      </w:r>
      <w:r w:rsidRPr="00691548">
        <w:rPr>
          <w:rFonts w:eastAsia="MS Mincho"/>
          <w:vertAlign w:val="superscript"/>
        </w:rPr>
        <w:footnoteReference w:id="2"/>
      </w:r>
      <w:r w:rsidRPr="00691548">
        <w:rPr>
          <w:rFonts w:eastAsia="MS Mincho"/>
        </w:rPr>
        <w:t xml:space="preserve"> as </w:t>
      </w:r>
      <w:r>
        <w:rPr>
          <w:rFonts w:eastAsia="MS Mincho"/>
        </w:rPr>
        <w:t xml:space="preserve">the Longford production facility </w:t>
      </w:r>
      <w:r w:rsidRPr="00691548">
        <w:rPr>
          <w:rFonts w:eastAsia="MS Mincho"/>
        </w:rPr>
        <w:t>gradually returned to service.</w:t>
      </w:r>
      <w:r>
        <w:rPr>
          <w:rFonts w:eastAsia="MS Mincho"/>
        </w:rPr>
        <w:t xml:space="preserve"> High demand due to cold weather also appeared to have contributed to higher prices. Between 1 and 4 June the temperature in Melbourne did not exceed 14 degrees and demand in Victoria was around 1 PJ or higher (reaching 1.174 PJ on 4 June). </w:t>
      </w:r>
    </w:p>
    <w:p w:rsidR="001041B8" w:rsidRDefault="001041B8" w:rsidP="001041B8">
      <w:pPr>
        <w:spacing w:before="120" w:after="120"/>
        <w:jc w:val="both"/>
        <w:rPr>
          <w:rFonts w:eastAsia="MS Mincho"/>
        </w:rPr>
      </w:pPr>
      <w:r>
        <w:rPr>
          <w:rFonts w:eastAsia="MS Mincho"/>
        </w:rPr>
        <w:t xml:space="preserve">The high prices in Victoria appeared to have </w:t>
      </w:r>
      <w:r w:rsidRPr="00691548">
        <w:rPr>
          <w:rFonts w:eastAsia="MS Mincho"/>
        </w:rPr>
        <w:t>had a flow on effect on prices in Sydney and Adelaide over the same period, with both regions sourcing additional gas from Moomba</w:t>
      </w:r>
      <w:r w:rsidRPr="00691548">
        <w:rPr>
          <w:rFonts w:eastAsia="MS Mincho"/>
          <w:vertAlign w:val="superscript"/>
        </w:rPr>
        <w:footnoteReference w:id="3"/>
      </w:r>
      <w:r w:rsidRPr="00691548">
        <w:rPr>
          <w:rFonts w:eastAsia="MS Mincho"/>
        </w:rPr>
        <w:t>.</w:t>
      </w:r>
    </w:p>
    <w:p w:rsidR="001041B8" w:rsidRDefault="001041B8" w:rsidP="001041B8">
      <w:pPr>
        <w:spacing w:before="120" w:after="120"/>
        <w:jc w:val="both"/>
        <w:rPr>
          <w:rFonts w:eastAsia="MS Mincho"/>
        </w:rPr>
      </w:pPr>
      <w:r>
        <w:rPr>
          <w:rFonts w:eastAsia="MS Mincho"/>
        </w:rPr>
        <w:t>There were also AMBER</w:t>
      </w:r>
      <w:r>
        <w:rPr>
          <w:rStyle w:val="FootnoteReference"/>
          <w:rFonts w:eastAsia="MS Mincho"/>
        </w:rPr>
        <w:footnoteReference w:id="4"/>
      </w:r>
      <w:r>
        <w:rPr>
          <w:rFonts w:eastAsia="MS Mincho"/>
        </w:rPr>
        <w:t xml:space="preserve"> </w:t>
      </w:r>
      <w:proofErr w:type="spellStart"/>
      <w:r>
        <w:rPr>
          <w:rFonts w:eastAsia="MS Mincho"/>
        </w:rPr>
        <w:t>Linepack</w:t>
      </w:r>
      <w:proofErr w:type="spellEnd"/>
      <w:r>
        <w:rPr>
          <w:rFonts w:eastAsia="MS Mincho"/>
        </w:rPr>
        <w:t xml:space="preserve"> Capacity Adequacy (</w:t>
      </w:r>
      <w:r w:rsidRPr="00522DBF">
        <w:rPr>
          <w:rFonts w:eastAsia="MS Mincho"/>
          <w:b/>
        </w:rPr>
        <w:t>LCA</w:t>
      </w:r>
      <w:r>
        <w:rPr>
          <w:rFonts w:eastAsia="MS Mincho"/>
        </w:rPr>
        <w:t>) flags displayed on the Bulletin Board for the Moomba to Sydney Pipeline (</w:t>
      </w:r>
      <w:r w:rsidRPr="00FA73A6">
        <w:rPr>
          <w:rFonts w:eastAsia="MS Mincho"/>
          <w:b/>
        </w:rPr>
        <w:t>MSP</w:t>
      </w:r>
      <w:r>
        <w:rPr>
          <w:rFonts w:eastAsia="MS Mincho"/>
        </w:rPr>
        <w:t xml:space="preserve">) for gas days 2, 3 and 4 June. The description provided indicated the Wilton STTM delivery point was constrained due to maintenance activities on the main pipeline. </w:t>
      </w:r>
    </w:p>
    <w:p w:rsidR="00FA73A6" w:rsidRPr="00691548" w:rsidRDefault="001041B8" w:rsidP="00B94695">
      <w:pPr>
        <w:spacing w:before="120" w:after="120"/>
        <w:jc w:val="both"/>
        <w:rPr>
          <w:rFonts w:eastAsia="MS Mincho"/>
        </w:rPr>
      </w:pPr>
      <w:r>
        <w:rPr>
          <w:lang w:eastAsia="en-US"/>
        </w:rPr>
        <w:t xml:space="preserve">On 2 June in Sydney, offers on the MSP were scheduled up to the capacity of the pipeline (193.8 TJ). This led to a capacity constraint price </w:t>
      </w:r>
      <w:r w:rsidRPr="00FA73A6">
        <w:rPr>
          <w:lang w:eastAsia="en-US"/>
        </w:rPr>
        <w:t>(</w:t>
      </w:r>
      <w:r w:rsidRPr="00FA73A6">
        <w:rPr>
          <w:b/>
          <w:lang w:eastAsia="en-US"/>
        </w:rPr>
        <w:t>CCP</w:t>
      </w:r>
      <w:r w:rsidRPr="00FA73A6">
        <w:rPr>
          <w:lang w:eastAsia="en-US"/>
        </w:rPr>
        <w:t>)</w:t>
      </w:r>
      <w:r>
        <w:rPr>
          <w:rStyle w:val="FootnoteReference"/>
          <w:lang w:eastAsia="en-US"/>
        </w:rPr>
        <w:footnoteReference w:id="5"/>
      </w:r>
      <w:r>
        <w:rPr>
          <w:lang w:eastAsia="en-US"/>
        </w:rPr>
        <w:t xml:space="preserve"> of $1.91/GJ and payments for 49.1 TJ of as available (non-firm) gas scheduled on the MSP.</w:t>
      </w:r>
    </w:p>
    <w:p w:rsidR="00502181" w:rsidRPr="003A284F" w:rsidRDefault="005F18AD" w:rsidP="00B66E50">
      <w:pPr>
        <w:spacing w:before="120" w:after="120"/>
        <w:jc w:val="both"/>
        <w:rPr>
          <w:b/>
          <w:sz w:val="22"/>
          <w:szCs w:val="22"/>
        </w:rPr>
      </w:pPr>
      <w:r w:rsidRPr="00A0223D">
        <w:br w:type="column"/>
      </w:r>
      <w:bookmarkStart w:id="2" w:name="OLE_LINK7"/>
      <w:bookmarkStart w:id="3" w:name="OLE_LINK8"/>
      <w:r w:rsidR="00E34528">
        <w:lastRenderedPageBreak/>
        <w:pict>
          <v:shape id="_x0000_i1026" type="#_x0000_t75" style="width:503.25pt;height:1in" o:allowoverlap="f">
            <v:imagedata r:id="rId10" o:title="" cropbottom="17873f" cropright="30275f"/>
          </v:shape>
        </w:pict>
      </w:r>
      <w:bookmarkEnd w:id="2"/>
      <w:bookmarkEnd w:id="3"/>
    </w:p>
    <w:p w:rsidR="00502181" w:rsidRPr="00B66E50" w:rsidRDefault="00F73811"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B94695">
                    <w:rPr>
                      <w:b/>
                    </w:rPr>
                    <w:t>31 May – 6 June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 xml:space="preserve">For each of the five gas day pricing schedules, figures 1.1 to 1.4 below show the daily </w:t>
      </w:r>
      <w:bookmarkStart w:id="4" w:name="_GoBack"/>
      <w:r w:rsidRPr="00DB727F">
        <w:t>prices, demand forecasts</w:t>
      </w:r>
      <w:r w:rsidRPr="00DB727F">
        <w:rPr>
          <w:rStyle w:val="FootnoteReference"/>
        </w:rPr>
        <w:footnoteReference w:id="6"/>
      </w:r>
      <w:r w:rsidRPr="00DB727F">
        <w:t>, and injection/withdrawal bids</w:t>
      </w:r>
      <w:r w:rsidR="00C80FD8">
        <w:t>.</w:t>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 xml:space="preserve">hour </w:t>
      </w:r>
      <w:bookmarkEnd w:id="4"/>
      <w:r w:rsidRPr="00DB727F">
        <w:t>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7"/>
      </w:r>
      <w:r w:rsidR="00B24A61" w:rsidRPr="00CC4A35">
        <w:rPr>
          <w:rStyle w:val="FootnoteReference"/>
        </w:rPr>
        <w:t xml:space="preserve"> </w:t>
      </w:r>
    </w:p>
    <w:p w:rsidR="005F18AD" w:rsidRPr="00522DBF" w:rsidRDefault="005F18AD" w:rsidP="009B2F99">
      <w:pPr>
        <w:pStyle w:val="AERfigureheading"/>
        <w:numPr>
          <w:ilvl w:val="5"/>
          <w:numId w:val="16"/>
        </w:numPr>
        <w:rPr>
          <w:rFonts w:ascii="Arial" w:hAnsi="Arial" w:cs="Arial"/>
          <w:sz w:val="20"/>
          <w:szCs w:val="20"/>
        </w:rPr>
      </w:pPr>
      <w:r w:rsidRPr="00522DBF">
        <w:rPr>
          <w:rFonts w:ascii="Arial" w:hAnsi="Arial" w:cs="Arial"/>
          <w:sz w:val="20"/>
          <w:szCs w:val="20"/>
        </w:rPr>
        <w:t xml:space="preserve">Prices by schedule </w:t>
      </w:r>
    </w:p>
    <w:p w:rsidR="005F18AD" w:rsidRPr="00767397" w:rsidRDefault="00E34528" w:rsidP="006C6D60">
      <w:pPr>
        <w:pStyle w:val="AERbodytext"/>
        <w:spacing w:before="120"/>
        <w:jc w:val="center"/>
      </w:pPr>
      <w:r>
        <w:pict>
          <v:shape id="_x0000_i1027" type="#_x0000_t75" style="width:476.25pt;height:137.25pt">
            <v:imagedata r:id="rId13" o:title=""/>
          </v:shape>
        </w:pict>
      </w:r>
    </w:p>
    <w:p w:rsidR="005F18AD" w:rsidRPr="00522DBF" w:rsidRDefault="005F18AD" w:rsidP="00DA3AAA">
      <w:pPr>
        <w:pStyle w:val="AERfigureheading"/>
        <w:tabs>
          <w:tab w:val="clear" w:pos="1361"/>
          <w:tab w:val="num" w:pos="1260"/>
        </w:tabs>
        <w:spacing w:before="120"/>
        <w:ind w:left="1260" w:hanging="1260"/>
        <w:rPr>
          <w:rFonts w:ascii="Arial" w:hAnsi="Arial" w:cs="Arial"/>
          <w:sz w:val="20"/>
          <w:szCs w:val="20"/>
        </w:rPr>
      </w:pPr>
      <w:r w:rsidRPr="00522DBF">
        <w:rPr>
          <w:rFonts w:ascii="Arial" w:hAnsi="Arial" w:cs="Arial"/>
          <w:sz w:val="20"/>
          <w:szCs w:val="20"/>
        </w:rPr>
        <w:t xml:space="preserve">Demand </w:t>
      </w:r>
      <w:r w:rsidR="001452B3" w:rsidRPr="00522DBF">
        <w:rPr>
          <w:rFonts w:ascii="Arial" w:hAnsi="Arial" w:cs="Arial"/>
          <w:sz w:val="20"/>
          <w:szCs w:val="20"/>
        </w:rPr>
        <w:t>f</w:t>
      </w:r>
      <w:r w:rsidRPr="00522DBF">
        <w:rPr>
          <w:rFonts w:ascii="Arial" w:hAnsi="Arial" w:cs="Arial"/>
          <w:sz w:val="20"/>
          <w:szCs w:val="20"/>
        </w:rPr>
        <w:t>orecasts</w:t>
      </w:r>
      <w:r w:rsidR="008133CF" w:rsidRPr="00522DBF">
        <w:rPr>
          <w:rFonts w:ascii="Arial" w:hAnsi="Arial" w:cs="Arial"/>
          <w:sz w:val="20"/>
          <w:szCs w:val="20"/>
        </w:rPr>
        <w:t xml:space="preserve"> </w:t>
      </w:r>
    </w:p>
    <w:p w:rsidR="005F18AD" w:rsidRPr="00767397" w:rsidRDefault="00E34528" w:rsidP="006C6D60">
      <w:pPr>
        <w:pStyle w:val="AERbodytext"/>
        <w:spacing w:before="120" w:after="0"/>
        <w:jc w:val="center"/>
      </w:pPr>
      <w:r>
        <w:pict>
          <v:shape id="_x0000_i1028" type="#_x0000_t75" style="width:476.25pt;height:177pt">
            <v:imagedata r:id="rId14" o:title=""/>
          </v:shape>
        </w:pict>
      </w:r>
    </w:p>
    <w:p w:rsidR="001A5C1A" w:rsidRPr="00522DBF" w:rsidRDefault="001A5C1A" w:rsidP="00B24A61">
      <w:pPr>
        <w:pStyle w:val="AERfigureheading"/>
        <w:tabs>
          <w:tab w:val="clear" w:pos="1361"/>
          <w:tab w:val="num" w:pos="1260"/>
        </w:tabs>
        <w:spacing w:before="120"/>
        <w:ind w:left="1260" w:hanging="1260"/>
        <w:rPr>
          <w:rFonts w:ascii="Arial" w:hAnsi="Arial" w:cs="Arial"/>
          <w:sz w:val="20"/>
          <w:szCs w:val="20"/>
        </w:rPr>
      </w:pPr>
      <w:r w:rsidRPr="00522DBF">
        <w:rPr>
          <w:rFonts w:ascii="Arial" w:hAnsi="Arial" w:cs="Arial"/>
          <w:sz w:val="20"/>
          <w:szCs w:val="20"/>
        </w:rPr>
        <w:t>Injection bids by price bands</w:t>
      </w:r>
    </w:p>
    <w:p w:rsidR="00A26940" w:rsidRPr="00767397" w:rsidRDefault="00E34528" w:rsidP="006C6D60">
      <w:pPr>
        <w:pStyle w:val="AERbodytext"/>
        <w:spacing w:before="120" w:after="0"/>
        <w:jc w:val="center"/>
      </w:pPr>
      <w:r>
        <w:pict>
          <v:shape id="_x0000_i1029" type="#_x0000_t75" style="width:476.25pt;height:206.25pt">
            <v:imagedata r:id="rId15" o:title=""/>
          </v:shape>
        </w:pict>
      </w:r>
    </w:p>
    <w:p w:rsidR="00372976" w:rsidRPr="00522DBF" w:rsidRDefault="00372976" w:rsidP="00B24A61">
      <w:pPr>
        <w:pStyle w:val="AERfigureheading"/>
        <w:tabs>
          <w:tab w:val="clear" w:pos="1361"/>
          <w:tab w:val="num" w:pos="1260"/>
        </w:tabs>
        <w:spacing w:before="120"/>
        <w:ind w:left="1260" w:hanging="1260"/>
        <w:rPr>
          <w:rFonts w:ascii="Arial" w:hAnsi="Arial" w:cs="Arial"/>
          <w:sz w:val="20"/>
          <w:szCs w:val="20"/>
        </w:rPr>
      </w:pPr>
      <w:r w:rsidRPr="00522DBF">
        <w:rPr>
          <w:rFonts w:ascii="Arial" w:hAnsi="Arial" w:cs="Arial"/>
          <w:sz w:val="20"/>
          <w:szCs w:val="20"/>
        </w:rPr>
        <w:t>Withdrawal bids by price bands</w:t>
      </w:r>
    </w:p>
    <w:p w:rsidR="00BE4577" w:rsidRPr="00767397" w:rsidRDefault="00E34528" w:rsidP="006C6D60">
      <w:pPr>
        <w:pStyle w:val="AERbodytext"/>
        <w:jc w:val="center"/>
      </w:pPr>
      <w:r>
        <w:pict>
          <v:shape id="_x0000_i1030" type="#_x0000_t75" style="width:476.25pt;height:162.75pt">
            <v:imagedata r:id="rId16" o:title=""/>
          </v:shape>
        </w:pict>
      </w:r>
    </w:p>
    <w:p w:rsidR="00A26940" w:rsidRPr="00522DBF" w:rsidRDefault="00B24A61" w:rsidP="00BE4577">
      <w:pPr>
        <w:pStyle w:val="AERfigureheading"/>
        <w:rPr>
          <w:rFonts w:ascii="Arial" w:hAnsi="Arial" w:cs="Arial"/>
          <w:sz w:val="20"/>
          <w:szCs w:val="20"/>
        </w:rPr>
      </w:pPr>
      <w:r w:rsidRPr="00522DBF">
        <w:rPr>
          <w:rFonts w:ascii="Arial" w:hAnsi="Arial" w:cs="Arial"/>
          <w:sz w:val="20"/>
          <w:szCs w:val="20"/>
        </w:rPr>
        <w:t xml:space="preserve">Metered </w:t>
      </w:r>
      <w:r w:rsidR="00652A42" w:rsidRPr="00522DBF">
        <w:rPr>
          <w:rFonts w:ascii="Arial" w:hAnsi="Arial" w:cs="Arial"/>
          <w:sz w:val="20"/>
          <w:szCs w:val="20"/>
        </w:rPr>
        <w:t>I</w:t>
      </w:r>
      <w:r w:rsidR="00A26940" w:rsidRPr="00522DBF">
        <w:rPr>
          <w:rFonts w:ascii="Arial" w:hAnsi="Arial" w:cs="Arial"/>
          <w:sz w:val="20"/>
          <w:szCs w:val="20"/>
        </w:rPr>
        <w:t xml:space="preserve">njections </w:t>
      </w:r>
      <w:r w:rsidR="008F4EAE" w:rsidRPr="00522DBF">
        <w:rPr>
          <w:rFonts w:ascii="Arial" w:hAnsi="Arial" w:cs="Arial"/>
          <w:sz w:val="20"/>
          <w:szCs w:val="20"/>
        </w:rPr>
        <w:t xml:space="preserve">by </w:t>
      </w:r>
      <w:r w:rsidRPr="00522DBF">
        <w:rPr>
          <w:rFonts w:ascii="Arial" w:hAnsi="Arial" w:cs="Arial"/>
          <w:sz w:val="20"/>
          <w:szCs w:val="20"/>
        </w:rPr>
        <w:t xml:space="preserve">System Injection Point </w:t>
      </w:r>
    </w:p>
    <w:p w:rsidR="0006609A" w:rsidRPr="00767397" w:rsidRDefault="00E34528" w:rsidP="006C6D60">
      <w:pPr>
        <w:pStyle w:val="AERbodytext"/>
        <w:spacing w:before="120"/>
        <w:jc w:val="center"/>
        <w:sectPr w:rsidR="0006609A" w:rsidRPr="00767397" w:rsidSect="00491029">
          <w:footerReference w:type="default" r:id="rId17"/>
          <w:footerReference w:type="firs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w:t>
      </w:r>
      <w:r w:rsidR="005157B0">
        <w:t xml:space="preserve">to inject or </w:t>
      </w:r>
      <w:r>
        <w:t xml:space="preserve">bids to withdraw gas </w:t>
      </w:r>
      <w:r w:rsidR="003C5272">
        <w:t xml:space="preserve">traded through </w:t>
      </w:r>
      <w:r>
        <w:t>the hub.</w:t>
      </w:r>
      <w:r>
        <w:rPr>
          <w:rStyle w:val="FootnoteReference"/>
        </w:rPr>
        <w:footnoteReference w:id="8"/>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9"/>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4.75</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5.98</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8.31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6.19</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4.72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5.45</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238</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298</w:t>
            </w:r>
          </w:p>
        </w:tc>
        <w:tc>
          <w:tcPr>
            <w:tcW w:w="1028"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308</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301</w:t>
            </w:r>
          </w:p>
        </w:tc>
        <w:tc>
          <w:tcPr>
            <w:tcW w:w="1028"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246</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5.32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6.20</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7.42</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8.30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6.39</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5.89</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302</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310</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307</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254</w:t>
            </w:r>
          </w:p>
        </w:tc>
      </w:tr>
    </w:tbl>
    <w:p w:rsidR="00055584" w:rsidRPr="00B94695" w:rsidRDefault="0045204B" w:rsidP="00502181">
      <w:pPr>
        <w:pStyle w:val="AERtableheading-unnumbered"/>
        <w:numPr>
          <w:ilvl w:val="0"/>
          <w:numId w:val="0"/>
        </w:numPr>
        <w:spacing w:before="480"/>
        <w:rPr>
          <w:rFonts w:ascii="Arial" w:hAnsi="Arial" w:cs="Arial"/>
          <w:sz w:val="19"/>
          <w:szCs w:val="19"/>
        </w:rPr>
      </w:pPr>
      <w:r w:rsidRPr="00B94695">
        <w:rPr>
          <w:rFonts w:ascii="Arial" w:hAnsi="Arial" w:cs="Arial"/>
          <w:sz w:val="19"/>
          <w:szCs w:val="19"/>
        </w:rPr>
        <w:t>Figure 2.2 (a)</w:t>
      </w:r>
      <w:r w:rsidR="002C0499" w:rsidRPr="00B94695">
        <w:rPr>
          <w:rFonts w:ascii="Arial" w:hAnsi="Arial" w:cs="Arial"/>
          <w:sz w:val="19"/>
          <w:szCs w:val="19"/>
        </w:rPr>
        <w:t>:</w:t>
      </w:r>
      <w:r w:rsidRPr="00B94695">
        <w:rPr>
          <w:rFonts w:ascii="Arial" w:hAnsi="Arial" w:cs="Arial"/>
          <w:sz w:val="19"/>
          <w:szCs w:val="19"/>
        </w:rPr>
        <w:t xml:space="preserve"> </w:t>
      </w:r>
      <w:r w:rsidR="00055584" w:rsidRPr="00B94695">
        <w:rPr>
          <w:rFonts w:ascii="Arial" w:hAnsi="Arial" w:cs="Arial"/>
          <w:sz w:val="19"/>
          <w:szCs w:val="19"/>
        </w:rPr>
        <w:t>Daily hub offers</w:t>
      </w:r>
      <w:r w:rsidR="00781A4A" w:rsidRPr="00B94695">
        <w:rPr>
          <w:rFonts w:ascii="Arial" w:hAnsi="Arial" w:cs="Arial"/>
          <w:sz w:val="19"/>
          <w:szCs w:val="19"/>
        </w:rPr>
        <w:t xml:space="preserve"> in price bands</w:t>
      </w:r>
      <w:r w:rsidR="00CD3544" w:rsidRPr="00B94695">
        <w:rPr>
          <w:rFonts w:ascii="Arial" w:hAnsi="Arial" w:cs="Arial"/>
          <w:sz w:val="19"/>
          <w:szCs w:val="19"/>
        </w:rPr>
        <w:t xml:space="preserve"> </w:t>
      </w:r>
      <w:r w:rsidR="00587CD1" w:rsidRPr="00B94695">
        <w:rPr>
          <w:rFonts w:ascii="Arial" w:hAnsi="Arial" w:cs="Arial"/>
          <w:sz w:val="19"/>
          <w:szCs w:val="19"/>
        </w:rPr>
        <w:t xml:space="preserve">($/GJ) </w:t>
      </w:r>
      <w:r w:rsidR="00781A4A" w:rsidRPr="00B94695">
        <w:rPr>
          <w:rFonts w:ascii="Arial" w:hAnsi="Arial" w:cs="Arial"/>
          <w:sz w:val="19"/>
          <w:szCs w:val="19"/>
        </w:rPr>
        <w:t xml:space="preserve"> </w:t>
      </w:r>
      <w:r w:rsidRPr="00B94695">
        <w:rPr>
          <w:rFonts w:ascii="Arial" w:hAnsi="Arial" w:cs="Arial"/>
          <w:sz w:val="19"/>
          <w:szCs w:val="19"/>
        </w:rPr>
        <w:t xml:space="preserve">   </w:t>
      </w:r>
      <w:r w:rsidR="00587CD1" w:rsidRPr="00B94695">
        <w:rPr>
          <w:rFonts w:ascii="Arial" w:hAnsi="Arial" w:cs="Arial"/>
          <w:sz w:val="19"/>
          <w:szCs w:val="19"/>
        </w:rPr>
        <w:t>Figure 2.2</w:t>
      </w:r>
      <w:r w:rsidR="00C80FD8" w:rsidRPr="00B94695">
        <w:rPr>
          <w:rFonts w:ascii="Arial" w:hAnsi="Arial" w:cs="Arial"/>
          <w:sz w:val="19"/>
          <w:szCs w:val="19"/>
        </w:rPr>
        <w:t xml:space="preserve"> </w:t>
      </w:r>
      <w:r w:rsidR="00781A4A" w:rsidRPr="00B94695">
        <w:rPr>
          <w:rFonts w:ascii="Arial" w:hAnsi="Arial" w:cs="Arial"/>
          <w:sz w:val="19"/>
          <w:szCs w:val="19"/>
        </w:rPr>
        <w:t>(b)</w:t>
      </w:r>
      <w:r w:rsidR="00587CD1" w:rsidRPr="00B94695">
        <w:rPr>
          <w:rFonts w:ascii="Arial" w:hAnsi="Arial" w:cs="Arial"/>
          <w:sz w:val="19"/>
          <w:szCs w:val="19"/>
        </w:rPr>
        <w:t>:</w:t>
      </w:r>
      <w:r w:rsidR="00781A4A" w:rsidRPr="00B94695">
        <w:rPr>
          <w:rFonts w:ascii="Arial" w:hAnsi="Arial" w:cs="Arial"/>
          <w:sz w:val="19"/>
          <w:szCs w:val="19"/>
        </w:rPr>
        <w:t xml:space="preserve"> Daily hub b</w:t>
      </w:r>
      <w:r w:rsidRPr="00B94695">
        <w:rPr>
          <w:rFonts w:ascii="Arial" w:hAnsi="Arial" w:cs="Arial"/>
          <w:sz w:val="19"/>
          <w:szCs w:val="19"/>
        </w:rPr>
        <w:t>i</w:t>
      </w:r>
      <w:r w:rsidR="00781A4A" w:rsidRPr="00B94695">
        <w:rPr>
          <w:rFonts w:ascii="Arial" w:hAnsi="Arial" w:cs="Arial"/>
          <w:sz w:val="19"/>
          <w:szCs w:val="19"/>
        </w:rPr>
        <w:t xml:space="preserve">ds </w:t>
      </w:r>
      <w:r w:rsidR="00CD3544" w:rsidRPr="00B94695">
        <w:rPr>
          <w:rFonts w:ascii="Arial" w:hAnsi="Arial" w:cs="Arial"/>
          <w:sz w:val="19"/>
          <w:szCs w:val="19"/>
        </w:rPr>
        <w:t>in</w:t>
      </w:r>
      <w:r w:rsidR="00055584" w:rsidRPr="00B94695">
        <w:rPr>
          <w:rFonts w:ascii="Arial" w:hAnsi="Arial" w:cs="Arial"/>
          <w:sz w:val="19"/>
          <w:szCs w:val="19"/>
        </w:rPr>
        <w:t xml:space="preserve"> price bands ($/GJ)</w:t>
      </w:r>
    </w:p>
    <w:p w:rsidR="00055584" w:rsidRPr="00FC426D" w:rsidRDefault="00E34528" w:rsidP="006C6D60">
      <w:pPr>
        <w:pStyle w:val="FigheadingA"/>
        <w:numPr>
          <w:ilvl w:val="0"/>
          <w:numId w:val="0"/>
        </w:numPr>
        <w:spacing w:before="120" w:after="0"/>
        <w:ind w:left="1134" w:hanging="1134"/>
        <w:jc w:val="center"/>
      </w:pPr>
      <w:r>
        <w:pict>
          <v:shape id="_x0000_i1032" type="#_x0000_t75" style="width:475.5pt;height:170.25pt">
            <v:imagedata r:id="rId20" o:title=""/>
          </v:shape>
        </w:pict>
      </w:r>
      <w:r w:rsidR="00055584" w:rsidRPr="00452AAD" w:rsidDel="00452AAD">
        <w:t xml:space="preserve"> </w:t>
      </w:r>
    </w:p>
    <w:p w:rsidR="008E2239" w:rsidRPr="00D14AFC" w:rsidRDefault="003410C4" w:rsidP="00157AFD">
      <w:pPr>
        <w:pStyle w:val="AERfigureheading"/>
        <w:numPr>
          <w:ilvl w:val="5"/>
          <w:numId w:val="42"/>
        </w:numPr>
        <w:tabs>
          <w:tab w:val="clear" w:pos="1361"/>
          <w:tab w:val="num" w:pos="1260"/>
        </w:tabs>
        <w:rPr>
          <w:rFonts w:ascii="Arial" w:hAnsi="Arial" w:cs="Arial"/>
          <w:sz w:val="20"/>
          <w:szCs w:val="20"/>
        </w:rPr>
      </w:pPr>
      <w:r w:rsidRPr="00D14AFC">
        <w:rPr>
          <w:rFonts w:ascii="Arial" w:hAnsi="Arial" w:cs="Arial"/>
          <w:sz w:val="20"/>
          <w:szCs w:val="20"/>
        </w:rPr>
        <w:t xml:space="preserve">SYD </w:t>
      </w:r>
      <w:r w:rsidR="00E52E2A" w:rsidRPr="00D14AFC">
        <w:rPr>
          <w:rFonts w:ascii="Arial" w:hAnsi="Arial" w:cs="Arial"/>
          <w:sz w:val="20"/>
          <w:szCs w:val="20"/>
        </w:rPr>
        <w:t>net</w:t>
      </w:r>
      <w:r w:rsidR="00BA65E6" w:rsidRPr="00D14AFC">
        <w:rPr>
          <w:rFonts w:ascii="Arial" w:hAnsi="Arial" w:cs="Arial"/>
          <w:sz w:val="20"/>
          <w:szCs w:val="20"/>
        </w:rPr>
        <w:t xml:space="preserve"> </w:t>
      </w:r>
      <w:r w:rsidR="005E4C48" w:rsidRPr="00D14AFC">
        <w:rPr>
          <w:rFonts w:ascii="Arial" w:hAnsi="Arial" w:cs="Arial"/>
          <w:sz w:val="20"/>
          <w:szCs w:val="20"/>
        </w:rPr>
        <w:t>s</w:t>
      </w:r>
      <w:r w:rsidR="008E2239" w:rsidRPr="00D14AFC">
        <w:rPr>
          <w:rFonts w:ascii="Arial" w:hAnsi="Arial" w:cs="Arial"/>
          <w:sz w:val="20"/>
          <w:szCs w:val="20"/>
        </w:rPr>
        <w:t xml:space="preserve">cheduled and </w:t>
      </w:r>
      <w:r w:rsidR="005E4C48" w:rsidRPr="00D14AFC">
        <w:rPr>
          <w:rFonts w:ascii="Arial" w:hAnsi="Arial" w:cs="Arial"/>
          <w:sz w:val="20"/>
          <w:szCs w:val="20"/>
        </w:rPr>
        <w:t>a</w:t>
      </w:r>
      <w:r w:rsidR="008E2239" w:rsidRPr="00D14AFC">
        <w:rPr>
          <w:rFonts w:ascii="Arial" w:hAnsi="Arial" w:cs="Arial"/>
          <w:sz w:val="20"/>
          <w:szCs w:val="20"/>
        </w:rPr>
        <w:t>llocated gas</w:t>
      </w:r>
      <w:r w:rsidR="005E4C48" w:rsidRPr="00D14AFC">
        <w:rPr>
          <w:rFonts w:ascii="Arial" w:hAnsi="Arial" w:cs="Arial"/>
          <w:sz w:val="20"/>
          <w:szCs w:val="20"/>
        </w:rPr>
        <w:t xml:space="preserve"> volumes</w:t>
      </w:r>
      <w:r w:rsidR="008E2239" w:rsidRPr="00D14AFC">
        <w:rPr>
          <w:rFonts w:ascii="Arial" w:hAnsi="Arial" w:cs="Arial"/>
          <w:sz w:val="20"/>
          <w:szCs w:val="20"/>
        </w:rPr>
        <w:t xml:space="preserve"> </w:t>
      </w:r>
      <w:r w:rsidR="00E52E2A" w:rsidRPr="00D14AFC">
        <w:rPr>
          <w:rFonts w:ascii="Arial" w:hAnsi="Arial" w:cs="Arial"/>
          <w:sz w:val="20"/>
          <w:szCs w:val="20"/>
        </w:rPr>
        <w:t xml:space="preserve">(excluding MOS) </w:t>
      </w:r>
      <w:r w:rsidR="008E2239" w:rsidRPr="00D14AFC">
        <w:rPr>
          <w:rFonts w:ascii="Arial" w:hAnsi="Arial" w:cs="Arial"/>
          <w:sz w:val="20"/>
          <w:szCs w:val="20"/>
        </w:rPr>
        <w:t xml:space="preserve">by </w:t>
      </w:r>
      <w:r w:rsidR="00BA65E6" w:rsidRPr="00D14AFC">
        <w:rPr>
          <w:rFonts w:ascii="Arial" w:hAnsi="Arial" w:cs="Arial"/>
          <w:sz w:val="20"/>
          <w:szCs w:val="20"/>
        </w:rPr>
        <w:t>STTM facility</w:t>
      </w:r>
    </w:p>
    <w:p w:rsidR="008E2239" w:rsidRPr="002E2E46" w:rsidRDefault="00E34528" w:rsidP="006C6D60">
      <w:pPr>
        <w:pStyle w:val="BodyText"/>
        <w:spacing w:before="120" w:after="0"/>
        <w:jc w:val="center"/>
      </w:pPr>
      <w:r>
        <w:pict>
          <v:shape id="_x0000_i1033" type="#_x0000_t75" style="width:477.75pt;height:213pt">
            <v:imagedata r:id="rId21"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D14AFC">
        <w:rPr>
          <w:rFonts w:ascii="Arial" w:hAnsi="Arial" w:cs="Arial"/>
          <w:sz w:val="20"/>
          <w:szCs w:val="20"/>
        </w:rPr>
        <w:t>Figure 2.4 (a)</w:t>
      </w:r>
      <w:r w:rsidR="002C0499" w:rsidRPr="00D14AFC">
        <w:rPr>
          <w:rFonts w:ascii="Arial" w:hAnsi="Arial" w:cs="Arial"/>
          <w:sz w:val="20"/>
          <w:szCs w:val="20"/>
        </w:rPr>
        <w:t>:</w:t>
      </w:r>
      <w:r w:rsidRPr="00D14AFC">
        <w:rPr>
          <w:rFonts w:ascii="Arial" w:hAnsi="Arial" w:cs="Arial"/>
          <w:sz w:val="20"/>
          <w:szCs w:val="20"/>
        </w:rPr>
        <w:t xml:space="preserve"> SYD</w:t>
      </w:r>
      <w:r w:rsidR="008936C5" w:rsidRPr="00D14AFC">
        <w:rPr>
          <w:rFonts w:ascii="Arial" w:hAnsi="Arial" w:cs="Arial"/>
          <w:sz w:val="20"/>
          <w:szCs w:val="20"/>
        </w:rPr>
        <w:t xml:space="preserve"> STTM MOS allocations (TJ)         </w:t>
      </w:r>
      <w:r w:rsidRPr="00D14AFC">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E34528" w:rsidP="006C6D60">
      <w:pPr>
        <w:jc w:val="center"/>
        <w:rPr>
          <w:color w:val="C0C0C0"/>
          <w:sz w:val="28"/>
          <w:szCs w:val="28"/>
        </w:rPr>
      </w:pPr>
      <w:r>
        <w:pict>
          <v:shape id="_x0000_i1034"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4.49</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5.08</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5.06</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5.60</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6.06</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5.00</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95</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87</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71</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5.08</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5.61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5.60</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5.59</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4.15</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96</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103</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87</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66</w:t>
            </w:r>
          </w:p>
        </w:tc>
      </w:tr>
    </w:tbl>
    <w:p w:rsidR="00157AFD" w:rsidRPr="00D14AFC" w:rsidRDefault="00157AFD" w:rsidP="00157AFD">
      <w:pPr>
        <w:pStyle w:val="AERtableheading-unnumbered"/>
        <w:numPr>
          <w:ilvl w:val="0"/>
          <w:numId w:val="0"/>
        </w:numPr>
        <w:rPr>
          <w:rFonts w:ascii="Arial" w:hAnsi="Arial" w:cs="Arial"/>
          <w:sz w:val="19"/>
          <w:szCs w:val="19"/>
        </w:rPr>
      </w:pPr>
      <w:r w:rsidRPr="00D14AFC">
        <w:rPr>
          <w:rFonts w:ascii="Arial" w:hAnsi="Arial" w:cs="Arial"/>
          <w:sz w:val="19"/>
          <w:szCs w:val="19"/>
        </w:rPr>
        <w:t>Figure 3.2 (a)</w:t>
      </w:r>
      <w:r w:rsidR="002C0499" w:rsidRPr="00D14AFC">
        <w:rPr>
          <w:rFonts w:ascii="Arial" w:hAnsi="Arial" w:cs="Arial"/>
          <w:sz w:val="19"/>
          <w:szCs w:val="19"/>
        </w:rPr>
        <w:t>:</w:t>
      </w:r>
      <w:r w:rsidRPr="00D14AFC">
        <w:rPr>
          <w:rFonts w:ascii="Arial" w:hAnsi="Arial" w:cs="Arial"/>
          <w:sz w:val="19"/>
          <w:szCs w:val="19"/>
        </w:rPr>
        <w:t xml:space="preserve"> Daily hub offers in price bands ($/GJ)     Figure 3.2</w:t>
      </w:r>
      <w:r w:rsidR="00C80FD8" w:rsidRPr="00D14AFC">
        <w:rPr>
          <w:rFonts w:ascii="Arial" w:hAnsi="Arial" w:cs="Arial"/>
          <w:sz w:val="19"/>
          <w:szCs w:val="19"/>
        </w:rPr>
        <w:t xml:space="preserve"> </w:t>
      </w:r>
      <w:r w:rsidRPr="00D14AFC">
        <w:rPr>
          <w:rFonts w:ascii="Arial" w:hAnsi="Arial" w:cs="Arial"/>
          <w:sz w:val="19"/>
          <w:szCs w:val="19"/>
        </w:rPr>
        <w:t>(b): Daily hub bids in price bands ($/GJ)</w:t>
      </w:r>
    </w:p>
    <w:p w:rsidR="00B66BAB" w:rsidRPr="00FC426D" w:rsidRDefault="00E34528" w:rsidP="00B66BAB">
      <w:pPr>
        <w:pStyle w:val="FigheadingA"/>
        <w:numPr>
          <w:ilvl w:val="0"/>
          <w:numId w:val="0"/>
        </w:numPr>
        <w:spacing w:before="120" w:after="0"/>
        <w:ind w:left="1134" w:hanging="1134"/>
        <w:jc w:val="center"/>
      </w:pPr>
      <w:r>
        <w:pict>
          <v:shape id="_x0000_i1035" type="#_x0000_t75" style="width:475.5pt;height:183pt">
            <v:imagedata r:id="rId23" o:title=""/>
          </v:shape>
        </w:pict>
      </w:r>
      <w:r w:rsidR="00B66BAB" w:rsidRPr="00452AAD" w:rsidDel="00452AAD">
        <w:t xml:space="preserve"> </w:t>
      </w:r>
    </w:p>
    <w:p w:rsidR="00B66BAB" w:rsidRPr="00D14AFC" w:rsidRDefault="00E52E2A" w:rsidP="00BE18D0">
      <w:pPr>
        <w:pStyle w:val="AERfigureheading"/>
        <w:numPr>
          <w:ilvl w:val="5"/>
          <w:numId w:val="47"/>
        </w:numPr>
        <w:tabs>
          <w:tab w:val="clear" w:pos="1361"/>
          <w:tab w:val="num" w:pos="1260"/>
        </w:tabs>
        <w:rPr>
          <w:rFonts w:ascii="Arial" w:hAnsi="Arial" w:cs="Arial"/>
          <w:sz w:val="20"/>
          <w:szCs w:val="20"/>
        </w:rPr>
      </w:pPr>
      <w:r w:rsidRPr="00D14AFC">
        <w:rPr>
          <w:rFonts w:ascii="Arial" w:hAnsi="Arial" w:cs="Arial"/>
          <w:sz w:val="20"/>
          <w:szCs w:val="20"/>
        </w:rPr>
        <w:t>ADL net scheduled and allocated gas volumes (excluding MOS) by STTM facility</w:t>
      </w:r>
    </w:p>
    <w:p w:rsidR="00B66BAB" w:rsidRPr="002E2E46" w:rsidRDefault="00E34528" w:rsidP="00B66BAB">
      <w:pPr>
        <w:pStyle w:val="BodyText"/>
        <w:spacing w:before="120" w:after="0"/>
        <w:jc w:val="center"/>
      </w:pPr>
      <w:r>
        <w:pict>
          <v:shape id="_x0000_i1036" type="#_x0000_t75" style="width:477.75pt;height:130.5pt">
            <v:imagedata r:id="rId24"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14AFC">
        <w:rPr>
          <w:rFonts w:ascii="Arial" w:hAnsi="Arial" w:cs="Arial"/>
          <w:sz w:val="20"/>
          <w:szCs w:val="20"/>
        </w:rPr>
        <w:t>Figure 3.4 (a)</w:t>
      </w:r>
      <w:r w:rsidR="002C0499" w:rsidRPr="00D14AFC">
        <w:rPr>
          <w:rFonts w:ascii="Arial" w:hAnsi="Arial" w:cs="Arial"/>
          <w:sz w:val="20"/>
          <w:szCs w:val="20"/>
        </w:rPr>
        <w:t>:</w:t>
      </w:r>
      <w:r w:rsidRPr="00D14AFC">
        <w:rPr>
          <w:rFonts w:ascii="Arial" w:hAnsi="Arial" w:cs="Arial"/>
          <w:sz w:val="20"/>
          <w:szCs w:val="20"/>
        </w:rPr>
        <w:t xml:space="preserve"> ADL </w:t>
      </w:r>
      <w:r w:rsidR="005C68CE" w:rsidRPr="00D14AFC">
        <w:rPr>
          <w:rFonts w:ascii="Arial" w:hAnsi="Arial" w:cs="Arial"/>
          <w:sz w:val="20"/>
          <w:szCs w:val="20"/>
        </w:rPr>
        <w:t xml:space="preserve">STTM </w:t>
      </w:r>
      <w:r w:rsidRPr="00D14AFC">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E34528" w:rsidP="00B66BAB">
      <w:pPr>
        <w:jc w:val="center"/>
      </w:pPr>
      <w:r>
        <w:pict>
          <v:shape id="_x0000_i1037" type="#_x0000_t75" style="width:476.25pt;height:180.7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3.51</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4.60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3.39</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97</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100</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85</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3.51</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4.60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4.65</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3.52</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2.80</w:t>
            </w:r>
          </w:p>
        </w:tc>
      </w:tr>
      <w:tr w:rsidR="00B94695" w:rsidRPr="00B76529" w:rsidTr="002861A9">
        <w:trPr>
          <w:trHeight w:val="255"/>
        </w:trPr>
        <w:tc>
          <w:tcPr>
            <w:tcW w:w="2160" w:type="dxa"/>
            <w:noWrap/>
            <w:tcMar>
              <w:top w:w="0" w:type="dxa"/>
              <w:bottom w:w="0" w:type="dxa"/>
            </w:tcMar>
            <w:vAlign w:val="center"/>
          </w:tcPr>
          <w:p w:rsidR="00B94695" w:rsidRPr="002861A9" w:rsidRDefault="00B94695"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97</w:t>
            </w:r>
          </w:p>
        </w:tc>
        <w:tc>
          <w:tcPr>
            <w:tcW w:w="1028"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B94695" w:rsidRDefault="00B94695" w:rsidP="00B94695">
            <w:pPr>
              <w:jc w:val="center"/>
              <w:rPr>
                <w:rFonts w:ascii="Arial" w:hAnsi="Arial" w:cs="Arial"/>
                <w:sz w:val="20"/>
                <w:szCs w:val="20"/>
              </w:rPr>
            </w:pPr>
            <w:r>
              <w:rPr>
                <w:rFonts w:ascii="Arial" w:hAnsi="Arial" w:cs="Arial"/>
                <w:sz w:val="20"/>
                <w:szCs w:val="20"/>
              </w:rPr>
              <w:t>102</w:t>
            </w:r>
          </w:p>
        </w:tc>
        <w:tc>
          <w:tcPr>
            <w:tcW w:w="1028"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95</w:t>
            </w:r>
          </w:p>
        </w:tc>
        <w:tc>
          <w:tcPr>
            <w:tcW w:w="1029" w:type="dxa"/>
            <w:noWrap/>
            <w:tcMar>
              <w:top w:w="0" w:type="dxa"/>
              <w:bottom w:w="0" w:type="dxa"/>
            </w:tcMar>
            <w:vAlign w:val="center"/>
          </w:tcPr>
          <w:p w:rsidR="00B94695" w:rsidRDefault="00B94695">
            <w:pPr>
              <w:jc w:val="center"/>
              <w:rPr>
                <w:rFonts w:ascii="Arial" w:hAnsi="Arial" w:cs="Arial"/>
                <w:sz w:val="20"/>
                <w:szCs w:val="20"/>
              </w:rPr>
            </w:pPr>
            <w:r>
              <w:rPr>
                <w:rFonts w:ascii="Arial" w:hAnsi="Arial" w:cs="Arial"/>
                <w:sz w:val="20"/>
                <w:szCs w:val="20"/>
              </w:rPr>
              <w:t>82</w:t>
            </w:r>
          </w:p>
        </w:tc>
      </w:tr>
    </w:tbl>
    <w:p w:rsidR="00157AFD" w:rsidRPr="00D14AFC" w:rsidRDefault="00157AFD" w:rsidP="00157AFD">
      <w:pPr>
        <w:pStyle w:val="AERtableheading-unnumbered"/>
        <w:numPr>
          <w:ilvl w:val="0"/>
          <w:numId w:val="0"/>
        </w:numPr>
        <w:rPr>
          <w:rFonts w:ascii="Arial" w:hAnsi="Arial" w:cs="Arial"/>
          <w:sz w:val="19"/>
          <w:szCs w:val="19"/>
        </w:rPr>
      </w:pPr>
      <w:r w:rsidRPr="00D14AFC">
        <w:rPr>
          <w:rFonts w:ascii="Arial" w:hAnsi="Arial" w:cs="Arial"/>
          <w:sz w:val="19"/>
          <w:szCs w:val="19"/>
        </w:rPr>
        <w:t>Figure 4.2 (a)</w:t>
      </w:r>
      <w:r w:rsidR="002C0499" w:rsidRPr="00D14AFC">
        <w:rPr>
          <w:rFonts w:ascii="Arial" w:hAnsi="Arial" w:cs="Arial"/>
          <w:sz w:val="19"/>
          <w:szCs w:val="19"/>
        </w:rPr>
        <w:t>:</w:t>
      </w:r>
      <w:r w:rsidRPr="00D14AFC">
        <w:rPr>
          <w:rFonts w:ascii="Arial" w:hAnsi="Arial" w:cs="Arial"/>
          <w:sz w:val="19"/>
          <w:szCs w:val="19"/>
        </w:rPr>
        <w:t xml:space="preserve"> Daily hub offers in price bands ($/GJ)     Figure 4.2</w:t>
      </w:r>
      <w:r w:rsidR="00C80FD8" w:rsidRPr="00D14AFC">
        <w:rPr>
          <w:rFonts w:ascii="Arial" w:hAnsi="Arial" w:cs="Arial"/>
          <w:sz w:val="19"/>
          <w:szCs w:val="19"/>
        </w:rPr>
        <w:t xml:space="preserve"> </w:t>
      </w:r>
      <w:r w:rsidRPr="00D14AFC">
        <w:rPr>
          <w:rFonts w:ascii="Arial" w:hAnsi="Arial" w:cs="Arial"/>
          <w:sz w:val="19"/>
          <w:szCs w:val="19"/>
        </w:rPr>
        <w:t>(b): Daily hub bids in price bands ($/GJ)</w:t>
      </w:r>
    </w:p>
    <w:p w:rsidR="00B66BAB" w:rsidRPr="00FC426D" w:rsidRDefault="00E34528" w:rsidP="00B66BAB">
      <w:pPr>
        <w:pStyle w:val="FigheadingA"/>
        <w:numPr>
          <w:ilvl w:val="0"/>
          <w:numId w:val="0"/>
        </w:numPr>
        <w:spacing w:before="120" w:after="0"/>
        <w:ind w:left="1134" w:hanging="1134"/>
        <w:jc w:val="center"/>
      </w:pPr>
      <w:r>
        <w:pict>
          <v:shape id="_x0000_i1038" type="#_x0000_t75" style="width:475.5pt;height:182.25pt">
            <v:imagedata r:id="rId26" o:title=""/>
          </v:shape>
        </w:pict>
      </w:r>
      <w:r w:rsidR="00B66BAB" w:rsidRPr="00452AAD" w:rsidDel="00452AAD">
        <w:t xml:space="preserve"> </w:t>
      </w:r>
    </w:p>
    <w:p w:rsidR="00B66BAB" w:rsidRPr="00D14AFC" w:rsidRDefault="00E52E2A" w:rsidP="00BE18D0">
      <w:pPr>
        <w:pStyle w:val="AERfigureheading"/>
        <w:numPr>
          <w:ilvl w:val="5"/>
          <w:numId w:val="49"/>
        </w:numPr>
        <w:tabs>
          <w:tab w:val="clear" w:pos="1361"/>
          <w:tab w:val="num" w:pos="1260"/>
        </w:tabs>
        <w:rPr>
          <w:rFonts w:ascii="Arial" w:hAnsi="Arial" w:cs="Arial"/>
          <w:sz w:val="20"/>
          <w:szCs w:val="20"/>
        </w:rPr>
      </w:pPr>
      <w:r w:rsidRPr="00D14AFC">
        <w:rPr>
          <w:rFonts w:ascii="Arial" w:hAnsi="Arial" w:cs="Arial"/>
          <w:sz w:val="20"/>
          <w:szCs w:val="20"/>
        </w:rPr>
        <w:t>BRI net scheduled and allocated gas volumes (excluding MOS) by STTM facility</w:t>
      </w:r>
    </w:p>
    <w:p w:rsidR="00B66BAB" w:rsidRPr="002E2E46" w:rsidRDefault="00E34528" w:rsidP="00B66BAB">
      <w:pPr>
        <w:pStyle w:val="BodyText"/>
        <w:spacing w:before="120" w:after="0"/>
        <w:jc w:val="center"/>
      </w:pPr>
      <w:r>
        <w:pict>
          <v:shape id="_x0000_i1039" type="#_x0000_t75" style="width:477.75pt;height:134.25pt">
            <v:imagedata r:id="rId27"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14AFC">
        <w:rPr>
          <w:rFonts w:ascii="Arial" w:hAnsi="Arial" w:cs="Arial"/>
          <w:sz w:val="20"/>
          <w:szCs w:val="20"/>
        </w:rPr>
        <w:t>Figure 4.4 (a)</w:t>
      </w:r>
      <w:r w:rsidR="002C0499" w:rsidRPr="00D14AFC">
        <w:rPr>
          <w:rFonts w:ascii="Arial" w:hAnsi="Arial" w:cs="Arial"/>
          <w:sz w:val="20"/>
          <w:szCs w:val="20"/>
        </w:rPr>
        <w:t>:</w:t>
      </w:r>
      <w:r w:rsidRPr="00D14AFC">
        <w:rPr>
          <w:rFonts w:ascii="Arial" w:hAnsi="Arial" w:cs="Arial"/>
          <w:sz w:val="20"/>
          <w:szCs w:val="20"/>
        </w:rPr>
        <w:t xml:space="preserve"> BRI </w:t>
      </w:r>
      <w:r w:rsidR="005C68CE" w:rsidRPr="00D14AFC">
        <w:rPr>
          <w:rFonts w:ascii="Arial" w:hAnsi="Arial" w:cs="Arial"/>
          <w:sz w:val="20"/>
          <w:szCs w:val="20"/>
        </w:rPr>
        <w:t xml:space="preserve">STTM </w:t>
      </w:r>
      <w:r w:rsidRPr="00D14AFC">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E34528" w:rsidP="00452149">
      <w:pPr>
        <w:jc w:val="center"/>
      </w:pPr>
      <w:r>
        <w:pict>
          <v:shape id="_x0000_i1040" type="#_x0000_t75" style="width:475.5pt;height:180.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11"/>
      </w:r>
      <w:r>
        <w:t xml:space="preserve"> for each gas market are provided.</w:t>
      </w:r>
      <w:r w:rsidR="005F18AD">
        <w:t xml:space="preserve"> </w:t>
      </w:r>
    </w:p>
    <w:p w:rsidR="005F18AD" w:rsidRPr="00D14AFC" w:rsidRDefault="005F18AD" w:rsidP="00750C0F">
      <w:pPr>
        <w:pStyle w:val="AERfigureheading"/>
        <w:tabs>
          <w:tab w:val="clear" w:pos="1361"/>
          <w:tab w:val="num" w:pos="1260"/>
        </w:tabs>
        <w:spacing w:before="120"/>
        <w:ind w:left="1260" w:hanging="1260"/>
        <w:rPr>
          <w:rFonts w:ascii="Arial" w:hAnsi="Arial" w:cs="Arial"/>
          <w:sz w:val="16"/>
          <w:szCs w:val="16"/>
        </w:rPr>
      </w:pPr>
      <w:r w:rsidRPr="00D14AFC">
        <w:rPr>
          <w:rFonts w:ascii="Arial" w:hAnsi="Arial" w:cs="Arial"/>
          <w:sz w:val="20"/>
          <w:szCs w:val="20"/>
        </w:rPr>
        <w:t xml:space="preserve">Gas </w:t>
      </w:r>
      <w:r w:rsidR="001B294E" w:rsidRPr="00D14AFC">
        <w:rPr>
          <w:rFonts w:ascii="Arial" w:hAnsi="Arial" w:cs="Arial"/>
          <w:sz w:val="20"/>
          <w:szCs w:val="20"/>
        </w:rPr>
        <w:t>market data ($/GJ, TJ); Production, Consumption and Pipeline flows (TJ)</w:t>
      </w:r>
    </w:p>
    <w:bookmarkEnd w:id="0"/>
    <w:bookmarkEnd w:id="1"/>
    <w:p w:rsidR="005A6687" w:rsidRDefault="00E34528" w:rsidP="003C5272">
      <w:r>
        <w:pict>
          <v:shape id="Picture 1" o:spid="_x0000_i1041" type="#_x0000_t75" style="width:451.5pt;height:584.25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2"/>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9E74E3" w:rsidRPr="008C0203" w:rsidRDefault="00B94695" w:rsidP="009E74E3">
      <w:pPr>
        <w:spacing w:before="120" w:after="120"/>
        <w:jc w:val="both"/>
        <w:rPr>
          <w:rFonts w:eastAsia="MS Mincho"/>
        </w:rPr>
      </w:pPr>
      <w:r w:rsidRPr="008C0203">
        <w:rPr>
          <w:rFonts w:eastAsia="MS Mincho"/>
        </w:rPr>
        <w:t>There were 19 trades this week for daily and day-ahead products on the RBP and SWQP at a volume weighted price of $3.98/GJ. The RBP saw 107 TJ of gas traded at a volume weighted price of $3.95/GJ, while the SWQP saw 15 TJ traded at a volume weighted price of $4.15/GJ</w:t>
      </w:r>
      <w:r w:rsidR="008C0203" w:rsidRPr="008C0203">
        <w:rPr>
          <w:rFonts w:eastAsia="MS Mincho"/>
        </w:rPr>
        <w:t>.</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3"/>
      </w:r>
      <w:r>
        <w:rPr>
          <w:rFonts w:ascii="Times New Roman" w:eastAsia="Times New Roman" w:hAnsi="Times New Roman"/>
          <w:sz w:val="24"/>
          <w:szCs w:val="24"/>
        </w:rPr>
        <w:t xml:space="preserve"> on each gas day and trading day </w:t>
      </w:r>
      <w:r w:rsidRPr="00B94695">
        <w:rPr>
          <w:rFonts w:ascii="Times New Roman" w:eastAsia="Times New Roman" w:hAnsi="Times New Roman"/>
          <w:sz w:val="24"/>
          <w:szCs w:val="24"/>
        </w:rPr>
        <w:t xml:space="preserve">from </w:t>
      </w:r>
      <w:r w:rsidR="00B94695" w:rsidRPr="00B94695">
        <w:rPr>
          <w:rFonts w:ascii="Times New Roman" w:eastAsia="Times New Roman" w:hAnsi="Times New Roman"/>
          <w:sz w:val="24"/>
          <w:szCs w:val="24"/>
        </w:rPr>
        <w:t>31 </w:t>
      </w:r>
      <w:r w:rsidRPr="00B94695">
        <w:rPr>
          <w:rFonts w:ascii="Times New Roman" w:eastAsia="Times New Roman" w:hAnsi="Times New Roman"/>
          <w:sz w:val="24"/>
          <w:szCs w:val="24"/>
        </w:rPr>
        <w:t>May</w:t>
      </w:r>
      <w:r w:rsidR="00B94695" w:rsidRPr="00B94695">
        <w:rPr>
          <w:rFonts w:ascii="Times New Roman" w:eastAsia="Times New Roman" w:hAnsi="Times New Roman"/>
          <w:sz w:val="24"/>
          <w:szCs w:val="24"/>
        </w:rPr>
        <w:t xml:space="preserve"> to 6 June</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E34528" w:rsidP="002052B6">
      <w:pPr>
        <w:spacing w:before="120" w:after="120"/>
        <w:jc w:val="both"/>
        <w:rPr>
          <w:rFonts w:eastAsia="MS Mincho"/>
          <w:color w:val="FF0000"/>
        </w:rPr>
      </w:pPr>
      <w:r>
        <w:rPr>
          <w:rFonts w:eastAsia="MS Mincho"/>
        </w:rPr>
        <w:pict>
          <v:shape id="_x0000_i1042" type="#_x0000_t75" style="width:475.5pt;height:201.75pt">
            <v:imagedata r:id="rId30"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061D45">
      <w:rPr>
        <w:noProof/>
      </w:rPr>
      <w:t>2</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29" w:rsidRDefault="00491029" w:rsidP="00491029">
    <w:pPr>
      <w:pBdr>
        <w:top w:val="single" w:sz="4" w:space="0" w:color="auto"/>
      </w:pBdr>
      <w:ind w:left="-284" w:right="-329" w:firstLine="284"/>
      <w:jc w:val="center"/>
      <w:rPr>
        <w:i/>
        <w:sz w:val="20"/>
      </w:rPr>
    </w:pPr>
    <w:r>
      <w:rPr>
        <w:i/>
        <w:sz w:val="20"/>
      </w:rPr>
      <w:t>© Commonwealth of Australia.</w:t>
    </w:r>
  </w:p>
  <w:p w:rsidR="00491029" w:rsidRPr="002D773A" w:rsidRDefault="00491029" w:rsidP="00491029">
    <w:pPr>
      <w:jc w:val="center"/>
    </w:pPr>
    <w:r>
      <w:fldChar w:fldCharType="begin"/>
    </w:r>
    <w:r>
      <w:instrText xml:space="preserve"> PAGE  \* MERGEFORMAT </w:instrText>
    </w:r>
    <w:r>
      <w:fldChar w:fldCharType="separate"/>
    </w:r>
    <w:r w:rsidR="00061D45">
      <w:rPr>
        <w:noProof/>
      </w:rPr>
      <w:t>1</w:t>
    </w:r>
    <w:r>
      <w:fldChar w:fldCharType="end"/>
    </w:r>
  </w:p>
  <w:p w:rsidR="001273C3" w:rsidRPr="001273C3" w:rsidRDefault="00491029" w:rsidP="001273C3">
    <w:pPr>
      <w:pStyle w:val="Footer"/>
      <w:jc w:val="right"/>
      <w:rPr>
        <w:rFonts w:cs="Arial"/>
        <w:i/>
      </w:rPr>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1273C3">
      <w:rPr>
        <w:rFonts w:cs="Arial"/>
        <w:i/>
      </w:rPr>
      <w:t>82265</w:t>
    </w:r>
  </w:p>
  <w:p w:rsidR="00491029" w:rsidRDefault="00491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1041B8" w:rsidRDefault="001041B8" w:rsidP="001041B8">
      <w:pPr>
        <w:pStyle w:val="FootnoteText"/>
        <w:jc w:val="both"/>
      </w:pPr>
      <w:r>
        <w:rPr>
          <w:rStyle w:val="FootnoteReference"/>
        </w:rPr>
        <w:footnoteRef/>
      </w:r>
      <w:r>
        <w:t xml:space="preserve"> </w:t>
      </w:r>
      <w:r>
        <w:tab/>
        <w:t>The daily imbalance price reached $7.03/GJ on 2 June.</w:t>
      </w:r>
    </w:p>
  </w:footnote>
  <w:footnote w:id="3">
    <w:p w:rsidR="001041B8" w:rsidRDefault="001041B8" w:rsidP="001041B8">
      <w:pPr>
        <w:pStyle w:val="FootnoteText"/>
        <w:jc w:val="both"/>
      </w:pPr>
      <w:r>
        <w:rPr>
          <w:rStyle w:val="FootnoteReference"/>
        </w:rPr>
        <w:footnoteRef/>
      </w:r>
      <w:r>
        <w:t xml:space="preserve"> </w:t>
      </w:r>
      <w:r>
        <w:tab/>
        <w:t>Additional deliveries on the Moomba to Sydney and Moomba to Adelaide pipelines also coincided with a significant increase in gas flowing from Queensland into South Australia</w:t>
      </w:r>
      <w:r w:rsidRPr="00B07562">
        <w:t xml:space="preserve"> </w:t>
      </w:r>
      <w:r>
        <w:t>on the South West Queensland Pipeline through the QSN Link.</w:t>
      </w:r>
    </w:p>
  </w:footnote>
  <w:footnote w:id="4">
    <w:p w:rsidR="001041B8" w:rsidRDefault="001041B8" w:rsidP="001041B8">
      <w:pPr>
        <w:pStyle w:val="FootnoteText"/>
      </w:pPr>
      <w:r>
        <w:rPr>
          <w:rStyle w:val="FootnoteReference"/>
        </w:rPr>
        <w:footnoteRef/>
      </w:r>
      <w:r>
        <w:t xml:space="preserve"> </w:t>
      </w:r>
      <w:r>
        <w:tab/>
      </w:r>
      <w:r>
        <w:rPr>
          <w:rFonts w:eastAsia="MS Mincho"/>
        </w:rPr>
        <w:t>An AMBER flag indicates a likelihood of voluntary or contractual load shedding.</w:t>
      </w:r>
    </w:p>
  </w:footnote>
  <w:footnote w:id="5">
    <w:p w:rsidR="001041B8" w:rsidRDefault="001041B8" w:rsidP="001041B8">
      <w:pPr>
        <w:pStyle w:val="FootnoteText"/>
        <w:jc w:val="both"/>
      </w:pPr>
      <w:r>
        <w:rPr>
          <w:rStyle w:val="FootnoteReference"/>
        </w:rPr>
        <w:footnoteRef/>
      </w:r>
      <w:r>
        <w:t xml:space="preserve"> </w:t>
      </w:r>
      <w:r>
        <w:tab/>
      </w:r>
      <w:r w:rsidRPr="008B738E">
        <w:t xml:space="preserve">The CCP forms part of a mechanism used to compensate shippers with firm transportation rights when two conditions are met. Firstly, quantities of firm gas are unscheduled because of a constraint and secondly non-firm or as available gas quantities are scheduled </w:t>
      </w:r>
      <w:r>
        <w:t xml:space="preserve">at a lower price </w:t>
      </w:r>
      <w:r w:rsidRPr="008B738E">
        <w:t>(ahead of this firm gas).</w:t>
      </w:r>
      <w:r>
        <w:t xml:space="preserve"> Compensation payments are made to shippers with firm haulage priority by shippers that were scheduled with a lower haulage priority on the constrained pipeline.</w:t>
      </w:r>
    </w:p>
  </w:footnote>
  <w:footnote w:id="6">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7">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F67024">
        <w:rPr>
          <w:sz w:val="18"/>
          <w:szCs w:val="18"/>
        </w:rPr>
        <w:t>System Injection Point (SIP)</w:t>
      </w:r>
      <w:r w:rsidRPr="00DB0182">
        <w:rPr>
          <w:sz w:val="18"/>
          <w:szCs w:val="18"/>
        </w:rPr>
        <w:t xml:space="preserve"> from time to time.</w:t>
      </w:r>
    </w:p>
  </w:footnote>
  <w:footnote w:id="8">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9">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10">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1">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2">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50531-20150606 gas weekly report (D2015-00082265).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1D45"/>
    <w:rsid w:val="0006609A"/>
    <w:rsid w:val="00073D01"/>
    <w:rsid w:val="00076046"/>
    <w:rsid w:val="000813BF"/>
    <w:rsid w:val="000876E7"/>
    <w:rsid w:val="000974A2"/>
    <w:rsid w:val="00097D40"/>
    <w:rsid w:val="000B4A1F"/>
    <w:rsid w:val="000B6397"/>
    <w:rsid w:val="000B69E0"/>
    <w:rsid w:val="000C1FB5"/>
    <w:rsid w:val="000D1FEB"/>
    <w:rsid w:val="000E1F9A"/>
    <w:rsid w:val="000F0BBB"/>
    <w:rsid w:val="000F3B46"/>
    <w:rsid w:val="000F59F8"/>
    <w:rsid w:val="000F5F5E"/>
    <w:rsid w:val="000F6D05"/>
    <w:rsid w:val="001041B8"/>
    <w:rsid w:val="00117C98"/>
    <w:rsid w:val="00125818"/>
    <w:rsid w:val="001273C3"/>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0EFB"/>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29DA"/>
    <w:rsid w:val="002B3D3C"/>
    <w:rsid w:val="002B4D21"/>
    <w:rsid w:val="002C0499"/>
    <w:rsid w:val="002C2576"/>
    <w:rsid w:val="002D0C16"/>
    <w:rsid w:val="002D59B3"/>
    <w:rsid w:val="002D5CEC"/>
    <w:rsid w:val="002E0688"/>
    <w:rsid w:val="002E2C96"/>
    <w:rsid w:val="002E2E46"/>
    <w:rsid w:val="002E7E9E"/>
    <w:rsid w:val="002F0AE7"/>
    <w:rsid w:val="002F1CC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D11EA"/>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DBF"/>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1548"/>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203"/>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4676C"/>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2855"/>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4695"/>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4AFC"/>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2780"/>
    <w:rsid w:val="00E16C03"/>
    <w:rsid w:val="00E2256B"/>
    <w:rsid w:val="00E27FEA"/>
    <w:rsid w:val="00E34528"/>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371E"/>
    <w:rsid w:val="00ED5E08"/>
    <w:rsid w:val="00EE2B5F"/>
    <w:rsid w:val="00EE51D2"/>
    <w:rsid w:val="00EE6F2C"/>
    <w:rsid w:val="00EF195B"/>
    <w:rsid w:val="00EF4E45"/>
    <w:rsid w:val="00EF6B0C"/>
    <w:rsid w:val="00F01843"/>
    <w:rsid w:val="00F02D8D"/>
    <w:rsid w:val="00F148E7"/>
    <w:rsid w:val="00F16C55"/>
    <w:rsid w:val="00F25FA8"/>
    <w:rsid w:val="00F415E2"/>
    <w:rsid w:val="00F427B4"/>
    <w:rsid w:val="00F45735"/>
    <w:rsid w:val="00F50297"/>
    <w:rsid w:val="00F51FA1"/>
    <w:rsid w:val="00F5594F"/>
    <w:rsid w:val="00F55D61"/>
    <w:rsid w:val="00F603BE"/>
    <w:rsid w:val="00F63042"/>
    <w:rsid w:val="00F67024"/>
    <w:rsid w:val="00F67559"/>
    <w:rsid w:val="00F71200"/>
    <w:rsid w:val="00F73811"/>
    <w:rsid w:val="00F73DCA"/>
    <w:rsid w:val="00F76C75"/>
    <w:rsid w:val="00F77722"/>
    <w:rsid w:val="00F803DE"/>
    <w:rsid w:val="00F96C04"/>
    <w:rsid w:val="00FA73A6"/>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8FF65-B5D6-4C91-9BBA-FD7BD02F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F324D7D</Template>
  <TotalTime>0</TotalTime>
  <Pages>11</Pages>
  <Words>1992</Words>
  <Characters>9358</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11328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2015-06-24T07:03:00Z</dcterms:created>
  <dcterms:modified xsi:type="dcterms:W3CDTF">2015-06-24T07:03:00Z</dcterms:modified>
</cp:coreProperties>
</file>