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581427E9" wp14:editId="184BF6AE">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7B7" w:rsidRPr="000E2946" w:rsidRDefault="00BE67B7" w:rsidP="000E2946">
                            <w:pPr>
                              <w:pStyle w:val="Title"/>
                            </w:pPr>
                            <w:r w:rsidRPr="000E2946">
                              <w:t>Electricity Report</w:t>
                            </w:r>
                          </w:p>
                          <w:p w:rsidR="00BE67B7" w:rsidRPr="000E2946" w:rsidRDefault="00BE67B7" w:rsidP="000E2946">
                            <w:pPr>
                              <w:pStyle w:val="Title"/>
                            </w:pPr>
                            <w:r>
                              <w:t>24</w:t>
                            </w:r>
                            <w:r w:rsidRPr="000E2946">
                              <w:t xml:space="preserve"> – </w:t>
                            </w:r>
                            <w:r>
                              <w:t>30</w:t>
                            </w:r>
                            <w:r w:rsidRPr="000E2946">
                              <w:t xml:space="preserve"> </w:t>
                            </w:r>
                            <w:r>
                              <w:t>May</w:t>
                            </w:r>
                            <w:r w:rsidRPr="000E2946">
                              <w:t xml:space="preserve"> 2015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BE67B7" w:rsidRPr="000E2946" w:rsidRDefault="00BE67B7" w:rsidP="000E2946">
                      <w:pPr>
                        <w:pStyle w:val="Title"/>
                      </w:pPr>
                      <w:r w:rsidRPr="000E2946">
                        <w:t>Electricity Report</w:t>
                      </w:r>
                    </w:p>
                    <w:p w:rsidR="00BE67B7" w:rsidRPr="000E2946" w:rsidRDefault="00BE67B7" w:rsidP="000E2946">
                      <w:pPr>
                        <w:pStyle w:val="Title"/>
                      </w:pPr>
                      <w:r>
                        <w:t>24</w:t>
                      </w:r>
                      <w:r w:rsidRPr="000E2946">
                        <w:t xml:space="preserve"> – </w:t>
                      </w:r>
                      <w:r>
                        <w:t>30</w:t>
                      </w:r>
                      <w:r w:rsidRPr="000E2946">
                        <w:t xml:space="preserve"> </w:t>
                      </w:r>
                      <w:r>
                        <w:t>May</w:t>
                      </w:r>
                      <w:r w:rsidRPr="000E2946">
                        <w:t xml:space="preserve"> 2015 </w:t>
                      </w:r>
                    </w:p>
                  </w:txbxContent>
                </v:textbox>
              </v:shape>
            </w:pict>
          </mc:Fallback>
        </mc:AlternateContent>
      </w:r>
      <w:r w:rsidRPr="0031019A">
        <w:rPr>
          <w:noProof/>
          <w:lang w:eastAsia="en-AU"/>
        </w:rPr>
        <w:drawing>
          <wp:inline distT="0" distB="0" distL="0" distR="0" wp14:anchorId="35432D4E" wp14:editId="6D2DD6BC">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w:t>
      </w:r>
      <w:bookmarkStart w:id="6" w:name="_GoBack"/>
      <w:bookmarkEnd w:id="6"/>
      <w:r w:rsidRPr="0031019A">
        <w:t>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AD13A2" w:rsidRDefault="001D0CE3" w:rsidP="009A3D22">
      <w:pPr>
        <w:jc w:val="both"/>
      </w:pPr>
      <w:r w:rsidRPr="00AD13A2">
        <w:rPr>
          <w:rFonts w:cs="Arial"/>
        </w:rPr>
        <w:fldChar w:fldCharType="begin"/>
      </w:r>
      <w:r w:rsidRPr="00AD13A2">
        <w:rPr>
          <w:rFonts w:cs="Arial"/>
        </w:rPr>
        <w:instrText xml:space="preserve"> REF _Ref410382491 \h </w:instrText>
      </w:r>
      <w:r w:rsidRPr="00AD13A2">
        <w:rPr>
          <w:rFonts w:cs="Arial"/>
        </w:rPr>
      </w:r>
      <w:r w:rsidRPr="00AD13A2">
        <w:rPr>
          <w:rFonts w:cs="Arial"/>
        </w:rPr>
        <w:fldChar w:fldCharType="separate"/>
      </w:r>
      <w:r w:rsidR="00C6094B" w:rsidRPr="000E2946">
        <w:t xml:space="preserve">Figure </w:t>
      </w:r>
      <w:r w:rsidR="00C6094B">
        <w:rPr>
          <w:noProof/>
        </w:rPr>
        <w:t>1</w:t>
      </w:r>
      <w:r w:rsidRPr="00AD13A2">
        <w:rPr>
          <w:rFonts w:cs="Arial"/>
        </w:rPr>
        <w:fldChar w:fldCharType="end"/>
      </w:r>
      <w:r w:rsidRPr="00AD13A2">
        <w:rPr>
          <w:rFonts w:cs="Arial"/>
        </w:rPr>
        <w:t xml:space="preserve"> </w:t>
      </w:r>
      <w:r w:rsidR="00AF7058" w:rsidRPr="00AD13A2">
        <w:rPr>
          <w:rFonts w:cs="Arial"/>
        </w:rPr>
        <w:t xml:space="preserve">shows the spot prices that occurred in each region during the week </w:t>
      </w:r>
      <w:r w:rsidR="00BE28BE">
        <w:rPr>
          <w:rFonts w:cs="Arial"/>
        </w:rPr>
        <w:t>24</w:t>
      </w:r>
      <w:r w:rsidR="0086231D" w:rsidRPr="00AD13A2">
        <w:rPr>
          <w:rFonts w:cs="Arial"/>
        </w:rPr>
        <w:t xml:space="preserve"> to </w:t>
      </w:r>
      <w:r w:rsidR="00BE28BE">
        <w:rPr>
          <w:rFonts w:cs="Arial"/>
        </w:rPr>
        <w:t>30</w:t>
      </w:r>
      <w:r w:rsidR="007E6A82" w:rsidRPr="00AD13A2">
        <w:rPr>
          <w:rFonts w:cs="Arial"/>
        </w:rPr>
        <w:t> </w:t>
      </w:r>
      <w:r w:rsidR="00E577D7" w:rsidRPr="00AD13A2">
        <w:rPr>
          <w:rFonts w:cs="Arial"/>
        </w:rPr>
        <w:t>Ma</w:t>
      </w:r>
      <w:r w:rsidR="00BE28BE">
        <w:rPr>
          <w:rFonts w:cs="Arial"/>
        </w:rPr>
        <w:t>y</w:t>
      </w:r>
      <w:r w:rsidR="00AF7058" w:rsidRPr="00AD13A2">
        <w:rPr>
          <w:rFonts w:cs="Arial"/>
        </w:rPr>
        <w:t xml:space="preserve"> 2015. </w:t>
      </w:r>
      <w:r w:rsidR="00BE6484" w:rsidRPr="00F33F2D">
        <w:t xml:space="preserve">There </w:t>
      </w:r>
      <w:r w:rsidR="00BE6484">
        <w:t>was three occasions</w:t>
      </w:r>
      <w:r w:rsidR="00BE6484" w:rsidRPr="00F33F2D">
        <w:t xml:space="preserve"> where the spot was greater than three times the weekly a</w:t>
      </w:r>
      <w:r w:rsidR="005B2A4E">
        <w:t>verage price and above $250/MWh, o</w:t>
      </w:r>
      <w:r w:rsidR="00BE6484">
        <w:t>ne in Tasmania, one in New South W</w:t>
      </w:r>
      <w:r w:rsidR="005B2A4E">
        <w:t>ales and one in South Australia. These are</w:t>
      </w:r>
      <w:r w:rsidR="00AD13A2" w:rsidRPr="00AD13A2">
        <w:rPr>
          <w:rFonts w:cs="Arial"/>
        </w:rPr>
        <w:t xml:space="preserve"> discussed in the </w:t>
      </w:r>
      <w:proofErr w:type="gramStart"/>
      <w:r w:rsidR="00AD13A2" w:rsidRPr="00AD13A2">
        <w:rPr>
          <w:rFonts w:cs="Arial"/>
          <w:i/>
        </w:rPr>
        <w:t>Detailed</w:t>
      </w:r>
      <w:proofErr w:type="gramEnd"/>
      <w:r w:rsidR="00AD13A2" w:rsidRPr="00AD13A2">
        <w:rPr>
          <w:rFonts w:cs="Arial"/>
          <w:i/>
        </w:rPr>
        <w:t xml:space="preserve"> market analysis of significant price events</w:t>
      </w:r>
      <w:r w:rsidR="00AD13A2" w:rsidRPr="00AD13A2">
        <w:rPr>
          <w:rFonts w:cs="Arial"/>
        </w:rPr>
        <w:t xml:space="preserve"> section. </w:t>
      </w:r>
    </w:p>
    <w:p w:rsidR="00275002" w:rsidRPr="000E2946" w:rsidRDefault="00275002" w:rsidP="000E2946">
      <w:pPr>
        <w:pStyle w:val="Caption"/>
      </w:pPr>
      <w:bookmarkStart w:id="7" w:name="_Ref410382491"/>
      <w:bookmarkStart w:id="8" w:name="OLE_LINK28"/>
      <w:bookmarkStart w:id="9" w:name="OLE_LINK29"/>
      <w:r w:rsidRPr="000E2946">
        <w:t xml:space="preserve">Figure </w:t>
      </w:r>
      <w:fldSimple w:instr=" SEQ Figure \* ARABIC ">
        <w:r w:rsidR="00C6094B">
          <w:rPr>
            <w:noProof/>
          </w:rPr>
          <w:t>1</w:t>
        </w:r>
      </w:fldSimple>
      <w:bookmarkEnd w:id="7"/>
      <w:r w:rsidRPr="000E2946">
        <w:t>: Spot price by region ($/MWh)</w:t>
      </w:r>
    </w:p>
    <w:p w:rsidR="00275002" w:rsidRPr="0031019A" w:rsidRDefault="00BE28BE" w:rsidP="00275002">
      <w:r w:rsidRPr="00BE28BE">
        <w:rPr>
          <w:noProof/>
          <w:lang w:eastAsia="en-AU"/>
        </w:rPr>
        <w:drawing>
          <wp:inline distT="0" distB="0" distL="0" distR="0" wp14:anchorId="1293DC7E" wp14:editId="4D7E7A5B">
            <wp:extent cx="5715000" cy="3805421"/>
            <wp:effectExtent l="0" t="0" r="0" b="5080"/>
            <wp:docPr id="21" name="Picture 21" descr="Figure 1 shows the spot prices for this week in each region. The markers indicate the daily maximum and minimum spot prices in each region." title="Figure 1: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297" cy="3813609"/>
                    </a:xfrm>
                    <a:prstGeom prst="rect">
                      <a:avLst/>
                    </a:prstGeom>
                    <a:noFill/>
                    <a:ln>
                      <a:noFill/>
                    </a:ln>
                  </pic:spPr>
                </pic:pic>
              </a:graphicData>
            </a:graphic>
          </wp:inline>
        </w:drawing>
      </w:r>
    </w:p>
    <w:p w:rsidR="00275002" w:rsidRPr="0031019A" w:rsidRDefault="00275002" w:rsidP="009A3D22">
      <w:pPr>
        <w:jc w:val="both"/>
      </w:pPr>
      <w:r>
        <w:lastRenderedPageBreak/>
        <w:fldChar w:fldCharType="begin"/>
      </w:r>
      <w:r>
        <w:instrText xml:space="preserve"> REF _Ref410382517 \h </w:instrText>
      </w:r>
      <w:r w:rsidR="009A3D22">
        <w:instrText xml:space="preserve"> \* MERGEFORMAT </w:instrText>
      </w:r>
      <w:r>
        <w:fldChar w:fldCharType="separate"/>
      </w:r>
      <w:r w:rsidR="00C6094B">
        <w:t xml:space="preserve">Figure </w:t>
      </w:r>
      <w:r w:rsidR="00C6094B">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C6094B">
        <w:t xml:space="preserve">Table </w:t>
      </w:r>
      <w:r w:rsidR="00C6094B">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10" w:name="_Ref410382517"/>
      <w:r>
        <w:t xml:space="preserve">Figure </w:t>
      </w:r>
      <w:fldSimple w:instr=" SEQ Figure \* ARABIC ">
        <w:r w:rsidR="00C6094B">
          <w:rPr>
            <w:noProof/>
          </w:rPr>
          <w:t>2</w:t>
        </w:r>
      </w:fldSimple>
      <w:bookmarkEnd w:id="10"/>
      <w:r>
        <w:t>:</w:t>
      </w:r>
      <w:r w:rsidRPr="00037176">
        <w:t xml:space="preserve"> Volume weighted average spot price by region ($/MWh)</w:t>
      </w:r>
    </w:p>
    <w:p w:rsidR="00275002" w:rsidRPr="0031019A" w:rsidRDefault="00BE28BE" w:rsidP="00275002">
      <w:r w:rsidRPr="00BE28BE">
        <w:rPr>
          <w:noProof/>
          <w:lang w:eastAsia="en-AU"/>
        </w:rPr>
        <w:drawing>
          <wp:inline distT="0" distB="0" distL="0" distR="0" wp14:anchorId="0828D1D3" wp14:editId="21063A2F">
            <wp:extent cx="5731510" cy="2858866"/>
            <wp:effectExtent l="0" t="0" r="2540" b="0"/>
            <wp:docPr id="22" name="Picture 22" descr="Figure 2 shows the volume weighted average (VWA) prices for this week (with prices shown in Table 1) and the preceding 12 weeks, as well as the VWA price over the previous 3 financial years." title="Figure 2: Volume weighted average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8866"/>
                    </a:xfrm>
                    <a:prstGeom prst="rect">
                      <a:avLst/>
                    </a:prstGeom>
                    <a:noFill/>
                    <a:ln>
                      <a:noFill/>
                    </a:ln>
                  </pic:spPr>
                </pic:pic>
              </a:graphicData>
            </a:graphic>
          </wp:inline>
        </w:drawing>
      </w:r>
    </w:p>
    <w:p w:rsidR="00275002" w:rsidRPr="0031019A" w:rsidRDefault="00275002" w:rsidP="000E2946">
      <w:pPr>
        <w:pStyle w:val="Caption"/>
      </w:pPr>
      <w:bookmarkStart w:id="11" w:name="_Ref410382587"/>
      <w:r>
        <w:t xml:space="preserve">Table </w:t>
      </w:r>
      <w:fldSimple w:instr=" SEQ Table \* ARABIC ">
        <w:r w:rsidR="00C6094B">
          <w:rPr>
            <w:noProof/>
          </w:rPr>
          <w:t>1</w:t>
        </w:r>
      </w:fldSimple>
      <w:bookmarkEnd w:id="11"/>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275002" w:rsidRPr="000E2946" w:rsidTr="006D3ADF">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275002" w:rsidRPr="000E2946" w:rsidRDefault="00275002" w:rsidP="00957591">
            <w:pPr>
              <w:pStyle w:val="TableHeading"/>
            </w:pPr>
            <w:r w:rsidRPr="000E2946">
              <w:t>Region</w:t>
            </w:r>
          </w:p>
        </w:tc>
        <w:tc>
          <w:tcPr>
            <w:tcW w:w="728" w:type="pct"/>
            <w:noWrap/>
            <w:hideMark/>
          </w:tcPr>
          <w:p w:rsidR="00275002" w:rsidRPr="000E2946" w:rsidRDefault="00275002" w:rsidP="00E7472E">
            <w:pPr>
              <w:pStyle w:val="TableHeading"/>
              <w:jc w:val="center"/>
            </w:pPr>
            <w:r w:rsidRPr="000E2946">
              <w:t>Qld</w:t>
            </w:r>
          </w:p>
        </w:tc>
        <w:tc>
          <w:tcPr>
            <w:tcW w:w="729" w:type="pct"/>
            <w:noWrap/>
            <w:hideMark/>
          </w:tcPr>
          <w:p w:rsidR="00275002" w:rsidRPr="000E2946" w:rsidRDefault="00275002" w:rsidP="00E7472E">
            <w:pPr>
              <w:pStyle w:val="TableHeading"/>
              <w:jc w:val="center"/>
            </w:pPr>
            <w:r w:rsidRPr="000E2946">
              <w:t>NSW</w:t>
            </w:r>
          </w:p>
        </w:tc>
        <w:tc>
          <w:tcPr>
            <w:tcW w:w="728" w:type="pct"/>
            <w:noWrap/>
            <w:hideMark/>
          </w:tcPr>
          <w:p w:rsidR="00275002" w:rsidRPr="000E2946" w:rsidRDefault="00275002" w:rsidP="00E7472E">
            <w:pPr>
              <w:pStyle w:val="TableHeading"/>
              <w:jc w:val="center"/>
            </w:pPr>
            <w:r w:rsidRPr="000E2946">
              <w:t>Vic</w:t>
            </w:r>
          </w:p>
        </w:tc>
        <w:tc>
          <w:tcPr>
            <w:tcW w:w="729" w:type="pct"/>
            <w:noWrap/>
            <w:hideMark/>
          </w:tcPr>
          <w:p w:rsidR="00275002" w:rsidRPr="000E2946" w:rsidRDefault="00275002" w:rsidP="00E7472E">
            <w:pPr>
              <w:pStyle w:val="TableHeading"/>
              <w:jc w:val="center"/>
            </w:pPr>
            <w:r w:rsidRPr="000E2946">
              <w:t>SA</w:t>
            </w:r>
          </w:p>
        </w:tc>
        <w:tc>
          <w:tcPr>
            <w:tcW w:w="729" w:type="pct"/>
            <w:noWrap/>
            <w:hideMark/>
          </w:tcPr>
          <w:p w:rsidR="00275002" w:rsidRPr="000E2946" w:rsidRDefault="00275002" w:rsidP="00E7472E">
            <w:pPr>
              <w:pStyle w:val="TableHeading"/>
              <w:jc w:val="center"/>
            </w:pPr>
            <w:proofErr w:type="spellStart"/>
            <w:r w:rsidRPr="000E2946">
              <w:t>Tas</w:t>
            </w:r>
            <w:proofErr w:type="spellEnd"/>
          </w:p>
        </w:tc>
      </w:tr>
      <w:tr w:rsidR="00BE28BE" w:rsidRPr="00F52F00" w:rsidTr="006D3ADF">
        <w:trPr>
          <w:trHeight w:hRule="exact" w:val="340"/>
        </w:trPr>
        <w:tc>
          <w:tcPr>
            <w:tcW w:w="1357" w:type="pct"/>
            <w:noWrap/>
            <w:vAlign w:val="center"/>
            <w:hideMark/>
          </w:tcPr>
          <w:p w:rsidR="00BE28BE" w:rsidRPr="00262F65" w:rsidRDefault="00BE28BE" w:rsidP="00B677C9">
            <w:pPr>
              <w:spacing w:before="0" w:after="0" w:line="240" w:lineRule="auto"/>
              <w:rPr>
                <w:sz w:val="20"/>
                <w:szCs w:val="20"/>
              </w:rPr>
            </w:pPr>
            <w:r w:rsidRPr="00262F65">
              <w:rPr>
                <w:sz w:val="20"/>
                <w:szCs w:val="20"/>
              </w:rPr>
              <w:t>Current week</w:t>
            </w:r>
          </w:p>
        </w:tc>
        <w:tc>
          <w:tcPr>
            <w:tcW w:w="728" w:type="pct"/>
            <w:noWrap/>
            <w:vAlign w:val="center"/>
          </w:tcPr>
          <w:p w:rsidR="00BE28BE" w:rsidRDefault="00BE28BE" w:rsidP="00B677C9">
            <w:pPr>
              <w:spacing w:before="0" w:after="0" w:line="240" w:lineRule="auto"/>
              <w:jc w:val="center"/>
              <w:rPr>
                <w:rFonts w:cs="Arial"/>
                <w:sz w:val="20"/>
                <w:szCs w:val="20"/>
              </w:rPr>
            </w:pPr>
            <w:r>
              <w:rPr>
                <w:rFonts w:cs="Arial"/>
                <w:sz w:val="20"/>
                <w:szCs w:val="20"/>
              </w:rPr>
              <w:t>35</w:t>
            </w:r>
          </w:p>
        </w:tc>
        <w:tc>
          <w:tcPr>
            <w:tcW w:w="729" w:type="pct"/>
            <w:noWrap/>
            <w:vAlign w:val="center"/>
          </w:tcPr>
          <w:p w:rsidR="00BE28BE" w:rsidRDefault="00BE28BE" w:rsidP="00B677C9">
            <w:pPr>
              <w:spacing w:before="0" w:after="0" w:line="240" w:lineRule="auto"/>
              <w:jc w:val="center"/>
              <w:rPr>
                <w:rFonts w:cs="Arial"/>
                <w:sz w:val="20"/>
                <w:szCs w:val="20"/>
              </w:rPr>
            </w:pPr>
            <w:r>
              <w:rPr>
                <w:rFonts w:cs="Arial"/>
                <w:sz w:val="20"/>
                <w:szCs w:val="20"/>
              </w:rPr>
              <w:t>39</w:t>
            </w:r>
          </w:p>
        </w:tc>
        <w:tc>
          <w:tcPr>
            <w:tcW w:w="728" w:type="pct"/>
            <w:noWrap/>
            <w:vAlign w:val="center"/>
          </w:tcPr>
          <w:p w:rsidR="00BE28BE" w:rsidRDefault="00BE28BE" w:rsidP="00B677C9">
            <w:pPr>
              <w:spacing w:before="0" w:after="0" w:line="240" w:lineRule="auto"/>
              <w:jc w:val="center"/>
              <w:rPr>
                <w:rFonts w:cs="Arial"/>
                <w:sz w:val="20"/>
                <w:szCs w:val="20"/>
              </w:rPr>
            </w:pPr>
            <w:r>
              <w:rPr>
                <w:rFonts w:cs="Arial"/>
                <w:sz w:val="20"/>
                <w:szCs w:val="20"/>
              </w:rPr>
              <w:t>34</w:t>
            </w:r>
          </w:p>
        </w:tc>
        <w:tc>
          <w:tcPr>
            <w:tcW w:w="729" w:type="pct"/>
            <w:noWrap/>
            <w:vAlign w:val="center"/>
          </w:tcPr>
          <w:p w:rsidR="00BE28BE" w:rsidRDefault="00BE28BE" w:rsidP="00B677C9">
            <w:pPr>
              <w:spacing w:before="0" w:after="0" w:line="240" w:lineRule="auto"/>
              <w:jc w:val="center"/>
              <w:rPr>
                <w:rFonts w:cs="Arial"/>
                <w:sz w:val="20"/>
                <w:szCs w:val="20"/>
              </w:rPr>
            </w:pPr>
            <w:r>
              <w:rPr>
                <w:rFonts w:cs="Arial"/>
                <w:sz w:val="20"/>
                <w:szCs w:val="20"/>
              </w:rPr>
              <w:t>50</w:t>
            </w:r>
          </w:p>
        </w:tc>
        <w:tc>
          <w:tcPr>
            <w:tcW w:w="729" w:type="pct"/>
            <w:noWrap/>
            <w:vAlign w:val="center"/>
          </w:tcPr>
          <w:p w:rsidR="00BE28BE" w:rsidRDefault="00BE28BE" w:rsidP="00B677C9">
            <w:pPr>
              <w:spacing w:before="0" w:after="0" w:line="240" w:lineRule="auto"/>
              <w:jc w:val="center"/>
              <w:rPr>
                <w:rFonts w:cs="Arial"/>
                <w:sz w:val="20"/>
                <w:szCs w:val="20"/>
              </w:rPr>
            </w:pPr>
            <w:r>
              <w:rPr>
                <w:rFonts w:cs="Arial"/>
                <w:sz w:val="20"/>
                <w:szCs w:val="20"/>
              </w:rPr>
              <w:t>37</w:t>
            </w:r>
          </w:p>
        </w:tc>
      </w:tr>
      <w:tr w:rsidR="00BE28BE" w:rsidRPr="00F52F00" w:rsidTr="006D3ADF">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BE28BE" w:rsidRPr="00262F65" w:rsidRDefault="00BE28BE" w:rsidP="00B677C9">
            <w:pPr>
              <w:spacing w:before="0" w:after="0" w:line="240" w:lineRule="auto"/>
              <w:rPr>
                <w:szCs w:val="20"/>
              </w:rPr>
            </w:pPr>
            <w:r w:rsidRPr="00262F65">
              <w:rPr>
                <w:szCs w:val="20"/>
              </w:rPr>
              <w:t>13-14 financial YTD</w:t>
            </w:r>
          </w:p>
        </w:tc>
        <w:tc>
          <w:tcPr>
            <w:tcW w:w="728" w:type="pct"/>
            <w:noWrap/>
            <w:vAlign w:val="center"/>
          </w:tcPr>
          <w:p w:rsidR="00BE28BE" w:rsidRDefault="00BE28BE" w:rsidP="00B677C9">
            <w:pPr>
              <w:spacing w:before="0" w:after="0" w:line="240" w:lineRule="auto"/>
              <w:jc w:val="center"/>
              <w:rPr>
                <w:rFonts w:cs="Arial"/>
                <w:szCs w:val="20"/>
              </w:rPr>
            </w:pPr>
            <w:r>
              <w:rPr>
                <w:rFonts w:cs="Arial"/>
                <w:szCs w:val="20"/>
              </w:rPr>
              <w:t>61</w:t>
            </w:r>
          </w:p>
        </w:tc>
        <w:tc>
          <w:tcPr>
            <w:tcW w:w="729" w:type="pct"/>
            <w:noWrap/>
            <w:vAlign w:val="center"/>
          </w:tcPr>
          <w:p w:rsidR="00BE28BE" w:rsidRDefault="00BE28BE" w:rsidP="00B677C9">
            <w:pPr>
              <w:spacing w:before="0" w:after="0" w:line="240" w:lineRule="auto"/>
              <w:jc w:val="center"/>
              <w:rPr>
                <w:rFonts w:cs="Arial"/>
                <w:szCs w:val="20"/>
              </w:rPr>
            </w:pPr>
            <w:r>
              <w:rPr>
                <w:rFonts w:cs="Arial"/>
                <w:szCs w:val="20"/>
              </w:rPr>
              <w:t>53</w:t>
            </w:r>
          </w:p>
        </w:tc>
        <w:tc>
          <w:tcPr>
            <w:tcW w:w="728" w:type="pct"/>
            <w:noWrap/>
            <w:vAlign w:val="center"/>
          </w:tcPr>
          <w:p w:rsidR="00BE28BE" w:rsidRDefault="00BE28BE" w:rsidP="00B677C9">
            <w:pPr>
              <w:spacing w:before="0" w:after="0" w:line="240" w:lineRule="auto"/>
              <w:jc w:val="center"/>
              <w:rPr>
                <w:rFonts w:cs="Arial"/>
                <w:szCs w:val="20"/>
              </w:rPr>
            </w:pPr>
            <w:r>
              <w:rPr>
                <w:rFonts w:cs="Arial"/>
                <w:szCs w:val="20"/>
              </w:rPr>
              <w:t>55</w:t>
            </w:r>
          </w:p>
        </w:tc>
        <w:tc>
          <w:tcPr>
            <w:tcW w:w="729" w:type="pct"/>
            <w:noWrap/>
            <w:vAlign w:val="center"/>
          </w:tcPr>
          <w:p w:rsidR="00BE28BE" w:rsidRDefault="00BE28BE" w:rsidP="00B677C9">
            <w:pPr>
              <w:spacing w:before="0" w:after="0" w:line="240" w:lineRule="auto"/>
              <w:jc w:val="center"/>
              <w:rPr>
                <w:rFonts w:cs="Arial"/>
                <w:szCs w:val="20"/>
              </w:rPr>
            </w:pPr>
            <w:r>
              <w:rPr>
                <w:rFonts w:cs="Arial"/>
                <w:szCs w:val="20"/>
              </w:rPr>
              <w:t>69</w:t>
            </w:r>
          </w:p>
        </w:tc>
        <w:tc>
          <w:tcPr>
            <w:tcW w:w="729" w:type="pct"/>
            <w:noWrap/>
            <w:vAlign w:val="center"/>
          </w:tcPr>
          <w:p w:rsidR="00BE28BE" w:rsidRDefault="00BE28BE" w:rsidP="00B677C9">
            <w:pPr>
              <w:spacing w:before="0" w:after="0" w:line="240" w:lineRule="auto"/>
              <w:jc w:val="center"/>
              <w:rPr>
                <w:rFonts w:cs="Arial"/>
                <w:szCs w:val="20"/>
              </w:rPr>
            </w:pPr>
            <w:r>
              <w:rPr>
                <w:rFonts w:cs="Arial"/>
                <w:szCs w:val="20"/>
              </w:rPr>
              <w:t>42</w:t>
            </w:r>
          </w:p>
        </w:tc>
      </w:tr>
      <w:tr w:rsidR="00BE28BE" w:rsidRPr="00F52F00" w:rsidTr="006D3ADF">
        <w:trPr>
          <w:trHeight w:hRule="exact" w:val="340"/>
        </w:trPr>
        <w:tc>
          <w:tcPr>
            <w:tcW w:w="1357" w:type="pct"/>
            <w:noWrap/>
            <w:vAlign w:val="center"/>
            <w:hideMark/>
          </w:tcPr>
          <w:p w:rsidR="00BE28BE" w:rsidRPr="00262F65" w:rsidRDefault="00BE28BE" w:rsidP="00B677C9">
            <w:pPr>
              <w:spacing w:before="0" w:after="0" w:line="240" w:lineRule="auto"/>
              <w:rPr>
                <w:sz w:val="20"/>
                <w:szCs w:val="20"/>
              </w:rPr>
            </w:pPr>
            <w:r w:rsidRPr="00262F65">
              <w:rPr>
                <w:sz w:val="20"/>
                <w:szCs w:val="20"/>
              </w:rPr>
              <w:t>14-15 financial YTD</w:t>
            </w:r>
          </w:p>
        </w:tc>
        <w:tc>
          <w:tcPr>
            <w:tcW w:w="728" w:type="pct"/>
            <w:noWrap/>
            <w:vAlign w:val="center"/>
          </w:tcPr>
          <w:p w:rsidR="00BE28BE" w:rsidRDefault="00BE28BE" w:rsidP="00B677C9">
            <w:pPr>
              <w:spacing w:before="0" w:after="0" w:line="240" w:lineRule="auto"/>
              <w:jc w:val="center"/>
              <w:rPr>
                <w:rFonts w:cs="Arial"/>
                <w:sz w:val="20"/>
                <w:szCs w:val="20"/>
              </w:rPr>
            </w:pPr>
            <w:r>
              <w:rPr>
                <w:rFonts w:cs="Arial"/>
                <w:sz w:val="20"/>
                <w:szCs w:val="20"/>
              </w:rPr>
              <w:t>64</w:t>
            </w:r>
          </w:p>
        </w:tc>
        <w:tc>
          <w:tcPr>
            <w:tcW w:w="729" w:type="pct"/>
            <w:noWrap/>
            <w:vAlign w:val="center"/>
          </w:tcPr>
          <w:p w:rsidR="00BE28BE" w:rsidRDefault="00BE28BE" w:rsidP="00B677C9">
            <w:pPr>
              <w:spacing w:before="0" w:after="0" w:line="240" w:lineRule="auto"/>
              <w:jc w:val="center"/>
              <w:rPr>
                <w:rFonts w:cs="Arial"/>
                <w:sz w:val="20"/>
                <w:szCs w:val="20"/>
              </w:rPr>
            </w:pPr>
            <w:r>
              <w:rPr>
                <w:rFonts w:cs="Arial"/>
                <w:sz w:val="20"/>
                <w:szCs w:val="20"/>
              </w:rPr>
              <w:t>36</w:t>
            </w:r>
          </w:p>
        </w:tc>
        <w:tc>
          <w:tcPr>
            <w:tcW w:w="728" w:type="pct"/>
            <w:noWrap/>
            <w:vAlign w:val="center"/>
          </w:tcPr>
          <w:p w:rsidR="00BE28BE" w:rsidRDefault="00BE28BE" w:rsidP="00B677C9">
            <w:pPr>
              <w:spacing w:before="0" w:after="0" w:line="240" w:lineRule="auto"/>
              <w:jc w:val="center"/>
              <w:rPr>
                <w:rFonts w:cs="Arial"/>
                <w:sz w:val="20"/>
                <w:szCs w:val="20"/>
              </w:rPr>
            </w:pPr>
            <w:r>
              <w:rPr>
                <w:rFonts w:cs="Arial"/>
                <w:sz w:val="20"/>
                <w:szCs w:val="20"/>
              </w:rPr>
              <w:t>31</w:t>
            </w:r>
          </w:p>
        </w:tc>
        <w:tc>
          <w:tcPr>
            <w:tcW w:w="729" w:type="pct"/>
            <w:noWrap/>
            <w:vAlign w:val="center"/>
          </w:tcPr>
          <w:p w:rsidR="00BE28BE" w:rsidRDefault="00BE28BE" w:rsidP="00B677C9">
            <w:pPr>
              <w:spacing w:before="0" w:after="0" w:line="240" w:lineRule="auto"/>
              <w:jc w:val="center"/>
              <w:rPr>
                <w:rFonts w:cs="Arial"/>
                <w:sz w:val="20"/>
                <w:szCs w:val="20"/>
              </w:rPr>
            </w:pPr>
            <w:r>
              <w:rPr>
                <w:rFonts w:cs="Arial"/>
                <w:sz w:val="20"/>
                <w:szCs w:val="20"/>
              </w:rPr>
              <w:t>40</w:t>
            </w:r>
          </w:p>
        </w:tc>
        <w:tc>
          <w:tcPr>
            <w:tcW w:w="729" w:type="pct"/>
            <w:noWrap/>
            <w:vAlign w:val="center"/>
          </w:tcPr>
          <w:p w:rsidR="00BE28BE" w:rsidRDefault="00BE28BE" w:rsidP="00B677C9">
            <w:pPr>
              <w:spacing w:before="0" w:after="0" w:line="240" w:lineRule="auto"/>
              <w:jc w:val="center"/>
              <w:rPr>
                <w:rFonts w:cs="Arial"/>
                <w:sz w:val="20"/>
                <w:szCs w:val="20"/>
              </w:rPr>
            </w:pPr>
            <w:r>
              <w:rPr>
                <w:rFonts w:cs="Arial"/>
                <w:sz w:val="20"/>
                <w:szCs w:val="20"/>
              </w:rPr>
              <w:t>38</w:t>
            </w:r>
          </w:p>
        </w:tc>
      </w:tr>
    </w:tbl>
    <w:p w:rsidR="00275002" w:rsidRPr="006D3ADF" w:rsidRDefault="00275002" w:rsidP="007E6A82">
      <w:pPr>
        <w:pStyle w:val="Tabletext"/>
        <w:rPr>
          <w:szCs w:val="18"/>
        </w:rPr>
      </w:pPr>
      <w:r w:rsidRPr="006D3ADF">
        <w:rPr>
          <w:szCs w:val="18"/>
        </w:rPr>
        <w:t xml:space="preserve">Longer-term statistics tracking average spot market prices are available on the </w:t>
      </w:r>
      <w:hyperlink r:id="rId13" w:history="1">
        <w:r w:rsidRPr="006D3ADF">
          <w:rPr>
            <w:rStyle w:val="Hyperlink"/>
            <w:sz w:val="18"/>
            <w:szCs w:val="18"/>
          </w:rPr>
          <w:t>AER website</w:t>
        </w:r>
      </w:hyperlink>
      <w:r w:rsidRPr="006D3ADF">
        <w:rPr>
          <w:szCs w:val="18"/>
        </w:rPr>
        <w:t xml:space="preserve">. </w:t>
      </w:r>
    </w:p>
    <w:bookmarkEnd w:id="8"/>
    <w:bookmarkEnd w:id="9"/>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F70811" w:rsidP="009A3D22">
      <w:pPr>
        <w:jc w:val="both"/>
      </w:pPr>
      <w:r w:rsidRPr="00F70811">
        <w:t xml:space="preserve">There were </w:t>
      </w:r>
      <w:r w:rsidR="00BE28BE">
        <w:t>80</w:t>
      </w:r>
      <w:r w:rsidR="00A2356E" w:rsidRPr="00F70811">
        <w:t xml:space="preserve"> </w:t>
      </w:r>
      <w:r w:rsidRPr="00F70811">
        <w:t xml:space="preserve">trading intervals throughout the week where actual prices varied significantly from forecasts. This compares to the weekly average in 2014 of 71 counts and the average </w:t>
      </w:r>
      <w:r w:rsidRPr="00F70811">
        <w:lastRenderedPageBreak/>
        <w:t>in 2013 of 97</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C6094B">
        <w:t xml:space="preserve">Table </w:t>
      </w:r>
      <w:r w:rsidR="00C6094B">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1019A">
        <w:t>ahead</w:t>
      </w:r>
      <w:proofErr w:type="gramEnd"/>
      <w:r w:rsidR="00275002" w:rsidRPr="0031019A">
        <w:t xml:space="preserve">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t xml:space="preserve">Table </w:t>
      </w:r>
      <w:fldSimple w:instr=" SEQ Table \* ARABIC ">
        <w:r w:rsidR="00C6094B">
          <w:rPr>
            <w:noProof/>
          </w:rPr>
          <w:t>2</w:t>
        </w:r>
      </w:fldSimple>
      <w:bookmarkEnd w:id="12"/>
      <w:r w:rsidRPr="00BC7912">
        <w:t>: Reasons for variations between forecast and actual prices</w:t>
      </w:r>
      <w:bookmarkEnd w:id="13"/>
    </w:p>
    <w:tbl>
      <w:tblPr>
        <w:tblStyle w:val="AERsummarytable"/>
        <w:tblW w:w="9122" w:type="dxa"/>
        <w:tblLayout w:type="fixed"/>
        <w:tblLook w:val="04A0" w:firstRow="1" w:lastRow="0" w:firstColumn="1" w:lastColumn="0" w:noHBand="0" w:noVBand="1"/>
      </w:tblPr>
      <w:tblGrid>
        <w:gridCol w:w="2835"/>
        <w:gridCol w:w="1571"/>
        <w:gridCol w:w="1572"/>
        <w:gridCol w:w="1572"/>
        <w:gridCol w:w="1572"/>
      </w:tblGrid>
      <w:tr w:rsidR="00275002" w:rsidRPr="00E7472E" w:rsidTr="007E6A82">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vAlign w:val="center"/>
            <w:hideMark/>
          </w:tcPr>
          <w:p w:rsidR="00275002" w:rsidRPr="00E7472E" w:rsidRDefault="00275002" w:rsidP="009D62F4">
            <w:pPr>
              <w:pStyle w:val="TableHeading"/>
              <w:rPr>
                <w:sz w:val="20"/>
              </w:rPr>
            </w:pPr>
          </w:p>
        </w:tc>
        <w:tc>
          <w:tcPr>
            <w:tcW w:w="1571" w:type="dxa"/>
            <w:noWrap/>
            <w:vAlign w:val="center"/>
            <w:hideMark/>
          </w:tcPr>
          <w:p w:rsidR="00275002" w:rsidRPr="00E7472E" w:rsidRDefault="00275002" w:rsidP="007E6A82">
            <w:pPr>
              <w:pStyle w:val="TableHeading"/>
              <w:jc w:val="center"/>
              <w:rPr>
                <w:sz w:val="20"/>
              </w:rPr>
            </w:pPr>
            <w:r w:rsidRPr="00E7472E">
              <w:rPr>
                <w:sz w:val="20"/>
              </w:rPr>
              <w:t>Availability</w:t>
            </w:r>
          </w:p>
        </w:tc>
        <w:tc>
          <w:tcPr>
            <w:tcW w:w="1572" w:type="dxa"/>
            <w:noWrap/>
            <w:vAlign w:val="center"/>
            <w:hideMark/>
          </w:tcPr>
          <w:p w:rsidR="00275002" w:rsidRPr="00E7472E" w:rsidRDefault="00275002" w:rsidP="007E6A82">
            <w:pPr>
              <w:pStyle w:val="TableHeading"/>
              <w:jc w:val="center"/>
              <w:rPr>
                <w:sz w:val="20"/>
              </w:rPr>
            </w:pPr>
            <w:r w:rsidRPr="00E7472E">
              <w:rPr>
                <w:sz w:val="20"/>
              </w:rPr>
              <w:t>Demand</w:t>
            </w:r>
          </w:p>
        </w:tc>
        <w:tc>
          <w:tcPr>
            <w:tcW w:w="1572" w:type="dxa"/>
            <w:noWrap/>
            <w:vAlign w:val="center"/>
            <w:hideMark/>
          </w:tcPr>
          <w:p w:rsidR="00275002" w:rsidRPr="00E7472E" w:rsidRDefault="00275002" w:rsidP="007E6A82">
            <w:pPr>
              <w:pStyle w:val="TableHeading"/>
              <w:jc w:val="center"/>
              <w:rPr>
                <w:sz w:val="20"/>
              </w:rPr>
            </w:pPr>
            <w:r w:rsidRPr="00E7472E">
              <w:rPr>
                <w:sz w:val="20"/>
              </w:rPr>
              <w:t>Network</w:t>
            </w:r>
          </w:p>
        </w:tc>
        <w:tc>
          <w:tcPr>
            <w:tcW w:w="1572" w:type="dxa"/>
            <w:vAlign w:val="center"/>
            <w:hideMark/>
          </w:tcPr>
          <w:p w:rsidR="00275002" w:rsidRPr="00E7472E" w:rsidRDefault="00275002" w:rsidP="007E6A82">
            <w:pPr>
              <w:pStyle w:val="TableHeading"/>
              <w:jc w:val="center"/>
              <w:rPr>
                <w:sz w:val="20"/>
              </w:rPr>
            </w:pPr>
            <w:r w:rsidRPr="00E7472E">
              <w:rPr>
                <w:sz w:val="20"/>
              </w:rPr>
              <w:t>Combination</w:t>
            </w:r>
          </w:p>
        </w:tc>
      </w:tr>
      <w:tr w:rsidR="00BE28BE" w:rsidRPr="009D62F4" w:rsidTr="007A6726">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BE28BE" w:rsidRPr="009D62F4" w:rsidRDefault="00BE28BE" w:rsidP="009D62F4">
            <w:pPr>
              <w:spacing w:after="0"/>
            </w:pPr>
            <w:r w:rsidRPr="009D62F4">
              <w:t>% of total above forecast</w:t>
            </w:r>
          </w:p>
        </w:tc>
        <w:tc>
          <w:tcPr>
            <w:tcW w:w="1571" w:type="dxa"/>
            <w:noWrap/>
            <w:vAlign w:val="center"/>
          </w:tcPr>
          <w:p w:rsidR="00BE28BE" w:rsidRDefault="00BE28BE">
            <w:pPr>
              <w:jc w:val="center"/>
              <w:rPr>
                <w:rFonts w:cs="Arial"/>
                <w:sz w:val="20"/>
                <w:szCs w:val="20"/>
              </w:rPr>
            </w:pPr>
            <w:r>
              <w:rPr>
                <w:rFonts w:cs="Arial"/>
                <w:sz w:val="20"/>
                <w:szCs w:val="20"/>
              </w:rPr>
              <w:t>8</w:t>
            </w:r>
          </w:p>
        </w:tc>
        <w:tc>
          <w:tcPr>
            <w:tcW w:w="1572" w:type="dxa"/>
            <w:noWrap/>
            <w:vAlign w:val="center"/>
          </w:tcPr>
          <w:p w:rsidR="00BE28BE" w:rsidRDefault="00BE28BE">
            <w:pPr>
              <w:jc w:val="center"/>
              <w:rPr>
                <w:rFonts w:cs="Arial"/>
                <w:sz w:val="20"/>
                <w:szCs w:val="20"/>
              </w:rPr>
            </w:pPr>
            <w:r>
              <w:rPr>
                <w:rFonts w:cs="Arial"/>
                <w:sz w:val="20"/>
                <w:szCs w:val="20"/>
              </w:rPr>
              <w:t>65</w:t>
            </w:r>
          </w:p>
        </w:tc>
        <w:tc>
          <w:tcPr>
            <w:tcW w:w="1572" w:type="dxa"/>
            <w:noWrap/>
            <w:vAlign w:val="center"/>
          </w:tcPr>
          <w:p w:rsidR="00BE28BE" w:rsidRDefault="00BE28BE">
            <w:pPr>
              <w:jc w:val="center"/>
              <w:rPr>
                <w:rFonts w:cs="Arial"/>
                <w:sz w:val="20"/>
                <w:szCs w:val="20"/>
              </w:rPr>
            </w:pPr>
            <w:r>
              <w:rPr>
                <w:rFonts w:cs="Arial"/>
                <w:sz w:val="20"/>
                <w:szCs w:val="20"/>
              </w:rPr>
              <w:t>0</w:t>
            </w:r>
          </w:p>
        </w:tc>
        <w:tc>
          <w:tcPr>
            <w:tcW w:w="1572" w:type="dxa"/>
            <w:vAlign w:val="center"/>
          </w:tcPr>
          <w:p w:rsidR="00BE28BE" w:rsidRDefault="00BE28BE">
            <w:pPr>
              <w:jc w:val="center"/>
              <w:rPr>
                <w:rFonts w:cs="Arial"/>
                <w:sz w:val="20"/>
                <w:szCs w:val="20"/>
              </w:rPr>
            </w:pPr>
            <w:r>
              <w:rPr>
                <w:rFonts w:cs="Arial"/>
                <w:sz w:val="20"/>
                <w:szCs w:val="20"/>
              </w:rPr>
              <w:t>1</w:t>
            </w:r>
          </w:p>
        </w:tc>
      </w:tr>
      <w:tr w:rsidR="00BE28BE" w:rsidRPr="007E6A82" w:rsidTr="007A6726">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BE28BE" w:rsidRPr="009D62F4" w:rsidRDefault="00BE28BE" w:rsidP="009D62F4">
            <w:pPr>
              <w:spacing w:after="0"/>
            </w:pPr>
            <w:r w:rsidRPr="009D62F4">
              <w:t>% of total below forecast</w:t>
            </w:r>
          </w:p>
        </w:tc>
        <w:tc>
          <w:tcPr>
            <w:tcW w:w="1571" w:type="dxa"/>
            <w:noWrap/>
            <w:vAlign w:val="center"/>
          </w:tcPr>
          <w:p w:rsidR="00BE28BE" w:rsidRDefault="00BE28BE">
            <w:pPr>
              <w:jc w:val="center"/>
              <w:rPr>
                <w:rFonts w:cs="Arial"/>
                <w:sz w:val="20"/>
                <w:szCs w:val="20"/>
              </w:rPr>
            </w:pPr>
            <w:r>
              <w:rPr>
                <w:rFonts w:cs="Arial"/>
                <w:sz w:val="20"/>
                <w:szCs w:val="20"/>
              </w:rPr>
              <w:t>22</w:t>
            </w:r>
          </w:p>
        </w:tc>
        <w:tc>
          <w:tcPr>
            <w:tcW w:w="1572" w:type="dxa"/>
            <w:noWrap/>
            <w:vAlign w:val="center"/>
          </w:tcPr>
          <w:p w:rsidR="00BE28BE" w:rsidRDefault="00BE28BE">
            <w:pPr>
              <w:jc w:val="center"/>
              <w:rPr>
                <w:rFonts w:cs="Arial"/>
                <w:sz w:val="20"/>
                <w:szCs w:val="20"/>
              </w:rPr>
            </w:pPr>
            <w:r>
              <w:rPr>
                <w:rFonts w:cs="Arial"/>
                <w:sz w:val="20"/>
                <w:szCs w:val="20"/>
              </w:rPr>
              <w:t>4</w:t>
            </w:r>
          </w:p>
        </w:tc>
        <w:tc>
          <w:tcPr>
            <w:tcW w:w="1572" w:type="dxa"/>
            <w:noWrap/>
            <w:vAlign w:val="center"/>
          </w:tcPr>
          <w:p w:rsidR="00BE28BE" w:rsidRDefault="00BE28BE">
            <w:pPr>
              <w:jc w:val="center"/>
              <w:rPr>
                <w:rFonts w:cs="Arial"/>
                <w:sz w:val="20"/>
                <w:szCs w:val="20"/>
              </w:rPr>
            </w:pPr>
            <w:r>
              <w:rPr>
                <w:rFonts w:cs="Arial"/>
                <w:sz w:val="20"/>
                <w:szCs w:val="20"/>
              </w:rPr>
              <w:t>0</w:t>
            </w:r>
          </w:p>
        </w:tc>
        <w:tc>
          <w:tcPr>
            <w:tcW w:w="1572" w:type="dxa"/>
            <w:vAlign w:val="center"/>
          </w:tcPr>
          <w:p w:rsidR="00BE28BE" w:rsidRDefault="00BE28BE">
            <w:pPr>
              <w:jc w:val="center"/>
              <w:rPr>
                <w:rFonts w:cs="Arial"/>
                <w:sz w:val="20"/>
                <w:szCs w:val="20"/>
              </w:rPr>
            </w:pPr>
            <w:r>
              <w:rPr>
                <w:rFonts w:cs="Arial"/>
                <w:sz w:val="20"/>
                <w:szCs w:val="20"/>
              </w:rPr>
              <w:t>0</w:t>
            </w:r>
          </w:p>
        </w:tc>
      </w:tr>
    </w:tbl>
    <w:p w:rsidR="00275002" w:rsidRPr="007E6A82" w:rsidRDefault="00275002" w:rsidP="007E6A82">
      <w:pPr>
        <w:spacing w:before="120" w:after="120"/>
        <w:rPr>
          <w:sz w:val="18"/>
        </w:rPr>
      </w:pPr>
      <w:r w:rsidRPr="007E6A82">
        <w:rPr>
          <w:sz w:val="18"/>
        </w:rPr>
        <w:t>Note: Due to rounding, the total may not be 100 per cent.</w:t>
      </w:r>
    </w:p>
    <w:p w:rsidR="00275002" w:rsidRPr="0031019A" w:rsidRDefault="00275002" w:rsidP="00914A87">
      <w:pPr>
        <w:pStyle w:val="AERHeading1"/>
      </w:pPr>
      <w:r w:rsidRPr="0031019A">
        <w:t>Generation and bidding patterns</w:t>
      </w:r>
    </w:p>
    <w:p w:rsidR="00275002" w:rsidRPr="0031019A" w:rsidRDefault="00275002" w:rsidP="009A3D22">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C6094B">
        <w:t xml:space="preserve">Figure </w:t>
      </w:r>
      <w:r w:rsidR="00C6094B">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r w:rsidR="00C6094B">
        <w:t xml:space="preserve">Figure </w:t>
      </w:r>
      <w:r w:rsidR="00C6094B">
        <w:rPr>
          <w:noProof/>
        </w:rPr>
        <w:t>7</w:t>
      </w:r>
      <w:r>
        <w:fldChar w:fldCharType="end"/>
      </w:r>
      <w:r w:rsidRPr="0031019A">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4" w:name="_Ref410383507"/>
      <w:r>
        <w:t xml:space="preserve">Figure </w:t>
      </w:r>
      <w:fldSimple w:instr=" SEQ Figure \* ARABIC ">
        <w:r w:rsidR="00C6094B">
          <w:rPr>
            <w:noProof/>
          </w:rPr>
          <w:t>3</w:t>
        </w:r>
      </w:fldSimple>
      <w:bookmarkEnd w:id="14"/>
      <w:r>
        <w:t xml:space="preserve">: Queensland </w:t>
      </w:r>
      <w:r w:rsidRPr="00690328">
        <w:t>generation and bidding patterns</w:t>
      </w:r>
    </w:p>
    <w:p w:rsidR="00275002" w:rsidRDefault="00BE28BE" w:rsidP="00275002">
      <w:r w:rsidRPr="00BE28BE">
        <w:rPr>
          <w:noProof/>
          <w:lang w:eastAsia="en-AU"/>
        </w:rPr>
        <w:t xml:space="preserve"> </w:t>
      </w:r>
      <w:r w:rsidRPr="00BE28BE">
        <w:rPr>
          <w:noProof/>
          <w:lang w:eastAsia="en-AU"/>
        </w:rPr>
        <w:drawing>
          <wp:inline distT="0" distB="0" distL="0" distR="0" wp14:anchorId="06F2EF33" wp14:editId="30CF2E00">
            <wp:extent cx="5731510" cy="4115457"/>
            <wp:effectExtent l="0" t="0" r="2540" b="0"/>
            <wp:docPr id="23" name="Picture 23"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title="Figure 3: Queensland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5457"/>
                    </a:xfrm>
                    <a:prstGeom prst="rect">
                      <a:avLst/>
                    </a:prstGeom>
                    <a:noFill/>
                    <a:ln>
                      <a:noFill/>
                    </a:ln>
                  </pic:spPr>
                </pic:pic>
              </a:graphicData>
            </a:graphic>
          </wp:inline>
        </w:drawing>
      </w:r>
    </w:p>
    <w:p w:rsidR="00275002" w:rsidRDefault="00275002" w:rsidP="000E2946">
      <w:pPr>
        <w:pStyle w:val="Caption"/>
      </w:pPr>
      <w:bookmarkStart w:id="15" w:name="_Ref416773573"/>
      <w:r>
        <w:t xml:space="preserve">Figure </w:t>
      </w:r>
      <w:fldSimple w:instr=" SEQ Figure \* ARABIC ">
        <w:r w:rsidR="00C6094B">
          <w:rPr>
            <w:noProof/>
          </w:rPr>
          <w:t>4</w:t>
        </w:r>
      </w:fldSimple>
      <w:bookmarkEnd w:id="15"/>
      <w:r>
        <w:t xml:space="preserve">: </w:t>
      </w:r>
      <w:r w:rsidRPr="00CC5077">
        <w:t>New South Wales generation and bidding patterns</w:t>
      </w:r>
    </w:p>
    <w:p w:rsidR="00275002" w:rsidRPr="0031019A" w:rsidRDefault="00BE28BE" w:rsidP="00275002">
      <w:r w:rsidRPr="00BE28BE">
        <w:rPr>
          <w:noProof/>
          <w:lang w:eastAsia="en-AU"/>
        </w:rPr>
        <w:drawing>
          <wp:inline distT="0" distB="0" distL="0" distR="0" wp14:anchorId="172491DD" wp14:editId="70FC9948">
            <wp:extent cx="5705475" cy="4103580"/>
            <wp:effectExtent l="0" t="0" r="0" b="0"/>
            <wp:docPr id="27" name="Picture 27"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10;" title="Figure 4: New South Wales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03206" cy="4101948"/>
                    </a:xfrm>
                    <a:prstGeom prst="rect">
                      <a:avLst/>
                    </a:prstGeom>
                    <a:noFill/>
                    <a:ln>
                      <a:noFill/>
                    </a:ln>
                  </pic:spPr>
                </pic:pic>
              </a:graphicData>
            </a:graphic>
          </wp:inline>
        </w:drawing>
      </w:r>
    </w:p>
    <w:p w:rsidR="00275002" w:rsidRDefault="00275002" w:rsidP="000E2946">
      <w:pPr>
        <w:pStyle w:val="Caption"/>
      </w:pPr>
      <w:r>
        <w:t xml:space="preserve">Figure </w:t>
      </w:r>
      <w:fldSimple w:instr=" SEQ Figure \* ARABIC ">
        <w:r w:rsidR="00C6094B">
          <w:rPr>
            <w:noProof/>
          </w:rPr>
          <w:t>5</w:t>
        </w:r>
      </w:fldSimple>
      <w:r w:rsidRPr="0003635A">
        <w:t>: Victoria generation and bidding patterns</w:t>
      </w:r>
    </w:p>
    <w:p w:rsidR="00275002" w:rsidRPr="0031019A" w:rsidRDefault="00BE28BE" w:rsidP="00275002">
      <w:r w:rsidRPr="00BE28BE">
        <w:rPr>
          <w:noProof/>
          <w:lang w:eastAsia="en-AU"/>
        </w:rPr>
        <w:drawing>
          <wp:inline distT="0" distB="0" distL="0" distR="0" wp14:anchorId="259162BB" wp14:editId="55857846">
            <wp:extent cx="5391150" cy="3871064"/>
            <wp:effectExtent l="0" t="0" r="0" b="0"/>
            <wp:docPr id="28" name="Picture 28"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title="Figure 5: Victor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6017" cy="3874559"/>
                    </a:xfrm>
                    <a:prstGeom prst="rect">
                      <a:avLst/>
                    </a:prstGeom>
                    <a:noFill/>
                    <a:ln>
                      <a:noFill/>
                    </a:ln>
                  </pic:spPr>
                </pic:pic>
              </a:graphicData>
            </a:graphic>
          </wp:inline>
        </w:drawing>
      </w:r>
    </w:p>
    <w:p w:rsidR="00275002" w:rsidRDefault="00275002" w:rsidP="00FD3899">
      <w:pPr>
        <w:pStyle w:val="Caption"/>
        <w:spacing w:before="0" w:line="240" w:lineRule="auto"/>
      </w:pPr>
      <w:r>
        <w:t xml:space="preserve">Figure </w:t>
      </w:r>
      <w:fldSimple w:instr=" SEQ Figure \* ARABIC ">
        <w:r w:rsidR="00C6094B">
          <w:rPr>
            <w:noProof/>
          </w:rPr>
          <w:t>6</w:t>
        </w:r>
      </w:fldSimple>
      <w:r>
        <w:t>:</w:t>
      </w:r>
      <w:r w:rsidRPr="00BD00EB">
        <w:t xml:space="preserve"> South Australia generation and bidding patterns</w:t>
      </w:r>
    </w:p>
    <w:p w:rsidR="00275002" w:rsidRPr="0031019A" w:rsidRDefault="00BE28BE" w:rsidP="00FD3899">
      <w:pPr>
        <w:spacing w:before="0" w:after="120" w:line="240" w:lineRule="auto"/>
      </w:pPr>
      <w:r w:rsidRPr="00BE28BE">
        <w:rPr>
          <w:noProof/>
          <w:lang w:eastAsia="en-AU"/>
        </w:rPr>
        <w:drawing>
          <wp:inline distT="0" distB="0" distL="0" distR="0" wp14:anchorId="34E9F776" wp14:editId="0EC73C24">
            <wp:extent cx="5534025" cy="3973654"/>
            <wp:effectExtent l="0" t="0" r="0" b="8255"/>
            <wp:docPr id="29" name="Picture 29"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title="Figure 6: South Austral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47244" cy="3983146"/>
                    </a:xfrm>
                    <a:prstGeom prst="rect">
                      <a:avLst/>
                    </a:prstGeom>
                    <a:noFill/>
                    <a:ln>
                      <a:noFill/>
                    </a:ln>
                  </pic:spPr>
                </pic:pic>
              </a:graphicData>
            </a:graphic>
          </wp:inline>
        </w:drawing>
      </w:r>
    </w:p>
    <w:p w:rsidR="00275002" w:rsidRDefault="00275002" w:rsidP="00FD3899">
      <w:pPr>
        <w:pStyle w:val="Caption"/>
        <w:spacing w:before="0"/>
      </w:pPr>
      <w:bookmarkStart w:id="16" w:name="_Ref410383520"/>
      <w:r>
        <w:t xml:space="preserve">Figure </w:t>
      </w:r>
      <w:fldSimple w:instr=" SEQ Figure \* ARABIC ">
        <w:r w:rsidR="00C6094B">
          <w:rPr>
            <w:noProof/>
          </w:rPr>
          <w:t>7</w:t>
        </w:r>
      </w:fldSimple>
      <w:bookmarkEnd w:id="16"/>
      <w:r>
        <w:t xml:space="preserve">: </w:t>
      </w:r>
      <w:r w:rsidRPr="008837C4">
        <w:t>Tasmania generation and bidding patterns</w:t>
      </w:r>
    </w:p>
    <w:p w:rsidR="00275002" w:rsidRDefault="00F75637" w:rsidP="00FD3899">
      <w:pPr>
        <w:spacing w:before="0" w:after="120"/>
      </w:pPr>
      <w:r>
        <w:rPr>
          <w:noProof/>
          <w:lang w:eastAsia="en-AU"/>
        </w:rPr>
        <mc:AlternateContent>
          <mc:Choice Requires="wps">
            <w:drawing>
              <wp:anchor distT="0" distB="0" distL="114300" distR="114300" simplePos="0" relativeHeight="251660288" behindDoc="0" locked="0" layoutInCell="1" allowOverlap="1" wp14:anchorId="0D6D300B" wp14:editId="30D8C175">
                <wp:simplePos x="0" y="0"/>
                <wp:positionH relativeFrom="column">
                  <wp:posOffset>2028825</wp:posOffset>
                </wp:positionH>
                <wp:positionV relativeFrom="paragraph">
                  <wp:posOffset>316230</wp:posOffset>
                </wp:positionV>
                <wp:extent cx="276225" cy="962025"/>
                <wp:effectExtent l="0" t="0" r="28575" b="28575"/>
                <wp:wrapNone/>
                <wp:docPr id="3" name="Oval 3"/>
                <wp:cNvGraphicFramePr/>
                <a:graphic xmlns:a="http://schemas.openxmlformats.org/drawingml/2006/main">
                  <a:graphicData uri="http://schemas.microsoft.com/office/word/2010/wordprocessingShape">
                    <wps:wsp>
                      <wps:cNvSpPr/>
                      <wps:spPr>
                        <a:xfrm>
                          <a:off x="0" y="0"/>
                          <a:ext cx="276225" cy="962025"/>
                        </a:xfrm>
                        <a:prstGeom prst="ellipse">
                          <a:avLst/>
                        </a:prstGeom>
                        <a:solidFill>
                          <a:schemeClr val="lt1">
                            <a:alpha val="0"/>
                          </a:schemeClr>
                        </a:solid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159.75pt;margin-top:24.9pt;width:21.75pt;height:7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" fillcolor="white [3201]" strokecolor="red" strokeweight="2pt">
                <v:fill opacity="0"/>
              </v:oval>
            </w:pict>
          </mc:Fallback>
        </mc:AlternateContent>
      </w:r>
      <w:r w:rsidR="00BE28BE" w:rsidRPr="00BE28BE">
        <w:rPr>
          <w:noProof/>
          <w:lang w:eastAsia="en-AU"/>
        </w:rPr>
        <w:drawing>
          <wp:inline distT="0" distB="0" distL="0" distR="0" wp14:anchorId="4B3C2A05" wp14:editId="5E24E552">
            <wp:extent cx="5486400" cy="3939457"/>
            <wp:effectExtent l="0" t="0" r="0" b="4445"/>
            <wp:docPr id="30" name="Picture 30"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title="Figure 7: Tasman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9665" cy="3941802"/>
                    </a:xfrm>
                    <a:prstGeom prst="rect">
                      <a:avLst/>
                    </a:prstGeom>
                    <a:noFill/>
                    <a:ln>
                      <a:noFill/>
                    </a:ln>
                  </pic:spPr>
                </pic:pic>
              </a:graphicData>
            </a:graphic>
          </wp:inline>
        </w:drawing>
      </w:r>
    </w:p>
    <w:p w:rsidR="00F75637" w:rsidRPr="00F33F2D" w:rsidRDefault="00F75637" w:rsidP="00FD3899">
      <w:pPr>
        <w:pStyle w:val="AERbodytext"/>
      </w:pPr>
      <w:r>
        <w:t>The red ellipse shows where Hydro Tasmania rebid capacity to high prices leading to a high spot price as detailed in the “</w:t>
      </w:r>
      <w:r w:rsidRPr="00F33F2D">
        <w:t>Detailed market analysis of significant price events</w:t>
      </w:r>
      <w:r>
        <w:t>”.</w:t>
      </w:r>
    </w:p>
    <w:p w:rsidR="00F75637" w:rsidRDefault="00F75637" w:rsidP="00275002"/>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31019A" w:rsidRDefault="00275002" w:rsidP="009A3D22">
      <w:pPr>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275002" w:rsidRPr="0031019A" w:rsidRDefault="004E13F5" w:rsidP="009A3D22">
      <w:pPr>
        <w:jc w:val="both"/>
      </w:pPr>
      <w:r w:rsidRPr="004E13F5">
        <w:t>The total cost of FCAS on the mainland for the</w:t>
      </w:r>
      <w:r w:rsidR="00DF66AC">
        <w:t xml:space="preserve"> week was $382</w:t>
      </w:r>
      <w:r w:rsidR="00A2356E">
        <w:t> </w:t>
      </w:r>
      <w:r w:rsidR="00DF66AC">
        <w:t>0</w:t>
      </w:r>
      <w:r w:rsidRPr="004E13F5">
        <w:t>00 or less than 1 per cent of energy turnover on the mainland.</w:t>
      </w:r>
    </w:p>
    <w:p w:rsidR="00B677C9" w:rsidRDefault="004E13F5" w:rsidP="00B677C9">
      <w:pPr>
        <w:jc w:val="both"/>
      </w:pPr>
      <w:bookmarkStart w:id="17" w:name="_Ref410383413"/>
      <w:r w:rsidRPr="004E13F5">
        <w:t>The total cost of FCAS in Tasmania for the week was $</w:t>
      </w:r>
      <w:r w:rsidR="00DF66AC">
        <w:t>96</w:t>
      </w:r>
      <w:r w:rsidR="00A2356E">
        <w:t> </w:t>
      </w:r>
      <w:r w:rsidRPr="004E13F5">
        <w:t xml:space="preserve">500 or </w:t>
      </w:r>
      <w:r w:rsidR="005958AD">
        <w:t>around 1.3</w:t>
      </w:r>
      <w:r w:rsidR="007A6726">
        <w:t xml:space="preserve"> </w:t>
      </w:r>
      <w:r w:rsidRPr="004E13F5">
        <w:t>per</w:t>
      </w:r>
      <w:r w:rsidR="00A2356E">
        <w:t> </w:t>
      </w:r>
      <w:r w:rsidRPr="004E13F5">
        <w:t>cent of energy turnover in Tasmania.</w:t>
      </w:r>
    </w:p>
    <w:p w:rsidR="00B677C9" w:rsidRDefault="00B677C9" w:rsidP="00B677C9">
      <w:pPr>
        <w:jc w:val="both"/>
      </w:pPr>
      <w:r>
        <w:fldChar w:fldCharType="begin"/>
      </w:r>
      <w:r>
        <w:instrText xml:space="preserve"> REF _Ref416254344 \h </w:instrText>
      </w:r>
      <w:r>
        <w:fldChar w:fldCharType="separate"/>
      </w:r>
      <w:r w:rsidR="00C6094B">
        <w:t xml:space="preserve">Figure </w:t>
      </w:r>
      <w:r w:rsidR="00C6094B">
        <w:rPr>
          <w:noProof/>
        </w:rPr>
        <w:t>8</w:t>
      </w:r>
      <w:r>
        <w:fldChar w:fldCharType="end"/>
      </w:r>
      <w:r>
        <w:t xml:space="preserve"> </w:t>
      </w:r>
      <w:r w:rsidRPr="0031019A">
        <w:t>shows the daily breakdown of cost for each FCAS for the NEM, as well as the average cost since the beginning of the previ</w:t>
      </w:r>
      <w:r w:rsidRPr="008366CD">
        <w:t xml:space="preserve">ous financial year. </w:t>
      </w:r>
    </w:p>
    <w:p w:rsidR="00275002" w:rsidRDefault="00275002" w:rsidP="000E2946">
      <w:pPr>
        <w:pStyle w:val="Caption"/>
      </w:pPr>
      <w:bookmarkStart w:id="18" w:name="_Ref416254344"/>
      <w:r>
        <w:t xml:space="preserve">Figure </w:t>
      </w:r>
      <w:fldSimple w:instr=" SEQ Figure \* ARABIC ">
        <w:r w:rsidR="00C6094B">
          <w:rPr>
            <w:noProof/>
          </w:rPr>
          <w:t>8</w:t>
        </w:r>
      </w:fldSimple>
      <w:bookmarkEnd w:id="17"/>
      <w:bookmarkEnd w:id="18"/>
      <w:r w:rsidRPr="007707C6">
        <w:t>: Daily frequency control ancillary service cost</w:t>
      </w:r>
    </w:p>
    <w:p w:rsidR="00275002" w:rsidRPr="0031019A" w:rsidRDefault="00DF66AC" w:rsidP="00275002">
      <w:r w:rsidRPr="00DF66AC">
        <w:rPr>
          <w:noProof/>
          <w:lang w:eastAsia="en-AU"/>
        </w:rPr>
        <w:drawing>
          <wp:inline distT="0" distB="0" distL="0" distR="0" wp14:anchorId="50DE998E" wp14:editId="06B5B8E7">
            <wp:extent cx="5731510" cy="2893377"/>
            <wp:effectExtent l="0" t="0" r="2540" b="2540"/>
            <wp:docPr id="31" name="Picture 31" descr="&quot;Figure 8 shows the daily breakdown of cost for each FCAS for the NEM, as well as the average cost since the beginning of the previous financial year.&#10;Should you require a description of the data for the week under review, please email us at  AERInquiry@aer.gov.au.&quot;" title="Figure 8: Daily frequency control ancillary service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3377"/>
                    </a:xfrm>
                    <a:prstGeom prst="rect">
                      <a:avLst/>
                    </a:prstGeom>
                    <a:noFill/>
                    <a:ln>
                      <a:noFill/>
                    </a:ln>
                  </pic:spPr>
                </pic:pic>
              </a:graphicData>
            </a:graphic>
          </wp:inline>
        </w:drawing>
      </w:r>
    </w:p>
    <w:bookmarkEnd w:id="0"/>
    <w:bookmarkEnd w:id="1"/>
    <w:bookmarkEnd w:id="2"/>
    <w:bookmarkEnd w:id="3"/>
    <w:bookmarkEnd w:id="4"/>
    <w:bookmarkEnd w:id="5"/>
    <w:p w:rsidR="00275002" w:rsidRPr="00F33F2D" w:rsidRDefault="00275002" w:rsidP="00914A87">
      <w:pPr>
        <w:pStyle w:val="AERHeading1"/>
      </w:pPr>
      <w:r w:rsidRPr="00F33F2D">
        <w:t>Detailed market analysis of significant price events</w:t>
      </w:r>
    </w:p>
    <w:p w:rsidR="00275002" w:rsidRPr="00F33F2D" w:rsidRDefault="00275002" w:rsidP="00A76905">
      <w:pPr>
        <w:jc w:val="both"/>
      </w:pPr>
      <w:r w:rsidRPr="00F33F2D">
        <w:t xml:space="preserve">We provide more detailed analysis of events where the spot price was greater than three times the weekly average price in a region and above $250/MWh or was below </w:t>
      </w:r>
      <w:r w:rsidRPr="00F33F2D">
        <w:noBreakHyphen/>
        <w:t xml:space="preserve">$100/MWh. </w:t>
      </w:r>
    </w:p>
    <w:p w:rsidR="00902878" w:rsidRDefault="00902878" w:rsidP="00A76905">
      <w:pPr>
        <w:keepNext/>
        <w:spacing w:before="240" w:after="120"/>
        <w:jc w:val="both"/>
        <w:rPr>
          <w:b/>
          <w:bCs/>
          <w:color w:val="2272A3" w:themeColor="accent4" w:themeShade="80"/>
          <w:sz w:val="24"/>
          <w:szCs w:val="18"/>
        </w:rPr>
      </w:pPr>
      <w:r>
        <w:rPr>
          <w:b/>
          <w:bCs/>
          <w:color w:val="2272A3" w:themeColor="accent4" w:themeShade="80"/>
          <w:sz w:val="24"/>
          <w:szCs w:val="18"/>
        </w:rPr>
        <w:t>New South Wales</w:t>
      </w:r>
    </w:p>
    <w:p w:rsidR="000D4D2D" w:rsidRDefault="00B779B7" w:rsidP="000D4D2D">
      <w:pPr>
        <w:jc w:val="both"/>
      </w:pPr>
      <w:r w:rsidRPr="00F33F2D">
        <w:t xml:space="preserve">There </w:t>
      </w:r>
      <w:r>
        <w:t>was one occasion</w:t>
      </w:r>
      <w:r w:rsidRPr="00F33F2D">
        <w:t xml:space="preserve"> where the spot price in </w:t>
      </w:r>
      <w:r>
        <w:t>New South Wales</w:t>
      </w:r>
      <w:r w:rsidRPr="00F33F2D">
        <w:t xml:space="preserve"> was greater than three times the </w:t>
      </w:r>
      <w:r>
        <w:t xml:space="preserve">New South Wales </w:t>
      </w:r>
      <w:r w:rsidRPr="00F33F2D">
        <w:t>weekly average price and above $250/MWh.</w:t>
      </w:r>
    </w:p>
    <w:p w:rsidR="00B779B7" w:rsidRPr="000D4D2D" w:rsidRDefault="00B779B7" w:rsidP="000D4D2D">
      <w:pPr>
        <w:jc w:val="both"/>
      </w:pPr>
      <w:r>
        <w:rPr>
          <w:b/>
          <w:bCs/>
          <w:color w:val="2272A3" w:themeColor="accent4" w:themeShade="80"/>
          <w:sz w:val="24"/>
          <w:szCs w:val="18"/>
        </w:rPr>
        <w:t>Monday 25 May</w:t>
      </w:r>
    </w:p>
    <w:p w:rsidR="004E13F5" w:rsidRPr="00F33F2D" w:rsidRDefault="004E13F5" w:rsidP="004E13F5">
      <w:pPr>
        <w:keepNext/>
        <w:spacing w:before="240" w:after="120"/>
        <w:rPr>
          <w:b/>
          <w:bCs/>
          <w:color w:val="2272A3" w:themeColor="accent4" w:themeShade="80"/>
          <w:sz w:val="24"/>
          <w:szCs w:val="18"/>
        </w:rPr>
      </w:pPr>
      <w:r w:rsidRPr="00F33F2D">
        <w:rPr>
          <w:b/>
          <w:bCs/>
          <w:color w:val="2272A3" w:themeColor="accent4" w:themeShade="80"/>
          <w:sz w:val="24"/>
          <w:szCs w:val="18"/>
        </w:rPr>
        <w:t xml:space="preserve">Table </w:t>
      </w:r>
      <w:r w:rsidRPr="00F33F2D">
        <w:rPr>
          <w:b/>
          <w:bCs/>
          <w:color w:val="2272A3" w:themeColor="accent4" w:themeShade="80"/>
          <w:sz w:val="24"/>
          <w:szCs w:val="18"/>
        </w:rPr>
        <w:fldChar w:fldCharType="begin"/>
      </w:r>
      <w:r w:rsidRPr="00F33F2D">
        <w:rPr>
          <w:b/>
          <w:bCs/>
          <w:color w:val="2272A3" w:themeColor="accent4" w:themeShade="80"/>
          <w:sz w:val="24"/>
          <w:szCs w:val="18"/>
        </w:rPr>
        <w:instrText xml:space="preserve"> SEQ Table \* ARABIC </w:instrText>
      </w:r>
      <w:r w:rsidRPr="00F33F2D">
        <w:rPr>
          <w:b/>
          <w:bCs/>
          <w:color w:val="2272A3" w:themeColor="accent4" w:themeShade="80"/>
          <w:sz w:val="24"/>
          <w:szCs w:val="18"/>
        </w:rPr>
        <w:fldChar w:fldCharType="separate"/>
      </w:r>
      <w:r w:rsidR="00C6094B">
        <w:rPr>
          <w:b/>
          <w:bCs/>
          <w:noProof/>
          <w:color w:val="2272A3" w:themeColor="accent4" w:themeShade="80"/>
          <w:sz w:val="24"/>
          <w:szCs w:val="18"/>
        </w:rPr>
        <w:t>3</w:t>
      </w:r>
      <w:r w:rsidRPr="00F33F2D">
        <w:rPr>
          <w:b/>
          <w:bCs/>
          <w:noProof/>
          <w:color w:val="2272A3" w:themeColor="accent4" w:themeShade="80"/>
          <w:sz w:val="24"/>
          <w:szCs w:val="18"/>
        </w:rPr>
        <w:fldChar w:fldCharType="end"/>
      </w:r>
      <w:r w:rsidRPr="00F33F2D">
        <w:rPr>
          <w:b/>
          <w:bCs/>
          <w:color w:val="2272A3" w:themeColor="accent4" w:themeShade="80"/>
          <w:sz w:val="24"/>
          <w:szCs w:val="18"/>
        </w:rPr>
        <w:t>: Price, Demand and Availability</w:t>
      </w:r>
      <w:r w:rsidR="009A2AEC">
        <w:rPr>
          <w:b/>
          <w:bCs/>
          <w:color w:val="2272A3" w:themeColor="accent4" w:themeShade="80"/>
          <w:sz w:val="24"/>
          <w:szCs w:val="18"/>
        </w:rPr>
        <w:t xml:space="preserve"> for 6 pm</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4E13F5" w:rsidRPr="00F33F2D" w:rsidTr="00993358">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hideMark/>
          </w:tcPr>
          <w:p w:rsidR="004E13F5" w:rsidRPr="00F33F2D" w:rsidRDefault="00902878" w:rsidP="004E13F5">
            <w:pPr>
              <w:spacing w:before="60" w:after="60"/>
              <w:jc w:val="center"/>
              <w:rPr>
                <w:sz w:val="18"/>
                <w14:numSpacing w14:val="default"/>
              </w:rPr>
            </w:pPr>
            <w:r>
              <w:rPr>
                <w:sz w:val="18"/>
              </w:rPr>
              <w:t>Region</w:t>
            </w:r>
          </w:p>
        </w:tc>
        <w:tc>
          <w:tcPr>
            <w:tcW w:w="1513" w:type="pct"/>
            <w:gridSpan w:val="3"/>
            <w:tcBorders>
              <w:bottom w:val="nil"/>
            </w:tcBorders>
            <w:hideMark/>
          </w:tcPr>
          <w:p w:rsidR="004E13F5" w:rsidRPr="00F33F2D" w:rsidRDefault="004E13F5" w:rsidP="004E13F5">
            <w:pPr>
              <w:spacing w:before="60" w:after="60"/>
              <w:jc w:val="center"/>
              <w:rPr>
                <w:sz w:val="18"/>
                <w14:numSpacing w14:val="default"/>
              </w:rPr>
            </w:pPr>
            <w:r w:rsidRPr="00F33F2D">
              <w:rPr>
                <w:sz w:val="18"/>
              </w:rPr>
              <w:t>Price ($/MWh)</w:t>
            </w:r>
          </w:p>
        </w:tc>
        <w:tc>
          <w:tcPr>
            <w:tcW w:w="1474" w:type="pct"/>
            <w:gridSpan w:val="3"/>
            <w:tcBorders>
              <w:bottom w:val="nil"/>
            </w:tcBorders>
            <w:hideMark/>
          </w:tcPr>
          <w:p w:rsidR="004E13F5" w:rsidRPr="00F33F2D" w:rsidRDefault="004E13F5" w:rsidP="004E13F5">
            <w:pPr>
              <w:spacing w:before="60" w:after="60"/>
              <w:jc w:val="center"/>
              <w:rPr>
                <w:sz w:val="18"/>
                <w14:numSpacing w14:val="default"/>
              </w:rPr>
            </w:pPr>
            <w:r w:rsidRPr="00F33F2D">
              <w:rPr>
                <w:sz w:val="18"/>
              </w:rPr>
              <w:t>Demand (MW)</w:t>
            </w:r>
          </w:p>
        </w:tc>
        <w:tc>
          <w:tcPr>
            <w:tcW w:w="1473" w:type="pct"/>
            <w:gridSpan w:val="3"/>
            <w:tcBorders>
              <w:bottom w:val="nil"/>
            </w:tcBorders>
            <w:hideMark/>
          </w:tcPr>
          <w:p w:rsidR="004E13F5" w:rsidRPr="00F33F2D" w:rsidRDefault="004E13F5" w:rsidP="004E13F5">
            <w:pPr>
              <w:spacing w:before="60" w:after="60"/>
              <w:jc w:val="center"/>
              <w:rPr>
                <w:sz w:val="18"/>
                <w14:numSpacing w14:val="default"/>
              </w:rPr>
            </w:pPr>
            <w:r w:rsidRPr="00F33F2D">
              <w:rPr>
                <w:sz w:val="18"/>
              </w:rPr>
              <w:t>Availability (MW)</w:t>
            </w:r>
          </w:p>
        </w:tc>
      </w:tr>
      <w:tr w:rsidR="00FF26D0" w:rsidRPr="00F33F2D" w:rsidTr="00993358">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 </w:t>
            </w:r>
          </w:p>
        </w:tc>
        <w:tc>
          <w:tcPr>
            <w:tcW w:w="518"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4 hr forecast</w:t>
            </w:r>
          </w:p>
        </w:tc>
        <w:tc>
          <w:tcPr>
            <w:tcW w:w="498"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12 hr forecast</w:t>
            </w:r>
          </w:p>
        </w:tc>
        <w:tc>
          <w:tcPr>
            <w:tcW w:w="480"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4 hr forecast</w:t>
            </w:r>
          </w:p>
        </w:tc>
        <w:tc>
          <w:tcPr>
            <w:tcW w:w="497"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12 hr forecast</w:t>
            </w:r>
          </w:p>
        </w:tc>
        <w:tc>
          <w:tcPr>
            <w:tcW w:w="480"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4 hr forecast</w:t>
            </w:r>
          </w:p>
        </w:tc>
        <w:tc>
          <w:tcPr>
            <w:tcW w:w="496" w:type="pct"/>
            <w:tcBorders>
              <w:bottom w:val="nil"/>
            </w:tcBorders>
            <w:shd w:val="clear" w:color="auto" w:fill="007192" w:themeFill="accent3" w:themeFillShade="BF"/>
            <w:hideMark/>
          </w:tcPr>
          <w:p w:rsidR="004E13F5" w:rsidRPr="00F33F2D" w:rsidRDefault="004E13F5" w:rsidP="004E13F5">
            <w:pPr>
              <w:spacing w:before="0"/>
              <w:jc w:val="center"/>
              <w:rPr>
                <w:sz w:val="18"/>
              </w:rPr>
            </w:pPr>
            <w:r w:rsidRPr="00F33F2D">
              <w:rPr>
                <w:sz w:val="18"/>
              </w:rPr>
              <w:t>12 hr forecast</w:t>
            </w:r>
          </w:p>
        </w:tc>
      </w:tr>
      <w:tr w:rsidR="00902878" w:rsidRPr="00970968" w:rsidTr="00902878">
        <w:trPr>
          <w:trHeight w:val="510"/>
        </w:trPr>
        <w:tc>
          <w:tcPr>
            <w:tcW w:w="539" w:type="pct"/>
            <w:tcBorders>
              <w:top w:val="nil"/>
              <w:bottom w:val="nil"/>
            </w:tcBorders>
            <w:vAlign w:val="center"/>
          </w:tcPr>
          <w:p w:rsidR="00902878" w:rsidRPr="00FD3899" w:rsidRDefault="00902878" w:rsidP="00F33F2D">
            <w:pPr>
              <w:spacing w:before="100" w:beforeAutospacing="1" w:after="100" w:afterAutospacing="1" w:line="240" w:lineRule="auto"/>
              <w:jc w:val="center"/>
              <w:rPr>
                <w:rFonts w:eastAsia="Times New Roman" w:cs="Arial"/>
                <w:szCs w:val="18"/>
                <w:lang w:eastAsia="en-AU"/>
              </w:rPr>
            </w:pPr>
            <w:r w:rsidRPr="00FD3899">
              <w:rPr>
                <w:rFonts w:eastAsia="Times New Roman" w:cs="Arial"/>
                <w:bCs/>
                <w:sz w:val="22"/>
                <w:szCs w:val="18"/>
                <w:lang w:eastAsia="en-AU"/>
              </w:rPr>
              <w:t>NSW</w:t>
            </w:r>
          </w:p>
        </w:tc>
        <w:tc>
          <w:tcPr>
            <w:tcW w:w="518" w:type="pct"/>
            <w:tcBorders>
              <w:top w:val="nil"/>
              <w:bottom w:val="nil"/>
            </w:tcBorders>
            <w:vAlign w:val="center"/>
          </w:tcPr>
          <w:p w:rsidR="00902878" w:rsidRPr="00FD3899" w:rsidRDefault="00902878">
            <w:pPr>
              <w:pStyle w:val="NormalWeb"/>
              <w:jc w:val="center"/>
              <w:rPr>
                <w:rFonts w:ascii="Arial" w:hAnsi="Arial" w:cs="Arial"/>
                <w:sz w:val="18"/>
                <w:szCs w:val="18"/>
              </w:rPr>
            </w:pPr>
            <w:r w:rsidRPr="00FD3899">
              <w:rPr>
                <w:rFonts w:ascii="Arial" w:hAnsi="Arial" w:cs="Arial"/>
                <w:sz w:val="18"/>
                <w:szCs w:val="18"/>
              </w:rPr>
              <w:t>252.51</w:t>
            </w:r>
          </w:p>
        </w:tc>
        <w:tc>
          <w:tcPr>
            <w:tcW w:w="497" w:type="pct"/>
            <w:tcBorders>
              <w:top w:val="nil"/>
              <w:bottom w:val="nil"/>
            </w:tcBorders>
            <w:vAlign w:val="center"/>
          </w:tcPr>
          <w:p w:rsidR="00902878" w:rsidRPr="00FD3899" w:rsidRDefault="00902878">
            <w:pPr>
              <w:pStyle w:val="NormalWeb"/>
              <w:jc w:val="center"/>
              <w:rPr>
                <w:rFonts w:ascii="Arial" w:hAnsi="Arial" w:cs="Arial"/>
                <w:sz w:val="18"/>
                <w:szCs w:val="18"/>
              </w:rPr>
            </w:pPr>
            <w:r w:rsidRPr="00FD3899">
              <w:rPr>
                <w:rFonts w:ascii="Arial" w:hAnsi="Arial" w:cs="Arial"/>
                <w:sz w:val="18"/>
                <w:szCs w:val="18"/>
              </w:rPr>
              <w:t>61.95</w:t>
            </w:r>
          </w:p>
        </w:tc>
        <w:tc>
          <w:tcPr>
            <w:tcW w:w="498" w:type="pct"/>
            <w:tcBorders>
              <w:top w:val="nil"/>
              <w:bottom w:val="nil"/>
            </w:tcBorders>
            <w:vAlign w:val="center"/>
          </w:tcPr>
          <w:p w:rsidR="00902878" w:rsidRPr="00FD3899" w:rsidRDefault="00902878">
            <w:pPr>
              <w:pStyle w:val="NormalWeb"/>
              <w:jc w:val="center"/>
              <w:rPr>
                <w:rFonts w:ascii="Arial" w:hAnsi="Arial" w:cs="Arial"/>
                <w:sz w:val="18"/>
                <w:szCs w:val="18"/>
              </w:rPr>
            </w:pPr>
            <w:r w:rsidRPr="00FD3899">
              <w:rPr>
                <w:rFonts w:ascii="Arial" w:hAnsi="Arial" w:cs="Arial"/>
                <w:sz w:val="18"/>
                <w:szCs w:val="18"/>
              </w:rPr>
              <w:t>48.74</w:t>
            </w:r>
          </w:p>
        </w:tc>
        <w:tc>
          <w:tcPr>
            <w:tcW w:w="480" w:type="pct"/>
            <w:tcBorders>
              <w:top w:val="nil"/>
              <w:bottom w:val="nil"/>
            </w:tcBorders>
            <w:vAlign w:val="center"/>
          </w:tcPr>
          <w:p w:rsidR="00902878" w:rsidRPr="00FD3899" w:rsidRDefault="00902878">
            <w:pPr>
              <w:pStyle w:val="NormalWeb"/>
              <w:jc w:val="center"/>
              <w:rPr>
                <w:rFonts w:ascii="Arial" w:hAnsi="Arial" w:cs="Arial"/>
                <w:sz w:val="18"/>
                <w:szCs w:val="18"/>
              </w:rPr>
            </w:pPr>
            <w:r w:rsidRPr="00FD3899">
              <w:rPr>
                <w:rFonts w:ascii="Arial" w:hAnsi="Arial" w:cs="Arial"/>
                <w:sz w:val="18"/>
                <w:szCs w:val="18"/>
              </w:rPr>
              <w:t>10 760</w:t>
            </w:r>
          </w:p>
        </w:tc>
        <w:tc>
          <w:tcPr>
            <w:tcW w:w="497" w:type="pct"/>
            <w:tcBorders>
              <w:top w:val="nil"/>
              <w:bottom w:val="nil"/>
            </w:tcBorders>
            <w:vAlign w:val="center"/>
          </w:tcPr>
          <w:p w:rsidR="00902878" w:rsidRPr="00FD3899" w:rsidRDefault="00902878">
            <w:pPr>
              <w:pStyle w:val="NormalWeb"/>
              <w:jc w:val="center"/>
              <w:rPr>
                <w:rFonts w:ascii="Arial" w:hAnsi="Arial" w:cs="Arial"/>
                <w:sz w:val="18"/>
                <w:szCs w:val="18"/>
              </w:rPr>
            </w:pPr>
            <w:r w:rsidRPr="00FD3899">
              <w:rPr>
                <w:rFonts w:ascii="Arial" w:hAnsi="Arial" w:cs="Arial"/>
                <w:sz w:val="18"/>
                <w:szCs w:val="18"/>
              </w:rPr>
              <w:t>10 689</w:t>
            </w:r>
          </w:p>
        </w:tc>
        <w:tc>
          <w:tcPr>
            <w:tcW w:w="497" w:type="pct"/>
            <w:tcBorders>
              <w:top w:val="nil"/>
              <w:bottom w:val="nil"/>
            </w:tcBorders>
            <w:vAlign w:val="center"/>
          </w:tcPr>
          <w:p w:rsidR="00902878" w:rsidRPr="00FD3899" w:rsidRDefault="00902878">
            <w:pPr>
              <w:pStyle w:val="NormalWeb"/>
              <w:jc w:val="center"/>
              <w:rPr>
                <w:rFonts w:ascii="Arial" w:hAnsi="Arial" w:cs="Arial"/>
                <w:sz w:val="18"/>
                <w:szCs w:val="18"/>
              </w:rPr>
            </w:pPr>
            <w:r w:rsidRPr="00FD3899">
              <w:rPr>
                <w:rFonts w:ascii="Arial" w:hAnsi="Arial" w:cs="Arial"/>
                <w:sz w:val="18"/>
                <w:szCs w:val="18"/>
              </w:rPr>
              <w:t>10 500</w:t>
            </w:r>
          </w:p>
        </w:tc>
        <w:tc>
          <w:tcPr>
            <w:tcW w:w="480" w:type="pct"/>
            <w:tcBorders>
              <w:top w:val="nil"/>
              <w:bottom w:val="nil"/>
            </w:tcBorders>
            <w:vAlign w:val="center"/>
          </w:tcPr>
          <w:p w:rsidR="00902878" w:rsidRPr="00FD3899" w:rsidRDefault="00902878">
            <w:pPr>
              <w:pStyle w:val="NormalWeb"/>
              <w:jc w:val="center"/>
              <w:rPr>
                <w:rFonts w:ascii="Arial" w:hAnsi="Arial" w:cs="Arial"/>
                <w:sz w:val="18"/>
                <w:szCs w:val="18"/>
              </w:rPr>
            </w:pPr>
            <w:r w:rsidRPr="00FD3899">
              <w:rPr>
                <w:rFonts w:ascii="Arial" w:hAnsi="Arial" w:cs="Arial"/>
                <w:sz w:val="18"/>
                <w:szCs w:val="18"/>
              </w:rPr>
              <w:t>11 787</w:t>
            </w:r>
          </w:p>
        </w:tc>
        <w:tc>
          <w:tcPr>
            <w:tcW w:w="497" w:type="pct"/>
            <w:tcBorders>
              <w:top w:val="nil"/>
              <w:bottom w:val="nil"/>
            </w:tcBorders>
            <w:vAlign w:val="center"/>
          </w:tcPr>
          <w:p w:rsidR="00902878" w:rsidRPr="00FD3899" w:rsidRDefault="00902878">
            <w:pPr>
              <w:pStyle w:val="NormalWeb"/>
              <w:jc w:val="center"/>
              <w:rPr>
                <w:rFonts w:ascii="Arial" w:hAnsi="Arial" w:cs="Arial"/>
                <w:sz w:val="18"/>
                <w:szCs w:val="18"/>
              </w:rPr>
            </w:pPr>
            <w:r w:rsidRPr="00FD3899">
              <w:rPr>
                <w:rFonts w:ascii="Arial" w:hAnsi="Arial" w:cs="Arial"/>
                <w:sz w:val="18"/>
                <w:szCs w:val="18"/>
              </w:rPr>
              <w:t>13 208</w:t>
            </w:r>
          </w:p>
        </w:tc>
        <w:tc>
          <w:tcPr>
            <w:tcW w:w="496" w:type="pct"/>
            <w:tcBorders>
              <w:top w:val="nil"/>
              <w:bottom w:val="nil"/>
            </w:tcBorders>
            <w:vAlign w:val="center"/>
          </w:tcPr>
          <w:p w:rsidR="00902878" w:rsidRPr="00FD3899" w:rsidRDefault="00902878">
            <w:pPr>
              <w:pStyle w:val="NormalWeb"/>
              <w:jc w:val="center"/>
              <w:rPr>
                <w:rFonts w:ascii="Arial" w:hAnsi="Arial" w:cs="Arial"/>
                <w:sz w:val="18"/>
                <w:szCs w:val="18"/>
              </w:rPr>
            </w:pPr>
            <w:r w:rsidRPr="00FD3899">
              <w:rPr>
                <w:rFonts w:ascii="Arial" w:hAnsi="Arial" w:cs="Arial"/>
                <w:sz w:val="18"/>
                <w:szCs w:val="18"/>
              </w:rPr>
              <w:t>13 785</w:t>
            </w:r>
          </w:p>
        </w:tc>
      </w:tr>
      <w:tr w:rsidR="00902878" w:rsidRPr="00970968" w:rsidTr="00902878">
        <w:trPr>
          <w:cnfStyle w:val="000000010000" w:firstRow="0" w:lastRow="0" w:firstColumn="0" w:lastColumn="0" w:oddVBand="0" w:evenVBand="0" w:oddHBand="0" w:evenHBand="1" w:firstRowFirstColumn="0" w:firstRowLastColumn="0" w:lastRowFirstColumn="0" w:lastRowLastColumn="0"/>
          <w:trHeight w:val="510"/>
        </w:trPr>
        <w:tc>
          <w:tcPr>
            <w:tcW w:w="539" w:type="pct"/>
            <w:tcBorders>
              <w:top w:val="nil"/>
              <w:bottom w:val="nil"/>
            </w:tcBorders>
            <w:vAlign w:val="center"/>
          </w:tcPr>
          <w:p w:rsidR="00902878" w:rsidRPr="00FD3899" w:rsidRDefault="00902878" w:rsidP="00F33F2D">
            <w:pPr>
              <w:spacing w:before="100" w:beforeAutospacing="1" w:after="100" w:afterAutospacing="1" w:line="240" w:lineRule="auto"/>
              <w:jc w:val="center"/>
              <w:rPr>
                <w:rFonts w:eastAsia="Times New Roman" w:cs="Arial"/>
                <w:bCs/>
                <w:sz w:val="18"/>
                <w:szCs w:val="18"/>
                <w:lang w:eastAsia="en-AU"/>
              </w:rPr>
            </w:pPr>
            <w:r w:rsidRPr="00FD3899">
              <w:rPr>
                <w:rFonts w:eastAsia="Times New Roman" w:cs="Arial"/>
                <w:bCs/>
                <w:sz w:val="18"/>
                <w:szCs w:val="18"/>
                <w:lang w:eastAsia="en-AU"/>
              </w:rPr>
              <w:t>VIC</w:t>
            </w:r>
          </w:p>
        </w:tc>
        <w:tc>
          <w:tcPr>
            <w:tcW w:w="518" w:type="pct"/>
            <w:tcBorders>
              <w:top w:val="nil"/>
              <w:bottom w:val="nil"/>
            </w:tcBorders>
            <w:vAlign w:val="center"/>
          </w:tcPr>
          <w:p w:rsidR="00902878" w:rsidRPr="00FD3899" w:rsidRDefault="00902878">
            <w:pPr>
              <w:pStyle w:val="NormalWeb"/>
              <w:jc w:val="center"/>
              <w:rPr>
                <w:rFonts w:ascii="Arial" w:hAnsi="Arial" w:cs="Arial"/>
                <w:sz w:val="18"/>
                <w:szCs w:val="18"/>
              </w:rPr>
            </w:pPr>
            <w:r w:rsidRPr="00FD3899">
              <w:rPr>
                <w:rFonts w:ascii="Arial" w:hAnsi="Arial" w:cs="Arial"/>
                <w:sz w:val="18"/>
                <w:szCs w:val="18"/>
              </w:rPr>
              <w:t>228.07</w:t>
            </w:r>
          </w:p>
        </w:tc>
        <w:tc>
          <w:tcPr>
            <w:tcW w:w="497" w:type="pct"/>
            <w:tcBorders>
              <w:top w:val="nil"/>
              <w:bottom w:val="nil"/>
            </w:tcBorders>
            <w:vAlign w:val="center"/>
          </w:tcPr>
          <w:p w:rsidR="00902878" w:rsidRPr="00FD3899" w:rsidRDefault="000E4F74">
            <w:pPr>
              <w:pStyle w:val="NormalWeb"/>
              <w:jc w:val="center"/>
              <w:rPr>
                <w:rFonts w:ascii="Arial" w:hAnsi="Arial" w:cs="Arial"/>
                <w:sz w:val="18"/>
                <w:szCs w:val="18"/>
              </w:rPr>
            </w:pPr>
            <w:r w:rsidRPr="00FD3899">
              <w:rPr>
                <w:rFonts w:ascii="Arial" w:hAnsi="Arial" w:cs="Arial"/>
                <w:sz w:val="18"/>
                <w:szCs w:val="18"/>
              </w:rPr>
              <w:t>61.50</w:t>
            </w:r>
          </w:p>
        </w:tc>
        <w:tc>
          <w:tcPr>
            <w:tcW w:w="498" w:type="pct"/>
            <w:tcBorders>
              <w:top w:val="nil"/>
              <w:bottom w:val="nil"/>
            </w:tcBorders>
            <w:vAlign w:val="center"/>
          </w:tcPr>
          <w:p w:rsidR="00902878" w:rsidRPr="00FD3899" w:rsidRDefault="000E4F74">
            <w:pPr>
              <w:pStyle w:val="NormalWeb"/>
              <w:jc w:val="center"/>
              <w:rPr>
                <w:rFonts w:ascii="Arial" w:hAnsi="Arial" w:cs="Arial"/>
                <w:sz w:val="18"/>
                <w:szCs w:val="18"/>
              </w:rPr>
            </w:pPr>
            <w:r w:rsidRPr="00FD3899">
              <w:rPr>
                <w:rFonts w:ascii="Arial" w:hAnsi="Arial" w:cs="Arial"/>
                <w:sz w:val="18"/>
                <w:szCs w:val="18"/>
              </w:rPr>
              <w:t>48.17</w:t>
            </w:r>
          </w:p>
        </w:tc>
        <w:tc>
          <w:tcPr>
            <w:tcW w:w="480" w:type="pct"/>
            <w:tcBorders>
              <w:top w:val="nil"/>
              <w:bottom w:val="nil"/>
            </w:tcBorders>
            <w:vAlign w:val="center"/>
          </w:tcPr>
          <w:p w:rsidR="00902878" w:rsidRPr="00FD3899" w:rsidRDefault="000E4F74">
            <w:pPr>
              <w:pStyle w:val="NormalWeb"/>
              <w:jc w:val="center"/>
              <w:rPr>
                <w:rFonts w:ascii="Arial" w:hAnsi="Arial" w:cs="Arial"/>
                <w:sz w:val="18"/>
                <w:szCs w:val="18"/>
              </w:rPr>
            </w:pPr>
            <w:r w:rsidRPr="00FD3899">
              <w:rPr>
                <w:rFonts w:ascii="Arial" w:hAnsi="Arial" w:cs="Arial"/>
                <w:sz w:val="18"/>
                <w:szCs w:val="18"/>
              </w:rPr>
              <w:t>6961</w:t>
            </w:r>
          </w:p>
        </w:tc>
        <w:tc>
          <w:tcPr>
            <w:tcW w:w="497" w:type="pct"/>
            <w:tcBorders>
              <w:top w:val="nil"/>
              <w:bottom w:val="nil"/>
            </w:tcBorders>
            <w:vAlign w:val="center"/>
          </w:tcPr>
          <w:p w:rsidR="00902878" w:rsidRPr="00FD3899" w:rsidRDefault="00727745">
            <w:pPr>
              <w:pStyle w:val="NormalWeb"/>
              <w:jc w:val="center"/>
              <w:rPr>
                <w:rFonts w:ascii="Arial" w:hAnsi="Arial" w:cs="Arial"/>
                <w:sz w:val="18"/>
                <w:szCs w:val="18"/>
              </w:rPr>
            </w:pPr>
            <w:r w:rsidRPr="00FD3899">
              <w:rPr>
                <w:rFonts w:ascii="Arial" w:hAnsi="Arial" w:cs="Arial"/>
                <w:sz w:val="18"/>
                <w:szCs w:val="18"/>
              </w:rPr>
              <w:t>6743</w:t>
            </w:r>
          </w:p>
        </w:tc>
        <w:tc>
          <w:tcPr>
            <w:tcW w:w="497" w:type="pct"/>
            <w:tcBorders>
              <w:top w:val="nil"/>
              <w:bottom w:val="nil"/>
            </w:tcBorders>
            <w:vAlign w:val="center"/>
          </w:tcPr>
          <w:p w:rsidR="00902878" w:rsidRPr="00FD3899" w:rsidRDefault="000E4F74">
            <w:pPr>
              <w:pStyle w:val="NormalWeb"/>
              <w:jc w:val="center"/>
              <w:rPr>
                <w:rFonts w:ascii="Arial" w:hAnsi="Arial" w:cs="Arial"/>
                <w:sz w:val="18"/>
                <w:szCs w:val="18"/>
              </w:rPr>
            </w:pPr>
            <w:r w:rsidRPr="00FD3899">
              <w:rPr>
                <w:rFonts w:ascii="Arial" w:hAnsi="Arial" w:cs="Arial"/>
                <w:sz w:val="18"/>
                <w:szCs w:val="18"/>
              </w:rPr>
              <w:t>6737</w:t>
            </w:r>
          </w:p>
        </w:tc>
        <w:tc>
          <w:tcPr>
            <w:tcW w:w="480" w:type="pct"/>
            <w:tcBorders>
              <w:top w:val="nil"/>
              <w:bottom w:val="nil"/>
            </w:tcBorders>
            <w:vAlign w:val="center"/>
          </w:tcPr>
          <w:p w:rsidR="00902878" w:rsidRPr="00FD3899" w:rsidRDefault="00727745">
            <w:pPr>
              <w:pStyle w:val="NormalWeb"/>
              <w:jc w:val="center"/>
              <w:rPr>
                <w:rFonts w:ascii="Arial" w:hAnsi="Arial" w:cs="Arial"/>
                <w:sz w:val="18"/>
                <w:szCs w:val="18"/>
              </w:rPr>
            </w:pPr>
            <w:r w:rsidRPr="00FD3899">
              <w:rPr>
                <w:rFonts w:ascii="Arial" w:hAnsi="Arial" w:cs="Arial"/>
                <w:sz w:val="18"/>
                <w:szCs w:val="18"/>
              </w:rPr>
              <w:t>9244</w:t>
            </w:r>
          </w:p>
        </w:tc>
        <w:tc>
          <w:tcPr>
            <w:tcW w:w="497" w:type="pct"/>
            <w:tcBorders>
              <w:top w:val="nil"/>
              <w:bottom w:val="nil"/>
            </w:tcBorders>
            <w:vAlign w:val="center"/>
          </w:tcPr>
          <w:p w:rsidR="00902878" w:rsidRPr="00FD3899" w:rsidRDefault="00727745">
            <w:pPr>
              <w:pStyle w:val="NormalWeb"/>
              <w:jc w:val="center"/>
              <w:rPr>
                <w:rFonts w:ascii="Arial" w:hAnsi="Arial" w:cs="Arial"/>
                <w:sz w:val="18"/>
                <w:szCs w:val="18"/>
              </w:rPr>
            </w:pPr>
            <w:r w:rsidRPr="00FD3899">
              <w:rPr>
                <w:rFonts w:ascii="Arial" w:hAnsi="Arial" w:cs="Arial"/>
                <w:sz w:val="18"/>
                <w:szCs w:val="18"/>
              </w:rPr>
              <w:t>9250</w:t>
            </w:r>
          </w:p>
        </w:tc>
        <w:tc>
          <w:tcPr>
            <w:tcW w:w="496" w:type="pct"/>
            <w:tcBorders>
              <w:top w:val="nil"/>
              <w:bottom w:val="nil"/>
            </w:tcBorders>
            <w:vAlign w:val="center"/>
          </w:tcPr>
          <w:p w:rsidR="00902878" w:rsidRPr="00FD3899" w:rsidRDefault="00727745">
            <w:pPr>
              <w:pStyle w:val="NormalWeb"/>
              <w:jc w:val="center"/>
              <w:rPr>
                <w:rFonts w:ascii="Arial" w:hAnsi="Arial" w:cs="Arial"/>
                <w:sz w:val="18"/>
                <w:szCs w:val="18"/>
              </w:rPr>
            </w:pPr>
            <w:r w:rsidRPr="00FD3899">
              <w:rPr>
                <w:rFonts w:ascii="Arial" w:hAnsi="Arial" w:cs="Arial"/>
                <w:sz w:val="18"/>
                <w:szCs w:val="18"/>
              </w:rPr>
              <w:t>9689</w:t>
            </w:r>
          </w:p>
        </w:tc>
      </w:tr>
      <w:tr w:rsidR="00902878" w:rsidRPr="00970968" w:rsidTr="00902878">
        <w:trPr>
          <w:trHeight w:val="510"/>
        </w:trPr>
        <w:tc>
          <w:tcPr>
            <w:tcW w:w="539" w:type="pct"/>
            <w:tcBorders>
              <w:top w:val="nil"/>
              <w:bottom w:val="nil"/>
            </w:tcBorders>
            <w:vAlign w:val="center"/>
          </w:tcPr>
          <w:p w:rsidR="00902878" w:rsidRPr="00FD3899" w:rsidRDefault="00902878" w:rsidP="00F33F2D">
            <w:pPr>
              <w:spacing w:before="100" w:beforeAutospacing="1" w:after="100" w:afterAutospacing="1" w:line="240" w:lineRule="auto"/>
              <w:jc w:val="center"/>
              <w:rPr>
                <w:rFonts w:eastAsia="Times New Roman" w:cs="Arial"/>
                <w:bCs/>
                <w:szCs w:val="18"/>
                <w:lang w:eastAsia="en-AU"/>
              </w:rPr>
            </w:pPr>
            <w:r w:rsidRPr="00FD3899">
              <w:rPr>
                <w:rFonts w:eastAsia="Times New Roman" w:cs="Arial"/>
                <w:bCs/>
                <w:sz w:val="22"/>
                <w:szCs w:val="18"/>
                <w:lang w:eastAsia="en-AU"/>
              </w:rPr>
              <w:t>QLD</w:t>
            </w:r>
          </w:p>
        </w:tc>
        <w:tc>
          <w:tcPr>
            <w:tcW w:w="518" w:type="pct"/>
            <w:tcBorders>
              <w:top w:val="nil"/>
              <w:bottom w:val="nil"/>
            </w:tcBorders>
            <w:vAlign w:val="center"/>
          </w:tcPr>
          <w:p w:rsidR="00902878" w:rsidRPr="00FD3899" w:rsidRDefault="00902878">
            <w:pPr>
              <w:pStyle w:val="NormalWeb"/>
              <w:jc w:val="center"/>
              <w:rPr>
                <w:rFonts w:ascii="Arial" w:hAnsi="Arial" w:cs="Arial"/>
                <w:sz w:val="18"/>
                <w:szCs w:val="18"/>
              </w:rPr>
            </w:pPr>
            <w:r w:rsidRPr="00FD3899">
              <w:rPr>
                <w:rFonts w:ascii="Arial" w:hAnsi="Arial" w:cs="Arial"/>
                <w:sz w:val="18"/>
                <w:szCs w:val="18"/>
              </w:rPr>
              <w:t>217.71</w:t>
            </w:r>
          </w:p>
        </w:tc>
        <w:tc>
          <w:tcPr>
            <w:tcW w:w="497" w:type="pct"/>
            <w:tcBorders>
              <w:top w:val="nil"/>
              <w:bottom w:val="nil"/>
            </w:tcBorders>
            <w:vAlign w:val="center"/>
          </w:tcPr>
          <w:p w:rsidR="00902878" w:rsidRPr="00FD3899" w:rsidRDefault="000E4F74">
            <w:pPr>
              <w:pStyle w:val="NormalWeb"/>
              <w:jc w:val="center"/>
              <w:rPr>
                <w:rFonts w:ascii="Arial" w:hAnsi="Arial" w:cs="Arial"/>
                <w:sz w:val="18"/>
                <w:szCs w:val="18"/>
              </w:rPr>
            </w:pPr>
            <w:r w:rsidRPr="00FD3899">
              <w:rPr>
                <w:rFonts w:ascii="Arial" w:hAnsi="Arial" w:cs="Arial"/>
                <w:sz w:val="18"/>
                <w:szCs w:val="18"/>
              </w:rPr>
              <w:t>57.52</w:t>
            </w:r>
          </w:p>
        </w:tc>
        <w:tc>
          <w:tcPr>
            <w:tcW w:w="498" w:type="pct"/>
            <w:tcBorders>
              <w:top w:val="nil"/>
              <w:bottom w:val="nil"/>
            </w:tcBorders>
            <w:vAlign w:val="center"/>
          </w:tcPr>
          <w:p w:rsidR="00902878" w:rsidRPr="00FD3899" w:rsidRDefault="000E4F74">
            <w:pPr>
              <w:pStyle w:val="NormalWeb"/>
              <w:jc w:val="center"/>
              <w:rPr>
                <w:rFonts w:ascii="Arial" w:hAnsi="Arial" w:cs="Arial"/>
                <w:sz w:val="18"/>
                <w:szCs w:val="18"/>
              </w:rPr>
            </w:pPr>
            <w:r w:rsidRPr="00FD3899">
              <w:rPr>
                <w:rFonts w:ascii="Arial" w:hAnsi="Arial" w:cs="Arial"/>
                <w:sz w:val="18"/>
                <w:szCs w:val="18"/>
              </w:rPr>
              <w:t>46.35</w:t>
            </w:r>
          </w:p>
        </w:tc>
        <w:tc>
          <w:tcPr>
            <w:tcW w:w="480" w:type="pct"/>
            <w:tcBorders>
              <w:top w:val="nil"/>
              <w:bottom w:val="nil"/>
            </w:tcBorders>
            <w:vAlign w:val="center"/>
          </w:tcPr>
          <w:p w:rsidR="00902878" w:rsidRPr="00FD3899" w:rsidRDefault="000E4F74">
            <w:pPr>
              <w:pStyle w:val="NormalWeb"/>
              <w:jc w:val="center"/>
              <w:rPr>
                <w:rFonts w:ascii="Arial" w:hAnsi="Arial" w:cs="Arial"/>
                <w:sz w:val="18"/>
                <w:szCs w:val="18"/>
              </w:rPr>
            </w:pPr>
            <w:r w:rsidRPr="00FD3899">
              <w:rPr>
                <w:rFonts w:ascii="Arial" w:hAnsi="Arial" w:cs="Arial"/>
                <w:sz w:val="18"/>
                <w:szCs w:val="18"/>
              </w:rPr>
              <w:t>7018</w:t>
            </w:r>
          </w:p>
        </w:tc>
        <w:tc>
          <w:tcPr>
            <w:tcW w:w="497" w:type="pct"/>
            <w:tcBorders>
              <w:top w:val="nil"/>
              <w:bottom w:val="nil"/>
            </w:tcBorders>
            <w:vAlign w:val="center"/>
          </w:tcPr>
          <w:p w:rsidR="00902878" w:rsidRPr="00FD3899" w:rsidRDefault="00727745">
            <w:pPr>
              <w:pStyle w:val="NormalWeb"/>
              <w:jc w:val="center"/>
              <w:rPr>
                <w:rFonts w:ascii="Arial" w:hAnsi="Arial" w:cs="Arial"/>
                <w:sz w:val="18"/>
                <w:szCs w:val="18"/>
              </w:rPr>
            </w:pPr>
            <w:r w:rsidRPr="00FD3899">
              <w:rPr>
                <w:rFonts w:ascii="Arial" w:hAnsi="Arial" w:cs="Arial"/>
                <w:sz w:val="18"/>
                <w:szCs w:val="18"/>
              </w:rPr>
              <w:t>7041</w:t>
            </w:r>
          </w:p>
        </w:tc>
        <w:tc>
          <w:tcPr>
            <w:tcW w:w="497" w:type="pct"/>
            <w:tcBorders>
              <w:top w:val="nil"/>
              <w:bottom w:val="nil"/>
            </w:tcBorders>
            <w:vAlign w:val="center"/>
          </w:tcPr>
          <w:p w:rsidR="00902878" w:rsidRPr="00FD3899" w:rsidRDefault="000E4F74">
            <w:pPr>
              <w:pStyle w:val="NormalWeb"/>
              <w:jc w:val="center"/>
              <w:rPr>
                <w:rFonts w:ascii="Arial" w:hAnsi="Arial" w:cs="Arial"/>
                <w:sz w:val="18"/>
                <w:szCs w:val="18"/>
              </w:rPr>
            </w:pPr>
            <w:r w:rsidRPr="00FD3899">
              <w:rPr>
                <w:rFonts w:ascii="Arial" w:hAnsi="Arial" w:cs="Arial"/>
                <w:sz w:val="18"/>
                <w:szCs w:val="18"/>
              </w:rPr>
              <w:t>7052</w:t>
            </w:r>
          </w:p>
        </w:tc>
        <w:tc>
          <w:tcPr>
            <w:tcW w:w="480" w:type="pct"/>
            <w:tcBorders>
              <w:top w:val="nil"/>
              <w:bottom w:val="nil"/>
            </w:tcBorders>
            <w:vAlign w:val="center"/>
          </w:tcPr>
          <w:p w:rsidR="00902878" w:rsidRPr="00FD3899" w:rsidRDefault="00727745">
            <w:pPr>
              <w:pStyle w:val="NormalWeb"/>
              <w:jc w:val="center"/>
              <w:rPr>
                <w:rFonts w:ascii="Arial" w:hAnsi="Arial" w:cs="Arial"/>
                <w:sz w:val="18"/>
                <w:szCs w:val="18"/>
              </w:rPr>
            </w:pPr>
            <w:r w:rsidRPr="00FD3899">
              <w:rPr>
                <w:rFonts w:ascii="Arial" w:hAnsi="Arial" w:cs="Arial"/>
                <w:sz w:val="18"/>
                <w:szCs w:val="18"/>
              </w:rPr>
              <w:t>9628</w:t>
            </w:r>
          </w:p>
        </w:tc>
        <w:tc>
          <w:tcPr>
            <w:tcW w:w="497" w:type="pct"/>
            <w:tcBorders>
              <w:top w:val="nil"/>
              <w:bottom w:val="nil"/>
            </w:tcBorders>
            <w:vAlign w:val="center"/>
          </w:tcPr>
          <w:p w:rsidR="00902878" w:rsidRPr="00FD3899" w:rsidRDefault="00727745">
            <w:pPr>
              <w:pStyle w:val="NormalWeb"/>
              <w:jc w:val="center"/>
              <w:rPr>
                <w:rFonts w:ascii="Arial" w:hAnsi="Arial" w:cs="Arial"/>
                <w:sz w:val="18"/>
                <w:szCs w:val="18"/>
              </w:rPr>
            </w:pPr>
            <w:r w:rsidRPr="00FD3899">
              <w:rPr>
                <w:rFonts w:ascii="Arial" w:hAnsi="Arial" w:cs="Arial"/>
                <w:sz w:val="18"/>
                <w:szCs w:val="18"/>
              </w:rPr>
              <w:t>9702</w:t>
            </w:r>
          </w:p>
        </w:tc>
        <w:tc>
          <w:tcPr>
            <w:tcW w:w="496" w:type="pct"/>
            <w:tcBorders>
              <w:top w:val="nil"/>
              <w:bottom w:val="nil"/>
            </w:tcBorders>
            <w:vAlign w:val="center"/>
          </w:tcPr>
          <w:p w:rsidR="00902878" w:rsidRPr="00FD3899" w:rsidRDefault="00727745">
            <w:pPr>
              <w:pStyle w:val="NormalWeb"/>
              <w:jc w:val="center"/>
              <w:rPr>
                <w:rFonts w:ascii="Arial" w:hAnsi="Arial" w:cs="Arial"/>
                <w:sz w:val="18"/>
                <w:szCs w:val="18"/>
              </w:rPr>
            </w:pPr>
            <w:r w:rsidRPr="00FD3899">
              <w:rPr>
                <w:rFonts w:ascii="Arial" w:hAnsi="Arial" w:cs="Arial"/>
                <w:sz w:val="18"/>
                <w:szCs w:val="18"/>
              </w:rPr>
              <w:t>9687</w:t>
            </w:r>
          </w:p>
        </w:tc>
      </w:tr>
      <w:tr w:rsidR="00902878" w:rsidRPr="00970968" w:rsidTr="00902878">
        <w:trPr>
          <w:cnfStyle w:val="000000010000" w:firstRow="0" w:lastRow="0" w:firstColumn="0" w:lastColumn="0" w:oddVBand="0" w:evenVBand="0" w:oddHBand="0" w:evenHBand="1" w:firstRowFirstColumn="0" w:firstRowLastColumn="0" w:lastRowFirstColumn="0" w:lastRowLastColumn="0"/>
          <w:trHeight w:val="510"/>
        </w:trPr>
        <w:tc>
          <w:tcPr>
            <w:tcW w:w="539" w:type="pct"/>
            <w:tcBorders>
              <w:top w:val="nil"/>
              <w:bottom w:val="nil"/>
            </w:tcBorders>
            <w:vAlign w:val="center"/>
          </w:tcPr>
          <w:p w:rsidR="00902878" w:rsidRPr="00FD3899" w:rsidRDefault="00902878" w:rsidP="00F33F2D">
            <w:pPr>
              <w:spacing w:before="100" w:beforeAutospacing="1" w:after="100" w:afterAutospacing="1" w:line="240" w:lineRule="auto"/>
              <w:jc w:val="center"/>
              <w:rPr>
                <w:rFonts w:eastAsia="Times New Roman" w:cs="Arial"/>
                <w:bCs/>
                <w:sz w:val="18"/>
                <w:szCs w:val="18"/>
                <w:lang w:eastAsia="en-AU"/>
              </w:rPr>
            </w:pPr>
            <w:r w:rsidRPr="00FD3899">
              <w:rPr>
                <w:rFonts w:eastAsia="Times New Roman" w:cs="Arial"/>
                <w:bCs/>
                <w:sz w:val="18"/>
                <w:szCs w:val="18"/>
                <w:lang w:eastAsia="en-AU"/>
              </w:rPr>
              <w:t>SA</w:t>
            </w:r>
          </w:p>
        </w:tc>
        <w:tc>
          <w:tcPr>
            <w:tcW w:w="518" w:type="pct"/>
            <w:tcBorders>
              <w:top w:val="nil"/>
              <w:bottom w:val="nil"/>
            </w:tcBorders>
            <w:vAlign w:val="center"/>
          </w:tcPr>
          <w:p w:rsidR="00902878" w:rsidRPr="00FD3899" w:rsidRDefault="00902878">
            <w:pPr>
              <w:pStyle w:val="NormalWeb"/>
              <w:jc w:val="center"/>
              <w:rPr>
                <w:rFonts w:ascii="Arial" w:hAnsi="Arial" w:cs="Arial"/>
                <w:sz w:val="18"/>
                <w:szCs w:val="18"/>
              </w:rPr>
            </w:pPr>
            <w:r w:rsidRPr="00FD3899">
              <w:rPr>
                <w:rFonts w:ascii="Arial" w:hAnsi="Arial" w:cs="Arial"/>
                <w:sz w:val="18"/>
                <w:szCs w:val="18"/>
              </w:rPr>
              <w:t>243.45</w:t>
            </w:r>
          </w:p>
        </w:tc>
        <w:tc>
          <w:tcPr>
            <w:tcW w:w="497" w:type="pct"/>
            <w:tcBorders>
              <w:top w:val="nil"/>
              <w:bottom w:val="nil"/>
            </w:tcBorders>
            <w:vAlign w:val="center"/>
          </w:tcPr>
          <w:p w:rsidR="00902878" w:rsidRPr="00FD3899" w:rsidRDefault="000E4F74">
            <w:pPr>
              <w:pStyle w:val="NormalWeb"/>
              <w:jc w:val="center"/>
              <w:rPr>
                <w:rFonts w:ascii="Arial" w:hAnsi="Arial" w:cs="Arial"/>
                <w:sz w:val="18"/>
                <w:szCs w:val="18"/>
              </w:rPr>
            </w:pPr>
            <w:r w:rsidRPr="00FD3899">
              <w:rPr>
                <w:rFonts w:ascii="Arial" w:hAnsi="Arial" w:cs="Arial"/>
                <w:sz w:val="18"/>
                <w:szCs w:val="18"/>
              </w:rPr>
              <w:t>66.64</w:t>
            </w:r>
          </w:p>
        </w:tc>
        <w:tc>
          <w:tcPr>
            <w:tcW w:w="498" w:type="pct"/>
            <w:tcBorders>
              <w:top w:val="nil"/>
              <w:bottom w:val="nil"/>
            </w:tcBorders>
            <w:vAlign w:val="center"/>
          </w:tcPr>
          <w:p w:rsidR="00902878" w:rsidRPr="00FD3899" w:rsidRDefault="000E4F74">
            <w:pPr>
              <w:pStyle w:val="NormalWeb"/>
              <w:jc w:val="center"/>
              <w:rPr>
                <w:rFonts w:ascii="Arial" w:hAnsi="Arial" w:cs="Arial"/>
                <w:sz w:val="18"/>
                <w:szCs w:val="18"/>
              </w:rPr>
            </w:pPr>
            <w:r w:rsidRPr="00FD3899">
              <w:rPr>
                <w:rFonts w:ascii="Arial" w:hAnsi="Arial" w:cs="Arial"/>
                <w:sz w:val="18"/>
                <w:szCs w:val="18"/>
              </w:rPr>
              <w:t>54.99</w:t>
            </w:r>
          </w:p>
        </w:tc>
        <w:tc>
          <w:tcPr>
            <w:tcW w:w="480" w:type="pct"/>
            <w:tcBorders>
              <w:top w:val="nil"/>
              <w:bottom w:val="nil"/>
            </w:tcBorders>
            <w:vAlign w:val="center"/>
          </w:tcPr>
          <w:p w:rsidR="00902878" w:rsidRPr="00FD3899" w:rsidRDefault="000E4F74">
            <w:pPr>
              <w:pStyle w:val="NormalWeb"/>
              <w:jc w:val="center"/>
              <w:rPr>
                <w:rFonts w:ascii="Arial" w:hAnsi="Arial" w:cs="Arial"/>
                <w:sz w:val="18"/>
                <w:szCs w:val="18"/>
              </w:rPr>
            </w:pPr>
            <w:r w:rsidRPr="00FD3899">
              <w:rPr>
                <w:rFonts w:ascii="Arial" w:hAnsi="Arial" w:cs="Arial"/>
                <w:sz w:val="18"/>
                <w:szCs w:val="18"/>
              </w:rPr>
              <w:t>1761</w:t>
            </w:r>
          </w:p>
        </w:tc>
        <w:tc>
          <w:tcPr>
            <w:tcW w:w="497" w:type="pct"/>
            <w:tcBorders>
              <w:top w:val="nil"/>
              <w:bottom w:val="nil"/>
            </w:tcBorders>
            <w:vAlign w:val="center"/>
          </w:tcPr>
          <w:p w:rsidR="00902878" w:rsidRPr="00FD3899" w:rsidRDefault="00727745">
            <w:pPr>
              <w:pStyle w:val="NormalWeb"/>
              <w:jc w:val="center"/>
              <w:rPr>
                <w:rFonts w:ascii="Arial" w:hAnsi="Arial" w:cs="Arial"/>
                <w:sz w:val="18"/>
                <w:szCs w:val="18"/>
              </w:rPr>
            </w:pPr>
            <w:r w:rsidRPr="00FD3899">
              <w:rPr>
                <w:rFonts w:ascii="Arial" w:hAnsi="Arial" w:cs="Arial"/>
                <w:sz w:val="18"/>
                <w:szCs w:val="18"/>
              </w:rPr>
              <w:t>1667</w:t>
            </w:r>
          </w:p>
        </w:tc>
        <w:tc>
          <w:tcPr>
            <w:tcW w:w="497" w:type="pct"/>
            <w:tcBorders>
              <w:top w:val="nil"/>
              <w:bottom w:val="nil"/>
            </w:tcBorders>
            <w:vAlign w:val="center"/>
          </w:tcPr>
          <w:p w:rsidR="00902878" w:rsidRPr="00FD3899" w:rsidRDefault="000E4F74">
            <w:pPr>
              <w:pStyle w:val="NormalWeb"/>
              <w:jc w:val="center"/>
              <w:rPr>
                <w:rFonts w:ascii="Arial" w:hAnsi="Arial" w:cs="Arial"/>
                <w:sz w:val="18"/>
                <w:szCs w:val="18"/>
              </w:rPr>
            </w:pPr>
            <w:r w:rsidRPr="00FD3899">
              <w:rPr>
                <w:rFonts w:ascii="Arial" w:hAnsi="Arial" w:cs="Arial"/>
                <w:sz w:val="18"/>
                <w:szCs w:val="18"/>
              </w:rPr>
              <w:t>1704</w:t>
            </w:r>
          </w:p>
        </w:tc>
        <w:tc>
          <w:tcPr>
            <w:tcW w:w="480" w:type="pct"/>
            <w:tcBorders>
              <w:top w:val="nil"/>
              <w:bottom w:val="nil"/>
            </w:tcBorders>
            <w:vAlign w:val="center"/>
          </w:tcPr>
          <w:p w:rsidR="00902878" w:rsidRPr="00FD3899" w:rsidRDefault="00727745">
            <w:pPr>
              <w:pStyle w:val="NormalWeb"/>
              <w:jc w:val="center"/>
              <w:rPr>
                <w:rFonts w:ascii="Arial" w:hAnsi="Arial" w:cs="Arial"/>
                <w:sz w:val="18"/>
                <w:szCs w:val="18"/>
              </w:rPr>
            </w:pPr>
            <w:r w:rsidRPr="00FD3899">
              <w:rPr>
                <w:rFonts w:ascii="Arial" w:hAnsi="Arial" w:cs="Arial"/>
                <w:sz w:val="18"/>
                <w:szCs w:val="18"/>
              </w:rPr>
              <w:t>2067</w:t>
            </w:r>
          </w:p>
        </w:tc>
        <w:tc>
          <w:tcPr>
            <w:tcW w:w="497" w:type="pct"/>
            <w:tcBorders>
              <w:top w:val="nil"/>
              <w:bottom w:val="nil"/>
            </w:tcBorders>
            <w:vAlign w:val="center"/>
          </w:tcPr>
          <w:p w:rsidR="00902878" w:rsidRPr="00FD3899" w:rsidRDefault="00727745">
            <w:pPr>
              <w:pStyle w:val="NormalWeb"/>
              <w:jc w:val="center"/>
              <w:rPr>
                <w:rFonts w:ascii="Arial" w:hAnsi="Arial" w:cs="Arial"/>
                <w:sz w:val="18"/>
                <w:szCs w:val="18"/>
              </w:rPr>
            </w:pPr>
            <w:r w:rsidRPr="00FD3899">
              <w:rPr>
                <w:rFonts w:ascii="Arial" w:hAnsi="Arial" w:cs="Arial"/>
                <w:sz w:val="18"/>
                <w:szCs w:val="18"/>
              </w:rPr>
              <w:t>2065</w:t>
            </w:r>
          </w:p>
        </w:tc>
        <w:tc>
          <w:tcPr>
            <w:tcW w:w="496" w:type="pct"/>
            <w:tcBorders>
              <w:top w:val="nil"/>
              <w:bottom w:val="nil"/>
            </w:tcBorders>
            <w:vAlign w:val="center"/>
          </w:tcPr>
          <w:p w:rsidR="00902878" w:rsidRPr="00FD3899" w:rsidRDefault="00727745">
            <w:pPr>
              <w:pStyle w:val="NormalWeb"/>
              <w:jc w:val="center"/>
              <w:rPr>
                <w:rFonts w:ascii="Arial" w:hAnsi="Arial" w:cs="Arial"/>
                <w:sz w:val="18"/>
                <w:szCs w:val="18"/>
              </w:rPr>
            </w:pPr>
            <w:r w:rsidRPr="00FD3899">
              <w:rPr>
                <w:rFonts w:ascii="Arial" w:hAnsi="Arial" w:cs="Arial"/>
                <w:sz w:val="18"/>
                <w:szCs w:val="18"/>
              </w:rPr>
              <w:t>2141</w:t>
            </w:r>
          </w:p>
        </w:tc>
      </w:tr>
      <w:tr w:rsidR="00902878" w:rsidRPr="00970968" w:rsidTr="00F33F2D">
        <w:trPr>
          <w:trHeight w:val="510"/>
        </w:trPr>
        <w:tc>
          <w:tcPr>
            <w:tcW w:w="539" w:type="pct"/>
            <w:tcBorders>
              <w:top w:val="nil"/>
            </w:tcBorders>
            <w:vAlign w:val="center"/>
          </w:tcPr>
          <w:p w:rsidR="00902878" w:rsidRPr="00FD3899" w:rsidRDefault="00902878" w:rsidP="00F33F2D">
            <w:pPr>
              <w:spacing w:before="100" w:beforeAutospacing="1" w:after="100" w:afterAutospacing="1" w:line="240" w:lineRule="auto"/>
              <w:jc w:val="center"/>
              <w:rPr>
                <w:rFonts w:eastAsia="Times New Roman" w:cs="Arial"/>
                <w:bCs/>
                <w:szCs w:val="18"/>
                <w:lang w:eastAsia="en-AU"/>
              </w:rPr>
            </w:pPr>
            <w:r w:rsidRPr="00FD3899">
              <w:rPr>
                <w:rFonts w:eastAsia="Times New Roman" w:cs="Arial"/>
                <w:bCs/>
                <w:sz w:val="22"/>
                <w:szCs w:val="18"/>
                <w:lang w:eastAsia="en-AU"/>
              </w:rPr>
              <w:t>TAS</w:t>
            </w:r>
          </w:p>
        </w:tc>
        <w:tc>
          <w:tcPr>
            <w:tcW w:w="518" w:type="pct"/>
            <w:tcBorders>
              <w:top w:val="nil"/>
            </w:tcBorders>
            <w:vAlign w:val="center"/>
          </w:tcPr>
          <w:p w:rsidR="00902878" w:rsidRPr="00FD3899" w:rsidRDefault="00902878">
            <w:pPr>
              <w:pStyle w:val="NormalWeb"/>
              <w:jc w:val="center"/>
              <w:rPr>
                <w:rFonts w:ascii="Arial" w:hAnsi="Arial" w:cs="Arial"/>
                <w:sz w:val="18"/>
                <w:szCs w:val="18"/>
              </w:rPr>
            </w:pPr>
            <w:r w:rsidRPr="00FD3899">
              <w:rPr>
                <w:rFonts w:ascii="Arial" w:hAnsi="Arial" w:cs="Arial"/>
                <w:sz w:val="18"/>
                <w:szCs w:val="18"/>
              </w:rPr>
              <w:t>212.99</w:t>
            </w:r>
          </w:p>
        </w:tc>
        <w:tc>
          <w:tcPr>
            <w:tcW w:w="497" w:type="pct"/>
            <w:tcBorders>
              <w:top w:val="nil"/>
            </w:tcBorders>
            <w:vAlign w:val="center"/>
          </w:tcPr>
          <w:p w:rsidR="00902878" w:rsidRPr="00FD3899" w:rsidRDefault="000E4F74">
            <w:pPr>
              <w:pStyle w:val="NormalWeb"/>
              <w:jc w:val="center"/>
              <w:rPr>
                <w:rFonts w:ascii="Arial" w:hAnsi="Arial" w:cs="Arial"/>
                <w:sz w:val="18"/>
                <w:szCs w:val="18"/>
              </w:rPr>
            </w:pPr>
            <w:r w:rsidRPr="00FD3899">
              <w:rPr>
                <w:rFonts w:ascii="Arial" w:hAnsi="Arial" w:cs="Arial"/>
                <w:sz w:val="18"/>
                <w:szCs w:val="18"/>
              </w:rPr>
              <w:t>58.13</w:t>
            </w:r>
          </w:p>
        </w:tc>
        <w:tc>
          <w:tcPr>
            <w:tcW w:w="498" w:type="pct"/>
            <w:tcBorders>
              <w:top w:val="nil"/>
            </w:tcBorders>
            <w:vAlign w:val="center"/>
          </w:tcPr>
          <w:p w:rsidR="00902878" w:rsidRPr="00FD3899" w:rsidRDefault="000E4F74">
            <w:pPr>
              <w:pStyle w:val="NormalWeb"/>
              <w:jc w:val="center"/>
              <w:rPr>
                <w:rFonts w:ascii="Arial" w:hAnsi="Arial" w:cs="Arial"/>
                <w:sz w:val="18"/>
                <w:szCs w:val="18"/>
              </w:rPr>
            </w:pPr>
            <w:r w:rsidRPr="00FD3899">
              <w:rPr>
                <w:rFonts w:ascii="Arial" w:hAnsi="Arial" w:cs="Arial"/>
                <w:sz w:val="18"/>
                <w:szCs w:val="18"/>
              </w:rPr>
              <w:t>45.52</w:t>
            </w:r>
          </w:p>
        </w:tc>
        <w:tc>
          <w:tcPr>
            <w:tcW w:w="480" w:type="pct"/>
            <w:tcBorders>
              <w:top w:val="nil"/>
            </w:tcBorders>
            <w:vAlign w:val="center"/>
          </w:tcPr>
          <w:p w:rsidR="00902878" w:rsidRPr="00FD3899" w:rsidRDefault="000E4F74">
            <w:pPr>
              <w:pStyle w:val="NormalWeb"/>
              <w:jc w:val="center"/>
              <w:rPr>
                <w:rFonts w:ascii="Arial" w:hAnsi="Arial" w:cs="Arial"/>
                <w:sz w:val="18"/>
                <w:szCs w:val="18"/>
              </w:rPr>
            </w:pPr>
            <w:r w:rsidRPr="00FD3899">
              <w:rPr>
                <w:rFonts w:ascii="Arial" w:hAnsi="Arial" w:cs="Arial"/>
                <w:sz w:val="18"/>
                <w:szCs w:val="18"/>
              </w:rPr>
              <w:t>1534</w:t>
            </w:r>
          </w:p>
        </w:tc>
        <w:tc>
          <w:tcPr>
            <w:tcW w:w="497" w:type="pct"/>
            <w:tcBorders>
              <w:top w:val="nil"/>
            </w:tcBorders>
            <w:vAlign w:val="center"/>
          </w:tcPr>
          <w:p w:rsidR="00902878" w:rsidRPr="00FD3899" w:rsidRDefault="00727745">
            <w:pPr>
              <w:pStyle w:val="NormalWeb"/>
              <w:jc w:val="center"/>
              <w:rPr>
                <w:rFonts w:ascii="Arial" w:hAnsi="Arial" w:cs="Arial"/>
                <w:sz w:val="18"/>
                <w:szCs w:val="18"/>
              </w:rPr>
            </w:pPr>
            <w:r w:rsidRPr="00FD3899">
              <w:rPr>
                <w:rFonts w:ascii="Arial" w:hAnsi="Arial" w:cs="Arial"/>
                <w:sz w:val="18"/>
                <w:szCs w:val="18"/>
              </w:rPr>
              <w:t>1526</w:t>
            </w:r>
          </w:p>
        </w:tc>
        <w:tc>
          <w:tcPr>
            <w:tcW w:w="497" w:type="pct"/>
            <w:tcBorders>
              <w:top w:val="nil"/>
            </w:tcBorders>
            <w:vAlign w:val="center"/>
          </w:tcPr>
          <w:p w:rsidR="00902878" w:rsidRPr="00FD3899" w:rsidRDefault="000E4F74">
            <w:pPr>
              <w:pStyle w:val="NormalWeb"/>
              <w:jc w:val="center"/>
              <w:rPr>
                <w:rFonts w:ascii="Arial" w:hAnsi="Arial" w:cs="Arial"/>
                <w:sz w:val="18"/>
                <w:szCs w:val="18"/>
              </w:rPr>
            </w:pPr>
            <w:r w:rsidRPr="00FD3899">
              <w:rPr>
                <w:rFonts w:ascii="Arial" w:hAnsi="Arial" w:cs="Arial"/>
                <w:sz w:val="18"/>
                <w:szCs w:val="18"/>
              </w:rPr>
              <w:t>1511</w:t>
            </w:r>
          </w:p>
        </w:tc>
        <w:tc>
          <w:tcPr>
            <w:tcW w:w="480" w:type="pct"/>
            <w:tcBorders>
              <w:top w:val="nil"/>
            </w:tcBorders>
            <w:vAlign w:val="center"/>
          </w:tcPr>
          <w:p w:rsidR="00902878" w:rsidRPr="00FD3899" w:rsidRDefault="00727745">
            <w:pPr>
              <w:pStyle w:val="NormalWeb"/>
              <w:jc w:val="center"/>
              <w:rPr>
                <w:rFonts w:ascii="Arial" w:hAnsi="Arial" w:cs="Arial"/>
                <w:sz w:val="18"/>
                <w:szCs w:val="18"/>
              </w:rPr>
            </w:pPr>
            <w:r w:rsidRPr="00FD3899">
              <w:rPr>
                <w:rFonts w:ascii="Arial" w:hAnsi="Arial" w:cs="Arial"/>
                <w:sz w:val="18"/>
                <w:szCs w:val="18"/>
              </w:rPr>
              <w:t>2077</w:t>
            </w:r>
          </w:p>
        </w:tc>
        <w:tc>
          <w:tcPr>
            <w:tcW w:w="497" w:type="pct"/>
            <w:tcBorders>
              <w:top w:val="nil"/>
            </w:tcBorders>
            <w:vAlign w:val="center"/>
          </w:tcPr>
          <w:p w:rsidR="00902878" w:rsidRPr="00FD3899" w:rsidRDefault="00727745">
            <w:pPr>
              <w:pStyle w:val="NormalWeb"/>
              <w:jc w:val="center"/>
              <w:rPr>
                <w:rFonts w:ascii="Arial" w:hAnsi="Arial" w:cs="Arial"/>
                <w:sz w:val="18"/>
                <w:szCs w:val="18"/>
              </w:rPr>
            </w:pPr>
            <w:r w:rsidRPr="00FD3899">
              <w:rPr>
                <w:rFonts w:ascii="Arial" w:hAnsi="Arial" w:cs="Arial"/>
                <w:sz w:val="18"/>
                <w:szCs w:val="18"/>
              </w:rPr>
              <w:t>2042</w:t>
            </w:r>
          </w:p>
        </w:tc>
        <w:tc>
          <w:tcPr>
            <w:tcW w:w="496" w:type="pct"/>
            <w:tcBorders>
              <w:top w:val="nil"/>
            </w:tcBorders>
            <w:vAlign w:val="center"/>
          </w:tcPr>
          <w:p w:rsidR="00902878" w:rsidRPr="00FD3899" w:rsidRDefault="00727745">
            <w:pPr>
              <w:pStyle w:val="NormalWeb"/>
              <w:jc w:val="center"/>
              <w:rPr>
                <w:rFonts w:ascii="Arial" w:hAnsi="Arial" w:cs="Arial"/>
                <w:sz w:val="18"/>
                <w:szCs w:val="18"/>
              </w:rPr>
            </w:pPr>
            <w:r w:rsidRPr="00FD3899">
              <w:rPr>
                <w:rFonts w:ascii="Arial" w:hAnsi="Arial" w:cs="Arial"/>
                <w:sz w:val="18"/>
                <w:szCs w:val="18"/>
              </w:rPr>
              <w:t>2037</w:t>
            </w:r>
          </w:p>
        </w:tc>
      </w:tr>
    </w:tbl>
    <w:p w:rsidR="00902878" w:rsidRDefault="000E4F74" w:rsidP="00D948DD">
      <w:pPr>
        <w:jc w:val="both"/>
      </w:pPr>
      <w:r>
        <w:t>All interconnectors were unconstrained for all of the 6</w:t>
      </w:r>
      <w:r w:rsidR="009A2AEC">
        <w:t> </w:t>
      </w:r>
      <w:r>
        <w:t>pm trading interval and price alignment occurred across the NEM.</w:t>
      </w:r>
      <w:r w:rsidR="00262E2C">
        <w:rPr>
          <w:rStyle w:val="FootnoteReference"/>
        </w:rPr>
        <w:footnoteReference w:id="1"/>
      </w:r>
      <w:r w:rsidR="00262E2C">
        <w:t xml:space="preserve"> However, o</w:t>
      </w:r>
      <w:r>
        <w:t>nly the New South Wales trading interval price breached the reporting threshold</w:t>
      </w:r>
      <w:r w:rsidR="00262E2C">
        <w:t xml:space="preserve"> of $250/MWh</w:t>
      </w:r>
      <w:r>
        <w:t>.</w:t>
      </w:r>
    </w:p>
    <w:p w:rsidR="00970968" w:rsidRDefault="00F2345F" w:rsidP="00262E2C">
      <w:pPr>
        <w:jc w:val="both"/>
      </w:pPr>
      <w:r>
        <w:t xml:space="preserve">Conditions at the time saw demand </w:t>
      </w:r>
      <w:r w:rsidR="00262E2C">
        <w:t xml:space="preserve">close to forecast levels in all regions except </w:t>
      </w:r>
      <w:r w:rsidR="009A2AEC">
        <w:t>Victoria</w:t>
      </w:r>
      <w:r w:rsidR="00262E2C">
        <w:t xml:space="preserve">, which was </w:t>
      </w:r>
      <w:r>
        <w:t>over 200</w:t>
      </w:r>
      <w:r w:rsidR="009A2AEC">
        <w:t> </w:t>
      </w:r>
      <w:r>
        <w:t xml:space="preserve">MW higher </w:t>
      </w:r>
      <w:r w:rsidR="00262E2C">
        <w:t xml:space="preserve">than </w:t>
      </w:r>
      <w:r>
        <w:t>tha</w:t>
      </w:r>
      <w:r w:rsidR="00262E2C">
        <w:t>t</w:t>
      </w:r>
      <w:r>
        <w:t xml:space="preserve"> forecast four hours ahead. </w:t>
      </w:r>
      <w:r w:rsidR="00262E2C">
        <w:t>A</w:t>
      </w:r>
      <w:r>
        <w:t xml:space="preserve">vailable capacity in New South Wales </w:t>
      </w:r>
      <w:r w:rsidR="00262E2C">
        <w:t xml:space="preserve">was </w:t>
      </w:r>
      <w:r>
        <w:t>more than 1400</w:t>
      </w:r>
      <w:r w:rsidR="00435963">
        <w:t xml:space="preserve"> MW </w:t>
      </w:r>
      <w:r>
        <w:t>lower</w:t>
      </w:r>
      <w:r w:rsidR="00435963">
        <w:t xml:space="preserve"> than that forecast four hours ahead</w:t>
      </w:r>
      <w:r w:rsidR="00342E28">
        <w:t xml:space="preserve"> and most of this capacity was priced below $50/</w:t>
      </w:r>
      <w:proofErr w:type="spellStart"/>
      <w:r w:rsidR="00342E28">
        <w:t>MWh</w:t>
      </w:r>
      <w:proofErr w:type="spellEnd"/>
      <w:r w:rsidR="00342E28">
        <w:t>.</w:t>
      </w:r>
    </w:p>
    <w:p w:rsidR="008D1432" w:rsidRPr="008D1432" w:rsidRDefault="008D1432" w:rsidP="00FD3899">
      <w:pPr>
        <w:jc w:val="both"/>
        <w:rPr>
          <w:b/>
          <w:bCs/>
          <w:color w:val="2272A3" w:themeColor="accent4" w:themeShade="80"/>
          <w:sz w:val="24"/>
          <w:szCs w:val="18"/>
        </w:rPr>
      </w:pPr>
      <w:r w:rsidRPr="00F32F4B">
        <w:rPr>
          <w:b/>
          <w:bCs/>
          <w:color w:val="2272A3" w:themeColor="accent4" w:themeShade="80"/>
          <w:sz w:val="24"/>
          <w:szCs w:val="18"/>
        </w:rPr>
        <w:t xml:space="preserve">Table </w:t>
      </w:r>
      <w:r>
        <w:rPr>
          <w:b/>
          <w:bCs/>
          <w:color w:val="2272A3" w:themeColor="accent4" w:themeShade="80"/>
          <w:sz w:val="24"/>
          <w:szCs w:val="18"/>
        </w:rPr>
        <w:t>4</w:t>
      </w:r>
      <w:r w:rsidRPr="00F32F4B">
        <w:rPr>
          <w:b/>
          <w:bCs/>
          <w:color w:val="2272A3" w:themeColor="accent4" w:themeShade="80"/>
          <w:sz w:val="24"/>
          <w:szCs w:val="18"/>
        </w:rPr>
        <w:t xml:space="preserve">: </w:t>
      </w:r>
      <w:r>
        <w:rPr>
          <w:b/>
          <w:bCs/>
          <w:color w:val="2272A3" w:themeColor="accent4" w:themeShade="80"/>
          <w:sz w:val="24"/>
          <w:szCs w:val="18"/>
        </w:rPr>
        <w:t>Rebids for 6</w:t>
      </w:r>
      <w:r w:rsidR="00342E28">
        <w:rPr>
          <w:b/>
          <w:bCs/>
          <w:color w:val="2272A3" w:themeColor="accent4" w:themeShade="80"/>
          <w:sz w:val="24"/>
          <w:szCs w:val="18"/>
        </w:rPr>
        <w:t> </w:t>
      </w:r>
      <w:r>
        <w:rPr>
          <w:b/>
          <w:bCs/>
          <w:color w:val="2272A3" w:themeColor="accent4" w:themeShade="80"/>
          <w:sz w:val="24"/>
          <w:szCs w:val="18"/>
        </w:rPr>
        <w:t>pm</w:t>
      </w:r>
    </w:p>
    <w:tbl>
      <w:tblPr>
        <w:tblStyle w:val="AERsummarytable"/>
        <w:tblW w:w="9291" w:type="dxa"/>
        <w:tblLayout w:type="fixed"/>
        <w:tblLook w:val="04A0" w:firstRow="1" w:lastRow="0" w:firstColumn="1" w:lastColumn="0" w:noHBand="0" w:noVBand="1"/>
      </w:tblPr>
      <w:tblGrid>
        <w:gridCol w:w="920"/>
        <w:gridCol w:w="938"/>
        <w:gridCol w:w="1176"/>
        <w:gridCol w:w="1120"/>
        <w:gridCol w:w="980"/>
        <w:gridCol w:w="965"/>
        <w:gridCol w:w="938"/>
        <w:gridCol w:w="1428"/>
        <w:gridCol w:w="826"/>
      </w:tblGrid>
      <w:tr w:rsidR="00CB73F5" w:rsidRPr="00F32F4B" w:rsidTr="00696857">
        <w:trPr>
          <w:cnfStyle w:val="100000000000" w:firstRow="1" w:lastRow="0" w:firstColumn="0" w:lastColumn="0" w:oddVBand="0" w:evenVBand="0" w:oddHBand="0" w:evenHBand="0" w:firstRowFirstColumn="0" w:firstRowLastColumn="0" w:lastRowFirstColumn="0" w:lastRowLastColumn="0"/>
          <w:trHeight w:val="780"/>
          <w:tblHeader/>
        </w:trPr>
        <w:tc>
          <w:tcPr>
            <w:tcW w:w="920" w:type="dxa"/>
            <w:hideMark/>
          </w:tcPr>
          <w:p w:rsidR="00F2345F" w:rsidRPr="00812F4C" w:rsidRDefault="00CB73F5">
            <w:pPr>
              <w:pStyle w:val="TableHeading"/>
            </w:pPr>
            <w:r>
              <w:t xml:space="preserve">Submit </w:t>
            </w:r>
            <w:r w:rsidR="00F2345F" w:rsidRPr="00812F4C">
              <w:t xml:space="preserve">Time </w:t>
            </w:r>
          </w:p>
        </w:tc>
        <w:tc>
          <w:tcPr>
            <w:tcW w:w="938" w:type="dxa"/>
            <w:hideMark/>
          </w:tcPr>
          <w:p w:rsidR="00F2345F" w:rsidRPr="00812F4C" w:rsidRDefault="00F2345F" w:rsidP="000A6512">
            <w:pPr>
              <w:pStyle w:val="TableHeading"/>
              <w:ind w:left="-108"/>
            </w:pPr>
            <w:r w:rsidRPr="00812F4C">
              <w:t>Time effective</w:t>
            </w:r>
          </w:p>
        </w:tc>
        <w:tc>
          <w:tcPr>
            <w:tcW w:w="1176" w:type="dxa"/>
            <w:hideMark/>
          </w:tcPr>
          <w:p w:rsidR="00F2345F" w:rsidRPr="00812F4C" w:rsidRDefault="00F2345F" w:rsidP="000A6512">
            <w:pPr>
              <w:pStyle w:val="TableHeading"/>
            </w:pPr>
            <w:r w:rsidRPr="00812F4C">
              <w:t>Participant</w:t>
            </w:r>
          </w:p>
        </w:tc>
        <w:tc>
          <w:tcPr>
            <w:tcW w:w="1120" w:type="dxa"/>
            <w:hideMark/>
          </w:tcPr>
          <w:p w:rsidR="00F2345F" w:rsidRPr="00812F4C" w:rsidRDefault="00F2345F" w:rsidP="000A6512">
            <w:pPr>
              <w:pStyle w:val="TableHeading"/>
            </w:pPr>
            <w:r w:rsidRPr="00812F4C">
              <w:t>Station</w:t>
            </w:r>
          </w:p>
        </w:tc>
        <w:tc>
          <w:tcPr>
            <w:tcW w:w="980" w:type="dxa"/>
            <w:hideMark/>
          </w:tcPr>
          <w:p w:rsidR="00F2345F" w:rsidRPr="00812F4C" w:rsidRDefault="00F2345F" w:rsidP="000A6512">
            <w:pPr>
              <w:pStyle w:val="TableHeading"/>
            </w:pPr>
            <w:r w:rsidRPr="00812F4C">
              <w:t>Capacity rebid (MW)</w:t>
            </w:r>
          </w:p>
        </w:tc>
        <w:tc>
          <w:tcPr>
            <w:tcW w:w="965" w:type="dxa"/>
            <w:hideMark/>
          </w:tcPr>
          <w:p w:rsidR="00F2345F" w:rsidRPr="00812F4C" w:rsidRDefault="00F2345F" w:rsidP="000A6512">
            <w:pPr>
              <w:pStyle w:val="TableHeading"/>
            </w:pPr>
            <w:r w:rsidRPr="00812F4C">
              <w:t>Price from ($/MWh)</w:t>
            </w:r>
          </w:p>
        </w:tc>
        <w:tc>
          <w:tcPr>
            <w:tcW w:w="938" w:type="dxa"/>
            <w:hideMark/>
          </w:tcPr>
          <w:p w:rsidR="00F2345F" w:rsidRPr="00812F4C" w:rsidRDefault="00F2345F" w:rsidP="000A6512">
            <w:pPr>
              <w:pStyle w:val="TableHeading"/>
            </w:pPr>
            <w:r w:rsidRPr="00812F4C">
              <w:t>Price to ($/MWh)</w:t>
            </w:r>
          </w:p>
        </w:tc>
        <w:tc>
          <w:tcPr>
            <w:tcW w:w="1428" w:type="dxa"/>
            <w:hideMark/>
          </w:tcPr>
          <w:p w:rsidR="00F2345F" w:rsidRPr="00812F4C" w:rsidRDefault="00F2345F" w:rsidP="000A6512">
            <w:pPr>
              <w:pStyle w:val="TableHeading"/>
            </w:pPr>
            <w:r w:rsidRPr="00812F4C">
              <w:t>Rebid reason</w:t>
            </w:r>
          </w:p>
        </w:tc>
        <w:tc>
          <w:tcPr>
            <w:tcW w:w="826" w:type="dxa"/>
          </w:tcPr>
          <w:p w:rsidR="00F2345F" w:rsidRPr="00812F4C" w:rsidRDefault="00F2345F" w:rsidP="00F2345F">
            <w:pPr>
              <w:pStyle w:val="TableHeading"/>
              <w:jc w:val="center"/>
            </w:pPr>
            <w:r w:rsidRPr="00812F4C">
              <w:t>Region</w:t>
            </w:r>
          </w:p>
        </w:tc>
      </w:tr>
      <w:tr w:rsidR="00CB73F5" w:rsidRPr="00F75637" w:rsidTr="00696857">
        <w:trPr>
          <w:cnfStyle w:val="000000100000" w:firstRow="0" w:lastRow="0" w:firstColumn="0" w:lastColumn="0" w:oddVBand="0" w:evenVBand="0" w:oddHBand="1" w:evenHBand="0" w:firstRowFirstColumn="0" w:firstRowLastColumn="0" w:lastRowFirstColumn="0" w:lastRowLastColumn="0"/>
          <w:trHeight w:val="606"/>
        </w:trPr>
        <w:tc>
          <w:tcPr>
            <w:tcW w:w="920" w:type="dxa"/>
          </w:tcPr>
          <w:p w:rsidR="00F2345F" w:rsidRPr="00FD3899" w:rsidRDefault="006B225F"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3.06 pm</w:t>
            </w:r>
          </w:p>
        </w:tc>
        <w:tc>
          <w:tcPr>
            <w:tcW w:w="938" w:type="dxa"/>
          </w:tcPr>
          <w:p w:rsidR="00F2345F" w:rsidRPr="00FD3899" w:rsidRDefault="00F2345F" w:rsidP="00FD3899">
            <w:pPr>
              <w:spacing w:after="0" w:line="20" w:lineRule="atLeast"/>
              <w:jc w:val="center"/>
              <w:rPr>
                <w:rFonts w:eastAsia="Times New Roman" w:cs="Arial"/>
                <w:bCs/>
                <w:szCs w:val="20"/>
                <w:lang w:eastAsia="en-AU"/>
              </w:rPr>
            </w:pPr>
          </w:p>
        </w:tc>
        <w:tc>
          <w:tcPr>
            <w:tcW w:w="1176" w:type="dxa"/>
          </w:tcPr>
          <w:p w:rsidR="00F2345F" w:rsidRPr="00FD3899" w:rsidRDefault="006B225F"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Origin</w:t>
            </w:r>
          </w:p>
        </w:tc>
        <w:tc>
          <w:tcPr>
            <w:tcW w:w="1120" w:type="dxa"/>
          </w:tcPr>
          <w:p w:rsidR="00F2345F" w:rsidRPr="00FD3899" w:rsidRDefault="006B225F"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Eraring</w:t>
            </w:r>
          </w:p>
        </w:tc>
        <w:tc>
          <w:tcPr>
            <w:tcW w:w="980" w:type="dxa"/>
          </w:tcPr>
          <w:p w:rsidR="00F2345F"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w:t>
            </w:r>
            <w:r w:rsidR="006B225F" w:rsidRPr="00FD3899">
              <w:rPr>
                <w:rFonts w:eastAsia="Times New Roman" w:cs="Arial"/>
                <w:bCs/>
                <w:szCs w:val="20"/>
                <w:lang w:eastAsia="en-AU"/>
              </w:rPr>
              <w:t>100</w:t>
            </w:r>
          </w:p>
        </w:tc>
        <w:tc>
          <w:tcPr>
            <w:tcW w:w="965" w:type="dxa"/>
          </w:tcPr>
          <w:p w:rsidR="00F2345F" w:rsidRPr="00FD3899" w:rsidRDefault="006B225F"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36</w:t>
            </w:r>
          </w:p>
        </w:tc>
        <w:tc>
          <w:tcPr>
            <w:tcW w:w="938" w:type="dxa"/>
          </w:tcPr>
          <w:p w:rsidR="00F2345F" w:rsidRPr="00FD3899" w:rsidRDefault="006B225F"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N/A</w:t>
            </w:r>
          </w:p>
        </w:tc>
        <w:tc>
          <w:tcPr>
            <w:tcW w:w="1428" w:type="dxa"/>
          </w:tcPr>
          <w:p w:rsidR="00F2345F" w:rsidRPr="00FD3899" w:rsidRDefault="006B225F" w:rsidP="004D24E3">
            <w:pPr>
              <w:spacing w:after="0" w:line="20" w:lineRule="atLeast"/>
              <w:rPr>
                <w:rFonts w:eastAsia="Times New Roman" w:cs="Arial"/>
                <w:bCs/>
                <w:szCs w:val="20"/>
                <w:lang w:eastAsia="en-AU"/>
              </w:rPr>
            </w:pPr>
            <w:r w:rsidRPr="00FD3899">
              <w:rPr>
                <w:rFonts w:eastAsia="Times New Roman" w:cs="Arial"/>
                <w:bCs/>
                <w:szCs w:val="20"/>
                <w:lang w:eastAsia="en-AU"/>
              </w:rPr>
              <w:t xml:space="preserve">1504P </w:t>
            </w:r>
            <w:r w:rsidR="005B2A4E" w:rsidRPr="00FD3899">
              <w:rPr>
                <w:rFonts w:eastAsia="Times New Roman" w:cs="Arial"/>
                <w:bCs/>
                <w:szCs w:val="20"/>
                <w:lang w:eastAsia="en-AU"/>
              </w:rPr>
              <w:t>change in avail - coal feeder issues ongoing</w:t>
            </w:r>
            <w:r w:rsidRPr="00FD3899">
              <w:rPr>
                <w:rFonts w:eastAsia="Times New Roman" w:cs="Arial"/>
                <w:bCs/>
                <w:szCs w:val="20"/>
                <w:lang w:eastAsia="en-AU"/>
              </w:rPr>
              <w:t xml:space="preserve"> SL</w:t>
            </w:r>
          </w:p>
        </w:tc>
        <w:tc>
          <w:tcPr>
            <w:tcW w:w="826" w:type="dxa"/>
          </w:tcPr>
          <w:p w:rsidR="00F2345F" w:rsidRPr="00FD3899" w:rsidRDefault="006B225F"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NSW</w:t>
            </w:r>
          </w:p>
        </w:tc>
      </w:tr>
      <w:tr w:rsidR="00CB73F5" w:rsidRPr="00F75637" w:rsidTr="00696857">
        <w:trPr>
          <w:cnfStyle w:val="000000010000" w:firstRow="0" w:lastRow="0" w:firstColumn="0" w:lastColumn="0" w:oddVBand="0" w:evenVBand="0" w:oddHBand="0" w:evenHBand="1" w:firstRowFirstColumn="0" w:firstRowLastColumn="0" w:lastRowFirstColumn="0" w:lastRowLastColumn="0"/>
          <w:trHeight w:val="673"/>
        </w:trPr>
        <w:tc>
          <w:tcPr>
            <w:tcW w:w="920" w:type="dxa"/>
          </w:tcPr>
          <w:p w:rsidR="00F2345F" w:rsidRPr="00FD3899" w:rsidRDefault="006B225F"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3.40 pm</w:t>
            </w:r>
          </w:p>
        </w:tc>
        <w:tc>
          <w:tcPr>
            <w:tcW w:w="938" w:type="dxa"/>
          </w:tcPr>
          <w:p w:rsidR="00F2345F" w:rsidRPr="00FD3899" w:rsidRDefault="00F2345F" w:rsidP="00FD3899">
            <w:pPr>
              <w:spacing w:after="0" w:line="20" w:lineRule="atLeast"/>
              <w:jc w:val="center"/>
              <w:rPr>
                <w:rFonts w:eastAsia="Times New Roman" w:cs="Arial"/>
                <w:bCs/>
                <w:szCs w:val="20"/>
                <w:lang w:eastAsia="en-AU"/>
              </w:rPr>
            </w:pPr>
          </w:p>
        </w:tc>
        <w:tc>
          <w:tcPr>
            <w:tcW w:w="1176" w:type="dxa"/>
          </w:tcPr>
          <w:p w:rsidR="00F2345F" w:rsidRPr="00FD3899" w:rsidRDefault="006B225F"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AGL</w:t>
            </w:r>
          </w:p>
        </w:tc>
        <w:tc>
          <w:tcPr>
            <w:tcW w:w="1120" w:type="dxa"/>
          </w:tcPr>
          <w:p w:rsidR="00F2345F" w:rsidRPr="00FD3899" w:rsidRDefault="006B225F"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Liddell</w:t>
            </w:r>
          </w:p>
        </w:tc>
        <w:tc>
          <w:tcPr>
            <w:tcW w:w="980" w:type="dxa"/>
          </w:tcPr>
          <w:p w:rsidR="00F2345F"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w:t>
            </w:r>
            <w:r w:rsidR="006B225F" w:rsidRPr="00FD3899">
              <w:rPr>
                <w:rFonts w:eastAsia="Times New Roman" w:cs="Arial"/>
                <w:bCs/>
                <w:szCs w:val="20"/>
                <w:lang w:eastAsia="en-AU"/>
              </w:rPr>
              <w:t>450</w:t>
            </w:r>
          </w:p>
        </w:tc>
        <w:tc>
          <w:tcPr>
            <w:tcW w:w="965" w:type="dxa"/>
          </w:tcPr>
          <w:p w:rsidR="00F2345F" w:rsidRPr="00FD3899" w:rsidRDefault="006B225F"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&lt;36</w:t>
            </w:r>
          </w:p>
        </w:tc>
        <w:tc>
          <w:tcPr>
            <w:tcW w:w="938" w:type="dxa"/>
          </w:tcPr>
          <w:p w:rsidR="00F2345F" w:rsidRPr="00FD3899" w:rsidRDefault="006B225F"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N/A</w:t>
            </w:r>
          </w:p>
        </w:tc>
        <w:tc>
          <w:tcPr>
            <w:tcW w:w="1428" w:type="dxa"/>
          </w:tcPr>
          <w:p w:rsidR="00F2345F" w:rsidRPr="00FD3899" w:rsidRDefault="006B225F" w:rsidP="004D24E3">
            <w:pPr>
              <w:spacing w:after="0" w:line="20" w:lineRule="atLeast"/>
              <w:rPr>
                <w:rFonts w:eastAsia="Times New Roman" w:cs="Arial"/>
                <w:bCs/>
                <w:szCs w:val="20"/>
                <w:lang w:eastAsia="en-AU"/>
              </w:rPr>
            </w:pPr>
            <w:r w:rsidRPr="00FD3899">
              <w:rPr>
                <w:rFonts w:eastAsia="Times New Roman" w:cs="Arial"/>
                <w:bCs/>
                <w:szCs w:val="20"/>
                <w:lang w:eastAsia="en-AU"/>
              </w:rPr>
              <w:t xml:space="preserve">1535~P~010 </w:t>
            </w:r>
            <w:r w:rsidR="005B2A4E" w:rsidRPr="00FD3899">
              <w:rPr>
                <w:rFonts w:eastAsia="Times New Roman" w:cs="Arial"/>
                <w:bCs/>
                <w:szCs w:val="20"/>
                <w:lang w:eastAsia="en-AU"/>
              </w:rPr>
              <w:t xml:space="preserve">unexpected/plant </w:t>
            </w:r>
            <w:proofErr w:type="spellStart"/>
            <w:r w:rsidR="005B2A4E" w:rsidRPr="00FD3899">
              <w:rPr>
                <w:rFonts w:eastAsia="Times New Roman" w:cs="Arial"/>
                <w:bCs/>
                <w:szCs w:val="20"/>
                <w:lang w:eastAsia="en-AU"/>
              </w:rPr>
              <w:t>limits</w:t>
            </w:r>
            <w:r w:rsidRPr="00FD3899">
              <w:rPr>
                <w:rFonts w:eastAsia="Times New Roman" w:cs="Arial"/>
                <w:bCs/>
                <w:szCs w:val="20"/>
                <w:lang w:eastAsia="en-AU"/>
              </w:rPr>
              <w:t>~RTS</w:t>
            </w:r>
            <w:proofErr w:type="spellEnd"/>
            <w:r w:rsidRPr="00FD3899">
              <w:rPr>
                <w:rFonts w:eastAsia="Times New Roman" w:cs="Arial"/>
                <w:bCs/>
                <w:szCs w:val="20"/>
                <w:lang w:eastAsia="en-AU"/>
              </w:rPr>
              <w:t xml:space="preserve"> </w:t>
            </w:r>
            <w:r w:rsidR="005B2A4E" w:rsidRPr="00FD3899">
              <w:rPr>
                <w:rFonts w:eastAsia="Times New Roman" w:cs="Arial"/>
                <w:bCs/>
                <w:szCs w:val="20"/>
                <w:lang w:eastAsia="en-AU"/>
              </w:rPr>
              <w:t>following trip</w:t>
            </w:r>
          </w:p>
        </w:tc>
        <w:tc>
          <w:tcPr>
            <w:tcW w:w="826" w:type="dxa"/>
          </w:tcPr>
          <w:p w:rsidR="00F2345F" w:rsidRPr="00FD3899" w:rsidRDefault="006B225F"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NSW</w:t>
            </w:r>
          </w:p>
        </w:tc>
      </w:tr>
      <w:tr w:rsidR="00CB73F5" w:rsidRPr="00F32F4B" w:rsidTr="00696857">
        <w:trPr>
          <w:cnfStyle w:val="000000100000" w:firstRow="0" w:lastRow="0" w:firstColumn="0" w:lastColumn="0" w:oddVBand="0" w:evenVBand="0" w:oddHBand="1" w:evenHBand="0" w:firstRowFirstColumn="0" w:firstRowLastColumn="0" w:lastRowFirstColumn="0" w:lastRowLastColumn="0"/>
          <w:trHeight w:val="673"/>
        </w:trPr>
        <w:tc>
          <w:tcPr>
            <w:tcW w:w="920" w:type="dxa"/>
          </w:tcPr>
          <w:p w:rsidR="006B225F" w:rsidRPr="00FD3899" w:rsidRDefault="006B225F"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3.4</w:t>
            </w:r>
            <w:r w:rsidR="00376240" w:rsidRPr="00FD3899">
              <w:rPr>
                <w:rFonts w:eastAsia="Times New Roman" w:cs="Arial"/>
                <w:bCs/>
                <w:szCs w:val="20"/>
                <w:lang w:eastAsia="en-AU"/>
              </w:rPr>
              <w:t>8</w:t>
            </w:r>
            <w:r w:rsidRPr="00FD3899">
              <w:rPr>
                <w:rFonts w:eastAsia="Times New Roman" w:cs="Arial"/>
                <w:bCs/>
                <w:szCs w:val="20"/>
                <w:lang w:eastAsia="en-AU"/>
              </w:rPr>
              <w:t xml:space="preserve"> pm</w:t>
            </w:r>
          </w:p>
        </w:tc>
        <w:tc>
          <w:tcPr>
            <w:tcW w:w="938" w:type="dxa"/>
          </w:tcPr>
          <w:p w:rsidR="006B225F" w:rsidRPr="00FD3899" w:rsidRDefault="006B225F" w:rsidP="00FD3899">
            <w:pPr>
              <w:spacing w:after="0" w:line="20" w:lineRule="atLeast"/>
              <w:jc w:val="center"/>
              <w:rPr>
                <w:rFonts w:eastAsia="Times New Roman" w:cs="Arial"/>
                <w:bCs/>
                <w:szCs w:val="20"/>
                <w:lang w:eastAsia="en-AU"/>
              </w:rPr>
            </w:pPr>
          </w:p>
        </w:tc>
        <w:tc>
          <w:tcPr>
            <w:tcW w:w="1176" w:type="dxa"/>
          </w:tcPr>
          <w:p w:rsidR="006B225F" w:rsidRPr="00FD3899" w:rsidRDefault="006B225F"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Origin</w:t>
            </w:r>
          </w:p>
        </w:tc>
        <w:tc>
          <w:tcPr>
            <w:tcW w:w="1120" w:type="dxa"/>
          </w:tcPr>
          <w:p w:rsidR="006B225F" w:rsidRPr="00FD3899" w:rsidRDefault="006B225F"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Eraring</w:t>
            </w:r>
          </w:p>
        </w:tc>
        <w:tc>
          <w:tcPr>
            <w:tcW w:w="980" w:type="dxa"/>
          </w:tcPr>
          <w:p w:rsidR="006B225F"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w:t>
            </w:r>
            <w:r w:rsidR="00812F4C" w:rsidRPr="00FD3899">
              <w:rPr>
                <w:rFonts w:eastAsia="Times New Roman" w:cs="Arial"/>
                <w:bCs/>
                <w:szCs w:val="20"/>
                <w:lang w:eastAsia="en-AU"/>
              </w:rPr>
              <w:t>50</w:t>
            </w:r>
          </w:p>
        </w:tc>
        <w:tc>
          <w:tcPr>
            <w:tcW w:w="965" w:type="dxa"/>
          </w:tcPr>
          <w:p w:rsidR="006B225F" w:rsidRPr="00FD3899" w:rsidRDefault="006B225F"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36</w:t>
            </w:r>
          </w:p>
        </w:tc>
        <w:tc>
          <w:tcPr>
            <w:tcW w:w="938" w:type="dxa"/>
          </w:tcPr>
          <w:p w:rsidR="006B225F" w:rsidRPr="00FD3899" w:rsidRDefault="006B225F"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N/A</w:t>
            </w:r>
          </w:p>
        </w:tc>
        <w:tc>
          <w:tcPr>
            <w:tcW w:w="1428" w:type="dxa"/>
          </w:tcPr>
          <w:p w:rsidR="006B225F" w:rsidRPr="00FD3899" w:rsidRDefault="00812F4C" w:rsidP="00FD3899">
            <w:pPr>
              <w:spacing w:after="0" w:line="20" w:lineRule="atLeast"/>
              <w:rPr>
                <w:rFonts w:eastAsia="Times New Roman" w:cs="Arial"/>
                <w:bCs/>
                <w:szCs w:val="20"/>
                <w:lang w:eastAsia="en-AU"/>
              </w:rPr>
            </w:pPr>
            <w:r w:rsidRPr="00FD3899">
              <w:rPr>
                <w:rFonts w:cs="Arial"/>
                <w:szCs w:val="20"/>
              </w:rPr>
              <w:t xml:space="preserve">1545P </w:t>
            </w:r>
            <w:r w:rsidR="005B2A4E" w:rsidRPr="00FD3899">
              <w:rPr>
                <w:rFonts w:cs="Arial"/>
                <w:szCs w:val="20"/>
              </w:rPr>
              <w:t xml:space="preserve">change in avail - coal issues revised </w:t>
            </w:r>
            <w:r w:rsidRPr="00FD3899">
              <w:rPr>
                <w:rFonts w:cs="Arial"/>
                <w:szCs w:val="20"/>
              </w:rPr>
              <w:t>SL</w:t>
            </w:r>
          </w:p>
        </w:tc>
        <w:tc>
          <w:tcPr>
            <w:tcW w:w="826" w:type="dxa"/>
          </w:tcPr>
          <w:p w:rsidR="006B225F" w:rsidRPr="00FD3899" w:rsidRDefault="006B225F" w:rsidP="00FD3899">
            <w:pPr>
              <w:spacing w:after="0" w:line="20" w:lineRule="atLeast"/>
              <w:jc w:val="center"/>
              <w:rPr>
                <w:rFonts w:cs="Arial"/>
                <w:szCs w:val="20"/>
              </w:rPr>
            </w:pPr>
            <w:r w:rsidRPr="00FD3899">
              <w:rPr>
                <w:rFonts w:cs="Arial"/>
                <w:szCs w:val="20"/>
              </w:rPr>
              <w:t>NSW</w:t>
            </w:r>
          </w:p>
        </w:tc>
      </w:tr>
      <w:tr w:rsidR="00CB73F5" w:rsidRPr="0086428B" w:rsidTr="00696857">
        <w:trPr>
          <w:cnfStyle w:val="000000010000" w:firstRow="0" w:lastRow="0" w:firstColumn="0" w:lastColumn="0" w:oddVBand="0" w:evenVBand="0" w:oddHBand="0" w:evenHBand="1" w:firstRowFirstColumn="0" w:firstRowLastColumn="0" w:lastRowFirstColumn="0" w:lastRowLastColumn="0"/>
          <w:trHeight w:val="673"/>
        </w:trPr>
        <w:tc>
          <w:tcPr>
            <w:tcW w:w="920" w:type="dxa"/>
          </w:tcPr>
          <w:p w:rsidR="008D1432" w:rsidRPr="00FD3899" w:rsidRDefault="008D1432"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3.53 pm</w:t>
            </w:r>
          </w:p>
        </w:tc>
        <w:tc>
          <w:tcPr>
            <w:tcW w:w="938" w:type="dxa"/>
          </w:tcPr>
          <w:p w:rsidR="008D1432" w:rsidRPr="00FD3899" w:rsidRDefault="008D1432" w:rsidP="00FD3899">
            <w:pPr>
              <w:spacing w:after="0" w:line="20" w:lineRule="atLeast"/>
              <w:jc w:val="center"/>
              <w:rPr>
                <w:rFonts w:eastAsia="Times New Roman" w:cs="Arial"/>
                <w:bCs/>
                <w:szCs w:val="20"/>
                <w:lang w:eastAsia="en-AU"/>
              </w:rPr>
            </w:pPr>
          </w:p>
        </w:tc>
        <w:tc>
          <w:tcPr>
            <w:tcW w:w="1176" w:type="dxa"/>
          </w:tcPr>
          <w:p w:rsidR="008D1432" w:rsidRPr="00FD3899" w:rsidRDefault="008D1432" w:rsidP="00FD3899">
            <w:pPr>
              <w:spacing w:after="0" w:line="20" w:lineRule="atLeast"/>
              <w:jc w:val="center"/>
              <w:rPr>
                <w:rFonts w:eastAsia="Times New Roman" w:cs="Arial"/>
                <w:bCs/>
                <w:szCs w:val="20"/>
                <w:lang w:eastAsia="en-AU"/>
              </w:rPr>
            </w:pPr>
            <w:proofErr w:type="spellStart"/>
            <w:r w:rsidRPr="00FD3899">
              <w:rPr>
                <w:rFonts w:eastAsia="Times New Roman" w:cs="Arial"/>
                <w:bCs/>
                <w:szCs w:val="20"/>
                <w:lang w:eastAsia="en-AU"/>
              </w:rPr>
              <w:t>Alinta</w:t>
            </w:r>
            <w:proofErr w:type="spellEnd"/>
          </w:p>
        </w:tc>
        <w:tc>
          <w:tcPr>
            <w:tcW w:w="1120" w:type="dxa"/>
          </w:tcPr>
          <w:p w:rsidR="008D1432" w:rsidRPr="00FD3899" w:rsidRDefault="008D1432"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Northern</w:t>
            </w:r>
          </w:p>
        </w:tc>
        <w:tc>
          <w:tcPr>
            <w:tcW w:w="980" w:type="dxa"/>
          </w:tcPr>
          <w:p w:rsidR="008D1432" w:rsidRPr="00FD3899" w:rsidRDefault="008D1432"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58</w:t>
            </w:r>
          </w:p>
        </w:tc>
        <w:tc>
          <w:tcPr>
            <w:tcW w:w="965" w:type="dxa"/>
          </w:tcPr>
          <w:p w:rsidR="008D1432" w:rsidRPr="00FD3899" w:rsidRDefault="008D1432"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&lt;65</w:t>
            </w:r>
          </w:p>
        </w:tc>
        <w:tc>
          <w:tcPr>
            <w:tcW w:w="938" w:type="dxa"/>
          </w:tcPr>
          <w:p w:rsidR="008D1432" w:rsidRPr="00FD3899" w:rsidRDefault="008D1432"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13</w:t>
            </w:r>
            <w:r w:rsidR="0050371F" w:rsidRPr="00FD3899">
              <w:rPr>
                <w:rFonts w:eastAsia="Times New Roman" w:cs="Arial"/>
                <w:bCs/>
                <w:szCs w:val="20"/>
                <w:lang w:eastAsia="en-AU"/>
              </w:rPr>
              <w:t> </w:t>
            </w:r>
            <w:r w:rsidRPr="00FD3899">
              <w:rPr>
                <w:rFonts w:eastAsia="Times New Roman" w:cs="Arial"/>
                <w:bCs/>
                <w:szCs w:val="20"/>
                <w:lang w:eastAsia="en-AU"/>
              </w:rPr>
              <w:t>334</w:t>
            </w:r>
          </w:p>
        </w:tc>
        <w:tc>
          <w:tcPr>
            <w:tcW w:w="1428" w:type="dxa"/>
          </w:tcPr>
          <w:p w:rsidR="008D1432" w:rsidRPr="00FD3899" w:rsidRDefault="008D1432" w:rsidP="00FD3899">
            <w:pPr>
              <w:spacing w:after="0" w:line="20" w:lineRule="atLeast"/>
              <w:rPr>
                <w:rFonts w:eastAsia="Times New Roman" w:cs="Arial"/>
                <w:bCs/>
                <w:szCs w:val="20"/>
                <w:lang w:eastAsia="en-AU"/>
              </w:rPr>
            </w:pPr>
            <w:r w:rsidRPr="00FD3899">
              <w:rPr>
                <w:rFonts w:cs="Arial"/>
                <w:szCs w:val="20"/>
              </w:rPr>
              <w:t>1545~A~5PD $54.94 V 30PD $46.32~</w:t>
            </w:r>
          </w:p>
        </w:tc>
        <w:tc>
          <w:tcPr>
            <w:tcW w:w="826" w:type="dxa"/>
          </w:tcPr>
          <w:p w:rsidR="008D1432" w:rsidRPr="00FD3899" w:rsidRDefault="008D1432" w:rsidP="00FD3899">
            <w:pPr>
              <w:spacing w:after="0" w:line="20" w:lineRule="atLeast"/>
              <w:jc w:val="center"/>
              <w:rPr>
                <w:rFonts w:cs="Arial"/>
                <w:szCs w:val="20"/>
              </w:rPr>
            </w:pPr>
            <w:r w:rsidRPr="00FD3899">
              <w:rPr>
                <w:rFonts w:cs="Arial"/>
                <w:szCs w:val="20"/>
              </w:rPr>
              <w:t>SA</w:t>
            </w:r>
          </w:p>
        </w:tc>
      </w:tr>
      <w:tr w:rsidR="00CB73F5" w:rsidRPr="00F32F4B" w:rsidTr="00696857">
        <w:trPr>
          <w:cnfStyle w:val="000000100000" w:firstRow="0" w:lastRow="0" w:firstColumn="0" w:lastColumn="0" w:oddVBand="0" w:evenVBand="0" w:oddHBand="1" w:evenHBand="0" w:firstRowFirstColumn="0" w:firstRowLastColumn="0" w:lastRowFirstColumn="0" w:lastRowLastColumn="0"/>
          <w:trHeight w:val="673"/>
        </w:trPr>
        <w:tc>
          <w:tcPr>
            <w:tcW w:w="920" w:type="dxa"/>
          </w:tcPr>
          <w:p w:rsidR="00376240" w:rsidRPr="00FD3899" w:rsidRDefault="00376240" w:rsidP="00FD3899">
            <w:pPr>
              <w:spacing w:after="0" w:line="20" w:lineRule="atLeast"/>
              <w:rPr>
                <w:rFonts w:cs="Arial"/>
                <w:szCs w:val="20"/>
              </w:rPr>
            </w:pPr>
            <w:r w:rsidRPr="00FD3899">
              <w:rPr>
                <w:rFonts w:eastAsia="Times New Roman" w:cs="Arial"/>
                <w:bCs/>
                <w:szCs w:val="20"/>
                <w:lang w:eastAsia="en-AU"/>
              </w:rPr>
              <w:t>4.58 pm</w:t>
            </w:r>
          </w:p>
        </w:tc>
        <w:tc>
          <w:tcPr>
            <w:tcW w:w="938" w:type="dxa"/>
          </w:tcPr>
          <w:p w:rsidR="00376240" w:rsidRPr="00FD3899" w:rsidRDefault="00376240" w:rsidP="00FD3899">
            <w:pPr>
              <w:spacing w:after="0" w:line="20" w:lineRule="atLeast"/>
              <w:jc w:val="center"/>
              <w:rPr>
                <w:rFonts w:eastAsia="Times New Roman" w:cs="Arial"/>
                <w:bCs/>
                <w:szCs w:val="20"/>
                <w:lang w:eastAsia="en-AU"/>
              </w:rPr>
            </w:pPr>
          </w:p>
        </w:tc>
        <w:tc>
          <w:tcPr>
            <w:tcW w:w="1176"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Delta</w:t>
            </w:r>
          </w:p>
        </w:tc>
        <w:tc>
          <w:tcPr>
            <w:tcW w:w="1120"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Vales Point</w:t>
            </w:r>
          </w:p>
        </w:tc>
        <w:tc>
          <w:tcPr>
            <w:tcW w:w="980"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-60</w:t>
            </w:r>
          </w:p>
        </w:tc>
        <w:tc>
          <w:tcPr>
            <w:tcW w:w="965"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&lt;280</w:t>
            </w:r>
          </w:p>
        </w:tc>
        <w:tc>
          <w:tcPr>
            <w:tcW w:w="938"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N/A</w:t>
            </w:r>
          </w:p>
        </w:tc>
        <w:tc>
          <w:tcPr>
            <w:tcW w:w="1428" w:type="dxa"/>
          </w:tcPr>
          <w:p w:rsidR="00376240" w:rsidRPr="00FD3899" w:rsidRDefault="00376240" w:rsidP="00FD3899">
            <w:pPr>
              <w:spacing w:after="0" w:line="20" w:lineRule="atLeast"/>
              <w:rPr>
                <w:rFonts w:cs="Arial"/>
                <w:szCs w:val="20"/>
              </w:rPr>
            </w:pPr>
            <w:r w:rsidRPr="00FD3899">
              <w:rPr>
                <w:rFonts w:cs="Arial"/>
                <w:szCs w:val="20"/>
              </w:rPr>
              <w:t>1657P milling/feeder limit</w:t>
            </w:r>
          </w:p>
        </w:tc>
        <w:tc>
          <w:tcPr>
            <w:tcW w:w="826" w:type="dxa"/>
          </w:tcPr>
          <w:p w:rsidR="00376240" w:rsidRPr="00FD3899" w:rsidRDefault="00376240" w:rsidP="00FD3899">
            <w:pPr>
              <w:spacing w:after="0" w:line="20" w:lineRule="atLeast"/>
              <w:jc w:val="center"/>
              <w:rPr>
                <w:rFonts w:cs="Arial"/>
                <w:szCs w:val="20"/>
              </w:rPr>
            </w:pPr>
            <w:r w:rsidRPr="00FD3899">
              <w:rPr>
                <w:rFonts w:cs="Arial"/>
                <w:szCs w:val="20"/>
              </w:rPr>
              <w:t>NSW</w:t>
            </w:r>
          </w:p>
        </w:tc>
      </w:tr>
      <w:tr w:rsidR="00CB73F5" w:rsidRPr="00F32F4B" w:rsidTr="00696857">
        <w:trPr>
          <w:cnfStyle w:val="000000010000" w:firstRow="0" w:lastRow="0" w:firstColumn="0" w:lastColumn="0" w:oddVBand="0" w:evenVBand="0" w:oddHBand="0" w:evenHBand="1" w:firstRowFirstColumn="0" w:firstRowLastColumn="0" w:lastRowFirstColumn="0" w:lastRowLastColumn="0"/>
          <w:trHeight w:val="673"/>
        </w:trPr>
        <w:tc>
          <w:tcPr>
            <w:tcW w:w="920"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5.08 pm</w:t>
            </w:r>
          </w:p>
        </w:tc>
        <w:tc>
          <w:tcPr>
            <w:tcW w:w="938" w:type="dxa"/>
          </w:tcPr>
          <w:p w:rsidR="00376240" w:rsidRPr="00FD3899" w:rsidRDefault="00376240" w:rsidP="00FD3899">
            <w:pPr>
              <w:spacing w:after="0" w:line="20" w:lineRule="atLeast"/>
              <w:jc w:val="center"/>
              <w:rPr>
                <w:rFonts w:eastAsia="Times New Roman" w:cs="Arial"/>
                <w:bCs/>
                <w:szCs w:val="20"/>
                <w:lang w:eastAsia="en-AU"/>
              </w:rPr>
            </w:pPr>
          </w:p>
        </w:tc>
        <w:tc>
          <w:tcPr>
            <w:tcW w:w="1176"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Energy Australia</w:t>
            </w:r>
          </w:p>
        </w:tc>
        <w:tc>
          <w:tcPr>
            <w:tcW w:w="1120"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Mount Piper unit 1</w:t>
            </w:r>
          </w:p>
        </w:tc>
        <w:tc>
          <w:tcPr>
            <w:tcW w:w="980"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-680</w:t>
            </w:r>
          </w:p>
        </w:tc>
        <w:tc>
          <w:tcPr>
            <w:tcW w:w="965"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&lt;50</w:t>
            </w:r>
          </w:p>
        </w:tc>
        <w:tc>
          <w:tcPr>
            <w:tcW w:w="938"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N/A</w:t>
            </w:r>
          </w:p>
        </w:tc>
        <w:tc>
          <w:tcPr>
            <w:tcW w:w="1428" w:type="dxa"/>
          </w:tcPr>
          <w:p w:rsidR="00376240" w:rsidRPr="00FD3899" w:rsidRDefault="00376240" w:rsidP="00FD3899">
            <w:pPr>
              <w:spacing w:after="0" w:line="20" w:lineRule="atLeast"/>
              <w:rPr>
                <w:rFonts w:cs="Arial"/>
                <w:szCs w:val="20"/>
              </w:rPr>
            </w:pPr>
            <w:r w:rsidRPr="00FD3899">
              <w:rPr>
                <w:rFonts w:cs="Arial"/>
                <w:szCs w:val="20"/>
              </w:rPr>
              <w:t xml:space="preserve">17:07 P avail </w:t>
            </w:r>
            <w:proofErr w:type="spellStart"/>
            <w:r w:rsidRPr="00FD3899">
              <w:rPr>
                <w:rFonts w:cs="Arial"/>
                <w:szCs w:val="20"/>
              </w:rPr>
              <w:t>adj</w:t>
            </w:r>
            <w:proofErr w:type="spellEnd"/>
            <w:r w:rsidRPr="00FD3899">
              <w:rPr>
                <w:rFonts w:cs="Arial"/>
                <w:szCs w:val="20"/>
              </w:rPr>
              <w:t xml:space="preserve"> due to unit trip et unknown</w:t>
            </w:r>
          </w:p>
        </w:tc>
        <w:tc>
          <w:tcPr>
            <w:tcW w:w="826" w:type="dxa"/>
          </w:tcPr>
          <w:p w:rsidR="00376240" w:rsidRPr="00FD3899" w:rsidRDefault="00376240" w:rsidP="00FD3899">
            <w:pPr>
              <w:spacing w:after="0" w:line="20" w:lineRule="atLeast"/>
              <w:jc w:val="center"/>
              <w:rPr>
                <w:rFonts w:cs="Arial"/>
                <w:szCs w:val="20"/>
              </w:rPr>
            </w:pPr>
            <w:r w:rsidRPr="00FD3899">
              <w:rPr>
                <w:rFonts w:cs="Arial"/>
                <w:szCs w:val="20"/>
              </w:rPr>
              <w:t>NSW</w:t>
            </w:r>
          </w:p>
        </w:tc>
      </w:tr>
      <w:tr w:rsidR="00CB73F5" w:rsidRPr="00F32F4B" w:rsidTr="00696857">
        <w:trPr>
          <w:cnfStyle w:val="000000100000" w:firstRow="0" w:lastRow="0" w:firstColumn="0" w:lastColumn="0" w:oddVBand="0" w:evenVBand="0" w:oddHBand="1" w:evenHBand="0" w:firstRowFirstColumn="0" w:firstRowLastColumn="0" w:lastRowFirstColumn="0" w:lastRowLastColumn="0"/>
          <w:trHeight w:val="673"/>
        </w:trPr>
        <w:tc>
          <w:tcPr>
            <w:tcW w:w="920"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5.15 pm</w:t>
            </w:r>
          </w:p>
        </w:tc>
        <w:tc>
          <w:tcPr>
            <w:tcW w:w="938" w:type="dxa"/>
          </w:tcPr>
          <w:p w:rsidR="00376240" w:rsidRPr="00FD3899" w:rsidRDefault="00376240" w:rsidP="00FD3899">
            <w:pPr>
              <w:spacing w:after="0" w:line="20" w:lineRule="atLeast"/>
              <w:jc w:val="center"/>
              <w:rPr>
                <w:rFonts w:eastAsia="Times New Roman" w:cs="Arial"/>
                <w:bCs/>
                <w:szCs w:val="20"/>
                <w:lang w:eastAsia="en-AU"/>
              </w:rPr>
            </w:pPr>
          </w:p>
        </w:tc>
        <w:tc>
          <w:tcPr>
            <w:tcW w:w="1176" w:type="dxa"/>
          </w:tcPr>
          <w:p w:rsidR="00376240" w:rsidRPr="00FD3899" w:rsidRDefault="00376240" w:rsidP="00FD3899">
            <w:pPr>
              <w:spacing w:after="0" w:line="20" w:lineRule="atLeast"/>
              <w:jc w:val="center"/>
              <w:rPr>
                <w:rFonts w:eastAsia="Times New Roman" w:cs="Arial"/>
                <w:bCs/>
                <w:szCs w:val="20"/>
                <w:lang w:eastAsia="en-AU"/>
              </w:rPr>
            </w:pPr>
            <w:proofErr w:type="spellStart"/>
            <w:r w:rsidRPr="00FD3899">
              <w:rPr>
                <w:rFonts w:eastAsia="Times New Roman" w:cs="Arial"/>
                <w:bCs/>
                <w:szCs w:val="20"/>
                <w:lang w:eastAsia="en-AU"/>
              </w:rPr>
              <w:t>Ecogen</w:t>
            </w:r>
            <w:proofErr w:type="spellEnd"/>
            <w:r w:rsidRPr="00FD3899">
              <w:rPr>
                <w:rFonts w:eastAsia="Times New Roman" w:cs="Arial"/>
                <w:bCs/>
                <w:szCs w:val="20"/>
                <w:lang w:eastAsia="en-AU"/>
              </w:rPr>
              <w:t xml:space="preserve"> Energy</w:t>
            </w:r>
          </w:p>
        </w:tc>
        <w:tc>
          <w:tcPr>
            <w:tcW w:w="1120"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Jeeralang A</w:t>
            </w:r>
          </w:p>
        </w:tc>
        <w:tc>
          <w:tcPr>
            <w:tcW w:w="980" w:type="dxa"/>
          </w:tcPr>
          <w:p w:rsidR="00376240" w:rsidRPr="00FD3899" w:rsidRDefault="00CE040F"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w:t>
            </w:r>
            <w:r w:rsidR="00376240" w:rsidRPr="00FD3899">
              <w:rPr>
                <w:rFonts w:eastAsia="Times New Roman" w:cs="Arial"/>
                <w:bCs/>
                <w:szCs w:val="20"/>
                <w:lang w:eastAsia="en-AU"/>
              </w:rPr>
              <w:t>54</w:t>
            </w:r>
          </w:p>
        </w:tc>
        <w:tc>
          <w:tcPr>
            <w:tcW w:w="965"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1</w:t>
            </w:r>
          </w:p>
        </w:tc>
        <w:tc>
          <w:tcPr>
            <w:tcW w:w="938"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N/A</w:t>
            </w:r>
          </w:p>
        </w:tc>
        <w:tc>
          <w:tcPr>
            <w:tcW w:w="1428" w:type="dxa"/>
          </w:tcPr>
          <w:p w:rsidR="00376240" w:rsidRPr="00FD3899" w:rsidRDefault="00376240" w:rsidP="00FD3899">
            <w:pPr>
              <w:spacing w:after="0" w:line="20" w:lineRule="atLeast"/>
              <w:rPr>
                <w:rFonts w:cs="Arial"/>
                <w:szCs w:val="20"/>
              </w:rPr>
            </w:pPr>
            <w:r w:rsidRPr="00FD3899">
              <w:rPr>
                <w:rFonts w:cs="Arial"/>
                <w:szCs w:val="20"/>
              </w:rPr>
              <w:t xml:space="preserve">17:14 P </w:t>
            </w:r>
            <w:proofErr w:type="spellStart"/>
            <w:r w:rsidRPr="00FD3899">
              <w:rPr>
                <w:rFonts w:cs="Arial"/>
                <w:szCs w:val="20"/>
              </w:rPr>
              <w:t>adj</w:t>
            </w:r>
            <w:proofErr w:type="spellEnd"/>
            <w:r w:rsidRPr="00FD3899">
              <w:rPr>
                <w:rFonts w:cs="Arial"/>
                <w:szCs w:val="20"/>
              </w:rPr>
              <w:t xml:space="preserve"> avail due to main lube pump fault</w:t>
            </w:r>
          </w:p>
        </w:tc>
        <w:tc>
          <w:tcPr>
            <w:tcW w:w="826" w:type="dxa"/>
          </w:tcPr>
          <w:p w:rsidR="00376240" w:rsidRPr="00FD3899" w:rsidRDefault="00376240" w:rsidP="00FD3899">
            <w:pPr>
              <w:spacing w:after="0" w:line="20" w:lineRule="atLeast"/>
              <w:jc w:val="center"/>
              <w:rPr>
                <w:rFonts w:cs="Arial"/>
                <w:szCs w:val="20"/>
              </w:rPr>
            </w:pPr>
            <w:r w:rsidRPr="00FD3899">
              <w:rPr>
                <w:rFonts w:cs="Arial"/>
                <w:szCs w:val="20"/>
              </w:rPr>
              <w:t>VIC</w:t>
            </w:r>
          </w:p>
        </w:tc>
      </w:tr>
      <w:tr w:rsidR="00CB73F5" w:rsidRPr="00F32F4B" w:rsidTr="00696857">
        <w:trPr>
          <w:cnfStyle w:val="000000010000" w:firstRow="0" w:lastRow="0" w:firstColumn="0" w:lastColumn="0" w:oddVBand="0" w:evenVBand="0" w:oddHBand="0" w:evenHBand="1" w:firstRowFirstColumn="0" w:firstRowLastColumn="0" w:lastRowFirstColumn="0" w:lastRowLastColumn="0"/>
          <w:trHeight w:val="673"/>
        </w:trPr>
        <w:tc>
          <w:tcPr>
            <w:tcW w:w="920" w:type="dxa"/>
          </w:tcPr>
          <w:p w:rsidR="00376240" w:rsidRPr="00FD3899" w:rsidRDefault="00376240" w:rsidP="00FD3899">
            <w:pPr>
              <w:spacing w:after="0" w:line="20" w:lineRule="atLeast"/>
              <w:rPr>
                <w:rFonts w:eastAsia="Times New Roman" w:cs="Arial"/>
                <w:bCs/>
                <w:szCs w:val="20"/>
                <w:lang w:eastAsia="en-AU"/>
              </w:rPr>
            </w:pPr>
            <w:r w:rsidRPr="00FD3899">
              <w:rPr>
                <w:rFonts w:eastAsia="Times New Roman" w:cs="Arial"/>
                <w:bCs/>
                <w:szCs w:val="20"/>
                <w:lang w:eastAsia="en-AU"/>
              </w:rPr>
              <w:t>5.31 pm</w:t>
            </w:r>
          </w:p>
        </w:tc>
        <w:tc>
          <w:tcPr>
            <w:tcW w:w="938"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5.40 pm</w:t>
            </w:r>
          </w:p>
        </w:tc>
        <w:tc>
          <w:tcPr>
            <w:tcW w:w="1176" w:type="dxa"/>
          </w:tcPr>
          <w:p w:rsidR="00376240" w:rsidRPr="00FD3899" w:rsidRDefault="00376240" w:rsidP="00FD3899">
            <w:pPr>
              <w:spacing w:after="0" w:line="20" w:lineRule="atLeast"/>
              <w:jc w:val="center"/>
              <w:rPr>
                <w:rFonts w:eastAsia="Times New Roman" w:cs="Arial"/>
                <w:bCs/>
                <w:szCs w:val="20"/>
                <w:lang w:eastAsia="en-AU"/>
              </w:rPr>
            </w:pPr>
            <w:proofErr w:type="spellStart"/>
            <w:r w:rsidRPr="00FD3899">
              <w:rPr>
                <w:rFonts w:eastAsia="Times New Roman" w:cs="Arial"/>
                <w:bCs/>
                <w:szCs w:val="20"/>
                <w:lang w:eastAsia="en-AU"/>
              </w:rPr>
              <w:t>Alinta</w:t>
            </w:r>
            <w:proofErr w:type="spellEnd"/>
          </w:p>
        </w:tc>
        <w:tc>
          <w:tcPr>
            <w:tcW w:w="1120"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Northern</w:t>
            </w:r>
          </w:p>
        </w:tc>
        <w:tc>
          <w:tcPr>
            <w:tcW w:w="980"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40</w:t>
            </w:r>
          </w:p>
        </w:tc>
        <w:tc>
          <w:tcPr>
            <w:tcW w:w="965"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55</w:t>
            </w:r>
          </w:p>
        </w:tc>
        <w:tc>
          <w:tcPr>
            <w:tcW w:w="938"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13 334</w:t>
            </w:r>
          </w:p>
        </w:tc>
        <w:tc>
          <w:tcPr>
            <w:tcW w:w="1428" w:type="dxa"/>
          </w:tcPr>
          <w:p w:rsidR="00376240" w:rsidRPr="00FD3899" w:rsidRDefault="00376240" w:rsidP="00FD3899">
            <w:pPr>
              <w:spacing w:after="0" w:line="20" w:lineRule="atLeast"/>
              <w:rPr>
                <w:rFonts w:cs="Arial"/>
                <w:szCs w:val="20"/>
              </w:rPr>
            </w:pPr>
            <w:r w:rsidRPr="00FD3899">
              <w:rPr>
                <w:rFonts w:cs="Arial"/>
                <w:szCs w:val="20"/>
              </w:rPr>
              <w:t>1730~P~oil turned off ~</w:t>
            </w:r>
          </w:p>
        </w:tc>
        <w:tc>
          <w:tcPr>
            <w:tcW w:w="826" w:type="dxa"/>
          </w:tcPr>
          <w:p w:rsidR="00376240" w:rsidRPr="00FD3899" w:rsidRDefault="00376240" w:rsidP="00FD3899">
            <w:pPr>
              <w:spacing w:after="0" w:line="20" w:lineRule="atLeast"/>
              <w:jc w:val="center"/>
              <w:rPr>
                <w:rFonts w:cs="Arial"/>
                <w:szCs w:val="20"/>
              </w:rPr>
            </w:pPr>
            <w:r w:rsidRPr="00FD3899">
              <w:rPr>
                <w:rFonts w:cs="Arial"/>
                <w:szCs w:val="20"/>
              </w:rPr>
              <w:t>SA</w:t>
            </w:r>
          </w:p>
        </w:tc>
      </w:tr>
      <w:tr w:rsidR="00CB73F5" w:rsidRPr="00F32F4B" w:rsidTr="00696857">
        <w:trPr>
          <w:cnfStyle w:val="000000100000" w:firstRow="0" w:lastRow="0" w:firstColumn="0" w:lastColumn="0" w:oddVBand="0" w:evenVBand="0" w:oddHBand="1" w:evenHBand="0" w:firstRowFirstColumn="0" w:firstRowLastColumn="0" w:lastRowFirstColumn="0" w:lastRowLastColumn="0"/>
          <w:trHeight w:val="673"/>
        </w:trPr>
        <w:tc>
          <w:tcPr>
            <w:tcW w:w="920"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5.35 pm</w:t>
            </w:r>
          </w:p>
        </w:tc>
        <w:tc>
          <w:tcPr>
            <w:tcW w:w="938"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5.45 pm</w:t>
            </w:r>
          </w:p>
        </w:tc>
        <w:tc>
          <w:tcPr>
            <w:tcW w:w="1176"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Delta</w:t>
            </w:r>
          </w:p>
        </w:tc>
        <w:tc>
          <w:tcPr>
            <w:tcW w:w="1120"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Vales Point</w:t>
            </w:r>
          </w:p>
        </w:tc>
        <w:tc>
          <w:tcPr>
            <w:tcW w:w="980"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-130</w:t>
            </w:r>
          </w:p>
        </w:tc>
        <w:tc>
          <w:tcPr>
            <w:tcW w:w="965"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&lt;50</w:t>
            </w:r>
          </w:p>
        </w:tc>
        <w:tc>
          <w:tcPr>
            <w:tcW w:w="938"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N/A</w:t>
            </w:r>
          </w:p>
        </w:tc>
        <w:tc>
          <w:tcPr>
            <w:tcW w:w="1428" w:type="dxa"/>
          </w:tcPr>
          <w:p w:rsidR="00376240" w:rsidRPr="00FD3899" w:rsidRDefault="00376240" w:rsidP="00FD3899">
            <w:pPr>
              <w:spacing w:after="0" w:line="20" w:lineRule="atLeast"/>
              <w:rPr>
                <w:rFonts w:cs="Arial"/>
                <w:szCs w:val="20"/>
              </w:rPr>
            </w:pPr>
            <w:r w:rsidRPr="00FD3899">
              <w:rPr>
                <w:rFonts w:cs="Arial"/>
                <w:szCs w:val="20"/>
              </w:rPr>
              <w:t>1734P milling/feeder limit - additional mill out</w:t>
            </w:r>
          </w:p>
        </w:tc>
        <w:tc>
          <w:tcPr>
            <w:tcW w:w="826" w:type="dxa"/>
          </w:tcPr>
          <w:p w:rsidR="00376240" w:rsidRPr="00FD3899" w:rsidRDefault="00376240" w:rsidP="00FD3899">
            <w:pPr>
              <w:spacing w:after="0" w:line="20" w:lineRule="atLeast"/>
              <w:jc w:val="center"/>
              <w:rPr>
                <w:rFonts w:cs="Arial"/>
                <w:szCs w:val="20"/>
              </w:rPr>
            </w:pPr>
            <w:r w:rsidRPr="00FD3899">
              <w:rPr>
                <w:rFonts w:cs="Arial"/>
                <w:szCs w:val="20"/>
              </w:rPr>
              <w:t>NSW</w:t>
            </w:r>
          </w:p>
        </w:tc>
      </w:tr>
      <w:tr w:rsidR="00CB73F5" w:rsidRPr="00F32F4B" w:rsidTr="00696857">
        <w:trPr>
          <w:cnfStyle w:val="000000010000" w:firstRow="0" w:lastRow="0" w:firstColumn="0" w:lastColumn="0" w:oddVBand="0" w:evenVBand="0" w:oddHBand="0" w:evenHBand="1" w:firstRowFirstColumn="0" w:firstRowLastColumn="0" w:lastRowFirstColumn="0" w:lastRowLastColumn="0"/>
          <w:trHeight w:val="673"/>
        </w:trPr>
        <w:tc>
          <w:tcPr>
            <w:tcW w:w="920" w:type="dxa"/>
          </w:tcPr>
          <w:p w:rsidR="00376240" w:rsidRPr="00FD3899" w:rsidRDefault="00376240" w:rsidP="00FD3899">
            <w:pPr>
              <w:spacing w:after="0" w:line="20" w:lineRule="atLeast"/>
              <w:rPr>
                <w:rFonts w:eastAsia="Times New Roman" w:cs="Arial"/>
                <w:bCs/>
                <w:szCs w:val="20"/>
                <w:lang w:eastAsia="en-AU"/>
              </w:rPr>
            </w:pPr>
            <w:r w:rsidRPr="00FD3899">
              <w:rPr>
                <w:rFonts w:eastAsia="Times New Roman" w:cs="Arial"/>
                <w:bCs/>
                <w:szCs w:val="20"/>
                <w:lang w:eastAsia="en-AU"/>
              </w:rPr>
              <w:t>5.40 pm</w:t>
            </w:r>
          </w:p>
        </w:tc>
        <w:tc>
          <w:tcPr>
            <w:tcW w:w="938"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5.50 pm</w:t>
            </w:r>
          </w:p>
        </w:tc>
        <w:tc>
          <w:tcPr>
            <w:tcW w:w="1176"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Millmerran</w:t>
            </w:r>
          </w:p>
        </w:tc>
        <w:tc>
          <w:tcPr>
            <w:tcW w:w="1120"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Millmerran</w:t>
            </w:r>
          </w:p>
        </w:tc>
        <w:tc>
          <w:tcPr>
            <w:tcW w:w="980" w:type="dxa"/>
          </w:tcPr>
          <w:p w:rsidR="00376240" w:rsidRPr="00FD3899" w:rsidRDefault="00342E28"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w:t>
            </w:r>
            <w:r w:rsidR="00376240" w:rsidRPr="00FD3899">
              <w:rPr>
                <w:rFonts w:eastAsia="Times New Roman" w:cs="Arial"/>
                <w:bCs/>
                <w:szCs w:val="20"/>
                <w:lang w:eastAsia="en-AU"/>
              </w:rPr>
              <w:t>75</w:t>
            </w:r>
          </w:p>
        </w:tc>
        <w:tc>
          <w:tcPr>
            <w:tcW w:w="965"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7</w:t>
            </w:r>
          </w:p>
        </w:tc>
        <w:tc>
          <w:tcPr>
            <w:tcW w:w="938" w:type="dxa"/>
          </w:tcPr>
          <w:p w:rsidR="00376240" w:rsidRPr="00FD3899" w:rsidRDefault="00376240" w:rsidP="00FD3899">
            <w:pPr>
              <w:spacing w:after="0" w:line="20" w:lineRule="atLeast"/>
              <w:jc w:val="center"/>
              <w:rPr>
                <w:rFonts w:eastAsia="Times New Roman" w:cs="Arial"/>
                <w:bCs/>
                <w:szCs w:val="20"/>
                <w:lang w:eastAsia="en-AU"/>
              </w:rPr>
            </w:pPr>
            <w:r w:rsidRPr="00FD3899">
              <w:rPr>
                <w:rFonts w:eastAsia="Times New Roman" w:cs="Arial"/>
                <w:bCs/>
                <w:szCs w:val="20"/>
                <w:lang w:eastAsia="en-AU"/>
              </w:rPr>
              <w:t>N/A</w:t>
            </w:r>
          </w:p>
        </w:tc>
        <w:tc>
          <w:tcPr>
            <w:tcW w:w="1428" w:type="dxa"/>
          </w:tcPr>
          <w:p w:rsidR="00376240" w:rsidRPr="00FD3899" w:rsidRDefault="00376240" w:rsidP="00FD3899">
            <w:pPr>
              <w:spacing w:after="0" w:line="20" w:lineRule="atLeast"/>
              <w:rPr>
                <w:rFonts w:cs="Arial"/>
                <w:szCs w:val="20"/>
              </w:rPr>
            </w:pPr>
            <w:r w:rsidRPr="00FD3899">
              <w:rPr>
                <w:rFonts w:cs="Arial"/>
                <w:szCs w:val="20"/>
              </w:rPr>
              <w:t>17:39 P: mill trip</w:t>
            </w:r>
          </w:p>
        </w:tc>
        <w:tc>
          <w:tcPr>
            <w:tcW w:w="826" w:type="dxa"/>
          </w:tcPr>
          <w:p w:rsidR="00376240" w:rsidRPr="00FD3899" w:rsidRDefault="00376240" w:rsidP="00FD3899">
            <w:pPr>
              <w:spacing w:after="0" w:line="20" w:lineRule="atLeast"/>
              <w:jc w:val="center"/>
              <w:rPr>
                <w:rFonts w:cs="Arial"/>
                <w:szCs w:val="20"/>
              </w:rPr>
            </w:pPr>
            <w:r w:rsidRPr="00FD3899">
              <w:rPr>
                <w:rFonts w:cs="Arial"/>
                <w:szCs w:val="20"/>
              </w:rPr>
              <w:t>QLD</w:t>
            </w:r>
          </w:p>
        </w:tc>
      </w:tr>
    </w:tbl>
    <w:p w:rsidR="00DD0FCF" w:rsidRDefault="00DD0FCF" w:rsidP="00FD3899">
      <w:pPr>
        <w:pStyle w:val="AERbodytext"/>
      </w:pPr>
    </w:p>
    <w:p w:rsidR="00DD0FCF" w:rsidRDefault="00DD0FCF" w:rsidP="00FD3899">
      <w:pPr>
        <w:pStyle w:val="AERbodytext"/>
      </w:pPr>
      <w:r>
        <w:t>The above rebids reduced the amount of low-priced capacity creating a steeper supply curve across the NEM. As the evening peak demand increased the dispatch price increased. At 5.40 pm there was a 330 MW increase in demand across the NEM which saw the dispatch price in New South Wales increase from $116/MWh at 5.35 pm to $300/MWh at 5.40 pm. The dispatch price remained above $200/MWh for the rest of the trading interval.</w:t>
      </w:r>
    </w:p>
    <w:p w:rsidR="00902878" w:rsidRDefault="007508C4" w:rsidP="00902878">
      <w:pPr>
        <w:keepNext/>
        <w:spacing w:before="240" w:after="120"/>
        <w:rPr>
          <w:b/>
          <w:bCs/>
          <w:color w:val="2272A3" w:themeColor="accent4" w:themeShade="80"/>
          <w:sz w:val="24"/>
          <w:szCs w:val="18"/>
        </w:rPr>
      </w:pPr>
      <w:r>
        <w:rPr>
          <w:b/>
          <w:bCs/>
          <w:color w:val="2272A3" w:themeColor="accent4" w:themeShade="80"/>
          <w:sz w:val="24"/>
          <w:szCs w:val="18"/>
        </w:rPr>
        <w:t>Tasmania</w:t>
      </w:r>
    </w:p>
    <w:p w:rsidR="00B779B7" w:rsidRDefault="00B779B7" w:rsidP="00B779B7">
      <w:pPr>
        <w:jc w:val="both"/>
      </w:pPr>
      <w:r w:rsidRPr="00F33F2D">
        <w:t xml:space="preserve">There </w:t>
      </w:r>
      <w:r>
        <w:t>was one occasion</w:t>
      </w:r>
      <w:r w:rsidRPr="00F33F2D">
        <w:t xml:space="preserve"> where the spot price in </w:t>
      </w:r>
      <w:r w:rsidR="005B2A4E">
        <w:t>Tasmania</w:t>
      </w:r>
      <w:r w:rsidRPr="00F33F2D">
        <w:t xml:space="preserve"> was greater than three times the </w:t>
      </w:r>
      <w:r>
        <w:t xml:space="preserve">Tasmania </w:t>
      </w:r>
      <w:r w:rsidRPr="00F33F2D">
        <w:t>weekly average price and above $250/MWh.</w:t>
      </w:r>
    </w:p>
    <w:p w:rsidR="00B779B7" w:rsidRPr="00902878" w:rsidRDefault="00B779B7" w:rsidP="00902878">
      <w:pPr>
        <w:keepNext/>
        <w:spacing w:before="240" w:after="120"/>
        <w:rPr>
          <w:b/>
          <w:bCs/>
          <w:color w:val="2272A3" w:themeColor="accent4" w:themeShade="80"/>
          <w:sz w:val="24"/>
          <w:szCs w:val="18"/>
        </w:rPr>
      </w:pPr>
      <w:r>
        <w:rPr>
          <w:b/>
          <w:bCs/>
          <w:color w:val="2272A3" w:themeColor="accent4" w:themeShade="80"/>
          <w:sz w:val="24"/>
          <w:szCs w:val="18"/>
        </w:rPr>
        <w:t>Tuesday</w:t>
      </w:r>
      <w:r w:rsidRPr="00FF26D0">
        <w:rPr>
          <w:b/>
          <w:bCs/>
          <w:color w:val="2272A3" w:themeColor="accent4" w:themeShade="80"/>
          <w:sz w:val="24"/>
          <w:szCs w:val="18"/>
        </w:rPr>
        <w:t> 2</w:t>
      </w:r>
      <w:r>
        <w:rPr>
          <w:b/>
          <w:bCs/>
          <w:color w:val="2272A3" w:themeColor="accent4" w:themeShade="80"/>
          <w:sz w:val="24"/>
          <w:szCs w:val="18"/>
        </w:rPr>
        <w:t>6</w:t>
      </w:r>
      <w:r w:rsidRPr="00FF26D0">
        <w:rPr>
          <w:b/>
          <w:bCs/>
          <w:color w:val="2272A3" w:themeColor="accent4" w:themeShade="80"/>
          <w:sz w:val="24"/>
          <w:szCs w:val="18"/>
        </w:rPr>
        <w:t> Ma</w:t>
      </w:r>
      <w:r>
        <w:rPr>
          <w:b/>
          <w:bCs/>
          <w:color w:val="2272A3" w:themeColor="accent4" w:themeShade="80"/>
          <w:sz w:val="24"/>
          <w:szCs w:val="18"/>
        </w:rPr>
        <w:t>y</w:t>
      </w:r>
    </w:p>
    <w:p w:rsidR="00902878" w:rsidRDefault="00902878" w:rsidP="00902878">
      <w:pPr>
        <w:keepNext/>
        <w:spacing w:before="240" w:after="120"/>
        <w:rPr>
          <w:b/>
          <w:bCs/>
          <w:color w:val="2272A3" w:themeColor="accent4" w:themeShade="80"/>
          <w:sz w:val="24"/>
          <w:szCs w:val="18"/>
        </w:rPr>
      </w:pPr>
      <w:r w:rsidRPr="00F32F4B">
        <w:rPr>
          <w:b/>
          <w:bCs/>
          <w:color w:val="2272A3" w:themeColor="accent4" w:themeShade="80"/>
          <w:sz w:val="24"/>
          <w:szCs w:val="18"/>
        </w:rPr>
        <w:t xml:space="preserve">Table </w:t>
      </w:r>
      <w:r w:rsidR="005D77D3">
        <w:rPr>
          <w:b/>
          <w:bCs/>
          <w:color w:val="2272A3" w:themeColor="accent4" w:themeShade="80"/>
          <w:sz w:val="24"/>
          <w:szCs w:val="18"/>
        </w:rPr>
        <w:t>5</w:t>
      </w:r>
      <w:r w:rsidRPr="00F32F4B">
        <w:rPr>
          <w:b/>
          <w:bCs/>
          <w:color w:val="2272A3" w:themeColor="accent4" w:themeShade="80"/>
          <w:sz w:val="24"/>
          <w:szCs w:val="18"/>
        </w:rPr>
        <w:t xml:space="preserve">: </w:t>
      </w:r>
      <w:r>
        <w:rPr>
          <w:b/>
          <w:bCs/>
          <w:color w:val="2272A3" w:themeColor="accent4" w:themeShade="80"/>
          <w:sz w:val="24"/>
          <w:szCs w:val="18"/>
        </w:rPr>
        <w:t>Price Demand and Availability</w:t>
      </w:r>
    </w:p>
    <w:tbl>
      <w:tblPr>
        <w:tblStyle w:val="AERsummarytable"/>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902878" w:rsidRPr="00F33F2D" w:rsidTr="00696857">
        <w:trPr>
          <w:cnfStyle w:val="100000000000" w:firstRow="1" w:lastRow="0" w:firstColumn="0" w:lastColumn="0" w:oddVBand="0" w:evenVBand="0" w:oddHBand="0" w:evenHBand="0" w:firstRowFirstColumn="0" w:firstRowLastColumn="0" w:lastRowFirstColumn="0" w:lastRowLastColumn="0"/>
          <w:tblHeader/>
        </w:trPr>
        <w:tc>
          <w:tcPr>
            <w:tcW w:w="539" w:type="pct"/>
            <w:hideMark/>
          </w:tcPr>
          <w:p w:rsidR="00902878" w:rsidRPr="00F33F2D" w:rsidRDefault="00902878" w:rsidP="00727745">
            <w:pPr>
              <w:spacing w:before="60" w:after="60"/>
              <w:jc w:val="center"/>
              <w:rPr>
                <w14:numSpacing w14:val="default"/>
              </w:rPr>
            </w:pPr>
            <w:r w:rsidRPr="00F33F2D">
              <w:t>Time</w:t>
            </w:r>
          </w:p>
        </w:tc>
        <w:tc>
          <w:tcPr>
            <w:tcW w:w="1513" w:type="pct"/>
            <w:gridSpan w:val="3"/>
            <w:hideMark/>
          </w:tcPr>
          <w:p w:rsidR="00902878" w:rsidRPr="00F33F2D" w:rsidRDefault="00902878" w:rsidP="00727745">
            <w:pPr>
              <w:spacing w:before="60" w:after="60"/>
              <w:jc w:val="center"/>
              <w:rPr>
                <w14:numSpacing w14:val="default"/>
              </w:rPr>
            </w:pPr>
            <w:r w:rsidRPr="00F33F2D">
              <w:t>Price ($/MWh)</w:t>
            </w:r>
          </w:p>
        </w:tc>
        <w:tc>
          <w:tcPr>
            <w:tcW w:w="1474" w:type="pct"/>
            <w:gridSpan w:val="3"/>
            <w:hideMark/>
          </w:tcPr>
          <w:p w:rsidR="00902878" w:rsidRPr="00F33F2D" w:rsidRDefault="00902878" w:rsidP="00727745">
            <w:pPr>
              <w:spacing w:before="60" w:after="60"/>
              <w:jc w:val="center"/>
              <w:rPr>
                <w14:numSpacing w14:val="default"/>
              </w:rPr>
            </w:pPr>
            <w:r w:rsidRPr="00F33F2D">
              <w:t>Demand (MW)</w:t>
            </w:r>
          </w:p>
        </w:tc>
        <w:tc>
          <w:tcPr>
            <w:tcW w:w="1473" w:type="pct"/>
            <w:gridSpan w:val="3"/>
            <w:hideMark/>
          </w:tcPr>
          <w:p w:rsidR="00902878" w:rsidRPr="00F33F2D" w:rsidRDefault="00902878" w:rsidP="00727745">
            <w:pPr>
              <w:spacing w:before="60" w:after="60"/>
              <w:jc w:val="center"/>
              <w:rPr>
                <w14:numSpacing w14:val="default"/>
              </w:rPr>
            </w:pPr>
            <w:r w:rsidRPr="00F33F2D">
              <w:t>Availability (MW)</w:t>
            </w:r>
          </w:p>
        </w:tc>
      </w:tr>
      <w:tr w:rsidR="00902878" w:rsidRPr="00F33F2D" w:rsidTr="00696857">
        <w:trPr>
          <w:cnfStyle w:val="100000000000" w:firstRow="1" w:lastRow="0" w:firstColumn="0" w:lastColumn="0" w:oddVBand="0" w:evenVBand="0" w:oddHBand="0" w:evenHBand="0" w:firstRowFirstColumn="0" w:firstRowLastColumn="0" w:lastRowFirstColumn="0" w:lastRowLastColumn="0"/>
          <w:tblHeader/>
        </w:trPr>
        <w:tc>
          <w:tcPr>
            <w:tcW w:w="539" w:type="pct"/>
            <w:hideMark/>
          </w:tcPr>
          <w:p w:rsidR="00902878" w:rsidRPr="00F33F2D" w:rsidRDefault="00902878" w:rsidP="00727745">
            <w:pPr>
              <w:spacing w:before="0"/>
              <w:jc w:val="center"/>
            </w:pPr>
            <w:r w:rsidRPr="00F33F2D">
              <w:t> </w:t>
            </w:r>
          </w:p>
        </w:tc>
        <w:tc>
          <w:tcPr>
            <w:tcW w:w="518" w:type="pct"/>
            <w:hideMark/>
          </w:tcPr>
          <w:p w:rsidR="00902878" w:rsidRPr="00F33F2D" w:rsidRDefault="00902878" w:rsidP="00727745">
            <w:pPr>
              <w:spacing w:before="0"/>
              <w:jc w:val="center"/>
            </w:pPr>
            <w:r w:rsidRPr="00F33F2D">
              <w:t>Actual</w:t>
            </w:r>
          </w:p>
        </w:tc>
        <w:tc>
          <w:tcPr>
            <w:tcW w:w="497" w:type="pct"/>
            <w:hideMark/>
          </w:tcPr>
          <w:p w:rsidR="00902878" w:rsidRPr="00F33F2D" w:rsidRDefault="00902878" w:rsidP="00727745">
            <w:pPr>
              <w:spacing w:before="0"/>
              <w:jc w:val="center"/>
            </w:pPr>
            <w:r w:rsidRPr="00F33F2D">
              <w:t>4 hr forecast</w:t>
            </w:r>
          </w:p>
        </w:tc>
        <w:tc>
          <w:tcPr>
            <w:tcW w:w="498" w:type="pct"/>
            <w:hideMark/>
          </w:tcPr>
          <w:p w:rsidR="00902878" w:rsidRPr="00F33F2D" w:rsidRDefault="00902878" w:rsidP="00727745">
            <w:pPr>
              <w:spacing w:before="0"/>
              <w:jc w:val="center"/>
            </w:pPr>
            <w:r w:rsidRPr="00F33F2D">
              <w:t>12 hr forecast</w:t>
            </w:r>
          </w:p>
        </w:tc>
        <w:tc>
          <w:tcPr>
            <w:tcW w:w="480" w:type="pct"/>
            <w:hideMark/>
          </w:tcPr>
          <w:p w:rsidR="00902878" w:rsidRPr="00F33F2D" w:rsidRDefault="00902878" w:rsidP="00727745">
            <w:pPr>
              <w:spacing w:before="0"/>
              <w:jc w:val="center"/>
            </w:pPr>
            <w:r w:rsidRPr="00F33F2D">
              <w:t>Actual</w:t>
            </w:r>
          </w:p>
        </w:tc>
        <w:tc>
          <w:tcPr>
            <w:tcW w:w="497" w:type="pct"/>
            <w:hideMark/>
          </w:tcPr>
          <w:p w:rsidR="00902878" w:rsidRPr="00F33F2D" w:rsidRDefault="00902878" w:rsidP="00727745">
            <w:pPr>
              <w:spacing w:before="0"/>
              <w:jc w:val="center"/>
            </w:pPr>
            <w:r w:rsidRPr="00F33F2D">
              <w:t>4 hr forecast</w:t>
            </w:r>
          </w:p>
        </w:tc>
        <w:tc>
          <w:tcPr>
            <w:tcW w:w="497" w:type="pct"/>
            <w:hideMark/>
          </w:tcPr>
          <w:p w:rsidR="00902878" w:rsidRPr="00F33F2D" w:rsidRDefault="00902878" w:rsidP="00727745">
            <w:pPr>
              <w:spacing w:before="0"/>
              <w:jc w:val="center"/>
            </w:pPr>
            <w:r w:rsidRPr="00F33F2D">
              <w:t>12 hr forecast</w:t>
            </w:r>
          </w:p>
        </w:tc>
        <w:tc>
          <w:tcPr>
            <w:tcW w:w="480" w:type="pct"/>
            <w:hideMark/>
          </w:tcPr>
          <w:p w:rsidR="00902878" w:rsidRPr="00F33F2D" w:rsidRDefault="00902878" w:rsidP="00727745">
            <w:pPr>
              <w:spacing w:before="0"/>
              <w:jc w:val="center"/>
            </w:pPr>
            <w:r w:rsidRPr="00F33F2D">
              <w:t>Actual</w:t>
            </w:r>
          </w:p>
        </w:tc>
        <w:tc>
          <w:tcPr>
            <w:tcW w:w="497" w:type="pct"/>
            <w:hideMark/>
          </w:tcPr>
          <w:p w:rsidR="00902878" w:rsidRPr="00F33F2D" w:rsidRDefault="00902878" w:rsidP="00727745">
            <w:pPr>
              <w:spacing w:before="0"/>
              <w:jc w:val="center"/>
            </w:pPr>
            <w:r w:rsidRPr="00F33F2D">
              <w:t>4 hr forecast</w:t>
            </w:r>
          </w:p>
        </w:tc>
        <w:tc>
          <w:tcPr>
            <w:tcW w:w="496" w:type="pct"/>
            <w:hideMark/>
          </w:tcPr>
          <w:p w:rsidR="00902878" w:rsidRPr="00F33F2D" w:rsidRDefault="00902878" w:rsidP="00727745">
            <w:pPr>
              <w:spacing w:before="0"/>
              <w:jc w:val="center"/>
            </w:pPr>
            <w:r w:rsidRPr="00F33F2D">
              <w:t>12 hr forecast</w:t>
            </w:r>
          </w:p>
        </w:tc>
      </w:tr>
      <w:tr w:rsidR="00902878" w:rsidRPr="00696857" w:rsidTr="00696857">
        <w:trPr>
          <w:cnfStyle w:val="000000100000" w:firstRow="0" w:lastRow="0" w:firstColumn="0" w:lastColumn="0" w:oddVBand="0" w:evenVBand="0" w:oddHBand="1" w:evenHBand="0" w:firstRowFirstColumn="0" w:firstRowLastColumn="0" w:lastRowFirstColumn="0" w:lastRowLastColumn="0"/>
          <w:trHeight w:val="510"/>
        </w:trPr>
        <w:tc>
          <w:tcPr>
            <w:tcW w:w="539" w:type="pct"/>
          </w:tcPr>
          <w:p w:rsidR="00902878" w:rsidRPr="00696857" w:rsidRDefault="00902878" w:rsidP="00696857">
            <w:pPr>
              <w:pStyle w:val="NormalWeb"/>
              <w:jc w:val="center"/>
              <w:rPr>
                <w:rFonts w:ascii="Arial" w:hAnsi="Arial" w:cs="Arial"/>
                <w:sz w:val="18"/>
                <w:szCs w:val="18"/>
              </w:rPr>
            </w:pPr>
            <w:r w:rsidRPr="00696857">
              <w:rPr>
                <w:rFonts w:ascii="Arial" w:hAnsi="Arial" w:cs="Arial"/>
                <w:sz w:val="18"/>
                <w:szCs w:val="18"/>
              </w:rPr>
              <w:t>7 am</w:t>
            </w:r>
          </w:p>
        </w:tc>
        <w:tc>
          <w:tcPr>
            <w:tcW w:w="518" w:type="pct"/>
          </w:tcPr>
          <w:p w:rsidR="00902878" w:rsidRPr="00FD3899" w:rsidRDefault="00902878" w:rsidP="00727745">
            <w:pPr>
              <w:pStyle w:val="NormalWeb"/>
              <w:jc w:val="center"/>
              <w:rPr>
                <w:rFonts w:ascii="Arial" w:hAnsi="Arial" w:cs="Arial"/>
                <w:sz w:val="18"/>
                <w:szCs w:val="18"/>
              </w:rPr>
            </w:pPr>
            <w:r w:rsidRPr="00FD3899">
              <w:rPr>
                <w:rFonts w:ascii="Arial" w:hAnsi="Arial" w:cs="Arial"/>
                <w:sz w:val="18"/>
                <w:szCs w:val="18"/>
              </w:rPr>
              <w:t>2045.46</w:t>
            </w:r>
          </w:p>
        </w:tc>
        <w:tc>
          <w:tcPr>
            <w:tcW w:w="497" w:type="pct"/>
          </w:tcPr>
          <w:p w:rsidR="00902878" w:rsidRPr="00FD3899" w:rsidRDefault="00902878" w:rsidP="00727745">
            <w:pPr>
              <w:pStyle w:val="NormalWeb"/>
              <w:jc w:val="center"/>
              <w:rPr>
                <w:rFonts w:ascii="Arial" w:hAnsi="Arial" w:cs="Arial"/>
                <w:sz w:val="18"/>
                <w:szCs w:val="18"/>
              </w:rPr>
            </w:pPr>
            <w:r w:rsidRPr="00FD3899">
              <w:rPr>
                <w:rFonts w:ascii="Arial" w:hAnsi="Arial" w:cs="Arial"/>
                <w:sz w:val="18"/>
                <w:szCs w:val="18"/>
              </w:rPr>
              <w:t>36.93</w:t>
            </w:r>
          </w:p>
        </w:tc>
        <w:tc>
          <w:tcPr>
            <w:tcW w:w="498" w:type="pct"/>
          </w:tcPr>
          <w:p w:rsidR="00902878" w:rsidRPr="00FD3899" w:rsidRDefault="00902878" w:rsidP="00727745">
            <w:pPr>
              <w:pStyle w:val="NormalWeb"/>
              <w:jc w:val="center"/>
              <w:rPr>
                <w:rFonts w:ascii="Arial" w:hAnsi="Arial" w:cs="Arial"/>
                <w:sz w:val="18"/>
                <w:szCs w:val="18"/>
              </w:rPr>
            </w:pPr>
            <w:r w:rsidRPr="00FD3899">
              <w:rPr>
                <w:rFonts w:ascii="Arial" w:hAnsi="Arial" w:cs="Arial"/>
                <w:sz w:val="18"/>
                <w:szCs w:val="18"/>
              </w:rPr>
              <w:t>32.05</w:t>
            </w:r>
          </w:p>
        </w:tc>
        <w:tc>
          <w:tcPr>
            <w:tcW w:w="480" w:type="pct"/>
          </w:tcPr>
          <w:p w:rsidR="00902878" w:rsidRPr="00FD3899" w:rsidRDefault="00902878" w:rsidP="00727745">
            <w:pPr>
              <w:pStyle w:val="NormalWeb"/>
              <w:jc w:val="center"/>
              <w:rPr>
                <w:rFonts w:ascii="Arial" w:hAnsi="Arial" w:cs="Arial"/>
                <w:sz w:val="18"/>
                <w:szCs w:val="18"/>
              </w:rPr>
            </w:pPr>
            <w:r w:rsidRPr="00FD3899">
              <w:rPr>
                <w:rFonts w:ascii="Arial" w:hAnsi="Arial" w:cs="Arial"/>
                <w:sz w:val="18"/>
                <w:szCs w:val="18"/>
              </w:rPr>
              <w:t>1309</w:t>
            </w:r>
          </w:p>
        </w:tc>
        <w:tc>
          <w:tcPr>
            <w:tcW w:w="497" w:type="pct"/>
          </w:tcPr>
          <w:p w:rsidR="00902878" w:rsidRPr="00FD3899" w:rsidRDefault="00902878" w:rsidP="00727745">
            <w:pPr>
              <w:pStyle w:val="NormalWeb"/>
              <w:jc w:val="center"/>
              <w:rPr>
                <w:rFonts w:ascii="Arial" w:hAnsi="Arial" w:cs="Arial"/>
                <w:sz w:val="18"/>
                <w:szCs w:val="18"/>
              </w:rPr>
            </w:pPr>
            <w:r w:rsidRPr="00FD3899">
              <w:rPr>
                <w:rFonts w:ascii="Arial" w:hAnsi="Arial" w:cs="Arial"/>
                <w:sz w:val="18"/>
                <w:szCs w:val="18"/>
              </w:rPr>
              <w:t>1292</w:t>
            </w:r>
          </w:p>
        </w:tc>
        <w:tc>
          <w:tcPr>
            <w:tcW w:w="497" w:type="pct"/>
          </w:tcPr>
          <w:p w:rsidR="00902878" w:rsidRPr="00FD3899" w:rsidRDefault="00902878" w:rsidP="00727745">
            <w:pPr>
              <w:pStyle w:val="NormalWeb"/>
              <w:jc w:val="center"/>
              <w:rPr>
                <w:rFonts w:ascii="Arial" w:hAnsi="Arial" w:cs="Arial"/>
                <w:sz w:val="18"/>
                <w:szCs w:val="18"/>
              </w:rPr>
            </w:pPr>
            <w:r w:rsidRPr="00FD3899">
              <w:rPr>
                <w:rFonts w:ascii="Arial" w:hAnsi="Arial" w:cs="Arial"/>
                <w:sz w:val="18"/>
                <w:szCs w:val="18"/>
              </w:rPr>
              <w:t>1323</w:t>
            </w:r>
          </w:p>
        </w:tc>
        <w:tc>
          <w:tcPr>
            <w:tcW w:w="480" w:type="pct"/>
          </w:tcPr>
          <w:p w:rsidR="00902878" w:rsidRPr="00FD3899" w:rsidRDefault="00902878" w:rsidP="00727745">
            <w:pPr>
              <w:pStyle w:val="NormalWeb"/>
              <w:jc w:val="center"/>
              <w:rPr>
                <w:rFonts w:ascii="Arial" w:hAnsi="Arial" w:cs="Arial"/>
                <w:sz w:val="18"/>
                <w:szCs w:val="18"/>
              </w:rPr>
            </w:pPr>
            <w:r w:rsidRPr="00FD3899">
              <w:rPr>
                <w:rFonts w:ascii="Arial" w:hAnsi="Arial" w:cs="Arial"/>
                <w:sz w:val="18"/>
                <w:szCs w:val="18"/>
              </w:rPr>
              <w:t>2129</w:t>
            </w:r>
          </w:p>
        </w:tc>
        <w:tc>
          <w:tcPr>
            <w:tcW w:w="497" w:type="pct"/>
          </w:tcPr>
          <w:p w:rsidR="00902878" w:rsidRPr="00FD3899" w:rsidRDefault="00902878" w:rsidP="00727745">
            <w:pPr>
              <w:pStyle w:val="NormalWeb"/>
              <w:jc w:val="center"/>
              <w:rPr>
                <w:rFonts w:ascii="Arial" w:hAnsi="Arial" w:cs="Arial"/>
                <w:sz w:val="18"/>
                <w:szCs w:val="18"/>
              </w:rPr>
            </w:pPr>
            <w:r w:rsidRPr="00FD3899">
              <w:rPr>
                <w:rFonts w:ascii="Arial" w:hAnsi="Arial" w:cs="Arial"/>
                <w:sz w:val="18"/>
                <w:szCs w:val="18"/>
              </w:rPr>
              <w:t>2166</w:t>
            </w:r>
          </w:p>
        </w:tc>
        <w:tc>
          <w:tcPr>
            <w:tcW w:w="496" w:type="pct"/>
          </w:tcPr>
          <w:p w:rsidR="00902878" w:rsidRPr="00FD3899" w:rsidRDefault="00902878" w:rsidP="00727745">
            <w:pPr>
              <w:pStyle w:val="NormalWeb"/>
              <w:jc w:val="center"/>
              <w:rPr>
                <w:rFonts w:ascii="Arial" w:hAnsi="Arial" w:cs="Arial"/>
                <w:sz w:val="18"/>
                <w:szCs w:val="18"/>
              </w:rPr>
            </w:pPr>
            <w:r w:rsidRPr="00FD3899">
              <w:rPr>
                <w:rFonts w:ascii="Arial" w:hAnsi="Arial" w:cs="Arial"/>
                <w:sz w:val="18"/>
                <w:szCs w:val="18"/>
              </w:rPr>
              <w:t>2159</w:t>
            </w:r>
          </w:p>
        </w:tc>
      </w:tr>
    </w:tbl>
    <w:p w:rsidR="00B93536" w:rsidRDefault="00696857" w:rsidP="00D948DD">
      <w:pPr>
        <w:jc w:val="both"/>
      </w:pPr>
      <w:r>
        <w:t>D</w:t>
      </w:r>
      <w:r w:rsidR="00B93536">
        <w:t xml:space="preserve">emand and available capacity </w:t>
      </w:r>
      <w:r>
        <w:t xml:space="preserve">were </w:t>
      </w:r>
      <w:r w:rsidR="00B93536">
        <w:t>close to forecast levels.</w:t>
      </w:r>
    </w:p>
    <w:p w:rsidR="00902878" w:rsidRDefault="00C8334C" w:rsidP="00D948DD">
      <w:pPr>
        <w:jc w:val="both"/>
        <w:rPr>
          <w:rFonts w:cs="Arial"/>
        </w:rPr>
      </w:pPr>
      <w:r>
        <w:t>At 6.48</w:t>
      </w:r>
      <w:r w:rsidR="00B93536">
        <w:t> </w:t>
      </w:r>
      <w:r>
        <w:t>pm, effective from 6.55</w:t>
      </w:r>
      <w:r w:rsidR="00B93536">
        <w:t> </w:t>
      </w:r>
      <w:r>
        <w:t>pm</w:t>
      </w:r>
      <w:r w:rsidR="00B93536">
        <w:t>,</w:t>
      </w:r>
      <w:r>
        <w:t xml:space="preserve"> Hydro</w:t>
      </w:r>
      <w:r w:rsidR="005B2A4E">
        <w:t xml:space="preserve"> </w:t>
      </w:r>
      <w:r>
        <w:t>Tas</w:t>
      </w:r>
      <w:r w:rsidR="005B2A4E">
        <w:t>mania</w:t>
      </w:r>
      <w:r>
        <w:t xml:space="preserve"> rebid </w:t>
      </w:r>
      <w:r w:rsidR="00DD0FCF">
        <w:t>686 </w:t>
      </w:r>
      <w:r>
        <w:t>MW of capacity across its portfolio</w:t>
      </w:r>
      <w:r w:rsidR="00B93536">
        <w:rPr>
          <w:rStyle w:val="FootnoteReference"/>
        </w:rPr>
        <w:footnoteReference w:id="2"/>
      </w:r>
      <w:r w:rsidR="00F03B7D">
        <w:t xml:space="preserve"> from prices less than $98/MWh</w:t>
      </w:r>
      <w:r>
        <w:t xml:space="preserve"> to $11</w:t>
      </w:r>
      <w:r w:rsidR="00B93536">
        <w:t> </w:t>
      </w:r>
      <w:r>
        <w:t xml:space="preserve">677/MWh. The reasons </w:t>
      </w:r>
      <w:r w:rsidRPr="00C8334C">
        <w:t>given were “</w:t>
      </w:r>
      <w:r w:rsidRPr="00C8334C">
        <w:rPr>
          <w:rFonts w:cs="Arial"/>
        </w:rPr>
        <w:t>0640A P5 VIC price h</w:t>
      </w:r>
      <w:r>
        <w:rPr>
          <w:rFonts w:cs="Arial"/>
        </w:rPr>
        <w:t>igher than forecast.” and “0640A P</w:t>
      </w:r>
      <w:r w:rsidRPr="00C8334C">
        <w:rPr>
          <w:rFonts w:cs="Arial"/>
        </w:rPr>
        <w:t xml:space="preserve">5 </w:t>
      </w:r>
      <w:r>
        <w:rPr>
          <w:rFonts w:cs="Arial"/>
        </w:rPr>
        <w:t>VIC</w:t>
      </w:r>
      <w:r w:rsidRPr="00C8334C">
        <w:rPr>
          <w:rFonts w:cs="Arial"/>
        </w:rPr>
        <w:t xml:space="preserve"> price higher than </w:t>
      </w:r>
      <w:proofErr w:type="spellStart"/>
      <w:r w:rsidRPr="00C8334C">
        <w:rPr>
          <w:rFonts w:cs="Arial"/>
        </w:rPr>
        <w:t>forecast</w:t>
      </w:r>
      <w:proofErr w:type="gramStart"/>
      <w:r w:rsidRPr="00C8334C">
        <w:rPr>
          <w:rFonts w:cs="Arial"/>
        </w:rPr>
        <w:t>.+</w:t>
      </w:r>
      <w:proofErr w:type="gramEnd"/>
      <w:r w:rsidRPr="00C8334C">
        <w:rPr>
          <w:rFonts w:cs="Arial"/>
        </w:rPr>
        <w:t>unmanned</w:t>
      </w:r>
      <w:proofErr w:type="spellEnd"/>
      <w:r w:rsidRPr="00C8334C">
        <w:rPr>
          <w:rFonts w:cs="Arial"/>
        </w:rPr>
        <w:t>”</w:t>
      </w:r>
      <w:r>
        <w:rPr>
          <w:rFonts w:cs="Arial"/>
        </w:rPr>
        <w:t xml:space="preserve">. This saw the dispatch price </w:t>
      </w:r>
      <w:r w:rsidR="00FD3899">
        <w:rPr>
          <w:rFonts w:cs="Arial"/>
        </w:rPr>
        <w:t xml:space="preserve">increase </w:t>
      </w:r>
      <w:r w:rsidR="0068261E">
        <w:rPr>
          <w:rFonts w:cs="Arial"/>
        </w:rPr>
        <w:t>from $81/</w:t>
      </w:r>
      <w:proofErr w:type="spellStart"/>
      <w:r w:rsidR="0068261E">
        <w:rPr>
          <w:rFonts w:cs="Arial"/>
        </w:rPr>
        <w:t>MWh</w:t>
      </w:r>
      <w:proofErr w:type="spellEnd"/>
      <w:r w:rsidR="0068261E">
        <w:rPr>
          <w:rFonts w:cs="Arial"/>
        </w:rPr>
        <w:t xml:space="preserve"> at 6.50 am to</w:t>
      </w:r>
      <w:r>
        <w:rPr>
          <w:rFonts w:cs="Arial"/>
        </w:rPr>
        <w:t xml:space="preserve"> $11</w:t>
      </w:r>
      <w:r w:rsidR="00B93536">
        <w:rPr>
          <w:rFonts w:cs="Arial"/>
        </w:rPr>
        <w:t> </w:t>
      </w:r>
      <w:r>
        <w:rPr>
          <w:rFonts w:cs="Arial"/>
        </w:rPr>
        <w:t>67</w:t>
      </w:r>
      <w:r w:rsidR="00B93536">
        <w:rPr>
          <w:rFonts w:cs="Arial"/>
        </w:rPr>
        <w:t>8</w:t>
      </w:r>
      <w:r>
        <w:rPr>
          <w:rFonts w:cs="Arial"/>
        </w:rPr>
        <w:t>/</w:t>
      </w:r>
      <w:proofErr w:type="spellStart"/>
      <w:r>
        <w:rPr>
          <w:rFonts w:cs="Arial"/>
        </w:rPr>
        <w:t>MWh</w:t>
      </w:r>
      <w:proofErr w:type="spellEnd"/>
      <w:r>
        <w:rPr>
          <w:rFonts w:cs="Arial"/>
        </w:rPr>
        <w:t xml:space="preserve"> </w:t>
      </w:r>
      <w:r w:rsidR="0068261E">
        <w:rPr>
          <w:rFonts w:cs="Arial"/>
        </w:rPr>
        <w:t>at 6.55 am</w:t>
      </w:r>
      <w:r w:rsidR="00F03B7D">
        <w:rPr>
          <w:rFonts w:cs="Arial"/>
        </w:rPr>
        <w:t>.</w:t>
      </w:r>
    </w:p>
    <w:p w:rsidR="00F03B7D" w:rsidRDefault="00F03B7D" w:rsidP="00D948DD">
      <w:pPr>
        <w:jc w:val="both"/>
        <w:rPr>
          <w:rFonts w:cs="Arial"/>
        </w:rPr>
      </w:pPr>
      <w:r>
        <w:rPr>
          <w:rFonts w:cs="Arial"/>
        </w:rPr>
        <w:t xml:space="preserve">A decrease in demand of </w:t>
      </w:r>
      <w:r w:rsidR="0068261E">
        <w:rPr>
          <w:rFonts w:cs="Arial"/>
        </w:rPr>
        <w:t>77 </w:t>
      </w:r>
      <w:r>
        <w:rPr>
          <w:rFonts w:cs="Arial"/>
        </w:rPr>
        <w:t xml:space="preserve">MW </w:t>
      </w:r>
      <w:r w:rsidR="00B93536">
        <w:rPr>
          <w:rFonts w:cs="Arial"/>
        </w:rPr>
        <w:t xml:space="preserve">at 7 pm </w:t>
      </w:r>
      <w:r>
        <w:rPr>
          <w:rFonts w:cs="Arial"/>
        </w:rPr>
        <w:t>saw th</w:t>
      </w:r>
      <w:r w:rsidR="00B93536">
        <w:rPr>
          <w:rFonts w:cs="Arial"/>
        </w:rPr>
        <w:t>e dispatch price drop to $270</w:t>
      </w:r>
      <w:r>
        <w:rPr>
          <w:rFonts w:cs="Arial"/>
        </w:rPr>
        <w:t xml:space="preserve">/MWh </w:t>
      </w:r>
      <w:r w:rsidR="00B93536">
        <w:rPr>
          <w:rFonts w:cs="Arial"/>
        </w:rPr>
        <w:t>before returning to lower levels</w:t>
      </w:r>
      <w:r>
        <w:rPr>
          <w:rFonts w:cs="Arial"/>
        </w:rPr>
        <w:t xml:space="preserve">. </w:t>
      </w:r>
    </w:p>
    <w:p w:rsidR="00902878" w:rsidRDefault="00902878" w:rsidP="00FF26D0">
      <w:pPr>
        <w:keepNext/>
        <w:spacing w:before="240" w:after="120"/>
        <w:rPr>
          <w:b/>
          <w:bCs/>
          <w:color w:val="2272A3" w:themeColor="accent4" w:themeShade="80"/>
          <w:sz w:val="24"/>
          <w:szCs w:val="18"/>
        </w:rPr>
      </w:pPr>
      <w:r>
        <w:rPr>
          <w:b/>
          <w:bCs/>
          <w:color w:val="2272A3" w:themeColor="accent4" w:themeShade="80"/>
          <w:sz w:val="24"/>
          <w:szCs w:val="18"/>
        </w:rPr>
        <w:t>South Australia</w:t>
      </w:r>
    </w:p>
    <w:p w:rsidR="005B2A4E" w:rsidRDefault="00B779B7" w:rsidP="00B779B7">
      <w:pPr>
        <w:jc w:val="both"/>
      </w:pPr>
      <w:r w:rsidRPr="00F33F2D">
        <w:t xml:space="preserve">There </w:t>
      </w:r>
      <w:r>
        <w:t>was one occasion</w:t>
      </w:r>
      <w:r w:rsidRPr="00F33F2D">
        <w:t xml:space="preserve"> where the spot price </w:t>
      </w:r>
      <w:r>
        <w:t>in South Australia</w:t>
      </w:r>
      <w:r w:rsidRPr="00F33F2D">
        <w:t xml:space="preserve"> was greater than three times the </w:t>
      </w:r>
      <w:r>
        <w:t xml:space="preserve">South Australia </w:t>
      </w:r>
      <w:r w:rsidRPr="00F33F2D">
        <w:t>weekly average price and above $250/MWh</w:t>
      </w:r>
      <w:r w:rsidR="005B2A4E">
        <w:t>.</w:t>
      </w:r>
    </w:p>
    <w:p w:rsidR="000D4D2D" w:rsidRPr="000D4D2D" w:rsidRDefault="000D4D2D" w:rsidP="000D4D2D">
      <w:pPr>
        <w:keepNext/>
        <w:spacing w:before="240" w:after="120"/>
        <w:rPr>
          <w:b/>
          <w:bCs/>
          <w:color w:val="2272A3" w:themeColor="accent4" w:themeShade="80"/>
          <w:sz w:val="24"/>
          <w:szCs w:val="18"/>
        </w:rPr>
      </w:pPr>
      <w:r>
        <w:rPr>
          <w:b/>
          <w:bCs/>
          <w:color w:val="2272A3" w:themeColor="accent4" w:themeShade="80"/>
          <w:sz w:val="24"/>
          <w:szCs w:val="18"/>
        </w:rPr>
        <w:t>Wednes</w:t>
      </w:r>
      <w:r w:rsidRPr="00FF26D0">
        <w:rPr>
          <w:b/>
          <w:bCs/>
          <w:color w:val="2272A3" w:themeColor="accent4" w:themeShade="80"/>
          <w:sz w:val="24"/>
          <w:szCs w:val="18"/>
        </w:rPr>
        <w:t>day 2</w:t>
      </w:r>
      <w:r>
        <w:rPr>
          <w:b/>
          <w:bCs/>
          <w:color w:val="2272A3" w:themeColor="accent4" w:themeShade="80"/>
          <w:sz w:val="24"/>
          <w:szCs w:val="18"/>
        </w:rPr>
        <w:t>7</w:t>
      </w:r>
      <w:r w:rsidRPr="00FF26D0">
        <w:rPr>
          <w:b/>
          <w:bCs/>
          <w:color w:val="2272A3" w:themeColor="accent4" w:themeShade="80"/>
          <w:sz w:val="24"/>
          <w:szCs w:val="18"/>
        </w:rPr>
        <w:t> Ma</w:t>
      </w:r>
      <w:r>
        <w:rPr>
          <w:b/>
          <w:bCs/>
          <w:color w:val="2272A3" w:themeColor="accent4" w:themeShade="80"/>
          <w:sz w:val="24"/>
          <w:szCs w:val="18"/>
        </w:rPr>
        <w:t>y</w:t>
      </w:r>
    </w:p>
    <w:p w:rsidR="00FF26D0" w:rsidRPr="00F33F2D" w:rsidRDefault="003E144D" w:rsidP="00FF26D0">
      <w:pPr>
        <w:keepNext/>
        <w:spacing w:before="240" w:after="120"/>
        <w:rPr>
          <w:b/>
          <w:bCs/>
          <w:color w:val="2272A3" w:themeColor="accent4" w:themeShade="80"/>
          <w:sz w:val="24"/>
          <w:szCs w:val="18"/>
        </w:rPr>
      </w:pPr>
      <w:r w:rsidRPr="00F33F2D">
        <w:rPr>
          <w:b/>
          <w:bCs/>
          <w:color w:val="2272A3" w:themeColor="accent4" w:themeShade="80"/>
          <w:sz w:val="24"/>
          <w:szCs w:val="18"/>
        </w:rPr>
        <w:t xml:space="preserve">Table </w:t>
      </w:r>
      <w:r w:rsidR="005D77D3">
        <w:rPr>
          <w:b/>
          <w:bCs/>
          <w:color w:val="2272A3" w:themeColor="accent4" w:themeShade="80"/>
          <w:sz w:val="24"/>
          <w:szCs w:val="18"/>
        </w:rPr>
        <w:t>6</w:t>
      </w:r>
      <w:r w:rsidR="00FF26D0" w:rsidRPr="00F33F2D">
        <w:rPr>
          <w:b/>
          <w:bCs/>
          <w:color w:val="2272A3" w:themeColor="accent4" w:themeShade="80"/>
          <w:sz w:val="24"/>
          <w:szCs w:val="18"/>
        </w:rPr>
        <w:t>: Price, Demand and Availability</w:t>
      </w:r>
    </w:p>
    <w:tbl>
      <w:tblPr>
        <w:tblStyle w:val="AERTable-Text"/>
        <w:tblW w:w="5000" w:type="pct"/>
        <w:tblLook w:val="04A0" w:firstRow="1" w:lastRow="0" w:firstColumn="1" w:lastColumn="0" w:noHBand="0" w:noVBand="1"/>
      </w:tblPr>
      <w:tblGrid>
        <w:gridCol w:w="997"/>
        <w:gridCol w:w="957"/>
        <w:gridCol w:w="919"/>
        <w:gridCol w:w="921"/>
        <w:gridCol w:w="887"/>
        <w:gridCol w:w="919"/>
        <w:gridCol w:w="919"/>
        <w:gridCol w:w="887"/>
        <w:gridCol w:w="919"/>
        <w:gridCol w:w="917"/>
      </w:tblGrid>
      <w:tr w:rsidR="00F33F2D" w:rsidRPr="00F33F2D" w:rsidTr="00993358">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hideMark/>
          </w:tcPr>
          <w:p w:rsidR="00F33F2D" w:rsidRPr="00F33F2D" w:rsidRDefault="00F33F2D" w:rsidP="00993358">
            <w:pPr>
              <w:spacing w:before="60" w:after="60"/>
              <w:jc w:val="center"/>
              <w:rPr>
                <w:sz w:val="18"/>
                <w14:numSpacing w14:val="default"/>
              </w:rPr>
            </w:pPr>
            <w:r w:rsidRPr="00F33F2D">
              <w:rPr>
                <w:sz w:val="18"/>
              </w:rPr>
              <w:t>Time</w:t>
            </w:r>
          </w:p>
        </w:tc>
        <w:tc>
          <w:tcPr>
            <w:tcW w:w="1513" w:type="pct"/>
            <w:gridSpan w:val="3"/>
            <w:tcBorders>
              <w:bottom w:val="nil"/>
            </w:tcBorders>
            <w:hideMark/>
          </w:tcPr>
          <w:p w:rsidR="00F33F2D" w:rsidRPr="00F33F2D" w:rsidRDefault="00F33F2D" w:rsidP="00993358">
            <w:pPr>
              <w:spacing w:before="60" w:after="60"/>
              <w:jc w:val="center"/>
              <w:rPr>
                <w:sz w:val="18"/>
                <w14:numSpacing w14:val="default"/>
              </w:rPr>
            </w:pPr>
            <w:r w:rsidRPr="00F33F2D">
              <w:rPr>
                <w:sz w:val="18"/>
              </w:rPr>
              <w:t>Price ($/MWh)</w:t>
            </w:r>
          </w:p>
        </w:tc>
        <w:tc>
          <w:tcPr>
            <w:tcW w:w="1474" w:type="pct"/>
            <w:gridSpan w:val="3"/>
            <w:tcBorders>
              <w:bottom w:val="nil"/>
            </w:tcBorders>
            <w:hideMark/>
          </w:tcPr>
          <w:p w:rsidR="00F33F2D" w:rsidRPr="00F33F2D" w:rsidRDefault="00F33F2D" w:rsidP="00993358">
            <w:pPr>
              <w:spacing w:before="60" w:after="60"/>
              <w:jc w:val="center"/>
              <w:rPr>
                <w:sz w:val="18"/>
                <w14:numSpacing w14:val="default"/>
              </w:rPr>
            </w:pPr>
            <w:r w:rsidRPr="00F33F2D">
              <w:rPr>
                <w:sz w:val="18"/>
              </w:rPr>
              <w:t>Demand (MW)</w:t>
            </w:r>
          </w:p>
        </w:tc>
        <w:tc>
          <w:tcPr>
            <w:tcW w:w="1473" w:type="pct"/>
            <w:gridSpan w:val="3"/>
            <w:tcBorders>
              <w:bottom w:val="nil"/>
            </w:tcBorders>
            <w:hideMark/>
          </w:tcPr>
          <w:p w:rsidR="00F33F2D" w:rsidRPr="00F33F2D" w:rsidRDefault="00F33F2D" w:rsidP="00993358">
            <w:pPr>
              <w:spacing w:before="60" w:after="60"/>
              <w:jc w:val="center"/>
              <w:rPr>
                <w:sz w:val="18"/>
                <w14:numSpacing w14:val="default"/>
              </w:rPr>
            </w:pPr>
            <w:r w:rsidRPr="00F33F2D">
              <w:rPr>
                <w:sz w:val="18"/>
              </w:rPr>
              <w:t>Availability (MW)</w:t>
            </w:r>
          </w:p>
        </w:tc>
      </w:tr>
      <w:tr w:rsidR="00F33F2D" w:rsidRPr="00F33F2D" w:rsidTr="00993358">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 </w:t>
            </w:r>
          </w:p>
        </w:tc>
        <w:tc>
          <w:tcPr>
            <w:tcW w:w="518"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4 hr forecast</w:t>
            </w:r>
          </w:p>
        </w:tc>
        <w:tc>
          <w:tcPr>
            <w:tcW w:w="498"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12 hr forecast</w:t>
            </w:r>
          </w:p>
        </w:tc>
        <w:tc>
          <w:tcPr>
            <w:tcW w:w="480"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4 hr forecast</w:t>
            </w:r>
          </w:p>
        </w:tc>
        <w:tc>
          <w:tcPr>
            <w:tcW w:w="497"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12 hr forecast</w:t>
            </w:r>
          </w:p>
        </w:tc>
        <w:tc>
          <w:tcPr>
            <w:tcW w:w="480"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Actual</w:t>
            </w:r>
          </w:p>
        </w:tc>
        <w:tc>
          <w:tcPr>
            <w:tcW w:w="497"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4 hr forecast</w:t>
            </w:r>
          </w:p>
        </w:tc>
        <w:tc>
          <w:tcPr>
            <w:tcW w:w="496" w:type="pct"/>
            <w:tcBorders>
              <w:bottom w:val="nil"/>
            </w:tcBorders>
            <w:shd w:val="clear" w:color="auto" w:fill="007192" w:themeFill="accent3" w:themeFillShade="BF"/>
            <w:hideMark/>
          </w:tcPr>
          <w:p w:rsidR="00F33F2D" w:rsidRPr="00F33F2D" w:rsidRDefault="00F33F2D" w:rsidP="00993358">
            <w:pPr>
              <w:spacing w:before="0"/>
              <w:jc w:val="center"/>
              <w:rPr>
                <w:sz w:val="18"/>
              </w:rPr>
            </w:pPr>
            <w:r w:rsidRPr="00F33F2D">
              <w:rPr>
                <w:sz w:val="18"/>
              </w:rPr>
              <w:t>12 hr forecast</w:t>
            </w:r>
          </w:p>
        </w:tc>
      </w:tr>
      <w:tr w:rsidR="00902878" w:rsidRPr="00696857" w:rsidTr="00993358">
        <w:trPr>
          <w:trHeight w:val="510"/>
        </w:trPr>
        <w:tc>
          <w:tcPr>
            <w:tcW w:w="539" w:type="pct"/>
            <w:tcBorders>
              <w:top w:val="nil"/>
            </w:tcBorders>
            <w:vAlign w:val="center"/>
          </w:tcPr>
          <w:p w:rsidR="00902878" w:rsidRPr="00696857" w:rsidRDefault="00902878" w:rsidP="00696857">
            <w:pPr>
              <w:pStyle w:val="NormalWeb"/>
              <w:jc w:val="center"/>
              <w:rPr>
                <w:rFonts w:ascii="Arial" w:hAnsi="Arial" w:cs="Arial"/>
                <w:sz w:val="18"/>
                <w:szCs w:val="18"/>
              </w:rPr>
            </w:pPr>
            <w:r w:rsidRPr="00696857">
              <w:rPr>
                <w:rFonts w:ascii="Arial" w:hAnsi="Arial" w:cs="Arial"/>
                <w:sz w:val="18"/>
                <w:szCs w:val="18"/>
              </w:rPr>
              <w:t>Midnight</w:t>
            </w:r>
          </w:p>
        </w:tc>
        <w:tc>
          <w:tcPr>
            <w:tcW w:w="518" w:type="pct"/>
            <w:tcBorders>
              <w:top w:val="nil"/>
            </w:tcBorders>
            <w:vAlign w:val="center"/>
          </w:tcPr>
          <w:p w:rsidR="00902878" w:rsidRPr="00696857" w:rsidRDefault="00902878">
            <w:pPr>
              <w:pStyle w:val="NormalWeb"/>
              <w:jc w:val="center"/>
              <w:rPr>
                <w:rFonts w:ascii="Arial" w:hAnsi="Arial" w:cs="Arial"/>
                <w:sz w:val="18"/>
                <w:szCs w:val="18"/>
              </w:rPr>
            </w:pPr>
            <w:r w:rsidRPr="00696857">
              <w:rPr>
                <w:rFonts w:ascii="Arial" w:hAnsi="Arial" w:cs="Arial"/>
                <w:sz w:val="18"/>
                <w:szCs w:val="18"/>
              </w:rPr>
              <w:t>2289.00</w:t>
            </w:r>
          </w:p>
        </w:tc>
        <w:tc>
          <w:tcPr>
            <w:tcW w:w="497" w:type="pct"/>
            <w:tcBorders>
              <w:top w:val="nil"/>
            </w:tcBorders>
            <w:vAlign w:val="center"/>
          </w:tcPr>
          <w:p w:rsidR="00902878" w:rsidRPr="00696857" w:rsidRDefault="00902878">
            <w:pPr>
              <w:pStyle w:val="NormalWeb"/>
              <w:jc w:val="center"/>
              <w:rPr>
                <w:rFonts w:ascii="Arial" w:hAnsi="Arial" w:cs="Arial"/>
                <w:sz w:val="18"/>
                <w:szCs w:val="18"/>
              </w:rPr>
            </w:pPr>
            <w:r w:rsidRPr="00696857">
              <w:rPr>
                <w:rFonts w:ascii="Arial" w:hAnsi="Arial" w:cs="Arial"/>
                <w:sz w:val="18"/>
                <w:szCs w:val="18"/>
              </w:rPr>
              <w:t>31.83</w:t>
            </w:r>
          </w:p>
        </w:tc>
        <w:tc>
          <w:tcPr>
            <w:tcW w:w="498" w:type="pct"/>
            <w:tcBorders>
              <w:top w:val="nil"/>
            </w:tcBorders>
            <w:vAlign w:val="center"/>
          </w:tcPr>
          <w:p w:rsidR="00902878" w:rsidRPr="00696857" w:rsidRDefault="00902878">
            <w:pPr>
              <w:pStyle w:val="NormalWeb"/>
              <w:jc w:val="center"/>
              <w:rPr>
                <w:rFonts w:ascii="Arial" w:hAnsi="Arial" w:cs="Arial"/>
                <w:sz w:val="18"/>
                <w:szCs w:val="18"/>
              </w:rPr>
            </w:pPr>
            <w:r w:rsidRPr="00696857">
              <w:rPr>
                <w:rFonts w:ascii="Arial" w:hAnsi="Arial" w:cs="Arial"/>
                <w:sz w:val="18"/>
                <w:szCs w:val="18"/>
              </w:rPr>
              <w:t>29.54</w:t>
            </w:r>
          </w:p>
        </w:tc>
        <w:tc>
          <w:tcPr>
            <w:tcW w:w="480" w:type="pct"/>
            <w:tcBorders>
              <w:top w:val="nil"/>
            </w:tcBorders>
            <w:vAlign w:val="center"/>
          </w:tcPr>
          <w:p w:rsidR="00902878" w:rsidRPr="00696857" w:rsidRDefault="00902878">
            <w:pPr>
              <w:pStyle w:val="NormalWeb"/>
              <w:jc w:val="center"/>
              <w:rPr>
                <w:rFonts w:ascii="Arial" w:hAnsi="Arial" w:cs="Arial"/>
                <w:sz w:val="18"/>
                <w:szCs w:val="18"/>
              </w:rPr>
            </w:pPr>
            <w:r w:rsidRPr="00696857">
              <w:rPr>
                <w:rFonts w:ascii="Arial" w:hAnsi="Arial" w:cs="Arial"/>
                <w:sz w:val="18"/>
                <w:szCs w:val="18"/>
              </w:rPr>
              <w:t>1552</w:t>
            </w:r>
          </w:p>
        </w:tc>
        <w:tc>
          <w:tcPr>
            <w:tcW w:w="497" w:type="pct"/>
            <w:tcBorders>
              <w:top w:val="nil"/>
            </w:tcBorders>
            <w:vAlign w:val="center"/>
          </w:tcPr>
          <w:p w:rsidR="00902878" w:rsidRPr="00696857" w:rsidRDefault="00902878">
            <w:pPr>
              <w:pStyle w:val="NormalWeb"/>
              <w:jc w:val="center"/>
              <w:rPr>
                <w:rFonts w:ascii="Arial" w:hAnsi="Arial" w:cs="Arial"/>
                <w:sz w:val="18"/>
                <w:szCs w:val="18"/>
              </w:rPr>
            </w:pPr>
            <w:r w:rsidRPr="00696857">
              <w:rPr>
                <w:rFonts w:ascii="Arial" w:hAnsi="Arial" w:cs="Arial"/>
                <w:sz w:val="18"/>
                <w:szCs w:val="18"/>
              </w:rPr>
              <w:t>1577</w:t>
            </w:r>
          </w:p>
        </w:tc>
        <w:tc>
          <w:tcPr>
            <w:tcW w:w="497" w:type="pct"/>
            <w:tcBorders>
              <w:top w:val="nil"/>
            </w:tcBorders>
            <w:vAlign w:val="center"/>
          </w:tcPr>
          <w:p w:rsidR="00902878" w:rsidRPr="00696857" w:rsidRDefault="00902878">
            <w:pPr>
              <w:pStyle w:val="NormalWeb"/>
              <w:jc w:val="center"/>
              <w:rPr>
                <w:rFonts w:ascii="Arial" w:hAnsi="Arial" w:cs="Arial"/>
                <w:sz w:val="18"/>
                <w:szCs w:val="18"/>
              </w:rPr>
            </w:pPr>
            <w:r w:rsidRPr="00696857">
              <w:rPr>
                <w:rFonts w:ascii="Arial" w:hAnsi="Arial" w:cs="Arial"/>
                <w:sz w:val="18"/>
                <w:szCs w:val="18"/>
              </w:rPr>
              <w:t>1586</w:t>
            </w:r>
          </w:p>
        </w:tc>
        <w:tc>
          <w:tcPr>
            <w:tcW w:w="480" w:type="pct"/>
            <w:tcBorders>
              <w:top w:val="nil"/>
            </w:tcBorders>
            <w:vAlign w:val="center"/>
          </w:tcPr>
          <w:p w:rsidR="00902878" w:rsidRPr="00696857" w:rsidRDefault="00902878">
            <w:pPr>
              <w:pStyle w:val="NormalWeb"/>
              <w:jc w:val="center"/>
              <w:rPr>
                <w:rFonts w:ascii="Arial" w:hAnsi="Arial" w:cs="Arial"/>
                <w:sz w:val="18"/>
                <w:szCs w:val="18"/>
              </w:rPr>
            </w:pPr>
            <w:r w:rsidRPr="00696857">
              <w:rPr>
                <w:rFonts w:ascii="Arial" w:hAnsi="Arial" w:cs="Arial"/>
                <w:sz w:val="18"/>
                <w:szCs w:val="18"/>
              </w:rPr>
              <w:t>2140</w:t>
            </w:r>
          </w:p>
        </w:tc>
        <w:tc>
          <w:tcPr>
            <w:tcW w:w="497" w:type="pct"/>
            <w:tcBorders>
              <w:top w:val="nil"/>
            </w:tcBorders>
            <w:vAlign w:val="center"/>
          </w:tcPr>
          <w:p w:rsidR="00902878" w:rsidRPr="00696857" w:rsidRDefault="00902878">
            <w:pPr>
              <w:pStyle w:val="NormalWeb"/>
              <w:jc w:val="center"/>
              <w:rPr>
                <w:rFonts w:ascii="Arial" w:hAnsi="Arial" w:cs="Arial"/>
                <w:sz w:val="18"/>
                <w:szCs w:val="18"/>
              </w:rPr>
            </w:pPr>
            <w:r w:rsidRPr="00696857">
              <w:rPr>
                <w:rFonts w:ascii="Arial" w:hAnsi="Arial" w:cs="Arial"/>
                <w:sz w:val="18"/>
                <w:szCs w:val="18"/>
              </w:rPr>
              <w:t>2473</w:t>
            </w:r>
          </w:p>
        </w:tc>
        <w:tc>
          <w:tcPr>
            <w:tcW w:w="496" w:type="pct"/>
            <w:tcBorders>
              <w:top w:val="nil"/>
            </w:tcBorders>
            <w:vAlign w:val="center"/>
          </w:tcPr>
          <w:p w:rsidR="00902878" w:rsidRPr="00696857" w:rsidRDefault="00902878">
            <w:pPr>
              <w:pStyle w:val="NormalWeb"/>
              <w:jc w:val="center"/>
              <w:rPr>
                <w:rFonts w:ascii="Arial" w:hAnsi="Arial" w:cs="Arial"/>
                <w:sz w:val="18"/>
                <w:szCs w:val="18"/>
              </w:rPr>
            </w:pPr>
            <w:r w:rsidRPr="00696857">
              <w:rPr>
                <w:rFonts w:ascii="Arial" w:hAnsi="Arial" w:cs="Arial"/>
                <w:sz w:val="18"/>
                <w:szCs w:val="18"/>
              </w:rPr>
              <w:t>2512</w:t>
            </w:r>
          </w:p>
        </w:tc>
      </w:tr>
    </w:tbl>
    <w:p w:rsidR="00902878" w:rsidRDefault="001E641B" w:rsidP="00FD3899">
      <w:pPr>
        <w:pStyle w:val="AERbodytext"/>
        <w:spacing w:before="200"/>
      </w:pPr>
      <w:r>
        <w:t xml:space="preserve">Conditions saw demand close to forecast four hours ahead and available capacity was over </w:t>
      </w:r>
      <w:r w:rsidR="00731A67">
        <w:t>300 </w:t>
      </w:r>
      <w:r>
        <w:t>MW lower than forecast four hours ahead.</w:t>
      </w:r>
      <w:r w:rsidR="00611A1B">
        <w:t xml:space="preserve"> Most of this capacity was due to the trip of Northern Unit 2 which was 273 MW price below $65/</w:t>
      </w:r>
      <w:proofErr w:type="spellStart"/>
      <w:r w:rsidR="00611A1B">
        <w:t>MWh</w:t>
      </w:r>
      <w:proofErr w:type="spellEnd"/>
      <w:r w:rsidR="00611A1B">
        <w:t>.</w:t>
      </w:r>
    </w:p>
    <w:p w:rsidR="001E641B" w:rsidRDefault="003F5DDF" w:rsidP="00FD3899">
      <w:pPr>
        <w:pStyle w:val="AERbodytext"/>
      </w:pPr>
      <w:r>
        <w:t xml:space="preserve">Demand in the region increased by 200 MW from 1353 MW at 11.30 pm to 1553 MW at 11.35 pm. </w:t>
      </w:r>
      <w:r w:rsidR="00B645BD">
        <w:t xml:space="preserve">Demand in the following intervals remained above this level until 11.55 pm. </w:t>
      </w:r>
      <w:r>
        <w:t>This was related to off peak</w:t>
      </w:r>
      <w:r w:rsidR="00B645BD">
        <w:t xml:space="preserve"> </w:t>
      </w:r>
      <w:r>
        <w:t>hot water load.</w:t>
      </w:r>
    </w:p>
    <w:p w:rsidR="00902878" w:rsidRPr="00F32F4B" w:rsidRDefault="001E641B" w:rsidP="00B9227A">
      <w:pPr>
        <w:keepNext/>
        <w:spacing w:before="240" w:after="120"/>
        <w:rPr>
          <w:b/>
          <w:bCs/>
          <w:color w:val="2272A3" w:themeColor="accent4" w:themeShade="80"/>
          <w:sz w:val="24"/>
          <w:szCs w:val="18"/>
        </w:rPr>
      </w:pPr>
      <w:r w:rsidRPr="00F32F4B">
        <w:rPr>
          <w:b/>
          <w:bCs/>
          <w:color w:val="2272A3" w:themeColor="accent4" w:themeShade="80"/>
          <w:sz w:val="24"/>
          <w:szCs w:val="18"/>
        </w:rPr>
        <w:t xml:space="preserve">Table </w:t>
      </w:r>
      <w:r>
        <w:rPr>
          <w:b/>
          <w:bCs/>
          <w:color w:val="2272A3" w:themeColor="accent4" w:themeShade="80"/>
          <w:sz w:val="24"/>
          <w:szCs w:val="18"/>
        </w:rPr>
        <w:t>7</w:t>
      </w:r>
      <w:r w:rsidRPr="00F32F4B">
        <w:rPr>
          <w:b/>
          <w:bCs/>
          <w:color w:val="2272A3" w:themeColor="accent4" w:themeShade="80"/>
          <w:sz w:val="24"/>
          <w:szCs w:val="18"/>
        </w:rPr>
        <w:t xml:space="preserve">: </w:t>
      </w:r>
      <w:r>
        <w:rPr>
          <w:b/>
          <w:bCs/>
          <w:color w:val="2272A3" w:themeColor="accent4" w:themeShade="80"/>
          <w:sz w:val="24"/>
          <w:szCs w:val="18"/>
        </w:rPr>
        <w:t>Rebids for the midnight trading interval</w:t>
      </w:r>
    </w:p>
    <w:tbl>
      <w:tblPr>
        <w:tblStyle w:val="AERsummarytable"/>
        <w:tblW w:w="9180" w:type="dxa"/>
        <w:tblLayout w:type="fixed"/>
        <w:tblLook w:val="04A0" w:firstRow="1" w:lastRow="0" w:firstColumn="1" w:lastColumn="0" w:noHBand="0" w:noVBand="1"/>
      </w:tblPr>
      <w:tblGrid>
        <w:gridCol w:w="1200"/>
        <w:gridCol w:w="1176"/>
        <w:gridCol w:w="1148"/>
        <w:gridCol w:w="1106"/>
        <w:gridCol w:w="994"/>
        <w:gridCol w:w="937"/>
        <w:gridCol w:w="924"/>
        <w:gridCol w:w="1695"/>
      </w:tblGrid>
      <w:tr w:rsidR="00BE67B7" w:rsidRPr="00F32F4B" w:rsidTr="00FD3899">
        <w:trPr>
          <w:cnfStyle w:val="100000000000" w:firstRow="1" w:lastRow="0" w:firstColumn="0" w:lastColumn="0" w:oddVBand="0" w:evenVBand="0" w:oddHBand="0" w:evenHBand="0" w:firstRowFirstColumn="0" w:firstRowLastColumn="0" w:lastRowFirstColumn="0" w:lastRowLastColumn="0"/>
          <w:trHeight w:val="780"/>
        </w:trPr>
        <w:tc>
          <w:tcPr>
            <w:tcW w:w="1200" w:type="dxa"/>
            <w:hideMark/>
          </w:tcPr>
          <w:p w:rsidR="00DA3E42" w:rsidRPr="00F32F4B" w:rsidRDefault="00C81379">
            <w:pPr>
              <w:pStyle w:val="TableHeading"/>
            </w:pPr>
            <w:r>
              <w:t xml:space="preserve">Submit </w:t>
            </w:r>
            <w:r w:rsidR="00DA3E42" w:rsidRPr="00F32F4B">
              <w:t>Time</w:t>
            </w:r>
          </w:p>
        </w:tc>
        <w:tc>
          <w:tcPr>
            <w:tcW w:w="1176" w:type="dxa"/>
            <w:hideMark/>
          </w:tcPr>
          <w:p w:rsidR="00DA3E42" w:rsidRPr="00F32F4B" w:rsidRDefault="00DA3E42" w:rsidP="00993358">
            <w:pPr>
              <w:pStyle w:val="TableHeading"/>
              <w:ind w:left="-108"/>
            </w:pPr>
            <w:r w:rsidRPr="00F32F4B">
              <w:t>Time effective</w:t>
            </w:r>
          </w:p>
        </w:tc>
        <w:tc>
          <w:tcPr>
            <w:tcW w:w="1148" w:type="dxa"/>
            <w:hideMark/>
          </w:tcPr>
          <w:p w:rsidR="00DA3E42" w:rsidRPr="00F32F4B" w:rsidRDefault="00DA3E42" w:rsidP="00993358">
            <w:pPr>
              <w:pStyle w:val="TableHeading"/>
            </w:pPr>
            <w:r w:rsidRPr="00F32F4B">
              <w:t>Participant</w:t>
            </w:r>
          </w:p>
        </w:tc>
        <w:tc>
          <w:tcPr>
            <w:tcW w:w="1106" w:type="dxa"/>
            <w:hideMark/>
          </w:tcPr>
          <w:p w:rsidR="00DA3E42" w:rsidRPr="00F32F4B" w:rsidRDefault="00DA3E42" w:rsidP="00993358">
            <w:pPr>
              <w:pStyle w:val="TableHeading"/>
            </w:pPr>
            <w:r w:rsidRPr="00F32F4B">
              <w:t>Station</w:t>
            </w:r>
          </w:p>
        </w:tc>
        <w:tc>
          <w:tcPr>
            <w:tcW w:w="994" w:type="dxa"/>
            <w:hideMark/>
          </w:tcPr>
          <w:p w:rsidR="00DA3E42" w:rsidRPr="00F32F4B" w:rsidRDefault="00DA3E42" w:rsidP="00993358">
            <w:pPr>
              <w:pStyle w:val="TableHeading"/>
            </w:pPr>
            <w:r w:rsidRPr="00F32F4B">
              <w:t>Capacity rebid (MW)</w:t>
            </w:r>
          </w:p>
        </w:tc>
        <w:tc>
          <w:tcPr>
            <w:tcW w:w="937" w:type="dxa"/>
            <w:hideMark/>
          </w:tcPr>
          <w:p w:rsidR="00DA3E42" w:rsidRPr="00F32F4B" w:rsidRDefault="00DA3E42" w:rsidP="00993358">
            <w:pPr>
              <w:pStyle w:val="TableHeading"/>
            </w:pPr>
            <w:r w:rsidRPr="00F32F4B">
              <w:t>Price from ($/MWh)</w:t>
            </w:r>
          </w:p>
        </w:tc>
        <w:tc>
          <w:tcPr>
            <w:tcW w:w="924" w:type="dxa"/>
            <w:hideMark/>
          </w:tcPr>
          <w:p w:rsidR="00DA3E42" w:rsidRPr="00F32F4B" w:rsidRDefault="00DA3E42" w:rsidP="00993358">
            <w:pPr>
              <w:pStyle w:val="TableHeading"/>
            </w:pPr>
            <w:r w:rsidRPr="00F32F4B">
              <w:t>Price to ($/MWh)</w:t>
            </w:r>
          </w:p>
        </w:tc>
        <w:tc>
          <w:tcPr>
            <w:tcW w:w="1695" w:type="dxa"/>
            <w:hideMark/>
          </w:tcPr>
          <w:p w:rsidR="00DA3E42" w:rsidRPr="00F32F4B" w:rsidRDefault="00DA3E42" w:rsidP="00993358">
            <w:pPr>
              <w:pStyle w:val="TableHeading"/>
            </w:pPr>
            <w:r w:rsidRPr="00F32F4B">
              <w:t>Rebid reason</w:t>
            </w:r>
          </w:p>
        </w:tc>
      </w:tr>
      <w:tr w:rsidR="00BE67B7" w:rsidRPr="00F32F4B" w:rsidTr="00FD3899">
        <w:trPr>
          <w:cnfStyle w:val="000000100000" w:firstRow="0" w:lastRow="0" w:firstColumn="0" w:lastColumn="0" w:oddVBand="0" w:evenVBand="0" w:oddHBand="1" w:evenHBand="0" w:firstRowFirstColumn="0" w:firstRowLastColumn="0" w:lastRowFirstColumn="0" w:lastRowLastColumn="0"/>
          <w:trHeight w:val="606"/>
        </w:trPr>
        <w:tc>
          <w:tcPr>
            <w:tcW w:w="1200" w:type="dxa"/>
            <w:vAlign w:val="center"/>
          </w:tcPr>
          <w:p w:rsidR="00DA3E42" w:rsidRPr="00FD3899" w:rsidRDefault="001E641B" w:rsidP="00FD3899">
            <w:pPr>
              <w:spacing w:before="100" w:beforeAutospacing="1" w:after="100" w:afterAutospacing="1" w:line="240" w:lineRule="auto"/>
              <w:jc w:val="center"/>
              <w:rPr>
                <w:rFonts w:eastAsia="Times New Roman" w:cs="Arial"/>
                <w:bCs/>
                <w:szCs w:val="18"/>
                <w:lang w:eastAsia="en-AU"/>
              </w:rPr>
            </w:pPr>
            <w:r w:rsidRPr="00FD3899">
              <w:rPr>
                <w:rFonts w:eastAsia="Times New Roman" w:cs="Arial"/>
                <w:bCs/>
                <w:szCs w:val="18"/>
                <w:lang w:eastAsia="en-AU"/>
              </w:rPr>
              <w:t>11</w:t>
            </w:r>
            <w:r w:rsidR="00F32F4B" w:rsidRPr="00FD3899">
              <w:rPr>
                <w:rFonts w:eastAsia="Times New Roman" w:cs="Arial"/>
                <w:bCs/>
                <w:szCs w:val="18"/>
                <w:lang w:eastAsia="en-AU"/>
              </w:rPr>
              <w:t>.</w:t>
            </w:r>
            <w:r w:rsidRPr="00FD3899">
              <w:rPr>
                <w:rFonts w:eastAsia="Times New Roman" w:cs="Arial"/>
                <w:bCs/>
                <w:szCs w:val="18"/>
                <w:lang w:eastAsia="en-AU"/>
              </w:rPr>
              <w:t>38</w:t>
            </w:r>
            <w:r w:rsidR="00F32F4B" w:rsidRPr="00FD3899">
              <w:rPr>
                <w:rFonts w:eastAsia="Times New Roman" w:cs="Arial"/>
                <w:bCs/>
                <w:szCs w:val="18"/>
                <w:lang w:eastAsia="en-AU"/>
              </w:rPr>
              <w:t> pm</w:t>
            </w:r>
          </w:p>
        </w:tc>
        <w:tc>
          <w:tcPr>
            <w:tcW w:w="1176" w:type="dxa"/>
            <w:vAlign w:val="center"/>
          </w:tcPr>
          <w:p w:rsidR="00DA3E42" w:rsidRPr="00FD3899" w:rsidRDefault="001E641B" w:rsidP="00993358">
            <w:pPr>
              <w:spacing w:before="100" w:beforeAutospacing="1" w:after="100" w:afterAutospacing="1" w:line="240" w:lineRule="auto"/>
              <w:jc w:val="center"/>
              <w:rPr>
                <w:rFonts w:eastAsia="Times New Roman" w:cs="Arial"/>
                <w:bCs/>
                <w:szCs w:val="18"/>
                <w:lang w:eastAsia="en-AU"/>
              </w:rPr>
            </w:pPr>
            <w:r w:rsidRPr="00FD3899">
              <w:rPr>
                <w:rFonts w:eastAsia="Times New Roman" w:cs="Arial"/>
                <w:bCs/>
                <w:szCs w:val="18"/>
                <w:lang w:eastAsia="en-AU"/>
              </w:rPr>
              <w:t>11.45 pm</w:t>
            </w:r>
          </w:p>
        </w:tc>
        <w:tc>
          <w:tcPr>
            <w:tcW w:w="1148" w:type="dxa"/>
            <w:vAlign w:val="center"/>
          </w:tcPr>
          <w:p w:rsidR="00DA3E42" w:rsidRPr="00FD3899" w:rsidRDefault="001E641B" w:rsidP="00993358">
            <w:pPr>
              <w:spacing w:before="100" w:beforeAutospacing="1" w:after="100" w:afterAutospacing="1" w:line="240" w:lineRule="auto"/>
              <w:jc w:val="center"/>
              <w:rPr>
                <w:rFonts w:eastAsia="Times New Roman" w:cs="Arial"/>
                <w:bCs/>
                <w:szCs w:val="18"/>
                <w:lang w:eastAsia="en-AU"/>
              </w:rPr>
            </w:pPr>
            <w:r w:rsidRPr="00FD3899">
              <w:rPr>
                <w:rFonts w:eastAsia="Times New Roman" w:cs="Arial"/>
                <w:bCs/>
                <w:szCs w:val="18"/>
                <w:lang w:eastAsia="en-AU"/>
              </w:rPr>
              <w:t>AGL</w:t>
            </w:r>
          </w:p>
        </w:tc>
        <w:tc>
          <w:tcPr>
            <w:tcW w:w="1106" w:type="dxa"/>
            <w:vAlign w:val="center"/>
          </w:tcPr>
          <w:p w:rsidR="00DA3E42" w:rsidRPr="00FD3899" w:rsidRDefault="001E641B" w:rsidP="00993358">
            <w:pPr>
              <w:spacing w:before="100" w:beforeAutospacing="1" w:after="100" w:afterAutospacing="1" w:line="240" w:lineRule="auto"/>
              <w:jc w:val="center"/>
              <w:rPr>
                <w:rFonts w:eastAsia="Times New Roman" w:cs="Arial"/>
                <w:bCs/>
                <w:szCs w:val="18"/>
                <w:lang w:eastAsia="en-AU"/>
              </w:rPr>
            </w:pPr>
            <w:r w:rsidRPr="00FD3899">
              <w:rPr>
                <w:rFonts w:eastAsia="Times New Roman" w:cs="Arial"/>
                <w:bCs/>
                <w:szCs w:val="18"/>
                <w:lang w:eastAsia="en-AU"/>
              </w:rPr>
              <w:t>Torren</w:t>
            </w:r>
            <w:r w:rsidR="00BE67B7" w:rsidRPr="00FD3899">
              <w:rPr>
                <w:rFonts w:eastAsia="Times New Roman" w:cs="Arial"/>
                <w:bCs/>
                <w:szCs w:val="18"/>
                <w:lang w:eastAsia="en-AU"/>
              </w:rPr>
              <w:t>s</w:t>
            </w:r>
            <w:r w:rsidRPr="00FD3899">
              <w:rPr>
                <w:rFonts w:eastAsia="Times New Roman" w:cs="Arial"/>
                <w:bCs/>
                <w:szCs w:val="18"/>
                <w:lang w:eastAsia="en-AU"/>
              </w:rPr>
              <w:t xml:space="preserve"> Island</w:t>
            </w:r>
          </w:p>
        </w:tc>
        <w:tc>
          <w:tcPr>
            <w:tcW w:w="994" w:type="dxa"/>
            <w:vAlign w:val="center"/>
          </w:tcPr>
          <w:p w:rsidR="00DA3E42" w:rsidRPr="00FD3899" w:rsidRDefault="001E641B" w:rsidP="00993358">
            <w:pPr>
              <w:spacing w:before="100" w:beforeAutospacing="1" w:after="100" w:afterAutospacing="1" w:line="240" w:lineRule="auto"/>
              <w:jc w:val="center"/>
              <w:rPr>
                <w:rFonts w:eastAsia="Times New Roman" w:cs="Arial"/>
                <w:bCs/>
                <w:szCs w:val="18"/>
                <w:lang w:eastAsia="en-AU"/>
              </w:rPr>
            </w:pPr>
            <w:r w:rsidRPr="00FD3899">
              <w:rPr>
                <w:rFonts w:eastAsia="Times New Roman" w:cs="Arial"/>
                <w:bCs/>
                <w:szCs w:val="18"/>
                <w:lang w:eastAsia="en-AU"/>
              </w:rPr>
              <w:t>200</w:t>
            </w:r>
          </w:p>
        </w:tc>
        <w:tc>
          <w:tcPr>
            <w:tcW w:w="937" w:type="dxa"/>
            <w:vAlign w:val="center"/>
          </w:tcPr>
          <w:p w:rsidR="00DA3E42" w:rsidRPr="00FD3899" w:rsidRDefault="001E641B" w:rsidP="00F32F4B">
            <w:pPr>
              <w:spacing w:before="100" w:beforeAutospacing="1" w:after="100" w:afterAutospacing="1" w:line="240" w:lineRule="auto"/>
              <w:jc w:val="center"/>
              <w:rPr>
                <w:rFonts w:eastAsia="Times New Roman" w:cs="Arial"/>
                <w:bCs/>
                <w:szCs w:val="18"/>
                <w:lang w:eastAsia="en-AU"/>
              </w:rPr>
            </w:pPr>
            <w:r w:rsidRPr="00FD3899">
              <w:rPr>
                <w:rFonts w:eastAsia="Times New Roman" w:cs="Arial"/>
                <w:bCs/>
                <w:szCs w:val="18"/>
                <w:lang w:eastAsia="en-AU"/>
              </w:rPr>
              <w:t>&lt;55</w:t>
            </w:r>
          </w:p>
        </w:tc>
        <w:tc>
          <w:tcPr>
            <w:tcW w:w="924" w:type="dxa"/>
            <w:vAlign w:val="center"/>
          </w:tcPr>
          <w:p w:rsidR="00DA3E42" w:rsidRPr="00FD3899" w:rsidRDefault="00BE67B7" w:rsidP="00993358">
            <w:pPr>
              <w:spacing w:before="100" w:beforeAutospacing="1" w:after="100" w:afterAutospacing="1" w:line="240" w:lineRule="auto"/>
              <w:jc w:val="center"/>
              <w:rPr>
                <w:rFonts w:eastAsia="Times New Roman" w:cs="Arial"/>
                <w:bCs/>
                <w:szCs w:val="18"/>
                <w:lang w:eastAsia="en-AU"/>
              </w:rPr>
            </w:pPr>
            <w:r w:rsidRPr="00FD3899">
              <w:rPr>
                <w:rFonts w:eastAsia="Times New Roman" w:cs="Arial"/>
                <w:bCs/>
                <w:szCs w:val="18"/>
                <w:lang w:eastAsia="en-AU"/>
              </w:rPr>
              <w:t>13 500</w:t>
            </w:r>
          </w:p>
        </w:tc>
        <w:tc>
          <w:tcPr>
            <w:tcW w:w="1695" w:type="dxa"/>
            <w:vAlign w:val="center"/>
          </w:tcPr>
          <w:p w:rsidR="00DA3E42" w:rsidRPr="00FD3899" w:rsidRDefault="001E641B" w:rsidP="00993358">
            <w:pPr>
              <w:spacing w:before="100" w:beforeAutospacing="1" w:after="100" w:afterAutospacing="1" w:line="240" w:lineRule="auto"/>
              <w:rPr>
                <w:rFonts w:eastAsia="Times New Roman" w:cs="Arial"/>
                <w:bCs/>
                <w:szCs w:val="18"/>
                <w:lang w:eastAsia="en-AU"/>
              </w:rPr>
            </w:pPr>
            <w:r w:rsidRPr="00FD3899">
              <w:rPr>
                <w:rFonts w:cs="Arial"/>
                <w:szCs w:val="18"/>
              </w:rPr>
              <w:t xml:space="preserve">2335~A~040 </w:t>
            </w:r>
            <w:proofErr w:type="spellStart"/>
            <w:r w:rsidR="00BE67B7" w:rsidRPr="00FD3899">
              <w:rPr>
                <w:rFonts w:cs="Arial"/>
                <w:szCs w:val="18"/>
              </w:rPr>
              <w:t>chg</w:t>
            </w:r>
            <w:proofErr w:type="spellEnd"/>
            <w:r w:rsidR="00BE67B7" w:rsidRPr="00FD3899">
              <w:rPr>
                <w:rFonts w:cs="Arial"/>
                <w:szCs w:val="18"/>
              </w:rPr>
              <w:t xml:space="preserve"> in </w:t>
            </w:r>
            <w:proofErr w:type="spellStart"/>
            <w:r w:rsidR="00BE67B7" w:rsidRPr="00FD3899">
              <w:rPr>
                <w:rFonts w:cs="Arial"/>
                <w:szCs w:val="18"/>
              </w:rPr>
              <w:t>aemo</w:t>
            </w:r>
            <w:proofErr w:type="spellEnd"/>
            <w:r w:rsidR="00BE67B7" w:rsidRPr="00FD3899">
              <w:rPr>
                <w:rFonts w:cs="Arial"/>
                <w:szCs w:val="18"/>
              </w:rPr>
              <w:t xml:space="preserve"> disp</w:t>
            </w:r>
            <w:r w:rsidRPr="00FD3899">
              <w:rPr>
                <w:rFonts w:cs="Arial"/>
                <w:szCs w:val="18"/>
              </w:rPr>
              <w:t xml:space="preserve">~45 </w:t>
            </w:r>
            <w:r w:rsidR="005B2A4E" w:rsidRPr="00FD3899">
              <w:rPr>
                <w:rFonts w:cs="Arial"/>
                <w:szCs w:val="18"/>
              </w:rPr>
              <w:t>price increase</w:t>
            </w:r>
            <w:r w:rsidRPr="00FD3899">
              <w:rPr>
                <w:rFonts w:cs="Arial"/>
                <w:szCs w:val="18"/>
              </w:rPr>
              <w:t xml:space="preserve"> VS PD SA $51.98 VS</w:t>
            </w:r>
          </w:p>
        </w:tc>
      </w:tr>
      <w:tr w:rsidR="00BE67B7" w:rsidRPr="00F32F4B" w:rsidTr="00FD3899">
        <w:trPr>
          <w:cnfStyle w:val="000000010000" w:firstRow="0" w:lastRow="0" w:firstColumn="0" w:lastColumn="0" w:oddVBand="0" w:evenVBand="0" w:oddHBand="0" w:evenHBand="1" w:firstRowFirstColumn="0" w:firstRowLastColumn="0" w:lastRowFirstColumn="0" w:lastRowLastColumn="0"/>
          <w:trHeight w:val="673"/>
        </w:trPr>
        <w:tc>
          <w:tcPr>
            <w:tcW w:w="1200" w:type="dxa"/>
            <w:vAlign w:val="center"/>
          </w:tcPr>
          <w:p w:rsidR="00F32F4B" w:rsidRPr="00FD3899" w:rsidRDefault="001E641B" w:rsidP="00FD3899">
            <w:pPr>
              <w:spacing w:before="100" w:beforeAutospacing="1" w:after="100" w:afterAutospacing="1" w:line="240" w:lineRule="auto"/>
              <w:jc w:val="center"/>
              <w:rPr>
                <w:rFonts w:eastAsia="Times New Roman" w:cs="Arial"/>
                <w:bCs/>
                <w:szCs w:val="18"/>
                <w:lang w:eastAsia="en-AU"/>
              </w:rPr>
            </w:pPr>
            <w:r w:rsidRPr="00FD3899">
              <w:rPr>
                <w:rFonts w:eastAsia="Times New Roman" w:cs="Arial"/>
                <w:bCs/>
                <w:szCs w:val="18"/>
                <w:lang w:eastAsia="en-AU"/>
              </w:rPr>
              <w:t>11.39 pm</w:t>
            </w:r>
          </w:p>
        </w:tc>
        <w:tc>
          <w:tcPr>
            <w:tcW w:w="1176" w:type="dxa"/>
            <w:vAlign w:val="center"/>
          </w:tcPr>
          <w:p w:rsidR="00F32F4B" w:rsidRPr="00FD3899" w:rsidRDefault="001E641B" w:rsidP="00727745">
            <w:pPr>
              <w:spacing w:before="100" w:beforeAutospacing="1" w:after="100" w:afterAutospacing="1" w:line="240" w:lineRule="auto"/>
              <w:jc w:val="center"/>
              <w:rPr>
                <w:rFonts w:eastAsia="Times New Roman" w:cs="Arial"/>
                <w:bCs/>
                <w:szCs w:val="18"/>
                <w:lang w:eastAsia="en-AU"/>
              </w:rPr>
            </w:pPr>
            <w:r w:rsidRPr="00FD3899">
              <w:rPr>
                <w:rFonts w:eastAsia="Times New Roman" w:cs="Arial"/>
                <w:bCs/>
                <w:szCs w:val="18"/>
                <w:lang w:eastAsia="en-AU"/>
              </w:rPr>
              <w:t>11.50 pm</w:t>
            </w:r>
          </w:p>
        </w:tc>
        <w:tc>
          <w:tcPr>
            <w:tcW w:w="1148" w:type="dxa"/>
            <w:vAlign w:val="center"/>
          </w:tcPr>
          <w:p w:rsidR="00F32F4B" w:rsidRPr="00FD3899" w:rsidRDefault="001E641B" w:rsidP="00727745">
            <w:pPr>
              <w:spacing w:before="100" w:beforeAutospacing="1" w:after="100" w:afterAutospacing="1" w:line="240" w:lineRule="auto"/>
              <w:jc w:val="center"/>
              <w:rPr>
                <w:rFonts w:eastAsia="Times New Roman" w:cs="Arial"/>
                <w:bCs/>
                <w:szCs w:val="18"/>
                <w:lang w:eastAsia="en-AU"/>
              </w:rPr>
            </w:pPr>
            <w:proofErr w:type="spellStart"/>
            <w:r w:rsidRPr="00FD3899">
              <w:rPr>
                <w:rFonts w:eastAsia="Times New Roman" w:cs="Arial"/>
                <w:bCs/>
                <w:szCs w:val="18"/>
                <w:lang w:eastAsia="en-AU"/>
              </w:rPr>
              <w:t>Alinta</w:t>
            </w:r>
            <w:proofErr w:type="spellEnd"/>
          </w:p>
        </w:tc>
        <w:tc>
          <w:tcPr>
            <w:tcW w:w="1106" w:type="dxa"/>
            <w:vAlign w:val="center"/>
          </w:tcPr>
          <w:p w:rsidR="00F32F4B" w:rsidRPr="00FD3899" w:rsidRDefault="001E641B">
            <w:pPr>
              <w:spacing w:before="100" w:beforeAutospacing="1" w:after="100" w:afterAutospacing="1" w:line="240" w:lineRule="auto"/>
              <w:jc w:val="center"/>
              <w:rPr>
                <w:rFonts w:eastAsia="Times New Roman" w:cs="Arial"/>
                <w:bCs/>
                <w:szCs w:val="18"/>
                <w:lang w:eastAsia="en-AU"/>
              </w:rPr>
            </w:pPr>
            <w:r w:rsidRPr="00FD3899">
              <w:rPr>
                <w:rFonts w:eastAsia="Times New Roman" w:cs="Arial"/>
                <w:bCs/>
                <w:szCs w:val="18"/>
                <w:lang w:eastAsia="en-AU"/>
              </w:rPr>
              <w:t>Northern</w:t>
            </w:r>
          </w:p>
        </w:tc>
        <w:tc>
          <w:tcPr>
            <w:tcW w:w="994" w:type="dxa"/>
            <w:vAlign w:val="center"/>
          </w:tcPr>
          <w:p w:rsidR="00F32F4B" w:rsidRPr="00FD3899" w:rsidRDefault="00C81379">
            <w:pPr>
              <w:spacing w:before="100" w:beforeAutospacing="1" w:after="100" w:afterAutospacing="1" w:line="240" w:lineRule="auto"/>
              <w:jc w:val="center"/>
              <w:rPr>
                <w:rFonts w:eastAsia="Times New Roman" w:cs="Arial"/>
                <w:bCs/>
                <w:szCs w:val="18"/>
                <w:lang w:eastAsia="en-AU"/>
              </w:rPr>
            </w:pPr>
            <w:r w:rsidRPr="00FD3899">
              <w:rPr>
                <w:rFonts w:eastAsia="Times New Roman" w:cs="Arial"/>
                <w:bCs/>
                <w:szCs w:val="18"/>
                <w:lang w:eastAsia="en-AU"/>
              </w:rPr>
              <w:t>-27</w:t>
            </w:r>
            <w:r w:rsidR="001E641B" w:rsidRPr="00FD3899">
              <w:rPr>
                <w:rFonts w:eastAsia="Times New Roman" w:cs="Arial"/>
                <w:bCs/>
                <w:szCs w:val="18"/>
                <w:lang w:eastAsia="en-AU"/>
              </w:rPr>
              <w:t>3</w:t>
            </w:r>
          </w:p>
        </w:tc>
        <w:tc>
          <w:tcPr>
            <w:tcW w:w="937" w:type="dxa"/>
            <w:vAlign w:val="center"/>
          </w:tcPr>
          <w:p w:rsidR="00F32F4B" w:rsidRPr="00FD3899" w:rsidRDefault="001E641B" w:rsidP="00727745">
            <w:pPr>
              <w:spacing w:before="100" w:beforeAutospacing="1" w:after="100" w:afterAutospacing="1" w:line="240" w:lineRule="auto"/>
              <w:jc w:val="center"/>
              <w:rPr>
                <w:rFonts w:eastAsia="Times New Roman" w:cs="Arial"/>
                <w:bCs/>
                <w:szCs w:val="18"/>
                <w:lang w:eastAsia="en-AU"/>
              </w:rPr>
            </w:pPr>
            <w:r w:rsidRPr="00FD3899">
              <w:rPr>
                <w:rFonts w:eastAsia="Times New Roman" w:cs="Arial"/>
                <w:bCs/>
                <w:szCs w:val="18"/>
                <w:lang w:eastAsia="en-AU"/>
              </w:rPr>
              <w:t>&lt;65</w:t>
            </w:r>
          </w:p>
        </w:tc>
        <w:tc>
          <w:tcPr>
            <w:tcW w:w="924" w:type="dxa"/>
            <w:vAlign w:val="center"/>
          </w:tcPr>
          <w:p w:rsidR="00F32F4B" w:rsidRPr="00FD3899" w:rsidRDefault="001E641B" w:rsidP="00727745">
            <w:pPr>
              <w:spacing w:before="100" w:beforeAutospacing="1" w:after="100" w:afterAutospacing="1" w:line="240" w:lineRule="auto"/>
              <w:jc w:val="center"/>
              <w:rPr>
                <w:rFonts w:eastAsia="Times New Roman" w:cs="Arial"/>
                <w:bCs/>
                <w:szCs w:val="18"/>
                <w:lang w:eastAsia="en-AU"/>
              </w:rPr>
            </w:pPr>
            <w:r w:rsidRPr="00FD3899">
              <w:rPr>
                <w:rFonts w:eastAsia="Times New Roman" w:cs="Arial"/>
                <w:bCs/>
                <w:szCs w:val="18"/>
                <w:lang w:eastAsia="en-AU"/>
              </w:rPr>
              <w:t>N/A</w:t>
            </w:r>
          </w:p>
        </w:tc>
        <w:tc>
          <w:tcPr>
            <w:tcW w:w="1695" w:type="dxa"/>
            <w:vAlign w:val="center"/>
          </w:tcPr>
          <w:p w:rsidR="00F32F4B" w:rsidRPr="00FD3899" w:rsidRDefault="001E641B" w:rsidP="00727745">
            <w:pPr>
              <w:spacing w:before="100" w:beforeAutospacing="1" w:after="100" w:afterAutospacing="1" w:line="240" w:lineRule="auto"/>
              <w:rPr>
                <w:rFonts w:eastAsia="Times New Roman" w:cs="Arial"/>
                <w:bCs/>
                <w:szCs w:val="18"/>
                <w:lang w:eastAsia="en-AU"/>
              </w:rPr>
            </w:pPr>
            <w:r w:rsidRPr="00FD3899">
              <w:rPr>
                <w:rFonts w:eastAsia="Times New Roman" w:cs="Arial"/>
                <w:bCs/>
                <w:szCs w:val="18"/>
                <w:lang w:eastAsia="en-AU"/>
              </w:rPr>
              <w:t xml:space="preserve">2335~P~NPS2 </w:t>
            </w:r>
            <w:r w:rsidR="005B2A4E" w:rsidRPr="00FD3899">
              <w:rPr>
                <w:rFonts w:eastAsia="Times New Roman" w:cs="Arial"/>
                <w:bCs/>
                <w:szCs w:val="18"/>
                <w:lang w:eastAsia="en-AU"/>
              </w:rPr>
              <w:t>unit trip</w:t>
            </w:r>
          </w:p>
        </w:tc>
      </w:tr>
    </w:tbl>
    <w:p w:rsidR="00C81379" w:rsidRDefault="00C81379" w:rsidP="00C81379">
      <w:pPr>
        <w:pStyle w:val="AERbodytext"/>
      </w:pPr>
    </w:p>
    <w:p w:rsidR="00C81379" w:rsidRDefault="00611A1B">
      <w:pPr>
        <w:pStyle w:val="AERbodytext"/>
      </w:pPr>
      <w:r>
        <w:t>At 11.45 pm when AGL’s rebid became effective</w:t>
      </w:r>
      <w:r w:rsidR="002513F4">
        <w:t>,</w:t>
      </w:r>
      <w:r>
        <w:t xml:space="preserve"> the dispatch price was $47/MWh as the units rebid were ramp down limited and unable to set price. At 11.55 pm</w:t>
      </w:r>
      <w:r w:rsidR="002513F4">
        <w:t>,</w:t>
      </w:r>
      <w:r>
        <w:t xml:space="preserve"> low priced capacity w</w:t>
      </w:r>
      <w:r w:rsidR="002513F4">
        <w:t>as</w:t>
      </w:r>
      <w:r>
        <w:t xml:space="preserve"> either ramp up limited or trapped in FCAS</w:t>
      </w:r>
      <w:r w:rsidR="002513F4">
        <w:t>,</w:t>
      </w:r>
      <w:r>
        <w:t xml:space="preserve"> and AGL’s Torrens units that were rebid were no longer ramp down limited and were able to set price at the </w:t>
      </w:r>
      <w:r w:rsidR="00C81379">
        <w:t>cap</w:t>
      </w:r>
      <w:r>
        <w:t xml:space="preserve">. </w:t>
      </w:r>
    </w:p>
    <w:p w:rsidR="00F75637" w:rsidRPr="001E641B" w:rsidRDefault="00F75637">
      <w:pPr>
        <w:pStyle w:val="AERbodytext"/>
      </w:pPr>
      <w:r>
        <w:t>At midnight the price fell to $32/MWh when non-scheduled generation output increased</w:t>
      </w:r>
      <w:r w:rsidR="002513F4">
        <w:t>,</w:t>
      </w:r>
      <w:r>
        <w:t xml:space="preserve"> reducing demand.</w:t>
      </w:r>
    </w:p>
    <w:p w:rsidR="00275002" w:rsidRPr="00F33F2D" w:rsidRDefault="00275002" w:rsidP="005F6ADE">
      <w:pPr>
        <w:pStyle w:val="Heading2"/>
      </w:pPr>
      <w:r w:rsidRPr="00F33F2D">
        <w:t>Financial markets</w:t>
      </w:r>
    </w:p>
    <w:p w:rsidR="00275002" w:rsidRDefault="00275002" w:rsidP="009A3D22">
      <w:pPr>
        <w:jc w:val="both"/>
      </w:pPr>
      <w:r w:rsidRPr="00F33F2D">
        <w:fldChar w:fldCharType="begin"/>
      </w:r>
      <w:r w:rsidRPr="00F33F2D">
        <w:instrText xml:space="preserve"> REF _Ref410386540 \h </w:instrText>
      </w:r>
      <w:r w:rsidR="009A3D22" w:rsidRPr="00F33F2D">
        <w:instrText xml:space="preserve"> \* MERGEFORMAT </w:instrText>
      </w:r>
      <w:r w:rsidRPr="00F33F2D">
        <w:fldChar w:fldCharType="separate"/>
      </w:r>
      <w:r w:rsidR="00C6094B">
        <w:t xml:space="preserve">Figure </w:t>
      </w:r>
      <w:r w:rsidR="00C6094B">
        <w:rPr>
          <w:noProof/>
        </w:rPr>
        <w:t>9</w:t>
      </w:r>
      <w:r w:rsidRPr="00F33F2D">
        <w:fldChar w:fldCharType="end"/>
      </w:r>
      <w:r w:rsidRPr="00F33F2D">
        <w:t xml:space="preserve"> shows for all mainland regions the prices for base contracts (and total traded quantities for the week) for each quarter for the next four financial years.</w:t>
      </w:r>
      <w:r w:rsidRPr="0031019A">
        <w:t xml:space="preserve"> </w:t>
      </w:r>
    </w:p>
    <w:p w:rsidR="00696857" w:rsidRPr="00696857" w:rsidRDefault="00696857" w:rsidP="00696857">
      <w:pPr>
        <w:spacing w:before="80"/>
        <w:jc w:val="both"/>
        <w:rPr>
          <w:sz w:val="2"/>
          <w:szCs w:val="2"/>
        </w:rPr>
      </w:pPr>
    </w:p>
    <w:p w:rsidR="004E13F5" w:rsidRDefault="00275002" w:rsidP="00696857">
      <w:pPr>
        <w:pStyle w:val="Caption"/>
        <w:spacing w:before="0" w:line="240" w:lineRule="auto"/>
        <w:rPr>
          <w:noProof/>
          <w:lang w:eastAsia="en-AU"/>
        </w:rPr>
      </w:pPr>
      <w:bookmarkStart w:id="19" w:name="_Ref410386540"/>
      <w:r>
        <w:t xml:space="preserve">Figure </w:t>
      </w:r>
      <w:fldSimple w:instr=" SEQ Figure \* ARABIC ">
        <w:r w:rsidR="00C6094B">
          <w:rPr>
            <w:noProof/>
          </w:rPr>
          <w:t>9</w:t>
        </w:r>
      </w:fldSimple>
      <w:bookmarkEnd w:id="19"/>
      <w:r>
        <w:t xml:space="preserve">: </w:t>
      </w:r>
      <w:r w:rsidR="00BE6484">
        <w:t>Quarterly base future prices Q2</w:t>
      </w:r>
      <w:r w:rsidRPr="007A6ACB">
        <w:t xml:space="preserve"> 2015 – Q4 2018</w:t>
      </w:r>
    </w:p>
    <w:p w:rsidR="004E13F5" w:rsidRPr="004E13F5" w:rsidRDefault="00DF66AC" w:rsidP="00696857">
      <w:pPr>
        <w:spacing w:before="0" w:after="120" w:line="240" w:lineRule="auto"/>
        <w:rPr>
          <w:lang w:eastAsia="en-AU"/>
        </w:rPr>
      </w:pPr>
      <w:r w:rsidRPr="00DF66AC">
        <w:rPr>
          <w:noProof/>
          <w:lang w:eastAsia="en-AU"/>
        </w:rPr>
        <w:drawing>
          <wp:inline distT="0" distB="0" distL="0" distR="0" wp14:anchorId="08C461E8" wp14:editId="70ECB85A">
            <wp:extent cx="5753930" cy="2759103"/>
            <wp:effectExtent l="0" t="0" r="0" b="3175"/>
            <wp:docPr id="32" name="Picture 32" descr="Figure 9 shows for all mainland regions the prices for base contracts (and total traded quantities for the week) for each quarter for the next four financial years." title="Figure 9: Quarterly base future prices Q2 2015 – Q4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88126" cy="2775500"/>
                    </a:xfrm>
                    <a:prstGeom prst="rect">
                      <a:avLst/>
                    </a:prstGeom>
                    <a:noFill/>
                    <a:ln>
                      <a:noFill/>
                    </a:ln>
                  </pic:spPr>
                </pic:pic>
              </a:graphicData>
            </a:graphic>
          </wp:inline>
        </w:drawing>
      </w:r>
    </w:p>
    <w:p w:rsidR="00275002" w:rsidRPr="002A7439" w:rsidRDefault="00275002" w:rsidP="00275002">
      <w:pPr>
        <w:rPr>
          <w:rStyle w:val="SourceChar"/>
        </w:rPr>
      </w:pPr>
      <w:r w:rsidRPr="002A7439">
        <w:rPr>
          <w:rStyle w:val="SourceChar"/>
        </w:rPr>
        <w:t xml:space="preserve">Source: </w:t>
      </w:r>
      <w:hyperlink r:id="rId21" w:history="1">
        <w:r w:rsidRPr="002A7439">
          <w:rPr>
            <w:rStyle w:val="SourceChar"/>
          </w:rPr>
          <w:t>ASXEnergy.com.au</w:t>
        </w:r>
      </w:hyperlink>
    </w:p>
    <w:p w:rsidR="00696857" w:rsidRDefault="00275002" w:rsidP="00696857">
      <w:pPr>
        <w:jc w:val="both"/>
      </w:pPr>
      <w:r>
        <w:fldChar w:fldCharType="begin"/>
      </w:r>
      <w:r>
        <w:instrText xml:space="preserve"> REF _Ref410380382 \h </w:instrText>
      </w:r>
      <w:r w:rsidR="009A3D22">
        <w:instrText xml:space="preserve"> \* MERGEFORMAT </w:instrText>
      </w:r>
      <w:r>
        <w:fldChar w:fldCharType="separate"/>
      </w:r>
      <w:r w:rsidR="00C6094B">
        <w:t xml:space="preserve">Figure </w:t>
      </w:r>
      <w:r w:rsidR="00C6094B">
        <w:rPr>
          <w:noProof/>
        </w:rPr>
        <w:t>10</w:t>
      </w:r>
      <w:r>
        <w:fldChar w:fldCharType="end"/>
      </w:r>
      <w:r>
        <w:t xml:space="preserve"> </w:t>
      </w:r>
      <w:r w:rsidRPr="0031019A">
        <w:t>shows how the price for each regional Quarter 1</w:t>
      </w:r>
      <w:r w:rsidR="00BE6484">
        <w:t xml:space="preserve"> 2016</w:t>
      </w:r>
      <w:r w:rsidRPr="0031019A">
        <w:t xml:space="preserve"> base contract has changed over the last 10 weeks (as well as the total number of trades each week). The closing quarter 1 2013 and quarter 1 2014 prices are also shown. The AER notes that data for South Australia is less reliable due to very low numbers of trades. </w:t>
      </w:r>
      <w:r w:rsidR="00696857">
        <w:t xml:space="preserve">The high </w:t>
      </w:r>
      <w:proofErr w:type="gramStart"/>
      <w:r w:rsidR="00696857">
        <w:t xml:space="preserve">volume of contracts shown in </w:t>
      </w:r>
      <w:r w:rsidR="00696857">
        <w:fldChar w:fldCharType="begin"/>
      </w:r>
      <w:r w:rsidR="00696857">
        <w:instrText xml:space="preserve"> REF _Ref410380382 \h </w:instrText>
      </w:r>
      <w:r w:rsidR="00696857">
        <w:fldChar w:fldCharType="separate"/>
      </w:r>
      <w:r w:rsidR="00C6094B">
        <w:t xml:space="preserve">Figure </w:t>
      </w:r>
      <w:r w:rsidR="00C6094B">
        <w:rPr>
          <w:noProof/>
        </w:rPr>
        <w:t>10</w:t>
      </w:r>
      <w:r w:rsidR="00696857">
        <w:fldChar w:fldCharType="end"/>
      </w:r>
      <w:r w:rsidR="00696857">
        <w:t xml:space="preserve"> were</w:t>
      </w:r>
      <w:proofErr w:type="gramEnd"/>
      <w:r w:rsidR="00696857">
        <w:t xml:space="preserve"> the result of the exercising of financial year option contracts.</w:t>
      </w:r>
    </w:p>
    <w:p w:rsidR="00275002" w:rsidRDefault="00275002" w:rsidP="000E2946">
      <w:pPr>
        <w:pStyle w:val="Caption"/>
      </w:pPr>
      <w:bookmarkStart w:id="20" w:name="_Ref410380382"/>
      <w:r>
        <w:t xml:space="preserve">Figure </w:t>
      </w:r>
      <w:fldSimple w:instr=" SEQ Figure \* ARABIC ">
        <w:r w:rsidR="00C6094B">
          <w:rPr>
            <w:noProof/>
          </w:rPr>
          <w:t>10</w:t>
        </w:r>
      </w:fldSimple>
      <w:bookmarkEnd w:id="20"/>
      <w:r w:rsidR="00BE6484">
        <w:t>: Price of Q1 2016</w:t>
      </w:r>
      <w:r w:rsidRPr="00DF093A">
        <w:t xml:space="preserve"> base contracts over the past 10 weeks (and the past 2 years)</w:t>
      </w:r>
    </w:p>
    <w:p w:rsidR="00275002" w:rsidRPr="0031019A" w:rsidRDefault="008447A8" w:rsidP="00275002">
      <w:r w:rsidRPr="008447A8">
        <w:rPr>
          <w:noProof/>
          <w:lang w:eastAsia="en-AU"/>
        </w:rPr>
        <w:drawing>
          <wp:inline distT="0" distB="0" distL="0" distR="0" wp14:anchorId="52EC4A6B" wp14:editId="4DEFDBDD">
            <wp:extent cx="5726233" cy="2822713"/>
            <wp:effectExtent l="0" t="0" r="8255" b="0"/>
            <wp:docPr id="2" name="Picture 2"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25314"/>
                    </a:xfrm>
                    <a:prstGeom prst="rect">
                      <a:avLst/>
                    </a:prstGeom>
                    <a:noFill/>
                    <a:ln>
                      <a:noFill/>
                    </a:ln>
                  </pic:spPr>
                </pic:pic>
              </a:graphicData>
            </a:graphic>
          </wp:inline>
        </w:drawing>
      </w:r>
    </w:p>
    <w:p w:rsidR="00275002" w:rsidRPr="0031019A" w:rsidRDefault="00275002" w:rsidP="002A7439">
      <w:pPr>
        <w:pStyle w:val="Source"/>
      </w:pPr>
      <w:r w:rsidRPr="0031019A">
        <w:t>Note: Base contract prices are shown for each of the current week and the previous 9 weeks, with average prices shown for yearly periods 1 and 2 years prior to the current year</w:t>
      </w:r>
      <w:r w:rsidR="00D615F9">
        <w:t>.</w:t>
      </w:r>
    </w:p>
    <w:p w:rsidR="00275002" w:rsidRPr="002A7439" w:rsidRDefault="00275002" w:rsidP="002A7439">
      <w:pPr>
        <w:pStyle w:val="Source"/>
      </w:pPr>
      <w:r w:rsidRPr="002A7439">
        <w:t xml:space="preserve">Source: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4" w:history="1">
        <w:r w:rsidR="001805BB">
          <w:rPr>
            <w:rStyle w:val="Hyperlink"/>
          </w:rPr>
          <w:t>Industry Statistics</w:t>
        </w:r>
      </w:hyperlink>
      <w:r w:rsidR="00D615F9">
        <w:t xml:space="preserve"> s</w:t>
      </w:r>
      <w:r w:rsidRPr="0031019A">
        <w:t>ection of our website.</w:t>
      </w:r>
    </w:p>
    <w:p w:rsidR="00275002" w:rsidRPr="0031019A" w:rsidRDefault="00F516E0" w:rsidP="009A3D22">
      <w:pPr>
        <w:jc w:val="both"/>
      </w:pPr>
      <w:r>
        <w:fldChar w:fldCharType="begin"/>
      </w:r>
      <w:r>
        <w:instrText xml:space="preserve"> REF _Ref416786708 \h </w:instrText>
      </w:r>
      <w:r>
        <w:fldChar w:fldCharType="separate"/>
      </w:r>
      <w:r w:rsidR="00C6094B">
        <w:t xml:space="preserve">Figure </w:t>
      </w:r>
      <w:r w:rsidR="00C6094B">
        <w:rPr>
          <w:noProof/>
        </w:rPr>
        <w:t>11</w:t>
      </w:r>
      <w:r>
        <w:fldChar w:fldCharType="end"/>
      </w:r>
      <w:r>
        <w:t xml:space="preserve"> </w:t>
      </w:r>
      <w:r w:rsidR="00275002" w:rsidRPr="0031019A">
        <w:t>shows how the price for each regional Quarter 1 201</w:t>
      </w:r>
      <w:r w:rsidR="00BE6484">
        <w:t>6</w:t>
      </w:r>
      <w:r w:rsidR="00275002" w:rsidRPr="0031019A">
        <w:t xml:space="preserve"> cap contract has changed over the last 10 weeks (as well as the total number of trades each w</w:t>
      </w:r>
      <w:r w:rsidR="00BE6484">
        <w:t>eek). The closing quarter 1 2014 and quarter 1 2015</w:t>
      </w:r>
      <w:r w:rsidR="00275002" w:rsidRPr="0031019A">
        <w:t xml:space="preserve"> prices are also shown. </w:t>
      </w:r>
      <w:r>
        <w:t>Despite being close to the end of the quarter, prices in Queensland remain elevated and volumes are still being traded.</w:t>
      </w:r>
    </w:p>
    <w:p w:rsidR="00275002" w:rsidRDefault="00275002" w:rsidP="000E2946">
      <w:pPr>
        <w:pStyle w:val="Caption"/>
      </w:pPr>
      <w:bookmarkStart w:id="21" w:name="_Ref416786708"/>
      <w:bookmarkStart w:id="22" w:name="_Ref410744936"/>
      <w:r>
        <w:t xml:space="preserve">Figure </w:t>
      </w:r>
      <w:fldSimple w:instr=" SEQ Figure \* ARABIC ">
        <w:r w:rsidR="00C6094B">
          <w:rPr>
            <w:noProof/>
          </w:rPr>
          <w:t>11</w:t>
        </w:r>
      </w:fldSimple>
      <w:bookmarkEnd w:id="21"/>
      <w:r w:rsidR="00BE6484">
        <w:t>: Price of Q1 2016</w:t>
      </w:r>
      <w:r w:rsidRPr="0074419D">
        <w:t xml:space="preserve"> cap contracts over the past 10 weeks (and the past 2 years)</w:t>
      </w:r>
      <w:bookmarkEnd w:id="22"/>
    </w:p>
    <w:p w:rsidR="00275002" w:rsidRPr="0031019A" w:rsidRDefault="00636A61" w:rsidP="00275002">
      <w:r w:rsidRPr="00636A61">
        <w:rPr>
          <w:noProof/>
          <w:lang w:eastAsia="en-AU"/>
        </w:rPr>
        <w:drawing>
          <wp:inline distT="0" distB="0" distL="0" distR="0" wp14:anchorId="05D283D5" wp14:editId="78182DFC">
            <wp:extent cx="5731510" cy="2872627"/>
            <wp:effectExtent l="0" t="0" r="2540" b="4445"/>
            <wp:docPr id="1" name="Picture 1" descr="Figure 11 shows how the price for each regional Quarter 1 2016 cap contract has changed over the last 10 weeks (as well as the total number of trades each week). The closing quarter 1 2014 and quarter 1 2015 prices are also shown." title="Figure 11: Price of Q1 2016 cap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2627"/>
                    </a:xfrm>
                    <a:prstGeom prst="rect">
                      <a:avLst/>
                    </a:prstGeom>
                    <a:noFill/>
                    <a:ln>
                      <a:noFill/>
                    </a:ln>
                  </pic:spPr>
                </pic:pic>
              </a:graphicData>
            </a:graphic>
          </wp:inline>
        </w:drawing>
      </w:r>
    </w:p>
    <w:p w:rsidR="00275002" w:rsidRPr="002A7439" w:rsidRDefault="00275002" w:rsidP="002A7439">
      <w:pPr>
        <w:pStyle w:val="Source"/>
      </w:pPr>
      <w:r w:rsidRPr="002A7439">
        <w:t xml:space="preserve">Source: </w:t>
      </w:r>
      <w:hyperlink r:id="rId26"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p>
    <w:p w:rsidR="004E7D10" w:rsidRPr="0031019A" w:rsidRDefault="004F06D2">
      <w:pPr>
        <w:pStyle w:val="Heading4notnumbered"/>
      </w:pPr>
      <w:r>
        <w:t>June</w:t>
      </w:r>
      <w:r w:rsidR="00275002" w:rsidRPr="0031019A">
        <w:t xml:space="preserve"> 2015</w:t>
      </w:r>
    </w:p>
    <w:sectPr w:rsidR="004E7D10" w:rsidRPr="0031019A" w:rsidSect="00FD3899">
      <w:footerReference w:type="even" r:id="rId27"/>
      <w:footerReference w:type="default" r:id="rId28"/>
      <w:footerReference w:type="first" r:id="rId29"/>
      <w:pgSz w:w="11906" w:h="16838"/>
      <w:pgMar w:top="993" w:right="1440" w:bottom="1276"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7B7" w:rsidRDefault="00BE67B7" w:rsidP="004B4412">
      <w:pPr>
        <w:spacing w:before="0"/>
      </w:pPr>
      <w:r>
        <w:separator/>
      </w:r>
    </w:p>
  </w:endnote>
  <w:endnote w:type="continuationSeparator" w:id="0">
    <w:p w:rsidR="00BE67B7" w:rsidRDefault="00BE67B7"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B7" w:rsidRPr="00A91A9E" w:rsidRDefault="00BE67B7"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BE67B7" w:rsidRDefault="00BE67B7"/>
  <w:p w:rsidR="00BE67B7" w:rsidRDefault="00BE67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B7" w:rsidRDefault="00BE67B7" w:rsidP="00A94D89">
    <w:pPr>
      <w:pStyle w:val="Footer"/>
      <w:pBdr>
        <w:top w:val="single" w:sz="4" w:space="1" w:color="auto"/>
      </w:pBdr>
      <w:rPr>
        <w:rFonts w:cs="Arial"/>
        <w:i/>
      </w:rPr>
    </w:pPr>
  </w:p>
  <w:p w:rsidR="00BE67B7" w:rsidRDefault="00BE67B7" w:rsidP="00A94D89">
    <w:pPr>
      <w:pStyle w:val="Footer"/>
      <w:pBdr>
        <w:top w:val="single" w:sz="4" w:space="1" w:color="auto"/>
      </w:pBdr>
      <w:rPr>
        <w:rFonts w:cs="Arial"/>
        <w:i/>
      </w:rPr>
    </w:pP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C6094B">
      <w:rPr>
        <w:rFonts w:cs="Arial"/>
        <w:i/>
        <w:noProof/>
      </w:rPr>
      <w:t>11</w:t>
    </w:r>
    <w:r w:rsidRPr="001F1B78">
      <w:rPr>
        <w:rFonts w:cs="Arial"/>
        <w:i/>
        <w:noProof/>
      </w:rPr>
      <w:fldChar w:fldCharType="end"/>
    </w:r>
    <w:r w:rsidRPr="00F52F00">
      <w:rPr>
        <w:rFonts w:cs="Arial"/>
        <w:i/>
      </w:rPr>
      <w:tab/>
    </w:r>
  </w:p>
  <w:p w:rsidR="00BE67B7" w:rsidRPr="00A94D89" w:rsidRDefault="00BE67B7" w:rsidP="00A94D89">
    <w:pPr>
      <w:pStyle w:val="Footer"/>
      <w:pBdr>
        <w:top w:val="single" w:sz="4" w:space="1" w:color="auto"/>
      </w:pBdr>
      <w:rPr>
        <w:rFonts w:cs="Arial"/>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B7" w:rsidRPr="00A94D89" w:rsidRDefault="00BE67B7"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C6094B">
      <w:rPr>
        <w:rFonts w:cs="Arial"/>
        <w:i/>
        <w:noProof/>
      </w:rPr>
      <w:t>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Pr>
        <w:rFonts w:cs="Arial"/>
        <w:i/>
      </w:rPr>
      <w:t>78857</w:t>
    </w:r>
  </w:p>
  <w:p w:rsidR="00BE67B7" w:rsidRDefault="00BE67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7B7" w:rsidRDefault="00BE67B7" w:rsidP="004B4412">
      <w:pPr>
        <w:spacing w:before="0"/>
      </w:pPr>
      <w:r>
        <w:separator/>
      </w:r>
    </w:p>
  </w:footnote>
  <w:footnote w:type="continuationSeparator" w:id="0">
    <w:p w:rsidR="00BE67B7" w:rsidRDefault="00BE67B7" w:rsidP="004B4412">
      <w:pPr>
        <w:spacing w:before="0"/>
      </w:pPr>
      <w:r>
        <w:continuationSeparator/>
      </w:r>
    </w:p>
  </w:footnote>
  <w:footnote w:id="1">
    <w:p w:rsidR="00BE67B7" w:rsidRDefault="00BE67B7">
      <w:pPr>
        <w:pStyle w:val="FootnoteText"/>
      </w:pPr>
      <w:r>
        <w:rPr>
          <w:rStyle w:val="FootnoteReference"/>
        </w:rPr>
        <w:footnoteRef/>
      </w:r>
      <w:r>
        <w:t xml:space="preserve"> </w:t>
      </w:r>
      <w:r>
        <w:tab/>
        <w:t>Slight variation in prices across regions occurs as a result of transmission losses.</w:t>
      </w:r>
    </w:p>
  </w:footnote>
  <w:footnote w:id="2">
    <w:p w:rsidR="00BE67B7" w:rsidRDefault="00BE67B7">
      <w:pPr>
        <w:pStyle w:val="FootnoteText"/>
      </w:pPr>
      <w:r>
        <w:rPr>
          <w:rStyle w:val="FootnoteReference"/>
        </w:rPr>
        <w:footnoteRef/>
      </w:r>
      <w:r>
        <w:t xml:space="preserve"> </w:t>
      </w:r>
      <w:r>
        <w:tab/>
      </w:r>
      <w:proofErr w:type="gramStart"/>
      <w:r>
        <w:t xml:space="preserve">For all available generators except </w:t>
      </w:r>
      <w:proofErr w:type="spellStart"/>
      <w:r>
        <w:t>Bastyan</w:t>
      </w:r>
      <w:proofErr w:type="spellEnd"/>
      <w:r>
        <w:t>, Poatina and Reece.</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9">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1">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7">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9">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7">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8"/>
  </w:num>
  <w:num w:numId="3">
    <w:abstractNumId w:val="15"/>
  </w:num>
  <w:num w:numId="4">
    <w:abstractNumId w:val="39"/>
  </w:num>
  <w:num w:numId="5">
    <w:abstractNumId w:val="14"/>
  </w:num>
  <w:num w:numId="6">
    <w:abstractNumId w:val="27"/>
  </w:num>
  <w:num w:numId="7">
    <w:abstractNumId w:val="4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8"/>
  </w:num>
  <w:num w:numId="18">
    <w:abstractNumId w:val="28"/>
  </w:num>
  <w:num w:numId="19">
    <w:abstractNumId w:val="18"/>
    <w:lvlOverride w:ilvl="0">
      <w:startOverride w:val="1"/>
    </w:lvlOverride>
  </w:num>
  <w:num w:numId="20">
    <w:abstractNumId w:val="24"/>
  </w:num>
  <w:num w:numId="21">
    <w:abstractNumId w:val="26"/>
  </w:num>
  <w:num w:numId="22">
    <w:abstractNumId w:val="20"/>
  </w:num>
  <w:num w:numId="23">
    <w:abstractNumId w:val="37"/>
  </w:num>
  <w:num w:numId="24">
    <w:abstractNumId w:val="41"/>
  </w:num>
  <w:num w:numId="25">
    <w:abstractNumId w:val="35"/>
  </w:num>
  <w:num w:numId="26">
    <w:abstractNumId w:val="16"/>
  </w:num>
  <w:num w:numId="27">
    <w:abstractNumId w:val="11"/>
  </w:num>
  <w:num w:numId="28">
    <w:abstractNumId w:val="25"/>
  </w:num>
  <w:num w:numId="29">
    <w:abstractNumId w:val="13"/>
  </w:num>
  <w:num w:numId="30">
    <w:abstractNumId w:val="29"/>
  </w:num>
  <w:num w:numId="31">
    <w:abstractNumId w:val="10"/>
  </w:num>
  <w:num w:numId="32">
    <w:abstractNumId w:val="19"/>
  </w:num>
  <w:num w:numId="33">
    <w:abstractNumId w:val="3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1"/>
  </w:num>
  <w:num w:numId="37">
    <w:abstractNumId w:val="30"/>
  </w:num>
  <w:num w:numId="38">
    <w:abstractNumId w:val="12"/>
  </w:num>
  <w:num w:numId="39">
    <w:abstractNumId w:val="23"/>
  </w:num>
  <w:num w:numId="40">
    <w:abstractNumId w:val="31"/>
  </w:num>
  <w:num w:numId="41">
    <w:abstractNumId w:val="40"/>
  </w:num>
  <w:num w:numId="42">
    <w:abstractNumId w:val="36"/>
  </w:num>
  <w:num w:numId="43">
    <w:abstractNumId w:val="17"/>
  </w:num>
  <w:num w:numId="44">
    <w:abstractNumId w:val="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drae\Desktop\20150524 - 20150530 Electricity weekly report.docx"/>
  </w:docVars>
  <w:rsids>
    <w:rsidRoot w:val="00275002"/>
    <w:rsid w:val="00003286"/>
    <w:rsid w:val="000143B3"/>
    <w:rsid w:val="00021202"/>
    <w:rsid w:val="00022F09"/>
    <w:rsid w:val="000316E7"/>
    <w:rsid w:val="0003578C"/>
    <w:rsid w:val="00051160"/>
    <w:rsid w:val="00051880"/>
    <w:rsid w:val="00061CE2"/>
    <w:rsid w:val="00063247"/>
    <w:rsid w:val="00070F9F"/>
    <w:rsid w:val="0007137B"/>
    <w:rsid w:val="00074493"/>
    <w:rsid w:val="00085663"/>
    <w:rsid w:val="00085EBF"/>
    <w:rsid w:val="00094D20"/>
    <w:rsid w:val="0009584C"/>
    <w:rsid w:val="00095CE7"/>
    <w:rsid w:val="000A6512"/>
    <w:rsid w:val="000A6FA6"/>
    <w:rsid w:val="000B22E7"/>
    <w:rsid w:val="000B7766"/>
    <w:rsid w:val="000D122C"/>
    <w:rsid w:val="000D239A"/>
    <w:rsid w:val="000D2751"/>
    <w:rsid w:val="000D4D2D"/>
    <w:rsid w:val="000D6002"/>
    <w:rsid w:val="000E14E0"/>
    <w:rsid w:val="000E1819"/>
    <w:rsid w:val="000E2946"/>
    <w:rsid w:val="000E4F74"/>
    <w:rsid w:val="000E6C72"/>
    <w:rsid w:val="000E77BB"/>
    <w:rsid w:val="00103E4D"/>
    <w:rsid w:val="00116EB2"/>
    <w:rsid w:val="00124609"/>
    <w:rsid w:val="00127CAB"/>
    <w:rsid w:val="001373F1"/>
    <w:rsid w:val="00141541"/>
    <w:rsid w:val="001536DC"/>
    <w:rsid w:val="00155113"/>
    <w:rsid w:val="001573E4"/>
    <w:rsid w:val="00160756"/>
    <w:rsid w:val="00163B72"/>
    <w:rsid w:val="00167A05"/>
    <w:rsid w:val="00170BE1"/>
    <w:rsid w:val="0017232E"/>
    <w:rsid w:val="00174102"/>
    <w:rsid w:val="00180157"/>
    <w:rsid w:val="001805BB"/>
    <w:rsid w:val="00186F77"/>
    <w:rsid w:val="001906D1"/>
    <w:rsid w:val="001926A4"/>
    <w:rsid w:val="00194835"/>
    <w:rsid w:val="001A5CAD"/>
    <w:rsid w:val="001B45A0"/>
    <w:rsid w:val="001C1BC0"/>
    <w:rsid w:val="001D055E"/>
    <w:rsid w:val="001D0CE3"/>
    <w:rsid w:val="001D164D"/>
    <w:rsid w:val="001E01B4"/>
    <w:rsid w:val="001E641B"/>
    <w:rsid w:val="001F060B"/>
    <w:rsid w:val="001F1B78"/>
    <w:rsid w:val="001F492E"/>
    <w:rsid w:val="001F6DA3"/>
    <w:rsid w:val="0020489F"/>
    <w:rsid w:val="00214271"/>
    <w:rsid w:val="00214FBA"/>
    <w:rsid w:val="00224DB9"/>
    <w:rsid w:val="00226462"/>
    <w:rsid w:val="00236284"/>
    <w:rsid w:val="002374FD"/>
    <w:rsid w:val="002513F4"/>
    <w:rsid w:val="00251745"/>
    <w:rsid w:val="00253002"/>
    <w:rsid w:val="00261CCC"/>
    <w:rsid w:val="00262E2C"/>
    <w:rsid w:val="00262F65"/>
    <w:rsid w:val="00263AC0"/>
    <w:rsid w:val="002649D2"/>
    <w:rsid w:val="002649D8"/>
    <w:rsid w:val="0026772D"/>
    <w:rsid w:val="002706ED"/>
    <w:rsid w:val="00275002"/>
    <w:rsid w:val="00286874"/>
    <w:rsid w:val="00290A82"/>
    <w:rsid w:val="00296B65"/>
    <w:rsid w:val="002A702D"/>
    <w:rsid w:val="002A7439"/>
    <w:rsid w:val="002A7DEF"/>
    <w:rsid w:val="002B28AF"/>
    <w:rsid w:val="002E64A4"/>
    <w:rsid w:val="002F0F04"/>
    <w:rsid w:val="002F7986"/>
    <w:rsid w:val="003001F5"/>
    <w:rsid w:val="003040F3"/>
    <w:rsid w:val="00307F6D"/>
    <w:rsid w:val="003170AA"/>
    <w:rsid w:val="003177A2"/>
    <w:rsid w:val="00321853"/>
    <w:rsid w:val="003271B5"/>
    <w:rsid w:val="00331264"/>
    <w:rsid w:val="00334C8D"/>
    <w:rsid w:val="00342E28"/>
    <w:rsid w:val="00343ADB"/>
    <w:rsid w:val="003518B3"/>
    <w:rsid w:val="00371F3A"/>
    <w:rsid w:val="00376240"/>
    <w:rsid w:val="003846F1"/>
    <w:rsid w:val="00384A55"/>
    <w:rsid w:val="003933FB"/>
    <w:rsid w:val="003A2F7D"/>
    <w:rsid w:val="003A41E0"/>
    <w:rsid w:val="003B674F"/>
    <w:rsid w:val="003C2B22"/>
    <w:rsid w:val="003C7208"/>
    <w:rsid w:val="003E144D"/>
    <w:rsid w:val="003F5DDF"/>
    <w:rsid w:val="00403473"/>
    <w:rsid w:val="00405D86"/>
    <w:rsid w:val="00420080"/>
    <w:rsid w:val="0042477B"/>
    <w:rsid w:val="00435963"/>
    <w:rsid w:val="00452094"/>
    <w:rsid w:val="00453C3D"/>
    <w:rsid w:val="00461443"/>
    <w:rsid w:val="004711F6"/>
    <w:rsid w:val="00480B4B"/>
    <w:rsid w:val="00485DC4"/>
    <w:rsid w:val="00493B02"/>
    <w:rsid w:val="00496CC6"/>
    <w:rsid w:val="004A1CE8"/>
    <w:rsid w:val="004B07AA"/>
    <w:rsid w:val="004B2ECC"/>
    <w:rsid w:val="004B4412"/>
    <w:rsid w:val="004C348C"/>
    <w:rsid w:val="004C63B9"/>
    <w:rsid w:val="004D24E3"/>
    <w:rsid w:val="004D34AD"/>
    <w:rsid w:val="004D55BA"/>
    <w:rsid w:val="004E13F5"/>
    <w:rsid w:val="004E34E7"/>
    <w:rsid w:val="004E7D10"/>
    <w:rsid w:val="004F06D2"/>
    <w:rsid w:val="0050371F"/>
    <w:rsid w:val="005057B5"/>
    <w:rsid w:val="00510830"/>
    <w:rsid w:val="00521502"/>
    <w:rsid w:val="00521657"/>
    <w:rsid w:val="00522668"/>
    <w:rsid w:val="00530128"/>
    <w:rsid w:val="00531E29"/>
    <w:rsid w:val="00532467"/>
    <w:rsid w:val="0053305E"/>
    <w:rsid w:val="00535DCE"/>
    <w:rsid w:val="00556B64"/>
    <w:rsid w:val="00564A4D"/>
    <w:rsid w:val="00567CEB"/>
    <w:rsid w:val="00571680"/>
    <w:rsid w:val="00571B35"/>
    <w:rsid w:val="00575C43"/>
    <w:rsid w:val="00577A09"/>
    <w:rsid w:val="00584D8F"/>
    <w:rsid w:val="00593BD9"/>
    <w:rsid w:val="005958AD"/>
    <w:rsid w:val="005967D7"/>
    <w:rsid w:val="005A404D"/>
    <w:rsid w:val="005B1E3C"/>
    <w:rsid w:val="005B2A4E"/>
    <w:rsid w:val="005C26CC"/>
    <w:rsid w:val="005C4659"/>
    <w:rsid w:val="005D298D"/>
    <w:rsid w:val="005D69AF"/>
    <w:rsid w:val="005D77D3"/>
    <w:rsid w:val="005E065E"/>
    <w:rsid w:val="005F6ADE"/>
    <w:rsid w:val="00611A1B"/>
    <w:rsid w:val="00612006"/>
    <w:rsid w:val="00612B60"/>
    <w:rsid w:val="00615C6B"/>
    <w:rsid w:val="00621545"/>
    <w:rsid w:val="00623F43"/>
    <w:rsid w:val="00626221"/>
    <w:rsid w:val="00630A15"/>
    <w:rsid w:val="00632D6D"/>
    <w:rsid w:val="00636A61"/>
    <w:rsid w:val="00642C3E"/>
    <w:rsid w:val="00663DAD"/>
    <w:rsid w:val="00676679"/>
    <w:rsid w:val="00676AD2"/>
    <w:rsid w:val="006777D7"/>
    <w:rsid w:val="00680764"/>
    <w:rsid w:val="0068261E"/>
    <w:rsid w:val="00694FD6"/>
    <w:rsid w:val="00696857"/>
    <w:rsid w:val="006B225F"/>
    <w:rsid w:val="006B4046"/>
    <w:rsid w:val="006B4CF9"/>
    <w:rsid w:val="006B7AC8"/>
    <w:rsid w:val="006C0DD8"/>
    <w:rsid w:val="006D3ADF"/>
    <w:rsid w:val="006D4A2D"/>
    <w:rsid w:val="006D550F"/>
    <w:rsid w:val="006E1E7D"/>
    <w:rsid w:val="006F3750"/>
    <w:rsid w:val="006F3FCB"/>
    <w:rsid w:val="00701CAB"/>
    <w:rsid w:val="00707563"/>
    <w:rsid w:val="00720A32"/>
    <w:rsid w:val="0072348C"/>
    <w:rsid w:val="00724A37"/>
    <w:rsid w:val="00727745"/>
    <w:rsid w:val="007303C3"/>
    <w:rsid w:val="00731A67"/>
    <w:rsid w:val="007358FB"/>
    <w:rsid w:val="00736390"/>
    <w:rsid w:val="00743223"/>
    <w:rsid w:val="00746E01"/>
    <w:rsid w:val="007508C4"/>
    <w:rsid w:val="007532DD"/>
    <w:rsid w:val="00761A8F"/>
    <w:rsid w:val="00762D41"/>
    <w:rsid w:val="00763E5D"/>
    <w:rsid w:val="00767740"/>
    <w:rsid w:val="00767AE6"/>
    <w:rsid w:val="00777EE6"/>
    <w:rsid w:val="00782EEA"/>
    <w:rsid w:val="007923A5"/>
    <w:rsid w:val="00797CC8"/>
    <w:rsid w:val="007A6726"/>
    <w:rsid w:val="007B1732"/>
    <w:rsid w:val="007B2C72"/>
    <w:rsid w:val="007C1C53"/>
    <w:rsid w:val="007C1D98"/>
    <w:rsid w:val="007C7EE9"/>
    <w:rsid w:val="007D4848"/>
    <w:rsid w:val="007D4FDD"/>
    <w:rsid w:val="007E1516"/>
    <w:rsid w:val="007E4904"/>
    <w:rsid w:val="007E4CB5"/>
    <w:rsid w:val="007E6A82"/>
    <w:rsid w:val="007F066B"/>
    <w:rsid w:val="007F0F77"/>
    <w:rsid w:val="007F475F"/>
    <w:rsid w:val="008033C4"/>
    <w:rsid w:val="00806C88"/>
    <w:rsid w:val="0080703F"/>
    <w:rsid w:val="0081034E"/>
    <w:rsid w:val="00812F4C"/>
    <w:rsid w:val="00827B48"/>
    <w:rsid w:val="008344F6"/>
    <w:rsid w:val="0083510F"/>
    <w:rsid w:val="008366CD"/>
    <w:rsid w:val="00837FC9"/>
    <w:rsid w:val="008447A8"/>
    <w:rsid w:val="00851209"/>
    <w:rsid w:val="0085409E"/>
    <w:rsid w:val="00861AED"/>
    <w:rsid w:val="0086231D"/>
    <w:rsid w:val="0086428B"/>
    <w:rsid w:val="008837AC"/>
    <w:rsid w:val="00885563"/>
    <w:rsid w:val="00887EBF"/>
    <w:rsid w:val="0089283C"/>
    <w:rsid w:val="008A587D"/>
    <w:rsid w:val="008C1FE0"/>
    <w:rsid w:val="008C5486"/>
    <w:rsid w:val="008D1432"/>
    <w:rsid w:val="008E3EEC"/>
    <w:rsid w:val="008E535A"/>
    <w:rsid w:val="008E6CAE"/>
    <w:rsid w:val="008E7031"/>
    <w:rsid w:val="0090239D"/>
    <w:rsid w:val="00902878"/>
    <w:rsid w:val="0090695B"/>
    <w:rsid w:val="0091385F"/>
    <w:rsid w:val="00914A87"/>
    <w:rsid w:val="009164D5"/>
    <w:rsid w:val="009170B0"/>
    <w:rsid w:val="009233EE"/>
    <w:rsid w:val="00925FB1"/>
    <w:rsid w:val="00926380"/>
    <w:rsid w:val="00932A69"/>
    <w:rsid w:val="00933515"/>
    <w:rsid w:val="009377D8"/>
    <w:rsid w:val="00947323"/>
    <w:rsid w:val="00957591"/>
    <w:rsid w:val="009661DE"/>
    <w:rsid w:val="00970968"/>
    <w:rsid w:val="00982FEB"/>
    <w:rsid w:val="009837D1"/>
    <w:rsid w:val="009856B7"/>
    <w:rsid w:val="00993358"/>
    <w:rsid w:val="009A20CF"/>
    <w:rsid w:val="009A2AEC"/>
    <w:rsid w:val="009A3D22"/>
    <w:rsid w:val="009B38EC"/>
    <w:rsid w:val="009B4E65"/>
    <w:rsid w:val="009B53C6"/>
    <w:rsid w:val="009B74B0"/>
    <w:rsid w:val="009B7EDA"/>
    <w:rsid w:val="009D62F4"/>
    <w:rsid w:val="009D6B46"/>
    <w:rsid w:val="009E7749"/>
    <w:rsid w:val="009F4940"/>
    <w:rsid w:val="00A04332"/>
    <w:rsid w:val="00A12562"/>
    <w:rsid w:val="00A21684"/>
    <w:rsid w:val="00A2356E"/>
    <w:rsid w:val="00A4478A"/>
    <w:rsid w:val="00A44852"/>
    <w:rsid w:val="00A51A53"/>
    <w:rsid w:val="00A57D04"/>
    <w:rsid w:val="00A60A26"/>
    <w:rsid w:val="00A61598"/>
    <w:rsid w:val="00A6307B"/>
    <w:rsid w:val="00A72EC8"/>
    <w:rsid w:val="00A76905"/>
    <w:rsid w:val="00A81EF8"/>
    <w:rsid w:val="00A841A3"/>
    <w:rsid w:val="00A84F46"/>
    <w:rsid w:val="00A871F4"/>
    <w:rsid w:val="00A91746"/>
    <w:rsid w:val="00A92CD5"/>
    <w:rsid w:val="00A94D89"/>
    <w:rsid w:val="00AC1B2C"/>
    <w:rsid w:val="00AC29CA"/>
    <w:rsid w:val="00AC3264"/>
    <w:rsid w:val="00AC7F48"/>
    <w:rsid w:val="00AD13A2"/>
    <w:rsid w:val="00AD4310"/>
    <w:rsid w:val="00AE1BF1"/>
    <w:rsid w:val="00AE7799"/>
    <w:rsid w:val="00AF0DD2"/>
    <w:rsid w:val="00AF7058"/>
    <w:rsid w:val="00B03723"/>
    <w:rsid w:val="00B13048"/>
    <w:rsid w:val="00B15A5E"/>
    <w:rsid w:val="00B1716D"/>
    <w:rsid w:val="00B17A1D"/>
    <w:rsid w:val="00B207A0"/>
    <w:rsid w:val="00B56E03"/>
    <w:rsid w:val="00B61CCE"/>
    <w:rsid w:val="00B645BD"/>
    <w:rsid w:val="00B677C9"/>
    <w:rsid w:val="00B779B7"/>
    <w:rsid w:val="00B8080B"/>
    <w:rsid w:val="00B83745"/>
    <w:rsid w:val="00B84B40"/>
    <w:rsid w:val="00B87C39"/>
    <w:rsid w:val="00B87DD6"/>
    <w:rsid w:val="00B9227A"/>
    <w:rsid w:val="00B93536"/>
    <w:rsid w:val="00BA390A"/>
    <w:rsid w:val="00BA4665"/>
    <w:rsid w:val="00BB18BB"/>
    <w:rsid w:val="00BB2FB2"/>
    <w:rsid w:val="00BB3304"/>
    <w:rsid w:val="00BC4ACD"/>
    <w:rsid w:val="00BD3446"/>
    <w:rsid w:val="00BE1F1B"/>
    <w:rsid w:val="00BE28BE"/>
    <w:rsid w:val="00BE3C61"/>
    <w:rsid w:val="00BE47B5"/>
    <w:rsid w:val="00BE6484"/>
    <w:rsid w:val="00BE67B7"/>
    <w:rsid w:val="00C11ACA"/>
    <w:rsid w:val="00C16B2C"/>
    <w:rsid w:val="00C23108"/>
    <w:rsid w:val="00C23A74"/>
    <w:rsid w:val="00C41F44"/>
    <w:rsid w:val="00C457F3"/>
    <w:rsid w:val="00C538A9"/>
    <w:rsid w:val="00C53B5A"/>
    <w:rsid w:val="00C54F5A"/>
    <w:rsid w:val="00C6094B"/>
    <w:rsid w:val="00C620A2"/>
    <w:rsid w:val="00C73A47"/>
    <w:rsid w:val="00C73C83"/>
    <w:rsid w:val="00C74A11"/>
    <w:rsid w:val="00C764EB"/>
    <w:rsid w:val="00C80D97"/>
    <w:rsid w:val="00C81379"/>
    <w:rsid w:val="00C8334C"/>
    <w:rsid w:val="00C86679"/>
    <w:rsid w:val="00C872DB"/>
    <w:rsid w:val="00C950AF"/>
    <w:rsid w:val="00CA6754"/>
    <w:rsid w:val="00CB2D32"/>
    <w:rsid w:val="00CB666B"/>
    <w:rsid w:val="00CB73F5"/>
    <w:rsid w:val="00CD7C9D"/>
    <w:rsid w:val="00CE040F"/>
    <w:rsid w:val="00CF6BC4"/>
    <w:rsid w:val="00D01CF0"/>
    <w:rsid w:val="00D0442A"/>
    <w:rsid w:val="00D32767"/>
    <w:rsid w:val="00D33A4A"/>
    <w:rsid w:val="00D4239E"/>
    <w:rsid w:val="00D56959"/>
    <w:rsid w:val="00D61388"/>
    <w:rsid w:val="00D615F9"/>
    <w:rsid w:val="00D61A54"/>
    <w:rsid w:val="00D64538"/>
    <w:rsid w:val="00D64DEA"/>
    <w:rsid w:val="00D80893"/>
    <w:rsid w:val="00D92CF1"/>
    <w:rsid w:val="00D92D38"/>
    <w:rsid w:val="00D948DD"/>
    <w:rsid w:val="00D950F5"/>
    <w:rsid w:val="00DA3E42"/>
    <w:rsid w:val="00DB0C0B"/>
    <w:rsid w:val="00DB0F93"/>
    <w:rsid w:val="00DB2FD0"/>
    <w:rsid w:val="00DC153A"/>
    <w:rsid w:val="00DC5E54"/>
    <w:rsid w:val="00DC7981"/>
    <w:rsid w:val="00DD0FCF"/>
    <w:rsid w:val="00DD15C2"/>
    <w:rsid w:val="00DE4EFA"/>
    <w:rsid w:val="00DE5520"/>
    <w:rsid w:val="00DF66AC"/>
    <w:rsid w:val="00DF6A0F"/>
    <w:rsid w:val="00DF6A80"/>
    <w:rsid w:val="00E00EC9"/>
    <w:rsid w:val="00E04818"/>
    <w:rsid w:val="00E06442"/>
    <w:rsid w:val="00E1225C"/>
    <w:rsid w:val="00E135DB"/>
    <w:rsid w:val="00E23993"/>
    <w:rsid w:val="00E25B8C"/>
    <w:rsid w:val="00E577BB"/>
    <w:rsid w:val="00E577D7"/>
    <w:rsid w:val="00E65C85"/>
    <w:rsid w:val="00E66199"/>
    <w:rsid w:val="00E6672F"/>
    <w:rsid w:val="00E67B08"/>
    <w:rsid w:val="00E71459"/>
    <w:rsid w:val="00E74079"/>
    <w:rsid w:val="00E7472E"/>
    <w:rsid w:val="00E755EC"/>
    <w:rsid w:val="00E7624D"/>
    <w:rsid w:val="00E85C1E"/>
    <w:rsid w:val="00E9003D"/>
    <w:rsid w:val="00EA3D42"/>
    <w:rsid w:val="00EA42E2"/>
    <w:rsid w:val="00EA6B1B"/>
    <w:rsid w:val="00EA72E6"/>
    <w:rsid w:val="00EB049F"/>
    <w:rsid w:val="00EB7D7F"/>
    <w:rsid w:val="00EE28F3"/>
    <w:rsid w:val="00EE347F"/>
    <w:rsid w:val="00EE60D9"/>
    <w:rsid w:val="00EF5110"/>
    <w:rsid w:val="00EF6AE4"/>
    <w:rsid w:val="00F02D9B"/>
    <w:rsid w:val="00F03B7D"/>
    <w:rsid w:val="00F13EAA"/>
    <w:rsid w:val="00F15882"/>
    <w:rsid w:val="00F20BD3"/>
    <w:rsid w:val="00F2345F"/>
    <w:rsid w:val="00F27D2F"/>
    <w:rsid w:val="00F32F4B"/>
    <w:rsid w:val="00F33F2D"/>
    <w:rsid w:val="00F373A5"/>
    <w:rsid w:val="00F40401"/>
    <w:rsid w:val="00F47559"/>
    <w:rsid w:val="00F516E0"/>
    <w:rsid w:val="00F570A3"/>
    <w:rsid w:val="00F64C7B"/>
    <w:rsid w:val="00F662F1"/>
    <w:rsid w:val="00F675F6"/>
    <w:rsid w:val="00F676DD"/>
    <w:rsid w:val="00F70811"/>
    <w:rsid w:val="00F75637"/>
    <w:rsid w:val="00F75A26"/>
    <w:rsid w:val="00F77130"/>
    <w:rsid w:val="00F83FAD"/>
    <w:rsid w:val="00F952A0"/>
    <w:rsid w:val="00FA3830"/>
    <w:rsid w:val="00FA3C7F"/>
    <w:rsid w:val="00FB74E2"/>
    <w:rsid w:val="00FD3899"/>
    <w:rsid w:val="00FD5614"/>
    <w:rsid w:val="00FD72DC"/>
    <w:rsid w:val="00FE0BE1"/>
    <w:rsid w:val="00FE0E2A"/>
    <w:rsid w:val="00FE1DE9"/>
    <w:rsid w:val="00FE39C2"/>
    <w:rsid w:val="00FE64AE"/>
    <w:rsid w:val="00FF26D0"/>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696857"/>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696857"/>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character" w:customStyle="1" w:styleId="displayonly">
    <w:name w:val="display_only"/>
    <w:basedOn w:val="DefaultParagraphFont"/>
    <w:rsid w:val="00424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696857"/>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696857"/>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character" w:customStyle="1" w:styleId="displayonly">
    <w:name w:val="display_only"/>
    <w:basedOn w:val="DefaultParagraphFont"/>
    <w:rsid w:val="0042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87213">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australian-energy-industry/performance-of-the-energy-sector"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australian-energy-industry/performance-of-the-energy-sector"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47358F-C90A-49D5-B22D-9FA9C9E3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57B7E9E2.dotm</Template>
  <TotalTime>0</TotalTime>
  <Pages>11</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2015-06-17T05:44:00Z</dcterms:created>
  <dcterms:modified xsi:type="dcterms:W3CDTF">2015-06-17T05:45:00Z</dcterms:modified>
</cp:coreProperties>
</file>