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BA279E"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2150E6" w:rsidP="00BD60AA">
                  <w:pPr>
                    <w:spacing w:before="140"/>
                    <w:rPr>
                      <w:b/>
                    </w:rPr>
                  </w:pPr>
                  <w:r>
                    <w:rPr>
                      <w:b/>
                    </w:rPr>
                    <w:t>3 – 9 May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Default="00342476" w:rsidP="00FF2760">
      <w:pPr>
        <w:pStyle w:val="AERunnumberedheading3"/>
        <w:jc w:val="both"/>
        <w:rPr>
          <w:rFonts w:ascii="Times New Roman" w:hAnsi="Times New Roman"/>
        </w:rPr>
      </w:pPr>
      <w:r w:rsidRPr="00342476">
        <w:rPr>
          <w:rFonts w:ascii="Times New Roman" w:hAnsi="Times New Roman"/>
        </w:rPr>
        <w:t>Prices were relatively steady in most markets over the past week. The largest decrease of $0.30/GJ to the average price occurred in Victoria. Similar to the previous we</w:t>
      </w:r>
      <w:bookmarkStart w:id="2" w:name="_GoBack"/>
      <w:bookmarkEnd w:id="2"/>
      <w:r w:rsidRPr="00342476">
        <w:rPr>
          <w:rFonts w:ascii="Times New Roman" w:hAnsi="Times New Roman"/>
        </w:rPr>
        <w:t>ek, the fall in Brisbane’s average price was influenced by lower prices set on the weekend.</w:t>
      </w:r>
    </w:p>
    <w:p w:rsidR="00460F8E" w:rsidRPr="00460F8E" w:rsidRDefault="00460F8E" w:rsidP="00460F8E">
      <w:pPr>
        <w:pStyle w:val="AERbodytext"/>
        <w:jc w:val="both"/>
      </w:pPr>
      <w:r w:rsidRPr="005C5A75">
        <w:t xml:space="preserve">APLNG’s </w:t>
      </w:r>
      <w:proofErr w:type="spellStart"/>
      <w:r w:rsidRPr="005C5A75">
        <w:t>Eurombah</w:t>
      </w:r>
      <w:proofErr w:type="spellEnd"/>
      <w:r w:rsidRPr="005C5A75">
        <w:t xml:space="preserve"> Creek production facility</w:t>
      </w:r>
      <w:r>
        <w:t xml:space="preserve"> in Roma</w:t>
      </w:r>
      <w:r w:rsidRPr="005C5A75">
        <w:t xml:space="preserve"> began reporting flows on the Bulletin Board </w:t>
      </w:r>
      <w:r>
        <w:t>this week.</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D014EE" w:rsidRPr="006376D7" w:rsidTr="002861A9">
        <w:trPr>
          <w:trHeight w:val="382"/>
        </w:trPr>
        <w:tc>
          <w:tcPr>
            <w:tcW w:w="371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03 May - 09 May 2015</w:t>
            </w:r>
          </w:p>
        </w:tc>
        <w:tc>
          <w:tcPr>
            <w:tcW w:w="143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3.80</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3.70</w:t>
            </w:r>
          </w:p>
        </w:tc>
        <w:tc>
          <w:tcPr>
            <w:tcW w:w="143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3.71</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1.76</w:t>
            </w:r>
          </w:p>
        </w:tc>
      </w:tr>
      <w:tr w:rsidR="00D014EE" w:rsidRPr="006376D7" w:rsidTr="002861A9">
        <w:trPr>
          <w:trHeight w:val="382"/>
        </w:trPr>
        <w:tc>
          <w:tcPr>
            <w:tcW w:w="371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-7</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w:t>
            </w:r>
          </w:p>
        </w:tc>
        <w:tc>
          <w:tcPr>
            <w:tcW w:w="143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-9</w:t>
            </w:r>
          </w:p>
        </w:tc>
      </w:tr>
      <w:tr w:rsidR="00D014EE" w:rsidRPr="006376D7" w:rsidTr="002861A9">
        <w:trPr>
          <w:trHeight w:val="382"/>
        </w:trPr>
        <w:tc>
          <w:tcPr>
            <w:tcW w:w="371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3.52</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3.35</w:t>
            </w:r>
          </w:p>
        </w:tc>
        <w:tc>
          <w:tcPr>
            <w:tcW w:w="143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3.65</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2.35</w:t>
            </w:r>
          </w:p>
        </w:tc>
      </w:tr>
      <w:tr w:rsidR="00D014EE" w:rsidRPr="006376D7" w:rsidTr="002861A9">
        <w:trPr>
          <w:trHeight w:val="382"/>
        </w:trPr>
        <w:tc>
          <w:tcPr>
            <w:tcW w:w="371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-18</w:t>
            </w:r>
          </w:p>
        </w:tc>
        <w:tc>
          <w:tcPr>
            <w:tcW w:w="143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-17</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-51</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D014EE" w:rsidRPr="006376D7" w:rsidTr="002861A9">
        <w:trPr>
          <w:trHeight w:val="382"/>
        </w:trPr>
        <w:tc>
          <w:tcPr>
            <w:tcW w:w="3708"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03 May - 09 May 2015</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3.80</w:t>
            </w:r>
          </w:p>
        </w:tc>
        <w:tc>
          <w:tcPr>
            <w:tcW w:w="21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586</w:t>
            </w:r>
          </w:p>
        </w:tc>
      </w:tr>
      <w:tr w:rsidR="00D014EE" w:rsidRPr="006376D7" w:rsidTr="002861A9">
        <w:trPr>
          <w:trHeight w:val="382"/>
        </w:trPr>
        <w:tc>
          <w:tcPr>
            <w:tcW w:w="3708"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-7</w:t>
            </w:r>
          </w:p>
        </w:tc>
        <w:tc>
          <w:tcPr>
            <w:tcW w:w="21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w:t>
            </w:r>
          </w:p>
        </w:tc>
      </w:tr>
      <w:tr w:rsidR="00D014EE" w:rsidRPr="006376D7" w:rsidTr="002861A9">
        <w:trPr>
          <w:trHeight w:val="382"/>
        </w:trPr>
        <w:tc>
          <w:tcPr>
            <w:tcW w:w="3708"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3.52</w:t>
            </w:r>
          </w:p>
        </w:tc>
        <w:tc>
          <w:tcPr>
            <w:tcW w:w="21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512</w:t>
            </w:r>
          </w:p>
        </w:tc>
      </w:tr>
      <w:tr w:rsidR="00D014EE" w:rsidRPr="006376D7" w:rsidTr="002861A9">
        <w:trPr>
          <w:trHeight w:val="382"/>
        </w:trPr>
        <w:tc>
          <w:tcPr>
            <w:tcW w:w="3708"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03 May - 09 May 2015</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3.70</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4.07</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15.30</w:t>
            </w:r>
          </w:p>
        </w:tc>
        <w:tc>
          <w:tcPr>
            <w:tcW w:w="12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225</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231</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-35</w:t>
            </w:r>
          </w:p>
        </w:tc>
        <w:tc>
          <w:tcPr>
            <w:tcW w:w="12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3.35</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3.35</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14.01</w:t>
            </w:r>
          </w:p>
        </w:tc>
        <w:tc>
          <w:tcPr>
            <w:tcW w:w="12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237</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237</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-15</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35</w:t>
            </w:r>
          </w:p>
        </w:tc>
        <w:tc>
          <w:tcPr>
            <w:tcW w:w="12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03 May - 09 May 2015</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3.71</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3.84</w:t>
            </w:r>
          </w:p>
        </w:tc>
        <w:tc>
          <w:tcPr>
            <w:tcW w:w="137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9.60</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60</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63</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w:t>
            </w:r>
          </w:p>
        </w:tc>
        <w:tc>
          <w:tcPr>
            <w:tcW w:w="137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12</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3.65</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3.59</w:t>
            </w:r>
          </w:p>
        </w:tc>
        <w:tc>
          <w:tcPr>
            <w:tcW w:w="137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12.94</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60</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-17</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-18</w:t>
            </w:r>
          </w:p>
        </w:tc>
        <w:tc>
          <w:tcPr>
            <w:tcW w:w="137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-13</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03 May - 09 May 2015</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1.76</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1.74</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2.87</w:t>
            </w:r>
          </w:p>
        </w:tc>
        <w:tc>
          <w:tcPr>
            <w:tcW w:w="12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119</w:t>
            </w:r>
          </w:p>
        </w:tc>
        <w:tc>
          <w:tcPr>
            <w:tcW w:w="11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119</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-9</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-8</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-39</w:t>
            </w:r>
          </w:p>
        </w:tc>
        <w:tc>
          <w:tcPr>
            <w:tcW w:w="12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w:t>
            </w:r>
          </w:p>
        </w:tc>
        <w:tc>
          <w:tcPr>
            <w:tcW w:w="11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2.35</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2.24</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1.70</w:t>
            </w:r>
          </w:p>
        </w:tc>
        <w:tc>
          <w:tcPr>
            <w:tcW w:w="12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135</w:t>
            </w:r>
          </w:p>
        </w:tc>
        <w:tc>
          <w:tcPr>
            <w:tcW w:w="11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135</w:t>
            </w:r>
          </w:p>
        </w:tc>
      </w:tr>
      <w:tr w:rsidR="00D014EE" w:rsidRPr="002861A9" w:rsidTr="002861A9">
        <w:trPr>
          <w:trHeight w:val="382"/>
        </w:trPr>
        <w:tc>
          <w:tcPr>
            <w:tcW w:w="2670" w:type="dxa"/>
            <w:noWrap/>
            <w:tcMar>
              <w:top w:w="0" w:type="dxa"/>
              <w:bottom w:w="0" w:type="dxa"/>
            </w:tcMar>
            <w:vAlign w:val="center"/>
          </w:tcPr>
          <w:p w:rsidR="00D014EE" w:rsidRDefault="00D014EE">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-51</w:t>
            </w:r>
          </w:p>
        </w:tc>
        <w:tc>
          <w:tcPr>
            <w:tcW w:w="136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-54</w:t>
            </w:r>
          </w:p>
        </w:tc>
        <w:tc>
          <w:tcPr>
            <w:tcW w:w="135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7</w:t>
            </w:r>
          </w:p>
        </w:tc>
        <w:tc>
          <w:tcPr>
            <w:tcW w:w="12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-10</w:t>
            </w:r>
          </w:p>
        </w:tc>
        <w:tc>
          <w:tcPr>
            <w:tcW w:w="1180"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-11</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AE0072" w:rsidRDefault="00AE0072" w:rsidP="00FF2760">
      <w:pPr>
        <w:spacing w:before="120" w:after="120"/>
        <w:jc w:val="both"/>
        <w:rPr>
          <w:rFonts w:eastAsia="MS Mincho"/>
        </w:rPr>
      </w:pPr>
      <w:r w:rsidRPr="00AE0072">
        <w:rPr>
          <w:rFonts w:eastAsia="MS Mincho"/>
        </w:rPr>
        <w:t>Demand in Sydney on Wednesday 6 May was around 29.5 TJ higher than that forecast the day before. Re-nomination to supply additional gas to meet the higher demand resulted in minimal net MOS requirements on the day (see figures 2.3 and 2.4). However, the large imbalance saw the ex post price increase to $6.17/GJ.</w:t>
      </w:r>
    </w:p>
    <w:p w:rsidR="00502181" w:rsidRPr="003A284F" w:rsidRDefault="00A21BB5" w:rsidP="00B66E50">
      <w:pPr>
        <w:spacing w:before="120" w:after="120"/>
        <w:jc w:val="both"/>
        <w:rPr>
          <w:b/>
          <w:sz w:val="22"/>
          <w:szCs w:val="22"/>
        </w:rPr>
      </w:pPr>
      <w:r>
        <w:rPr>
          <w:rFonts w:eastAsia="MS Mincho"/>
        </w:rPr>
        <w:t>On 7 May in Adelaide, re</w:t>
      </w:r>
      <w:r>
        <w:rPr>
          <w:rFonts w:eastAsia="MS Mincho"/>
        </w:rPr>
        <w:noBreakHyphen/>
        <w:t xml:space="preserve">nomination facilitating the supply of gas to electricity generators, previously forecast to be offline for the day, saw 25.4 TJ of gas deliveries shifted from the </w:t>
      </w:r>
      <w:proofErr w:type="spellStart"/>
      <w:r>
        <w:rPr>
          <w:rFonts w:eastAsia="MS Mincho"/>
        </w:rPr>
        <w:t>SEAGas</w:t>
      </w:r>
      <w:proofErr w:type="spellEnd"/>
      <w:r>
        <w:rPr>
          <w:rFonts w:eastAsia="MS Mincho"/>
        </w:rPr>
        <w:t xml:space="preserve"> pipeline onto the MAP to supply demand in the gas hub (see figure 3.3).</w:t>
      </w:r>
      <w:r w:rsidR="005F18AD" w:rsidRPr="00A0223D">
        <w:br w:type="column"/>
      </w:r>
      <w:bookmarkStart w:id="3" w:name="OLE_LINK7"/>
      <w:bookmarkStart w:id="4" w:name="OLE_LINK8"/>
      <w:r w:rsidR="00EF5A61">
        <w:lastRenderedPageBreak/>
        <w:pict>
          <v:shape id="_x0000_i1026" type="#_x0000_t75" style="width:503.25pt;height:1in" o:allowoverlap="f">
            <v:imagedata r:id="rId9" o:title="" cropbottom="17873f" cropright="30275f"/>
          </v:shape>
        </w:pict>
      </w:r>
      <w:bookmarkEnd w:id="3"/>
      <w:bookmarkEnd w:id="4"/>
    </w:p>
    <w:p w:rsidR="00502181" w:rsidRPr="00B66E50" w:rsidRDefault="00BA279E"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2150E6">
                    <w:rPr>
                      <w:b/>
                    </w:rPr>
                    <w:t>3 – 9 May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3"/>
      </w:r>
      <w:r w:rsidR="00B24A61" w:rsidRPr="00CC4A35">
        <w:rPr>
          <w:rStyle w:val="FootnoteReference"/>
        </w:rPr>
        <w:t xml:space="preserve"> </w:t>
      </w:r>
    </w:p>
    <w:p w:rsidR="005F18AD" w:rsidRPr="00F55C89" w:rsidRDefault="005F18AD" w:rsidP="009B2F99">
      <w:pPr>
        <w:pStyle w:val="AERfigureheading"/>
        <w:numPr>
          <w:ilvl w:val="5"/>
          <w:numId w:val="16"/>
        </w:numPr>
        <w:rPr>
          <w:rFonts w:ascii="Arial" w:hAnsi="Arial" w:cs="Arial"/>
          <w:sz w:val="20"/>
          <w:szCs w:val="20"/>
        </w:rPr>
      </w:pPr>
      <w:r w:rsidRPr="00F55C89">
        <w:rPr>
          <w:rFonts w:ascii="Arial" w:hAnsi="Arial" w:cs="Arial"/>
          <w:sz w:val="20"/>
          <w:szCs w:val="20"/>
        </w:rPr>
        <w:t xml:space="preserve">Prices by schedule </w:t>
      </w:r>
    </w:p>
    <w:p w:rsidR="005F18AD" w:rsidRPr="00767397" w:rsidRDefault="00EF5A61" w:rsidP="006C6D60">
      <w:pPr>
        <w:pStyle w:val="AERbodytext"/>
        <w:spacing w:before="120"/>
        <w:jc w:val="center"/>
      </w:pPr>
      <w:r>
        <w:pict>
          <v:shape id="_x0000_i1027" type="#_x0000_t75" style="width:476.25pt;height:137.25pt">
            <v:imagedata r:id="rId12" o:title=""/>
          </v:shape>
        </w:pict>
      </w:r>
    </w:p>
    <w:p w:rsidR="005F18AD" w:rsidRPr="00F55C89" w:rsidRDefault="005F18AD" w:rsidP="00DA3AAA">
      <w:pPr>
        <w:pStyle w:val="AERfigureheading"/>
        <w:tabs>
          <w:tab w:val="clear" w:pos="1361"/>
          <w:tab w:val="num" w:pos="1260"/>
        </w:tabs>
        <w:spacing w:before="120"/>
        <w:ind w:left="1260" w:hanging="1260"/>
        <w:rPr>
          <w:rFonts w:ascii="Arial" w:hAnsi="Arial" w:cs="Arial"/>
          <w:sz w:val="20"/>
          <w:szCs w:val="20"/>
        </w:rPr>
      </w:pPr>
      <w:r w:rsidRPr="00F55C89">
        <w:rPr>
          <w:rFonts w:ascii="Arial" w:hAnsi="Arial" w:cs="Arial"/>
          <w:sz w:val="20"/>
          <w:szCs w:val="20"/>
        </w:rPr>
        <w:t xml:space="preserve">Demand </w:t>
      </w:r>
      <w:r w:rsidR="001452B3" w:rsidRPr="00F55C89">
        <w:rPr>
          <w:rFonts w:ascii="Arial" w:hAnsi="Arial" w:cs="Arial"/>
          <w:sz w:val="20"/>
          <w:szCs w:val="20"/>
        </w:rPr>
        <w:t>f</w:t>
      </w:r>
      <w:r w:rsidRPr="00F55C89">
        <w:rPr>
          <w:rFonts w:ascii="Arial" w:hAnsi="Arial" w:cs="Arial"/>
          <w:sz w:val="20"/>
          <w:szCs w:val="20"/>
        </w:rPr>
        <w:t>orecasts</w:t>
      </w:r>
      <w:r w:rsidR="008133CF" w:rsidRPr="00F55C89">
        <w:rPr>
          <w:rFonts w:ascii="Arial" w:hAnsi="Arial" w:cs="Arial"/>
          <w:sz w:val="20"/>
          <w:szCs w:val="20"/>
        </w:rPr>
        <w:t xml:space="preserve"> </w:t>
      </w:r>
    </w:p>
    <w:p w:rsidR="005F18AD" w:rsidRPr="00767397" w:rsidRDefault="00EF5A61" w:rsidP="006C6D60">
      <w:pPr>
        <w:pStyle w:val="AERbodytext"/>
        <w:spacing w:before="120" w:after="0"/>
        <w:jc w:val="center"/>
      </w:pPr>
      <w:r>
        <w:pict>
          <v:shape id="_x0000_i1028" type="#_x0000_t75" style="width:476.25pt;height:177pt">
            <v:imagedata r:id="rId13" o:title=""/>
          </v:shape>
        </w:pict>
      </w:r>
    </w:p>
    <w:p w:rsidR="001A5C1A" w:rsidRPr="00F55C89" w:rsidRDefault="001A5C1A" w:rsidP="00B24A61">
      <w:pPr>
        <w:pStyle w:val="AERfigureheading"/>
        <w:tabs>
          <w:tab w:val="clear" w:pos="1361"/>
          <w:tab w:val="num" w:pos="1260"/>
        </w:tabs>
        <w:spacing w:before="120"/>
        <w:ind w:left="1260" w:hanging="1260"/>
        <w:rPr>
          <w:rFonts w:ascii="Arial" w:hAnsi="Arial" w:cs="Arial"/>
          <w:sz w:val="20"/>
          <w:szCs w:val="20"/>
        </w:rPr>
      </w:pPr>
      <w:r w:rsidRPr="00F55C89">
        <w:rPr>
          <w:rFonts w:ascii="Arial" w:hAnsi="Arial" w:cs="Arial"/>
          <w:sz w:val="20"/>
          <w:szCs w:val="20"/>
        </w:rPr>
        <w:t>Injection bids by price bands</w:t>
      </w:r>
    </w:p>
    <w:p w:rsidR="00A26940" w:rsidRPr="00767397" w:rsidRDefault="00EF5A61" w:rsidP="006C6D60">
      <w:pPr>
        <w:pStyle w:val="AERbodytext"/>
        <w:spacing w:before="120" w:after="0"/>
        <w:jc w:val="center"/>
      </w:pPr>
      <w:r>
        <w:pict>
          <v:shape id="_x0000_i1029" type="#_x0000_t75" style="width:476.25pt;height:206.25pt">
            <v:imagedata r:id="rId14" o:title=""/>
          </v:shape>
        </w:pict>
      </w:r>
    </w:p>
    <w:p w:rsidR="00372976" w:rsidRPr="00F55C89" w:rsidRDefault="00372976" w:rsidP="00B24A61">
      <w:pPr>
        <w:pStyle w:val="AERfigureheading"/>
        <w:tabs>
          <w:tab w:val="clear" w:pos="1361"/>
          <w:tab w:val="num" w:pos="1260"/>
        </w:tabs>
        <w:spacing w:before="120"/>
        <w:ind w:left="1260" w:hanging="1260"/>
        <w:rPr>
          <w:rFonts w:ascii="Arial" w:hAnsi="Arial" w:cs="Arial"/>
          <w:sz w:val="20"/>
          <w:szCs w:val="20"/>
        </w:rPr>
      </w:pPr>
      <w:r w:rsidRPr="00F55C89">
        <w:rPr>
          <w:rFonts w:ascii="Arial" w:hAnsi="Arial" w:cs="Arial"/>
          <w:sz w:val="20"/>
          <w:szCs w:val="20"/>
        </w:rPr>
        <w:t>Withdrawal bids by price bands</w:t>
      </w:r>
    </w:p>
    <w:p w:rsidR="00BE4577" w:rsidRPr="00767397" w:rsidRDefault="00EF5A61" w:rsidP="006C6D60">
      <w:pPr>
        <w:pStyle w:val="AERbodytext"/>
        <w:jc w:val="center"/>
      </w:pPr>
      <w:r>
        <w:pict>
          <v:shape id="_x0000_i1030" type="#_x0000_t75" style="width:476.25pt;height:162.75pt">
            <v:imagedata r:id="rId15" o:title=""/>
          </v:shape>
        </w:pict>
      </w:r>
    </w:p>
    <w:p w:rsidR="00A26940" w:rsidRPr="00F55C89" w:rsidRDefault="00B24A61" w:rsidP="00BE4577">
      <w:pPr>
        <w:pStyle w:val="AERfigureheading"/>
        <w:rPr>
          <w:rFonts w:ascii="Arial" w:hAnsi="Arial" w:cs="Arial"/>
          <w:sz w:val="20"/>
          <w:szCs w:val="20"/>
        </w:rPr>
      </w:pPr>
      <w:r w:rsidRPr="00F55C89">
        <w:rPr>
          <w:rFonts w:ascii="Arial" w:hAnsi="Arial" w:cs="Arial"/>
          <w:sz w:val="20"/>
          <w:szCs w:val="20"/>
        </w:rPr>
        <w:t xml:space="preserve">Metered </w:t>
      </w:r>
      <w:r w:rsidR="00652A42" w:rsidRPr="00F55C89">
        <w:rPr>
          <w:rFonts w:ascii="Arial" w:hAnsi="Arial" w:cs="Arial"/>
          <w:sz w:val="20"/>
          <w:szCs w:val="20"/>
        </w:rPr>
        <w:t>I</w:t>
      </w:r>
      <w:r w:rsidR="00A26940" w:rsidRPr="00F55C89">
        <w:rPr>
          <w:rFonts w:ascii="Arial" w:hAnsi="Arial" w:cs="Arial"/>
          <w:sz w:val="20"/>
          <w:szCs w:val="20"/>
        </w:rPr>
        <w:t xml:space="preserve">njections </w:t>
      </w:r>
      <w:r w:rsidR="008F4EAE" w:rsidRPr="00F55C89">
        <w:rPr>
          <w:rFonts w:ascii="Arial" w:hAnsi="Arial" w:cs="Arial"/>
          <w:sz w:val="20"/>
          <w:szCs w:val="20"/>
        </w:rPr>
        <w:t xml:space="preserve">by </w:t>
      </w:r>
      <w:r w:rsidRPr="00F55C89">
        <w:rPr>
          <w:rFonts w:ascii="Arial" w:hAnsi="Arial" w:cs="Arial"/>
          <w:sz w:val="20"/>
          <w:szCs w:val="20"/>
        </w:rPr>
        <w:t xml:space="preserve">System Injection Point </w:t>
      </w:r>
    </w:p>
    <w:p w:rsidR="0006609A" w:rsidRPr="00767397" w:rsidRDefault="00EF5A61" w:rsidP="006C6D60">
      <w:pPr>
        <w:pStyle w:val="AERbodytext"/>
        <w:spacing w:before="120"/>
        <w:jc w:val="center"/>
        <w:sectPr w:rsidR="0006609A" w:rsidRPr="00767397" w:rsidSect="00491029">
          <w:footerReference w:type="default" r:id="rId16"/>
          <w:footerReference w:type="firs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326"/>
        </w:sectPr>
      </w:pPr>
      <w:r>
        <w:pict>
          <v:shape id="_x0000_i1031" type="#_x0000_t75" style="width:476.25pt;height:17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w:t>
      </w:r>
      <w:r w:rsidR="005157B0">
        <w:t xml:space="preserve">to inject or </w:t>
      </w:r>
      <w:r>
        <w:t xml:space="preserve">bids to withdraw gas </w:t>
      </w:r>
      <w:r w:rsidR="003C5272">
        <w:t xml:space="preserve">traded through </w:t>
      </w:r>
      <w:r>
        <w:t>the hub.</w:t>
      </w:r>
      <w:r>
        <w:rPr>
          <w:rStyle w:val="FootnoteReference"/>
        </w:rPr>
        <w:footnoteReference w:id="4"/>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5"/>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2.90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4.40</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4.39</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4.40</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3.49</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3.00</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193</w:t>
            </w:r>
          </w:p>
        </w:tc>
        <w:tc>
          <w:tcPr>
            <w:tcW w:w="1029"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230</w:t>
            </w:r>
          </w:p>
        </w:tc>
        <w:tc>
          <w:tcPr>
            <w:tcW w:w="1028"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228</w:t>
            </w:r>
          </w:p>
        </w:tc>
        <w:tc>
          <w:tcPr>
            <w:tcW w:w="1029"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223</w:t>
            </w:r>
          </w:p>
        </w:tc>
        <w:tc>
          <w:tcPr>
            <w:tcW w:w="1028"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259</w:t>
            </w:r>
          </w:p>
        </w:tc>
        <w:tc>
          <w:tcPr>
            <w:tcW w:w="1029"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250</w:t>
            </w:r>
          </w:p>
        </w:tc>
        <w:tc>
          <w:tcPr>
            <w:tcW w:w="1029"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191</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4.40</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4.05</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6.17</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3.49</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3.49</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198</w:t>
            </w:r>
          </w:p>
        </w:tc>
        <w:tc>
          <w:tcPr>
            <w:tcW w:w="1029"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230</w:t>
            </w:r>
          </w:p>
        </w:tc>
        <w:tc>
          <w:tcPr>
            <w:tcW w:w="1028"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224</w:t>
            </w:r>
          </w:p>
        </w:tc>
        <w:tc>
          <w:tcPr>
            <w:tcW w:w="1029"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252</w:t>
            </w:r>
          </w:p>
        </w:tc>
        <w:tc>
          <w:tcPr>
            <w:tcW w:w="1028"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262</w:t>
            </w:r>
          </w:p>
        </w:tc>
        <w:tc>
          <w:tcPr>
            <w:tcW w:w="1029"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254</w:t>
            </w:r>
          </w:p>
        </w:tc>
        <w:tc>
          <w:tcPr>
            <w:tcW w:w="1029" w:type="dxa"/>
            <w:noWrap/>
            <w:tcMar>
              <w:top w:w="0" w:type="dxa"/>
              <w:bottom w:w="0" w:type="dxa"/>
            </w:tcMar>
            <w:vAlign w:val="center"/>
          </w:tcPr>
          <w:p w:rsidR="00D014EE" w:rsidRDefault="00EA7FFB">
            <w:pPr>
              <w:jc w:val="center"/>
              <w:rPr>
                <w:rFonts w:ascii="Arial" w:hAnsi="Arial" w:cs="Arial"/>
                <w:sz w:val="20"/>
                <w:szCs w:val="20"/>
              </w:rPr>
            </w:pPr>
            <w:r>
              <w:rPr>
                <w:rFonts w:ascii="Arial" w:hAnsi="Arial" w:cs="Arial"/>
                <w:sz w:val="20"/>
                <w:szCs w:val="20"/>
              </w:rPr>
              <w:t>200</w:t>
            </w:r>
          </w:p>
        </w:tc>
      </w:tr>
    </w:tbl>
    <w:p w:rsidR="00055584" w:rsidRPr="00F55C89" w:rsidRDefault="0045204B" w:rsidP="00502181">
      <w:pPr>
        <w:pStyle w:val="AERtableheading-unnumbered"/>
        <w:numPr>
          <w:ilvl w:val="0"/>
          <w:numId w:val="0"/>
        </w:numPr>
        <w:spacing w:before="480"/>
        <w:rPr>
          <w:rFonts w:ascii="Arial" w:hAnsi="Arial" w:cs="Arial"/>
          <w:sz w:val="19"/>
          <w:szCs w:val="19"/>
        </w:rPr>
      </w:pPr>
      <w:r w:rsidRPr="00F55C89">
        <w:rPr>
          <w:rFonts w:ascii="Arial" w:hAnsi="Arial" w:cs="Arial"/>
          <w:sz w:val="19"/>
          <w:szCs w:val="19"/>
        </w:rPr>
        <w:t>Figure 2.2 (a)</w:t>
      </w:r>
      <w:r w:rsidR="002C0499" w:rsidRPr="00F55C89">
        <w:rPr>
          <w:rFonts w:ascii="Arial" w:hAnsi="Arial" w:cs="Arial"/>
          <w:sz w:val="19"/>
          <w:szCs w:val="19"/>
        </w:rPr>
        <w:t>:</w:t>
      </w:r>
      <w:r w:rsidRPr="00F55C89">
        <w:rPr>
          <w:rFonts w:ascii="Arial" w:hAnsi="Arial" w:cs="Arial"/>
          <w:sz w:val="19"/>
          <w:szCs w:val="19"/>
        </w:rPr>
        <w:t xml:space="preserve"> </w:t>
      </w:r>
      <w:r w:rsidR="00055584" w:rsidRPr="00F55C89">
        <w:rPr>
          <w:rFonts w:ascii="Arial" w:hAnsi="Arial" w:cs="Arial"/>
          <w:sz w:val="19"/>
          <w:szCs w:val="19"/>
        </w:rPr>
        <w:t>Daily hub offers</w:t>
      </w:r>
      <w:r w:rsidR="00781A4A" w:rsidRPr="00F55C89">
        <w:rPr>
          <w:rFonts w:ascii="Arial" w:hAnsi="Arial" w:cs="Arial"/>
          <w:sz w:val="19"/>
          <w:szCs w:val="19"/>
        </w:rPr>
        <w:t xml:space="preserve"> in price bands</w:t>
      </w:r>
      <w:r w:rsidR="00CD3544" w:rsidRPr="00F55C89">
        <w:rPr>
          <w:rFonts w:ascii="Arial" w:hAnsi="Arial" w:cs="Arial"/>
          <w:sz w:val="19"/>
          <w:szCs w:val="19"/>
        </w:rPr>
        <w:t xml:space="preserve"> </w:t>
      </w:r>
      <w:r w:rsidR="00587CD1" w:rsidRPr="00F55C89">
        <w:rPr>
          <w:rFonts w:ascii="Arial" w:hAnsi="Arial" w:cs="Arial"/>
          <w:sz w:val="19"/>
          <w:szCs w:val="19"/>
        </w:rPr>
        <w:t xml:space="preserve">($/GJ) </w:t>
      </w:r>
      <w:r w:rsidR="00781A4A" w:rsidRPr="00F55C89">
        <w:rPr>
          <w:rFonts w:ascii="Arial" w:hAnsi="Arial" w:cs="Arial"/>
          <w:sz w:val="19"/>
          <w:szCs w:val="19"/>
        </w:rPr>
        <w:t xml:space="preserve"> </w:t>
      </w:r>
      <w:r w:rsidRPr="00F55C89">
        <w:rPr>
          <w:rFonts w:ascii="Arial" w:hAnsi="Arial" w:cs="Arial"/>
          <w:sz w:val="19"/>
          <w:szCs w:val="19"/>
        </w:rPr>
        <w:t xml:space="preserve">   </w:t>
      </w:r>
      <w:r w:rsidR="00587CD1" w:rsidRPr="00F55C89">
        <w:rPr>
          <w:rFonts w:ascii="Arial" w:hAnsi="Arial" w:cs="Arial"/>
          <w:sz w:val="19"/>
          <w:szCs w:val="19"/>
        </w:rPr>
        <w:t>Figure 2.2</w:t>
      </w:r>
      <w:r w:rsidR="00C80FD8" w:rsidRPr="00F55C89">
        <w:rPr>
          <w:rFonts w:ascii="Arial" w:hAnsi="Arial" w:cs="Arial"/>
          <w:sz w:val="19"/>
          <w:szCs w:val="19"/>
        </w:rPr>
        <w:t xml:space="preserve"> </w:t>
      </w:r>
      <w:r w:rsidR="00781A4A" w:rsidRPr="00F55C89">
        <w:rPr>
          <w:rFonts w:ascii="Arial" w:hAnsi="Arial" w:cs="Arial"/>
          <w:sz w:val="19"/>
          <w:szCs w:val="19"/>
        </w:rPr>
        <w:t>(b)</w:t>
      </w:r>
      <w:r w:rsidR="00587CD1" w:rsidRPr="00F55C89">
        <w:rPr>
          <w:rFonts w:ascii="Arial" w:hAnsi="Arial" w:cs="Arial"/>
          <w:sz w:val="19"/>
          <w:szCs w:val="19"/>
        </w:rPr>
        <w:t>:</w:t>
      </w:r>
      <w:r w:rsidR="00781A4A" w:rsidRPr="00F55C89">
        <w:rPr>
          <w:rFonts w:ascii="Arial" w:hAnsi="Arial" w:cs="Arial"/>
          <w:sz w:val="19"/>
          <w:szCs w:val="19"/>
        </w:rPr>
        <w:t xml:space="preserve"> Daily hub b</w:t>
      </w:r>
      <w:r w:rsidRPr="00F55C89">
        <w:rPr>
          <w:rFonts w:ascii="Arial" w:hAnsi="Arial" w:cs="Arial"/>
          <w:sz w:val="19"/>
          <w:szCs w:val="19"/>
        </w:rPr>
        <w:t>i</w:t>
      </w:r>
      <w:r w:rsidR="00781A4A" w:rsidRPr="00F55C89">
        <w:rPr>
          <w:rFonts w:ascii="Arial" w:hAnsi="Arial" w:cs="Arial"/>
          <w:sz w:val="19"/>
          <w:szCs w:val="19"/>
        </w:rPr>
        <w:t xml:space="preserve">ds </w:t>
      </w:r>
      <w:r w:rsidR="00CD3544" w:rsidRPr="00F55C89">
        <w:rPr>
          <w:rFonts w:ascii="Arial" w:hAnsi="Arial" w:cs="Arial"/>
          <w:sz w:val="19"/>
          <w:szCs w:val="19"/>
        </w:rPr>
        <w:t>in</w:t>
      </w:r>
      <w:r w:rsidR="00055584" w:rsidRPr="00F55C89">
        <w:rPr>
          <w:rFonts w:ascii="Arial" w:hAnsi="Arial" w:cs="Arial"/>
          <w:sz w:val="19"/>
          <w:szCs w:val="19"/>
        </w:rPr>
        <w:t xml:space="preserve"> price bands ($/GJ)</w:t>
      </w:r>
    </w:p>
    <w:p w:rsidR="00055584" w:rsidRPr="00FC426D" w:rsidRDefault="00EF5A61" w:rsidP="006C6D60">
      <w:pPr>
        <w:pStyle w:val="FigheadingA"/>
        <w:numPr>
          <w:ilvl w:val="0"/>
          <w:numId w:val="0"/>
        </w:numPr>
        <w:spacing w:before="120" w:after="0"/>
        <w:ind w:left="1134" w:hanging="1134"/>
        <w:jc w:val="center"/>
      </w:pPr>
      <w:r>
        <w:pict>
          <v:shape id="_x0000_i1032" type="#_x0000_t75" style="width:475.5pt;height:170.25pt">
            <v:imagedata r:id="rId19" o:title=""/>
          </v:shape>
        </w:pict>
      </w:r>
      <w:r w:rsidR="00055584" w:rsidRPr="00452AAD" w:rsidDel="00452AAD">
        <w:t xml:space="preserve"> </w:t>
      </w:r>
    </w:p>
    <w:p w:rsidR="008E2239" w:rsidRPr="00F55C89" w:rsidRDefault="003410C4" w:rsidP="00157AFD">
      <w:pPr>
        <w:pStyle w:val="AERfigureheading"/>
        <w:numPr>
          <w:ilvl w:val="5"/>
          <w:numId w:val="42"/>
        </w:numPr>
        <w:tabs>
          <w:tab w:val="clear" w:pos="1361"/>
          <w:tab w:val="num" w:pos="1260"/>
        </w:tabs>
        <w:rPr>
          <w:rFonts w:ascii="Arial" w:hAnsi="Arial" w:cs="Arial"/>
          <w:sz w:val="20"/>
          <w:szCs w:val="20"/>
        </w:rPr>
      </w:pPr>
      <w:r w:rsidRPr="00F55C89">
        <w:rPr>
          <w:rFonts w:ascii="Arial" w:hAnsi="Arial" w:cs="Arial"/>
          <w:sz w:val="20"/>
          <w:szCs w:val="20"/>
        </w:rPr>
        <w:t xml:space="preserve">SYD </w:t>
      </w:r>
      <w:r w:rsidR="00E52E2A" w:rsidRPr="00F55C89">
        <w:rPr>
          <w:rFonts w:ascii="Arial" w:hAnsi="Arial" w:cs="Arial"/>
          <w:sz w:val="20"/>
          <w:szCs w:val="20"/>
        </w:rPr>
        <w:t>net</w:t>
      </w:r>
      <w:r w:rsidR="00BA65E6" w:rsidRPr="00F55C89">
        <w:rPr>
          <w:rFonts w:ascii="Arial" w:hAnsi="Arial" w:cs="Arial"/>
          <w:sz w:val="20"/>
          <w:szCs w:val="20"/>
        </w:rPr>
        <w:t xml:space="preserve"> </w:t>
      </w:r>
      <w:r w:rsidR="005E4C48" w:rsidRPr="00F55C89">
        <w:rPr>
          <w:rFonts w:ascii="Arial" w:hAnsi="Arial" w:cs="Arial"/>
          <w:sz w:val="20"/>
          <w:szCs w:val="20"/>
        </w:rPr>
        <w:t>s</w:t>
      </w:r>
      <w:r w:rsidR="008E2239" w:rsidRPr="00F55C89">
        <w:rPr>
          <w:rFonts w:ascii="Arial" w:hAnsi="Arial" w:cs="Arial"/>
          <w:sz w:val="20"/>
          <w:szCs w:val="20"/>
        </w:rPr>
        <w:t xml:space="preserve">cheduled and </w:t>
      </w:r>
      <w:r w:rsidR="005E4C48" w:rsidRPr="00F55C89">
        <w:rPr>
          <w:rFonts w:ascii="Arial" w:hAnsi="Arial" w:cs="Arial"/>
          <w:sz w:val="20"/>
          <w:szCs w:val="20"/>
        </w:rPr>
        <w:t>a</w:t>
      </w:r>
      <w:r w:rsidR="008E2239" w:rsidRPr="00F55C89">
        <w:rPr>
          <w:rFonts w:ascii="Arial" w:hAnsi="Arial" w:cs="Arial"/>
          <w:sz w:val="20"/>
          <w:szCs w:val="20"/>
        </w:rPr>
        <w:t>llocated gas</w:t>
      </w:r>
      <w:r w:rsidR="005E4C48" w:rsidRPr="00F55C89">
        <w:rPr>
          <w:rFonts w:ascii="Arial" w:hAnsi="Arial" w:cs="Arial"/>
          <w:sz w:val="20"/>
          <w:szCs w:val="20"/>
        </w:rPr>
        <w:t xml:space="preserve"> volumes</w:t>
      </w:r>
      <w:r w:rsidR="008E2239" w:rsidRPr="00F55C89">
        <w:rPr>
          <w:rFonts w:ascii="Arial" w:hAnsi="Arial" w:cs="Arial"/>
          <w:sz w:val="20"/>
          <w:szCs w:val="20"/>
        </w:rPr>
        <w:t xml:space="preserve"> </w:t>
      </w:r>
      <w:r w:rsidR="00E52E2A" w:rsidRPr="00F55C89">
        <w:rPr>
          <w:rFonts w:ascii="Arial" w:hAnsi="Arial" w:cs="Arial"/>
          <w:sz w:val="20"/>
          <w:szCs w:val="20"/>
        </w:rPr>
        <w:t xml:space="preserve">(excluding MOS) </w:t>
      </w:r>
      <w:r w:rsidR="008E2239" w:rsidRPr="00F55C89">
        <w:rPr>
          <w:rFonts w:ascii="Arial" w:hAnsi="Arial" w:cs="Arial"/>
          <w:sz w:val="20"/>
          <w:szCs w:val="20"/>
        </w:rPr>
        <w:t xml:space="preserve">by </w:t>
      </w:r>
      <w:r w:rsidR="00BA65E6" w:rsidRPr="00F55C89">
        <w:rPr>
          <w:rFonts w:ascii="Arial" w:hAnsi="Arial" w:cs="Arial"/>
          <w:sz w:val="20"/>
          <w:szCs w:val="20"/>
        </w:rPr>
        <w:t>STTM facility</w:t>
      </w:r>
    </w:p>
    <w:p w:rsidR="008E2239" w:rsidRPr="002E2E46" w:rsidRDefault="00EF5A61" w:rsidP="006C6D60">
      <w:pPr>
        <w:pStyle w:val="BodyText"/>
        <w:spacing w:before="120" w:after="0"/>
        <w:jc w:val="center"/>
      </w:pPr>
      <w:r>
        <w:pict>
          <v:shape id="_x0000_i1033" type="#_x0000_t75" style="width:477.75pt;height:213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F55C89">
        <w:rPr>
          <w:rFonts w:ascii="Arial" w:hAnsi="Arial" w:cs="Arial"/>
          <w:sz w:val="20"/>
          <w:szCs w:val="20"/>
        </w:rPr>
        <w:t>Figure 2.4 (a)</w:t>
      </w:r>
      <w:r w:rsidR="002C0499" w:rsidRPr="00F55C89">
        <w:rPr>
          <w:rFonts w:ascii="Arial" w:hAnsi="Arial" w:cs="Arial"/>
          <w:sz w:val="20"/>
          <w:szCs w:val="20"/>
        </w:rPr>
        <w:t>:</w:t>
      </w:r>
      <w:r w:rsidRPr="00F55C89">
        <w:rPr>
          <w:rFonts w:ascii="Arial" w:hAnsi="Arial" w:cs="Arial"/>
          <w:sz w:val="20"/>
          <w:szCs w:val="20"/>
        </w:rPr>
        <w:t xml:space="preserve"> SYD</w:t>
      </w:r>
      <w:r w:rsidR="008936C5" w:rsidRPr="00F55C89">
        <w:rPr>
          <w:rFonts w:ascii="Arial" w:hAnsi="Arial" w:cs="Arial"/>
          <w:sz w:val="20"/>
          <w:szCs w:val="20"/>
        </w:rPr>
        <w:t xml:space="preserve"> STTM MOS allocations (TJ)         </w:t>
      </w:r>
      <w:r w:rsidRPr="00F55C89">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EF5A61" w:rsidP="006C6D60">
      <w:pPr>
        <w:jc w:val="center"/>
        <w:rPr>
          <w:color w:val="C0C0C0"/>
          <w:sz w:val="28"/>
          <w:szCs w:val="28"/>
        </w:rPr>
      </w:pPr>
      <w:r>
        <w:pict>
          <v:shape id="_x0000_i1034" type="#_x0000_t75" style="width:475.5pt;height:180.7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3.45</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3.44</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3.64</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3.67</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3.74</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3.73</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52.14</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58.77</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71.41</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72.30</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59.69</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57.44</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45.97</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3.45</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3.45</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3.66</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3.75</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4.85</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3.74</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51.93</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60.20</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75.48</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74.20</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66.78</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61.42</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49.72</w:t>
            </w:r>
          </w:p>
        </w:tc>
      </w:tr>
    </w:tbl>
    <w:p w:rsidR="00157AFD" w:rsidRPr="00F55C89" w:rsidRDefault="00157AFD" w:rsidP="00157AFD">
      <w:pPr>
        <w:pStyle w:val="AERtableheading-unnumbered"/>
        <w:numPr>
          <w:ilvl w:val="0"/>
          <w:numId w:val="0"/>
        </w:numPr>
        <w:rPr>
          <w:rFonts w:ascii="Arial" w:hAnsi="Arial" w:cs="Arial"/>
          <w:sz w:val="19"/>
          <w:szCs w:val="19"/>
        </w:rPr>
      </w:pPr>
      <w:r w:rsidRPr="00F55C89">
        <w:rPr>
          <w:rFonts w:ascii="Arial" w:hAnsi="Arial" w:cs="Arial"/>
          <w:sz w:val="19"/>
          <w:szCs w:val="19"/>
        </w:rPr>
        <w:t>Figure 3.2 (a)</w:t>
      </w:r>
      <w:r w:rsidR="002C0499" w:rsidRPr="00F55C89">
        <w:rPr>
          <w:rFonts w:ascii="Arial" w:hAnsi="Arial" w:cs="Arial"/>
          <w:sz w:val="19"/>
          <w:szCs w:val="19"/>
        </w:rPr>
        <w:t>:</w:t>
      </w:r>
      <w:r w:rsidRPr="00F55C89">
        <w:rPr>
          <w:rFonts w:ascii="Arial" w:hAnsi="Arial" w:cs="Arial"/>
          <w:sz w:val="19"/>
          <w:szCs w:val="19"/>
        </w:rPr>
        <w:t xml:space="preserve"> Daily hub offers in price bands ($/GJ)     Figure 3.2</w:t>
      </w:r>
      <w:r w:rsidR="00C80FD8" w:rsidRPr="00F55C89">
        <w:rPr>
          <w:rFonts w:ascii="Arial" w:hAnsi="Arial" w:cs="Arial"/>
          <w:sz w:val="19"/>
          <w:szCs w:val="19"/>
        </w:rPr>
        <w:t xml:space="preserve"> </w:t>
      </w:r>
      <w:r w:rsidRPr="00F55C89">
        <w:rPr>
          <w:rFonts w:ascii="Arial" w:hAnsi="Arial" w:cs="Arial"/>
          <w:sz w:val="19"/>
          <w:szCs w:val="19"/>
        </w:rPr>
        <w:t>(b): Daily hub bids in price bands ($/GJ)</w:t>
      </w:r>
    </w:p>
    <w:p w:rsidR="00B66BAB" w:rsidRPr="00FC426D" w:rsidRDefault="00EF5A61" w:rsidP="00B66BAB">
      <w:pPr>
        <w:pStyle w:val="FigheadingA"/>
        <w:numPr>
          <w:ilvl w:val="0"/>
          <w:numId w:val="0"/>
        </w:numPr>
        <w:spacing w:before="120" w:after="0"/>
        <w:ind w:left="1134" w:hanging="1134"/>
        <w:jc w:val="center"/>
      </w:pPr>
      <w:r>
        <w:pict>
          <v:shape id="_x0000_i1035" type="#_x0000_t75" style="width:475.5pt;height:183pt">
            <v:imagedata r:id="rId22" o:title=""/>
          </v:shape>
        </w:pict>
      </w:r>
      <w:r w:rsidR="00B66BAB" w:rsidRPr="00452AAD" w:rsidDel="00452AAD">
        <w:t xml:space="preserve"> </w:t>
      </w:r>
    </w:p>
    <w:p w:rsidR="00B66BAB" w:rsidRPr="00F55C89" w:rsidRDefault="00E52E2A" w:rsidP="00BE18D0">
      <w:pPr>
        <w:pStyle w:val="AERfigureheading"/>
        <w:numPr>
          <w:ilvl w:val="5"/>
          <w:numId w:val="47"/>
        </w:numPr>
        <w:tabs>
          <w:tab w:val="clear" w:pos="1361"/>
          <w:tab w:val="num" w:pos="1260"/>
        </w:tabs>
        <w:rPr>
          <w:rFonts w:ascii="Arial" w:hAnsi="Arial" w:cs="Arial"/>
          <w:sz w:val="20"/>
          <w:szCs w:val="20"/>
        </w:rPr>
      </w:pPr>
      <w:r w:rsidRPr="00F55C89">
        <w:rPr>
          <w:rFonts w:ascii="Arial" w:hAnsi="Arial" w:cs="Arial"/>
          <w:sz w:val="20"/>
          <w:szCs w:val="20"/>
        </w:rPr>
        <w:t>ADL net scheduled and allocated gas volumes (excluding MOS) by STTM facility</w:t>
      </w:r>
    </w:p>
    <w:p w:rsidR="00B66BAB" w:rsidRPr="002E2E46" w:rsidRDefault="00EF5A61" w:rsidP="00B66BAB">
      <w:pPr>
        <w:pStyle w:val="BodyText"/>
        <w:spacing w:before="120" w:after="0"/>
        <w:jc w:val="center"/>
      </w:pPr>
      <w:r>
        <w:pict>
          <v:shape id="_x0000_i1036" type="#_x0000_t75" style="width:477.75pt;height:133.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F55C89">
        <w:rPr>
          <w:rFonts w:ascii="Arial" w:hAnsi="Arial" w:cs="Arial"/>
          <w:sz w:val="20"/>
          <w:szCs w:val="20"/>
        </w:rPr>
        <w:t>Figure 3.4 (a)</w:t>
      </w:r>
      <w:r w:rsidR="002C0499" w:rsidRPr="00F55C89">
        <w:rPr>
          <w:rFonts w:ascii="Arial" w:hAnsi="Arial" w:cs="Arial"/>
          <w:sz w:val="20"/>
          <w:szCs w:val="20"/>
        </w:rPr>
        <w:t>:</w:t>
      </w:r>
      <w:r w:rsidRPr="00F55C89">
        <w:rPr>
          <w:rFonts w:ascii="Arial" w:hAnsi="Arial" w:cs="Arial"/>
          <w:sz w:val="20"/>
          <w:szCs w:val="20"/>
        </w:rPr>
        <w:t xml:space="preserve"> ADL </w:t>
      </w:r>
      <w:r w:rsidR="005C68CE" w:rsidRPr="00F55C89">
        <w:rPr>
          <w:rFonts w:ascii="Arial" w:hAnsi="Arial" w:cs="Arial"/>
          <w:sz w:val="20"/>
          <w:szCs w:val="20"/>
        </w:rPr>
        <w:t xml:space="preserve">STTM </w:t>
      </w:r>
      <w:r w:rsidRPr="00F55C89">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EF5A61" w:rsidP="00B66BAB">
      <w:pPr>
        <w:jc w:val="center"/>
      </w:pPr>
      <w:r>
        <w:pict>
          <v:shape id="_x0000_i1037" type="#_x0000_t75" style="width:476.25pt;height:180.7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0.50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1.99</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2.50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0.53</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2.30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2.50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1.98</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112.46</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125.07</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119.40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120.62</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124.18</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120.73</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109.86</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0.50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0.99</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2.50</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2.37</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2.75</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2.29</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0.79</w:t>
            </w:r>
          </w:p>
        </w:tc>
      </w:tr>
      <w:tr w:rsidR="00D014EE" w:rsidRPr="00B76529" w:rsidTr="002861A9">
        <w:trPr>
          <w:trHeight w:val="255"/>
        </w:trPr>
        <w:tc>
          <w:tcPr>
            <w:tcW w:w="2160" w:type="dxa"/>
            <w:noWrap/>
            <w:tcMar>
              <w:top w:w="0" w:type="dxa"/>
              <w:bottom w:w="0" w:type="dxa"/>
            </w:tcMar>
            <w:vAlign w:val="center"/>
          </w:tcPr>
          <w:p w:rsidR="00D014EE" w:rsidRPr="002861A9" w:rsidRDefault="00D014EE"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111.05</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120.47</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119.56</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132.82</w:t>
            </w:r>
          </w:p>
        </w:tc>
        <w:tc>
          <w:tcPr>
            <w:tcW w:w="1028"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128.23</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118.48</w:t>
            </w:r>
          </w:p>
        </w:tc>
        <w:tc>
          <w:tcPr>
            <w:tcW w:w="1029" w:type="dxa"/>
            <w:noWrap/>
            <w:tcMar>
              <w:top w:w="0" w:type="dxa"/>
              <w:bottom w:w="0" w:type="dxa"/>
            </w:tcMar>
            <w:vAlign w:val="center"/>
          </w:tcPr>
          <w:p w:rsidR="00D014EE" w:rsidRDefault="00D014EE">
            <w:pPr>
              <w:jc w:val="center"/>
              <w:rPr>
                <w:rFonts w:ascii="Arial" w:hAnsi="Arial" w:cs="Arial"/>
                <w:sz w:val="20"/>
                <w:szCs w:val="20"/>
              </w:rPr>
            </w:pPr>
            <w:r>
              <w:rPr>
                <w:rFonts w:ascii="Arial" w:hAnsi="Arial" w:cs="Arial"/>
                <w:sz w:val="20"/>
                <w:szCs w:val="20"/>
              </w:rPr>
              <w:t>104.02</w:t>
            </w:r>
          </w:p>
        </w:tc>
      </w:tr>
    </w:tbl>
    <w:p w:rsidR="00157AFD" w:rsidRPr="00F55C89" w:rsidRDefault="00157AFD" w:rsidP="00157AFD">
      <w:pPr>
        <w:pStyle w:val="AERtableheading-unnumbered"/>
        <w:numPr>
          <w:ilvl w:val="0"/>
          <w:numId w:val="0"/>
        </w:numPr>
        <w:rPr>
          <w:rFonts w:ascii="Arial" w:hAnsi="Arial" w:cs="Arial"/>
          <w:sz w:val="19"/>
          <w:szCs w:val="19"/>
        </w:rPr>
      </w:pPr>
      <w:r w:rsidRPr="00F55C89">
        <w:rPr>
          <w:rFonts w:ascii="Arial" w:hAnsi="Arial" w:cs="Arial"/>
          <w:sz w:val="19"/>
          <w:szCs w:val="19"/>
        </w:rPr>
        <w:t>Figure 4.2 (a)</w:t>
      </w:r>
      <w:r w:rsidR="002C0499" w:rsidRPr="00F55C89">
        <w:rPr>
          <w:rFonts w:ascii="Arial" w:hAnsi="Arial" w:cs="Arial"/>
          <w:sz w:val="19"/>
          <w:szCs w:val="19"/>
        </w:rPr>
        <w:t>:</w:t>
      </w:r>
      <w:r w:rsidRPr="00F55C89">
        <w:rPr>
          <w:rFonts w:ascii="Arial" w:hAnsi="Arial" w:cs="Arial"/>
          <w:sz w:val="19"/>
          <w:szCs w:val="19"/>
        </w:rPr>
        <w:t xml:space="preserve"> Daily hub offers in price bands ($/GJ)     Figure 4.2</w:t>
      </w:r>
      <w:r w:rsidR="00C80FD8" w:rsidRPr="00F55C89">
        <w:rPr>
          <w:rFonts w:ascii="Arial" w:hAnsi="Arial" w:cs="Arial"/>
          <w:sz w:val="19"/>
          <w:szCs w:val="19"/>
        </w:rPr>
        <w:t xml:space="preserve"> </w:t>
      </w:r>
      <w:r w:rsidRPr="00F55C89">
        <w:rPr>
          <w:rFonts w:ascii="Arial" w:hAnsi="Arial" w:cs="Arial"/>
          <w:sz w:val="19"/>
          <w:szCs w:val="19"/>
        </w:rPr>
        <w:t>(b): Daily hub bids in price bands ($/GJ)</w:t>
      </w:r>
    </w:p>
    <w:p w:rsidR="00B66BAB" w:rsidRPr="00FC426D" w:rsidRDefault="00EF5A61" w:rsidP="00B66BAB">
      <w:pPr>
        <w:pStyle w:val="FigheadingA"/>
        <w:numPr>
          <w:ilvl w:val="0"/>
          <w:numId w:val="0"/>
        </w:numPr>
        <w:spacing w:before="120" w:after="0"/>
        <w:ind w:left="1134" w:hanging="1134"/>
        <w:jc w:val="center"/>
      </w:pPr>
      <w:r>
        <w:pict>
          <v:shape id="_x0000_i1038" type="#_x0000_t75" style="width:475.5pt;height:182.25pt">
            <v:imagedata r:id="rId25" o:title=""/>
          </v:shape>
        </w:pict>
      </w:r>
      <w:r w:rsidR="00B66BAB" w:rsidRPr="00452AAD" w:rsidDel="00452AAD">
        <w:t xml:space="preserve"> </w:t>
      </w:r>
    </w:p>
    <w:p w:rsidR="00B66BAB" w:rsidRPr="00F55C89" w:rsidRDefault="00E52E2A" w:rsidP="00BE18D0">
      <w:pPr>
        <w:pStyle w:val="AERfigureheading"/>
        <w:numPr>
          <w:ilvl w:val="5"/>
          <w:numId w:val="49"/>
        </w:numPr>
        <w:tabs>
          <w:tab w:val="clear" w:pos="1361"/>
          <w:tab w:val="num" w:pos="1260"/>
        </w:tabs>
        <w:rPr>
          <w:rFonts w:ascii="Arial" w:hAnsi="Arial" w:cs="Arial"/>
          <w:sz w:val="20"/>
          <w:szCs w:val="20"/>
        </w:rPr>
      </w:pPr>
      <w:r w:rsidRPr="00F55C89">
        <w:rPr>
          <w:rFonts w:ascii="Arial" w:hAnsi="Arial" w:cs="Arial"/>
          <w:sz w:val="20"/>
          <w:szCs w:val="20"/>
        </w:rPr>
        <w:t>BRI net scheduled and allocated gas volumes (excluding MOS) by STTM facility</w:t>
      </w:r>
    </w:p>
    <w:p w:rsidR="00B66BAB" w:rsidRPr="002E2E46" w:rsidRDefault="00EF5A61" w:rsidP="00B66BAB">
      <w:pPr>
        <w:pStyle w:val="BodyText"/>
        <w:spacing w:before="120" w:after="0"/>
        <w:jc w:val="center"/>
      </w:pPr>
      <w:r>
        <w:pict>
          <v:shape id="_x0000_i1039" type="#_x0000_t75" style="width:477.75pt;height:129.7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F55C89">
        <w:rPr>
          <w:rFonts w:ascii="Arial" w:hAnsi="Arial" w:cs="Arial"/>
          <w:sz w:val="20"/>
          <w:szCs w:val="20"/>
        </w:rPr>
        <w:t>Figure 4.4 (a)</w:t>
      </w:r>
      <w:r w:rsidR="002C0499" w:rsidRPr="00F55C89">
        <w:rPr>
          <w:rFonts w:ascii="Arial" w:hAnsi="Arial" w:cs="Arial"/>
          <w:sz w:val="20"/>
          <w:szCs w:val="20"/>
        </w:rPr>
        <w:t>:</w:t>
      </w:r>
      <w:r w:rsidRPr="00F55C89">
        <w:rPr>
          <w:rFonts w:ascii="Arial" w:hAnsi="Arial" w:cs="Arial"/>
          <w:sz w:val="20"/>
          <w:szCs w:val="20"/>
        </w:rPr>
        <w:t xml:space="preserve"> BRI </w:t>
      </w:r>
      <w:r w:rsidR="005C68CE" w:rsidRPr="00F55C89">
        <w:rPr>
          <w:rFonts w:ascii="Arial" w:hAnsi="Arial" w:cs="Arial"/>
          <w:sz w:val="20"/>
          <w:szCs w:val="20"/>
        </w:rPr>
        <w:t xml:space="preserve">STTM </w:t>
      </w:r>
      <w:r w:rsidRPr="00F55C89">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EF5A61" w:rsidP="00452149">
      <w:pPr>
        <w:jc w:val="center"/>
      </w:pPr>
      <w:r>
        <w:pict>
          <v:shape id="_x0000_i1040" type="#_x0000_t75" style="width:475.5pt;height:180.7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6"/>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7"/>
      </w:r>
      <w:r>
        <w:t xml:space="preserve"> for each gas market are provided.</w:t>
      </w:r>
      <w:r w:rsidR="005F18AD">
        <w:t xml:space="preserve"> </w:t>
      </w:r>
    </w:p>
    <w:p w:rsidR="005F18AD" w:rsidRPr="00F55C89" w:rsidRDefault="005F18AD" w:rsidP="00750C0F">
      <w:pPr>
        <w:pStyle w:val="AERfigureheading"/>
        <w:tabs>
          <w:tab w:val="clear" w:pos="1361"/>
          <w:tab w:val="num" w:pos="1260"/>
        </w:tabs>
        <w:spacing w:before="120"/>
        <w:ind w:left="1260" w:hanging="1260"/>
        <w:rPr>
          <w:rFonts w:ascii="Arial" w:hAnsi="Arial" w:cs="Arial"/>
          <w:sz w:val="16"/>
          <w:szCs w:val="16"/>
        </w:rPr>
      </w:pPr>
      <w:r w:rsidRPr="00F55C89">
        <w:rPr>
          <w:rFonts w:ascii="Arial" w:hAnsi="Arial" w:cs="Arial"/>
          <w:sz w:val="20"/>
          <w:szCs w:val="20"/>
        </w:rPr>
        <w:t xml:space="preserve">Gas </w:t>
      </w:r>
      <w:r w:rsidR="001B294E" w:rsidRPr="00F55C89">
        <w:rPr>
          <w:rFonts w:ascii="Arial" w:hAnsi="Arial" w:cs="Arial"/>
          <w:sz w:val="20"/>
          <w:szCs w:val="20"/>
        </w:rPr>
        <w:t>market data ($/GJ, TJ); Production, Consumption and Pipeline flows (TJ)</w:t>
      </w:r>
    </w:p>
    <w:bookmarkEnd w:id="0"/>
    <w:bookmarkEnd w:id="1"/>
    <w:p w:rsidR="005A6687" w:rsidRDefault="00EF5A61" w:rsidP="003C5272">
      <w:r>
        <w:pict>
          <v:shape id="_x0000_i1041" type="#_x0000_t75" style="width:453.75pt;height:586.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F55C89" w:rsidRDefault="00F55C89" w:rsidP="002052B6">
      <w:pPr>
        <w:spacing w:before="120" w:after="120"/>
        <w:jc w:val="both"/>
        <w:rPr>
          <w:rFonts w:eastAsia="MS Mincho"/>
        </w:rPr>
      </w:pPr>
      <w:r w:rsidRPr="00F55C89">
        <w:rPr>
          <w:rFonts w:eastAsia="MS Mincho"/>
        </w:rPr>
        <w:t>There were 7 trades for 28 TJ of gas this week at a volume wei</w:t>
      </w:r>
      <w:r>
        <w:rPr>
          <w:rFonts w:eastAsia="MS Mincho"/>
        </w:rPr>
        <w:t>ghted price of $1.86/GJ. This</w:t>
      </w:r>
      <w:r w:rsidRPr="00F55C89">
        <w:rPr>
          <w:rFonts w:eastAsia="MS Mincho"/>
        </w:rPr>
        <w:t xml:space="preserve"> comprised one day</w:t>
      </w:r>
      <w:r w:rsidRPr="00F55C89">
        <w:rPr>
          <w:rFonts w:eastAsia="MS Mincho"/>
        </w:rPr>
        <w:noBreakHyphen/>
        <w:t>a</w:t>
      </w:r>
      <w:r>
        <w:rPr>
          <w:rFonts w:eastAsia="MS Mincho"/>
        </w:rPr>
        <w:t>head trade on the SWQP at $2/GJ with</w:t>
      </w:r>
      <w:r w:rsidRPr="00F55C89">
        <w:rPr>
          <w:rFonts w:eastAsia="MS Mincho"/>
        </w:rPr>
        <w:t xml:space="preserve"> daily and day</w:t>
      </w:r>
      <w:r w:rsidRPr="00F55C89">
        <w:rPr>
          <w:rFonts w:eastAsia="MS Mincho"/>
        </w:rPr>
        <w:noBreakHyphen/>
        <w:t>ahead trades on the RBP.</w:t>
      </w:r>
      <w:r>
        <w:rPr>
          <w:rFonts w:eastAsia="MS Mincho"/>
        </w:rPr>
        <w:t xml:space="preserve"> Trades on the RBP </w:t>
      </w:r>
      <w:r w:rsidRPr="00F55C89">
        <w:rPr>
          <w:rFonts w:eastAsia="MS Mincho"/>
        </w:rPr>
        <w:t>set a volume weighted price of $1.78/GJ</w:t>
      </w:r>
      <w:r>
        <w:rPr>
          <w:rFonts w:eastAsia="MS Mincho"/>
        </w:rPr>
        <w:t>.</w:t>
      </w:r>
    </w:p>
    <w:p w:rsidR="002052B6" w:rsidRPr="00F55C89" w:rsidRDefault="002052B6" w:rsidP="002052B6">
      <w:pPr>
        <w:pStyle w:val="ListParagraph"/>
        <w:ind w:left="0"/>
        <w:jc w:val="both"/>
        <w:rPr>
          <w:rFonts w:ascii="Times New Roman" w:eastAsia="Times New Roman" w:hAnsi="Times New Roman"/>
          <w:sz w:val="24"/>
          <w:szCs w:val="24"/>
        </w:rPr>
      </w:pPr>
      <w:r w:rsidRPr="00F55C89">
        <w:rPr>
          <w:rFonts w:ascii="Times New Roman" w:eastAsia="Times New Roman" w:hAnsi="Times New Roman"/>
          <w:sz w:val="24"/>
          <w:szCs w:val="24"/>
        </w:rPr>
        <w:t>Figure 6.1 shows volumes traded</w:t>
      </w:r>
      <w:r w:rsidRPr="00F55C89">
        <w:rPr>
          <w:rStyle w:val="FootnoteReference"/>
          <w:rFonts w:ascii="Times New Roman" w:eastAsia="Times New Roman" w:hAnsi="Times New Roman"/>
          <w:sz w:val="24"/>
          <w:szCs w:val="24"/>
        </w:rPr>
        <w:footnoteReference w:id="9"/>
      </w:r>
      <w:r w:rsidRPr="00F55C89">
        <w:rPr>
          <w:rFonts w:ascii="Times New Roman" w:eastAsia="Times New Roman" w:hAnsi="Times New Roman"/>
          <w:sz w:val="24"/>
          <w:szCs w:val="24"/>
        </w:rPr>
        <w:t xml:space="preserve"> on each gas day and trading day from </w:t>
      </w:r>
      <w:r w:rsidR="00F55C89" w:rsidRPr="00F55C89">
        <w:rPr>
          <w:rFonts w:ascii="Times New Roman" w:eastAsia="Times New Roman" w:hAnsi="Times New Roman"/>
          <w:sz w:val="24"/>
          <w:szCs w:val="24"/>
        </w:rPr>
        <w:t>3</w:t>
      </w:r>
      <w:r w:rsidRPr="00F55C89">
        <w:rPr>
          <w:rFonts w:ascii="Times New Roman" w:eastAsia="Times New Roman" w:hAnsi="Times New Roman"/>
          <w:sz w:val="24"/>
          <w:szCs w:val="24"/>
        </w:rPr>
        <w:t xml:space="preserve"> to </w:t>
      </w:r>
      <w:r w:rsidR="00F55C89" w:rsidRPr="00F55C89">
        <w:rPr>
          <w:rFonts w:ascii="Times New Roman" w:eastAsia="Times New Roman" w:hAnsi="Times New Roman"/>
          <w:sz w:val="24"/>
          <w:szCs w:val="24"/>
        </w:rPr>
        <w:t>9</w:t>
      </w:r>
      <w:r w:rsidRPr="00F55C89">
        <w:rPr>
          <w:rFonts w:ascii="Times New Roman" w:eastAsia="Times New Roman" w:hAnsi="Times New Roman"/>
          <w:sz w:val="24"/>
          <w:szCs w:val="24"/>
        </w:rPr>
        <w:t xml:space="preserve"> May.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EF5A61" w:rsidP="002052B6">
      <w:pPr>
        <w:spacing w:before="120" w:after="120"/>
        <w:jc w:val="both"/>
        <w:rPr>
          <w:rFonts w:eastAsia="MS Mincho"/>
          <w:color w:val="FF0000"/>
        </w:rPr>
      </w:pPr>
      <w:r>
        <w:rPr>
          <w:rFonts w:eastAsia="MS Mincho"/>
        </w:rPr>
        <w:pict>
          <v:shape id="_x0000_i1042" type="#_x0000_t75" style="width:475.5pt;height:201.75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BA279E">
      <w:rPr>
        <w:noProof/>
      </w:rPr>
      <w:t>10</w:t>
    </w:r>
    <w:r>
      <w:fldChar w:fldCharType="end"/>
    </w:r>
  </w:p>
  <w:p w:rsidR="00564C71" w:rsidRDefault="00564C71" w:rsidP="005A77A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029" w:rsidRDefault="00491029" w:rsidP="00491029">
    <w:pPr>
      <w:pBdr>
        <w:top w:val="single" w:sz="4" w:space="0" w:color="auto"/>
      </w:pBdr>
      <w:ind w:left="-284" w:right="-329" w:firstLine="284"/>
      <w:jc w:val="center"/>
      <w:rPr>
        <w:i/>
        <w:sz w:val="20"/>
      </w:rPr>
    </w:pPr>
    <w:r>
      <w:rPr>
        <w:i/>
        <w:sz w:val="20"/>
      </w:rPr>
      <w:t>© Commonwealth of Australia.</w:t>
    </w:r>
  </w:p>
  <w:p w:rsidR="00491029" w:rsidRPr="002D773A" w:rsidRDefault="00491029" w:rsidP="00491029">
    <w:pPr>
      <w:jc w:val="center"/>
    </w:pPr>
    <w:r>
      <w:fldChar w:fldCharType="begin"/>
    </w:r>
    <w:r>
      <w:instrText xml:space="preserve"> PAGE  \* MERGEFORMAT </w:instrText>
    </w:r>
    <w:r>
      <w:fldChar w:fldCharType="separate"/>
    </w:r>
    <w:r w:rsidR="00BA279E">
      <w:rPr>
        <w:noProof/>
      </w:rPr>
      <w:t>1</w:t>
    </w:r>
    <w:r>
      <w:fldChar w:fldCharType="end"/>
    </w:r>
  </w:p>
  <w:p w:rsidR="00491029" w:rsidRDefault="00491029"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A07A3D">
      <w:rPr>
        <w:rFonts w:cs="Arial"/>
        <w:i/>
      </w:rPr>
      <w:t>65531</w:t>
    </w:r>
  </w:p>
  <w:p w:rsidR="00491029" w:rsidRDefault="00491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 xml:space="preserve">a locale or </w:t>
      </w:r>
      <w:r w:rsidR="00F67024">
        <w:rPr>
          <w:sz w:val="18"/>
          <w:szCs w:val="18"/>
        </w:rPr>
        <w:t>System Injection Point (SIP)</w:t>
      </w:r>
      <w:r w:rsidRPr="00DB0182">
        <w:rPr>
          <w:sz w:val="18"/>
          <w:szCs w:val="18"/>
        </w:rPr>
        <w:t xml:space="preserve"> from time to time.</w:t>
      </w:r>
    </w:p>
  </w:footnote>
  <w:footnote w:id="4">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5">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6">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7">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503-20150509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37483"/>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50E6"/>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2476"/>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0F8E"/>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07A3D"/>
    <w:rsid w:val="00A13F97"/>
    <w:rsid w:val="00A156EE"/>
    <w:rsid w:val="00A200D0"/>
    <w:rsid w:val="00A21BB5"/>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0072"/>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279E"/>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014EE"/>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A7FFB"/>
    <w:rsid w:val="00ED5E08"/>
    <w:rsid w:val="00EE2B5F"/>
    <w:rsid w:val="00EE51D2"/>
    <w:rsid w:val="00EE6F2C"/>
    <w:rsid w:val="00EF4E45"/>
    <w:rsid w:val="00EF5A61"/>
    <w:rsid w:val="00EF6B0C"/>
    <w:rsid w:val="00F01843"/>
    <w:rsid w:val="00F02D8D"/>
    <w:rsid w:val="00F16C55"/>
    <w:rsid w:val="00F25FA8"/>
    <w:rsid w:val="00F415E2"/>
    <w:rsid w:val="00F427B4"/>
    <w:rsid w:val="00F45735"/>
    <w:rsid w:val="00F50297"/>
    <w:rsid w:val="00F51FA1"/>
    <w:rsid w:val="00F5594F"/>
    <w:rsid w:val="00F55C89"/>
    <w:rsid w:val="00F55D61"/>
    <w:rsid w:val="00F63042"/>
    <w:rsid w:val="00F67024"/>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hyperlink" Target="http://www.aer.gov.au/node/451" TargetMode="Externa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EFB55756.dotm</Template>
  <TotalTime>0</TotalTime>
  <Pages>10</Pages>
  <Words>1819</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10406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2015-05-20T00:48:00Z</dcterms:created>
  <dcterms:modified xsi:type="dcterms:W3CDTF">2015-05-20T00:49:00Z</dcterms:modified>
</cp:coreProperties>
</file>