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002" w:rsidRPr="0031019A" w:rsidRDefault="00275002" w:rsidP="00275002">
      <w:bookmarkStart w:id="0" w:name="_Toc305751931"/>
      <w:bookmarkStart w:id="1" w:name="_Toc308601044"/>
      <w:bookmarkStart w:id="2" w:name="_Toc316978870"/>
      <w:bookmarkStart w:id="3" w:name="_Toc317520246"/>
      <w:bookmarkStart w:id="4" w:name="OLE_LINK72"/>
      <w:bookmarkStart w:id="5" w:name="OLE_LINK73"/>
      <w:r w:rsidRPr="0031019A">
        <w:rPr>
          <w:noProof/>
          <w:lang w:eastAsia="en-AU"/>
        </w:rPr>
        <mc:AlternateContent>
          <mc:Choice Requires="wps">
            <w:drawing>
              <wp:anchor distT="0" distB="0" distL="114300" distR="114300" simplePos="0" relativeHeight="251659264" behindDoc="0" locked="0" layoutInCell="1" allowOverlap="1" wp14:anchorId="595FC8B8" wp14:editId="4AA428FD">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B2F" w:rsidRPr="000E2946" w:rsidRDefault="00F45B2F" w:rsidP="000E2946">
                            <w:pPr>
                              <w:pStyle w:val="Title"/>
                            </w:pPr>
                            <w:r w:rsidRPr="000E2946">
                              <w:t>Electricity Report</w:t>
                            </w:r>
                          </w:p>
                          <w:p w:rsidR="00F45B2F" w:rsidRPr="000E2946" w:rsidRDefault="00F45B2F" w:rsidP="000E2946">
                            <w:pPr>
                              <w:pStyle w:val="Title"/>
                            </w:pPr>
                            <w:r>
                              <w:t>3</w:t>
                            </w:r>
                            <w:r w:rsidRPr="000E2946">
                              <w:t xml:space="preserve"> – </w:t>
                            </w:r>
                            <w:r>
                              <w:t>9 May</w:t>
                            </w:r>
                            <w:r w:rsidRPr="000E2946">
                              <w:t xml:space="preserve"> 2015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F45B2F" w:rsidRPr="000E2946" w:rsidRDefault="00F45B2F" w:rsidP="000E2946">
                      <w:pPr>
                        <w:pStyle w:val="Title"/>
                      </w:pPr>
                      <w:r w:rsidRPr="000E2946">
                        <w:t>Electricity Report</w:t>
                      </w:r>
                    </w:p>
                    <w:p w:rsidR="00F45B2F" w:rsidRPr="000E2946" w:rsidRDefault="00F45B2F" w:rsidP="000E2946">
                      <w:pPr>
                        <w:pStyle w:val="Title"/>
                      </w:pPr>
                      <w:r>
                        <w:t>3</w:t>
                      </w:r>
                      <w:r w:rsidRPr="000E2946">
                        <w:t xml:space="preserve"> – </w:t>
                      </w:r>
                      <w:r>
                        <w:t>9 May</w:t>
                      </w:r>
                      <w:r w:rsidRPr="000E2946">
                        <w:t xml:space="preserve"> 2015 </w:t>
                      </w:r>
                    </w:p>
                  </w:txbxContent>
                </v:textbox>
              </v:shape>
            </w:pict>
          </mc:Fallback>
        </mc:AlternateContent>
      </w:r>
      <w:r w:rsidRPr="0031019A">
        <w:rPr>
          <w:noProof/>
          <w:lang w:eastAsia="en-AU"/>
        </w:rPr>
        <w:drawing>
          <wp:inline distT="0" distB="0" distL="0" distR="0" wp14:anchorId="16C54C34" wp14:editId="2A0915A6">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31019A" w:rsidRDefault="001D0CE3" w:rsidP="009A3D22">
      <w:pPr>
        <w:jc w:val="both"/>
      </w:pPr>
      <w:r>
        <w:rPr>
          <w:rFonts w:cs="Arial"/>
        </w:rPr>
        <w:fldChar w:fldCharType="begin"/>
      </w:r>
      <w:r>
        <w:rPr>
          <w:rFonts w:cs="Arial"/>
        </w:rPr>
        <w:instrText xml:space="preserve"> REF _Ref410382491 \h </w:instrText>
      </w:r>
      <w:r>
        <w:rPr>
          <w:rFonts w:cs="Arial"/>
        </w:rPr>
      </w:r>
      <w:r>
        <w:rPr>
          <w:rFonts w:cs="Arial"/>
        </w:rPr>
        <w:fldChar w:fldCharType="separate"/>
      </w:r>
      <w:r w:rsidR="00C8107F" w:rsidRPr="000E2946">
        <w:t xml:space="preserve">Figure </w:t>
      </w:r>
      <w:r w:rsidR="00C8107F">
        <w:rPr>
          <w:noProof/>
        </w:rPr>
        <w:t>1</w:t>
      </w:r>
      <w:r>
        <w:rPr>
          <w:rFonts w:cs="Arial"/>
        </w:rPr>
        <w:fldChar w:fldCharType="end"/>
      </w:r>
      <w:r>
        <w:rPr>
          <w:rFonts w:cs="Arial"/>
        </w:rPr>
        <w:t xml:space="preserve"> </w:t>
      </w:r>
      <w:r w:rsidR="00AF7058">
        <w:rPr>
          <w:rFonts w:cs="Arial"/>
        </w:rPr>
        <w:t xml:space="preserve">shows the spot prices that occurred in each region during the week </w:t>
      </w:r>
      <w:r w:rsidR="009907BC">
        <w:rPr>
          <w:rFonts w:cs="Arial"/>
        </w:rPr>
        <w:t xml:space="preserve">3 to 9 </w:t>
      </w:r>
      <w:r w:rsidR="00E86851">
        <w:rPr>
          <w:rFonts w:cs="Arial"/>
        </w:rPr>
        <w:t xml:space="preserve">May </w:t>
      </w:r>
      <w:r w:rsidR="00AF7058">
        <w:rPr>
          <w:rFonts w:cs="Arial"/>
        </w:rPr>
        <w:t xml:space="preserve">2015. </w:t>
      </w:r>
    </w:p>
    <w:p w:rsidR="00275002" w:rsidRPr="000E2946" w:rsidRDefault="00275002" w:rsidP="000E2946">
      <w:pPr>
        <w:pStyle w:val="Caption"/>
      </w:pPr>
      <w:bookmarkStart w:id="6" w:name="_Ref410382491"/>
      <w:bookmarkStart w:id="7" w:name="OLE_LINK28"/>
      <w:bookmarkStart w:id="8" w:name="OLE_LINK29"/>
      <w:r w:rsidRPr="000E2946">
        <w:t xml:space="preserve">Figure </w:t>
      </w:r>
      <w:r w:rsidR="009E61F2">
        <w:fldChar w:fldCharType="begin"/>
      </w:r>
      <w:r w:rsidR="009E61F2">
        <w:instrText xml:space="preserve"> SEQ Figure \* ARABIC </w:instrText>
      </w:r>
      <w:r w:rsidR="009E61F2">
        <w:fldChar w:fldCharType="separate"/>
      </w:r>
      <w:r w:rsidR="00C8107F">
        <w:rPr>
          <w:noProof/>
        </w:rPr>
        <w:t>1</w:t>
      </w:r>
      <w:r w:rsidR="009E61F2">
        <w:rPr>
          <w:noProof/>
        </w:rPr>
        <w:fldChar w:fldCharType="end"/>
      </w:r>
      <w:bookmarkEnd w:id="6"/>
      <w:r w:rsidRPr="000E2946">
        <w:t>: Spot price by region ($/</w:t>
      </w:r>
      <w:proofErr w:type="spellStart"/>
      <w:r w:rsidRPr="000E2946">
        <w:t>MWh</w:t>
      </w:r>
      <w:proofErr w:type="spellEnd"/>
      <w:r w:rsidRPr="000E2946">
        <w:t>)</w:t>
      </w:r>
    </w:p>
    <w:p w:rsidR="00275002" w:rsidRPr="0031019A" w:rsidRDefault="0018193D" w:rsidP="00275002">
      <w:r w:rsidRPr="0018193D">
        <w:rPr>
          <w:noProof/>
          <w:lang w:eastAsia="en-AU"/>
        </w:rPr>
        <w:drawing>
          <wp:inline distT="0" distB="0" distL="0" distR="0" wp14:anchorId="399041F8" wp14:editId="6E3F9790">
            <wp:extent cx="5731510" cy="2858866"/>
            <wp:effectExtent l="0" t="0" r="2540" b="0"/>
            <wp:docPr id="1" name="Picture 1" descr="Figure 1 shows the spot prices for this week in each region. The markers indicate the daily maximum and minimum spot prices in each reg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8866"/>
                    </a:xfrm>
                    <a:prstGeom prst="rect">
                      <a:avLst/>
                    </a:prstGeom>
                    <a:noFill/>
                    <a:ln>
                      <a:noFill/>
                    </a:ln>
                  </pic:spPr>
                </pic:pic>
              </a:graphicData>
            </a:graphic>
          </wp:inline>
        </w:drawing>
      </w:r>
    </w:p>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C8107F">
        <w:t xml:space="preserve">Figure </w:t>
      </w:r>
      <w:r w:rsidR="00C8107F">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C8107F">
        <w:t xml:space="preserve">Table </w:t>
      </w:r>
      <w:r w:rsidR="00C8107F">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9" w:name="_Ref410382517"/>
      <w:r>
        <w:lastRenderedPageBreak/>
        <w:t xml:space="preserve">Figure </w:t>
      </w:r>
      <w:r w:rsidR="009E61F2">
        <w:fldChar w:fldCharType="begin"/>
      </w:r>
      <w:r w:rsidR="009E61F2">
        <w:instrText xml:space="preserve"> SEQ Figure \* ARABIC </w:instrText>
      </w:r>
      <w:r w:rsidR="009E61F2">
        <w:fldChar w:fldCharType="separate"/>
      </w:r>
      <w:r w:rsidR="00C8107F">
        <w:rPr>
          <w:noProof/>
        </w:rPr>
        <w:t>2</w:t>
      </w:r>
      <w:r w:rsidR="009E61F2">
        <w:rPr>
          <w:noProof/>
        </w:rPr>
        <w:fldChar w:fldCharType="end"/>
      </w:r>
      <w:bookmarkEnd w:id="9"/>
      <w:r>
        <w:t>:</w:t>
      </w:r>
      <w:r w:rsidRPr="00037176">
        <w:t xml:space="preserve"> Volume weighted average spot price by region ($/</w:t>
      </w:r>
      <w:proofErr w:type="spellStart"/>
      <w:r w:rsidRPr="00037176">
        <w:t>MWh</w:t>
      </w:r>
      <w:proofErr w:type="spellEnd"/>
      <w:r w:rsidRPr="00037176">
        <w:t>)</w:t>
      </w:r>
    </w:p>
    <w:p w:rsidR="00275002" w:rsidRPr="0031019A" w:rsidRDefault="000D68C5" w:rsidP="00275002">
      <w:r w:rsidRPr="000D68C5">
        <w:rPr>
          <w:noProof/>
          <w:lang w:eastAsia="en-AU"/>
        </w:rPr>
        <w:drawing>
          <wp:inline distT="0" distB="0" distL="0" distR="0" wp14:anchorId="18A672AA" wp14:editId="4489A745">
            <wp:extent cx="5731510" cy="2859781"/>
            <wp:effectExtent l="0" t="0" r="2540" b="0"/>
            <wp:docPr id="4" name="Picture 4"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275002" w:rsidRPr="0031019A" w:rsidRDefault="00275002" w:rsidP="000E2946">
      <w:pPr>
        <w:pStyle w:val="Caption"/>
      </w:pPr>
      <w:bookmarkStart w:id="10" w:name="_Ref410382587"/>
      <w:r>
        <w:t xml:space="preserve">Table </w:t>
      </w:r>
      <w:r w:rsidR="009E61F2">
        <w:fldChar w:fldCharType="begin"/>
      </w:r>
      <w:r w:rsidR="009E61F2">
        <w:instrText xml:space="preserve"> SEQ Table \* ARABIC </w:instrText>
      </w:r>
      <w:r w:rsidR="009E61F2">
        <w:fldChar w:fldCharType="separate"/>
      </w:r>
      <w:r w:rsidR="00C8107F">
        <w:rPr>
          <w:noProof/>
        </w:rPr>
        <w:t>1</w:t>
      </w:r>
      <w:r w:rsidR="009E61F2">
        <w:rPr>
          <w:noProof/>
        </w:rPr>
        <w:fldChar w:fldCharType="end"/>
      </w:r>
      <w:bookmarkEnd w:id="10"/>
      <w:r w:rsidRPr="00731409">
        <w:t>: Volume weighted average spot prices by region ($/</w:t>
      </w:r>
      <w:proofErr w:type="spellStart"/>
      <w:r w:rsidRPr="00731409">
        <w:t>MWh</w:t>
      </w:r>
      <w:proofErr w:type="spellEnd"/>
      <w:r w:rsidRPr="00731409">
        <w:t>)</w:t>
      </w:r>
    </w:p>
    <w:tbl>
      <w:tblPr>
        <w:tblStyle w:val="AERTable-Text"/>
        <w:tblW w:w="5000" w:type="pct"/>
        <w:tblLook w:val="04A0" w:firstRow="1" w:lastRow="0" w:firstColumn="1" w:lastColumn="0" w:noHBand="0" w:noVBand="1"/>
      </w:tblPr>
      <w:tblGrid>
        <w:gridCol w:w="2509"/>
        <w:gridCol w:w="957"/>
        <w:gridCol w:w="1444"/>
        <w:gridCol w:w="1444"/>
        <w:gridCol w:w="1444"/>
        <w:gridCol w:w="1444"/>
      </w:tblGrid>
      <w:tr w:rsidR="00B92CD5" w:rsidRPr="000E2946" w:rsidTr="009B21F2">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518" w:type="pct"/>
            <w:noWrap/>
            <w:vAlign w:val="center"/>
            <w:hideMark/>
          </w:tcPr>
          <w:p w:rsidR="00B92CD5" w:rsidRPr="00B92CD5" w:rsidRDefault="00B92CD5" w:rsidP="009B21F2">
            <w:pPr>
              <w:spacing w:before="0" w:after="0"/>
              <w:jc w:val="center"/>
              <w:rPr>
                <w:sz w:val="20"/>
              </w:rPr>
            </w:pPr>
            <w:r w:rsidRPr="00B92CD5">
              <w:rPr>
                <w:sz w:val="20"/>
              </w:rPr>
              <w:t>Qld</w:t>
            </w:r>
          </w:p>
        </w:tc>
        <w:tc>
          <w:tcPr>
            <w:tcW w:w="781" w:type="pct"/>
            <w:noWrap/>
            <w:vAlign w:val="center"/>
            <w:hideMark/>
          </w:tcPr>
          <w:p w:rsidR="00B92CD5" w:rsidRPr="00B92CD5" w:rsidRDefault="00B92CD5" w:rsidP="009B21F2">
            <w:pPr>
              <w:spacing w:before="0" w:after="0"/>
              <w:jc w:val="center"/>
              <w:rPr>
                <w:sz w:val="20"/>
              </w:rPr>
            </w:pPr>
            <w:r w:rsidRPr="00B92CD5">
              <w:rPr>
                <w:sz w:val="20"/>
              </w:rPr>
              <w:t>NSW</w:t>
            </w:r>
          </w:p>
        </w:tc>
        <w:tc>
          <w:tcPr>
            <w:tcW w:w="781" w:type="pct"/>
            <w:noWrap/>
            <w:vAlign w:val="center"/>
            <w:hideMark/>
          </w:tcPr>
          <w:p w:rsidR="00B92CD5" w:rsidRPr="00B92CD5" w:rsidRDefault="00B92CD5" w:rsidP="009B21F2">
            <w:pPr>
              <w:spacing w:before="0" w:after="0"/>
              <w:jc w:val="center"/>
              <w:rPr>
                <w:sz w:val="20"/>
              </w:rPr>
            </w:pPr>
            <w:r w:rsidRPr="00B92CD5">
              <w:rPr>
                <w:sz w:val="20"/>
              </w:rPr>
              <w:t>Vic</w:t>
            </w:r>
          </w:p>
        </w:tc>
        <w:tc>
          <w:tcPr>
            <w:tcW w:w="781" w:type="pct"/>
            <w:noWrap/>
            <w:vAlign w:val="center"/>
            <w:hideMark/>
          </w:tcPr>
          <w:p w:rsidR="00B92CD5" w:rsidRPr="00B92CD5" w:rsidRDefault="00B92CD5" w:rsidP="009B21F2">
            <w:pPr>
              <w:spacing w:before="0" w:after="0"/>
              <w:jc w:val="center"/>
              <w:rPr>
                <w:sz w:val="20"/>
              </w:rPr>
            </w:pPr>
            <w:r w:rsidRPr="00B92CD5">
              <w:rPr>
                <w:sz w:val="20"/>
              </w:rPr>
              <w:t>SA</w:t>
            </w:r>
          </w:p>
        </w:tc>
        <w:tc>
          <w:tcPr>
            <w:tcW w:w="781" w:type="pct"/>
            <w:noWrap/>
            <w:vAlign w:val="center"/>
            <w:hideMark/>
          </w:tcPr>
          <w:p w:rsidR="00B92CD5" w:rsidRPr="00B92CD5" w:rsidRDefault="00B92CD5" w:rsidP="009B21F2">
            <w:pPr>
              <w:spacing w:before="0" w:after="0"/>
              <w:jc w:val="center"/>
              <w:rPr>
                <w:sz w:val="20"/>
              </w:rPr>
            </w:pPr>
            <w:proofErr w:type="spellStart"/>
            <w:r w:rsidRPr="00B92CD5">
              <w:rPr>
                <w:sz w:val="20"/>
              </w:rPr>
              <w:t>Tas</w:t>
            </w:r>
            <w:proofErr w:type="spellEnd"/>
          </w:p>
        </w:tc>
      </w:tr>
      <w:tr w:rsidR="000D68C5" w:rsidRPr="009B21F2" w:rsidTr="0018193D">
        <w:trPr>
          <w:trHeight w:hRule="exact" w:val="340"/>
        </w:trPr>
        <w:tc>
          <w:tcPr>
            <w:tcW w:w="1357" w:type="pct"/>
            <w:noWrap/>
            <w:vAlign w:val="center"/>
            <w:hideMark/>
          </w:tcPr>
          <w:p w:rsidR="000D68C5" w:rsidRPr="009B21F2" w:rsidRDefault="000D68C5" w:rsidP="009B21F2">
            <w:pPr>
              <w:spacing w:before="0" w:after="0"/>
              <w:rPr>
                <w:rFonts w:cs="Arial"/>
                <w:sz w:val="20"/>
                <w:szCs w:val="20"/>
              </w:rPr>
            </w:pPr>
            <w:r w:rsidRPr="009B21F2">
              <w:rPr>
                <w:rFonts w:cs="Arial"/>
                <w:sz w:val="20"/>
                <w:szCs w:val="20"/>
              </w:rPr>
              <w:t>Current week</w:t>
            </w:r>
          </w:p>
        </w:tc>
        <w:tc>
          <w:tcPr>
            <w:tcW w:w="518" w:type="pct"/>
            <w:noWrap/>
            <w:vAlign w:val="center"/>
          </w:tcPr>
          <w:p w:rsidR="000D68C5" w:rsidRPr="000D68C5" w:rsidRDefault="000D68C5" w:rsidP="0018193D">
            <w:pPr>
              <w:spacing w:before="0" w:after="0" w:line="240" w:lineRule="auto"/>
              <w:jc w:val="center"/>
              <w:rPr>
                <w:sz w:val="20"/>
                <w:szCs w:val="20"/>
              </w:rPr>
            </w:pPr>
            <w:r w:rsidRPr="000D68C5">
              <w:rPr>
                <w:sz w:val="20"/>
                <w:szCs w:val="20"/>
              </w:rPr>
              <w:t>30</w:t>
            </w:r>
          </w:p>
        </w:tc>
        <w:tc>
          <w:tcPr>
            <w:tcW w:w="781" w:type="pct"/>
            <w:noWrap/>
            <w:vAlign w:val="center"/>
          </w:tcPr>
          <w:p w:rsidR="000D68C5" w:rsidRPr="000D68C5" w:rsidRDefault="000D68C5" w:rsidP="0018193D">
            <w:pPr>
              <w:spacing w:before="0" w:after="0" w:line="240" w:lineRule="auto"/>
              <w:jc w:val="center"/>
              <w:rPr>
                <w:sz w:val="20"/>
                <w:szCs w:val="20"/>
              </w:rPr>
            </w:pPr>
            <w:r w:rsidRPr="000D68C5">
              <w:rPr>
                <w:sz w:val="20"/>
                <w:szCs w:val="20"/>
              </w:rPr>
              <w:t>31</w:t>
            </w:r>
          </w:p>
        </w:tc>
        <w:tc>
          <w:tcPr>
            <w:tcW w:w="781" w:type="pct"/>
            <w:noWrap/>
            <w:vAlign w:val="center"/>
          </w:tcPr>
          <w:p w:rsidR="000D68C5" w:rsidRPr="000D68C5" w:rsidRDefault="000D68C5" w:rsidP="0018193D">
            <w:pPr>
              <w:spacing w:before="0" w:after="0" w:line="240" w:lineRule="auto"/>
              <w:jc w:val="center"/>
              <w:rPr>
                <w:sz w:val="20"/>
                <w:szCs w:val="20"/>
              </w:rPr>
            </w:pPr>
            <w:r w:rsidRPr="000D68C5">
              <w:rPr>
                <w:sz w:val="20"/>
                <w:szCs w:val="20"/>
              </w:rPr>
              <w:t>27</w:t>
            </w:r>
          </w:p>
        </w:tc>
        <w:tc>
          <w:tcPr>
            <w:tcW w:w="781" w:type="pct"/>
            <w:noWrap/>
            <w:vAlign w:val="center"/>
          </w:tcPr>
          <w:p w:rsidR="000D68C5" w:rsidRPr="000D68C5" w:rsidRDefault="000D68C5" w:rsidP="0018193D">
            <w:pPr>
              <w:spacing w:before="0" w:after="0" w:line="240" w:lineRule="auto"/>
              <w:jc w:val="center"/>
              <w:rPr>
                <w:sz w:val="20"/>
                <w:szCs w:val="20"/>
              </w:rPr>
            </w:pPr>
            <w:r w:rsidRPr="000D68C5">
              <w:rPr>
                <w:sz w:val="20"/>
                <w:szCs w:val="20"/>
              </w:rPr>
              <w:t>28</w:t>
            </w:r>
          </w:p>
        </w:tc>
        <w:tc>
          <w:tcPr>
            <w:tcW w:w="781" w:type="pct"/>
            <w:noWrap/>
            <w:vAlign w:val="center"/>
          </w:tcPr>
          <w:p w:rsidR="000D68C5" w:rsidRPr="000D68C5" w:rsidRDefault="000D68C5" w:rsidP="0018193D">
            <w:pPr>
              <w:spacing w:before="0" w:after="0" w:line="240" w:lineRule="auto"/>
              <w:jc w:val="center"/>
              <w:rPr>
                <w:sz w:val="20"/>
                <w:szCs w:val="20"/>
              </w:rPr>
            </w:pPr>
            <w:r w:rsidRPr="000D68C5">
              <w:rPr>
                <w:sz w:val="20"/>
                <w:szCs w:val="20"/>
              </w:rPr>
              <w:t>26</w:t>
            </w:r>
          </w:p>
        </w:tc>
      </w:tr>
      <w:tr w:rsidR="000D68C5" w:rsidRPr="009B21F2" w:rsidTr="0018193D">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0D68C5" w:rsidRPr="009B21F2" w:rsidRDefault="000D68C5" w:rsidP="009B21F2">
            <w:pPr>
              <w:spacing w:before="0" w:after="0"/>
              <w:rPr>
                <w:rFonts w:cs="Arial"/>
                <w:szCs w:val="20"/>
              </w:rPr>
            </w:pPr>
            <w:r w:rsidRPr="009B21F2">
              <w:rPr>
                <w:rFonts w:cs="Arial"/>
                <w:szCs w:val="20"/>
              </w:rPr>
              <w:t>13-14 financial YTD</w:t>
            </w:r>
          </w:p>
        </w:tc>
        <w:tc>
          <w:tcPr>
            <w:tcW w:w="518" w:type="pct"/>
            <w:noWrap/>
            <w:vAlign w:val="center"/>
          </w:tcPr>
          <w:p w:rsidR="000D68C5" w:rsidRPr="000D68C5" w:rsidRDefault="000D68C5" w:rsidP="0018193D">
            <w:pPr>
              <w:spacing w:before="0" w:after="0" w:line="240" w:lineRule="auto"/>
              <w:jc w:val="center"/>
              <w:rPr>
                <w:szCs w:val="20"/>
              </w:rPr>
            </w:pPr>
            <w:r w:rsidRPr="000D68C5">
              <w:rPr>
                <w:szCs w:val="20"/>
              </w:rPr>
              <w:t>62</w:t>
            </w:r>
          </w:p>
        </w:tc>
        <w:tc>
          <w:tcPr>
            <w:tcW w:w="781" w:type="pct"/>
            <w:noWrap/>
            <w:vAlign w:val="center"/>
          </w:tcPr>
          <w:p w:rsidR="000D68C5" w:rsidRPr="000D68C5" w:rsidRDefault="000D68C5" w:rsidP="0018193D">
            <w:pPr>
              <w:spacing w:before="0" w:after="0" w:line="240" w:lineRule="auto"/>
              <w:jc w:val="center"/>
              <w:rPr>
                <w:szCs w:val="20"/>
              </w:rPr>
            </w:pPr>
            <w:r w:rsidRPr="000D68C5">
              <w:rPr>
                <w:szCs w:val="20"/>
              </w:rPr>
              <w:t>54</w:t>
            </w:r>
          </w:p>
        </w:tc>
        <w:tc>
          <w:tcPr>
            <w:tcW w:w="781" w:type="pct"/>
            <w:noWrap/>
            <w:vAlign w:val="center"/>
          </w:tcPr>
          <w:p w:rsidR="000D68C5" w:rsidRPr="000D68C5" w:rsidRDefault="000D68C5" w:rsidP="0018193D">
            <w:pPr>
              <w:spacing w:before="0" w:after="0" w:line="240" w:lineRule="auto"/>
              <w:jc w:val="center"/>
              <w:rPr>
                <w:szCs w:val="20"/>
              </w:rPr>
            </w:pPr>
            <w:r w:rsidRPr="000D68C5">
              <w:rPr>
                <w:szCs w:val="20"/>
              </w:rPr>
              <w:t>55</w:t>
            </w:r>
          </w:p>
        </w:tc>
        <w:tc>
          <w:tcPr>
            <w:tcW w:w="781" w:type="pct"/>
            <w:noWrap/>
            <w:vAlign w:val="center"/>
          </w:tcPr>
          <w:p w:rsidR="000D68C5" w:rsidRPr="000D68C5" w:rsidRDefault="000D68C5" w:rsidP="0018193D">
            <w:pPr>
              <w:spacing w:before="0" w:after="0" w:line="240" w:lineRule="auto"/>
              <w:jc w:val="center"/>
              <w:rPr>
                <w:szCs w:val="20"/>
              </w:rPr>
            </w:pPr>
            <w:r w:rsidRPr="000D68C5">
              <w:rPr>
                <w:szCs w:val="20"/>
              </w:rPr>
              <w:t>71</w:t>
            </w:r>
          </w:p>
        </w:tc>
        <w:tc>
          <w:tcPr>
            <w:tcW w:w="781" w:type="pct"/>
            <w:noWrap/>
            <w:vAlign w:val="center"/>
          </w:tcPr>
          <w:p w:rsidR="000D68C5" w:rsidRPr="000D68C5" w:rsidRDefault="000D68C5" w:rsidP="0018193D">
            <w:pPr>
              <w:spacing w:before="0" w:after="0" w:line="240" w:lineRule="auto"/>
              <w:jc w:val="center"/>
              <w:rPr>
                <w:szCs w:val="20"/>
              </w:rPr>
            </w:pPr>
            <w:r w:rsidRPr="000D68C5">
              <w:rPr>
                <w:szCs w:val="20"/>
              </w:rPr>
              <w:t>43</w:t>
            </w:r>
          </w:p>
        </w:tc>
      </w:tr>
      <w:tr w:rsidR="000D68C5" w:rsidRPr="009B21F2" w:rsidTr="0018193D">
        <w:trPr>
          <w:trHeight w:hRule="exact" w:val="340"/>
        </w:trPr>
        <w:tc>
          <w:tcPr>
            <w:tcW w:w="1357" w:type="pct"/>
            <w:noWrap/>
            <w:vAlign w:val="center"/>
            <w:hideMark/>
          </w:tcPr>
          <w:p w:rsidR="000D68C5" w:rsidRPr="009B21F2" w:rsidRDefault="000D68C5" w:rsidP="009B21F2">
            <w:pPr>
              <w:spacing w:before="0" w:after="0"/>
              <w:rPr>
                <w:rFonts w:cs="Arial"/>
                <w:sz w:val="20"/>
                <w:szCs w:val="20"/>
              </w:rPr>
            </w:pPr>
            <w:r w:rsidRPr="009B21F2">
              <w:rPr>
                <w:rFonts w:cs="Arial"/>
                <w:sz w:val="20"/>
                <w:szCs w:val="20"/>
              </w:rPr>
              <w:t>14-15 financial YTD</w:t>
            </w:r>
          </w:p>
        </w:tc>
        <w:tc>
          <w:tcPr>
            <w:tcW w:w="518" w:type="pct"/>
            <w:noWrap/>
            <w:vAlign w:val="center"/>
          </w:tcPr>
          <w:p w:rsidR="000D68C5" w:rsidRPr="000D68C5" w:rsidRDefault="000D68C5" w:rsidP="0018193D">
            <w:pPr>
              <w:spacing w:before="0" w:after="0" w:line="240" w:lineRule="auto"/>
              <w:jc w:val="center"/>
              <w:rPr>
                <w:sz w:val="20"/>
                <w:szCs w:val="20"/>
              </w:rPr>
            </w:pPr>
            <w:r w:rsidRPr="000D68C5">
              <w:rPr>
                <w:sz w:val="20"/>
                <w:szCs w:val="20"/>
              </w:rPr>
              <w:t>66</w:t>
            </w:r>
          </w:p>
        </w:tc>
        <w:tc>
          <w:tcPr>
            <w:tcW w:w="781" w:type="pct"/>
            <w:noWrap/>
            <w:vAlign w:val="center"/>
          </w:tcPr>
          <w:p w:rsidR="000D68C5" w:rsidRPr="000D68C5" w:rsidRDefault="000D68C5" w:rsidP="0018193D">
            <w:pPr>
              <w:spacing w:before="0" w:after="0" w:line="240" w:lineRule="auto"/>
              <w:jc w:val="center"/>
              <w:rPr>
                <w:sz w:val="20"/>
                <w:szCs w:val="20"/>
              </w:rPr>
            </w:pPr>
            <w:r w:rsidRPr="000D68C5">
              <w:rPr>
                <w:sz w:val="20"/>
                <w:szCs w:val="20"/>
              </w:rPr>
              <w:t>36</w:t>
            </w:r>
          </w:p>
        </w:tc>
        <w:tc>
          <w:tcPr>
            <w:tcW w:w="781" w:type="pct"/>
            <w:noWrap/>
            <w:vAlign w:val="center"/>
          </w:tcPr>
          <w:p w:rsidR="000D68C5" w:rsidRPr="000D68C5" w:rsidRDefault="000D68C5" w:rsidP="0018193D">
            <w:pPr>
              <w:spacing w:before="0" w:after="0" w:line="240" w:lineRule="auto"/>
              <w:jc w:val="center"/>
              <w:rPr>
                <w:sz w:val="20"/>
                <w:szCs w:val="20"/>
              </w:rPr>
            </w:pPr>
            <w:r w:rsidRPr="000D68C5">
              <w:rPr>
                <w:sz w:val="20"/>
                <w:szCs w:val="20"/>
              </w:rPr>
              <w:t>31</w:t>
            </w:r>
          </w:p>
        </w:tc>
        <w:tc>
          <w:tcPr>
            <w:tcW w:w="781" w:type="pct"/>
            <w:noWrap/>
            <w:vAlign w:val="center"/>
          </w:tcPr>
          <w:p w:rsidR="000D68C5" w:rsidRPr="000D68C5" w:rsidRDefault="000D68C5" w:rsidP="0018193D">
            <w:pPr>
              <w:spacing w:before="0" w:after="0" w:line="240" w:lineRule="auto"/>
              <w:jc w:val="center"/>
              <w:rPr>
                <w:sz w:val="20"/>
                <w:szCs w:val="20"/>
              </w:rPr>
            </w:pPr>
            <w:r w:rsidRPr="000D68C5">
              <w:rPr>
                <w:sz w:val="20"/>
                <w:szCs w:val="20"/>
              </w:rPr>
              <w:t>40</w:t>
            </w:r>
          </w:p>
        </w:tc>
        <w:tc>
          <w:tcPr>
            <w:tcW w:w="781" w:type="pct"/>
            <w:noWrap/>
            <w:vAlign w:val="center"/>
          </w:tcPr>
          <w:p w:rsidR="000D68C5" w:rsidRPr="000D68C5" w:rsidRDefault="000D68C5" w:rsidP="0018193D">
            <w:pPr>
              <w:spacing w:before="0" w:after="0" w:line="240" w:lineRule="auto"/>
              <w:jc w:val="center"/>
              <w:rPr>
                <w:sz w:val="20"/>
                <w:szCs w:val="20"/>
              </w:rPr>
            </w:pPr>
            <w:r w:rsidRPr="000D68C5">
              <w:rPr>
                <w:sz w:val="20"/>
                <w:szCs w:val="20"/>
              </w:rPr>
              <w:t>38</w:t>
            </w:r>
          </w:p>
        </w:tc>
      </w:tr>
    </w:tbl>
    <w:p w:rsidR="00275002" w:rsidRPr="0031019A" w:rsidRDefault="00275002" w:rsidP="009B21F2">
      <w:pPr>
        <w:spacing w:before="120" w:after="120"/>
        <w:jc w:val="center"/>
      </w:pPr>
      <w:r w:rsidRPr="009B21F2">
        <w:rPr>
          <w:rFonts w:cs="Arial"/>
          <w:sz w:val="20"/>
          <w:szCs w:val="20"/>
        </w:rPr>
        <w:t xml:space="preserve">Longer-term statistics tracking average spot market prices are available on the </w:t>
      </w:r>
      <w:hyperlink r:id="rId13" w:history="1">
        <w:r w:rsidRPr="0031019A">
          <w:rPr>
            <w:rStyle w:val="Hyperlink"/>
          </w:rPr>
          <w:t>AER website</w:t>
        </w:r>
      </w:hyperlink>
      <w:r w:rsidRPr="0031019A">
        <w:t xml:space="preserve">. </w:t>
      </w:r>
    </w:p>
    <w:bookmarkEnd w:id="7"/>
    <w:bookmarkEnd w:id="8"/>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3A0810" w:rsidP="00857917">
      <w:pPr>
        <w:jc w:val="both"/>
      </w:pPr>
      <w:r>
        <w:t>There were 82</w:t>
      </w:r>
      <w:r w:rsidR="00857917">
        <w:t xml:space="preserve"> trading intervals throughout the week where actual prices varied significantly from forecasts. This compares to the weekly average in 2014 of 71 counts and the average in 2013 of 97</w:t>
      </w:r>
      <w:r w:rsidR="00B92CD5">
        <w:t>.</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C8107F">
        <w:t xml:space="preserve">Table </w:t>
      </w:r>
      <w:r w:rsidR="00C8107F">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w:t>
      </w:r>
      <w:r w:rsidR="00275002" w:rsidRPr="0031019A">
        <w:lastRenderedPageBreak/>
        <w:t xml:space="preserve">generation), demand forecast inaccuracy, changes to network capability or as a combination of factors (when there is not one dominant reason). An instance where both four and 12 hour </w:t>
      </w:r>
      <w:proofErr w:type="gramStart"/>
      <w:r w:rsidR="00275002" w:rsidRPr="0031019A">
        <w:t>ahead</w:t>
      </w:r>
      <w:proofErr w:type="gramEnd"/>
      <w:r w:rsidR="00275002" w:rsidRPr="0031019A">
        <w:t xml:space="preserve"> forecasts differ significantly from the actual price will be counted as two variations.</w:t>
      </w:r>
    </w:p>
    <w:p w:rsidR="00275002" w:rsidRPr="0031019A" w:rsidRDefault="00275002" w:rsidP="000E2946">
      <w:pPr>
        <w:pStyle w:val="Caption"/>
      </w:pPr>
      <w:bookmarkStart w:id="11" w:name="_Ref410993002"/>
      <w:bookmarkStart w:id="12" w:name="_Ref410992996"/>
      <w:r>
        <w:t xml:space="preserve">Table </w:t>
      </w:r>
      <w:r w:rsidR="009E61F2">
        <w:fldChar w:fldCharType="begin"/>
      </w:r>
      <w:r w:rsidR="009E61F2">
        <w:instrText xml:space="preserve"> SEQ Table \* ARABIC </w:instrText>
      </w:r>
      <w:r w:rsidR="009E61F2">
        <w:fldChar w:fldCharType="separate"/>
      </w:r>
      <w:r w:rsidR="00C8107F">
        <w:rPr>
          <w:noProof/>
        </w:rPr>
        <w:t>2</w:t>
      </w:r>
      <w:r w:rsidR="009E61F2">
        <w:rPr>
          <w:noProof/>
        </w:rPr>
        <w:fldChar w:fldCharType="end"/>
      </w:r>
      <w:bookmarkEnd w:id="11"/>
      <w:r w:rsidRPr="00BC7912">
        <w:t>: Reasons for variations between forecast and actual prices</w:t>
      </w:r>
      <w:bookmarkEnd w:id="12"/>
    </w:p>
    <w:tbl>
      <w:tblPr>
        <w:tblStyle w:val="AERTable-Text"/>
        <w:tblW w:w="9122" w:type="dxa"/>
        <w:tblLayout w:type="fixed"/>
        <w:tblLook w:val="04A0" w:firstRow="1" w:lastRow="0" w:firstColumn="1" w:lastColumn="0" w:noHBand="0" w:noVBand="1"/>
      </w:tblPr>
      <w:tblGrid>
        <w:gridCol w:w="2835"/>
        <w:gridCol w:w="1571"/>
        <w:gridCol w:w="1572"/>
        <w:gridCol w:w="1572"/>
        <w:gridCol w:w="1572"/>
      </w:tblGrid>
      <w:tr w:rsidR="00B92CD5" w:rsidRPr="00B92CD5" w:rsidTr="00982FEB">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B92CD5">
            <w:pPr>
              <w:jc w:val="center"/>
            </w:pPr>
          </w:p>
        </w:tc>
        <w:tc>
          <w:tcPr>
            <w:tcW w:w="1571" w:type="dxa"/>
            <w:noWrap/>
            <w:hideMark/>
          </w:tcPr>
          <w:p w:rsidR="00B92CD5" w:rsidRPr="00B92CD5" w:rsidRDefault="00B92CD5" w:rsidP="000766E2">
            <w:pPr>
              <w:rPr>
                <w:sz w:val="20"/>
              </w:rPr>
            </w:pPr>
            <w:r w:rsidRPr="00B92CD5">
              <w:rPr>
                <w:sz w:val="20"/>
              </w:rPr>
              <w:t>Availability</w:t>
            </w:r>
          </w:p>
        </w:tc>
        <w:tc>
          <w:tcPr>
            <w:tcW w:w="1572" w:type="dxa"/>
            <w:noWrap/>
            <w:hideMark/>
          </w:tcPr>
          <w:p w:rsidR="00B92CD5" w:rsidRPr="00B92CD5" w:rsidRDefault="00B92CD5" w:rsidP="000766E2">
            <w:pPr>
              <w:rPr>
                <w:sz w:val="20"/>
              </w:rPr>
            </w:pPr>
            <w:r w:rsidRPr="00B92CD5">
              <w:rPr>
                <w:sz w:val="20"/>
              </w:rPr>
              <w:t>Demand</w:t>
            </w:r>
          </w:p>
        </w:tc>
        <w:tc>
          <w:tcPr>
            <w:tcW w:w="1572" w:type="dxa"/>
            <w:noWrap/>
            <w:hideMark/>
          </w:tcPr>
          <w:p w:rsidR="00B92CD5" w:rsidRPr="00B92CD5" w:rsidRDefault="00B92CD5" w:rsidP="000766E2">
            <w:pPr>
              <w:rPr>
                <w:sz w:val="20"/>
              </w:rPr>
            </w:pPr>
            <w:r w:rsidRPr="00B92CD5">
              <w:rPr>
                <w:sz w:val="20"/>
              </w:rPr>
              <w:t>Network</w:t>
            </w:r>
          </w:p>
        </w:tc>
        <w:tc>
          <w:tcPr>
            <w:tcW w:w="1572" w:type="dxa"/>
            <w:hideMark/>
          </w:tcPr>
          <w:p w:rsidR="00B92CD5" w:rsidRPr="00B92CD5" w:rsidRDefault="00B92CD5" w:rsidP="000766E2">
            <w:pPr>
              <w:rPr>
                <w:sz w:val="20"/>
              </w:rPr>
            </w:pPr>
            <w:r w:rsidRPr="00B92CD5">
              <w:rPr>
                <w:sz w:val="20"/>
              </w:rPr>
              <w:t>Combination</w:t>
            </w:r>
          </w:p>
        </w:tc>
      </w:tr>
      <w:tr w:rsidR="003A0810" w:rsidRPr="00F52F00" w:rsidTr="001329FB">
        <w:trPr>
          <w:trHeight w:hRule="exact" w:val="369"/>
        </w:trPr>
        <w:tc>
          <w:tcPr>
            <w:tcW w:w="2835" w:type="dxa"/>
            <w:noWrap/>
            <w:vAlign w:val="center"/>
            <w:hideMark/>
          </w:tcPr>
          <w:p w:rsidR="003A0810" w:rsidRPr="009B21F2" w:rsidRDefault="003A0810" w:rsidP="009B21F2">
            <w:pPr>
              <w:spacing w:before="0" w:after="0"/>
              <w:rPr>
                <w:sz w:val="20"/>
                <w:szCs w:val="20"/>
              </w:rPr>
            </w:pPr>
            <w:r w:rsidRPr="009B21F2">
              <w:rPr>
                <w:sz w:val="20"/>
                <w:szCs w:val="20"/>
              </w:rPr>
              <w:t>% of total above forecast</w:t>
            </w:r>
          </w:p>
        </w:tc>
        <w:tc>
          <w:tcPr>
            <w:tcW w:w="1571" w:type="dxa"/>
            <w:noWrap/>
          </w:tcPr>
          <w:p w:rsidR="003A0810" w:rsidRPr="003A0810" w:rsidRDefault="003A0810" w:rsidP="003A0810">
            <w:pPr>
              <w:jc w:val="center"/>
              <w:rPr>
                <w:sz w:val="20"/>
                <w:szCs w:val="20"/>
              </w:rPr>
            </w:pPr>
            <w:r w:rsidRPr="003A0810">
              <w:rPr>
                <w:sz w:val="20"/>
                <w:szCs w:val="20"/>
              </w:rPr>
              <w:t>6</w:t>
            </w:r>
          </w:p>
        </w:tc>
        <w:tc>
          <w:tcPr>
            <w:tcW w:w="1572" w:type="dxa"/>
            <w:noWrap/>
          </w:tcPr>
          <w:p w:rsidR="003A0810" w:rsidRPr="003A0810" w:rsidRDefault="003A0810" w:rsidP="003A0810">
            <w:pPr>
              <w:jc w:val="center"/>
              <w:rPr>
                <w:sz w:val="20"/>
                <w:szCs w:val="20"/>
              </w:rPr>
            </w:pPr>
            <w:r w:rsidRPr="003A0810">
              <w:rPr>
                <w:sz w:val="20"/>
                <w:szCs w:val="20"/>
              </w:rPr>
              <w:t>51</w:t>
            </w:r>
          </w:p>
        </w:tc>
        <w:tc>
          <w:tcPr>
            <w:tcW w:w="1572" w:type="dxa"/>
            <w:noWrap/>
          </w:tcPr>
          <w:p w:rsidR="003A0810" w:rsidRPr="003A0810" w:rsidRDefault="003A0810" w:rsidP="003A0810">
            <w:pPr>
              <w:jc w:val="center"/>
              <w:rPr>
                <w:sz w:val="20"/>
                <w:szCs w:val="20"/>
              </w:rPr>
            </w:pPr>
            <w:r w:rsidRPr="003A0810">
              <w:rPr>
                <w:sz w:val="20"/>
                <w:szCs w:val="20"/>
              </w:rPr>
              <w:t>0</w:t>
            </w:r>
          </w:p>
        </w:tc>
        <w:tc>
          <w:tcPr>
            <w:tcW w:w="1572" w:type="dxa"/>
          </w:tcPr>
          <w:p w:rsidR="003A0810" w:rsidRPr="003A0810" w:rsidRDefault="003A0810" w:rsidP="003A0810">
            <w:pPr>
              <w:jc w:val="center"/>
              <w:rPr>
                <w:sz w:val="20"/>
                <w:szCs w:val="20"/>
              </w:rPr>
            </w:pPr>
            <w:r w:rsidRPr="003A0810">
              <w:rPr>
                <w:sz w:val="20"/>
                <w:szCs w:val="20"/>
              </w:rPr>
              <w:t>3</w:t>
            </w:r>
          </w:p>
        </w:tc>
      </w:tr>
      <w:tr w:rsidR="003A0810" w:rsidRPr="00F52F00" w:rsidTr="001329FB">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3A0810" w:rsidRPr="009B21F2" w:rsidRDefault="003A0810" w:rsidP="009B21F2">
            <w:pPr>
              <w:spacing w:before="0" w:after="0"/>
              <w:rPr>
                <w:szCs w:val="20"/>
              </w:rPr>
            </w:pPr>
            <w:r w:rsidRPr="009B21F2">
              <w:rPr>
                <w:szCs w:val="20"/>
              </w:rPr>
              <w:t>% of total below forecast</w:t>
            </w:r>
          </w:p>
        </w:tc>
        <w:tc>
          <w:tcPr>
            <w:tcW w:w="1571" w:type="dxa"/>
            <w:noWrap/>
          </w:tcPr>
          <w:p w:rsidR="003A0810" w:rsidRPr="003A0810" w:rsidRDefault="003A0810" w:rsidP="003A0810">
            <w:pPr>
              <w:jc w:val="center"/>
              <w:rPr>
                <w:szCs w:val="20"/>
              </w:rPr>
            </w:pPr>
            <w:r w:rsidRPr="003A0810">
              <w:rPr>
                <w:szCs w:val="20"/>
              </w:rPr>
              <w:t>36</w:t>
            </w:r>
          </w:p>
        </w:tc>
        <w:tc>
          <w:tcPr>
            <w:tcW w:w="1572" w:type="dxa"/>
            <w:noWrap/>
          </w:tcPr>
          <w:p w:rsidR="003A0810" w:rsidRPr="003A0810" w:rsidRDefault="003A0810" w:rsidP="003A0810">
            <w:pPr>
              <w:jc w:val="center"/>
              <w:rPr>
                <w:szCs w:val="20"/>
              </w:rPr>
            </w:pPr>
            <w:r w:rsidRPr="003A0810">
              <w:rPr>
                <w:szCs w:val="20"/>
              </w:rPr>
              <w:t>1</w:t>
            </w:r>
          </w:p>
        </w:tc>
        <w:tc>
          <w:tcPr>
            <w:tcW w:w="1572" w:type="dxa"/>
            <w:noWrap/>
          </w:tcPr>
          <w:p w:rsidR="003A0810" w:rsidRPr="003A0810" w:rsidRDefault="003A0810" w:rsidP="003A0810">
            <w:pPr>
              <w:jc w:val="center"/>
              <w:rPr>
                <w:szCs w:val="20"/>
              </w:rPr>
            </w:pPr>
            <w:r w:rsidRPr="003A0810">
              <w:rPr>
                <w:szCs w:val="20"/>
              </w:rPr>
              <w:t>0</w:t>
            </w:r>
          </w:p>
        </w:tc>
        <w:tc>
          <w:tcPr>
            <w:tcW w:w="1572" w:type="dxa"/>
          </w:tcPr>
          <w:p w:rsidR="003A0810" w:rsidRPr="003A0810" w:rsidRDefault="003A0810" w:rsidP="003A0810">
            <w:pPr>
              <w:jc w:val="center"/>
              <w:rPr>
                <w:szCs w:val="20"/>
              </w:rPr>
            </w:pPr>
            <w:r w:rsidRPr="003A0810">
              <w:rPr>
                <w:szCs w:val="20"/>
              </w:rPr>
              <w:t>2</w:t>
            </w:r>
          </w:p>
        </w:tc>
      </w:tr>
    </w:tbl>
    <w:p w:rsidR="00275002" w:rsidRPr="0031019A" w:rsidRDefault="00275002" w:rsidP="00275002">
      <w:r w:rsidRPr="0031019A">
        <w:t>Note: Due to rounding, the total may not be 100 per cent.</w:t>
      </w:r>
    </w:p>
    <w:p w:rsidR="00275002" w:rsidRPr="0031019A" w:rsidRDefault="00275002" w:rsidP="00914A87">
      <w:pPr>
        <w:pStyle w:val="AERHeading1"/>
      </w:pPr>
      <w:r w:rsidRPr="0031019A">
        <w:t>Generation and bidding patterns</w:t>
      </w:r>
    </w:p>
    <w:p w:rsidR="003A0810" w:rsidRPr="0031019A" w:rsidRDefault="00275002" w:rsidP="009A3D22">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C8107F">
        <w:t xml:space="preserve">Figure </w:t>
      </w:r>
      <w:r w:rsidR="00C8107F">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r w:rsidR="00C8107F">
        <w:t xml:space="preserve">Figure </w:t>
      </w:r>
      <w:r w:rsidR="00C8107F">
        <w:rPr>
          <w:noProof/>
        </w:rPr>
        <w:t>7</w:t>
      </w:r>
      <w:r>
        <w:fldChar w:fldCharType="end"/>
      </w:r>
      <w:r w:rsidRPr="0031019A">
        <w:t xml:space="preserve"> show, the total generation dispatched and the amounts of capacity offered within certain price bands for each 30 minute trading interval in each region. </w:t>
      </w:r>
    </w:p>
    <w:p w:rsidR="00275002" w:rsidRDefault="003A0810" w:rsidP="000E2946">
      <w:pPr>
        <w:pStyle w:val="Caption"/>
      </w:pPr>
      <w:bookmarkStart w:id="13" w:name="_Ref410383507"/>
      <w:r w:rsidRPr="003A0810">
        <w:rPr>
          <w:noProof/>
          <w:lang w:eastAsia="en-AU"/>
        </w:rPr>
        <w:drawing>
          <wp:anchor distT="0" distB="0" distL="114300" distR="114300" simplePos="0" relativeHeight="251660288" behindDoc="0" locked="0" layoutInCell="1" allowOverlap="1" wp14:anchorId="6FE2CECA" wp14:editId="6B241B95">
            <wp:simplePos x="0" y="0"/>
            <wp:positionH relativeFrom="column">
              <wp:posOffset>-64135</wp:posOffset>
            </wp:positionH>
            <wp:positionV relativeFrom="paragraph">
              <wp:posOffset>496570</wp:posOffset>
            </wp:positionV>
            <wp:extent cx="5731510" cy="4117975"/>
            <wp:effectExtent l="0" t="0" r="2540" b="0"/>
            <wp:wrapSquare wrapText="bothSides"/>
            <wp:docPr id="5" name="Picture 5"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5002">
        <w:t xml:space="preserve">Figure </w:t>
      </w:r>
      <w:r w:rsidR="009E61F2">
        <w:fldChar w:fldCharType="begin"/>
      </w:r>
      <w:r w:rsidR="009E61F2">
        <w:instrText xml:space="preserve"> SEQ Figure \* ARABIC </w:instrText>
      </w:r>
      <w:r w:rsidR="009E61F2">
        <w:fldChar w:fldCharType="separate"/>
      </w:r>
      <w:r w:rsidR="00C8107F">
        <w:rPr>
          <w:noProof/>
        </w:rPr>
        <w:t>3</w:t>
      </w:r>
      <w:r w:rsidR="009E61F2">
        <w:rPr>
          <w:noProof/>
        </w:rPr>
        <w:fldChar w:fldCharType="end"/>
      </w:r>
      <w:bookmarkEnd w:id="13"/>
      <w:r w:rsidR="00275002">
        <w:t xml:space="preserve">: Queensland </w:t>
      </w:r>
      <w:r w:rsidR="00275002" w:rsidRPr="00690328">
        <w:t>generation and bidding patterns</w:t>
      </w:r>
    </w:p>
    <w:p w:rsidR="00275002" w:rsidRPr="00EA4191" w:rsidRDefault="00275002" w:rsidP="00275002"/>
    <w:p w:rsidR="00275002" w:rsidRPr="0031019A" w:rsidRDefault="00275002" w:rsidP="00275002"/>
    <w:p w:rsidR="00275002" w:rsidRDefault="00275002" w:rsidP="000E2946">
      <w:pPr>
        <w:pStyle w:val="Caption"/>
      </w:pPr>
      <w:r>
        <w:lastRenderedPageBreak/>
        <w:t xml:space="preserve">Figure </w:t>
      </w:r>
      <w:r w:rsidR="009E61F2">
        <w:fldChar w:fldCharType="begin"/>
      </w:r>
      <w:r w:rsidR="009E61F2">
        <w:instrText xml:space="preserve"> SEQ Figure \* ARABIC </w:instrText>
      </w:r>
      <w:r w:rsidR="009E61F2">
        <w:fldChar w:fldCharType="separate"/>
      </w:r>
      <w:r w:rsidR="00C8107F">
        <w:rPr>
          <w:noProof/>
        </w:rPr>
        <w:t>4</w:t>
      </w:r>
      <w:r w:rsidR="009E61F2">
        <w:rPr>
          <w:noProof/>
        </w:rPr>
        <w:fldChar w:fldCharType="end"/>
      </w:r>
      <w:r>
        <w:t xml:space="preserve">: </w:t>
      </w:r>
      <w:r w:rsidRPr="00CC5077">
        <w:t>New South Wales generation and bidding patterns</w:t>
      </w:r>
    </w:p>
    <w:p w:rsidR="00275002" w:rsidRPr="0031019A" w:rsidRDefault="003A0810" w:rsidP="00275002">
      <w:r w:rsidRPr="003A0810">
        <w:rPr>
          <w:noProof/>
          <w:lang w:eastAsia="en-AU"/>
        </w:rPr>
        <w:drawing>
          <wp:inline distT="0" distB="0" distL="0" distR="0" wp14:anchorId="63431B3D" wp14:editId="2078D398">
            <wp:extent cx="5731510" cy="4124019"/>
            <wp:effectExtent l="0" t="0" r="2540" b="0"/>
            <wp:docPr id="6" name="Picture 6"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4019"/>
                    </a:xfrm>
                    <a:prstGeom prst="rect">
                      <a:avLst/>
                    </a:prstGeom>
                    <a:noFill/>
                    <a:ln>
                      <a:noFill/>
                    </a:ln>
                  </pic:spPr>
                </pic:pic>
              </a:graphicData>
            </a:graphic>
          </wp:inline>
        </w:drawing>
      </w:r>
    </w:p>
    <w:p w:rsidR="00275002" w:rsidRDefault="00275002" w:rsidP="000E2946">
      <w:pPr>
        <w:pStyle w:val="Caption"/>
      </w:pPr>
      <w:r>
        <w:lastRenderedPageBreak/>
        <w:t xml:space="preserve">Figure </w:t>
      </w:r>
      <w:r w:rsidR="009E61F2">
        <w:fldChar w:fldCharType="begin"/>
      </w:r>
      <w:r w:rsidR="009E61F2">
        <w:instrText xml:space="preserve"> SEQ Figure \* ARABIC </w:instrText>
      </w:r>
      <w:r w:rsidR="009E61F2">
        <w:fldChar w:fldCharType="separate"/>
      </w:r>
      <w:r w:rsidR="00C8107F">
        <w:rPr>
          <w:noProof/>
        </w:rPr>
        <w:t>5</w:t>
      </w:r>
      <w:r w:rsidR="009E61F2">
        <w:rPr>
          <w:noProof/>
        </w:rPr>
        <w:fldChar w:fldCharType="end"/>
      </w:r>
      <w:r w:rsidRPr="0003635A">
        <w:t>: Victoria generation and bidding patterns</w:t>
      </w:r>
    </w:p>
    <w:p w:rsidR="00275002" w:rsidRPr="0031019A" w:rsidRDefault="003A0810" w:rsidP="00275002">
      <w:r w:rsidRPr="003A0810">
        <w:rPr>
          <w:noProof/>
          <w:lang w:eastAsia="en-AU"/>
        </w:rPr>
        <w:drawing>
          <wp:inline distT="0" distB="0" distL="0" distR="0" wp14:anchorId="565A3F4A" wp14:editId="5F3AE840">
            <wp:extent cx="5731510" cy="4118538"/>
            <wp:effectExtent l="0" t="0" r="2540" b="0"/>
            <wp:docPr id="7" name="Picture 7"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Default="00275002" w:rsidP="000E2946">
      <w:pPr>
        <w:pStyle w:val="Caption"/>
      </w:pPr>
      <w:r>
        <w:lastRenderedPageBreak/>
        <w:t xml:space="preserve">Figure </w:t>
      </w:r>
      <w:r w:rsidR="009E61F2">
        <w:fldChar w:fldCharType="begin"/>
      </w:r>
      <w:r w:rsidR="009E61F2">
        <w:instrText xml:space="preserve"> SEQ Figure \* ARABIC </w:instrText>
      </w:r>
      <w:r w:rsidR="009E61F2">
        <w:fldChar w:fldCharType="separate"/>
      </w:r>
      <w:r w:rsidR="00C8107F">
        <w:rPr>
          <w:noProof/>
        </w:rPr>
        <w:t>6</w:t>
      </w:r>
      <w:r w:rsidR="009E61F2">
        <w:rPr>
          <w:noProof/>
        </w:rPr>
        <w:fldChar w:fldCharType="end"/>
      </w:r>
      <w:r>
        <w:t>:</w:t>
      </w:r>
      <w:r w:rsidRPr="00BD00EB">
        <w:t xml:space="preserve"> South Australia generation and bidding patterns</w:t>
      </w:r>
    </w:p>
    <w:p w:rsidR="00275002" w:rsidRPr="0031019A" w:rsidRDefault="003A0810" w:rsidP="00275002">
      <w:r w:rsidRPr="003A0810">
        <w:rPr>
          <w:noProof/>
          <w:lang w:eastAsia="en-AU"/>
        </w:rPr>
        <w:drawing>
          <wp:inline distT="0" distB="0" distL="0" distR="0" wp14:anchorId="71ECCE71" wp14:editId="24B8B42C">
            <wp:extent cx="5731510" cy="4118538"/>
            <wp:effectExtent l="0" t="0" r="2540" b="0"/>
            <wp:docPr id="8" name="Picture 8"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Default="00275002" w:rsidP="000E2946">
      <w:pPr>
        <w:pStyle w:val="Caption"/>
      </w:pPr>
      <w:bookmarkStart w:id="14" w:name="_Ref410383520"/>
      <w:r>
        <w:lastRenderedPageBreak/>
        <w:t xml:space="preserve">Figure </w:t>
      </w:r>
      <w:r w:rsidR="009E61F2">
        <w:fldChar w:fldCharType="begin"/>
      </w:r>
      <w:r w:rsidR="009E61F2">
        <w:instrText xml:space="preserve"> SEQ Figure \* ARABIC </w:instrText>
      </w:r>
      <w:r w:rsidR="009E61F2">
        <w:fldChar w:fldCharType="separate"/>
      </w:r>
      <w:r w:rsidR="00C8107F">
        <w:rPr>
          <w:noProof/>
        </w:rPr>
        <w:t>7</w:t>
      </w:r>
      <w:r w:rsidR="009E61F2">
        <w:rPr>
          <w:noProof/>
        </w:rPr>
        <w:fldChar w:fldCharType="end"/>
      </w:r>
      <w:bookmarkEnd w:id="14"/>
      <w:r>
        <w:t xml:space="preserve">: </w:t>
      </w:r>
      <w:r w:rsidRPr="008837C4">
        <w:t>Tasmania generation and bidding patterns</w:t>
      </w:r>
    </w:p>
    <w:p w:rsidR="00275002" w:rsidRDefault="003A0810" w:rsidP="00275002">
      <w:r w:rsidRPr="003A0810">
        <w:rPr>
          <w:noProof/>
          <w:lang w:eastAsia="en-AU"/>
        </w:rPr>
        <w:drawing>
          <wp:inline distT="0" distB="0" distL="0" distR="0" wp14:anchorId="5CE4BDD8" wp14:editId="4E53FAB5">
            <wp:extent cx="5731510" cy="4118538"/>
            <wp:effectExtent l="0" t="0" r="2540" b="0"/>
            <wp:docPr id="9" name="Picture 9"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31019A" w:rsidRDefault="00275002" w:rsidP="009A3D22">
      <w:pPr>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857917" w:rsidRDefault="00857917" w:rsidP="002D3145">
      <w:pPr>
        <w:pStyle w:val="Caption"/>
        <w:jc w:val="both"/>
        <w:rPr>
          <w:b w:val="0"/>
          <w:bCs w:val="0"/>
          <w:color w:val="auto"/>
          <w:sz w:val="22"/>
          <w:szCs w:val="22"/>
        </w:rPr>
      </w:pPr>
      <w:bookmarkStart w:id="15" w:name="_Ref410383413"/>
      <w:r w:rsidRPr="00857917">
        <w:rPr>
          <w:b w:val="0"/>
          <w:bCs w:val="0"/>
          <w:color w:val="auto"/>
          <w:sz w:val="22"/>
          <w:szCs w:val="22"/>
        </w:rPr>
        <w:lastRenderedPageBreak/>
        <w:t>The total cost of FCAS on the mainland for the</w:t>
      </w:r>
      <w:r w:rsidR="003A0810">
        <w:rPr>
          <w:b w:val="0"/>
          <w:bCs w:val="0"/>
          <w:color w:val="auto"/>
          <w:sz w:val="22"/>
          <w:szCs w:val="22"/>
        </w:rPr>
        <w:t xml:space="preserve"> week was $375</w:t>
      </w:r>
      <w:r w:rsidR="0018193D">
        <w:rPr>
          <w:b w:val="0"/>
          <w:bCs w:val="0"/>
          <w:color w:val="auto"/>
          <w:sz w:val="22"/>
          <w:szCs w:val="22"/>
        </w:rPr>
        <w:t> </w:t>
      </w:r>
      <w:r w:rsidR="003A0810">
        <w:rPr>
          <w:b w:val="0"/>
          <w:bCs w:val="0"/>
          <w:color w:val="auto"/>
          <w:sz w:val="22"/>
          <w:szCs w:val="22"/>
        </w:rPr>
        <w:t>0</w:t>
      </w:r>
      <w:r>
        <w:rPr>
          <w:b w:val="0"/>
          <w:bCs w:val="0"/>
          <w:color w:val="auto"/>
          <w:sz w:val="22"/>
          <w:szCs w:val="22"/>
        </w:rPr>
        <w:t xml:space="preserve">00 or less than </w:t>
      </w:r>
      <w:r w:rsidR="00613DEC">
        <w:rPr>
          <w:b w:val="0"/>
          <w:bCs w:val="0"/>
          <w:color w:val="auto"/>
          <w:sz w:val="22"/>
          <w:szCs w:val="22"/>
        </w:rPr>
        <w:t>1</w:t>
      </w:r>
      <w:r w:rsidRPr="00857917">
        <w:rPr>
          <w:b w:val="0"/>
          <w:bCs w:val="0"/>
          <w:color w:val="auto"/>
          <w:sz w:val="22"/>
          <w:szCs w:val="22"/>
        </w:rPr>
        <w:t xml:space="preserve"> per cent of energy turnover on the mainland.</w:t>
      </w:r>
    </w:p>
    <w:p w:rsidR="00411897" w:rsidRDefault="00857917" w:rsidP="002D3145">
      <w:pPr>
        <w:pStyle w:val="Caption"/>
        <w:jc w:val="both"/>
        <w:rPr>
          <w:b w:val="0"/>
          <w:bCs w:val="0"/>
          <w:color w:val="auto"/>
          <w:sz w:val="22"/>
          <w:szCs w:val="22"/>
        </w:rPr>
      </w:pPr>
      <w:r w:rsidRPr="00857917">
        <w:rPr>
          <w:b w:val="0"/>
          <w:bCs w:val="0"/>
          <w:color w:val="auto"/>
          <w:sz w:val="22"/>
          <w:szCs w:val="22"/>
        </w:rPr>
        <w:t>The total cost of FCAS in Tasmania for the week was $</w:t>
      </w:r>
      <w:r w:rsidR="00613DEC">
        <w:rPr>
          <w:b w:val="0"/>
          <w:bCs w:val="0"/>
          <w:color w:val="auto"/>
          <w:sz w:val="22"/>
          <w:szCs w:val="22"/>
        </w:rPr>
        <w:t>195</w:t>
      </w:r>
      <w:r w:rsidR="0018193D">
        <w:rPr>
          <w:b w:val="0"/>
          <w:bCs w:val="0"/>
          <w:color w:val="auto"/>
          <w:sz w:val="22"/>
          <w:szCs w:val="22"/>
        </w:rPr>
        <w:t> </w:t>
      </w:r>
      <w:r w:rsidR="00613DEC">
        <w:rPr>
          <w:b w:val="0"/>
          <w:bCs w:val="0"/>
          <w:color w:val="auto"/>
          <w:sz w:val="22"/>
          <w:szCs w:val="22"/>
        </w:rPr>
        <w:t xml:space="preserve">000 or </w:t>
      </w:r>
      <w:r w:rsidR="002D3145">
        <w:rPr>
          <w:b w:val="0"/>
          <w:bCs w:val="0"/>
          <w:color w:val="auto"/>
          <w:sz w:val="22"/>
          <w:szCs w:val="22"/>
        </w:rPr>
        <w:t xml:space="preserve">around </w:t>
      </w:r>
      <w:r w:rsidR="0018193D">
        <w:rPr>
          <w:b w:val="0"/>
          <w:bCs w:val="0"/>
          <w:color w:val="auto"/>
          <w:sz w:val="22"/>
          <w:szCs w:val="22"/>
        </w:rPr>
        <w:t>4</w:t>
      </w:r>
      <w:r w:rsidR="002D3145">
        <w:rPr>
          <w:b w:val="0"/>
          <w:bCs w:val="0"/>
          <w:color w:val="auto"/>
          <w:sz w:val="22"/>
          <w:szCs w:val="22"/>
        </w:rPr>
        <w:t> </w:t>
      </w:r>
      <w:r w:rsidRPr="00857917">
        <w:rPr>
          <w:b w:val="0"/>
          <w:bCs w:val="0"/>
          <w:color w:val="auto"/>
          <w:sz w:val="22"/>
          <w:szCs w:val="22"/>
        </w:rPr>
        <w:t>per cent of energy turnover in Tasmania.</w:t>
      </w:r>
    </w:p>
    <w:bookmarkStart w:id="16" w:name="_Ref418082853"/>
    <w:p w:rsidR="002D3145" w:rsidRDefault="00C158CC" w:rsidP="002D3145">
      <w:pPr>
        <w:jc w:val="both"/>
        <w:rPr>
          <w:rFonts w:cs="Arial"/>
        </w:rPr>
      </w:pPr>
      <w:r>
        <w:rPr>
          <w:rFonts w:cs="Arial"/>
        </w:rPr>
        <w:fldChar w:fldCharType="begin"/>
      </w:r>
      <w:r>
        <w:instrText xml:space="preserve"> REF _Ref419815933 \h </w:instrText>
      </w:r>
      <w:r>
        <w:rPr>
          <w:rFonts w:cs="Arial"/>
        </w:rPr>
      </w:r>
      <w:r>
        <w:rPr>
          <w:rFonts w:cs="Arial"/>
        </w:rPr>
        <w:fldChar w:fldCharType="separate"/>
      </w:r>
      <w:r w:rsidR="00C8107F">
        <w:t xml:space="preserve">Figure </w:t>
      </w:r>
      <w:r w:rsidR="00C8107F">
        <w:rPr>
          <w:noProof/>
        </w:rPr>
        <w:t>8</w:t>
      </w:r>
      <w:r>
        <w:rPr>
          <w:rFonts w:cs="Arial"/>
        </w:rPr>
        <w:fldChar w:fldCharType="end"/>
      </w:r>
      <w:r>
        <w:rPr>
          <w:rFonts w:cs="Arial"/>
        </w:rPr>
        <w:t xml:space="preserve"> </w:t>
      </w:r>
      <w:bookmarkStart w:id="17" w:name="_GoBack"/>
      <w:bookmarkEnd w:id="17"/>
      <w:r w:rsidR="00713ED3" w:rsidRPr="0031019A">
        <w:t>shows</w:t>
      </w:r>
      <w:r w:rsidR="002D3145" w:rsidRPr="0031019A">
        <w:t xml:space="preserve"> the daily breakdown of cost for each FCAS for the NEM, as well as the average cost since the beginning of the previ</w:t>
      </w:r>
      <w:r w:rsidR="002D3145" w:rsidRPr="008366CD">
        <w:t xml:space="preserve">ous financial year. </w:t>
      </w:r>
    </w:p>
    <w:p w:rsidR="00275002" w:rsidRDefault="00275002" w:rsidP="000E2946">
      <w:pPr>
        <w:pStyle w:val="Caption"/>
      </w:pPr>
      <w:bookmarkStart w:id="18" w:name="_Ref419815933"/>
      <w:r>
        <w:t xml:space="preserve">Figure </w:t>
      </w:r>
      <w:r w:rsidR="009E61F2">
        <w:fldChar w:fldCharType="begin"/>
      </w:r>
      <w:r w:rsidR="009E61F2">
        <w:instrText xml:space="preserve"> SEQ Figure \* ARABIC </w:instrText>
      </w:r>
      <w:r w:rsidR="009E61F2">
        <w:fldChar w:fldCharType="separate"/>
      </w:r>
      <w:r w:rsidR="00C8107F">
        <w:rPr>
          <w:noProof/>
        </w:rPr>
        <w:t>8</w:t>
      </w:r>
      <w:r w:rsidR="009E61F2">
        <w:rPr>
          <w:noProof/>
        </w:rPr>
        <w:fldChar w:fldCharType="end"/>
      </w:r>
      <w:bookmarkEnd w:id="15"/>
      <w:bookmarkEnd w:id="16"/>
      <w:bookmarkEnd w:id="18"/>
      <w:r w:rsidRPr="007707C6">
        <w:t>: Daily frequency control ancillary service cost</w:t>
      </w:r>
    </w:p>
    <w:p w:rsidR="00275002" w:rsidRDefault="003A0810" w:rsidP="00275002">
      <w:r w:rsidRPr="003A0810">
        <w:rPr>
          <w:noProof/>
          <w:lang w:eastAsia="en-AU"/>
        </w:rPr>
        <w:drawing>
          <wp:inline distT="0" distB="0" distL="0" distR="0" wp14:anchorId="06C5D989" wp14:editId="6F36FFD5">
            <wp:extent cx="5731510" cy="2894535"/>
            <wp:effectExtent l="0" t="0" r="2540" b="1270"/>
            <wp:docPr id="10" name="Picture 10" descr="Figure 8 shows the daily breakdown of cost for each FCAS for the NEM, as well as the average cost since the beginning of the previous financial year.&#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4535"/>
                    </a:xfrm>
                    <a:prstGeom prst="rect">
                      <a:avLst/>
                    </a:prstGeom>
                    <a:noFill/>
                    <a:ln>
                      <a:noFill/>
                    </a:ln>
                  </pic:spPr>
                </pic:pic>
              </a:graphicData>
            </a:graphic>
          </wp:inline>
        </w:drawing>
      </w:r>
    </w:p>
    <w:p w:rsidR="002D3145" w:rsidRDefault="002D3145" w:rsidP="003729AA">
      <w:pPr>
        <w:jc w:val="both"/>
      </w:pPr>
    </w:p>
    <w:p w:rsidR="0018193D" w:rsidRPr="0031019A" w:rsidRDefault="0018193D" w:rsidP="003729AA">
      <w:pPr>
        <w:jc w:val="both"/>
      </w:pPr>
    </w:p>
    <w:bookmarkEnd w:id="0"/>
    <w:bookmarkEnd w:id="1"/>
    <w:bookmarkEnd w:id="2"/>
    <w:bookmarkEnd w:id="3"/>
    <w:bookmarkEnd w:id="4"/>
    <w:bookmarkEnd w:id="5"/>
    <w:p w:rsidR="00275002" w:rsidRPr="0031019A" w:rsidRDefault="00275002" w:rsidP="005F6ADE">
      <w:pPr>
        <w:pStyle w:val="Heading2"/>
      </w:pPr>
      <w:r w:rsidRPr="0031019A">
        <w:t>Financial markets</w:t>
      </w:r>
    </w:p>
    <w:p w:rsidR="00275002" w:rsidRPr="0031019A" w:rsidRDefault="00275002" w:rsidP="009A3D22">
      <w:pPr>
        <w:jc w:val="both"/>
      </w:pPr>
      <w:r>
        <w:fldChar w:fldCharType="begin"/>
      </w:r>
      <w:r>
        <w:instrText xml:space="preserve"> REF _Ref410386540 \h </w:instrText>
      </w:r>
      <w:r w:rsidR="009A3D22">
        <w:instrText xml:space="preserve"> \* MERGEFORMAT </w:instrText>
      </w:r>
      <w:r>
        <w:fldChar w:fldCharType="separate"/>
      </w:r>
      <w:r w:rsidR="00C8107F">
        <w:t xml:space="preserve">Figure </w:t>
      </w:r>
      <w:r w:rsidR="00C8107F">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275002" w:rsidRDefault="00275002" w:rsidP="000E2946">
      <w:pPr>
        <w:pStyle w:val="Caption"/>
      </w:pPr>
      <w:bookmarkStart w:id="19" w:name="_Ref410386540"/>
      <w:r>
        <w:lastRenderedPageBreak/>
        <w:t xml:space="preserve">Figure </w:t>
      </w:r>
      <w:r w:rsidR="009E61F2">
        <w:fldChar w:fldCharType="begin"/>
      </w:r>
      <w:r w:rsidR="009E61F2">
        <w:instrText xml:space="preserve"> SEQ Figure \* ARABIC </w:instrText>
      </w:r>
      <w:r w:rsidR="009E61F2">
        <w:fldChar w:fldCharType="separate"/>
      </w:r>
      <w:r w:rsidR="00C8107F">
        <w:rPr>
          <w:noProof/>
        </w:rPr>
        <w:t>9</w:t>
      </w:r>
      <w:r w:rsidR="009E61F2">
        <w:rPr>
          <w:noProof/>
        </w:rPr>
        <w:fldChar w:fldCharType="end"/>
      </w:r>
      <w:bookmarkEnd w:id="19"/>
      <w:r>
        <w:t xml:space="preserve">: </w:t>
      </w:r>
      <w:r w:rsidRPr="007A6ACB">
        <w:t>Quarterly base future prices Q</w:t>
      </w:r>
      <w:r w:rsidR="00F87EBA">
        <w:t>2</w:t>
      </w:r>
      <w:r w:rsidRPr="007A6ACB">
        <w:t xml:space="preserve"> 2015 – Q</w:t>
      </w:r>
      <w:r w:rsidR="00F87EBA">
        <w:t>1</w:t>
      </w:r>
      <w:r w:rsidRPr="007A6ACB">
        <w:t xml:space="preserve"> 201</w:t>
      </w:r>
      <w:r w:rsidR="00F87EBA">
        <w:t>9</w:t>
      </w:r>
    </w:p>
    <w:p w:rsidR="00275002" w:rsidRPr="002A7439" w:rsidRDefault="00613DEC" w:rsidP="00275002">
      <w:pPr>
        <w:rPr>
          <w:rStyle w:val="SourceChar"/>
        </w:rPr>
      </w:pPr>
      <w:r w:rsidRPr="00613DEC">
        <w:rPr>
          <w:noProof/>
          <w:lang w:eastAsia="en-AU"/>
        </w:rPr>
        <w:drawing>
          <wp:inline distT="0" distB="0" distL="0" distR="0" wp14:anchorId="572EDB1E" wp14:editId="3B98F6E0">
            <wp:extent cx="5731510" cy="2885766"/>
            <wp:effectExtent l="0" t="0" r="2540" b="0"/>
            <wp:docPr id="16" name="Picture 16"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5766"/>
                    </a:xfrm>
                    <a:prstGeom prst="rect">
                      <a:avLst/>
                    </a:prstGeom>
                    <a:noFill/>
                    <a:ln>
                      <a:noFill/>
                    </a:ln>
                  </pic:spPr>
                </pic:pic>
              </a:graphicData>
            </a:graphic>
          </wp:inline>
        </w:drawing>
      </w:r>
      <w:r w:rsidR="00275002" w:rsidRPr="002A7439">
        <w:rPr>
          <w:rStyle w:val="SourceChar"/>
        </w:rPr>
        <w:t xml:space="preserve">Source: </w:t>
      </w:r>
      <w:hyperlink r:id="rId21" w:history="1">
        <w:r w:rsidR="00275002" w:rsidRPr="002A7439">
          <w:rPr>
            <w:rStyle w:val="SourceChar"/>
          </w:rPr>
          <w:t>ASXEnergy.com.au</w:t>
        </w:r>
      </w:hyperlink>
    </w:p>
    <w:p w:rsidR="00275002" w:rsidRPr="0031019A" w:rsidRDefault="00275002" w:rsidP="009A3D22">
      <w:pPr>
        <w:jc w:val="both"/>
      </w:pPr>
      <w:r>
        <w:fldChar w:fldCharType="begin"/>
      </w:r>
      <w:r>
        <w:instrText xml:space="preserve"> REF _Ref410380382 \h </w:instrText>
      </w:r>
      <w:r w:rsidR="009A3D22">
        <w:instrText xml:space="preserve"> \* MERGEFORMAT </w:instrText>
      </w:r>
      <w:r>
        <w:fldChar w:fldCharType="separate"/>
      </w:r>
      <w:r w:rsidR="00C8107F">
        <w:t xml:space="preserve">Figure </w:t>
      </w:r>
      <w:r w:rsidR="00C8107F">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p>
    <w:p w:rsidR="00275002" w:rsidRDefault="00275002" w:rsidP="000E2946">
      <w:pPr>
        <w:pStyle w:val="Caption"/>
      </w:pPr>
      <w:bookmarkStart w:id="20" w:name="_Ref410380382"/>
      <w:r>
        <w:t xml:space="preserve">Figure </w:t>
      </w:r>
      <w:r w:rsidR="009E61F2">
        <w:fldChar w:fldCharType="begin"/>
      </w:r>
      <w:r w:rsidR="009E61F2">
        <w:instrText xml:space="preserve"> SEQ Figure \* ARABIC </w:instrText>
      </w:r>
      <w:r w:rsidR="009E61F2">
        <w:fldChar w:fldCharType="separate"/>
      </w:r>
      <w:r w:rsidR="00C8107F">
        <w:rPr>
          <w:noProof/>
        </w:rPr>
        <w:t>10</w:t>
      </w:r>
      <w:r w:rsidR="009E61F2">
        <w:rPr>
          <w:noProof/>
        </w:rPr>
        <w:fldChar w:fldCharType="end"/>
      </w:r>
      <w:bookmarkEnd w:id="20"/>
      <w:r w:rsidRPr="00DF093A">
        <w:t>: Price of Q1 201</w:t>
      </w:r>
      <w:r w:rsidR="00F87EBA">
        <w:t>6</w:t>
      </w:r>
      <w:r w:rsidRPr="00DF093A">
        <w:t xml:space="preserve"> base contracts over the past 10 weeks (and the past 2 years)</w:t>
      </w:r>
    </w:p>
    <w:p w:rsidR="00275002" w:rsidRPr="0031019A" w:rsidRDefault="00E334A3" w:rsidP="00275002">
      <w:r w:rsidRPr="00E334A3">
        <w:rPr>
          <w:noProof/>
          <w:lang w:eastAsia="en-AU"/>
        </w:rPr>
        <w:drawing>
          <wp:inline distT="0" distB="0" distL="0" distR="0" wp14:anchorId="260255F8" wp14:editId="42A8CD8E">
            <wp:extent cx="5731510" cy="2896942"/>
            <wp:effectExtent l="0" t="0" r="2540" b="0"/>
            <wp:docPr id="3" name="Picture 3" descr="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6942"/>
                    </a:xfrm>
                    <a:prstGeom prst="rect">
                      <a:avLst/>
                    </a:prstGeom>
                    <a:noFill/>
                    <a:ln>
                      <a:noFill/>
                    </a:ln>
                  </pic:spPr>
                </pic:pic>
              </a:graphicData>
            </a:graphic>
          </wp:inline>
        </w:drawing>
      </w:r>
    </w:p>
    <w:p w:rsidR="00275002" w:rsidRPr="0031019A" w:rsidRDefault="00275002" w:rsidP="002A7439">
      <w:pPr>
        <w:pStyle w:val="Source"/>
      </w:pPr>
      <w:r w:rsidRPr="0031019A">
        <w:t>Note: Base contract prices are shown for each of the current week and the previous 9 weeks, with average prices shown for yearly periods 1 and 2 years prior to the current year</w:t>
      </w:r>
      <w:r w:rsidR="00D615F9">
        <w:t>.</w:t>
      </w:r>
    </w:p>
    <w:p w:rsidR="00275002" w:rsidRPr="002A7439" w:rsidRDefault="00275002" w:rsidP="002A7439">
      <w:pPr>
        <w:pStyle w:val="Source"/>
      </w:pPr>
      <w:r w:rsidRPr="002A7439">
        <w:t xml:space="preserve">Source: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4" w:history="1">
        <w:r w:rsidRPr="0031019A">
          <w:rPr>
            <w:rStyle w:val="Hyperlink"/>
          </w:rPr>
          <w:t>Performance of the Energy Sector</w:t>
        </w:r>
      </w:hyperlink>
      <w:r w:rsidR="00D615F9">
        <w:t xml:space="preserve"> s</w:t>
      </w:r>
      <w:r w:rsidRPr="0031019A">
        <w:t>ection of our website.</w:t>
      </w:r>
    </w:p>
    <w:p w:rsidR="00275002" w:rsidRPr="0031019A" w:rsidRDefault="007F475F" w:rsidP="009A3D22">
      <w:pPr>
        <w:jc w:val="both"/>
      </w:pPr>
      <w:r>
        <w:fldChar w:fldCharType="begin"/>
      </w:r>
      <w:r>
        <w:instrText xml:space="preserve"> REF _Ref410744936 \h </w:instrText>
      </w:r>
      <w:r>
        <w:fldChar w:fldCharType="separate"/>
      </w:r>
      <w:r w:rsidR="00C8107F">
        <w:t xml:space="preserve">Figure </w:t>
      </w:r>
      <w:r w:rsidR="00C8107F">
        <w:rPr>
          <w:noProof/>
        </w:rPr>
        <w:t>11</w:t>
      </w:r>
      <w:r w:rsidR="00C8107F" w:rsidRPr="0074419D">
        <w:t>: Price of Q1 201</w:t>
      </w:r>
      <w:r w:rsidR="00C8107F">
        <w:t>6</w:t>
      </w:r>
      <w:r w:rsidR="00C8107F" w:rsidRPr="0074419D">
        <w:t xml:space="preserve"> cap contracts over the past 10 weeks (and the past 2 years)</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0E2946">
      <w:pPr>
        <w:pStyle w:val="Caption"/>
      </w:pPr>
      <w:bookmarkStart w:id="21" w:name="_Ref410744936"/>
      <w:r>
        <w:t xml:space="preserve">Figure </w:t>
      </w:r>
      <w:r w:rsidR="009E61F2">
        <w:fldChar w:fldCharType="begin"/>
      </w:r>
      <w:r w:rsidR="009E61F2">
        <w:instrText xml:space="preserve"> SEQ Figure \* ARABIC </w:instrText>
      </w:r>
      <w:r w:rsidR="009E61F2">
        <w:fldChar w:fldCharType="separate"/>
      </w:r>
      <w:r w:rsidR="00C8107F">
        <w:rPr>
          <w:noProof/>
        </w:rPr>
        <w:t>11</w:t>
      </w:r>
      <w:r w:rsidR="009E61F2">
        <w:rPr>
          <w:noProof/>
        </w:rPr>
        <w:fldChar w:fldCharType="end"/>
      </w:r>
      <w:r w:rsidRPr="0074419D">
        <w:t>: Price of Q1 201</w:t>
      </w:r>
      <w:r w:rsidR="00F87EBA">
        <w:t>6</w:t>
      </w:r>
      <w:r w:rsidRPr="0074419D">
        <w:t xml:space="preserve"> cap contracts over the past 10 weeks (and the past 2 years)</w:t>
      </w:r>
      <w:bookmarkEnd w:id="21"/>
    </w:p>
    <w:p w:rsidR="00275002" w:rsidRPr="0031019A" w:rsidRDefault="00E334A3" w:rsidP="00275002">
      <w:r w:rsidRPr="00E334A3">
        <w:rPr>
          <w:noProof/>
          <w:lang w:eastAsia="en-AU"/>
        </w:rPr>
        <w:drawing>
          <wp:inline distT="0" distB="0" distL="0" distR="0" wp14:anchorId="6D47FB6B" wp14:editId="7D85367F">
            <wp:extent cx="5731510" cy="2872627"/>
            <wp:effectExtent l="0" t="0" r="2540" b="4445"/>
            <wp:docPr id="11" name="Picture 11" descr="Figure 11 shows how the price for each regional Quarter 1 2015 cap contract has changed over the last 10 weeks (as well as the total number of trades each week). The closing quarter 1 2013 and quarter 1 2014 prices are also sh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2627"/>
                    </a:xfrm>
                    <a:prstGeom prst="rect">
                      <a:avLst/>
                    </a:prstGeom>
                    <a:noFill/>
                    <a:ln>
                      <a:noFill/>
                    </a:ln>
                  </pic:spPr>
                </pic:pic>
              </a:graphicData>
            </a:graphic>
          </wp:inline>
        </w:drawing>
      </w:r>
    </w:p>
    <w:p w:rsidR="00275002" w:rsidRPr="002A7439" w:rsidRDefault="00275002" w:rsidP="002A7439">
      <w:pPr>
        <w:pStyle w:val="Source"/>
      </w:pPr>
      <w:r w:rsidRPr="002A7439">
        <w:t xml:space="preserve">Source: </w:t>
      </w:r>
      <w:hyperlink r:id="rId26"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p>
    <w:p w:rsidR="00275002" w:rsidRPr="0031019A" w:rsidRDefault="004D5447" w:rsidP="00275002">
      <w:pPr>
        <w:pStyle w:val="Heading4notnumbered"/>
      </w:pPr>
      <w:r>
        <w:t>May</w:t>
      </w:r>
      <w:r w:rsidRPr="0031019A">
        <w:t xml:space="preserve"> </w:t>
      </w:r>
      <w:r w:rsidR="00275002" w:rsidRPr="0031019A">
        <w:t>2015</w:t>
      </w:r>
    </w:p>
    <w:p w:rsidR="004E7D10" w:rsidRPr="0031019A" w:rsidRDefault="004E7D10">
      <w:pPr>
        <w:pStyle w:val="Heading4notnumbered"/>
      </w:pPr>
    </w:p>
    <w:sectPr w:rsidR="004E7D10" w:rsidRPr="0031019A" w:rsidSect="00EE347F">
      <w:footerReference w:type="even" r:id="rId27"/>
      <w:footerReference w:type="default" r:id="rId28"/>
      <w:footerReference w:type="first" r:id="rId29"/>
      <w:pgSz w:w="11906" w:h="16838"/>
      <w:pgMar w:top="1134" w:right="1440" w:bottom="1276"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B2F" w:rsidRDefault="00F45B2F" w:rsidP="004B4412">
      <w:pPr>
        <w:spacing w:before="0"/>
      </w:pPr>
      <w:r>
        <w:separator/>
      </w:r>
    </w:p>
  </w:endnote>
  <w:endnote w:type="continuationSeparator" w:id="0">
    <w:p w:rsidR="00F45B2F" w:rsidRDefault="00F45B2F"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2F" w:rsidRPr="00A91A9E" w:rsidRDefault="00F45B2F"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F45B2F" w:rsidRDefault="00F45B2F"/>
  <w:p w:rsidR="00F45B2F" w:rsidRDefault="00F45B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2F" w:rsidRPr="00A94D89" w:rsidRDefault="00F45B2F"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C8107F">
      <w:rPr>
        <w:rFonts w:cs="Arial"/>
        <w:i/>
        <w:noProof/>
      </w:rPr>
      <w:t>4</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2F" w:rsidRPr="00A94D89" w:rsidRDefault="00F45B2F"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C8107F">
      <w:rPr>
        <w:rFonts w:cs="Arial"/>
        <w:i/>
        <w:noProof/>
      </w:rPr>
      <w:t>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sidR="002D3145">
      <w:rPr>
        <w:rFonts w:cs="Arial"/>
        <w:i/>
      </w:rPr>
      <w:t>64683</w:t>
    </w:r>
  </w:p>
  <w:p w:rsidR="00F45B2F" w:rsidRDefault="00F45B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B2F" w:rsidRDefault="00F45B2F" w:rsidP="004B4412">
      <w:pPr>
        <w:spacing w:before="0"/>
      </w:pPr>
      <w:r>
        <w:separator/>
      </w:r>
    </w:p>
  </w:footnote>
  <w:footnote w:type="continuationSeparator" w:id="0">
    <w:p w:rsidR="00F45B2F" w:rsidRDefault="00F45B2F"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1">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2">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5">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8">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0">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8">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0">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19"/>
  </w:num>
  <w:num w:numId="3">
    <w:abstractNumId w:val="15"/>
  </w:num>
  <w:num w:numId="4">
    <w:abstractNumId w:val="40"/>
  </w:num>
  <w:num w:numId="5">
    <w:abstractNumId w:val="14"/>
  </w:num>
  <w:num w:numId="6">
    <w:abstractNumId w:val="28"/>
  </w:num>
  <w:num w:numId="7">
    <w:abstractNumId w:val="43"/>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9"/>
  </w:num>
  <w:num w:numId="18">
    <w:abstractNumId w:val="29"/>
  </w:num>
  <w:num w:numId="19">
    <w:abstractNumId w:val="19"/>
    <w:lvlOverride w:ilvl="0">
      <w:startOverride w:val="1"/>
    </w:lvlOverride>
  </w:num>
  <w:num w:numId="20">
    <w:abstractNumId w:val="25"/>
  </w:num>
  <w:num w:numId="21">
    <w:abstractNumId w:val="27"/>
  </w:num>
  <w:num w:numId="22">
    <w:abstractNumId w:val="21"/>
  </w:num>
  <w:num w:numId="23">
    <w:abstractNumId w:val="38"/>
  </w:num>
  <w:num w:numId="24">
    <w:abstractNumId w:val="42"/>
  </w:num>
  <w:num w:numId="25">
    <w:abstractNumId w:val="36"/>
  </w:num>
  <w:num w:numId="26">
    <w:abstractNumId w:val="17"/>
  </w:num>
  <w:num w:numId="27">
    <w:abstractNumId w:val="11"/>
  </w:num>
  <w:num w:numId="28">
    <w:abstractNumId w:val="26"/>
  </w:num>
  <w:num w:numId="29">
    <w:abstractNumId w:val="13"/>
  </w:num>
  <w:num w:numId="30">
    <w:abstractNumId w:val="30"/>
  </w:num>
  <w:num w:numId="31">
    <w:abstractNumId w:val="10"/>
  </w:num>
  <w:num w:numId="32">
    <w:abstractNumId w:val="20"/>
  </w:num>
  <w:num w:numId="33">
    <w:abstractNumId w:val="34"/>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2"/>
  </w:num>
  <w:num w:numId="37">
    <w:abstractNumId w:val="31"/>
  </w:num>
  <w:num w:numId="38">
    <w:abstractNumId w:val="12"/>
  </w:num>
  <w:num w:numId="39">
    <w:abstractNumId w:val="24"/>
  </w:num>
  <w:num w:numId="40">
    <w:abstractNumId w:val="32"/>
  </w:num>
  <w:num w:numId="41">
    <w:abstractNumId w:val="41"/>
  </w:num>
  <w:num w:numId="42">
    <w:abstractNumId w:val="37"/>
  </w:num>
  <w:num w:numId="43">
    <w:abstractNumId w:val="18"/>
  </w:num>
  <w:num w:numId="44">
    <w:abstractNumId w:val="9"/>
  </w:num>
  <w:num w:numId="45">
    <w:abstractNumId w:val="2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drae\Desktop\20150503 - 20150509 electricity weekly report.docx"/>
  </w:docVars>
  <w:rsids>
    <w:rsidRoot w:val="00275002"/>
    <w:rsid w:val="000147C1"/>
    <w:rsid w:val="00021202"/>
    <w:rsid w:val="00022F09"/>
    <w:rsid w:val="000316E7"/>
    <w:rsid w:val="0003578C"/>
    <w:rsid w:val="00051880"/>
    <w:rsid w:val="000528FD"/>
    <w:rsid w:val="00053175"/>
    <w:rsid w:val="00061CE2"/>
    <w:rsid w:val="00063247"/>
    <w:rsid w:val="00066157"/>
    <w:rsid w:val="00070F9F"/>
    <w:rsid w:val="0007137B"/>
    <w:rsid w:val="000766E2"/>
    <w:rsid w:val="00085663"/>
    <w:rsid w:val="00085EBF"/>
    <w:rsid w:val="0009584C"/>
    <w:rsid w:val="000A29ED"/>
    <w:rsid w:val="000D122C"/>
    <w:rsid w:val="000D68C5"/>
    <w:rsid w:val="000E1819"/>
    <w:rsid w:val="000E2946"/>
    <w:rsid w:val="000E6C72"/>
    <w:rsid w:val="000E77BB"/>
    <w:rsid w:val="001158FE"/>
    <w:rsid w:val="00116EB2"/>
    <w:rsid w:val="00124609"/>
    <w:rsid w:val="00127CAB"/>
    <w:rsid w:val="001373F1"/>
    <w:rsid w:val="00155113"/>
    <w:rsid w:val="001573E4"/>
    <w:rsid w:val="00160756"/>
    <w:rsid w:val="001711CC"/>
    <w:rsid w:val="0017232E"/>
    <w:rsid w:val="001726BE"/>
    <w:rsid w:val="00174102"/>
    <w:rsid w:val="00180157"/>
    <w:rsid w:val="0018193D"/>
    <w:rsid w:val="00186F77"/>
    <w:rsid w:val="00192441"/>
    <w:rsid w:val="001926A4"/>
    <w:rsid w:val="001B0C3B"/>
    <w:rsid w:val="001B45A0"/>
    <w:rsid w:val="001C1BC0"/>
    <w:rsid w:val="001D055E"/>
    <w:rsid w:val="001D0CE3"/>
    <w:rsid w:val="001E01B4"/>
    <w:rsid w:val="001F1B78"/>
    <w:rsid w:val="001F492E"/>
    <w:rsid w:val="001F6DA3"/>
    <w:rsid w:val="0020489F"/>
    <w:rsid w:val="002050F5"/>
    <w:rsid w:val="002072A2"/>
    <w:rsid w:val="00214FBA"/>
    <w:rsid w:val="00216865"/>
    <w:rsid w:val="00224DB9"/>
    <w:rsid w:val="00251745"/>
    <w:rsid w:val="00262F65"/>
    <w:rsid w:val="00263AC0"/>
    <w:rsid w:val="002649D2"/>
    <w:rsid w:val="002649D8"/>
    <w:rsid w:val="00265486"/>
    <w:rsid w:val="0026772D"/>
    <w:rsid w:val="00275002"/>
    <w:rsid w:val="00286874"/>
    <w:rsid w:val="00296B65"/>
    <w:rsid w:val="002A7439"/>
    <w:rsid w:val="002A7DEF"/>
    <w:rsid w:val="002B0DAE"/>
    <w:rsid w:val="002D3145"/>
    <w:rsid w:val="002F7986"/>
    <w:rsid w:val="00307F6D"/>
    <w:rsid w:val="003177A2"/>
    <w:rsid w:val="00321853"/>
    <w:rsid w:val="003271B5"/>
    <w:rsid w:val="00331264"/>
    <w:rsid w:val="00334C8D"/>
    <w:rsid w:val="00336D50"/>
    <w:rsid w:val="003518B3"/>
    <w:rsid w:val="00352DA8"/>
    <w:rsid w:val="00354887"/>
    <w:rsid w:val="00371F3A"/>
    <w:rsid w:val="003729AA"/>
    <w:rsid w:val="003846F1"/>
    <w:rsid w:val="00384A55"/>
    <w:rsid w:val="003A0810"/>
    <w:rsid w:val="003A41E0"/>
    <w:rsid w:val="003C2B22"/>
    <w:rsid w:val="003C62E9"/>
    <w:rsid w:val="003C7EFA"/>
    <w:rsid w:val="003F75C8"/>
    <w:rsid w:val="00403473"/>
    <w:rsid w:val="00411897"/>
    <w:rsid w:val="00480B4B"/>
    <w:rsid w:val="00485DC4"/>
    <w:rsid w:val="00492A06"/>
    <w:rsid w:val="00493B02"/>
    <w:rsid w:val="004B4412"/>
    <w:rsid w:val="004C348C"/>
    <w:rsid w:val="004C63B9"/>
    <w:rsid w:val="004D0A48"/>
    <w:rsid w:val="004D5447"/>
    <w:rsid w:val="004D55BA"/>
    <w:rsid w:val="004E34E7"/>
    <w:rsid w:val="004E7D10"/>
    <w:rsid w:val="005177C0"/>
    <w:rsid w:val="00522486"/>
    <w:rsid w:val="00522668"/>
    <w:rsid w:val="00530128"/>
    <w:rsid w:val="00532467"/>
    <w:rsid w:val="00537639"/>
    <w:rsid w:val="00555667"/>
    <w:rsid w:val="00556B64"/>
    <w:rsid w:val="005575B9"/>
    <w:rsid w:val="00564A4D"/>
    <w:rsid w:val="00571680"/>
    <w:rsid w:val="00571B35"/>
    <w:rsid w:val="00575C43"/>
    <w:rsid w:val="00577A09"/>
    <w:rsid w:val="00584D8F"/>
    <w:rsid w:val="005A1339"/>
    <w:rsid w:val="005A404D"/>
    <w:rsid w:val="005B0461"/>
    <w:rsid w:val="005B1E3C"/>
    <w:rsid w:val="005C26CC"/>
    <w:rsid w:val="005C3411"/>
    <w:rsid w:val="005C5E72"/>
    <w:rsid w:val="005D69AF"/>
    <w:rsid w:val="005F6ADE"/>
    <w:rsid w:val="00603914"/>
    <w:rsid w:val="00612006"/>
    <w:rsid w:val="00613DEC"/>
    <w:rsid w:val="00615C6B"/>
    <w:rsid w:val="00621545"/>
    <w:rsid w:val="00630A15"/>
    <w:rsid w:val="00632D6D"/>
    <w:rsid w:val="00642C3E"/>
    <w:rsid w:val="00647804"/>
    <w:rsid w:val="00651005"/>
    <w:rsid w:val="00663DAD"/>
    <w:rsid w:val="00676679"/>
    <w:rsid w:val="006777D7"/>
    <w:rsid w:val="00694FD6"/>
    <w:rsid w:val="006B4CF9"/>
    <w:rsid w:val="006B7AC8"/>
    <w:rsid w:val="006D550F"/>
    <w:rsid w:val="006D7923"/>
    <w:rsid w:val="006E1E7D"/>
    <w:rsid w:val="006E5B66"/>
    <w:rsid w:val="006F3750"/>
    <w:rsid w:val="006F3FCB"/>
    <w:rsid w:val="00701CAB"/>
    <w:rsid w:val="00707563"/>
    <w:rsid w:val="00713ED3"/>
    <w:rsid w:val="0072348C"/>
    <w:rsid w:val="00724A37"/>
    <w:rsid w:val="007303C3"/>
    <w:rsid w:val="00743223"/>
    <w:rsid w:val="00746E01"/>
    <w:rsid w:val="007532DD"/>
    <w:rsid w:val="00753ADA"/>
    <w:rsid w:val="00762D41"/>
    <w:rsid w:val="00763E5D"/>
    <w:rsid w:val="00767740"/>
    <w:rsid w:val="00772A95"/>
    <w:rsid w:val="00777EE6"/>
    <w:rsid w:val="00782EEA"/>
    <w:rsid w:val="007A33E8"/>
    <w:rsid w:val="007B1732"/>
    <w:rsid w:val="007B2C72"/>
    <w:rsid w:val="007C1C53"/>
    <w:rsid w:val="007E1516"/>
    <w:rsid w:val="007E4904"/>
    <w:rsid w:val="007E4CB5"/>
    <w:rsid w:val="007F066B"/>
    <w:rsid w:val="007F0F77"/>
    <w:rsid w:val="007F475F"/>
    <w:rsid w:val="008033C4"/>
    <w:rsid w:val="00806C88"/>
    <w:rsid w:val="00807A5C"/>
    <w:rsid w:val="0081034E"/>
    <w:rsid w:val="008344F6"/>
    <w:rsid w:val="0083510F"/>
    <w:rsid w:val="008366CD"/>
    <w:rsid w:val="00851209"/>
    <w:rsid w:val="00857917"/>
    <w:rsid w:val="00861AED"/>
    <w:rsid w:val="008837AC"/>
    <w:rsid w:val="00886BAB"/>
    <w:rsid w:val="00887EBF"/>
    <w:rsid w:val="008A587D"/>
    <w:rsid w:val="008B416B"/>
    <w:rsid w:val="008B6DA5"/>
    <w:rsid w:val="008C1FE0"/>
    <w:rsid w:val="008C5486"/>
    <w:rsid w:val="008C6B16"/>
    <w:rsid w:val="008E535A"/>
    <w:rsid w:val="008E6CAE"/>
    <w:rsid w:val="008E7031"/>
    <w:rsid w:val="0090239D"/>
    <w:rsid w:val="00914A87"/>
    <w:rsid w:val="009233EE"/>
    <w:rsid w:val="0092422F"/>
    <w:rsid w:val="009377D8"/>
    <w:rsid w:val="00957591"/>
    <w:rsid w:val="009661DE"/>
    <w:rsid w:val="00982FEB"/>
    <w:rsid w:val="009837D1"/>
    <w:rsid w:val="009856B7"/>
    <w:rsid w:val="009907BC"/>
    <w:rsid w:val="009A3D22"/>
    <w:rsid w:val="009B21F2"/>
    <w:rsid w:val="009B4E65"/>
    <w:rsid w:val="009B69AA"/>
    <w:rsid w:val="009B74B0"/>
    <w:rsid w:val="009D6B46"/>
    <w:rsid w:val="009E61F2"/>
    <w:rsid w:val="009E7749"/>
    <w:rsid w:val="009E7AC6"/>
    <w:rsid w:val="009F4940"/>
    <w:rsid w:val="00A041F4"/>
    <w:rsid w:val="00A3600D"/>
    <w:rsid w:val="00A4478A"/>
    <w:rsid w:val="00A44852"/>
    <w:rsid w:val="00A57D04"/>
    <w:rsid w:val="00A60A26"/>
    <w:rsid w:val="00A61598"/>
    <w:rsid w:val="00A75AAA"/>
    <w:rsid w:val="00A81EF8"/>
    <w:rsid w:val="00A84F46"/>
    <w:rsid w:val="00A871F4"/>
    <w:rsid w:val="00A94D89"/>
    <w:rsid w:val="00AA56F2"/>
    <w:rsid w:val="00AA649A"/>
    <w:rsid w:val="00AB6478"/>
    <w:rsid w:val="00AC1B2C"/>
    <w:rsid w:val="00AC3264"/>
    <w:rsid w:val="00AE1BF1"/>
    <w:rsid w:val="00AF0DD2"/>
    <w:rsid w:val="00AF46F3"/>
    <w:rsid w:val="00AF7058"/>
    <w:rsid w:val="00B1285B"/>
    <w:rsid w:val="00B13048"/>
    <w:rsid w:val="00B1716D"/>
    <w:rsid w:val="00B17A1D"/>
    <w:rsid w:val="00B207A0"/>
    <w:rsid w:val="00B35810"/>
    <w:rsid w:val="00B41686"/>
    <w:rsid w:val="00B56E03"/>
    <w:rsid w:val="00B70CA5"/>
    <w:rsid w:val="00B8080B"/>
    <w:rsid w:val="00B87C39"/>
    <w:rsid w:val="00B87DD6"/>
    <w:rsid w:val="00B92CD5"/>
    <w:rsid w:val="00BA390A"/>
    <w:rsid w:val="00BA4665"/>
    <w:rsid w:val="00BB2FB2"/>
    <w:rsid w:val="00BB3304"/>
    <w:rsid w:val="00BC675F"/>
    <w:rsid w:val="00BD3446"/>
    <w:rsid w:val="00BE1F1B"/>
    <w:rsid w:val="00BE47B5"/>
    <w:rsid w:val="00BF771C"/>
    <w:rsid w:val="00C064A7"/>
    <w:rsid w:val="00C158CC"/>
    <w:rsid w:val="00C16B2C"/>
    <w:rsid w:val="00C30BBE"/>
    <w:rsid w:val="00C30D29"/>
    <w:rsid w:val="00C33168"/>
    <w:rsid w:val="00C34065"/>
    <w:rsid w:val="00C45CB4"/>
    <w:rsid w:val="00C4709E"/>
    <w:rsid w:val="00C538A9"/>
    <w:rsid w:val="00C53B5A"/>
    <w:rsid w:val="00C54F5A"/>
    <w:rsid w:val="00C56506"/>
    <w:rsid w:val="00C6290C"/>
    <w:rsid w:val="00C672E0"/>
    <w:rsid w:val="00C73A47"/>
    <w:rsid w:val="00C73C83"/>
    <w:rsid w:val="00C74A11"/>
    <w:rsid w:val="00C8107F"/>
    <w:rsid w:val="00C86679"/>
    <w:rsid w:val="00C872DB"/>
    <w:rsid w:val="00C950AF"/>
    <w:rsid w:val="00CB666B"/>
    <w:rsid w:val="00CD40AD"/>
    <w:rsid w:val="00D01CF0"/>
    <w:rsid w:val="00D0442A"/>
    <w:rsid w:val="00D05804"/>
    <w:rsid w:val="00D32767"/>
    <w:rsid w:val="00D42671"/>
    <w:rsid w:val="00D61388"/>
    <w:rsid w:val="00D615F9"/>
    <w:rsid w:val="00D61A54"/>
    <w:rsid w:val="00D64DEA"/>
    <w:rsid w:val="00D74261"/>
    <w:rsid w:val="00D80893"/>
    <w:rsid w:val="00D92CF1"/>
    <w:rsid w:val="00D92D38"/>
    <w:rsid w:val="00D936B6"/>
    <w:rsid w:val="00D950F5"/>
    <w:rsid w:val="00DB0F93"/>
    <w:rsid w:val="00DC153A"/>
    <w:rsid w:val="00DC5E54"/>
    <w:rsid w:val="00DC7981"/>
    <w:rsid w:val="00DD15C2"/>
    <w:rsid w:val="00DE4EFA"/>
    <w:rsid w:val="00DE5520"/>
    <w:rsid w:val="00E00EC9"/>
    <w:rsid w:val="00E03069"/>
    <w:rsid w:val="00E04818"/>
    <w:rsid w:val="00E06442"/>
    <w:rsid w:val="00E135DB"/>
    <w:rsid w:val="00E23993"/>
    <w:rsid w:val="00E25B8C"/>
    <w:rsid w:val="00E32A8C"/>
    <w:rsid w:val="00E334A3"/>
    <w:rsid w:val="00E40B9C"/>
    <w:rsid w:val="00E52A27"/>
    <w:rsid w:val="00E65C85"/>
    <w:rsid w:val="00E66199"/>
    <w:rsid w:val="00E7472E"/>
    <w:rsid w:val="00E755EC"/>
    <w:rsid w:val="00E7624D"/>
    <w:rsid w:val="00E823D9"/>
    <w:rsid w:val="00E86851"/>
    <w:rsid w:val="00EA3D42"/>
    <w:rsid w:val="00EA6B1B"/>
    <w:rsid w:val="00EB049F"/>
    <w:rsid w:val="00EB540F"/>
    <w:rsid w:val="00EB7D7F"/>
    <w:rsid w:val="00EC317E"/>
    <w:rsid w:val="00ED4A25"/>
    <w:rsid w:val="00EE28F3"/>
    <w:rsid w:val="00EE347F"/>
    <w:rsid w:val="00EF5110"/>
    <w:rsid w:val="00F02D9B"/>
    <w:rsid w:val="00F031FE"/>
    <w:rsid w:val="00F13EAA"/>
    <w:rsid w:val="00F15882"/>
    <w:rsid w:val="00F20BD3"/>
    <w:rsid w:val="00F373A5"/>
    <w:rsid w:val="00F45B2F"/>
    <w:rsid w:val="00F47559"/>
    <w:rsid w:val="00F64C7B"/>
    <w:rsid w:val="00F662F1"/>
    <w:rsid w:val="00F676DD"/>
    <w:rsid w:val="00F70811"/>
    <w:rsid w:val="00F75A26"/>
    <w:rsid w:val="00F83FAD"/>
    <w:rsid w:val="00F87EBA"/>
    <w:rsid w:val="00F952A0"/>
    <w:rsid w:val="00FA3830"/>
    <w:rsid w:val="00FA3C7F"/>
    <w:rsid w:val="00FB74E2"/>
    <w:rsid w:val="00FC447B"/>
    <w:rsid w:val="00FD2F97"/>
    <w:rsid w:val="00FD5614"/>
    <w:rsid w:val="00FD72DC"/>
    <w:rsid w:val="00FE0BE1"/>
    <w:rsid w:val="00FE1DE9"/>
    <w:rsid w:val="00FE39C2"/>
    <w:rsid w:val="00FE64AE"/>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australian-energy-industry/performance-of-the-energy-sector"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australian-energy-industry/performance-of-the-energy-sector"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D13A1D-B51F-4DAB-B93A-706C3CC3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A5295092.dotm</Template>
  <TotalTime>0</TotalTime>
  <Pages>8</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2015-05-19T06:15:00Z</dcterms:created>
  <dcterms:modified xsi:type="dcterms:W3CDTF">2015-05-19T06:24:00Z</dcterms:modified>
</cp:coreProperties>
</file>