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405CDE" w:rsidRDefault="00275002" w:rsidP="00275002">
      <w:pPr>
        <w:rPr>
          <w:rFonts w:cs="Arial"/>
        </w:rPr>
      </w:pPr>
      <w:r w:rsidRPr="00405CDE">
        <w:rPr>
          <w:rFonts w:cs="Arial"/>
          <w:noProof/>
          <w:lang w:eastAsia="en-AU"/>
        </w:rPr>
        <mc:AlternateContent>
          <mc:Choice Requires="wps">
            <w:drawing>
              <wp:anchor distT="0" distB="0" distL="114300" distR="114300" simplePos="0" relativeHeight="251659264" behindDoc="0" locked="0" layoutInCell="1" allowOverlap="1" wp14:anchorId="630AF312" wp14:editId="361BDBB2">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89D" w:rsidRPr="000E2946" w:rsidRDefault="0004189D" w:rsidP="000E2946">
                            <w:pPr>
                              <w:pStyle w:val="Title"/>
                            </w:pPr>
                            <w:r w:rsidRPr="000E2946">
                              <w:t>Electricity Report</w:t>
                            </w:r>
                          </w:p>
                          <w:p w:rsidR="0004189D" w:rsidRPr="000E2946" w:rsidRDefault="0004189D" w:rsidP="000E2946">
                            <w:pPr>
                              <w:pStyle w:val="Title"/>
                            </w:pPr>
                            <w:r>
                              <w:t>26 April</w:t>
                            </w:r>
                            <w:r w:rsidRPr="000E2946">
                              <w:t xml:space="preserve"> – </w:t>
                            </w:r>
                            <w:r>
                              <w:t>2 May</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04189D" w:rsidRPr="000E2946" w:rsidRDefault="0004189D" w:rsidP="000E2946">
                      <w:pPr>
                        <w:pStyle w:val="Title"/>
                      </w:pPr>
                      <w:r w:rsidRPr="000E2946">
                        <w:t>Electricity Report</w:t>
                      </w:r>
                    </w:p>
                    <w:p w:rsidR="0004189D" w:rsidRPr="000E2946" w:rsidRDefault="0004189D" w:rsidP="000E2946">
                      <w:pPr>
                        <w:pStyle w:val="Title"/>
                      </w:pPr>
                      <w:r>
                        <w:t>26 April</w:t>
                      </w:r>
                      <w:r w:rsidRPr="000E2946">
                        <w:t xml:space="preserve"> – </w:t>
                      </w:r>
                      <w:r>
                        <w:t>2 May</w:t>
                      </w:r>
                      <w:r w:rsidRPr="000E2946">
                        <w:t xml:space="preserve"> 2015 </w:t>
                      </w:r>
                    </w:p>
                  </w:txbxContent>
                </v:textbox>
              </v:shape>
            </w:pict>
          </mc:Fallback>
        </mc:AlternateContent>
      </w:r>
      <w:r w:rsidRPr="00405CDE">
        <w:rPr>
          <w:rFonts w:cs="Arial"/>
          <w:noProof/>
          <w:lang w:eastAsia="en-AU"/>
        </w:rPr>
        <w:drawing>
          <wp:inline distT="0" distB="0" distL="0" distR="0" wp14:anchorId="65C8138E" wp14:editId="47A30AE6">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405CDE">
        <w:rPr>
          <w:rFonts w:cs="Arial"/>
        </w:rPr>
        <w:t xml:space="preserve"> </w:t>
      </w:r>
    </w:p>
    <w:p w:rsidR="00275002" w:rsidRPr="00405CDE" w:rsidRDefault="00275002" w:rsidP="000E2946">
      <w:pPr>
        <w:pStyle w:val="AERHeading1"/>
        <w:rPr>
          <w:rFonts w:cs="Arial"/>
        </w:rPr>
      </w:pPr>
      <w:r w:rsidRPr="00405CDE">
        <w:rPr>
          <w:rFonts w:cs="Arial"/>
        </w:rPr>
        <w:t>Introduction</w:t>
      </w:r>
    </w:p>
    <w:p w:rsidR="00275002" w:rsidRPr="00405CDE" w:rsidRDefault="00275002" w:rsidP="009A3D22">
      <w:pPr>
        <w:jc w:val="both"/>
        <w:rPr>
          <w:rFonts w:cs="Arial"/>
        </w:rPr>
      </w:pPr>
      <w:r w:rsidRPr="00405CDE">
        <w:rPr>
          <w:rFonts w:cs="Arial"/>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405CDE" w:rsidRDefault="00275002" w:rsidP="000E2946">
      <w:pPr>
        <w:pStyle w:val="AERHeading1"/>
        <w:rPr>
          <w:rFonts w:cs="Arial"/>
        </w:rPr>
      </w:pPr>
      <w:r w:rsidRPr="00405CDE">
        <w:rPr>
          <w:rFonts w:cs="Arial"/>
        </w:rPr>
        <w:t>Spot market prices</w:t>
      </w:r>
    </w:p>
    <w:p w:rsidR="00275002" w:rsidRPr="00405CDE" w:rsidRDefault="001D0CE3" w:rsidP="009A3D22">
      <w:pPr>
        <w:jc w:val="both"/>
        <w:rPr>
          <w:rFonts w:cs="Arial"/>
        </w:rPr>
      </w:pPr>
      <w:r w:rsidRPr="00405CDE">
        <w:rPr>
          <w:rFonts w:cs="Arial"/>
        </w:rPr>
        <w:fldChar w:fldCharType="begin"/>
      </w:r>
      <w:r w:rsidRPr="00405CDE">
        <w:rPr>
          <w:rFonts w:cs="Arial"/>
        </w:rPr>
        <w:instrText xml:space="preserve"> REF _Ref410382491 \h </w:instrText>
      </w:r>
      <w:r w:rsidR="00405CDE"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Figure </w:t>
      </w:r>
      <w:r w:rsidR="00C34065" w:rsidRPr="00405CDE">
        <w:rPr>
          <w:rFonts w:cs="Arial"/>
          <w:noProof/>
        </w:rPr>
        <w:t>1</w:t>
      </w:r>
      <w:r w:rsidRPr="00405CDE">
        <w:rPr>
          <w:rFonts w:cs="Arial"/>
        </w:rPr>
        <w:fldChar w:fldCharType="end"/>
      </w:r>
      <w:r w:rsidRPr="00405CDE">
        <w:rPr>
          <w:rFonts w:cs="Arial"/>
        </w:rPr>
        <w:t xml:space="preserve"> </w:t>
      </w:r>
      <w:r w:rsidR="00AF7058" w:rsidRPr="00405CDE">
        <w:rPr>
          <w:rFonts w:cs="Arial"/>
        </w:rPr>
        <w:t xml:space="preserve">shows the spot prices that occurred in each region during the week </w:t>
      </w:r>
      <w:r w:rsidR="00E86851" w:rsidRPr="00405CDE">
        <w:rPr>
          <w:rFonts w:cs="Arial"/>
        </w:rPr>
        <w:t>26</w:t>
      </w:r>
      <w:r w:rsidR="00AF7058" w:rsidRPr="00405CDE">
        <w:rPr>
          <w:rFonts w:cs="Arial"/>
        </w:rPr>
        <w:t xml:space="preserve"> </w:t>
      </w:r>
      <w:r w:rsidR="009B21F2" w:rsidRPr="00405CDE">
        <w:rPr>
          <w:rFonts w:cs="Arial"/>
        </w:rPr>
        <w:t>April</w:t>
      </w:r>
      <w:r w:rsidR="00E86851" w:rsidRPr="00405CDE">
        <w:rPr>
          <w:rFonts w:cs="Arial"/>
        </w:rPr>
        <w:t xml:space="preserve"> to 2 May </w:t>
      </w:r>
      <w:r w:rsidR="00AF7058" w:rsidRPr="00405CDE">
        <w:rPr>
          <w:rFonts w:cs="Arial"/>
        </w:rPr>
        <w:t xml:space="preserve">2015. There were four occasions in </w:t>
      </w:r>
      <w:r w:rsidR="00E86851" w:rsidRPr="00405CDE">
        <w:rPr>
          <w:rFonts w:cs="Arial"/>
        </w:rPr>
        <w:t xml:space="preserve">South Australia and one occasion in </w:t>
      </w:r>
      <w:r w:rsidR="003E2EEF">
        <w:rPr>
          <w:rFonts w:cs="Arial"/>
        </w:rPr>
        <w:t>New South Wales</w:t>
      </w:r>
      <w:r w:rsidR="00E86851" w:rsidRPr="00405CDE">
        <w:rPr>
          <w:rFonts w:cs="Arial"/>
        </w:rPr>
        <w:t>, Victoria and Tasmania respectively</w:t>
      </w:r>
      <w:r w:rsidR="00AF7058" w:rsidRPr="00405CDE">
        <w:rPr>
          <w:rFonts w:cs="Arial"/>
        </w:rPr>
        <w:t xml:space="preserve"> </w:t>
      </w:r>
      <w:r w:rsidR="00E86851" w:rsidRPr="00405CDE">
        <w:rPr>
          <w:rFonts w:cs="Arial"/>
        </w:rPr>
        <w:t xml:space="preserve">where the spot price </w:t>
      </w:r>
      <w:r w:rsidR="00AF7058" w:rsidRPr="00405CDE">
        <w:rPr>
          <w:rFonts w:cs="Arial"/>
        </w:rPr>
        <w:t>was above $250/MWh and greater than three times the regional weekly average price</w:t>
      </w:r>
      <w:r w:rsidR="004E7D10" w:rsidRPr="00405CDE">
        <w:rPr>
          <w:rFonts w:cs="Arial"/>
        </w:rPr>
        <w:t>.</w:t>
      </w:r>
      <w:r w:rsidR="00E86851" w:rsidRPr="00405CDE">
        <w:rPr>
          <w:rFonts w:cs="Arial"/>
        </w:rPr>
        <w:t xml:space="preserve"> There was one occasion where the spot price was below </w:t>
      </w:r>
      <w:r w:rsidR="003E2EEF">
        <w:rPr>
          <w:rFonts w:cs="Arial"/>
        </w:rPr>
        <w:t>-</w:t>
      </w:r>
      <w:r w:rsidR="00E86851" w:rsidRPr="00405CDE">
        <w:rPr>
          <w:rFonts w:cs="Arial"/>
        </w:rPr>
        <w:t>$</w:t>
      </w:r>
      <w:r w:rsidR="003E2EEF">
        <w:rPr>
          <w:rFonts w:cs="Arial"/>
        </w:rPr>
        <w:t>10</w:t>
      </w:r>
      <w:r w:rsidR="00E86851" w:rsidRPr="00405CDE">
        <w:rPr>
          <w:rFonts w:cs="Arial"/>
        </w:rPr>
        <w:t>0/MWh in Tasmania. These price events will be discussed in the detailed analysis section of this report.</w:t>
      </w:r>
    </w:p>
    <w:p w:rsidR="00275002" w:rsidRPr="00405CDE" w:rsidRDefault="00275002" w:rsidP="000E2946">
      <w:pPr>
        <w:pStyle w:val="Caption"/>
        <w:rPr>
          <w:rFonts w:cs="Arial"/>
        </w:rPr>
      </w:pPr>
      <w:bookmarkStart w:id="7" w:name="_Ref410382491"/>
      <w:bookmarkStart w:id="8" w:name="OLE_LINK28"/>
      <w:bookmarkStart w:id="9" w:name="OLE_LINK29"/>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1</w:t>
      </w:r>
      <w:r w:rsidR="00FD5876" w:rsidRPr="00405CDE">
        <w:rPr>
          <w:rFonts w:cs="Arial"/>
          <w:noProof/>
        </w:rPr>
        <w:fldChar w:fldCharType="end"/>
      </w:r>
      <w:bookmarkEnd w:id="7"/>
      <w:r w:rsidRPr="00405CDE">
        <w:rPr>
          <w:rFonts w:cs="Arial"/>
        </w:rPr>
        <w:t xml:space="preserve"> : Spot price by region ($/MWh)</w:t>
      </w:r>
    </w:p>
    <w:p w:rsidR="00275002" w:rsidRPr="00405CDE" w:rsidRDefault="003E2EEF" w:rsidP="00275002">
      <w:pPr>
        <w:rPr>
          <w:rFonts w:cs="Arial"/>
        </w:rPr>
      </w:pPr>
      <w:r w:rsidRPr="003E2EEF">
        <w:rPr>
          <w:noProof/>
          <w:lang w:eastAsia="en-AU"/>
        </w:rPr>
        <w:drawing>
          <wp:inline distT="0" distB="0" distL="0" distR="0" wp14:anchorId="54E5EB00" wp14:editId="137549DA">
            <wp:extent cx="5732890" cy="3574629"/>
            <wp:effectExtent l="0" t="0" r="1270" b="6985"/>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094"/>
                    <a:stretch/>
                  </pic:blipFill>
                  <pic:spPr bwMode="auto">
                    <a:xfrm>
                      <a:off x="0" y="0"/>
                      <a:ext cx="5731510" cy="3573769"/>
                    </a:xfrm>
                    <a:prstGeom prst="rect">
                      <a:avLst/>
                    </a:prstGeom>
                    <a:noFill/>
                    <a:ln>
                      <a:noFill/>
                    </a:ln>
                    <a:extLst>
                      <a:ext uri="{53640926-AAD7-44D8-BBD7-CCE9431645EC}">
                        <a14:shadowObscured xmlns:a14="http://schemas.microsoft.com/office/drawing/2010/main"/>
                      </a:ext>
                    </a:extLst>
                  </pic:spPr>
                </pic:pic>
              </a:graphicData>
            </a:graphic>
          </wp:inline>
        </w:drawing>
      </w:r>
    </w:p>
    <w:p w:rsidR="00275002" w:rsidRPr="00405CDE" w:rsidRDefault="00275002" w:rsidP="009A3D22">
      <w:pPr>
        <w:jc w:val="both"/>
        <w:rPr>
          <w:rFonts w:cs="Arial"/>
        </w:rPr>
      </w:pPr>
      <w:r w:rsidRPr="00405CDE">
        <w:rPr>
          <w:rFonts w:cs="Arial"/>
        </w:rPr>
        <w:lastRenderedPageBreak/>
        <w:fldChar w:fldCharType="begin"/>
      </w:r>
      <w:r w:rsidRPr="00405CDE">
        <w:rPr>
          <w:rFonts w:cs="Arial"/>
        </w:rPr>
        <w:instrText xml:space="preserve"> REF _Ref410382517 \h </w:instrText>
      </w:r>
      <w:r w:rsidR="009A3D22"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Figure </w:t>
      </w:r>
      <w:r w:rsidR="00C34065" w:rsidRPr="00405CDE">
        <w:rPr>
          <w:rFonts w:cs="Arial"/>
          <w:noProof/>
        </w:rPr>
        <w:t>2</w:t>
      </w:r>
      <w:r w:rsidRPr="00405CDE">
        <w:rPr>
          <w:rFonts w:cs="Arial"/>
        </w:rPr>
        <w:fldChar w:fldCharType="end"/>
      </w:r>
      <w:r w:rsidRPr="00405CDE">
        <w:rPr>
          <w:rFonts w:cs="Arial"/>
        </w:rPr>
        <w:t xml:space="preserve"> shows the volume weighted average (VWA) prices for the current week (with prices shown in </w:t>
      </w:r>
      <w:r w:rsidRPr="00405CDE">
        <w:rPr>
          <w:rFonts w:cs="Arial"/>
        </w:rPr>
        <w:fldChar w:fldCharType="begin"/>
      </w:r>
      <w:r w:rsidRPr="00405CDE">
        <w:rPr>
          <w:rFonts w:cs="Arial"/>
        </w:rPr>
        <w:instrText xml:space="preserve"> REF _Ref410382587 \h </w:instrText>
      </w:r>
      <w:r w:rsidR="009A3D22"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Table </w:t>
      </w:r>
      <w:r w:rsidR="00C34065" w:rsidRPr="00405CDE">
        <w:rPr>
          <w:rFonts w:cs="Arial"/>
          <w:noProof/>
        </w:rPr>
        <w:t>1</w:t>
      </w:r>
      <w:r w:rsidRPr="00405CDE">
        <w:rPr>
          <w:rFonts w:cs="Arial"/>
        </w:rPr>
        <w:fldChar w:fldCharType="end"/>
      </w:r>
      <w:r w:rsidRPr="00405CDE">
        <w:rPr>
          <w:rFonts w:cs="Arial"/>
        </w:rPr>
        <w:t>) and the preceding 12 weeks, as well as the VWA price over the previous 3 financial years</w:t>
      </w:r>
      <w:r w:rsidR="00762D41" w:rsidRPr="00405CDE">
        <w:rPr>
          <w:rFonts w:cs="Arial"/>
        </w:rPr>
        <w:t>.</w:t>
      </w:r>
    </w:p>
    <w:p w:rsidR="00275002" w:rsidRPr="00405CDE" w:rsidRDefault="00275002" w:rsidP="000E2946">
      <w:pPr>
        <w:pStyle w:val="Caption"/>
        <w:rPr>
          <w:rFonts w:cs="Arial"/>
        </w:rPr>
      </w:pPr>
      <w:bookmarkStart w:id="10" w:name="_Ref410382517"/>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2</w:t>
      </w:r>
      <w:r w:rsidR="00FD5876" w:rsidRPr="00405CDE">
        <w:rPr>
          <w:rFonts w:cs="Arial"/>
          <w:noProof/>
        </w:rPr>
        <w:fldChar w:fldCharType="end"/>
      </w:r>
      <w:bookmarkEnd w:id="10"/>
      <w:r w:rsidRPr="00405CDE">
        <w:rPr>
          <w:rFonts w:cs="Arial"/>
        </w:rPr>
        <w:t xml:space="preserve"> : Volume weighted average spot price by region ($/MWh)</w:t>
      </w:r>
    </w:p>
    <w:p w:rsidR="00275002" w:rsidRPr="00405CDE" w:rsidRDefault="00857917" w:rsidP="00275002">
      <w:pPr>
        <w:rPr>
          <w:rFonts w:cs="Arial"/>
        </w:rPr>
      </w:pPr>
      <w:r w:rsidRPr="00405CDE">
        <w:rPr>
          <w:rFonts w:cs="Arial"/>
          <w:noProof/>
          <w:lang w:eastAsia="en-AU"/>
        </w:rPr>
        <w:drawing>
          <wp:inline distT="0" distB="0" distL="0" distR="0" wp14:anchorId="159EE46C" wp14:editId="0BADCDDE">
            <wp:extent cx="5731510" cy="2859781"/>
            <wp:effectExtent l="0" t="0" r="2540" b="0"/>
            <wp:docPr id="11" name="Picture 11"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405CDE" w:rsidRDefault="00275002" w:rsidP="000E2946">
      <w:pPr>
        <w:pStyle w:val="Caption"/>
        <w:rPr>
          <w:rFonts w:cs="Arial"/>
        </w:rPr>
      </w:pPr>
      <w:bookmarkStart w:id="11" w:name="_Ref410382587"/>
      <w:r w:rsidRPr="00405CDE">
        <w:rPr>
          <w:rFonts w:cs="Arial"/>
        </w:rPr>
        <w:t xml:space="preserve">Table </w:t>
      </w:r>
      <w:r w:rsidR="00FD5876" w:rsidRPr="00405CDE">
        <w:rPr>
          <w:rFonts w:cs="Arial"/>
        </w:rPr>
        <w:fldChar w:fldCharType="begin"/>
      </w:r>
      <w:r w:rsidR="00FD5876" w:rsidRPr="00405CDE">
        <w:rPr>
          <w:rFonts w:cs="Arial"/>
        </w:rPr>
        <w:instrText xml:space="preserve"> SEQ Table \* ARABIC </w:instrText>
      </w:r>
      <w:r w:rsidR="00FD5876" w:rsidRPr="00405CDE">
        <w:rPr>
          <w:rFonts w:cs="Arial"/>
        </w:rPr>
        <w:fldChar w:fldCharType="separate"/>
      </w:r>
      <w:r w:rsidR="00066FEF">
        <w:rPr>
          <w:rFonts w:cs="Arial"/>
          <w:noProof/>
        </w:rPr>
        <w:t>1</w:t>
      </w:r>
      <w:r w:rsidR="00FD5876" w:rsidRPr="00405CDE">
        <w:rPr>
          <w:rFonts w:cs="Arial"/>
          <w:noProof/>
        </w:rPr>
        <w:fldChar w:fldCharType="end"/>
      </w:r>
      <w:bookmarkEnd w:id="11"/>
      <w:r w:rsidRPr="00405CDE">
        <w:rPr>
          <w:rFonts w:cs="Arial"/>
        </w:rPr>
        <w:t xml:space="preserve"> :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B92CD5" w:rsidRPr="00405CDE" w:rsidTr="009B21F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405CDE" w:rsidRDefault="00B92CD5" w:rsidP="009B21F2">
            <w:pPr>
              <w:spacing w:before="0" w:after="0"/>
              <w:jc w:val="center"/>
              <w:rPr>
                <w:rFonts w:cs="Arial"/>
                <w:sz w:val="20"/>
              </w:rPr>
            </w:pPr>
            <w:r w:rsidRPr="00405CDE">
              <w:rPr>
                <w:rFonts w:cs="Arial"/>
                <w:sz w:val="20"/>
              </w:rPr>
              <w:t>Region</w:t>
            </w:r>
          </w:p>
        </w:tc>
        <w:tc>
          <w:tcPr>
            <w:tcW w:w="518" w:type="pct"/>
            <w:noWrap/>
            <w:vAlign w:val="center"/>
            <w:hideMark/>
          </w:tcPr>
          <w:p w:rsidR="00B92CD5" w:rsidRPr="00405CDE" w:rsidRDefault="00B92CD5" w:rsidP="009B21F2">
            <w:pPr>
              <w:spacing w:before="0" w:after="0"/>
              <w:jc w:val="center"/>
              <w:rPr>
                <w:rFonts w:cs="Arial"/>
                <w:sz w:val="20"/>
              </w:rPr>
            </w:pPr>
            <w:r w:rsidRPr="00405CDE">
              <w:rPr>
                <w:rFonts w:cs="Arial"/>
                <w:sz w:val="20"/>
              </w:rPr>
              <w:t>Qld</w:t>
            </w:r>
          </w:p>
        </w:tc>
        <w:tc>
          <w:tcPr>
            <w:tcW w:w="781" w:type="pct"/>
            <w:noWrap/>
            <w:vAlign w:val="center"/>
            <w:hideMark/>
          </w:tcPr>
          <w:p w:rsidR="00B92CD5" w:rsidRPr="00405CDE" w:rsidRDefault="00B92CD5" w:rsidP="009B21F2">
            <w:pPr>
              <w:spacing w:before="0" w:after="0"/>
              <w:jc w:val="center"/>
              <w:rPr>
                <w:rFonts w:cs="Arial"/>
                <w:sz w:val="20"/>
              </w:rPr>
            </w:pPr>
            <w:r w:rsidRPr="00405CDE">
              <w:rPr>
                <w:rFonts w:cs="Arial"/>
                <w:sz w:val="20"/>
              </w:rPr>
              <w:t>NSW</w:t>
            </w:r>
          </w:p>
        </w:tc>
        <w:tc>
          <w:tcPr>
            <w:tcW w:w="781" w:type="pct"/>
            <w:noWrap/>
            <w:vAlign w:val="center"/>
            <w:hideMark/>
          </w:tcPr>
          <w:p w:rsidR="00B92CD5" w:rsidRPr="00405CDE" w:rsidRDefault="00B92CD5" w:rsidP="009B21F2">
            <w:pPr>
              <w:spacing w:before="0" w:after="0"/>
              <w:jc w:val="center"/>
              <w:rPr>
                <w:rFonts w:cs="Arial"/>
                <w:sz w:val="20"/>
              </w:rPr>
            </w:pPr>
            <w:r w:rsidRPr="00405CDE">
              <w:rPr>
                <w:rFonts w:cs="Arial"/>
                <w:sz w:val="20"/>
              </w:rPr>
              <w:t>Vic</w:t>
            </w:r>
          </w:p>
        </w:tc>
        <w:tc>
          <w:tcPr>
            <w:tcW w:w="781" w:type="pct"/>
            <w:noWrap/>
            <w:vAlign w:val="center"/>
            <w:hideMark/>
          </w:tcPr>
          <w:p w:rsidR="00B92CD5" w:rsidRPr="00405CDE" w:rsidRDefault="00B92CD5" w:rsidP="009B21F2">
            <w:pPr>
              <w:spacing w:before="0" w:after="0"/>
              <w:jc w:val="center"/>
              <w:rPr>
                <w:rFonts w:cs="Arial"/>
                <w:sz w:val="20"/>
              </w:rPr>
            </w:pPr>
            <w:r w:rsidRPr="00405CDE">
              <w:rPr>
                <w:rFonts w:cs="Arial"/>
                <w:sz w:val="20"/>
              </w:rPr>
              <w:t>SA</w:t>
            </w:r>
          </w:p>
        </w:tc>
        <w:tc>
          <w:tcPr>
            <w:tcW w:w="781" w:type="pct"/>
            <w:noWrap/>
            <w:vAlign w:val="center"/>
            <w:hideMark/>
          </w:tcPr>
          <w:p w:rsidR="00B92CD5" w:rsidRPr="00405CDE" w:rsidRDefault="00B92CD5" w:rsidP="009B21F2">
            <w:pPr>
              <w:spacing w:before="0" w:after="0"/>
              <w:jc w:val="center"/>
              <w:rPr>
                <w:rFonts w:cs="Arial"/>
                <w:sz w:val="20"/>
              </w:rPr>
            </w:pPr>
            <w:r w:rsidRPr="00405CDE">
              <w:rPr>
                <w:rFonts w:cs="Arial"/>
                <w:sz w:val="20"/>
              </w:rPr>
              <w:t>Tas</w:t>
            </w:r>
          </w:p>
        </w:tc>
      </w:tr>
      <w:tr w:rsidR="00857917" w:rsidRPr="00405CDE" w:rsidTr="00857917">
        <w:trPr>
          <w:trHeight w:hRule="exact" w:val="340"/>
        </w:trPr>
        <w:tc>
          <w:tcPr>
            <w:tcW w:w="1357" w:type="pct"/>
            <w:noWrap/>
            <w:vAlign w:val="center"/>
            <w:hideMark/>
          </w:tcPr>
          <w:p w:rsidR="00857917" w:rsidRPr="00405CDE" w:rsidRDefault="00857917" w:rsidP="009B21F2">
            <w:pPr>
              <w:spacing w:before="0" w:after="0"/>
              <w:rPr>
                <w:rFonts w:cs="Arial"/>
                <w:sz w:val="20"/>
                <w:szCs w:val="20"/>
              </w:rPr>
            </w:pPr>
            <w:r w:rsidRPr="00405CDE">
              <w:rPr>
                <w:rFonts w:cs="Arial"/>
                <w:sz w:val="20"/>
                <w:szCs w:val="20"/>
              </w:rPr>
              <w:t>Current week</w:t>
            </w:r>
          </w:p>
        </w:tc>
        <w:tc>
          <w:tcPr>
            <w:tcW w:w="518"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37</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47</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40</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57</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43</w:t>
            </w:r>
          </w:p>
        </w:tc>
      </w:tr>
      <w:tr w:rsidR="00857917" w:rsidRPr="00405CDE" w:rsidTr="00857917">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857917" w:rsidRPr="00405CDE" w:rsidRDefault="00857917" w:rsidP="009B21F2">
            <w:pPr>
              <w:spacing w:before="0" w:after="0"/>
              <w:rPr>
                <w:rFonts w:cs="Arial"/>
                <w:szCs w:val="20"/>
              </w:rPr>
            </w:pPr>
            <w:r w:rsidRPr="00405CDE">
              <w:rPr>
                <w:rFonts w:cs="Arial"/>
                <w:szCs w:val="20"/>
              </w:rPr>
              <w:t>13-14 financial YTD</w:t>
            </w:r>
          </w:p>
        </w:tc>
        <w:tc>
          <w:tcPr>
            <w:tcW w:w="518" w:type="pct"/>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62</w:t>
            </w:r>
          </w:p>
        </w:tc>
        <w:tc>
          <w:tcPr>
            <w:tcW w:w="781" w:type="pct"/>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54</w:t>
            </w:r>
          </w:p>
        </w:tc>
        <w:tc>
          <w:tcPr>
            <w:tcW w:w="781" w:type="pct"/>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55</w:t>
            </w:r>
          </w:p>
        </w:tc>
        <w:tc>
          <w:tcPr>
            <w:tcW w:w="781" w:type="pct"/>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71</w:t>
            </w:r>
          </w:p>
        </w:tc>
        <w:tc>
          <w:tcPr>
            <w:tcW w:w="781" w:type="pct"/>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43</w:t>
            </w:r>
          </w:p>
        </w:tc>
      </w:tr>
      <w:tr w:rsidR="00857917" w:rsidRPr="00405CDE" w:rsidTr="00857917">
        <w:trPr>
          <w:trHeight w:hRule="exact" w:val="340"/>
        </w:trPr>
        <w:tc>
          <w:tcPr>
            <w:tcW w:w="1357" w:type="pct"/>
            <w:noWrap/>
            <w:vAlign w:val="center"/>
            <w:hideMark/>
          </w:tcPr>
          <w:p w:rsidR="00857917" w:rsidRPr="00405CDE" w:rsidRDefault="00857917" w:rsidP="009B21F2">
            <w:pPr>
              <w:spacing w:before="0" w:after="0"/>
              <w:rPr>
                <w:rFonts w:cs="Arial"/>
                <w:sz w:val="20"/>
                <w:szCs w:val="20"/>
              </w:rPr>
            </w:pPr>
            <w:r w:rsidRPr="00405CDE">
              <w:rPr>
                <w:rFonts w:cs="Arial"/>
                <w:sz w:val="20"/>
                <w:szCs w:val="20"/>
              </w:rPr>
              <w:t>14-15 financial YTD</w:t>
            </w:r>
          </w:p>
        </w:tc>
        <w:tc>
          <w:tcPr>
            <w:tcW w:w="518"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67</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36</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31</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40</w:t>
            </w:r>
          </w:p>
        </w:tc>
        <w:tc>
          <w:tcPr>
            <w:tcW w:w="781" w:type="pct"/>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39</w:t>
            </w:r>
          </w:p>
        </w:tc>
      </w:tr>
    </w:tbl>
    <w:p w:rsidR="00275002" w:rsidRPr="00405CDE" w:rsidRDefault="00275002" w:rsidP="0004189D">
      <w:pPr>
        <w:pStyle w:val="Note"/>
        <w:rPr>
          <w:rFonts w:cs="Arial"/>
        </w:rPr>
      </w:pPr>
      <w:r w:rsidRPr="00405CDE">
        <w:rPr>
          <w:rFonts w:cs="Arial"/>
          <w:sz w:val="20"/>
          <w:szCs w:val="20"/>
        </w:rPr>
        <w:t xml:space="preserve">Longer-term statistics tracking average spot market prices are available on the </w:t>
      </w:r>
      <w:hyperlink r:id="rId12" w:history="1">
        <w:r w:rsidRPr="00405CDE">
          <w:rPr>
            <w:rStyle w:val="Hyperlink"/>
            <w:rFonts w:cs="Arial"/>
          </w:rPr>
          <w:t>AER website</w:t>
        </w:r>
      </w:hyperlink>
      <w:r w:rsidRPr="00405CDE">
        <w:rPr>
          <w:rFonts w:cs="Arial"/>
        </w:rPr>
        <w:t xml:space="preserve">. </w:t>
      </w:r>
    </w:p>
    <w:bookmarkEnd w:id="8"/>
    <w:bookmarkEnd w:id="9"/>
    <w:p w:rsidR="00275002" w:rsidRPr="00405CDE" w:rsidRDefault="00275002" w:rsidP="000E2946">
      <w:pPr>
        <w:pStyle w:val="AERHeading1"/>
        <w:rPr>
          <w:rFonts w:cs="Arial"/>
        </w:rPr>
      </w:pPr>
      <w:r w:rsidRPr="00405CDE">
        <w:rPr>
          <w:rFonts w:cs="Arial"/>
        </w:rPr>
        <w:t>Spot market price forecast variations</w:t>
      </w:r>
    </w:p>
    <w:p w:rsidR="00275002" w:rsidRPr="00405CDE" w:rsidRDefault="00275002" w:rsidP="009A3D22">
      <w:pPr>
        <w:jc w:val="both"/>
        <w:rPr>
          <w:rFonts w:cs="Arial"/>
        </w:rPr>
      </w:pPr>
      <w:r w:rsidRPr="00405CDE">
        <w:rPr>
          <w:rFonts w:cs="Arial"/>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405CDE" w:rsidRDefault="00857917" w:rsidP="00857917">
      <w:pPr>
        <w:jc w:val="both"/>
        <w:rPr>
          <w:rFonts w:cs="Arial"/>
        </w:rPr>
      </w:pPr>
      <w:r w:rsidRPr="00405CDE">
        <w:rPr>
          <w:rFonts w:cs="Arial"/>
        </w:rPr>
        <w:lastRenderedPageBreak/>
        <w:t>There were 87 trading intervals throughout the week where actual prices varied significantly from forecasts. This compares to the weekly average in 2014 of 71 counts and the average in 2013 of 97</w:t>
      </w:r>
      <w:r w:rsidR="00B92CD5" w:rsidRPr="00405CDE">
        <w:rPr>
          <w:rFonts w:cs="Arial"/>
        </w:rPr>
        <w:t>.</w:t>
      </w:r>
      <w:r w:rsidR="00275002" w:rsidRPr="00405CDE">
        <w:rPr>
          <w:rFonts w:cs="Arial"/>
        </w:rPr>
        <w:t xml:space="preserve"> Reasons for the variations for this week are summarised in </w:t>
      </w:r>
      <w:r w:rsidR="00E7472E" w:rsidRPr="00405CDE">
        <w:rPr>
          <w:rFonts w:cs="Arial"/>
        </w:rPr>
        <w:fldChar w:fldCharType="begin"/>
      </w:r>
      <w:r w:rsidR="00E7472E" w:rsidRPr="00405CDE">
        <w:rPr>
          <w:rFonts w:cs="Arial"/>
        </w:rPr>
        <w:instrText xml:space="preserve"> REF _Ref410993002 \h </w:instrText>
      </w:r>
      <w:r w:rsidR="00405CDE" w:rsidRPr="00405CDE">
        <w:rPr>
          <w:rFonts w:cs="Arial"/>
        </w:rPr>
        <w:instrText xml:space="preserve"> \* MERGEFORMAT </w:instrText>
      </w:r>
      <w:r w:rsidR="00E7472E" w:rsidRPr="00405CDE">
        <w:rPr>
          <w:rFonts w:cs="Arial"/>
        </w:rPr>
      </w:r>
      <w:r w:rsidR="00E7472E" w:rsidRPr="00405CDE">
        <w:rPr>
          <w:rFonts w:cs="Arial"/>
        </w:rPr>
        <w:fldChar w:fldCharType="separate"/>
      </w:r>
      <w:r w:rsidR="00C34065" w:rsidRPr="00405CDE">
        <w:rPr>
          <w:rFonts w:cs="Arial"/>
        </w:rPr>
        <w:t xml:space="preserve">Table </w:t>
      </w:r>
      <w:r w:rsidR="00C34065" w:rsidRPr="00405CDE">
        <w:rPr>
          <w:rFonts w:cs="Arial"/>
          <w:noProof/>
        </w:rPr>
        <w:t>2</w:t>
      </w:r>
      <w:r w:rsidR="00E7472E" w:rsidRPr="00405CDE">
        <w:rPr>
          <w:rFonts w:cs="Arial"/>
        </w:rPr>
        <w:fldChar w:fldCharType="end"/>
      </w:r>
      <w:r w:rsidR="00275002" w:rsidRPr="00405CDE">
        <w:rPr>
          <w:rFonts w:cs="Arial"/>
        </w:rPr>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405CDE" w:rsidRDefault="00275002" w:rsidP="000E2946">
      <w:pPr>
        <w:pStyle w:val="Caption"/>
        <w:rPr>
          <w:rFonts w:cs="Arial"/>
        </w:rPr>
      </w:pPr>
      <w:bookmarkStart w:id="12" w:name="_Ref410993002"/>
      <w:bookmarkStart w:id="13" w:name="_Ref410992996"/>
      <w:r w:rsidRPr="00405CDE">
        <w:rPr>
          <w:rFonts w:cs="Arial"/>
        </w:rPr>
        <w:t xml:space="preserve">Table </w:t>
      </w:r>
      <w:r w:rsidR="00FD5876" w:rsidRPr="00405CDE">
        <w:rPr>
          <w:rFonts w:cs="Arial"/>
        </w:rPr>
        <w:fldChar w:fldCharType="begin"/>
      </w:r>
      <w:r w:rsidR="00FD5876" w:rsidRPr="00405CDE">
        <w:rPr>
          <w:rFonts w:cs="Arial"/>
        </w:rPr>
        <w:instrText xml:space="preserve"> SEQ Table \* ARABIC </w:instrText>
      </w:r>
      <w:r w:rsidR="00FD5876" w:rsidRPr="00405CDE">
        <w:rPr>
          <w:rFonts w:cs="Arial"/>
        </w:rPr>
        <w:fldChar w:fldCharType="separate"/>
      </w:r>
      <w:r w:rsidR="00066FEF">
        <w:rPr>
          <w:rFonts w:cs="Arial"/>
          <w:noProof/>
        </w:rPr>
        <w:t>2</w:t>
      </w:r>
      <w:r w:rsidR="00FD5876" w:rsidRPr="00405CDE">
        <w:rPr>
          <w:rFonts w:cs="Arial"/>
          <w:noProof/>
        </w:rPr>
        <w:fldChar w:fldCharType="end"/>
      </w:r>
      <w:bookmarkEnd w:id="12"/>
      <w:r w:rsidRPr="00405CDE">
        <w:rPr>
          <w:rFonts w:cs="Arial"/>
        </w:rPr>
        <w:t xml:space="preserve"> :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405CDE"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405CDE" w:rsidRDefault="00B92CD5" w:rsidP="00B92CD5">
            <w:pPr>
              <w:jc w:val="center"/>
              <w:rPr>
                <w:rFonts w:cs="Arial"/>
              </w:rPr>
            </w:pPr>
          </w:p>
        </w:tc>
        <w:tc>
          <w:tcPr>
            <w:tcW w:w="1571" w:type="dxa"/>
            <w:noWrap/>
            <w:hideMark/>
          </w:tcPr>
          <w:p w:rsidR="00B92CD5" w:rsidRPr="00405CDE" w:rsidRDefault="00B92CD5" w:rsidP="000766E2">
            <w:pPr>
              <w:rPr>
                <w:rFonts w:cs="Arial"/>
                <w:sz w:val="20"/>
              </w:rPr>
            </w:pPr>
            <w:r w:rsidRPr="00405CDE">
              <w:rPr>
                <w:rFonts w:cs="Arial"/>
                <w:sz w:val="20"/>
              </w:rPr>
              <w:t>Availability</w:t>
            </w:r>
          </w:p>
        </w:tc>
        <w:tc>
          <w:tcPr>
            <w:tcW w:w="1572" w:type="dxa"/>
            <w:noWrap/>
            <w:hideMark/>
          </w:tcPr>
          <w:p w:rsidR="00B92CD5" w:rsidRPr="00405CDE" w:rsidRDefault="00B92CD5" w:rsidP="000766E2">
            <w:pPr>
              <w:rPr>
                <w:rFonts w:cs="Arial"/>
                <w:sz w:val="20"/>
              </w:rPr>
            </w:pPr>
            <w:r w:rsidRPr="00405CDE">
              <w:rPr>
                <w:rFonts w:cs="Arial"/>
                <w:sz w:val="20"/>
              </w:rPr>
              <w:t>Demand</w:t>
            </w:r>
          </w:p>
        </w:tc>
        <w:tc>
          <w:tcPr>
            <w:tcW w:w="1572" w:type="dxa"/>
            <w:noWrap/>
            <w:hideMark/>
          </w:tcPr>
          <w:p w:rsidR="00B92CD5" w:rsidRPr="00405CDE" w:rsidRDefault="00B92CD5" w:rsidP="000766E2">
            <w:pPr>
              <w:rPr>
                <w:rFonts w:cs="Arial"/>
                <w:sz w:val="20"/>
              </w:rPr>
            </w:pPr>
            <w:r w:rsidRPr="00405CDE">
              <w:rPr>
                <w:rFonts w:cs="Arial"/>
                <w:sz w:val="20"/>
              </w:rPr>
              <w:t>Network</w:t>
            </w:r>
          </w:p>
        </w:tc>
        <w:tc>
          <w:tcPr>
            <w:tcW w:w="1572" w:type="dxa"/>
            <w:hideMark/>
          </w:tcPr>
          <w:p w:rsidR="00B92CD5" w:rsidRPr="00405CDE" w:rsidRDefault="00B92CD5" w:rsidP="000766E2">
            <w:pPr>
              <w:rPr>
                <w:rFonts w:cs="Arial"/>
                <w:sz w:val="20"/>
              </w:rPr>
            </w:pPr>
            <w:r w:rsidRPr="00405CDE">
              <w:rPr>
                <w:rFonts w:cs="Arial"/>
                <w:sz w:val="20"/>
              </w:rPr>
              <w:t>Combination</w:t>
            </w:r>
          </w:p>
        </w:tc>
      </w:tr>
      <w:tr w:rsidR="00857917" w:rsidRPr="00405CDE" w:rsidTr="00857917">
        <w:trPr>
          <w:trHeight w:hRule="exact" w:val="369"/>
        </w:trPr>
        <w:tc>
          <w:tcPr>
            <w:tcW w:w="2835" w:type="dxa"/>
            <w:noWrap/>
            <w:vAlign w:val="center"/>
            <w:hideMark/>
          </w:tcPr>
          <w:p w:rsidR="00857917" w:rsidRPr="00405CDE" w:rsidRDefault="00857917" w:rsidP="009B21F2">
            <w:pPr>
              <w:spacing w:before="0" w:after="0"/>
              <w:rPr>
                <w:rFonts w:cs="Arial"/>
                <w:sz w:val="20"/>
                <w:szCs w:val="20"/>
              </w:rPr>
            </w:pPr>
            <w:r w:rsidRPr="00405CDE">
              <w:rPr>
                <w:rFonts w:cs="Arial"/>
                <w:sz w:val="20"/>
                <w:szCs w:val="20"/>
              </w:rPr>
              <w:t>% of total above forecast</w:t>
            </w:r>
          </w:p>
        </w:tc>
        <w:tc>
          <w:tcPr>
            <w:tcW w:w="1571" w:type="dxa"/>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2</w:t>
            </w:r>
          </w:p>
        </w:tc>
        <w:tc>
          <w:tcPr>
            <w:tcW w:w="1572" w:type="dxa"/>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49</w:t>
            </w:r>
          </w:p>
        </w:tc>
        <w:tc>
          <w:tcPr>
            <w:tcW w:w="1572" w:type="dxa"/>
            <w:noWrap/>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0</w:t>
            </w:r>
          </w:p>
        </w:tc>
        <w:tc>
          <w:tcPr>
            <w:tcW w:w="1572" w:type="dxa"/>
            <w:vAlign w:val="center"/>
          </w:tcPr>
          <w:p w:rsidR="00857917" w:rsidRPr="00405CDE" w:rsidRDefault="00857917" w:rsidP="0004189D">
            <w:pPr>
              <w:spacing w:before="0" w:after="0" w:line="240" w:lineRule="auto"/>
              <w:jc w:val="center"/>
              <w:rPr>
                <w:rFonts w:cs="Arial"/>
                <w:sz w:val="20"/>
                <w:szCs w:val="20"/>
              </w:rPr>
            </w:pPr>
            <w:r w:rsidRPr="00405CDE">
              <w:rPr>
                <w:rFonts w:cs="Arial"/>
                <w:sz w:val="20"/>
                <w:szCs w:val="20"/>
              </w:rPr>
              <w:t>2</w:t>
            </w:r>
          </w:p>
        </w:tc>
      </w:tr>
      <w:tr w:rsidR="00857917" w:rsidRPr="00405CDE" w:rsidTr="00857917">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857917" w:rsidRPr="00405CDE" w:rsidRDefault="00857917" w:rsidP="009B21F2">
            <w:pPr>
              <w:spacing w:before="0" w:after="0"/>
              <w:rPr>
                <w:rFonts w:cs="Arial"/>
                <w:szCs w:val="20"/>
              </w:rPr>
            </w:pPr>
            <w:r w:rsidRPr="00405CDE">
              <w:rPr>
                <w:rFonts w:cs="Arial"/>
                <w:szCs w:val="20"/>
              </w:rPr>
              <w:t>% of total below forecast</w:t>
            </w:r>
          </w:p>
        </w:tc>
        <w:tc>
          <w:tcPr>
            <w:tcW w:w="1571" w:type="dxa"/>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40</w:t>
            </w:r>
          </w:p>
        </w:tc>
        <w:tc>
          <w:tcPr>
            <w:tcW w:w="1572" w:type="dxa"/>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4</w:t>
            </w:r>
          </w:p>
        </w:tc>
        <w:tc>
          <w:tcPr>
            <w:tcW w:w="1572" w:type="dxa"/>
            <w:noWrap/>
            <w:vAlign w:val="center"/>
          </w:tcPr>
          <w:p w:rsidR="00857917" w:rsidRPr="00405CDE" w:rsidRDefault="00857917" w:rsidP="0004189D">
            <w:pPr>
              <w:spacing w:before="0" w:after="0" w:line="240" w:lineRule="auto"/>
              <w:jc w:val="center"/>
              <w:rPr>
                <w:rFonts w:cs="Arial"/>
                <w:szCs w:val="20"/>
              </w:rPr>
            </w:pPr>
            <w:r w:rsidRPr="00405CDE">
              <w:rPr>
                <w:rFonts w:cs="Arial"/>
                <w:szCs w:val="20"/>
              </w:rPr>
              <w:t>0</w:t>
            </w:r>
          </w:p>
        </w:tc>
        <w:tc>
          <w:tcPr>
            <w:tcW w:w="1572" w:type="dxa"/>
            <w:vAlign w:val="center"/>
          </w:tcPr>
          <w:p w:rsidR="00857917" w:rsidRPr="00405CDE" w:rsidRDefault="00857917" w:rsidP="0004189D">
            <w:pPr>
              <w:spacing w:before="0" w:after="0" w:line="240" w:lineRule="auto"/>
              <w:jc w:val="center"/>
              <w:rPr>
                <w:rFonts w:cs="Arial"/>
                <w:szCs w:val="20"/>
              </w:rPr>
            </w:pPr>
            <w:r w:rsidRPr="00405CDE">
              <w:rPr>
                <w:rFonts w:cs="Arial"/>
                <w:szCs w:val="20"/>
              </w:rPr>
              <w:t>4</w:t>
            </w:r>
          </w:p>
        </w:tc>
      </w:tr>
    </w:tbl>
    <w:p w:rsidR="00275002" w:rsidRPr="00405CDE" w:rsidRDefault="00275002" w:rsidP="000614A2">
      <w:pPr>
        <w:pStyle w:val="Note"/>
      </w:pPr>
      <w:r w:rsidRPr="00405CDE">
        <w:t>Note: Due to rounding, the total may not be 100 per cent.</w:t>
      </w:r>
    </w:p>
    <w:p w:rsidR="00275002" w:rsidRPr="00405CDE" w:rsidRDefault="00275002" w:rsidP="00914A87">
      <w:pPr>
        <w:pStyle w:val="AERHeading1"/>
        <w:rPr>
          <w:rFonts w:cs="Arial"/>
        </w:rPr>
      </w:pPr>
      <w:r w:rsidRPr="00405CDE">
        <w:rPr>
          <w:rFonts w:cs="Arial"/>
        </w:rPr>
        <w:t>Generation and bidding patterns</w:t>
      </w:r>
    </w:p>
    <w:p w:rsidR="00275002" w:rsidRPr="00405CDE" w:rsidRDefault="00275002" w:rsidP="009A3D22">
      <w:pPr>
        <w:jc w:val="both"/>
        <w:rPr>
          <w:rFonts w:cs="Arial"/>
        </w:rPr>
      </w:pPr>
      <w:r w:rsidRPr="00405CDE">
        <w:rPr>
          <w:rFonts w:cs="Arial"/>
        </w:rPr>
        <w:t xml:space="preserve">The AER reviews generator bidding as part of its market monitoring to better understand the drivers behind price variations. </w:t>
      </w:r>
      <w:r w:rsidRPr="00405CDE">
        <w:rPr>
          <w:rFonts w:cs="Arial"/>
        </w:rPr>
        <w:fldChar w:fldCharType="begin"/>
      </w:r>
      <w:r w:rsidRPr="00405CDE">
        <w:rPr>
          <w:rFonts w:cs="Arial"/>
        </w:rPr>
        <w:instrText xml:space="preserve"> REF _Ref410383507 \h </w:instrText>
      </w:r>
      <w:r w:rsidR="009A3D22"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Figure </w:t>
      </w:r>
      <w:r w:rsidR="00C34065" w:rsidRPr="00405CDE">
        <w:rPr>
          <w:rFonts w:cs="Arial"/>
          <w:noProof/>
        </w:rPr>
        <w:t>3</w:t>
      </w:r>
      <w:r w:rsidRPr="00405CDE">
        <w:rPr>
          <w:rFonts w:cs="Arial"/>
        </w:rPr>
        <w:fldChar w:fldCharType="end"/>
      </w:r>
      <w:r w:rsidRPr="00405CDE">
        <w:rPr>
          <w:rFonts w:cs="Arial"/>
        </w:rPr>
        <w:t xml:space="preserve"> to </w:t>
      </w:r>
      <w:r w:rsidRPr="00405CDE">
        <w:rPr>
          <w:rFonts w:cs="Arial"/>
        </w:rPr>
        <w:fldChar w:fldCharType="begin"/>
      </w:r>
      <w:r w:rsidRPr="00405CDE">
        <w:rPr>
          <w:rFonts w:cs="Arial"/>
        </w:rPr>
        <w:instrText xml:space="preserve"> REF _Ref410383520 \h </w:instrText>
      </w:r>
      <w:r w:rsidR="009A3D22"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Figure </w:t>
      </w:r>
      <w:r w:rsidR="00C34065" w:rsidRPr="00405CDE">
        <w:rPr>
          <w:rFonts w:cs="Arial"/>
          <w:noProof/>
        </w:rPr>
        <w:t>7</w:t>
      </w:r>
      <w:r w:rsidRPr="00405CDE">
        <w:rPr>
          <w:rFonts w:cs="Arial"/>
        </w:rPr>
        <w:fldChar w:fldCharType="end"/>
      </w:r>
      <w:r w:rsidRPr="00405CDE">
        <w:rPr>
          <w:rFonts w:cs="Arial"/>
        </w:rPr>
        <w:t xml:space="preserve"> show, the total generation dispatched and the amounts of capacity offered within certain price bands for each 30 minute trading interval in each region. </w:t>
      </w:r>
      <w:r w:rsidR="0004189D">
        <w:rPr>
          <w:rFonts w:cs="Arial"/>
        </w:rPr>
        <w:t xml:space="preserve"> The red ellipses on the following charts highlight bidding patterns during the high price period.</w:t>
      </w:r>
    </w:p>
    <w:p w:rsidR="00275002" w:rsidRPr="00405CDE" w:rsidRDefault="00275002" w:rsidP="000E2946">
      <w:pPr>
        <w:pStyle w:val="Caption"/>
        <w:rPr>
          <w:rFonts w:cs="Arial"/>
        </w:rPr>
      </w:pPr>
      <w:bookmarkStart w:id="14" w:name="_Ref410383507"/>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3</w:t>
      </w:r>
      <w:r w:rsidR="00FD5876" w:rsidRPr="00405CDE">
        <w:rPr>
          <w:rFonts w:cs="Arial"/>
          <w:noProof/>
        </w:rPr>
        <w:fldChar w:fldCharType="end"/>
      </w:r>
      <w:bookmarkEnd w:id="14"/>
      <w:r w:rsidRPr="00405CDE">
        <w:rPr>
          <w:rFonts w:cs="Arial"/>
        </w:rPr>
        <w:t xml:space="preserve"> : Queensland generation and bidding patterns</w:t>
      </w:r>
    </w:p>
    <w:p w:rsidR="00275002" w:rsidRPr="00405CDE" w:rsidRDefault="0004189D" w:rsidP="00275002">
      <w:pPr>
        <w:rPr>
          <w:rFonts w:cs="Arial"/>
        </w:rPr>
      </w:pPr>
      <w:r>
        <w:rPr>
          <w:rFonts w:cs="Arial"/>
          <w:noProof/>
          <w:lang w:eastAsia="en-AU"/>
        </w:rPr>
        <mc:AlternateContent>
          <mc:Choice Requires="wps">
            <w:drawing>
              <wp:anchor distT="0" distB="0" distL="114300" distR="114300" simplePos="0" relativeHeight="251660288" behindDoc="0" locked="0" layoutInCell="1" allowOverlap="1" wp14:anchorId="25BF6DD4" wp14:editId="3BE52FFD">
                <wp:simplePos x="0" y="0"/>
                <wp:positionH relativeFrom="column">
                  <wp:posOffset>4238045</wp:posOffset>
                </wp:positionH>
                <wp:positionV relativeFrom="paragraph">
                  <wp:posOffset>851977</wp:posOffset>
                </wp:positionV>
                <wp:extent cx="571942" cy="1065475"/>
                <wp:effectExtent l="0" t="0" r="19050" b="20955"/>
                <wp:wrapNone/>
                <wp:docPr id="3" name="Oval 3"/>
                <wp:cNvGraphicFramePr/>
                <a:graphic xmlns:a="http://schemas.openxmlformats.org/drawingml/2006/main">
                  <a:graphicData uri="http://schemas.microsoft.com/office/word/2010/wordprocessingShape">
                    <wps:wsp>
                      <wps:cNvSpPr/>
                      <wps:spPr>
                        <a:xfrm>
                          <a:off x="0" y="0"/>
                          <a:ext cx="571942" cy="1065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33.7pt;margin-top:67.1pt;width:45.05pt;height: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" filled="f" strokecolor="red" strokeweight="2pt"/>
            </w:pict>
          </mc:Fallback>
        </mc:AlternateContent>
      </w:r>
      <w:r w:rsidR="00857917" w:rsidRPr="00405CDE">
        <w:rPr>
          <w:rFonts w:cs="Arial"/>
          <w:noProof/>
          <w:lang w:eastAsia="en-AU"/>
        </w:rPr>
        <w:drawing>
          <wp:inline distT="0" distB="0" distL="0" distR="0" wp14:anchorId="626ECBCF" wp14:editId="4F8DA84E">
            <wp:extent cx="5731510" cy="4118538"/>
            <wp:effectExtent l="0" t="0" r="2540" b="0"/>
            <wp:docPr id="12" name="Picture 12"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405CDE" w:rsidRDefault="00275002" w:rsidP="00275002">
      <w:pPr>
        <w:rPr>
          <w:rFonts w:cs="Arial"/>
        </w:rPr>
      </w:pPr>
    </w:p>
    <w:p w:rsidR="00275002" w:rsidRPr="00405CDE" w:rsidRDefault="00275002" w:rsidP="0004189D">
      <w:pPr>
        <w:pStyle w:val="Caption"/>
        <w:widowControl w:val="0"/>
        <w:rPr>
          <w:rFonts w:cs="Arial"/>
        </w:rPr>
      </w:pPr>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4</w:t>
      </w:r>
      <w:r w:rsidR="00FD5876" w:rsidRPr="00405CDE">
        <w:rPr>
          <w:rFonts w:cs="Arial"/>
          <w:noProof/>
        </w:rPr>
        <w:fldChar w:fldCharType="end"/>
      </w:r>
      <w:r w:rsidRPr="00405CDE">
        <w:rPr>
          <w:rFonts w:cs="Arial"/>
        </w:rPr>
        <w:t xml:space="preserve"> : New South Wales generation and bidding patterns</w:t>
      </w:r>
    </w:p>
    <w:p w:rsidR="00275002" w:rsidRPr="00405CDE" w:rsidRDefault="0004189D" w:rsidP="00275002">
      <w:pPr>
        <w:rPr>
          <w:rFonts w:cs="Arial"/>
        </w:rPr>
      </w:pPr>
      <w:r>
        <w:rPr>
          <w:rFonts w:cs="Arial"/>
          <w:noProof/>
          <w:lang w:eastAsia="en-AU"/>
        </w:rPr>
        <mc:AlternateContent>
          <mc:Choice Requires="wps">
            <w:drawing>
              <wp:anchor distT="0" distB="0" distL="114300" distR="114300" simplePos="0" relativeHeight="251664384" behindDoc="0" locked="0" layoutInCell="1" allowOverlap="1" wp14:anchorId="087E8597" wp14:editId="78D7AFBE">
                <wp:simplePos x="0" y="0"/>
                <wp:positionH relativeFrom="column">
                  <wp:posOffset>4151824</wp:posOffset>
                </wp:positionH>
                <wp:positionV relativeFrom="paragraph">
                  <wp:posOffset>1038832</wp:posOffset>
                </wp:positionV>
                <wp:extent cx="571500" cy="1064895"/>
                <wp:effectExtent l="0" t="0" r="19050" b="20955"/>
                <wp:wrapNone/>
                <wp:docPr id="5" name="Oval 5"/>
                <wp:cNvGraphicFramePr/>
                <a:graphic xmlns:a="http://schemas.openxmlformats.org/drawingml/2006/main">
                  <a:graphicData uri="http://schemas.microsoft.com/office/word/2010/wordprocessingShape">
                    <wps:wsp>
                      <wps:cNvSpPr/>
                      <wps:spPr>
                        <a:xfrm>
                          <a:off x="0" y="0"/>
                          <a:ext cx="571500" cy="10648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326.9pt;margin-top:81.8pt;width:45pt;height:8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" filled="f" strokecolor="red" strokeweight="2pt"/>
            </w:pict>
          </mc:Fallback>
        </mc:AlternateContent>
      </w:r>
      <w:r w:rsidR="00857917" w:rsidRPr="00405CDE">
        <w:rPr>
          <w:rFonts w:cs="Arial"/>
          <w:noProof/>
          <w:lang w:eastAsia="en-AU"/>
        </w:rPr>
        <w:drawing>
          <wp:inline distT="0" distB="0" distL="0" distR="0" wp14:anchorId="057E0D94" wp14:editId="4FDB9C7D">
            <wp:extent cx="5731510" cy="4124019"/>
            <wp:effectExtent l="0" t="0" r="2540" b="0"/>
            <wp:docPr id="14" name="Picture 14"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405CDE" w:rsidRDefault="00275002" w:rsidP="000E2946">
      <w:pPr>
        <w:pStyle w:val="Caption"/>
        <w:rPr>
          <w:rFonts w:cs="Arial"/>
        </w:rPr>
      </w:pPr>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5</w:t>
      </w:r>
      <w:r w:rsidR="00FD5876" w:rsidRPr="00405CDE">
        <w:rPr>
          <w:rFonts w:cs="Arial"/>
          <w:noProof/>
        </w:rPr>
        <w:fldChar w:fldCharType="end"/>
      </w:r>
      <w:r w:rsidRPr="00405CDE">
        <w:rPr>
          <w:rFonts w:cs="Arial"/>
        </w:rPr>
        <w:t xml:space="preserve"> : Victoria generation and bidding patterns</w:t>
      </w:r>
    </w:p>
    <w:p w:rsidR="00275002" w:rsidRPr="00405CDE" w:rsidRDefault="0004189D" w:rsidP="00275002">
      <w:pPr>
        <w:rPr>
          <w:rFonts w:cs="Arial"/>
        </w:rPr>
      </w:pPr>
      <w:r>
        <w:rPr>
          <w:rFonts w:cs="Arial"/>
          <w:noProof/>
          <w:lang w:eastAsia="en-AU"/>
        </w:rPr>
        <mc:AlternateContent>
          <mc:Choice Requires="wps">
            <w:drawing>
              <wp:anchor distT="0" distB="0" distL="114300" distR="114300" simplePos="0" relativeHeight="251662336" behindDoc="0" locked="0" layoutInCell="1" allowOverlap="1" wp14:anchorId="370F4A51" wp14:editId="60A2D646">
                <wp:simplePos x="0" y="0"/>
                <wp:positionH relativeFrom="column">
                  <wp:posOffset>4223385</wp:posOffset>
                </wp:positionH>
                <wp:positionV relativeFrom="paragraph">
                  <wp:posOffset>671195</wp:posOffset>
                </wp:positionV>
                <wp:extent cx="571500" cy="1064895"/>
                <wp:effectExtent l="0" t="0" r="19050" b="20955"/>
                <wp:wrapNone/>
                <wp:docPr id="4" name="Oval 4"/>
                <wp:cNvGraphicFramePr/>
                <a:graphic xmlns:a="http://schemas.openxmlformats.org/drawingml/2006/main">
                  <a:graphicData uri="http://schemas.microsoft.com/office/word/2010/wordprocessingShape">
                    <wps:wsp>
                      <wps:cNvSpPr/>
                      <wps:spPr>
                        <a:xfrm>
                          <a:off x="0" y="0"/>
                          <a:ext cx="571500" cy="10648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32.55pt;margin-top:52.85pt;width:45pt;height:8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" filled="f" strokecolor="red" strokeweight="2pt"/>
            </w:pict>
          </mc:Fallback>
        </mc:AlternateContent>
      </w:r>
      <w:r w:rsidR="00857917" w:rsidRPr="00405CDE">
        <w:rPr>
          <w:rFonts w:cs="Arial"/>
          <w:noProof/>
          <w:lang w:eastAsia="en-AU"/>
        </w:rPr>
        <w:drawing>
          <wp:inline distT="0" distB="0" distL="0" distR="0" wp14:anchorId="620314E4" wp14:editId="2B456A63">
            <wp:extent cx="5731841" cy="3935896"/>
            <wp:effectExtent l="0" t="0" r="2540" b="7620"/>
            <wp:docPr id="15" name="Picture 15"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935669"/>
                    </a:xfrm>
                    <a:prstGeom prst="rect">
                      <a:avLst/>
                    </a:prstGeom>
                    <a:noFill/>
                    <a:ln>
                      <a:noFill/>
                    </a:ln>
                  </pic:spPr>
                </pic:pic>
              </a:graphicData>
            </a:graphic>
          </wp:inline>
        </w:drawing>
      </w:r>
    </w:p>
    <w:p w:rsidR="00275002" w:rsidRPr="00405CDE" w:rsidRDefault="00275002" w:rsidP="000E2946">
      <w:pPr>
        <w:pStyle w:val="Caption"/>
        <w:rPr>
          <w:rFonts w:cs="Arial"/>
        </w:rPr>
      </w:pPr>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6</w:t>
      </w:r>
      <w:r w:rsidR="00FD5876" w:rsidRPr="00405CDE">
        <w:rPr>
          <w:rFonts w:cs="Arial"/>
          <w:noProof/>
        </w:rPr>
        <w:fldChar w:fldCharType="end"/>
      </w:r>
      <w:r w:rsidRPr="00405CDE">
        <w:rPr>
          <w:rFonts w:cs="Arial"/>
        </w:rPr>
        <w:t>: South Australia generation and bidding patterns</w:t>
      </w:r>
    </w:p>
    <w:p w:rsidR="00275002" w:rsidRPr="00405CDE" w:rsidRDefault="00857917" w:rsidP="00275002">
      <w:pPr>
        <w:rPr>
          <w:rFonts w:cs="Arial"/>
        </w:rPr>
      </w:pPr>
      <w:r w:rsidRPr="00405CDE">
        <w:rPr>
          <w:rFonts w:cs="Arial"/>
          <w:noProof/>
          <w:lang w:eastAsia="en-AU"/>
        </w:rPr>
        <w:drawing>
          <wp:inline distT="0" distB="0" distL="0" distR="0" wp14:anchorId="210F1F99" wp14:editId="5C3BFCEF">
            <wp:extent cx="5731510" cy="4118538"/>
            <wp:effectExtent l="0" t="0" r="2540" b="0"/>
            <wp:docPr id="17" name="Picture 17"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405CDE" w:rsidRDefault="00275002" w:rsidP="000E2946">
      <w:pPr>
        <w:pStyle w:val="Caption"/>
        <w:rPr>
          <w:rFonts w:cs="Arial"/>
        </w:rPr>
      </w:pPr>
      <w:bookmarkStart w:id="15" w:name="_Ref410383520"/>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7</w:t>
      </w:r>
      <w:r w:rsidR="00FD5876" w:rsidRPr="00405CDE">
        <w:rPr>
          <w:rFonts w:cs="Arial"/>
          <w:noProof/>
        </w:rPr>
        <w:fldChar w:fldCharType="end"/>
      </w:r>
      <w:bookmarkEnd w:id="15"/>
      <w:r w:rsidRPr="00405CDE">
        <w:rPr>
          <w:rFonts w:cs="Arial"/>
        </w:rPr>
        <w:t>: Tasmania generation and bidding patterns</w:t>
      </w:r>
    </w:p>
    <w:p w:rsidR="00275002" w:rsidRPr="00405CDE" w:rsidRDefault="0004189D" w:rsidP="00275002">
      <w:pPr>
        <w:rPr>
          <w:rFonts w:cs="Arial"/>
        </w:rPr>
      </w:pPr>
      <w:r>
        <w:rPr>
          <w:rFonts w:cs="Arial"/>
          <w:noProof/>
          <w:lang w:eastAsia="en-AU"/>
        </w:rPr>
        <mc:AlternateContent>
          <mc:Choice Requires="wps">
            <w:drawing>
              <wp:anchor distT="0" distB="0" distL="114300" distR="114300" simplePos="0" relativeHeight="251666432" behindDoc="0" locked="0" layoutInCell="1" allowOverlap="1" wp14:anchorId="04633A30" wp14:editId="6DBC0359">
                <wp:simplePos x="0" y="0"/>
                <wp:positionH relativeFrom="column">
                  <wp:posOffset>4150581</wp:posOffset>
                </wp:positionH>
                <wp:positionV relativeFrom="paragraph">
                  <wp:posOffset>596900</wp:posOffset>
                </wp:positionV>
                <wp:extent cx="571500" cy="1661823"/>
                <wp:effectExtent l="0" t="0" r="19050" b="14605"/>
                <wp:wrapNone/>
                <wp:docPr id="6" name="Oval 6"/>
                <wp:cNvGraphicFramePr/>
                <a:graphic xmlns:a="http://schemas.openxmlformats.org/drawingml/2006/main">
                  <a:graphicData uri="http://schemas.microsoft.com/office/word/2010/wordprocessingShape">
                    <wps:wsp>
                      <wps:cNvSpPr/>
                      <wps:spPr>
                        <a:xfrm>
                          <a:off x="0" y="0"/>
                          <a:ext cx="571500" cy="166182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26.8pt;margin-top:47pt;width:45pt;height:1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" filled="f" strokecolor="red" strokeweight="2pt"/>
            </w:pict>
          </mc:Fallback>
        </mc:AlternateContent>
      </w:r>
      <w:r w:rsidR="00857917" w:rsidRPr="00405CDE">
        <w:rPr>
          <w:rFonts w:cs="Arial"/>
          <w:noProof/>
          <w:lang w:eastAsia="en-AU"/>
        </w:rPr>
        <w:drawing>
          <wp:inline distT="0" distB="0" distL="0" distR="0" wp14:anchorId="60D96B36" wp14:editId="0FF2D674">
            <wp:extent cx="5731841" cy="4007458"/>
            <wp:effectExtent l="0" t="0" r="2540" b="0"/>
            <wp:docPr id="22" name="Picture 22"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007226"/>
                    </a:xfrm>
                    <a:prstGeom prst="rect">
                      <a:avLst/>
                    </a:prstGeom>
                    <a:noFill/>
                    <a:ln>
                      <a:noFill/>
                    </a:ln>
                  </pic:spPr>
                </pic:pic>
              </a:graphicData>
            </a:graphic>
          </wp:inline>
        </w:drawing>
      </w:r>
    </w:p>
    <w:p w:rsidR="00275002" w:rsidRPr="00405CDE" w:rsidRDefault="00275002" w:rsidP="00914A87">
      <w:pPr>
        <w:pStyle w:val="AERHeading1"/>
        <w:rPr>
          <w:rFonts w:cs="Arial"/>
        </w:rPr>
      </w:pPr>
      <w:r w:rsidRPr="00405CDE">
        <w:rPr>
          <w:rFonts w:cs="Arial"/>
        </w:rPr>
        <w:t>Frequency control ancillary services markets</w:t>
      </w:r>
    </w:p>
    <w:p w:rsidR="00275002" w:rsidRPr="00405CDE" w:rsidRDefault="00275002" w:rsidP="0004189D">
      <w:r w:rsidRPr="00405CDE">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04189D" w:rsidRDefault="00275002" w:rsidP="0004189D">
      <w:pPr>
        <w:pStyle w:val="Bulletpoint"/>
      </w:pPr>
      <w:r w:rsidRPr="0004189D">
        <w:t>fast services, which arrest a frequency deviation within the first 6 seconds of a contingent event (raise and lower 6 second)</w:t>
      </w:r>
    </w:p>
    <w:p w:rsidR="00275002" w:rsidRPr="0004189D" w:rsidRDefault="00275002" w:rsidP="0004189D">
      <w:pPr>
        <w:pStyle w:val="Bulletpoint"/>
      </w:pPr>
      <w:r w:rsidRPr="0004189D">
        <w:t>slow services, which stabilise frequency deviations within 60 seconds of the event (raise and lower 60 second)</w:t>
      </w:r>
    </w:p>
    <w:p w:rsidR="00275002" w:rsidRPr="0004189D" w:rsidRDefault="00275002" w:rsidP="0004189D">
      <w:pPr>
        <w:pStyle w:val="Bulletpoint"/>
      </w:pPr>
      <w:r w:rsidRPr="0004189D">
        <w:t>delayed services, which return the frequency to the normal operating band within 5 minutes (raise and lower 5 minute) at which time the five minute dispatch process will take effect.</w:t>
      </w:r>
    </w:p>
    <w:p w:rsidR="00275002" w:rsidRPr="00405CDE" w:rsidRDefault="00275002">
      <w:pPr>
        <w:jc w:val="both"/>
        <w:rPr>
          <w:rFonts w:cs="Arial"/>
        </w:rPr>
      </w:pPr>
      <w:r w:rsidRPr="00405CDE">
        <w:rPr>
          <w:rFonts w:cs="Arial"/>
        </w:rPr>
        <w:t>The Electricity Rules stipulate that generators pay for raise contingency services and customers pay for lower contingency services. Regulation services are paid for on a “causer pays” basis determined every four weeks by AEMO.</w:t>
      </w:r>
    </w:p>
    <w:p w:rsidR="00857917" w:rsidRPr="00405CDE" w:rsidRDefault="00857917" w:rsidP="0004189D">
      <w:pPr>
        <w:rPr>
          <w:b/>
          <w:bCs/>
        </w:rPr>
      </w:pPr>
      <w:bookmarkStart w:id="16" w:name="_Ref410383413"/>
      <w:r w:rsidRPr="00405CDE">
        <w:t>The total cost of FCAS on the mainland for the week was $</w:t>
      </w:r>
      <w:r w:rsidR="006C547C" w:rsidRPr="00405CDE">
        <w:t>478</w:t>
      </w:r>
      <w:r w:rsidR="006C547C">
        <w:t> </w:t>
      </w:r>
      <w:r w:rsidRPr="00405CDE">
        <w:t xml:space="preserve">500 or less than </w:t>
      </w:r>
      <w:r w:rsidR="006C547C">
        <w:t>1</w:t>
      </w:r>
      <w:r w:rsidRPr="00405CDE">
        <w:t xml:space="preserve"> per cent of energy turnover on the mainland.</w:t>
      </w:r>
    </w:p>
    <w:p w:rsidR="00411897" w:rsidRPr="00405CDE" w:rsidRDefault="00857917" w:rsidP="000A67D2">
      <w:pPr>
        <w:rPr>
          <w:b/>
          <w:bCs/>
        </w:rPr>
      </w:pPr>
      <w:r w:rsidRPr="00405CDE">
        <w:t xml:space="preserve">The total cost of FCAS in Tasmania for the week was $246 000 </w:t>
      </w:r>
      <w:r w:rsidR="006C547C">
        <w:t>or</w:t>
      </w:r>
      <w:r w:rsidR="006C547C" w:rsidRPr="00405CDE">
        <w:t xml:space="preserve"> </w:t>
      </w:r>
      <w:r w:rsidRPr="00405CDE">
        <w:t>3 per cent of energy turnover in Tasmania.</w:t>
      </w:r>
    </w:p>
    <w:p w:rsidR="00275002" w:rsidRPr="00405CDE" w:rsidRDefault="00275002" w:rsidP="000E2946">
      <w:pPr>
        <w:pStyle w:val="Caption"/>
        <w:rPr>
          <w:rFonts w:cs="Arial"/>
        </w:rPr>
      </w:pPr>
      <w:bookmarkStart w:id="17" w:name="_Ref418082853"/>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8</w:t>
      </w:r>
      <w:r w:rsidR="00FD5876" w:rsidRPr="00405CDE">
        <w:rPr>
          <w:rFonts w:cs="Arial"/>
          <w:noProof/>
        </w:rPr>
        <w:fldChar w:fldCharType="end"/>
      </w:r>
      <w:bookmarkEnd w:id="16"/>
      <w:bookmarkEnd w:id="17"/>
      <w:r w:rsidRPr="00405CDE">
        <w:rPr>
          <w:rFonts w:cs="Arial"/>
        </w:rPr>
        <w:t xml:space="preserve"> : Daily frequency control ancillary service cost</w:t>
      </w:r>
    </w:p>
    <w:p w:rsidR="00275002" w:rsidRPr="00405CDE" w:rsidRDefault="00857917" w:rsidP="00275002">
      <w:pPr>
        <w:rPr>
          <w:rFonts w:cs="Arial"/>
        </w:rPr>
      </w:pPr>
      <w:r w:rsidRPr="00405CDE">
        <w:rPr>
          <w:rFonts w:cs="Arial"/>
          <w:noProof/>
          <w:lang w:eastAsia="en-AU"/>
        </w:rPr>
        <w:drawing>
          <wp:inline distT="0" distB="0" distL="0" distR="0" wp14:anchorId="7219DFD4" wp14:editId="65ACB0FD">
            <wp:extent cx="5731510" cy="2894535"/>
            <wp:effectExtent l="0" t="0" r="2540" b="1270"/>
            <wp:docPr id="23" name="Picture 23"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593C9B" w:rsidRPr="006E53D5" w:rsidRDefault="00C34065" w:rsidP="006E53D5">
      <w:pPr>
        <w:jc w:val="both"/>
        <w:rPr>
          <w:rFonts w:cs="Arial"/>
        </w:rPr>
      </w:pPr>
      <w:r w:rsidRPr="00405CDE">
        <w:rPr>
          <w:rFonts w:cs="Arial"/>
        </w:rPr>
        <w:fldChar w:fldCharType="begin"/>
      </w:r>
      <w:r w:rsidRPr="00405CDE">
        <w:rPr>
          <w:rFonts w:cs="Arial"/>
        </w:rPr>
        <w:instrText xml:space="preserve"> REF _Ref418082853 \h </w:instrText>
      </w:r>
      <w:r w:rsidR="00405CDE">
        <w:rPr>
          <w:rFonts w:cs="Arial"/>
        </w:rPr>
        <w:instrText xml:space="preserve"> \* MERGEFORMAT </w:instrText>
      </w:r>
      <w:r w:rsidRPr="00405CDE">
        <w:rPr>
          <w:rFonts w:cs="Arial"/>
        </w:rPr>
      </w:r>
      <w:r w:rsidRPr="00405CDE">
        <w:rPr>
          <w:rFonts w:cs="Arial"/>
        </w:rPr>
        <w:fldChar w:fldCharType="separate"/>
      </w:r>
      <w:r w:rsidRPr="00405CDE">
        <w:rPr>
          <w:rFonts w:cs="Arial"/>
        </w:rPr>
        <w:t xml:space="preserve">Figure </w:t>
      </w:r>
      <w:r w:rsidRPr="00405CDE">
        <w:rPr>
          <w:rFonts w:cs="Arial"/>
          <w:noProof/>
        </w:rPr>
        <w:t>8</w:t>
      </w:r>
      <w:r w:rsidRPr="00405CDE">
        <w:rPr>
          <w:rFonts w:cs="Arial"/>
        </w:rPr>
        <w:fldChar w:fldCharType="end"/>
      </w:r>
      <w:r w:rsidR="00857917" w:rsidRPr="00405CDE">
        <w:rPr>
          <w:rFonts w:cs="Arial"/>
        </w:rPr>
        <w:t xml:space="preserve"> </w:t>
      </w:r>
      <w:r w:rsidR="00275002" w:rsidRPr="00405CDE">
        <w:rPr>
          <w:rFonts w:cs="Arial"/>
        </w:rPr>
        <w:t xml:space="preserve">shows the daily breakdown of cost for each FCAS for the NEM, as well as the average cost since the beginning of the previous financial year. </w:t>
      </w:r>
      <w:r w:rsidR="006E53D5">
        <w:rPr>
          <w:rFonts w:cs="Arial"/>
        </w:rPr>
        <w:t xml:space="preserve">The </w:t>
      </w:r>
      <w:r w:rsidR="006C547C">
        <w:rPr>
          <w:rFonts w:cs="Arial"/>
        </w:rPr>
        <w:t>costs</w:t>
      </w:r>
      <w:r w:rsidR="006E53D5">
        <w:rPr>
          <w:rFonts w:cs="Arial"/>
        </w:rPr>
        <w:t xml:space="preserve"> in Tasmania </w:t>
      </w:r>
      <w:r w:rsidR="000A67D2">
        <w:rPr>
          <w:rFonts w:cs="Arial"/>
        </w:rPr>
        <w:t>were</w:t>
      </w:r>
      <w:r w:rsidR="006E53D5">
        <w:rPr>
          <w:rFonts w:cs="Arial"/>
        </w:rPr>
        <w:t xml:space="preserve"> largely caused by high Raise 60 second and Raise </w:t>
      </w:r>
      <w:r w:rsidR="000A67D2">
        <w:rPr>
          <w:rFonts w:cs="Arial"/>
        </w:rPr>
        <w:t xml:space="preserve">Reg </w:t>
      </w:r>
      <w:r w:rsidR="006E53D5">
        <w:rPr>
          <w:rFonts w:cs="Arial"/>
        </w:rPr>
        <w:t xml:space="preserve">prices on 1 May. </w:t>
      </w:r>
      <w:r w:rsidR="009C3E23">
        <w:rPr>
          <w:rFonts w:cs="Arial"/>
        </w:rPr>
        <w:t xml:space="preserve">At 8.39 am, effective from 8.50 am, </w:t>
      </w:r>
      <w:r w:rsidR="00593C9B" w:rsidRPr="006E53D5">
        <w:rPr>
          <w:rFonts w:cs="Arial"/>
        </w:rPr>
        <w:t xml:space="preserve">Hydro Tasmania rebid all available capacity </w:t>
      </w:r>
      <w:r w:rsidR="006E53D5">
        <w:rPr>
          <w:rFonts w:cs="Arial"/>
        </w:rPr>
        <w:t>for R</w:t>
      </w:r>
      <w:r w:rsidR="00593C9B" w:rsidRPr="006E53D5">
        <w:rPr>
          <w:rFonts w:cs="Arial"/>
        </w:rPr>
        <w:t xml:space="preserve">aise 60 second </w:t>
      </w:r>
      <w:r w:rsidR="006E53D5">
        <w:rPr>
          <w:rFonts w:cs="Arial"/>
        </w:rPr>
        <w:t xml:space="preserve">and Raise </w:t>
      </w:r>
      <w:r w:rsidR="000A67D2">
        <w:rPr>
          <w:rFonts w:cs="Arial"/>
        </w:rPr>
        <w:t>R</w:t>
      </w:r>
      <w:r w:rsidR="000A67D2" w:rsidRPr="006E53D5">
        <w:rPr>
          <w:rFonts w:cs="Arial"/>
        </w:rPr>
        <w:t>eg</w:t>
      </w:r>
      <w:r w:rsidR="000A67D2">
        <w:rPr>
          <w:rFonts w:cs="Arial"/>
        </w:rPr>
        <w:t>ulation</w:t>
      </w:r>
      <w:r w:rsidR="000A67D2" w:rsidRPr="006E53D5">
        <w:rPr>
          <w:rFonts w:cs="Arial"/>
        </w:rPr>
        <w:t xml:space="preserve"> </w:t>
      </w:r>
      <w:r w:rsidR="006E53D5" w:rsidRPr="006E53D5">
        <w:rPr>
          <w:rFonts w:cs="Arial"/>
        </w:rPr>
        <w:t xml:space="preserve">services </w:t>
      </w:r>
      <w:r w:rsidR="00593C9B" w:rsidRPr="006E53D5">
        <w:rPr>
          <w:rFonts w:cs="Arial"/>
        </w:rPr>
        <w:t>(</w:t>
      </w:r>
      <w:r w:rsidR="006C547C" w:rsidRPr="006E53D5">
        <w:rPr>
          <w:rFonts w:cs="Arial"/>
        </w:rPr>
        <w:t>1452</w:t>
      </w:r>
      <w:r w:rsidR="006C547C">
        <w:rPr>
          <w:rFonts w:cs="Arial"/>
        </w:rPr>
        <w:t> </w:t>
      </w:r>
      <w:r w:rsidR="00593C9B" w:rsidRPr="006E53D5">
        <w:rPr>
          <w:rFonts w:cs="Arial"/>
        </w:rPr>
        <w:t>MW</w:t>
      </w:r>
      <w:r w:rsidR="006E53D5" w:rsidRPr="006E53D5">
        <w:rPr>
          <w:rFonts w:cs="Arial"/>
        </w:rPr>
        <w:t xml:space="preserve"> and </w:t>
      </w:r>
      <w:r w:rsidR="006C547C" w:rsidRPr="006E53D5">
        <w:rPr>
          <w:rFonts w:cs="Arial"/>
        </w:rPr>
        <w:t>386</w:t>
      </w:r>
      <w:r w:rsidR="006C547C">
        <w:rPr>
          <w:rFonts w:cs="Arial"/>
        </w:rPr>
        <w:t> </w:t>
      </w:r>
      <w:r w:rsidR="006E53D5" w:rsidRPr="006E53D5">
        <w:rPr>
          <w:rFonts w:cs="Arial"/>
        </w:rPr>
        <w:t>MW respectively</w:t>
      </w:r>
      <w:r w:rsidR="00593C9B" w:rsidRPr="006E53D5">
        <w:rPr>
          <w:rFonts w:cs="Arial"/>
        </w:rPr>
        <w:t>) from below $</w:t>
      </w:r>
      <w:r w:rsidR="006E53D5" w:rsidRPr="006E53D5">
        <w:rPr>
          <w:rFonts w:cs="Arial"/>
        </w:rPr>
        <w:t>3</w:t>
      </w:r>
      <w:r w:rsidR="00593C9B" w:rsidRPr="006E53D5">
        <w:rPr>
          <w:rFonts w:cs="Arial"/>
        </w:rPr>
        <w:t>/MWh to $</w:t>
      </w:r>
      <w:r w:rsidR="006C547C" w:rsidRPr="006E53D5">
        <w:rPr>
          <w:rFonts w:cs="Arial"/>
        </w:rPr>
        <w:t>13</w:t>
      </w:r>
      <w:r w:rsidR="006C547C">
        <w:rPr>
          <w:rFonts w:cs="Arial"/>
        </w:rPr>
        <w:t> </w:t>
      </w:r>
      <w:r w:rsidR="00593C9B" w:rsidRPr="006E53D5">
        <w:rPr>
          <w:rFonts w:cs="Arial"/>
        </w:rPr>
        <w:t>100/MWh.</w:t>
      </w:r>
      <w:r w:rsidR="006E53D5" w:rsidRPr="006E53D5">
        <w:rPr>
          <w:rFonts w:cs="Arial"/>
        </w:rPr>
        <w:t xml:space="preserve"> </w:t>
      </w:r>
      <w:r w:rsidR="00593C9B" w:rsidRPr="006E53D5">
        <w:rPr>
          <w:rFonts w:cs="Arial"/>
        </w:rPr>
        <w:t xml:space="preserve">The reason </w:t>
      </w:r>
      <w:r w:rsidR="009C3E23">
        <w:rPr>
          <w:rFonts w:cs="Arial"/>
        </w:rPr>
        <w:t>given</w:t>
      </w:r>
      <w:r w:rsidR="009C3E23" w:rsidRPr="006E53D5">
        <w:rPr>
          <w:rFonts w:cs="Arial"/>
        </w:rPr>
        <w:t xml:space="preserve"> </w:t>
      </w:r>
      <w:r w:rsidR="00593C9B" w:rsidRPr="006E53D5">
        <w:rPr>
          <w:rFonts w:cs="Arial"/>
        </w:rPr>
        <w:t xml:space="preserve">was “0840A </w:t>
      </w:r>
      <w:r w:rsidR="009C3E23" w:rsidRPr="006E53D5">
        <w:rPr>
          <w:rFonts w:cs="Arial"/>
        </w:rPr>
        <w:t>vic prices &gt; forecast, increased price risk</w:t>
      </w:r>
      <w:r w:rsidR="00593C9B" w:rsidRPr="006E53D5">
        <w:rPr>
          <w:rFonts w:cs="Arial"/>
        </w:rPr>
        <w:t>”.</w:t>
      </w:r>
      <w:r w:rsidR="009C3E23" w:rsidRPr="009C3E23">
        <w:rPr>
          <w:rFonts w:cs="Arial"/>
        </w:rPr>
        <w:t xml:space="preserve"> </w:t>
      </w:r>
      <w:r w:rsidR="00B42FB7">
        <w:rPr>
          <w:rFonts w:cs="Arial"/>
        </w:rPr>
        <w:t>This resulted</w:t>
      </w:r>
      <w:r w:rsidR="009C3E23">
        <w:rPr>
          <w:rFonts w:cs="Arial"/>
        </w:rPr>
        <w:t xml:space="preserve"> </w:t>
      </w:r>
      <w:r w:rsidR="00B42FB7">
        <w:rPr>
          <w:rFonts w:cs="Arial"/>
        </w:rPr>
        <w:t xml:space="preserve">in the </w:t>
      </w:r>
      <w:r w:rsidR="000A67D2">
        <w:rPr>
          <w:rFonts w:cs="Arial"/>
        </w:rPr>
        <w:t>R</w:t>
      </w:r>
      <w:r w:rsidR="000A67D2" w:rsidRPr="006E53D5">
        <w:rPr>
          <w:rFonts w:cs="Arial"/>
        </w:rPr>
        <w:t xml:space="preserve">aise </w:t>
      </w:r>
      <w:r w:rsidR="009C3E23" w:rsidRPr="006E53D5">
        <w:rPr>
          <w:rFonts w:cs="Arial"/>
        </w:rPr>
        <w:t xml:space="preserve">60 </w:t>
      </w:r>
      <w:r w:rsidR="009C3E23">
        <w:rPr>
          <w:rFonts w:cs="Arial"/>
        </w:rPr>
        <w:t xml:space="preserve">second </w:t>
      </w:r>
      <w:r w:rsidR="009C3E23" w:rsidRPr="006E53D5">
        <w:rPr>
          <w:rFonts w:cs="Arial"/>
        </w:rPr>
        <w:t xml:space="preserve">and </w:t>
      </w:r>
      <w:r w:rsidR="000A67D2" w:rsidRPr="006E53D5">
        <w:rPr>
          <w:rFonts w:cs="Arial"/>
        </w:rPr>
        <w:t>Raise Reg</w:t>
      </w:r>
      <w:r w:rsidR="000A67D2">
        <w:rPr>
          <w:rFonts w:cs="Arial"/>
        </w:rPr>
        <w:t xml:space="preserve"> </w:t>
      </w:r>
      <w:r w:rsidR="009C3E23">
        <w:rPr>
          <w:rFonts w:cs="Arial"/>
        </w:rPr>
        <w:t>prices</w:t>
      </w:r>
      <w:r w:rsidR="009C3E23" w:rsidRPr="006E53D5">
        <w:rPr>
          <w:rFonts w:cs="Arial"/>
        </w:rPr>
        <w:t xml:space="preserve"> </w:t>
      </w:r>
      <w:r w:rsidR="00B42FB7">
        <w:rPr>
          <w:rFonts w:cs="Arial"/>
        </w:rPr>
        <w:t xml:space="preserve">reaching </w:t>
      </w:r>
      <w:r w:rsidR="009C3E23">
        <w:rPr>
          <w:rFonts w:cs="Arial"/>
        </w:rPr>
        <w:t>$</w:t>
      </w:r>
      <w:r w:rsidR="009C3E23" w:rsidRPr="006E53D5">
        <w:rPr>
          <w:rFonts w:cs="Arial"/>
        </w:rPr>
        <w:t>13</w:t>
      </w:r>
      <w:r w:rsidR="009C3E23">
        <w:rPr>
          <w:rFonts w:cs="Arial"/>
        </w:rPr>
        <w:t> </w:t>
      </w:r>
      <w:r w:rsidR="009C3E23" w:rsidRPr="006E53D5">
        <w:rPr>
          <w:rFonts w:cs="Arial"/>
        </w:rPr>
        <w:t>100</w:t>
      </w:r>
      <w:r w:rsidR="009C3E23">
        <w:rPr>
          <w:rFonts w:cs="Arial"/>
        </w:rPr>
        <w:t>/MWh</w:t>
      </w:r>
      <w:r w:rsidR="009C3E23" w:rsidRPr="006E53D5">
        <w:rPr>
          <w:rFonts w:cs="Arial"/>
        </w:rPr>
        <w:t xml:space="preserve"> at 8.50</w:t>
      </w:r>
      <w:r w:rsidR="00B42FB7">
        <w:rPr>
          <w:rFonts w:cs="Arial"/>
        </w:rPr>
        <w:t> </w:t>
      </w:r>
      <w:r w:rsidR="009C3E23" w:rsidRPr="006E53D5">
        <w:rPr>
          <w:rFonts w:cs="Arial"/>
        </w:rPr>
        <w:t>am</w:t>
      </w:r>
      <w:r w:rsidR="009C3E23">
        <w:rPr>
          <w:rFonts w:cs="Arial"/>
        </w:rPr>
        <w:t>.</w:t>
      </w:r>
    </w:p>
    <w:bookmarkEnd w:id="0"/>
    <w:bookmarkEnd w:id="1"/>
    <w:bookmarkEnd w:id="2"/>
    <w:bookmarkEnd w:id="3"/>
    <w:bookmarkEnd w:id="4"/>
    <w:bookmarkEnd w:id="5"/>
    <w:p w:rsidR="00275002" w:rsidRPr="00405CDE" w:rsidRDefault="00275002" w:rsidP="00914A87">
      <w:pPr>
        <w:pStyle w:val="AERHeading1"/>
        <w:rPr>
          <w:rFonts w:cs="Arial"/>
        </w:rPr>
      </w:pPr>
      <w:r w:rsidRPr="00405CDE">
        <w:rPr>
          <w:rFonts w:cs="Arial"/>
        </w:rPr>
        <w:t>Detailed market analysis of significant price events</w:t>
      </w:r>
    </w:p>
    <w:p w:rsidR="00275002" w:rsidRPr="00405CDE" w:rsidRDefault="00275002">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C30BBE" w:rsidRPr="00002B2F" w:rsidRDefault="003C7EFA" w:rsidP="002E506D">
      <w:pPr>
        <w:pStyle w:val="AERHeading3"/>
      </w:pPr>
      <w:r w:rsidRPr="00002B2F">
        <w:t xml:space="preserve">South Australia </w:t>
      </w:r>
    </w:p>
    <w:p w:rsidR="00C30BBE" w:rsidRPr="00405CDE" w:rsidRDefault="00C30BBE" w:rsidP="000A67D2">
      <w:pPr>
        <w:spacing w:before="100" w:beforeAutospacing="1" w:after="100" w:afterAutospacing="1" w:line="288" w:lineRule="auto"/>
        <w:jc w:val="both"/>
        <w:rPr>
          <w:rFonts w:eastAsia="Times New Roman" w:cs="Arial"/>
          <w:lang w:eastAsia="en-AU"/>
        </w:rPr>
      </w:pPr>
      <w:r w:rsidRPr="00405CDE">
        <w:rPr>
          <w:rFonts w:eastAsia="Times New Roman" w:cs="Arial"/>
          <w:lang w:eastAsia="en-AU"/>
        </w:rPr>
        <w:t>There were four occasions where the spot price in South Australia was greater than three times the South Australia weekly average price of $57/MWh and above $250/MWh.</w:t>
      </w:r>
    </w:p>
    <w:p w:rsidR="00C30BBE" w:rsidRPr="00002B2F" w:rsidRDefault="00C30BBE" w:rsidP="002E506D">
      <w:pPr>
        <w:pStyle w:val="AERHeading3"/>
      </w:pPr>
      <w:r w:rsidRPr="00002B2F">
        <w:t xml:space="preserve">Monday, 27 April </w:t>
      </w:r>
    </w:p>
    <w:p w:rsidR="002E506D" w:rsidRDefault="002E506D" w:rsidP="002E506D">
      <w:pPr>
        <w:pStyle w:val="Caption"/>
      </w:pPr>
      <w:r>
        <w:t xml:space="preserve">Table </w:t>
      </w:r>
      <w:r w:rsidR="00DF4596">
        <w:fldChar w:fldCharType="begin"/>
      </w:r>
      <w:r w:rsidR="00DF4596">
        <w:instrText xml:space="preserve"> SEQ Table \* ARABIC </w:instrText>
      </w:r>
      <w:r w:rsidR="00DF4596">
        <w:fldChar w:fldCharType="separate"/>
      </w:r>
      <w:r w:rsidR="00066FEF">
        <w:rPr>
          <w:noProof/>
        </w:rPr>
        <w:t>3</w:t>
      </w:r>
      <w:r w:rsidR="00DF4596">
        <w:rPr>
          <w:noProof/>
        </w:rPr>
        <w:fldChar w:fldCharType="end"/>
      </w:r>
      <w:r w:rsidRPr="00431FC4">
        <w:t>: Price, Demand and Availability, Midnight</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C30BBE" w:rsidRPr="00405CDE" w:rsidTr="003C7EFA">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C30BBE" w:rsidRPr="00405CDE" w:rsidRDefault="00C30BBE" w:rsidP="003C7EFA">
            <w:pPr>
              <w:pStyle w:val="TableHeading"/>
              <w:jc w:val="center"/>
              <w:rPr>
                <w:rFonts w:cs="Arial"/>
              </w:rPr>
            </w:pPr>
            <w:r w:rsidRPr="00405CDE">
              <w:rPr>
                <w:rFonts w:cs="Arial"/>
              </w:rPr>
              <w:t xml:space="preserve">Time </w:t>
            </w:r>
          </w:p>
        </w:tc>
        <w:tc>
          <w:tcPr>
            <w:tcW w:w="1513" w:type="pct"/>
            <w:gridSpan w:val="3"/>
            <w:tcBorders>
              <w:bottom w:val="nil"/>
            </w:tcBorders>
            <w:hideMark/>
          </w:tcPr>
          <w:p w:rsidR="00C30BBE" w:rsidRPr="00405CDE" w:rsidRDefault="00C30BBE" w:rsidP="003C7EFA">
            <w:pPr>
              <w:pStyle w:val="TableHeading"/>
              <w:jc w:val="center"/>
              <w:rPr>
                <w:rFonts w:cs="Arial"/>
              </w:rPr>
            </w:pPr>
            <w:r w:rsidRPr="00405CDE">
              <w:rPr>
                <w:rFonts w:cs="Arial"/>
              </w:rPr>
              <w:t>Price ($/MWh)</w:t>
            </w:r>
          </w:p>
        </w:tc>
        <w:tc>
          <w:tcPr>
            <w:tcW w:w="1474" w:type="pct"/>
            <w:gridSpan w:val="3"/>
            <w:tcBorders>
              <w:bottom w:val="nil"/>
            </w:tcBorders>
            <w:hideMark/>
          </w:tcPr>
          <w:p w:rsidR="00C30BBE" w:rsidRPr="00405CDE" w:rsidRDefault="00C30BBE" w:rsidP="003C7EFA">
            <w:pPr>
              <w:pStyle w:val="TableHeading"/>
              <w:jc w:val="center"/>
              <w:rPr>
                <w:rFonts w:cs="Arial"/>
              </w:rPr>
            </w:pPr>
            <w:r w:rsidRPr="00405CDE">
              <w:rPr>
                <w:rFonts w:cs="Arial"/>
              </w:rPr>
              <w:t>Demand (MW)</w:t>
            </w:r>
          </w:p>
        </w:tc>
        <w:tc>
          <w:tcPr>
            <w:tcW w:w="1473" w:type="pct"/>
            <w:gridSpan w:val="3"/>
            <w:tcBorders>
              <w:bottom w:val="nil"/>
            </w:tcBorders>
            <w:hideMark/>
          </w:tcPr>
          <w:p w:rsidR="00C30BBE" w:rsidRPr="00405CDE" w:rsidRDefault="00C30BBE" w:rsidP="003C7EFA">
            <w:pPr>
              <w:pStyle w:val="TableHeading"/>
              <w:jc w:val="center"/>
              <w:rPr>
                <w:rFonts w:cs="Arial"/>
              </w:rPr>
            </w:pPr>
            <w:r w:rsidRPr="00405CDE">
              <w:rPr>
                <w:rFonts w:cs="Arial"/>
              </w:rPr>
              <w:t>Availability (MW)</w:t>
            </w:r>
          </w:p>
        </w:tc>
      </w:tr>
      <w:tr w:rsidR="00C30BBE" w:rsidRPr="00405CDE" w:rsidTr="003C7EFA">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 </w:t>
            </w:r>
          </w:p>
        </w:tc>
        <w:tc>
          <w:tcPr>
            <w:tcW w:w="518"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4 hr forecast</w:t>
            </w:r>
          </w:p>
        </w:tc>
        <w:tc>
          <w:tcPr>
            <w:tcW w:w="498"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4 hr forecast</w:t>
            </w:r>
          </w:p>
        </w:tc>
        <w:tc>
          <w:tcPr>
            <w:tcW w:w="49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4 hr forecast</w:t>
            </w:r>
          </w:p>
        </w:tc>
        <w:tc>
          <w:tcPr>
            <w:tcW w:w="496"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12 hr forecast</w:t>
            </w:r>
          </w:p>
        </w:tc>
      </w:tr>
      <w:tr w:rsidR="00C30BBE" w:rsidRPr="00405CDE" w:rsidTr="003C7EFA">
        <w:trPr>
          <w:trHeight w:val="510"/>
        </w:trPr>
        <w:tc>
          <w:tcPr>
            <w:tcW w:w="539" w:type="pct"/>
            <w:tcBorders>
              <w:top w:val="nil"/>
              <w:bottom w:val="nil"/>
            </w:tcBorders>
          </w:tcPr>
          <w:p w:rsidR="00C30BBE" w:rsidRPr="00405CDE" w:rsidRDefault="00C30BBE" w:rsidP="0004189D">
            <w:pPr>
              <w:pStyle w:val="tablenormal0"/>
            </w:pPr>
            <w:r w:rsidRPr="00405CDE">
              <w:t>Midnight</w:t>
            </w:r>
          </w:p>
        </w:tc>
        <w:tc>
          <w:tcPr>
            <w:tcW w:w="518" w:type="pct"/>
            <w:tcBorders>
              <w:top w:val="nil"/>
              <w:bottom w:val="nil"/>
            </w:tcBorders>
          </w:tcPr>
          <w:p w:rsidR="00C30BBE" w:rsidRPr="00405CDE" w:rsidRDefault="00C30BBE" w:rsidP="0004189D">
            <w:pPr>
              <w:pStyle w:val="tablenormal0"/>
            </w:pPr>
            <w:r w:rsidRPr="00405CDE">
              <w:t>2289.40</w:t>
            </w:r>
          </w:p>
        </w:tc>
        <w:tc>
          <w:tcPr>
            <w:tcW w:w="497" w:type="pct"/>
            <w:tcBorders>
              <w:top w:val="nil"/>
              <w:bottom w:val="nil"/>
            </w:tcBorders>
          </w:tcPr>
          <w:p w:rsidR="00C30BBE" w:rsidRPr="00405CDE" w:rsidRDefault="00C30BBE" w:rsidP="0004189D">
            <w:pPr>
              <w:pStyle w:val="tablenormal0"/>
            </w:pPr>
            <w:r w:rsidRPr="00405CDE">
              <w:t>43.18</w:t>
            </w:r>
          </w:p>
        </w:tc>
        <w:tc>
          <w:tcPr>
            <w:tcW w:w="498" w:type="pct"/>
            <w:tcBorders>
              <w:top w:val="nil"/>
              <w:bottom w:val="nil"/>
            </w:tcBorders>
          </w:tcPr>
          <w:p w:rsidR="00C30BBE" w:rsidRPr="00405CDE" w:rsidRDefault="00C30BBE" w:rsidP="0004189D">
            <w:pPr>
              <w:pStyle w:val="tablenormal0"/>
            </w:pPr>
            <w:r w:rsidRPr="00405CDE">
              <w:t>37.02</w:t>
            </w:r>
          </w:p>
        </w:tc>
        <w:tc>
          <w:tcPr>
            <w:tcW w:w="480" w:type="pct"/>
            <w:tcBorders>
              <w:top w:val="nil"/>
              <w:bottom w:val="nil"/>
            </w:tcBorders>
          </w:tcPr>
          <w:p w:rsidR="00C30BBE" w:rsidRPr="00405CDE" w:rsidRDefault="00C30BBE" w:rsidP="0004189D">
            <w:pPr>
              <w:pStyle w:val="tablenormal0"/>
            </w:pPr>
            <w:r w:rsidRPr="00405CDE">
              <w:t>1493</w:t>
            </w:r>
          </w:p>
        </w:tc>
        <w:tc>
          <w:tcPr>
            <w:tcW w:w="497" w:type="pct"/>
            <w:tcBorders>
              <w:top w:val="nil"/>
              <w:bottom w:val="nil"/>
            </w:tcBorders>
          </w:tcPr>
          <w:p w:rsidR="00C30BBE" w:rsidRPr="00405CDE" w:rsidRDefault="00C30BBE" w:rsidP="0004189D">
            <w:pPr>
              <w:pStyle w:val="tablenormal0"/>
            </w:pPr>
            <w:r w:rsidRPr="00405CDE">
              <w:t>1591</w:t>
            </w:r>
          </w:p>
        </w:tc>
        <w:tc>
          <w:tcPr>
            <w:tcW w:w="497" w:type="pct"/>
            <w:tcBorders>
              <w:top w:val="nil"/>
              <w:bottom w:val="nil"/>
            </w:tcBorders>
          </w:tcPr>
          <w:p w:rsidR="00C30BBE" w:rsidRPr="00405CDE" w:rsidRDefault="00C30BBE" w:rsidP="0004189D">
            <w:pPr>
              <w:pStyle w:val="tablenormal0"/>
            </w:pPr>
            <w:r w:rsidRPr="00405CDE">
              <w:t>1593</w:t>
            </w:r>
          </w:p>
        </w:tc>
        <w:tc>
          <w:tcPr>
            <w:tcW w:w="480" w:type="pct"/>
            <w:tcBorders>
              <w:top w:val="nil"/>
              <w:bottom w:val="nil"/>
            </w:tcBorders>
          </w:tcPr>
          <w:p w:rsidR="00C30BBE" w:rsidRPr="00405CDE" w:rsidRDefault="00C30BBE" w:rsidP="0004189D">
            <w:pPr>
              <w:pStyle w:val="tablenormal0"/>
            </w:pPr>
            <w:r w:rsidRPr="00405CDE">
              <w:t>1671</w:t>
            </w:r>
          </w:p>
        </w:tc>
        <w:tc>
          <w:tcPr>
            <w:tcW w:w="497" w:type="pct"/>
            <w:tcBorders>
              <w:top w:val="nil"/>
              <w:bottom w:val="nil"/>
            </w:tcBorders>
          </w:tcPr>
          <w:p w:rsidR="00C30BBE" w:rsidRPr="00405CDE" w:rsidRDefault="00C30BBE" w:rsidP="0004189D">
            <w:pPr>
              <w:pStyle w:val="tablenormal0"/>
            </w:pPr>
            <w:r w:rsidRPr="00405CDE">
              <w:t>2023</w:t>
            </w:r>
          </w:p>
        </w:tc>
        <w:tc>
          <w:tcPr>
            <w:tcW w:w="496" w:type="pct"/>
            <w:tcBorders>
              <w:top w:val="nil"/>
              <w:bottom w:val="nil"/>
            </w:tcBorders>
          </w:tcPr>
          <w:p w:rsidR="00C30BBE" w:rsidRPr="00405CDE" w:rsidRDefault="00C30BBE" w:rsidP="0004189D">
            <w:pPr>
              <w:pStyle w:val="tablenormal0"/>
            </w:pPr>
            <w:r w:rsidRPr="00405CDE">
              <w:t>2142</w:t>
            </w:r>
          </w:p>
        </w:tc>
      </w:tr>
    </w:tbl>
    <w:p w:rsidR="00E7359A" w:rsidRPr="00405CDE" w:rsidRDefault="00E7359A" w:rsidP="000A67D2">
      <w:pPr>
        <w:spacing w:before="100" w:beforeAutospacing="1" w:after="100" w:afterAutospacing="1" w:line="288" w:lineRule="auto"/>
        <w:jc w:val="both"/>
        <w:rPr>
          <w:rFonts w:cs="Arial"/>
        </w:rPr>
      </w:pPr>
      <w:r w:rsidRPr="00405CDE">
        <w:rPr>
          <w:rFonts w:cs="Arial"/>
        </w:rPr>
        <w:t xml:space="preserve">Demand </w:t>
      </w:r>
      <w:r w:rsidR="00B42FB7">
        <w:rPr>
          <w:rFonts w:cs="Arial"/>
        </w:rPr>
        <w:t>was</w:t>
      </w:r>
      <w:r w:rsidRPr="00405CDE">
        <w:rPr>
          <w:rFonts w:cs="Arial"/>
        </w:rPr>
        <w:t xml:space="preserve"> </w:t>
      </w:r>
      <w:r w:rsidR="00B42FB7">
        <w:rPr>
          <w:rFonts w:cs="Arial"/>
        </w:rPr>
        <w:t xml:space="preserve">around </w:t>
      </w:r>
      <w:r w:rsidRPr="00405CDE">
        <w:rPr>
          <w:rFonts w:cs="Arial"/>
        </w:rPr>
        <w:t>100</w:t>
      </w:r>
      <w:r w:rsidR="00B42FB7">
        <w:rPr>
          <w:rFonts w:cs="Arial"/>
        </w:rPr>
        <w:t> </w:t>
      </w:r>
      <w:r w:rsidRPr="00405CDE">
        <w:rPr>
          <w:rFonts w:cs="Arial"/>
        </w:rPr>
        <w:t xml:space="preserve">MW below forecast while availability </w:t>
      </w:r>
      <w:r w:rsidR="00B42FB7">
        <w:rPr>
          <w:rFonts w:cs="Arial"/>
        </w:rPr>
        <w:t>was</w:t>
      </w:r>
      <w:r w:rsidRPr="00405CDE">
        <w:rPr>
          <w:rFonts w:cs="Arial"/>
        </w:rPr>
        <w:t xml:space="preserve"> </w:t>
      </w:r>
      <w:r w:rsidR="00B42FB7" w:rsidRPr="00405CDE">
        <w:rPr>
          <w:rFonts w:cs="Arial"/>
        </w:rPr>
        <w:t>350</w:t>
      </w:r>
      <w:r w:rsidR="00B42FB7">
        <w:rPr>
          <w:rFonts w:cs="Arial"/>
        </w:rPr>
        <w:t> </w:t>
      </w:r>
      <w:r w:rsidRPr="00405CDE">
        <w:rPr>
          <w:rFonts w:cs="Arial"/>
        </w:rPr>
        <w:t xml:space="preserve">MW below </w:t>
      </w:r>
      <w:r w:rsidR="00B42FB7">
        <w:rPr>
          <w:rFonts w:cs="Arial"/>
        </w:rPr>
        <w:t xml:space="preserve">that </w:t>
      </w:r>
      <w:r w:rsidRPr="00405CDE">
        <w:rPr>
          <w:rFonts w:cs="Arial"/>
        </w:rPr>
        <w:t>forecast</w:t>
      </w:r>
      <w:r w:rsidR="00B42FB7">
        <w:rPr>
          <w:rFonts w:cs="Arial"/>
        </w:rPr>
        <w:t xml:space="preserve"> four hours ahead</w:t>
      </w:r>
      <w:r w:rsidRPr="00405CDE">
        <w:rPr>
          <w:rFonts w:cs="Arial"/>
        </w:rPr>
        <w:t xml:space="preserve">. </w:t>
      </w:r>
      <w:r w:rsidR="00BC79CF">
        <w:rPr>
          <w:rFonts w:cs="Arial"/>
        </w:rPr>
        <w:t xml:space="preserve">The reduction in available capacity was a result of lower than forecast wind generation and a delay in the return to service of </w:t>
      </w:r>
      <w:r w:rsidR="002E506D">
        <w:rPr>
          <w:rFonts w:cs="Arial"/>
        </w:rPr>
        <w:t xml:space="preserve">unit one at </w:t>
      </w:r>
      <w:r w:rsidR="00BC79CF">
        <w:rPr>
          <w:rFonts w:cs="Arial"/>
        </w:rPr>
        <w:t>Northern Power station.</w:t>
      </w:r>
      <w:r w:rsidR="00B0513C" w:rsidRPr="00B0513C">
        <w:rPr>
          <w:rFonts w:eastAsia="Times New Roman" w:cs="Arial"/>
          <w:bCs/>
          <w:lang w:eastAsia="en-AU"/>
        </w:rPr>
        <w:t xml:space="preserve"> </w:t>
      </w:r>
      <w:r w:rsidR="00B0513C">
        <w:rPr>
          <w:rFonts w:eastAsia="Times New Roman" w:cs="Arial"/>
          <w:bCs/>
          <w:lang w:eastAsia="en-AU"/>
        </w:rPr>
        <w:t>There was only around 114 MW of wind generation</w:t>
      </w:r>
      <w:r w:rsidR="00B0513C" w:rsidRPr="00B0513C">
        <w:rPr>
          <w:rFonts w:eastAsia="Times New Roman" w:cs="Arial"/>
          <w:bCs/>
          <w:lang w:eastAsia="en-AU"/>
        </w:rPr>
        <w:t xml:space="preserve"> </w:t>
      </w:r>
      <w:r w:rsidR="00B0513C">
        <w:rPr>
          <w:rFonts w:eastAsia="Times New Roman" w:cs="Arial"/>
          <w:bCs/>
          <w:lang w:eastAsia="en-AU"/>
        </w:rPr>
        <w:t xml:space="preserve">and the </w:t>
      </w:r>
      <w:r w:rsidR="00B0513C" w:rsidRPr="00405CDE">
        <w:rPr>
          <w:rFonts w:eastAsia="Times New Roman" w:cs="Arial"/>
          <w:bCs/>
          <w:lang w:eastAsia="en-AU"/>
        </w:rPr>
        <w:t xml:space="preserve">Heywood and Murraylink interconnectors were importing into South Australia </w:t>
      </w:r>
      <w:r w:rsidR="00B0513C">
        <w:rPr>
          <w:rFonts w:eastAsia="Times New Roman" w:cs="Arial"/>
          <w:bCs/>
          <w:lang w:eastAsia="en-AU"/>
        </w:rPr>
        <w:t>at 435 MW and 188 </w:t>
      </w:r>
      <w:r w:rsidR="00B0513C" w:rsidRPr="00405CDE">
        <w:rPr>
          <w:rFonts w:eastAsia="Times New Roman" w:cs="Arial"/>
          <w:bCs/>
          <w:lang w:eastAsia="en-AU"/>
        </w:rPr>
        <w:t>MW respectively</w:t>
      </w:r>
      <w:r w:rsidR="00B0513C">
        <w:rPr>
          <w:rFonts w:eastAsia="Times New Roman" w:cs="Arial"/>
          <w:bCs/>
          <w:lang w:eastAsia="en-AU"/>
        </w:rPr>
        <w:t>.</w:t>
      </w:r>
    </w:p>
    <w:p w:rsidR="001460DD" w:rsidRDefault="001460DD" w:rsidP="000A67D2">
      <w:pPr>
        <w:spacing w:before="100" w:beforeAutospacing="1" w:after="100" w:afterAutospacing="1" w:line="288" w:lineRule="auto"/>
        <w:jc w:val="both"/>
        <w:rPr>
          <w:rFonts w:eastAsia="Times New Roman" w:cs="Arial"/>
          <w:bCs/>
          <w:lang w:eastAsia="en-AU"/>
        </w:rPr>
      </w:pPr>
      <w:r>
        <w:rPr>
          <w:rFonts w:eastAsia="Times New Roman" w:cs="Arial"/>
          <w:bCs/>
          <w:lang w:eastAsia="en-AU"/>
        </w:rPr>
        <w:t>At 11.35 pm demand increased by 196 MW, related to off peak</w:t>
      </w:r>
      <w:r w:rsidRPr="00405CDE">
        <w:rPr>
          <w:rFonts w:eastAsia="Times New Roman" w:cs="Arial"/>
          <w:bCs/>
          <w:lang w:eastAsia="en-AU"/>
        </w:rPr>
        <w:t xml:space="preserve"> </w:t>
      </w:r>
      <w:r>
        <w:rPr>
          <w:rFonts w:eastAsia="Times New Roman" w:cs="Arial"/>
          <w:bCs/>
          <w:lang w:eastAsia="en-AU"/>
        </w:rPr>
        <w:t>h</w:t>
      </w:r>
      <w:r w:rsidRPr="00405CDE">
        <w:rPr>
          <w:rFonts w:eastAsia="Times New Roman" w:cs="Arial"/>
          <w:bCs/>
          <w:lang w:eastAsia="en-AU"/>
        </w:rPr>
        <w:t xml:space="preserve">ot water </w:t>
      </w:r>
      <w:r>
        <w:rPr>
          <w:rFonts w:eastAsia="Times New Roman" w:cs="Arial"/>
          <w:bCs/>
          <w:lang w:eastAsia="en-AU"/>
        </w:rPr>
        <w:t>load. In response, non-scheduled generation started reducing demand at 11.40 pm by 76 MW</w:t>
      </w:r>
      <w:r w:rsidR="00B0513C">
        <w:rPr>
          <w:rFonts w:eastAsia="Times New Roman" w:cs="Arial"/>
          <w:bCs/>
          <w:lang w:eastAsia="en-AU"/>
        </w:rPr>
        <w:t>, n</w:t>
      </w:r>
      <w:r>
        <w:rPr>
          <w:rFonts w:eastAsia="Times New Roman" w:cs="Arial"/>
          <w:bCs/>
          <w:lang w:eastAsia="en-AU"/>
        </w:rPr>
        <w:t xml:space="preserve">either resulting in significant changes in dispatch price. </w:t>
      </w:r>
      <w:r w:rsidR="00B6621E">
        <w:rPr>
          <w:rFonts w:eastAsia="Times New Roman" w:cs="Arial"/>
          <w:bCs/>
          <w:lang w:eastAsia="en-AU"/>
        </w:rPr>
        <w:t>Demand increased from 1477 MW at 11.40 pm to 1605 MW a</w:t>
      </w:r>
      <w:r w:rsidR="00B6621E" w:rsidRPr="00405CDE">
        <w:rPr>
          <w:rFonts w:eastAsia="Times New Roman" w:cs="Arial"/>
          <w:bCs/>
          <w:lang w:eastAsia="en-AU"/>
        </w:rPr>
        <w:t>t 11.45</w:t>
      </w:r>
      <w:r w:rsidR="00B6621E">
        <w:rPr>
          <w:rFonts w:eastAsia="Times New Roman" w:cs="Arial"/>
          <w:bCs/>
          <w:lang w:eastAsia="en-AU"/>
        </w:rPr>
        <w:t> </w:t>
      </w:r>
      <w:r w:rsidR="00B6621E" w:rsidRPr="00405CDE">
        <w:rPr>
          <w:rFonts w:eastAsia="Times New Roman" w:cs="Arial"/>
          <w:bCs/>
          <w:lang w:eastAsia="en-AU"/>
        </w:rPr>
        <w:t xml:space="preserve">pm, </w:t>
      </w:r>
      <w:r w:rsidR="00B6621E">
        <w:rPr>
          <w:rFonts w:eastAsia="Times New Roman" w:cs="Arial"/>
          <w:bCs/>
          <w:lang w:eastAsia="en-AU"/>
        </w:rPr>
        <w:t xml:space="preserve">an </w:t>
      </w:r>
      <w:r w:rsidR="00B6621E" w:rsidRPr="00405CDE">
        <w:rPr>
          <w:rFonts w:eastAsia="Times New Roman" w:cs="Arial"/>
          <w:bCs/>
          <w:lang w:eastAsia="en-AU"/>
        </w:rPr>
        <w:t xml:space="preserve">increase </w:t>
      </w:r>
      <w:r w:rsidR="00B6621E">
        <w:rPr>
          <w:rFonts w:eastAsia="Times New Roman" w:cs="Arial"/>
          <w:bCs/>
          <w:lang w:eastAsia="en-AU"/>
        </w:rPr>
        <w:t>of</w:t>
      </w:r>
      <w:r w:rsidR="00B6621E" w:rsidRPr="00405CDE">
        <w:rPr>
          <w:rFonts w:eastAsia="Times New Roman" w:cs="Arial"/>
          <w:bCs/>
          <w:lang w:eastAsia="en-AU"/>
        </w:rPr>
        <w:t xml:space="preserve"> 12</w:t>
      </w:r>
      <w:r w:rsidR="00B6621E">
        <w:rPr>
          <w:rFonts w:eastAsia="Times New Roman" w:cs="Arial"/>
          <w:bCs/>
          <w:lang w:eastAsia="en-AU"/>
        </w:rPr>
        <w:t>8 MW</w:t>
      </w:r>
      <w:r>
        <w:rPr>
          <w:rFonts w:eastAsia="Times New Roman" w:cs="Arial"/>
          <w:bCs/>
          <w:lang w:eastAsia="en-AU"/>
        </w:rPr>
        <w:t xml:space="preserve"> as a result of the non-</w:t>
      </w:r>
      <w:r w:rsidR="00B0513C">
        <w:rPr>
          <w:rFonts w:eastAsia="Times New Roman" w:cs="Arial"/>
          <w:bCs/>
          <w:lang w:eastAsia="en-AU"/>
        </w:rPr>
        <w:t>scheduled</w:t>
      </w:r>
      <w:r>
        <w:rPr>
          <w:rFonts w:eastAsia="Times New Roman" w:cs="Arial"/>
          <w:bCs/>
          <w:lang w:eastAsia="en-AU"/>
        </w:rPr>
        <w:t xml:space="preserve"> demand reducing its dispatch.</w:t>
      </w:r>
      <w:r w:rsidR="00B0513C" w:rsidRPr="00B0513C">
        <w:rPr>
          <w:rFonts w:eastAsia="Times New Roman" w:cs="Arial"/>
          <w:bCs/>
          <w:lang w:eastAsia="en-AU"/>
        </w:rPr>
        <w:t xml:space="preserve"> </w:t>
      </w:r>
      <w:r w:rsidR="00B0513C">
        <w:rPr>
          <w:rFonts w:eastAsia="Times New Roman" w:cs="Arial"/>
          <w:bCs/>
          <w:lang w:eastAsia="en-AU"/>
        </w:rPr>
        <w:t xml:space="preserve">All </w:t>
      </w:r>
      <w:r w:rsidR="00B0513C" w:rsidRPr="00405CDE">
        <w:rPr>
          <w:rFonts w:eastAsia="Times New Roman" w:cs="Arial"/>
          <w:bCs/>
          <w:lang w:eastAsia="en-AU"/>
        </w:rPr>
        <w:t xml:space="preserve">low priced capacity </w:t>
      </w:r>
      <w:r w:rsidR="00B0513C">
        <w:rPr>
          <w:rFonts w:eastAsia="Times New Roman" w:cs="Arial"/>
          <w:bCs/>
          <w:lang w:eastAsia="en-AU"/>
        </w:rPr>
        <w:t xml:space="preserve">was </w:t>
      </w:r>
      <w:r w:rsidR="00B0513C" w:rsidRPr="00405CDE">
        <w:rPr>
          <w:rFonts w:eastAsia="Times New Roman" w:cs="Arial"/>
          <w:bCs/>
          <w:lang w:eastAsia="en-AU"/>
        </w:rPr>
        <w:t>either ramp rate limited, trapped, stranded or fully dispatched</w:t>
      </w:r>
      <w:r w:rsidR="00B0513C">
        <w:rPr>
          <w:rFonts w:eastAsia="Times New Roman" w:cs="Arial"/>
          <w:bCs/>
          <w:lang w:eastAsia="en-AU"/>
        </w:rPr>
        <w:t xml:space="preserve">. This resulted in </w:t>
      </w:r>
      <w:r w:rsidR="00B0513C" w:rsidRPr="00405CDE">
        <w:rPr>
          <w:rFonts w:eastAsia="Times New Roman" w:cs="Arial"/>
          <w:bCs/>
          <w:lang w:eastAsia="en-AU"/>
        </w:rPr>
        <w:t>the dispatch price increas</w:t>
      </w:r>
      <w:r w:rsidR="00B0513C">
        <w:rPr>
          <w:rFonts w:eastAsia="Times New Roman" w:cs="Arial"/>
          <w:bCs/>
          <w:lang w:eastAsia="en-AU"/>
        </w:rPr>
        <w:t>ing</w:t>
      </w:r>
      <w:r w:rsidR="00B0513C" w:rsidRPr="00405CDE">
        <w:rPr>
          <w:rFonts w:eastAsia="Times New Roman" w:cs="Arial"/>
          <w:bCs/>
          <w:lang w:eastAsia="en-AU"/>
        </w:rPr>
        <w:t xml:space="preserve"> from $58/MWh at 11.40</w:t>
      </w:r>
      <w:r w:rsidR="00B0513C">
        <w:rPr>
          <w:rFonts w:eastAsia="Times New Roman" w:cs="Arial"/>
          <w:bCs/>
          <w:lang w:eastAsia="en-AU"/>
        </w:rPr>
        <w:t> </w:t>
      </w:r>
      <w:r w:rsidR="00B0513C" w:rsidRPr="00405CDE">
        <w:rPr>
          <w:rFonts w:eastAsia="Times New Roman" w:cs="Arial"/>
          <w:bCs/>
          <w:lang w:eastAsia="en-AU"/>
        </w:rPr>
        <w:t>pm to $13</w:t>
      </w:r>
      <w:r w:rsidR="00B0513C">
        <w:rPr>
          <w:rFonts w:eastAsia="Times New Roman" w:cs="Arial"/>
          <w:bCs/>
          <w:lang w:eastAsia="en-AU"/>
        </w:rPr>
        <w:t> </w:t>
      </w:r>
      <w:r w:rsidR="00B0513C" w:rsidRPr="00405CDE">
        <w:rPr>
          <w:rFonts w:eastAsia="Times New Roman" w:cs="Arial"/>
          <w:bCs/>
          <w:lang w:eastAsia="en-AU"/>
        </w:rPr>
        <w:t>500/MWh at 11.45</w:t>
      </w:r>
      <w:r w:rsidR="00B0513C">
        <w:rPr>
          <w:rFonts w:eastAsia="Times New Roman" w:cs="Arial"/>
          <w:bCs/>
          <w:lang w:eastAsia="en-AU"/>
        </w:rPr>
        <w:t> </w:t>
      </w:r>
      <w:r w:rsidR="00B0513C" w:rsidRPr="00405CDE">
        <w:rPr>
          <w:rFonts w:eastAsia="Times New Roman" w:cs="Arial"/>
          <w:bCs/>
          <w:lang w:eastAsia="en-AU"/>
        </w:rPr>
        <w:t>am.</w:t>
      </w:r>
    </w:p>
    <w:p w:rsidR="005D31F5" w:rsidRPr="00405CDE" w:rsidRDefault="005D31F5" w:rsidP="000A67D2">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 xml:space="preserve">Prices </w:t>
      </w:r>
      <w:r w:rsidR="002E506D">
        <w:rPr>
          <w:rFonts w:eastAsia="Times New Roman" w:cs="Arial"/>
          <w:bCs/>
          <w:lang w:eastAsia="en-AU"/>
        </w:rPr>
        <w:t xml:space="preserve">dropped below $70/MWh </w:t>
      </w:r>
      <w:r w:rsidRPr="00405CDE">
        <w:rPr>
          <w:rFonts w:eastAsia="Times New Roman" w:cs="Arial"/>
          <w:bCs/>
          <w:lang w:eastAsia="en-AU"/>
        </w:rPr>
        <w:t>at 11.</w:t>
      </w:r>
      <w:r w:rsidR="00BC79CF" w:rsidRPr="00405CDE">
        <w:rPr>
          <w:rFonts w:eastAsia="Times New Roman" w:cs="Arial"/>
          <w:bCs/>
          <w:lang w:eastAsia="en-AU"/>
        </w:rPr>
        <w:t>50</w:t>
      </w:r>
      <w:r w:rsidR="00BC79CF">
        <w:rPr>
          <w:rFonts w:eastAsia="Times New Roman" w:cs="Arial"/>
          <w:bCs/>
          <w:lang w:eastAsia="en-AU"/>
        </w:rPr>
        <w:t> </w:t>
      </w:r>
      <w:r w:rsidRPr="00405CDE">
        <w:rPr>
          <w:rFonts w:eastAsia="Times New Roman" w:cs="Arial"/>
          <w:bCs/>
          <w:lang w:eastAsia="en-AU"/>
        </w:rPr>
        <w:t xml:space="preserve">pm when demand fell by </w:t>
      </w:r>
      <w:r w:rsidR="00BC79CF" w:rsidRPr="00405CDE">
        <w:rPr>
          <w:rFonts w:eastAsia="Times New Roman" w:cs="Arial"/>
          <w:bCs/>
          <w:lang w:eastAsia="en-AU"/>
        </w:rPr>
        <w:t>148</w:t>
      </w:r>
      <w:r w:rsidR="00BC79CF">
        <w:rPr>
          <w:rFonts w:eastAsia="Times New Roman" w:cs="Arial"/>
          <w:bCs/>
          <w:lang w:eastAsia="en-AU"/>
        </w:rPr>
        <w:t> </w:t>
      </w:r>
      <w:r w:rsidRPr="00405CDE">
        <w:rPr>
          <w:rFonts w:eastAsia="Times New Roman" w:cs="Arial"/>
          <w:bCs/>
          <w:lang w:eastAsia="en-AU"/>
        </w:rPr>
        <w:t>MW as a result of the dispatch of non-scheduled generation.</w:t>
      </w:r>
    </w:p>
    <w:p w:rsidR="000A29ED" w:rsidRDefault="00C30BBE" w:rsidP="002E506D">
      <w:pPr>
        <w:pStyle w:val="AERHeading3"/>
      </w:pPr>
      <w:r w:rsidRPr="00002B2F">
        <w:t xml:space="preserve">Tuesday, 28 April </w:t>
      </w:r>
    </w:p>
    <w:p w:rsidR="002E506D" w:rsidRDefault="002E506D" w:rsidP="002E506D">
      <w:pPr>
        <w:pStyle w:val="Caption"/>
      </w:pPr>
      <w:r>
        <w:t xml:space="preserve">Table </w:t>
      </w:r>
      <w:r w:rsidR="00DF4596">
        <w:fldChar w:fldCharType="begin"/>
      </w:r>
      <w:r w:rsidR="00DF4596">
        <w:instrText xml:space="preserve"> SEQ Table \* ARABIC </w:instrText>
      </w:r>
      <w:r w:rsidR="00DF4596">
        <w:fldChar w:fldCharType="separate"/>
      </w:r>
      <w:r w:rsidR="00066FEF">
        <w:rPr>
          <w:noProof/>
        </w:rPr>
        <w:t>4</w:t>
      </w:r>
      <w:r w:rsidR="00DF4596">
        <w:rPr>
          <w:noProof/>
        </w:rPr>
        <w:fldChar w:fldCharType="end"/>
      </w:r>
      <w:r w:rsidRPr="0028565D">
        <w:t>: Price, Demand and Availability, 9 am</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C30BBE" w:rsidRPr="00405CDE" w:rsidTr="003C7EFA">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C30BBE" w:rsidRPr="00405CDE" w:rsidRDefault="00C30BBE" w:rsidP="002E506D">
            <w:pPr>
              <w:pStyle w:val="TableHeading"/>
              <w:keepNext/>
              <w:jc w:val="center"/>
              <w:rPr>
                <w:rFonts w:cs="Arial"/>
              </w:rPr>
            </w:pPr>
            <w:r w:rsidRPr="00405CDE">
              <w:rPr>
                <w:rFonts w:cs="Arial"/>
              </w:rPr>
              <w:t xml:space="preserve">Time </w:t>
            </w:r>
          </w:p>
        </w:tc>
        <w:tc>
          <w:tcPr>
            <w:tcW w:w="1513" w:type="pct"/>
            <w:gridSpan w:val="3"/>
            <w:tcBorders>
              <w:bottom w:val="nil"/>
            </w:tcBorders>
            <w:hideMark/>
          </w:tcPr>
          <w:p w:rsidR="00C30BBE" w:rsidRPr="00405CDE" w:rsidRDefault="00C30BBE" w:rsidP="002E506D">
            <w:pPr>
              <w:pStyle w:val="TableHeading"/>
              <w:keepNext/>
              <w:jc w:val="center"/>
              <w:rPr>
                <w:rFonts w:cs="Arial"/>
              </w:rPr>
            </w:pPr>
            <w:r w:rsidRPr="00405CDE">
              <w:rPr>
                <w:rFonts w:cs="Arial"/>
              </w:rPr>
              <w:t>Price ($/MWh)</w:t>
            </w:r>
          </w:p>
        </w:tc>
        <w:tc>
          <w:tcPr>
            <w:tcW w:w="1474" w:type="pct"/>
            <w:gridSpan w:val="3"/>
            <w:tcBorders>
              <w:bottom w:val="nil"/>
            </w:tcBorders>
            <w:hideMark/>
          </w:tcPr>
          <w:p w:rsidR="00C30BBE" w:rsidRPr="00405CDE" w:rsidRDefault="00C30BBE" w:rsidP="002E506D">
            <w:pPr>
              <w:pStyle w:val="TableHeading"/>
              <w:keepNext/>
              <w:jc w:val="center"/>
              <w:rPr>
                <w:rFonts w:cs="Arial"/>
              </w:rPr>
            </w:pPr>
            <w:r w:rsidRPr="00405CDE">
              <w:rPr>
                <w:rFonts w:cs="Arial"/>
              </w:rPr>
              <w:t>Demand (MW)</w:t>
            </w:r>
          </w:p>
        </w:tc>
        <w:tc>
          <w:tcPr>
            <w:tcW w:w="1473" w:type="pct"/>
            <w:gridSpan w:val="3"/>
            <w:tcBorders>
              <w:bottom w:val="nil"/>
            </w:tcBorders>
            <w:hideMark/>
          </w:tcPr>
          <w:p w:rsidR="00C30BBE" w:rsidRPr="00405CDE" w:rsidRDefault="00C30BBE" w:rsidP="002E506D">
            <w:pPr>
              <w:pStyle w:val="TableHeading"/>
              <w:keepNext/>
              <w:jc w:val="center"/>
              <w:rPr>
                <w:rFonts w:cs="Arial"/>
              </w:rPr>
            </w:pPr>
            <w:r w:rsidRPr="00405CDE">
              <w:rPr>
                <w:rFonts w:cs="Arial"/>
              </w:rPr>
              <w:t>Availability (MW)</w:t>
            </w:r>
          </w:p>
        </w:tc>
      </w:tr>
      <w:tr w:rsidR="00C30BBE" w:rsidRPr="00405CDE" w:rsidTr="003C7EFA">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 </w:t>
            </w:r>
          </w:p>
        </w:tc>
        <w:tc>
          <w:tcPr>
            <w:tcW w:w="518"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4 hr forecast</w:t>
            </w:r>
          </w:p>
        </w:tc>
        <w:tc>
          <w:tcPr>
            <w:tcW w:w="498"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4 hr forecast</w:t>
            </w:r>
          </w:p>
        </w:tc>
        <w:tc>
          <w:tcPr>
            <w:tcW w:w="497"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4 hr forecast</w:t>
            </w:r>
          </w:p>
        </w:tc>
        <w:tc>
          <w:tcPr>
            <w:tcW w:w="496" w:type="pct"/>
            <w:tcBorders>
              <w:bottom w:val="nil"/>
            </w:tcBorders>
            <w:shd w:val="clear" w:color="auto" w:fill="007192" w:themeFill="accent3" w:themeFillShade="BF"/>
            <w:hideMark/>
          </w:tcPr>
          <w:p w:rsidR="00C30BBE" w:rsidRPr="00405CDE" w:rsidRDefault="00C30BBE" w:rsidP="002E506D">
            <w:pPr>
              <w:pStyle w:val="tableheadingline2"/>
              <w:keepNext/>
              <w:rPr>
                <w:rFonts w:cs="Arial"/>
              </w:rPr>
            </w:pPr>
            <w:r w:rsidRPr="00405CDE">
              <w:rPr>
                <w:rFonts w:cs="Arial"/>
              </w:rPr>
              <w:t>12 hr forecast</w:t>
            </w:r>
          </w:p>
        </w:tc>
      </w:tr>
      <w:tr w:rsidR="00C30BBE" w:rsidRPr="00405CDE" w:rsidTr="003C7EFA">
        <w:trPr>
          <w:trHeight w:val="510"/>
        </w:trPr>
        <w:tc>
          <w:tcPr>
            <w:tcW w:w="539" w:type="pct"/>
            <w:tcBorders>
              <w:top w:val="nil"/>
              <w:bottom w:val="nil"/>
            </w:tcBorders>
          </w:tcPr>
          <w:p w:rsidR="00C30BBE" w:rsidRPr="00405CDE" w:rsidRDefault="00C30BBE">
            <w:pPr>
              <w:rPr>
                <w:rFonts w:cs="Arial"/>
              </w:rPr>
            </w:pPr>
            <w:r w:rsidRPr="00405CDE">
              <w:rPr>
                <w:rFonts w:cs="Arial"/>
              </w:rPr>
              <w:t>9 AM</w:t>
            </w:r>
          </w:p>
        </w:tc>
        <w:tc>
          <w:tcPr>
            <w:tcW w:w="518" w:type="pct"/>
            <w:tcBorders>
              <w:top w:val="nil"/>
              <w:bottom w:val="nil"/>
            </w:tcBorders>
          </w:tcPr>
          <w:p w:rsidR="00C30BBE" w:rsidRPr="00405CDE" w:rsidRDefault="00C30BBE" w:rsidP="002E506D">
            <w:pPr>
              <w:jc w:val="center"/>
              <w:rPr>
                <w:rFonts w:cs="Arial"/>
              </w:rPr>
            </w:pPr>
            <w:r w:rsidRPr="00405CDE">
              <w:rPr>
                <w:rFonts w:cs="Arial"/>
              </w:rPr>
              <w:t>552.39</w:t>
            </w:r>
          </w:p>
        </w:tc>
        <w:tc>
          <w:tcPr>
            <w:tcW w:w="497" w:type="pct"/>
            <w:tcBorders>
              <w:top w:val="nil"/>
              <w:bottom w:val="nil"/>
            </w:tcBorders>
          </w:tcPr>
          <w:p w:rsidR="00C30BBE" w:rsidRPr="00405CDE" w:rsidRDefault="00C30BBE" w:rsidP="002E506D">
            <w:pPr>
              <w:jc w:val="center"/>
              <w:rPr>
                <w:rFonts w:cs="Arial"/>
              </w:rPr>
            </w:pPr>
            <w:r w:rsidRPr="00405CDE">
              <w:rPr>
                <w:rFonts w:cs="Arial"/>
              </w:rPr>
              <w:t>126.74</w:t>
            </w:r>
          </w:p>
        </w:tc>
        <w:tc>
          <w:tcPr>
            <w:tcW w:w="498" w:type="pct"/>
            <w:tcBorders>
              <w:top w:val="nil"/>
              <w:bottom w:val="nil"/>
            </w:tcBorders>
          </w:tcPr>
          <w:p w:rsidR="00C30BBE" w:rsidRPr="00405CDE" w:rsidRDefault="00C30BBE" w:rsidP="002E506D">
            <w:pPr>
              <w:jc w:val="center"/>
              <w:rPr>
                <w:rFonts w:cs="Arial"/>
              </w:rPr>
            </w:pPr>
            <w:r w:rsidRPr="00405CDE">
              <w:rPr>
                <w:rFonts w:cs="Arial"/>
              </w:rPr>
              <w:t>327.66</w:t>
            </w:r>
          </w:p>
        </w:tc>
        <w:tc>
          <w:tcPr>
            <w:tcW w:w="480" w:type="pct"/>
            <w:tcBorders>
              <w:top w:val="nil"/>
              <w:bottom w:val="nil"/>
            </w:tcBorders>
          </w:tcPr>
          <w:p w:rsidR="00C30BBE" w:rsidRPr="00405CDE" w:rsidRDefault="00C30BBE" w:rsidP="002E506D">
            <w:pPr>
              <w:jc w:val="center"/>
              <w:rPr>
                <w:rFonts w:cs="Arial"/>
              </w:rPr>
            </w:pPr>
            <w:r w:rsidRPr="00405CDE">
              <w:rPr>
                <w:rFonts w:cs="Arial"/>
              </w:rPr>
              <w:t>1543</w:t>
            </w:r>
          </w:p>
        </w:tc>
        <w:tc>
          <w:tcPr>
            <w:tcW w:w="497" w:type="pct"/>
            <w:tcBorders>
              <w:top w:val="nil"/>
              <w:bottom w:val="nil"/>
            </w:tcBorders>
          </w:tcPr>
          <w:p w:rsidR="00C30BBE" w:rsidRPr="00405CDE" w:rsidRDefault="00C30BBE" w:rsidP="002E506D">
            <w:pPr>
              <w:jc w:val="center"/>
              <w:rPr>
                <w:rFonts w:cs="Arial"/>
              </w:rPr>
            </w:pPr>
            <w:r w:rsidRPr="00405CDE">
              <w:rPr>
                <w:rFonts w:cs="Arial"/>
              </w:rPr>
              <w:t>1555</w:t>
            </w:r>
          </w:p>
        </w:tc>
        <w:tc>
          <w:tcPr>
            <w:tcW w:w="497" w:type="pct"/>
            <w:tcBorders>
              <w:top w:val="nil"/>
              <w:bottom w:val="nil"/>
            </w:tcBorders>
          </w:tcPr>
          <w:p w:rsidR="00C30BBE" w:rsidRPr="00405CDE" w:rsidRDefault="00C30BBE" w:rsidP="002E506D">
            <w:pPr>
              <w:jc w:val="center"/>
              <w:rPr>
                <w:rFonts w:cs="Arial"/>
              </w:rPr>
            </w:pPr>
            <w:r w:rsidRPr="00405CDE">
              <w:rPr>
                <w:rFonts w:cs="Arial"/>
              </w:rPr>
              <w:t>1626</w:t>
            </w:r>
          </w:p>
        </w:tc>
        <w:tc>
          <w:tcPr>
            <w:tcW w:w="480" w:type="pct"/>
            <w:tcBorders>
              <w:top w:val="nil"/>
              <w:bottom w:val="nil"/>
            </w:tcBorders>
          </w:tcPr>
          <w:p w:rsidR="00C30BBE" w:rsidRPr="00405CDE" w:rsidRDefault="00C30BBE" w:rsidP="002E506D">
            <w:pPr>
              <w:jc w:val="center"/>
              <w:rPr>
                <w:rFonts w:cs="Arial"/>
              </w:rPr>
            </w:pPr>
            <w:r w:rsidRPr="00405CDE">
              <w:rPr>
                <w:rFonts w:cs="Arial"/>
              </w:rPr>
              <w:t>1924</w:t>
            </w:r>
          </w:p>
        </w:tc>
        <w:tc>
          <w:tcPr>
            <w:tcW w:w="497" w:type="pct"/>
            <w:tcBorders>
              <w:top w:val="nil"/>
              <w:bottom w:val="nil"/>
            </w:tcBorders>
          </w:tcPr>
          <w:p w:rsidR="00C30BBE" w:rsidRPr="00405CDE" w:rsidRDefault="00C30BBE" w:rsidP="002E506D">
            <w:pPr>
              <w:jc w:val="center"/>
              <w:rPr>
                <w:rFonts w:cs="Arial"/>
              </w:rPr>
            </w:pPr>
            <w:r w:rsidRPr="00405CDE">
              <w:rPr>
                <w:rFonts w:cs="Arial"/>
              </w:rPr>
              <w:t>1921</w:t>
            </w:r>
          </w:p>
        </w:tc>
        <w:tc>
          <w:tcPr>
            <w:tcW w:w="496" w:type="pct"/>
            <w:tcBorders>
              <w:top w:val="nil"/>
              <w:bottom w:val="nil"/>
            </w:tcBorders>
          </w:tcPr>
          <w:p w:rsidR="00C30BBE" w:rsidRPr="00405CDE" w:rsidRDefault="00C30BBE" w:rsidP="002E506D">
            <w:pPr>
              <w:jc w:val="center"/>
              <w:rPr>
                <w:rFonts w:cs="Arial"/>
              </w:rPr>
            </w:pPr>
            <w:r w:rsidRPr="00405CDE">
              <w:rPr>
                <w:rFonts w:cs="Arial"/>
              </w:rPr>
              <w:t>1917</w:t>
            </w:r>
          </w:p>
        </w:tc>
      </w:tr>
    </w:tbl>
    <w:p w:rsidR="005D31F5" w:rsidRPr="00405CDE" w:rsidRDefault="005D31F5" w:rsidP="002E506D">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Forecast demand and availability w</w:t>
      </w:r>
      <w:r w:rsidR="005816B4" w:rsidRPr="00405CDE">
        <w:rPr>
          <w:rFonts w:eastAsia="Times New Roman" w:cs="Arial"/>
          <w:bCs/>
          <w:lang w:eastAsia="en-AU"/>
        </w:rPr>
        <w:t>ere both close to the four hour ahead</w:t>
      </w:r>
      <w:r w:rsidRPr="00405CDE">
        <w:rPr>
          <w:rFonts w:eastAsia="Times New Roman" w:cs="Arial"/>
          <w:bCs/>
          <w:lang w:eastAsia="en-AU"/>
        </w:rPr>
        <w:t xml:space="preserve"> forecasts. </w:t>
      </w:r>
    </w:p>
    <w:p w:rsidR="00C6290C" w:rsidRDefault="00492A06" w:rsidP="002E506D">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In preparation for a planned outage of the Keith-Tailem Bend no 1 132 kV transmission line</w:t>
      </w:r>
      <w:r w:rsidR="005816B4" w:rsidRPr="00405CDE">
        <w:rPr>
          <w:rFonts w:eastAsia="Times New Roman" w:cs="Arial"/>
          <w:bCs/>
          <w:lang w:eastAsia="en-AU"/>
        </w:rPr>
        <w:t>,</w:t>
      </w:r>
      <w:r w:rsidR="00C6290C" w:rsidRPr="00405CDE">
        <w:rPr>
          <w:rFonts w:eastAsia="Times New Roman" w:cs="Arial"/>
          <w:bCs/>
          <w:lang w:eastAsia="en-AU"/>
        </w:rPr>
        <w:t xml:space="preserve"> a ramping constraint applied </w:t>
      </w:r>
      <w:r w:rsidR="005D31F5" w:rsidRPr="00405CDE">
        <w:rPr>
          <w:rFonts w:eastAsia="Times New Roman" w:cs="Arial"/>
          <w:bCs/>
          <w:lang w:eastAsia="en-AU"/>
        </w:rPr>
        <w:t>during</w:t>
      </w:r>
      <w:r w:rsidR="005816B4" w:rsidRPr="00405CDE">
        <w:rPr>
          <w:rFonts w:eastAsia="Times New Roman" w:cs="Arial"/>
          <w:bCs/>
          <w:lang w:eastAsia="en-AU"/>
        </w:rPr>
        <w:t xml:space="preserve"> much of the</w:t>
      </w:r>
      <w:r w:rsidR="005D31F5" w:rsidRPr="00405CDE">
        <w:rPr>
          <w:rFonts w:eastAsia="Times New Roman" w:cs="Arial"/>
          <w:bCs/>
          <w:lang w:eastAsia="en-AU"/>
        </w:rPr>
        <w:t xml:space="preserve"> 9</w:t>
      </w:r>
      <w:r w:rsidR="00B0513C">
        <w:rPr>
          <w:rFonts w:eastAsia="Times New Roman" w:cs="Arial"/>
          <w:bCs/>
          <w:lang w:eastAsia="en-AU"/>
        </w:rPr>
        <w:t> </w:t>
      </w:r>
      <w:r w:rsidR="005D31F5" w:rsidRPr="00405CDE">
        <w:rPr>
          <w:rFonts w:eastAsia="Times New Roman" w:cs="Arial"/>
          <w:bCs/>
          <w:lang w:eastAsia="en-AU"/>
        </w:rPr>
        <w:t>am trading interval. T</w:t>
      </w:r>
      <w:r w:rsidR="00C6290C" w:rsidRPr="00405CDE">
        <w:rPr>
          <w:rFonts w:eastAsia="Times New Roman" w:cs="Arial"/>
          <w:bCs/>
          <w:lang w:eastAsia="en-AU"/>
        </w:rPr>
        <w:t xml:space="preserve">his </w:t>
      </w:r>
      <w:r w:rsidR="00CA2226">
        <w:rPr>
          <w:rFonts w:eastAsia="Times New Roman" w:cs="Arial"/>
          <w:bCs/>
          <w:lang w:eastAsia="en-AU"/>
        </w:rPr>
        <w:t>constraint reduced generation in the South East of South Australia</w:t>
      </w:r>
      <w:r w:rsidR="00CA2226" w:rsidRPr="00405CDE">
        <w:rPr>
          <w:rFonts w:eastAsia="Times New Roman" w:cs="Arial"/>
          <w:bCs/>
          <w:lang w:eastAsia="en-AU"/>
        </w:rPr>
        <w:t xml:space="preserve"> </w:t>
      </w:r>
      <w:r w:rsidR="00801128">
        <w:rPr>
          <w:rFonts w:eastAsia="Times New Roman" w:cs="Arial"/>
          <w:bCs/>
          <w:lang w:eastAsia="en-AU"/>
        </w:rPr>
        <w:t>and reduced imports into South Australia across Heywood interconnector to 398 MW at 8.55 am.</w:t>
      </w:r>
      <w:r w:rsidR="005D31F5" w:rsidRPr="00405CDE">
        <w:rPr>
          <w:rFonts w:eastAsia="Times New Roman" w:cs="Arial"/>
          <w:bCs/>
          <w:lang w:eastAsia="en-AU"/>
        </w:rPr>
        <w:t xml:space="preserve"> </w:t>
      </w:r>
    </w:p>
    <w:p w:rsidR="002E506D" w:rsidRDefault="002E506D" w:rsidP="002E506D">
      <w:pPr>
        <w:pStyle w:val="Caption"/>
      </w:pPr>
      <w:r>
        <w:t xml:space="preserve">Table </w:t>
      </w:r>
      <w:r w:rsidR="00DF4596">
        <w:fldChar w:fldCharType="begin"/>
      </w:r>
      <w:r w:rsidR="00DF4596">
        <w:instrText xml:space="preserve"> SEQ Table \* ARABIC </w:instrText>
      </w:r>
      <w:r w:rsidR="00DF4596">
        <w:fldChar w:fldCharType="separate"/>
      </w:r>
      <w:r w:rsidR="00066FEF">
        <w:rPr>
          <w:noProof/>
        </w:rPr>
        <w:t>5</w:t>
      </w:r>
      <w:r w:rsidR="00DF4596">
        <w:rPr>
          <w:noProof/>
        </w:rPr>
        <w:fldChar w:fldCharType="end"/>
      </w:r>
      <w:r w:rsidRPr="00B2254F">
        <w:t>: Rebids for 9 am</w:t>
      </w:r>
    </w:p>
    <w:tbl>
      <w:tblPr>
        <w:tblStyle w:val="AERTable-Text"/>
        <w:tblW w:w="9180" w:type="dxa"/>
        <w:tblLayout w:type="fixed"/>
        <w:tblLook w:val="04A0" w:firstRow="1" w:lastRow="0" w:firstColumn="1" w:lastColumn="0" w:noHBand="0" w:noVBand="1"/>
      </w:tblPr>
      <w:tblGrid>
        <w:gridCol w:w="1384"/>
        <w:gridCol w:w="1276"/>
        <w:gridCol w:w="850"/>
        <w:gridCol w:w="980"/>
        <w:gridCol w:w="938"/>
        <w:gridCol w:w="937"/>
        <w:gridCol w:w="2815"/>
      </w:tblGrid>
      <w:tr w:rsidR="00645D73" w:rsidRPr="00405CDE" w:rsidTr="002E506D">
        <w:trPr>
          <w:cnfStyle w:val="100000000000" w:firstRow="1" w:lastRow="0" w:firstColumn="0" w:lastColumn="0" w:oddVBand="0" w:evenVBand="0" w:oddHBand="0" w:evenHBand="0" w:firstRowFirstColumn="0" w:firstRowLastColumn="0" w:lastRowFirstColumn="0" w:lastRowLastColumn="0"/>
          <w:trHeight w:val="780"/>
          <w:tblHeader/>
        </w:trPr>
        <w:tc>
          <w:tcPr>
            <w:tcW w:w="1384" w:type="dxa"/>
            <w:hideMark/>
          </w:tcPr>
          <w:p w:rsidR="00C6290C" w:rsidRPr="00405CDE" w:rsidRDefault="00C6290C" w:rsidP="00C4709E">
            <w:pPr>
              <w:pStyle w:val="TableHeading"/>
              <w:jc w:val="center"/>
              <w:rPr>
                <w:rFonts w:cs="Arial"/>
              </w:rPr>
            </w:pPr>
            <w:r w:rsidRPr="00405CDE">
              <w:rPr>
                <w:rFonts w:cs="Arial"/>
              </w:rPr>
              <w:t>Submit Time</w:t>
            </w:r>
          </w:p>
        </w:tc>
        <w:tc>
          <w:tcPr>
            <w:tcW w:w="1276" w:type="dxa"/>
            <w:hideMark/>
          </w:tcPr>
          <w:p w:rsidR="00C6290C" w:rsidRPr="00405CDE" w:rsidRDefault="00C6290C" w:rsidP="00C4709E">
            <w:pPr>
              <w:pStyle w:val="TableHeading"/>
              <w:jc w:val="center"/>
              <w:rPr>
                <w:rFonts w:cs="Arial"/>
              </w:rPr>
            </w:pPr>
            <w:r w:rsidRPr="00405CDE">
              <w:rPr>
                <w:rFonts w:cs="Arial"/>
              </w:rPr>
              <w:t>Participant</w:t>
            </w:r>
          </w:p>
        </w:tc>
        <w:tc>
          <w:tcPr>
            <w:tcW w:w="850" w:type="dxa"/>
            <w:hideMark/>
          </w:tcPr>
          <w:p w:rsidR="00C6290C" w:rsidRPr="00405CDE" w:rsidRDefault="00C6290C" w:rsidP="00C4709E">
            <w:pPr>
              <w:pStyle w:val="TableHeading"/>
              <w:jc w:val="center"/>
              <w:rPr>
                <w:rFonts w:cs="Arial"/>
              </w:rPr>
            </w:pPr>
            <w:r w:rsidRPr="00405CDE">
              <w:rPr>
                <w:rFonts w:cs="Arial"/>
              </w:rPr>
              <w:t>Station</w:t>
            </w:r>
          </w:p>
        </w:tc>
        <w:tc>
          <w:tcPr>
            <w:tcW w:w="980" w:type="dxa"/>
            <w:hideMark/>
          </w:tcPr>
          <w:p w:rsidR="00C6290C" w:rsidRPr="00405CDE" w:rsidRDefault="00C6290C" w:rsidP="00C4709E">
            <w:pPr>
              <w:pStyle w:val="TableHeading"/>
              <w:jc w:val="center"/>
              <w:rPr>
                <w:rFonts w:cs="Arial"/>
              </w:rPr>
            </w:pPr>
            <w:r w:rsidRPr="00405CDE">
              <w:rPr>
                <w:rFonts w:cs="Arial"/>
              </w:rPr>
              <w:t>Capacity rebid (MW)</w:t>
            </w:r>
          </w:p>
        </w:tc>
        <w:tc>
          <w:tcPr>
            <w:tcW w:w="938" w:type="dxa"/>
            <w:hideMark/>
          </w:tcPr>
          <w:p w:rsidR="00C6290C" w:rsidRPr="00405CDE" w:rsidRDefault="00C6290C" w:rsidP="00C4709E">
            <w:pPr>
              <w:pStyle w:val="TableHeading"/>
              <w:jc w:val="center"/>
              <w:rPr>
                <w:rFonts w:cs="Arial"/>
              </w:rPr>
            </w:pPr>
            <w:r w:rsidRPr="00405CDE">
              <w:rPr>
                <w:rFonts w:cs="Arial"/>
              </w:rPr>
              <w:t>Price from ($/MWh)</w:t>
            </w:r>
          </w:p>
        </w:tc>
        <w:tc>
          <w:tcPr>
            <w:tcW w:w="937" w:type="dxa"/>
            <w:hideMark/>
          </w:tcPr>
          <w:p w:rsidR="00C6290C" w:rsidRPr="00405CDE" w:rsidRDefault="00C6290C" w:rsidP="00C4709E">
            <w:pPr>
              <w:pStyle w:val="TableHeading"/>
              <w:jc w:val="center"/>
              <w:rPr>
                <w:rFonts w:cs="Arial"/>
              </w:rPr>
            </w:pPr>
            <w:r w:rsidRPr="00405CDE">
              <w:rPr>
                <w:rFonts w:cs="Arial"/>
              </w:rPr>
              <w:t>Price to ($/MWh)</w:t>
            </w:r>
          </w:p>
        </w:tc>
        <w:tc>
          <w:tcPr>
            <w:tcW w:w="2815" w:type="dxa"/>
            <w:hideMark/>
          </w:tcPr>
          <w:p w:rsidR="00C6290C" w:rsidRPr="00405CDE" w:rsidRDefault="00C6290C" w:rsidP="00C4709E">
            <w:pPr>
              <w:pStyle w:val="TableHeading"/>
              <w:jc w:val="center"/>
              <w:rPr>
                <w:rFonts w:cs="Arial"/>
              </w:rPr>
            </w:pPr>
            <w:r w:rsidRPr="00405CDE">
              <w:rPr>
                <w:rFonts w:cs="Arial"/>
              </w:rPr>
              <w:t>Rebid reason</w:t>
            </w:r>
          </w:p>
        </w:tc>
      </w:tr>
      <w:tr w:rsidR="00645D73" w:rsidRPr="00405CDE" w:rsidTr="002E506D">
        <w:trPr>
          <w:trHeight w:val="606"/>
        </w:trPr>
        <w:tc>
          <w:tcPr>
            <w:tcW w:w="1384" w:type="dxa"/>
          </w:tcPr>
          <w:p w:rsidR="00AA649A" w:rsidRPr="00405CDE" w:rsidRDefault="00C6290C">
            <w:pPr>
              <w:pStyle w:val="Tabletext"/>
              <w:ind w:left="-84" w:right="-55"/>
              <w:jc w:val="center"/>
              <w:rPr>
                <w:rFonts w:cs="Arial"/>
                <w:b/>
              </w:rPr>
            </w:pPr>
            <w:r w:rsidRPr="00405CDE">
              <w:rPr>
                <w:rFonts w:cs="Arial"/>
                <w:b/>
              </w:rPr>
              <w:t>8.</w:t>
            </w:r>
            <w:r w:rsidR="00B0513C" w:rsidRPr="00405CDE">
              <w:rPr>
                <w:rFonts w:cs="Arial"/>
                <w:b/>
              </w:rPr>
              <w:t>37</w:t>
            </w:r>
            <w:r w:rsidR="00B0513C">
              <w:rPr>
                <w:rFonts w:cs="Arial"/>
                <w:b/>
              </w:rPr>
              <w:t> </w:t>
            </w:r>
            <w:r w:rsidRPr="00405CDE">
              <w:rPr>
                <w:rFonts w:cs="Arial"/>
                <w:b/>
              </w:rPr>
              <w:t>am</w:t>
            </w:r>
            <w:r w:rsidR="00B0513C">
              <w:rPr>
                <w:rFonts w:cs="Arial"/>
                <w:b/>
              </w:rPr>
              <w:t xml:space="preserve"> </w:t>
            </w:r>
            <w:r w:rsidR="00AA649A" w:rsidRPr="00405CDE">
              <w:rPr>
                <w:rFonts w:cs="Arial"/>
                <w:b/>
              </w:rPr>
              <w:t>(effective 8.</w:t>
            </w:r>
            <w:r w:rsidR="00B0513C" w:rsidRPr="00405CDE">
              <w:rPr>
                <w:rFonts w:cs="Arial"/>
                <w:b/>
              </w:rPr>
              <w:t>45</w:t>
            </w:r>
            <w:r w:rsidR="00B0513C">
              <w:rPr>
                <w:rFonts w:cs="Arial"/>
                <w:b/>
              </w:rPr>
              <w:t> </w:t>
            </w:r>
            <w:r w:rsidR="00AA649A" w:rsidRPr="00405CDE">
              <w:rPr>
                <w:rFonts w:cs="Arial"/>
                <w:b/>
              </w:rPr>
              <w:t>am)</w:t>
            </w:r>
          </w:p>
        </w:tc>
        <w:tc>
          <w:tcPr>
            <w:tcW w:w="1276" w:type="dxa"/>
          </w:tcPr>
          <w:p w:rsidR="00C6290C" w:rsidRPr="00405CDE" w:rsidRDefault="00C6290C" w:rsidP="00C4709E">
            <w:pPr>
              <w:pStyle w:val="Tabletext"/>
              <w:ind w:left="-84" w:right="-55"/>
              <w:jc w:val="center"/>
              <w:rPr>
                <w:rFonts w:cs="Arial"/>
              </w:rPr>
            </w:pPr>
            <w:r w:rsidRPr="00405CDE">
              <w:rPr>
                <w:rFonts w:cs="Arial"/>
              </w:rPr>
              <w:t>AGL Energy</w:t>
            </w:r>
          </w:p>
        </w:tc>
        <w:tc>
          <w:tcPr>
            <w:tcW w:w="850" w:type="dxa"/>
          </w:tcPr>
          <w:p w:rsidR="00C6290C" w:rsidRPr="00405CDE" w:rsidRDefault="00C6290C" w:rsidP="00C4709E">
            <w:pPr>
              <w:pStyle w:val="Tabletext"/>
              <w:ind w:left="-84" w:right="-55"/>
              <w:jc w:val="center"/>
              <w:rPr>
                <w:rFonts w:cs="Arial"/>
              </w:rPr>
            </w:pPr>
            <w:r w:rsidRPr="00405CDE">
              <w:rPr>
                <w:rFonts w:cs="Arial"/>
              </w:rPr>
              <w:t>Torrens A and B</w:t>
            </w:r>
          </w:p>
        </w:tc>
        <w:tc>
          <w:tcPr>
            <w:tcW w:w="980" w:type="dxa"/>
          </w:tcPr>
          <w:p w:rsidR="00C6290C" w:rsidRPr="00405CDE" w:rsidRDefault="00C6290C" w:rsidP="00C4709E">
            <w:pPr>
              <w:pStyle w:val="Tabletext"/>
              <w:ind w:left="-84" w:right="-55"/>
              <w:jc w:val="center"/>
              <w:rPr>
                <w:rFonts w:cs="Arial"/>
              </w:rPr>
            </w:pPr>
            <w:r w:rsidRPr="00405CDE">
              <w:rPr>
                <w:rFonts w:cs="Arial"/>
              </w:rPr>
              <w:t>210</w:t>
            </w:r>
          </w:p>
        </w:tc>
        <w:tc>
          <w:tcPr>
            <w:tcW w:w="938" w:type="dxa"/>
          </w:tcPr>
          <w:p w:rsidR="00C6290C" w:rsidRPr="00405CDE" w:rsidRDefault="00C6290C" w:rsidP="00C4709E">
            <w:pPr>
              <w:pStyle w:val="Tabletext"/>
              <w:ind w:left="-84" w:right="-55"/>
              <w:jc w:val="center"/>
              <w:rPr>
                <w:rFonts w:cs="Arial"/>
              </w:rPr>
            </w:pPr>
            <w:r w:rsidRPr="00405CDE">
              <w:rPr>
                <w:rFonts w:cs="Arial"/>
              </w:rPr>
              <w:t>&lt;65</w:t>
            </w:r>
          </w:p>
        </w:tc>
        <w:tc>
          <w:tcPr>
            <w:tcW w:w="937" w:type="dxa"/>
          </w:tcPr>
          <w:p w:rsidR="00C6290C" w:rsidRPr="00405CDE" w:rsidRDefault="00B0513C">
            <w:pPr>
              <w:pStyle w:val="Tabletext"/>
              <w:ind w:left="-84" w:right="-55"/>
              <w:jc w:val="center"/>
              <w:rPr>
                <w:rFonts w:cs="Arial"/>
              </w:rPr>
            </w:pPr>
            <w:r w:rsidRPr="00405CDE">
              <w:rPr>
                <w:rFonts w:cs="Arial"/>
              </w:rPr>
              <w:t>13</w:t>
            </w:r>
            <w:r>
              <w:rPr>
                <w:rFonts w:cs="Arial"/>
              </w:rPr>
              <w:t> </w:t>
            </w:r>
            <w:r w:rsidR="00C6290C" w:rsidRPr="00405CDE">
              <w:rPr>
                <w:rFonts w:cs="Arial"/>
              </w:rPr>
              <w:t>500</w:t>
            </w:r>
          </w:p>
        </w:tc>
        <w:tc>
          <w:tcPr>
            <w:tcW w:w="2815" w:type="dxa"/>
          </w:tcPr>
          <w:p w:rsidR="00C6290C" w:rsidRPr="00405CDE" w:rsidRDefault="00C6290C" w:rsidP="00C4709E">
            <w:pPr>
              <w:pStyle w:val="Tabletext"/>
              <w:ind w:left="-84" w:right="-55"/>
              <w:rPr>
                <w:rFonts w:cs="Arial"/>
                <w:bCs/>
              </w:rPr>
            </w:pPr>
            <w:r w:rsidRPr="00405CDE">
              <w:rPr>
                <w:rFonts w:cs="Arial"/>
                <w:bCs/>
              </w:rPr>
              <w:t xml:space="preserve">0801~A~050 </w:t>
            </w:r>
            <w:r w:rsidR="00645D73" w:rsidRPr="00405CDE">
              <w:rPr>
                <w:rFonts w:cs="Arial"/>
                <w:bCs/>
              </w:rPr>
              <w:t xml:space="preserve">chg in </w:t>
            </w:r>
            <w:r w:rsidRPr="00405CDE">
              <w:rPr>
                <w:rFonts w:cs="Arial"/>
                <w:bCs/>
              </w:rPr>
              <w:t xml:space="preserve">AEMO PD~51 PD </w:t>
            </w:r>
            <w:r w:rsidR="00645D73" w:rsidRPr="00405CDE">
              <w:rPr>
                <w:rFonts w:cs="Arial"/>
                <w:bCs/>
              </w:rPr>
              <w:t xml:space="preserve">demand increase </w:t>
            </w:r>
            <w:r w:rsidRPr="00405CDE">
              <w:rPr>
                <w:rFonts w:cs="Arial"/>
                <w:bCs/>
              </w:rPr>
              <w:t xml:space="preserve">SA </w:t>
            </w:r>
            <w:r w:rsidRPr="00405CDE">
              <w:rPr>
                <w:rFonts w:cs="Arial"/>
                <w:sz w:val="16"/>
                <w:szCs w:val="16"/>
              </w:rPr>
              <w:t>+76MW 0900</w:t>
            </w:r>
          </w:p>
        </w:tc>
      </w:tr>
      <w:tr w:rsidR="00645D73" w:rsidRPr="00405CDE" w:rsidTr="002E506D">
        <w:trPr>
          <w:cnfStyle w:val="000000010000" w:firstRow="0" w:lastRow="0" w:firstColumn="0" w:lastColumn="0" w:oddVBand="0" w:evenVBand="0" w:oddHBand="0" w:evenHBand="1" w:firstRowFirstColumn="0" w:firstRowLastColumn="0" w:lastRowFirstColumn="0" w:lastRowLastColumn="0"/>
          <w:trHeight w:val="606"/>
        </w:trPr>
        <w:tc>
          <w:tcPr>
            <w:tcW w:w="1384" w:type="dxa"/>
          </w:tcPr>
          <w:p w:rsidR="00C6290C" w:rsidRPr="00405CDE" w:rsidRDefault="00C6290C">
            <w:pPr>
              <w:pStyle w:val="Tabletext"/>
              <w:ind w:left="-84" w:right="-55"/>
              <w:jc w:val="center"/>
              <w:rPr>
                <w:rFonts w:cs="Arial"/>
                <w:b/>
              </w:rPr>
            </w:pPr>
            <w:r w:rsidRPr="00405CDE">
              <w:rPr>
                <w:rFonts w:cs="Arial"/>
                <w:b/>
              </w:rPr>
              <w:t>8.</w:t>
            </w:r>
            <w:r w:rsidR="00B0513C" w:rsidRPr="00405CDE">
              <w:rPr>
                <w:rFonts w:cs="Arial"/>
                <w:b/>
              </w:rPr>
              <w:t>43</w:t>
            </w:r>
            <w:r w:rsidR="00B0513C">
              <w:rPr>
                <w:rFonts w:cs="Arial"/>
                <w:b/>
              </w:rPr>
              <w:t> </w:t>
            </w:r>
            <w:r w:rsidRPr="00405CDE">
              <w:rPr>
                <w:rFonts w:cs="Arial"/>
                <w:b/>
              </w:rPr>
              <w:t>am</w:t>
            </w:r>
            <w:r w:rsidR="00AA649A" w:rsidRPr="00405CDE">
              <w:rPr>
                <w:rFonts w:cs="Arial"/>
                <w:b/>
              </w:rPr>
              <w:t xml:space="preserve"> (effective 8.</w:t>
            </w:r>
            <w:r w:rsidR="00B0513C" w:rsidRPr="00405CDE">
              <w:rPr>
                <w:rFonts w:cs="Arial"/>
                <w:b/>
              </w:rPr>
              <w:t>50</w:t>
            </w:r>
            <w:r w:rsidR="00B0513C">
              <w:rPr>
                <w:rFonts w:cs="Arial"/>
                <w:b/>
              </w:rPr>
              <w:t> </w:t>
            </w:r>
            <w:r w:rsidR="00AA649A" w:rsidRPr="00405CDE">
              <w:rPr>
                <w:rFonts w:cs="Arial"/>
                <w:b/>
              </w:rPr>
              <w:t>am)</w:t>
            </w:r>
          </w:p>
        </w:tc>
        <w:tc>
          <w:tcPr>
            <w:tcW w:w="1276" w:type="dxa"/>
          </w:tcPr>
          <w:p w:rsidR="00C6290C" w:rsidRPr="00405CDE" w:rsidRDefault="00AA649A" w:rsidP="00C4709E">
            <w:pPr>
              <w:pStyle w:val="Tabletext"/>
              <w:ind w:left="-84" w:right="-55"/>
              <w:jc w:val="center"/>
              <w:rPr>
                <w:rFonts w:cs="Arial"/>
              </w:rPr>
            </w:pPr>
            <w:r w:rsidRPr="00405CDE">
              <w:rPr>
                <w:rFonts w:cs="Arial"/>
              </w:rPr>
              <w:t xml:space="preserve">Energy Australia </w:t>
            </w:r>
          </w:p>
        </w:tc>
        <w:tc>
          <w:tcPr>
            <w:tcW w:w="850" w:type="dxa"/>
          </w:tcPr>
          <w:p w:rsidR="00C6290C" w:rsidRPr="00405CDE" w:rsidRDefault="00AA649A" w:rsidP="00C4709E">
            <w:pPr>
              <w:pStyle w:val="Tabletext"/>
              <w:ind w:left="-84" w:right="-55"/>
              <w:jc w:val="center"/>
              <w:rPr>
                <w:rFonts w:cs="Arial"/>
              </w:rPr>
            </w:pPr>
            <w:r w:rsidRPr="00405CDE">
              <w:rPr>
                <w:rFonts w:cs="Arial"/>
              </w:rPr>
              <w:t xml:space="preserve">Hallet </w:t>
            </w:r>
          </w:p>
        </w:tc>
        <w:tc>
          <w:tcPr>
            <w:tcW w:w="980" w:type="dxa"/>
          </w:tcPr>
          <w:p w:rsidR="00C6290C" w:rsidRPr="00405CDE" w:rsidRDefault="00AA649A" w:rsidP="00C4709E">
            <w:pPr>
              <w:pStyle w:val="Tabletext"/>
              <w:ind w:left="-84" w:right="-55"/>
              <w:jc w:val="center"/>
              <w:rPr>
                <w:rFonts w:cs="Arial"/>
              </w:rPr>
            </w:pPr>
            <w:r w:rsidRPr="00405CDE">
              <w:rPr>
                <w:rFonts w:cs="Arial"/>
              </w:rPr>
              <w:t>50</w:t>
            </w:r>
          </w:p>
        </w:tc>
        <w:tc>
          <w:tcPr>
            <w:tcW w:w="938" w:type="dxa"/>
          </w:tcPr>
          <w:p w:rsidR="00C6290C" w:rsidRPr="00405CDE" w:rsidRDefault="00AA649A" w:rsidP="00C4709E">
            <w:pPr>
              <w:pStyle w:val="Tabletext"/>
              <w:ind w:left="-84" w:right="-55"/>
              <w:jc w:val="center"/>
              <w:rPr>
                <w:rFonts w:cs="Arial"/>
              </w:rPr>
            </w:pPr>
            <w:r w:rsidRPr="00405CDE">
              <w:rPr>
                <w:rFonts w:cs="Arial"/>
              </w:rPr>
              <w:t>&gt;10</w:t>
            </w:r>
            <w:r w:rsidR="00B0513C">
              <w:rPr>
                <w:rFonts w:cs="Arial"/>
              </w:rPr>
              <w:t> </w:t>
            </w:r>
            <w:r w:rsidRPr="00405CDE">
              <w:rPr>
                <w:rFonts w:cs="Arial"/>
              </w:rPr>
              <w:t>782</w:t>
            </w:r>
          </w:p>
        </w:tc>
        <w:tc>
          <w:tcPr>
            <w:tcW w:w="937" w:type="dxa"/>
          </w:tcPr>
          <w:p w:rsidR="00C6290C" w:rsidRPr="00405CDE" w:rsidRDefault="00AA649A" w:rsidP="00C4709E">
            <w:pPr>
              <w:pStyle w:val="Tabletext"/>
              <w:ind w:left="-84" w:right="-55"/>
              <w:jc w:val="center"/>
              <w:rPr>
                <w:rFonts w:cs="Arial"/>
              </w:rPr>
            </w:pPr>
            <w:r w:rsidRPr="00405CDE">
              <w:rPr>
                <w:rFonts w:cs="Arial"/>
              </w:rPr>
              <w:t>&lt;300</w:t>
            </w:r>
          </w:p>
        </w:tc>
        <w:tc>
          <w:tcPr>
            <w:tcW w:w="2815" w:type="dxa"/>
          </w:tcPr>
          <w:p w:rsidR="00C6290C" w:rsidRPr="00405CDE" w:rsidRDefault="00AA649A" w:rsidP="00C4709E">
            <w:pPr>
              <w:pStyle w:val="Tabletext"/>
              <w:ind w:left="-84" w:right="-55"/>
              <w:rPr>
                <w:rFonts w:cs="Arial"/>
                <w:sz w:val="16"/>
                <w:szCs w:val="16"/>
              </w:rPr>
            </w:pPr>
            <w:r w:rsidRPr="00405CDE">
              <w:rPr>
                <w:rFonts w:cs="Arial"/>
                <w:sz w:val="16"/>
                <w:szCs w:val="16"/>
              </w:rPr>
              <w:t xml:space="preserve">08:42 A BAND </w:t>
            </w:r>
            <w:r w:rsidR="00645D73" w:rsidRPr="00405CDE">
              <w:rPr>
                <w:rFonts w:cs="Arial"/>
                <w:sz w:val="16"/>
                <w:szCs w:val="16"/>
              </w:rPr>
              <w:t xml:space="preserve">t1 adj due to change 5 min </w:t>
            </w:r>
            <w:r w:rsidRPr="00405CDE">
              <w:rPr>
                <w:rFonts w:cs="Arial"/>
                <w:sz w:val="16"/>
                <w:szCs w:val="16"/>
              </w:rPr>
              <w:t xml:space="preserve">PD </w:t>
            </w:r>
            <w:r w:rsidR="00645D73" w:rsidRPr="00405CDE">
              <w:rPr>
                <w:rFonts w:cs="Arial"/>
                <w:sz w:val="16"/>
                <w:szCs w:val="16"/>
              </w:rPr>
              <w:t>price</w:t>
            </w:r>
          </w:p>
        </w:tc>
      </w:tr>
    </w:tbl>
    <w:p w:rsidR="005816B4" w:rsidRPr="00405CDE" w:rsidRDefault="00BC675F" w:rsidP="002E506D">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At 8.</w:t>
      </w:r>
      <w:r w:rsidR="00B0513C" w:rsidRPr="00405CDE">
        <w:rPr>
          <w:rFonts w:eastAsia="Times New Roman" w:cs="Arial"/>
          <w:bCs/>
          <w:lang w:eastAsia="en-AU"/>
        </w:rPr>
        <w:t>55</w:t>
      </w:r>
      <w:r w:rsidR="00B0513C">
        <w:rPr>
          <w:rFonts w:eastAsia="Times New Roman" w:cs="Arial"/>
          <w:bCs/>
          <w:lang w:eastAsia="en-AU"/>
        </w:rPr>
        <w:t> </w:t>
      </w:r>
      <w:r w:rsidRPr="00405CDE">
        <w:rPr>
          <w:rFonts w:eastAsia="Times New Roman" w:cs="Arial"/>
          <w:bCs/>
          <w:lang w:eastAsia="en-AU"/>
        </w:rPr>
        <w:t xml:space="preserve">am </w:t>
      </w:r>
      <w:r w:rsidR="00801128">
        <w:rPr>
          <w:rFonts w:eastAsia="Times New Roman" w:cs="Arial"/>
          <w:bCs/>
          <w:lang w:eastAsia="en-AU"/>
        </w:rPr>
        <w:t>the</w:t>
      </w:r>
      <w:r w:rsidR="00801128" w:rsidRPr="00405CDE">
        <w:rPr>
          <w:rFonts w:eastAsia="Times New Roman" w:cs="Arial"/>
          <w:bCs/>
          <w:lang w:eastAsia="en-AU"/>
        </w:rPr>
        <w:t xml:space="preserve"> </w:t>
      </w:r>
      <w:r w:rsidRPr="00405CDE">
        <w:rPr>
          <w:rFonts w:eastAsia="Times New Roman" w:cs="Arial"/>
          <w:bCs/>
          <w:lang w:eastAsia="en-AU"/>
        </w:rPr>
        <w:t>ramping co</w:t>
      </w:r>
      <w:r w:rsidR="002C6D5E">
        <w:rPr>
          <w:rFonts w:eastAsia="Times New Roman" w:cs="Arial"/>
          <w:bCs/>
          <w:lang w:eastAsia="en-AU"/>
        </w:rPr>
        <w:t xml:space="preserve">nstraint </w:t>
      </w:r>
      <w:r w:rsidRPr="00405CDE">
        <w:rPr>
          <w:rFonts w:eastAsia="Times New Roman" w:cs="Arial"/>
          <w:bCs/>
          <w:lang w:eastAsia="en-AU"/>
        </w:rPr>
        <w:t xml:space="preserve">led to the </w:t>
      </w:r>
      <w:r w:rsidR="00E40B9C" w:rsidRPr="00405CDE">
        <w:rPr>
          <w:rFonts w:eastAsia="Times New Roman" w:cs="Arial"/>
          <w:bCs/>
          <w:lang w:eastAsia="en-AU"/>
        </w:rPr>
        <w:t xml:space="preserve">Ladbroke </w:t>
      </w:r>
      <w:r w:rsidRPr="00405CDE">
        <w:rPr>
          <w:rFonts w:eastAsia="Times New Roman" w:cs="Arial"/>
          <w:bCs/>
          <w:lang w:eastAsia="en-AU"/>
        </w:rPr>
        <w:t>Grove and Lake Bonne</w:t>
      </w:r>
      <w:r w:rsidR="00E40B9C" w:rsidRPr="00405CDE">
        <w:rPr>
          <w:rFonts w:eastAsia="Times New Roman" w:cs="Arial"/>
          <w:bCs/>
          <w:lang w:eastAsia="en-AU"/>
        </w:rPr>
        <w:t>y</w:t>
      </w:r>
      <w:r w:rsidRPr="00405CDE">
        <w:rPr>
          <w:rFonts w:eastAsia="Times New Roman" w:cs="Arial"/>
          <w:bCs/>
          <w:lang w:eastAsia="en-AU"/>
        </w:rPr>
        <w:t xml:space="preserve"> 2 and 3</w:t>
      </w:r>
      <w:r w:rsidR="00E40B9C" w:rsidRPr="00405CDE">
        <w:rPr>
          <w:rFonts w:eastAsia="Times New Roman" w:cs="Arial"/>
          <w:bCs/>
          <w:lang w:eastAsia="en-AU"/>
        </w:rPr>
        <w:t xml:space="preserve"> </w:t>
      </w:r>
      <w:r w:rsidRPr="00405CDE">
        <w:rPr>
          <w:rFonts w:eastAsia="Times New Roman" w:cs="Arial"/>
          <w:bCs/>
          <w:lang w:eastAsia="en-AU"/>
        </w:rPr>
        <w:t>being</w:t>
      </w:r>
      <w:r w:rsidR="00E40B9C" w:rsidRPr="00405CDE">
        <w:rPr>
          <w:rFonts w:eastAsia="Times New Roman" w:cs="Arial"/>
          <w:bCs/>
          <w:lang w:eastAsia="en-AU"/>
        </w:rPr>
        <w:t xml:space="preserve"> constrained off</w:t>
      </w:r>
      <w:r w:rsidRPr="00405CDE">
        <w:rPr>
          <w:rFonts w:eastAsia="Times New Roman" w:cs="Arial"/>
          <w:bCs/>
          <w:lang w:eastAsia="en-AU"/>
        </w:rPr>
        <w:t>.</w:t>
      </w:r>
      <w:r w:rsidR="00E40B9C" w:rsidRPr="00405CDE">
        <w:rPr>
          <w:rFonts w:eastAsia="Times New Roman" w:cs="Arial"/>
          <w:bCs/>
          <w:lang w:eastAsia="en-AU"/>
        </w:rPr>
        <w:t xml:space="preserve"> </w:t>
      </w:r>
      <w:r w:rsidR="005816B4" w:rsidRPr="00405CDE">
        <w:rPr>
          <w:rFonts w:eastAsia="Times New Roman" w:cs="Arial"/>
          <w:bCs/>
          <w:lang w:eastAsia="en-AU"/>
        </w:rPr>
        <w:t xml:space="preserve">At the same time demand increased by </w:t>
      </w:r>
      <w:r w:rsidR="00B0513C" w:rsidRPr="00405CDE">
        <w:rPr>
          <w:rFonts w:eastAsia="Times New Roman" w:cs="Arial"/>
          <w:bCs/>
          <w:lang w:eastAsia="en-AU"/>
        </w:rPr>
        <w:t>42</w:t>
      </w:r>
      <w:r w:rsidR="00B0513C">
        <w:rPr>
          <w:rFonts w:eastAsia="Times New Roman" w:cs="Arial"/>
          <w:bCs/>
          <w:lang w:eastAsia="en-AU"/>
        </w:rPr>
        <w:t> </w:t>
      </w:r>
      <w:r w:rsidR="005816B4" w:rsidRPr="00405CDE">
        <w:rPr>
          <w:rFonts w:eastAsia="Times New Roman" w:cs="Arial"/>
          <w:bCs/>
          <w:lang w:eastAsia="en-AU"/>
        </w:rPr>
        <w:t xml:space="preserve">MW. </w:t>
      </w:r>
    </w:p>
    <w:p w:rsidR="008B167B" w:rsidRPr="00405CDE" w:rsidRDefault="005816B4" w:rsidP="002E506D">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With low priced capacity either ramp rate limited or fully dispatched, the dispatch price increased from $70/MWh at 8.</w:t>
      </w:r>
      <w:r w:rsidR="00B0513C" w:rsidRPr="00405CDE">
        <w:rPr>
          <w:rFonts w:eastAsia="Times New Roman" w:cs="Arial"/>
          <w:bCs/>
          <w:lang w:eastAsia="en-AU"/>
        </w:rPr>
        <w:t>50</w:t>
      </w:r>
      <w:r w:rsidR="00B0513C">
        <w:rPr>
          <w:rFonts w:eastAsia="Times New Roman" w:cs="Arial"/>
          <w:bCs/>
          <w:lang w:eastAsia="en-AU"/>
        </w:rPr>
        <w:t> </w:t>
      </w:r>
      <w:r w:rsidRPr="00405CDE">
        <w:rPr>
          <w:rFonts w:eastAsia="Times New Roman" w:cs="Arial"/>
          <w:bCs/>
          <w:lang w:eastAsia="en-AU"/>
        </w:rPr>
        <w:t>am to $</w:t>
      </w:r>
      <w:r w:rsidR="008B167B" w:rsidRPr="00405CDE">
        <w:rPr>
          <w:rFonts w:eastAsia="Times New Roman" w:cs="Arial"/>
          <w:bCs/>
          <w:lang w:eastAsia="en-AU"/>
        </w:rPr>
        <w:t>2960</w:t>
      </w:r>
      <w:r w:rsidRPr="00405CDE">
        <w:rPr>
          <w:rFonts w:eastAsia="Times New Roman" w:cs="Arial"/>
          <w:bCs/>
          <w:lang w:eastAsia="en-AU"/>
        </w:rPr>
        <w:t xml:space="preserve">/MWh at </w:t>
      </w:r>
      <w:r w:rsidR="008B167B" w:rsidRPr="00405CDE">
        <w:rPr>
          <w:rFonts w:eastAsia="Times New Roman" w:cs="Arial"/>
          <w:bCs/>
          <w:lang w:eastAsia="en-AU"/>
        </w:rPr>
        <w:t>8</w:t>
      </w:r>
      <w:r w:rsidRPr="00405CDE">
        <w:rPr>
          <w:rFonts w:eastAsia="Times New Roman" w:cs="Arial"/>
          <w:bCs/>
          <w:lang w:eastAsia="en-AU"/>
        </w:rPr>
        <w:t>.</w:t>
      </w:r>
      <w:r w:rsidR="008B167B" w:rsidRPr="00405CDE">
        <w:rPr>
          <w:rFonts w:eastAsia="Times New Roman" w:cs="Arial"/>
          <w:bCs/>
          <w:lang w:eastAsia="en-AU"/>
        </w:rPr>
        <w:t>5</w:t>
      </w:r>
      <w:r w:rsidRPr="00405CDE">
        <w:rPr>
          <w:rFonts w:eastAsia="Times New Roman" w:cs="Arial"/>
          <w:bCs/>
          <w:lang w:eastAsia="en-AU"/>
        </w:rPr>
        <w:t>5</w:t>
      </w:r>
      <w:r w:rsidR="00B0513C">
        <w:rPr>
          <w:rFonts w:eastAsia="Times New Roman" w:cs="Arial"/>
          <w:bCs/>
          <w:lang w:eastAsia="en-AU"/>
        </w:rPr>
        <w:t> </w:t>
      </w:r>
      <w:r w:rsidR="008B167B" w:rsidRPr="00405CDE">
        <w:rPr>
          <w:rFonts w:eastAsia="Times New Roman" w:cs="Arial"/>
          <w:bCs/>
          <w:lang w:eastAsia="en-AU"/>
        </w:rPr>
        <w:t>am</w:t>
      </w:r>
      <w:r w:rsidRPr="00405CDE">
        <w:rPr>
          <w:rFonts w:eastAsia="Times New Roman" w:cs="Arial"/>
          <w:bCs/>
          <w:lang w:eastAsia="en-AU"/>
        </w:rPr>
        <w:t xml:space="preserve">. Prices </w:t>
      </w:r>
      <w:r w:rsidR="00085ACC">
        <w:rPr>
          <w:rFonts w:eastAsia="Times New Roman" w:cs="Arial"/>
          <w:bCs/>
          <w:lang w:eastAsia="en-AU"/>
        </w:rPr>
        <w:t>reduced</w:t>
      </w:r>
      <w:r w:rsidRPr="00405CDE">
        <w:rPr>
          <w:rFonts w:eastAsia="Times New Roman" w:cs="Arial"/>
          <w:bCs/>
          <w:lang w:eastAsia="en-AU"/>
        </w:rPr>
        <w:t xml:space="preserve"> to $</w:t>
      </w:r>
      <w:r w:rsidR="008B167B" w:rsidRPr="00405CDE">
        <w:rPr>
          <w:rFonts w:eastAsia="Times New Roman" w:cs="Arial"/>
          <w:bCs/>
          <w:lang w:eastAsia="en-AU"/>
        </w:rPr>
        <w:t>64</w:t>
      </w:r>
      <w:r w:rsidRPr="00405CDE">
        <w:rPr>
          <w:rFonts w:eastAsia="Times New Roman" w:cs="Arial"/>
          <w:bCs/>
          <w:lang w:eastAsia="en-AU"/>
        </w:rPr>
        <w:t xml:space="preserve">/MWh </w:t>
      </w:r>
      <w:r w:rsidR="00B0513C">
        <w:rPr>
          <w:rFonts w:eastAsia="Times New Roman" w:cs="Arial"/>
          <w:bCs/>
          <w:lang w:eastAsia="en-AU"/>
        </w:rPr>
        <w:t>9 am</w:t>
      </w:r>
      <w:r w:rsidRPr="00405CDE">
        <w:rPr>
          <w:rFonts w:eastAsia="Times New Roman" w:cs="Arial"/>
          <w:bCs/>
          <w:lang w:eastAsia="en-AU"/>
        </w:rPr>
        <w:t>, when d</w:t>
      </w:r>
      <w:r w:rsidR="008B167B" w:rsidRPr="00405CDE">
        <w:rPr>
          <w:rFonts w:eastAsia="Times New Roman" w:cs="Arial"/>
          <w:bCs/>
          <w:lang w:eastAsia="en-AU"/>
        </w:rPr>
        <w:t xml:space="preserve">emand </w:t>
      </w:r>
      <w:r w:rsidR="00262C24" w:rsidRPr="00405CDE">
        <w:rPr>
          <w:rFonts w:eastAsia="Times New Roman" w:cs="Arial"/>
          <w:bCs/>
          <w:lang w:eastAsia="en-AU"/>
        </w:rPr>
        <w:t>reduced</w:t>
      </w:r>
      <w:r w:rsidR="008B167B" w:rsidRPr="00405CDE">
        <w:rPr>
          <w:rFonts w:eastAsia="Times New Roman" w:cs="Arial"/>
          <w:bCs/>
          <w:lang w:eastAsia="en-AU"/>
        </w:rPr>
        <w:t xml:space="preserve"> by </w:t>
      </w:r>
      <w:r w:rsidR="00085ACC" w:rsidRPr="00405CDE">
        <w:rPr>
          <w:rFonts w:eastAsia="Times New Roman" w:cs="Arial"/>
          <w:bCs/>
          <w:lang w:eastAsia="en-AU"/>
        </w:rPr>
        <w:t>142</w:t>
      </w:r>
      <w:r w:rsidR="00085ACC">
        <w:rPr>
          <w:rFonts w:eastAsia="Times New Roman" w:cs="Arial"/>
          <w:bCs/>
          <w:lang w:eastAsia="en-AU"/>
        </w:rPr>
        <w:t> </w:t>
      </w:r>
      <w:r w:rsidRPr="00405CDE">
        <w:rPr>
          <w:rFonts w:eastAsia="Times New Roman" w:cs="Arial"/>
          <w:bCs/>
          <w:lang w:eastAsia="en-AU"/>
        </w:rPr>
        <w:t>MW</w:t>
      </w:r>
      <w:r w:rsidR="008B167B" w:rsidRPr="00405CDE">
        <w:rPr>
          <w:rFonts w:eastAsia="Times New Roman" w:cs="Arial"/>
          <w:bCs/>
          <w:lang w:eastAsia="en-AU"/>
        </w:rPr>
        <w:t>.</w:t>
      </w:r>
    </w:p>
    <w:p w:rsidR="00C30BBE" w:rsidRPr="00002B2F" w:rsidRDefault="00C30BBE" w:rsidP="002E506D">
      <w:pPr>
        <w:pStyle w:val="AERHeading3"/>
      </w:pPr>
      <w:r w:rsidRPr="00002B2F">
        <w:t xml:space="preserve">Wednesday, 29 April </w:t>
      </w:r>
    </w:p>
    <w:p w:rsidR="002E506D" w:rsidRDefault="002E506D" w:rsidP="002E506D">
      <w:pPr>
        <w:pStyle w:val="Caption"/>
      </w:pPr>
      <w:r>
        <w:t xml:space="preserve">Table </w:t>
      </w:r>
      <w:r w:rsidR="00DF4596">
        <w:fldChar w:fldCharType="begin"/>
      </w:r>
      <w:r w:rsidR="00DF4596">
        <w:instrText xml:space="preserve"> SEQ Table \* ARABIC </w:instrText>
      </w:r>
      <w:r w:rsidR="00DF4596">
        <w:fldChar w:fldCharType="separate"/>
      </w:r>
      <w:r w:rsidR="00066FEF">
        <w:rPr>
          <w:noProof/>
        </w:rPr>
        <w:t>6</w:t>
      </w:r>
      <w:r w:rsidR="00DF4596">
        <w:rPr>
          <w:noProof/>
        </w:rPr>
        <w:fldChar w:fldCharType="end"/>
      </w:r>
      <w:r w:rsidRPr="008746EE">
        <w:t>:</w:t>
      </w:r>
      <w:r>
        <w:t xml:space="preserve"> Price, Demand and Availability</w:t>
      </w:r>
    </w:p>
    <w:tbl>
      <w:tblPr>
        <w:tblStyle w:val="AERTable-Text"/>
        <w:tblW w:w="5000" w:type="pct"/>
        <w:tblLook w:val="04A0" w:firstRow="1" w:lastRow="0" w:firstColumn="1" w:lastColumn="0" w:noHBand="0" w:noVBand="1"/>
      </w:tblPr>
      <w:tblGrid>
        <w:gridCol w:w="992"/>
        <w:gridCol w:w="955"/>
        <w:gridCol w:w="919"/>
        <w:gridCol w:w="922"/>
        <w:gridCol w:w="887"/>
        <w:gridCol w:w="921"/>
        <w:gridCol w:w="921"/>
        <w:gridCol w:w="887"/>
        <w:gridCol w:w="921"/>
        <w:gridCol w:w="917"/>
      </w:tblGrid>
      <w:tr w:rsidR="00C30BBE" w:rsidRPr="00405CDE" w:rsidTr="00693340">
        <w:trPr>
          <w:cnfStyle w:val="100000000000" w:firstRow="1" w:lastRow="0" w:firstColumn="0" w:lastColumn="0" w:oddVBand="0" w:evenVBand="0" w:oddHBand="0" w:evenHBand="0" w:firstRowFirstColumn="0" w:firstRowLastColumn="0" w:lastRowFirstColumn="0" w:lastRowLastColumn="0"/>
          <w:tblHeader/>
        </w:trPr>
        <w:tc>
          <w:tcPr>
            <w:tcW w:w="537" w:type="pct"/>
            <w:tcBorders>
              <w:bottom w:val="nil"/>
            </w:tcBorders>
            <w:hideMark/>
          </w:tcPr>
          <w:p w:rsidR="00C30BBE" w:rsidRPr="00405CDE" w:rsidRDefault="00C30BBE" w:rsidP="003C7EFA">
            <w:pPr>
              <w:pStyle w:val="TableHeading"/>
              <w:jc w:val="center"/>
              <w:rPr>
                <w:rFonts w:cs="Arial"/>
              </w:rPr>
            </w:pPr>
            <w:r w:rsidRPr="00405CDE">
              <w:rPr>
                <w:rFonts w:cs="Arial"/>
              </w:rPr>
              <w:t xml:space="preserve">Time </w:t>
            </w:r>
          </w:p>
        </w:tc>
        <w:tc>
          <w:tcPr>
            <w:tcW w:w="1513" w:type="pct"/>
            <w:gridSpan w:val="3"/>
            <w:tcBorders>
              <w:bottom w:val="nil"/>
            </w:tcBorders>
            <w:hideMark/>
          </w:tcPr>
          <w:p w:rsidR="00C30BBE" w:rsidRPr="00405CDE" w:rsidRDefault="00C30BBE" w:rsidP="003C7EFA">
            <w:pPr>
              <w:pStyle w:val="TableHeading"/>
              <w:jc w:val="center"/>
              <w:rPr>
                <w:rFonts w:cs="Arial"/>
              </w:rPr>
            </w:pPr>
            <w:r w:rsidRPr="00405CDE">
              <w:rPr>
                <w:rFonts w:cs="Arial"/>
              </w:rPr>
              <w:t>Price ($/MWh)</w:t>
            </w:r>
          </w:p>
        </w:tc>
        <w:tc>
          <w:tcPr>
            <w:tcW w:w="1476" w:type="pct"/>
            <w:gridSpan w:val="3"/>
            <w:tcBorders>
              <w:bottom w:val="nil"/>
            </w:tcBorders>
            <w:hideMark/>
          </w:tcPr>
          <w:p w:rsidR="00C30BBE" w:rsidRPr="00405CDE" w:rsidRDefault="00C30BBE" w:rsidP="003C7EFA">
            <w:pPr>
              <w:pStyle w:val="TableHeading"/>
              <w:jc w:val="center"/>
              <w:rPr>
                <w:rFonts w:cs="Arial"/>
              </w:rPr>
            </w:pPr>
            <w:r w:rsidRPr="00405CDE">
              <w:rPr>
                <w:rFonts w:cs="Arial"/>
              </w:rPr>
              <w:t>Demand (MW)</w:t>
            </w:r>
          </w:p>
        </w:tc>
        <w:tc>
          <w:tcPr>
            <w:tcW w:w="1474" w:type="pct"/>
            <w:gridSpan w:val="3"/>
            <w:tcBorders>
              <w:bottom w:val="nil"/>
            </w:tcBorders>
            <w:hideMark/>
          </w:tcPr>
          <w:p w:rsidR="00C30BBE" w:rsidRPr="00405CDE" w:rsidRDefault="00C30BBE" w:rsidP="003C7EFA">
            <w:pPr>
              <w:pStyle w:val="TableHeading"/>
              <w:jc w:val="center"/>
              <w:rPr>
                <w:rFonts w:cs="Arial"/>
              </w:rPr>
            </w:pPr>
            <w:r w:rsidRPr="00405CDE">
              <w:rPr>
                <w:rFonts w:cs="Arial"/>
              </w:rPr>
              <w:t>Availability (MW)</w:t>
            </w:r>
          </w:p>
        </w:tc>
      </w:tr>
      <w:tr w:rsidR="00C30BBE" w:rsidRPr="00405CDE" w:rsidTr="002E506D">
        <w:trPr>
          <w:cnfStyle w:val="100000000000" w:firstRow="1" w:lastRow="0" w:firstColumn="0" w:lastColumn="0" w:oddVBand="0" w:evenVBand="0" w:oddHBand="0" w:evenHBand="0" w:firstRowFirstColumn="0" w:firstRowLastColumn="0" w:lastRowFirstColumn="0" w:lastRowLastColumn="0"/>
          <w:tblHeader/>
        </w:trPr>
        <w:tc>
          <w:tcPr>
            <w:tcW w:w="53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 </w:t>
            </w:r>
          </w:p>
        </w:tc>
        <w:tc>
          <w:tcPr>
            <w:tcW w:w="51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4 hr forecast</w:t>
            </w:r>
          </w:p>
        </w:tc>
        <w:tc>
          <w:tcPr>
            <w:tcW w:w="499"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Actual</w:t>
            </w:r>
          </w:p>
        </w:tc>
        <w:tc>
          <w:tcPr>
            <w:tcW w:w="498"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4 hr forecast</w:t>
            </w:r>
          </w:p>
        </w:tc>
        <w:tc>
          <w:tcPr>
            <w:tcW w:w="498"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Actual</w:t>
            </w:r>
          </w:p>
        </w:tc>
        <w:tc>
          <w:tcPr>
            <w:tcW w:w="498"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4 hr forecast</w:t>
            </w:r>
          </w:p>
        </w:tc>
        <w:tc>
          <w:tcPr>
            <w:tcW w:w="496" w:type="pct"/>
            <w:tcBorders>
              <w:bottom w:val="nil"/>
            </w:tcBorders>
            <w:shd w:val="clear" w:color="auto" w:fill="007192" w:themeFill="accent3" w:themeFillShade="BF"/>
            <w:hideMark/>
          </w:tcPr>
          <w:p w:rsidR="00C30BBE" w:rsidRPr="00405CDE" w:rsidRDefault="00C30BBE" w:rsidP="003C7EFA">
            <w:pPr>
              <w:pStyle w:val="tableheadingline2"/>
              <w:rPr>
                <w:rFonts w:cs="Arial"/>
              </w:rPr>
            </w:pPr>
            <w:r w:rsidRPr="00405CDE">
              <w:rPr>
                <w:rFonts w:cs="Arial"/>
              </w:rPr>
              <w:t>12 hr forecast</w:t>
            </w:r>
          </w:p>
        </w:tc>
      </w:tr>
      <w:tr w:rsidR="00C30BBE" w:rsidRPr="00405CDE" w:rsidTr="002E506D">
        <w:trPr>
          <w:trHeight w:val="510"/>
        </w:trPr>
        <w:tc>
          <w:tcPr>
            <w:tcW w:w="537" w:type="pct"/>
            <w:tcBorders>
              <w:top w:val="nil"/>
              <w:bottom w:val="nil"/>
            </w:tcBorders>
          </w:tcPr>
          <w:p w:rsidR="00C30BBE" w:rsidRPr="00405CDE" w:rsidRDefault="00C30BBE">
            <w:pPr>
              <w:rPr>
                <w:rFonts w:cs="Arial"/>
              </w:rPr>
            </w:pPr>
            <w:r w:rsidRPr="00405CDE">
              <w:rPr>
                <w:rFonts w:cs="Arial"/>
              </w:rPr>
              <w:t>9 AM</w:t>
            </w:r>
          </w:p>
        </w:tc>
        <w:tc>
          <w:tcPr>
            <w:tcW w:w="517" w:type="pct"/>
            <w:tcBorders>
              <w:top w:val="nil"/>
              <w:bottom w:val="nil"/>
            </w:tcBorders>
          </w:tcPr>
          <w:p w:rsidR="00C30BBE" w:rsidRPr="00405CDE" w:rsidRDefault="00C30BBE" w:rsidP="002E506D">
            <w:pPr>
              <w:spacing w:line="240" w:lineRule="auto"/>
              <w:jc w:val="center"/>
              <w:rPr>
                <w:rFonts w:cs="Arial"/>
              </w:rPr>
            </w:pPr>
            <w:r w:rsidRPr="00405CDE">
              <w:rPr>
                <w:rFonts w:cs="Arial"/>
              </w:rPr>
              <w:t>502.77</w:t>
            </w:r>
          </w:p>
        </w:tc>
        <w:tc>
          <w:tcPr>
            <w:tcW w:w="497" w:type="pct"/>
            <w:tcBorders>
              <w:top w:val="nil"/>
              <w:bottom w:val="nil"/>
            </w:tcBorders>
          </w:tcPr>
          <w:p w:rsidR="00C30BBE" w:rsidRPr="00405CDE" w:rsidRDefault="00C30BBE" w:rsidP="002E506D">
            <w:pPr>
              <w:spacing w:line="240" w:lineRule="auto"/>
              <w:jc w:val="center"/>
              <w:rPr>
                <w:rFonts w:cs="Arial"/>
              </w:rPr>
            </w:pPr>
            <w:r w:rsidRPr="00405CDE">
              <w:rPr>
                <w:rFonts w:cs="Arial"/>
              </w:rPr>
              <w:t>199.95</w:t>
            </w:r>
          </w:p>
        </w:tc>
        <w:tc>
          <w:tcPr>
            <w:tcW w:w="499" w:type="pct"/>
            <w:tcBorders>
              <w:top w:val="nil"/>
              <w:bottom w:val="nil"/>
            </w:tcBorders>
          </w:tcPr>
          <w:p w:rsidR="00C30BBE" w:rsidRPr="00405CDE" w:rsidRDefault="00C30BBE" w:rsidP="002E506D">
            <w:pPr>
              <w:spacing w:line="240" w:lineRule="auto"/>
              <w:jc w:val="center"/>
              <w:rPr>
                <w:rFonts w:cs="Arial"/>
              </w:rPr>
            </w:pPr>
            <w:r w:rsidRPr="00405CDE">
              <w:rPr>
                <w:rFonts w:cs="Arial"/>
              </w:rPr>
              <w:t>589.20</w:t>
            </w:r>
          </w:p>
        </w:tc>
        <w:tc>
          <w:tcPr>
            <w:tcW w:w="480" w:type="pct"/>
            <w:tcBorders>
              <w:top w:val="nil"/>
              <w:bottom w:val="nil"/>
            </w:tcBorders>
          </w:tcPr>
          <w:p w:rsidR="00C30BBE" w:rsidRPr="00405CDE" w:rsidRDefault="00C30BBE" w:rsidP="002E506D">
            <w:pPr>
              <w:spacing w:line="240" w:lineRule="auto"/>
              <w:jc w:val="center"/>
              <w:rPr>
                <w:rFonts w:cs="Arial"/>
              </w:rPr>
            </w:pPr>
            <w:r w:rsidRPr="00405CDE">
              <w:rPr>
                <w:rFonts w:cs="Arial"/>
              </w:rPr>
              <w:t>1548</w:t>
            </w:r>
          </w:p>
        </w:tc>
        <w:tc>
          <w:tcPr>
            <w:tcW w:w="498" w:type="pct"/>
            <w:tcBorders>
              <w:top w:val="nil"/>
              <w:bottom w:val="nil"/>
            </w:tcBorders>
          </w:tcPr>
          <w:p w:rsidR="00C30BBE" w:rsidRPr="00405CDE" w:rsidRDefault="00C30BBE" w:rsidP="002E506D">
            <w:pPr>
              <w:spacing w:line="240" w:lineRule="auto"/>
              <w:jc w:val="center"/>
              <w:rPr>
                <w:rFonts w:cs="Arial"/>
              </w:rPr>
            </w:pPr>
            <w:r w:rsidRPr="00405CDE">
              <w:rPr>
                <w:rFonts w:cs="Arial"/>
              </w:rPr>
              <w:t>1554</w:t>
            </w:r>
          </w:p>
        </w:tc>
        <w:tc>
          <w:tcPr>
            <w:tcW w:w="498" w:type="pct"/>
            <w:tcBorders>
              <w:top w:val="nil"/>
              <w:bottom w:val="nil"/>
            </w:tcBorders>
          </w:tcPr>
          <w:p w:rsidR="00C30BBE" w:rsidRPr="00405CDE" w:rsidRDefault="00C30BBE" w:rsidP="002E506D">
            <w:pPr>
              <w:spacing w:line="240" w:lineRule="auto"/>
              <w:jc w:val="center"/>
              <w:rPr>
                <w:rFonts w:cs="Arial"/>
              </w:rPr>
            </w:pPr>
            <w:r w:rsidRPr="00405CDE">
              <w:rPr>
                <w:rFonts w:cs="Arial"/>
              </w:rPr>
              <w:t>1625</w:t>
            </w:r>
          </w:p>
        </w:tc>
        <w:tc>
          <w:tcPr>
            <w:tcW w:w="480" w:type="pct"/>
            <w:tcBorders>
              <w:top w:val="nil"/>
              <w:bottom w:val="nil"/>
            </w:tcBorders>
          </w:tcPr>
          <w:p w:rsidR="00C30BBE" w:rsidRPr="00405CDE" w:rsidRDefault="00C30BBE" w:rsidP="002E506D">
            <w:pPr>
              <w:spacing w:line="240" w:lineRule="auto"/>
              <w:jc w:val="center"/>
              <w:rPr>
                <w:rFonts w:cs="Arial"/>
              </w:rPr>
            </w:pPr>
            <w:r w:rsidRPr="00405CDE">
              <w:rPr>
                <w:rFonts w:cs="Arial"/>
              </w:rPr>
              <w:t>1910</w:t>
            </w:r>
          </w:p>
        </w:tc>
        <w:tc>
          <w:tcPr>
            <w:tcW w:w="498" w:type="pct"/>
            <w:tcBorders>
              <w:top w:val="nil"/>
              <w:bottom w:val="nil"/>
            </w:tcBorders>
          </w:tcPr>
          <w:p w:rsidR="00C30BBE" w:rsidRPr="00405CDE" w:rsidRDefault="00C30BBE" w:rsidP="002E506D">
            <w:pPr>
              <w:spacing w:line="240" w:lineRule="auto"/>
              <w:jc w:val="center"/>
              <w:rPr>
                <w:rFonts w:cs="Arial"/>
              </w:rPr>
            </w:pPr>
            <w:r w:rsidRPr="00405CDE">
              <w:rPr>
                <w:rFonts w:cs="Arial"/>
              </w:rPr>
              <w:t>1949</w:t>
            </w:r>
          </w:p>
        </w:tc>
        <w:tc>
          <w:tcPr>
            <w:tcW w:w="496" w:type="pct"/>
            <w:tcBorders>
              <w:top w:val="nil"/>
              <w:bottom w:val="nil"/>
            </w:tcBorders>
          </w:tcPr>
          <w:p w:rsidR="00C30BBE" w:rsidRPr="00405CDE" w:rsidRDefault="00C30BBE" w:rsidP="002E506D">
            <w:pPr>
              <w:spacing w:line="240" w:lineRule="auto"/>
              <w:jc w:val="center"/>
              <w:rPr>
                <w:rFonts w:cs="Arial"/>
              </w:rPr>
            </w:pPr>
            <w:r w:rsidRPr="00405CDE">
              <w:rPr>
                <w:rFonts w:cs="Arial"/>
              </w:rPr>
              <w:t>1968</w:t>
            </w:r>
          </w:p>
        </w:tc>
      </w:tr>
      <w:tr w:rsidR="00693340" w:rsidRPr="00693340" w:rsidTr="002E506D">
        <w:trPr>
          <w:cnfStyle w:val="000000010000" w:firstRow="0" w:lastRow="0" w:firstColumn="0" w:lastColumn="0" w:oddVBand="0" w:evenVBand="0" w:oddHBand="0" w:evenHBand="1" w:firstRowFirstColumn="0" w:firstRowLastColumn="0" w:lastRowFirstColumn="0" w:lastRowLastColumn="0"/>
        </w:trPr>
        <w:tc>
          <w:tcPr>
            <w:tcW w:w="537" w:type="pct"/>
            <w:hideMark/>
          </w:tcPr>
          <w:p w:rsidR="00693340" w:rsidRPr="00693340" w:rsidRDefault="00693340">
            <w:pPr>
              <w:rPr>
                <w:rFonts w:cs="Arial"/>
                <w:sz w:val="18"/>
              </w:rPr>
            </w:pPr>
            <w:r w:rsidRPr="00693340">
              <w:rPr>
                <w:rFonts w:cs="Arial"/>
                <w:sz w:val="18"/>
              </w:rPr>
              <w:t>3</w:t>
            </w:r>
            <w:r w:rsidR="00085ACC">
              <w:rPr>
                <w:rFonts w:cs="Arial"/>
                <w:sz w:val="18"/>
              </w:rPr>
              <w:t>.</w:t>
            </w:r>
            <w:r w:rsidRPr="00693340">
              <w:rPr>
                <w:rFonts w:cs="Arial"/>
                <w:sz w:val="18"/>
              </w:rPr>
              <w:t>30 PM</w:t>
            </w:r>
          </w:p>
        </w:tc>
        <w:tc>
          <w:tcPr>
            <w:tcW w:w="517" w:type="pct"/>
            <w:hideMark/>
          </w:tcPr>
          <w:p w:rsidR="00693340" w:rsidRPr="00693340" w:rsidRDefault="00693340" w:rsidP="002E506D">
            <w:pPr>
              <w:spacing w:line="240" w:lineRule="auto"/>
              <w:jc w:val="center"/>
              <w:rPr>
                <w:rFonts w:cs="Arial"/>
                <w:sz w:val="18"/>
              </w:rPr>
            </w:pPr>
            <w:r w:rsidRPr="00693340">
              <w:rPr>
                <w:rFonts w:cs="Arial"/>
                <w:sz w:val="18"/>
              </w:rPr>
              <w:t>566.66</w:t>
            </w:r>
          </w:p>
        </w:tc>
        <w:tc>
          <w:tcPr>
            <w:tcW w:w="497" w:type="pct"/>
            <w:hideMark/>
          </w:tcPr>
          <w:p w:rsidR="00693340" w:rsidRPr="00693340" w:rsidRDefault="00693340" w:rsidP="002E506D">
            <w:pPr>
              <w:spacing w:line="240" w:lineRule="auto"/>
              <w:jc w:val="center"/>
              <w:rPr>
                <w:rFonts w:cs="Arial"/>
                <w:sz w:val="18"/>
              </w:rPr>
            </w:pPr>
            <w:r w:rsidRPr="00693340">
              <w:rPr>
                <w:rFonts w:cs="Arial"/>
                <w:sz w:val="18"/>
              </w:rPr>
              <w:t>45.99</w:t>
            </w:r>
          </w:p>
        </w:tc>
        <w:tc>
          <w:tcPr>
            <w:tcW w:w="499" w:type="pct"/>
            <w:hideMark/>
          </w:tcPr>
          <w:p w:rsidR="00693340" w:rsidRPr="00693340" w:rsidRDefault="00693340" w:rsidP="002E506D">
            <w:pPr>
              <w:spacing w:line="240" w:lineRule="auto"/>
              <w:jc w:val="center"/>
              <w:rPr>
                <w:rFonts w:cs="Arial"/>
                <w:sz w:val="18"/>
              </w:rPr>
            </w:pPr>
            <w:r w:rsidRPr="00693340">
              <w:rPr>
                <w:rFonts w:cs="Arial"/>
                <w:sz w:val="18"/>
              </w:rPr>
              <w:t>45.99</w:t>
            </w:r>
          </w:p>
        </w:tc>
        <w:tc>
          <w:tcPr>
            <w:tcW w:w="480" w:type="pct"/>
            <w:hideMark/>
          </w:tcPr>
          <w:p w:rsidR="00693340" w:rsidRPr="00693340" w:rsidRDefault="00693340" w:rsidP="002E506D">
            <w:pPr>
              <w:spacing w:line="240" w:lineRule="auto"/>
              <w:jc w:val="center"/>
              <w:rPr>
                <w:rFonts w:cs="Arial"/>
                <w:sz w:val="18"/>
              </w:rPr>
            </w:pPr>
            <w:r w:rsidRPr="00693340">
              <w:rPr>
                <w:rFonts w:cs="Arial"/>
                <w:sz w:val="18"/>
              </w:rPr>
              <w:t>1370</w:t>
            </w:r>
          </w:p>
        </w:tc>
        <w:tc>
          <w:tcPr>
            <w:tcW w:w="498" w:type="pct"/>
            <w:hideMark/>
          </w:tcPr>
          <w:p w:rsidR="00693340" w:rsidRPr="00693340" w:rsidRDefault="00693340" w:rsidP="002E506D">
            <w:pPr>
              <w:spacing w:line="240" w:lineRule="auto"/>
              <w:jc w:val="center"/>
              <w:rPr>
                <w:rFonts w:cs="Arial"/>
                <w:sz w:val="18"/>
              </w:rPr>
            </w:pPr>
            <w:r w:rsidRPr="00693340">
              <w:rPr>
                <w:rFonts w:cs="Arial"/>
                <w:sz w:val="18"/>
              </w:rPr>
              <w:t>1336</w:t>
            </w:r>
          </w:p>
        </w:tc>
        <w:tc>
          <w:tcPr>
            <w:tcW w:w="498" w:type="pct"/>
            <w:hideMark/>
          </w:tcPr>
          <w:p w:rsidR="00693340" w:rsidRPr="00693340" w:rsidRDefault="00693340" w:rsidP="002E506D">
            <w:pPr>
              <w:spacing w:line="240" w:lineRule="auto"/>
              <w:jc w:val="center"/>
              <w:rPr>
                <w:rFonts w:cs="Arial"/>
                <w:sz w:val="18"/>
              </w:rPr>
            </w:pPr>
            <w:r w:rsidRPr="00693340">
              <w:rPr>
                <w:rFonts w:cs="Arial"/>
                <w:sz w:val="18"/>
              </w:rPr>
              <w:t>1331</w:t>
            </w:r>
          </w:p>
        </w:tc>
        <w:tc>
          <w:tcPr>
            <w:tcW w:w="480" w:type="pct"/>
            <w:hideMark/>
          </w:tcPr>
          <w:p w:rsidR="00693340" w:rsidRPr="00693340" w:rsidRDefault="00693340" w:rsidP="002E506D">
            <w:pPr>
              <w:spacing w:line="240" w:lineRule="auto"/>
              <w:jc w:val="center"/>
              <w:rPr>
                <w:rFonts w:cs="Arial"/>
                <w:sz w:val="18"/>
              </w:rPr>
            </w:pPr>
            <w:r w:rsidRPr="00693340">
              <w:rPr>
                <w:rFonts w:cs="Arial"/>
                <w:sz w:val="18"/>
              </w:rPr>
              <w:t>2039</w:t>
            </w:r>
          </w:p>
        </w:tc>
        <w:tc>
          <w:tcPr>
            <w:tcW w:w="498" w:type="pct"/>
            <w:hideMark/>
          </w:tcPr>
          <w:p w:rsidR="00693340" w:rsidRPr="00693340" w:rsidRDefault="00693340" w:rsidP="002E506D">
            <w:pPr>
              <w:spacing w:line="240" w:lineRule="auto"/>
              <w:jc w:val="center"/>
              <w:rPr>
                <w:rFonts w:cs="Arial"/>
                <w:sz w:val="18"/>
              </w:rPr>
            </w:pPr>
            <w:r w:rsidRPr="00693340">
              <w:rPr>
                <w:rFonts w:cs="Arial"/>
                <w:sz w:val="18"/>
              </w:rPr>
              <w:t>2043</w:t>
            </w:r>
          </w:p>
        </w:tc>
        <w:tc>
          <w:tcPr>
            <w:tcW w:w="496" w:type="pct"/>
            <w:hideMark/>
          </w:tcPr>
          <w:p w:rsidR="00693340" w:rsidRPr="00693340" w:rsidRDefault="00693340" w:rsidP="002E506D">
            <w:pPr>
              <w:spacing w:line="240" w:lineRule="auto"/>
              <w:jc w:val="center"/>
              <w:rPr>
                <w:rFonts w:cs="Arial"/>
                <w:sz w:val="18"/>
              </w:rPr>
            </w:pPr>
            <w:r w:rsidRPr="00693340">
              <w:rPr>
                <w:rFonts w:cs="Arial"/>
                <w:sz w:val="18"/>
              </w:rPr>
              <w:t>2105</w:t>
            </w:r>
          </w:p>
        </w:tc>
      </w:tr>
    </w:tbl>
    <w:p w:rsidR="00262C24" w:rsidRPr="00405CDE" w:rsidRDefault="00BA7482" w:rsidP="00C30BBE">
      <w:pPr>
        <w:spacing w:before="100" w:beforeAutospacing="1" w:after="100" w:afterAutospacing="1" w:line="288" w:lineRule="auto"/>
        <w:rPr>
          <w:rFonts w:eastAsia="Times New Roman" w:cs="Arial"/>
          <w:bCs/>
          <w:lang w:eastAsia="en-AU"/>
        </w:rPr>
      </w:pPr>
      <w:r w:rsidRPr="00405CDE">
        <w:rPr>
          <w:rFonts w:eastAsia="Times New Roman" w:cs="Arial"/>
          <w:bCs/>
          <w:lang w:eastAsia="en-AU"/>
        </w:rPr>
        <w:t xml:space="preserve">Demand and availability were close to </w:t>
      </w:r>
      <w:r w:rsidR="00085ACC">
        <w:rPr>
          <w:rFonts w:eastAsia="Times New Roman" w:cs="Arial"/>
          <w:bCs/>
          <w:lang w:eastAsia="en-AU"/>
        </w:rPr>
        <w:t xml:space="preserve">forecast four </w:t>
      </w:r>
      <w:r w:rsidR="00FA1A76" w:rsidRPr="00405CDE">
        <w:rPr>
          <w:rFonts w:eastAsia="Times New Roman" w:cs="Arial"/>
          <w:bCs/>
          <w:lang w:eastAsia="en-AU"/>
        </w:rPr>
        <w:t>hour</w:t>
      </w:r>
      <w:r w:rsidR="00085ACC">
        <w:rPr>
          <w:rFonts w:eastAsia="Times New Roman" w:cs="Arial"/>
          <w:bCs/>
          <w:lang w:eastAsia="en-AU"/>
        </w:rPr>
        <w:t>s</w:t>
      </w:r>
      <w:r w:rsidR="00FA1A76" w:rsidRPr="00405CDE">
        <w:rPr>
          <w:rFonts w:eastAsia="Times New Roman" w:cs="Arial"/>
          <w:bCs/>
          <w:lang w:eastAsia="en-AU"/>
        </w:rPr>
        <w:t xml:space="preserve"> ahead</w:t>
      </w:r>
      <w:r w:rsidR="00085ACC">
        <w:rPr>
          <w:rFonts w:eastAsia="Times New Roman" w:cs="Arial"/>
          <w:bCs/>
          <w:lang w:eastAsia="en-AU"/>
        </w:rPr>
        <w:t>.</w:t>
      </w:r>
    </w:p>
    <w:p w:rsidR="00693340" w:rsidRPr="002E506D" w:rsidRDefault="00693340" w:rsidP="002E506D">
      <w:pPr>
        <w:pStyle w:val="AERHeading3"/>
      </w:pPr>
      <w:r w:rsidRPr="002E506D">
        <w:t xml:space="preserve">9 am Trading Interval </w:t>
      </w:r>
    </w:p>
    <w:p w:rsidR="00753ADA" w:rsidRPr="00405CDE" w:rsidRDefault="00FA1A76" w:rsidP="002E506D">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 xml:space="preserve">During the 9 am trading interval </w:t>
      </w:r>
      <w:r w:rsidR="00753ADA" w:rsidRPr="00405CDE">
        <w:rPr>
          <w:rFonts w:eastAsia="Times New Roman" w:cs="Arial"/>
          <w:bCs/>
          <w:lang w:eastAsia="en-AU"/>
        </w:rPr>
        <w:t xml:space="preserve">Murraylink </w:t>
      </w:r>
      <w:r w:rsidRPr="00405CDE">
        <w:rPr>
          <w:rFonts w:eastAsia="Times New Roman" w:cs="Arial"/>
          <w:bCs/>
          <w:lang w:eastAsia="en-AU"/>
        </w:rPr>
        <w:t>imported less than</w:t>
      </w:r>
      <w:r w:rsidR="00693340">
        <w:rPr>
          <w:rFonts w:eastAsia="Times New Roman" w:cs="Arial"/>
          <w:bCs/>
          <w:lang w:eastAsia="en-AU"/>
        </w:rPr>
        <w:t xml:space="preserve"> </w:t>
      </w:r>
      <w:r w:rsidR="00753ADA" w:rsidRPr="00405CDE">
        <w:rPr>
          <w:rFonts w:eastAsia="Times New Roman" w:cs="Arial"/>
          <w:bCs/>
          <w:lang w:eastAsia="en-AU"/>
        </w:rPr>
        <w:t>10</w:t>
      </w:r>
      <w:r w:rsidRPr="00405CDE">
        <w:rPr>
          <w:rFonts w:eastAsia="Times New Roman" w:cs="Arial"/>
          <w:bCs/>
          <w:lang w:eastAsia="en-AU"/>
        </w:rPr>
        <w:t xml:space="preserve"> </w:t>
      </w:r>
      <w:r w:rsidR="00753ADA" w:rsidRPr="00405CDE">
        <w:rPr>
          <w:rFonts w:eastAsia="Times New Roman" w:cs="Arial"/>
          <w:bCs/>
          <w:lang w:eastAsia="en-AU"/>
        </w:rPr>
        <w:t xml:space="preserve">MW </w:t>
      </w:r>
      <w:r w:rsidR="00772A95" w:rsidRPr="00405CDE">
        <w:rPr>
          <w:rFonts w:eastAsia="Times New Roman" w:cs="Arial"/>
          <w:bCs/>
          <w:lang w:eastAsia="en-AU"/>
        </w:rPr>
        <w:t>due to an outage constraint which avoids overloading the Buronga to Red</w:t>
      </w:r>
      <w:r w:rsidR="00066FEF">
        <w:rPr>
          <w:rFonts w:eastAsia="Times New Roman" w:cs="Arial"/>
          <w:bCs/>
          <w:lang w:eastAsia="en-AU"/>
        </w:rPr>
        <w:t xml:space="preserve"> </w:t>
      </w:r>
      <w:r w:rsidR="00066FEF" w:rsidRPr="00405CDE">
        <w:rPr>
          <w:rFonts w:eastAsia="Times New Roman" w:cs="Arial"/>
          <w:bCs/>
          <w:lang w:eastAsia="en-AU"/>
        </w:rPr>
        <w:t xml:space="preserve">Cliffs </w:t>
      </w:r>
      <w:r w:rsidR="00772A95" w:rsidRPr="00405CDE">
        <w:rPr>
          <w:rFonts w:eastAsia="Times New Roman" w:cs="Arial"/>
          <w:bCs/>
          <w:lang w:eastAsia="en-AU"/>
        </w:rPr>
        <w:t>220 kV line during the planned outage of the Ballarat to Horsham 220kV line</w:t>
      </w:r>
      <w:r w:rsidR="00753ADA" w:rsidRPr="00405CDE">
        <w:rPr>
          <w:rFonts w:eastAsia="Times New Roman" w:cs="Arial"/>
          <w:bCs/>
          <w:lang w:eastAsia="en-AU"/>
        </w:rPr>
        <w:t xml:space="preserve">. </w:t>
      </w:r>
    </w:p>
    <w:p w:rsidR="00645D73" w:rsidRDefault="00645D73">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In preparation for a planned outage of the Keith-Tailem Bend no 1 132 kV transmission line, a ramping constraint applied during much of the 9</w:t>
      </w:r>
      <w:r>
        <w:rPr>
          <w:rFonts w:eastAsia="Times New Roman" w:cs="Arial"/>
          <w:bCs/>
          <w:lang w:eastAsia="en-AU"/>
        </w:rPr>
        <w:t> </w:t>
      </w:r>
      <w:r w:rsidRPr="00405CDE">
        <w:rPr>
          <w:rFonts w:eastAsia="Times New Roman" w:cs="Arial"/>
          <w:bCs/>
          <w:lang w:eastAsia="en-AU"/>
        </w:rPr>
        <w:t xml:space="preserve">am trading interval. This </w:t>
      </w:r>
      <w:r>
        <w:rPr>
          <w:rFonts w:eastAsia="Times New Roman" w:cs="Arial"/>
          <w:bCs/>
          <w:lang w:eastAsia="en-AU"/>
        </w:rPr>
        <w:t>constraint reduced generation in the South East of South Australia</w:t>
      </w:r>
      <w:r w:rsidRPr="00405CDE">
        <w:rPr>
          <w:rFonts w:eastAsia="Times New Roman" w:cs="Arial"/>
          <w:bCs/>
          <w:lang w:eastAsia="en-AU"/>
        </w:rPr>
        <w:t xml:space="preserve"> </w:t>
      </w:r>
      <w:r>
        <w:rPr>
          <w:rFonts w:eastAsia="Times New Roman" w:cs="Arial"/>
          <w:bCs/>
          <w:lang w:eastAsia="en-AU"/>
        </w:rPr>
        <w:t>and reduced imports into South Australia across Heywood interconnector to 399 MW at 8.45 am.</w:t>
      </w:r>
      <w:r w:rsidRPr="00405CDE">
        <w:rPr>
          <w:rFonts w:eastAsia="Times New Roman" w:cs="Arial"/>
          <w:bCs/>
          <w:lang w:eastAsia="en-AU"/>
        </w:rPr>
        <w:t xml:space="preserve"> </w:t>
      </w:r>
    </w:p>
    <w:p w:rsidR="00066FEF" w:rsidRDefault="00066FEF" w:rsidP="00066FEF">
      <w:pPr>
        <w:pStyle w:val="Caption"/>
      </w:pPr>
      <w:r>
        <w:t xml:space="preserve">Table </w:t>
      </w:r>
      <w:r w:rsidR="00DF4596">
        <w:fldChar w:fldCharType="begin"/>
      </w:r>
      <w:r w:rsidR="00DF4596">
        <w:instrText xml:space="preserve"> SEQ Ta</w:instrText>
      </w:r>
      <w:r w:rsidR="00DF4596">
        <w:instrText xml:space="preserve">ble \* ARABIC </w:instrText>
      </w:r>
      <w:r w:rsidR="00DF4596">
        <w:fldChar w:fldCharType="separate"/>
      </w:r>
      <w:r>
        <w:rPr>
          <w:noProof/>
        </w:rPr>
        <w:t>7</w:t>
      </w:r>
      <w:r w:rsidR="00DF4596">
        <w:rPr>
          <w:noProof/>
        </w:rPr>
        <w:fldChar w:fldCharType="end"/>
      </w:r>
      <w:r w:rsidRPr="005462E4">
        <w:t>: Rebids for 9 am</w:t>
      </w:r>
    </w:p>
    <w:tbl>
      <w:tblPr>
        <w:tblStyle w:val="AERTable-Text"/>
        <w:tblW w:w="9039" w:type="dxa"/>
        <w:tblLayout w:type="fixed"/>
        <w:tblLook w:val="04A0" w:firstRow="1" w:lastRow="0" w:firstColumn="1" w:lastColumn="0" w:noHBand="0" w:noVBand="1"/>
      </w:tblPr>
      <w:tblGrid>
        <w:gridCol w:w="1384"/>
        <w:gridCol w:w="936"/>
        <w:gridCol w:w="1022"/>
        <w:gridCol w:w="994"/>
        <w:gridCol w:w="952"/>
        <w:gridCol w:w="916"/>
        <w:gridCol w:w="2835"/>
      </w:tblGrid>
      <w:tr w:rsidR="00645D73" w:rsidRPr="00405CDE" w:rsidTr="00066FEF">
        <w:trPr>
          <w:cnfStyle w:val="100000000000" w:firstRow="1" w:lastRow="0" w:firstColumn="0" w:lastColumn="0" w:oddVBand="0" w:evenVBand="0" w:oddHBand="0" w:evenHBand="0" w:firstRowFirstColumn="0" w:firstRowLastColumn="0" w:lastRowFirstColumn="0" w:lastRowLastColumn="0"/>
          <w:trHeight w:val="780"/>
          <w:tblHeader/>
        </w:trPr>
        <w:tc>
          <w:tcPr>
            <w:tcW w:w="1384" w:type="dxa"/>
            <w:hideMark/>
          </w:tcPr>
          <w:p w:rsidR="00753ADA" w:rsidRPr="00405CDE" w:rsidRDefault="00753ADA" w:rsidP="00C4709E">
            <w:pPr>
              <w:pStyle w:val="TableHeading"/>
              <w:jc w:val="center"/>
              <w:rPr>
                <w:rFonts w:cs="Arial"/>
              </w:rPr>
            </w:pPr>
            <w:r w:rsidRPr="00405CDE">
              <w:rPr>
                <w:rFonts w:cs="Arial"/>
              </w:rPr>
              <w:t>Submit Time</w:t>
            </w:r>
          </w:p>
        </w:tc>
        <w:tc>
          <w:tcPr>
            <w:tcW w:w="936" w:type="dxa"/>
            <w:hideMark/>
          </w:tcPr>
          <w:p w:rsidR="00753ADA" w:rsidRPr="00405CDE" w:rsidRDefault="00753ADA" w:rsidP="00C4709E">
            <w:pPr>
              <w:pStyle w:val="TableHeading"/>
              <w:jc w:val="center"/>
              <w:rPr>
                <w:rFonts w:cs="Arial"/>
              </w:rPr>
            </w:pPr>
            <w:r w:rsidRPr="00405CDE">
              <w:rPr>
                <w:rFonts w:cs="Arial"/>
              </w:rPr>
              <w:t>Participant</w:t>
            </w:r>
          </w:p>
        </w:tc>
        <w:tc>
          <w:tcPr>
            <w:tcW w:w="1022" w:type="dxa"/>
            <w:hideMark/>
          </w:tcPr>
          <w:p w:rsidR="00753ADA" w:rsidRPr="00405CDE" w:rsidRDefault="00753ADA" w:rsidP="00C4709E">
            <w:pPr>
              <w:pStyle w:val="TableHeading"/>
              <w:jc w:val="center"/>
              <w:rPr>
                <w:rFonts w:cs="Arial"/>
              </w:rPr>
            </w:pPr>
            <w:r w:rsidRPr="00405CDE">
              <w:rPr>
                <w:rFonts w:cs="Arial"/>
              </w:rPr>
              <w:t>Station</w:t>
            </w:r>
          </w:p>
        </w:tc>
        <w:tc>
          <w:tcPr>
            <w:tcW w:w="994" w:type="dxa"/>
            <w:hideMark/>
          </w:tcPr>
          <w:p w:rsidR="00753ADA" w:rsidRPr="00405CDE" w:rsidRDefault="00753ADA" w:rsidP="00C4709E">
            <w:pPr>
              <w:pStyle w:val="TableHeading"/>
              <w:jc w:val="center"/>
              <w:rPr>
                <w:rFonts w:cs="Arial"/>
              </w:rPr>
            </w:pPr>
            <w:r w:rsidRPr="00405CDE">
              <w:rPr>
                <w:rFonts w:cs="Arial"/>
              </w:rPr>
              <w:t>Capacity rebid (MW)</w:t>
            </w:r>
          </w:p>
        </w:tc>
        <w:tc>
          <w:tcPr>
            <w:tcW w:w="952" w:type="dxa"/>
            <w:hideMark/>
          </w:tcPr>
          <w:p w:rsidR="00753ADA" w:rsidRPr="00405CDE" w:rsidRDefault="00753ADA" w:rsidP="00C4709E">
            <w:pPr>
              <w:pStyle w:val="TableHeading"/>
              <w:jc w:val="center"/>
              <w:rPr>
                <w:rFonts w:cs="Arial"/>
              </w:rPr>
            </w:pPr>
            <w:r w:rsidRPr="00405CDE">
              <w:rPr>
                <w:rFonts w:cs="Arial"/>
              </w:rPr>
              <w:t>Price from ($/MWh)</w:t>
            </w:r>
          </w:p>
        </w:tc>
        <w:tc>
          <w:tcPr>
            <w:tcW w:w="916" w:type="dxa"/>
            <w:hideMark/>
          </w:tcPr>
          <w:p w:rsidR="00753ADA" w:rsidRPr="00405CDE" w:rsidRDefault="00753ADA" w:rsidP="00C4709E">
            <w:pPr>
              <w:pStyle w:val="TableHeading"/>
              <w:jc w:val="center"/>
              <w:rPr>
                <w:rFonts w:cs="Arial"/>
              </w:rPr>
            </w:pPr>
            <w:r w:rsidRPr="00405CDE">
              <w:rPr>
                <w:rFonts w:cs="Arial"/>
              </w:rPr>
              <w:t>Price to ($/MWh)</w:t>
            </w:r>
          </w:p>
        </w:tc>
        <w:tc>
          <w:tcPr>
            <w:tcW w:w="2835" w:type="dxa"/>
            <w:hideMark/>
          </w:tcPr>
          <w:p w:rsidR="00753ADA" w:rsidRPr="00405CDE" w:rsidRDefault="00753ADA" w:rsidP="00C4709E">
            <w:pPr>
              <w:pStyle w:val="TableHeading"/>
              <w:jc w:val="center"/>
              <w:rPr>
                <w:rFonts w:cs="Arial"/>
              </w:rPr>
            </w:pPr>
            <w:r w:rsidRPr="00405CDE">
              <w:rPr>
                <w:rFonts w:cs="Arial"/>
              </w:rPr>
              <w:t>Rebid reason</w:t>
            </w:r>
          </w:p>
        </w:tc>
      </w:tr>
      <w:tr w:rsidR="00645D73" w:rsidRPr="00405CDE" w:rsidTr="00066FEF">
        <w:trPr>
          <w:trHeight w:val="606"/>
        </w:trPr>
        <w:tc>
          <w:tcPr>
            <w:tcW w:w="1384" w:type="dxa"/>
          </w:tcPr>
          <w:p w:rsidR="00753ADA" w:rsidRPr="00405CDE" w:rsidRDefault="00753ADA">
            <w:pPr>
              <w:pStyle w:val="Tabletext"/>
              <w:ind w:left="-84" w:right="-55"/>
              <w:jc w:val="center"/>
              <w:rPr>
                <w:rFonts w:cs="Arial"/>
                <w:b/>
              </w:rPr>
            </w:pPr>
            <w:r w:rsidRPr="00405CDE">
              <w:rPr>
                <w:rFonts w:cs="Arial"/>
                <w:b/>
              </w:rPr>
              <w:t>8.38 am (effective from 8.45 am)</w:t>
            </w:r>
          </w:p>
        </w:tc>
        <w:tc>
          <w:tcPr>
            <w:tcW w:w="936" w:type="dxa"/>
          </w:tcPr>
          <w:p w:rsidR="00753ADA" w:rsidRPr="00405CDE" w:rsidRDefault="00753ADA" w:rsidP="00C4709E">
            <w:pPr>
              <w:pStyle w:val="Tabletext"/>
              <w:ind w:left="-84" w:right="-55"/>
              <w:jc w:val="center"/>
              <w:rPr>
                <w:rFonts w:cs="Arial"/>
              </w:rPr>
            </w:pPr>
            <w:r w:rsidRPr="00405CDE">
              <w:rPr>
                <w:rFonts w:cs="Arial"/>
              </w:rPr>
              <w:t>AGL Energy</w:t>
            </w:r>
          </w:p>
        </w:tc>
        <w:tc>
          <w:tcPr>
            <w:tcW w:w="1022" w:type="dxa"/>
          </w:tcPr>
          <w:p w:rsidR="00753ADA" w:rsidRPr="00405CDE" w:rsidRDefault="00753ADA" w:rsidP="00C4709E">
            <w:pPr>
              <w:pStyle w:val="Tabletext"/>
              <w:ind w:left="-84" w:right="-55"/>
              <w:jc w:val="center"/>
              <w:rPr>
                <w:rFonts w:cs="Arial"/>
              </w:rPr>
            </w:pPr>
            <w:r w:rsidRPr="00405CDE">
              <w:rPr>
                <w:rFonts w:cs="Arial"/>
              </w:rPr>
              <w:t>Torrens A and B</w:t>
            </w:r>
          </w:p>
        </w:tc>
        <w:tc>
          <w:tcPr>
            <w:tcW w:w="994" w:type="dxa"/>
          </w:tcPr>
          <w:p w:rsidR="00753ADA" w:rsidRPr="00405CDE" w:rsidRDefault="00753ADA" w:rsidP="00C4709E">
            <w:pPr>
              <w:pStyle w:val="Tabletext"/>
              <w:ind w:left="-84" w:right="-55"/>
              <w:jc w:val="center"/>
              <w:rPr>
                <w:rFonts w:cs="Arial"/>
              </w:rPr>
            </w:pPr>
            <w:r w:rsidRPr="00405CDE">
              <w:rPr>
                <w:rFonts w:cs="Arial"/>
              </w:rPr>
              <w:t>120</w:t>
            </w:r>
          </w:p>
        </w:tc>
        <w:tc>
          <w:tcPr>
            <w:tcW w:w="952" w:type="dxa"/>
          </w:tcPr>
          <w:p w:rsidR="00753ADA" w:rsidRPr="00405CDE" w:rsidRDefault="00753ADA" w:rsidP="00C4709E">
            <w:pPr>
              <w:pStyle w:val="Tabletext"/>
              <w:ind w:left="-84" w:right="-55"/>
              <w:jc w:val="center"/>
              <w:rPr>
                <w:rFonts w:cs="Arial"/>
              </w:rPr>
            </w:pPr>
            <w:r w:rsidRPr="00405CDE">
              <w:rPr>
                <w:rFonts w:cs="Arial"/>
              </w:rPr>
              <w:t>&lt;65</w:t>
            </w:r>
          </w:p>
        </w:tc>
        <w:tc>
          <w:tcPr>
            <w:tcW w:w="916" w:type="dxa"/>
          </w:tcPr>
          <w:p w:rsidR="00753ADA" w:rsidRPr="00405CDE" w:rsidRDefault="00753ADA" w:rsidP="00C4709E">
            <w:pPr>
              <w:pStyle w:val="Tabletext"/>
              <w:ind w:left="-84" w:right="-55"/>
              <w:jc w:val="center"/>
              <w:rPr>
                <w:rFonts w:cs="Arial"/>
              </w:rPr>
            </w:pPr>
            <w:r w:rsidRPr="00405CDE">
              <w:rPr>
                <w:rFonts w:cs="Arial"/>
              </w:rPr>
              <w:t>13</w:t>
            </w:r>
            <w:r w:rsidR="00645D73">
              <w:rPr>
                <w:rFonts w:cs="Arial"/>
              </w:rPr>
              <w:t> </w:t>
            </w:r>
            <w:r w:rsidRPr="00405CDE">
              <w:rPr>
                <w:rFonts w:cs="Arial"/>
              </w:rPr>
              <w:t>500</w:t>
            </w:r>
          </w:p>
        </w:tc>
        <w:tc>
          <w:tcPr>
            <w:tcW w:w="2835" w:type="dxa"/>
          </w:tcPr>
          <w:p w:rsidR="00753ADA" w:rsidRPr="00405CDE" w:rsidRDefault="00753ADA" w:rsidP="00C4709E">
            <w:pPr>
              <w:pStyle w:val="Tabletext"/>
              <w:ind w:left="-84" w:right="-55"/>
              <w:rPr>
                <w:rFonts w:cs="Arial"/>
                <w:sz w:val="16"/>
                <w:szCs w:val="16"/>
              </w:rPr>
            </w:pPr>
            <w:r w:rsidRPr="00405CDE">
              <w:rPr>
                <w:rFonts w:cs="Arial"/>
                <w:sz w:val="16"/>
                <w:szCs w:val="16"/>
              </w:rPr>
              <w:t xml:space="preserve">0836~A~040 </w:t>
            </w:r>
            <w:r w:rsidR="00645D73" w:rsidRPr="00405CDE">
              <w:rPr>
                <w:rFonts w:cs="Arial"/>
                <w:sz w:val="16"/>
                <w:szCs w:val="16"/>
              </w:rPr>
              <w:t xml:space="preserve">chg in </w:t>
            </w:r>
            <w:r w:rsidRPr="00405CDE">
              <w:rPr>
                <w:rFonts w:cs="Arial"/>
                <w:sz w:val="16"/>
                <w:szCs w:val="16"/>
              </w:rPr>
              <w:t xml:space="preserve">AEMO </w:t>
            </w:r>
            <w:r w:rsidR="00645D73" w:rsidRPr="00405CDE">
              <w:rPr>
                <w:rFonts w:cs="Arial"/>
                <w:sz w:val="16"/>
                <w:szCs w:val="16"/>
              </w:rPr>
              <w:t>disp</w:t>
            </w:r>
            <w:r w:rsidRPr="00405CDE">
              <w:rPr>
                <w:rFonts w:cs="Arial"/>
                <w:sz w:val="16"/>
                <w:szCs w:val="16"/>
              </w:rPr>
              <w:t xml:space="preserve">~45 </w:t>
            </w:r>
            <w:r w:rsidR="00645D73" w:rsidRPr="00405CDE">
              <w:rPr>
                <w:rFonts w:cs="Arial"/>
                <w:sz w:val="16"/>
                <w:szCs w:val="16"/>
              </w:rPr>
              <w:t xml:space="preserve">price increase </w:t>
            </w:r>
            <w:r w:rsidRPr="00405CDE">
              <w:rPr>
                <w:rFonts w:cs="Arial"/>
                <w:sz w:val="16"/>
                <w:szCs w:val="16"/>
              </w:rPr>
              <w:t>VS PD [SA] 292.20</w:t>
            </w:r>
          </w:p>
        </w:tc>
      </w:tr>
    </w:tbl>
    <w:p w:rsidR="00BC675F" w:rsidRPr="00405CDE" w:rsidRDefault="00FA1A76" w:rsidP="00066FEF">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W</w:t>
      </w:r>
      <w:r w:rsidR="00262C24" w:rsidRPr="00405CDE">
        <w:rPr>
          <w:rFonts w:eastAsia="Times New Roman" w:cs="Arial"/>
          <w:bCs/>
          <w:lang w:eastAsia="en-AU"/>
        </w:rPr>
        <w:t>ith low priced capacity either ramp rate limited</w:t>
      </w:r>
      <w:r w:rsidR="00D474DA">
        <w:rPr>
          <w:rFonts w:eastAsia="Times New Roman" w:cs="Arial"/>
          <w:bCs/>
          <w:lang w:eastAsia="en-AU"/>
        </w:rPr>
        <w:t>,</w:t>
      </w:r>
      <w:r w:rsidR="00262C24" w:rsidRPr="00405CDE">
        <w:rPr>
          <w:rFonts w:eastAsia="Times New Roman" w:cs="Arial"/>
          <w:bCs/>
          <w:lang w:eastAsia="en-AU"/>
        </w:rPr>
        <w:t xml:space="preserve"> fully dispatched</w:t>
      </w:r>
      <w:r w:rsidR="00D474DA">
        <w:rPr>
          <w:rFonts w:eastAsia="Times New Roman" w:cs="Arial"/>
          <w:bCs/>
          <w:lang w:eastAsia="en-AU"/>
        </w:rPr>
        <w:t xml:space="preserve"> or constrained-off</w:t>
      </w:r>
      <w:r w:rsidR="00262C24" w:rsidRPr="00405CDE">
        <w:rPr>
          <w:rFonts w:eastAsia="Times New Roman" w:cs="Arial"/>
          <w:bCs/>
          <w:lang w:eastAsia="en-AU"/>
        </w:rPr>
        <w:t>, the dispatch price increased from $</w:t>
      </w:r>
      <w:r w:rsidR="00405CDE" w:rsidRPr="00405CDE">
        <w:rPr>
          <w:rFonts w:eastAsia="Times New Roman" w:cs="Arial"/>
          <w:bCs/>
          <w:lang w:eastAsia="en-AU"/>
        </w:rPr>
        <w:t>292</w:t>
      </w:r>
      <w:r w:rsidR="00262C24" w:rsidRPr="00405CDE">
        <w:rPr>
          <w:rFonts w:eastAsia="Times New Roman" w:cs="Arial"/>
          <w:bCs/>
          <w:lang w:eastAsia="en-AU"/>
        </w:rPr>
        <w:t>/MWh at 8.</w:t>
      </w:r>
      <w:r w:rsidR="00D474DA" w:rsidRPr="00405CDE">
        <w:rPr>
          <w:rFonts w:eastAsia="Times New Roman" w:cs="Arial"/>
          <w:bCs/>
          <w:lang w:eastAsia="en-AU"/>
        </w:rPr>
        <w:t>40</w:t>
      </w:r>
      <w:r w:rsidR="00D474DA">
        <w:rPr>
          <w:rFonts w:eastAsia="Times New Roman" w:cs="Arial"/>
          <w:bCs/>
          <w:lang w:eastAsia="en-AU"/>
        </w:rPr>
        <w:t> </w:t>
      </w:r>
      <w:r w:rsidR="00262C24" w:rsidRPr="00405CDE">
        <w:rPr>
          <w:rFonts w:eastAsia="Times New Roman" w:cs="Arial"/>
          <w:bCs/>
          <w:lang w:eastAsia="en-AU"/>
        </w:rPr>
        <w:t>am to $2525/MWh at 8.</w:t>
      </w:r>
      <w:r w:rsidR="00D474DA" w:rsidRPr="00405CDE">
        <w:rPr>
          <w:rFonts w:eastAsia="Times New Roman" w:cs="Arial"/>
          <w:bCs/>
          <w:lang w:eastAsia="en-AU"/>
        </w:rPr>
        <w:t>45</w:t>
      </w:r>
      <w:r w:rsidR="00D474DA">
        <w:rPr>
          <w:rFonts w:eastAsia="Times New Roman" w:cs="Arial"/>
          <w:bCs/>
          <w:lang w:eastAsia="en-AU"/>
        </w:rPr>
        <w:t> </w:t>
      </w:r>
      <w:r w:rsidR="00262C24" w:rsidRPr="00405CDE">
        <w:rPr>
          <w:rFonts w:eastAsia="Times New Roman" w:cs="Arial"/>
          <w:bCs/>
          <w:lang w:eastAsia="en-AU"/>
        </w:rPr>
        <w:t>am</w:t>
      </w:r>
      <w:r w:rsidR="00405CDE" w:rsidRPr="00405CDE">
        <w:rPr>
          <w:rFonts w:eastAsia="Times New Roman" w:cs="Arial"/>
          <w:bCs/>
          <w:lang w:eastAsia="en-AU"/>
        </w:rPr>
        <w:t xml:space="preserve"> when the rebid by AGL took effect</w:t>
      </w:r>
      <w:r w:rsidR="00262C24" w:rsidRPr="00405CDE">
        <w:rPr>
          <w:rFonts w:eastAsia="Times New Roman" w:cs="Arial"/>
          <w:bCs/>
          <w:lang w:eastAsia="en-AU"/>
        </w:rPr>
        <w:t xml:space="preserve">. Prices </w:t>
      </w:r>
      <w:r w:rsidR="00D474DA">
        <w:rPr>
          <w:rFonts w:eastAsia="Times New Roman" w:cs="Arial"/>
          <w:bCs/>
          <w:lang w:eastAsia="en-AU"/>
        </w:rPr>
        <w:t>returned</w:t>
      </w:r>
      <w:r w:rsidR="00262C24" w:rsidRPr="00405CDE">
        <w:rPr>
          <w:rFonts w:eastAsia="Times New Roman" w:cs="Arial"/>
          <w:bCs/>
          <w:lang w:eastAsia="en-AU"/>
        </w:rPr>
        <w:t xml:space="preserve"> to $44/MWh at </w:t>
      </w:r>
      <w:r w:rsidR="00D474DA">
        <w:rPr>
          <w:rFonts w:eastAsia="Times New Roman" w:cs="Arial"/>
          <w:bCs/>
          <w:lang w:eastAsia="en-AU"/>
        </w:rPr>
        <w:t>8</w:t>
      </w:r>
      <w:r w:rsidR="00262C24" w:rsidRPr="00405CDE">
        <w:rPr>
          <w:rFonts w:eastAsia="Times New Roman" w:cs="Arial"/>
          <w:bCs/>
          <w:lang w:eastAsia="en-AU"/>
        </w:rPr>
        <w:t>.</w:t>
      </w:r>
      <w:r w:rsidR="00D474DA" w:rsidRPr="00405CDE">
        <w:rPr>
          <w:rFonts w:eastAsia="Times New Roman" w:cs="Arial"/>
          <w:bCs/>
          <w:lang w:eastAsia="en-AU"/>
        </w:rPr>
        <w:t>50</w:t>
      </w:r>
      <w:r w:rsidR="00D474DA">
        <w:rPr>
          <w:rFonts w:eastAsia="Times New Roman" w:cs="Arial"/>
          <w:bCs/>
          <w:lang w:eastAsia="en-AU"/>
        </w:rPr>
        <w:t> </w:t>
      </w:r>
      <w:r w:rsidR="00262C24" w:rsidRPr="00405CDE">
        <w:rPr>
          <w:rFonts w:eastAsia="Times New Roman" w:cs="Arial"/>
          <w:bCs/>
          <w:lang w:eastAsia="en-AU"/>
        </w:rPr>
        <w:t xml:space="preserve">pm, when demand reduced by 142 MW.  </w:t>
      </w:r>
    </w:p>
    <w:p w:rsidR="00693340" w:rsidRPr="00693340" w:rsidRDefault="00693340" w:rsidP="002E506D">
      <w:pPr>
        <w:pStyle w:val="AERHeading3"/>
      </w:pPr>
      <w:r w:rsidRPr="00693340">
        <w:t xml:space="preserve">3.30 pm Trading Interval </w:t>
      </w:r>
    </w:p>
    <w:p w:rsidR="00A5288D" w:rsidRDefault="00A5288D" w:rsidP="00066FEF">
      <w:pPr>
        <w:jc w:val="both"/>
        <w:rPr>
          <w:lang w:eastAsia="en-AU"/>
        </w:rPr>
      </w:pPr>
      <w:r>
        <w:rPr>
          <w:lang w:eastAsia="en-AU"/>
        </w:rPr>
        <w:t xml:space="preserve">The outage constraint for the </w:t>
      </w:r>
      <w:r w:rsidR="00693340" w:rsidRPr="00693340">
        <w:rPr>
          <w:lang w:eastAsia="en-AU"/>
        </w:rPr>
        <w:t>Keith to Tailem Bend line</w:t>
      </w:r>
      <w:r>
        <w:rPr>
          <w:lang w:eastAsia="en-AU"/>
        </w:rPr>
        <w:t xml:space="preserve"> bound for most of the trading interval. This constraint had the effect of constraining off generation and increasing flows towards South Australia on the Heywood interconnector. </w:t>
      </w:r>
      <w:r w:rsidR="00637ABB">
        <w:rPr>
          <w:lang w:eastAsia="en-AU"/>
        </w:rPr>
        <w:t>F</w:t>
      </w:r>
      <w:r>
        <w:rPr>
          <w:lang w:eastAsia="en-AU"/>
        </w:rPr>
        <w:t xml:space="preserve">lows on the Murraylink interconnector </w:t>
      </w:r>
      <w:r w:rsidR="00637ABB">
        <w:rPr>
          <w:lang w:eastAsia="en-AU"/>
        </w:rPr>
        <w:t>were limited to</w:t>
      </w:r>
      <w:r>
        <w:rPr>
          <w:lang w:eastAsia="en-AU"/>
        </w:rPr>
        <w:t xml:space="preserve"> zero </w:t>
      </w:r>
      <w:r w:rsidR="00637ABB">
        <w:rPr>
          <w:lang w:eastAsia="en-AU"/>
        </w:rPr>
        <w:t>from 2.30 pm.</w:t>
      </w:r>
      <w:r>
        <w:rPr>
          <w:lang w:eastAsia="en-AU"/>
        </w:rPr>
        <w:t xml:space="preserve">   </w:t>
      </w:r>
    </w:p>
    <w:p w:rsidR="00693340" w:rsidRPr="00693340" w:rsidRDefault="00A5288D" w:rsidP="00066FEF">
      <w:pPr>
        <w:jc w:val="both"/>
        <w:rPr>
          <w:lang w:eastAsia="en-AU"/>
        </w:rPr>
      </w:pPr>
      <w:r>
        <w:rPr>
          <w:lang w:eastAsia="en-AU"/>
        </w:rPr>
        <w:t>At 3.</w:t>
      </w:r>
      <w:r w:rsidR="00637ABB">
        <w:rPr>
          <w:lang w:eastAsia="en-AU"/>
        </w:rPr>
        <w:t>12 </w:t>
      </w:r>
      <w:r>
        <w:rPr>
          <w:lang w:eastAsia="en-AU"/>
        </w:rPr>
        <w:t>pm, effective 3.</w:t>
      </w:r>
      <w:r w:rsidR="00637ABB">
        <w:rPr>
          <w:lang w:eastAsia="en-AU"/>
        </w:rPr>
        <w:t>20 </w:t>
      </w:r>
      <w:r>
        <w:rPr>
          <w:lang w:eastAsia="en-AU"/>
        </w:rPr>
        <w:t xml:space="preserve">pm, AGL Energy rebid </w:t>
      </w:r>
      <w:r w:rsidR="00637ABB">
        <w:rPr>
          <w:lang w:eastAsia="en-AU"/>
        </w:rPr>
        <w:t>335 </w:t>
      </w:r>
      <w:r>
        <w:rPr>
          <w:lang w:eastAsia="en-AU"/>
        </w:rPr>
        <w:t xml:space="preserve">MW of available capacity from below $65/MWh to the price cap for Torrens A and B units. </w:t>
      </w:r>
      <w:r w:rsidR="00637ABB">
        <w:rPr>
          <w:lang w:eastAsia="en-AU"/>
        </w:rPr>
        <w:t>T</w:t>
      </w:r>
      <w:r>
        <w:rPr>
          <w:lang w:eastAsia="en-AU"/>
        </w:rPr>
        <w:t xml:space="preserve">he reason </w:t>
      </w:r>
      <w:r w:rsidR="00637ABB">
        <w:rPr>
          <w:lang w:eastAsia="en-AU"/>
        </w:rPr>
        <w:t xml:space="preserve">given </w:t>
      </w:r>
      <w:r>
        <w:rPr>
          <w:lang w:eastAsia="en-AU"/>
        </w:rPr>
        <w:t>was “</w:t>
      </w:r>
      <w:r w:rsidRPr="00A5288D">
        <w:rPr>
          <w:lang w:eastAsia="en-AU"/>
        </w:rPr>
        <w:t xml:space="preserve">1505~A~040 </w:t>
      </w:r>
      <w:r w:rsidR="00637ABB" w:rsidRPr="00A5288D">
        <w:rPr>
          <w:lang w:eastAsia="en-AU"/>
        </w:rPr>
        <w:t xml:space="preserve">chg in </w:t>
      </w:r>
      <w:r w:rsidRPr="00A5288D">
        <w:rPr>
          <w:lang w:eastAsia="en-AU"/>
        </w:rPr>
        <w:t xml:space="preserve">AEMO </w:t>
      </w:r>
      <w:r w:rsidR="00637ABB" w:rsidRPr="00A5288D">
        <w:rPr>
          <w:lang w:eastAsia="en-AU"/>
        </w:rPr>
        <w:t>disp</w:t>
      </w:r>
      <w:r w:rsidRPr="00A5288D">
        <w:rPr>
          <w:lang w:eastAsia="en-AU"/>
        </w:rPr>
        <w:t xml:space="preserve">~44 </w:t>
      </w:r>
      <w:r w:rsidR="00637ABB" w:rsidRPr="00A5288D">
        <w:rPr>
          <w:lang w:eastAsia="en-AU"/>
        </w:rPr>
        <w:t xml:space="preserve">price decrease </w:t>
      </w:r>
      <w:r w:rsidRPr="00A5288D">
        <w:rPr>
          <w:lang w:eastAsia="en-AU"/>
        </w:rPr>
        <w:t>VS PD [SA] 45.99 V”</w:t>
      </w:r>
      <w:r w:rsidR="000614A2">
        <w:rPr>
          <w:lang w:eastAsia="en-AU"/>
        </w:rPr>
        <w:t>.</w:t>
      </w:r>
    </w:p>
    <w:p w:rsidR="00A5288D" w:rsidRPr="00BE31A2" w:rsidRDefault="00A5288D" w:rsidP="00066FEF">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With low priced capacity either ramp rate limited or fully dispatched, the dispatch price increased from $</w:t>
      </w:r>
      <w:r>
        <w:rPr>
          <w:rFonts w:eastAsia="Times New Roman" w:cs="Arial"/>
          <w:bCs/>
          <w:lang w:eastAsia="en-AU"/>
        </w:rPr>
        <w:t>55</w:t>
      </w:r>
      <w:r w:rsidRPr="00405CDE">
        <w:rPr>
          <w:rFonts w:eastAsia="Times New Roman" w:cs="Arial"/>
          <w:bCs/>
          <w:lang w:eastAsia="en-AU"/>
        </w:rPr>
        <w:t xml:space="preserve">/MWh at </w:t>
      </w:r>
      <w:r>
        <w:rPr>
          <w:rFonts w:eastAsia="Times New Roman" w:cs="Arial"/>
          <w:bCs/>
          <w:lang w:eastAsia="en-AU"/>
        </w:rPr>
        <w:t>3.</w:t>
      </w:r>
      <w:r w:rsidR="00637ABB">
        <w:rPr>
          <w:rFonts w:eastAsia="Times New Roman" w:cs="Arial"/>
          <w:bCs/>
          <w:lang w:eastAsia="en-AU"/>
        </w:rPr>
        <w:t>15 p</w:t>
      </w:r>
      <w:r w:rsidRPr="00405CDE">
        <w:rPr>
          <w:rFonts w:eastAsia="Times New Roman" w:cs="Arial"/>
          <w:bCs/>
          <w:lang w:eastAsia="en-AU"/>
        </w:rPr>
        <w:t>m to $</w:t>
      </w:r>
      <w:r>
        <w:rPr>
          <w:rFonts w:eastAsia="Times New Roman" w:cs="Arial"/>
          <w:bCs/>
          <w:lang w:eastAsia="en-AU"/>
        </w:rPr>
        <w:t>3167</w:t>
      </w:r>
      <w:r w:rsidRPr="00405CDE">
        <w:rPr>
          <w:rFonts w:eastAsia="Times New Roman" w:cs="Arial"/>
          <w:bCs/>
          <w:lang w:eastAsia="en-AU"/>
        </w:rPr>
        <w:t xml:space="preserve">/MWh at </w:t>
      </w:r>
      <w:r>
        <w:rPr>
          <w:rFonts w:eastAsia="Times New Roman" w:cs="Arial"/>
          <w:bCs/>
          <w:lang w:eastAsia="en-AU"/>
        </w:rPr>
        <w:t>3</w:t>
      </w:r>
      <w:r w:rsidRPr="00405CDE">
        <w:rPr>
          <w:rFonts w:eastAsia="Times New Roman" w:cs="Arial"/>
          <w:bCs/>
          <w:lang w:eastAsia="en-AU"/>
        </w:rPr>
        <w:t>.</w:t>
      </w:r>
      <w:r w:rsidR="00637ABB">
        <w:rPr>
          <w:rFonts w:eastAsia="Times New Roman" w:cs="Arial"/>
          <w:bCs/>
          <w:lang w:eastAsia="en-AU"/>
        </w:rPr>
        <w:t>20 p</w:t>
      </w:r>
      <w:r w:rsidRPr="00405CDE">
        <w:rPr>
          <w:rFonts w:eastAsia="Times New Roman" w:cs="Arial"/>
          <w:bCs/>
          <w:lang w:eastAsia="en-AU"/>
        </w:rPr>
        <w:t xml:space="preserve">m when the rebid by AGL took effect. Prices </w:t>
      </w:r>
      <w:r w:rsidR="00637ABB">
        <w:rPr>
          <w:rFonts w:eastAsia="Times New Roman" w:cs="Arial"/>
          <w:bCs/>
          <w:lang w:eastAsia="en-AU"/>
        </w:rPr>
        <w:t>reduced</w:t>
      </w:r>
      <w:r w:rsidRPr="00405CDE">
        <w:rPr>
          <w:rFonts w:eastAsia="Times New Roman" w:cs="Arial"/>
          <w:bCs/>
          <w:lang w:eastAsia="en-AU"/>
        </w:rPr>
        <w:t xml:space="preserve"> to $</w:t>
      </w:r>
      <w:r w:rsidR="00BE31A2">
        <w:rPr>
          <w:rFonts w:eastAsia="Times New Roman" w:cs="Arial"/>
          <w:bCs/>
          <w:lang w:eastAsia="en-AU"/>
        </w:rPr>
        <w:t>42</w:t>
      </w:r>
      <w:r w:rsidRPr="00405CDE">
        <w:rPr>
          <w:rFonts w:eastAsia="Times New Roman" w:cs="Arial"/>
          <w:bCs/>
          <w:lang w:eastAsia="en-AU"/>
        </w:rPr>
        <w:t xml:space="preserve">/MWh at </w:t>
      </w:r>
      <w:r w:rsidR="00BE31A2">
        <w:rPr>
          <w:rFonts w:eastAsia="Times New Roman" w:cs="Arial"/>
          <w:bCs/>
          <w:lang w:eastAsia="en-AU"/>
        </w:rPr>
        <w:t>3.</w:t>
      </w:r>
      <w:r w:rsidR="00637ABB">
        <w:rPr>
          <w:rFonts w:eastAsia="Times New Roman" w:cs="Arial"/>
          <w:bCs/>
          <w:lang w:eastAsia="en-AU"/>
        </w:rPr>
        <w:t>25 </w:t>
      </w:r>
      <w:r w:rsidRPr="00405CDE">
        <w:rPr>
          <w:rFonts w:eastAsia="Times New Roman" w:cs="Arial"/>
          <w:bCs/>
          <w:lang w:eastAsia="en-AU"/>
        </w:rPr>
        <w:t xml:space="preserve">pm, when demand reduced by </w:t>
      </w:r>
      <w:r w:rsidR="00637ABB">
        <w:rPr>
          <w:rFonts w:eastAsia="Times New Roman" w:cs="Arial"/>
          <w:bCs/>
          <w:lang w:eastAsia="en-AU"/>
        </w:rPr>
        <w:t>111 </w:t>
      </w:r>
      <w:r w:rsidRPr="00405CDE">
        <w:rPr>
          <w:rFonts w:eastAsia="Times New Roman" w:cs="Arial"/>
          <w:bCs/>
          <w:lang w:eastAsia="en-AU"/>
        </w:rPr>
        <w:t>MW</w:t>
      </w:r>
      <w:r w:rsidR="00BE31A2">
        <w:rPr>
          <w:rFonts w:eastAsia="Times New Roman" w:cs="Arial"/>
          <w:bCs/>
          <w:lang w:eastAsia="en-AU"/>
        </w:rPr>
        <w:t xml:space="preserve"> and </w:t>
      </w:r>
      <w:r w:rsidR="00637ABB">
        <w:rPr>
          <w:rFonts w:eastAsia="Times New Roman" w:cs="Arial"/>
          <w:bCs/>
          <w:lang w:eastAsia="en-AU"/>
        </w:rPr>
        <w:t>157 </w:t>
      </w:r>
      <w:r w:rsidR="00BE31A2">
        <w:rPr>
          <w:rFonts w:eastAsia="Times New Roman" w:cs="Arial"/>
          <w:bCs/>
          <w:lang w:eastAsia="en-AU"/>
        </w:rPr>
        <w:t>MW of available capacity</w:t>
      </w:r>
      <w:r w:rsidR="002C6D5E">
        <w:rPr>
          <w:rFonts w:eastAsia="Times New Roman" w:cs="Arial"/>
          <w:bCs/>
          <w:lang w:eastAsia="en-AU"/>
        </w:rPr>
        <w:t xml:space="preserve"> was rebid to lower price bands</w:t>
      </w:r>
      <w:r w:rsidRPr="00405CDE">
        <w:rPr>
          <w:rFonts w:eastAsia="Times New Roman" w:cs="Arial"/>
          <w:bCs/>
          <w:lang w:eastAsia="en-AU"/>
        </w:rPr>
        <w:t xml:space="preserve">.  </w:t>
      </w:r>
    </w:p>
    <w:p w:rsidR="00C30BBE" w:rsidRPr="00002B2F" w:rsidRDefault="003C7EFA" w:rsidP="002E506D">
      <w:pPr>
        <w:pStyle w:val="AERHeading3"/>
      </w:pPr>
      <w:r w:rsidRPr="00002B2F">
        <w:t>Tasmania</w:t>
      </w:r>
      <w:r w:rsidR="00002B2F">
        <w:t xml:space="preserve"> – </w:t>
      </w:r>
      <w:r w:rsidR="00002B2F" w:rsidRPr="00002B2F">
        <w:t xml:space="preserve">Wednesday 29 April </w:t>
      </w:r>
    </w:p>
    <w:p w:rsidR="00C30BBE" w:rsidRPr="00405CDE" w:rsidRDefault="00C30BBE" w:rsidP="00405CDE">
      <w:pPr>
        <w:rPr>
          <w:rFonts w:eastAsia="Times New Roman" w:cs="Arial"/>
          <w:lang w:eastAsia="en-AU"/>
        </w:rPr>
      </w:pPr>
      <w:r w:rsidRPr="00405CDE">
        <w:rPr>
          <w:rFonts w:eastAsia="Times New Roman" w:cs="Arial"/>
          <w:lang w:eastAsia="en-AU"/>
        </w:rPr>
        <w:t>There was one occasion where the spot price in Tasmania was greater than three times the Tasmania weekly average price of $43/MWh and above $250/MWh.</w:t>
      </w:r>
    </w:p>
    <w:p w:rsidR="00066FEF" w:rsidRDefault="00066FEF" w:rsidP="00066FEF">
      <w:pPr>
        <w:pStyle w:val="Caption"/>
      </w:pPr>
      <w:r>
        <w:t xml:space="preserve">Table </w:t>
      </w:r>
      <w:r w:rsidR="00DF4596">
        <w:fldChar w:fldCharType="begin"/>
      </w:r>
      <w:r w:rsidR="00DF4596">
        <w:instrText xml:space="preserve"> SEQ Table \* ARABIC </w:instrText>
      </w:r>
      <w:r w:rsidR="00DF4596">
        <w:fldChar w:fldCharType="separate"/>
      </w:r>
      <w:r>
        <w:rPr>
          <w:noProof/>
        </w:rPr>
        <w:t>8</w:t>
      </w:r>
      <w:r w:rsidR="00DF4596">
        <w:rPr>
          <w:noProof/>
        </w:rPr>
        <w:fldChar w:fldCharType="end"/>
      </w:r>
      <w:r w:rsidRPr="00357DAD">
        <w:t>: Price, Demand and Availability 1 pm</w:t>
      </w:r>
    </w:p>
    <w:tbl>
      <w:tblPr>
        <w:tblStyle w:val="AERTable-Text"/>
        <w:tblW w:w="5000" w:type="pct"/>
        <w:tblLook w:val="04A0" w:firstRow="1" w:lastRow="0" w:firstColumn="1" w:lastColumn="0" w:noHBand="0" w:noVBand="1"/>
      </w:tblPr>
      <w:tblGrid>
        <w:gridCol w:w="992"/>
        <w:gridCol w:w="955"/>
        <w:gridCol w:w="919"/>
        <w:gridCol w:w="922"/>
        <w:gridCol w:w="887"/>
        <w:gridCol w:w="921"/>
        <w:gridCol w:w="921"/>
        <w:gridCol w:w="887"/>
        <w:gridCol w:w="921"/>
        <w:gridCol w:w="917"/>
      </w:tblGrid>
      <w:tr w:rsidR="00C30BBE" w:rsidRPr="00405CDE" w:rsidTr="003C7EFA">
        <w:trPr>
          <w:cnfStyle w:val="100000000000" w:firstRow="1" w:lastRow="0" w:firstColumn="0" w:lastColumn="0" w:oddVBand="0" w:evenVBand="0" w:oddHBand="0" w:evenHBand="0" w:firstRowFirstColumn="0" w:firstRowLastColumn="0" w:lastRowFirstColumn="0" w:lastRowLastColumn="0"/>
          <w:tblHeader/>
        </w:trPr>
        <w:tc>
          <w:tcPr>
            <w:tcW w:w="537" w:type="pct"/>
            <w:tcBorders>
              <w:bottom w:val="nil"/>
            </w:tcBorders>
            <w:hideMark/>
          </w:tcPr>
          <w:p w:rsidR="00C30BBE" w:rsidRPr="00405CDE" w:rsidRDefault="00C30BBE" w:rsidP="00066FEF">
            <w:pPr>
              <w:pStyle w:val="TableHeading"/>
              <w:keepNext/>
              <w:jc w:val="center"/>
              <w:rPr>
                <w:rFonts w:cs="Arial"/>
              </w:rPr>
            </w:pPr>
            <w:r w:rsidRPr="00405CDE">
              <w:rPr>
                <w:rFonts w:cs="Arial"/>
              </w:rPr>
              <w:t xml:space="preserve">Time </w:t>
            </w:r>
          </w:p>
        </w:tc>
        <w:tc>
          <w:tcPr>
            <w:tcW w:w="1513" w:type="pct"/>
            <w:gridSpan w:val="3"/>
            <w:tcBorders>
              <w:bottom w:val="nil"/>
            </w:tcBorders>
            <w:hideMark/>
          </w:tcPr>
          <w:p w:rsidR="00C30BBE" w:rsidRPr="00405CDE" w:rsidRDefault="00C30BBE" w:rsidP="00066FEF">
            <w:pPr>
              <w:pStyle w:val="TableHeading"/>
              <w:keepNext/>
              <w:jc w:val="center"/>
              <w:rPr>
                <w:rFonts w:cs="Arial"/>
              </w:rPr>
            </w:pPr>
            <w:r w:rsidRPr="00405CDE">
              <w:rPr>
                <w:rFonts w:cs="Arial"/>
              </w:rPr>
              <w:t>Price ($/MWh)</w:t>
            </w:r>
          </w:p>
        </w:tc>
        <w:tc>
          <w:tcPr>
            <w:tcW w:w="1476" w:type="pct"/>
            <w:gridSpan w:val="3"/>
            <w:tcBorders>
              <w:bottom w:val="nil"/>
            </w:tcBorders>
            <w:hideMark/>
          </w:tcPr>
          <w:p w:rsidR="00C30BBE" w:rsidRPr="00405CDE" w:rsidRDefault="00C30BBE" w:rsidP="00066FEF">
            <w:pPr>
              <w:pStyle w:val="TableHeading"/>
              <w:keepNext/>
              <w:jc w:val="center"/>
              <w:rPr>
                <w:rFonts w:cs="Arial"/>
              </w:rPr>
            </w:pPr>
            <w:r w:rsidRPr="00405CDE">
              <w:rPr>
                <w:rFonts w:cs="Arial"/>
              </w:rPr>
              <w:t>Demand (MW)</w:t>
            </w:r>
          </w:p>
        </w:tc>
        <w:tc>
          <w:tcPr>
            <w:tcW w:w="1474" w:type="pct"/>
            <w:gridSpan w:val="3"/>
            <w:tcBorders>
              <w:bottom w:val="nil"/>
            </w:tcBorders>
            <w:hideMark/>
          </w:tcPr>
          <w:p w:rsidR="00C30BBE" w:rsidRPr="00405CDE" w:rsidRDefault="00C30BBE" w:rsidP="00066FEF">
            <w:pPr>
              <w:pStyle w:val="TableHeading"/>
              <w:keepNext/>
              <w:jc w:val="center"/>
              <w:rPr>
                <w:rFonts w:cs="Arial"/>
              </w:rPr>
            </w:pPr>
            <w:r w:rsidRPr="00405CDE">
              <w:rPr>
                <w:rFonts w:cs="Arial"/>
              </w:rPr>
              <w:t>Availability (MW)</w:t>
            </w:r>
          </w:p>
        </w:tc>
      </w:tr>
      <w:tr w:rsidR="00C30BBE" w:rsidRPr="00405CDE" w:rsidTr="00066FEF">
        <w:trPr>
          <w:cnfStyle w:val="100000000000" w:firstRow="1" w:lastRow="0" w:firstColumn="0" w:lastColumn="0" w:oddVBand="0" w:evenVBand="0" w:oddHBand="0" w:evenHBand="0" w:firstRowFirstColumn="0" w:firstRowLastColumn="0" w:lastRowFirstColumn="0" w:lastRowLastColumn="0"/>
          <w:tblHeader/>
        </w:trPr>
        <w:tc>
          <w:tcPr>
            <w:tcW w:w="537"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 </w:t>
            </w:r>
          </w:p>
        </w:tc>
        <w:tc>
          <w:tcPr>
            <w:tcW w:w="517"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Actual</w:t>
            </w:r>
          </w:p>
        </w:tc>
        <w:tc>
          <w:tcPr>
            <w:tcW w:w="497"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4 hr forecast</w:t>
            </w:r>
          </w:p>
        </w:tc>
        <w:tc>
          <w:tcPr>
            <w:tcW w:w="499"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Actual</w:t>
            </w:r>
          </w:p>
        </w:tc>
        <w:tc>
          <w:tcPr>
            <w:tcW w:w="498"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4 hr forecast</w:t>
            </w:r>
          </w:p>
        </w:tc>
        <w:tc>
          <w:tcPr>
            <w:tcW w:w="498"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12 hr forecast</w:t>
            </w:r>
          </w:p>
        </w:tc>
        <w:tc>
          <w:tcPr>
            <w:tcW w:w="480"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Actual</w:t>
            </w:r>
          </w:p>
        </w:tc>
        <w:tc>
          <w:tcPr>
            <w:tcW w:w="498"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4 hr forecast</w:t>
            </w:r>
          </w:p>
        </w:tc>
        <w:tc>
          <w:tcPr>
            <w:tcW w:w="496" w:type="pct"/>
            <w:tcBorders>
              <w:bottom w:val="nil"/>
            </w:tcBorders>
            <w:shd w:val="clear" w:color="auto" w:fill="007192" w:themeFill="accent3" w:themeFillShade="BF"/>
            <w:hideMark/>
          </w:tcPr>
          <w:p w:rsidR="00C30BBE" w:rsidRPr="00405CDE" w:rsidRDefault="00C30BBE" w:rsidP="00066FEF">
            <w:pPr>
              <w:pStyle w:val="tableheadingline2"/>
              <w:keepNext/>
              <w:rPr>
                <w:rFonts w:cs="Arial"/>
              </w:rPr>
            </w:pPr>
            <w:r w:rsidRPr="00405CDE">
              <w:rPr>
                <w:rFonts w:cs="Arial"/>
              </w:rPr>
              <w:t>12 hr forecast</w:t>
            </w:r>
          </w:p>
        </w:tc>
      </w:tr>
      <w:tr w:rsidR="003C7EFA" w:rsidRPr="00405CDE" w:rsidTr="00066FEF">
        <w:trPr>
          <w:trHeight w:val="510"/>
        </w:trPr>
        <w:tc>
          <w:tcPr>
            <w:tcW w:w="537" w:type="pct"/>
            <w:tcBorders>
              <w:top w:val="nil"/>
              <w:bottom w:val="nil"/>
            </w:tcBorders>
          </w:tcPr>
          <w:p w:rsidR="003C7EFA" w:rsidRPr="00405CDE" w:rsidRDefault="003C7EFA">
            <w:pPr>
              <w:rPr>
                <w:rFonts w:cs="Arial"/>
              </w:rPr>
            </w:pPr>
            <w:r w:rsidRPr="00405CDE">
              <w:rPr>
                <w:rFonts w:cs="Arial"/>
              </w:rPr>
              <w:t>1 PM</w:t>
            </w:r>
          </w:p>
        </w:tc>
        <w:tc>
          <w:tcPr>
            <w:tcW w:w="517" w:type="pct"/>
            <w:tcBorders>
              <w:top w:val="nil"/>
              <w:bottom w:val="nil"/>
            </w:tcBorders>
          </w:tcPr>
          <w:p w:rsidR="003C7EFA" w:rsidRPr="00405CDE" w:rsidRDefault="003C7EFA" w:rsidP="00066FEF">
            <w:pPr>
              <w:jc w:val="center"/>
              <w:rPr>
                <w:rFonts w:cs="Arial"/>
              </w:rPr>
            </w:pPr>
            <w:r w:rsidRPr="00405CDE">
              <w:rPr>
                <w:rFonts w:cs="Arial"/>
              </w:rPr>
              <w:t>1009.16</w:t>
            </w:r>
          </w:p>
        </w:tc>
        <w:tc>
          <w:tcPr>
            <w:tcW w:w="497" w:type="pct"/>
            <w:tcBorders>
              <w:top w:val="nil"/>
              <w:bottom w:val="nil"/>
            </w:tcBorders>
          </w:tcPr>
          <w:p w:rsidR="003C7EFA" w:rsidRPr="00405CDE" w:rsidRDefault="003C7EFA" w:rsidP="00066FEF">
            <w:pPr>
              <w:jc w:val="center"/>
              <w:rPr>
                <w:rFonts w:cs="Arial"/>
              </w:rPr>
            </w:pPr>
            <w:r w:rsidRPr="00405CDE">
              <w:rPr>
                <w:rFonts w:cs="Arial"/>
              </w:rPr>
              <w:t>37.55</w:t>
            </w:r>
          </w:p>
        </w:tc>
        <w:tc>
          <w:tcPr>
            <w:tcW w:w="499" w:type="pct"/>
            <w:tcBorders>
              <w:top w:val="nil"/>
              <w:bottom w:val="nil"/>
            </w:tcBorders>
          </w:tcPr>
          <w:p w:rsidR="003C7EFA" w:rsidRPr="00405CDE" w:rsidRDefault="003C7EFA" w:rsidP="00066FEF">
            <w:pPr>
              <w:jc w:val="center"/>
              <w:rPr>
                <w:rFonts w:cs="Arial"/>
              </w:rPr>
            </w:pPr>
            <w:r w:rsidRPr="00405CDE">
              <w:rPr>
                <w:rFonts w:cs="Arial"/>
              </w:rPr>
              <w:t>37.83</w:t>
            </w:r>
          </w:p>
        </w:tc>
        <w:tc>
          <w:tcPr>
            <w:tcW w:w="480" w:type="pct"/>
            <w:tcBorders>
              <w:top w:val="nil"/>
              <w:bottom w:val="nil"/>
            </w:tcBorders>
          </w:tcPr>
          <w:p w:rsidR="003C7EFA" w:rsidRPr="00405CDE" w:rsidRDefault="003C7EFA" w:rsidP="00066FEF">
            <w:pPr>
              <w:jc w:val="center"/>
              <w:rPr>
                <w:rFonts w:cs="Arial"/>
              </w:rPr>
            </w:pPr>
            <w:r w:rsidRPr="00405CDE">
              <w:rPr>
                <w:rFonts w:cs="Arial"/>
              </w:rPr>
              <w:t>1072</w:t>
            </w:r>
          </w:p>
        </w:tc>
        <w:tc>
          <w:tcPr>
            <w:tcW w:w="498" w:type="pct"/>
            <w:tcBorders>
              <w:top w:val="nil"/>
              <w:bottom w:val="nil"/>
            </w:tcBorders>
          </w:tcPr>
          <w:p w:rsidR="003C7EFA" w:rsidRPr="00405CDE" w:rsidRDefault="003C7EFA" w:rsidP="00066FEF">
            <w:pPr>
              <w:jc w:val="center"/>
              <w:rPr>
                <w:rFonts w:cs="Arial"/>
              </w:rPr>
            </w:pPr>
            <w:r w:rsidRPr="00405CDE">
              <w:rPr>
                <w:rFonts w:cs="Arial"/>
              </w:rPr>
              <w:t>1167</w:t>
            </w:r>
          </w:p>
        </w:tc>
        <w:tc>
          <w:tcPr>
            <w:tcW w:w="498" w:type="pct"/>
            <w:tcBorders>
              <w:top w:val="nil"/>
              <w:bottom w:val="nil"/>
            </w:tcBorders>
          </w:tcPr>
          <w:p w:rsidR="003C7EFA" w:rsidRPr="00405CDE" w:rsidRDefault="003C7EFA" w:rsidP="00066FEF">
            <w:pPr>
              <w:jc w:val="center"/>
              <w:rPr>
                <w:rFonts w:cs="Arial"/>
              </w:rPr>
            </w:pPr>
            <w:r w:rsidRPr="00405CDE">
              <w:rPr>
                <w:rFonts w:cs="Arial"/>
              </w:rPr>
              <w:t>1144</w:t>
            </w:r>
          </w:p>
        </w:tc>
        <w:tc>
          <w:tcPr>
            <w:tcW w:w="480" w:type="pct"/>
            <w:tcBorders>
              <w:top w:val="nil"/>
              <w:bottom w:val="nil"/>
            </w:tcBorders>
          </w:tcPr>
          <w:p w:rsidR="003C7EFA" w:rsidRPr="00405CDE" w:rsidRDefault="003C7EFA" w:rsidP="00066FEF">
            <w:pPr>
              <w:jc w:val="center"/>
              <w:rPr>
                <w:rFonts w:cs="Arial"/>
              </w:rPr>
            </w:pPr>
            <w:r w:rsidRPr="00405CDE">
              <w:rPr>
                <w:rFonts w:cs="Arial"/>
              </w:rPr>
              <w:t>1853</w:t>
            </w:r>
          </w:p>
        </w:tc>
        <w:tc>
          <w:tcPr>
            <w:tcW w:w="498" w:type="pct"/>
            <w:tcBorders>
              <w:top w:val="nil"/>
              <w:bottom w:val="nil"/>
            </w:tcBorders>
          </w:tcPr>
          <w:p w:rsidR="003C7EFA" w:rsidRPr="00405CDE" w:rsidRDefault="003C7EFA" w:rsidP="00066FEF">
            <w:pPr>
              <w:jc w:val="center"/>
              <w:rPr>
                <w:rFonts w:cs="Arial"/>
              </w:rPr>
            </w:pPr>
            <w:r w:rsidRPr="00405CDE">
              <w:rPr>
                <w:rFonts w:cs="Arial"/>
              </w:rPr>
              <w:t>1826</w:t>
            </w:r>
          </w:p>
        </w:tc>
        <w:tc>
          <w:tcPr>
            <w:tcW w:w="496" w:type="pct"/>
            <w:tcBorders>
              <w:top w:val="nil"/>
              <w:bottom w:val="nil"/>
            </w:tcBorders>
          </w:tcPr>
          <w:p w:rsidR="003C7EFA" w:rsidRPr="00405CDE" w:rsidRDefault="003C7EFA" w:rsidP="00066FEF">
            <w:pPr>
              <w:jc w:val="center"/>
              <w:rPr>
                <w:rFonts w:cs="Arial"/>
              </w:rPr>
            </w:pPr>
            <w:r w:rsidRPr="00405CDE">
              <w:rPr>
                <w:rFonts w:cs="Arial"/>
              </w:rPr>
              <w:t>1826</w:t>
            </w:r>
          </w:p>
        </w:tc>
      </w:tr>
    </w:tbl>
    <w:p w:rsidR="003C7EFA" w:rsidRPr="002C6D5E" w:rsidRDefault="00FC7B4C" w:rsidP="003C7EFA">
      <w:pPr>
        <w:spacing w:before="100" w:beforeAutospacing="1" w:after="100" w:afterAutospacing="1" w:line="288" w:lineRule="auto"/>
        <w:rPr>
          <w:rFonts w:eastAsia="Times New Roman" w:cs="Arial"/>
          <w:lang w:eastAsia="en-AU"/>
        </w:rPr>
      </w:pPr>
      <w:r w:rsidRPr="002C6D5E">
        <w:rPr>
          <w:rFonts w:eastAsia="Times New Roman" w:cs="Arial"/>
          <w:lang w:eastAsia="en-AU"/>
        </w:rPr>
        <w:t xml:space="preserve">Availability was close to forecast and demand was </w:t>
      </w:r>
      <w:r w:rsidR="005C3F4E">
        <w:rPr>
          <w:rFonts w:eastAsia="Times New Roman" w:cs="Arial"/>
          <w:lang w:eastAsia="en-AU"/>
        </w:rPr>
        <w:t>95 </w:t>
      </w:r>
      <w:r w:rsidRPr="002C6D5E">
        <w:rPr>
          <w:rFonts w:eastAsia="Times New Roman" w:cs="Arial"/>
          <w:lang w:eastAsia="en-AU"/>
        </w:rPr>
        <w:t>MW below forecast</w:t>
      </w:r>
      <w:r w:rsidR="005C3F4E">
        <w:rPr>
          <w:rFonts w:eastAsia="Times New Roman" w:cs="Arial"/>
          <w:lang w:eastAsia="en-AU"/>
        </w:rPr>
        <w:t xml:space="preserve"> four hours ahead</w:t>
      </w:r>
      <w:r w:rsidRPr="002C6D5E">
        <w:rPr>
          <w:rFonts w:eastAsia="Times New Roman" w:cs="Arial"/>
          <w:lang w:eastAsia="en-AU"/>
        </w:rPr>
        <w:t xml:space="preserve">.  </w:t>
      </w:r>
    </w:p>
    <w:p w:rsidR="00066FEF" w:rsidRDefault="00066FEF" w:rsidP="00066FEF">
      <w:pPr>
        <w:pStyle w:val="Caption"/>
      </w:pPr>
      <w:r>
        <w:t xml:space="preserve">Table </w:t>
      </w:r>
      <w:fldSimple w:instr=" SEQ Table \* ARABIC ">
        <w:r>
          <w:rPr>
            <w:noProof/>
          </w:rPr>
          <w:t>9</w:t>
        </w:r>
      </w:fldSimple>
      <w:r w:rsidRPr="00BC7FB8">
        <w:t>: Rebids for 1 pm</w:t>
      </w:r>
    </w:p>
    <w:tbl>
      <w:tblPr>
        <w:tblStyle w:val="AERTable-Text"/>
        <w:tblW w:w="8472" w:type="dxa"/>
        <w:tblLayout w:type="fixed"/>
        <w:tblLook w:val="04A0" w:firstRow="1" w:lastRow="0" w:firstColumn="1" w:lastColumn="0" w:noHBand="0" w:noVBand="1"/>
      </w:tblPr>
      <w:tblGrid>
        <w:gridCol w:w="1384"/>
        <w:gridCol w:w="1160"/>
        <w:gridCol w:w="840"/>
        <w:gridCol w:w="994"/>
        <w:gridCol w:w="952"/>
        <w:gridCol w:w="923"/>
        <w:gridCol w:w="2219"/>
      </w:tblGrid>
      <w:tr w:rsidR="005C3F4E" w:rsidRPr="00405CDE" w:rsidTr="00066FEF">
        <w:trPr>
          <w:cnfStyle w:val="100000000000" w:firstRow="1" w:lastRow="0" w:firstColumn="0" w:lastColumn="0" w:oddVBand="0" w:evenVBand="0" w:oddHBand="0" w:evenHBand="0" w:firstRowFirstColumn="0" w:firstRowLastColumn="0" w:lastRowFirstColumn="0" w:lastRowLastColumn="0"/>
          <w:trHeight w:val="780"/>
          <w:tblHeader/>
        </w:trPr>
        <w:tc>
          <w:tcPr>
            <w:tcW w:w="1384" w:type="dxa"/>
            <w:hideMark/>
          </w:tcPr>
          <w:p w:rsidR="00C4709E" w:rsidRPr="00405CDE" w:rsidRDefault="00C4709E" w:rsidP="00C4709E">
            <w:pPr>
              <w:pStyle w:val="TableHeading"/>
              <w:jc w:val="center"/>
              <w:rPr>
                <w:rFonts w:cs="Arial"/>
              </w:rPr>
            </w:pPr>
            <w:r w:rsidRPr="00405CDE">
              <w:rPr>
                <w:rFonts w:cs="Arial"/>
              </w:rPr>
              <w:t>Submit Time</w:t>
            </w:r>
          </w:p>
        </w:tc>
        <w:tc>
          <w:tcPr>
            <w:tcW w:w="1160" w:type="dxa"/>
            <w:hideMark/>
          </w:tcPr>
          <w:p w:rsidR="00C4709E" w:rsidRPr="00405CDE" w:rsidRDefault="00C4709E" w:rsidP="00C4709E">
            <w:pPr>
              <w:pStyle w:val="TableHeading"/>
              <w:jc w:val="center"/>
              <w:rPr>
                <w:rFonts w:cs="Arial"/>
              </w:rPr>
            </w:pPr>
            <w:r w:rsidRPr="00405CDE">
              <w:rPr>
                <w:rFonts w:cs="Arial"/>
              </w:rPr>
              <w:t>Participant</w:t>
            </w:r>
          </w:p>
        </w:tc>
        <w:tc>
          <w:tcPr>
            <w:tcW w:w="840" w:type="dxa"/>
            <w:hideMark/>
          </w:tcPr>
          <w:p w:rsidR="00C4709E" w:rsidRPr="00405CDE" w:rsidRDefault="00C4709E" w:rsidP="00C4709E">
            <w:pPr>
              <w:pStyle w:val="TableHeading"/>
              <w:jc w:val="center"/>
              <w:rPr>
                <w:rFonts w:cs="Arial"/>
              </w:rPr>
            </w:pPr>
            <w:r w:rsidRPr="00405CDE">
              <w:rPr>
                <w:rFonts w:cs="Arial"/>
              </w:rPr>
              <w:t>Station</w:t>
            </w:r>
          </w:p>
        </w:tc>
        <w:tc>
          <w:tcPr>
            <w:tcW w:w="994" w:type="dxa"/>
            <w:hideMark/>
          </w:tcPr>
          <w:p w:rsidR="00C4709E" w:rsidRPr="00405CDE" w:rsidRDefault="00C4709E" w:rsidP="00C4709E">
            <w:pPr>
              <w:pStyle w:val="TableHeading"/>
              <w:jc w:val="center"/>
              <w:rPr>
                <w:rFonts w:cs="Arial"/>
              </w:rPr>
            </w:pPr>
            <w:r w:rsidRPr="00405CDE">
              <w:rPr>
                <w:rFonts w:cs="Arial"/>
              </w:rPr>
              <w:t>Capacity rebid (MW)</w:t>
            </w:r>
          </w:p>
        </w:tc>
        <w:tc>
          <w:tcPr>
            <w:tcW w:w="952" w:type="dxa"/>
            <w:hideMark/>
          </w:tcPr>
          <w:p w:rsidR="00C4709E" w:rsidRPr="00405CDE" w:rsidRDefault="00C4709E" w:rsidP="00C4709E">
            <w:pPr>
              <w:pStyle w:val="TableHeading"/>
              <w:jc w:val="center"/>
              <w:rPr>
                <w:rFonts w:cs="Arial"/>
              </w:rPr>
            </w:pPr>
            <w:r w:rsidRPr="00405CDE">
              <w:rPr>
                <w:rFonts w:cs="Arial"/>
              </w:rPr>
              <w:t>Price from ($/MWh)</w:t>
            </w:r>
          </w:p>
        </w:tc>
        <w:tc>
          <w:tcPr>
            <w:tcW w:w="923" w:type="dxa"/>
            <w:hideMark/>
          </w:tcPr>
          <w:p w:rsidR="00C4709E" w:rsidRPr="00405CDE" w:rsidRDefault="00C4709E" w:rsidP="00C4709E">
            <w:pPr>
              <w:pStyle w:val="TableHeading"/>
              <w:jc w:val="center"/>
              <w:rPr>
                <w:rFonts w:cs="Arial"/>
              </w:rPr>
            </w:pPr>
            <w:r w:rsidRPr="00405CDE">
              <w:rPr>
                <w:rFonts w:cs="Arial"/>
              </w:rPr>
              <w:t>Price to ($/MWh)</w:t>
            </w:r>
          </w:p>
        </w:tc>
        <w:tc>
          <w:tcPr>
            <w:tcW w:w="2219" w:type="dxa"/>
            <w:hideMark/>
          </w:tcPr>
          <w:p w:rsidR="00C4709E" w:rsidRPr="00405CDE" w:rsidRDefault="00C4709E" w:rsidP="00C4709E">
            <w:pPr>
              <w:pStyle w:val="TableHeading"/>
              <w:jc w:val="center"/>
              <w:rPr>
                <w:rFonts w:cs="Arial"/>
              </w:rPr>
            </w:pPr>
            <w:r w:rsidRPr="00405CDE">
              <w:rPr>
                <w:rFonts w:cs="Arial"/>
              </w:rPr>
              <w:t>Rebid reason</w:t>
            </w:r>
          </w:p>
        </w:tc>
      </w:tr>
      <w:tr w:rsidR="005C3F4E" w:rsidRPr="00405CDE" w:rsidTr="00066FEF">
        <w:trPr>
          <w:trHeight w:val="606"/>
        </w:trPr>
        <w:tc>
          <w:tcPr>
            <w:tcW w:w="1384" w:type="dxa"/>
          </w:tcPr>
          <w:p w:rsidR="00C4709E" w:rsidRPr="00405CDE" w:rsidRDefault="00C4709E" w:rsidP="00C4709E">
            <w:pPr>
              <w:pStyle w:val="Tabletext"/>
              <w:ind w:left="-84" w:right="-55"/>
              <w:jc w:val="center"/>
              <w:rPr>
                <w:rFonts w:cs="Arial"/>
                <w:b/>
              </w:rPr>
            </w:pPr>
            <w:r w:rsidRPr="00405CDE">
              <w:rPr>
                <w:rFonts w:cs="Arial"/>
                <w:b/>
              </w:rPr>
              <w:t>12.41 pm (effective from 12.50 pm)</w:t>
            </w:r>
          </w:p>
        </w:tc>
        <w:tc>
          <w:tcPr>
            <w:tcW w:w="1160" w:type="dxa"/>
          </w:tcPr>
          <w:p w:rsidR="00C4709E" w:rsidRPr="00405CDE" w:rsidRDefault="00EB540F" w:rsidP="00C4709E">
            <w:pPr>
              <w:pStyle w:val="Tabletext"/>
              <w:ind w:left="-84" w:right="-55"/>
              <w:jc w:val="center"/>
              <w:rPr>
                <w:rFonts w:cs="Arial"/>
              </w:rPr>
            </w:pPr>
            <w:r w:rsidRPr="00405CDE">
              <w:rPr>
                <w:rFonts w:cs="Arial"/>
              </w:rPr>
              <w:t>Hydro Tasmania</w:t>
            </w:r>
          </w:p>
        </w:tc>
        <w:tc>
          <w:tcPr>
            <w:tcW w:w="840" w:type="dxa"/>
          </w:tcPr>
          <w:p w:rsidR="00C4709E" w:rsidRPr="00405CDE" w:rsidRDefault="00EB540F" w:rsidP="00C4709E">
            <w:pPr>
              <w:pStyle w:val="Tabletext"/>
              <w:ind w:left="-84" w:right="-55"/>
              <w:jc w:val="center"/>
              <w:rPr>
                <w:rFonts w:cs="Arial"/>
              </w:rPr>
            </w:pPr>
            <w:r w:rsidRPr="00405CDE">
              <w:rPr>
                <w:rFonts w:cs="Arial"/>
              </w:rPr>
              <w:t>Gordon</w:t>
            </w:r>
            <w:r w:rsidR="005C3F4E">
              <w:rPr>
                <w:rFonts w:cs="Arial"/>
              </w:rPr>
              <w:t>,Reece</w:t>
            </w:r>
            <w:r w:rsidRPr="00405CDE">
              <w:rPr>
                <w:rFonts w:cs="Arial"/>
              </w:rPr>
              <w:t xml:space="preserve"> </w:t>
            </w:r>
          </w:p>
        </w:tc>
        <w:tc>
          <w:tcPr>
            <w:tcW w:w="994" w:type="dxa"/>
          </w:tcPr>
          <w:p w:rsidR="00C4709E" w:rsidRPr="00405CDE" w:rsidRDefault="005C3F4E">
            <w:pPr>
              <w:pStyle w:val="Tabletext"/>
              <w:ind w:left="-84" w:right="-55"/>
              <w:jc w:val="center"/>
              <w:rPr>
                <w:rFonts w:cs="Arial"/>
              </w:rPr>
            </w:pPr>
            <w:r>
              <w:rPr>
                <w:rFonts w:cs="Arial"/>
              </w:rPr>
              <w:t>291</w:t>
            </w:r>
          </w:p>
        </w:tc>
        <w:tc>
          <w:tcPr>
            <w:tcW w:w="952" w:type="dxa"/>
          </w:tcPr>
          <w:p w:rsidR="00C4709E" w:rsidRPr="00405CDE" w:rsidRDefault="005C3F4E" w:rsidP="00C4709E">
            <w:pPr>
              <w:pStyle w:val="Tabletext"/>
              <w:ind w:left="-84" w:right="-55"/>
              <w:jc w:val="center"/>
              <w:rPr>
                <w:rFonts w:cs="Arial"/>
              </w:rPr>
            </w:pPr>
            <w:r w:rsidRPr="00405CDE">
              <w:rPr>
                <w:rFonts w:cs="Arial"/>
              </w:rPr>
              <w:t>&lt;200</w:t>
            </w:r>
          </w:p>
        </w:tc>
        <w:tc>
          <w:tcPr>
            <w:tcW w:w="923" w:type="dxa"/>
          </w:tcPr>
          <w:p w:rsidR="00C4709E" w:rsidRPr="00405CDE" w:rsidRDefault="00EB540F" w:rsidP="00C4709E">
            <w:pPr>
              <w:pStyle w:val="Tabletext"/>
              <w:ind w:left="-84" w:right="-55"/>
              <w:jc w:val="center"/>
              <w:rPr>
                <w:rFonts w:cs="Arial"/>
              </w:rPr>
            </w:pPr>
            <w:r w:rsidRPr="00405CDE">
              <w:rPr>
                <w:rFonts w:cs="Arial"/>
              </w:rPr>
              <w:t>11 678</w:t>
            </w:r>
          </w:p>
        </w:tc>
        <w:tc>
          <w:tcPr>
            <w:tcW w:w="2219" w:type="dxa"/>
          </w:tcPr>
          <w:p w:rsidR="00C4709E" w:rsidRPr="00405CDE" w:rsidRDefault="00EB540F" w:rsidP="00C4709E">
            <w:pPr>
              <w:pStyle w:val="Tabletext"/>
              <w:ind w:left="-84" w:right="-55"/>
              <w:rPr>
                <w:rFonts w:cs="Arial"/>
                <w:bCs/>
              </w:rPr>
            </w:pPr>
            <w:r w:rsidRPr="00405CDE">
              <w:rPr>
                <w:rFonts w:cs="Arial"/>
                <w:bCs/>
              </w:rPr>
              <w:t xml:space="preserve">1240A P5 </w:t>
            </w:r>
            <w:r w:rsidR="005C3F4E" w:rsidRPr="00405CDE">
              <w:rPr>
                <w:rFonts w:cs="Arial"/>
                <w:bCs/>
              </w:rPr>
              <w:t>vic prices &lt; forecast+env cnst</w:t>
            </w:r>
          </w:p>
        </w:tc>
      </w:tr>
    </w:tbl>
    <w:p w:rsidR="00FC7B4C" w:rsidRPr="00405CDE" w:rsidRDefault="00FC7B4C" w:rsidP="00066FEF">
      <w:pPr>
        <w:spacing w:before="100" w:beforeAutospacing="1" w:after="100" w:afterAutospacing="1" w:line="288" w:lineRule="auto"/>
        <w:jc w:val="both"/>
        <w:rPr>
          <w:rFonts w:eastAsia="Times New Roman" w:cs="Arial"/>
          <w:bCs/>
          <w:lang w:eastAsia="en-AU"/>
        </w:rPr>
      </w:pPr>
      <w:r w:rsidRPr="00405CDE">
        <w:rPr>
          <w:rFonts w:eastAsia="Times New Roman" w:cs="Arial"/>
          <w:bCs/>
          <w:lang w:eastAsia="en-AU"/>
        </w:rPr>
        <w:t>With no capacity priced between $200/MWh and $</w:t>
      </w:r>
      <w:r w:rsidR="005C3F4E" w:rsidRPr="00405CDE">
        <w:rPr>
          <w:rFonts w:eastAsia="Times New Roman" w:cs="Arial"/>
          <w:bCs/>
          <w:lang w:eastAsia="en-AU"/>
        </w:rPr>
        <w:t>11</w:t>
      </w:r>
      <w:r w:rsidR="005C3F4E">
        <w:rPr>
          <w:rFonts w:eastAsia="Times New Roman" w:cs="Arial"/>
          <w:bCs/>
          <w:lang w:eastAsia="en-AU"/>
        </w:rPr>
        <w:t> </w:t>
      </w:r>
      <w:r w:rsidRPr="00405CDE">
        <w:rPr>
          <w:rFonts w:eastAsia="Times New Roman" w:cs="Arial"/>
          <w:bCs/>
          <w:lang w:eastAsia="en-AU"/>
        </w:rPr>
        <w:t>678/MWh</w:t>
      </w:r>
      <w:r w:rsidR="00405CDE">
        <w:rPr>
          <w:rFonts w:eastAsia="Times New Roman" w:cs="Arial"/>
          <w:bCs/>
          <w:lang w:eastAsia="en-AU"/>
        </w:rPr>
        <w:t xml:space="preserve"> </w:t>
      </w:r>
      <w:r w:rsidR="005C3F4E">
        <w:rPr>
          <w:rFonts w:eastAsia="Times New Roman" w:cs="Arial"/>
          <w:bCs/>
          <w:lang w:eastAsia="en-AU"/>
        </w:rPr>
        <w:t xml:space="preserve">and </w:t>
      </w:r>
      <w:r w:rsidR="00FD5876" w:rsidRPr="00405CDE">
        <w:rPr>
          <w:rFonts w:eastAsia="Times New Roman" w:cs="Arial"/>
          <w:bCs/>
          <w:lang w:eastAsia="en-AU"/>
        </w:rPr>
        <w:t>low priced capacity either ramp rate limited, trapped, stranded or fully dispatched, the d</w:t>
      </w:r>
      <w:r w:rsidRPr="00405CDE">
        <w:rPr>
          <w:rFonts w:eastAsia="Times New Roman" w:cs="Arial"/>
          <w:bCs/>
          <w:lang w:eastAsia="en-AU"/>
        </w:rPr>
        <w:t>ispatch price increased from $35/MWh at 12.</w:t>
      </w:r>
      <w:r w:rsidR="005C3F4E" w:rsidRPr="00405CDE">
        <w:rPr>
          <w:rFonts w:eastAsia="Times New Roman" w:cs="Arial"/>
          <w:bCs/>
          <w:lang w:eastAsia="en-AU"/>
        </w:rPr>
        <w:t>45</w:t>
      </w:r>
      <w:r w:rsidR="005C3F4E">
        <w:rPr>
          <w:rFonts w:eastAsia="Times New Roman" w:cs="Arial"/>
          <w:bCs/>
          <w:lang w:eastAsia="en-AU"/>
        </w:rPr>
        <w:t> p</w:t>
      </w:r>
      <w:r w:rsidR="005C3F4E" w:rsidRPr="00405CDE">
        <w:rPr>
          <w:rFonts w:eastAsia="Times New Roman" w:cs="Arial"/>
          <w:bCs/>
          <w:lang w:eastAsia="en-AU"/>
        </w:rPr>
        <w:t xml:space="preserve">m </w:t>
      </w:r>
      <w:r w:rsidR="00FD5876" w:rsidRPr="00405CDE">
        <w:rPr>
          <w:rFonts w:eastAsia="Times New Roman" w:cs="Arial"/>
          <w:bCs/>
          <w:lang w:eastAsia="en-AU"/>
        </w:rPr>
        <w:t>to $</w:t>
      </w:r>
      <w:r w:rsidRPr="00405CDE">
        <w:rPr>
          <w:rFonts w:eastAsia="Times New Roman" w:cs="Arial"/>
          <w:bCs/>
          <w:lang w:eastAsia="en-AU"/>
        </w:rPr>
        <w:t>5868/MWh at 12.</w:t>
      </w:r>
      <w:r w:rsidR="005C3F4E" w:rsidRPr="00405CDE">
        <w:rPr>
          <w:rFonts w:eastAsia="Times New Roman" w:cs="Arial"/>
          <w:bCs/>
          <w:lang w:eastAsia="en-AU"/>
        </w:rPr>
        <w:t>50</w:t>
      </w:r>
      <w:r w:rsidR="005C3F4E">
        <w:rPr>
          <w:rFonts w:eastAsia="Times New Roman" w:cs="Arial"/>
          <w:bCs/>
          <w:lang w:eastAsia="en-AU"/>
        </w:rPr>
        <w:t> p</w:t>
      </w:r>
      <w:r w:rsidR="005C3F4E" w:rsidRPr="00405CDE">
        <w:rPr>
          <w:rFonts w:eastAsia="Times New Roman" w:cs="Arial"/>
          <w:bCs/>
          <w:lang w:eastAsia="en-AU"/>
        </w:rPr>
        <w:t>m</w:t>
      </w:r>
      <w:r w:rsidRPr="00405CDE">
        <w:rPr>
          <w:rFonts w:eastAsia="Times New Roman" w:cs="Arial"/>
          <w:bCs/>
          <w:lang w:eastAsia="en-AU"/>
        </w:rPr>
        <w:t xml:space="preserve">. The price was set by </w:t>
      </w:r>
      <w:r w:rsidR="00274E8A">
        <w:rPr>
          <w:rFonts w:eastAsia="Times New Roman" w:cs="Arial"/>
          <w:bCs/>
          <w:lang w:eastAsia="en-AU"/>
        </w:rPr>
        <w:t xml:space="preserve">the </w:t>
      </w:r>
      <w:r w:rsidRPr="00405CDE">
        <w:rPr>
          <w:rFonts w:eastAsia="Times New Roman" w:cs="Arial"/>
          <w:bCs/>
          <w:lang w:eastAsia="en-AU"/>
        </w:rPr>
        <w:t>Reece</w:t>
      </w:r>
      <w:r w:rsidR="00274E8A">
        <w:rPr>
          <w:rFonts w:eastAsia="Times New Roman" w:cs="Arial"/>
          <w:bCs/>
          <w:lang w:eastAsia="en-AU"/>
        </w:rPr>
        <w:t xml:space="preserve"> unit</w:t>
      </w:r>
      <w:r w:rsidRPr="00405CDE">
        <w:rPr>
          <w:rFonts w:eastAsia="Times New Roman" w:cs="Arial"/>
          <w:bCs/>
          <w:lang w:eastAsia="en-AU"/>
        </w:rPr>
        <w:t xml:space="preserve">. Prices </w:t>
      </w:r>
      <w:r w:rsidR="005C3F4E">
        <w:rPr>
          <w:rFonts w:eastAsia="Times New Roman" w:cs="Arial"/>
          <w:bCs/>
          <w:lang w:eastAsia="en-AU"/>
        </w:rPr>
        <w:t>returned</w:t>
      </w:r>
      <w:r w:rsidRPr="00405CDE">
        <w:rPr>
          <w:rFonts w:eastAsia="Times New Roman" w:cs="Arial"/>
          <w:bCs/>
          <w:lang w:eastAsia="en-AU"/>
        </w:rPr>
        <w:t xml:space="preserve"> to $40/MWh at 12.</w:t>
      </w:r>
      <w:r w:rsidR="005C3F4E" w:rsidRPr="00405CDE">
        <w:rPr>
          <w:rFonts w:eastAsia="Times New Roman" w:cs="Arial"/>
          <w:bCs/>
          <w:lang w:eastAsia="en-AU"/>
        </w:rPr>
        <w:t>55</w:t>
      </w:r>
      <w:r w:rsidR="005C3F4E">
        <w:rPr>
          <w:rFonts w:eastAsia="Times New Roman" w:cs="Arial"/>
          <w:bCs/>
          <w:lang w:eastAsia="en-AU"/>
        </w:rPr>
        <w:t> p</w:t>
      </w:r>
      <w:r w:rsidR="005C3F4E" w:rsidRPr="00405CDE">
        <w:rPr>
          <w:rFonts w:eastAsia="Times New Roman" w:cs="Arial"/>
          <w:bCs/>
          <w:lang w:eastAsia="en-AU"/>
        </w:rPr>
        <w:t>m</w:t>
      </w:r>
      <w:r w:rsidRPr="00405CDE">
        <w:rPr>
          <w:rFonts w:eastAsia="Times New Roman" w:cs="Arial"/>
          <w:bCs/>
          <w:lang w:eastAsia="en-AU"/>
        </w:rPr>
        <w:t xml:space="preserve">, when Hydro Tasmania </w:t>
      </w:r>
      <w:r w:rsidR="005C3F4E">
        <w:rPr>
          <w:rFonts w:eastAsia="Times New Roman" w:cs="Arial"/>
          <w:bCs/>
          <w:lang w:eastAsia="en-AU"/>
        </w:rPr>
        <w:t xml:space="preserve">reversed </w:t>
      </w:r>
      <w:r w:rsidRPr="00405CDE">
        <w:rPr>
          <w:rFonts w:eastAsia="Times New Roman" w:cs="Arial"/>
          <w:bCs/>
          <w:lang w:eastAsia="en-AU"/>
        </w:rPr>
        <w:t>115</w:t>
      </w:r>
      <w:r w:rsidR="005C3F4E">
        <w:rPr>
          <w:rFonts w:eastAsia="Times New Roman" w:cs="Arial"/>
          <w:bCs/>
          <w:lang w:eastAsia="en-AU"/>
        </w:rPr>
        <w:t> </w:t>
      </w:r>
      <w:r w:rsidRPr="00405CDE">
        <w:rPr>
          <w:rFonts w:eastAsia="Times New Roman" w:cs="Arial"/>
          <w:bCs/>
          <w:lang w:eastAsia="en-AU"/>
        </w:rPr>
        <w:t xml:space="preserve">MW </w:t>
      </w:r>
      <w:r w:rsidR="00274E8A">
        <w:rPr>
          <w:rFonts w:eastAsia="Times New Roman" w:cs="Arial"/>
          <w:bCs/>
          <w:lang w:eastAsia="en-AU"/>
        </w:rPr>
        <w:t xml:space="preserve">of </w:t>
      </w:r>
      <w:r w:rsidR="005C3F4E">
        <w:rPr>
          <w:rFonts w:eastAsia="Times New Roman" w:cs="Arial"/>
          <w:bCs/>
          <w:lang w:eastAsia="en-AU"/>
        </w:rPr>
        <w:t xml:space="preserve">its previous rebid </w:t>
      </w:r>
      <w:r w:rsidRPr="00405CDE">
        <w:rPr>
          <w:rFonts w:eastAsia="Times New Roman" w:cs="Arial"/>
          <w:bCs/>
          <w:lang w:eastAsia="en-AU"/>
        </w:rPr>
        <w:t>from $</w:t>
      </w:r>
      <w:r w:rsidR="00274E8A" w:rsidRPr="00405CDE">
        <w:rPr>
          <w:rFonts w:eastAsia="Times New Roman" w:cs="Arial"/>
          <w:bCs/>
          <w:lang w:eastAsia="en-AU"/>
        </w:rPr>
        <w:t>11</w:t>
      </w:r>
      <w:r w:rsidR="00274E8A">
        <w:rPr>
          <w:rFonts w:eastAsia="Times New Roman" w:cs="Arial"/>
          <w:bCs/>
          <w:lang w:eastAsia="en-AU"/>
        </w:rPr>
        <w:t> </w:t>
      </w:r>
      <w:r w:rsidRPr="00405CDE">
        <w:rPr>
          <w:rFonts w:eastAsia="Times New Roman" w:cs="Arial"/>
          <w:bCs/>
          <w:lang w:eastAsia="en-AU"/>
        </w:rPr>
        <w:t>678/MWh to lower price bands</w:t>
      </w:r>
      <w:r w:rsidR="00FD5876" w:rsidRPr="00405CDE">
        <w:rPr>
          <w:rFonts w:eastAsia="Times New Roman" w:cs="Arial"/>
          <w:bCs/>
          <w:lang w:eastAsia="en-AU"/>
        </w:rPr>
        <w:t>.</w:t>
      </w:r>
    </w:p>
    <w:p w:rsidR="003C7EFA" w:rsidRPr="00002B2F" w:rsidRDefault="003C7EFA" w:rsidP="002E506D">
      <w:pPr>
        <w:pStyle w:val="AERHeading3"/>
      </w:pPr>
      <w:r w:rsidRPr="00002B2F">
        <w:t>New Sou</w:t>
      </w:r>
      <w:r w:rsidR="00002B2F">
        <w:t xml:space="preserve">th Wales, Victoria and Tasmania – Friday </w:t>
      </w:r>
      <w:r w:rsidRPr="00002B2F">
        <w:t xml:space="preserve">1 May </w:t>
      </w:r>
    </w:p>
    <w:p w:rsidR="00E2784F" w:rsidRPr="00405CDE" w:rsidRDefault="003C7EFA" w:rsidP="00066FEF">
      <w:pPr>
        <w:spacing w:before="100" w:beforeAutospacing="1" w:after="100" w:afterAutospacing="1" w:line="288" w:lineRule="auto"/>
        <w:jc w:val="both"/>
        <w:rPr>
          <w:rFonts w:eastAsia="Times New Roman" w:cs="Arial"/>
          <w:lang w:eastAsia="en-AU"/>
        </w:rPr>
      </w:pPr>
      <w:r w:rsidRPr="00405CDE">
        <w:rPr>
          <w:rFonts w:eastAsia="Times New Roman" w:cs="Arial"/>
          <w:lang w:eastAsia="en-AU"/>
        </w:rPr>
        <w:t xml:space="preserve">There was one occasion where the spot price in Victoria and </w:t>
      </w:r>
      <w:r w:rsidR="00F915FF">
        <w:rPr>
          <w:rFonts w:eastAsia="Times New Roman" w:cs="Arial"/>
          <w:lang w:eastAsia="en-AU"/>
        </w:rPr>
        <w:t>New South Wales</w:t>
      </w:r>
      <w:r w:rsidR="00F915FF" w:rsidRPr="00405CDE">
        <w:rPr>
          <w:rFonts w:eastAsia="Times New Roman" w:cs="Arial"/>
          <w:lang w:eastAsia="en-AU"/>
        </w:rPr>
        <w:t xml:space="preserve"> </w:t>
      </w:r>
      <w:r w:rsidRPr="00405CDE">
        <w:rPr>
          <w:rFonts w:eastAsia="Times New Roman" w:cs="Arial"/>
          <w:lang w:eastAsia="en-AU"/>
        </w:rPr>
        <w:t>was greater than three times the respective weekly average price and above $250/MWh.</w:t>
      </w:r>
      <w:r w:rsidR="001749E6">
        <w:rPr>
          <w:rFonts w:eastAsia="Times New Roman" w:cs="Arial"/>
          <w:lang w:eastAsia="en-AU"/>
        </w:rPr>
        <w:t xml:space="preserve"> At</w:t>
      </w:r>
      <w:r w:rsidRPr="00405CDE">
        <w:rPr>
          <w:rFonts w:eastAsia="Times New Roman" w:cs="Arial"/>
          <w:lang w:eastAsia="en-AU"/>
        </w:rPr>
        <w:t xml:space="preserve"> the same time the spot price in Tasmania was below </w:t>
      </w:r>
      <w:r w:rsidR="00F915FF">
        <w:rPr>
          <w:rFonts w:eastAsia="Times New Roman" w:cs="Arial"/>
          <w:lang w:eastAsia="en-AU"/>
        </w:rPr>
        <w:t>-</w:t>
      </w:r>
      <w:r w:rsidRPr="00405CDE">
        <w:rPr>
          <w:rFonts w:eastAsia="Times New Roman" w:cs="Arial"/>
          <w:lang w:eastAsia="en-AU"/>
        </w:rPr>
        <w:t>$</w:t>
      </w:r>
      <w:r w:rsidR="00F915FF">
        <w:rPr>
          <w:rFonts w:eastAsia="Times New Roman" w:cs="Arial"/>
          <w:lang w:eastAsia="en-AU"/>
        </w:rPr>
        <w:t>100</w:t>
      </w:r>
      <w:r w:rsidRPr="00405CDE">
        <w:rPr>
          <w:rFonts w:eastAsia="Times New Roman" w:cs="Arial"/>
          <w:lang w:eastAsia="en-AU"/>
        </w:rPr>
        <w:t xml:space="preserve">0/MWh. </w:t>
      </w:r>
    </w:p>
    <w:p w:rsidR="00066FEF" w:rsidRDefault="00066FEF" w:rsidP="00066FEF">
      <w:pPr>
        <w:pStyle w:val="Caption"/>
      </w:pPr>
      <w:r>
        <w:t xml:space="preserve">Table </w:t>
      </w:r>
      <w:r w:rsidR="00DF4596">
        <w:fldChar w:fldCharType="begin"/>
      </w:r>
      <w:r w:rsidR="00DF4596">
        <w:instrText xml:space="preserve"> SEQ Table \* ARABIC </w:instrText>
      </w:r>
      <w:r w:rsidR="00DF4596">
        <w:fldChar w:fldCharType="separate"/>
      </w:r>
      <w:r>
        <w:rPr>
          <w:noProof/>
        </w:rPr>
        <w:t>10</w:t>
      </w:r>
      <w:r w:rsidR="00DF4596">
        <w:rPr>
          <w:noProof/>
        </w:rPr>
        <w:fldChar w:fldCharType="end"/>
      </w:r>
      <w:r w:rsidRPr="00116D47">
        <w:t>: New South</w:t>
      </w:r>
      <w:r>
        <w:t xml:space="preserve"> Wales, Victoria and Tasmania; </w:t>
      </w:r>
      <w:r w:rsidRPr="00116D47">
        <w:t>Pr</w:t>
      </w:r>
      <w:r>
        <w:t xml:space="preserve">ice, Demand and Availability 9 </w:t>
      </w:r>
      <w:r w:rsidRPr="00116D47">
        <w:t>am</w:t>
      </w:r>
    </w:p>
    <w:tbl>
      <w:tblPr>
        <w:tblStyle w:val="AERTable-Text"/>
        <w:tblW w:w="5000" w:type="pct"/>
        <w:tblLook w:val="04A0" w:firstRow="1" w:lastRow="0" w:firstColumn="1" w:lastColumn="0" w:noHBand="0" w:noVBand="1"/>
      </w:tblPr>
      <w:tblGrid>
        <w:gridCol w:w="1048"/>
        <w:gridCol w:w="950"/>
        <w:gridCol w:w="913"/>
        <w:gridCol w:w="915"/>
        <w:gridCol w:w="882"/>
        <w:gridCol w:w="913"/>
        <w:gridCol w:w="913"/>
        <w:gridCol w:w="882"/>
        <w:gridCol w:w="913"/>
        <w:gridCol w:w="913"/>
      </w:tblGrid>
      <w:tr w:rsidR="003C7EFA" w:rsidRPr="00405CDE" w:rsidTr="00066FEF">
        <w:trPr>
          <w:cnfStyle w:val="100000000000" w:firstRow="1" w:lastRow="0" w:firstColumn="0" w:lastColumn="0" w:oddVBand="0" w:evenVBand="0" w:oddHBand="0" w:evenHBand="0" w:firstRowFirstColumn="0" w:firstRowLastColumn="0" w:lastRowFirstColumn="0" w:lastRowLastColumn="0"/>
          <w:tblHeader/>
        </w:trPr>
        <w:tc>
          <w:tcPr>
            <w:tcW w:w="567" w:type="pct"/>
            <w:tcBorders>
              <w:bottom w:val="nil"/>
            </w:tcBorders>
            <w:hideMark/>
          </w:tcPr>
          <w:p w:rsidR="003C7EFA" w:rsidRPr="00405CDE" w:rsidRDefault="003C7EFA" w:rsidP="003C7EFA">
            <w:pPr>
              <w:pStyle w:val="TableHeading"/>
              <w:jc w:val="center"/>
              <w:rPr>
                <w:rFonts w:cs="Arial"/>
              </w:rPr>
            </w:pPr>
            <w:r w:rsidRPr="00405CDE">
              <w:rPr>
                <w:rFonts w:cs="Arial"/>
              </w:rPr>
              <w:t xml:space="preserve">Region </w:t>
            </w:r>
          </w:p>
        </w:tc>
        <w:tc>
          <w:tcPr>
            <w:tcW w:w="1503" w:type="pct"/>
            <w:gridSpan w:val="3"/>
            <w:tcBorders>
              <w:bottom w:val="nil"/>
            </w:tcBorders>
            <w:hideMark/>
          </w:tcPr>
          <w:p w:rsidR="003C7EFA" w:rsidRPr="00405CDE" w:rsidRDefault="003C7EFA" w:rsidP="003C7EFA">
            <w:pPr>
              <w:pStyle w:val="TableHeading"/>
              <w:jc w:val="center"/>
              <w:rPr>
                <w:rFonts w:cs="Arial"/>
              </w:rPr>
            </w:pPr>
            <w:r w:rsidRPr="00405CDE">
              <w:rPr>
                <w:rFonts w:cs="Arial"/>
              </w:rPr>
              <w:t>Price ($/MWh)</w:t>
            </w:r>
          </w:p>
        </w:tc>
        <w:tc>
          <w:tcPr>
            <w:tcW w:w="1465" w:type="pct"/>
            <w:gridSpan w:val="3"/>
            <w:tcBorders>
              <w:bottom w:val="nil"/>
            </w:tcBorders>
            <w:hideMark/>
          </w:tcPr>
          <w:p w:rsidR="003C7EFA" w:rsidRPr="00405CDE" w:rsidRDefault="003C7EFA" w:rsidP="003C7EFA">
            <w:pPr>
              <w:pStyle w:val="TableHeading"/>
              <w:jc w:val="center"/>
              <w:rPr>
                <w:rFonts w:cs="Arial"/>
              </w:rPr>
            </w:pPr>
            <w:r w:rsidRPr="00405CDE">
              <w:rPr>
                <w:rFonts w:cs="Arial"/>
              </w:rPr>
              <w:t>Demand (MW)</w:t>
            </w:r>
          </w:p>
        </w:tc>
        <w:tc>
          <w:tcPr>
            <w:tcW w:w="1465" w:type="pct"/>
            <w:gridSpan w:val="3"/>
            <w:tcBorders>
              <w:bottom w:val="nil"/>
            </w:tcBorders>
            <w:hideMark/>
          </w:tcPr>
          <w:p w:rsidR="003C7EFA" w:rsidRPr="00405CDE" w:rsidRDefault="003C7EFA" w:rsidP="003C7EFA">
            <w:pPr>
              <w:pStyle w:val="TableHeading"/>
              <w:jc w:val="center"/>
              <w:rPr>
                <w:rFonts w:cs="Arial"/>
              </w:rPr>
            </w:pPr>
            <w:r w:rsidRPr="00405CDE">
              <w:rPr>
                <w:rFonts w:cs="Arial"/>
              </w:rPr>
              <w:t>Availability (MW)</w:t>
            </w:r>
          </w:p>
        </w:tc>
      </w:tr>
      <w:tr w:rsidR="003C7EFA" w:rsidRPr="00405CDE" w:rsidTr="00066FEF">
        <w:trPr>
          <w:cnfStyle w:val="100000000000" w:firstRow="1" w:lastRow="0" w:firstColumn="0" w:lastColumn="0" w:oddVBand="0" w:evenVBand="0" w:oddHBand="0" w:evenHBand="0" w:firstRowFirstColumn="0" w:firstRowLastColumn="0" w:lastRowFirstColumn="0" w:lastRowLastColumn="0"/>
          <w:tblHeader/>
        </w:trPr>
        <w:tc>
          <w:tcPr>
            <w:tcW w:w="567"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 </w:t>
            </w:r>
          </w:p>
        </w:tc>
        <w:tc>
          <w:tcPr>
            <w:tcW w:w="514"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Actual</w:t>
            </w:r>
          </w:p>
        </w:tc>
        <w:tc>
          <w:tcPr>
            <w:tcW w:w="494"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4 hr forecast</w:t>
            </w:r>
          </w:p>
        </w:tc>
        <w:tc>
          <w:tcPr>
            <w:tcW w:w="495"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12 hr forecast</w:t>
            </w:r>
          </w:p>
        </w:tc>
        <w:tc>
          <w:tcPr>
            <w:tcW w:w="477"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Actual</w:t>
            </w:r>
          </w:p>
        </w:tc>
        <w:tc>
          <w:tcPr>
            <w:tcW w:w="494"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4 hr forecast</w:t>
            </w:r>
          </w:p>
        </w:tc>
        <w:tc>
          <w:tcPr>
            <w:tcW w:w="494"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12 hr forecast</w:t>
            </w:r>
          </w:p>
        </w:tc>
        <w:tc>
          <w:tcPr>
            <w:tcW w:w="477"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Actual</w:t>
            </w:r>
          </w:p>
        </w:tc>
        <w:tc>
          <w:tcPr>
            <w:tcW w:w="494"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4 hr forecast</w:t>
            </w:r>
          </w:p>
        </w:tc>
        <w:tc>
          <w:tcPr>
            <w:tcW w:w="494" w:type="pct"/>
            <w:tcBorders>
              <w:bottom w:val="nil"/>
            </w:tcBorders>
            <w:shd w:val="clear" w:color="auto" w:fill="007192" w:themeFill="accent3" w:themeFillShade="BF"/>
            <w:hideMark/>
          </w:tcPr>
          <w:p w:rsidR="003C7EFA" w:rsidRPr="00405CDE" w:rsidRDefault="003C7EFA" w:rsidP="003C7EFA">
            <w:pPr>
              <w:pStyle w:val="tableheadingline2"/>
              <w:rPr>
                <w:rFonts w:cs="Arial"/>
              </w:rPr>
            </w:pPr>
            <w:r w:rsidRPr="00405CDE">
              <w:rPr>
                <w:rFonts w:cs="Arial"/>
              </w:rPr>
              <w:t>12 hr forecast</w:t>
            </w:r>
          </w:p>
        </w:tc>
      </w:tr>
      <w:tr w:rsidR="003C7EFA" w:rsidRPr="00405CDE" w:rsidTr="00066FEF">
        <w:trPr>
          <w:trHeight w:val="510"/>
        </w:trPr>
        <w:tc>
          <w:tcPr>
            <w:tcW w:w="567" w:type="pct"/>
            <w:tcBorders>
              <w:top w:val="nil"/>
              <w:bottom w:val="nil"/>
            </w:tcBorders>
            <w:vAlign w:val="center"/>
          </w:tcPr>
          <w:p w:rsidR="003C7EFA" w:rsidRPr="00405CDE" w:rsidRDefault="003C7EFA" w:rsidP="001749E6">
            <w:pPr>
              <w:pStyle w:val="NormalWeb"/>
              <w:rPr>
                <w:rFonts w:ascii="Arial" w:hAnsi="Arial" w:cs="Arial"/>
                <w:b/>
                <w:sz w:val="18"/>
                <w:szCs w:val="18"/>
              </w:rPr>
            </w:pPr>
            <w:r w:rsidRPr="00405CDE">
              <w:rPr>
                <w:rFonts w:ascii="Arial" w:hAnsi="Arial" w:cs="Arial"/>
                <w:b/>
                <w:bCs/>
                <w:sz w:val="18"/>
                <w:szCs w:val="18"/>
              </w:rPr>
              <w:t>NSW</w:t>
            </w:r>
          </w:p>
        </w:tc>
        <w:tc>
          <w:tcPr>
            <w:tcW w:w="514" w:type="pct"/>
            <w:tcBorders>
              <w:top w:val="nil"/>
              <w:bottom w:val="nil"/>
            </w:tcBorders>
            <w:vAlign w:val="center"/>
          </w:tcPr>
          <w:p w:rsidR="003C7EFA" w:rsidRPr="00405CDE" w:rsidRDefault="003C7EFA" w:rsidP="001749E6">
            <w:pPr>
              <w:jc w:val="center"/>
              <w:rPr>
                <w:rFonts w:cs="Arial"/>
                <w:color w:val="000000"/>
                <w:szCs w:val="18"/>
              </w:rPr>
            </w:pPr>
            <w:r w:rsidRPr="00405CDE">
              <w:rPr>
                <w:rFonts w:cs="Arial"/>
                <w:color w:val="000000"/>
                <w:szCs w:val="18"/>
              </w:rPr>
              <w:t>1792.03</w:t>
            </w:r>
          </w:p>
        </w:tc>
        <w:tc>
          <w:tcPr>
            <w:tcW w:w="494" w:type="pct"/>
            <w:tcBorders>
              <w:top w:val="nil"/>
              <w:bottom w:val="nil"/>
            </w:tcBorders>
            <w:vAlign w:val="center"/>
          </w:tcPr>
          <w:p w:rsidR="003C7EFA" w:rsidRPr="00405CDE" w:rsidRDefault="003C7EFA" w:rsidP="001749E6">
            <w:pPr>
              <w:jc w:val="center"/>
              <w:rPr>
                <w:rFonts w:cs="Arial"/>
                <w:color w:val="000000"/>
                <w:szCs w:val="18"/>
              </w:rPr>
            </w:pPr>
            <w:r w:rsidRPr="00405CDE">
              <w:rPr>
                <w:rFonts w:cs="Arial"/>
                <w:color w:val="000000"/>
                <w:szCs w:val="18"/>
              </w:rPr>
              <w:t>45.40</w:t>
            </w:r>
          </w:p>
        </w:tc>
        <w:tc>
          <w:tcPr>
            <w:tcW w:w="495" w:type="pct"/>
            <w:tcBorders>
              <w:top w:val="nil"/>
              <w:bottom w:val="nil"/>
            </w:tcBorders>
            <w:vAlign w:val="center"/>
          </w:tcPr>
          <w:p w:rsidR="003C7EFA" w:rsidRPr="00405CDE" w:rsidRDefault="003C7EFA" w:rsidP="001749E6">
            <w:pPr>
              <w:jc w:val="center"/>
              <w:rPr>
                <w:rFonts w:cs="Arial"/>
                <w:color w:val="000000"/>
                <w:szCs w:val="18"/>
              </w:rPr>
            </w:pPr>
            <w:r w:rsidRPr="00405CDE">
              <w:rPr>
                <w:rFonts w:cs="Arial"/>
                <w:color w:val="000000"/>
                <w:szCs w:val="18"/>
              </w:rPr>
              <w:t>44.10</w:t>
            </w:r>
          </w:p>
        </w:tc>
        <w:tc>
          <w:tcPr>
            <w:tcW w:w="477" w:type="pct"/>
            <w:tcBorders>
              <w:top w:val="nil"/>
              <w:bottom w:val="nil"/>
            </w:tcBorders>
            <w:vAlign w:val="center"/>
          </w:tcPr>
          <w:p w:rsidR="003C7EFA" w:rsidRPr="00405CDE" w:rsidRDefault="003C7EFA" w:rsidP="001749E6">
            <w:pPr>
              <w:jc w:val="center"/>
              <w:rPr>
                <w:rFonts w:cs="Arial"/>
                <w:color w:val="000000"/>
                <w:szCs w:val="18"/>
              </w:rPr>
            </w:pPr>
            <w:r w:rsidRPr="00405CDE">
              <w:rPr>
                <w:rFonts w:cs="Arial"/>
                <w:color w:val="000000"/>
                <w:szCs w:val="18"/>
              </w:rPr>
              <w:t>8790</w:t>
            </w:r>
          </w:p>
        </w:tc>
        <w:tc>
          <w:tcPr>
            <w:tcW w:w="494" w:type="pct"/>
            <w:tcBorders>
              <w:top w:val="nil"/>
              <w:bottom w:val="nil"/>
            </w:tcBorders>
            <w:vAlign w:val="center"/>
          </w:tcPr>
          <w:p w:rsidR="003C7EFA" w:rsidRPr="00405CDE" w:rsidRDefault="003C7EFA" w:rsidP="001749E6">
            <w:pPr>
              <w:jc w:val="center"/>
              <w:rPr>
                <w:rFonts w:cs="Arial"/>
                <w:color w:val="000000"/>
                <w:szCs w:val="18"/>
              </w:rPr>
            </w:pPr>
            <w:r w:rsidRPr="00405CDE">
              <w:rPr>
                <w:rFonts w:cs="Arial"/>
                <w:color w:val="000000"/>
                <w:szCs w:val="18"/>
              </w:rPr>
              <w:t>8668</w:t>
            </w:r>
          </w:p>
        </w:tc>
        <w:tc>
          <w:tcPr>
            <w:tcW w:w="494" w:type="pct"/>
            <w:tcBorders>
              <w:top w:val="nil"/>
              <w:bottom w:val="nil"/>
            </w:tcBorders>
            <w:vAlign w:val="center"/>
          </w:tcPr>
          <w:p w:rsidR="003C7EFA" w:rsidRPr="00405CDE" w:rsidRDefault="003C7EFA" w:rsidP="001749E6">
            <w:pPr>
              <w:jc w:val="center"/>
              <w:rPr>
                <w:rFonts w:cs="Arial"/>
                <w:color w:val="000000"/>
                <w:szCs w:val="18"/>
              </w:rPr>
            </w:pPr>
            <w:r w:rsidRPr="00405CDE">
              <w:rPr>
                <w:rFonts w:cs="Arial"/>
                <w:color w:val="000000"/>
                <w:szCs w:val="18"/>
              </w:rPr>
              <w:t>8676</w:t>
            </w:r>
          </w:p>
        </w:tc>
        <w:tc>
          <w:tcPr>
            <w:tcW w:w="477" w:type="pct"/>
            <w:tcBorders>
              <w:top w:val="nil"/>
              <w:bottom w:val="nil"/>
            </w:tcBorders>
            <w:vAlign w:val="center"/>
          </w:tcPr>
          <w:p w:rsidR="003C7EFA" w:rsidRPr="00405CDE" w:rsidRDefault="00F910C3">
            <w:pPr>
              <w:jc w:val="center"/>
              <w:rPr>
                <w:rFonts w:cs="Arial"/>
                <w:color w:val="000000"/>
                <w:szCs w:val="18"/>
              </w:rPr>
            </w:pPr>
            <w:r w:rsidRPr="00405CDE">
              <w:rPr>
                <w:rFonts w:cs="Arial"/>
                <w:color w:val="000000"/>
                <w:szCs w:val="18"/>
              </w:rPr>
              <w:t>10</w:t>
            </w:r>
            <w:r>
              <w:rPr>
                <w:rFonts w:cs="Arial"/>
                <w:color w:val="000000"/>
                <w:szCs w:val="18"/>
              </w:rPr>
              <w:t> </w:t>
            </w:r>
            <w:r w:rsidR="003C7EFA" w:rsidRPr="00405CDE">
              <w:rPr>
                <w:rFonts w:cs="Arial"/>
                <w:color w:val="000000"/>
                <w:szCs w:val="18"/>
              </w:rPr>
              <w:t>188</w:t>
            </w:r>
          </w:p>
        </w:tc>
        <w:tc>
          <w:tcPr>
            <w:tcW w:w="494" w:type="pct"/>
            <w:tcBorders>
              <w:top w:val="nil"/>
              <w:bottom w:val="nil"/>
            </w:tcBorders>
            <w:vAlign w:val="center"/>
          </w:tcPr>
          <w:p w:rsidR="003C7EFA" w:rsidRPr="00405CDE" w:rsidRDefault="00F910C3">
            <w:pPr>
              <w:jc w:val="center"/>
              <w:rPr>
                <w:rFonts w:cs="Arial"/>
                <w:color w:val="000000"/>
                <w:szCs w:val="18"/>
              </w:rPr>
            </w:pPr>
            <w:r w:rsidRPr="00405CDE">
              <w:rPr>
                <w:rFonts w:cs="Arial"/>
                <w:color w:val="000000"/>
                <w:szCs w:val="18"/>
              </w:rPr>
              <w:t>10</w:t>
            </w:r>
            <w:r>
              <w:rPr>
                <w:rFonts w:cs="Arial"/>
                <w:color w:val="000000"/>
                <w:szCs w:val="18"/>
              </w:rPr>
              <w:t> </w:t>
            </w:r>
            <w:r w:rsidR="003C7EFA" w:rsidRPr="00405CDE">
              <w:rPr>
                <w:rFonts w:cs="Arial"/>
                <w:color w:val="000000"/>
                <w:szCs w:val="18"/>
              </w:rPr>
              <w:t>357</w:t>
            </w:r>
          </w:p>
        </w:tc>
        <w:tc>
          <w:tcPr>
            <w:tcW w:w="494" w:type="pct"/>
            <w:tcBorders>
              <w:top w:val="nil"/>
              <w:bottom w:val="nil"/>
            </w:tcBorders>
            <w:vAlign w:val="center"/>
          </w:tcPr>
          <w:p w:rsidR="003C7EFA" w:rsidRPr="00405CDE" w:rsidRDefault="00F910C3">
            <w:pPr>
              <w:jc w:val="center"/>
              <w:rPr>
                <w:rFonts w:cs="Arial"/>
                <w:color w:val="000000"/>
                <w:szCs w:val="18"/>
              </w:rPr>
            </w:pPr>
            <w:r w:rsidRPr="00405CDE">
              <w:rPr>
                <w:rFonts w:cs="Arial"/>
                <w:color w:val="000000"/>
                <w:szCs w:val="18"/>
              </w:rPr>
              <w:t>10</w:t>
            </w:r>
            <w:r>
              <w:rPr>
                <w:rFonts w:cs="Arial"/>
                <w:color w:val="000000"/>
                <w:szCs w:val="18"/>
              </w:rPr>
              <w:t> </w:t>
            </w:r>
            <w:r w:rsidR="003C7EFA" w:rsidRPr="00405CDE">
              <w:rPr>
                <w:rFonts w:cs="Arial"/>
                <w:color w:val="000000"/>
                <w:szCs w:val="18"/>
              </w:rPr>
              <w:t>357</w:t>
            </w:r>
          </w:p>
        </w:tc>
      </w:tr>
      <w:tr w:rsidR="003C7EFA" w:rsidRPr="00405CDE" w:rsidTr="00066FEF">
        <w:trPr>
          <w:cnfStyle w:val="000000010000" w:firstRow="0" w:lastRow="0" w:firstColumn="0" w:lastColumn="0" w:oddVBand="0" w:evenVBand="0" w:oddHBand="0" w:evenHBand="1" w:firstRowFirstColumn="0" w:firstRowLastColumn="0" w:lastRowFirstColumn="0" w:lastRowLastColumn="0"/>
          <w:trHeight w:val="510"/>
        </w:trPr>
        <w:tc>
          <w:tcPr>
            <w:tcW w:w="567" w:type="pct"/>
            <w:tcBorders>
              <w:top w:val="nil"/>
              <w:bottom w:val="nil"/>
            </w:tcBorders>
          </w:tcPr>
          <w:p w:rsidR="003C7EFA" w:rsidRPr="00405CDE" w:rsidRDefault="003C7EFA">
            <w:pPr>
              <w:rPr>
                <w:rFonts w:cs="Arial"/>
                <w:b/>
                <w:sz w:val="18"/>
                <w:szCs w:val="18"/>
              </w:rPr>
            </w:pPr>
            <w:r w:rsidRPr="00405CDE">
              <w:rPr>
                <w:rFonts w:cs="Arial"/>
                <w:b/>
                <w:sz w:val="18"/>
                <w:szCs w:val="18"/>
              </w:rPr>
              <w:t>Vic</w:t>
            </w:r>
          </w:p>
        </w:tc>
        <w:tc>
          <w:tcPr>
            <w:tcW w:w="514"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505.44</w:t>
            </w:r>
          </w:p>
        </w:tc>
        <w:tc>
          <w:tcPr>
            <w:tcW w:w="494"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41.97</w:t>
            </w:r>
          </w:p>
        </w:tc>
        <w:tc>
          <w:tcPr>
            <w:tcW w:w="495"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41.15</w:t>
            </w:r>
          </w:p>
        </w:tc>
        <w:tc>
          <w:tcPr>
            <w:tcW w:w="477"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5870</w:t>
            </w:r>
          </w:p>
        </w:tc>
        <w:tc>
          <w:tcPr>
            <w:tcW w:w="494"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6011</w:t>
            </w:r>
          </w:p>
        </w:tc>
        <w:tc>
          <w:tcPr>
            <w:tcW w:w="494"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6039</w:t>
            </w:r>
          </w:p>
        </w:tc>
        <w:tc>
          <w:tcPr>
            <w:tcW w:w="477" w:type="pct"/>
            <w:tcBorders>
              <w:top w:val="nil"/>
              <w:bottom w:val="nil"/>
            </w:tcBorders>
          </w:tcPr>
          <w:p w:rsidR="003C7EFA" w:rsidRPr="00405CDE" w:rsidRDefault="00F910C3">
            <w:pPr>
              <w:jc w:val="center"/>
              <w:rPr>
                <w:rFonts w:cs="Arial"/>
                <w:sz w:val="18"/>
                <w:szCs w:val="18"/>
              </w:rPr>
            </w:pPr>
            <w:r w:rsidRPr="00405CDE">
              <w:rPr>
                <w:rFonts w:cs="Arial"/>
                <w:sz w:val="18"/>
                <w:szCs w:val="18"/>
              </w:rPr>
              <w:t>10</w:t>
            </w:r>
            <w:r>
              <w:rPr>
                <w:rFonts w:cs="Arial"/>
                <w:sz w:val="18"/>
                <w:szCs w:val="18"/>
              </w:rPr>
              <w:t> </w:t>
            </w:r>
            <w:r w:rsidR="003C7EFA" w:rsidRPr="00405CDE">
              <w:rPr>
                <w:rFonts w:cs="Arial"/>
                <w:sz w:val="18"/>
                <w:szCs w:val="18"/>
              </w:rPr>
              <w:t>208</w:t>
            </w:r>
          </w:p>
        </w:tc>
        <w:tc>
          <w:tcPr>
            <w:tcW w:w="494"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9644</w:t>
            </w:r>
          </w:p>
        </w:tc>
        <w:tc>
          <w:tcPr>
            <w:tcW w:w="494" w:type="pct"/>
            <w:tcBorders>
              <w:top w:val="nil"/>
              <w:bottom w:val="nil"/>
            </w:tcBorders>
          </w:tcPr>
          <w:p w:rsidR="003C7EFA" w:rsidRPr="00405CDE" w:rsidRDefault="003C7EFA" w:rsidP="001749E6">
            <w:pPr>
              <w:jc w:val="center"/>
              <w:rPr>
                <w:rFonts w:cs="Arial"/>
                <w:sz w:val="18"/>
                <w:szCs w:val="18"/>
              </w:rPr>
            </w:pPr>
            <w:r w:rsidRPr="00405CDE">
              <w:rPr>
                <w:rFonts w:cs="Arial"/>
                <w:sz w:val="18"/>
                <w:szCs w:val="18"/>
              </w:rPr>
              <w:t>9759</w:t>
            </w:r>
          </w:p>
        </w:tc>
      </w:tr>
      <w:tr w:rsidR="003C7EFA" w:rsidRPr="00405CDE" w:rsidTr="00066FEF">
        <w:trPr>
          <w:trHeight w:val="510"/>
        </w:trPr>
        <w:tc>
          <w:tcPr>
            <w:tcW w:w="567" w:type="pct"/>
            <w:tcBorders>
              <w:top w:val="nil"/>
              <w:bottom w:val="nil"/>
            </w:tcBorders>
          </w:tcPr>
          <w:p w:rsidR="003C7EFA" w:rsidRPr="00405CDE" w:rsidRDefault="003C7EFA">
            <w:pPr>
              <w:rPr>
                <w:rFonts w:cs="Arial"/>
                <w:b/>
                <w:szCs w:val="18"/>
              </w:rPr>
            </w:pPr>
            <w:r w:rsidRPr="00405CDE">
              <w:rPr>
                <w:rFonts w:cs="Arial"/>
                <w:b/>
                <w:szCs w:val="18"/>
              </w:rPr>
              <w:t xml:space="preserve">Tas </w:t>
            </w:r>
          </w:p>
        </w:tc>
        <w:tc>
          <w:tcPr>
            <w:tcW w:w="514" w:type="pct"/>
            <w:tcBorders>
              <w:top w:val="nil"/>
              <w:bottom w:val="nil"/>
            </w:tcBorders>
          </w:tcPr>
          <w:p w:rsidR="003C7EFA" w:rsidRPr="00405CDE" w:rsidRDefault="003C7EFA" w:rsidP="001749E6">
            <w:pPr>
              <w:jc w:val="center"/>
              <w:rPr>
                <w:rFonts w:cs="Arial"/>
                <w:szCs w:val="18"/>
              </w:rPr>
            </w:pPr>
            <w:r w:rsidRPr="00405CDE">
              <w:rPr>
                <w:rFonts w:cs="Arial"/>
                <w:szCs w:val="18"/>
              </w:rPr>
              <w:t>-137.27</w:t>
            </w:r>
          </w:p>
        </w:tc>
        <w:tc>
          <w:tcPr>
            <w:tcW w:w="494" w:type="pct"/>
            <w:tcBorders>
              <w:top w:val="nil"/>
              <w:bottom w:val="nil"/>
            </w:tcBorders>
          </w:tcPr>
          <w:p w:rsidR="003C7EFA" w:rsidRPr="00405CDE" w:rsidRDefault="003C7EFA" w:rsidP="001749E6">
            <w:pPr>
              <w:jc w:val="center"/>
              <w:rPr>
                <w:rFonts w:cs="Arial"/>
                <w:szCs w:val="18"/>
              </w:rPr>
            </w:pPr>
            <w:r w:rsidRPr="00405CDE">
              <w:rPr>
                <w:rFonts w:cs="Arial"/>
                <w:szCs w:val="18"/>
              </w:rPr>
              <w:t>38.06</w:t>
            </w:r>
          </w:p>
        </w:tc>
        <w:tc>
          <w:tcPr>
            <w:tcW w:w="495" w:type="pct"/>
            <w:tcBorders>
              <w:top w:val="nil"/>
              <w:bottom w:val="nil"/>
            </w:tcBorders>
          </w:tcPr>
          <w:p w:rsidR="003C7EFA" w:rsidRPr="00405CDE" w:rsidRDefault="003C7EFA" w:rsidP="001749E6">
            <w:pPr>
              <w:jc w:val="center"/>
              <w:rPr>
                <w:rFonts w:cs="Arial"/>
                <w:szCs w:val="18"/>
              </w:rPr>
            </w:pPr>
            <w:r w:rsidRPr="00405CDE">
              <w:rPr>
                <w:rFonts w:cs="Arial"/>
                <w:szCs w:val="18"/>
              </w:rPr>
              <w:t>37.55</w:t>
            </w:r>
          </w:p>
        </w:tc>
        <w:tc>
          <w:tcPr>
            <w:tcW w:w="477" w:type="pct"/>
            <w:tcBorders>
              <w:top w:val="nil"/>
              <w:bottom w:val="nil"/>
            </w:tcBorders>
          </w:tcPr>
          <w:p w:rsidR="003C7EFA" w:rsidRPr="00405CDE" w:rsidRDefault="003C7EFA" w:rsidP="001749E6">
            <w:pPr>
              <w:jc w:val="center"/>
              <w:rPr>
                <w:rFonts w:cs="Arial"/>
                <w:szCs w:val="18"/>
              </w:rPr>
            </w:pPr>
            <w:r w:rsidRPr="00405CDE">
              <w:rPr>
                <w:rFonts w:cs="Arial"/>
                <w:szCs w:val="18"/>
              </w:rPr>
              <w:t>1355</w:t>
            </w:r>
          </w:p>
        </w:tc>
        <w:tc>
          <w:tcPr>
            <w:tcW w:w="494" w:type="pct"/>
            <w:tcBorders>
              <w:top w:val="nil"/>
              <w:bottom w:val="nil"/>
            </w:tcBorders>
          </w:tcPr>
          <w:p w:rsidR="003C7EFA" w:rsidRPr="00405CDE" w:rsidRDefault="003C7EFA" w:rsidP="001749E6">
            <w:pPr>
              <w:jc w:val="center"/>
              <w:rPr>
                <w:rFonts w:cs="Arial"/>
                <w:szCs w:val="18"/>
              </w:rPr>
            </w:pPr>
            <w:r w:rsidRPr="00405CDE">
              <w:rPr>
                <w:rFonts w:cs="Arial"/>
                <w:szCs w:val="18"/>
              </w:rPr>
              <w:t>1318</w:t>
            </w:r>
          </w:p>
        </w:tc>
        <w:tc>
          <w:tcPr>
            <w:tcW w:w="494" w:type="pct"/>
            <w:tcBorders>
              <w:top w:val="nil"/>
              <w:bottom w:val="nil"/>
            </w:tcBorders>
          </w:tcPr>
          <w:p w:rsidR="003C7EFA" w:rsidRPr="00405CDE" w:rsidRDefault="003C7EFA" w:rsidP="001749E6">
            <w:pPr>
              <w:jc w:val="center"/>
              <w:rPr>
                <w:rFonts w:cs="Arial"/>
                <w:szCs w:val="18"/>
              </w:rPr>
            </w:pPr>
            <w:r w:rsidRPr="00405CDE">
              <w:rPr>
                <w:rFonts w:cs="Arial"/>
                <w:szCs w:val="18"/>
              </w:rPr>
              <w:t>1320</w:t>
            </w:r>
          </w:p>
        </w:tc>
        <w:tc>
          <w:tcPr>
            <w:tcW w:w="477" w:type="pct"/>
            <w:tcBorders>
              <w:top w:val="nil"/>
              <w:bottom w:val="nil"/>
            </w:tcBorders>
          </w:tcPr>
          <w:p w:rsidR="003C7EFA" w:rsidRPr="00405CDE" w:rsidRDefault="003C7EFA" w:rsidP="001749E6">
            <w:pPr>
              <w:jc w:val="center"/>
              <w:rPr>
                <w:rFonts w:cs="Arial"/>
                <w:szCs w:val="18"/>
              </w:rPr>
            </w:pPr>
            <w:r w:rsidRPr="00405CDE">
              <w:rPr>
                <w:rFonts w:cs="Arial"/>
                <w:szCs w:val="18"/>
              </w:rPr>
              <w:t>2110</w:t>
            </w:r>
          </w:p>
        </w:tc>
        <w:tc>
          <w:tcPr>
            <w:tcW w:w="494" w:type="pct"/>
            <w:tcBorders>
              <w:top w:val="nil"/>
              <w:bottom w:val="nil"/>
            </w:tcBorders>
          </w:tcPr>
          <w:p w:rsidR="003C7EFA" w:rsidRPr="00405CDE" w:rsidRDefault="003C7EFA" w:rsidP="001749E6">
            <w:pPr>
              <w:jc w:val="center"/>
              <w:rPr>
                <w:rFonts w:cs="Arial"/>
                <w:szCs w:val="18"/>
              </w:rPr>
            </w:pPr>
            <w:r w:rsidRPr="00405CDE">
              <w:rPr>
                <w:rFonts w:cs="Arial"/>
                <w:szCs w:val="18"/>
              </w:rPr>
              <w:t>2110</w:t>
            </w:r>
          </w:p>
        </w:tc>
        <w:tc>
          <w:tcPr>
            <w:tcW w:w="494" w:type="pct"/>
            <w:tcBorders>
              <w:top w:val="nil"/>
              <w:bottom w:val="nil"/>
            </w:tcBorders>
          </w:tcPr>
          <w:p w:rsidR="003C7EFA" w:rsidRPr="00405CDE" w:rsidRDefault="003C7EFA" w:rsidP="001749E6">
            <w:pPr>
              <w:jc w:val="center"/>
              <w:rPr>
                <w:rFonts w:cs="Arial"/>
                <w:szCs w:val="18"/>
              </w:rPr>
            </w:pPr>
            <w:r w:rsidRPr="00405CDE">
              <w:rPr>
                <w:rFonts w:cs="Arial"/>
                <w:szCs w:val="18"/>
              </w:rPr>
              <w:t>2110</w:t>
            </w:r>
          </w:p>
        </w:tc>
      </w:tr>
    </w:tbl>
    <w:p w:rsidR="00772A45" w:rsidRDefault="00A84061" w:rsidP="00772A45">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Actual prices were not forecast until </w:t>
      </w:r>
      <w:r w:rsidR="00772A45">
        <w:rPr>
          <w:rFonts w:eastAsia="Times New Roman" w:cs="Arial"/>
          <w:bCs/>
          <w:lang w:eastAsia="en-AU"/>
        </w:rPr>
        <w:t xml:space="preserve">around </w:t>
      </w:r>
      <w:r>
        <w:rPr>
          <w:rFonts w:eastAsia="Times New Roman" w:cs="Arial"/>
          <w:bCs/>
          <w:lang w:eastAsia="en-AU"/>
        </w:rPr>
        <w:t>8.</w:t>
      </w:r>
      <w:r w:rsidR="00DD50F3">
        <w:rPr>
          <w:rFonts w:eastAsia="Times New Roman" w:cs="Arial"/>
          <w:bCs/>
          <w:lang w:eastAsia="en-AU"/>
        </w:rPr>
        <w:t>4</w:t>
      </w:r>
      <w:r>
        <w:rPr>
          <w:rFonts w:eastAsia="Times New Roman" w:cs="Arial"/>
          <w:bCs/>
          <w:lang w:eastAsia="en-AU"/>
        </w:rPr>
        <w:t xml:space="preserve">0 am when AEMO invoked ramping constraints </w:t>
      </w:r>
      <w:r w:rsidRPr="0059565D">
        <w:rPr>
          <w:rFonts w:eastAsia="Times New Roman" w:cs="Arial"/>
          <w:bCs/>
          <w:lang w:eastAsia="en-AU"/>
        </w:rPr>
        <w:t>in preparation for planned works on the Kemps Creek no.3 500/330 kV transformer</w:t>
      </w:r>
      <w:r w:rsidR="00E70FC1">
        <w:rPr>
          <w:rFonts w:eastAsia="Times New Roman" w:cs="Arial"/>
          <w:bCs/>
          <w:lang w:eastAsia="en-AU"/>
        </w:rPr>
        <w:t>. These constraints</w:t>
      </w:r>
      <w:r w:rsidR="00E70FC1" w:rsidRPr="00E70FC1">
        <w:rPr>
          <w:rFonts w:eastAsia="Times New Roman" w:cs="Arial"/>
          <w:bCs/>
          <w:lang w:eastAsia="en-AU"/>
        </w:rPr>
        <w:t xml:space="preserve"> </w:t>
      </w:r>
      <w:r w:rsidR="00E70FC1">
        <w:rPr>
          <w:rFonts w:eastAsia="Times New Roman" w:cs="Arial"/>
          <w:bCs/>
          <w:lang w:eastAsia="en-AU"/>
        </w:rPr>
        <w:t>assist in reducing the loading on the transformer and affect a majority of generators in New South Wales. These constraints violated for the majority of the 9 am trading interval resulting in number of generators</w:t>
      </w:r>
      <w:r w:rsidR="00E70FC1" w:rsidRPr="00745242">
        <w:rPr>
          <w:rFonts w:eastAsia="Times New Roman" w:cs="Arial"/>
          <w:bCs/>
          <w:lang w:eastAsia="en-AU"/>
        </w:rPr>
        <w:t xml:space="preserve"> </w:t>
      </w:r>
      <w:r w:rsidR="00E70FC1">
        <w:rPr>
          <w:rFonts w:eastAsia="Times New Roman" w:cs="Arial"/>
          <w:bCs/>
          <w:lang w:eastAsia="en-AU"/>
        </w:rPr>
        <w:t>being constraining off.</w:t>
      </w:r>
    </w:p>
    <w:p w:rsidR="00772A45" w:rsidRDefault="00772A45" w:rsidP="00772A45">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From 8.40 am a number of system normal constraints started to bind. One constraint is used to avoid the post contingent overload </w:t>
      </w:r>
      <w:r w:rsidRPr="002E19FC">
        <w:rPr>
          <w:rFonts w:eastAsia="Times New Roman" w:cs="Arial"/>
          <w:bCs/>
          <w:lang w:eastAsia="en-AU"/>
        </w:rPr>
        <w:t xml:space="preserve">Murray to Upper Tumut no.65 330kV line for the loss of Murray </w:t>
      </w:r>
      <w:r>
        <w:rPr>
          <w:rFonts w:eastAsia="Times New Roman" w:cs="Arial"/>
          <w:bCs/>
          <w:lang w:eastAsia="en-AU"/>
        </w:rPr>
        <w:t xml:space="preserve">to Lower Tumut no 66 330kV line and led to a number of New South Wales generators being further constrained. Another </w:t>
      </w:r>
      <w:r w:rsidR="00066FEF">
        <w:rPr>
          <w:rFonts w:eastAsia="Times New Roman" w:cs="Arial"/>
          <w:bCs/>
          <w:lang w:eastAsia="en-AU"/>
        </w:rPr>
        <w:t xml:space="preserve">system normal </w:t>
      </w:r>
      <w:r>
        <w:rPr>
          <w:rFonts w:eastAsia="Times New Roman" w:cs="Arial"/>
          <w:bCs/>
          <w:lang w:eastAsia="en-AU"/>
        </w:rPr>
        <w:t>constraint</w:t>
      </w:r>
      <w:r w:rsidR="00066FEF">
        <w:rPr>
          <w:rFonts w:eastAsia="Times New Roman" w:cs="Arial"/>
          <w:bCs/>
          <w:lang w:eastAsia="en-AU"/>
        </w:rPr>
        <w:t>,</w:t>
      </w:r>
      <w:r>
        <w:rPr>
          <w:rFonts w:eastAsia="Times New Roman" w:cs="Arial"/>
          <w:bCs/>
          <w:lang w:eastAsia="en-AU"/>
        </w:rPr>
        <w:t xml:space="preserve"> to avoid </w:t>
      </w:r>
      <w:r w:rsidR="00CF286F">
        <w:rPr>
          <w:rFonts w:eastAsia="Times New Roman" w:cs="Arial"/>
          <w:bCs/>
          <w:lang w:eastAsia="en-AU"/>
        </w:rPr>
        <w:t xml:space="preserve">the </w:t>
      </w:r>
      <w:r>
        <w:rPr>
          <w:rFonts w:eastAsia="Times New Roman" w:cs="Arial"/>
          <w:bCs/>
          <w:lang w:eastAsia="en-AU"/>
        </w:rPr>
        <w:t>overloading the South Morang F2 500/330 kV transformer</w:t>
      </w:r>
      <w:r w:rsidR="00066FEF">
        <w:rPr>
          <w:rFonts w:eastAsia="Times New Roman" w:cs="Arial"/>
          <w:bCs/>
          <w:lang w:eastAsia="en-AU"/>
        </w:rPr>
        <w:t>,</w:t>
      </w:r>
      <w:r>
        <w:rPr>
          <w:rFonts w:eastAsia="Times New Roman" w:cs="Arial"/>
          <w:bCs/>
          <w:lang w:eastAsia="en-AU"/>
        </w:rPr>
        <w:t xml:space="preserve"> led to a number of Victorian generators being constrained off.</w:t>
      </w:r>
    </w:p>
    <w:p w:rsidR="00772A45" w:rsidRDefault="00772A45" w:rsidP="00772A45">
      <w:pPr>
        <w:spacing w:before="100" w:beforeAutospacing="1" w:after="100" w:afterAutospacing="1" w:line="288" w:lineRule="auto"/>
        <w:jc w:val="both"/>
        <w:rPr>
          <w:rFonts w:eastAsia="Times New Roman" w:cs="Arial"/>
          <w:bCs/>
          <w:lang w:eastAsia="en-AU"/>
        </w:rPr>
      </w:pPr>
      <w:r>
        <w:rPr>
          <w:rFonts w:eastAsia="Times New Roman" w:cs="Arial"/>
          <w:bCs/>
          <w:lang w:eastAsia="en-AU"/>
        </w:rPr>
        <w:t>These</w:t>
      </w:r>
      <w:r w:rsidRPr="006E2C26">
        <w:rPr>
          <w:rFonts w:eastAsia="Times New Roman" w:cs="Arial"/>
          <w:bCs/>
          <w:lang w:eastAsia="en-AU"/>
        </w:rPr>
        <w:t xml:space="preserve"> constraint</w:t>
      </w:r>
      <w:r>
        <w:rPr>
          <w:rFonts w:eastAsia="Times New Roman" w:cs="Arial"/>
          <w:bCs/>
          <w:lang w:eastAsia="en-AU"/>
        </w:rPr>
        <w:t xml:space="preserve">s </w:t>
      </w:r>
      <w:r w:rsidRPr="006E2C26">
        <w:rPr>
          <w:rFonts w:eastAsia="Times New Roman" w:cs="Arial"/>
          <w:bCs/>
          <w:lang w:eastAsia="en-AU"/>
        </w:rPr>
        <w:t xml:space="preserve">led to rapid changes in the flow of QNI, </w:t>
      </w:r>
      <w:r w:rsidR="00D62F55">
        <w:rPr>
          <w:rFonts w:eastAsia="Times New Roman" w:cs="Arial"/>
          <w:bCs/>
          <w:lang w:eastAsia="en-AU"/>
        </w:rPr>
        <w:t>Terranorra</w:t>
      </w:r>
      <w:r w:rsidRPr="006E2C26">
        <w:rPr>
          <w:rFonts w:eastAsia="Times New Roman" w:cs="Arial"/>
          <w:bCs/>
          <w:lang w:eastAsia="en-AU"/>
        </w:rPr>
        <w:t xml:space="preserve"> and </w:t>
      </w:r>
      <w:r>
        <w:rPr>
          <w:rFonts w:eastAsia="Times New Roman" w:cs="Arial"/>
          <w:bCs/>
          <w:lang w:eastAsia="en-AU"/>
        </w:rPr>
        <w:t xml:space="preserve">the </w:t>
      </w:r>
      <w:r w:rsidRPr="006E2C26">
        <w:rPr>
          <w:rFonts w:eastAsia="Times New Roman" w:cs="Arial"/>
          <w:bCs/>
          <w:lang w:eastAsia="en-AU"/>
        </w:rPr>
        <w:t>Vic-NSW interconnectors. QNI</w:t>
      </w:r>
      <w:r>
        <w:rPr>
          <w:rFonts w:eastAsia="Times New Roman" w:cs="Arial"/>
          <w:bCs/>
          <w:lang w:eastAsia="en-AU"/>
        </w:rPr>
        <w:t xml:space="preserve"> flows went from importing 266</w:t>
      </w:r>
      <w:r w:rsidR="00D62F55">
        <w:rPr>
          <w:rFonts w:eastAsia="Times New Roman" w:cs="Arial"/>
          <w:bCs/>
          <w:lang w:eastAsia="en-AU"/>
        </w:rPr>
        <w:t> </w:t>
      </w:r>
      <w:r>
        <w:rPr>
          <w:rFonts w:eastAsia="Times New Roman" w:cs="Arial"/>
          <w:bCs/>
          <w:lang w:eastAsia="en-AU"/>
        </w:rPr>
        <w:t xml:space="preserve">MW into </w:t>
      </w:r>
      <w:r w:rsidR="00D62F55">
        <w:rPr>
          <w:rFonts w:eastAsia="Times New Roman" w:cs="Arial"/>
          <w:bCs/>
          <w:lang w:eastAsia="en-AU"/>
        </w:rPr>
        <w:t xml:space="preserve">New South Wales </w:t>
      </w:r>
      <w:r>
        <w:rPr>
          <w:rFonts w:eastAsia="Times New Roman" w:cs="Arial"/>
          <w:bCs/>
          <w:lang w:eastAsia="en-AU"/>
        </w:rPr>
        <w:t>at</w:t>
      </w:r>
      <w:r w:rsidRPr="006E2C26">
        <w:rPr>
          <w:rFonts w:eastAsia="Times New Roman" w:cs="Arial"/>
          <w:bCs/>
          <w:lang w:eastAsia="en-AU"/>
        </w:rPr>
        <w:t xml:space="preserve"> 8.35</w:t>
      </w:r>
      <w:r w:rsidR="00D62F55">
        <w:rPr>
          <w:rFonts w:eastAsia="Times New Roman" w:cs="Arial"/>
          <w:bCs/>
          <w:lang w:eastAsia="en-AU"/>
        </w:rPr>
        <w:t> </w:t>
      </w:r>
      <w:r w:rsidRPr="006E2C26">
        <w:rPr>
          <w:rFonts w:eastAsia="Times New Roman" w:cs="Arial"/>
          <w:bCs/>
          <w:lang w:eastAsia="en-AU"/>
        </w:rPr>
        <w:t>am</w:t>
      </w:r>
      <w:r>
        <w:rPr>
          <w:rFonts w:eastAsia="Times New Roman" w:cs="Arial"/>
          <w:bCs/>
          <w:lang w:eastAsia="en-AU"/>
        </w:rPr>
        <w:t xml:space="preserve"> to </w:t>
      </w:r>
      <w:r w:rsidRPr="006E2C26">
        <w:rPr>
          <w:rFonts w:eastAsia="Times New Roman" w:cs="Arial"/>
          <w:bCs/>
          <w:lang w:eastAsia="en-AU"/>
        </w:rPr>
        <w:t>exporting</w:t>
      </w:r>
      <w:r>
        <w:rPr>
          <w:rFonts w:eastAsia="Times New Roman" w:cs="Arial"/>
          <w:bCs/>
          <w:lang w:eastAsia="en-AU"/>
        </w:rPr>
        <w:t>196</w:t>
      </w:r>
      <w:r w:rsidR="00D62F55">
        <w:rPr>
          <w:rFonts w:eastAsia="Times New Roman" w:cs="Arial"/>
          <w:bCs/>
          <w:lang w:eastAsia="en-AU"/>
        </w:rPr>
        <w:t> </w:t>
      </w:r>
      <w:r>
        <w:rPr>
          <w:rFonts w:eastAsia="Times New Roman" w:cs="Arial"/>
          <w:bCs/>
          <w:lang w:eastAsia="en-AU"/>
        </w:rPr>
        <w:t xml:space="preserve">MW </w:t>
      </w:r>
      <w:r w:rsidRPr="006E2C26">
        <w:rPr>
          <w:rFonts w:eastAsia="Times New Roman" w:cs="Arial"/>
          <w:bCs/>
          <w:lang w:eastAsia="en-AU"/>
        </w:rPr>
        <w:t>to Q</w:t>
      </w:r>
      <w:r>
        <w:rPr>
          <w:rFonts w:eastAsia="Times New Roman" w:cs="Arial"/>
          <w:bCs/>
          <w:lang w:eastAsia="en-AU"/>
        </w:rPr>
        <w:t>ueenslan</w:t>
      </w:r>
      <w:r w:rsidRPr="006E2C26">
        <w:rPr>
          <w:rFonts w:eastAsia="Times New Roman" w:cs="Arial"/>
          <w:bCs/>
          <w:lang w:eastAsia="en-AU"/>
        </w:rPr>
        <w:t xml:space="preserve">d </w:t>
      </w:r>
      <w:r>
        <w:rPr>
          <w:rFonts w:eastAsia="Times New Roman" w:cs="Arial"/>
          <w:bCs/>
          <w:lang w:eastAsia="en-AU"/>
        </w:rPr>
        <w:t xml:space="preserve">at </w:t>
      </w:r>
      <w:r w:rsidRPr="006E2C26">
        <w:rPr>
          <w:rFonts w:eastAsia="Times New Roman" w:cs="Arial"/>
          <w:bCs/>
          <w:lang w:eastAsia="en-AU"/>
        </w:rPr>
        <w:t>8.50</w:t>
      </w:r>
      <w:r w:rsidR="00D62F55">
        <w:rPr>
          <w:rFonts w:eastAsia="Times New Roman" w:cs="Arial"/>
          <w:bCs/>
          <w:lang w:eastAsia="en-AU"/>
        </w:rPr>
        <w:t> </w:t>
      </w:r>
      <w:r w:rsidRPr="006E2C26">
        <w:rPr>
          <w:rFonts w:eastAsia="Times New Roman" w:cs="Arial"/>
          <w:bCs/>
          <w:lang w:eastAsia="en-AU"/>
        </w:rPr>
        <w:t>am</w:t>
      </w:r>
      <w:r>
        <w:rPr>
          <w:rFonts w:eastAsia="Times New Roman" w:cs="Arial"/>
          <w:bCs/>
          <w:lang w:eastAsia="en-AU"/>
        </w:rPr>
        <w:t xml:space="preserve">. </w:t>
      </w:r>
      <w:r w:rsidR="00D62F55">
        <w:rPr>
          <w:rFonts w:eastAsia="Times New Roman" w:cs="Arial"/>
          <w:bCs/>
          <w:lang w:eastAsia="en-AU"/>
        </w:rPr>
        <w:t>Terranora</w:t>
      </w:r>
      <w:r>
        <w:rPr>
          <w:rFonts w:eastAsia="Times New Roman" w:cs="Arial"/>
          <w:bCs/>
          <w:lang w:eastAsia="en-AU"/>
        </w:rPr>
        <w:t xml:space="preserve"> went from importing 57</w:t>
      </w:r>
      <w:r w:rsidR="00D62F55">
        <w:rPr>
          <w:rFonts w:eastAsia="Times New Roman" w:cs="Arial"/>
          <w:bCs/>
          <w:lang w:eastAsia="en-AU"/>
        </w:rPr>
        <w:t> </w:t>
      </w:r>
      <w:r>
        <w:rPr>
          <w:rFonts w:eastAsia="Times New Roman" w:cs="Arial"/>
          <w:bCs/>
          <w:lang w:eastAsia="en-AU"/>
        </w:rPr>
        <w:t xml:space="preserve">MW into </w:t>
      </w:r>
      <w:r w:rsidR="00D62F55">
        <w:rPr>
          <w:rFonts w:eastAsia="Times New Roman" w:cs="Arial"/>
          <w:bCs/>
          <w:lang w:eastAsia="en-AU"/>
        </w:rPr>
        <w:t xml:space="preserve">New South Wales </w:t>
      </w:r>
      <w:r>
        <w:rPr>
          <w:rFonts w:eastAsia="Times New Roman" w:cs="Arial"/>
          <w:bCs/>
          <w:lang w:eastAsia="en-AU"/>
        </w:rPr>
        <w:t>at 8.35</w:t>
      </w:r>
      <w:r w:rsidR="00D62F55">
        <w:rPr>
          <w:rFonts w:eastAsia="Times New Roman" w:cs="Arial"/>
          <w:bCs/>
          <w:lang w:eastAsia="en-AU"/>
        </w:rPr>
        <w:t> </w:t>
      </w:r>
      <w:r>
        <w:rPr>
          <w:rFonts w:eastAsia="Times New Roman" w:cs="Arial"/>
          <w:bCs/>
          <w:lang w:eastAsia="en-AU"/>
        </w:rPr>
        <w:t>am to exporting 5</w:t>
      </w:r>
      <w:r w:rsidR="00D62F55">
        <w:rPr>
          <w:rFonts w:eastAsia="Times New Roman" w:cs="Arial"/>
          <w:bCs/>
          <w:lang w:eastAsia="en-AU"/>
        </w:rPr>
        <w:t> </w:t>
      </w:r>
      <w:r>
        <w:rPr>
          <w:rFonts w:eastAsia="Times New Roman" w:cs="Arial"/>
          <w:bCs/>
          <w:lang w:eastAsia="en-AU"/>
        </w:rPr>
        <w:t>MW to Queensland at 8.50</w:t>
      </w:r>
      <w:r w:rsidR="00D62F55">
        <w:rPr>
          <w:rFonts w:eastAsia="Times New Roman" w:cs="Arial"/>
          <w:bCs/>
          <w:lang w:eastAsia="en-AU"/>
        </w:rPr>
        <w:t> </w:t>
      </w:r>
      <w:r>
        <w:rPr>
          <w:rFonts w:eastAsia="Times New Roman" w:cs="Arial"/>
          <w:bCs/>
          <w:lang w:eastAsia="en-AU"/>
        </w:rPr>
        <w:t>am.</w:t>
      </w:r>
    </w:p>
    <w:p w:rsidR="00772A45" w:rsidRDefault="00772A45" w:rsidP="00772A45">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The VIC-NSW interconnector also rapidly increased flows into </w:t>
      </w:r>
      <w:r w:rsidR="00D62F55">
        <w:rPr>
          <w:rFonts w:eastAsia="Times New Roman" w:cs="Arial"/>
          <w:bCs/>
          <w:lang w:eastAsia="en-AU"/>
        </w:rPr>
        <w:t xml:space="preserve">New South Wales </w:t>
      </w:r>
      <w:r>
        <w:rPr>
          <w:rFonts w:eastAsia="Times New Roman" w:cs="Arial"/>
          <w:bCs/>
          <w:lang w:eastAsia="en-AU"/>
        </w:rPr>
        <w:t>from 1053</w:t>
      </w:r>
      <w:r w:rsidR="00D62F55">
        <w:rPr>
          <w:rFonts w:eastAsia="Times New Roman" w:cs="Arial"/>
          <w:bCs/>
          <w:lang w:eastAsia="en-AU"/>
        </w:rPr>
        <w:t> </w:t>
      </w:r>
      <w:r>
        <w:rPr>
          <w:rFonts w:eastAsia="Times New Roman" w:cs="Arial"/>
          <w:bCs/>
          <w:lang w:eastAsia="en-AU"/>
        </w:rPr>
        <w:t>MW at 8.35</w:t>
      </w:r>
      <w:r w:rsidR="00D62F55">
        <w:rPr>
          <w:rFonts w:eastAsia="Times New Roman" w:cs="Arial"/>
          <w:bCs/>
          <w:lang w:eastAsia="en-AU"/>
        </w:rPr>
        <w:t> </w:t>
      </w:r>
      <w:r>
        <w:rPr>
          <w:rFonts w:eastAsia="Times New Roman" w:cs="Arial"/>
          <w:bCs/>
          <w:lang w:eastAsia="en-AU"/>
        </w:rPr>
        <w:t>am to 1705</w:t>
      </w:r>
      <w:r w:rsidR="00D62F55">
        <w:rPr>
          <w:rFonts w:eastAsia="Times New Roman" w:cs="Arial"/>
          <w:bCs/>
          <w:lang w:eastAsia="en-AU"/>
        </w:rPr>
        <w:t> </w:t>
      </w:r>
      <w:r>
        <w:rPr>
          <w:rFonts w:eastAsia="Times New Roman" w:cs="Arial"/>
          <w:bCs/>
          <w:lang w:eastAsia="en-AU"/>
        </w:rPr>
        <w:t>MW by 8.45</w:t>
      </w:r>
      <w:r w:rsidR="00D62F55">
        <w:rPr>
          <w:rFonts w:eastAsia="Times New Roman" w:cs="Arial"/>
          <w:bCs/>
          <w:lang w:eastAsia="en-AU"/>
        </w:rPr>
        <w:t> </w:t>
      </w:r>
      <w:r>
        <w:rPr>
          <w:rFonts w:eastAsia="Times New Roman" w:cs="Arial"/>
          <w:bCs/>
          <w:lang w:eastAsia="en-AU"/>
        </w:rPr>
        <w:t>am</w:t>
      </w:r>
      <w:r w:rsidR="00D62F55">
        <w:rPr>
          <w:rFonts w:eastAsia="Times New Roman" w:cs="Arial"/>
          <w:bCs/>
          <w:lang w:eastAsia="en-AU"/>
        </w:rPr>
        <w:t xml:space="preserve"> (counter price)</w:t>
      </w:r>
      <w:r>
        <w:rPr>
          <w:rFonts w:eastAsia="Times New Roman" w:cs="Arial"/>
          <w:bCs/>
          <w:lang w:eastAsia="en-AU"/>
        </w:rPr>
        <w:t xml:space="preserve">. These flows were </w:t>
      </w:r>
      <w:r w:rsidR="00D62F55">
        <w:rPr>
          <w:rFonts w:eastAsia="Times New Roman" w:cs="Arial"/>
          <w:bCs/>
          <w:lang w:eastAsia="en-AU"/>
        </w:rPr>
        <w:t>reduced</w:t>
      </w:r>
      <w:r>
        <w:rPr>
          <w:rFonts w:eastAsia="Times New Roman" w:cs="Arial"/>
          <w:bCs/>
          <w:lang w:eastAsia="en-AU"/>
        </w:rPr>
        <w:t xml:space="preserve"> </w:t>
      </w:r>
      <w:r w:rsidR="00D62F55">
        <w:rPr>
          <w:rFonts w:eastAsia="Times New Roman" w:cs="Arial"/>
          <w:bCs/>
          <w:lang w:eastAsia="en-AU"/>
        </w:rPr>
        <w:t xml:space="preserve">at 8.50 am </w:t>
      </w:r>
      <w:r>
        <w:rPr>
          <w:rFonts w:eastAsia="Times New Roman" w:cs="Arial"/>
          <w:bCs/>
          <w:lang w:eastAsia="en-AU"/>
        </w:rPr>
        <w:t xml:space="preserve">when a constraint to manage the negative settlement residues </w:t>
      </w:r>
      <w:r w:rsidR="00D62F55">
        <w:rPr>
          <w:rFonts w:eastAsia="Times New Roman" w:cs="Arial"/>
          <w:bCs/>
          <w:lang w:eastAsia="en-AU"/>
        </w:rPr>
        <w:t>bound</w:t>
      </w:r>
      <w:r>
        <w:rPr>
          <w:rFonts w:eastAsia="Times New Roman" w:cs="Arial"/>
          <w:bCs/>
          <w:lang w:eastAsia="en-AU"/>
        </w:rPr>
        <w:t xml:space="preserve">. </w:t>
      </w:r>
    </w:p>
    <w:p w:rsidR="00CF286F" w:rsidRDefault="00CF286F" w:rsidP="00772A45">
      <w:pPr>
        <w:spacing w:before="100" w:beforeAutospacing="1" w:after="100" w:afterAutospacing="1" w:line="288" w:lineRule="auto"/>
        <w:jc w:val="both"/>
        <w:rPr>
          <w:rFonts w:eastAsia="Times New Roman" w:cs="Arial"/>
          <w:bCs/>
          <w:lang w:eastAsia="en-AU"/>
        </w:rPr>
      </w:pPr>
      <w:r>
        <w:rPr>
          <w:rFonts w:eastAsia="Times New Roman" w:cs="Arial"/>
          <w:bCs/>
          <w:lang w:eastAsia="en-AU"/>
        </w:rPr>
        <w:t>These changes saw the price in New South Wales increase to $205/MWh at 8.40 am. As a result participants in New South Wales rebid capacity to the price floor.</w:t>
      </w:r>
    </w:p>
    <w:p w:rsidR="0004189D" w:rsidRDefault="0004189D" w:rsidP="0004189D">
      <w:pPr>
        <w:pStyle w:val="Caption"/>
      </w:pPr>
      <w:r>
        <w:t xml:space="preserve">Table </w:t>
      </w:r>
      <w:r w:rsidR="00DF4596">
        <w:fldChar w:fldCharType="begin"/>
      </w:r>
      <w:r w:rsidR="00DF4596">
        <w:instrText xml:space="preserve"> SEQ Table \* ARABIC</w:instrText>
      </w:r>
      <w:r w:rsidR="00DF4596">
        <w:instrText xml:space="preserve"> </w:instrText>
      </w:r>
      <w:r w:rsidR="00DF4596">
        <w:fldChar w:fldCharType="separate"/>
      </w:r>
      <w:r w:rsidR="00066FEF">
        <w:rPr>
          <w:noProof/>
        </w:rPr>
        <w:t>11</w:t>
      </w:r>
      <w:r w:rsidR="00DF4596">
        <w:rPr>
          <w:noProof/>
        </w:rPr>
        <w:fldChar w:fldCharType="end"/>
      </w:r>
      <w:r>
        <w:t>:</w:t>
      </w:r>
      <w:r w:rsidRPr="00EE63B7">
        <w:t xml:space="preserve"> New South Wales, Victoria and Tasmania - dispatch prices during 9 am </w:t>
      </w:r>
      <w:r w:rsidR="005B38B2">
        <w:t>trading</w:t>
      </w:r>
      <w:r w:rsidRPr="00EE63B7">
        <w:t xml:space="preserve"> interval</w:t>
      </w:r>
    </w:p>
    <w:tbl>
      <w:tblPr>
        <w:tblStyle w:val="AERTable-Text"/>
        <w:tblW w:w="4732" w:type="pct"/>
        <w:tblLook w:val="04A0" w:firstRow="1" w:lastRow="0" w:firstColumn="1" w:lastColumn="0" w:noHBand="0" w:noVBand="1"/>
      </w:tblPr>
      <w:tblGrid>
        <w:gridCol w:w="1404"/>
        <w:gridCol w:w="1267"/>
        <w:gridCol w:w="1223"/>
        <w:gridCol w:w="1226"/>
        <w:gridCol w:w="1181"/>
        <w:gridCol w:w="1223"/>
        <w:gridCol w:w="1223"/>
      </w:tblGrid>
      <w:tr w:rsidR="004B0EE2" w:rsidRPr="00405CDE" w:rsidTr="004B0EE2">
        <w:trPr>
          <w:cnfStyle w:val="100000000000" w:firstRow="1" w:lastRow="0" w:firstColumn="0" w:lastColumn="0" w:oddVBand="0" w:evenVBand="0" w:oddHBand="0" w:evenHBand="0" w:firstRowFirstColumn="0" w:firstRowLastColumn="0" w:lastRowFirstColumn="0" w:lastRowLastColumn="0"/>
          <w:trHeight w:val="379"/>
          <w:tblHeader/>
        </w:trPr>
        <w:tc>
          <w:tcPr>
            <w:tcW w:w="803" w:type="pct"/>
            <w:tcBorders>
              <w:bottom w:val="nil"/>
            </w:tcBorders>
            <w:hideMark/>
          </w:tcPr>
          <w:p w:rsidR="004B0EE2" w:rsidRPr="00405CDE" w:rsidRDefault="004B0EE2" w:rsidP="004B0EE2">
            <w:pPr>
              <w:pStyle w:val="TableHeading"/>
              <w:jc w:val="center"/>
              <w:rPr>
                <w:rFonts w:cs="Arial"/>
              </w:rPr>
            </w:pPr>
            <w:r w:rsidRPr="00405CDE">
              <w:rPr>
                <w:rFonts w:cs="Arial"/>
              </w:rPr>
              <w:t xml:space="preserve">Region </w:t>
            </w:r>
          </w:p>
        </w:tc>
        <w:tc>
          <w:tcPr>
            <w:tcW w:w="4197" w:type="pct"/>
            <w:gridSpan w:val="6"/>
            <w:tcBorders>
              <w:bottom w:val="nil"/>
            </w:tcBorders>
            <w:hideMark/>
          </w:tcPr>
          <w:p w:rsidR="004B0EE2" w:rsidRPr="00405CDE" w:rsidRDefault="004B0EE2" w:rsidP="004B0EE2">
            <w:pPr>
              <w:pStyle w:val="TableHeading"/>
              <w:jc w:val="center"/>
              <w:rPr>
                <w:rFonts w:cs="Arial"/>
              </w:rPr>
            </w:pPr>
            <w:r w:rsidRPr="00405CDE">
              <w:rPr>
                <w:rFonts w:cs="Arial"/>
              </w:rPr>
              <w:t>Price ($/MWh)</w:t>
            </w:r>
          </w:p>
        </w:tc>
      </w:tr>
      <w:tr w:rsidR="004B0EE2" w:rsidRPr="00405CDE" w:rsidTr="0004189D">
        <w:trPr>
          <w:cnfStyle w:val="100000000000" w:firstRow="1" w:lastRow="0" w:firstColumn="0" w:lastColumn="0" w:oddVBand="0" w:evenVBand="0" w:oddHBand="0" w:evenHBand="0" w:firstRowFirstColumn="0" w:firstRowLastColumn="0" w:lastRowFirstColumn="0" w:lastRowLastColumn="0"/>
          <w:trHeight w:val="367"/>
          <w:tblHeader/>
        </w:trPr>
        <w:tc>
          <w:tcPr>
            <w:tcW w:w="803" w:type="pct"/>
            <w:tcBorders>
              <w:bottom w:val="nil"/>
            </w:tcBorders>
            <w:shd w:val="clear" w:color="auto" w:fill="007192" w:themeFill="accent3" w:themeFillShade="BF"/>
            <w:hideMark/>
          </w:tcPr>
          <w:p w:rsidR="004B0EE2" w:rsidRPr="00405CDE" w:rsidRDefault="004B0EE2" w:rsidP="004B0EE2">
            <w:pPr>
              <w:pStyle w:val="tableheadingline2"/>
              <w:rPr>
                <w:rFonts w:cs="Arial"/>
              </w:rPr>
            </w:pPr>
            <w:r w:rsidRPr="00405CDE">
              <w:rPr>
                <w:rFonts w:cs="Arial"/>
              </w:rPr>
              <w:t> </w:t>
            </w:r>
          </w:p>
        </w:tc>
        <w:tc>
          <w:tcPr>
            <w:tcW w:w="724" w:type="pct"/>
            <w:tcBorders>
              <w:bottom w:val="nil"/>
            </w:tcBorders>
            <w:shd w:val="clear" w:color="auto" w:fill="007192" w:themeFill="accent3" w:themeFillShade="BF"/>
          </w:tcPr>
          <w:p w:rsidR="004B0EE2" w:rsidRPr="00405CDE" w:rsidRDefault="004B0EE2" w:rsidP="004B0EE2">
            <w:pPr>
              <w:pStyle w:val="tableheadingline2"/>
              <w:rPr>
                <w:rFonts w:cs="Arial"/>
              </w:rPr>
            </w:pPr>
            <w:r w:rsidRPr="00405CDE">
              <w:rPr>
                <w:rFonts w:cs="Arial"/>
              </w:rPr>
              <w:t>8.35 am</w:t>
            </w:r>
          </w:p>
        </w:tc>
        <w:tc>
          <w:tcPr>
            <w:tcW w:w="699" w:type="pct"/>
            <w:tcBorders>
              <w:bottom w:val="nil"/>
            </w:tcBorders>
            <w:shd w:val="clear" w:color="auto" w:fill="007192" w:themeFill="accent3" w:themeFillShade="BF"/>
          </w:tcPr>
          <w:p w:rsidR="004B0EE2" w:rsidRPr="00405CDE" w:rsidRDefault="004B0EE2" w:rsidP="004B0EE2">
            <w:pPr>
              <w:pStyle w:val="tableheadingline2"/>
              <w:rPr>
                <w:rFonts w:cs="Arial"/>
              </w:rPr>
            </w:pPr>
            <w:r w:rsidRPr="00405CDE">
              <w:rPr>
                <w:rFonts w:cs="Arial"/>
              </w:rPr>
              <w:t>8.40</w:t>
            </w:r>
            <w:r w:rsidR="008364C4" w:rsidRPr="00405CDE">
              <w:rPr>
                <w:rFonts w:cs="Arial"/>
              </w:rPr>
              <w:t xml:space="preserve"> </w:t>
            </w:r>
            <w:r w:rsidRPr="00405CDE">
              <w:rPr>
                <w:rFonts w:cs="Arial"/>
              </w:rPr>
              <w:t xml:space="preserve">am </w:t>
            </w:r>
          </w:p>
        </w:tc>
        <w:tc>
          <w:tcPr>
            <w:tcW w:w="701" w:type="pct"/>
            <w:tcBorders>
              <w:bottom w:val="nil"/>
            </w:tcBorders>
            <w:shd w:val="clear" w:color="auto" w:fill="007192" w:themeFill="accent3" w:themeFillShade="BF"/>
          </w:tcPr>
          <w:p w:rsidR="004B0EE2" w:rsidRPr="00405CDE" w:rsidRDefault="004B0EE2" w:rsidP="004B0EE2">
            <w:pPr>
              <w:pStyle w:val="tableheadingline2"/>
              <w:rPr>
                <w:rFonts w:cs="Arial"/>
              </w:rPr>
            </w:pPr>
            <w:r w:rsidRPr="00405CDE">
              <w:rPr>
                <w:rFonts w:cs="Arial"/>
              </w:rPr>
              <w:t>8.45 am</w:t>
            </w:r>
          </w:p>
        </w:tc>
        <w:tc>
          <w:tcPr>
            <w:tcW w:w="675" w:type="pct"/>
            <w:tcBorders>
              <w:bottom w:val="nil"/>
            </w:tcBorders>
            <w:shd w:val="clear" w:color="auto" w:fill="007192" w:themeFill="accent3" w:themeFillShade="BF"/>
          </w:tcPr>
          <w:p w:rsidR="004B0EE2" w:rsidRPr="00405CDE" w:rsidRDefault="004B0EE2" w:rsidP="004B0EE2">
            <w:pPr>
              <w:pStyle w:val="tableheadingline2"/>
              <w:rPr>
                <w:rFonts w:cs="Arial"/>
              </w:rPr>
            </w:pPr>
            <w:r w:rsidRPr="00405CDE">
              <w:rPr>
                <w:rFonts w:cs="Arial"/>
              </w:rPr>
              <w:t>8.50 am</w:t>
            </w:r>
          </w:p>
        </w:tc>
        <w:tc>
          <w:tcPr>
            <w:tcW w:w="699" w:type="pct"/>
            <w:tcBorders>
              <w:bottom w:val="nil"/>
            </w:tcBorders>
            <w:shd w:val="clear" w:color="auto" w:fill="007192" w:themeFill="accent3" w:themeFillShade="BF"/>
          </w:tcPr>
          <w:p w:rsidR="004B0EE2" w:rsidRPr="00405CDE" w:rsidRDefault="004B0EE2" w:rsidP="004B0EE2">
            <w:pPr>
              <w:pStyle w:val="tableheadingline2"/>
              <w:rPr>
                <w:rFonts w:cs="Arial"/>
              </w:rPr>
            </w:pPr>
            <w:r w:rsidRPr="00405CDE">
              <w:rPr>
                <w:rFonts w:cs="Arial"/>
              </w:rPr>
              <w:t>8.55 am</w:t>
            </w:r>
          </w:p>
        </w:tc>
        <w:tc>
          <w:tcPr>
            <w:tcW w:w="699" w:type="pct"/>
            <w:tcBorders>
              <w:bottom w:val="nil"/>
            </w:tcBorders>
            <w:shd w:val="clear" w:color="auto" w:fill="007192" w:themeFill="accent3" w:themeFillShade="BF"/>
          </w:tcPr>
          <w:p w:rsidR="004B0EE2" w:rsidRPr="00405CDE" w:rsidRDefault="004B0EE2" w:rsidP="004B0EE2">
            <w:pPr>
              <w:pStyle w:val="tableheadingline2"/>
              <w:rPr>
                <w:rFonts w:cs="Arial"/>
              </w:rPr>
            </w:pPr>
            <w:r w:rsidRPr="00405CDE">
              <w:rPr>
                <w:rFonts w:cs="Arial"/>
              </w:rPr>
              <w:t>9 am</w:t>
            </w:r>
          </w:p>
        </w:tc>
      </w:tr>
      <w:tr w:rsidR="004B0EE2" w:rsidRPr="00405CDE" w:rsidTr="0004189D">
        <w:trPr>
          <w:trHeight w:val="397"/>
        </w:trPr>
        <w:tc>
          <w:tcPr>
            <w:tcW w:w="803" w:type="pct"/>
            <w:tcBorders>
              <w:top w:val="nil"/>
              <w:bottom w:val="nil"/>
            </w:tcBorders>
            <w:vAlign w:val="center"/>
          </w:tcPr>
          <w:p w:rsidR="004B0EE2" w:rsidRPr="00405CDE" w:rsidRDefault="004B0EE2" w:rsidP="004B0EE2">
            <w:pPr>
              <w:pStyle w:val="NormalWeb"/>
              <w:rPr>
                <w:rFonts w:ascii="Arial" w:hAnsi="Arial" w:cs="Arial"/>
                <w:b/>
                <w:sz w:val="18"/>
                <w:szCs w:val="18"/>
              </w:rPr>
            </w:pPr>
            <w:r w:rsidRPr="00405CDE">
              <w:rPr>
                <w:rFonts w:ascii="Arial" w:hAnsi="Arial" w:cs="Arial"/>
                <w:b/>
                <w:bCs/>
                <w:sz w:val="18"/>
                <w:szCs w:val="18"/>
              </w:rPr>
              <w:t>NSW</w:t>
            </w:r>
          </w:p>
        </w:tc>
        <w:tc>
          <w:tcPr>
            <w:tcW w:w="724" w:type="pct"/>
            <w:tcBorders>
              <w:top w:val="nil"/>
              <w:bottom w:val="nil"/>
            </w:tcBorders>
            <w:vAlign w:val="center"/>
          </w:tcPr>
          <w:p w:rsidR="004B0EE2" w:rsidRPr="00405CDE" w:rsidRDefault="004B0EE2" w:rsidP="004B0EE2">
            <w:pPr>
              <w:jc w:val="center"/>
              <w:rPr>
                <w:rFonts w:cs="Arial"/>
                <w:szCs w:val="18"/>
              </w:rPr>
            </w:pPr>
            <w:r w:rsidRPr="00405CDE">
              <w:rPr>
                <w:rFonts w:cs="Arial"/>
                <w:szCs w:val="18"/>
              </w:rPr>
              <w:t>47</w:t>
            </w:r>
          </w:p>
        </w:tc>
        <w:tc>
          <w:tcPr>
            <w:tcW w:w="699" w:type="pct"/>
            <w:tcBorders>
              <w:top w:val="nil"/>
              <w:bottom w:val="nil"/>
            </w:tcBorders>
            <w:vAlign w:val="center"/>
          </w:tcPr>
          <w:p w:rsidR="004B0EE2" w:rsidRPr="00405CDE" w:rsidRDefault="004B0EE2" w:rsidP="004B0EE2">
            <w:pPr>
              <w:jc w:val="center"/>
              <w:rPr>
                <w:rFonts w:cs="Arial"/>
                <w:szCs w:val="18"/>
              </w:rPr>
            </w:pPr>
            <w:r w:rsidRPr="00405CDE">
              <w:rPr>
                <w:rFonts w:cs="Arial"/>
                <w:szCs w:val="18"/>
              </w:rPr>
              <w:t>205</w:t>
            </w:r>
          </w:p>
        </w:tc>
        <w:tc>
          <w:tcPr>
            <w:tcW w:w="701" w:type="pct"/>
            <w:tcBorders>
              <w:top w:val="nil"/>
              <w:bottom w:val="nil"/>
            </w:tcBorders>
            <w:vAlign w:val="center"/>
          </w:tcPr>
          <w:p w:rsidR="004B0EE2" w:rsidRPr="00405CDE" w:rsidRDefault="004B0EE2" w:rsidP="004B0EE2">
            <w:pPr>
              <w:jc w:val="center"/>
              <w:rPr>
                <w:rFonts w:cs="Arial"/>
                <w:szCs w:val="18"/>
              </w:rPr>
            </w:pPr>
            <w:r w:rsidRPr="00405CDE">
              <w:rPr>
                <w:rFonts w:cs="Arial"/>
                <w:szCs w:val="18"/>
              </w:rPr>
              <w:t>-1000</w:t>
            </w:r>
          </w:p>
        </w:tc>
        <w:tc>
          <w:tcPr>
            <w:tcW w:w="675" w:type="pct"/>
            <w:tcBorders>
              <w:top w:val="nil"/>
              <w:bottom w:val="nil"/>
            </w:tcBorders>
            <w:vAlign w:val="center"/>
          </w:tcPr>
          <w:p w:rsidR="004B0EE2" w:rsidRPr="00405CDE" w:rsidRDefault="004B0EE2" w:rsidP="004B0EE2">
            <w:pPr>
              <w:jc w:val="center"/>
              <w:rPr>
                <w:rFonts w:cs="Arial"/>
                <w:szCs w:val="18"/>
              </w:rPr>
            </w:pPr>
            <w:r w:rsidRPr="00405CDE">
              <w:rPr>
                <w:rFonts w:cs="Arial"/>
                <w:szCs w:val="18"/>
              </w:rPr>
              <w:t>-1000</w:t>
            </w:r>
          </w:p>
        </w:tc>
        <w:tc>
          <w:tcPr>
            <w:tcW w:w="699" w:type="pct"/>
            <w:tcBorders>
              <w:top w:val="nil"/>
              <w:bottom w:val="nil"/>
            </w:tcBorders>
            <w:vAlign w:val="center"/>
          </w:tcPr>
          <w:p w:rsidR="004B0EE2" w:rsidRPr="00405CDE" w:rsidRDefault="004B0EE2" w:rsidP="004B0EE2">
            <w:pPr>
              <w:jc w:val="center"/>
              <w:rPr>
                <w:rFonts w:cs="Arial"/>
                <w:szCs w:val="18"/>
              </w:rPr>
            </w:pPr>
            <w:r w:rsidRPr="00405CDE">
              <w:rPr>
                <w:rFonts w:cs="Arial"/>
                <w:szCs w:val="18"/>
              </w:rPr>
              <w:t>-1000</w:t>
            </w:r>
          </w:p>
        </w:tc>
        <w:tc>
          <w:tcPr>
            <w:tcW w:w="699" w:type="pct"/>
            <w:tcBorders>
              <w:top w:val="nil"/>
              <w:bottom w:val="nil"/>
            </w:tcBorders>
            <w:vAlign w:val="center"/>
          </w:tcPr>
          <w:p w:rsidR="004B0EE2" w:rsidRPr="00405CDE" w:rsidRDefault="004B0EE2" w:rsidP="004B0EE2">
            <w:pPr>
              <w:jc w:val="center"/>
              <w:rPr>
                <w:rFonts w:cs="Arial"/>
                <w:szCs w:val="18"/>
              </w:rPr>
            </w:pPr>
            <w:r w:rsidRPr="00405CDE">
              <w:rPr>
                <w:rFonts w:cs="Arial"/>
                <w:szCs w:val="18"/>
              </w:rPr>
              <w:t>13</w:t>
            </w:r>
            <w:r w:rsidR="00F910C3">
              <w:rPr>
                <w:rFonts w:cs="Arial"/>
                <w:szCs w:val="18"/>
              </w:rPr>
              <w:t> </w:t>
            </w:r>
            <w:r w:rsidRPr="00405CDE">
              <w:rPr>
                <w:rFonts w:cs="Arial"/>
                <w:szCs w:val="18"/>
              </w:rPr>
              <w:t>500</w:t>
            </w:r>
          </w:p>
        </w:tc>
      </w:tr>
      <w:tr w:rsidR="004B0EE2" w:rsidRPr="00405CDE" w:rsidTr="0004189D">
        <w:trPr>
          <w:cnfStyle w:val="000000010000" w:firstRow="0" w:lastRow="0" w:firstColumn="0" w:lastColumn="0" w:oddVBand="0" w:evenVBand="0" w:oddHBand="0" w:evenHBand="1" w:firstRowFirstColumn="0" w:firstRowLastColumn="0" w:lastRowFirstColumn="0" w:lastRowLastColumn="0"/>
          <w:trHeight w:val="397"/>
        </w:trPr>
        <w:tc>
          <w:tcPr>
            <w:tcW w:w="803" w:type="pct"/>
            <w:tcBorders>
              <w:top w:val="nil"/>
              <w:bottom w:val="nil"/>
            </w:tcBorders>
          </w:tcPr>
          <w:p w:rsidR="004B0EE2" w:rsidRPr="00405CDE" w:rsidRDefault="004B0EE2" w:rsidP="004B0EE2">
            <w:pPr>
              <w:rPr>
                <w:rFonts w:cs="Arial"/>
                <w:b/>
                <w:sz w:val="18"/>
                <w:szCs w:val="18"/>
              </w:rPr>
            </w:pPr>
            <w:r w:rsidRPr="00405CDE">
              <w:rPr>
                <w:rFonts w:cs="Arial"/>
                <w:b/>
                <w:sz w:val="18"/>
                <w:szCs w:val="18"/>
              </w:rPr>
              <w:t>Victoria</w:t>
            </w:r>
          </w:p>
        </w:tc>
        <w:tc>
          <w:tcPr>
            <w:tcW w:w="724" w:type="pct"/>
            <w:tcBorders>
              <w:top w:val="nil"/>
              <w:bottom w:val="nil"/>
            </w:tcBorders>
            <w:vAlign w:val="center"/>
          </w:tcPr>
          <w:p w:rsidR="004B0EE2" w:rsidRPr="00405CDE" w:rsidRDefault="004B0EE2" w:rsidP="004B0EE2">
            <w:pPr>
              <w:jc w:val="center"/>
              <w:rPr>
                <w:rFonts w:cs="Arial"/>
                <w:sz w:val="18"/>
                <w:szCs w:val="18"/>
              </w:rPr>
            </w:pPr>
            <w:r w:rsidRPr="00405CDE">
              <w:rPr>
                <w:rFonts w:cs="Arial"/>
                <w:sz w:val="18"/>
                <w:szCs w:val="18"/>
              </w:rPr>
              <w:t>41</w:t>
            </w:r>
          </w:p>
        </w:tc>
        <w:tc>
          <w:tcPr>
            <w:tcW w:w="699" w:type="pct"/>
            <w:tcBorders>
              <w:top w:val="nil"/>
              <w:bottom w:val="nil"/>
            </w:tcBorders>
            <w:vAlign w:val="center"/>
          </w:tcPr>
          <w:p w:rsidR="004B0EE2" w:rsidRPr="00405CDE" w:rsidRDefault="004B0EE2" w:rsidP="004B0EE2">
            <w:pPr>
              <w:jc w:val="center"/>
              <w:rPr>
                <w:rFonts w:cs="Arial"/>
                <w:sz w:val="18"/>
                <w:szCs w:val="18"/>
              </w:rPr>
            </w:pPr>
            <w:r w:rsidRPr="00405CDE">
              <w:rPr>
                <w:rFonts w:cs="Arial"/>
                <w:sz w:val="18"/>
                <w:szCs w:val="18"/>
              </w:rPr>
              <w:t>138</w:t>
            </w:r>
          </w:p>
        </w:tc>
        <w:tc>
          <w:tcPr>
            <w:tcW w:w="701" w:type="pct"/>
            <w:tcBorders>
              <w:top w:val="nil"/>
              <w:bottom w:val="nil"/>
            </w:tcBorders>
            <w:vAlign w:val="center"/>
          </w:tcPr>
          <w:p w:rsidR="004B0EE2" w:rsidRPr="00405CDE" w:rsidRDefault="004B0EE2" w:rsidP="004B0EE2">
            <w:pPr>
              <w:jc w:val="center"/>
              <w:rPr>
                <w:rFonts w:cs="Arial"/>
                <w:sz w:val="18"/>
                <w:szCs w:val="18"/>
              </w:rPr>
            </w:pPr>
            <w:r w:rsidRPr="00405CDE">
              <w:rPr>
                <w:rFonts w:cs="Arial"/>
                <w:sz w:val="18"/>
                <w:szCs w:val="18"/>
              </w:rPr>
              <w:t>453</w:t>
            </w:r>
          </w:p>
        </w:tc>
        <w:tc>
          <w:tcPr>
            <w:tcW w:w="675" w:type="pct"/>
            <w:tcBorders>
              <w:top w:val="nil"/>
              <w:bottom w:val="nil"/>
            </w:tcBorders>
            <w:vAlign w:val="center"/>
          </w:tcPr>
          <w:p w:rsidR="004B0EE2" w:rsidRPr="00405CDE" w:rsidRDefault="004B0EE2" w:rsidP="004B0EE2">
            <w:pPr>
              <w:jc w:val="center"/>
              <w:rPr>
                <w:rFonts w:cs="Arial"/>
                <w:sz w:val="18"/>
                <w:szCs w:val="18"/>
              </w:rPr>
            </w:pPr>
            <w:r w:rsidRPr="00405CDE">
              <w:rPr>
                <w:rFonts w:cs="Arial"/>
                <w:sz w:val="18"/>
                <w:szCs w:val="18"/>
              </w:rPr>
              <w:t>0</w:t>
            </w:r>
          </w:p>
        </w:tc>
        <w:tc>
          <w:tcPr>
            <w:tcW w:w="699" w:type="pct"/>
            <w:tcBorders>
              <w:top w:val="nil"/>
              <w:bottom w:val="nil"/>
            </w:tcBorders>
            <w:vAlign w:val="center"/>
          </w:tcPr>
          <w:p w:rsidR="004B0EE2" w:rsidRPr="00405CDE" w:rsidRDefault="004B0EE2" w:rsidP="004B0EE2">
            <w:pPr>
              <w:jc w:val="center"/>
              <w:rPr>
                <w:rFonts w:cs="Arial"/>
                <w:sz w:val="18"/>
                <w:szCs w:val="18"/>
              </w:rPr>
            </w:pPr>
            <w:r w:rsidRPr="00405CDE">
              <w:rPr>
                <w:rFonts w:cs="Arial"/>
                <w:sz w:val="18"/>
                <w:szCs w:val="18"/>
              </w:rPr>
              <w:t>0</w:t>
            </w:r>
          </w:p>
        </w:tc>
        <w:tc>
          <w:tcPr>
            <w:tcW w:w="699" w:type="pct"/>
            <w:tcBorders>
              <w:top w:val="nil"/>
              <w:bottom w:val="nil"/>
            </w:tcBorders>
            <w:vAlign w:val="center"/>
          </w:tcPr>
          <w:p w:rsidR="004B0EE2" w:rsidRPr="00405CDE" w:rsidRDefault="004B0EE2" w:rsidP="004B0EE2">
            <w:pPr>
              <w:jc w:val="center"/>
              <w:rPr>
                <w:rFonts w:cs="Arial"/>
                <w:sz w:val="18"/>
                <w:szCs w:val="18"/>
              </w:rPr>
            </w:pPr>
            <w:r w:rsidRPr="00405CDE">
              <w:rPr>
                <w:rFonts w:cs="Arial"/>
                <w:sz w:val="18"/>
                <w:szCs w:val="18"/>
              </w:rPr>
              <w:t>2401</w:t>
            </w:r>
          </w:p>
        </w:tc>
      </w:tr>
      <w:tr w:rsidR="004B0EE2" w:rsidRPr="00405CDE" w:rsidTr="0004189D">
        <w:trPr>
          <w:trHeight w:val="397"/>
        </w:trPr>
        <w:tc>
          <w:tcPr>
            <w:tcW w:w="803" w:type="pct"/>
            <w:tcBorders>
              <w:top w:val="nil"/>
              <w:bottom w:val="nil"/>
            </w:tcBorders>
          </w:tcPr>
          <w:p w:rsidR="004B0EE2" w:rsidRPr="00405CDE" w:rsidRDefault="004B0EE2" w:rsidP="004B0EE2">
            <w:pPr>
              <w:rPr>
                <w:rFonts w:cs="Arial"/>
                <w:b/>
                <w:szCs w:val="18"/>
              </w:rPr>
            </w:pPr>
            <w:r w:rsidRPr="00405CDE">
              <w:rPr>
                <w:rFonts w:cs="Arial"/>
                <w:b/>
                <w:szCs w:val="18"/>
              </w:rPr>
              <w:t xml:space="preserve">Tasmania </w:t>
            </w:r>
          </w:p>
        </w:tc>
        <w:tc>
          <w:tcPr>
            <w:tcW w:w="724" w:type="pct"/>
            <w:tcBorders>
              <w:top w:val="nil"/>
              <w:bottom w:val="nil"/>
            </w:tcBorders>
          </w:tcPr>
          <w:p w:rsidR="004B0EE2" w:rsidRPr="00405CDE" w:rsidRDefault="004B0EE2" w:rsidP="004B0EE2">
            <w:pPr>
              <w:jc w:val="center"/>
              <w:rPr>
                <w:rFonts w:cs="Arial"/>
                <w:szCs w:val="18"/>
              </w:rPr>
            </w:pPr>
            <w:r w:rsidRPr="00405CDE">
              <w:rPr>
                <w:rFonts w:cs="Arial"/>
                <w:szCs w:val="18"/>
              </w:rPr>
              <w:t>38</w:t>
            </w:r>
          </w:p>
        </w:tc>
        <w:tc>
          <w:tcPr>
            <w:tcW w:w="699" w:type="pct"/>
            <w:tcBorders>
              <w:top w:val="nil"/>
              <w:bottom w:val="nil"/>
            </w:tcBorders>
          </w:tcPr>
          <w:p w:rsidR="004B0EE2" w:rsidRPr="00405CDE" w:rsidRDefault="004B0EE2" w:rsidP="004B0EE2">
            <w:pPr>
              <w:jc w:val="center"/>
              <w:rPr>
                <w:rFonts w:cs="Arial"/>
                <w:szCs w:val="18"/>
              </w:rPr>
            </w:pPr>
            <w:r w:rsidRPr="00405CDE">
              <w:rPr>
                <w:rFonts w:cs="Arial"/>
                <w:szCs w:val="18"/>
              </w:rPr>
              <w:t>38</w:t>
            </w:r>
          </w:p>
        </w:tc>
        <w:tc>
          <w:tcPr>
            <w:tcW w:w="701" w:type="pct"/>
            <w:tcBorders>
              <w:top w:val="nil"/>
              <w:bottom w:val="nil"/>
            </w:tcBorders>
          </w:tcPr>
          <w:p w:rsidR="004B0EE2" w:rsidRPr="00405CDE" w:rsidRDefault="004B0EE2" w:rsidP="004B0EE2">
            <w:pPr>
              <w:jc w:val="center"/>
              <w:rPr>
                <w:rFonts w:cs="Arial"/>
                <w:szCs w:val="18"/>
              </w:rPr>
            </w:pPr>
            <w:r w:rsidRPr="00405CDE">
              <w:rPr>
                <w:rFonts w:cs="Arial"/>
                <w:szCs w:val="18"/>
              </w:rPr>
              <w:t>32</w:t>
            </w:r>
          </w:p>
        </w:tc>
        <w:tc>
          <w:tcPr>
            <w:tcW w:w="675" w:type="pct"/>
            <w:tcBorders>
              <w:top w:val="nil"/>
              <w:bottom w:val="nil"/>
            </w:tcBorders>
          </w:tcPr>
          <w:p w:rsidR="004B0EE2" w:rsidRPr="00405CDE" w:rsidRDefault="004B0EE2" w:rsidP="004B0EE2">
            <w:pPr>
              <w:jc w:val="center"/>
              <w:rPr>
                <w:rFonts w:cs="Arial"/>
                <w:szCs w:val="18"/>
              </w:rPr>
            </w:pPr>
            <w:r w:rsidRPr="00405CDE">
              <w:rPr>
                <w:rFonts w:cs="Arial"/>
                <w:szCs w:val="18"/>
              </w:rPr>
              <w:t>-963</w:t>
            </w:r>
          </w:p>
        </w:tc>
        <w:tc>
          <w:tcPr>
            <w:tcW w:w="699" w:type="pct"/>
            <w:tcBorders>
              <w:top w:val="nil"/>
              <w:bottom w:val="nil"/>
            </w:tcBorders>
          </w:tcPr>
          <w:p w:rsidR="004B0EE2" w:rsidRPr="00405CDE" w:rsidRDefault="004B0EE2" w:rsidP="004B0EE2">
            <w:pPr>
              <w:jc w:val="center"/>
              <w:rPr>
                <w:rFonts w:cs="Arial"/>
                <w:szCs w:val="18"/>
              </w:rPr>
            </w:pPr>
            <w:r w:rsidRPr="00405CDE">
              <w:rPr>
                <w:rFonts w:cs="Arial"/>
                <w:szCs w:val="18"/>
              </w:rPr>
              <w:t>0</w:t>
            </w:r>
          </w:p>
        </w:tc>
        <w:tc>
          <w:tcPr>
            <w:tcW w:w="699" w:type="pct"/>
            <w:tcBorders>
              <w:top w:val="nil"/>
              <w:bottom w:val="nil"/>
            </w:tcBorders>
          </w:tcPr>
          <w:p w:rsidR="004B0EE2" w:rsidRPr="00405CDE" w:rsidRDefault="004B0EE2" w:rsidP="004B0EE2">
            <w:pPr>
              <w:jc w:val="center"/>
              <w:rPr>
                <w:rFonts w:cs="Arial"/>
                <w:szCs w:val="18"/>
              </w:rPr>
            </w:pPr>
            <w:r w:rsidRPr="00405CDE">
              <w:rPr>
                <w:rFonts w:cs="Arial"/>
                <w:szCs w:val="18"/>
              </w:rPr>
              <w:t>32</w:t>
            </w:r>
          </w:p>
        </w:tc>
      </w:tr>
    </w:tbl>
    <w:p w:rsidR="003F577A" w:rsidRDefault="003F577A" w:rsidP="0004189D">
      <w:pPr>
        <w:pStyle w:val="Caption"/>
      </w:pPr>
      <w:r>
        <w:t xml:space="preserve">Table </w:t>
      </w:r>
      <w:r w:rsidR="00DF4596">
        <w:fldChar w:fldCharType="begin"/>
      </w:r>
      <w:r w:rsidR="00DF4596">
        <w:instrText xml:space="preserve"> SEQ Table \* ARABIC </w:instrText>
      </w:r>
      <w:r w:rsidR="00DF4596">
        <w:fldChar w:fldCharType="separate"/>
      </w:r>
      <w:r w:rsidR="00066FEF">
        <w:rPr>
          <w:noProof/>
        </w:rPr>
        <w:t>12</w:t>
      </w:r>
      <w:r w:rsidR="00DF4596">
        <w:rPr>
          <w:noProof/>
        </w:rPr>
        <w:fldChar w:fldCharType="end"/>
      </w:r>
      <w:r>
        <w:t xml:space="preserve">: </w:t>
      </w:r>
      <w:r w:rsidRPr="0095727D">
        <w:t>NSW rebids for 9 am</w:t>
      </w:r>
    </w:p>
    <w:tbl>
      <w:tblPr>
        <w:tblStyle w:val="AERTable-Text"/>
        <w:tblW w:w="8472" w:type="dxa"/>
        <w:tblLayout w:type="fixed"/>
        <w:tblLook w:val="04A0" w:firstRow="1" w:lastRow="0" w:firstColumn="1" w:lastColumn="0" w:noHBand="0" w:noVBand="1"/>
      </w:tblPr>
      <w:tblGrid>
        <w:gridCol w:w="1526"/>
        <w:gridCol w:w="1018"/>
        <w:gridCol w:w="840"/>
        <w:gridCol w:w="994"/>
        <w:gridCol w:w="952"/>
        <w:gridCol w:w="923"/>
        <w:gridCol w:w="2219"/>
      </w:tblGrid>
      <w:tr w:rsidR="003F577A" w:rsidRPr="00405CDE" w:rsidTr="0004189D">
        <w:trPr>
          <w:cnfStyle w:val="100000000000" w:firstRow="1" w:lastRow="0" w:firstColumn="0" w:lastColumn="0" w:oddVBand="0" w:evenVBand="0" w:oddHBand="0" w:evenHBand="0" w:firstRowFirstColumn="0" w:firstRowLastColumn="0" w:lastRowFirstColumn="0" w:lastRowLastColumn="0"/>
          <w:trHeight w:val="780"/>
          <w:tblHeader/>
        </w:trPr>
        <w:tc>
          <w:tcPr>
            <w:tcW w:w="1526" w:type="dxa"/>
            <w:hideMark/>
          </w:tcPr>
          <w:p w:rsidR="003F577A" w:rsidRPr="00405CDE" w:rsidRDefault="003F577A" w:rsidP="0004189D">
            <w:pPr>
              <w:pStyle w:val="TableHeading"/>
              <w:jc w:val="center"/>
              <w:rPr>
                <w:rFonts w:cs="Arial"/>
              </w:rPr>
            </w:pPr>
            <w:r w:rsidRPr="00405CDE">
              <w:rPr>
                <w:rFonts w:cs="Arial"/>
              </w:rPr>
              <w:t>Submit Time</w:t>
            </w:r>
          </w:p>
        </w:tc>
        <w:tc>
          <w:tcPr>
            <w:tcW w:w="1018" w:type="dxa"/>
            <w:hideMark/>
          </w:tcPr>
          <w:p w:rsidR="003F577A" w:rsidRPr="00405CDE" w:rsidRDefault="003F577A" w:rsidP="0004189D">
            <w:pPr>
              <w:pStyle w:val="TableHeading"/>
              <w:jc w:val="center"/>
              <w:rPr>
                <w:rFonts w:cs="Arial"/>
              </w:rPr>
            </w:pPr>
            <w:r w:rsidRPr="00405CDE">
              <w:rPr>
                <w:rFonts w:cs="Arial"/>
              </w:rPr>
              <w:t>Participant</w:t>
            </w:r>
          </w:p>
        </w:tc>
        <w:tc>
          <w:tcPr>
            <w:tcW w:w="840" w:type="dxa"/>
            <w:hideMark/>
          </w:tcPr>
          <w:p w:rsidR="003F577A" w:rsidRPr="00405CDE" w:rsidRDefault="003F577A" w:rsidP="0004189D">
            <w:pPr>
              <w:pStyle w:val="TableHeading"/>
              <w:jc w:val="center"/>
              <w:rPr>
                <w:rFonts w:cs="Arial"/>
              </w:rPr>
            </w:pPr>
            <w:r w:rsidRPr="00405CDE">
              <w:rPr>
                <w:rFonts w:cs="Arial"/>
              </w:rPr>
              <w:t>Station</w:t>
            </w:r>
          </w:p>
        </w:tc>
        <w:tc>
          <w:tcPr>
            <w:tcW w:w="994" w:type="dxa"/>
            <w:hideMark/>
          </w:tcPr>
          <w:p w:rsidR="003F577A" w:rsidRPr="00405CDE" w:rsidRDefault="003F577A" w:rsidP="0004189D">
            <w:pPr>
              <w:pStyle w:val="TableHeading"/>
              <w:jc w:val="center"/>
              <w:rPr>
                <w:rFonts w:cs="Arial"/>
              </w:rPr>
            </w:pPr>
            <w:r w:rsidRPr="00405CDE">
              <w:rPr>
                <w:rFonts w:cs="Arial"/>
              </w:rPr>
              <w:t>Capacity rebid (MW)</w:t>
            </w:r>
          </w:p>
        </w:tc>
        <w:tc>
          <w:tcPr>
            <w:tcW w:w="952" w:type="dxa"/>
            <w:hideMark/>
          </w:tcPr>
          <w:p w:rsidR="003F577A" w:rsidRPr="00405CDE" w:rsidRDefault="003F577A" w:rsidP="0004189D">
            <w:pPr>
              <w:pStyle w:val="TableHeading"/>
              <w:jc w:val="center"/>
              <w:rPr>
                <w:rFonts w:cs="Arial"/>
              </w:rPr>
            </w:pPr>
            <w:r w:rsidRPr="00405CDE">
              <w:rPr>
                <w:rFonts w:cs="Arial"/>
              </w:rPr>
              <w:t>Price from ($/MWh)</w:t>
            </w:r>
          </w:p>
        </w:tc>
        <w:tc>
          <w:tcPr>
            <w:tcW w:w="923" w:type="dxa"/>
            <w:hideMark/>
          </w:tcPr>
          <w:p w:rsidR="003F577A" w:rsidRPr="00405CDE" w:rsidRDefault="003F577A" w:rsidP="0004189D">
            <w:pPr>
              <w:pStyle w:val="TableHeading"/>
              <w:jc w:val="center"/>
              <w:rPr>
                <w:rFonts w:cs="Arial"/>
              </w:rPr>
            </w:pPr>
            <w:r w:rsidRPr="00405CDE">
              <w:rPr>
                <w:rFonts w:cs="Arial"/>
              </w:rPr>
              <w:t>Price to ($/MWh)</w:t>
            </w:r>
          </w:p>
        </w:tc>
        <w:tc>
          <w:tcPr>
            <w:tcW w:w="2219" w:type="dxa"/>
            <w:hideMark/>
          </w:tcPr>
          <w:p w:rsidR="003F577A" w:rsidRPr="00405CDE" w:rsidRDefault="003F577A" w:rsidP="0004189D">
            <w:pPr>
              <w:pStyle w:val="TableHeading"/>
              <w:jc w:val="center"/>
              <w:rPr>
                <w:rFonts w:cs="Arial"/>
              </w:rPr>
            </w:pPr>
            <w:r w:rsidRPr="00405CDE">
              <w:rPr>
                <w:rFonts w:cs="Arial"/>
              </w:rPr>
              <w:t>Rebid reason</w:t>
            </w:r>
          </w:p>
        </w:tc>
      </w:tr>
      <w:tr w:rsidR="003F577A" w:rsidRPr="00405CDE" w:rsidTr="0004189D">
        <w:trPr>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8.34 am (effective 8.45am )</w:t>
            </w:r>
          </w:p>
        </w:tc>
        <w:tc>
          <w:tcPr>
            <w:tcW w:w="1018" w:type="dxa"/>
          </w:tcPr>
          <w:p w:rsidR="003F577A" w:rsidRPr="00405CDE" w:rsidRDefault="003F577A" w:rsidP="003F577A">
            <w:pPr>
              <w:pStyle w:val="Tabletext"/>
              <w:ind w:left="-84" w:right="-55"/>
              <w:jc w:val="center"/>
              <w:rPr>
                <w:rFonts w:cs="Arial"/>
              </w:rPr>
            </w:pPr>
            <w:r w:rsidRPr="00405CDE">
              <w:rPr>
                <w:rFonts w:cs="Arial"/>
              </w:rPr>
              <w:t xml:space="preserve">Energy Australia </w:t>
            </w:r>
          </w:p>
        </w:tc>
        <w:tc>
          <w:tcPr>
            <w:tcW w:w="840" w:type="dxa"/>
          </w:tcPr>
          <w:p w:rsidR="003F577A" w:rsidRPr="00405CDE" w:rsidRDefault="003F577A" w:rsidP="003F577A">
            <w:pPr>
              <w:pStyle w:val="Tabletext"/>
              <w:ind w:left="-84" w:right="-55"/>
              <w:jc w:val="center"/>
              <w:rPr>
                <w:rFonts w:cs="Arial"/>
              </w:rPr>
            </w:pPr>
            <w:r w:rsidRPr="00405CDE">
              <w:rPr>
                <w:rFonts w:cs="Arial"/>
              </w:rPr>
              <w:t xml:space="preserve">Mt Piper </w:t>
            </w:r>
          </w:p>
        </w:tc>
        <w:tc>
          <w:tcPr>
            <w:tcW w:w="994" w:type="dxa"/>
          </w:tcPr>
          <w:p w:rsidR="003F577A" w:rsidRPr="00405CDE" w:rsidRDefault="003F577A" w:rsidP="003F577A">
            <w:pPr>
              <w:pStyle w:val="Tabletext"/>
              <w:ind w:left="-84" w:right="-55"/>
              <w:jc w:val="center"/>
              <w:rPr>
                <w:rFonts w:cs="Arial"/>
              </w:rPr>
            </w:pPr>
            <w:r w:rsidRPr="00405CDE">
              <w:rPr>
                <w:rFonts w:cs="Arial"/>
              </w:rPr>
              <w:t>400</w:t>
            </w:r>
          </w:p>
        </w:tc>
        <w:tc>
          <w:tcPr>
            <w:tcW w:w="952" w:type="dxa"/>
          </w:tcPr>
          <w:p w:rsidR="003F577A" w:rsidRPr="00405CDE" w:rsidRDefault="003F577A" w:rsidP="003F577A">
            <w:pPr>
              <w:pStyle w:val="Tabletext"/>
              <w:ind w:left="-84" w:right="-55"/>
              <w:jc w:val="center"/>
              <w:rPr>
                <w:rFonts w:cs="Arial"/>
              </w:rPr>
            </w:pPr>
            <w:r w:rsidRPr="00405CDE">
              <w:rPr>
                <w:rFonts w:cs="Arial"/>
              </w:rPr>
              <w:t>&gt;32</w:t>
            </w:r>
          </w:p>
        </w:tc>
        <w:tc>
          <w:tcPr>
            <w:tcW w:w="923" w:type="dxa"/>
          </w:tcPr>
          <w:p w:rsidR="003F577A" w:rsidRPr="00405CDE" w:rsidRDefault="003F577A" w:rsidP="003F577A">
            <w:pPr>
              <w:pStyle w:val="Tabletext"/>
              <w:ind w:left="-84" w:right="-55"/>
              <w:jc w:val="center"/>
              <w:rPr>
                <w:rFonts w:cs="Arial"/>
              </w:rPr>
            </w:pPr>
            <w:r w:rsidRPr="00405CDE">
              <w:rPr>
                <w:rFonts w:cs="Arial"/>
              </w:rPr>
              <w:t>-1000</w:t>
            </w:r>
          </w:p>
        </w:tc>
        <w:tc>
          <w:tcPr>
            <w:tcW w:w="2219" w:type="dxa"/>
          </w:tcPr>
          <w:p w:rsidR="003F577A" w:rsidRPr="0004189D" w:rsidRDefault="003F577A" w:rsidP="003F577A">
            <w:pPr>
              <w:pStyle w:val="Tabletext"/>
              <w:ind w:left="-84" w:right="-55"/>
              <w:rPr>
                <w:rFonts w:cs="Arial"/>
                <w:bCs/>
                <w:szCs w:val="18"/>
              </w:rPr>
            </w:pPr>
            <w:r w:rsidRPr="0004189D">
              <w:rPr>
                <w:rFonts w:cs="Arial"/>
                <w:szCs w:val="18"/>
              </w:rPr>
              <w:t>08:33 A band adj due to change in PD5 price SL</w:t>
            </w:r>
          </w:p>
        </w:tc>
      </w:tr>
      <w:tr w:rsidR="003F577A" w:rsidRPr="00405CDE" w:rsidTr="0004189D">
        <w:trPr>
          <w:cnfStyle w:val="000000010000" w:firstRow="0" w:lastRow="0" w:firstColumn="0" w:lastColumn="0" w:oddVBand="0" w:evenVBand="0" w:oddHBand="0" w:evenHBand="1" w:firstRowFirstColumn="0" w:firstRowLastColumn="0" w:lastRowFirstColumn="0" w:lastRowLastColumn="0"/>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8.38 am (effective 8.45am)</w:t>
            </w:r>
          </w:p>
        </w:tc>
        <w:tc>
          <w:tcPr>
            <w:tcW w:w="1018" w:type="dxa"/>
          </w:tcPr>
          <w:p w:rsidR="003F577A" w:rsidRPr="00405CDE" w:rsidRDefault="003F577A" w:rsidP="003F577A">
            <w:pPr>
              <w:pStyle w:val="Tabletext"/>
              <w:ind w:left="-84" w:right="-55"/>
              <w:jc w:val="center"/>
              <w:rPr>
                <w:rFonts w:cs="Arial"/>
              </w:rPr>
            </w:pPr>
            <w:r w:rsidRPr="00405CDE">
              <w:rPr>
                <w:rFonts w:cs="Arial"/>
              </w:rPr>
              <w:t xml:space="preserve">Snowy Hydro </w:t>
            </w:r>
          </w:p>
        </w:tc>
        <w:tc>
          <w:tcPr>
            <w:tcW w:w="840" w:type="dxa"/>
          </w:tcPr>
          <w:p w:rsidR="003F577A" w:rsidRPr="00405CDE" w:rsidRDefault="003F577A" w:rsidP="003F577A">
            <w:pPr>
              <w:pStyle w:val="Tabletext"/>
              <w:ind w:left="-84" w:right="-55"/>
              <w:jc w:val="center"/>
              <w:rPr>
                <w:rFonts w:cs="Arial"/>
              </w:rPr>
            </w:pPr>
            <w:r w:rsidRPr="00405CDE">
              <w:rPr>
                <w:rFonts w:cs="Arial"/>
              </w:rPr>
              <w:t xml:space="preserve">Tumut 3 </w:t>
            </w:r>
          </w:p>
        </w:tc>
        <w:tc>
          <w:tcPr>
            <w:tcW w:w="994" w:type="dxa"/>
          </w:tcPr>
          <w:p w:rsidR="003F577A" w:rsidRDefault="003F577A" w:rsidP="003F577A">
            <w:pPr>
              <w:pStyle w:val="Tabletext"/>
              <w:ind w:left="-84" w:right="-55"/>
              <w:jc w:val="center"/>
              <w:rPr>
                <w:rFonts w:cs="Arial"/>
              </w:rPr>
            </w:pPr>
            <w:r w:rsidRPr="00405CDE">
              <w:rPr>
                <w:rFonts w:cs="Arial"/>
              </w:rPr>
              <w:t>250</w:t>
            </w:r>
          </w:p>
        </w:tc>
        <w:tc>
          <w:tcPr>
            <w:tcW w:w="952" w:type="dxa"/>
          </w:tcPr>
          <w:p w:rsidR="003F577A" w:rsidRPr="00405CDE" w:rsidRDefault="003F577A" w:rsidP="003F577A">
            <w:pPr>
              <w:pStyle w:val="Tabletext"/>
              <w:ind w:left="-84" w:right="-55"/>
              <w:jc w:val="center"/>
              <w:rPr>
                <w:rFonts w:cs="Arial"/>
              </w:rPr>
            </w:pPr>
            <w:r w:rsidRPr="00405CDE">
              <w:rPr>
                <w:rFonts w:cs="Arial"/>
              </w:rPr>
              <w:t>300</w:t>
            </w:r>
          </w:p>
        </w:tc>
        <w:tc>
          <w:tcPr>
            <w:tcW w:w="923" w:type="dxa"/>
          </w:tcPr>
          <w:p w:rsidR="003F577A" w:rsidRPr="00405CDE" w:rsidRDefault="003F577A" w:rsidP="003F577A">
            <w:pPr>
              <w:pStyle w:val="Tabletext"/>
              <w:ind w:left="-84" w:right="-55"/>
              <w:jc w:val="center"/>
              <w:rPr>
                <w:rFonts w:cs="Arial"/>
              </w:rPr>
            </w:pPr>
            <w:r w:rsidRPr="00405CDE">
              <w:rPr>
                <w:rFonts w:cs="Arial"/>
              </w:rPr>
              <w:t>&gt;42</w:t>
            </w:r>
          </w:p>
        </w:tc>
        <w:tc>
          <w:tcPr>
            <w:tcW w:w="2219" w:type="dxa"/>
          </w:tcPr>
          <w:p w:rsidR="003F577A" w:rsidRPr="0004189D" w:rsidRDefault="003F577A" w:rsidP="003F577A">
            <w:pPr>
              <w:pStyle w:val="Tabletext"/>
              <w:ind w:left="-84" w:right="-55"/>
              <w:rPr>
                <w:rFonts w:cs="Arial"/>
                <w:bCs/>
                <w:szCs w:val="18"/>
              </w:rPr>
            </w:pPr>
            <w:r w:rsidRPr="00066FEF">
              <w:rPr>
                <w:rFonts w:cs="Arial"/>
                <w:szCs w:val="18"/>
              </w:rPr>
              <w:t xml:space="preserve">08:40 A NSW: </w:t>
            </w:r>
            <w:r w:rsidR="00035B61" w:rsidRPr="00066FEF">
              <w:rPr>
                <w:rFonts w:cs="Arial"/>
                <w:szCs w:val="18"/>
              </w:rPr>
              <w:t xml:space="preserve">act </w:t>
            </w:r>
            <w:r w:rsidRPr="00066FEF">
              <w:rPr>
                <w:rFonts w:cs="Arial"/>
                <w:szCs w:val="18"/>
              </w:rPr>
              <w:t>price $157.01 hgr thn 5MPD 08:40@08:31</w:t>
            </w:r>
          </w:p>
        </w:tc>
      </w:tr>
      <w:tr w:rsidR="003F577A" w:rsidRPr="00405CDE" w:rsidTr="0004189D">
        <w:trPr>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8.42 am (effective 8.50 am)</w:t>
            </w:r>
          </w:p>
        </w:tc>
        <w:tc>
          <w:tcPr>
            <w:tcW w:w="1018" w:type="dxa"/>
          </w:tcPr>
          <w:p w:rsidR="003F577A" w:rsidRPr="00405CDE" w:rsidRDefault="003F577A" w:rsidP="003F577A">
            <w:pPr>
              <w:pStyle w:val="Tabletext"/>
              <w:ind w:left="-84" w:right="-55"/>
              <w:jc w:val="center"/>
              <w:rPr>
                <w:rFonts w:cs="Arial"/>
              </w:rPr>
            </w:pPr>
            <w:r w:rsidRPr="00405CDE">
              <w:rPr>
                <w:rFonts w:cs="Arial"/>
              </w:rPr>
              <w:t xml:space="preserve">Origin Energy </w:t>
            </w:r>
          </w:p>
        </w:tc>
        <w:tc>
          <w:tcPr>
            <w:tcW w:w="840" w:type="dxa"/>
          </w:tcPr>
          <w:p w:rsidR="003F577A" w:rsidRPr="00405CDE" w:rsidRDefault="003F577A" w:rsidP="003F577A">
            <w:pPr>
              <w:pStyle w:val="Tabletext"/>
              <w:ind w:left="-84" w:right="-55"/>
              <w:jc w:val="center"/>
              <w:rPr>
                <w:rFonts w:cs="Arial"/>
              </w:rPr>
            </w:pPr>
            <w:r w:rsidRPr="00405CDE">
              <w:rPr>
                <w:rFonts w:cs="Arial"/>
              </w:rPr>
              <w:t>Eraring and Shoal Haven</w:t>
            </w:r>
          </w:p>
        </w:tc>
        <w:tc>
          <w:tcPr>
            <w:tcW w:w="994" w:type="dxa"/>
          </w:tcPr>
          <w:p w:rsidR="003F577A" w:rsidRDefault="000A67D2" w:rsidP="003F577A">
            <w:pPr>
              <w:pStyle w:val="Tabletext"/>
              <w:ind w:left="-84" w:right="-55"/>
              <w:jc w:val="center"/>
              <w:rPr>
                <w:rFonts w:cs="Arial"/>
              </w:rPr>
            </w:pPr>
            <w:r>
              <w:rPr>
                <w:rFonts w:cs="Arial"/>
              </w:rPr>
              <w:t>121</w:t>
            </w:r>
            <w:r w:rsidR="003F577A" w:rsidRPr="00405CDE">
              <w:rPr>
                <w:rFonts w:cs="Arial"/>
              </w:rPr>
              <w:t>0</w:t>
            </w:r>
          </w:p>
        </w:tc>
        <w:tc>
          <w:tcPr>
            <w:tcW w:w="952" w:type="dxa"/>
          </w:tcPr>
          <w:p w:rsidR="003F577A" w:rsidRPr="00405CDE" w:rsidRDefault="003F577A" w:rsidP="003F577A">
            <w:pPr>
              <w:pStyle w:val="Tabletext"/>
              <w:ind w:left="-84" w:right="-55"/>
              <w:jc w:val="center"/>
              <w:rPr>
                <w:rFonts w:cs="Arial"/>
              </w:rPr>
            </w:pPr>
            <w:r w:rsidRPr="00405CDE">
              <w:rPr>
                <w:rFonts w:cs="Arial"/>
              </w:rPr>
              <w:t>&lt;13</w:t>
            </w:r>
            <w:r>
              <w:rPr>
                <w:rFonts w:cs="Arial"/>
              </w:rPr>
              <w:t> </w:t>
            </w:r>
            <w:r w:rsidRPr="00405CDE">
              <w:rPr>
                <w:rFonts w:cs="Arial"/>
              </w:rPr>
              <w:t>500</w:t>
            </w:r>
          </w:p>
        </w:tc>
        <w:tc>
          <w:tcPr>
            <w:tcW w:w="923" w:type="dxa"/>
          </w:tcPr>
          <w:p w:rsidR="003F577A" w:rsidRPr="00405CDE" w:rsidRDefault="003F577A" w:rsidP="003F577A">
            <w:pPr>
              <w:pStyle w:val="Tabletext"/>
              <w:ind w:left="-84" w:right="-55"/>
              <w:jc w:val="center"/>
              <w:rPr>
                <w:rFonts w:cs="Arial"/>
              </w:rPr>
            </w:pPr>
            <w:r w:rsidRPr="00405CDE">
              <w:rPr>
                <w:rFonts w:cs="Arial"/>
              </w:rPr>
              <w:t>-1000</w:t>
            </w:r>
          </w:p>
        </w:tc>
        <w:tc>
          <w:tcPr>
            <w:tcW w:w="2219" w:type="dxa"/>
          </w:tcPr>
          <w:p w:rsidR="003F577A" w:rsidRPr="0004189D" w:rsidRDefault="003F577A" w:rsidP="003F577A">
            <w:pPr>
              <w:pStyle w:val="Tabletext"/>
              <w:ind w:left="-84" w:right="-55"/>
              <w:rPr>
                <w:rFonts w:cs="Arial"/>
                <w:bCs/>
                <w:szCs w:val="18"/>
              </w:rPr>
            </w:pPr>
            <w:r w:rsidRPr="000A67D2">
              <w:rPr>
                <w:rFonts w:cs="Arial"/>
                <w:szCs w:val="18"/>
              </w:rPr>
              <w:t>0837A constraint management - CA_SPS_445534C8_01 SL</w:t>
            </w:r>
          </w:p>
        </w:tc>
      </w:tr>
      <w:tr w:rsidR="003F577A" w:rsidRPr="00405CDE" w:rsidTr="0004189D">
        <w:trPr>
          <w:cnfStyle w:val="000000010000" w:firstRow="0" w:lastRow="0" w:firstColumn="0" w:lastColumn="0" w:oddVBand="0" w:evenVBand="0" w:oddHBand="0" w:evenHBand="1" w:firstRowFirstColumn="0" w:firstRowLastColumn="0" w:lastRowFirstColumn="0" w:lastRowLastColumn="0"/>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8.45</w:t>
            </w:r>
            <w:r w:rsidR="0004189D">
              <w:rPr>
                <w:rFonts w:cs="Arial"/>
                <w:b/>
              </w:rPr>
              <w:t> am</w:t>
            </w:r>
            <w:r w:rsidRPr="00405CDE">
              <w:rPr>
                <w:rFonts w:cs="Arial"/>
                <w:b/>
              </w:rPr>
              <w:t xml:space="preserve"> (effective 8.55 am)</w:t>
            </w:r>
          </w:p>
        </w:tc>
        <w:tc>
          <w:tcPr>
            <w:tcW w:w="1018" w:type="dxa"/>
          </w:tcPr>
          <w:p w:rsidR="003F577A" w:rsidRPr="00405CDE" w:rsidRDefault="003F577A" w:rsidP="003F577A">
            <w:pPr>
              <w:pStyle w:val="Tabletext"/>
              <w:ind w:left="-84" w:right="-55"/>
              <w:jc w:val="center"/>
              <w:rPr>
                <w:rFonts w:cs="Arial"/>
              </w:rPr>
            </w:pPr>
            <w:r w:rsidRPr="00405CDE">
              <w:rPr>
                <w:rFonts w:cs="Arial"/>
              </w:rPr>
              <w:t xml:space="preserve">Snowy Hydro </w:t>
            </w:r>
          </w:p>
        </w:tc>
        <w:tc>
          <w:tcPr>
            <w:tcW w:w="840" w:type="dxa"/>
          </w:tcPr>
          <w:p w:rsidR="003F577A" w:rsidRPr="00405CDE" w:rsidRDefault="003F577A" w:rsidP="003F577A">
            <w:pPr>
              <w:pStyle w:val="Tabletext"/>
              <w:ind w:left="-84" w:right="-55"/>
              <w:jc w:val="center"/>
              <w:rPr>
                <w:rFonts w:cs="Arial"/>
              </w:rPr>
            </w:pPr>
            <w:r w:rsidRPr="00405CDE">
              <w:rPr>
                <w:rFonts w:cs="Arial"/>
              </w:rPr>
              <w:t>Tumut</w:t>
            </w:r>
            <w:r w:rsidR="0004189D">
              <w:rPr>
                <w:rFonts w:cs="Arial"/>
              </w:rPr>
              <w:t xml:space="preserve"> 3</w:t>
            </w:r>
            <w:r w:rsidRPr="00405CDE">
              <w:rPr>
                <w:rFonts w:cs="Arial"/>
              </w:rPr>
              <w:t xml:space="preserve"> and </w:t>
            </w:r>
            <w:r w:rsidR="0004189D" w:rsidRPr="00405CDE">
              <w:rPr>
                <w:rFonts w:cs="Arial"/>
              </w:rPr>
              <w:t xml:space="preserve">Upper </w:t>
            </w:r>
            <w:r w:rsidRPr="00405CDE">
              <w:rPr>
                <w:rFonts w:cs="Arial"/>
              </w:rPr>
              <w:t xml:space="preserve">Tumut </w:t>
            </w:r>
          </w:p>
        </w:tc>
        <w:tc>
          <w:tcPr>
            <w:tcW w:w="994" w:type="dxa"/>
          </w:tcPr>
          <w:p w:rsidR="003F577A" w:rsidRDefault="0004189D" w:rsidP="003F577A">
            <w:pPr>
              <w:pStyle w:val="Tabletext"/>
              <w:ind w:left="-84" w:right="-55"/>
              <w:jc w:val="center"/>
              <w:rPr>
                <w:rFonts w:cs="Arial"/>
              </w:rPr>
            </w:pPr>
            <w:r>
              <w:rPr>
                <w:rFonts w:cs="Arial"/>
              </w:rPr>
              <w:t>73</w:t>
            </w:r>
            <w:r w:rsidR="003F577A" w:rsidRPr="00405CDE">
              <w:rPr>
                <w:rFonts w:cs="Arial"/>
              </w:rPr>
              <w:t>0</w:t>
            </w:r>
          </w:p>
        </w:tc>
        <w:tc>
          <w:tcPr>
            <w:tcW w:w="952" w:type="dxa"/>
          </w:tcPr>
          <w:p w:rsidR="003F577A" w:rsidRPr="00405CDE" w:rsidRDefault="003F577A" w:rsidP="003F577A">
            <w:pPr>
              <w:pStyle w:val="Tabletext"/>
              <w:ind w:left="-84" w:right="-55"/>
              <w:jc w:val="center"/>
              <w:rPr>
                <w:rFonts w:cs="Arial"/>
              </w:rPr>
            </w:pPr>
            <w:r w:rsidRPr="00405CDE">
              <w:rPr>
                <w:rFonts w:cs="Arial"/>
              </w:rPr>
              <w:t>&lt;450</w:t>
            </w:r>
          </w:p>
        </w:tc>
        <w:tc>
          <w:tcPr>
            <w:tcW w:w="923" w:type="dxa"/>
          </w:tcPr>
          <w:p w:rsidR="003F577A" w:rsidRPr="00405CDE" w:rsidRDefault="003F577A" w:rsidP="003F577A">
            <w:pPr>
              <w:pStyle w:val="Tabletext"/>
              <w:ind w:left="-84" w:right="-55"/>
              <w:jc w:val="center"/>
              <w:rPr>
                <w:rFonts w:cs="Arial"/>
              </w:rPr>
            </w:pPr>
            <w:r w:rsidRPr="00405CDE">
              <w:rPr>
                <w:rFonts w:cs="Arial"/>
              </w:rPr>
              <w:t>-1000</w:t>
            </w:r>
          </w:p>
        </w:tc>
        <w:tc>
          <w:tcPr>
            <w:tcW w:w="2219" w:type="dxa"/>
          </w:tcPr>
          <w:p w:rsidR="003F577A" w:rsidRPr="0004189D" w:rsidRDefault="003F577A" w:rsidP="003F577A">
            <w:pPr>
              <w:pStyle w:val="Tabletext"/>
              <w:ind w:left="-84" w:right="-55"/>
              <w:rPr>
                <w:rFonts w:cs="Arial"/>
                <w:bCs/>
                <w:szCs w:val="18"/>
              </w:rPr>
            </w:pPr>
            <w:r w:rsidRPr="000A67D2">
              <w:rPr>
                <w:rFonts w:cs="Arial"/>
                <w:szCs w:val="18"/>
              </w:rPr>
              <w:t xml:space="preserve">08:45 A NSW: </w:t>
            </w:r>
            <w:r w:rsidR="00035B61" w:rsidRPr="000A67D2">
              <w:rPr>
                <w:rFonts w:cs="Arial"/>
                <w:szCs w:val="18"/>
              </w:rPr>
              <w:t xml:space="preserve">act </w:t>
            </w:r>
            <w:r w:rsidRPr="000A67D2">
              <w:rPr>
                <w:rFonts w:cs="Arial"/>
                <w:szCs w:val="18"/>
              </w:rPr>
              <w:t>price $1,044.99 lwr thn 30MPD 08:45@08:32</w:t>
            </w:r>
          </w:p>
        </w:tc>
      </w:tr>
      <w:tr w:rsidR="003F577A" w:rsidRPr="00405CDE" w:rsidTr="0004189D">
        <w:trPr>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8.45 am (effective 8.55 am)</w:t>
            </w:r>
          </w:p>
        </w:tc>
        <w:tc>
          <w:tcPr>
            <w:tcW w:w="1018" w:type="dxa"/>
          </w:tcPr>
          <w:p w:rsidR="003F577A" w:rsidRPr="00405CDE" w:rsidRDefault="003F577A" w:rsidP="003F577A">
            <w:pPr>
              <w:pStyle w:val="Tabletext"/>
              <w:ind w:left="-84" w:right="-55"/>
              <w:jc w:val="center"/>
              <w:rPr>
                <w:rFonts w:cs="Arial"/>
              </w:rPr>
            </w:pPr>
            <w:r w:rsidRPr="00405CDE">
              <w:rPr>
                <w:rFonts w:cs="Arial"/>
              </w:rPr>
              <w:t>AGL Energy</w:t>
            </w:r>
          </w:p>
        </w:tc>
        <w:tc>
          <w:tcPr>
            <w:tcW w:w="840" w:type="dxa"/>
          </w:tcPr>
          <w:p w:rsidR="003F577A" w:rsidRPr="00405CDE" w:rsidRDefault="003F577A" w:rsidP="003F577A">
            <w:pPr>
              <w:pStyle w:val="Tabletext"/>
              <w:ind w:left="-84" w:right="-55"/>
              <w:jc w:val="center"/>
              <w:rPr>
                <w:rFonts w:cs="Arial"/>
              </w:rPr>
            </w:pPr>
            <w:r w:rsidRPr="00405CDE">
              <w:rPr>
                <w:rFonts w:cs="Arial"/>
              </w:rPr>
              <w:t>Liddell</w:t>
            </w:r>
          </w:p>
        </w:tc>
        <w:tc>
          <w:tcPr>
            <w:tcW w:w="994" w:type="dxa"/>
          </w:tcPr>
          <w:p w:rsidR="003F577A" w:rsidRDefault="003F577A" w:rsidP="003F577A">
            <w:pPr>
              <w:pStyle w:val="Tabletext"/>
              <w:ind w:left="-84" w:right="-55"/>
              <w:jc w:val="center"/>
              <w:rPr>
                <w:rFonts w:cs="Arial"/>
              </w:rPr>
            </w:pPr>
            <w:r w:rsidRPr="00405CDE">
              <w:rPr>
                <w:rFonts w:cs="Arial"/>
              </w:rPr>
              <w:t>345</w:t>
            </w:r>
          </w:p>
        </w:tc>
        <w:tc>
          <w:tcPr>
            <w:tcW w:w="952" w:type="dxa"/>
          </w:tcPr>
          <w:p w:rsidR="003F577A" w:rsidRPr="00405CDE" w:rsidRDefault="003F577A" w:rsidP="003F577A">
            <w:pPr>
              <w:pStyle w:val="Tabletext"/>
              <w:ind w:left="-84" w:right="-55"/>
              <w:jc w:val="center"/>
              <w:rPr>
                <w:rFonts w:cs="Arial"/>
              </w:rPr>
            </w:pPr>
            <w:r>
              <w:rPr>
                <w:rFonts w:cs="Arial"/>
              </w:rPr>
              <w:t>N/A</w:t>
            </w:r>
          </w:p>
        </w:tc>
        <w:tc>
          <w:tcPr>
            <w:tcW w:w="923" w:type="dxa"/>
          </w:tcPr>
          <w:p w:rsidR="003F577A" w:rsidRPr="00405CDE" w:rsidRDefault="003F577A" w:rsidP="003F577A">
            <w:pPr>
              <w:pStyle w:val="Tabletext"/>
              <w:ind w:left="-84" w:right="-55"/>
              <w:jc w:val="center"/>
              <w:rPr>
                <w:rFonts w:cs="Arial"/>
              </w:rPr>
            </w:pPr>
            <w:r w:rsidRPr="00405CDE">
              <w:rPr>
                <w:rFonts w:cs="Arial"/>
              </w:rPr>
              <w:t>&lt;296</w:t>
            </w:r>
          </w:p>
        </w:tc>
        <w:tc>
          <w:tcPr>
            <w:tcW w:w="2219" w:type="dxa"/>
          </w:tcPr>
          <w:p w:rsidR="003F577A" w:rsidRPr="0004189D" w:rsidRDefault="003F577A" w:rsidP="003F577A">
            <w:pPr>
              <w:pStyle w:val="Tabletext"/>
              <w:ind w:left="-84" w:right="-55"/>
              <w:rPr>
                <w:rFonts w:cs="Arial"/>
                <w:bCs/>
                <w:szCs w:val="18"/>
              </w:rPr>
            </w:pPr>
            <w:r w:rsidRPr="000A67D2">
              <w:rPr>
                <w:rFonts w:cs="Arial"/>
                <w:szCs w:val="18"/>
              </w:rPr>
              <w:t>0840~P~030 increase in avail cap~301 plant limit lifted 345MW -</w:t>
            </w:r>
          </w:p>
        </w:tc>
      </w:tr>
      <w:tr w:rsidR="003F577A" w:rsidRPr="00405CDE" w:rsidTr="0004189D">
        <w:trPr>
          <w:cnfStyle w:val="000000010000" w:firstRow="0" w:lastRow="0" w:firstColumn="0" w:lastColumn="0" w:oddVBand="0" w:evenVBand="0" w:oddHBand="0" w:evenHBand="1" w:firstRowFirstColumn="0" w:firstRowLastColumn="0" w:lastRowFirstColumn="0" w:lastRowLastColumn="0"/>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 xml:space="preserve">8.53 am (effective 9 am) </w:t>
            </w:r>
          </w:p>
        </w:tc>
        <w:tc>
          <w:tcPr>
            <w:tcW w:w="1018" w:type="dxa"/>
          </w:tcPr>
          <w:p w:rsidR="003F577A" w:rsidRPr="00405CDE" w:rsidRDefault="003F577A" w:rsidP="003F577A">
            <w:pPr>
              <w:pStyle w:val="Tabletext"/>
              <w:ind w:left="-84" w:right="-55"/>
              <w:jc w:val="center"/>
              <w:rPr>
                <w:rFonts w:cs="Arial"/>
              </w:rPr>
            </w:pPr>
            <w:r w:rsidRPr="00405CDE">
              <w:rPr>
                <w:rFonts w:cs="Arial"/>
              </w:rPr>
              <w:t xml:space="preserve">Snowy Hydro </w:t>
            </w:r>
          </w:p>
        </w:tc>
        <w:tc>
          <w:tcPr>
            <w:tcW w:w="840" w:type="dxa"/>
          </w:tcPr>
          <w:p w:rsidR="003F577A" w:rsidRPr="00405CDE" w:rsidRDefault="003F577A" w:rsidP="003F577A">
            <w:pPr>
              <w:pStyle w:val="Tabletext"/>
              <w:ind w:left="-84" w:right="-55"/>
              <w:jc w:val="center"/>
              <w:rPr>
                <w:rFonts w:cs="Arial"/>
              </w:rPr>
            </w:pPr>
            <w:r w:rsidRPr="00405CDE">
              <w:rPr>
                <w:rFonts w:cs="Arial"/>
              </w:rPr>
              <w:t>Upper Tumut</w:t>
            </w:r>
          </w:p>
        </w:tc>
        <w:tc>
          <w:tcPr>
            <w:tcW w:w="994" w:type="dxa"/>
          </w:tcPr>
          <w:p w:rsidR="003F577A" w:rsidRDefault="003F577A" w:rsidP="003F577A">
            <w:pPr>
              <w:pStyle w:val="Tabletext"/>
              <w:ind w:left="-84" w:right="-55"/>
              <w:jc w:val="center"/>
              <w:rPr>
                <w:rFonts w:cs="Arial"/>
              </w:rPr>
            </w:pPr>
            <w:r w:rsidRPr="00405CDE">
              <w:rPr>
                <w:rFonts w:cs="Arial"/>
              </w:rPr>
              <w:t>181</w:t>
            </w:r>
          </w:p>
        </w:tc>
        <w:tc>
          <w:tcPr>
            <w:tcW w:w="952" w:type="dxa"/>
          </w:tcPr>
          <w:p w:rsidR="003F577A" w:rsidRPr="00405CDE" w:rsidRDefault="003F577A" w:rsidP="003F577A">
            <w:pPr>
              <w:pStyle w:val="Tabletext"/>
              <w:ind w:left="-84" w:right="-55"/>
              <w:jc w:val="center"/>
              <w:rPr>
                <w:rFonts w:cs="Arial"/>
              </w:rPr>
            </w:pPr>
            <w:r w:rsidRPr="00405CDE">
              <w:rPr>
                <w:rFonts w:cs="Arial"/>
              </w:rPr>
              <w:t>&lt;300</w:t>
            </w:r>
          </w:p>
        </w:tc>
        <w:tc>
          <w:tcPr>
            <w:tcW w:w="923" w:type="dxa"/>
          </w:tcPr>
          <w:p w:rsidR="003F577A" w:rsidRPr="00405CDE" w:rsidRDefault="003F577A" w:rsidP="003F577A">
            <w:pPr>
              <w:pStyle w:val="Tabletext"/>
              <w:ind w:left="-84" w:right="-55"/>
              <w:jc w:val="center"/>
              <w:rPr>
                <w:rFonts w:cs="Arial"/>
              </w:rPr>
            </w:pPr>
            <w:r>
              <w:rPr>
                <w:rFonts w:cs="Arial"/>
              </w:rPr>
              <w:t>N/A</w:t>
            </w:r>
          </w:p>
        </w:tc>
        <w:tc>
          <w:tcPr>
            <w:tcW w:w="2219" w:type="dxa"/>
          </w:tcPr>
          <w:p w:rsidR="003F577A" w:rsidRPr="0004189D" w:rsidRDefault="003F577A" w:rsidP="003F577A">
            <w:pPr>
              <w:pStyle w:val="Tabletext"/>
              <w:ind w:left="-84" w:right="-55"/>
              <w:rPr>
                <w:rFonts w:cs="Arial"/>
                <w:bCs/>
                <w:szCs w:val="18"/>
              </w:rPr>
            </w:pPr>
            <w:r w:rsidRPr="000A67D2">
              <w:rPr>
                <w:rFonts w:cs="Arial"/>
                <w:szCs w:val="18"/>
              </w:rPr>
              <w:t xml:space="preserve">08:55 A NSW: </w:t>
            </w:r>
            <w:r w:rsidR="00035B61" w:rsidRPr="000A67D2">
              <w:rPr>
                <w:rFonts w:cs="Arial"/>
                <w:szCs w:val="18"/>
              </w:rPr>
              <w:t xml:space="preserve">act </w:t>
            </w:r>
            <w:r w:rsidRPr="000A67D2">
              <w:rPr>
                <w:rFonts w:cs="Arial"/>
                <w:szCs w:val="18"/>
              </w:rPr>
              <w:t>price $1,044.99 lwr thn 30MPD 08:55@08:</w:t>
            </w:r>
            <w:r w:rsidRPr="000A67D2">
              <w:rPr>
                <w:rFonts w:cs="Arial"/>
                <w:b/>
                <w:szCs w:val="18"/>
              </w:rPr>
              <w:t>3</w:t>
            </w:r>
            <w:r w:rsidRPr="000A67D2">
              <w:rPr>
                <w:rFonts w:cs="Arial"/>
                <w:szCs w:val="18"/>
              </w:rPr>
              <w:t>2</w:t>
            </w:r>
          </w:p>
        </w:tc>
      </w:tr>
      <w:tr w:rsidR="003F577A" w:rsidRPr="00405CDE" w:rsidTr="0004189D">
        <w:trPr>
          <w:trHeight w:val="606"/>
        </w:trPr>
        <w:tc>
          <w:tcPr>
            <w:tcW w:w="1526" w:type="dxa"/>
          </w:tcPr>
          <w:p w:rsidR="003F577A" w:rsidRPr="00405CDE" w:rsidRDefault="003F577A" w:rsidP="003F577A">
            <w:pPr>
              <w:pStyle w:val="Tabletext"/>
              <w:ind w:left="-84" w:right="-55"/>
              <w:jc w:val="center"/>
              <w:rPr>
                <w:rFonts w:cs="Arial"/>
                <w:b/>
              </w:rPr>
            </w:pPr>
            <w:r w:rsidRPr="00405CDE">
              <w:rPr>
                <w:rFonts w:cs="Arial"/>
                <w:b/>
              </w:rPr>
              <w:t>8.53 am (effective 9 am)</w:t>
            </w:r>
          </w:p>
        </w:tc>
        <w:tc>
          <w:tcPr>
            <w:tcW w:w="1018" w:type="dxa"/>
          </w:tcPr>
          <w:p w:rsidR="003F577A" w:rsidRPr="00405CDE" w:rsidRDefault="003F577A" w:rsidP="003F577A">
            <w:pPr>
              <w:pStyle w:val="Tabletext"/>
              <w:ind w:left="-84" w:right="-55"/>
              <w:jc w:val="center"/>
              <w:rPr>
                <w:rFonts w:cs="Arial"/>
              </w:rPr>
            </w:pPr>
            <w:r w:rsidRPr="00405CDE">
              <w:rPr>
                <w:rFonts w:cs="Arial"/>
              </w:rPr>
              <w:t xml:space="preserve">Snowy Hydro </w:t>
            </w:r>
          </w:p>
        </w:tc>
        <w:tc>
          <w:tcPr>
            <w:tcW w:w="840" w:type="dxa"/>
          </w:tcPr>
          <w:p w:rsidR="003F577A" w:rsidRPr="00405CDE" w:rsidRDefault="003F577A" w:rsidP="003F577A">
            <w:pPr>
              <w:pStyle w:val="Tabletext"/>
              <w:ind w:left="-84" w:right="-55"/>
              <w:jc w:val="center"/>
              <w:rPr>
                <w:rFonts w:cs="Arial"/>
              </w:rPr>
            </w:pPr>
            <w:r w:rsidRPr="00405CDE">
              <w:rPr>
                <w:rFonts w:cs="Arial"/>
              </w:rPr>
              <w:t xml:space="preserve">Tumut 3 </w:t>
            </w:r>
          </w:p>
        </w:tc>
        <w:tc>
          <w:tcPr>
            <w:tcW w:w="994" w:type="dxa"/>
          </w:tcPr>
          <w:p w:rsidR="003F577A" w:rsidRDefault="003F577A" w:rsidP="003F577A">
            <w:pPr>
              <w:pStyle w:val="Tabletext"/>
              <w:ind w:left="-84" w:right="-55"/>
              <w:jc w:val="center"/>
              <w:rPr>
                <w:rFonts w:cs="Arial"/>
              </w:rPr>
            </w:pPr>
            <w:r w:rsidRPr="00405CDE">
              <w:rPr>
                <w:rFonts w:cs="Arial"/>
              </w:rPr>
              <w:t>887</w:t>
            </w:r>
          </w:p>
        </w:tc>
        <w:tc>
          <w:tcPr>
            <w:tcW w:w="952" w:type="dxa"/>
          </w:tcPr>
          <w:p w:rsidR="003F577A" w:rsidRPr="00405CDE" w:rsidRDefault="003F577A" w:rsidP="003F577A">
            <w:pPr>
              <w:pStyle w:val="Tabletext"/>
              <w:ind w:left="-84" w:right="-55"/>
              <w:jc w:val="center"/>
              <w:rPr>
                <w:rFonts w:cs="Arial"/>
              </w:rPr>
            </w:pPr>
            <w:r w:rsidRPr="00405CDE">
              <w:rPr>
                <w:rFonts w:cs="Arial"/>
              </w:rPr>
              <w:t>300</w:t>
            </w:r>
          </w:p>
        </w:tc>
        <w:tc>
          <w:tcPr>
            <w:tcW w:w="923" w:type="dxa"/>
          </w:tcPr>
          <w:p w:rsidR="003F577A" w:rsidRPr="00405CDE" w:rsidRDefault="003F577A" w:rsidP="003F577A">
            <w:pPr>
              <w:pStyle w:val="Tabletext"/>
              <w:ind w:left="-84" w:right="-55"/>
              <w:jc w:val="center"/>
              <w:rPr>
                <w:rFonts w:cs="Arial"/>
              </w:rPr>
            </w:pPr>
            <w:r>
              <w:rPr>
                <w:rFonts w:cs="Arial"/>
              </w:rPr>
              <w:t>N/A</w:t>
            </w:r>
            <w:r w:rsidRPr="00405CDE">
              <w:rPr>
                <w:rFonts w:cs="Arial"/>
              </w:rPr>
              <w:t xml:space="preserve"> </w:t>
            </w:r>
          </w:p>
        </w:tc>
        <w:tc>
          <w:tcPr>
            <w:tcW w:w="2219" w:type="dxa"/>
          </w:tcPr>
          <w:p w:rsidR="003F577A" w:rsidRPr="0004189D" w:rsidRDefault="003F577A" w:rsidP="003F577A">
            <w:pPr>
              <w:pStyle w:val="Tabletext"/>
              <w:ind w:left="-84" w:right="-55"/>
              <w:rPr>
                <w:rFonts w:cs="Arial"/>
                <w:bCs/>
                <w:szCs w:val="18"/>
              </w:rPr>
            </w:pPr>
            <w:r w:rsidRPr="000A67D2">
              <w:rPr>
                <w:rFonts w:cs="Arial"/>
                <w:szCs w:val="18"/>
              </w:rPr>
              <w:t xml:space="preserve">08:55 A NSW: </w:t>
            </w:r>
            <w:r w:rsidR="00035B61" w:rsidRPr="000A67D2">
              <w:rPr>
                <w:rFonts w:cs="Arial"/>
                <w:szCs w:val="18"/>
              </w:rPr>
              <w:t>act</w:t>
            </w:r>
            <w:r w:rsidRPr="000A67D2">
              <w:rPr>
                <w:rFonts w:cs="Arial"/>
                <w:szCs w:val="18"/>
              </w:rPr>
              <w:t xml:space="preserve"> price $1,044.99 lwr thn 30MPD 08:55@08:32</w:t>
            </w:r>
          </w:p>
        </w:tc>
      </w:tr>
    </w:tbl>
    <w:p w:rsidR="003F577A" w:rsidRPr="003F577A" w:rsidRDefault="003F577A"/>
    <w:p w:rsidR="008D4EDD" w:rsidRDefault="008F3F62" w:rsidP="000A67D2">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As a result of </w:t>
      </w:r>
      <w:r w:rsidR="003F577A">
        <w:rPr>
          <w:rFonts w:eastAsia="Times New Roman" w:cs="Arial"/>
          <w:bCs/>
          <w:lang w:eastAsia="en-AU"/>
        </w:rPr>
        <w:t>the rebidding up until 8.45 am t</w:t>
      </w:r>
      <w:r w:rsidR="002E19FC">
        <w:rPr>
          <w:rFonts w:eastAsia="Times New Roman" w:cs="Arial"/>
          <w:bCs/>
          <w:lang w:eastAsia="en-AU"/>
        </w:rPr>
        <w:t xml:space="preserve">he </w:t>
      </w:r>
      <w:r w:rsidR="003F577A">
        <w:rPr>
          <w:rFonts w:eastAsia="Times New Roman" w:cs="Arial"/>
          <w:bCs/>
          <w:lang w:eastAsia="en-AU"/>
        </w:rPr>
        <w:t xml:space="preserve">dispatch </w:t>
      </w:r>
      <w:r w:rsidR="002E19FC">
        <w:rPr>
          <w:rFonts w:eastAsia="Times New Roman" w:cs="Arial"/>
          <w:bCs/>
          <w:lang w:eastAsia="en-AU"/>
        </w:rPr>
        <w:t>price reached the floor price from 8.45</w:t>
      </w:r>
      <w:r w:rsidR="003F577A">
        <w:rPr>
          <w:rFonts w:eastAsia="Times New Roman" w:cs="Arial"/>
          <w:bCs/>
          <w:lang w:eastAsia="en-AU"/>
        </w:rPr>
        <w:t> am</w:t>
      </w:r>
      <w:r w:rsidR="002E19FC">
        <w:rPr>
          <w:rFonts w:eastAsia="Times New Roman" w:cs="Arial"/>
          <w:bCs/>
          <w:lang w:eastAsia="en-AU"/>
        </w:rPr>
        <w:t xml:space="preserve"> to 8.</w:t>
      </w:r>
      <w:r w:rsidR="003F577A">
        <w:rPr>
          <w:rFonts w:eastAsia="Times New Roman" w:cs="Arial"/>
          <w:bCs/>
          <w:lang w:eastAsia="en-AU"/>
        </w:rPr>
        <w:t>55 </w:t>
      </w:r>
      <w:r w:rsidR="002E19FC">
        <w:rPr>
          <w:rFonts w:eastAsia="Times New Roman" w:cs="Arial"/>
          <w:bCs/>
          <w:lang w:eastAsia="en-AU"/>
        </w:rPr>
        <w:t>am</w:t>
      </w:r>
      <w:r>
        <w:rPr>
          <w:rFonts w:eastAsia="Times New Roman" w:cs="Arial"/>
          <w:bCs/>
          <w:lang w:eastAsia="en-AU"/>
        </w:rPr>
        <w:t xml:space="preserve">. </w:t>
      </w:r>
    </w:p>
    <w:p w:rsidR="0091034C" w:rsidRPr="00745242" w:rsidRDefault="003F577A" w:rsidP="000A67D2">
      <w:pPr>
        <w:spacing w:before="100" w:beforeAutospacing="1" w:after="100" w:afterAutospacing="1" w:line="288" w:lineRule="auto"/>
        <w:jc w:val="both"/>
        <w:rPr>
          <w:rFonts w:eastAsia="Times New Roman" w:cs="Arial"/>
          <w:bCs/>
          <w:lang w:eastAsia="en-AU"/>
        </w:rPr>
      </w:pPr>
      <w:r>
        <w:rPr>
          <w:rFonts w:eastAsia="Times New Roman" w:cs="Arial"/>
          <w:bCs/>
          <w:lang w:eastAsia="en-AU"/>
        </w:rPr>
        <w:t>Subsequent rebids by Snowy at 8.53 am</w:t>
      </w:r>
      <w:r w:rsidR="00035B61">
        <w:rPr>
          <w:rFonts w:eastAsia="Times New Roman" w:cs="Arial"/>
          <w:bCs/>
          <w:lang w:eastAsia="en-AU"/>
        </w:rPr>
        <w:t>, effective 9 am,</w:t>
      </w:r>
      <w:r>
        <w:rPr>
          <w:rFonts w:eastAsia="Times New Roman" w:cs="Arial"/>
          <w:bCs/>
          <w:lang w:eastAsia="en-AU"/>
        </w:rPr>
        <w:t xml:space="preserve"> withdr</w:t>
      </w:r>
      <w:r w:rsidR="00035B61">
        <w:rPr>
          <w:rFonts w:eastAsia="Times New Roman" w:cs="Arial"/>
          <w:bCs/>
          <w:lang w:eastAsia="en-AU"/>
        </w:rPr>
        <w:t>ew</w:t>
      </w:r>
      <w:r>
        <w:rPr>
          <w:rFonts w:eastAsia="Times New Roman" w:cs="Arial"/>
          <w:bCs/>
          <w:lang w:eastAsia="en-AU"/>
        </w:rPr>
        <w:t xml:space="preserve"> around 1000 MW of </w:t>
      </w:r>
      <w:r w:rsidR="00035B61">
        <w:rPr>
          <w:rFonts w:eastAsia="Times New Roman" w:cs="Arial"/>
          <w:bCs/>
          <w:lang w:eastAsia="en-AU"/>
        </w:rPr>
        <w:t xml:space="preserve">capacity priced at $300/MWh or less (150 MW at the price floor). </w:t>
      </w:r>
      <w:r w:rsidR="00152EF8" w:rsidRPr="00405CDE">
        <w:rPr>
          <w:rFonts w:eastAsia="Times New Roman" w:cs="Arial"/>
          <w:bCs/>
          <w:lang w:eastAsia="en-AU"/>
        </w:rPr>
        <w:t>With low priced capacity either ramp rate limited</w:t>
      </w:r>
      <w:r w:rsidR="00152EF8">
        <w:rPr>
          <w:rFonts w:eastAsia="Times New Roman" w:cs="Arial"/>
          <w:bCs/>
          <w:lang w:eastAsia="en-AU"/>
        </w:rPr>
        <w:t>, stranded, constrained off</w:t>
      </w:r>
      <w:r w:rsidR="00152EF8" w:rsidRPr="00405CDE">
        <w:rPr>
          <w:rFonts w:eastAsia="Times New Roman" w:cs="Arial"/>
          <w:bCs/>
          <w:lang w:eastAsia="en-AU"/>
        </w:rPr>
        <w:t xml:space="preserve"> or fully dispatched, the dispatch price increased from $</w:t>
      </w:r>
      <w:r w:rsidR="00152EF8">
        <w:rPr>
          <w:rFonts w:eastAsia="Times New Roman" w:cs="Arial"/>
          <w:bCs/>
          <w:lang w:eastAsia="en-AU"/>
        </w:rPr>
        <w:t>-1000</w:t>
      </w:r>
      <w:r w:rsidR="00152EF8" w:rsidRPr="00405CDE">
        <w:rPr>
          <w:rFonts w:eastAsia="Times New Roman" w:cs="Arial"/>
          <w:bCs/>
          <w:lang w:eastAsia="en-AU"/>
        </w:rPr>
        <w:t>/MWh at 8.</w:t>
      </w:r>
      <w:r w:rsidR="00035B61" w:rsidRPr="00405CDE">
        <w:rPr>
          <w:rFonts w:eastAsia="Times New Roman" w:cs="Arial"/>
          <w:bCs/>
          <w:lang w:eastAsia="en-AU"/>
        </w:rPr>
        <w:t>5</w:t>
      </w:r>
      <w:r w:rsidR="00035B61">
        <w:rPr>
          <w:rFonts w:eastAsia="Times New Roman" w:cs="Arial"/>
          <w:bCs/>
          <w:lang w:eastAsia="en-AU"/>
        </w:rPr>
        <w:t>5</w:t>
      </w:r>
      <w:r w:rsidR="00035B61">
        <w:t> </w:t>
      </w:r>
      <w:r w:rsidR="00152EF8" w:rsidRPr="00405CDE">
        <w:rPr>
          <w:rFonts w:eastAsia="Times New Roman" w:cs="Arial"/>
          <w:bCs/>
          <w:lang w:eastAsia="en-AU"/>
        </w:rPr>
        <w:t>am to $</w:t>
      </w:r>
      <w:r w:rsidR="00035B61">
        <w:rPr>
          <w:rFonts w:eastAsia="Times New Roman" w:cs="Arial"/>
          <w:bCs/>
          <w:lang w:eastAsia="en-AU"/>
        </w:rPr>
        <w:t>13 </w:t>
      </w:r>
      <w:r w:rsidR="00152EF8">
        <w:rPr>
          <w:rFonts w:eastAsia="Times New Roman" w:cs="Arial"/>
          <w:bCs/>
          <w:lang w:eastAsia="en-AU"/>
        </w:rPr>
        <w:t>500</w:t>
      </w:r>
      <w:r w:rsidR="00152EF8" w:rsidRPr="00405CDE">
        <w:rPr>
          <w:rFonts w:eastAsia="Times New Roman" w:cs="Arial"/>
          <w:bCs/>
          <w:lang w:eastAsia="en-AU"/>
        </w:rPr>
        <w:t xml:space="preserve">/MWh at </w:t>
      </w:r>
      <w:r w:rsidR="00035B61">
        <w:rPr>
          <w:rFonts w:eastAsia="Times New Roman" w:cs="Arial"/>
          <w:bCs/>
          <w:lang w:eastAsia="en-AU"/>
        </w:rPr>
        <w:t>9 </w:t>
      </w:r>
      <w:r w:rsidR="00035B61" w:rsidRPr="00405CDE">
        <w:rPr>
          <w:rFonts w:eastAsia="Times New Roman" w:cs="Arial"/>
          <w:bCs/>
          <w:lang w:eastAsia="en-AU"/>
        </w:rPr>
        <w:t>am</w:t>
      </w:r>
      <w:r w:rsidR="00035B61">
        <w:rPr>
          <w:rFonts w:eastAsia="Times New Roman" w:cs="Arial"/>
          <w:bCs/>
          <w:lang w:eastAsia="en-AU"/>
        </w:rPr>
        <w:t>.</w:t>
      </w:r>
    </w:p>
    <w:p w:rsidR="00002B2F" w:rsidRDefault="0013290A" w:rsidP="000A67D2">
      <w:pPr>
        <w:spacing w:before="100" w:beforeAutospacing="1" w:after="100" w:afterAutospacing="1" w:line="288" w:lineRule="auto"/>
        <w:jc w:val="both"/>
        <w:rPr>
          <w:rFonts w:eastAsia="Times New Roman" w:cs="Arial"/>
          <w:bCs/>
          <w:lang w:eastAsia="en-AU"/>
        </w:rPr>
      </w:pPr>
      <w:r>
        <w:rPr>
          <w:rFonts w:eastAsia="Times New Roman" w:cs="Arial"/>
          <w:bCs/>
          <w:lang w:eastAsia="en-AU"/>
        </w:rPr>
        <w:t xml:space="preserve">At </w:t>
      </w:r>
      <w:r w:rsidR="00C25CB3">
        <w:rPr>
          <w:rFonts w:eastAsia="Times New Roman" w:cs="Arial"/>
          <w:bCs/>
          <w:lang w:eastAsia="en-AU"/>
        </w:rPr>
        <w:t>9 </w:t>
      </w:r>
      <w:r>
        <w:rPr>
          <w:rFonts w:eastAsia="Times New Roman" w:cs="Arial"/>
          <w:bCs/>
          <w:lang w:eastAsia="en-AU"/>
        </w:rPr>
        <w:t>am</w:t>
      </w:r>
      <w:r w:rsidR="00035B61">
        <w:rPr>
          <w:rFonts w:eastAsia="Times New Roman" w:cs="Arial"/>
          <w:bCs/>
          <w:lang w:eastAsia="en-AU"/>
        </w:rPr>
        <w:t xml:space="preserve"> </w:t>
      </w:r>
      <w:r w:rsidR="00C25CB3">
        <w:rPr>
          <w:rFonts w:eastAsia="Times New Roman" w:cs="Arial"/>
          <w:bCs/>
          <w:lang w:eastAsia="en-AU"/>
        </w:rPr>
        <w:t xml:space="preserve">increased generation in Victoria to meet New South Wales requirements was </w:t>
      </w:r>
      <w:r w:rsidR="00C25CB3" w:rsidRPr="00405CDE">
        <w:rPr>
          <w:rFonts w:eastAsia="Times New Roman" w:cs="Arial"/>
          <w:bCs/>
          <w:lang w:eastAsia="en-AU"/>
        </w:rPr>
        <w:t>either ramp rate limited</w:t>
      </w:r>
      <w:r w:rsidR="00C25CB3">
        <w:rPr>
          <w:rFonts w:eastAsia="Times New Roman" w:cs="Arial"/>
          <w:bCs/>
          <w:lang w:eastAsia="en-AU"/>
        </w:rPr>
        <w:t>, stranded, constrained off</w:t>
      </w:r>
      <w:r w:rsidR="00C25CB3" w:rsidRPr="00405CDE">
        <w:rPr>
          <w:rFonts w:eastAsia="Times New Roman" w:cs="Arial"/>
          <w:bCs/>
          <w:lang w:eastAsia="en-AU"/>
        </w:rPr>
        <w:t xml:space="preserve"> or fully dispatched</w:t>
      </w:r>
      <w:r w:rsidR="00C25CB3">
        <w:rPr>
          <w:rFonts w:eastAsia="Times New Roman" w:cs="Arial"/>
          <w:bCs/>
          <w:lang w:eastAsia="en-AU"/>
        </w:rPr>
        <w:t>. F</w:t>
      </w:r>
      <w:r w:rsidR="00035B61">
        <w:rPr>
          <w:rFonts w:eastAsia="Times New Roman" w:cs="Arial"/>
          <w:bCs/>
          <w:lang w:eastAsia="en-AU"/>
        </w:rPr>
        <w:t xml:space="preserve">low into New South Wales </w:t>
      </w:r>
      <w:r w:rsidR="00C25CB3">
        <w:rPr>
          <w:rFonts w:eastAsia="Times New Roman" w:cs="Arial"/>
          <w:bCs/>
          <w:lang w:eastAsia="en-AU"/>
        </w:rPr>
        <w:t>across</w:t>
      </w:r>
      <w:r>
        <w:rPr>
          <w:rFonts w:eastAsia="Times New Roman" w:cs="Arial"/>
          <w:bCs/>
          <w:lang w:eastAsia="en-AU"/>
        </w:rPr>
        <w:t xml:space="preserve"> the NSW-Vic interconnector increased </w:t>
      </w:r>
      <w:r w:rsidR="00C25CB3">
        <w:rPr>
          <w:rFonts w:eastAsia="Times New Roman" w:cs="Arial"/>
          <w:bCs/>
          <w:lang w:eastAsia="en-AU"/>
        </w:rPr>
        <w:t xml:space="preserve">and </w:t>
      </w:r>
      <w:r w:rsidRPr="00405CDE">
        <w:rPr>
          <w:rFonts w:eastAsia="Times New Roman" w:cs="Arial"/>
          <w:bCs/>
          <w:lang w:eastAsia="en-AU"/>
        </w:rPr>
        <w:t xml:space="preserve">the dispatch price </w:t>
      </w:r>
      <w:r w:rsidR="00C25CB3">
        <w:rPr>
          <w:rFonts w:eastAsia="Times New Roman" w:cs="Arial"/>
          <w:bCs/>
          <w:lang w:eastAsia="en-AU"/>
        </w:rPr>
        <w:t xml:space="preserve">in Victoria </w:t>
      </w:r>
      <w:r w:rsidRPr="00405CDE">
        <w:rPr>
          <w:rFonts w:eastAsia="Times New Roman" w:cs="Arial"/>
          <w:bCs/>
          <w:lang w:eastAsia="en-AU"/>
        </w:rPr>
        <w:t>increased from $</w:t>
      </w:r>
      <w:r>
        <w:rPr>
          <w:rFonts w:eastAsia="Times New Roman" w:cs="Arial"/>
          <w:bCs/>
          <w:lang w:eastAsia="en-AU"/>
        </w:rPr>
        <w:t>0</w:t>
      </w:r>
      <w:r w:rsidRPr="00405CDE">
        <w:rPr>
          <w:rFonts w:eastAsia="Times New Roman" w:cs="Arial"/>
          <w:bCs/>
          <w:lang w:eastAsia="en-AU"/>
        </w:rPr>
        <w:t>/MWh at 8.</w:t>
      </w:r>
      <w:r w:rsidR="00C25CB3" w:rsidRPr="00405CDE">
        <w:rPr>
          <w:rFonts w:eastAsia="Times New Roman" w:cs="Arial"/>
          <w:bCs/>
          <w:lang w:eastAsia="en-AU"/>
        </w:rPr>
        <w:t>5</w:t>
      </w:r>
      <w:r w:rsidR="00C25CB3">
        <w:rPr>
          <w:rFonts w:eastAsia="Times New Roman" w:cs="Arial"/>
          <w:bCs/>
          <w:lang w:eastAsia="en-AU"/>
        </w:rPr>
        <w:t>5 </w:t>
      </w:r>
      <w:r w:rsidRPr="00405CDE">
        <w:rPr>
          <w:rFonts w:eastAsia="Times New Roman" w:cs="Arial"/>
          <w:bCs/>
          <w:lang w:eastAsia="en-AU"/>
        </w:rPr>
        <w:t>am to $</w:t>
      </w:r>
      <w:r>
        <w:rPr>
          <w:rFonts w:eastAsia="Times New Roman" w:cs="Arial"/>
          <w:bCs/>
          <w:lang w:eastAsia="en-AU"/>
        </w:rPr>
        <w:t>2401</w:t>
      </w:r>
      <w:r w:rsidRPr="00405CDE">
        <w:rPr>
          <w:rFonts w:eastAsia="Times New Roman" w:cs="Arial"/>
          <w:bCs/>
          <w:lang w:eastAsia="en-AU"/>
        </w:rPr>
        <w:t xml:space="preserve">/MWh at </w:t>
      </w:r>
      <w:r w:rsidR="00C25CB3">
        <w:rPr>
          <w:rFonts w:eastAsia="Times New Roman" w:cs="Arial"/>
          <w:bCs/>
          <w:lang w:eastAsia="en-AU"/>
        </w:rPr>
        <w:t>9 </w:t>
      </w:r>
      <w:r w:rsidRPr="00405CDE">
        <w:rPr>
          <w:rFonts w:eastAsia="Times New Roman" w:cs="Arial"/>
          <w:bCs/>
          <w:lang w:eastAsia="en-AU"/>
        </w:rPr>
        <w:t>am</w:t>
      </w:r>
      <w:r>
        <w:rPr>
          <w:rFonts w:eastAsia="Times New Roman" w:cs="Arial"/>
          <w:bCs/>
          <w:lang w:eastAsia="en-AU"/>
        </w:rPr>
        <w:t xml:space="preserve">. </w:t>
      </w:r>
    </w:p>
    <w:p w:rsidR="000B5010" w:rsidRPr="00152EF8" w:rsidRDefault="00002B2F" w:rsidP="000A67D2">
      <w:pPr>
        <w:spacing w:before="100" w:beforeAutospacing="1" w:after="100" w:afterAutospacing="1" w:line="288" w:lineRule="auto"/>
        <w:jc w:val="both"/>
        <w:rPr>
          <w:rFonts w:eastAsia="Times New Roman" w:cs="Arial"/>
          <w:bCs/>
          <w:lang w:eastAsia="en-AU"/>
        </w:rPr>
      </w:pPr>
      <w:r>
        <w:rPr>
          <w:rFonts w:eastAsia="Times New Roman" w:cs="Arial"/>
          <w:bCs/>
          <w:lang w:eastAsia="en-AU"/>
        </w:rPr>
        <w:t>In Tasmania, a</w:t>
      </w:r>
      <w:r w:rsidR="000B5010" w:rsidRPr="00152EF8">
        <w:rPr>
          <w:rFonts w:eastAsia="Times New Roman" w:cs="Arial"/>
          <w:bCs/>
          <w:lang w:eastAsia="en-AU"/>
        </w:rPr>
        <w:t>t 8.</w:t>
      </w:r>
      <w:r w:rsidR="00C25CB3" w:rsidRPr="00152EF8">
        <w:rPr>
          <w:rFonts w:eastAsia="Times New Roman" w:cs="Arial"/>
          <w:bCs/>
          <w:lang w:eastAsia="en-AU"/>
        </w:rPr>
        <w:t>43</w:t>
      </w:r>
      <w:r w:rsidR="00C25CB3">
        <w:rPr>
          <w:rFonts w:eastAsia="Times New Roman" w:cs="Arial"/>
          <w:bCs/>
          <w:lang w:eastAsia="en-AU"/>
        </w:rPr>
        <w:t> </w:t>
      </w:r>
      <w:r w:rsidR="000B5010" w:rsidRPr="00152EF8">
        <w:rPr>
          <w:rFonts w:eastAsia="Times New Roman" w:cs="Arial"/>
          <w:bCs/>
          <w:lang w:eastAsia="en-AU"/>
        </w:rPr>
        <w:t>am, effective 8.</w:t>
      </w:r>
      <w:r w:rsidR="00C25CB3" w:rsidRPr="00152EF8">
        <w:rPr>
          <w:rFonts w:eastAsia="Times New Roman" w:cs="Arial"/>
          <w:bCs/>
          <w:lang w:eastAsia="en-AU"/>
        </w:rPr>
        <w:t>50</w:t>
      </w:r>
      <w:r w:rsidR="00C25CB3">
        <w:rPr>
          <w:rFonts w:eastAsia="Times New Roman" w:cs="Arial"/>
          <w:bCs/>
          <w:lang w:eastAsia="en-AU"/>
        </w:rPr>
        <w:t> </w:t>
      </w:r>
      <w:r w:rsidR="000B5010" w:rsidRPr="00152EF8">
        <w:rPr>
          <w:rFonts w:eastAsia="Times New Roman" w:cs="Arial"/>
          <w:bCs/>
          <w:lang w:eastAsia="en-AU"/>
        </w:rPr>
        <w:t>am, Hydro Tasmania rebid 1504</w:t>
      </w:r>
      <w:r w:rsidR="00C25CB3">
        <w:rPr>
          <w:rFonts w:eastAsia="Times New Roman" w:cs="Arial"/>
          <w:bCs/>
          <w:lang w:eastAsia="en-AU"/>
        </w:rPr>
        <w:t> </w:t>
      </w:r>
      <w:r w:rsidR="000B5010" w:rsidRPr="00152EF8">
        <w:rPr>
          <w:rFonts w:eastAsia="Times New Roman" w:cs="Arial"/>
          <w:bCs/>
          <w:lang w:eastAsia="en-AU"/>
        </w:rPr>
        <w:t>MW of available capacity from prices below $35/MWh to the floor price across the generation portfolio. The reason provided was “</w:t>
      </w:r>
      <w:r w:rsidR="000B5010" w:rsidRPr="00152EF8">
        <w:rPr>
          <w:rFonts w:cs="Arial"/>
        </w:rPr>
        <w:t xml:space="preserve">0845A </w:t>
      </w:r>
      <w:r w:rsidR="00C25CB3" w:rsidRPr="00152EF8">
        <w:rPr>
          <w:rFonts w:cs="Arial"/>
        </w:rPr>
        <w:t>vic price &gt; forecast, basslink flow &lt; forecast</w:t>
      </w:r>
      <w:r w:rsidR="000B5010" w:rsidRPr="00152EF8">
        <w:rPr>
          <w:rFonts w:cs="Arial"/>
        </w:rPr>
        <w:t>”</w:t>
      </w:r>
      <w:r w:rsidR="00690A78" w:rsidRPr="00152EF8">
        <w:rPr>
          <w:rFonts w:cs="Arial"/>
        </w:rPr>
        <w:t xml:space="preserve">. </w:t>
      </w:r>
      <w:r w:rsidR="00C25CB3">
        <w:rPr>
          <w:rFonts w:cs="Arial"/>
        </w:rPr>
        <w:t>As a result</w:t>
      </w:r>
      <w:r w:rsidRPr="00405CDE">
        <w:rPr>
          <w:rFonts w:eastAsia="Times New Roman" w:cs="Arial"/>
          <w:bCs/>
          <w:lang w:eastAsia="en-AU"/>
        </w:rPr>
        <w:t xml:space="preserve">, the dispatch price </w:t>
      </w:r>
      <w:r w:rsidR="001530FF">
        <w:rPr>
          <w:rFonts w:eastAsia="Times New Roman" w:cs="Arial"/>
          <w:bCs/>
          <w:lang w:eastAsia="en-AU"/>
        </w:rPr>
        <w:t>reduced</w:t>
      </w:r>
      <w:r w:rsidR="001530FF" w:rsidRPr="00405CDE">
        <w:rPr>
          <w:rFonts w:eastAsia="Times New Roman" w:cs="Arial"/>
          <w:bCs/>
          <w:lang w:eastAsia="en-AU"/>
        </w:rPr>
        <w:t xml:space="preserve"> </w:t>
      </w:r>
      <w:r w:rsidRPr="00405CDE">
        <w:rPr>
          <w:rFonts w:eastAsia="Times New Roman" w:cs="Arial"/>
          <w:bCs/>
          <w:lang w:eastAsia="en-AU"/>
        </w:rPr>
        <w:t>from $</w:t>
      </w:r>
      <w:r>
        <w:rPr>
          <w:rFonts w:eastAsia="Times New Roman" w:cs="Arial"/>
          <w:bCs/>
          <w:lang w:eastAsia="en-AU"/>
        </w:rPr>
        <w:t>32</w:t>
      </w:r>
      <w:r w:rsidRPr="00405CDE">
        <w:rPr>
          <w:rFonts w:eastAsia="Times New Roman" w:cs="Arial"/>
          <w:bCs/>
          <w:lang w:eastAsia="en-AU"/>
        </w:rPr>
        <w:t>/MWh at 8.</w:t>
      </w:r>
      <w:r w:rsidR="001530FF">
        <w:rPr>
          <w:rFonts w:eastAsia="Times New Roman" w:cs="Arial"/>
          <w:bCs/>
          <w:lang w:eastAsia="en-AU"/>
        </w:rPr>
        <w:t>45 </w:t>
      </w:r>
      <w:r w:rsidRPr="00405CDE">
        <w:rPr>
          <w:rFonts w:eastAsia="Times New Roman" w:cs="Arial"/>
          <w:bCs/>
          <w:lang w:eastAsia="en-AU"/>
        </w:rPr>
        <w:t>am to $</w:t>
      </w:r>
      <w:r>
        <w:rPr>
          <w:rFonts w:eastAsia="Times New Roman" w:cs="Arial"/>
          <w:bCs/>
          <w:lang w:eastAsia="en-AU"/>
        </w:rPr>
        <w:t xml:space="preserve"> -963</w:t>
      </w:r>
      <w:r w:rsidRPr="00405CDE">
        <w:rPr>
          <w:rFonts w:eastAsia="Times New Roman" w:cs="Arial"/>
          <w:bCs/>
          <w:lang w:eastAsia="en-AU"/>
        </w:rPr>
        <w:t xml:space="preserve">/MWh at </w:t>
      </w:r>
      <w:r>
        <w:rPr>
          <w:rFonts w:eastAsia="Times New Roman" w:cs="Arial"/>
          <w:bCs/>
          <w:lang w:eastAsia="en-AU"/>
        </w:rPr>
        <w:t>8.</w:t>
      </w:r>
      <w:r w:rsidR="001530FF">
        <w:rPr>
          <w:rFonts w:eastAsia="Times New Roman" w:cs="Arial"/>
          <w:bCs/>
          <w:lang w:eastAsia="en-AU"/>
        </w:rPr>
        <w:t>50 </w:t>
      </w:r>
      <w:r w:rsidRPr="00405CDE">
        <w:rPr>
          <w:rFonts w:eastAsia="Times New Roman" w:cs="Arial"/>
          <w:bCs/>
          <w:lang w:eastAsia="en-AU"/>
        </w:rPr>
        <w:t>am.</w:t>
      </w:r>
      <w:r>
        <w:rPr>
          <w:rFonts w:eastAsia="Times New Roman" w:cs="Arial"/>
          <w:bCs/>
          <w:lang w:eastAsia="en-AU"/>
        </w:rPr>
        <w:t xml:space="preserve"> </w:t>
      </w:r>
      <w:r w:rsidR="00690A78" w:rsidRPr="00152EF8">
        <w:rPr>
          <w:rFonts w:cs="Arial"/>
        </w:rPr>
        <w:t xml:space="preserve">Prices increased to $0/MWh </w:t>
      </w:r>
      <w:r w:rsidR="001530FF">
        <w:rPr>
          <w:rFonts w:cs="Arial"/>
        </w:rPr>
        <w:t>when</w:t>
      </w:r>
      <w:r w:rsidR="001530FF" w:rsidRPr="00152EF8">
        <w:rPr>
          <w:rFonts w:cs="Arial"/>
        </w:rPr>
        <w:t xml:space="preserve"> </w:t>
      </w:r>
      <w:r w:rsidR="00690A78" w:rsidRPr="00152EF8">
        <w:rPr>
          <w:rFonts w:cs="Arial"/>
        </w:rPr>
        <w:t xml:space="preserve">Hydro Tasmania </w:t>
      </w:r>
      <w:r w:rsidR="001530FF">
        <w:rPr>
          <w:rFonts w:cs="Arial"/>
        </w:rPr>
        <w:t>reversed their previous rebid.</w:t>
      </w:r>
    </w:p>
    <w:p w:rsidR="00275002" w:rsidRPr="00405CDE" w:rsidRDefault="00275002" w:rsidP="005F6ADE">
      <w:pPr>
        <w:pStyle w:val="Heading2"/>
        <w:rPr>
          <w:rFonts w:cs="Arial"/>
        </w:rPr>
      </w:pPr>
      <w:r w:rsidRPr="00405CDE">
        <w:rPr>
          <w:rFonts w:cs="Arial"/>
        </w:rPr>
        <w:t>Financial markets</w:t>
      </w:r>
    </w:p>
    <w:p w:rsidR="00275002" w:rsidRPr="00405CDE" w:rsidRDefault="00275002" w:rsidP="009A3D22">
      <w:pPr>
        <w:jc w:val="both"/>
        <w:rPr>
          <w:rFonts w:cs="Arial"/>
        </w:rPr>
      </w:pPr>
      <w:r w:rsidRPr="00405CDE">
        <w:rPr>
          <w:rFonts w:cs="Arial"/>
        </w:rPr>
        <w:fldChar w:fldCharType="begin"/>
      </w:r>
      <w:r w:rsidRPr="00405CDE">
        <w:rPr>
          <w:rFonts w:cs="Arial"/>
        </w:rPr>
        <w:instrText xml:space="preserve"> REF _Ref410386540 \h </w:instrText>
      </w:r>
      <w:r w:rsidR="009A3D22"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Figure </w:t>
      </w:r>
      <w:r w:rsidR="00C34065" w:rsidRPr="00405CDE">
        <w:rPr>
          <w:rFonts w:cs="Arial"/>
          <w:noProof/>
        </w:rPr>
        <w:t>9</w:t>
      </w:r>
      <w:r w:rsidRPr="00405CDE">
        <w:rPr>
          <w:rFonts w:cs="Arial"/>
        </w:rPr>
        <w:fldChar w:fldCharType="end"/>
      </w:r>
      <w:r w:rsidRPr="00405CDE">
        <w:rPr>
          <w:rFonts w:cs="Arial"/>
        </w:rPr>
        <w:t xml:space="preserve"> shows for all mainland regions the prices for base contracts (and total traded quantities for the week) for each quarter for the next four financial years. </w:t>
      </w:r>
    </w:p>
    <w:p w:rsidR="00275002" w:rsidRPr="00405CDE" w:rsidRDefault="00275002" w:rsidP="000E2946">
      <w:pPr>
        <w:pStyle w:val="Caption"/>
        <w:rPr>
          <w:rFonts w:cs="Arial"/>
        </w:rPr>
      </w:pPr>
      <w:bookmarkStart w:id="18" w:name="_Ref410386540"/>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9</w:t>
      </w:r>
      <w:r w:rsidR="00FD5876" w:rsidRPr="00405CDE">
        <w:rPr>
          <w:rFonts w:cs="Arial"/>
          <w:noProof/>
        </w:rPr>
        <w:fldChar w:fldCharType="end"/>
      </w:r>
      <w:bookmarkEnd w:id="18"/>
      <w:r w:rsidRPr="00405CDE">
        <w:rPr>
          <w:rFonts w:cs="Arial"/>
        </w:rPr>
        <w:t>: Quarterly base future prices Q</w:t>
      </w:r>
      <w:r w:rsidR="00F87EBA" w:rsidRPr="00405CDE">
        <w:rPr>
          <w:rFonts w:cs="Arial"/>
        </w:rPr>
        <w:t>2</w:t>
      </w:r>
      <w:r w:rsidRPr="00405CDE">
        <w:rPr>
          <w:rFonts w:cs="Arial"/>
        </w:rPr>
        <w:t xml:space="preserve"> 2015 – Q</w:t>
      </w:r>
      <w:r w:rsidR="00F87EBA" w:rsidRPr="00405CDE">
        <w:rPr>
          <w:rFonts w:cs="Arial"/>
        </w:rPr>
        <w:t>1</w:t>
      </w:r>
      <w:r w:rsidRPr="00405CDE">
        <w:rPr>
          <w:rFonts w:cs="Arial"/>
        </w:rPr>
        <w:t xml:space="preserve"> 201</w:t>
      </w:r>
      <w:r w:rsidR="00F87EBA" w:rsidRPr="00405CDE">
        <w:rPr>
          <w:rFonts w:cs="Arial"/>
        </w:rPr>
        <w:t>9</w:t>
      </w:r>
    </w:p>
    <w:p w:rsidR="00275002" w:rsidRPr="00405CDE" w:rsidRDefault="00857917" w:rsidP="00275002">
      <w:pPr>
        <w:rPr>
          <w:rStyle w:val="SourceChar"/>
          <w:rFonts w:cs="Arial"/>
        </w:rPr>
      </w:pPr>
      <w:r w:rsidRPr="00405CDE">
        <w:rPr>
          <w:rFonts w:cs="Arial"/>
          <w:noProof/>
          <w:lang w:eastAsia="en-AU"/>
        </w:rPr>
        <w:drawing>
          <wp:inline distT="0" distB="0" distL="0" distR="0" wp14:anchorId="4CE2E177" wp14:editId="36F06D0B">
            <wp:extent cx="5731510" cy="2885766"/>
            <wp:effectExtent l="0" t="0" r="2540" b="0"/>
            <wp:docPr id="25" name="Picture 25"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r w:rsidR="00275002" w:rsidRPr="00405CDE">
        <w:rPr>
          <w:rStyle w:val="SourceChar"/>
          <w:rFonts w:cs="Arial"/>
        </w:rPr>
        <w:t xml:space="preserve">Source: </w:t>
      </w:r>
      <w:hyperlink r:id="rId20" w:history="1">
        <w:r w:rsidR="00275002" w:rsidRPr="00405CDE">
          <w:rPr>
            <w:rStyle w:val="SourceChar"/>
            <w:rFonts w:cs="Arial"/>
          </w:rPr>
          <w:t>ASXEnergy.com.au</w:t>
        </w:r>
      </w:hyperlink>
    </w:p>
    <w:p w:rsidR="00275002" w:rsidRPr="00405CDE" w:rsidRDefault="00275002" w:rsidP="009A3D22">
      <w:pPr>
        <w:jc w:val="both"/>
        <w:rPr>
          <w:rFonts w:cs="Arial"/>
        </w:rPr>
      </w:pPr>
      <w:r w:rsidRPr="00405CDE">
        <w:rPr>
          <w:rFonts w:cs="Arial"/>
        </w:rPr>
        <w:fldChar w:fldCharType="begin"/>
      </w:r>
      <w:r w:rsidRPr="00405CDE">
        <w:rPr>
          <w:rFonts w:cs="Arial"/>
        </w:rPr>
        <w:instrText xml:space="preserve"> REF _Ref410380382 \h </w:instrText>
      </w:r>
      <w:r w:rsidR="009A3D22" w:rsidRPr="00405CDE">
        <w:rPr>
          <w:rFonts w:cs="Arial"/>
        </w:rPr>
        <w:instrText xml:space="preserve"> \* MERGEFORMAT </w:instrText>
      </w:r>
      <w:r w:rsidRPr="00405CDE">
        <w:rPr>
          <w:rFonts w:cs="Arial"/>
        </w:rPr>
      </w:r>
      <w:r w:rsidRPr="00405CDE">
        <w:rPr>
          <w:rFonts w:cs="Arial"/>
        </w:rPr>
        <w:fldChar w:fldCharType="separate"/>
      </w:r>
      <w:r w:rsidR="00C34065" w:rsidRPr="00405CDE">
        <w:rPr>
          <w:rFonts w:cs="Arial"/>
        </w:rPr>
        <w:t xml:space="preserve">Figure </w:t>
      </w:r>
      <w:r w:rsidR="00C34065" w:rsidRPr="00405CDE">
        <w:rPr>
          <w:rFonts w:cs="Arial"/>
          <w:noProof/>
        </w:rPr>
        <w:t>10</w:t>
      </w:r>
      <w:r w:rsidRPr="00405CDE">
        <w:rPr>
          <w:rFonts w:cs="Arial"/>
        </w:rPr>
        <w:fldChar w:fldCharType="end"/>
      </w:r>
      <w:r w:rsidRPr="00405CDE">
        <w:rPr>
          <w:rFonts w:cs="Arial"/>
        </w:rPr>
        <w:t xml:space="preserve"> shows how the price for each regional Quarter 1 201</w:t>
      </w:r>
      <w:r w:rsidR="00F87EBA" w:rsidRPr="00405CDE">
        <w:rPr>
          <w:rFonts w:cs="Arial"/>
        </w:rPr>
        <w:t>6</w:t>
      </w:r>
      <w:r w:rsidRPr="00405CDE">
        <w:rPr>
          <w:rFonts w:cs="Arial"/>
        </w:rPr>
        <w:t xml:space="preserve"> base contract has changed over the last 10 weeks (as well as the total number of trades each week). The closing quarter 1 201</w:t>
      </w:r>
      <w:r w:rsidR="00F87EBA" w:rsidRPr="00405CDE">
        <w:rPr>
          <w:rFonts w:cs="Arial"/>
        </w:rPr>
        <w:t>4</w:t>
      </w:r>
      <w:r w:rsidRPr="00405CDE">
        <w:rPr>
          <w:rFonts w:cs="Arial"/>
        </w:rPr>
        <w:t xml:space="preserve"> and quarter 1 201</w:t>
      </w:r>
      <w:r w:rsidR="00F87EBA" w:rsidRPr="00405CDE">
        <w:rPr>
          <w:rFonts w:cs="Arial"/>
        </w:rPr>
        <w:t>5</w:t>
      </w:r>
      <w:r w:rsidRPr="00405CDE">
        <w:rPr>
          <w:rFonts w:cs="Arial"/>
        </w:rPr>
        <w:t xml:space="preserve"> prices are also shown. The AER notes that data for South Australia is less reliable due to very low numbers of trades. </w:t>
      </w:r>
    </w:p>
    <w:p w:rsidR="00275002" w:rsidRPr="00405CDE" w:rsidRDefault="00275002" w:rsidP="000E2946">
      <w:pPr>
        <w:pStyle w:val="Caption"/>
        <w:rPr>
          <w:rFonts w:cs="Arial"/>
        </w:rPr>
      </w:pPr>
      <w:bookmarkStart w:id="19" w:name="_Ref410380382"/>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10</w:t>
      </w:r>
      <w:r w:rsidR="00FD5876" w:rsidRPr="00405CDE">
        <w:rPr>
          <w:rFonts w:cs="Arial"/>
          <w:noProof/>
        </w:rPr>
        <w:fldChar w:fldCharType="end"/>
      </w:r>
      <w:bookmarkEnd w:id="19"/>
      <w:r w:rsidRPr="00405CDE">
        <w:rPr>
          <w:rFonts w:cs="Arial"/>
        </w:rPr>
        <w:t>: Price of Q1 201</w:t>
      </w:r>
      <w:r w:rsidR="00F87EBA" w:rsidRPr="00405CDE">
        <w:rPr>
          <w:rFonts w:cs="Arial"/>
        </w:rPr>
        <w:t>6</w:t>
      </w:r>
      <w:r w:rsidRPr="00405CDE">
        <w:rPr>
          <w:rFonts w:cs="Arial"/>
        </w:rPr>
        <w:t xml:space="preserve"> base contracts over the past 10 weeks (and the past 2 years)</w:t>
      </w:r>
    </w:p>
    <w:p w:rsidR="00275002" w:rsidRPr="00405CDE" w:rsidRDefault="00857917" w:rsidP="00275002">
      <w:pPr>
        <w:rPr>
          <w:rFonts w:cs="Arial"/>
        </w:rPr>
      </w:pPr>
      <w:r w:rsidRPr="00405CDE">
        <w:rPr>
          <w:rFonts w:cs="Arial"/>
          <w:noProof/>
          <w:lang w:eastAsia="en-AU"/>
        </w:rPr>
        <w:drawing>
          <wp:inline distT="0" distB="0" distL="0" distR="0" wp14:anchorId="40941E88" wp14:editId="0D641197">
            <wp:extent cx="4699221" cy="2377851"/>
            <wp:effectExtent l="0" t="0" r="6350" b="3810"/>
            <wp:docPr id="26" name="Picture 26"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8734" cy="2377605"/>
                    </a:xfrm>
                    <a:prstGeom prst="rect">
                      <a:avLst/>
                    </a:prstGeom>
                    <a:noFill/>
                    <a:ln>
                      <a:noFill/>
                    </a:ln>
                  </pic:spPr>
                </pic:pic>
              </a:graphicData>
            </a:graphic>
          </wp:inline>
        </w:drawing>
      </w:r>
    </w:p>
    <w:p w:rsidR="00275002" w:rsidRPr="00405CDE" w:rsidRDefault="00275002" w:rsidP="002A7439">
      <w:pPr>
        <w:pStyle w:val="Source"/>
        <w:rPr>
          <w:rFonts w:cs="Arial"/>
        </w:rPr>
      </w:pPr>
      <w:r w:rsidRPr="00405CDE">
        <w:rPr>
          <w:rFonts w:cs="Arial"/>
        </w:rPr>
        <w:t>Note: Base contract prices are shown for each of the current week and the previous 9 weeks, with average prices shown for yearly periods 1 and 2 years prior to the current year</w:t>
      </w:r>
      <w:r w:rsidR="00D615F9" w:rsidRPr="00405CDE">
        <w:rPr>
          <w:rFonts w:cs="Arial"/>
        </w:rPr>
        <w:t>.</w:t>
      </w:r>
    </w:p>
    <w:p w:rsidR="00275002" w:rsidRPr="00405CDE" w:rsidRDefault="00275002" w:rsidP="002A7439">
      <w:pPr>
        <w:pStyle w:val="Source"/>
        <w:rPr>
          <w:rFonts w:cs="Arial"/>
        </w:rPr>
      </w:pPr>
      <w:r w:rsidRPr="00405CDE">
        <w:rPr>
          <w:rFonts w:cs="Arial"/>
        </w:rPr>
        <w:t xml:space="preserve">Source: </w:t>
      </w:r>
      <w:hyperlink r:id="rId22" w:history="1">
        <w:r w:rsidRPr="00405CDE">
          <w:rPr>
            <w:rStyle w:val="Hyperlink"/>
            <w:rFonts w:cs="Arial"/>
            <w:color w:val="auto"/>
            <w:sz w:val="16"/>
            <w:u w:val="none"/>
          </w:rPr>
          <w:t>ASXEnergy.com.au</w:t>
        </w:r>
      </w:hyperlink>
    </w:p>
    <w:p w:rsidR="00275002" w:rsidRPr="00405CDE" w:rsidRDefault="00275002" w:rsidP="009A3D22">
      <w:pPr>
        <w:jc w:val="both"/>
        <w:rPr>
          <w:rFonts w:cs="Arial"/>
        </w:rPr>
      </w:pPr>
      <w:r w:rsidRPr="00405CDE">
        <w:rPr>
          <w:rFonts w:cs="Arial"/>
        </w:rPr>
        <w:t xml:space="preserve">Prices of other financial products (including longer-term price trends) are available in the </w:t>
      </w:r>
      <w:hyperlink r:id="rId23" w:history="1">
        <w:r w:rsidRPr="00405CDE">
          <w:rPr>
            <w:rStyle w:val="Hyperlink"/>
            <w:rFonts w:cs="Arial"/>
          </w:rPr>
          <w:t>Performance of the Energy Sector</w:t>
        </w:r>
      </w:hyperlink>
      <w:r w:rsidR="00D615F9" w:rsidRPr="00405CDE">
        <w:rPr>
          <w:rFonts w:cs="Arial"/>
        </w:rPr>
        <w:t xml:space="preserve"> s</w:t>
      </w:r>
      <w:r w:rsidRPr="00405CDE">
        <w:rPr>
          <w:rFonts w:cs="Arial"/>
        </w:rPr>
        <w:t>ection of our website.</w:t>
      </w:r>
    </w:p>
    <w:p w:rsidR="00275002" w:rsidRPr="00405CDE" w:rsidRDefault="00066FEF" w:rsidP="009A3D22">
      <w:pPr>
        <w:jc w:val="both"/>
        <w:rPr>
          <w:rFonts w:cs="Arial"/>
        </w:rPr>
      </w:pPr>
      <w:r>
        <w:rPr>
          <w:rFonts w:cs="Arial"/>
        </w:rPr>
        <w:fldChar w:fldCharType="begin"/>
      </w:r>
      <w:r>
        <w:rPr>
          <w:rFonts w:cs="Arial"/>
        </w:rPr>
        <w:instrText xml:space="preserve"> REF _Ref419814369 \h </w:instrText>
      </w:r>
      <w:r>
        <w:rPr>
          <w:rFonts w:cs="Arial"/>
        </w:rPr>
      </w:r>
      <w:r>
        <w:rPr>
          <w:rFonts w:cs="Arial"/>
        </w:rPr>
        <w:fldChar w:fldCharType="separate"/>
      </w:r>
      <w:r w:rsidRPr="00405CDE">
        <w:rPr>
          <w:rFonts w:cs="Arial"/>
        </w:rPr>
        <w:t xml:space="preserve">Figure </w:t>
      </w:r>
      <w:r w:rsidRPr="00405CDE">
        <w:rPr>
          <w:rFonts w:cs="Arial"/>
          <w:noProof/>
        </w:rPr>
        <w:t>11</w:t>
      </w:r>
      <w:r>
        <w:rPr>
          <w:rFonts w:cs="Arial"/>
        </w:rPr>
        <w:fldChar w:fldCharType="end"/>
      </w:r>
      <w:r>
        <w:rPr>
          <w:rFonts w:cs="Arial"/>
        </w:rPr>
        <w:t xml:space="preserve"> </w:t>
      </w:r>
      <w:r w:rsidR="00275002" w:rsidRPr="00405CDE">
        <w:rPr>
          <w:rFonts w:cs="Arial"/>
        </w:rPr>
        <w:t>shows how the price for each regional Quarter 1 201</w:t>
      </w:r>
      <w:r w:rsidR="00F87EBA" w:rsidRPr="00405CDE">
        <w:rPr>
          <w:rFonts w:cs="Arial"/>
        </w:rPr>
        <w:t>6</w:t>
      </w:r>
      <w:r w:rsidR="00275002" w:rsidRPr="00405CDE">
        <w:rPr>
          <w:rFonts w:cs="Arial"/>
        </w:rPr>
        <w:t xml:space="preserve"> cap contract has changed over the last 10 weeks (as well as the total number of trades each week). The closing quarter 1 201</w:t>
      </w:r>
      <w:r w:rsidR="00F87EBA" w:rsidRPr="00405CDE">
        <w:rPr>
          <w:rFonts w:cs="Arial"/>
        </w:rPr>
        <w:t>4</w:t>
      </w:r>
      <w:r w:rsidR="00275002" w:rsidRPr="00405CDE">
        <w:rPr>
          <w:rFonts w:cs="Arial"/>
        </w:rPr>
        <w:t xml:space="preserve"> and quarter 1 201</w:t>
      </w:r>
      <w:r w:rsidR="00F87EBA" w:rsidRPr="00405CDE">
        <w:rPr>
          <w:rFonts w:cs="Arial"/>
        </w:rPr>
        <w:t>5</w:t>
      </w:r>
      <w:r w:rsidR="00275002" w:rsidRPr="00405CDE">
        <w:rPr>
          <w:rFonts w:cs="Arial"/>
        </w:rPr>
        <w:t xml:space="preserve"> prices are also shown. </w:t>
      </w:r>
    </w:p>
    <w:p w:rsidR="00275002" w:rsidRPr="00405CDE" w:rsidRDefault="00275002" w:rsidP="000E2946">
      <w:pPr>
        <w:pStyle w:val="Caption"/>
        <w:rPr>
          <w:rFonts w:cs="Arial"/>
        </w:rPr>
      </w:pPr>
      <w:bookmarkStart w:id="20" w:name="_Ref419814369"/>
      <w:bookmarkStart w:id="21" w:name="_Ref410744936"/>
      <w:r w:rsidRPr="00405CDE">
        <w:rPr>
          <w:rFonts w:cs="Arial"/>
        </w:rPr>
        <w:t xml:space="preserve">Figure </w:t>
      </w:r>
      <w:r w:rsidR="00FD5876" w:rsidRPr="00405CDE">
        <w:rPr>
          <w:rFonts w:cs="Arial"/>
        </w:rPr>
        <w:fldChar w:fldCharType="begin"/>
      </w:r>
      <w:r w:rsidR="00FD5876" w:rsidRPr="00405CDE">
        <w:rPr>
          <w:rFonts w:cs="Arial"/>
        </w:rPr>
        <w:instrText xml:space="preserve"> SEQ Figure \* ARABIC </w:instrText>
      </w:r>
      <w:r w:rsidR="00FD5876" w:rsidRPr="00405CDE">
        <w:rPr>
          <w:rFonts w:cs="Arial"/>
        </w:rPr>
        <w:fldChar w:fldCharType="separate"/>
      </w:r>
      <w:r w:rsidR="00C34065" w:rsidRPr="00405CDE">
        <w:rPr>
          <w:rFonts w:cs="Arial"/>
          <w:noProof/>
        </w:rPr>
        <w:t>11</w:t>
      </w:r>
      <w:r w:rsidR="00FD5876" w:rsidRPr="00405CDE">
        <w:rPr>
          <w:rFonts w:cs="Arial"/>
          <w:noProof/>
        </w:rPr>
        <w:fldChar w:fldCharType="end"/>
      </w:r>
      <w:bookmarkEnd w:id="20"/>
      <w:r w:rsidRPr="00405CDE">
        <w:rPr>
          <w:rFonts w:cs="Arial"/>
        </w:rPr>
        <w:t>: Price of Q1 201</w:t>
      </w:r>
      <w:r w:rsidR="00F87EBA" w:rsidRPr="00405CDE">
        <w:rPr>
          <w:rFonts w:cs="Arial"/>
        </w:rPr>
        <w:t>6</w:t>
      </w:r>
      <w:r w:rsidRPr="00405CDE">
        <w:rPr>
          <w:rFonts w:cs="Arial"/>
        </w:rPr>
        <w:t xml:space="preserve"> cap contracts over the past 10 weeks (and the past 2 years)</w:t>
      </w:r>
      <w:bookmarkEnd w:id="21"/>
    </w:p>
    <w:p w:rsidR="00275002" w:rsidRPr="00405CDE" w:rsidRDefault="00857917" w:rsidP="00275002">
      <w:pPr>
        <w:rPr>
          <w:rFonts w:cs="Arial"/>
        </w:rPr>
      </w:pPr>
      <w:r w:rsidRPr="00405CDE">
        <w:rPr>
          <w:rFonts w:cs="Arial"/>
          <w:noProof/>
          <w:lang w:eastAsia="en-AU"/>
        </w:rPr>
        <w:drawing>
          <wp:inline distT="0" distB="0" distL="0" distR="0" wp14:anchorId="53037A96" wp14:editId="4782B731">
            <wp:extent cx="5001370" cy="2508082"/>
            <wp:effectExtent l="0" t="0" r="0" b="6985"/>
            <wp:docPr id="27" name="Picture 27" descr="Figure 11 shows how the price for each regional Quarter 1 2015 cap contract has changed over the last 10 weeks (as well as the total number of trades each week). The closing quarter 1 2013 and quarter 1 2014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00166" cy="2507478"/>
                    </a:xfrm>
                    <a:prstGeom prst="rect">
                      <a:avLst/>
                    </a:prstGeom>
                    <a:noFill/>
                    <a:ln>
                      <a:noFill/>
                    </a:ln>
                  </pic:spPr>
                </pic:pic>
              </a:graphicData>
            </a:graphic>
          </wp:inline>
        </w:drawing>
      </w:r>
    </w:p>
    <w:p w:rsidR="00275002" w:rsidRPr="00405CDE" w:rsidRDefault="00275002" w:rsidP="002A7439">
      <w:pPr>
        <w:pStyle w:val="Source"/>
        <w:rPr>
          <w:rFonts w:cs="Arial"/>
        </w:rPr>
      </w:pPr>
      <w:r w:rsidRPr="00405CDE">
        <w:rPr>
          <w:rFonts w:cs="Arial"/>
        </w:rPr>
        <w:t xml:space="preserve">Source: </w:t>
      </w:r>
      <w:hyperlink r:id="rId25" w:history="1">
        <w:r w:rsidRPr="00405CDE">
          <w:rPr>
            <w:rStyle w:val="Hyperlink"/>
            <w:rFonts w:cs="Arial"/>
            <w:color w:val="auto"/>
            <w:sz w:val="16"/>
            <w:u w:val="none"/>
          </w:rPr>
          <w:t>ASXEnergy.com.au</w:t>
        </w:r>
      </w:hyperlink>
    </w:p>
    <w:p w:rsidR="00275002" w:rsidRPr="00405CDE" w:rsidRDefault="00275002" w:rsidP="00275002">
      <w:pPr>
        <w:pStyle w:val="Heading4notnumbered"/>
        <w:rPr>
          <w:rFonts w:cs="Arial"/>
        </w:rPr>
      </w:pPr>
      <w:r w:rsidRPr="00405CDE">
        <w:rPr>
          <w:rFonts w:cs="Arial"/>
        </w:rPr>
        <w:t>Australian Energy Regulator</w:t>
      </w:r>
    </w:p>
    <w:p w:rsidR="004E7D10" w:rsidRPr="00405CDE" w:rsidRDefault="004D5447">
      <w:pPr>
        <w:pStyle w:val="Heading4notnumbered"/>
        <w:rPr>
          <w:rFonts w:cs="Arial"/>
        </w:rPr>
      </w:pPr>
      <w:r w:rsidRPr="00405CDE">
        <w:rPr>
          <w:rFonts w:cs="Arial"/>
        </w:rPr>
        <w:t xml:space="preserve">May </w:t>
      </w:r>
      <w:r w:rsidR="00275002" w:rsidRPr="00405CDE">
        <w:rPr>
          <w:rFonts w:cs="Arial"/>
        </w:rPr>
        <w:t>2015</w:t>
      </w:r>
    </w:p>
    <w:sectPr w:rsidR="004E7D10" w:rsidRPr="00405CDE" w:rsidSect="00EE347F">
      <w:footerReference w:type="even" r:id="rId26"/>
      <w:footerReference w:type="default" r:id="rId27"/>
      <w:footerReference w:type="first" r:id="rId28"/>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9D" w:rsidRDefault="0004189D" w:rsidP="004B4412">
      <w:pPr>
        <w:spacing w:before="0"/>
      </w:pPr>
      <w:r>
        <w:separator/>
      </w:r>
    </w:p>
    <w:p w:rsidR="0004189D" w:rsidRDefault="0004189D"/>
  </w:endnote>
  <w:endnote w:type="continuationSeparator" w:id="0">
    <w:p w:rsidR="0004189D" w:rsidRDefault="0004189D" w:rsidP="004B4412">
      <w:pPr>
        <w:spacing w:before="0"/>
      </w:pPr>
      <w:r>
        <w:continuationSeparator/>
      </w:r>
    </w:p>
    <w:p w:rsidR="0004189D" w:rsidRDefault="00041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9D" w:rsidRPr="00A91A9E" w:rsidRDefault="0004189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4189D" w:rsidRDefault="0004189D"/>
  <w:p w:rsidR="0004189D" w:rsidRDefault="0004189D"/>
  <w:p w:rsidR="0004189D" w:rsidRDefault="000418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9D" w:rsidRDefault="0004189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F4596">
      <w:rPr>
        <w:rFonts w:cs="Arial"/>
        <w:i/>
        <w:noProof/>
      </w:rPr>
      <w:t>2</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61044</w:t>
    </w:r>
  </w:p>
  <w:p w:rsidR="0004189D" w:rsidRPr="00A94D89" w:rsidRDefault="0004189D" w:rsidP="00A94D89">
    <w:pPr>
      <w:pStyle w:val="Footer"/>
      <w:pBdr>
        <w:top w:val="single" w:sz="4" w:space="1" w:color="auto"/>
      </w:pBdr>
      <w:rPr>
        <w:rFonts w:cs="Arial"/>
        <w:i/>
      </w:rPr>
    </w:pPr>
  </w:p>
  <w:p w:rsidR="0004189D" w:rsidRDefault="000418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9D" w:rsidRPr="00A94D89" w:rsidRDefault="0004189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DF4596">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61044</w:t>
    </w:r>
  </w:p>
  <w:p w:rsidR="0004189D" w:rsidRDefault="0004189D"/>
  <w:p w:rsidR="0004189D" w:rsidRDefault="00041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9D" w:rsidRDefault="0004189D" w:rsidP="004B4412">
      <w:pPr>
        <w:spacing w:before="0"/>
      </w:pPr>
      <w:r>
        <w:separator/>
      </w:r>
    </w:p>
    <w:p w:rsidR="0004189D" w:rsidRDefault="0004189D"/>
  </w:footnote>
  <w:footnote w:type="continuationSeparator" w:id="0">
    <w:p w:rsidR="0004189D" w:rsidRDefault="0004189D" w:rsidP="004B4412">
      <w:pPr>
        <w:spacing w:before="0"/>
      </w:pPr>
      <w:r>
        <w:continuationSeparator/>
      </w:r>
    </w:p>
    <w:p w:rsidR="0004189D" w:rsidRDefault="000418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E2819EC"/>
    <w:multiLevelType w:val="multilevel"/>
    <w:tmpl w:val="BC68733A"/>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5"/>
  </w:num>
  <w:num w:numId="14">
    <w:abstractNumId w:val="9"/>
  </w:num>
  <w:num w:numId="15">
    <w:abstractNumId w:val="12"/>
  </w:num>
  <w:num w:numId="16">
    <w:abstractNumId w:val="16"/>
  </w:num>
  <w:num w:numId="17">
    <w:abstractNumId w:val="14"/>
  </w:num>
  <w:num w:numId="18">
    <w:abstractNumId w:val="17"/>
  </w:num>
  <w:num w:numId="19">
    <w:abstractNumId w:val="20"/>
  </w:num>
  <w:num w:numId="20">
    <w:abstractNumId w:val="18"/>
  </w:num>
  <w:num w:numId="21">
    <w:abstractNumId w:val="11"/>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452\D15 61044  20150426 - 20150502 electricity weekly report.DOCX"/>
  </w:docVars>
  <w:rsids>
    <w:rsidRoot w:val="00275002"/>
    <w:rsid w:val="00002B2F"/>
    <w:rsid w:val="000147C1"/>
    <w:rsid w:val="00015E31"/>
    <w:rsid w:val="00021202"/>
    <w:rsid w:val="00022F09"/>
    <w:rsid w:val="000316E7"/>
    <w:rsid w:val="0003578C"/>
    <w:rsid w:val="00035B61"/>
    <w:rsid w:val="00036E97"/>
    <w:rsid w:val="0004189D"/>
    <w:rsid w:val="00051880"/>
    <w:rsid w:val="000528FD"/>
    <w:rsid w:val="000614A2"/>
    <w:rsid w:val="00061CE2"/>
    <w:rsid w:val="00063247"/>
    <w:rsid w:val="00066157"/>
    <w:rsid w:val="00066FEF"/>
    <w:rsid w:val="00070F9F"/>
    <w:rsid w:val="0007137B"/>
    <w:rsid w:val="000766E2"/>
    <w:rsid w:val="00085663"/>
    <w:rsid w:val="00085ACC"/>
    <w:rsid w:val="00085EBF"/>
    <w:rsid w:val="0009584C"/>
    <w:rsid w:val="000A29ED"/>
    <w:rsid w:val="000A67D2"/>
    <w:rsid w:val="000B5010"/>
    <w:rsid w:val="000D122C"/>
    <w:rsid w:val="000E1819"/>
    <w:rsid w:val="000E2946"/>
    <w:rsid w:val="000E6C72"/>
    <w:rsid w:val="000E77BB"/>
    <w:rsid w:val="001158FE"/>
    <w:rsid w:val="00116EB2"/>
    <w:rsid w:val="00124609"/>
    <w:rsid w:val="00127CAB"/>
    <w:rsid w:val="0013290A"/>
    <w:rsid w:val="001373F1"/>
    <w:rsid w:val="001460DD"/>
    <w:rsid w:val="00152EF8"/>
    <w:rsid w:val="001530FF"/>
    <w:rsid w:val="00155113"/>
    <w:rsid w:val="001573E4"/>
    <w:rsid w:val="00160756"/>
    <w:rsid w:val="001711CC"/>
    <w:rsid w:val="0017232E"/>
    <w:rsid w:val="00174102"/>
    <w:rsid w:val="001749E6"/>
    <w:rsid w:val="00180157"/>
    <w:rsid w:val="00186F77"/>
    <w:rsid w:val="00192441"/>
    <w:rsid w:val="001926A4"/>
    <w:rsid w:val="001B0C3B"/>
    <w:rsid w:val="001B45A0"/>
    <w:rsid w:val="001B5BA8"/>
    <w:rsid w:val="001C1BC0"/>
    <w:rsid w:val="001D055E"/>
    <w:rsid w:val="001D0CE3"/>
    <w:rsid w:val="001E01B4"/>
    <w:rsid w:val="001F1B78"/>
    <w:rsid w:val="001F492E"/>
    <w:rsid w:val="001F6DA3"/>
    <w:rsid w:val="0020489F"/>
    <w:rsid w:val="002050F5"/>
    <w:rsid w:val="002072A2"/>
    <w:rsid w:val="00214FBA"/>
    <w:rsid w:val="00216865"/>
    <w:rsid w:val="00224DB9"/>
    <w:rsid w:val="00233C17"/>
    <w:rsid w:val="00251745"/>
    <w:rsid w:val="00262C24"/>
    <w:rsid w:val="00262F65"/>
    <w:rsid w:val="00263AC0"/>
    <w:rsid w:val="002649D2"/>
    <w:rsid w:val="002649D8"/>
    <w:rsid w:val="00265486"/>
    <w:rsid w:val="0026772D"/>
    <w:rsid w:val="00274E8A"/>
    <w:rsid w:val="00275002"/>
    <w:rsid w:val="00286874"/>
    <w:rsid w:val="00295C2D"/>
    <w:rsid w:val="00296B65"/>
    <w:rsid w:val="002A097F"/>
    <w:rsid w:val="002A7439"/>
    <w:rsid w:val="002A7DEF"/>
    <w:rsid w:val="002B0DAE"/>
    <w:rsid w:val="002C6D5E"/>
    <w:rsid w:val="002D0BE3"/>
    <w:rsid w:val="002E19FC"/>
    <w:rsid w:val="002E506D"/>
    <w:rsid w:val="002F0A25"/>
    <w:rsid w:val="002F7986"/>
    <w:rsid w:val="00307F6D"/>
    <w:rsid w:val="003177A2"/>
    <w:rsid w:val="00321853"/>
    <w:rsid w:val="003271B5"/>
    <w:rsid w:val="00331264"/>
    <w:rsid w:val="00334C17"/>
    <w:rsid w:val="00334C8D"/>
    <w:rsid w:val="00336D50"/>
    <w:rsid w:val="003518B3"/>
    <w:rsid w:val="00352DA8"/>
    <w:rsid w:val="00354887"/>
    <w:rsid w:val="00371F3A"/>
    <w:rsid w:val="003846F1"/>
    <w:rsid w:val="00384A55"/>
    <w:rsid w:val="003A41E0"/>
    <w:rsid w:val="003C2B22"/>
    <w:rsid w:val="003C62E9"/>
    <w:rsid w:val="003C7EFA"/>
    <w:rsid w:val="003D5AE3"/>
    <w:rsid w:val="003E2EEF"/>
    <w:rsid w:val="003F577A"/>
    <w:rsid w:val="003F75C8"/>
    <w:rsid w:val="00403473"/>
    <w:rsid w:val="00405CDE"/>
    <w:rsid w:val="00406DA1"/>
    <w:rsid w:val="00411897"/>
    <w:rsid w:val="00417803"/>
    <w:rsid w:val="004450AC"/>
    <w:rsid w:val="00463752"/>
    <w:rsid w:val="00480B4B"/>
    <w:rsid w:val="00485DC4"/>
    <w:rsid w:val="00492A06"/>
    <w:rsid w:val="00493B02"/>
    <w:rsid w:val="004B0EE2"/>
    <w:rsid w:val="004B3039"/>
    <w:rsid w:val="004B4412"/>
    <w:rsid w:val="004C0E92"/>
    <w:rsid w:val="004C348C"/>
    <w:rsid w:val="004C63B9"/>
    <w:rsid w:val="004D5447"/>
    <w:rsid w:val="004D55BA"/>
    <w:rsid w:val="004E34E7"/>
    <w:rsid w:val="004E7D10"/>
    <w:rsid w:val="005177C0"/>
    <w:rsid w:val="00522486"/>
    <w:rsid w:val="00522668"/>
    <w:rsid w:val="00530128"/>
    <w:rsid w:val="00532467"/>
    <w:rsid w:val="00555667"/>
    <w:rsid w:val="00556B64"/>
    <w:rsid w:val="005575B9"/>
    <w:rsid w:val="00564A4D"/>
    <w:rsid w:val="00571680"/>
    <w:rsid w:val="00571B35"/>
    <w:rsid w:val="00575C43"/>
    <w:rsid w:val="00577A09"/>
    <w:rsid w:val="005816B4"/>
    <w:rsid w:val="00584D8F"/>
    <w:rsid w:val="00593C9B"/>
    <w:rsid w:val="0059565D"/>
    <w:rsid w:val="005A1339"/>
    <w:rsid w:val="005A404D"/>
    <w:rsid w:val="005B0461"/>
    <w:rsid w:val="005B1E3C"/>
    <w:rsid w:val="005B38B2"/>
    <w:rsid w:val="005C26CC"/>
    <w:rsid w:val="005C3411"/>
    <w:rsid w:val="005C3F4E"/>
    <w:rsid w:val="005C5E72"/>
    <w:rsid w:val="005D31F5"/>
    <w:rsid w:val="005D69AF"/>
    <w:rsid w:val="005F6ADE"/>
    <w:rsid w:val="00603914"/>
    <w:rsid w:val="00612006"/>
    <w:rsid w:val="00615C6B"/>
    <w:rsid w:val="00621545"/>
    <w:rsid w:val="00630A15"/>
    <w:rsid w:val="00632D6D"/>
    <w:rsid w:val="00637ABB"/>
    <w:rsid w:val="00642C3E"/>
    <w:rsid w:val="00645D73"/>
    <w:rsid w:val="00647804"/>
    <w:rsid w:val="00651005"/>
    <w:rsid w:val="006620AE"/>
    <w:rsid w:val="00663DAD"/>
    <w:rsid w:val="00676679"/>
    <w:rsid w:val="006777D7"/>
    <w:rsid w:val="00690A78"/>
    <w:rsid w:val="00693340"/>
    <w:rsid w:val="00694FD6"/>
    <w:rsid w:val="006A7DAA"/>
    <w:rsid w:val="006B4CF9"/>
    <w:rsid w:val="006B7AC8"/>
    <w:rsid w:val="006C547C"/>
    <w:rsid w:val="006D550F"/>
    <w:rsid w:val="006D7923"/>
    <w:rsid w:val="006E1E7D"/>
    <w:rsid w:val="006E2C26"/>
    <w:rsid w:val="006E53D5"/>
    <w:rsid w:val="006F3750"/>
    <w:rsid w:val="006F3FCB"/>
    <w:rsid w:val="00701CAB"/>
    <w:rsid w:val="00707563"/>
    <w:rsid w:val="0072348C"/>
    <w:rsid w:val="00724A37"/>
    <w:rsid w:val="007303C3"/>
    <w:rsid w:val="00743223"/>
    <w:rsid w:val="00745242"/>
    <w:rsid w:val="00746E01"/>
    <w:rsid w:val="007532DD"/>
    <w:rsid w:val="00753ADA"/>
    <w:rsid w:val="00762D41"/>
    <w:rsid w:val="00763E5D"/>
    <w:rsid w:val="00767740"/>
    <w:rsid w:val="00772A45"/>
    <w:rsid w:val="00772A95"/>
    <w:rsid w:val="00777EE6"/>
    <w:rsid w:val="00782EEA"/>
    <w:rsid w:val="007840FD"/>
    <w:rsid w:val="007A33E8"/>
    <w:rsid w:val="007B1732"/>
    <w:rsid w:val="007B2C72"/>
    <w:rsid w:val="007C1C53"/>
    <w:rsid w:val="007D3CF3"/>
    <w:rsid w:val="007E1516"/>
    <w:rsid w:val="007E4904"/>
    <w:rsid w:val="007E4CB5"/>
    <w:rsid w:val="007F066B"/>
    <w:rsid w:val="007F0F77"/>
    <w:rsid w:val="007F475F"/>
    <w:rsid w:val="00801128"/>
    <w:rsid w:val="008033C4"/>
    <w:rsid w:val="00806C88"/>
    <w:rsid w:val="00807A5C"/>
    <w:rsid w:val="0081034E"/>
    <w:rsid w:val="00820E76"/>
    <w:rsid w:val="008344F6"/>
    <w:rsid w:val="0083510F"/>
    <w:rsid w:val="008364C4"/>
    <w:rsid w:val="008366CD"/>
    <w:rsid w:val="00851209"/>
    <w:rsid w:val="00856641"/>
    <w:rsid w:val="00857917"/>
    <w:rsid w:val="00861AED"/>
    <w:rsid w:val="008837AC"/>
    <w:rsid w:val="00886BAB"/>
    <w:rsid w:val="00887EBF"/>
    <w:rsid w:val="008A587D"/>
    <w:rsid w:val="008B167B"/>
    <w:rsid w:val="008B416B"/>
    <w:rsid w:val="008B6DA5"/>
    <w:rsid w:val="008C1FE0"/>
    <w:rsid w:val="008C5486"/>
    <w:rsid w:val="008C6B16"/>
    <w:rsid w:val="008D4EDD"/>
    <w:rsid w:val="008E535A"/>
    <w:rsid w:val="008E6CAE"/>
    <w:rsid w:val="008E7031"/>
    <w:rsid w:val="008F099F"/>
    <w:rsid w:val="008F3F62"/>
    <w:rsid w:val="0090239D"/>
    <w:rsid w:val="0091034C"/>
    <w:rsid w:val="00914A87"/>
    <w:rsid w:val="0091646B"/>
    <w:rsid w:val="009233EE"/>
    <w:rsid w:val="0092422F"/>
    <w:rsid w:val="009377D8"/>
    <w:rsid w:val="00957591"/>
    <w:rsid w:val="009661DE"/>
    <w:rsid w:val="00982FEB"/>
    <w:rsid w:val="009837D1"/>
    <w:rsid w:val="009856B7"/>
    <w:rsid w:val="009A3D22"/>
    <w:rsid w:val="009B21F2"/>
    <w:rsid w:val="009B4E65"/>
    <w:rsid w:val="009B69AA"/>
    <w:rsid w:val="009B74B0"/>
    <w:rsid w:val="009C3E23"/>
    <w:rsid w:val="009D6B46"/>
    <w:rsid w:val="009E2988"/>
    <w:rsid w:val="009E7749"/>
    <w:rsid w:val="009E7AC6"/>
    <w:rsid w:val="009F4940"/>
    <w:rsid w:val="00A041F4"/>
    <w:rsid w:val="00A40472"/>
    <w:rsid w:val="00A4478A"/>
    <w:rsid w:val="00A44852"/>
    <w:rsid w:val="00A5288D"/>
    <w:rsid w:val="00A57D04"/>
    <w:rsid w:val="00A60A26"/>
    <w:rsid w:val="00A61598"/>
    <w:rsid w:val="00A75AAA"/>
    <w:rsid w:val="00A77A73"/>
    <w:rsid w:val="00A81EF8"/>
    <w:rsid w:val="00A84061"/>
    <w:rsid w:val="00A84F46"/>
    <w:rsid w:val="00A871F4"/>
    <w:rsid w:val="00A94D89"/>
    <w:rsid w:val="00AA649A"/>
    <w:rsid w:val="00AB6478"/>
    <w:rsid w:val="00AB7A03"/>
    <w:rsid w:val="00AC1B2C"/>
    <w:rsid w:val="00AC3264"/>
    <w:rsid w:val="00AE1BF1"/>
    <w:rsid w:val="00AF0DD2"/>
    <w:rsid w:val="00AF40DA"/>
    <w:rsid w:val="00AF46F3"/>
    <w:rsid w:val="00AF7058"/>
    <w:rsid w:val="00B0513C"/>
    <w:rsid w:val="00B1285B"/>
    <w:rsid w:val="00B13048"/>
    <w:rsid w:val="00B1716D"/>
    <w:rsid w:val="00B17A1D"/>
    <w:rsid w:val="00B207A0"/>
    <w:rsid w:val="00B35810"/>
    <w:rsid w:val="00B41686"/>
    <w:rsid w:val="00B42FB7"/>
    <w:rsid w:val="00B56E03"/>
    <w:rsid w:val="00B61CC5"/>
    <w:rsid w:val="00B6621E"/>
    <w:rsid w:val="00B70CA5"/>
    <w:rsid w:val="00B8080B"/>
    <w:rsid w:val="00B87C39"/>
    <w:rsid w:val="00B87DD6"/>
    <w:rsid w:val="00B91194"/>
    <w:rsid w:val="00B92CD5"/>
    <w:rsid w:val="00BA390A"/>
    <w:rsid w:val="00BA4665"/>
    <w:rsid w:val="00BA7482"/>
    <w:rsid w:val="00BB1AC4"/>
    <w:rsid w:val="00BB2FB2"/>
    <w:rsid w:val="00BB3304"/>
    <w:rsid w:val="00BC675F"/>
    <w:rsid w:val="00BC79CF"/>
    <w:rsid w:val="00BD3446"/>
    <w:rsid w:val="00BE1893"/>
    <w:rsid w:val="00BE1F1B"/>
    <w:rsid w:val="00BE31A2"/>
    <w:rsid w:val="00BE47B5"/>
    <w:rsid w:val="00BF771C"/>
    <w:rsid w:val="00C064A7"/>
    <w:rsid w:val="00C1047D"/>
    <w:rsid w:val="00C16B2C"/>
    <w:rsid w:val="00C25CB3"/>
    <w:rsid w:val="00C26A65"/>
    <w:rsid w:val="00C30BBE"/>
    <w:rsid w:val="00C34065"/>
    <w:rsid w:val="00C4709E"/>
    <w:rsid w:val="00C538A9"/>
    <w:rsid w:val="00C53B5A"/>
    <w:rsid w:val="00C54F5A"/>
    <w:rsid w:val="00C56506"/>
    <w:rsid w:val="00C6290C"/>
    <w:rsid w:val="00C672E0"/>
    <w:rsid w:val="00C73A47"/>
    <w:rsid w:val="00C73C83"/>
    <w:rsid w:val="00C74A11"/>
    <w:rsid w:val="00C86679"/>
    <w:rsid w:val="00C872DB"/>
    <w:rsid w:val="00C950AF"/>
    <w:rsid w:val="00CA2226"/>
    <w:rsid w:val="00CB666B"/>
    <w:rsid w:val="00CD40AD"/>
    <w:rsid w:val="00CF286F"/>
    <w:rsid w:val="00D01CF0"/>
    <w:rsid w:val="00D0442A"/>
    <w:rsid w:val="00D32767"/>
    <w:rsid w:val="00D474DA"/>
    <w:rsid w:val="00D57D5C"/>
    <w:rsid w:val="00D61388"/>
    <w:rsid w:val="00D615F9"/>
    <w:rsid w:val="00D61A54"/>
    <w:rsid w:val="00D62F55"/>
    <w:rsid w:val="00D64DEA"/>
    <w:rsid w:val="00D74261"/>
    <w:rsid w:val="00D80893"/>
    <w:rsid w:val="00D92CF1"/>
    <w:rsid w:val="00D92D38"/>
    <w:rsid w:val="00D936B6"/>
    <w:rsid w:val="00D950F5"/>
    <w:rsid w:val="00DB0F93"/>
    <w:rsid w:val="00DC153A"/>
    <w:rsid w:val="00DC5E54"/>
    <w:rsid w:val="00DC7981"/>
    <w:rsid w:val="00DD15C2"/>
    <w:rsid w:val="00DD50F3"/>
    <w:rsid w:val="00DE4EFA"/>
    <w:rsid w:val="00DE5520"/>
    <w:rsid w:val="00DF4596"/>
    <w:rsid w:val="00E00EC9"/>
    <w:rsid w:val="00E03069"/>
    <w:rsid w:val="00E04818"/>
    <w:rsid w:val="00E06442"/>
    <w:rsid w:val="00E135DB"/>
    <w:rsid w:val="00E23993"/>
    <w:rsid w:val="00E25B8C"/>
    <w:rsid w:val="00E2784F"/>
    <w:rsid w:val="00E32A8C"/>
    <w:rsid w:val="00E40B9C"/>
    <w:rsid w:val="00E52A27"/>
    <w:rsid w:val="00E65C85"/>
    <w:rsid w:val="00E66199"/>
    <w:rsid w:val="00E70FC1"/>
    <w:rsid w:val="00E7359A"/>
    <w:rsid w:val="00E7472E"/>
    <w:rsid w:val="00E755EC"/>
    <w:rsid w:val="00E7624D"/>
    <w:rsid w:val="00E823D9"/>
    <w:rsid w:val="00E86851"/>
    <w:rsid w:val="00EA3D42"/>
    <w:rsid w:val="00EA6B1B"/>
    <w:rsid w:val="00EB049F"/>
    <w:rsid w:val="00EB540F"/>
    <w:rsid w:val="00EB7D7F"/>
    <w:rsid w:val="00EC317E"/>
    <w:rsid w:val="00ED4A25"/>
    <w:rsid w:val="00EE28F3"/>
    <w:rsid w:val="00EE347F"/>
    <w:rsid w:val="00EF5110"/>
    <w:rsid w:val="00F02D9B"/>
    <w:rsid w:val="00F031FE"/>
    <w:rsid w:val="00F12EEA"/>
    <w:rsid w:val="00F13EAA"/>
    <w:rsid w:val="00F15882"/>
    <w:rsid w:val="00F20BD3"/>
    <w:rsid w:val="00F373A5"/>
    <w:rsid w:val="00F47559"/>
    <w:rsid w:val="00F64C7B"/>
    <w:rsid w:val="00F662F1"/>
    <w:rsid w:val="00F676DD"/>
    <w:rsid w:val="00F70811"/>
    <w:rsid w:val="00F75A26"/>
    <w:rsid w:val="00F83FAD"/>
    <w:rsid w:val="00F87EBA"/>
    <w:rsid w:val="00F910C3"/>
    <w:rsid w:val="00F915FF"/>
    <w:rsid w:val="00F952A0"/>
    <w:rsid w:val="00FA1A76"/>
    <w:rsid w:val="00FA3830"/>
    <w:rsid w:val="00FA3C7F"/>
    <w:rsid w:val="00FB74E2"/>
    <w:rsid w:val="00FC447B"/>
    <w:rsid w:val="00FC7B4C"/>
    <w:rsid w:val="00FD2F97"/>
    <w:rsid w:val="00FD5614"/>
    <w:rsid w:val="00FD5876"/>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04189D"/>
    <w:pPr>
      <w:numPr>
        <w:numId w:val="2"/>
      </w:numPr>
      <w:ind w:left="357" w:hanging="357"/>
      <w:jc w:val="both"/>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2E506D"/>
    <w:pPr>
      <w:keepNext/>
    </w:pPr>
    <w:rPr>
      <w:rFonts w:cs="Arial"/>
      <w:sz w:val="22"/>
      <w:szCs w:val="22"/>
    </w:rPr>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2E506D"/>
    <w:rPr>
      <w:rFonts w:ascii="Arial" w:eastAsia="Times New Roman" w:hAnsi="Arial" w:cs="Arial"/>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04189D"/>
    <w:pPr>
      <w:spacing w:before="120" w:after="120"/>
    </w:pPr>
    <w:rPr>
      <w:rFonts w:cs="Arial"/>
      <w:sz w:val="18"/>
    </w:rPr>
  </w:style>
  <w:style w:type="character" w:customStyle="1" w:styleId="tablenormalChar">
    <w:name w:val="table normal Char"/>
    <w:basedOn w:val="DefaultParagraphFont"/>
    <w:link w:val="tablenormal0"/>
    <w:rsid w:val="0004189D"/>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04189D"/>
    <w:pPr>
      <w:numPr>
        <w:numId w:val="2"/>
      </w:numPr>
      <w:ind w:left="357" w:hanging="357"/>
      <w:jc w:val="both"/>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2E506D"/>
    <w:pPr>
      <w:keepNext/>
    </w:pPr>
    <w:rPr>
      <w:rFonts w:cs="Arial"/>
      <w:sz w:val="22"/>
      <w:szCs w:val="22"/>
    </w:rPr>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2E506D"/>
    <w:rPr>
      <w:rFonts w:ascii="Arial" w:eastAsia="Times New Roman" w:hAnsi="Arial" w:cs="Arial"/>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04189D"/>
    <w:pPr>
      <w:spacing w:before="120" w:after="120"/>
    </w:pPr>
    <w:rPr>
      <w:rFonts w:cs="Arial"/>
      <w:sz w:val="18"/>
    </w:rPr>
  </w:style>
  <w:style w:type="character" w:customStyle="1" w:styleId="tablenormalChar">
    <w:name w:val="table normal Char"/>
    <w:basedOn w:val="DefaultParagraphFont"/>
    <w:link w:val="tablenormal0"/>
    <w:rsid w:val="0004189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6C0C39E1</Template>
  <TotalTime>0</TotalTime>
  <Pages>13</Pages>
  <Words>3187</Words>
  <Characters>17468</Characters>
  <Application>Microsoft Office Word</Application>
  <DocSecurity>0</DocSecurity>
  <Lines>970</Lines>
  <Paragraphs>558</Paragraphs>
  <ScaleCrop>false</ScaleCrop>
  <Company/>
  <LinksUpToDate>false</LinksUpToDate>
  <CharactersWithSpaces>20097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2015-05-19T06:54:00Z</dcterms:created>
  <dcterms:modified xsi:type="dcterms:W3CDTF">2015-05-19T06:54:00Z</dcterms:modified>
</cp:coreProperties>
</file>