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7B2D9C8E" wp14:editId="1FDBFD28">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FB9" w:rsidRPr="000E2946" w:rsidRDefault="00126FB9" w:rsidP="000E2946">
                            <w:pPr>
                              <w:pStyle w:val="Title"/>
                            </w:pPr>
                            <w:r w:rsidRPr="000E2946">
                              <w:t>Electricity Report</w:t>
                            </w:r>
                          </w:p>
                          <w:p w:rsidR="00126FB9" w:rsidRPr="000E2946" w:rsidRDefault="00126FB9" w:rsidP="000E2946">
                            <w:pPr>
                              <w:pStyle w:val="Title"/>
                            </w:pPr>
                            <w:r>
                              <w:t>12</w:t>
                            </w:r>
                            <w:r w:rsidRPr="000E2946">
                              <w:t xml:space="preserve"> – </w:t>
                            </w:r>
                            <w:r>
                              <w:t>18 April</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126FB9" w:rsidRPr="000E2946" w:rsidRDefault="00126FB9" w:rsidP="000E2946">
                      <w:pPr>
                        <w:pStyle w:val="Title"/>
                      </w:pPr>
                      <w:r w:rsidRPr="000E2946">
                        <w:t>Electricity Report</w:t>
                      </w:r>
                    </w:p>
                    <w:p w:rsidR="00126FB9" w:rsidRPr="000E2946" w:rsidRDefault="00126FB9" w:rsidP="000E2946">
                      <w:pPr>
                        <w:pStyle w:val="Title"/>
                      </w:pPr>
                      <w:r>
                        <w:t>12</w:t>
                      </w:r>
                      <w:r w:rsidRPr="000E2946">
                        <w:t xml:space="preserve"> – </w:t>
                      </w:r>
                      <w:r>
                        <w:t>18 April</w:t>
                      </w:r>
                      <w:r w:rsidRPr="000E2946">
                        <w:t xml:space="preserve"> 2015 </w:t>
                      </w:r>
                    </w:p>
                  </w:txbxContent>
                </v:textbox>
              </v:shape>
            </w:pict>
          </mc:Fallback>
        </mc:AlternateContent>
      </w:r>
      <w:r w:rsidRPr="0031019A">
        <w:rPr>
          <w:noProof/>
          <w:lang w:eastAsia="en-AU"/>
        </w:rPr>
        <w:drawing>
          <wp:inline distT="0" distB="0" distL="0" distR="0" wp14:anchorId="558BADE3" wp14:editId="6A9ACCCE">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2E2048" w:rsidRPr="000E2946">
        <w:t xml:space="preserve">Figure </w:t>
      </w:r>
      <w:r w:rsidR="002E2048">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9B21F2">
        <w:rPr>
          <w:rFonts w:cs="Arial"/>
        </w:rPr>
        <w:t>12</w:t>
      </w:r>
      <w:r w:rsidR="00AF7058">
        <w:rPr>
          <w:rFonts w:cs="Arial"/>
        </w:rPr>
        <w:t xml:space="preserve"> to </w:t>
      </w:r>
      <w:r w:rsidR="009B21F2">
        <w:rPr>
          <w:rFonts w:cs="Arial"/>
        </w:rPr>
        <w:t>18</w:t>
      </w:r>
      <w:r w:rsidR="00AF7058">
        <w:rPr>
          <w:rFonts w:cs="Arial"/>
        </w:rPr>
        <w:t xml:space="preserve"> </w:t>
      </w:r>
      <w:r w:rsidR="009B21F2">
        <w:rPr>
          <w:rFonts w:cs="Arial"/>
        </w:rPr>
        <w:t>April</w:t>
      </w:r>
      <w:r w:rsidR="00AF7058">
        <w:rPr>
          <w:rFonts w:cs="Arial"/>
        </w:rPr>
        <w:t xml:space="preserve"> 2015. There were </w:t>
      </w:r>
      <w:r w:rsidR="00126FB9">
        <w:rPr>
          <w:rFonts w:cs="Arial"/>
        </w:rPr>
        <w:t xml:space="preserve">three </w:t>
      </w:r>
      <w:r w:rsidR="00AF7058">
        <w:rPr>
          <w:rFonts w:cs="Arial"/>
        </w:rPr>
        <w:t xml:space="preserve">occasions in </w:t>
      </w:r>
      <w:r w:rsidR="00126FB9">
        <w:rPr>
          <w:rFonts w:cs="Arial"/>
        </w:rPr>
        <w:t>New South Wales, one occasion in Queensland and two in South Australia where spot prices were</w:t>
      </w:r>
      <w:r w:rsidR="00AF7058">
        <w:rPr>
          <w:rFonts w:cs="Arial"/>
        </w:rPr>
        <w:t xml:space="preserve"> above $250/MWh and greater than three times the regional weekly average price</w:t>
      </w:r>
      <w:r w:rsidR="004E7D10">
        <w:rPr>
          <w:rFonts w:cs="Arial"/>
        </w:rPr>
        <w:t>.</w:t>
      </w:r>
    </w:p>
    <w:p w:rsidR="00275002" w:rsidRPr="000E2946" w:rsidRDefault="00275002" w:rsidP="000E2946">
      <w:pPr>
        <w:pStyle w:val="Caption"/>
      </w:pPr>
      <w:bookmarkStart w:id="7" w:name="_Ref410382491"/>
      <w:bookmarkStart w:id="8" w:name="OLE_LINK28"/>
      <w:bookmarkStart w:id="9" w:name="OLE_LINK29"/>
      <w:r w:rsidRPr="000E2946">
        <w:t xml:space="preserve">Figure </w:t>
      </w:r>
      <w:fldSimple w:instr=" SEQ Figure \* ARABIC ">
        <w:r w:rsidR="002E2048">
          <w:rPr>
            <w:noProof/>
          </w:rPr>
          <w:t>1</w:t>
        </w:r>
      </w:fldSimple>
      <w:bookmarkEnd w:id="7"/>
      <w:r w:rsidRPr="000E2946">
        <w:t xml:space="preserve"> : Spot price by region ($/MWh)</w:t>
      </w:r>
    </w:p>
    <w:p w:rsidR="00275002" w:rsidRPr="0031019A" w:rsidRDefault="00D936B6" w:rsidP="00275002">
      <w:r w:rsidRPr="00D936B6">
        <w:rPr>
          <w:noProof/>
          <w:lang w:eastAsia="en-AU"/>
        </w:rPr>
        <w:drawing>
          <wp:inline distT="0" distB="0" distL="0" distR="0" wp14:anchorId="7EC10349" wp14:editId="4DA812BC">
            <wp:extent cx="5259629" cy="3514555"/>
            <wp:effectExtent l="0" t="0" r="0" b="0"/>
            <wp:docPr id="1" name="Picture 1" descr="Figure 1 shows the spot prices for this week in each region. The markers indicate the daily maximum and minimum spot prices in each region."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6321" cy="3512345"/>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2E2048">
        <w:t xml:space="preserve">Figure </w:t>
      </w:r>
      <w:r w:rsidR="002E2048">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2E2048">
        <w:t xml:space="preserve">Table </w:t>
      </w:r>
      <w:r w:rsidR="002E2048">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lastRenderedPageBreak/>
        <w:t xml:space="preserve">Figure </w:t>
      </w:r>
      <w:fldSimple w:instr=" SEQ Figure \* ARABIC ">
        <w:r w:rsidR="002E2048">
          <w:rPr>
            <w:noProof/>
          </w:rPr>
          <w:t>2</w:t>
        </w:r>
      </w:fldSimple>
      <w:bookmarkEnd w:id="10"/>
      <w:r>
        <w:t xml:space="preserve"> :</w:t>
      </w:r>
      <w:r w:rsidRPr="00037176">
        <w:t xml:space="preserve"> Volume weighted average spot price by region ($/MWh)</w:t>
      </w:r>
    </w:p>
    <w:p w:rsidR="00275002" w:rsidRPr="0031019A" w:rsidRDefault="00B92CD5" w:rsidP="00275002">
      <w:r w:rsidRPr="00B92CD5">
        <w:rPr>
          <w:noProof/>
          <w:lang w:eastAsia="en-AU"/>
        </w:rPr>
        <w:drawing>
          <wp:inline distT="0" distB="0" distL="0" distR="0" wp14:anchorId="43E3A2DE" wp14:editId="0EEC000F">
            <wp:extent cx="5731510" cy="2857945"/>
            <wp:effectExtent l="0" t="0" r="2540" b="0"/>
            <wp:docPr id="2" name="Picture 2" descr="Figure 2 shows the volume weighted average (VWA) prices for this week (with prices shown in Table 1) and the preceding 12 weeks, as well as the VWA price over the previous 3 financial years.    &#10;"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fldSimple w:instr=" SEQ Table \* ARABIC ">
        <w:r w:rsidR="002E2048">
          <w:rPr>
            <w:noProof/>
          </w:rPr>
          <w:t>1</w:t>
        </w:r>
      </w:fldSimple>
      <w:bookmarkEnd w:id="11"/>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B92CD5" w:rsidRPr="000E2946" w:rsidTr="009B21F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518" w:type="pct"/>
            <w:noWrap/>
            <w:vAlign w:val="center"/>
            <w:hideMark/>
          </w:tcPr>
          <w:p w:rsidR="00B92CD5" w:rsidRPr="00B92CD5" w:rsidRDefault="00B92CD5" w:rsidP="009B21F2">
            <w:pPr>
              <w:spacing w:before="0" w:after="0"/>
              <w:jc w:val="center"/>
              <w:rPr>
                <w:sz w:val="20"/>
              </w:rPr>
            </w:pPr>
            <w:r w:rsidRPr="00B92CD5">
              <w:rPr>
                <w:sz w:val="20"/>
              </w:rPr>
              <w:t>Qld</w:t>
            </w:r>
          </w:p>
        </w:tc>
        <w:tc>
          <w:tcPr>
            <w:tcW w:w="781" w:type="pct"/>
            <w:noWrap/>
            <w:vAlign w:val="center"/>
            <w:hideMark/>
          </w:tcPr>
          <w:p w:rsidR="00B92CD5" w:rsidRPr="00B92CD5" w:rsidRDefault="00B92CD5" w:rsidP="009B21F2">
            <w:pPr>
              <w:spacing w:before="0" w:after="0"/>
              <w:jc w:val="center"/>
              <w:rPr>
                <w:sz w:val="20"/>
              </w:rPr>
            </w:pPr>
            <w:r w:rsidRPr="00B92CD5">
              <w:rPr>
                <w:sz w:val="20"/>
              </w:rPr>
              <w:t>NSW</w:t>
            </w:r>
          </w:p>
        </w:tc>
        <w:tc>
          <w:tcPr>
            <w:tcW w:w="781" w:type="pct"/>
            <w:noWrap/>
            <w:vAlign w:val="center"/>
            <w:hideMark/>
          </w:tcPr>
          <w:p w:rsidR="00B92CD5" w:rsidRPr="00B92CD5" w:rsidRDefault="00B92CD5" w:rsidP="009B21F2">
            <w:pPr>
              <w:spacing w:before="0" w:after="0"/>
              <w:jc w:val="center"/>
              <w:rPr>
                <w:sz w:val="20"/>
              </w:rPr>
            </w:pPr>
            <w:r w:rsidRPr="00B92CD5">
              <w:rPr>
                <w:sz w:val="20"/>
              </w:rPr>
              <w:t>Vic</w:t>
            </w:r>
          </w:p>
        </w:tc>
        <w:tc>
          <w:tcPr>
            <w:tcW w:w="781" w:type="pct"/>
            <w:noWrap/>
            <w:vAlign w:val="center"/>
            <w:hideMark/>
          </w:tcPr>
          <w:p w:rsidR="00B92CD5" w:rsidRPr="00B92CD5" w:rsidRDefault="00B92CD5" w:rsidP="009B21F2">
            <w:pPr>
              <w:spacing w:before="0" w:after="0"/>
              <w:jc w:val="center"/>
              <w:rPr>
                <w:sz w:val="20"/>
              </w:rPr>
            </w:pPr>
            <w:r w:rsidRPr="00B92CD5">
              <w:rPr>
                <w:sz w:val="20"/>
              </w:rPr>
              <w:t>SA</w:t>
            </w:r>
          </w:p>
        </w:tc>
        <w:tc>
          <w:tcPr>
            <w:tcW w:w="781"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9B21F2" w:rsidRPr="009B21F2" w:rsidTr="009B21F2">
        <w:trPr>
          <w:trHeight w:hRule="exact" w:val="340"/>
        </w:trPr>
        <w:tc>
          <w:tcPr>
            <w:tcW w:w="1357" w:type="pct"/>
            <w:noWrap/>
            <w:vAlign w:val="center"/>
            <w:hideMark/>
          </w:tcPr>
          <w:p w:rsidR="009B21F2" w:rsidRPr="009B21F2" w:rsidRDefault="009B21F2" w:rsidP="009B21F2">
            <w:pPr>
              <w:spacing w:before="0" w:after="0"/>
              <w:rPr>
                <w:rFonts w:cs="Arial"/>
                <w:sz w:val="20"/>
                <w:szCs w:val="20"/>
              </w:rPr>
            </w:pPr>
            <w:r w:rsidRPr="009B21F2">
              <w:rPr>
                <w:rFonts w:cs="Arial"/>
                <w:sz w:val="20"/>
                <w:szCs w:val="20"/>
              </w:rPr>
              <w:t>Current week</w:t>
            </w:r>
          </w:p>
        </w:tc>
        <w:tc>
          <w:tcPr>
            <w:tcW w:w="518" w:type="pct"/>
            <w:noWrap/>
            <w:vAlign w:val="center"/>
          </w:tcPr>
          <w:p w:rsidR="009B21F2" w:rsidRDefault="009B21F2" w:rsidP="009B21F2">
            <w:pPr>
              <w:spacing w:before="0" w:after="0"/>
              <w:jc w:val="center"/>
              <w:rPr>
                <w:rFonts w:cs="Arial"/>
                <w:sz w:val="20"/>
                <w:szCs w:val="20"/>
              </w:rPr>
            </w:pPr>
            <w:r>
              <w:rPr>
                <w:rFonts w:cs="Arial"/>
                <w:sz w:val="20"/>
                <w:szCs w:val="20"/>
              </w:rPr>
              <w:t>40</w:t>
            </w:r>
          </w:p>
        </w:tc>
        <w:tc>
          <w:tcPr>
            <w:tcW w:w="781" w:type="pct"/>
            <w:noWrap/>
            <w:vAlign w:val="center"/>
          </w:tcPr>
          <w:p w:rsidR="009B21F2" w:rsidRDefault="009B21F2" w:rsidP="009B21F2">
            <w:pPr>
              <w:spacing w:before="0" w:after="0"/>
              <w:jc w:val="center"/>
              <w:rPr>
                <w:rFonts w:cs="Arial"/>
                <w:sz w:val="20"/>
                <w:szCs w:val="20"/>
              </w:rPr>
            </w:pPr>
            <w:r>
              <w:rPr>
                <w:rFonts w:cs="Arial"/>
                <w:sz w:val="20"/>
                <w:szCs w:val="20"/>
              </w:rPr>
              <w:t>44</w:t>
            </w:r>
          </w:p>
        </w:tc>
        <w:tc>
          <w:tcPr>
            <w:tcW w:w="781" w:type="pct"/>
            <w:noWrap/>
            <w:vAlign w:val="center"/>
          </w:tcPr>
          <w:p w:rsidR="009B21F2" w:rsidRDefault="009B21F2" w:rsidP="009B21F2">
            <w:pPr>
              <w:spacing w:before="0" w:after="0"/>
              <w:jc w:val="center"/>
              <w:rPr>
                <w:rFonts w:cs="Arial"/>
                <w:sz w:val="20"/>
                <w:szCs w:val="20"/>
              </w:rPr>
            </w:pPr>
            <w:r>
              <w:rPr>
                <w:rFonts w:cs="Arial"/>
                <w:sz w:val="20"/>
                <w:szCs w:val="20"/>
              </w:rPr>
              <w:t>31</w:t>
            </w:r>
          </w:p>
        </w:tc>
        <w:tc>
          <w:tcPr>
            <w:tcW w:w="781" w:type="pct"/>
            <w:noWrap/>
            <w:vAlign w:val="center"/>
          </w:tcPr>
          <w:p w:rsidR="009B21F2" w:rsidRDefault="009B21F2" w:rsidP="009B21F2">
            <w:pPr>
              <w:spacing w:before="0" w:after="0"/>
              <w:jc w:val="center"/>
              <w:rPr>
                <w:rFonts w:cs="Arial"/>
                <w:sz w:val="20"/>
                <w:szCs w:val="20"/>
              </w:rPr>
            </w:pPr>
            <w:r>
              <w:rPr>
                <w:rFonts w:cs="Arial"/>
                <w:sz w:val="20"/>
                <w:szCs w:val="20"/>
              </w:rPr>
              <w:t>50</w:t>
            </w:r>
          </w:p>
        </w:tc>
        <w:tc>
          <w:tcPr>
            <w:tcW w:w="781" w:type="pct"/>
            <w:noWrap/>
            <w:vAlign w:val="center"/>
          </w:tcPr>
          <w:p w:rsidR="009B21F2" w:rsidRDefault="009B21F2" w:rsidP="009B21F2">
            <w:pPr>
              <w:spacing w:before="0" w:after="0"/>
              <w:jc w:val="center"/>
              <w:rPr>
                <w:rFonts w:cs="Arial"/>
                <w:sz w:val="20"/>
                <w:szCs w:val="20"/>
              </w:rPr>
            </w:pPr>
            <w:r>
              <w:rPr>
                <w:rFonts w:cs="Arial"/>
                <w:sz w:val="20"/>
                <w:szCs w:val="20"/>
              </w:rPr>
              <w:t>41</w:t>
            </w:r>
          </w:p>
        </w:tc>
      </w:tr>
      <w:tr w:rsidR="009B21F2" w:rsidRPr="009B21F2" w:rsidTr="009B21F2">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9B21F2" w:rsidRPr="009B21F2" w:rsidRDefault="009B21F2" w:rsidP="009B21F2">
            <w:pPr>
              <w:spacing w:before="0" w:after="0"/>
              <w:rPr>
                <w:rFonts w:cs="Arial"/>
                <w:szCs w:val="20"/>
              </w:rPr>
            </w:pPr>
            <w:r w:rsidRPr="009B21F2">
              <w:rPr>
                <w:rFonts w:cs="Arial"/>
                <w:szCs w:val="20"/>
              </w:rPr>
              <w:t>13-14 financial YTD</w:t>
            </w:r>
          </w:p>
        </w:tc>
        <w:tc>
          <w:tcPr>
            <w:tcW w:w="518" w:type="pct"/>
            <w:noWrap/>
            <w:vAlign w:val="center"/>
          </w:tcPr>
          <w:p w:rsidR="009B21F2" w:rsidRDefault="009B21F2" w:rsidP="009B21F2">
            <w:pPr>
              <w:spacing w:before="0" w:after="0"/>
              <w:jc w:val="center"/>
              <w:rPr>
                <w:rFonts w:cs="Arial"/>
                <w:szCs w:val="20"/>
              </w:rPr>
            </w:pPr>
            <w:r>
              <w:rPr>
                <w:rFonts w:cs="Arial"/>
                <w:szCs w:val="20"/>
              </w:rPr>
              <w:t>63</w:t>
            </w:r>
          </w:p>
        </w:tc>
        <w:tc>
          <w:tcPr>
            <w:tcW w:w="781" w:type="pct"/>
            <w:noWrap/>
            <w:vAlign w:val="center"/>
          </w:tcPr>
          <w:p w:rsidR="009B21F2" w:rsidRDefault="009B21F2" w:rsidP="009B21F2">
            <w:pPr>
              <w:spacing w:before="0" w:after="0"/>
              <w:jc w:val="center"/>
              <w:rPr>
                <w:rFonts w:cs="Arial"/>
                <w:szCs w:val="20"/>
              </w:rPr>
            </w:pPr>
            <w:r>
              <w:rPr>
                <w:rFonts w:cs="Arial"/>
                <w:szCs w:val="20"/>
              </w:rPr>
              <w:t>54</w:t>
            </w:r>
          </w:p>
        </w:tc>
        <w:tc>
          <w:tcPr>
            <w:tcW w:w="781" w:type="pct"/>
            <w:noWrap/>
            <w:vAlign w:val="center"/>
          </w:tcPr>
          <w:p w:rsidR="009B21F2" w:rsidRDefault="009B21F2" w:rsidP="009B21F2">
            <w:pPr>
              <w:spacing w:before="0" w:after="0"/>
              <w:jc w:val="center"/>
              <w:rPr>
                <w:rFonts w:cs="Arial"/>
                <w:szCs w:val="20"/>
              </w:rPr>
            </w:pPr>
            <w:r>
              <w:rPr>
                <w:rFonts w:cs="Arial"/>
                <w:szCs w:val="20"/>
              </w:rPr>
              <w:t>56</w:t>
            </w:r>
          </w:p>
        </w:tc>
        <w:tc>
          <w:tcPr>
            <w:tcW w:w="781" w:type="pct"/>
            <w:noWrap/>
            <w:vAlign w:val="center"/>
          </w:tcPr>
          <w:p w:rsidR="009B21F2" w:rsidRDefault="009B21F2" w:rsidP="009B21F2">
            <w:pPr>
              <w:spacing w:before="0" w:after="0"/>
              <w:jc w:val="center"/>
              <w:rPr>
                <w:rFonts w:cs="Arial"/>
                <w:szCs w:val="20"/>
              </w:rPr>
            </w:pPr>
            <w:r>
              <w:rPr>
                <w:rFonts w:cs="Arial"/>
                <w:szCs w:val="20"/>
              </w:rPr>
              <w:t>72</w:t>
            </w:r>
          </w:p>
        </w:tc>
        <w:tc>
          <w:tcPr>
            <w:tcW w:w="781" w:type="pct"/>
            <w:noWrap/>
            <w:vAlign w:val="center"/>
          </w:tcPr>
          <w:p w:rsidR="009B21F2" w:rsidRDefault="009B21F2" w:rsidP="009B21F2">
            <w:pPr>
              <w:spacing w:before="0" w:after="0"/>
              <w:jc w:val="center"/>
              <w:rPr>
                <w:rFonts w:cs="Arial"/>
                <w:szCs w:val="20"/>
              </w:rPr>
            </w:pPr>
            <w:r>
              <w:rPr>
                <w:rFonts w:cs="Arial"/>
                <w:szCs w:val="20"/>
              </w:rPr>
              <w:t>43</w:t>
            </w:r>
          </w:p>
        </w:tc>
      </w:tr>
      <w:tr w:rsidR="009B21F2" w:rsidRPr="009B21F2" w:rsidTr="009B21F2">
        <w:trPr>
          <w:trHeight w:hRule="exact" w:val="340"/>
        </w:trPr>
        <w:tc>
          <w:tcPr>
            <w:tcW w:w="1357" w:type="pct"/>
            <w:noWrap/>
            <w:vAlign w:val="center"/>
            <w:hideMark/>
          </w:tcPr>
          <w:p w:rsidR="009B21F2" w:rsidRPr="009B21F2" w:rsidRDefault="009B21F2" w:rsidP="009B21F2">
            <w:pPr>
              <w:spacing w:before="0" w:after="0"/>
              <w:rPr>
                <w:rFonts w:cs="Arial"/>
                <w:sz w:val="20"/>
                <w:szCs w:val="20"/>
              </w:rPr>
            </w:pPr>
            <w:r w:rsidRPr="009B21F2">
              <w:rPr>
                <w:rFonts w:cs="Arial"/>
                <w:sz w:val="20"/>
                <w:szCs w:val="20"/>
              </w:rPr>
              <w:t>14-15 financial YTD</w:t>
            </w:r>
          </w:p>
        </w:tc>
        <w:tc>
          <w:tcPr>
            <w:tcW w:w="518" w:type="pct"/>
            <w:noWrap/>
            <w:vAlign w:val="center"/>
          </w:tcPr>
          <w:p w:rsidR="009B21F2" w:rsidRDefault="009B21F2" w:rsidP="009B21F2">
            <w:pPr>
              <w:spacing w:before="0" w:after="0"/>
              <w:jc w:val="center"/>
              <w:rPr>
                <w:rFonts w:cs="Arial"/>
                <w:sz w:val="20"/>
                <w:szCs w:val="20"/>
              </w:rPr>
            </w:pPr>
            <w:r>
              <w:rPr>
                <w:rFonts w:cs="Arial"/>
                <w:sz w:val="20"/>
                <w:szCs w:val="20"/>
              </w:rPr>
              <w:t>68</w:t>
            </w:r>
          </w:p>
        </w:tc>
        <w:tc>
          <w:tcPr>
            <w:tcW w:w="781" w:type="pct"/>
            <w:noWrap/>
            <w:vAlign w:val="center"/>
          </w:tcPr>
          <w:p w:rsidR="009B21F2" w:rsidRDefault="009B21F2" w:rsidP="009B21F2">
            <w:pPr>
              <w:spacing w:before="0" w:after="0"/>
              <w:jc w:val="center"/>
              <w:rPr>
                <w:rFonts w:cs="Arial"/>
                <w:sz w:val="20"/>
                <w:szCs w:val="20"/>
              </w:rPr>
            </w:pPr>
            <w:r>
              <w:rPr>
                <w:rFonts w:cs="Arial"/>
                <w:sz w:val="20"/>
                <w:szCs w:val="20"/>
              </w:rPr>
              <w:t>36</w:t>
            </w:r>
          </w:p>
        </w:tc>
        <w:tc>
          <w:tcPr>
            <w:tcW w:w="781" w:type="pct"/>
            <w:noWrap/>
            <w:vAlign w:val="center"/>
          </w:tcPr>
          <w:p w:rsidR="009B21F2" w:rsidRDefault="009B21F2" w:rsidP="009B21F2">
            <w:pPr>
              <w:spacing w:before="0" w:after="0"/>
              <w:jc w:val="center"/>
              <w:rPr>
                <w:rFonts w:cs="Arial"/>
                <w:sz w:val="20"/>
                <w:szCs w:val="20"/>
              </w:rPr>
            </w:pPr>
            <w:r>
              <w:rPr>
                <w:rFonts w:cs="Arial"/>
                <w:sz w:val="20"/>
                <w:szCs w:val="20"/>
              </w:rPr>
              <w:t>31</w:t>
            </w:r>
          </w:p>
        </w:tc>
        <w:tc>
          <w:tcPr>
            <w:tcW w:w="781" w:type="pct"/>
            <w:noWrap/>
            <w:vAlign w:val="center"/>
          </w:tcPr>
          <w:p w:rsidR="009B21F2" w:rsidRDefault="009B21F2" w:rsidP="009B21F2">
            <w:pPr>
              <w:spacing w:before="0" w:after="0"/>
              <w:jc w:val="center"/>
              <w:rPr>
                <w:rFonts w:cs="Arial"/>
                <w:sz w:val="20"/>
                <w:szCs w:val="20"/>
              </w:rPr>
            </w:pPr>
            <w:r>
              <w:rPr>
                <w:rFonts w:cs="Arial"/>
                <w:sz w:val="20"/>
                <w:szCs w:val="20"/>
              </w:rPr>
              <w:t>40</w:t>
            </w:r>
          </w:p>
        </w:tc>
        <w:tc>
          <w:tcPr>
            <w:tcW w:w="781" w:type="pct"/>
            <w:noWrap/>
            <w:vAlign w:val="center"/>
          </w:tcPr>
          <w:p w:rsidR="009B21F2" w:rsidRDefault="009B21F2" w:rsidP="009B21F2">
            <w:pPr>
              <w:spacing w:before="0" w:after="0"/>
              <w:jc w:val="center"/>
              <w:rPr>
                <w:rFonts w:cs="Arial"/>
                <w:sz w:val="20"/>
                <w:szCs w:val="20"/>
              </w:rPr>
            </w:pPr>
            <w:r>
              <w:rPr>
                <w:rFonts w:cs="Arial"/>
                <w:sz w:val="20"/>
                <w:szCs w:val="20"/>
              </w:rPr>
              <w:t>38</w:t>
            </w:r>
          </w:p>
        </w:tc>
      </w:tr>
    </w:tbl>
    <w:p w:rsidR="00275002" w:rsidRPr="00126FB9" w:rsidRDefault="00275002" w:rsidP="00126FB9">
      <w:pPr>
        <w:pStyle w:val="Note"/>
      </w:pPr>
      <w:r w:rsidRPr="00126FB9">
        <w:rPr>
          <w:rFonts w:cs="Arial"/>
        </w:rPr>
        <w:t xml:space="preserve">Longer-term statistics tracking average spot market prices are available on the </w:t>
      </w:r>
      <w:hyperlink r:id="rId12" w:history="1">
        <w:r w:rsidRPr="00126FB9">
          <w:rPr>
            <w:rStyle w:val="Hyperlink"/>
            <w:sz w:val="18"/>
            <w:szCs w:val="18"/>
          </w:rPr>
          <w:t>AER website</w:t>
        </w:r>
      </w:hyperlink>
      <w:r w:rsidRPr="00126FB9">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B92CD5" w:rsidP="00B92CD5">
      <w:pPr>
        <w:jc w:val="both"/>
      </w:pPr>
      <w:r>
        <w:t>There were 114 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2E2048">
        <w:t xml:space="preserve">Table </w:t>
      </w:r>
      <w:r w:rsidR="002E2048">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w:t>
      </w:r>
      <w:r w:rsidR="00275002" w:rsidRPr="0031019A">
        <w:lastRenderedPageBreak/>
        <w:t xml:space="preserve">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fldSimple w:instr=" SEQ Table \* ARABIC ">
        <w:r w:rsidR="002E2048">
          <w:rPr>
            <w:noProof/>
          </w:rPr>
          <w:t>2</w:t>
        </w:r>
      </w:fldSimple>
      <w:bookmarkEnd w:id="12"/>
      <w:r>
        <w:t xml:space="preserve"> </w:t>
      </w:r>
      <w:r w:rsidRPr="00BC7912">
        <w:t>: Reasons for variations between forecast and actual prices</w:t>
      </w:r>
      <w:bookmarkEnd w:id="13"/>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B92CD5" w:rsidRPr="00B92CD5"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B92CD5">
            <w:pPr>
              <w:jc w:val="center"/>
            </w:pPr>
          </w:p>
        </w:tc>
        <w:tc>
          <w:tcPr>
            <w:tcW w:w="1571" w:type="dxa"/>
            <w:noWrap/>
            <w:hideMark/>
          </w:tcPr>
          <w:p w:rsidR="00B92CD5" w:rsidRPr="00B92CD5" w:rsidRDefault="00B92CD5" w:rsidP="000766E2">
            <w:pPr>
              <w:rPr>
                <w:sz w:val="20"/>
              </w:rPr>
            </w:pPr>
            <w:r w:rsidRPr="00B92CD5">
              <w:rPr>
                <w:sz w:val="20"/>
              </w:rPr>
              <w:t>Availability</w:t>
            </w:r>
          </w:p>
        </w:tc>
        <w:tc>
          <w:tcPr>
            <w:tcW w:w="1572" w:type="dxa"/>
            <w:noWrap/>
            <w:hideMark/>
          </w:tcPr>
          <w:p w:rsidR="00B92CD5" w:rsidRPr="00B92CD5" w:rsidRDefault="00B92CD5" w:rsidP="000766E2">
            <w:pPr>
              <w:rPr>
                <w:sz w:val="20"/>
              </w:rPr>
            </w:pPr>
            <w:r w:rsidRPr="00B92CD5">
              <w:rPr>
                <w:sz w:val="20"/>
              </w:rPr>
              <w:t>Demand</w:t>
            </w:r>
          </w:p>
        </w:tc>
        <w:tc>
          <w:tcPr>
            <w:tcW w:w="1572" w:type="dxa"/>
            <w:noWrap/>
            <w:hideMark/>
          </w:tcPr>
          <w:p w:rsidR="00B92CD5" w:rsidRPr="00B92CD5" w:rsidRDefault="00B92CD5" w:rsidP="000766E2">
            <w:pPr>
              <w:rPr>
                <w:sz w:val="20"/>
              </w:rPr>
            </w:pPr>
            <w:r w:rsidRPr="00B92CD5">
              <w:rPr>
                <w:sz w:val="20"/>
              </w:rPr>
              <w:t>Network</w:t>
            </w:r>
          </w:p>
        </w:tc>
        <w:tc>
          <w:tcPr>
            <w:tcW w:w="1572" w:type="dxa"/>
            <w:hideMark/>
          </w:tcPr>
          <w:p w:rsidR="00B92CD5" w:rsidRPr="00B92CD5" w:rsidRDefault="00B92CD5" w:rsidP="000766E2">
            <w:pPr>
              <w:rPr>
                <w:sz w:val="20"/>
              </w:rPr>
            </w:pPr>
            <w:r w:rsidRPr="00B92CD5">
              <w:rPr>
                <w:sz w:val="20"/>
              </w:rPr>
              <w:t>Combination</w:t>
            </w:r>
          </w:p>
        </w:tc>
      </w:tr>
      <w:tr w:rsidR="00B92CD5" w:rsidRPr="00F52F00" w:rsidTr="009B21F2">
        <w:trPr>
          <w:trHeight w:hRule="exact" w:val="369"/>
        </w:trPr>
        <w:tc>
          <w:tcPr>
            <w:tcW w:w="2835" w:type="dxa"/>
            <w:noWrap/>
            <w:vAlign w:val="center"/>
            <w:hideMark/>
          </w:tcPr>
          <w:p w:rsidR="00B92CD5" w:rsidRPr="009B21F2" w:rsidRDefault="00B92CD5" w:rsidP="009B21F2">
            <w:pPr>
              <w:spacing w:before="0" w:after="0"/>
              <w:rPr>
                <w:sz w:val="20"/>
                <w:szCs w:val="20"/>
              </w:rPr>
            </w:pPr>
            <w:r w:rsidRPr="009B21F2">
              <w:rPr>
                <w:sz w:val="20"/>
                <w:szCs w:val="20"/>
              </w:rPr>
              <w:t>% of total above forecast</w:t>
            </w:r>
          </w:p>
        </w:tc>
        <w:tc>
          <w:tcPr>
            <w:tcW w:w="1571" w:type="dxa"/>
            <w:noWrap/>
            <w:vAlign w:val="center"/>
          </w:tcPr>
          <w:p w:rsidR="00B92CD5" w:rsidRPr="009B21F2" w:rsidRDefault="00B92CD5" w:rsidP="009B21F2">
            <w:pPr>
              <w:spacing w:before="0" w:after="0"/>
              <w:jc w:val="center"/>
              <w:rPr>
                <w:sz w:val="20"/>
                <w:szCs w:val="20"/>
              </w:rPr>
            </w:pPr>
            <w:r w:rsidRPr="009B21F2">
              <w:rPr>
                <w:sz w:val="20"/>
                <w:szCs w:val="20"/>
              </w:rPr>
              <w:t>5</w:t>
            </w:r>
          </w:p>
        </w:tc>
        <w:tc>
          <w:tcPr>
            <w:tcW w:w="1572" w:type="dxa"/>
            <w:noWrap/>
            <w:vAlign w:val="center"/>
          </w:tcPr>
          <w:p w:rsidR="00B92CD5" w:rsidRPr="009B21F2" w:rsidRDefault="00B92CD5" w:rsidP="009B21F2">
            <w:pPr>
              <w:spacing w:before="0" w:after="0"/>
              <w:jc w:val="center"/>
              <w:rPr>
                <w:sz w:val="20"/>
                <w:szCs w:val="20"/>
              </w:rPr>
            </w:pPr>
            <w:r w:rsidRPr="009B21F2">
              <w:rPr>
                <w:sz w:val="20"/>
                <w:szCs w:val="20"/>
              </w:rPr>
              <w:t>28</w:t>
            </w:r>
          </w:p>
        </w:tc>
        <w:tc>
          <w:tcPr>
            <w:tcW w:w="1572" w:type="dxa"/>
            <w:noWrap/>
            <w:vAlign w:val="center"/>
          </w:tcPr>
          <w:p w:rsidR="00B92CD5" w:rsidRPr="009B21F2" w:rsidRDefault="00B92CD5" w:rsidP="009B21F2">
            <w:pPr>
              <w:spacing w:before="0" w:after="0"/>
              <w:jc w:val="center"/>
              <w:rPr>
                <w:sz w:val="20"/>
                <w:szCs w:val="20"/>
              </w:rPr>
            </w:pPr>
            <w:r w:rsidRPr="009B21F2">
              <w:rPr>
                <w:sz w:val="20"/>
                <w:szCs w:val="20"/>
              </w:rPr>
              <w:t>0</w:t>
            </w:r>
          </w:p>
        </w:tc>
        <w:tc>
          <w:tcPr>
            <w:tcW w:w="1572" w:type="dxa"/>
            <w:vAlign w:val="center"/>
          </w:tcPr>
          <w:p w:rsidR="00B92CD5" w:rsidRPr="009B21F2" w:rsidRDefault="00B92CD5" w:rsidP="009B21F2">
            <w:pPr>
              <w:spacing w:before="0" w:after="0"/>
              <w:jc w:val="center"/>
              <w:rPr>
                <w:sz w:val="20"/>
                <w:szCs w:val="20"/>
              </w:rPr>
            </w:pPr>
            <w:r w:rsidRPr="009B21F2">
              <w:rPr>
                <w:sz w:val="20"/>
                <w:szCs w:val="20"/>
              </w:rPr>
              <w:t>3</w:t>
            </w:r>
          </w:p>
        </w:tc>
      </w:tr>
      <w:tr w:rsidR="00B92CD5" w:rsidRPr="00F52F00" w:rsidTr="009B21F2">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B92CD5" w:rsidRPr="009B21F2" w:rsidRDefault="00B92CD5" w:rsidP="009B21F2">
            <w:pPr>
              <w:spacing w:before="0" w:after="0"/>
              <w:rPr>
                <w:szCs w:val="20"/>
              </w:rPr>
            </w:pPr>
            <w:r w:rsidRPr="009B21F2">
              <w:rPr>
                <w:szCs w:val="20"/>
              </w:rPr>
              <w:t>% of total below forecast</w:t>
            </w:r>
          </w:p>
        </w:tc>
        <w:tc>
          <w:tcPr>
            <w:tcW w:w="1571" w:type="dxa"/>
            <w:noWrap/>
            <w:vAlign w:val="center"/>
          </w:tcPr>
          <w:p w:rsidR="00B92CD5" w:rsidRPr="009B21F2" w:rsidRDefault="00B92CD5" w:rsidP="009B21F2">
            <w:pPr>
              <w:spacing w:before="0" w:after="0"/>
              <w:jc w:val="center"/>
              <w:rPr>
                <w:szCs w:val="20"/>
              </w:rPr>
            </w:pPr>
            <w:r w:rsidRPr="009B21F2">
              <w:rPr>
                <w:szCs w:val="20"/>
              </w:rPr>
              <w:t>45</w:t>
            </w:r>
          </w:p>
        </w:tc>
        <w:tc>
          <w:tcPr>
            <w:tcW w:w="1572" w:type="dxa"/>
            <w:noWrap/>
            <w:vAlign w:val="center"/>
          </w:tcPr>
          <w:p w:rsidR="00B92CD5" w:rsidRPr="009B21F2" w:rsidRDefault="00B92CD5" w:rsidP="009B21F2">
            <w:pPr>
              <w:spacing w:before="0" w:after="0"/>
              <w:jc w:val="center"/>
              <w:rPr>
                <w:szCs w:val="20"/>
              </w:rPr>
            </w:pPr>
            <w:r w:rsidRPr="009B21F2">
              <w:rPr>
                <w:szCs w:val="20"/>
              </w:rPr>
              <w:t>7</w:t>
            </w:r>
          </w:p>
        </w:tc>
        <w:tc>
          <w:tcPr>
            <w:tcW w:w="1572" w:type="dxa"/>
            <w:noWrap/>
            <w:vAlign w:val="center"/>
          </w:tcPr>
          <w:p w:rsidR="00B92CD5" w:rsidRPr="009B21F2" w:rsidRDefault="00B92CD5" w:rsidP="009B21F2">
            <w:pPr>
              <w:spacing w:before="0" w:after="0"/>
              <w:jc w:val="center"/>
              <w:rPr>
                <w:szCs w:val="20"/>
              </w:rPr>
            </w:pPr>
            <w:r w:rsidRPr="009B21F2">
              <w:rPr>
                <w:szCs w:val="20"/>
              </w:rPr>
              <w:t>0</w:t>
            </w:r>
          </w:p>
        </w:tc>
        <w:tc>
          <w:tcPr>
            <w:tcW w:w="1572" w:type="dxa"/>
            <w:vAlign w:val="center"/>
          </w:tcPr>
          <w:p w:rsidR="00B92CD5" w:rsidRPr="009B21F2" w:rsidRDefault="00B92CD5" w:rsidP="009B21F2">
            <w:pPr>
              <w:spacing w:before="0" w:after="0"/>
              <w:jc w:val="center"/>
              <w:rPr>
                <w:szCs w:val="20"/>
              </w:rPr>
            </w:pPr>
            <w:r w:rsidRPr="009B21F2">
              <w:rPr>
                <w:szCs w:val="20"/>
              </w:rPr>
              <w:t>12</w:t>
            </w:r>
          </w:p>
        </w:tc>
      </w:tr>
    </w:tbl>
    <w:p w:rsidR="00275002" w:rsidRPr="0031019A" w:rsidRDefault="00275002" w:rsidP="00126FB9">
      <w:pPr>
        <w:pStyle w:val="Note"/>
      </w:pPr>
      <w:r w:rsidRPr="0031019A">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2E2048">
        <w:t xml:space="preserve">Figure </w:t>
      </w:r>
      <w:r w:rsidR="002E2048">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2E2048">
        <w:t xml:space="preserve">Figure </w:t>
      </w:r>
      <w:r w:rsidR="002E2048">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fldSimple w:instr=" SEQ Figure \* ARABIC ">
        <w:r w:rsidR="002E2048">
          <w:rPr>
            <w:noProof/>
          </w:rPr>
          <w:t>3</w:t>
        </w:r>
      </w:fldSimple>
      <w:bookmarkEnd w:id="14"/>
      <w:r>
        <w:t xml:space="preserve"> : Queensland </w:t>
      </w:r>
      <w:r w:rsidRPr="00690328">
        <w:t>generation and bidding patterns</w:t>
      </w:r>
    </w:p>
    <w:p w:rsidR="00275002" w:rsidRPr="00EA4191" w:rsidRDefault="00B92CD5" w:rsidP="00275002">
      <w:r w:rsidRPr="00B92CD5">
        <w:rPr>
          <w:noProof/>
          <w:lang w:eastAsia="en-AU"/>
        </w:rPr>
        <w:drawing>
          <wp:inline distT="0" distB="0" distL="0" distR="0" wp14:anchorId="3CDDF25D" wp14:editId="29A7BB32">
            <wp:extent cx="5731510" cy="4112063"/>
            <wp:effectExtent l="0" t="0" r="2540" b="3175"/>
            <wp:docPr id="3" name="Picture 3"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31019A" w:rsidRDefault="00275002" w:rsidP="00275002"/>
    <w:p w:rsidR="00275002" w:rsidRDefault="00275002" w:rsidP="000E2946">
      <w:pPr>
        <w:pStyle w:val="Caption"/>
      </w:pPr>
      <w:r>
        <w:t xml:space="preserve">Figure </w:t>
      </w:r>
      <w:fldSimple w:instr=" SEQ Figure \* ARABIC ">
        <w:r w:rsidR="002E2048">
          <w:rPr>
            <w:noProof/>
          </w:rPr>
          <w:t>4</w:t>
        </w:r>
      </w:fldSimple>
      <w:r>
        <w:t xml:space="preserve"> : </w:t>
      </w:r>
      <w:r w:rsidRPr="00CC5077">
        <w:t>New South Wales generation and bidding patterns</w:t>
      </w:r>
    </w:p>
    <w:p w:rsidR="00275002" w:rsidRPr="0031019A" w:rsidRDefault="00B92CD5" w:rsidP="00275002">
      <w:r w:rsidRPr="00B92CD5">
        <w:rPr>
          <w:noProof/>
          <w:lang w:eastAsia="en-AU"/>
        </w:rPr>
        <w:drawing>
          <wp:inline distT="0" distB="0" distL="0" distR="0" wp14:anchorId="22C525BD" wp14:editId="00457C76">
            <wp:extent cx="5731510" cy="4122561"/>
            <wp:effectExtent l="0" t="0" r="2540" b="0"/>
            <wp:docPr id="5" name="Picture 5"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2561"/>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2E2048">
          <w:rPr>
            <w:noProof/>
          </w:rPr>
          <w:t>5</w:t>
        </w:r>
      </w:fldSimple>
      <w:r>
        <w:t xml:space="preserve"> </w:t>
      </w:r>
      <w:r w:rsidRPr="0003635A">
        <w:t>: Victoria generation and bidding patterns</w:t>
      </w:r>
    </w:p>
    <w:p w:rsidR="00275002" w:rsidRPr="0031019A" w:rsidRDefault="00411897" w:rsidP="00275002">
      <w:r w:rsidRPr="00411897">
        <w:rPr>
          <w:noProof/>
          <w:lang w:eastAsia="en-AU"/>
        </w:rPr>
        <w:drawing>
          <wp:inline distT="0" distB="0" distL="0" distR="0" wp14:anchorId="04C46235" wp14:editId="7CF84C97">
            <wp:extent cx="5731510" cy="4112063"/>
            <wp:effectExtent l="0" t="0" r="2540" b="3175"/>
            <wp:docPr id="7" name="Picture 7"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2E2048">
          <w:rPr>
            <w:noProof/>
          </w:rPr>
          <w:t>6</w:t>
        </w:r>
      </w:fldSimple>
      <w:r>
        <w:t>:</w:t>
      </w:r>
      <w:r w:rsidRPr="00BD00EB">
        <w:t xml:space="preserve"> South Australia generation and bidding patterns</w:t>
      </w:r>
    </w:p>
    <w:p w:rsidR="00275002" w:rsidRPr="0031019A" w:rsidRDefault="00411897" w:rsidP="00275002">
      <w:r w:rsidRPr="00411897">
        <w:rPr>
          <w:noProof/>
          <w:lang w:eastAsia="en-AU"/>
        </w:rPr>
        <w:drawing>
          <wp:inline distT="0" distB="0" distL="0" distR="0" wp14:anchorId="5C9F340D" wp14:editId="629CBFB2">
            <wp:extent cx="5731510" cy="4117084"/>
            <wp:effectExtent l="0" t="0" r="2540" b="0"/>
            <wp:docPr id="8" name="Picture 8"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7084"/>
                    </a:xfrm>
                    <a:prstGeom prst="rect">
                      <a:avLst/>
                    </a:prstGeom>
                    <a:noFill/>
                    <a:ln>
                      <a:noFill/>
                    </a:ln>
                  </pic:spPr>
                </pic:pic>
              </a:graphicData>
            </a:graphic>
          </wp:inline>
        </w:drawing>
      </w:r>
    </w:p>
    <w:p w:rsidR="00275002" w:rsidRDefault="00275002" w:rsidP="000E2946">
      <w:pPr>
        <w:pStyle w:val="Caption"/>
      </w:pPr>
      <w:bookmarkStart w:id="15" w:name="_Ref410383520"/>
      <w:r>
        <w:t xml:space="preserve">Figure </w:t>
      </w:r>
      <w:fldSimple w:instr=" SEQ Figure \* ARABIC ">
        <w:r w:rsidR="002E2048">
          <w:rPr>
            <w:noProof/>
          </w:rPr>
          <w:t>7</w:t>
        </w:r>
      </w:fldSimple>
      <w:bookmarkEnd w:id="15"/>
      <w:r>
        <w:t xml:space="preserve">: </w:t>
      </w:r>
      <w:r w:rsidRPr="008837C4">
        <w:t>Tasmania generation and bidding patterns</w:t>
      </w:r>
    </w:p>
    <w:p w:rsidR="00275002" w:rsidRDefault="00C672E0" w:rsidP="00275002">
      <w:r>
        <w:rPr>
          <w:noProof/>
          <w:lang w:eastAsia="en-AU"/>
        </w:rPr>
        <mc:AlternateContent>
          <mc:Choice Requires="wps">
            <w:drawing>
              <wp:anchor distT="0" distB="0" distL="114300" distR="114300" simplePos="0" relativeHeight="251662336" behindDoc="0" locked="0" layoutInCell="1" allowOverlap="1" wp14:anchorId="3272FBDD" wp14:editId="00350BDB">
                <wp:simplePos x="0" y="0"/>
                <wp:positionH relativeFrom="column">
                  <wp:posOffset>4611536</wp:posOffset>
                </wp:positionH>
                <wp:positionV relativeFrom="paragraph">
                  <wp:posOffset>438785</wp:posOffset>
                </wp:positionV>
                <wp:extent cx="310101" cy="1192447"/>
                <wp:effectExtent l="0" t="0" r="13970" b="27305"/>
                <wp:wrapNone/>
                <wp:docPr id="6" name="Oval 6"/>
                <wp:cNvGraphicFramePr/>
                <a:graphic xmlns:a="http://schemas.openxmlformats.org/drawingml/2006/main">
                  <a:graphicData uri="http://schemas.microsoft.com/office/word/2010/wordprocessingShape">
                    <wps:wsp>
                      <wps:cNvSpPr/>
                      <wps:spPr>
                        <a:xfrm>
                          <a:off x="0" y="0"/>
                          <a:ext cx="310101" cy="119244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363.1pt;margin-top:34.55pt;width:24.4pt;height:9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" filled="f" strokecolor="red" strokeweight="2pt"/>
            </w:pict>
          </mc:Fallback>
        </mc:AlternateContent>
      </w:r>
      <w:r>
        <w:rPr>
          <w:noProof/>
          <w:lang w:eastAsia="en-AU"/>
        </w:rPr>
        <mc:AlternateContent>
          <mc:Choice Requires="wps">
            <w:drawing>
              <wp:anchor distT="0" distB="0" distL="114300" distR="114300" simplePos="0" relativeHeight="251660288" behindDoc="0" locked="0" layoutInCell="1" allowOverlap="1" wp14:anchorId="0E147760" wp14:editId="423454CD">
                <wp:simplePos x="0" y="0"/>
                <wp:positionH relativeFrom="column">
                  <wp:posOffset>3728940</wp:posOffset>
                </wp:positionH>
                <wp:positionV relativeFrom="paragraph">
                  <wp:posOffset>390966</wp:posOffset>
                </wp:positionV>
                <wp:extent cx="469127" cy="1240404"/>
                <wp:effectExtent l="0" t="0" r="26670" b="17145"/>
                <wp:wrapNone/>
                <wp:docPr id="4" name="Oval 4"/>
                <wp:cNvGraphicFramePr/>
                <a:graphic xmlns:a="http://schemas.openxmlformats.org/drawingml/2006/main">
                  <a:graphicData uri="http://schemas.microsoft.com/office/word/2010/wordprocessingShape">
                    <wps:wsp>
                      <wps:cNvSpPr/>
                      <wps:spPr>
                        <a:xfrm>
                          <a:off x="0" y="0"/>
                          <a:ext cx="469127" cy="124040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293.6pt;margin-top:30.8pt;width:36.95pt;height:9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" filled="f" strokecolor="red" strokeweight="2pt"/>
            </w:pict>
          </mc:Fallback>
        </mc:AlternateContent>
      </w:r>
      <w:r w:rsidR="00411897" w:rsidRPr="00411897">
        <w:rPr>
          <w:noProof/>
          <w:lang w:eastAsia="en-AU"/>
        </w:rPr>
        <w:drawing>
          <wp:inline distT="0" distB="0" distL="0" distR="0" wp14:anchorId="6CA603C9" wp14:editId="37EC14BB">
            <wp:extent cx="5731510" cy="4112063"/>
            <wp:effectExtent l="0" t="0" r="2540" b="3175"/>
            <wp:docPr id="10" name="Picture 10"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C672E0" w:rsidRPr="0031019A" w:rsidRDefault="00C672E0" w:rsidP="004A2464">
      <w:pPr>
        <w:jc w:val="both"/>
      </w:pPr>
      <w:r>
        <w:t xml:space="preserve">The red ellipses show where Hydro Tasmania had little or no capacity priced </w:t>
      </w:r>
      <w:r w:rsidR="002B0DAE">
        <w:t>between</w:t>
      </w:r>
      <w:r>
        <w:t xml:space="preserve"> $0/MWh and $10 500/MWh</w:t>
      </w:r>
      <w:r w:rsidR="00126FB9">
        <w:t>.</w:t>
      </w:r>
      <w:r w:rsidR="002B0DAE">
        <w:t xml:space="preserve"> </w:t>
      </w:r>
      <w:r w:rsidR="00126FB9">
        <w:t xml:space="preserve">This bidding did </w:t>
      </w:r>
      <w:r w:rsidR="002B0DAE">
        <w:t>not lead to prices above our reporting threshold</w:t>
      </w:r>
      <w:r>
        <w:t>.</w:t>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4A2464">
      <w:pPr>
        <w:pStyle w:val="Bulletpoint"/>
        <w:jc w:val="both"/>
      </w:pPr>
      <w:r w:rsidRPr="0031019A">
        <w:t>fast services, which arrest a frequency deviation within the first 6 seconds of a contingent event (raise and lower 6 second)</w:t>
      </w:r>
    </w:p>
    <w:p w:rsidR="00275002" w:rsidRPr="0031019A" w:rsidRDefault="00275002" w:rsidP="004A2464">
      <w:pPr>
        <w:pStyle w:val="Bulletpoint"/>
        <w:jc w:val="both"/>
      </w:pPr>
      <w:r w:rsidRPr="0031019A">
        <w:t>slow services, which stabilise frequency deviations within 60 seconds of the event (raise and lower 60 second)</w:t>
      </w:r>
    </w:p>
    <w:p w:rsidR="00275002" w:rsidRPr="0031019A" w:rsidRDefault="00275002" w:rsidP="004A2464">
      <w:pPr>
        <w:pStyle w:val="Bulletpoint"/>
        <w:jc w:val="both"/>
      </w:pPr>
      <w:r w:rsidRPr="0031019A">
        <w:t>delayed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411897" w:rsidP="009A3D22">
      <w:pPr>
        <w:jc w:val="both"/>
      </w:pPr>
      <w:r w:rsidRPr="00411897">
        <w:t>The total cost of FCAS on the mainland for the week was $471</w:t>
      </w:r>
      <w:r w:rsidR="009B21F2">
        <w:t> </w:t>
      </w:r>
      <w:r w:rsidRPr="00411897">
        <w:t xml:space="preserve">500 or less than 1 per cent of </w:t>
      </w:r>
      <w:r>
        <w:t>energy turnover on the mainland</w:t>
      </w:r>
      <w:r w:rsidR="00275002" w:rsidRPr="0031019A">
        <w:t>.</w:t>
      </w:r>
    </w:p>
    <w:p w:rsidR="00411897" w:rsidRDefault="00411897" w:rsidP="004A2464">
      <w:pPr>
        <w:pStyle w:val="Caption"/>
        <w:jc w:val="both"/>
        <w:rPr>
          <w:b w:val="0"/>
          <w:bCs w:val="0"/>
          <w:color w:val="auto"/>
          <w:sz w:val="22"/>
          <w:szCs w:val="22"/>
        </w:rPr>
      </w:pPr>
      <w:bookmarkStart w:id="16" w:name="_Ref410383413"/>
      <w:r w:rsidRPr="00411897">
        <w:rPr>
          <w:b w:val="0"/>
          <w:bCs w:val="0"/>
          <w:color w:val="auto"/>
          <w:sz w:val="22"/>
          <w:szCs w:val="22"/>
        </w:rPr>
        <w:t xml:space="preserve">The total cost of FCAS in Tasmania for the </w:t>
      </w:r>
      <w:r>
        <w:rPr>
          <w:b w:val="0"/>
          <w:bCs w:val="0"/>
          <w:color w:val="auto"/>
          <w:sz w:val="22"/>
          <w:szCs w:val="22"/>
        </w:rPr>
        <w:t>week was $103</w:t>
      </w:r>
      <w:r w:rsidR="009B21F2">
        <w:rPr>
          <w:b w:val="0"/>
          <w:bCs w:val="0"/>
          <w:color w:val="auto"/>
          <w:sz w:val="22"/>
          <w:szCs w:val="22"/>
        </w:rPr>
        <w:t> </w:t>
      </w:r>
      <w:r>
        <w:rPr>
          <w:b w:val="0"/>
          <w:bCs w:val="0"/>
          <w:color w:val="auto"/>
          <w:sz w:val="22"/>
          <w:szCs w:val="22"/>
        </w:rPr>
        <w:t xml:space="preserve">500 or </w:t>
      </w:r>
      <w:r w:rsidR="009B21F2">
        <w:rPr>
          <w:b w:val="0"/>
          <w:bCs w:val="0"/>
          <w:color w:val="auto"/>
          <w:sz w:val="22"/>
          <w:szCs w:val="22"/>
        </w:rPr>
        <w:t>around</w:t>
      </w:r>
      <w:r>
        <w:rPr>
          <w:b w:val="0"/>
          <w:bCs w:val="0"/>
          <w:color w:val="auto"/>
          <w:sz w:val="22"/>
          <w:szCs w:val="22"/>
        </w:rPr>
        <w:t xml:space="preserve"> </w:t>
      </w:r>
      <w:r w:rsidR="009B21F2">
        <w:rPr>
          <w:b w:val="0"/>
          <w:bCs w:val="0"/>
          <w:color w:val="auto"/>
          <w:sz w:val="22"/>
          <w:szCs w:val="22"/>
        </w:rPr>
        <w:t>1.3</w:t>
      </w:r>
      <w:r w:rsidRPr="00411897">
        <w:rPr>
          <w:b w:val="0"/>
          <w:bCs w:val="0"/>
          <w:color w:val="auto"/>
          <w:sz w:val="22"/>
          <w:szCs w:val="22"/>
        </w:rPr>
        <w:t xml:space="preserve"> per cent of energy turnover in Tasmania.</w:t>
      </w:r>
    </w:p>
    <w:p w:rsidR="00275002" w:rsidRDefault="00275002" w:rsidP="000E2946">
      <w:pPr>
        <w:pStyle w:val="Caption"/>
      </w:pPr>
      <w:bookmarkStart w:id="17" w:name="_Ref418082853"/>
      <w:r>
        <w:t xml:space="preserve">Figure </w:t>
      </w:r>
      <w:fldSimple w:instr=" SEQ Figure \* ARABIC ">
        <w:r w:rsidR="002E2048">
          <w:rPr>
            <w:noProof/>
          </w:rPr>
          <w:t>8</w:t>
        </w:r>
      </w:fldSimple>
      <w:bookmarkEnd w:id="16"/>
      <w:bookmarkEnd w:id="17"/>
      <w:r>
        <w:t xml:space="preserve"> </w:t>
      </w:r>
      <w:r w:rsidRPr="007707C6">
        <w:t>: Daily frequency control ancillary service cost</w:t>
      </w:r>
    </w:p>
    <w:p w:rsidR="00275002" w:rsidRPr="0031019A" w:rsidRDefault="00411897" w:rsidP="00275002">
      <w:r w:rsidRPr="00411897">
        <w:rPr>
          <w:noProof/>
          <w:lang w:eastAsia="en-AU"/>
        </w:rPr>
        <w:drawing>
          <wp:inline distT="0" distB="0" distL="0" distR="0" wp14:anchorId="76E4142F" wp14:editId="26E74F81">
            <wp:extent cx="5731510" cy="2889458"/>
            <wp:effectExtent l="0" t="0" r="2540" b="6350"/>
            <wp:docPr id="16" name="Picture 16" descr="&quot;Figure 8 shows the daily breakdown of cost for each FCAS for the NEM, as well as the average cost since the beginning of the previous financial year.&#10;Should you require a description of the data for the week under review, please email us at  AERInquiry@aer.gov.au.&quot;"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89458"/>
                    </a:xfrm>
                    <a:prstGeom prst="rect">
                      <a:avLst/>
                    </a:prstGeom>
                    <a:noFill/>
                    <a:ln>
                      <a:noFill/>
                    </a:ln>
                  </pic:spPr>
                </pic:pic>
              </a:graphicData>
            </a:graphic>
          </wp:inline>
        </w:drawing>
      </w:r>
    </w:p>
    <w:p w:rsidR="00127CAB" w:rsidRDefault="00C34065" w:rsidP="009A3D22">
      <w:pPr>
        <w:jc w:val="both"/>
        <w:rPr>
          <w:rFonts w:cs="Arial"/>
        </w:rPr>
      </w:pPr>
      <w:r>
        <w:fldChar w:fldCharType="begin"/>
      </w:r>
      <w:r>
        <w:instrText xml:space="preserve"> REF _Ref418082853 \h </w:instrText>
      </w:r>
      <w:r>
        <w:fldChar w:fldCharType="separate"/>
      </w:r>
      <w:r w:rsidR="002E2048">
        <w:t xml:space="preserve">Figure </w:t>
      </w:r>
      <w:r w:rsidR="002E2048">
        <w:rPr>
          <w:noProof/>
        </w:rPr>
        <w:t>8</w:t>
      </w:r>
      <w:r>
        <w:fldChar w:fldCharType="end"/>
      </w:r>
      <w:r w:rsidR="00275002" w:rsidRPr="0031019A">
        <w:t>shows the daily breakdown of cost for each FCAS for the NEM, as well as the average cost since the beginning of the previ</w:t>
      </w:r>
      <w:r w:rsidR="00275002" w:rsidRPr="008366CD">
        <w:t xml:space="preserve">ous financial year. </w:t>
      </w:r>
    </w:p>
    <w:bookmarkEnd w:id="0"/>
    <w:bookmarkEnd w:id="1"/>
    <w:bookmarkEnd w:id="2"/>
    <w:bookmarkEnd w:id="3"/>
    <w:bookmarkEnd w:id="4"/>
    <w:bookmarkEnd w:id="5"/>
    <w:p w:rsidR="00275002" w:rsidRPr="00066157" w:rsidRDefault="00275002" w:rsidP="00914A87">
      <w:pPr>
        <w:pStyle w:val="AERHeading1"/>
      </w:pPr>
      <w:r w:rsidRPr="00066157">
        <w:t>Detailed market analysis of significant price events</w:t>
      </w:r>
    </w:p>
    <w:p w:rsidR="00275002" w:rsidRPr="00066157" w:rsidRDefault="00275002" w:rsidP="009A3D22">
      <w:pPr>
        <w:jc w:val="both"/>
      </w:pPr>
      <w:r w:rsidRPr="00066157">
        <w:t xml:space="preserve">We provide more detailed analysis of events where the spot price was greater than three times the weekly average price in a region and above $250/MWh or was below </w:t>
      </w:r>
      <w:r w:rsidRPr="00066157">
        <w:noBreakHyphen/>
        <w:t xml:space="preserve">$100/MWh. </w:t>
      </w:r>
    </w:p>
    <w:p w:rsidR="00066157" w:rsidRPr="00066157" w:rsidRDefault="00066157" w:rsidP="00066157">
      <w:pPr>
        <w:pStyle w:val="Heading2"/>
      </w:pPr>
      <w:r>
        <w:t>New South Wales</w:t>
      </w:r>
      <w:r w:rsidR="004A2464">
        <w:t xml:space="preserve"> and Queensland</w:t>
      </w:r>
    </w:p>
    <w:p w:rsidR="00066157" w:rsidRPr="00066157" w:rsidRDefault="00066157" w:rsidP="00807A5C">
      <w:pPr>
        <w:jc w:val="both"/>
        <w:rPr>
          <w:szCs w:val="20"/>
        </w:rPr>
      </w:pPr>
      <w:r w:rsidRPr="00066157">
        <w:rPr>
          <w:szCs w:val="20"/>
        </w:rPr>
        <w:t>There were three occasions where the spot price in New</w:t>
      </w:r>
      <w:r w:rsidR="00126FB9">
        <w:rPr>
          <w:szCs w:val="20"/>
        </w:rPr>
        <w:t> </w:t>
      </w:r>
      <w:r w:rsidRPr="00066157">
        <w:rPr>
          <w:szCs w:val="20"/>
        </w:rPr>
        <w:t>South</w:t>
      </w:r>
      <w:r w:rsidR="00126FB9">
        <w:rPr>
          <w:szCs w:val="20"/>
        </w:rPr>
        <w:t> </w:t>
      </w:r>
      <w:r w:rsidRPr="00066157">
        <w:rPr>
          <w:szCs w:val="20"/>
        </w:rPr>
        <w:t>Wales was greater than three times the New</w:t>
      </w:r>
      <w:r w:rsidR="00126FB9">
        <w:rPr>
          <w:szCs w:val="20"/>
        </w:rPr>
        <w:t> </w:t>
      </w:r>
      <w:r w:rsidRPr="00066157">
        <w:rPr>
          <w:szCs w:val="20"/>
        </w:rPr>
        <w:t>South</w:t>
      </w:r>
      <w:r w:rsidR="00126FB9">
        <w:rPr>
          <w:szCs w:val="20"/>
        </w:rPr>
        <w:t> </w:t>
      </w:r>
      <w:r w:rsidRPr="00066157">
        <w:rPr>
          <w:szCs w:val="20"/>
        </w:rPr>
        <w:t>Wales weekly average price of $44/MWh and above $250/MWh.</w:t>
      </w:r>
      <w:r w:rsidR="004A2464">
        <w:rPr>
          <w:szCs w:val="20"/>
        </w:rPr>
        <w:t xml:space="preserve"> On one of these occasions the price in Queensland also reached the reporting threshold.</w:t>
      </w:r>
    </w:p>
    <w:p w:rsidR="00066157" w:rsidRPr="00066157" w:rsidRDefault="00066157" w:rsidP="00066157">
      <w:pPr>
        <w:pStyle w:val="AERHeading3"/>
      </w:pPr>
      <w:r>
        <w:t>New South Wales</w:t>
      </w:r>
      <w:r w:rsidR="004A2464">
        <w:t xml:space="preserve"> and Queensland</w:t>
      </w:r>
      <w:r w:rsidR="00AD5315">
        <w:t xml:space="preserve"> </w:t>
      </w:r>
      <w:r w:rsidRPr="00066157">
        <w:t>– Thursday 16 April</w:t>
      </w:r>
      <w:r w:rsidR="007A33E8">
        <w:t xml:space="preserve"> </w:t>
      </w:r>
    </w:p>
    <w:p w:rsidR="00066157" w:rsidRPr="00066157" w:rsidRDefault="00066157" w:rsidP="00066157">
      <w:pPr>
        <w:pStyle w:val="Caption"/>
      </w:pPr>
      <w:r w:rsidRPr="00066157">
        <w:t xml:space="preserve">Table </w:t>
      </w:r>
      <w:r w:rsidR="00C34065">
        <w:t>3</w:t>
      </w:r>
      <w:r w:rsidRPr="00066157">
        <w:t>: Price, Demand and Availability</w:t>
      </w:r>
      <w:r w:rsidR="00647804">
        <w:t xml:space="preserve"> 3.30</w:t>
      </w:r>
      <w:r w:rsidR="00807A5C">
        <w:t> pm</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066157" w:rsidRPr="00066157" w:rsidTr="000766E2">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066157" w:rsidRPr="00066157" w:rsidRDefault="00647804" w:rsidP="000766E2">
            <w:pPr>
              <w:pStyle w:val="TableHeading"/>
              <w:jc w:val="center"/>
            </w:pPr>
            <w:r>
              <w:t>Region</w:t>
            </w:r>
          </w:p>
        </w:tc>
        <w:tc>
          <w:tcPr>
            <w:tcW w:w="1513" w:type="pct"/>
            <w:gridSpan w:val="3"/>
            <w:tcBorders>
              <w:bottom w:val="nil"/>
            </w:tcBorders>
            <w:hideMark/>
          </w:tcPr>
          <w:p w:rsidR="00066157" w:rsidRPr="00066157" w:rsidRDefault="00066157" w:rsidP="000766E2">
            <w:pPr>
              <w:pStyle w:val="TableHeading"/>
              <w:jc w:val="center"/>
            </w:pPr>
            <w:r w:rsidRPr="00066157">
              <w:t>Price ($/MWh)</w:t>
            </w:r>
          </w:p>
        </w:tc>
        <w:tc>
          <w:tcPr>
            <w:tcW w:w="1474" w:type="pct"/>
            <w:gridSpan w:val="3"/>
            <w:tcBorders>
              <w:bottom w:val="nil"/>
            </w:tcBorders>
            <w:hideMark/>
          </w:tcPr>
          <w:p w:rsidR="00066157" w:rsidRPr="00066157" w:rsidRDefault="00066157" w:rsidP="000766E2">
            <w:pPr>
              <w:pStyle w:val="TableHeading"/>
              <w:jc w:val="center"/>
            </w:pPr>
            <w:r w:rsidRPr="00066157">
              <w:t>Demand (MW)</w:t>
            </w:r>
          </w:p>
        </w:tc>
        <w:tc>
          <w:tcPr>
            <w:tcW w:w="1473" w:type="pct"/>
            <w:gridSpan w:val="3"/>
            <w:tcBorders>
              <w:bottom w:val="nil"/>
            </w:tcBorders>
            <w:hideMark/>
          </w:tcPr>
          <w:p w:rsidR="00066157" w:rsidRPr="00066157" w:rsidRDefault="00066157" w:rsidP="000766E2">
            <w:pPr>
              <w:pStyle w:val="TableHeading"/>
              <w:jc w:val="center"/>
            </w:pPr>
            <w:r w:rsidRPr="00066157">
              <w:t>Availability (MW)</w:t>
            </w:r>
          </w:p>
        </w:tc>
      </w:tr>
      <w:tr w:rsidR="00066157" w:rsidRPr="00066157" w:rsidTr="000766E2">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066157" w:rsidRPr="00066157" w:rsidRDefault="00066157" w:rsidP="000766E2">
            <w:pPr>
              <w:pStyle w:val="tableheadingline2"/>
            </w:pPr>
            <w:r w:rsidRPr="00066157">
              <w:t> </w:t>
            </w:r>
          </w:p>
        </w:tc>
        <w:tc>
          <w:tcPr>
            <w:tcW w:w="518"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497"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498"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480"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497"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497"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480"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497"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496"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r>
      <w:tr w:rsidR="00066157" w:rsidRPr="00066157" w:rsidTr="00066157">
        <w:trPr>
          <w:trHeight w:val="510"/>
        </w:trPr>
        <w:tc>
          <w:tcPr>
            <w:tcW w:w="539" w:type="pct"/>
            <w:tcBorders>
              <w:top w:val="nil"/>
              <w:bottom w:val="nil"/>
            </w:tcBorders>
            <w:vAlign w:val="center"/>
          </w:tcPr>
          <w:p w:rsidR="00066157" w:rsidRPr="00066157" w:rsidRDefault="00647804">
            <w:pPr>
              <w:pStyle w:val="NormalWeb"/>
              <w:jc w:val="center"/>
              <w:rPr>
                <w:rFonts w:asciiTheme="minorHAnsi" w:hAnsiTheme="minorHAnsi" w:cstheme="minorHAnsi"/>
                <w:sz w:val="18"/>
              </w:rPr>
            </w:pPr>
            <w:r>
              <w:rPr>
                <w:rFonts w:asciiTheme="minorHAnsi" w:hAnsiTheme="minorHAnsi" w:cstheme="minorHAnsi"/>
                <w:b/>
                <w:bCs/>
                <w:sz w:val="18"/>
                <w:szCs w:val="16"/>
              </w:rPr>
              <w:t>NSW</w:t>
            </w:r>
          </w:p>
        </w:tc>
        <w:tc>
          <w:tcPr>
            <w:tcW w:w="518" w:type="pct"/>
            <w:tcBorders>
              <w:top w:val="nil"/>
              <w:bottom w:val="nil"/>
            </w:tcBorders>
            <w:vAlign w:val="center"/>
          </w:tcPr>
          <w:p w:rsidR="00066157" w:rsidRPr="00066157" w:rsidRDefault="00066157" w:rsidP="00FC447B">
            <w:pPr>
              <w:pStyle w:val="NormalWeb"/>
              <w:jc w:val="center"/>
              <w:rPr>
                <w:rFonts w:asciiTheme="minorHAnsi" w:hAnsiTheme="minorHAnsi" w:cstheme="minorHAnsi"/>
                <w:sz w:val="18"/>
              </w:rPr>
            </w:pPr>
            <w:r w:rsidRPr="00066157">
              <w:rPr>
                <w:rFonts w:asciiTheme="minorHAnsi" w:hAnsiTheme="minorHAnsi" w:cstheme="minorHAnsi"/>
                <w:sz w:val="18"/>
                <w:szCs w:val="16"/>
              </w:rPr>
              <w:t>252.33</w:t>
            </w:r>
          </w:p>
        </w:tc>
        <w:tc>
          <w:tcPr>
            <w:tcW w:w="497" w:type="pct"/>
            <w:tcBorders>
              <w:top w:val="nil"/>
              <w:bottom w:val="nil"/>
            </w:tcBorders>
            <w:vAlign w:val="center"/>
          </w:tcPr>
          <w:p w:rsidR="00066157" w:rsidRPr="00066157" w:rsidRDefault="00066157" w:rsidP="00FC447B">
            <w:pPr>
              <w:pStyle w:val="NormalWeb"/>
              <w:jc w:val="center"/>
              <w:rPr>
                <w:rFonts w:asciiTheme="minorHAnsi" w:hAnsiTheme="minorHAnsi" w:cstheme="minorHAnsi"/>
                <w:sz w:val="18"/>
              </w:rPr>
            </w:pPr>
            <w:r w:rsidRPr="00066157">
              <w:rPr>
                <w:rFonts w:asciiTheme="minorHAnsi" w:hAnsiTheme="minorHAnsi" w:cstheme="minorHAnsi"/>
                <w:sz w:val="18"/>
                <w:szCs w:val="16"/>
              </w:rPr>
              <w:t>58.84</w:t>
            </w:r>
          </w:p>
        </w:tc>
        <w:tc>
          <w:tcPr>
            <w:tcW w:w="498" w:type="pct"/>
            <w:tcBorders>
              <w:top w:val="nil"/>
              <w:bottom w:val="nil"/>
            </w:tcBorders>
            <w:vAlign w:val="center"/>
          </w:tcPr>
          <w:p w:rsidR="00066157" w:rsidRPr="00066157" w:rsidRDefault="00066157" w:rsidP="00FC447B">
            <w:pPr>
              <w:pStyle w:val="NormalWeb"/>
              <w:jc w:val="center"/>
              <w:rPr>
                <w:rFonts w:asciiTheme="minorHAnsi" w:hAnsiTheme="minorHAnsi" w:cstheme="minorHAnsi"/>
                <w:sz w:val="18"/>
              </w:rPr>
            </w:pPr>
            <w:r w:rsidRPr="00066157">
              <w:rPr>
                <w:rFonts w:asciiTheme="minorHAnsi" w:hAnsiTheme="minorHAnsi" w:cstheme="minorHAnsi"/>
                <w:sz w:val="18"/>
                <w:szCs w:val="16"/>
              </w:rPr>
              <w:t>48.31</w:t>
            </w:r>
          </w:p>
        </w:tc>
        <w:tc>
          <w:tcPr>
            <w:tcW w:w="480" w:type="pct"/>
            <w:tcBorders>
              <w:top w:val="nil"/>
              <w:bottom w:val="nil"/>
            </w:tcBorders>
            <w:vAlign w:val="center"/>
          </w:tcPr>
          <w:p w:rsidR="00066157" w:rsidRPr="00066157" w:rsidRDefault="00066157" w:rsidP="00FC447B">
            <w:pPr>
              <w:pStyle w:val="NormalWeb"/>
              <w:jc w:val="center"/>
              <w:rPr>
                <w:rFonts w:asciiTheme="minorHAnsi" w:hAnsiTheme="minorHAnsi" w:cstheme="minorHAnsi"/>
                <w:sz w:val="18"/>
              </w:rPr>
            </w:pPr>
            <w:r w:rsidRPr="00066157">
              <w:rPr>
                <w:rFonts w:asciiTheme="minorHAnsi" w:hAnsiTheme="minorHAnsi" w:cstheme="minorHAnsi"/>
                <w:sz w:val="18"/>
                <w:szCs w:val="16"/>
              </w:rPr>
              <w:t>8848</w:t>
            </w:r>
          </w:p>
        </w:tc>
        <w:tc>
          <w:tcPr>
            <w:tcW w:w="497" w:type="pct"/>
            <w:tcBorders>
              <w:top w:val="nil"/>
              <w:bottom w:val="nil"/>
            </w:tcBorders>
            <w:vAlign w:val="center"/>
          </w:tcPr>
          <w:p w:rsidR="00066157" w:rsidRPr="00066157" w:rsidRDefault="00066157" w:rsidP="00FC447B">
            <w:pPr>
              <w:pStyle w:val="NormalWeb"/>
              <w:jc w:val="center"/>
              <w:rPr>
                <w:rFonts w:asciiTheme="minorHAnsi" w:hAnsiTheme="minorHAnsi" w:cstheme="minorHAnsi"/>
                <w:sz w:val="18"/>
              </w:rPr>
            </w:pPr>
            <w:r w:rsidRPr="00066157">
              <w:rPr>
                <w:rFonts w:asciiTheme="minorHAnsi" w:hAnsiTheme="minorHAnsi" w:cstheme="minorHAnsi"/>
                <w:sz w:val="18"/>
                <w:szCs w:val="16"/>
              </w:rPr>
              <w:t>8726</w:t>
            </w:r>
          </w:p>
        </w:tc>
        <w:tc>
          <w:tcPr>
            <w:tcW w:w="497" w:type="pct"/>
            <w:tcBorders>
              <w:top w:val="nil"/>
              <w:bottom w:val="nil"/>
            </w:tcBorders>
            <w:vAlign w:val="center"/>
          </w:tcPr>
          <w:p w:rsidR="00066157" w:rsidRPr="00066157" w:rsidRDefault="00066157" w:rsidP="00FC447B">
            <w:pPr>
              <w:pStyle w:val="NormalWeb"/>
              <w:jc w:val="center"/>
              <w:rPr>
                <w:rFonts w:asciiTheme="minorHAnsi" w:hAnsiTheme="minorHAnsi" w:cstheme="minorHAnsi"/>
                <w:sz w:val="18"/>
              </w:rPr>
            </w:pPr>
            <w:r w:rsidRPr="00066157">
              <w:rPr>
                <w:rFonts w:asciiTheme="minorHAnsi" w:hAnsiTheme="minorHAnsi" w:cstheme="minorHAnsi"/>
                <w:sz w:val="18"/>
                <w:szCs w:val="16"/>
              </w:rPr>
              <w:t>8408</w:t>
            </w:r>
          </w:p>
        </w:tc>
        <w:tc>
          <w:tcPr>
            <w:tcW w:w="480" w:type="pct"/>
            <w:tcBorders>
              <w:top w:val="nil"/>
              <w:bottom w:val="nil"/>
            </w:tcBorders>
            <w:vAlign w:val="center"/>
          </w:tcPr>
          <w:p w:rsidR="00066157" w:rsidRPr="00066157" w:rsidRDefault="00066157" w:rsidP="00FC447B">
            <w:pPr>
              <w:pStyle w:val="NormalWeb"/>
              <w:jc w:val="center"/>
              <w:rPr>
                <w:rFonts w:asciiTheme="minorHAnsi" w:hAnsiTheme="minorHAnsi" w:cstheme="minorHAnsi"/>
                <w:sz w:val="18"/>
              </w:rPr>
            </w:pPr>
            <w:r w:rsidRPr="00066157">
              <w:rPr>
                <w:rFonts w:asciiTheme="minorHAnsi" w:hAnsiTheme="minorHAnsi" w:cstheme="minorHAnsi"/>
                <w:sz w:val="18"/>
                <w:szCs w:val="16"/>
              </w:rPr>
              <w:t>9671</w:t>
            </w:r>
          </w:p>
        </w:tc>
        <w:tc>
          <w:tcPr>
            <w:tcW w:w="497" w:type="pct"/>
            <w:tcBorders>
              <w:top w:val="nil"/>
              <w:bottom w:val="nil"/>
            </w:tcBorders>
            <w:vAlign w:val="center"/>
          </w:tcPr>
          <w:p w:rsidR="00066157" w:rsidRPr="00066157" w:rsidRDefault="00066157" w:rsidP="00FC447B">
            <w:pPr>
              <w:pStyle w:val="NormalWeb"/>
              <w:jc w:val="center"/>
              <w:rPr>
                <w:rFonts w:asciiTheme="minorHAnsi" w:hAnsiTheme="minorHAnsi" w:cstheme="minorHAnsi"/>
                <w:sz w:val="18"/>
              </w:rPr>
            </w:pPr>
            <w:r w:rsidRPr="00066157">
              <w:rPr>
                <w:rFonts w:asciiTheme="minorHAnsi" w:hAnsiTheme="minorHAnsi" w:cstheme="minorHAnsi"/>
                <w:sz w:val="18"/>
                <w:szCs w:val="16"/>
              </w:rPr>
              <w:t>9628</w:t>
            </w:r>
          </w:p>
        </w:tc>
        <w:tc>
          <w:tcPr>
            <w:tcW w:w="496" w:type="pct"/>
            <w:tcBorders>
              <w:top w:val="nil"/>
              <w:bottom w:val="nil"/>
            </w:tcBorders>
            <w:vAlign w:val="center"/>
          </w:tcPr>
          <w:p w:rsidR="00066157" w:rsidRPr="00066157" w:rsidRDefault="00066157" w:rsidP="00FC447B">
            <w:pPr>
              <w:pStyle w:val="NormalWeb"/>
              <w:jc w:val="center"/>
              <w:rPr>
                <w:rFonts w:asciiTheme="minorHAnsi" w:hAnsiTheme="minorHAnsi" w:cstheme="minorHAnsi"/>
                <w:sz w:val="18"/>
              </w:rPr>
            </w:pPr>
            <w:r w:rsidRPr="00066157">
              <w:rPr>
                <w:rFonts w:asciiTheme="minorHAnsi" w:hAnsiTheme="minorHAnsi" w:cstheme="minorHAnsi"/>
                <w:sz w:val="18"/>
                <w:szCs w:val="16"/>
              </w:rPr>
              <w:t>10</w:t>
            </w:r>
            <w:r w:rsidR="00FC447B">
              <w:rPr>
                <w:rFonts w:asciiTheme="minorHAnsi" w:hAnsiTheme="minorHAnsi" w:cstheme="minorHAnsi"/>
                <w:sz w:val="18"/>
                <w:szCs w:val="16"/>
              </w:rPr>
              <w:t> </w:t>
            </w:r>
            <w:r w:rsidRPr="00066157">
              <w:rPr>
                <w:rFonts w:asciiTheme="minorHAnsi" w:hAnsiTheme="minorHAnsi" w:cstheme="minorHAnsi"/>
                <w:sz w:val="18"/>
                <w:szCs w:val="16"/>
              </w:rPr>
              <w:t>085</w:t>
            </w:r>
          </w:p>
        </w:tc>
      </w:tr>
      <w:tr w:rsidR="00647804" w:rsidRPr="00066157" w:rsidTr="00066157">
        <w:trPr>
          <w:cnfStyle w:val="000000010000" w:firstRow="0" w:lastRow="0" w:firstColumn="0" w:lastColumn="0" w:oddVBand="0" w:evenVBand="0" w:oddHBand="0" w:evenHBand="1" w:firstRowFirstColumn="0" w:firstRowLastColumn="0" w:lastRowFirstColumn="0" w:lastRowLastColumn="0"/>
          <w:trHeight w:val="510"/>
        </w:trPr>
        <w:tc>
          <w:tcPr>
            <w:tcW w:w="539" w:type="pct"/>
            <w:tcBorders>
              <w:top w:val="nil"/>
              <w:bottom w:val="nil"/>
            </w:tcBorders>
            <w:vAlign w:val="center"/>
          </w:tcPr>
          <w:p w:rsidR="00647804" w:rsidRPr="00647804" w:rsidRDefault="00647804">
            <w:pPr>
              <w:jc w:val="center"/>
              <w:rPr>
                <w:rFonts w:cs="Arial"/>
                <w:b/>
                <w:color w:val="000000"/>
                <w:sz w:val="18"/>
                <w:szCs w:val="18"/>
              </w:rPr>
            </w:pPr>
            <w:r>
              <w:rPr>
                <w:rFonts w:cs="Arial"/>
                <w:b/>
                <w:color w:val="000000"/>
                <w:sz w:val="18"/>
                <w:szCs w:val="18"/>
              </w:rPr>
              <w:t>QLD</w:t>
            </w:r>
          </w:p>
        </w:tc>
        <w:tc>
          <w:tcPr>
            <w:tcW w:w="518" w:type="pct"/>
            <w:tcBorders>
              <w:top w:val="nil"/>
              <w:bottom w:val="nil"/>
            </w:tcBorders>
            <w:vAlign w:val="center"/>
          </w:tcPr>
          <w:p w:rsidR="00647804" w:rsidRDefault="00647804" w:rsidP="00FC447B">
            <w:pPr>
              <w:jc w:val="center"/>
              <w:rPr>
                <w:rFonts w:cs="Arial"/>
                <w:color w:val="000000"/>
                <w:sz w:val="18"/>
                <w:szCs w:val="18"/>
              </w:rPr>
            </w:pPr>
            <w:r>
              <w:rPr>
                <w:rFonts w:cs="Arial"/>
                <w:color w:val="000000"/>
                <w:sz w:val="18"/>
                <w:szCs w:val="18"/>
              </w:rPr>
              <w:t>236</w:t>
            </w:r>
          </w:p>
        </w:tc>
        <w:tc>
          <w:tcPr>
            <w:tcW w:w="497" w:type="pct"/>
            <w:tcBorders>
              <w:top w:val="nil"/>
              <w:bottom w:val="nil"/>
            </w:tcBorders>
            <w:vAlign w:val="center"/>
          </w:tcPr>
          <w:p w:rsidR="00647804" w:rsidRDefault="00647804" w:rsidP="00FC447B">
            <w:pPr>
              <w:jc w:val="center"/>
              <w:rPr>
                <w:rFonts w:cs="Arial"/>
                <w:color w:val="000000"/>
                <w:sz w:val="18"/>
                <w:szCs w:val="18"/>
              </w:rPr>
            </w:pPr>
            <w:r>
              <w:rPr>
                <w:rFonts w:cs="Arial"/>
                <w:color w:val="000000"/>
                <w:sz w:val="18"/>
                <w:szCs w:val="18"/>
              </w:rPr>
              <w:t>55</w:t>
            </w:r>
          </w:p>
        </w:tc>
        <w:tc>
          <w:tcPr>
            <w:tcW w:w="498" w:type="pct"/>
            <w:tcBorders>
              <w:top w:val="nil"/>
              <w:bottom w:val="nil"/>
            </w:tcBorders>
            <w:vAlign w:val="center"/>
          </w:tcPr>
          <w:p w:rsidR="00647804" w:rsidRDefault="00647804" w:rsidP="00FC447B">
            <w:pPr>
              <w:jc w:val="center"/>
              <w:rPr>
                <w:rFonts w:cs="Arial"/>
                <w:color w:val="000000"/>
                <w:sz w:val="18"/>
                <w:szCs w:val="18"/>
              </w:rPr>
            </w:pPr>
            <w:r>
              <w:rPr>
                <w:rFonts w:cs="Arial"/>
                <w:color w:val="000000"/>
                <w:sz w:val="18"/>
                <w:szCs w:val="18"/>
              </w:rPr>
              <w:t>47</w:t>
            </w:r>
          </w:p>
        </w:tc>
        <w:tc>
          <w:tcPr>
            <w:tcW w:w="480" w:type="pct"/>
            <w:tcBorders>
              <w:top w:val="nil"/>
              <w:bottom w:val="nil"/>
            </w:tcBorders>
            <w:vAlign w:val="center"/>
          </w:tcPr>
          <w:p w:rsidR="00647804" w:rsidRDefault="00647804" w:rsidP="00FC447B">
            <w:pPr>
              <w:jc w:val="center"/>
              <w:rPr>
                <w:rFonts w:cs="Arial"/>
                <w:color w:val="000000"/>
                <w:sz w:val="18"/>
                <w:szCs w:val="18"/>
              </w:rPr>
            </w:pPr>
            <w:r>
              <w:rPr>
                <w:rFonts w:cs="Arial"/>
                <w:color w:val="000000"/>
                <w:sz w:val="18"/>
                <w:szCs w:val="18"/>
              </w:rPr>
              <w:t>6587</w:t>
            </w:r>
          </w:p>
        </w:tc>
        <w:tc>
          <w:tcPr>
            <w:tcW w:w="497" w:type="pct"/>
            <w:tcBorders>
              <w:top w:val="nil"/>
              <w:bottom w:val="nil"/>
            </w:tcBorders>
            <w:vAlign w:val="center"/>
          </w:tcPr>
          <w:p w:rsidR="00647804" w:rsidRDefault="00647804" w:rsidP="00FC447B">
            <w:pPr>
              <w:jc w:val="center"/>
              <w:rPr>
                <w:rFonts w:cs="Arial"/>
                <w:color w:val="000000"/>
                <w:sz w:val="18"/>
                <w:szCs w:val="18"/>
              </w:rPr>
            </w:pPr>
            <w:r>
              <w:rPr>
                <w:rFonts w:cs="Arial"/>
                <w:color w:val="000000"/>
                <w:sz w:val="18"/>
                <w:szCs w:val="18"/>
              </w:rPr>
              <w:t>6540</w:t>
            </w:r>
          </w:p>
        </w:tc>
        <w:tc>
          <w:tcPr>
            <w:tcW w:w="497" w:type="pct"/>
            <w:tcBorders>
              <w:top w:val="nil"/>
              <w:bottom w:val="nil"/>
            </w:tcBorders>
            <w:vAlign w:val="center"/>
          </w:tcPr>
          <w:p w:rsidR="00647804" w:rsidRDefault="00647804" w:rsidP="00FC447B">
            <w:pPr>
              <w:jc w:val="center"/>
              <w:rPr>
                <w:rFonts w:cs="Arial"/>
                <w:color w:val="000000"/>
                <w:sz w:val="18"/>
                <w:szCs w:val="18"/>
              </w:rPr>
            </w:pPr>
            <w:r>
              <w:rPr>
                <w:rFonts w:cs="Arial"/>
                <w:color w:val="000000"/>
                <w:sz w:val="18"/>
                <w:szCs w:val="18"/>
              </w:rPr>
              <w:t>6539</w:t>
            </w:r>
          </w:p>
        </w:tc>
        <w:tc>
          <w:tcPr>
            <w:tcW w:w="480" w:type="pct"/>
            <w:tcBorders>
              <w:top w:val="nil"/>
              <w:bottom w:val="nil"/>
            </w:tcBorders>
            <w:vAlign w:val="center"/>
          </w:tcPr>
          <w:p w:rsidR="00647804" w:rsidRDefault="00B35810" w:rsidP="00FC447B">
            <w:pPr>
              <w:jc w:val="center"/>
              <w:rPr>
                <w:rFonts w:cs="Arial"/>
                <w:color w:val="000000"/>
                <w:sz w:val="18"/>
                <w:szCs w:val="18"/>
              </w:rPr>
            </w:pPr>
            <w:r>
              <w:rPr>
                <w:rFonts w:cs="Arial"/>
                <w:color w:val="000000"/>
                <w:sz w:val="18"/>
                <w:szCs w:val="18"/>
              </w:rPr>
              <w:t>9</w:t>
            </w:r>
            <w:r w:rsidR="00647804">
              <w:rPr>
                <w:rFonts w:cs="Arial"/>
                <w:color w:val="000000"/>
                <w:sz w:val="18"/>
                <w:szCs w:val="18"/>
              </w:rPr>
              <w:t>219</w:t>
            </w:r>
          </w:p>
        </w:tc>
        <w:tc>
          <w:tcPr>
            <w:tcW w:w="497" w:type="pct"/>
            <w:tcBorders>
              <w:top w:val="nil"/>
              <w:bottom w:val="nil"/>
            </w:tcBorders>
            <w:vAlign w:val="center"/>
          </w:tcPr>
          <w:p w:rsidR="00647804" w:rsidRDefault="00647804" w:rsidP="00FC447B">
            <w:pPr>
              <w:jc w:val="center"/>
              <w:rPr>
                <w:rFonts w:cs="Arial"/>
                <w:color w:val="000000"/>
                <w:sz w:val="18"/>
                <w:szCs w:val="18"/>
              </w:rPr>
            </w:pPr>
            <w:r>
              <w:rPr>
                <w:rFonts w:cs="Arial"/>
                <w:color w:val="000000"/>
                <w:sz w:val="18"/>
                <w:szCs w:val="18"/>
              </w:rPr>
              <w:t>9543</w:t>
            </w:r>
          </w:p>
        </w:tc>
        <w:tc>
          <w:tcPr>
            <w:tcW w:w="496" w:type="pct"/>
            <w:tcBorders>
              <w:top w:val="nil"/>
              <w:bottom w:val="nil"/>
            </w:tcBorders>
            <w:vAlign w:val="center"/>
          </w:tcPr>
          <w:p w:rsidR="00647804" w:rsidRDefault="00647804" w:rsidP="00FC447B">
            <w:pPr>
              <w:jc w:val="center"/>
              <w:rPr>
                <w:rFonts w:cs="Arial"/>
                <w:color w:val="000000"/>
                <w:sz w:val="18"/>
                <w:szCs w:val="18"/>
              </w:rPr>
            </w:pPr>
            <w:r>
              <w:rPr>
                <w:rFonts w:cs="Arial"/>
                <w:color w:val="000000"/>
                <w:sz w:val="18"/>
                <w:szCs w:val="18"/>
              </w:rPr>
              <w:t>9602</w:t>
            </w:r>
          </w:p>
        </w:tc>
      </w:tr>
    </w:tbl>
    <w:p w:rsidR="00126FB9" w:rsidRDefault="00126FB9" w:rsidP="007A33E8">
      <w:pPr>
        <w:pStyle w:val="AERbodytext"/>
      </w:pPr>
    </w:p>
    <w:p w:rsidR="003F75C8" w:rsidRDefault="00126FB9" w:rsidP="007A33E8">
      <w:pPr>
        <w:pStyle w:val="AERbodytext"/>
      </w:pPr>
      <w:r>
        <w:t>Queensland and New</w:t>
      </w:r>
      <w:r w:rsidR="00C35CAD">
        <w:t> </w:t>
      </w:r>
      <w:r>
        <w:t>South</w:t>
      </w:r>
      <w:r w:rsidR="00C35CAD">
        <w:t> </w:t>
      </w:r>
      <w:r>
        <w:t>Wales were isolated from the rest of the NEM because t</w:t>
      </w:r>
      <w:r w:rsidR="00C35CAD">
        <w:t>he Victoria-New South </w:t>
      </w:r>
      <w:r>
        <w:t xml:space="preserve">Wales interconnector was constrained to its limit </w:t>
      </w:r>
      <w:r w:rsidR="00C35CAD">
        <w:t xml:space="preserve">into New South Wales </w:t>
      </w:r>
      <w:r>
        <w:t>of around 1200 MW. QNI remained unconstrained and p</w:t>
      </w:r>
      <w:r w:rsidR="00B35810">
        <w:t xml:space="preserve">rices </w:t>
      </w:r>
      <w:r>
        <w:t xml:space="preserve">in </w:t>
      </w:r>
      <w:r w:rsidR="00B35810">
        <w:t xml:space="preserve">New South Wales and Queensland </w:t>
      </w:r>
      <w:r>
        <w:t>roughly aligned</w:t>
      </w:r>
      <w:r w:rsidR="003F75C8">
        <w:t>.</w:t>
      </w:r>
    </w:p>
    <w:p w:rsidR="00647804" w:rsidRDefault="00647804" w:rsidP="007A33E8">
      <w:pPr>
        <w:pStyle w:val="AERbodytext"/>
      </w:pPr>
      <w:r>
        <w:t>Demand in New South Wales was 122</w:t>
      </w:r>
      <w:r w:rsidR="00FC447B">
        <w:t> </w:t>
      </w:r>
      <w:r>
        <w:t xml:space="preserve">MW higher than forecast four hours </w:t>
      </w:r>
      <w:r w:rsidR="00AB6478">
        <w:t>ahead</w:t>
      </w:r>
      <w:r>
        <w:t>. Available capacity in Queensland was 32</w:t>
      </w:r>
      <w:r w:rsidR="005575B9">
        <w:t>4</w:t>
      </w:r>
      <w:r w:rsidR="00FC447B">
        <w:t> </w:t>
      </w:r>
      <w:r>
        <w:t xml:space="preserve">MW lower than forecast four hours </w:t>
      </w:r>
      <w:r w:rsidR="00B35810">
        <w:t>ahead</w:t>
      </w:r>
      <w:r>
        <w:t xml:space="preserve">. </w:t>
      </w:r>
    </w:p>
    <w:p w:rsidR="00E823D9" w:rsidRDefault="00E823D9" w:rsidP="007A33E8">
      <w:pPr>
        <w:pStyle w:val="AERbodytext"/>
      </w:pPr>
      <w:r>
        <w:t>There was little capacity across the two regions priced between $70/MWh and $280/MWh. This meant that small changes in demand, availability and rebidding could lead to large changes in price.</w:t>
      </w:r>
    </w:p>
    <w:p w:rsidR="00E52A27" w:rsidRPr="00265486" w:rsidRDefault="00265486" w:rsidP="00265486">
      <w:pPr>
        <w:pStyle w:val="Caption"/>
      </w:pPr>
      <w:r w:rsidRPr="00265486">
        <w:t xml:space="preserve">Table </w:t>
      </w:r>
      <w:r w:rsidR="00C34065">
        <w:t>4</w:t>
      </w:r>
      <w:r w:rsidRPr="00265486">
        <w:t>: Rebids for 3.30 pm</w:t>
      </w:r>
    </w:p>
    <w:tbl>
      <w:tblPr>
        <w:tblStyle w:val="AERTable-Text"/>
        <w:tblW w:w="9322" w:type="dxa"/>
        <w:tblLayout w:type="fixed"/>
        <w:tblLook w:val="04A0" w:firstRow="1" w:lastRow="0" w:firstColumn="1" w:lastColumn="0" w:noHBand="0" w:noVBand="1"/>
      </w:tblPr>
      <w:tblGrid>
        <w:gridCol w:w="959"/>
        <w:gridCol w:w="829"/>
        <w:gridCol w:w="1439"/>
        <w:gridCol w:w="992"/>
        <w:gridCol w:w="992"/>
        <w:gridCol w:w="993"/>
        <w:gridCol w:w="2268"/>
        <w:gridCol w:w="850"/>
      </w:tblGrid>
      <w:tr w:rsidR="00E823D9" w:rsidRPr="00411897" w:rsidTr="00E823D9">
        <w:trPr>
          <w:cnfStyle w:val="100000000000" w:firstRow="1" w:lastRow="0" w:firstColumn="0" w:lastColumn="0" w:oddVBand="0" w:evenVBand="0" w:oddHBand="0" w:evenHBand="0" w:firstRowFirstColumn="0" w:firstRowLastColumn="0" w:lastRowFirstColumn="0" w:lastRowLastColumn="0"/>
          <w:trHeight w:val="780"/>
          <w:tblHeader/>
        </w:trPr>
        <w:tc>
          <w:tcPr>
            <w:tcW w:w="959" w:type="dxa"/>
            <w:hideMark/>
          </w:tcPr>
          <w:p w:rsidR="00E823D9" w:rsidRPr="00265486" w:rsidRDefault="00E823D9" w:rsidP="00E823D9">
            <w:pPr>
              <w:pStyle w:val="TableHeading"/>
              <w:jc w:val="center"/>
            </w:pPr>
            <w:r>
              <w:t xml:space="preserve">Submit </w:t>
            </w:r>
            <w:r w:rsidRPr="00265486">
              <w:t>Time</w:t>
            </w:r>
          </w:p>
        </w:tc>
        <w:tc>
          <w:tcPr>
            <w:tcW w:w="829" w:type="dxa"/>
            <w:hideMark/>
          </w:tcPr>
          <w:p w:rsidR="00E823D9" w:rsidRPr="00265486" w:rsidRDefault="00E823D9" w:rsidP="006D7923">
            <w:pPr>
              <w:pStyle w:val="TableHeading"/>
              <w:jc w:val="center"/>
            </w:pPr>
            <w:r w:rsidRPr="00265486">
              <w:t>Participant</w:t>
            </w:r>
          </w:p>
        </w:tc>
        <w:tc>
          <w:tcPr>
            <w:tcW w:w="1439" w:type="dxa"/>
            <w:hideMark/>
          </w:tcPr>
          <w:p w:rsidR="00E823D9" w:rsidRPr="00265486" w:rsidRDefault="00E823D9" w:rsidP="006D7923">
            <w:pPr>
              <w:pStyle w:val="TableHeading"/>
              <w:jc w:val="center"/>
            </w:pPr>
            <w:r w:rsidRPr="00265486">
              <w:t>Station</w:t>
            </w:r>
          </w:p>
        </w:tc>
        <w:tc>
          <w:tcPr>
            <w:tcW w:w="992" w:type="dxa"/>
            <w:hideMark/>
          </w:tcPr>
          <w:p w:rsidR="00E823D9" w:rsidRPr="00265486" w:rsidRDefault="00E823D9" w:rsidP="006D7923">
            <w:pPr>
              <w:pStyle w:val="TableHeading"/>
              <w:jc w:val="center"/>
            </w:pPr>
            <w:r w:rsidRPr="00265486">
              <w:t>Capacity rebid (MW)</w:t>
            </w:r>
          </w:p>
        </w:tc>
        <w:tc>
          <w:tcPr>
            <w:tcW w:w="992" w:type="dxa"/>
            <w:hideMark/>
          </w:tcPr>
          <w:p w:rsidR="00E823D9" w:rsidRPr="00265486" w:rsidRDefault="00E823D9" w:rsidP="006D7923">
            <w:pPr>
              <w:pStyle w:val="TableHeading"/>
              <w:jc w:val="center"/>
            </w:pPr>
            <w:r w:rsidRPr="00265486">
              <w:t>Price from ($/MWh)</w:t>
            </w:r>
          </w:p>
        </w:tc>
        <w:tc>
          <w:tcPr>
            <w:tcW w:w="993" w:type="dxa"/>
            <w:hideMark/>
          </w:tcPr>
          <w:p w:rsidR="00E823D9" w:rsidRPr="00265486" w:rsidRDefault="00E823D9" w:rsidP="006D7923">
            <w:pPr>
              <w:pStyle w:val="TableHeading"/>
              <w:jc w:val="center"/>
            </w:pPr>
            <w:r w:rsidRPr="00265486">
              <w:t>Price to ($/MWh)</w:t>
            </w:r>
          </w:p>
        </w:tc>
        <w:tc>
          <w:tcPr>
            <w:tcW w:w="2268" w:type="dxa"/>
            <w:hideMark/>
          </w:tcPr>
          <w:p w:rsidR="00E823D9" w:rsidRPr="00265486" w:rsidRDefault="00E823D9" w:rsidP="006D7923">
            <w:pPr>
              <w:pStyle w:val="TableHeading"/>
              <w:jc w:val="center"/>
            </w:pPr>
            <w:r w:rsidRPr="00265486">
              <w:t>Rebid reason</w:t>
            </w:r>
          </w:p>
        </w:tc>
        <w:tc>
          <w:tcPr>
            <w:tcW w:w="850" w:type="dxa"/>
          </w:tcPr>
          <w:p w:rsidR="00E823D9" w:rsidRPr="00265486" w:rsidRDefault="00E823D9" w:rsidP="006D7923">
            <w:pPr>
              <w:pStyle w:val="TableHeading"/>
              <w:jc w:val="center"/>
            </w:pPr>
            <w:r>
              <w:t>Region</w:t>
            </w:r>
          </w:p>
        </w:tc>
      </w:tr>
      <w:tr w:rsidR="00E823D9" w:rsidRPr="00411897" w:rsidTr="00E823D9">
        <w:trPr>
          <w:trHeight w:val="606"/>
        </w:trPr>
        <w:tc>
          <w:tcPr>
            <w:tcW w:w="959" w:type="dxa"/>
          </w:tcPr>
          <w:p w:rsidR="00E823D9" w:rsidRPr="00603914" w:rsidRDefault="00E823D9" w:rsidP="00C56506">
            <w:pPr>
              <w:pStyle w:val="Tabletext"/>
              <w:ind w:left="-84" w:right="-55"/>
              <w:jc w:val="center"/>
              <w:rPr>
                <w:b/>
              </w:rPr>
            </w:pPr>
            <w:r w:rsidRPr="00603914">
              <w:rPr>
                <w:b/>
              </w:rPr>
              <w:t>10.28</w:t>
            </w:r>
            <w:r>
              <w:rPr>
                <w:b/>
              </w:rPr>
              <w:t> am</w:t>
            </w:r>
          </w:p>
        </w:tc>
        <w:tc>
          <w:tcPr>
            <w:tcW w:w="829" w:type="dxa"/>
          </w:tcPr>
          <w:p w:rsidR="00E823D9" w:rsidRPr="00F031FE" w:rsidRDefault="00E823D9" w:rsidP="000766E2">
            <w:pPr>
              <w:pStyle w:val="Tabletext"/>
              <w:ind w:left="-84" w:right="-55"/>
              <w:jc w:val="center"/>
            </w:pPr>
            <w:r>
              <w:t>AGL Energy</w:t>
            </w:r>
          </w:p>
        </w:tc>
        <w:tc>
          <w:tcPr>
            <w:tcW w:w="1439" w:type="dxa"/>
          </w:tcPr>
          <w:p w:rsidR="00E823D9" w:rsidRPr="00F031FE" w:rsidRDefault="00E823D9" w:rsidP="000766E2">
            <w:pPr>
              <w:pStyle w:val="Tabletext"/>
              <w:ind w:left="-84" w:right="-55"/>
              <w:jc w:val="center"/>
            </w:pPr>
            <w:r>
              <w:t>Liddell</w:t>
            </w:r>
          </w:p>
        </w:tc>
        <w:tc>
          <w:tcPr>
            <w:tcW w:w="992" w:type="dxa"/>
          </w:tcPr>
          <w:p w:rsidR="00E823D9" w:rsidRPr="00F031FE" w:rsidRDefault="00E823D9" w:rsidP="000766E2">
            <w:pPr>
              <w:pStyle w:val="Tabletext"/>
              <w:ind w:left="-84" w:right="-55"/>
              <w:jc w:val="center"/>
            </w:pPr>
            <w:r>
              <w:t>460</w:t>
            </w:r>
          </w:p>
        </w:tc>
        <w:tc>
          <w:tcPr>
            <w:tcW w:w="992" w:type="dxa"/>
          </w:tcPr>
          <w:p w:rsidR="00E823D9" w:rsidRPr="00F031FE" w:rsidRDefault="00E823D9" w:rsidP="000766E2">
            <w:pPr>
              <w:pStyle w:val="Tabletext"/>
              <w:ind w:left="-84" w:right="-55"/>
              <w:jc w:val="center"/>
            </w:pPr>
            <w:r>
              <w:t>&lt;</w:t>
            </w:r>
            <w:r w:rsidR="00336D50">
              <w:t>50</w:t>
            </w:r>
          </w:p>
        </w:tc>
        <w:tc>
          <w:tcPr>
            <w:tcW w:w="993" w:type="dxa"/>
          </w:tcPr>
          <w:p w:rsidR="00E823D9" w:rsidRPr="00F031FE" w:rsidRDefault="00E823D9" w:rsidP="000766E2">
            <w:pPr>
              <w:pStyle w:val="Tabletext"/>
              <w:ind w:left="-84" w:right="-55"/>
              <w:jc w:val="center"/>
            </w:pPr>
            <w:r>
              <w:t>N/A</w:t>
            </w:r>
          </w:p>
        </w:tc>
        <w:tc>
          <w:tcPr>
            <w:tcW w:w="2268" w:type="dxa"/>
          </w:tcPr>
          <w:p w:rsidR="00E823D9" w:rsidRPr="00F031FE" w:rsidRDefault="00E823D9" w:rsidP="006D7923">
            <w:pPr>
              <w:pStyle w:val="Tabletext"/>
              <w:ind w:left="-84" w:right="-55"/>
              <w:rPr>
                <w:rFonts w:cs="Arial"/>
                <w:bCs/>
              </w:rPr>
            </w:pPr>
            <w:r w:rsidRPr="006D7923">
              <w:rPr>
                <w:rFonts w:cs="Arial"/>
                <w:szCs w:val="16"/>
              </w:rPr>
              <w:t>0935~P~010 unexpected/plant limits~</w:t>
            </w:r>
            <w:r w:rsidR="009E7AC6">
              <w:rPr>
                <w:rFonts w:cs="Arial"/>
                <w:szCs w:val="16"/>
              </w:rPr>
              <w:t xml:space="preserve"> </w:t>
            </w:r>
            <w:r w:rsidRPr="006D7923">
              <w:rPr>
                <w:rFonts w:cs="Arial"/>
                <w:szCs w:val="16"/>
              </w:rPr>
              <w:t xml:space="preserve">delay in unit </w:t>
            </w:r>
            <w:proofErr w:type="spellStart"/>
            <w:r w:rsidRPr="006D7923">
              <w:rPr>
                <w:rFonts w:cs="Arial"/>
                <w:szCs w:val="16"/>
              </w:rPr>
              <w:t>rts</w:t>
            </w:r>
            <w:proofErr w:type="spellEnd"/>
          </w:p>
        </w:tc>
        <w:tc>
          <w:tcPr>
            <w:tcW w:w="850" w:type="dxa"/>
          </w:tcPr>
          <w:p w:rsidR="00E823D9" w:rsidRPr="00F031FE" w:rsidRDefault="00E823D9" w:rsidP="000766E2">
            <w:pPr>
              <w:pStyle w:val="Tabletext"/>
              <w:ind w:left="-84" w:right="-55"/>
              <w:jc w:val="center"/>
              <w:rPr>
                <w:rFonts w:cs="Arial"/>
                <w:bCs/>
              </w:rPr>
            </w:pPr>
            <w:r>
              <w:rPr>
                <w:rFonts w:cs="Arial"/>
                <w:bCs/>
              </w:rPr>
              <w:t>NSW</w:t>
            </w:r>
          </w:p>
        </w:tc>
      </w:tr>
      <w:tr w:rsidR="00E823D9" w:rsidRPr="00411897" w:rsidTr="00E823D9">
        <w:trPr>
          <w:cnfStyle w:val="000000010000" w:firstRow="0" w:lastRow="0" w:firstColumn="0" w:lastColumn="0" w:oddVBand="0" w:evenVBand="0" w:oddHBand="0" w:evenHBand="1" w:firstRowFirstColumn="0" w:firstRowLastColumn="0" w:lastRowFirstColumn="0" w:lastRowLastColumn="0"/>
          <w:trHeight w:val="673"/>
        </w:trPr>
        <w:tc>
          <w:tcPr>
            <w:tcW w:w="959" w:type="dxa"/>
          </w:tcPr>
          <w:p w:rsidR="00E823D9" w:rsidRPr="00603914" w:rsidRDefault="00E823D9" w:rsidP="00C56506">
            <w:pPr>
              <w:pStyle w:val="Tabletext"/>
              <w:ind w:left="-84" w:right="-55"/>
              <w:jc w:val="center"/>
              <w:rPr>
                <w:b/>
              </w:rPr>
            </w:pPr>
            <w:r w:rsidRPr="00603914">
              <w:rPr>
                <w:b/>
              </w:rPr>
              <w:t>12.15</w:t>
            </w:r>
            <w:r>
              <w:rPr>
                <w:b/>
              </w:rPr>
              <w:t> pm</w:t>
            </w:r>
          </w:p>
        </w:tc>
        <w:tc>
          <w:tcPr>
            <w:tcW w:w="829" w:type="dxa"/>
          </w:tcPr>
          <w:p w:rsidR="00E823D9" w:rsidRDefault="00E823D9" w:rsidP="000766E2">
            <w:pPr>
              <w:pStyle w:val="Tabletext"/>
              <w:ind w:left="-84" w:right="-55"/>
              <w:jc w:val="center"/>
            </w:pPr>
            <w:r>
              <w:t>Stanwell</w:t>
            </w:r>
          </w:p>
        </w:tc>
        <w:tc>
          <w:tcPr>
            <w:tcW w:w="1439" w:type="dxa"/>
          </w:tcPr>
          <w:p w:rsidR="00E823D9" w:rsidRDefault="00E823D9" w:rsidP="000766E2">
            <w:pPr>
              <w:pStyle w:val="Tabletext"/>
              <w:ind w:left="-84" w:right="-55"/>
              <w:jc w:val="center"/>
            </w:pPr>
            <w:r>
              <w:t>Stanwell</w:t>
            </w:r>
          </w:p>
        </w:tc>
        <w:tc>
          <w:tcPr>
            <w:tcW w:w="992" w:type="dxa"/>
          </w:tcPr>
          <w:p w:rsidR="00E823D9" w:rsidRDefault="00E823D9" w:rsidP="000766E2">
            <w:pPr>
              <w:pStyle w:val="Tabletext"/>
              <w:ind w:left="-84" w:right="-55"/>
              <w:jc w:val="center"/>
            </w:pPr>
            <w:r>
              <w:t>55</w:t>
            </w:r>
          </w:p>
        </w:tc>
        <w:tc>
          <w:tcPr>
            <w:tcW w:w="992" w:type="dxa"/>
          </w:tcPr>
          <w:p w:rsidR="00E823D9" w:rsidRDefault="00E823D9" w:rsidP="000766E2">
            <w:pPr>
              <w:pStyle w:val="Tabletext"/>
              <w:ind w:left="-84" w:right="-55"/>
              <w:jc w:val="center"/>
            </w:pPr>
            <w:r>
              <w:t>30</w:t>
            </w:r>
          </w:p>
        </w:tc>
        <w:tc>
          <w:tcPr>
            <w:tcW w:w="993" w:type="dxa"/>
          </w:tcPr>
          <w:p w:rsidR="00E823D9" w:rsidRDefault="00E823D9" w:rsidP="000766E2">
            <w:pPr>
              <w:pStyle w:val="Tabletext"/>
              <w:ind w:left="-84" w:right="-55"/>
              <w:jc w:val="center"/>
            </w:pPr>
            <w:r>
              <w:t>13 499</w:t>
            </w:r>
          </w:p>
        </w:tc>
        <w:tc>
          <w:tcPr>
            <w:tcW w:w="2268" w:type="dxa"/>
          </w:tcPr>
          <w:p w:rsidR="00E823D9" w:rsidRPr="006D7923" w:rsidRDefault="00E823D9" w:rsidP="006D7923">
            <w:pPr>
              <w:pStyle w:val="Tabletext"/>
              <w:ind w:left="-84" w:right="-55"/>
              <w:rPr>
                <w:rFonts w:cs="Arial"/>
                <w:szCs w:val="16"/>
              </w:rPr>
            </w:pPr>
            <w:r>
              <w:rPr>
                <w:rFonts w:cs="Arial"/>
                <w:szCs w:val="16"/>
              </w:rPr>
              <w:t>1214P V</w:t>
            </w:r>
          </w:p>
        </w:tc>
        <w:tc>
          <w:tcPr>
            <w:tcW w:w="850" w:type="dxa"/>
          </w:tcPr>
          <w:p w:rsidR="00E823D9" w:rsidRDefault="00E823D9" w:rsidP="000766E2">
            <w:pPr>
              <w:pStyle w:val="Tabletext"/>
              <w:ind w:left="-84" w:right="-55"/>
              <w:jc w:val="center"/>
            </w:pPr>
            <w:r>
              <w:t>QLD</w:t>
            </w:r>
          </w:p>
        </w:tc>
      </w:tr>
      <w:tr w:rsidR="00E823D9" w:rsidRPr="00411897" w:rsidTr="00E823D9">
        <w:trPr>
          <w:trHeight w:val="673"/>
        </w:trPr>
        <w:tc>
          <w:tcPr>
            <w:tcW w:w="959" w:type="dxa"/>
          </w:tcPr>
          <w:p w:rsidR="00E823D9" w:rsidRPr="00603914" w:rsidRDefault="00E823D9" w:rsidP="000766E2">
            <w:pPr>
              <w:pStyle w:val="Tabletext"/>
              <w:ind w:left="-84" w:right="-55"/>
              <w:jc w:val="center"/>
              <w:rPr>
                <w:b/>
              </w:rPr>
            </w:pPr>
            <w:r w:rsidRPr="00603914">
              <w:rPr>
                <w:b/>
              </w:rPr>
              <w:t>1.18</w:t>
            </w:r>
            <w:r>
              <w:rPr>
                <w:b/>
              </w:rPr>
              <w:t xml:space="preserve">  pm</w:t>
            </w:r>
          </w:p>
        </w:tc>
        <w:tc>
          <w:tcPr>
            <w:tcW w:w="829" w:type="dxa"/>
          </w:tcPr>
          <w:p w:rsidR="00E823D9" w:rsidRPr="00F031FE" w:rsidRDefault="00E823D9" w:rsidP="000766E2">
            <w:pPr>
              <w:pStyle w:val="Tabletext"/>
              <w:ind w:left="-84" w:right="-55"/>
              <w:jc w:val="center"/>
            </w:pPr>
            <w:r>
              <w:t>Delta</w:t>
            </w:r>
          </w:p>
        </w:tc>
        <w:tc>
          <w:tcPr>
            <w:tcW w:w="1439" w:type="dxa"/>
          </w:tcPr>
          <w:p w:rsidR="00E823D9" w:rsidRPr="00F031FE" w:rsidRDefault="00E823D9" w:rsidP="000766E2">
            <w:pPr>
              <w:pStyle w:val="Tabletext"/>
              <w:ind w:left="-84" w:right="-55"/>
              <w:jc w:val="center"/>
            </w:pPr>
            <w:r>
              <w:t>Vales Point</w:t>
            </w:r>
          </w:p>
        </w:tc>
        <w:tc>
          <w:tcPr>
            <w:tcW w:w="992" w:type="dxa"/>
          </w:tcPr>
          <w:p w:rsidR="00E823D9" w:rsidRPr="00F031FE" w:rsidRDefault="00E823D9" w:rsidP="000766E2">
            <w:pPr>
              <w:pStyle w:val="Tabletext"/>
              <w:ind w:left="-84" w:right="-55"/>
              <w:jc w:val="center"/>
            </w:pPr>
            <w:r>
              <w:t>180</w:t>
            </w:r>
          </w:p>
        </w:tc>
        <w:tc>
          <w:tcPr>
            <w:tcW w:w="992" w:type="dxa"/>
          </w:tcPr>
          <w:p w:rsidR="00E823D9" w:rsidRPr="00F031FE" w:rsidRDefault="00E823D9" w:rsidP="000766E2">
            <w:pPr>
              <w:pStyle w:val="Tabletext"/>
              <w:ind w:left="-84" w:right="-55"/>
              <w:jc w:val="center"/>
            </w:pPr>
            <w:r>
              <w:t>&lt;42</w:t>
            </w:r>
          </w:p>
        </w:tc>
        <w:tc>
          <w:tcPr>
            <w:tcW w:w="993" w:type="dxa"/>
          </w:tcPr>
          <w:p w:rsidR="00E823D9" w:rsidRPr="00F031FE" w:rsidRDefault="00E823D9" w:rsidP="000766E2">
            <w:pPr>
              <w:pStyle w:val="Tabletext"/>
              <w:ind w:left="-84" w:right="-55"/>
              <w:jc w:val="center"/>
            </w:pPr>
            <w:r>
              <w:t>280</w:t>
            </w:r>
          </w:p>
        </w:tc>
        <w:tc>
          <w:tcPr>
            <w:tcW w:w="2268" w:type="dxa"/>
          </w:tcPr>
          <w:p w:rsidR="00E823D9" w:rsidRPr="00F031FE" w:rsidRDefault="00E823D9" w:rsidP="006D7923">
            <w:pPr>
              <w:pStyle w:val="Tabletext"/>
              <w:ind w:left="-84" w:right="-55"/>
            </w:pPr>
            <w:r w:rsidRPr="006D7923">
              <w:rPr>
                <w:rFonts w:cs="Arial"/>
                <w:szCs w:val="16"/>
              </w:rPr>
              <w:t xml:space="preserve">1314P managing </w:t>
            </w:r>
            <w:proofErr w:type="spellStart"/>
            <w:r w:rsidRPr="006D7923">
              <w:rPr>
                <w:rFonts w:cs="Arial"/>
                <w:szCs w:val="16"/>
              </w:rPr>
              <w:t>internconnector</w:t>
            </w:r>
            <w:proofErr w:type="spellEnd"/>
            <w:r w:rsidRPr="006D7923">
              <w:rPr>
                <w:rFonts w:cs="Arial"/>
                <w:szCs w:val="16"/>
              </w:rPr>
              <w:t xml:space="preserve"> flows SL</w:t>
            </w:r>
          </w:p>
        </w:tc>
        <w:tc>
          <w:tcPr>
            <w:tcW w:w="850" w:type="dxa"/>
          </w:tcPr>
          <w:p w:rsidR="00E823D9" w:rsidRPr="00F031FE" w:rsidRDefault="00E823D9" w:rsidP="000766E2">
            <w:pPr>
              <w:pStyle w:val="Tabletext"/>
              <w:ind w:left="-84" w:right="-55"/>
              <w:jc w:val="center"/>
            </w:pPr>
            <w:r>
              <w:t>NSW</w:t>
            </w:r>
          </w:p>
        </w:tc>
      </w:tr>
      <w:tr w:rsidR="00E823D9" w:rsidRPr="00411897" w:rsidTr="00E823D9">
        <w:trPr>
          <w:cnfStyle w:val="000000010000" w:firstRow="0" w:lastRow="0" w:firstColumn="0" w:lastColumn="0" w:oddVBand="0" w:evenVBand="0" w:oddHBand="0" w:evenHBand="1" w:firstRowFirstColumn="0" w:firstRowLastColumn="0" w:lastRowFirstColumn="0" w:lastRowLastColumn="0"/>
          <w:trHeight w:val="673"/>
        </w:trPr>
        <w:tc>
          <w:tcPr>
            <w:tcW w:w="959" w:type="dxa"/>
          </w:tcPr>
          <w:p w:rsidR="00E823D9" w:rsidRPr="00603914" w:rsidRDefault="00E823D9" w:rsidP="00B35810">
            <w:pPr>
              <w:pStyle w:val="Tabletext"/>
              <w:ind w:left="-84" w:right="-55"/>
              <w:jc w:val="center"/>
              <w:rPr>
                <w:b/>
              </w:rPr>
            </w:pPr>
            <w:r w:rsidRPr="00603914">
              <w:rPr>
                <w:b/>
              </w:rPr>
              <w:t>1.28</w:t>
            </w:r>
            <w:r>
              <w:rPr>
                <w:b/>
              </w:rPr>
              <w:t> pm</w:t>
            </w:r>
          </w:p>
        </w:tc>
        <w:tc>
          <w:tcPr>
            <w:tcW w:w="829" w:type="dxa"/>
          </w:tcPr>
          <w:p w:rsidR="00E823D9" w:rsidRPr="00F031FE" w:rsidRDefault="00E823D9" w:rsidP="000766E2">
            <w:pPr>
              <w:pStyle w:val="Tabletext"/>
              <w:ind w:left="-84" w:right="-55"/>
              <w:jc w:val="center"/>
            </w:pPr>
            <w:r>
              <w:t>Origin</w:t>
            </w:r>
          </w:p>
        </w:tc>
        <w:tc>
          <w:tcPr>
            <w:tcW w:w="1439" w:type="dxa"/>
          </w:tcPr>
          <w:p w:rsidR="00E823D9" w:rsidRPr="00F031FE" w:rsidRDefault="00E823D9" w:rsidP="000766E2">
            <w:pPr>
              <w:pStyle w:val="Tabletext"/>
              <w:ind w:left="-84" w:right="-55"/>
              <w:jc w:val="center"/>
            </w:pPr>
            <w:r>
              <w:t>Darling Downs</w:t>
            </w:r>
          </w:p>
        </w:tc>
        <w:tc>
          <w:tcPr>
            <w:tcW w:w="992" w:type="dxa"/>
          </w:tcPr>
          <w:p w:rsidR="00E823D9" w:rsidRPr="00F031FE" w:rsidRDefault="00E823D9" w:rsidP="000766E2">
            <w:pPr>
              <w:pStyle w:val="Tabletext"/>
              <w:ind w:left="-84" w:right="-55"/>
              <w:jc w:val="center"/>
            </w:pPr>
            <w:r>
              <w:t>290</w:t>
            </w:r>
          </w:p>
        </w:tc>
        <w:tc>
          <w:tcPr>
            <w:tcW w:w="992" w:type="dxa"/>
          </w:tcPr>
          <w:p w:rsidR="00E823D9" w:rsidRPr="00F031FE" w:rsidRDefault="00E823D9" w:rsidP="000766E2">
            <w:pPr>
              <w:pStyle w:val="Tabletext"/>
              <w:ind w:left="-84" w:right="-55"/>
              <w:jc w:val="center"/>
            </w:pPr>
            <w:r>
              <w:t>&lt;19</w:t>
            </w:r>
          </w:p>
        </w:tc>
        <w:tc>
          <w:tcPr>
            <w:tcW w:w="993" w:type="dxa"/>
          </w:tcPr>
          <w:p w:rsidR="00E823D9" w:rsidRPr="00F031FE" w:rsidRDefault="00E823D9" w:rsidP="000766E2">
            <w:pPr>
              <w:pStyle w:val="Tabletext"/>
              <w:ind w:left="-84" w:right="-55"/>
              <w:jc w:val="center"/>
            </w:pPr>
            <w:r>
              <w:t>N/A</w:t>
            </w:r>
          </w:p>
        </w:tc>
        <w:tc>
          <w:tcPr>
            <w:tcW w:w="2268" w:type="dxa"/>
          </w:tcPr>
          <w:p w:rsidR="00E823D9" w:rsidRPr="00F031FE" w:rsidRDefault="00E823D9" w:rsidP="006D7923">
            <w:pPr>
              <w:pStyle w:val="Tabletext"/>
              <w:ind w:left="-84" w:right="-55"/>
            </w:pPr>
            <w:r w:rsidRPr="002072A2">
              <w:rPr>
                <w:rFonts w:cs="Arial"/>
                <w:szCs w:val="16"/>
              </w:rPr>
              <w:t xml:space="preserve">1327P change in avail - </w:t>
            </w:r>
            <w:proofErr w:type="spellStart"/>
            <w:r w:rsidRPr="002072A2">
              <w:rPr>
                <w:rFonts w:cs="Arial"/>
                <w:szCs w:val="16"/>
              </w:rPr>
              <w:t>rts</w:t>
            </w:r>
            <w:proofErr w:type="spellEnd"/>
            <w:r w:rsidRPr="002072A2">
              <w:rPr>
                <w:rFonts w:cs="Arial"/>
                <w:szCs w:val="16"/>
              </w:rPr>
              <w:t xml:space="preserve"> profile revised SL</w:t>
            </w:r>
          </w:p>
        </w:tc>
        <w:tc>
          <w:tcPr>
            <w:tcW w:w="850" w:type="dxa"/>
          </w:tcPr>
          <w:p w:rsidR="00E823D9" w:rsidRPr="00F031FE" w:rsidRDefault="00E823D9" w:rsidP="000766E2">
            <w:pPr>
              <w:pStyle w:val="Tabletext"/>
              <w:ind w:left="-84" w:right="-55"/>
              <w:jc w:val="center"/>
            </w:pPr>
            <w:r>
              <w:t>QLD</w:t>
            </w:r>
          </w:p>
        </w:tc>
      </w:tr>
      <w:tr w:rsidR="00E823D9" w:rsidRPr="00411897" w:rsidTr="00E823D9">
        <w:trPr>
          <w:trHeight w:val="673"/>
        </w:trPr>
        <w:tc>
          <w:tcPr>
            <w:tcW w:w="959" w:type="dxa"/>
          </w:tcPr>
          <w:p w:rsidR="00E823D9" w:rsidRPr="00603914" w:rsidRDefault="00E823D9" w:rsidP="000766E2">
            <w:pPr>
              <w:pStyle w:val="Tabletext"/>
              <w:ind w:left="-84" w:right="-55"/>
              <w:jc w:val="center"/>
              <w:rPr>
                <w:b/>
              </w:rPr>
            </w:pPr>
            <w:r w:rsidRPr="00603914">
              <w:rPr>
                <w:b/>
              </w:rPr>
              <w:t>1.40</w:t>
            </w:r>
            <w:r>
              <w:rPr>
                <w:b/>
              </w:rPr>
              <w:t> pm</w:t>
            </w:r>
          </w:p>
        </w:tc>
        <w:tc>
          <w:tcPr>
            <w:tcW w:w="829" w:type="dxa"/>
          </w:tcPr>
          <w:p w:rsidR="00E823D9" w:rsidRPr="00F031FE" w:rsidRDefault="00E823D9" w:rsidP="000766E2">
            <w:pPr>
              <w:pStyle w:val="Tabletext"/>
              <w:ind w:left="-84" w:right="-55"/>
              <w:jc w:val="center"/>
            </w:pPr>
            <w:r>
              <w:t xml:space="preserve">CS Energy </w:t>
            </w:r>
          </w:p>
        </w:tc>
        <w:tc>
          <w:tcPr>
            <w:tcW w:w="1439" w:type="dxa"/>
          </w:tcPr>
          <w:p w:rsidR="00E823D9" w:rsidRPr="00F031FE" w:rsidRDefault="00E823D9" w:rsidP="000766E2">
            <w:pPr>
              <w:pStyle w:val="Tabletext"/>
              <w:ind w:left="-84" w:right="-55"/>
              <w:jc w:val="center"/>
            </w:pPr>
            <w:r>
              <w:t>Gladstone</w:t>
            </w:r>
          </w:p>
        </w:tc>
        <w:tc>
          <w:tcPr>
            <w:tcW w:w="992" w:type="dxa"/>
          </w:tcPr>
          <w:p w:rsidR="00E823D9" w:rsidRPr="00F031FE" w:rsidRDefault="00E823D9" w:rsidP="000766E2">
            <w:pPr>
              <w:pStyle w:val="Tabletext"/>
              <w:ind w:left="-84" w:right="-55"/>
              <w:jc w:val="center"/>
            </w:pPr>
            <w:r>
              <w:t>160</w:t>
            </w:r>
          </w:p>
        </w:tc>
        <w:tc>
          <w:tcPr>
            <w:tcW w:w="992" w:type="dxa"/>
          </w:tcPr>
          <w:p w:rsidR="00E823D9" w:rsidRPr="00F031FE" w:rsidRDefault="00E823D9" w:rsidP="000766E2">
            <w:pPr>
              <w:pStyle w:val="Tabletext"/>
              <w:ind w:left="-84" w:right="-55"/>
              <w:jc w:val="center"/>
            </w:pPr>
            <w:r>
              <w:t>30</w:t>
            </w:r>
          </w:p>
        </w:tc>
        <w:tc>
          <w:tcPr>
            <w:tcW w:w="993" w:type="dxa"/>
          </w:tcPr>
          <w:p w:rsidR="00E823D9" w:rsidRPr="00F031FE" w:rsidRDefault="00E823D9" w:rsidP="00B35810">
            <w:pPr>
              <w:pStyle w:val="Tabletext"/>
              <w:ind w:left="-84" w:right="-55"/>
              <w:jc w:val="center"/>
            </w:pPr>
            <w:r>
              <w:t>13 500</w:t>
            </w:r>
          </w:p>
        </w:tc>
        <w:tc>
          <w:tcPr>
            <w:tcW w:w="2268" w:type="dxa"/>
          </w:tcPr>
          <w:p w:rsidR="00E823D9" w:rsidRPr="00F031FE" w:rsidRDefault="00E823D9" w:rsidP="006D7923">
            <w:pPr>
              <w:pStyle w:val="Tabletext"/>
              <w:ind w:left="-84" w:right="-55"/>
            </w:pPr>
            <w:r w:rsidRPr="002072A2">
              <w:rPr>
                <w:rFonts w:cs="Arial"/>
                <w:szCs w:val="16"/>
              </w:rPr>
              <w:t>1339P portfolio rearrangement due to-w/hoe testing</w:t>
            </w:r>
            <w:r w:rsidR="005A1339">
              <w:rPr>
                <w:rFonts w:cs="Arial"/>
                <w:szCs w:val="16"/>
              </w:rPr>
              <w:t xml:space="preserve"> delayed-SL</w:t>
            </w:r>
          </w:p>
        </w:tc>
        <w:tc>
          <w:tcPr>
            <w:tcW w:w="850" w:type="dxa"/>
          </w:tcPr>
          <w:p w:rsidR="00E823D9" w:rsidRPr="00F031FE" w:rsidRDefault="00E823D9" w:rsidP="000766E2">
            <w:pPr>
              <w:pStyle w:val="Tabletext"/>
              <w:ind w:left="-84" w:right="-55"/>
              <w:jc w:val="center"/>
            </w:pPr>
            <w:r>
              <w:t>QLD</w:t>
            </w:r>
          </w:p>
        </w:tc>
      </w:tr>
      <w:tr w:rsidR="00E823D9" w:rsidRPr="00411897" w:rsidTr="00E823D9">
        <w:trPr>
          <w:cnfStyle w:val="000000010000" w:firstRow="0" w:lastRow="0" w:firstColumn="0" w:lastColumn="0" w:oddVBand="0" w:evenVBand="0" w:oddHBand="0" w:evenHBand="1" w:firstRowFirstColumn="0" w:firstRowLastColumn="0" w:lastRowFirstColumn="0" w:lastRowLastColumn="0"/>
          <w:trHeight w:val="673"/>
        </w:trPr>
        <w:tc>
          <w:tcPr>
            <w:tcW w:w="959" w:type="dxa"/>
          </w:tcPr>
          <w:p w:rsidR="00E823D9" w:rsidRPr="00603914" w:rsidRDefault="00E823D9" w:rsidP="00B35810">
            <w:pPr>
              <w:pStyle w:val="Tabletext"/>
              <w:ind w:left="-84" w:right="-55"/>
              <w:jc w:val="center"/>
              <w:rPr>
                <w:b/>
              </w:rPr>
            </w:pPr>
            <w:r w:rsidRPr="00603914">
              <w:rPr>
                <w:b/>
              </w:rPr>
              <w:t>2.15</w:t>
            </w:r>
            <w:r>
              <w:rPr>
                <w:b/>
              </w:rPr>
              <w:t> pm</w:t>
            </w:r>
          </w:p>
        </w:tc>
        <w:tc>
          <w:tcPr>
            <w:tcW w:w="829" w:type="dxa"/>
          </w:tcPr>
          <w:p w:rsidR="00E823D9" w:rsidRPr="00F031FE" w:rsidRDefault="00E823D9" w:rsidP="000766E2">
            <w:pPr>
              <w:pStyle w:val="Tabletext"/>
              <w:ind w:left="-84" w:right="-55"/>
              <w:jc w:val="center"/>
            </w:pPr>
            <w:r>
              <w:t xml:space="preserve">CS Energy </w:t>
            </w:r>
          </w:p>
        </w:tc>
        <w:tc>
          <w:tcPr>
            <w:tcW w:w="1439" w:type="dxa"/>
          </w:tcPr>
          <w:p w:rsidR="00E823D9" w:rsidRPr="00F031FE" w:rsidRDefault="00E823D9" w:rsidP="000766E2">
            <w:pPr>
              <w:pStyle w:val="Tabletext"/>
              <w:ind w:left="-84" w:right="-55"/>
              <w:jc w:val="center"/>
            </w:pPr>
            <w:r>
              <w:t>Gladstone</w:t>
            </w:r>
          </w:p>
        </w:tc>
        <w:tc>
          <w:tcPr>
            <w:tcW w:w="992" w:type="dxa"/>
          </w:tcPr>
          <w:p w:rsidR="00E823D9" w:rsidRPr="00F031FE" w:rsidRDefault="00E823D9" w:rsidP="000766E2">
            <w:pPr>
              <w:pStyle w:val="Tabletext"/>
              <w:ind w:left="-84" w:right="-55"/>
              <w:jc w:val="center"/>
            </w:pPr>
            <w:r>
              <w:t>100</w:t>
            </w:r>
          </w:p>
        </w:tc>
        <w:tc>
          <w:tcPr>
            <w:tcW w:w="992" w:type="dxa"/>
          </w:tcPr>
          <w:p w:rsidR="00E823D9" w:rsidRPr="00F031FE" w:rsidRDefault="00E823D9" w:rsidP="000766E2">
            <w:pPr>
              <w:pStyle w:val="Tabletext"/>
              <w:ind w:left="-84" w:right="-55"/>
              <w:jc w:val="center"/>
            </w:pPr>
            <w:r>
              <w:t>&lt;39</w:t>
            </w:r>
          </w:p>
        </w:tc>
        <w:tc>
          <w:tcPr>
            <w:tcW w:w="993" w:type="dxa"/>
          </w:tcPr>
          <w:p w:rsidR="00E823D9" w:rsidRPr="00F031FE" w:rsidRDefault="00E823D9" w:rsidP="000766E2">
            <w:pPr>
              <w:pStyle w:val="Tabletext"/>
              <w:ind w:left="-84" w:right="-55"/>
              <w:jc w:val="center"/>
            </w:pPr>
            <w:r>
              <w:t>13 500</w:t>
            </w:r>
          </w:p>
        </w:tc>
        <w:tc>
          <w:tcPr>
            <w:tcW w:w="2268" w:type="dxa"/>
          </w:tcPr>
          <w:p w:rsidR="00E823D9" w:rsidRPr="00F031FE" w:rsidRDefault="00E823D9" w:rsidP="000766E2">
            <w:pPr>
              <w:pStyle w:val="Tabletext"/>
              <w:ind w:left="-84" w:right="-55"/>
            </w:pPr>
            <w:r w:rsidRPr="002072A2">
              <w:rPr>
                <w:rFonts w:cs="Arial"/>
                <w:szCs w:val="16"/>
              </w:rPr>
              <w:t>1414P portfolio rearrangement due to-</w:t>
            </w:r>
            <w:proofErr w:type="spellStart"/>
            <w:r w:rsidRPr="002072A2">
              <w:rPr>
                <w:rFonts w:cs="Arial"/>
                <w:szCs w:val="16"/>
              </w:rPr>
              <w:t>gps</w:t>
            </w:r>
            <w:proofErr w:type="spellEnd"/>
            <w:r w:rsidRPr="002072A2">
              <w:rPr>
                <w:rFonts w:cs="Arial"/>
                <w:szCs w:val="16"/>
              </w:rPr>
              <w:t xml:space="preserve"> 1 return</w:t>
            </w:r>
            <w:r w:rsidR="005A1339">
              <w:rPr>
                <w:rFonts w:cs="Arial"/>
                <w:szCs w:val="16"/>
              </w:rPr>
              <w:t xml:space="preserve"> to full </w:t>
            </w:r>
            <w:proofErr w:type="spellStart"/>
            <w:r w:rsidR="002B0DAE">
              <w:rPr>
                <w:rFonts w:cs="Arial"/>
                <w:szCs w:val="16"/>
              </w:rPr>
              <w:t>availa</w:t>
            </w:r>
            <w:proofErr w:type="spellEnd"/>
          </w:p>
        </w:tc>
        <w:tc>
          <w:tcPr>
            <w:tcW w:w="850" w:type="dxa"/>
          </w:tcPr>
          <w:p w:rsidR="00E823D9" w:rsidRPr="00F031FE" w:rsidRDefault="00E823D9" w:rsidP="000766E2">
            <w:pPr>
              <w:pStyle w:val="Tabletext"/>
              <w:ind w:left="-84" w:right="-55"/>
              <w:jc w:val="center"/>
            </w:pPr>
            <w:r>
              <w:t>QLD</w:t>
            </w:r>
          </w:p>
        </w:tc>
      </w:tr>
      <w:tr w:rsidR="00E823D9" w:rsidRPr="00411897" w:rsidTr="00E823D9">
        <w:trPr>
          <w:trHeight w:val="673"/>
        </w:trPr>
        <w:tc>
          <w:tcPr>
            <w:tcW w:w="959" w:type="dxa"/>
          </w:tcPr>
          <w:p w:rsidR="00E823D9" w:rsidRPr="00603914" w:rsidRDefault="00E823D9" w:rsidP="00B35810">
            <w:pPr>
              <w:pStyle w:val="Tabletext"/>
              <w:ind w:left="-84" w:right="-55"/>
              <w:jc w:val="center"/>
              <w:rPr>
                <w:b/>
              </w:rPr>
            </w:pPr>
            <w:r w:rsidRPr="00603914">
              <w:rPr>
                <w:b/>
              </w:rPr>
              <w:t>2.32</w:t>
            </w:r>
            <w:r>
              <w:rPr>
                <w:b/>
              </w:rPr>
              <w:t> pm</w:t>
            </w:r>
          </w:p>
        </w:tc>
        <w:tc>
          <w:tcPr>
            <w:tcW w:w="829" w:type="dxa"/>
          </w:tcPr>
          <w:p w:rsidR="00E823D9" w:rsidRDefault="00E823D9" w:rsidP="000766E2">
            <w:pPr>
              <w:pStyle w:val="Tabletext"/>
              <w:ind w:left="-84" w:right="-55"/>
              <w:jc w:val="center"/>
            </w:pPr>
            <w:r>
              <w:t>CS Energy</w:t>
            </w:r>
          </w:p>
        </w:tc>
        <w:tc>
          <w:tcPr>
            <w:tcW w:w="1439" w:type="dxa"/>
          </w:tcPr>
          <w:p w:rsidR="00E823D9" w:rsidRDefault="00E823D9" w:rsidP="000766E2">
            <w:pPr>
              <w:pStyle w:val="Tabletext"/>
              <w:ind w:left="-84" w:right="-55"/>
              <w:jc w:val="center"/>
            </w:pPr>
            <w:r>
              <w:t>Callide</w:t>
            </w:r>
          </w:p>
        </w:tc>
        <w:tc>
          <w:tcPr>
            <w:tcW w:w="992" w:type="dxa"/>
          </w:tcPr>
          <w:p w:rsidR="00E823D9" w:rsidRDefault="00E823D9" w:rsidP="000766E2">
            <w:pPr>
              <w:pStyle w:val="Tabletext"/>
              <w:ind w:left="-84" w:right="-55"/>
              <w:jc w:val="center"/>
            </w:pPr>
            <w:r>
              <w:t>75</w:t>
            </w:r>
          </w:p>
        </w:tc>
        <w:tc>
          <w:tcPr>
            <w:tcW w:w="992" w:type="dxa"/>
          </w:tcPr>
          <w:p w:rsidR="00E823D9" w:rsidRDefault="00E823D9" w:rsidP="000766E2">
            <w:pPr>
              <w:pStyle w:val="Tabletext"/>
              <w:ind w:left="-84" w:right="-55"/>
              <w:jc w:val="center"/>
            </w:pPr>
            <w:r>
              <w:t>0</w:t>
            </w:r>
          </w:p>
        </w:tc>
        <w:tc>
          <w:tcPr>
            <w:tcW w:w="993" w:type="dxa"/>
          </w:tcPr>
          <w:p w:rsidR="00E823D9" w:rsidRDefault="00E823D9" w:rsidP="000766E2">
            <w:pPr>
              <w:pStyle w:val="Tabletext"/>
              <w:ind w:left="-84" w:right="-55"/>
              <w:jc w:val="center"/>
            </w:pPr>
            <w:r>
              <w:t>N\A</w:t>
            </w:r>
          </w:p>
        </w:tc>
        <w:tc>
          <w:tcPr>
            <w:tcW w:w="2268" w:type="dxa"/>
          </w:tcPr>
          <w:p w:rsidR="00E823D9" w:rsidRPr="002072A2" w:rsidRDefault="00E823D9" w:rsidP="000766E2">
            <w:pPr>
              <w:pStyle w:val="Tabletext"/>
              <w:ind w:left="-84" w:right="-55"/>
              <w:rPr>
                <w:rFonts w:cs="Arial"/>
                <w:szCs w:val="16"/>
              </w:rPr>
            </w:pPr>
            <w:r w:rsidRPr="002072A2">
              <w:rPr>
                <w:rFonts w:cs="Arial"/>
                <w:szCs w:val="16"/>
              </w:rPr>
              <w:t>1431P mill trip-SL</w:t>
            </w:r>
          </w:p>
        </w:tc>
        <w:tc>
          <w:tcPr>
            <w:tcW w:w="850" w:type="dxa"/>
          </w:tcPr>
          <w:p w:rsidR="00E823D9" w:rsidRDefault="00E823D9" w:rsidP="000766E2">
            <w:pPr>
              <w:pStyle w:val="Tabletext"/>
              <w:ind w:left="-84" w:right="-55"/>
              <w:jc w:val="center"/>
            </w:pPr>
            <w:r>
              <w:t>QLD</w:t>
            </w:r>
          </w:p>
        </w:tc>
      </w:tr>
      <w:tr w:rsidR="00E823D9" w:rsidRPr="00411897" w:rsidTr="00E823D9">
        <w:trPr>
          <w:cnfStyle w:val="000000010000" w:firstRow="0" w:lastRow="0" w:firstColumn="0" w:lastColumn="0" w:oddVBand="0" w:evenVBand="0" w:oddHBand="0" w:evenHBand="1" w:firstRowFirstColumn="0" w:firstRowLastColumn="0" w:lastRowFirstColumn="0" w:lastRowLastColumn="0"/>
          <w:trHeight w:val="673"/>
        </w:trPr>
        <w:tc>
          <w:tcPr>
            <w:tcW w:w="959" w:type="dxa"/>
          </w:tcPr>
          <w:p w:rsidR="00E823D9" w:rsidRPr="00603914" w:rsidRDefault="00E823D9" w:rsidP="00E823D9">
            <w:pPr>
              <w:pStyle w:val="Tabletext"/>
              <w:ind w:left="-84" w:right="-55"/>
              <w:jc w:val="center"/>
              <w:rPr>
                <w:b/>
              </w:rPr>
            </w:pPr>
            <w:r w:rsidRPr="00603914">
              <w:rPr>
                <w:b/>
              </w:rPr>
              <w:t>3.03</w:t>
            </w:r>
            <w:r>
              <w:rPr>
                <w:b/>
              </w:rPr>
              <w:t> pm (effective from 3.10 pm)</w:t>
            </w:r>
          </w:p>
        </w:tc>
        <w:tc>
          <w:tcPr>
            <w:tcW w:w="829" w:type="dxa"/>
          </w:tcPr>
          <w:p w:rsidR="00E823D9" w:rsidRDefault="00E823D9" w:rsidP="000766E2">
            <w:pPr>
              <w:pStyle w:val="Tabletext"/>
              <w:ind w:left="-84" w:right="-55"/>
              <w:jc w:val="center"/>
            </w:pPr>
            <w:r>
              <w:t>Origin</w:t>
            </w:r>
          </w:p>
        </w:tc>
        <w:tc>
          <w:tcPr>
            <w:tcW w:w="1439" w:type="dxa"/>
          </w:tcPr>
          <w:p w:rsidR="00E823D9" w:rsidRDefault="00E823D9" w:rsidP="000766E2">
            <w:pPr>
              <w:pStyle w:val="Tabletext"/>
              <w:ind w:left="-84" w:right="-55"/>
              <w:jc w:val="center"/>
            </w:pPr>
            <w:r>
              <w:t>Darling Downs</w:t>
            </w:r>
          </w:p>
        </w:tc>
        <w:tc>
          <w:tcPr>
            <w:tcW w:w="992" w:type="dxa"/>
          </w:tcPr>
          <w:p w:rsidR="00E823D9" w:rsidRDefault="00E823D9" w:rsidP="000766E2">
            <w:pPr>
              <w:pStyle w:val="Tabletext"/>
              <w:ind w:left="-84" w:right="-55"/>
              <w:jc w:val="center"/>
            </w:pPr>
            <w:r>
              <w:t>60</w:t>
            </w:r>
          </w:p>
        </w:tc>
        <w:tc>
          <w:tcPr>
            <w:tcW w:w="992" w:type="dxa"/>
          </w:tcPr>
          <w:p w:rsidR="00E823D9" w:rsidRDefault="00E823D9" w:rsidP="000766E2">
            <w:pPr>
              <w:pStyle w:val="Tabletext"/>
              <w:ind w:left="-84" w:right="-55"/>
              <w:jc w:val="center"/>
            </w:pPr>
            <w:r>
              <w:t>-1000</w:t>
            </w:r>
          </w:p>
        </w:tc>
        <w:tc>
          <w:tcPr>
            <w:tcW w:w="993" w:type="dxa"/>
          </w:tcPr>
          <w:p w:rsidR="00E823D9" w:rsidRDefault="00E823D9" w:rsidP="000766E2">
            <w:pPr>
              <w:pStyle w:val="Tabletext"/>
              <w:ind w:left="-84" w:right="-55"/>
              <w:jc w:val="center"/>
            </w:pPr>
            <w:r>
              <w:t>N/A</w:t>
            </w:r>
          </w:p>
        </w:tc>
        <w:tc>
          <w:tcPr>
            <w:tcW w:w="2268" w:type="dxa"/>
          </w:tcPr>
          <w:p w:rsidR="00E823D9" w:rsidRPr="002072A2" w:rsidRDefault="00E823D9" w:rsidP="000766E2">
            <w:pPr>
              <w:pStyle w:val="Tabletext"/>
              <w:ind w:left="-84" w:right="-55"/>
              <w:rPr>
                <w:rFonts w:cs="Arial"/>
                <w:szCs w:val="16"/>
              </w:rPr>
            </w:pPr>
            <w:r w:rsidRPr="002072A2">
              <w:rPr>
                <w:rFonts w:cs="Arial"/>
                <w:szCs w:val="16"/>
              </w:rPr>
              <w:t xml:space="preserve">1501P change in avail </w:t>
            </w:r>
            <w:r w:rsidR="005A1339">
              <w:rPr>
                <w:rFonts w:cs="Arial"/>
                <w:szCs w:val="16"/>
              </w:rPr>
              <w:t>–</w:t>
            </w:r>
            <w:r w:rsidRPr="002072A2">
              <w:rPr>
                <w:rFonts w:cs="Arial"/>
                <w:szCs w:val="16"/>
              </w:rPr>
              <w:t xml:space="preserve"> </w:t>
            </w:r>
            <w:proofErr w:type="spellStart"/>
            <w:r w:rsidRPr="002072A2">
              <w:rPr>
                <w:rFonts w:cs="Arial"/>
                <w:szCs w:val="16"/>
              </w:rPr>
              <w:t>rts</w:t>
            </w:r>
            <w:proofErr w:type="spellEnd"/>
            <w:r w:rsidRPr="002072A2">
              <w:rPr>
                <w:rFonts w:cs="Arial"/>
                <w:szCs w:val="16"/>
              </w:rPr>
              <w:t xml:space="preserve"> profile revised SL</w:t>
            </w:r>
          </w:p>
        </w:tc>
        <w:tc>
          <w:tcPr>
            <w:tcW w:w="850" w:type="dxa"/>
          </w:tcPr>
          <w:p w:rsidR="00E823D9" w:rsidRDefault="00E823D9" w:rsidP="000766E2">
            <w:pPr>
              <w:pStyle w:val="Tabletext"/>
              <w:ind w:left="-84" w:right="-55"/>
              <w:jc w:val="center"/>
            </w:pPr>
            <w:r>
              <w:t>QLD</w:t>
            </w:r>
          </w:p>
        </w:tc>
      </w:tr>
      <w:tr w:rsidR="005A1339" w:rsidRPr="00411897" w:rsidTr="00E823D9">
        <w:trPr>
          <w:trHeight w:val="673"/>
        </w:trPr>
        <w:tc>
          <w:tcPr>
            <w:tcW w:w="959" w:type="dxa"/>
          </w:tcPr>
          <w:p w:rsidR="005A1339" w:rsidRPr="00603914" w:rsidRDefault="005A1339" w:rsidP="00E823D9">
            <w:pPr>
              <w:pStyle w:val="Tabletext"/>
              <w:ind w:left="-84" w:right="-55"/>
              <w:jc w:val="center"/>
              <w:rPr>
                <w:b/>
              </w:rPr>
            </w:pPr>
            <w:r>
              <w:rPr>
                <w:b/>
              </w:rPr>
              <w:t>3.23 pm (effective from 3.30 pm)</w:t>
            </w:r>
          </w:p>
        </w:tc>
        <w:tc>
          <w:tcPr>
            <w:tcW w:w="829" w:type="dxa"/>
          </w:tcPr>
          <w:p w:rsidR="005A1339" w:rsidRDefault="005A1339" w:rsidP="000766E2">
            <w:pPr>
              <w:pStyle w:val="Tabletext"/>
              <w:ind w:left="-84" w:right="-55"/>
              <w:jc w:val="center"/>
            </w:pPr>
            <w:r>
              <w:t>CS Energy</w:t>
            </w:r>
          </w:p>
        </w:tc>
        <w:tc>
          <w:tcPr>
            <w:tcW w:w="1439" w:type="dxa"/>
          </w:tcPr>
          <w:p w:rsidR="005A1339" w:rsidRDefault="005A1339" w:rsidP="000766E2">
            <w:pPr>
              <w:pStyle w:val="Tabletext"/>
              <w:ind w:left="-84" w:right="-55"/>
              <w:jc w:val="center"/>
            </w:pPr>
            <w:r>
              <w:t>Gladstone</w:t>
            </w:r>
          </w:p>
        </w:tc>
        <w:tc>
          <w:tcPr>
            <w:tcW w:w="992" w:type="dxa"/>
          </w:tcPr>
          <w:p w:rsidR="005A1339" w:rsidRDefault="005A1339" w:rsidP="000766E2">
            <w:pPr>
              <w:pStyle w:val="Tabletext"/>
              <w:ind w:left="-84" w:right="-55"/>
              <w:jc w:val="center"/>
            </w:pPr>
            <w:r>
              <w:t>70</w:t>
            </w:r>
          </w:p>
        </w:tc>
        <w:tc>
          <w:tcPr>
            <w:tcW w:w="992" w:type="dxa"/>
          </w:tcPr>
          <w:p w:rsidR="005A1339" w:rsidRDefault="005A1339" w:rsidP="000766E2">
            <w:pPr>
              <w:pStyle w:val="Tabletext"/>
              <w:ind w:left="-84" w:right="-55"/>
              <w:jc w:val="center"/>
            </w:pPr>
            <w:r>
              <w:t>&lt;53</w:t>
            </w:r>
          </w:p>
        </w:tc>
        <w:tc>
          <w:tcPr>
            <w:tcW w:w="993" w:type="dxa"/>
          </w:tcPr>
          <w:p w:rsidR="005A1339" w:rsidRDefault="005A1339" w:rsidP="000766E2">
            <w:pPr>
              <w:pStyle w:val="Tabletext"/>
              <w:ind w:left="-84" w:right="-55"/>
              <w:jc w:val="center"/>
            </w:pPr>
            <w:r>
              <w:t>N/A</w:t>
            </w:r>
          </w:p>
        </w:tc>
        <w:tc>
          <w:tcPr>
            <w:tcW w:w="2268" w:type="dxa"/>
          </w:tcPr>
          <w:p w:rsidR="005A1339" w:rsidRPr="002072A2" w:rsidRDefault="005A1339" w:rsidP="000766E2">
            <w:pPr>
              <w:pStyle w:val="Tabletext"/>
              <w:ind w:left="-84" w:right="-55"/>
              <w:rPr>
                <w:rFonts w:cs="Arial"/>
                <w:szCs w:val="16"/>
              </w:rPr>
            </w:pPr>
            <w:r>
              <w:rPr>
                <w:rFonts w:cs="Arial"/>
                <w:szCs w:val="16"/>
              </w:rPr>
              <w:t xml:space="preserve">1523P condenser </w:t>
            </w:r>
            <w:proofErr w:type="spellStart"/>
            <w:r>
              <w:rPr>
                <w:rFonts w:cs="Arial"/>
                <w:szCs w:val="16"/>
              </w:rPr>
              <w:t>backflush</w:t>
            </w:r>
            <w:proofErr w:type="spellEnd"/>
            <w:r>
              <w:rPr>
                <w:rFonts w:cs="Arial"/>
                <w:szCs w:val="16"/>
              </w:rPr>
              <w:t>-SL</w:t>
            </w:r>
          </w:p>
        </w:tc>
        <w:tc>
          <w:tcPr>
            <w:tcW w:w="850" w:type="dxa"/>
          </w:tcPr>
          <w:p w:rsidR="005A1339" w:rsidRDefault="005A1339" w:rsidP="000766E2">
            <w:pPr>
              <w:pStyle w:val="Tabletext"/>
              <w:ind w:left="-84" w:right="-55"/>
              <w:jc w:val="center"/>
            </w:pPr>
            <w:r>
              <w:t>QLD</w:t>
            </w:r>
          </w:p>
        </w:tc>
      </w:tr>
    </w:tbl>
    <w:p w:rsidR="00265486" w:rsidRDefault="009E7AC6" w:rsidP="004A2464">
      <w:pPr>
        <w:pStyle w:val="AERHeading3"/>
        <w:jc w:val="both"/>
        <w:rPr>
          <w:rFonts w:asciiTheme="minorHAnsi" w:hAnsiTheme="minorHAnsi" w:cstheme="minorHAnsi"/>
          <w:b w:val="0"/>
          <w:color w:val="auto"/>
          <w:sz w:val="22"/>
        </w:rPr>
      </w:pPr>
      <w:r>
        <w:rPr>
          <w:rFonts w:asciiTheme="minorHAnsi" w:hAnsiTheme="minorHAnsi" w:cstheme="minorHAnsi"/>
          <w:b w:val="0"/>
          <w:color w:val="auto"/>
          <w:sz w:val="22"/>
          <w:lang w:eastAsia="en-AU"/>
        </w:rPr>
        <w:t xml:space="preserve">At 3.10 pm </w:t>
      </w:r>
      <w:r w:rsidR="00AD5315">
        <w:rPr>
          <w:rFonts w:asciiTheme="minorHAnsi" w:hAnsiTheme="minorHAnsi" w:cstheme="minorHAnsi"/>
          <w:b w:val="0"/>
          <w:color w:val="auto"/>
          <w:sz w:val="22"/>
          <w:lang w:eastAsia="en-AU"/>
        </w:rPr>
        <w:t xml:space="preserve">Queensland </w:t>
      </w:r>
      <w:r>
        <w:rPr>
          <w:rFonts w:asciiTheme="minorHAnsi" w:hAnsiTheme="minorHAnsi" w:cstheme="minorHAnsi"/>
          <w:b w:val="0"/>
          <w:color w:val="auto"/>
          <w:sz w:val="22"/>
          <w:lang w:eastAsia="en-AU"/>
        </w:rPr>
        <w:t>demand increase</w:t>
      </w:r>
      <w:r w:rsidR="00AD5315">
        <w:rPr>
          <w:rFonts w:asciiTheme="minorHAnsi" w:hAnsiTheme="minorHAnsi" w:cstheme="minorHAnsi"/>
          <w:b w:val="0"/>
          <w:color w:val="auto"/>
          <w:sz w:val="22"/>
          <w:lang w:eastAsia="en-AU"/>
        </w:rPr>
        <w:t>d</w:t>
      </w:r>
      <w:r>
        <w:rPr>
          <w:rFonts w:asciiTheme="minorHAnsi" w:hAnsiTheme="minorHAnsi" w:cstheme="minorHAnsi"/>
          <w:b w:val="0"/>
          <w:color w:val="auto"/>
          <w:sz w:val="22"/>
          <w:lang w:eastAsia="en-AU"/>
        </w:rPr>
        <w:t xml:space="preserve"> </w:t>
      </w:r>
      <w:r w:rsidR="00AD5315">
        <w:rPr>
          <w:rFonts w:asciiTheme="minorHAnsi" w:hAnsiTheme="minorHAnsi" w:cstheme="minorHAnsi"/>
          <w:b w:val="0"/>
          <w:color w:val="auto"/>
          <w:sz w:val="22"/>
          <w:lang w:eastAsia="en-AU"/>
        </w:rPr>
        <w:t>by</w:t>
      </w:r>
      <w:r w:rsidR="00ED4A25">
        <w:rPr>
          <w:rFonts w:asciiTheme="minorHAnsi" w:hAnsiTheme="minorHAnsi" w:cstheme="minorHAnsi"/>
          <w:b w:val="0"/>
          <w:color w:val="auto"/>
          <w:sz w:val="22"/>
          <w:lang w:eastAsia="en-AU"/>
        </w:rPr>
        <w:t xml:space="preserve"> 45 MW </w:t>
      </w:r>
      <w:r>
        <w:rPr>
          <w:rFonts w:asciiTheme="minorHAnsi" w:hAnsiTheme="minorHAnsi" w:cstheme="minorHAnsi"/>
          <w:b w:val="0"/>
          <w:color w:val="auto"/>
          <w:sz w:val="22"/>
          <w:lang w:eastAsia="en-AU"/>
        </w:rPr>
        <w:t>and</w:t>
      </w:r>
      <w:r w:rsidR="00ED4A25">
        <w:rPr>
          <w:rFonts w:asciiTheme="minorHAnsi" w:hAnsiTheme="minorHAnsi" w:cstheme="minorHAnsi"/>
          <w:b w:val="0"/>
          <w:color w:val="auto"/>
          <w:sz w:val="22"/>
          <w:lang w:eastAsia="en-AU"/>
        </w:rPr>
        <w:t xml:space="preserve"> 17 MW in New South Wales. This coincided with</w:t>
      </w:r>
      <w:r w:rsidR="00647804">
        <w:rPr>
          <w:rFonts w:asciiTheme="minorHAnsi" w:hAnsiTheme="minorHAnsi" w:cstheme="minorHAnsi"/>
          <w:b w:val="0"/>
          <w:color w:val="auto"/>
          <w:sz w:val="22"/>
          <w:lang w:eastAsia="en-AU"/>
        </w:rPr>
        <w:t xml:space="preserve"> Origin Energy</w:t>
      </w:r>
      <w:r w:rsidR="00ED4A25">
        <w:rPr>
          <w:rFonts w:asciiTheme="minorHAnsi" w:hAnsiTheme="minorHAnsi" w:cstheme="minorHAnsi"/>
          <w:b w:val="0"/>
          <w:color w:val="auto"/>
          <w:sz w:val="22"/>
          <w:lang w:eastAsia="en-AU"/>
        </w:rPr>
        <w:t xml:space="preserve">’s rebid at Darling Downs, reducing capacity by </w:t>
      </w:r>
      <w:r w:rsidR="00647804">
        <w:rPr>
          <w:rFonts w:asciiTheme="minorHAnsi" w:hAnsiTheme="minorHAnsi" w:cstheme="minorHAnsi"/>
          <w:b w:val="0"/>
          <w:color w:val="auto"/>
          <w:sz w:val="22"/>
          <w:lang w:eastAsia="en-AU"/>
        </w:rPr>
        <w:t>60 </w:t>
      </w:r>
      <w:r w:rsidR="00ED4A25">
        <w:rPr>
          <w:rFonts w:asciiTheme="minorHAnsi" w:hAnsiTheme="minorHAnsi" w:cstheme="minorHAnsi"/>
          <w:b w:val="0"/>
          <w:color w:val="auto"/>
          <w:sz w:val="22"/>
          <w:lang w:eastAsia="en-AU"/>
        </w:rPr>
        <w:t>MW.</w:t>
      </w:r>
      <w:r w:rsidR="00647804" w:rsidRPr="00647804">
        <w:rPr>
          <w:rFonts w:asciiTheme="minorHAnsi" w:hAnsiTheme="minorHAnsi" w:cstheme="minorHAnsi"/>
          <w:b w:val="0"/>
          <w:color w:val="auto"/>
          <w:sz w:val="22"/>
          <w:lang w:eastAsia="en-AU"/>
        </w:rPr>
        <w:t xml:space="preserve"> </w:t>
      </w:r>
      <w:r w:rsidR="00AD5315">
        <w:rPr>
          <w:rFonts w:asciiTheme="minorHAnsi" w:hAnsiTheme="minorHAnsi" w:cstheme="minorHAnsi"/>
          <w:b w:val="0"/>
          <w:color w:val="auto"/>
          <w:sz w:val="22"/>
          <w:lang w:eastAsia="en-AU"/>
        </w:rPr>
        <w:t>Consequently t</w:t>
      </w:r>
      <w:r w:rsidR="00AD5315">
        <w:rPr>
          <w:rFonts w:asciiTheme="minorHAnsi" w:hAnsiTheme="minorHAnsi" w:cstheme="minorHAnsi"/>
          <w:b w:val="0"/>
          <w:color w:val="auto"/>
          <w:sz w:val="22"/>
        </w:rPr>
        <w:t>he</w:t>
      </w:r>
      <w:r w:rsidR="00647804" w:rsidRPr="00647804">
        <w:rPr>
          <w:rFonts w:asciiTheme="minorHAnsi" w:hAnsiTheme="minorHAnsi" w:cstheme="minorHAnsi"/>
          <w:b w:val="0"/>
          <w:color w:val="auto"/>
          <w:sz w:val="22"/>
        </w:rPr>
        <w:t xml:space="preserve"> dispatch price </w:t>
      </w:r>
      <w:r w:rsidR="00AD5315">
        <w:rPr>
          <w:rFonts w:asciiTheme="minorHAnsi" w:hAnsiTheme="minorHAnsi" w:cstheme="minorHAnsi"/>
          <w:b w:val="0"/>
          <w:color w:val="auto"/>
          <w:sz w:val="22"/>
        </w:rPr>
        <w:t xml:space="preserve">increased </w:t>
      </w:r>
      <w:r w:rsidR="00647804">
        <w:rPr>
          <w:rFonts w:asciiTheme="minorHAnsi" w:hAnsiTheme="minorHAnsi" w:cstheme="minorHAnsi"/>
          <w:b w:val="0"/>
          <w:color w:val="auto"/>
          <w:sz w:val="22"/>
        </w:rPr>
        <w:t>to $</w:t>
      </w:r>
      <w:r w:rsidR="00ED4A25">
        <w:rPr>
          <w:rFonts w:asciiTheme="minorHAnsi" w:hAnsiTheme="minorHAnsi" w:cstheme="minorHAnsi"/>
          <w:b w:val="0"/>
          <w:color w:val="auto"/>
          <w:sz w:val="22"/>
        </w:rPr>
        <w:t>262</w:t>
      </w:r>
      <w:r w:rsidR="00647804">
        <w:rPr>
          <w:rFonts w:asciiTheme="minorHAnsi" w:hAnsiTheme="minorHAnsi" w:cstheme="minorHAnsi"/>
          <w:b w:val="0"/>
          <w:color w:val="auto"/>
          <w:sz w:val="22"/>
        </w:rPr>
        <w:t>/MWh in Queensland and</w:t>
      </w:r>
      <w:r w:rsidR="00647804" w:rsidRPr="00647804">
        <w:rPr>
          <w:rFonts w:asciiTheme="minorHAnsi" w:hAnsiTheme="minorHAnsi" w:cstheme="minorHAnsi"/>
          <w:b w:val="0"/>
          <w:color w:val="auto"/>
          <w:sz w:val="22"/>
        </w:rPr>
        <w:t xml:space="preserve"> </w:t>
      </w:r>
      <w:r w:rsidR="00ED4A25">
        <w:rPr>
          <w:rFonts w:asciiTheme="minorHAnsi" w:hAnsiTheme="minorHAnsi" w:cstheme="minorHAnsi"/>
          <w:b w:val="0"/>
          <w:color w:val="auto"/>
          <w:sz w:val="22"/>
        </w:rPr>
        <w:t>$285</w:t>
      </w:r>
      <w:r w:rsidR="00647804">
        <w:rPr>
          <w:rFonts w:asciiTheme="minorHAnsi" w:hAnsiTheme="minorHAnsi" w:cstheme="minorHAnsi"/>
          <w:b w:val="0"/>
          <w:color w:val="auto"/>
          <w:sz w:val="22"/>
        </w:rPr>
        <w:t>/MWh in New South Wales</w:t>
      </w:r>
      <w:r w:rsidR="00AD5315">
        <w:rPr>
          <w:rFonts w:asciiTheme="minorHAnsi" w:hAnsiTheme="minorHAnsi" w:cstheme="minorHAnsi"/>
          <w:b w:val="0"/>
          <w:color w:val="auto"/>
          <w:sz w:val="22"/>
        </w:rPr>
        <w:t xml:space="preserve"> and</w:t>
      </w:r>
      <w:r w:rsidR="00647804">
        <w:rPr>
          <w:rFonts w:asciiTheme="minorHAnsi" w:hAnsiTheme="minorHAnsi" w:cstheme="minorHAnsi"/>
          <w:b w:val="0"/>
          <w:color w:val="auto"/>
          <w:sz w:val="22"/>
        </w:rPr>
        <w:t xml:space="preserve"> stayed at this level for the rest of the trading interval. </w:t>
      </w:r>
    </w:p>
    <w:p w:rsidR="00647804" w:rsidRPr="00066157" w:rsidRDefault="00647804" w:rsidP="00647804">
      <w:pPr>
        <w:pStyle w:val="AERHeading3"/>
      </w:pPr>
      <w:r>
        <w:t>New South Wales and Queensland</w:t>
      </w:r>
      <w:r w:rsidRPr="00066157">
        <w:t xml:space="preserve"> – Thursday 16 April</w:t>
      </w:r>
      <w:r>
        <w:t xml:space="preserve"> </w:t>
      </w:r>
    </w:p>
    <w:p w:rsidR="00647804" w:rsidRDefault="00647804" w:rsidP="00647804">
      <w:pPr>
        <w:pStyle w:val="Caption"/>
      </w:pPr>
      <w:r w:rsidRPr="00066157">
        <w:t xml:space="preserve">Table </w:t>
      </w:r>
      <w:r w:rsidR="00C34065">
        <w:t>5</w:t>
      </w:r>
      <w:r w:rsidRPr="00066157">
        <w:t xml:space="preserve">: </w:t>
      </w:r>
      <w:r w:rsidR="000766E2">
        <w:t xml:space="preserve">New South Wales </w:t>
      </w:r>
      <w:r w:rsidRPr="00066157">
        <w:t>Price, Demand and Availability</w:t>
      </w:r>
      <w:r>
        <w:t xml:space="preserve"> </w:t>
      </w:r>
      <w:r w:rsidR="00216865">
        <w:t>6 pm</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ED4A25" w:rsidRPr="00066157" w:rsidTr="005B0461">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ED4A25" w:rsidRPr="00066157" w:rsidRDefault="00ED4A25" w:rsidP="005B0461">
            <w:pPr>
              <w:pStyle w:val="TableHeading"/>
              <w:jc w:val="center"/>
            </w:pPr>
            <w:r>
              <w:t>Region</w:t>
            </w:r>
          </w:p>
        </w:tc>
        <w:tc>
          <w:tcPr>
            <w:tcW w:w="1513" w:type="pct"/>
            <w:gridSpan w:val="3"/>
            <w:tcBorders>
              <w:bottom w:val="nil"/>
            </w:tcBorders>
            <w:hideMark/>
          </w:tcPr>
          <w:p w:rsidR="00ED4A25" w:rsidRPr="00066157" w:rsidRDefault="00ED4A25" w:rsidP="005B0461">
            <w:pPr>
              <w:pStyle w:val="TableHeading"/>
              <w:jc w:val="center"/>
            </w:pPr>
            <w:r w:rsidRPr="00066157">
              <w:t>Price ($/MWh)</w:t>
            </w:r>
          </w:p>
        </w:tc>
        <w:tc>
          <w:tcPr>
            <w:tcW w:w="1474" w:type="pct"/>
            <w:gridSpan w:val="3"/>
            <w:tcBorders>
              <w:bottom w:val="nil"/>
            </w:tcBorders>
            <w:hideMark/>
          </w:tcPr>
          <w:p w:rsidR="00ED4A25" w:rsidRPr="00066157" w:rsidRDefault="00ED4A25" w:rsidP="005B0461">
            <w:pPr>
              <w:pStyle w:val="TableHeading"/>
              <w:jc w:val="center"/>
            </w:pPr>
            <w:r w:rsidRPr="00066157">
              <w:t>Demand (MW)</w:t>
            </w:r>
          </w:p>
        </w:tc>
        <w:tc>
          <w:tcPr>
            <w:tcW w:w="1473" w:type="pct"/>
            <w:gridSpan w:val="3"/>
            <w:tcBorders>
              <w:bottom w:val="nil"/>
            </w:tcBorders>
            <w:hideMark/>
          </w:tcPr>
          <w:p w:rsidR="00ED4A25" w:rsidRPr="00066157" w:rsidRDefault="00ED4A25" w:rsidP="005B0461">
            <w:pPr>
              <w:pStyle w:val="TableHeading"/>
              <w:jc w:val="center"/>
            </w:pPr>
            <w:r w:rsidRPr="00066157">
              <w:t>Availability (MW)</w:t>
            </w:r>
          </w:p>
        </w:tc>
      </w:tr>
      <w:tr w:rsidR="00ED4A25" w:rsidRPr="00066157" w:rsidTr="005B0461">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ED4A25" w:rsidRPr="00066157" w:rsidRDefault="00ED4A25" w:rsidP="005B0461">
            <w:pPr>
              <w:pStyle w:val="tableheadingline2"/>
            </w:pPr>
            <w:r w:rsidRPr="00066157">
              <w:t> </w:t>
            </w:r>
          </w:p>
        </w:tc>
        <w:tc>
          <w:tcPr>
            <w:tcW w:w="518" w:type="pct"/>
            <w:tcBorders>
              <w:bottom w:val="nil"/>
            </w:tcBorders>
            <w:shd w:val="clear" w:color="auto" w:fill="007192" w:themeFill="accent3" w:themeFillShade="BF"/>
            <w:hideMark/>
          </w:tcPr>
          <w:p w:rsidR="00ED4A25" w:rsidRPr="00066157" w:rsidRDefault="00ED4A25" w:rsidP="005B0461">
            <w:pPr>
              <w:pStyle w:val="tableheadingline2"/>
            </w:pPr>
            <w:r w:rsidRPr="00066157">
              <w:t>Actual</w:t>
            </w:r>
          </w:p>
        </w:tc>
        <w:tc>
          <w:tcPr>
            <w:tcW w:w="497" w:type="pct"/>
            <w:tcBorders>
              <w:bottom w:val="nil"/>
            </w:tcBorders>
            <w:shd w:val="clear" w:color="auto" w:fill="007192" w:themeFill="accent3" w:themeFillShade="BF"/>
            <w:hideMark/>
          </w:tcPr>
          <w:p w:rsidR="00ED4A25" w:rsidRPr="00066157" w:rsidRDefault="00ED4A25" w:rsidP="005B0461">
            <w:pPr>
              <w:pStyle w:val="tableheadingline2"/>
            </w:pPr>
            <w:r w:rsidRPr="00066157">
              <w:t>4 hr forecast</w:t>
            </w:r>
          </w:p>
        </w:tc>
        <w:tc>
          <w:tcPr>
            <w:tcW w:w="498" w:type="pct"/>
            <w:tcBorders>
              <w:bottom w:val="nil"/>
            </w:tcBorders>
            <w:shd w:val="clear" w:color="auto" w:fill="007192" w:themeFill="accent3" w:themeFillShade="BF"/>
            <w:hideMark/>
          </w:tcPr>
          <w:p w:rsidR="00ED4A25" w:rsidRPr="00066157" w:rsidRDefault="00ED4A25" w:rsidP="005B0461">
            <w:pPr>
              <w:pStyle w:val="tableheadingline2"/>
            </w:pPr>
            <w:r w:rsidRPr="00066157">
              <w:t>12 hr forecast</w:t>
            </w:r>
          </w:p>
        </w:tc>
        <w:tc>
          <w:tcPr>
            <w:tcW w:w="480" w:type="pct"/>
            <w:tcBorders>
              <w:bottom w:val="nil"/>
            </w:tcBorders>
            <w:shd w:val="clear" w:color="auto" w:fill="007192" w:themeFill="accent3" w:themeFillShade="BF"/>
            <w:hideMark/>
          </w:tcPr>
          <w:p w:rsidR="00ED4A25" w:rsidRPr="00066157" w:rsidRDefault="00ED4A25" w:rsidP="005B0461">
            <w:pPr>
              <w:pStyle w:val="tableheadingline2"/>
            </w:pPr>
            <w:r w:rsidRPr="00066157">
              <w:t>Actual</w:t>
            </w:r>
          </w:p>
        </w:tc>
        <w:tc>
          <w:tcPr>
            <w:tcW w:w="497" w:type="pct"/>
            <w:tcBorders>
              <w:bottom w:val="nil"/>
            </w:tcBorders>
            <w:shd w:val="clear" w:color="auto" w:fill="007192" w:themeFill="accent3" w:themeFillShade="BF"/>
            <w:hideMark/>
          </w:tcPr>
          <w:p w:rsidR="00ED4A25" w:rsidRPr="00066157" w:rsidRDefault="00ED4A25" w:rsidP="005B0461">
            <w:pPr>
              <w:pStyle w:val="tableheadingline2"/>
            </w:pPr>
            <w:r w:rsidRPr="00066157">
              <w:t>4 hr forecast</w:t>
            </w:r>
          </w:p>
        </w:tc>
        <w:tc>
          <w:tcPr>
            <w:tcW w:w="497" w:type="pct"/>
            <w:tcBorders>
              <w:bottom w:val="nil"/>
            </w:tcBorders>
            <w:shd w:val="clear" w:color="auto" w:fill="007192" w:themeFill="accent3" w:themeFillShade="BF"/>
            <w:hideMark/>
          </w:tcPr>
          <w:p w:rsidR="00ED4A25" w:rsidRPr="00066157" w:rsidRDefault="00ED4A25" w:rsidP="005B0461">
            <w:pPr>
              <w:pStyle w:val="tableheadingline2"/>
            </w:pPr>
            <w:r w:rsidRPr="00066157">
              <w:t>12 hr forecast</w:t>
            </w:r>
          </w:p>
        </w:tc>
        <w:tc>
          <w:tcPr>
            <w:tcW w:w="480" w:type="pct"/>
            <w:tcBorders>
              <w:bottom w:val="nil"/>
            </w:tcBorders>
            <w:shd w:val="clear" w:color="auto" w:fill="007192" w:themeFill="accent3" w:themeFillShade="BF"/>
            <w:hideMark/>
          </w:tcPr>
          <w:p w:rsidR="00ED4A25" w:rsidRPr="00066157" w:rsidRDefault="00ED4A25" w:rsidP="005B0461">
            <w:pPr>
              <w:pStyle w:val="tableheadingline2"/>
            </w:pPr>
            <w:r w:rsidRPr="00066157">
              <w:t>Actual</w:t>
            </w:r>
          </w:p>
        </w:tc>
        <w:tc>
          <w:tcPr>
            <w:tcW w:w="497" w:type="pct"/>
            <w:tcBorders>
              <w:bottom w:val="nil"/>
            </w:tcBorders>
            <w:shd w:val="clear" w:color="auto" w:fill="007192" w:themeFill="accent3" w:themeFillShade="BF"/>
            <w:hideMark/>
          </w:tcPr>
          <w:p w:rsidR="00ED4A25" w:rsidRPr="00066157" w:rsidRDefault="00ED4A25" w:rsidP="005B0461">
            <w:pPr>
              <w:pStyle w:val="tableheadingline2"/>
            </w:pPr>
            <w:r w:rsidRPr="00066157">
              <w:t>4 hr forecast</w:t>
            </w:r>
          </w:p>
        </w:tc>
        <w:tc>
          <w:tcPr>
            <w:tcW w:w="496" w:type="pct"/>
            <w:tcBorders>
              <w:bottom w:val="nil"/>
            </w:tcBorders>
            <w:shd w:val="clear" w:color="auto" w:fill="007192" w:themeFill="accent3" w:themeFillShade="BF"/>
            <w:hideMark/>
          </w:tcPr>
          <w:p w:rsidR="00ED4A25" w:rsidRPr="00066157" w:rsidRDefault="00ED4A25" w:rsidP="005B0461">
            <w:pPr>
              <w:pStyle w:val="tableheadingline2"/>
            </w:pPr>
            <w:r w:rsidRPr="00066157">
              <w:t>12 hr forecast</w:t>
            </w:r>
          </w:p>
        </w:tc>
      </w:tr>
      <w:tr w:rsidR="00ED4A25" w:rsidRPr="00066157" w:rsidTr="005B0461">
        <w:trPr>
          <w:trHeight w:val="510"/>
        </w:trPr>
        <w:tc>
          <w:tcPr>
            <w:tcW w:w="539" w:type="pct"/>
            <w:tcBorders>
              <w:top w:val="nil"/>
              <w:bottom w:val="nil"/>
            </w:tcBorders>
            <w:vAlign w:val="center"/>
          </w:tcPr>
          <w:p w:rsidR="00ED4A25" w:rsidRPr="00066157" w:rsidRDefault="00ED4A25" w:rsidP="005B0461">
            <w:pPr>
              <w:pStyle w:val="NormalWeb"/>
              <w:jc w:val="center"/>
              <w:rPr>
                <w:rFonts w:asciiTheme="minorHAnsi" w:hAnsiTheme="minorHAnsi" w:cstheme="minorHAnsi"/>
                <w:sz w:val="18"/>
              </w:rPr>
            </w:pPr>
            <w:r>
              <w:rPr>
                <w:rFonts w:asciiTheme="minorHAnsi" w:hAnsiTheme="minorHAnsi" w:cstheme="minorHAnsi"/>
                <w:b/>
                <w:bCs/>
                <w:sz w:val="18"/>
                <w:szCs w:val="16"/>
              </w:rPr>
              <w:t>NSW</w:t>
            </w:r>
          </w:p>
        </w:tc>
        <w:tc>
          <w:tcPr>
            <w:tcW w:w="518" w:type="pct"/>
            <w:tcBorders>
              <w:top w:val="nil"/>
              <w:bottom w:val="nil"/>
            </w:tcBorders>
            <w:vAlign w:val="center"/>
          </w:tcPr>
          <w:p w:rsidR="00ED4A25" w:rsidRDefault="00ED4A25" w:rsidP="005B0461">
            <w:pPr>
              <w:jc w:val="center"/>
              <w:rPr>
                <w:rFonts w:cs="Arial"/>
                <w:color w:val="000000"/>
                <w:szCs w:val="18"/>
              </w:rPr>
            </w:pPr>
            <w:r>
              <w:rPr>
                <w:rFonts w:cs="Arial"/>
                <w:color w:val="000000"/>
                <w:szCs w:val="18"/>
              </w:rPr>
              <w:t>282</w:t>
            </w:r>
          </w:p>
        </w:tc>
        <w:tc>
          <w:tcPr>
            <w:tcW w:w="497" w:type="pct"/>
            <w:tcBorders>
              <w:top w:val="nil"/>
              <w:bottom w:val="nil"/>
            </w:tcBorders>
            <w:vAlign w:val="center"/>
          </w:tcPr>
          <w:p w:rsidR="00ED4A25" w:rsidRDefault="00ED4A25" w:rsidP="005B0461">
            <w:pPr>
              <w:jc w:val="center"/>
              <w:rPr>
                <w:rFonts w:cs="Arial"/>
                <w:color w:val="000000"/>
                <w:szCs w:val="18"/>
              </w:rPr>
            </w:pPr>
            <w:r>
              <w:rPr>
                <w:rFonts w:cs="Arial"/>
                <w:color w:val="000000"/>
                <w:szCs w:val="18"/>
              </w:rPr>
              <w:t>285</w:t>
            </w:r>
          </w:p>
        </w:tc>
        <w:tc>
          <w:tcPr>
            <w:tcW w:w="498" w:type="pct"/>
            <w:tcBorders>
              <w:top w:val="nil"/>
              <w:bottom w:val="nil"/>
            </w:tcBorders>
            <w:vAlign w:val="center"/>
          </w:tcPr>
          <w:p w:rsidR="00ED4A25" w:rsidRDefault="00ED4A25" w:rsidP="005B0461">
            <w:pPr>
              <w:jc w:val="center"/>
              <w:rPr>
                <w:rFonts w:cs="Arial"/>
                <w:color w:val="000000"/>
                <w:szCs w:val="18"/>
              </w:rPr>
            </w:pPr>
            <w:r>
              <w:rPr>
                <w:rFonts w:cs="Arial"/>
                <w:color w:val="000000"/>
                <w:szCs w:val="18"/>
              </w:rPr>
              <w:t>208</w:t>
            </w:r>
          </w:p>
        </w:tc>
        <w:tc>
          <w:tcPr>
            <w:tcW w:w="480" w:type="pct"/>
            <w:tcBorders>
              <w:top w:val="nil"/>
              <w:bottom w:val="nil"/>
            </w:tcBorders>
            <w:vAlign w:val="center"/>
          </w:tcPr>
          <w:p w:rsidR="00ED4A25" w:rsidRDefault="00ED4A25" w:rsidP="005B0461">
            <w:pPr>
              <w:jc w:val="center"/>
              <w:rPr>
                <w:rFonts w:cs="Arial"/>
                <w:color w:val="000000"/>
                <w:szCs w:val="18"/>
              </w:rPr>
            </w:pPr>
            <w:r>
              <w:rPr>
                <w:rFonts w:cs="Arial"/>
                <w:color w:val="000000"/>
                <w:szCs w:val="18"/>
              </w:rPr>
              <w:t>9187</w:t>
            </w:r>
          </w:p>
        </w:tc>
        <w:tc>
          <w:tcPr>
            <w:tcW w:w="497" w:type="pct"/>
            <w:tcBorders>
              <w:top w:val="nil"/>
              <w:bottom w:val="nil"/>
            </w:tcBorders>
            <w:vAlign w:val="center"/>
          </w:tcPr>
          <w:p w:rsidR="00ED4A25" w:rsidRDefault="00ED4A25" w:rsidP="005B0461">
            <w:pPr>
              <w:jc w:val="center"/>
              <w:rPr>
                <w:rFonts w:cs="Arial"/>
                <w:color w:val="000000"/>
                <w:szCs w:val="18"/>
              </w:rPr>
            </w:pPr>
            <w:r>
              <w:rPr>
                <w:rFonts w:cs="Arial"/>
                <w:color w:val="000000"/>
                <w:szCs w:val="18"/>
              </w:rPr>
              <w:t>9158</w:t>
            </w:r>
          </w:p>
        </w:tc>
        <w:tc>
          <w:tcPr>
            <w:tcW w:w="497" w:type="pct"/>
            <w:tcBorders>
              <w:top w:val="nil"/>
              <w:bottom w:val="nil"/>
            </w:tcBorders>
            <w:vAlign w:val="center"/>
          </w:tcPr>
          <w:p w:rsidR="00ED4A25" w:rsidRDefault="00ED4A25" w:rsidP="005B0461">
            <w:pPr>
              <w:jc w:val="center"/>
              <w:rPr>
                <w:rFonts w:cs="Arial"/>
                <w:color w:val="000000"/>
                <w:szCs w:val="18"/>
              </w:rPr>
            </w:pPr>
            <w:r>
              <w:rPr>
                <w:rFonts w:cs="Arial"/>
                <w:color w:val="000000"/>
                <w:szCs w:val="18"/>
              </w:rPr>
              <w:t>8855</w:t>
            </w:r>
          </w:p>
        </w:tc>
        <w:tc>
          <w:tcPr>
            <w:tcW w:w="480" w:type="pct"/>
            <w:tcBorders>
              <w:top w:val="nil"/>
              <w:bottom w:val="nil"/>
            </w:tcBorders>
            <w:vAlign w:val="center"/>
          </w:tcPr>
          <w:p w:rsidR="00ED4A25" w:rsidRDefault="00ED4A25" w:rsidP="00ED4A25">
            <w:pPr>
              <w:jc w:val="right"/>
              <w:rPr>
                <w:rFonts w:cs="Arial"/>
                <w:color w:val="000000"/>
                <w:szCs w:val="18"/>
              </w:rPr>
            </w:pPr>
            <w:r>
              <w:rPr>
                <w:rFonts w:cs="Arial"/>
                <w:color w:val="000000"/>
                <w:szCs w:val="18"/>
              </w:rPr>
              <w:t>10 098</w:t>
            </w:r>
          </w:p>
        </w:tc>
        <w:tc>
          <w:tcPr>
            <w:tcW w:w="497" w:type="pct"/>
            <w:tcBorders>
              <w:top w:val="nil"/>
              <w:bottom w:val="nil"/>
            </w:tcBorders>
            <w:vAlign w:val="center"/>
          </w:tcPr>
          <w:p w:rsidR="00ED4A25" w:rsidRDefault="00ED4A25" w:rsidP="005B0461">
            <w:pPr>
              <w:jc w:val="right"/>
              <w:rPr>
                <w:rFonts w:cs="Arial"/>
                <w:color w:val="000000"/>
                <w:szCs w:val="18"/>
              </w:rPr>
            </w:pPr>
            <w:r>
              <w:rPr>
                <w:rFonts w:cs="Arial"/>
                <w:color w:val="000000"/>
                <w:szCs w:val="18"/>
              </w:rPr>
              <w:t>9919</w:t>
            </w:r>
          </w:p>
        </w:tc>
        <w:tc>
          <w:tcPr>
            <w:tcW w:w="496" w:type="pct"/>
            <w:tcBorders>
              <w:top w:val="nil"/>
              <w:bottom w:val="nil"/>
            </w:tcBorders>
            <w:vAlign w:val="center"/>
          </w:tcPr>
          <w:p w:rsidR="00ED4A25" w:rsidRDefault="00ED4A25" w:rsidP="005B0461">
            <w:pPr>
              <w:jc w:val="right"/>
              <w:rPr>
                <w:rFonts w:cs="Arial"/>
                <w:color w:val="000000"/>
                <w:szCs w:val="18"/>
              </w:rPr>
            </w:pPr>
            <w:r>
              <w:rPr>
                <w:rFonts w:cs="Arial"/>
                <w:color w:val="000000"/>
                <w:szCs w:val="18"/>
              </w:rPr>
              <w:t>10 346</w:t>
            </w:r>
          </w:p>
        </w:tc>
      </w:tr>
      <w:tr w:rsidR="00ED4A25" w:rsidRPr="00066157" w:rsidTr="005B0461">
        <w:trPr>
          <w:cnfStyle w:val="000000010000" w:firstRow="0" w:lastRow="0" w:firstColumn="0" w:lastColumn="0" w:oddVBand="0" w:evenVBand="0" w:oddHBand="0" w:evenHBand="1" w:firstRowFirstColumn="0" w:firstRowLastColumn="0" w:lastRowFirstColumn="0" w:lastRowLastColumn="0"/>
          <w:trHeight w:val="510"/>
        </w:trPr>
        <w:tc>
          <w:tcPr>
            <w:tcW w:w="539" w:type="pct"/>
            <w:tcBorders>
              <w:top w:val="nil"/>
              <w:bottom w:val="nil"/>
            </w:tcBorders>
            <w:vAlign w:val="center"/>
          </w:tcPr>
          <w:p w:rsidR="00ED4A25" w:rsidRPr="00647804" w:rsidRDefault="00ED4A25" w:rsidP="005B0461">
            <w:pPr>
              <w:jc w:val="center"/>
              <w:rPr>
                <w:rFonts w:cs="Arial"/>
                <w:b/>
                <w:color w:val="000000"/>
                <w:sz w:val="18"/>
                <w:szCs w:val="18"/>
              </w:rPr>
            </w:pPr>
            <w:r>
              <w:rPr>
                <w:rFonts w:cs="Arial"/>
                <w:b/>
                <w:color w:val="000000"/>
                <w:sz w:val="18"/>
                <w:szCs w:val="18"/>
              </w:rPr>
              <w:t>QLD</w:t>
            </w:r>
          </w:p>
        </w:tc>
        <w:tc>
          <w:tcPr>
            <w:tcW w:w="518" w:type="pct"/>
            <w:tcBorders>
              <w:top w:val="nil"/>
              <w:bottom w:val="nil"/>
            </w:tcBorders>
            <w:vAlign w:val="center"/>
          </w:tcPr>
          <w:p w:rsidR="00ED4A25" w:rsidRPr="00ED4A25" w:rsidRDefault="00ED4A25" w:rsidP="005B0461">
            <w:pPr>
              <w:jc w:val="center"/>
              <w:rPr>
                <w:rFonts w:cs="Arial"/>
                <w:color w:val="000000"/>
                <w:sz w:val="18"/>
                <w:szCs w:val="18"/>
              </w:rPr>
            </w:pPr>
            <w:r w:rsidRPr="00ED4A25">
              <w:rPr>
                <w:rFonts w:cs="Arial"/>
                <w:color w:val="000000"/>
                <w:sz w:val="18"/>
                <w:szCs w:val="18"/>
              </w:rPr>
              <w:t>259</w:t>
            </w:r>
          </w:p>
        </w:tc>
        <w:tc>
          <w:tcPr>
            <w:tcW w:w="497" w:type="pct"/>
            <w:tcBorders>
              <w:top w:val="nil"/>
              <w:bottom w:val="nil"/>
            </w:tcBorders>
            <w:vAlign w:val="center"/>
          </w:tcPr>
          <w:p w:rsidR="00ED4A25" w:rsidRPr="00ED4A25" w:rsidRDefault="00ED4A25" w:rsidP="005B0461">
            <w:pPr>
              <w:jc w:val="center"/>
              <w:rPr>
                <w:rFonts w:cs="Arial"/>
                <w:color w:val="000000"/>
                <w:sz w:val="18"/>
                <w:szCs w:val="18"/>
              </w:rPr>
            </w:pPr>
            <w:r w:rsidRPr="00ED4A25">
              <w:rPr>
                <w:rFonts w:cs="Arial"/>
                <w:color w:val="000000"/>
                <w:sz w:val="18"/>
                <w:szCs w:val="18"/>
              </w:rPr>
              <w:t>261</w:t>
            </w:r>
          </w:p>
        </w:tc>
        <w:tc>
          <w:tcPr>
            <w:tcW w:w="498" w:type="pct"/>
            <w:tcBorders>
              <w:top w:val="nil"/>
              <w:bottom w:val="nil"/>
            </w:tcBorders>
            <w:vAlign w:val="center"/>
          </w:tcPr>
          <w:p w:rsidR="00ED4A25" w:rsidRPr="00ED4A25" w:rsidRDefault="00ED4A25" w:rsidP="005B0461">
            <w:pPr>
              <w:jc w:val="center"/>
              <w:rPr>
                <w:rFonts w:cs="Arial"/>
                <w:color w:val="000000"/>
                <w:sz w:val="18"/>
                <w:szCs w:val="18"/>
              </w:rPr>
            </w:pPr>
            <w:r w:rsidRPr="00ED4A25">
              <w:rPr>
                <w:rFonts w:cs="Arial"/>
                <w:color w:val="000000"/>
                <w:sz w:val="18"/>
                <w:szCs w:val="18"/>
              </w:rPr>
              <w:t>199</w:t>
            </w:r>
          </w:p>
        </w:tc>
        <w:tc>
          <w:tcPr>
            <w:tcW w:w="480" w:type="pct"/>
            <w:tcBorders>
              <w:top w:val="nil"/>
              <w:bottom w:val="nil"/>
            </w:tcBorders>
            <w:vAlign w:val="center"/>
          </w:tcPr>
          <w:p w:rsidR="00ED4A25" w:rsidRPr="00ED4A25" w:rsidRDefault="00ED4A25" w:rsidP="005B0461">
            <w:pPr>
              <w:jc w:val="center"/>
              <w:rPr>
                <w:rFonts w:cs="Arial"/>
                <w:color w:val="000000"/>
                <w:sz w:val="18"/>
                <w:szCs w:val="18"/>
              </w:rPr>
            </w:pPr>
            <w:r w:rsidRPr="00ED4A25">
              <w:rPr>
                <w:rFonts w:cs="Arial"/>
                <w:color w:val="000000"/>
                <w:sz w:val="18"/>
                <w:szCs w:val="18"/>
              </w:rPr>
              <w:t>6988</w:t>
            </w:r>
          </w:p>
        </w:tc>
        <w:tc>
          <w:tcPr>
            <w:tcW w:w="497" w:type="pct"/>
            <w:tcBorders>
              <w:top w:val="nil"/>
              <w:bottom w:val="nil"/>
            </w:tcBorders>
            <w:vAlign w:val="center"/>
          </w:tcPr>
          <w:p w:rsidR="00ED4A25" w:rsidRPr="00ED4A25" w:rsidRDefault="00ED4A25" w:rsidP="005B0461">
            <w:pPr>
              <w:jc w:val="center"/>
              <w:rPr>
                <w:rFonts w:cs="Arial"/>
                <w:color w:val="000000"/>
                <w:sz w:val="18"/>
                <w:szCs w:val="18"/>
              </w:rPr>
            </w:pPr>
            <w:r w:rsidRPr="00ED4A25">
              <w:rPr>
                <w:rFonts w:cs="Arial"/>
                <w:color w:val="000000"/>
                <w:sz w:val="18"/>
                <w:szCs w:val="18"/>
              </w:rPr>
              <w:t>6895</w:t>
            </w:r>
          </w:p>
        </w:tc>
        <w:tc>
          <w:tcPr>
            <w:tcW w:w="497" w:type="pct"/>
            <w:tcBorders>
              <w:top w:val="nil"/>
              <w:bottom w:val="nil"/>
            </w:tcBorders>
            <w:vAlign w:val="center"/>
          </w:tcPr>
          <w:p w:rsidR="00ED4A25" w:rsidRPr="00ED4A25" w:rsidRDefault="00ED4A25" w:rsidP="005B0461">
            <w:pPr>
              <w:jc w:val="center"/>
              <w:rPr>
                <w:rFonts w:cs="Arial"/>
                <w:color w:val="000000"/>
                <w:sz w:val="18"/>
                <w:szCs w:val="18"/>
              </w:rPr>
            </w:pPr>
            <w:r w:rsidRPr="00ED4A25">
              <w:rPr>
                <w:rFonts w:cs="Arial"/>
                <w:color w:val="000000"/>
                <w:sz w:val="18"/>
                <w:szCs w:val="18"/>
              </w:rPr>
              <w:t>6951</w:t>
            </w:r>
          </w:p>
        </w:tc>
        <w:tc>
          <w:tcPr>
            <w:tcW w:w="480" w:type="pct"/>
            <w:tcBorders>
              <w:top w:val="nil"/>
              <w:bottom w:val="nil"/>
            </w:tcBorders>
            <w:vAlign w:val="center"/>
          </w:tcPr>
          <w:p w:rsidR="00ED4A25" w:rsidRPr="00ED4A25" w:rsidRDefault="00ED4A25" w:rsidP="005B0461">
            <w:pPr>
              <w:jc w:val="right"/>
              <w:rPr>
                <w:rFonts w:cs="Arial"/>
                <w:color w:val="000000"/>
                <w:sz w:val="18"/>
                <w:szCs w:val="18"/>
              </w:rPr>
            </w:pPr>
            <w:r>
              <w:rPr>
                <w:rFonts w:cs="Arial"/>
                <w:color w:val="000000"/>
                <w:sz w:val="18"/>
                <w:szCs w:val="18"/>
              </w:rPr>
              <w:t>9</w:t>
            </w:r>
            <w:r w:rsidRPr="00ED4A25">
              <w:rPr>
                <w:rFonts w:cs="Arial"/>
                <w:color w:val="000000"/>
                <w:sz w:val="18"/>
                <w:szCs w:val="18"/>
              </w:rPr>
              <w:t>548</w:t>
            </w:r>
          </w:p>
        </w:tc>
        <w:tc>
          <w:tcPr>
            <w:tcW w:w="497" w:type="pct"/>
            <w:tcBorders>
              <w:top w:val="nil"/>
              <w:bottom w:val="nil"/>
            </w:tcBorders>
            <w:vAlign w:val="center"/>
          </w:tcPr>
          <w:p w:rsidR="00ED4A25" w:rsidRPr="00ED4A25" w:rsidRDefault="00ED4A25" w:rsidP="005B0461">
            <w:pPr>
              <w:jc w:val="right"/>
              <w:rPr>
                <w:rFonts w:cs="Arial"/>
                <w:color w:val="000000"/>
                <w:sz w:val="18"/>
                <w:szCs w:val="18"/>
              </w:rPr>
            </w:pPr>
            <w:r>
              <w:rPr>
                <w:rFonts w:cs="Arial"/>
                <w:color w:val="000000"/>
                <w:sz w:val="18"/>
                <w:szCs w:val="18"/>
              </w:rPr>
              <w:t>9</w:t>
            </w:r>
            <w:r w:rsidRPr="00ED4A25">
              <w:rPr>
                <w:rFonts w:cs="Arial"/>
                <w:color w:val="000000"/>
                <w:sz w:val="18"/>
                <w:szCs w:val="18"/>
              </w:rPr>
              <w:t>552</w:t>
            </w:r>
          </w:p>
        </w:tc>
        <w:tc>
          <w:tcPr>
            <w:tcW w:w="496" w:type="pct"/>
            <w:tcBorders>
              <w:top w:val="nil"/>
              <w:bottom w:val="nil"/>
            </w:tcBorders>
            <w:vAlign w:val="center"/>
          </w:tcPr>
          <w:p w:rsidR="00ED4A25" w:rsidRPr="00ED4A25" w:rsidRDefault="00ED4A25" w:rsidP="005B0461">
            <w:pPr>
              <w:jc w:val="right"/>
              <w:rPr>
                <w:rFonts w:cs="Arial"/>
                <w:color w:val="000000"/>
                <w:sz w:val="18"/>
                <w:szCs w:val="18"/>
              </w:rPr>
            </w:pPr>
            <w:r>
              <w:rPr>
                <w:rFonts w:cs="Arial"/>
                <w:color w:val="000000"/>
                <w:sz w:val="18"/>
                <w:szCs w:val="18"/>
              </w:rPr>
              <w:t>9</w:t>
            </w:r>
            <w:r w:rsidRPr="00ED4A25">
              <w:rPr>
                <w:rFonts w:cs="Arial"/>
                <w:color w:val="000000"/>
                <w:sz w:val="18"/>
                <w:szCs w:val="18"/>
              </w:rPr>
              <w:t>589</w:t>
            </w:r>
          </w:p>
        </w:tc>
      </w:tr>
    </w:tbl>
    <w:p w:rsidR="00ED4A25" w:rsidRDefault="00216865" w:rsidP="004A2464">
      <w:pPr>
        <w:jc w:val="both"/>
      </w:pPr>
      <w:r>
        <w:t>Prices in both Queensland and New South Wales were close to those forecast four hours ahead.</w:t>
      </w:r>
    </w:p>
    <w:p w:rsidR="00066157" w:rsidRPr="00066157" w:rsidRDefault="00066157" w:rsidP="00066157">
      <w:pPr>
        <w:pStyle w:val="AERHeading3"/>
      </w:pPr>
      <w:r>
        <w:t>New South Wales</w:t>
      </w:r>
      <w:r w:rsidRPr="00066157">
        <w:t xml:space="preserve"> – </w:t>
      </w:r>
      <w:r>
        <w:t>Friday 17</w:t>
      </w:r>
      <w:r w:rsidRPr="00066157">
        <w:t xml:space="preserve"> April</w:t>
      </w:r>
    </w:p>
    <w:p w:rsidR="00066157" w:rsidRPr="00066157" w:rsidRDefault="00066157" w:rsidP="00066157">
      <w:pPr>
        <w:pStyle w:val="Caption"/>
      </w:pPr>
      <w:r w:rsidRPr="00066157">
        <w:t xml:space="preserve">Table </w:t>
      </w:r>
      <w:r w:rsidR="00C34065">
        <w:t>6</w:t>
      </w:r>
      <w:r w:rsidRPr="00066157">
        <w:t>: Price, Demand and Availability</w:t>
      </w:r>
    </w:p>
    <w:tbl>
      <w:tblPr>
        <w:tblStyle w:val="AERTable-Text"/>
        <w:tblW w:w="5000" w:type="pct"/>
        <w:tblLook w:val="04A0" w:firstRow="1" w:lastRow="0" w:firstColumn="1" w:lastColumn="0" w:noHBand="0" w:noVBand="1"/>
      </w:tblPr>
      <w:tblGrid>
        <w:gridCol w:w="820"/>
        <w:gridCol w:w="936"/>
        <w:gridCol w:w="935"/>
        <w:gridCol w:w="937"/>
        <w:gridCol w:w="935"/>
        <w:gridCol w:w="935"/>
        <w:gridCol w:w="937"/>
        <w:gridCol w:w="935"/>
        <w:gridCol w:w="935"/>
        <w:gridCol w:w="937"/>
      </w:tblGrid>
      <w:tr w:rsidR="00066157" w:rsidRPr="00066157" w:rsidTr="00216865">
        <w:trPr>
          <w:cnfStyle w:val="100000000000" w:firstRow="1" w:lastRow="0" w:firstColumn="0" w:lastColumn="0" w:oddVBand="0" w:evenVBand="0" w:oddHBand="0" w:evenHBand="0" w:firstRowFirstColumn="0" w:firstRowLastColumn="0" w:lastRowFirstColumn="0" w:lastRowLastColumn="0"/>
          <w:tblHeader/>
        </w:trPr>
        <w:tc>
          <w:tcPr>
            <w:tcW w:w="443" w:type="pct"/>
            <w:tcBorders>
              <w:bottom w:val="nil"/>
            </w:tcBorders>
            <w:hideMark/>
          </w:tcPr>
          <w:p w:rsidR="00066157" w:rsidRPr="00066157" w:rsidRDefault="00066157" w:rsidP="000766E2">
            <w:pPr>
              <w:pStyle w:val="TableHeading"/>
              <w:jc w:val="center"/>
            </w:pPr>
            <w:r w:rsidRPr="00066157">
              <w:t>Time</w:t>
            </w:r>
          </w:p>
        </w:tc>
        <w:tc>
          <w:tcPr>
            <w:tcW w:w="1519" w:type="pct"/>
            <w:gridSpan w:val="3"/>
            <w:tcBorders>
              <w:bottom w:val="nil"/>
            </w:tcBorders>
            <w:hideMark/>
          </w:tcPr>
          <w:p w:rsidR="00066157" w:rsidRPr="00066157" w:rsidRDefault="00066157" w:rsidP="000766E2">
            <w:pPr>
              <w:pStyle w:val="TableHeading"/>
              <w:jc w:val="center"/>
            </w:pPr>
            <w:r w:rsidRPr="00066157">
              <w:t>Price ($/MWh)</w:t>
            </w:r>
          </w:p>
        </w:tc>
        <w:tc>
          <w:tcPr>
            <w:tcW w:w="1519" w:type="pct"/>
            <w:gridSpan w:val="3"/>
            <w:tcBorders>
              <w:bottom w:val="nil"/>
            </w:tcBorders>
            <w:hideMark/>
          </w:tcPr>
          <w:p w:rsidR="00066157" w:rsidRPr="00066157" w:rsidRDefault="00066157" w:rsidP="000766E2">
            <w:pPr>
              <w:pStyle w:val="TableHeading"/>
              <w:jc w:val="center"/>
            </w:pPr>
            <w:r w:rsidRPr="00066157">
              <w:t>Demand (MW)</w:t>
            </w:r>
          </w:p>
        </w:tc>
        <w:tc>
          <w:tcPr>
            <w:tcW w:w="1519" w:type="pct"/>
            <w:gridSpan w:val="3"/>
            <w:tcBorders>
              <w:bottom w:val="nil"/>
            </w:tcBorders>
            <w:hideMark/>
          </w:tcPr>
          <w:p w:rsidR="00066157" w:rsidRPr="00066157" w:rsidRDefault="00066157" w:rsidP="000766E2">
            <w:pPr>
              <w:pStyle w:val="TableHeading"/>
              <w:jc w:val="center"/>
            </w:pPr>
            <w:r w:rsidRPr="00066157">
              <w:t>Availability (MW)</w:t>
            </w:r>
          </w:p>
        </w:tc>
      </w:tr>
      <w:tr w:rsidR="00066157" w:rsidRPr="00066157" w:rsidTr="00216865">
        <w:trPr>
          <w:cnfStyle w:val="100000000000" w:firstRow="1" w:lastRow="0" w:firstColumn="0" w:lastColumn="0" w:oddVBand="0" w:evenVBand="0" w:oddHBand="0" w:evenHBand="0" w:firstRowFirstColumn="0" w:firstRowLastColumn="0" w:lastRowFirstColumn="0" w:lastRowLastColumn="0"/>
          <w:tblHeader/>
        </w:trPr>
        <w:tc>
          <w:tcPr>
            <w:tcW w:w="443" w:type="pct"/>
            <w:tcBorders>
              <w:bottom w:val="nil"/>
            </w:tcBorders>
            <w:shd w:val="clear" w:color="auto" w:fill="007192" w:themeFill="accent3" w:themeFillShade="BF"/>
            <w:hideMark/>
          </w:tcPr>
          <w:p w:rsidR="00066157" w:rsidRPr="00066157" w:rsidRDefault="00066157" w:rsidP="000766E2">
            <w:pPr>
              <w:pStyle w:val="tableheadingline2"/>
            </w:pPr>
            <w:r w:rsidRPr="00066157">
              <w:t> </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r>
      <w:tr w:rsidR="00066157" w:rsidRPr="00066157" w:rsidTr="00216865">
        <w:trPr>
          <w:trHeight w:val="510"/>
        </w:trPr>
        <w:tc>
          <w:tcPr>
            <w:tcW w:w="443" w:type="pct"/>
            <w:tcBorders>
              <w:top w:val="nil"/>
            </w:tcBorders>
            <w:vAlign w:val="center"/>
          </w:tcPr>
          <w:p w:rsidR="00066157" w:rsidRPr="00066157" w:rsidRDefault="007A33E8" w:rsidP="00216865">
            <w:pPr>
              <w:pStyle w:val="NormalWeb"/>
              <w:jc w:val="center"/>
              <w:rPr>
                <w:rFonts w:asciiTheme="minorHAnsi" w:hAnsiTheme="minorHAnsi" w:cstheme="minorHAnsi"/>
                <w:sz w:val="18"/>
              </w:rPr>
            </w:pPr>
            <w:r>
              <w:rPr>
                <w:rFonts w:asciiTheme="minorHAnsi" w:hAnsiTheme="minorHAnsi" w:cstheme="minorHAnsi"/>
                <w:b/>
                <w:bCs/>
                <w:sz w:val="18"/>
                <w:szCs w:val="16"/>
              </w:rPr>
              <w:t>11</w:t>
            </w:r>
            <w:r w:rsidR="00216865">
              <w:rPr>
                <w:rFonts w:asciiTheme="minorHAnsi" w:hAnsiTheme="minorHAnsi" w:cstheme="minorHAnsi"/>
                <w:b/>
                <w:bCs/>
                <w:sz w:val="18"/>
                <w:szCs w:val="16"/>
              </w:rPr>
              <w:t> am</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257.41</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59.96</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39.77</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8888</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8617</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8498</w:t>
            </w:r>
          </w:p>
        </w:tc>
        <w:tc>
          <w:tcPr>
            <w:tcW w:w="506" w:type="pct"/>
            <w:tcBorders>
              <w:top w:val="nil"/>
            </w:tcBorders>
            <w:vAlign w:val="center"/>
          </w:tcPr>
          <w:p w:rsidR="00066157" w:rsidRPr="00066157" w:rsidRDefault="00066157" w:rsidP="00216865">
            <w:pPr>
              <w:pStyle w:val="NormalWeb"/>
              <w:jc w:val="center"/>
              <w:rPr>
                <w:rFonts w:asciiTheme="minorHAnsi" w:hAnsiTheme="minorHAnsi" w:cstheme="minorHAnsi"/>
                <w:sz w:val="18"/>
              </w:rPr>
            </w:pPr>
            <w:r w:rsidRPr="00066157">
              <w:rPr>
                <w:rFonts w:asciiTheme="minorHAnsi" w:hAnsiTheme="minorHAnsi" w:cstheme="minorHAnsi"/>
                <w:sz w:val="18"/>
                <w:szCs w:val="16"/>
              </w:rPr>
              <w:t>10</w:t>
            </w:r>
            <w:r w:rsidR="00216865">
              <w:rPr>
                <w:rFonts w:asciiTheme="minorHAnsi" w:hAnsiTheme="minorHAnsi" w:cstheme="minorHAnsi"/>
                <w:sz w:val="18"/>
                <w:szCs w:val="16"/>
              </w:rPr>
              <w:t> </w:t>
            </w:r>
            <w:r w:rsidRPr="00066157">
              <w:rPr>
                <w:rFonts w:asciiTheme="minorHAnsi" w:hAnsiTheme="minorHAnsi" w:cstheme="minorHAnsi"/>
                <w:sz w:val="18"/>
                <w:szCs w:val="16"/>
              </w:rPr>
              <w:t>396</w:t>
            </w:r>
          </w:p>
        </w:tc>
        <w:tc>
          <w:tcPr>
            <w:tcW w:w="506" w:type="pct"/>
            <w:tcBorders>
              <w:top w:val="nil"/>
            </w:tcBorders>
            <w:vAlign w:val="center"/>
          </w:tcPr>
          <w:p w:rsidR="00066157" w:rsidRPr="00066157" w:rsidRDefault="00066157" w:rsidP="00216865">
            <w:pPr>
              <w:pStyle w:val="NormalWeb"/>
              <w:jc w:val="center"/>
              <w:rPr>
                <w:rFonts w:asciiTheme="minorHAnsi" w:hAnsiTheme="minorHAnsi" w:cstheme="minorHAnsi"/>
                <w:sz w:val="18"/>
              </w:rPr>
            </w:pPr>
            <w:r w:rsidRPr="00066157">
              <w:rPr>
                <w:rFonts w:asciiTheme="minorHAnsi" w:hAnsiTheme="minorHAnsi" w:cstheme="minorHAnsi"/>
                <w:sz w:val="18"/>
                <w:szCs w:val="16"/>
              </w:rPr>
              <w:t>10</w:t>
            </w:r>
            <w:r w:rsidR="00216865">
              <w:rPr>
                <w:rFonts w:asciiTheme="minorHAnsi" w:hAnsiTheme="minorHAnsi" w:cstheme="minorHAnsi"/>
                <w:sz w:val="18"/>
                <w:szCs w:val="16"/>
              </w:rPr>
              <w:t> </w:t>
            </w:r>
            <w:r w:rsidRPr="00066157">
              <w:rPr>
                <w:rFonts w:asciiTheme="minorHAnsi" w:hAnsiTheme="minorHAnsi" w:cstheme="minorHAnsi"/>
                <w:sz w:val="18"/>
                <w:szCs w:val="16"/>
              </w:rPr>
              <w:t>354</w:t>
            </w:r>
          </w:p>
        </w:tc>
        <w:tc>
          <w:tcPr>
            <w:tcW w:w="506" w:type="pct"/>
            <w:tcBorders>
              <w:top w:val="nil"/>
            </w:tcBorders>
            <w:vAlign w:val="center"/>
          </w:tcPr>
          <w:p w:rsidR="00066157" w:rsidRPr="00066157" w:rsidRDefault="00066157" w:rsidP="00216865">
            <w:pPr>
              <w:pStyle w:val="NormalWeb"/>
              <w:jc w:val="center"/>
              <w:rPr>
                <w:rFonts w:asciiTheme="minorHAnsi" w:hAnsiTheme="minorHAnsi" w:cstheme="minorHAnsi"/>
                <w:sz w:val="18"/>
              </w:rPr>
            </w:pPr>
            <w:r w:rsidRPr="00066157">
              <w:rPr>
                <w:rFonts w:asciiTheme="minorHAnsi" w:hAnsiTheme="minorHAnsi" w:cstheme="minorHAnsi"/>
                <w:sz w:val="18"/>
                <w:szCs w:val="16"/>
              </w:rPr>
              <w:t>10</w:t>
            </w:r>
            <w:r w:rsidR="00216865">
              <w:rPr>
                <w:rFonts w:asciiTheme="minorHAnsi" w:hAnsiTheme="minorHAnsi" w:cstheme="minorHAnsi"/>
                <w:sz w:val="18"/>
                <w:szCs w:val="16"/>
              </w:rPr>
              <w:t> </w:t>
            </w:r>
            <w:r w:rsidRPr="00066157">
              <w:rPr>
                <w:rFonts w:asciiTheme="minorHAnsi" w:hAnsiTheme="minorHAnsi" w:cstheme="minorHAnsi"/>
                <w:sz w:val="18"/>
                <w:szCs w:val="16"/>
              </w:rPr>
              <w:t>346</w:t>
            </w:r>
          </w:p>
        </w:tc>
      </w:tr>
    </w:tbl>
    <w:p w:rsidR="00265486" w:rsidRDefault="00D74261" w:rsidP="00265486">
      <w:r>
        <w:t>Conditions at the time saw demand 271 MW higher than forecast four hours ahead. Available capacity was close to that forecast.</w:t>
      </w:r>
      <w:r w:rsidR="00EC317E">
        <w:t xml:space="preserve"> Wind generation was around 25 MW.</w:t>
      </w:r>
    </w:p>
    <w:p w:rsidR="005C3411" w:rsidRPr="00265486" w:rsidRDefault="005C3411" w:rsidP="005C3411">
      <w:pPr>
        <w:pStyle w:val="Caption"/>
      </w:pPr>
      <w:r w:rsidRPr="00265486">
        <w:t xml:space="preserve">Table </w:t>
      </w:r>
      <w:r w:rsidR="00C34065">
        <w:t>7</w:t>
      </w:r>
      <w:r w:rsidRPr="00265486">
        <w:t xml:space="preserve">: Rebids for </w:t>
      </w:r>
      <w:r>
        <w:t>11</w:t>
      </w:r>
      <w:r w:rsidRPr="00265486">
        <w:t> </w:t>
      </w:r>
      <w:r>
        <w:t>a</w:t>
      </w:r>
      <w:r w:rsidRPr="00265486">
        <w:t>m</w:t>
      </w:r>
    </w:p>
    <w:tbl>
      <w:tblPr>
        <w:tblStyle w:val="AERTable-Text"/>
        <w:tblW w:w="8472" w:type="dxa"/>
        <w:tblLayout w:type="fixed"/>
        <w:tblLook w:val="04A0" w:firstRow="1" w:lastRow="0" w:firstColumn="1" w:lastColumn="0" w:noHBand="0" w:noVBand="1"/>
      </w:tblPr>
      <w:tblGrid>
        <w:gridCol w:w="959"/>
        <w:gridCol w:w="829"/>
        <w:gridCol w:w="1439"/>
        <w:gridCol w:w="992"/>
        <w:gridCol w:w="992"/>
        <w:gridCol w:w="993"/>
        <w:gridCol w:w="2268"/>
      </w:tblGrid>
      <w:tr w:rsidR="005C3411" w:rsidRPr="00411897" w:rsidTr="005C3411">
        <w:trPr>
          <w:cnfStyle w:val="100000000000" w:firstRow="1" w:lastRow="0" w:firstColumn="0" w:lastColumn="0" w:oddVBand="0" w:evenVBand="0" w:oddHBand="0" w:evenHBand="0" w:firstRowFirstColumn="0" w:firstRowLastColumn="0" w:lastRowFirstColumn="0" w:lastRowLastColumn="0"/>
          <w:trHeight w:val="780"/>
          <w:tblHeader/>
        </w:trPr>
        <w:tc>
          <w:tcPr>
            <w:tcW w:w="959" w:type="dxa"/>
            <w:hideMark/>
          </w:tcPr>
          <w:p w:rsidR="005C3411" w:rsidRPr="00265486" w:rsidRDefault="005C3411" w:rsidP="005B0461">
            <w:pPr>
              <w:pStyle w:val="TableHeading"/>
              <w:jc w:val="center"/>
            </w:pPr>
            <w:r>
              <w:t xml:space="preserve">Submit </w:t>
            </w:r>
            <w:r w:rsidRPr="00265486">
              <w:t>Time</w:t>
            </w:r>
          </w:p>
        </w:tc>
        <w:tc>
          <w:tcPr>
            <w:tcW w:w="829" w:type="dxa"/>
            <w:hideMark/>
          </w:tcPr>
          <w:p w:rsidR="005C3411" w:rsidRPr="00265486" w:rsidRDefault="005C3411" w:rsidP="005B0461">
            <w:pPr>
              <w:pStyle w:val="TableHeading"/>
              <w:jc w:val="center"/>
            </w:pPr>
            <w:r w:rsidRPr="00265486">
              <w:t>Participant</w:t>
            </w:r>
          </w:p>
        </w:tc>
        <w:tc>
          <w:tcPr>
            <w:tcW w:w="1439" w:type="dxa"/>
            <w:hideMark/>
          </w:tcPr>
          <w:p w:rsidR="005C3411" w:rsidRPr="00265486" w:rsidRDefault="005C3411" w:rsidP="005B0461">
            <w:pPr>
              <w:pStyle w:val="TableHeading"/>
              <w:jc w:val="center"/>
            </w:pPr>
            <w:r w:rsidRPr="00265486">
              <w:t>Station</w:t>
            </w:r>
          </w:p>
        </w:tc>
        <w:tc>
          <w:tcPr>
            <w:tcW w:w="992" w:type="dxa"/>
            <w:hideMark/>
          </w:tcPr>
          <w:p w:rsidR="005C3411" w:rsidRPr="00265486" w:rsidRDefault="005C3411" w:rsidP="005B0461">
            <w:pPr>
              <w:pStyle w:val="TableHeading"/>
              <w:jc w:val="center"/>
            </w:pPr>
            <w:r w:rsidRPr="00265486">
              <w:t>Capacity rebid (MW)</w:t>
            </w:r>
          </w:p>
        </w:tc>
        <w:tc>
          <w:tcPr>
            <w:tcW w:w="992" w:type="dxa"/>
            <w:hideMark/>
          </w:tcPr>
          <w:p w:rsidR="005C3411" w:rsidRPr="00265486" w:rsidRDefault="005C3411" w:rsidP="005B0461">
            <w:pPr>
              <w:pStyle w:val="TableHeading"/>
              <w:jc w:val="center"/>
            </w:pPr>
            <w:r w:rsidRPr="00265486">
              <w:t>Price from ($/MWh)</w:t>
            </w:r>
          </w:p>
        </w:tc>
        <w:tc>
          <w:tcPr>
            <w:tcW w:w="993" w:type="dxa"/>
            <w:hideMark/>
          </w:tcPr>
          <w:p w:rsidR="005C3411" w:rsidRPr="00265486" w:rsidRDefault="005C3411" w:rsidP="005B0461">
            <w:pPr>
              <w:pStyle w:val="TableHeading"/>
              <w:jc w:val="center"/>
            </w:pPr>
            <w:r w:rsidRPr="00265486">
              <w:t>Price to ($/MWh)</w:t>
            </w:r>
          </w:p>
        </w:tc>
        <w:tc>
          <w:tcPr>
            <w:tcW w:w="2268" w:type="dxa"/>
            <w:hideMark/>
          </w:tcPr>
          <w:p w:rsidR="005C3411" w:rsidRPr="00265486" w:rsidRDefault="005C3411" w:rsidP="005B0461">
            <w:pPr>
              <w:pStyle w:val="TableHeading"/>
              <w:jc w:val="center"/>
            </w:pPr>
            <w:r w:rsidRPr="00265486">
              <w:t>Rebid reason</w:t>
            </w:r>
          </w:p>
        </w:tc>
      </w:tr>
      <w:tr w:rsidR="005C3411" w:rsidRPr="00411897" w:rsidTr="005C3411">
        <w:trPr>
          <w:trHeight w:val="606"/>
        </w:trPr>
        <w:tc>
          <w:tcPr>
            <w:tcW w:w="959" w:type="dxa"/>
          </w:tcPr>
          <w:p w:rsidR="005C3411" w:rsidRPr="00603914" w:rsidRDefault="005C3411" w:rsidP="005C3411">
            <w:pPr>
              <w:pStyle w:val="Tabletext"/>
              <w:ind w:left="-84" w:right="-55"/>
              <w:jc w:val="center"/>
              <w:rPr>
                <w:b/>
              </w:rPr>
            </w:pPr>
            <w:r>
              <w:rPr>
                <w:b/>
              </w:rPr>
              <w:t>7</w:t>
            </w:r>
            <w:r w:rsidRPr="00603914">
              <w:rPr>
                <w:b/>
              </w:rPr>
              <w:t>.</w:t>
            </w:r>
            <w:r>
              <w:rPr>
                <w:b/>
              </w:rPr>
              <w:t>39 am</w:t>
            </w:r>
          </w:p>
        </w:tc>
        <w:tc>
          <w:tcPr>
            <w:tcW w:w="829" w:type="dxa"/>
          </w:tcPr>
          <w:p w:rsidR="005C3411" w:rsidRDefault="005C3411" w:rsidP="005B0461">
            <w:pPr>
              <w:pStyle w:val="Tabletext"/>
              <w:ind w:left="-84" w:right="-55"/>
              <w:jc w:val="center"/>
            </w:pPr>
            <w:r>
              <w:t>Delta</w:t>
            </w:r>
          </w:p>
        </w:tc>
        <w:tc>
          <w:tcPr>
            <w:tcW w:w="1439" w:type="dxa"/>
          </w:tcPr>
          <w:p w:rsidR="005C3411" w:rsidRDefault="005C3411" w:rsidP="005B0461">
            <w:pPr>
              <w:pStyle w:val="Tabletext"/>
              <w:ind w:left="-84" w:right="-55"/>
              <w:jc w:val="center"/>
            </w:pPr>
            <w:r>
              <w:t>Vales Point</w:t>
            </w:r>
          </w:p>
        </w:tc>
        <w:tc>
          <w:tcPr>
            <w:tcW w:w="992" w:type="dxa"/>
          </w:tcPr>
          <w:p w:rsidR="005C3411" w:rsidRPr="00F031FE" w:rsidRDefault="005C3411" w:rsidP="005B0461">
            <w:pPr>
              <w:pStyle w:val="Tabletext"/>
              <w:ind w:left="-84" w:right="-55"/>
              <w:jc w:val="center"/>
            </w:pPr>
            <w:r>
              <w:t>160</w:t>
            </w:r>
          </w:p>
        </w:tc>
        <w:tc>
          <w:tcPr>
            <w:tcW w:w="992" w:type="dxa"/>
          </w:tcPr>
          <w:p w:rsidR="005C3411" w:rsidRPr="00F031FE" w:rsidRDefault="005C3411" w:rsidP="005B0461">
            <w:pPr>
              <w:pStyle w:val="Tabletext"/>
              <w:ind w:left="-84" w:right="-55"/>
              <w:jc w:val="center"/>
            </w:pPr>
            <w:r>
              <w:t>&lt;280</w:t>
            </w:r>
          </w:p>
        </w:tc>
        <w:tc>
          <w:tcPr>
            <w:tcW w:w="993" w:type="dxa"/>
          </w:tcPr>
          <w:p w:rsidR="005C3411" w:rsidRPr="00F031FE" w:rsidRDefault="005C3411" w:rsidP="005B0461">
            <w:pPr>
              <w:pStyle w:val="Tabletext"/>
              <w:ind w:left="-84" w:right="-55"/>
              <w:jc w:val="center"/>
            </w:pPr>
            <w:r>
              <w:t>N/A</w:t>
            </w:r>
          </w:p>
        </w:tc>
        <w:tc>
          <w:tcPr>
            <w:tcW w:w="2268" w:type="dxa"/>
          </w:tcPr>
          <w:p w:rsidR="005C3411" w:rsidRPr="00F031FE" w:rsidRDefault="005C3411" w:rsidP="005B0461">
            <w:pPr>
              <w:pStyle w:val="Tabletext"/>
              <w:ind w:left="-84" w:right="-55"/>
              <w:rPr>
                <w:rFonts w:cs="Arial"/>
                <w:bCs/>
              </w:rPr>
            </w:pPr>
            <w:r>
              <w:rPr>
                <w:rFonts w:cs="Arial"/>
                <w:sz w:val="16"/>
                <w:szCs w:val="16"/>
              </w:rPr>
              <w:t xml:space="preserve">0737P </w:t>
            </w:r>
            <w:r w:rsidR="00651005">
              <w:rPr>
                <w:rFonts w:cs="Arial"/>
                <w:sz w:val="16"/>
                <w:szCs w:val="16"/>
              </w:rPr>
              <w:t>fabric filter pass o/s capacity limit</w:t>
            </w:r>
          </w:p>
        </w:tc>
      </w:tr>
      <w:tr w:rsidR="002B0DAE" w:rsidRPr="00411897" w:rsidTr="005C3411">
        <w:trPr>
          <w:cnfStyle w:val="000000010000" w:firstRow="0" w:lastRow="0" w:firstColumn="0" w:lastColumn="0" w:oddVBand="0" w:evenVBand="0" w:oddHBand="0" w:evenHBand="1" w:firstRowFirstColumn="0" w:firstRowLastColumn="0" w:lastRowFirstColumn="0" w:lastRowLastColumn="0"/>
          <w:trHeight w:val="606"/>
        </w:trPr>
        <w:tc>
          <w:tcPr>
            <w:tcW w:w="959" w:type="dxa"/>
          </w:tcPr>
          <w:p w:rsidR="002B0DAE" w:rsidRDefault="008C6B16" w:rsidP="005C3411">
            <w:pPr>
              <w:pStyle w:val="Tabletext"/>
              <w:ind w:left="-84" w:right="-55"/>
              <w:jc w:val="center"/>
              <w:rPr>
                <w:b/>
              </w:rPr>
            </w:pPr>
            <w:r>
              <w:rPr>
                <w:b/>
              </w:rPr>
              <w:t>8.11 am</w:t>
            </w:r>
          </w:p>
        </w:tc>
        <w:tc>
          <w:tcPr>
            <w:tcW w:w="829" w:type="dxa"/>
          </w:tcPr>
          <w:p w:rsidR="002B0DAE" w:rsidRDefault="008C6B16" w:rsidP="005B0461">
            <w:pPr>
              <w:pStyle w:val="Tabletext"/>
              <w:ind w:left="-84" w:right="-55"/>
              <w:jc w:val="center"/>
            </w:pPr>
            <w:r>
              <w:t>Delta</w:t>
            </w:r>
          </w:p>
        </w:tc>
        <w:tc>
          <w:tcPr>
            <w:tcW w:w="1439" w:type="dxa"/>
          </w:tcPr>
          <w:p w:rsidR="002B0DAE" w:rsidRDefault="008C6B16" w:rsidP="005B0461">
            <w:pPr>
              <w:pStyle w:val="Tabletext"/>
              <w:ind w:left="-84" w:right="-55"/>
              <w:jc w:val="center"/>
            </w:pPr>
            <w:r>
              <w:t>Vales Point</w:t>
            </w:r>
          </w:p>
        </w:tc>
        <w:tc>
          <w:tcPr>
            <w:tcW w:w="992" w:type="dxa"/>
          </w:tcPr>
          <w:p w:rsidR="002B0DAE" w:rsidRDefault="008C6B16" w:rsidP="005B0461">
            <w:pPr>
              <w:pStyle w:val="Tabletext"/>
              <w:ind w:left="-84" w:right="-55"/>
              <w:jc w:val="center"/>
            </w:pPr>
            <w:r>
              <w:t>160</w:t>
            </w:r>
          </w:p>
        </w:tc>
        <w:tc>
          <w:tcPr>
            <w:tcW w:w="992" w:type="dxa"/>
          </w:tcPr>
          <w:p w:rsidR="002B0DAE" w:rsidRDefault="008C6B16" w:rsidP="005B0461">
            <w:pPr>
              <w:pStyle w:val="Tabletext"/>
              <w:ind w:left="-84" w:right="-55"/>
              <w:jc w:val="center"/>
            </w:pPr>
            <w:r>
              <w:t>N/A</w:t>
            </w:r>
          </w:p>
        </w:tc>
        <w:tc>
          <w:tcPr>
            <w:tcW w:w="993" w:type="dxa"/>
          </w:tcPr>
          <w:p w:rsidR="002B0DAE" w:rsidRDefault="008C6B16" w:rsidP="005B0461">
            <w:pPr>
              <w:pStyle w:val="Tabletext"/>
              <w:ind w:left="-84" w:right="-55"/>
              <w:jc w:val="center"/>
            </w:pPr>
            <w:r>
              <w:t>280</w:t>
            </w:r>
          </w:p>
        </w:tc>
        <w:tc>
          <w:tcPr>
            <w:tcW w:w="2268" w:type="dxa"/>
          </w:tcPr>
          <w:p w:rsidR="002B0DAE" w:rsidRDefault="008C6B16" w:rsidP="005B0461">
            <w:pPr>
              <w:pStyle w:val="Tabletext"/>
              <w:ind w:left="-84" w:right="-55"/>
              <w:rPr>
                <w:rFonts w:cs="Arial"/>
                <w:sz w:val="16"/>
                <w:szCs w:val="16"/>
              </w:rPr>
            </w:pPr>
            <w:r>
              <w:rPr>
                <w:rFonts w:cs="Arial"/>
                <w:sz w:val="16"/>
                <w:szCs w:val="16"/>
              </w:rPr>
              <w:t>0811P fabric filter pass o/s capacity limit alter, ramp rate cha</w:t>
            </w:r>
          </w:p>
        </w:tc>
      </w:tr>
      <w:tr w:rsidR="005C3411" w:rsidRPr="00411897" w:rsidTr="005C3411">
        <w:trPr>
          <w:trHeight w:val="673"/>
        </w:trPr>
        <w:tc>
          <w:tcPr>
            <w:tcW w:w="959" w:type="dxa"/>
          </w:tcPr>
          <w:p w:rsidR="005C3411" w:rsidRPr="00603914" w:rsidRDefault="005C3411" w:rsidP="005C3411">
            <w:pPr>
              <w:pStyle w:val="Tabletext"/>
              <w:ind w:left="-84" w:right="-55"/>
              <w:jc w:val="center"/>
              <w:rPr>
                <w:b/>
              </w:rPr>
            </w:pPr>
            <w:r>
              <w:rPr>
                <w:b/>
              </w:rPr>
              <w:t>9</w:t>
            </w:r>
            <w:r w:rsidRPr="00603914">
              <w:rPr>
                <w:b/>
              </w:rPr>
              <w:t>.</w:t>
            </w:r>
            <w:r>
              <w:rPr>
                <w:b/>
              </w:rPr>
              <w:t>52 am</w:t>
            </w:r>
          </w:p>
        </w:tc>
        <w:tc>
          <w:tcPr>
            <w:tcW w:w="829" w:type="dxa"/>
          </w:tcPr>
          <w:p w:rsidR="005C3411" w:rsidRDefault="005C3411" w:rsidP="005B0461">
            <w:pPr>
              <w:pStyle w:val="Tabletext"/>
              <w:ind w:left="-84" w:right="-55"/>
              <w:jc w:val="center"/>
            </w:pPr>
            <w:r>
              <w:t>Delta</w:t>
            </w:r>
          </w:p>
        </w:tc>
        <w:tc>
          <w:tcPr>
            <w:tcW w:w="1439" w:type="dxa"/>
          </w:tcPr>
          <w:p w:rsidR="005C3411" w:rsidRDefault="005C3411" w:rsidP="005B0461">
            <w:pPr>
              <w:pStyle w:val="Tabletext"/>
              <w:ind w:left="-84" w:right="-55"/>
              <w:jc w:val="center"/>
            </w:pPr>
            <w:r>
              <w:t>Vales Point</w:t>
            </w:r>
          </w:p>
        </w:tc>
        <w:tc>
          <w:tcPr>
            <w:tcW w:w="992" w:type="dxa"/>
          </w:tcPr>
          <w:p w:rsidR="005C3411" w:rsidRDefault="005C3411" w:rsidP="005B0461">
            <w:pPr>
              <w:pStyle w:val="Tabletext"/>
              <w:ind w:left="-84" w:right="-55"/>
              <w:jc w:val="center"/>
            </w:pPr>
            <w:r>
              <w:t>40</w:t>
            </w:r>
          </w:p>
        </w:tc>
        <w:tc>
          <w:tcPr>
            <w:tcW w:w="992" w:type="dxa"/>
          </w:tcPr>
          <w:p w:rsidR="005C3411" w:rsidRDefault="005C3411" w:rsidP="005C3411">
            <w:pPr>
              <w:pStyle w:val="Tabletext"/>
              <w:ind w:left="-84" w:right="-55"/>
              <w:jc w:val="center"/>
            </w:pPr>
            <w:r>
              <w:t>35</w:t>
            </w:r>
          </w:p>
        </w:tc>
        <w:tc>
          <w:tcPr>
            <w:tcW w:w="993" w:type="dxa"/>
          </w:tcPr>
          <w:p w:rsidR="005C3411" w:rsidRDefault="005C3411" w:rsidP="005B0461">
            <w:pPr>
              <w:pStyle w:val="Tabletext"/>
              <w:ind w:left="-84" w:right="-55"/>
              <w:jc w:val="center"/>
            </w:pPr>
            <w:r>
              <w:t>280</w:t>
            </w:r>
          </w:p>
        </w:tc>
        <w:tc>
          <w:tcPr>
            <w:tcW w:w="2268" w:type="dxa"/>
          </w:tcPr>
          <w:p w:rsidR="005C3411" w:rsidRPr="006D7923" w:rsidRDefault="005C3411" w:rsidP="005B0461">
            <w:pPr>
              <w:pStyle w:val="Tabletext"/>
              <w:ind w:left="-84" w:right="-55"/>
              <w:rPr>
                <w:rFonts w:cs="Arial"/>
                <w:szCs w:val="16"/>
              </w:rPr>
            </w:pPr>
            <w:r>
              <w:rPr>
                <w:rFonts w:cs="Arial"/>
                <w:sz w:val="16"/>
                <w:szCs w:val="16"/>
              </w:rPr>
              <w:t xml:space="preserve">0951P VP6 </w:t>
            </w:r>
            <w:r w:rsidR="00651005">
              <w:rPr>
                <w:rFonts w:cs="Arial"/>
                <w:sz w:val="16"/>
                <w:szCs w:val="16"/>
              </w:rPr>
              <w:t xml:space="preserve">fabric filter issue resolved – portfolio balance </w:t>
            </w:r>
            <w:r>
              <w:rPr>
                <w:rFonts w:cs="Arial"/>
                <w:sz w:val="16"/>
                <w:szCs w:val="16"/>
              </w:rPr>
              <w:t>- SL</w:t>
            </w:r>
          </w:p>
        </w:tc>
      </w:tr>
      <w:tr w:rsidR="005C3411" w:rsidRPr="00411897" w:rsidTr="005C3411">
        <w:trPr>
          <w:cnfStyle w:val="000000010000" w:firstRow="0" w:lastRow="0" w:firstColumn="0" w:lastColumn="0" w:oddVBand="0" w:evenVBand="0" w:oddHBand="0" w:evenHBand="1" w:firstRowFirstColumn="0" w:firstRowLastColumn="0" w:lastRowFirstColumn="0" w:lastRowLastColumn="0"/>
          <w:trHeight w:val="673"/>
        </w:trPr>
        <w:tc>
          <w:tcPr>
            <w:tcW w:w="959" w:type="dxa"/>
          </w:tcPr>
          <w:p w:rsidR="005C3411" w:rsidRPr="00603914" w:rsidRDefault="005C3411" w:rsidP="005C3411">
            <w:pPr>
              <w:pStyle w:val="Tabletext"/>
              <w:ind w:left="-84" w:right="-55"/>
              <w:jc w:val="center"/>
              <w:rPr>
                <w:b/>
              </w:rPr>
            </w:pPr>
            <w:r w:rsidRPr="00603914">
              <w:rPr>
                <w:b/>
              </w:rPr>
              <w:t>1</w:t>
            </w:r>
            <w:r>
              <w:rPr>
                <w:b/>
              </w:rPr>
              <w:t>0</w:t>
            </w:r>
            <w:r w:rsidRPr="00603914">
              <w:rPr>
                <w:b/>
              </w:rPr>
              <w:t>.</w:t>
            </w:r>
            <w:r>
              <w:rPr>
                <w:b/>
              </w:rPr>
              <w:t>0</w:t>
            </w:r>
            <w:r w:rsidRPr="00603914">
              <w:rPr>
                <w:b/>
              </w:rPr>
              <w:t>8</w:t>
            </w:r>
            <w:r>
              <w:rPr>
                <w:b/>
              </w:rPr>
              <w:t> am</w:t>
            </w:r>
          </w:p>
        </w:tc>
        <w:tc>
          <w:tcPr>
            <w:tcW w:w="829" w:type="dxa"/>
          </w:tcPr>
          <w:p w:rsidR="005C3411" w:rsidRPr="00F031FE" w:rsidRDefault="005C3411" w:rsidP="005B0461">
            <w:pPr>
              <w:pStyle w:val="Tabletext"/>
              <w:ind w:left="-84" w:right="-55"/>
              <w:jc w:val="center"/>
            </w:pPr>
            <w:r>
              <w:t>AGL</w:t>
            </w:r>
          </w:p>
        </w:tc>
        <w:tc>
          <w:tcPr>
            <w:tcW w:w="1439" w:type="dxa"/>
          </w:tcPr>
          <w:p w:rsidR="005C3411" w:rsidRPr="00F031FE" w:rsidRDefault="005C3411" w:rsidP="005B0461">
            <w:pPr>
              <w:pStyle w:val="Tabletext"/>
              <w:ind w:left="-84" w:right="-55"/>
              <w:jc w:val="center"/>
            </w:pPr>
            <w:r>
              <w:t>Bayswater</w:t>
            </w:r>
          </w:p>
        </w:tc>
        <w:tc>
          <w:tcPr>
            <w:tcW w:w="992" w:type="dxa"/>
          </w:tcPr>
          <w:p w:rsidR="005C3411" w:rsidRPr="00F031FE" w:rsidRDefault="005C3411" w:rsidP="005B0461">
            <w:pPr>
              <w:pStyle w:val="Tabletext"/>
              <w:ind w:left="-84" w:right="-55"/>
              <w:jc w:val="center"/>
            </w:pPr>
            <w:r>
              <w:t>90</w:t>
            </w:r>
          </w:p>
        </w:tc>
        <w:tc>
          <w:tcPr>
            <w:tcW w:w="992" w:type="dxa"/>
          </w:tcPr>
          <w:p w:rsidR="005C3411" w:rsidRPr="00F031FE" w:rsidRDefault="005C3411" w:rsidP="005C3411">
            <w:pPr>
              <w:pStyle w:val="Tabletext"/>
              <w:ind w:left="-84" w:right="-55"/>
              <w:jc w:val="center"/>
            </w:pPr>
            <w:r>
              <w:t>&lt;29</w:t>
            </w:r>
          </w:p>
        </w:tc>
        <w:tc>
          <w:tcPr>
            <w:tcW w:w="993" w:type="dxa"/>
          </w:tcPr>
          <w:p w:rsidR="005C3411" w:rsidRPr="00F031FE" w:rsidRDefault="005C3411" w:rsidP="005C3411">
            <w:pPr>
              <w:pStyle w:val="Tabletext"/>
              <w:ind w:left="-84" w:right="-55"/>
              <w:jc w:val="center"/>
            </w:pPr>
            <w:r>
              <w:t>296</w:t>
            </w:r>
          </w:p>
        </w:tc>
        <w:tc>
          <w:tcPr>
            <w:tcW w:w="2268" w:type="dxa"/>
          </w:tcPr>
          <w:p w:rsidR="005C3411" w:rsidRPr="00F031FE" w:rsidRDefault="005C3411" w:rsidP="00651005">
            <w:pPr>
              <w:pStyle w:val="Tabletext"/>
              <w:ind w:left="-84" w:right="-55"/>
            </w:pPr>
            <w:r>
              <w:rPr>
                <w:rFonts w:cs="Arial"/>
                <w:sz w:val="16"/>
                <w:szCs w:val="16"/>
              </w:rPr>
              <w:t xml:space="preserve">1000~A~040 </w:t>
            </w:r>
            <w:proofErr w:type="spellStart"/>
            <w:r w:rsidR="00651005">
              <w:rPr>
                <w:rFonts w:cs="Arial"/>
                <w:sz w:val="16"/>
                <w:szCs w:val="16"/>
              </w:rPr>
              <w:t>chg</w:t>
            </w:r>
            <w:proofErr w:type="spellEnd"/>
            <w:r w:rsidR="00651005">
              <w:rPr>
                <w:rFonts w:cs="Arial"/>
                <w:sz w:val="16"/>
                <w:szCs w:val="16"/>
              </w:rPr>
              <w:t xml:space="preserve"> in AEMO disp~44 price decrease vs</w:t>
            </w:r>
            <w:r>
              <w:rPr>
                <w:rFonts w:cs="Arial"/>
                <w:sz w:val="16"/>
                <w:szCs w:val="16"/>
              </w:rPr>
              <w:t xml:space="preserve"> PD NSW $62.76 </w:t>
            </w:r>
            <w:r w:rsidR="00651005">
              <w:rPr>
                <w:rFonts w:cs="Arial"/>
                <w:sz w:val="16"/>
                <w:szCs w:val="16"/>
              </w:rPr>
              <w:t>v</w:t>
            </w:r>
          </w:p>
        </w:tc>
      </w:tr>
    </w:tbl>
    <w:p w:rsidR="00D74261" w:rsidRDefault="00651005" w:rsidP="00265486">
      <w:r>
        <w:t xml:space="preserve">With no capacity priced between $65/MWh and $275/MWh small changes in demand and </w:t>
      </w:r>
      <w:r w:rsidR="00C34065">
        <w:t xml:space="preserve">the above rebidding </w:t>
      </w:r>
      <w:r>
        <w:t xml:space="preserve">saw the </w:t>
      </w:r>
      <w:r w:rsidR="00C34065">
        <w:t>dispatch</w:t>
      </w:r>
      <w:r>
        <w:t xml:space="preserve"> price at around</w:t>
      </w:r>
      <w:r w:rsidR="00C34065">
        <w:t xml:space="preserve"> $280/MWh for all but one dispatch interval during the 11 am trading interval.</w:t>
      </w:r>
    </w:p>
    <w:p w:rsidR="00066157" w:rsidRPr="00066157" w:rsidRDefault="00066157" w:rsidP="00066157">
      <w:pPr>
        <w:pStyle w:val="Heading2"/>
      </w:pPr>
      <w:r>
        <w:t>South Australia</w:t>
      </w:r>
    </w:p>
    <w:p w:rsidR="00066157" w:rsidRDefault="00066157" w:rsidP="00066157">
      <w:pPr>
        <w:pStyle w:val="AERHeading3"/>
        <w:rPr>
          <w:rFonts w:eastAsiaTheme="minorHAnsi" w:cstheme="minorBidi"/>
          <w:b w:val="0"/>
          <w:bCs w:val="0"/>
          <w:color w:val="auto"/>
          <w:sz w:val="22"/>
        </w:rPr>
      </w:pPr>
      <w:r w:rsidRPr="00066157">
        <w:rPr>
          <w:rFonts w:eastAsiaTheme="minorHAnsi" w:cstheme="minorBidi"/>
          <w:b w:val="0"/>
          <w:bCs w:val="0"/>
          <w:color w:val="auto"/>
          <w:sz w:val="22"/>
        </w:rPr>
        <w:t>There were two occasions where the spot price in South Australia was greater than three times the South Australia weekly average price of $50/MWh and above $250/MWh.</w:t>
      </w:r>
    </w:p>
    <w:p w:rsidR="00066157" w:rsidRPr="00066157" w:rsidRDefault="00066157" w:rsidP="00066157">
      <w:pPr>
        <w:pStyle w:val="AERHeading3"/>
      </w:pPr>
      <w:r>
        <w:t>South Australia</w:t>
      </w:r>
      <w:r w:rsidRPr="00066157">
        <w:t>– Thursday 16 April</w:t>
      </w:r>
    </w:p>
    <w:p w:rsidR="00066157" w:rsidRPr="00066157" w:rsidRDefault="00066157" w:rsidP="00066157">
      <w:pPr>
        <w:pStyle w:val="Caption"/>
      </w:pPr>
      <w:r w:rsidRPr="00066157">
        <w:t xml:space="preserve">Table </w:t>
      </w:r>
      <w:r w:rsidR="00C34065">
        <w:t>8</w:t>
      </w:r>
      <w:r w:rsidRPr="00066157">
        <w:t>: Price, Demand and Availability</w:t>
      </w:r>
    </w:p>
    <w:tbl>
      <w:tblPr>
        <w:tblStyle w:val="AERTable-Text"/>
        <w:tblW w:w="5000" w:type="pct"/>
        <w:tblLook w:val="04A0" w:firstRow="1" w:lastRow="0" w:firstColumn="1" w:lastColumn="0" w:noHBand="0" w:noVBand="1"/>
      </w:tblPr>
      <w:tblGrid>
        <w:gridCol w:w="812"/>
        <w:gridCol w:w="936"/>
        <w:gridCol w:w="938"/>
        <w:gridCol w:w="938"/>
        <w:gridCol w:w="935"/>
        <w:gridCol w:w="937"/>
        <w:gridCol w:w="937"/>
        <w:gridCol w:w="935"/>
        <w:gridCol w:w="937"/>
        <w:gridCol w:w="937"/>
      </w:tblGrid>
      <w:tr w:rsidR="00066157" w:rsidRPr="00066157" w:rsidTr="00192441">
        <w:trPr>
          <w:cnfStyle w:val="100000000000" w:firstRow="1" w:lastRow="0" w:firstColumn="0" w:lastColumn="0" w:oddVBand="0" w:evenVBand="0" w:oddHBand="0" w:evenHBand="0" w:firstRowFirstColumn="0" w:firstRowLastColumn="0" w:lastRowFirstColumn="0" w:lastRowLastColumn="0"/>
          <w:tblHeader/>
        </w:trPr>
        <w:tc>
          <w:tcPr>
            <w:tcW w:w="439" w:type="pct"/>
            <w:tcBorders>
              <w:bottom w:val="nil"/>
            </w:tcBorders>
            <w:hideMark/>
          </w:tcPr>
          <w:p w:rsidR="00066157" w:rsidRPr="00066157" w:rsidRDefault="00066157" w:rsidP="000766E2">
            <w:pPr>
              <w:pStyle w:val="TableHeading"/>
              <w:jc w:val="center"/>
            </w:pPr>
            <w:r w:rsidRPr="00066157">
              <w:t>Time</w:t>
            </w:r>
          </w:p>
        </w:tc>
        <w:tc>
          <w:tcPr>
            <w:tcW w:w="1520" w:type="pct"/>
            <w:gridSpan w:val="3"/>
            <w:tcBorders>
              <w:bottom w:val="nil"/>
            </w:tcBorders>
            <w:hideMark/>
          </w:tcPr>
          <w:p w:rsidR="00066157" w:rsidRPr="00066157" w:rsidRDefault="00066157" w:rsidP="000766E2">
            <w:pPr>
              <w:pStyle w:val="TableHeading"/>
              <w:jc w:val="center"/>
            </w:pPr>
            <w:r w:rsidRPr="00066157">
              <w:t>Price ($/MWh)</w:t>
            </w:r>
          </w:p>
        </w:tc>
        <w:tc>
          <w:tcPr>
            <w:tcW w:w="1520" w:type="pct"/>
            <w:gridSpan w:val="3"/>
            <w:tcBorders>
              <w:bottom w:val="nil"/>
            </w:tcBorders>
            <w:hideMark/>
          </w:tcPr>
          <w:p w:rsidR="00066157" w:rsidRPr="00066157" w:rsidRDefault="00066157" w:rsidP="000766E2">
            <w:pPr>
              <w:pStyle w:val="TableHeading"/>
              <w:jc w:val="center"/>
            </w:pPr>
            <w:r w:rsidRPr="00066157">
              <w:t>Demand (MW)</w:t>
            </w:r>
          </w:p>
        </w:tc>
        <w:tc>
          <w:tcPr>
            <w:tcW w:w="1520" w:type="pct"/>
            <w:gridSpan w:val="3"/>
            <w:tcBorders>
              <w:bottom w:val="nil"/>
            </w:tcBorders>
            <w:hideMark/>
          </w:tcPr>
          <w:p w:rsidR="00066157" w:rsidRPr="00066157" w:rsidRDefault="00066157" w:rsidP="000766E2">
            <w:pPr>
              <w:pStyle w:val="TableHeading"/>
              <w:jc w:val="center"/>
            </w:pPr>
            <w:r w:rsidRPr="00066157">
              <w:t>Availability (MW)</w:t>
            </w:r>
          </w:p>
        </w:tc>
      </w:tr>
      <w:tr w:rsidR="00066157" w:rsidRPr="00066157" w:rsidTr="00192441">
        <w:trPr>
          <w:cnfStyle w:val="100000000000" w:firstRow="1" w:lastRow="0" w:firstColumn="0" w:lastColumn="0" w:oddVBand="0" w:evenVBand="0" w:oddHBand="0" w:evenHBand="0" w:firstRowFirstColumn="0" w:firstRowLastColumn="0" w:lastRowFirstColumn="0" w:lastRowLastColumn="0"/>
          <w:tblHeader/>
        </w:trPr>
        <w:tc>
          <w:tcPr>
            <w:tcW w:w="439" w:type="pct"/>
            <w:tcBorders>
              <w:bottom w:val="nil"/>
            </w:tcBorders>
            <w:shd w:val="clear" w:color="auto" w:fill="007192" w:themeFill="accent3" w:themeFillShade="BF"/>
            <w:hideMark/>
          </w:tcPr>
          <w:p w:rsidR="00066157" w:rsidRPr="00066157" w:rsidRDefault="00066157" w:rsidP="000766E2">
            <w:pPr>
              <w:pStyle w:val="tableheadingline2"/>
            </w:pPr>
            <w:r w:rsidRPr="00066157">
              <w:t> </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r>
      <w:tr w:rsidR="00066157" w:rsidRPr="00066157" w:rsidTr="00192441">
        <w:trPr>
          <w:trHeight w:val="510"/>
        </w:trPr>
        <w:tc>
          <w:tcPr>
            <w:tcW w:w="439" w:type="pct"/>
            <w:tcBorders>
              <w:top w:val="nil"/>
            </w:tcBorders>
            <w:vAlign w:val="center"/>
          </w:tcPr>
          <w:p w:rsidR="00066157" w:rsidRPr="00066157" w:rsidRDefault="00066157" w:rsidP="00C34065">
            <w:pPr>
              <w:pStyle w:val="NormalWeb"/>
              <w:jc w:val="center"/>
              <w:rPr>
                <w:rFonts w:asciiTheme="minorHAnsi" w:hAnsiTheme="minorHAnsi" w:cstheme="minorHAnsi"/>
                <w:sz w:val="18"/>
              </w:rPr>
            </w:pPr>
            <w:r w:rsidRPr="00066157">
              <w:rPr>
                <w:rFonts w:asciiTheme="minorHAnsi" w:hAnsiTheme="minorHAnsi" w:cstheme="minorHAnsi"/>
                <w:b/>
                <w:bCs/>
                <w:sz w:val="18"/>
                <w:szCs w:val="16"/>
              </w:rPr>
              <w:t>10</w:t>
            </w:r>
            <w:r w:rsidR="00C34065">
              <w:rPr>
                <w:rFonts w:asciiTheme="minorHAnsi" w:hAnsiTheme="minorHAnsi" w:cstheme="minorHAnsi"/>
                <w:b/>
                <w:bCs/>
                <w:sz w:val="18"/>
                <w:szCs w:val="16"/>
              </w:rPr>
              <w:t> am</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2282.19</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54.99</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54.99</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1364</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1400</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1436</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1787</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1789</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1709</w:t>
            </w:r>
          </w:p>
        </w:tc>
      </w:tr>
    </w:tbl>
    <w:p w:rsidR="00AD5315" w:rsidRDefault="00AD5315" w:rsidP="00E32A8C">
      <w:pPr>
        <w:pStyle w:val="AERbodytext"/>
      </w:pPr>
    </w:p>
    <w:p w:rsidR="00E52A27" w:rsidRDefault="00E32A8C" w:rsidP="00E32A8C">
      <w:pPr>
        <w:pStyle w:val="AERbodytext"/>
      </w:pPr>
      <w:r>
        <w:t>Conditions at the time saw demand and available capacity close</w:t>
      </w:r>
      <w:r w:rsidR="008B6DA5">
        <w:t xml:space="preserve"> to</w:t>
      </w:r>
      <w:r>
        <w:t xml:space="preserve"> forecast four hours ahead.</w:t>
      </w:r>
      <w:r w:rsidR="00E03069">
        <w:t xml:space="preserve"> Wind generation was only around 2</w:t>
      </w:r>
      <w:r w:rsidR="00192441">
        <w:t>2</w:t>
      </w:r>
      <w:r w:rsidR="00E03069">
        <w:t>0 MW</w:t>
      </w:r>
      <w:r w:rsidR="008B6DA5">
        <w:t xml:space="preserve"> at the time of the high price</w:t>
      </w:r>
      <w:r w:rsidR="00E03069">
        <w:t>.</w:t>
      </w:r>
    </w:p>
    <w:p w:rsidR="00192441" w:rsidRDefault="00E32A8C" w:rsidP="00E03069">
      <w:pPr>
        <w:pStyle w:val="AERbodytext"/>
      </w:pPr>
      <w:r>
        <w:t>At 9.14 am, effective from 9.25 am, AGL rebid 200 MW of capacity at Torrens Island from prices below $66/MWh to the price cap. The reason given was “</w:t>
      </w:r>
      <w:r w:rsidRPr="00E32A8C">
        <w:t xml:space="preserve">0910~F~070 </w:t>
      </w:r>
      <w:proofErr w:type="spellStart"/>
      <w:r w:rsidRPr="00E32A8C">
        <w:t>chg</w:t>
      </w:r>
      <w:proofErr w:type="spellEnd"/>
      <w:r w:rsidRPr="00E32A8C">
        <w:t xml:space="preserve"> in </w:t>
      </w:r>
      <w:proofErr w:type="spellStart"/>
      <w:proofErr w:type="gramStart"/>
      <w:r w:rsidRPr="00E32A8C">
        <w:t>ic</w:t>
      </w:r>
      <w:proofErr w:type="spellEnd"/>
      <w:proofErr w:type="gramEnd"/>
      <w:r w:rsidRPr="00E32A8C">
        <w:t xml:space="preserve"> operation~70 unexpected effect of </w:t>
      </w:r>
      <w:proofErr w:type="spellStart"/>
      <w:r w:rsidRPr="00E32A8C">
        <w:t>ir</w:t>
      </w:r>
      <w:proofErr w:type="spellEnd"/>
      <w:r w:rsidRPr="00E32A8C">
        <w:t xml:space="preserve"> </w:t>
      </w:r>
      <w:proofErr w:type="spellStart"/>
      <w:r w:rsidRPr="00E32A8C">
        <w:t>constr</w:t>
      </w:r>
      <w:proofErr w:type="spellEnd"/>
      <w:r w:rsidRPr="00E32A8C">
        <w:t>”</w:t>
      </w:r>
      <w:r>
        <w:t xml:space="preserve">. </w:t>
      </w:r>
    </w:p>
    <w:p w:rsidR="00E03069" w:rsidRDefault="00E03069" w:rsidP="00E03069">
      <w:pPr>
        <w:pStyle w:val="AERbodytext"/>
      </w:pPr>
      <w:r>
        <w:t>With one other thermal unit available to increase output (ramp up rate of 3 MW/min),</w:t>
      </w:r>
      <w:r w:rsidR="009B69AA">
        <w:t xml:space="preserve"> and</w:t>
      </w:r>
      <w:r>
        <w:t xml:space="preserve"> both interconnectors into South Australia at their limits</w:t>
      </w:r>
      <w:r w:rsidR="009B69AA">
        <w:t>,</w:t>
      </w:r>
      <w:r>
        <w:t xml:space="preserve"> the dispatch price reached the price cap at 9.35 am, </w:t>
      </w:r>
      <w:r w:rsidR="00AD5315">
        <w:t xml:space="preserve">as </w:t>
      </w:r>
      <w:r>
        <w:t>set by</w:t>
      </w:r>
      <w:r w:rsidR="00AD5315">
        <w:t xml:space="preserve"> the</w:t>
      </w:r>
      <w:r>
        <w:t xml:space="preserve"> Torrens Island</w:t>
      </w:r>
      <w:r w:rsidR="00AD5315">
        <w:t xml:space="preserve"> rebid</w:t>
      </w:r>
      <w:r>
        <w:t>.</w:t>
      </w:r>
    </w:p>
    <w:p w:rsidR="00066157" w:rsidRPr="00066157" w:rsidRDefault="00AD5315" w:rsidP="00066157">
      <w:pPr>
        <w:pStyle w:val="AERHeading3"/>
      </w:pPr>
      <w:r>
        <w:br w:type="column"/>
      </w:r>
      <w:r w:rsidR="00066157">
        <w:t>South Australia</w:t>
      </w:r>
      <w:r w:rsidR="00066157" w:rsidRPr="00066157">
        <w:t xml:space="preserve"> – </w:t>
      </w:r>
      <w:r w:rsidR="00066157">
        <w:t>Friday 17</w:t>
      </w:r>
      <w:r w:rsidR="00066157" w:rsidRPr="00066157">
        <w:t xml:space="preserve"> April</w:t>
      </w:r>
    </w:p>
    <w:p w:rsidR="00066157" w:rsidRPr="00066157" w:rsidRDefault="00066157" w:rsidP="00066157">
      <w:pPr>
        <w:pStyle w:val="Caption"/>
      </w:pPr>
      <w:r w:rsidRPr="00066157">
        <w:t xml:space="preserve">Table </w:t>
      </w:r>
      <w:r w:rsidR="00C34065">
        <w:t>9</w:t>
      </w:r>
      <w:r w:rsidRPr="00066157">
        <w:t>: Price, Demand and Availability</w:t>
      </w:r>
    </w:p>
    <w:tbl>
      <w:tblPr>
        <w:tblStyle w:val="AERTable-Text"/>
        <w:tblW w:w="5000" w:type="pct"/>
        <w:tblLook w:val="04A0" w:firstRow="1" w:lastRow="0" w:firstColumn="1" w:lastColumn="0" w:noHBand="0" w:noVBand="1"/>
      </w:tblPr>
      <w:tblGrid>
        <w:gridCol w:w="812"/>
        <w:gridCol w:w="936"/>
        <w:gridCol w:w="938"/>
        <w:gridCol w:w="938"/>
        <w:gridCol w:w="935"/>
        <w:gridCol w:w="937"/>
        <w:gridCol w:w="937"/>
        <w:gridCol w:w="935"/>
        <w:gridCol w:w="937"/>
        <w:gridCol w:w="937"/>
      </w:tblGrid>
      <w:tr w:rsidR="00066157" w:rsidRPr="00066157" w:rsidTr="00AF46F3">
        <w:trPr>
          <w:cnfStyle w:val="100000000000" w:firstRow="1" w:lastRow="0" w:firstColumn="0" w:lastColumn="0" w:oddVBand="0" w:evenVBand="0" w:oddHBand="0" w:evenHBand="0" w:firstRowFirstColumn="0" w:firstRowLastColumn="0" w:lastRowFirstColumn="0" w:lastRowLastColumn="0"/>
          <w:tblHeader/>
        </w:trPr>
        <w:tc>
          <w:tcPr>
            <w:tcW w:w="439" w:type="pct"/>
            <w:tcBorders>
              <w:bottom w:val="nil"/>
            </w:tcBorders>
            <w:hideMark/>
          </w:tcPr>
          <w:p w:rsidR="00066157" w:rsidRPr="00066157" w:rsidRDefault="00066157" w:rsidP="000766E2">
            <w:pPr>
              <w:pStyle w:val="TableHeading"/>
              <w:jc w:val="center"/>
            </w:pPr>
            <w:r w:rsidRPr="00066157">
              <w:t>Time</w:t>
            </w:r>
          </w:p>
        </w:tc>
        <w:tc>
          <w:tcPr>
            <w:tcW w:w="1520" w:type="pct"/>
            <w:gridSpan w:val="3"/>
            <w:tcBorders>
              <w:bottom w:val="nil"/>
            </w:tcBorders>
            <w:hideMark/>
          </w:tcPr>
          <w:p w:rsidR="00066157" w:rsidRPr="00066157" w:rsidRDefault="00066157" w:rsidP="000766E2">
            <w:pPr>
              <w:pStyle w:val="TableHeading"/>
              <w:jc w:val="center"/>
            </w:pPr>
            <w:r w:rsidRPr="00066157">
              <w:t>Price ($/MWh)</w:t>
            </w:r>
          </w:p>
        </w:tc>
        <w:tc>
          <w:tcPr>
            <w:tcW w:w="1520" w:type="pct"/>
            <w:gridSpan w:val="3"/>
            <w:tcBorders>
              <w:bottom w:val="nil"/>
            </w:tcBorders>
            <w:hideMark/>
          </w:tcPr>
          <w:p w:rsidR="00066157" w:rsidRPr="00066157" w:rsidRDefault="00066157" w:rsidP="000766E2">
            <w:pPr>
              <w:pStyle w:val="TableHeading"/>
              <w:jc w:val="center"/>
            </w:pPr>
            <w:r w:rsidRPr="00066157">
              <w:t>Demand (MW)</w:t>
            </w:r>
          </w:p>
        </w:tc>
        <w:tc>
          <w:tcPr>
            <w:tcW w:w="1520" w:type="pct"/>
            <w:gridSpan w:val="3"/>
            <w:tcBorders>
              <w:bottom w:val="nil"/>
            </w:tcBorders>
            <w:hideMark/>
          </w:tcPr>
          <w:p w:rsidR="00066157" w:rsidRPr="00066157" w:rsidRDefault="00066157" w:rsidP="000766E2">
            <w:pPr>
              <w:pStyle w:val="TableHeading"/>
              <w:jc w:val="center"/>
            </w:pPr>
            <w:r w:rsidRPr="00066157">
              <w:t>Availability (MW)</w:t>
            </w:r>
          </w:p>
        </w:tc>
      </w:tr>
      <w:tr w:rsidR="00066157" w:rsidRPr="00066157" w:rsidTr="00AF46F3">
        <w:trPr>
          <w:cnfStyle w:val="100000000000" w:firstRow="1" w:lastRow="0" w:firstColumn="0" w:lastColumn="0" w:oddVBand="0" w:evenVBand="0" w:oddHBand="0" w:evenHBand="0" w:firstRowFirstColumn="0" w:firstRowLastColumn="0" w:lastRowFirstColumn="0" w:lastRowLastColumn="0"/>
          <w:tblHeader/>
        </w:trPr>
        <w:tc>
          <w:tcPr>
            <w:tcW w:w="439" w:type="pct"/>
            <w:tcBorders>
              <w:bottom w:val="nil"/>
            </w:tcBorders>
            <w:shd w:val="clear" w:color="auto" w:fill="007192" w:themeFill="accent3" w:themeFillShade="BF"/>
            <w:hideMark/>
          </w:tcPr>
          <w:p w:rsidR="00066157" w:rsidRPr="00066157" w:rsidRDefault="00066157" w:rsidP="000766E2">
            <w:pPr>
              <w:pStyle w:val="tableheadingline2"/>
            </w:pPr>
            <w:r w:rsidRPr="00066157">
              <w:t> </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506"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7"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r>
      <w:tr w:rsidR="00066157" w:rsidRPr="00066157" w:rsidTr="00AF46F3">
        <w:trPr>
          <w:trHeight w:val="510"/>
        </w:trPr>
        <w:tc>
          <w:tcPr>
            <w:tcW w:w="439" w:type="pct"/>
            <w:tcBorders>
              <w:top w:val="nil"/>
            </w:tcBorders>
            <w:vAlign w:val="center"/>
          </w:tcPr>
          <w:p w:rsidR="00066157" w:rsidRPr="00066157" w:rsidRDefault="00647804" w:rsidP="00C34065">
            <w:pPr>
              <w:pStyle w:val="NormalWeb"/>
              <w:jc w:val="center"/>
              <w:rPr>
                <w:rFonts w:asciiTheme="minorHAnsi" w:hAnsiTheme="minorHAnsi" w:cstheme="minorHAnsi"/>
                <w:sz w:val="18"/>
              </w:rPr>
            </w:pPr>
            <w:r>
              <w:rPr>
                <w:rFonts w:asciiTheme="minorHAnsi" w:hAnsiTheme="minorHAnsi" w:cstheme="minorHAnsi"/>
                <w:b/>
                <w:bCs/>
                <w:sz w:val="18"/>
                <w:szCs w:val="16"/>
              </w:rPr>
              <w:t>2</w:t>
            </w:r>
            <w:r w:rsidR="00C34065">
              <w:rPr>
                <w:rFonts w:asciiTheme="minorHAnsi" w:hAnsiTheme="minorHAnsi" w:cstheme="minorHAnsi"/>
                <w:b/>
                <w:bCs/>
                <w:sz w:val="18"/>
                <w:szCs w:val="16"/>
              </w:rPr>
              <w:t> pm</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1845.63</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54.99</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40.70</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1467</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1495</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1347</w:t>
            </w:r>
          </w:p>
        </w:tc>
        <w:tc>
          <w:tcPr>
            <w:tcW w:w="506"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1604</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1782</w:t>
            </w:r>
          </w:p>
        </w:tc>
        <w:tc>
          <w:tcPr>
            <w:tcW w:w="507" w:type="pct"/>
            <w:tcBorders>
              <w:top w:val="nil"/>
            </w:tcBorders>
            <w:vAlign w:val="center"/>
          </w:tcPr>
          <w:p w:rsidR="00066157" w:rsidRPr="00066157" w:rsidRDefault="00066157">
            <w:pPr>
              <w:pStyle w:val="NormalWeb"/>
              <w:jc w:val="center"/>
              <w:rPr>
                <w:rFonts w:asciiTheme="minorHAnsi" w:hAnsiTheme="minorHAnsi" w:cstheme="minorHAnsi"/>
                <w:sz w:val="18"/>
              </w:rPr>
            </w:pPr>
            <w:r w:rsidRPr="00066157">
              <w:rPr>
                <w:rFonts w:asciiTheme="minorHAnsi" w:hAnsiTheme="minorHAnsi" w:cstheme="minorHAnsi"/>
                <w:sz w:val="18"/>
                <w:szCs w:val="16"/>
              </w:rPr>
              <w:t>2022</w:t>
            </w:r>
          </w:p>
        </w:tc>
      </w:tr>
    </w:tbl>
    <w:p w:rsidR="00AD5315" w:rsidRDefault="00AD5315" w:rsidP="00AF46F3">
      <w:pPr>
        <w:pStyle w:val="AERbodytext"/>
      </w:pPr>
    </w:p>
    <w:p w:rsidR="00066157" w:rsidRDefault="00AF46F3" w:rsidP="00AF46F3">
      <w:pPr>
        <w:pStyle w:val="AERbodytext"/>
      </w:pPr>
      <w:r w:rsidRPr="00AF46F3">
        <w:t>Conditions at the time saw demand close to forecast and available capacity 178 MW lower than forecast four hours ahead.</w:t>
      </w:r>
    </w:p>
    <w:p w:rsidR="00AF46F3" w:rsidRPr="00AF46F3" w:rsidRDefault="00A041F4" w:rsidP="00AF46F3">
      <w:pPr>
        <w:pStyle w:val="AERbodytext"/>
      </w:pPr>
      <w:r>
        <w:t>At 1.43 pm, effective from 1.50 pm, AGL rebid 160 MW of capacity at Torrens Island from prices below $66/MWh to the price cap. The reason given was “</w:t>
      </w:r>
      <w:r w:rsidRPr="00A041F4">
        <w:t xml:space="preserve">1331~A~050 </w:t>
      </w:r>
      <w:proofErr w:type="spellStart"/>
      <w:r w:rsidRPr="00A041F4">
        <w:t>chg</w:t>
      </w:r>
      <w:proofErr w:type="spellEnd"/>
      <w:r w:rsidRPr="00A041F4">
        <w:t xml:space="preserve"> in AEMO PD~50 PD avail decrease SA 103MW 14:00”</w:t>
      </w:r>
      <w:r>
        <w:t>. With low-priced capacity either fully dispatched or trapped in FCAS the dispatch reached $10 782/MWh at 1.50 pm.</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2E2048">
        <w:t xml:space="preserve">Figure </w:t>
      </w:r>
      <w:r w:rsidR="002E2048">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Default="00275002" w:rsidP="000E2946">
      <w:pPr>
        <w:pStyle w:val="Caption"/>
      </w:pPr>
      <w:bookmarkStart w:id="18" w:name="_Ref410386540"/>
      <w:r>
        <w:t xml:space="preserve">Figure </w:t>
      </w:r>
      <w:fldSimple w:instr=" SEQ Figure \* ARABIC ">
        <w:r w:rsidR="002E2048">
          <w:rPr>
            <w:noProof/>
          </w:rPr>
          <w:t>9</w:t>
        </w:r>
      </w:fldSimple>
      <w:bookmarkEnd w:id="18"/>
      <w:r>
        <w:t xml:space="preserve">: </w:t>
      </w:r>
      <w:r w:rsidRPr="007A6ACB">
        <w:t>Quarterly base future prices Q</w:t>
      </w:r>
      <w:r w:rsidR="00F87EBA">
        <w:t>2</w:t>
      </w:r>
      <w:r w:rsidRPr="007A6ACB">
        <w:t xml:space="preserve"> 2015 – Q</w:t>
      </w:r>
      <w:r w:rsidR="00F87EBA">
        <w:t>1</w:t>
      </w:r>
      <w:r w:rsidRPr="007A6ACB">
        <w:t xml:space="preserve"> 201</w:t>
      </w:r>
      <w:r w:rsidR="00F87EBA">
        <w:t>9</w:t>
      </w:r>
    </w:p>
    <w:p w:rsidR="00275002" w:rsidRPr="002A7439" w:rsidRDefault="00411897" w:rsidP="00275002">
      <w:pPr>
        <w:rPr>
          <w:rStyle w:val="SourceChar"/>
        </w:rPr>
      </w:pPr>
      <w:r w:rsidRPr="00411897">
        <w:rPr>
          <w:noProof/>
          <w:lang w:eastAsia="en-AU"/>
        </w:rPr>
        <w:drawing>
          <wp:inline distT="0" distB="0" distL="0" distR="0" wp14:anchorId="660EC7D2" wp14:editId="6014BEB2">
            <wp:extent cx="5479085" cy="2754707"/>
            <wp:effectExtent l="0" t="0" r="7620" b="7620"/>
            <wp:docPr id="19" name="Picture 19" descr="Figure 9 shows for all mainland regions the prices for base contracts (and total traded quantities for the week) for each quarter for the next four financial years." title="Figure 9: Quarterly base future prices Q1 2015 - Q4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8000" cy="2754161"/>
                    </a:xfrm>
                    <a:prstGeom prst="rect">
                      <a:avLst/>
                    </a:prstGeom>
                    <a:noFill/>
                    <a:ln>
                      <a:noFill/>
                    </a:ln>
                  </pic:spPr>
                </pic:pic>
              </a:graphicData>
            </a:graphic>
          </wp:inline>
        </w:drawing>
      </w:r>
      <w:r w:rsidR="00275002" w:rsidRPr="002A7439">
        <w:rPr>
          <w:rStyle w:val="SourceChar"/>
        </w:rPr>
        <w:t xml:space="preserve">Source: </w:t>
      </w:r>
      <w:hyperlink r:id="rId20" w:history="1">
        <w:r w:rsidR="00275002" w:rsidRPr="002A7439">
          <w:rPr>
            <w:rStyle w:val="SourceChar"/>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2E2048">
        <w:t xml:space="preserve">Figure </w:t>
      </w:r>
      <w:r w:rsidR="002E2048">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9D49F1">
      <w:pPr>
        <w:pStyle w:val="Caption"/>
        <w:spacing w:after="0"/>
      </w:pPr>
      <w:bookmarkStart w:id="19" w:name="_Ref410380382"/>
      <w:r>
        <w:t xml:space="preserve">Figure </w:t>
      </w:r>
      <w:fldSimple w:instr=" SEQ Figure \* ARABIC ">
        <w:r w:rsidR="002E2048">
          <w:rPr>
            <w:noProof/>
          </w:rPr>
          <w:t>10</w:t>
        </w:r>
      </w:fldSimple>
      <w:bookmarkEnd w:id="19"/>
      <w:r>
        <w:t xml:space="preserve"> </w:t>
      </w:r>
      <w:r w:rsidRPr="00DF093A">
        <w:t>: Price of Q1 201</w:t>
      </w:r>
      <w:r w:rsidR="00F87EBA">
        <w:t>6</w:t>
      </w:r>
      <w:r w:rsidRPr="00DF093A">
        <w:t xml:space="preserve"> base contracts over the past 10 weeks (and the past 2 years)</w:t>
      </w:r>
    </w:p>
    <w:p w:rsidR="00275002" w:rsidRPr="0031019A" w:rsidRDefault="00411897" w:rsidP="009D49F1">
      <w:pPr>
        <w:spacing w:before="0"/>
      </w:pPr>
      <w:r w:rsidRPr="00411897">
        <w:rPr>
          <w:noProof/>
          <w:lang w:eastAsia="en-AU"/>
        </w:rPr>
        <w:drawing>
          <wp:inline distT="0" distB="0" distL="0" distR="0" wp14:anchorId="16E4A11C" wp14:editId="5C057EF8">
            <wp:extent cx="5610758" cy="2836610"/>
            <wp:effectExtent l="0" t="0" r="9525" b="1905"/>
            <wp:docPr id="20" name="Picture 20"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title="Figure 10: Price of Q1 2016 base contracts over the past 1- weeks (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2383" cy="2837432"/>
                    </a:xfrm>
                    <a:prstGeom prst="rect">
                      <a:avLst/>
                    </a:prstGeom>
                    <a:noFill/>
                    <a:ln>
                      <a:noFill/>
                    </a:ln>
                  </pic:spPr>
                </pic:pic>
              </a:graphicData>
            </a:graphic>
          </wp:inline>
        </w:drawing>
      </w:r>
    </w:p>
    <w:p w:rsidR="00275002" w:rsidRPr="0031019A" w:rsidRDefault="00275002" w:rsidP="009D49F1">
      <w:pPr>
        <w:pStyle w:val="Source"/>
        <w:spacing w:before="120"/>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9D49F1">
      <w:pPr>
        <w:pStyle w:val="Source"/>
        <w:spacing w:before="120"/>
      </w:pPr>
      <w:r w:rsidRPr="002A7439">
        <w:t xml:space="preserve">Source: </w:t>
      </w:r>
      <w:hyperlink r:id="rId22"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3" w:history="1">
        <w:r w:rsidRPr="0031019A">
          <w:rPr>
            <w:rStyle w:val="Hyperlink"/>
          </w:rPr>
          <w:t>Performance of the Energy Sector</w:t>
        </w:r>
      </w:hyperlink>
      <w:r w:rsidR="00D615F9">
        <w:t xml:space="preserve"> s</w:t>
      </w:r>
      <w:r w:rsidRPr="0031019A">
        <w:t>ection of our website.</w:t>
      </w:r>
    </w:p>
    <w:p w:rsidR="00275002" w:rsidRPr="0031019A" w:rsidRDefault="009D49F1" w:rsidP="009A3D22">
      <w:pPr>
        <w:jc w:val="both"/>
      </w:pPr>
      <w:r>
        <w:fldChar w:fldCharType="begin"/>
      </w:r>
      <w:r>
        <w:instrText xml:space="preserve"> REF _Ref418774942 \h </w:instrText>
      </w:r>
      <w:r>
        <w:fldChar w:fldCharType="separate"/>
      </w:r>
      <w:r w:rsidR="002E2048">
        <w:t xml:space="preserve">Figure </w:t>
      </w:r>
      <w:r w:rsidR="002E2048">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0E2946">
      <w:pPr>
        <w:pStyle w:val="Caption"/>
      </w:pPr>
      <w:bookmarkStart w:id="20" w:name="_Ref418774942"/>
      <w:bookmarkStart w:id="21" w:name="_Ref410744936"/>
      <w:r>
        <w:t xml:space="preserve">Figure </w:t>
      </w:r>
      <w:fldSimple w:instr=" SEQ Figure \* ARABIC ">
        <w:r w:rsidR="002E2048">
          <w:rPr>
            <w:noProof/>
          </w:rPr>
          <w:t>11</w:t>
        </w:r>
      </w:fldSimple>
      <w:bookmarkEnd w:id="20"/>
      <w:r>
        <w:t xml:space="preserve"> </w:t>
      </w:r>
      <w:r w:rsidRPr="0074419D">
        <w:t>: Price of Q1 201</w:t>
      </w:r>
      <w:r w:rsidR="00F87EBA">
        <w:t>6</w:t>
      </w:r>
      <w:r w:rsidRPr="0074419D">
        <w:t xml:space="preserve"> cap contracts over the past 10 weeks (and the past 2 years)</w:t>
      </w:r>
      <w:bookmarkEnd w:id="21"/>
    </w:p>
    <w:p w:rsidR="00275002" w:rsidRPr="0031019A" w:rsidRDefault="00555667" w:rsidP="00D961C3">
      <w:pPr>
        <w:spacing w:before="0"/>
      </w:pPr>
      <w:r w:rsidRPr="00555667">
        <w:rPr>
          <w:noProof/>
          <w:lang w:eastAsia="en-AU"/>
        </w:rPr>
        <w:drawing>
          <wp:inline distT="0" distB="0" distL="0" distR="0" wp14:anchorId="59E4DB17" wp14:editId="3BB5E9E2">
            <wp:extent cx="5654650" cy="2832522"/>
            <wp:effectExtent l="0" t="0" r="3810" b="6350"/>
            <wp:docPr id="21" name="Picture 21" descr="Figure 11 shows how the price for each regional Quarter 1 2015 cap contract has changed over the last 10 weeks (as well as the total number of trades each week). The closing quarter 1 2014 and quarter 1 2015 prices are also shown." title="Figure 11 :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89" cy="2837351"/>
                    </a:xfrm>
                    <a:prstGeom prst="rect">
                      <a:avLst/>
                    </a:prstGeom>
                    <a:noFill/>
                    <a:ln>
                      <a:noFill/>
                    </a:ln>
                  </pic:spPr>
                </pic:pic>
              </a:graphicData>
            </a:graphic>
          </wp:inline>
        </w:drawing>
      </w:r>
    </w:p>
    <w:p w:rsidR="00275002" w:rsidRPr="002A7439" w:rsidRDefault="00275002" w:rsidP="00D961C3">
      <w:pPr>
        <w:pStyle w:val="Source"/>
        <w:spacing w:before="0"/>
      </w:pPr>
      <w:r w:rsidRPr="002A7439">
        <w:t xml:space="preserve">Source: </w:t>
      </w:r>
      <w:hyperlink r:id="rId25" w:history="1">
        <w:r w:rsidRPr="002A7439">
          <w:rPr>
            <w:rStyle w:val="Hyperlink"/>
            <w:color w:val="auto"/>
            <w:sz w:val="16"/>
            <w:u w:val="none"/>
          </w:rPr>
          <w:t>ASXEnergy.com.au</w:t>
        </w:r>
      </w:hyperlink>
    </w:p>
    <w:p w:rsidR="009D49F1" w:rsidRDefault="00275002" w:rsidP="00275002">
      <w:pPr>
        <w:pStyle w:val="Heading4notnumbered"/>
      </w:pPr>
      <w:r w:rsidRPr="0031019A">
        <w:t>Australian Energy Regulator</w:t>
      </w:r>
    </w:p>
    <w:p w:rsidR="004E7D10" w:rsidRPr="0031019A" w:rsidRDefault="004D5447">
      <w:pPr>
        <w:pStyle w:val="Heading4notnumbered"/>
      </w:pPr>
      <w:r>
        <w:t>May</w:t>
      </w:r>
      <w:r w:rsidRPr="0031019A">
        <w:t xml:space="preserve"> </w:t>
      </w:r>
      <w:r w:rsidR="00275002" w:rsidRPr="0031019A">
        <w:t>2015</w:t>
      </w:r>
    </w:p>
    <w:sectPr w:rsidR="004E7D10" w:rsidRPr="0031019A" w:rsidSect="009D49F1">
      <w:footerReference w:type="even" r:id="rId26"/>
      <w:footerReference w:type="default" r:id="rId27"/>
      <w:footerReference w:type="first" r:id="rId28"/>
      <w:pgSz w:w="11906" w:h="16838"/>
      <w:pgMar w:top="993" w:right="1440" w:bottom="993"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B9" w:rsidRDefault="00126FB9" w:rsidP="004B4412">
      <w:pPr>
        <w:spacing w:before="0"/>
      </w:pPr>
      <w:r>
        <w:separator/>
      </w:r>
    </w:p>
  </w:endnote>
  <w:endnote w:type="continuationSeparator" w:id="0">
    <w:p w:rsidR="00126FB9" w:rsidRDefault="00126FB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9" w:rsidRPr="00A91A9E" w:rsidRDefault="00126FB9"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26FB9" w:rsidRDefault="00126FB9"/>
  <w:p w:rsidR="00126FB9" w:rsidRDefault="00126F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9" w:rsidRDefault="00126FB9"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2E2048">
      <w:rPr>
        <w:rFonts w:cs="Arial"/>
        <w:i/>
        <w:noProof/>
      </w:rPr>
      <w:t>11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13326</w:t>
    </w:r>
  </w:p>
  <w:p w:rsidR="00126FB9" w:rsidRPr="00A94D89" w:rsidRDefault="00126FB9"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9" w:rsidRPr="00A94D89" w:rsidRDefault="00126FB9"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2E2048">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196DE4">
      <w:rPr>
        <w:rFonts w:cs="Arial"/>
        <w:i/>
      </w:rPr>
      <w:t>52762</w:t>
    </w:r>
  </w:p>
  <w:p w:rsidR="00126FB9" w:rsidRDefault="00126F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B9" w:rsidRDefault="00126FB9" w:rsidP="004B4412">
      <w:pPr>
        <w:spacing w:before="0"/>
      </w:pPr>
      <w:r>
        <w:separator/>
      </w:r>
    </w:p>
  </w:footnote>
  <w:footnote w:type="continuationSeparator" w:id="0">
    <w:p w:rsidR="00126FB9" w:rsidRDefault="00126FB9"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20150412 - 20150418 electricity weekly report1.docx"/>
  </w:docVars>
  <w:rsids>
    <w:rsidRoot w:val="00275002"/>
    <w:rsid w:val="000147C1"/>
    <w:rsid w:val="00021202"/>
    <w:rsid w:val="00022F09"/>
    <w:rsid w:val="000316E7"/>
    <w:rsid w:val="0003578C"/>
    <w:rsid w:val="00051880"/>
    <w:rsid w:val="000528FD"/>
    <w:rsid w:val="00061CE2"/>
    <w:rsid w:val="00063247"/>
    <w:rsid w:val="00066157"/>
    <w:rsid w:val="00070F9F"/>
    <w:rsid w:val="0007137B"/>
    <w:rsid w:val="000766E2"/>
    <w:rsid w:val="00085663"/>
    <w:rsid w:val="00085EBF"/>
    <w:rsid w:val="0009584C"/>
    <w:rsid w:val="000D122C"/>
    <w:rsid w:val="000E1819"/>
    <w:rsid w:val="000E2946"/>
    <w:rsid w:val="000E6C72"/>
    <w:rsid w:val="000E77BB"/>
    <w:rsid w:val="00116EB2"/>
    <w:rsid w:val="00124609"/>
    <w:rsid w:val="00126FB9"/>
    <w:rsid w:val="00127CAB"/>
    <w:rsid w:val="001373F1"/>
    <w:rsid w:val="00155113"/>
    <w:rsid w:val="001573E4"/>
    <w:rsid w:val="00160756"/>
    <w:rsid w:val="0017232E"/>
    <w:rsid w:val="00174102"/>
    <w:rsid w:val="00180157"/>
    <w:rsid w:val="00186F77"/>
    <w:rsid w:val="00192441"/>
    <w:rsid w:val="001926A4"/>
    <w:rsid w:val="00196DE4"/>
    <w:rsid w:val="001B45A0"/>
    <w:rsid w:val="001C1BC0"/>
    <w:rsid w:val="001D055E"/>
    <w:rsid w:val="001D0CE3"/>
    <w:rsid w:val="001E01B4"/>
    <w:rsid w:val="001F1B78"/>
    <w:rsid w:val="001F492E"/>
    <w:rsid w:val="001F6DA3"/>
    <w:rsid w:val="0020489F"/>
    <w:rsid w:val="002050F5"/>
    <w:rsid w:val="002072A2"/>
    <w:rsid w:val="00214FBA"/>
    <w:rsid w:val="00216865"/>
    <w:rsid w:val="00224DB9"/>
    <w:rsid w:val="00251745"/>
    <w:rsid w:val="00262F65"/>
    <w:rsid w:val="00263AC0"/>
    <w:rsid w:val="002649D2"/>
    <w:rsid w:val="002649D8"/>
    <w:rsid w:val="00265486"/>
    <w:rsid w:val="0026772D"/>
    <w:rsid w:val="00275002"/>
    <w:rsid w:val="00286874"/>
    <w:rsid w:val="00296B65"/>
    <w:rsid w:val="002A7439"/>
    <w:rsid w:val="002A7DEF"/>
    <w:rsid w:val="002B0DAE"/>
    <w:rsid w:val="002E2048"/>
    <w:rsid w:val="002F7986"/>
    <w:rsid w:val="00307F6D"/>
    <w:rsid w:val="003177A2"/>
    <w:rsid w:val="00321853"/>
    <w:rsid w:val="003271B5"/>
    <w:rsid w:val="00331264"/>
    <w:rsid w:val="00334C8D"/>
    <w:rsid w:val="00336D50"/>
    <w:rsid w:val="003518B3"/>
    <w:rsid w:val="00352DA8"/>
    <w:rsid w:val="00354887"/>
    <w:rsid w:val="00371F3A"/>
    <w:rsid w:val="003846F1"/>
    <w:rsid w:val="00384A55"/>
    <w:rsid w:val="003A41E0"/>
    <w:rsid w:val="003C2B22"/>
    <w:rsid w:val="003F75C8"/>
    <w:rsid w:val="00403473"/>
    <w:rsid w:val="00411897"/>
    <w:rsid w:val="00480B4B"/>
    <w:rsid w:val="00485DC4"/>
    <w:rsid w:val="00493B02"/>
    <w:rsid w:val="004A2464"/>
    <w:rsid w:val="004B4412"/>
    <w:rsid w:val="004C348C"/>
    <w:rsid w:val="004C63B9"/>
    <w:rsid w:val="004D5447"/>
    <w:rsid w:val="004D55BA"/>
    <w:rsid w:val="004E34E7"/>
    <w:rsid w:val="004E7D10"/>
    <w:rsid w:val="005177C0"/>
    <w:rsid w:val="00522486"/>
    <w:rsid w:val="00522668"/>
    <w:rsid w:val="00530128"/>
    <w:rsid w:val="00532467"/>
    <w:rsid w:val="00555667"/>
    <w:rsid w:val="00556B64"/>
    <w:rsid w:val="005575B9"/>
    <w:rsid w:val="00564A4D"/>
    <w:rsid w:val="00571680"/>
    <w:rsid w:val="00571B35"/>
    <w:rsid w:val="00575C43"/>
    <w:rsid w:val="00577A09"/>
    <w:rsid w:val="00584D8F"/>
    <w:rsid w:val="005A1339"/>
    <w:rsid w:val="005A404D"/>
    <w:rsid w:val="005B0461"/>
    <w:rsid w:val="005B1E3C"/>
    <w:rsid w:val="005C26CC"/>
    <w:rsid w:val="005C3411"/>
    <w:rsid w:val="005D69AF"/>
    <w:rsid w:val="005F6ADE"/>
    <w:rsid w:val="00603914"/>
    <w:rsid w:val="00612006"/>
    <w:rsid w:val="00615C6B"/>
    <w:rsid w:val="00621545"/>
    <w:rsid w:val="00630A15"/>
    <w:rsid w:val="00632D6D"/>
    <w:rsid w:val="00642C3E"/>
    <w:rsid w:val="00647804"/>
    <w:rsid w:val="00651005"/>
    <w:rsid w:val="00663DAD"/>
    <w:rsid w:val="00676679"/>
    <w:rsid w:val="006777D7"/>
    <w:rsid w:val="00683909"/>
    <w:rsid w:val="00694FD6"/>
    <w:rsid w:val="006B4CF9"/>
    <w:rsid w:val="006B7AC8"/>
    <w:rsid w:val="006D550F"/>
    <w:rsid w:val="006D7923"/>
    <w:rsid w:val="006E1E7D"/>
    <w:rsid w:val="006F3750"/>
    <w:rsid w:val="006F3FCB"/>
    <w:rsid w:val="00701CAB"/>
    <w:rsid w:val="00707563"/>
    <w:rsid w:val="0072348C"/>
    <w:rsid w:val="00724A37"/>
    <w:rsid w:val="007303C3"/>
    <w:rsid w:val="00743223"/>
    <w:rsid w:val="00746E01"/>
    <w:rsid w:val="007532DD"/>
    <w:rsid w:val="00762D41"/>
    <w:rsid w:val="00763E5D"/>
    <w:rsid w:val="00767740"/>
    <w:rsid w:val="00777EE6"/>
    <w:rsid w:val="00782EEA"/>
    <w:rsid w:val="007A33E8"/>
    <w:rsid w:val="007B1732"/>
    <w:rsid w:val="007B2C72"/>
    <w:rsid w:val="007C1C53"/>
    <w:rsid w:val="007E1516"/>
    <w:rsid w:val="007E4904"/>
    <w:rsid w:val="007E4CB5"/>
    <w:rsid w:val="007F066B"/>
    <w:rsid w:val="007F0F77"/>
    <w:rsid w:val="007F475F"/>
    <w:rsid w:val="008033C4"/>
    <w:rsid w:val="00806C88"/>
    <w:rsid w:val="00807A5C"/>
    <w:rsid w:val="0081034E"/>
    <w:rsid w:val="008344F6"/>
    <w:rsid w:val="0083510F"/>
    <w:rsid w:val="008366CD"/>
    <w:rsid w:val="00851209"/>
    <w:rsid w:val="00861AED"/>
    <w:rsid w:val="008837AC"/>
    <w:rsid w:val="00887EBF"/>
    <w:rsid w:val="008A587D"/>
    <w:rsid w:val="008B416B"/>
    <w:rsid w:val="008B6DA5"/>
    <w:rsid w:val="008C1FE0"/>
    <w:rsid w:val="008C5486"/>
    <w:rsid w:val="008C6B16"/>
    <w:rsid w:val="008E535A"/>
    <w:rsid w:val="008E6CAE"/>
    <w:rsid w:val="008E7031"/>
    <w:rsid w:val="0090239D"/>
    <w:rsid w:val="00914A87"/>
    <w:rsid w:val="009233EE"/>
    <w:rsid w:val="0092422F"/>
    <w:rsid w:val="009377D8"/>
    <w:rsid w:val="00957591"/>
    <w:rsid w:val="009661DE"/>
    <w:rsid w:val="00982FEB"/>
    <w:rsid w:val="009837D1"/>
    <w:rsid w:val="009856B7"/>
    <w:rsid w:val="009A3D22"/>
    <w:rsid w:val="009B21F2"/>
    <w:rsid w:val="009B4E65"/>
    <w:rsid w:val="009B69AA"/>
    <w:rsid w:val="009B74B0"/>
    <w:rsid w:val="009D49F1"/>
    <w:rsid w:val="009D6B46"/>
    <w:rsid w:val="009E7749"/>
    <w:rsid w:val="009E7AC6"/>
    <w:rsid w:val="009F4940"/>
    <w:rsid w:val="00A041F4"/>
    <w:rsid w:val="00A4478A"/>
    <w:rsid w:val="00A44852"/>
    <w:rsid w:val="00A57D04"/>
    <w:rsid w:val="00A60A26"/>
    <w:rsid w:val="00A61598"/>
    <w:rsid w:val="00A75AAA"/>
    <w:rsid w:val="00A81EF8"/>
    <w:rsid w:val="00A84F46"/>
    <w:rsid w:val="00A871F4"/>
    <w:rsid w:val="00A94D89"/>
    <w:rsid w:val="00AB6478"/>
    <w:rsid w:val="00AC1B2C"/>
    <w:rsid w:val="00AC3264"/>
    <w:rsid w:val="00AD5315"/>
    <w:rsid w:val="00AE1BF1"/>
    <w:rsid w:val="00AF0DD2"/>
    <w:rsid w:val="00AF46F3"/>
    <w:rsid w:val="00AF7058"/>
    <w:rsid w:val="00B13048"/>
    <w:rsid w:val="00B1716D"/>
    <w:rsid w:val="00B17A1D"/>
    <w:rsid w:val="00B207A0"/>
    <w:rsid w:val="00B35810"/>
    <w:rsid w:val="00B56E03"/>
    <w:rsid w:val="00B70CA5"/>
    <w:rsid w:val="00B8080B"/>
    <w:rsid w:val="00B87C39"/>
    <w:rsid w:val="00B87DD6"/>
    <w:rsid w:val="00B92CD5"/>
    <w:rsid w:val="00BA390A"/>
    <w:rsid w:val="00BA4665"/>
    <w:rsid w:val="00BB2FB2"/>
    <w:rsid w:val="00BB3304"/>
    <w:rsid w:val="00BD3446"/>
    <w:rsid w:val="00BE1F1B"/>
    <w:rsid w:val="00BE47B5"/>
    <w:rsid w:val="00C064A7"/>
    <w:rsid w:val="00C16B2C"/>
    <w:rsid w:val="00C34065"/>
    <w:rsid w:val="00C35CAD"/>
    <w:rsid w:val="00C538A9"/>
    <w:rsid w:val="00C53B5A"/>
    <w:rsid w:val="00C54F5A"/>
    <w:rsid w:val="00C56506"/>
    <w:rsid w:val="00C672E0"/>
    <w:rsid w:val="00C73A47"/>
    <w:rsid w:val="00C73C83"/>
    <w:rsid w:val="00C74A11"/>
    <w:rsid w:val="00C86679"/>
    <w:rsid w:val="00C872DB"/>
    <w:rsid w:val="00C950AF"/>
    <w:rsid w:val="00CB666B"/>
    <w:rsid w:val="00D01CF0"/>
    <w:rsid w:val="00D0442A"/>
    <w:rsid w:val="00D32767"/>
    <w:rsid w:val="00D61388"/>
    <w:rsid w:val="00D615F9"/>
    <w:rsid w:val="00D61A54"/>
    <w:rsid w:val="00D64DEA"/>
    <w:rsid w:val="00D74261"/>
    <w:rsid w:val="00D80893"/>
    <w:rsid w:val="00D92CF1"/>
    <w:rsid w:val="00D92D38"/>
    <w:rsid w:val="00D936B6"/>
    <w:rsid w:val="00D950F5"/>
    <w:rsid w:val="00D961C3"/>
    <w:rsid w:val="00DB0F93"/>
    <w:rsid w:val="00DC153A"/>
    <w:rsid w:val="00DC5E54"/>
    <w:rsid w:val="00DC7981"/>
    <w:rsid w:val="00DD15C2"/>
    <w:rsid w:val="00DE4EFA"/>
    <w:rsid w:val="00DE5520"/>
    <w:rsid w:val="00E00EC9"/>
    <w:rsid w:val="00E03069"/>
    <w:rsid w:val="00E04818"/>
    <w:rsid w:val="00E06442"/>
    <w:rsid w:val="00E135DB"/>
    <w:rsid w:val="00E23993"/>
    <w:rsid w:val="00E25B8C"/>
    <w:rsid w:val="00E32A8C"/>
    <w:rsid w:val="00E52A27"/>
    <w:rsid w:val="00E65C85"/>
    <w:rsid w:val="00E66199"/>
    <w:rsid w:val="00E7472E"/>
    <w:rsid w:val="00E755EC"/>
    <w:rsid w:val="00E7624D"/>
    <w:rsid w:val="00E823D9"/>
    <w:rsid w:val="00EA3D42"/>
    <w:rsid w:val="00EA6B1B"/>
    <w:rsid w:val="00EB049F"/>
    <w:rsid w:val="00EB7D7F"/>
    <w:rsid w:val="00EC317E"/>
    <w:rsid w:val="00ED4A25"/>
    <w:rsid w:val="00EE28F3"/>
    <w:rsid w:val="00EE347F"/>
    <w:rsid w:val="00EF5110"/>
    <w:rsid w:val="00F02D9B"/>
    <w:rsid w:val="00F031FE"/>
    <w:rsid w:val="00F13EAA"/>
    <w:rsid w:val="00F15882"/>
    <w:rsid w:val="00F20BD3"/>
    <w:rsid w:val="00F373A5"/>
    <w:rsid w:val="00F47559"/>
    <w:rsid w:val="00F64C7B"/>
    <w:rsid w:val="00F662F1"/>
    <w:rsid w:val="00F676DD"/>
    <w:rsid w:val="00F70811"/>
    <w:rsid w:val="00F75A26"/>
    <w:rsid w:val="00F83FAD"/>
    <w:rsid w:val="00F87EBA"/>
    <w:rsid w:val="00F952A0"/>
    <w:rsid w:val="00FA3830"/>
    <w:rsid w:val="00FA3C7F"/>
    <w:rsid w:val="00FB74E2"/>
    <w:rsid w:val="00FC447B"/>
    <w:rsid w:val="00FD5614"/>
    <w:rsid w:val="00FD72DC"/>
    <w:rsid w:val="00FE0BE1"/>
    <w:rsid w:val="00FE1DE9"/>
    <w:rsid w:val="00FE39C2"/>
    <w:rsid w:val="00FE64AE"/>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6A040A1B</Template>
  <TotalTime>0</TotalTime>
  <Pages>11</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2015-05-07T05:50:00Z</dcterms:created>
  <dcterms:modified xsi:type="dcterms:W3CDTF">2015-05-07T05:55:00Z</dcterms:modified>
</cp:coreProperties>
</file>