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0F111DB4" wp14:editId="1EAD33C5">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7C4" w:rsidRPr="000E2946" w:rsidRDefault="004947C4" w:rsidP="000E2946">
                            <w:pPr>
                              <w:pStyle w:val="Title"/>
                            </w:pPr>
                            <w:r w:rsidRPr="000E2946">
                              <w:t>Electricity Report</w:t>
                            </w:r>
                          </w:p>
                          <w:p w:rsidR="004947C4" w:rsidRPr="000E2946" w:rsidRDefault="004947C4" w:rsidP="000E2946">
                            <w:pPr>
                              <w:pStyle w:val="Title"/>
                            </w:pPr>
                            <w:r>
                              <w:t>29 March</w:t>
                            </w:r>
                            <w:r w:rsidRPr="000E2946">
                              <w:t xml:space="preserve"> – </w:t>
                            </w:r>
                            <w:r>
                              <w:t>4</w:t>
                            </w:r>
                            <w:r w:rsidRPr="000E2946">
                              <w:t xml:space="preserve"> </w:t>
                            </w:r>
                            <w:r>
                              <w:t>April</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4947C4" w:rsidRPr="000E2946" w:rsidRDefault="004947C4" w:rsidP="000E2946">
                      <w:pPr>
                        <w:pStyle w:val="Title"/>
                      </w:pPr>
                      <w:r w:rsidRPr="000E2946">
                        <w:t>Electricity Report</w:t>
                      </w:r>
                    </w:p>
                    <w:p w:rsidR="004947C4" w:rsidRPr="000E2946" w:rsidRDefault="004947C4" w:rsidP="000E2946">
                      <w:pPr>
                        <w:pStyle w:val="Title"/>
                      </w:pPr>
                      <w:r>
                        <w:t>29 March</w:t>
                      </w:r>
                      <w:r w:rsidRPr="000E2946">
                        <w:t xml:space="preserve"> – </w:t>
                      </w:r>
                      <w:r>
                        <w:t>4</w:t>
                      </w:r>
                      <w:r w:rsidRPr="000E2946">
                        <w:t xml:space="preserve"> </w:t>
                      </w:r>
                      <w:r>
                        <w:t>April</w:t>
                      </w:r>
                      <w:r w:rsidRPr="000E2946">
                        <w:t xml:space="preserve"> 2015 </w:t>
                      </w:r>
                    </w:p>
                  </w:txbxContent>
                </v:textbox>
              </v:shape>
            </w:pict>
          </mc:Fallback>
        </mc:AlternateContent>
      </w:r>
      <w:r w:rsidRPr="0031019A">
        <w:rPr>
          <w:noProof/>
          <w:lang w:eastAsia="en-AU"/>
        </w:rPr>
        <w:drawing>
          <wp:inline distT="0" distB="0" distL="0" distR="0" wp14:anchorId="75A7DAF0" wp14:editId="4387293D">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AD13A2" w:rsidRDefault="001D0CE3" w:rsidP="009A3D22">
      <w:pPr>
        <w:jc w:val="both"/>
      </w:pPr>
      <w:r w:rsidRPr="00AD13A2">
        <w:rPr>
          <w:rFonts w:cs="Arial"/>
        </w:rPr>
        <w:fldChar w:fldCharType="begin"/>
      </w:r>
      <w:r w:rsidRPr="00AD13A2">
        <w:rPr>
          <w:rFonts w:cs="Arial"/>
        </w:rPr>
        <w:instrText xml:space="preserve"> REF _Ref410382491 \h </w:instrText>
      </w:r>
      <w:r w:rsidRPr="00AD13A2">
        <w:rPr>
          <w:rFonts w:cs="Arial"/>
        </w:rPr>
      </w:r>
      <w:r w:rsidRPr="00AD13A2">
        <w:rPr>
          <w:rFonts w:cs="Arial"/>
        </w:rPr>
        <w:fldChar w:fldCharType="separate"/>
      </w:r>
      <w:r w:rsidR="004264B7" w:rsidRPr="000E2946">
        <w:t xml:space="preserve">Figure </w:t>
      </w:r>
      <w:r w:rsidR="004264B7">
        <w:rPr>
          <w:noProof/>
        </w:rPr>
        <w:t>1</w:t>
      </w:r>
      <w:r w:rsidRPr="00AD13A2">
        <w:rPr>
          <w:rFonts w:cs="Arial"/>
        </w:rPr>
        <w:fldChar w:fldCharType="end"/>
      </w:r>
      <w:r w:rsidRPr="00AD13A2">
        <w:rPr>
          <w:rFonts w:cs="Arial"/>
        </w:rPr>
        <w:t xml:space="preserve"> </w:t>
      </w:r>
      <w:r w:rsidR="00AF7058" w:rsidRPr="00AD13A2">
        <w:rPr>
          <w:rFonts w:cs="Arial"/>
        </w:rPr>
        <w:t xml:space="preserve">shows the spot prices that occurred in each region during the week </w:t>
      </w:r>
      <w:r w:rsidR="00C8031C">
        <w:rPr>
          <w:rFonts w:cs="Arial"/>
        </w:rPr>
        <w:t>29</w:t>
      </w:r>
      <w:r w:rsidR="00C8031C" w:rsidRPr="00AD13A2">
        <w:rPr>
          <w:rFonts w:cs="Arial"/>
        </w:rPr>
        <w:t xml:space="preserve"> </w:t>
      </w:r>
      <w:r w:rsidR="007B2F9B">
        <w:rPr>
          <w:rFonts w:cs="Arial"/>
        </w:rPr>
        <w:t xml:space="preserve">March </w:t>
      </w:r>
      <w:r w:rsidR="0086231D" w:rsidRPr="00AD13A2">
        <w:rPr>
          <w:rFonts w:cs="Arial"/>
        </w:rPr>
        <w:t xml:space="preserve">to </w:t>
      </w:r>
      <w:r w:rsidR="00ED4C4C">
        <w:rPr>
          <w:rFonts w:cs="Arial"/>
        </w:rPr>
        <w:t>4 </w:t>
      </w:r>
      <w:r w:rsidR="007B2F9B">
        <w:rPr>
          <w:rFonts w:cs="Arial"/>
        </w:rPr>
        <w:t>April</w:t>
      </w:r>
      <w:r w:rsidR="00AF7058" w:rsidRPr="00AD13A2">
        <w:rPr>
          <w:rFonts w:cs="Arial"/>
        </w:rPr>
        <w:t xml:space="preserve"> 2015. There </w:t>
      </w:r>
      <w:r w:rsidR="0042477B" w:rsidRPr="00AD13A2">
        <w:rPr>
          <w:rFonts w:cs="Arial"/>
        </w:rPr>
        <w:t>w</w:t>
      </w:r>
      <w:r w:rsidR="00932A69" w:rsidRPr="00AD13A2">
        <w:rPr>
          <w:rFonts w:cs="Arial"/>
        </w:rPr>
        <w:t xml:space="preserve">ere </w:t>
      </w:r>
      <w:r w:rsidR="004328C0">
        <w:rPr>
          <w:rFonts w:cs="Arial"/>
        </w:rPr>
        <w:t>four</w:t>
      </w:r>
      <w:r w:rsidR="00932A69" w:rsidRPr="00AD13A2">
        <w:rPr>
          <w:rFonts w:cs="Arial"/>
        </w:rPr>
        <w:t xml:space="preserve"> </w:t>
      </w:r>
      <w:r w:rsidR="0042477B" w:rsidRPr="00AD13A2">
        <w:rPr>
          <w:rFonts w:cs="Arial"/>
        </w:rPr>
        <w:t>occasion</w:t>
      </w:r>
      <w:r w:rsidR="00932A69" w:rsidRPr="00AD13A2">
        <w:rPr>
          <w:rFonts w:cs="Arial"/>
        </w:rPr>
        <w:t>s</w:t>
      </w:r>
      <w:r w:rsidR="00AF7058" w:rsidRPr="00AD13A2">
        <w:rPr>
          <w:rFonts w:cs="Arial"/>
        </w:rPr>
        <w:t xml:space="preserve"> </w:t>
      </w:r>
      <w:r w:rsidR="00AD13A2" w:rsidRPr="00AD13A2">
        <w:rPr>
          <w:rFonts w:cs="Arial"/>
        </w:rPr>
        <w:t xml:space="preserve">during the week </w:t>
      </w:r>
      <w:r w:rsidR="00AF7058" w:rsidRPr="00AD13A2">
        <w:rPr>
          <w:rFonts w:cs="Arial"/>
        </w:rPr>
        <w:t xml:space="preserve">where the spot price </w:t>
      </w:r>
      <w:r w:rsidR="00932A69" w:rsidRPr="00AD13A2">
        <w:rPr>
          <w:rFonts w:cs="Arial"/>
        </w:rPr>
        <w:t xml:space="preserve">was </w:t>
      </w:r>
      <w:r w:rsidR="00AD13A2" w:rsidRPr="00AD13A2">
        <w:rPr>
          <w:rFonts w:cs="Arial"/>
        </w:rPr>
        <w:t>above $</w:t>
      </w:r>
      <w:r w:rsidR="009164D5">
        <w:rPr>
          <w:rFonts w:cs="Arial"/>
        </w:rPr>
        <w:t>250</w:t>
      </w:r>
      <w:r w:rsidR="00AD13A2" w:rsidRPr="00AD13A2">
        <w:rPr>
          <w:rFonts w:cs="Arial"/>
        </w:rPr>
        <w:t xml:space="preserve">/MWh, as discussed in the </w:t>
      </w:r>
      <w:proofErr w:type="gramStart"/>
      <w:r w:rsidR="00AD13A2" w:rsidRPr="00AD13A2">
        <w:rPr>
          <w:rFonts w:cs="Arial"/>
          <w:i/>
        </w:rPr>
        <w:t>Detailed</w:t>
      </w:r>
      <w:proofErr w:type="gramEnd"/>
      <w:r w:rsidR="00AD13A2" w:rsidRPr="00AD13A2">
        <w:rPr>
          <w:rFonts w:cs="Arial"/>
          <w:i/>
        </w:rPr>
        <w:t xml:space="preserve"> market analysis of significant price events</w:t>
      </w:r>
      <w:r w:rsidR="00AD13A2" w:rsidRPr="00AD13A2">
        <w:rPr>
          <w:rFonts w:cs="Arial"/>
        </w:rPr>
        <w:t xml:space="preserve"> section. </w:t>
      </w:r>
    </w:p>
    <w:p w:rsidR="00275002" w:rsidRPr="000E2946" w:rsidRDefault="00275002" w:rsidP="000E2946">
      <w:pPr>
        <w:pStyle w:val="Caption"/>
      </w:pPr>
      <w:bookmarkStart w:id="7" w:name="_Ref410382491"/>
      <w:bookmarkStart w:id="8" w:name="OLE_LINK28"/>
      <w:bookmarkStart w:id="9" w:name="OLE_LINK29"/>
      <w:r w:rsidRPr="000E2946">
        <w:t xml:space="preserve">Figure </w:t>
      </w:r>
      <w:fldSimple w:instr=" SEQ Figure \* ARABIC ">
        <w:r w:rsidR="004264B7">
          <w:rPr>
            <w:noProof/>
          </w:rPr>
          <w:t>1</w:t>
        </w:r>
      </w:fldSimple>
      <w:bookmarkEnd w:id="7"/>
      <w:r w:rsidRPr="000E2946">
        <w:t xml:space="preserve"> : Spot price by region ($/MWh)</w:t>
      </w:r>
    </w:p>
    <w:p w:rsidR="00275002" w:rsidRPr="0031019A" w:rsidRDefault="00686FAE" w:rsidP="00275002">
      <w:r w:rsidRPr="00686FAE">
        <w:rPr>
          <w:noProof/>
          <w:lang w:eastAsia="en-AU"/>
        </w:rPr>
        <w:drawing>
          <wp:inline distT="0" distB="0" distL="0" distR="0" wp14:anchorId="466B564A" wp14:editId="1EDA33BF">
            <wp:extent cx="5731510" cy="3219300"/>
            <wp:effectExtent l="0" t="0" r="2540" b="635"/>
            <wp:docPr id="6" name="Picture 6" descr="Figure 1 shows the spot prices for this week in each region. The markers indicate the daily maximum and minimum spot prices in each region."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19300"/>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4264B7">
        <w:t xml:space="preserve">Figure </w:t>
      </w:r>
      <w:r w:rsidR="004264B7">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4264B7">
        <w:t xml:space="preserve">Table </w:t>
      </w:r>
      <w:r w:rsidR="004264B7">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lastRenderedPageBreak/>
        <w:t xml:space="preserve">Figure </w:t>
      </w:r>
      <w:fldSimple w:instr=" SEQ Figure \* ARABIC ">
        <w:r w:rsidR="004264B7">
          <w:rPr>
            <w:noProof/>
          </w:rPr>
          <w:t>2</w:t>
        </w:r>
      </w:fldSimple>
      <w:bookmarkEnd w:id="10"/>
      <w:r>
        <w:t xml:space="preserve"> :</w:t>
      </w:r>
      <w:r w:rsidRPr="00037176">
        <w:t xml:space="preserve"> Volume weighted average spot price by region ($/MWh)</w:t>
      </w:r>
    </w:p>
    <w:p w:rsidR="00275002" w:rsidRPr="0031019A" w:rsidRDefault="007B2F9B" w:rsidP="00275002">
      <w:r w:rsidRPr="007B2F9B">
        <w:rPr>
          <w:noProof/>
          <w:lang w:eastAsia="en-AU"/>
        </w:rPr>
        <w:drawing>
          <wp:inline distT="0" distB="0" distL="0" distR="0" wp14:anchorId="33FFD837" wp14:editId="791687CD">
            <wp:extent cx="5731510" cy="2862079"/>
            <wp:effectExtent l="0" t="0" r="2540" b="0"/>
            <wp:docPr id="3" name="Picture 3" descr="Figure 2 shows the volume weighted average (VWA) prices for this week (with prices shown in Table 1) and the preceding 12 weeks, as well as the VWA price over the previous 3 financial years.    &#10;"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2079"/>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fldSimple w:instr=" SEQ Table \* ARABIC ">
        <w:r w:rsidR="004264B7">
          <w:rPr>
            <w:noProof/>
          </w:rPr>
          <w:t>1</w:t>
        </w:r>
      </w:fldSimple>
      <w:bookmarkEnd w:id="11"/>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275002" w:rsidRPr="000E2946" w:rsidTr="0027500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518" w:type="pct"/>
            <w:noWrap/>
            <w:hideMark/>
          </w:tcPr>
          <w:p w:rsidR="00275002" w:rsidRPr="000E2946" w:rsidRDefault="00275002" w:rsidP="00E7472E">
            <w:pPr>
              <w:pStyle w:val="TableHeading"/>
              <w:jc w:val="center"/>
            </w:pPr>
            <w:r w:rsidRPr="000E2946">
              <w:t>Qld</w:t>
            </w:r>
          </w:p>
        </w:tc>
        <w:tc>
          <w:tcPr>
            <w:tcW w:w="781" w:type="pct"/>
            <w:noWrap/>
            <w:hideMark/>
          </w:tcPr>
          <w:p w:rsidR="00275002" w:rsidRPr="000E2946" w:rsidRDefault="00275002" w:rsidP="00E7472E">
            <w:pPr>
              <w:pStyle w:val="TableHeading"/>
              <w:jc w:val="center"/>
            </w:pPr>
            <w:r w:rsidRPr="000E2946">
              <w:t>NSW</w:t>
            </w:r>
          </w:p>
        </w:tc>
        <w:tc>
          <w:tcPr>
            <w:tcW w:w="781" w:type="pct"/>
            <w:noWrap/>
            <w:hideMark/>
          </w:tcPr>
          <w:p w:rsidR="00275002" w:rsidRPr="000E2946" w:rsidRDefault="00275002" w:rsidP="00E7472E">
            <w:pPr>
              <w:pStyle w:val="TableHeading"/>
              <w:jc w:val="center"/>
            </w:pPr>
            <w:r w:rsidRPr="000E2946">
              <w:t>Vic</w:t>
            </w:r>
          </w:p>
        </w:tc>
        <w:tc>
          <w:tcPr>
            <w:tcW w:w="781" w:type="pct"/>
            <w:noWrap/>
            <w:hideMark/>
          </w:tcPr>
          <w:p w:rsidR="00275002" w:rsidRPr="000E2946" w:rsidRDefault="00275002" w:rsidP="00E7472E">
            <w:pPr>
              <w:pStyle w:val="TableHeading"/>
              <w:jc w:val="center"/>
            </w:pPr>
            <w:r w:rsidRPr="000E2946">
              <w:t>SA</w:t>
            </w:r>
          </w:p>
        </w:tc>
        <w:tc>
          <w:tcPr>
            <w:tcW w:w="781" w:type="pct"/>
            <w:noWrap/>
            <w:hideMark/>
          </w:tcPr>
          <w:p w:rsidR="00275002" w:rsidRPr="000E2946" w:rsidRDefault="00275002" w:rsidP="00E7472E">
            <w:pPr>
              <w:pStyle w:val="TableHeading"/>
              <w:jc w:val="center"/>
            </w:pPr>
            <w:proofErr w:type="spellStart"/>
            <w:r w:rsidRPr="000E2946">
              <w:t>Tas</w:t>
            </w:r>
            <w:proofErr w:type="spellEnd"/>
          </w:p>
        </w:tc>
      </w:tr>
      <w:tr w:rsidR="007B2F9B" w:rsidRPr="00F52F00" w:rsidTr="009F05FF">
        <w:trPr>
          <w:trHeight w:hRule="exact" w:val="340"/>
        </w:trPr>
        <w:tc>
          <w:tcPr>
            <w:tcW w:w="1357" w:type="pct"/>
            <w:noWrap/>
            <w:vAlign w:val="center"/>
            <w:hideMark/>
          </w:tcPr>
          <w:p w:rsidR="007B2F9B" w:rsidRPr="00262F65" w:rsidRDefault="007B2F9B" w:rsidP="007E6A82">
            <w:pPr>
              <w:spacing w:before="0" w:after="0"/>
              <w:rPr>
                <w:sz w:val="20"/>
                <w:szCs w:val="20"/>
              </w:rPr>
            </w:pPr>
            <w:r w:rsidRPr="00262F65">
              <w:rPr>
                <w:sz w:val="20"/>
                <w:szCs w:val="20"/>
              </w:rPr>
              <w:t>Current week</w:t>
            </w:r>
          </w:p>
        </w:tc>
        <w:tc>
          <w:tcPr>
            <w:tcW w:w="518" w:type="pct"/>
            <w:noWrap/>
            <w:vAlign w:val="center"/>
          </w:tcPr>
          <w:p w:rsidR="007B2F9B" w:rsidRPr="007B2F9B" w:rsidRDefault="007B2F9B" w:rsidP="009F05FF">
            <w:pPr>
              <w:spacing w:before="0" w:after="0"/>
              <w:jc w:val="center"/>
              <w:rPr>
                <w:sz w:val="20"/>
                <w:szCs w:val="20"/>
              </w:rPr>
            </w:pPr>
            <w:r w:rsidRPr="007B2F9B">
              <w:rPr>
                <w:sz w:val="20"/>
                <w:szCs w:val="20"/>
              </w:rPr>
              <w:t>33</w:t>
            </w:r>
          </w:p>
        </w:tc>
        <w:tc>
          <w:tcPr>
            <w:tcW w:w="781" w:type="pct"/>
            <w:noWrap/>
            <w:vAlign w:val="center"/>
          </w:tcPr>
          <w:p w:rsidR="007B2F9B" w:rsidRPr="007B2F9B" w:rsidRDefault="007B2F9B" w:rsidP="009F05FF">
            <w:pPr>
              <w:spacing w:before="0" w:after="0"/>
              <w:jc w:val="center"/>
              <w:rPr>
                <w:sz w:val="20"/>
                <w:szCs w:val="20"/>
              </w:rPr>
            </w:pPr>
            <w:r w:rsidRPr="007B2F9B">
              <w:rPr>
                <w:sz w:val="20"/>
                <w:szCs w:val="20"/>
              </w:rPr>
              <w:t>35</w:t>
            </w:r>
          </w:p>
        </w:tc>
        <w:tc>
          <w:tcPr>
            <w:tcW w:w="781" w:type="pct"/>
            <w:noWrap/>
            <w:vAlign w:val="center"/>
          </w:tcPr>
          <w:p w:rsidR="007B2F9B" w:rsidRPr="007B2F9B" w:rsidRDefault="006175CA" w:rsidP="009F05FF">
            <w:pPr>
              <w:spacing w:before="0" w:after="0"/>
              <w:jc w:val="center"/>
              <w:rPr>
                <w:sz w:val="20"/>
                <w:szCs w:val="20"/>
              </w:rPr>
            </w:pPr>
            <w:r>
              <w:rPr>
                <w:sz w:val="20"/>
                <w:szCs w:val="20"/>
              </w:rPr>
              <w:t>26</w:t>
            </w:r>
          </w:p>
        </w:tc>
        <w:tc>
          <w:tcPr>
            <w:tcW w:w="781" w:type="pct"/>
            <w:noWrap/>
            <w:vAlign w:val="center"/>
          </w:tcPr>
          <w:p w:rsidR="007B2F9B" w:rsidRPr="007B2F9B" w:rsidRDefault="007B2F9B" w:rsidP="009F05FF">
            <w:pPr>
              <w:spacing w:before="0" w:after="0"/>
              <w:jc w:val="center"/>
              <w:rPr>
                <w:sz w:val="20"/>
                <w:szCs w:val="20"/>
              </w:rPr>
            </w:pPr>
            <w:r w:rsidRPr="007B2F9B">
              <w:rPr>
                <w:sz w:val="20"/>
                <w:szCs w:val="20"/>
              </w:rPr>
              <w:t>32</w:t>
            </w:r>
          </w:p>
        </w:tc>
        <w:tc>
          <w:tcPr>
            <w:tcW w:w="781" w:type="pct"/>
            <w:noWrap/>
            <w:vAlign w:val="center"/>
          </w:tcPr>
          <w:p w:rsidR="007B2F9B" w:rsidRPr="007B2F9B" w:rsidRDefault="007B2F9B" w:rsidP="009F05FF">
            <w:pPr>
              <w:spacing w:before="0" w:after="0"/>
              <w:jc w:val="center"/>
              <w:rPr>
                <w:sz w:val="20"/>
                <w:szCs w:val="20"/>
              </w:rPr>
            </w:pPr>
            <w:r w:rsidRPr="007B2F9B">
              <w:rPr>
                <w:sz w:val="20"/>
                <w:szCs w:val="20"/>
              </w:rPr>
              <w:t>40</w:t>
            </w:r>
          </w:p>
        </w:tc>
      </w:tr>
      <w:tr w:rsidR="007B2F9B" w:rsidRPr="00F52F00" w:rsidTr="009F05F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7B2F9B" w:rsidRPr="00262F65" w:rsidRDefault="007B2F9B" w:rsidP="007E6A82">
            <w:pPr>
              <w:spacing w:before="0" w:after="0"/>
              <w:rPr>
                <w:szCs w:val="20"/>
              </w:rPr>
            </w:pPr>
            <w:r w:rsidRPr="00262F65">
              <w:rPr>
                <w:szCs w:val="20"/>
              </w:rPr>
              <w:t>13-14 financial YTD</w:t>
            </w:r>
          </w:p>
        </w:tc>
        <w:tc>
          <w:tcPr>
            <w:tcW w:w="518" w:type="pct"/>
            <w:noWrap/>
            <w:vAlign w:val="center"/>
          </w:tcPr>
          <w:p w:rsidR="007B2F9B" w:rsidRPr="007B2F9B" w:rsidRDefault="007B2F9B" w:rsidP="006175CA">
            <w:pPr>
              <w:spacing w:before="0" w:after="0"/>
              <w:jc w:val="center"/>
              <w:rPr>
                <w:szCs w:val="20"/>
              </w:rPr>
            </w:pPr>
            <w:r w:rsidRPr="007B2F9B">
              <w:rPr>
                <w:szCs w:val="20"/>
              </w:rPr>
              <w:t>6</w:t>
            </w:r>
            <w:r w:rsidR="006175CA">
              <w:rPr>
                <w:szCs w:val="20"/>
              </w:rPr>
              <w:t>3</w:t>
            </w:r>
          </w:p>
        </w:tc>
        <w:tc>
          <w:tcPr>
            <w:tcW w:w="781" w:type="pct"/>
            <w:noWrap/>
            <w:vAlign w:val="center"/>
          </w:tcPr>
          <w:p w:rsidR="007B2F9B" w:rsidRPr="007B2F9B" w:rsidRDefault="007B2F9B" w:rsidP="006175CA">
            <w:pPr>
              <w:spacing w:before="0" w:after="0"/>
              <w:jc w:val="center"/>
              <w:rPr>
                <w:szCs w:val="20"/>
              </w:rPr>
            </w:pPr>
            <w:r w:rsidRPr="007B2F9B">
              <w:rPr>
                <w:szCs w:val="20"/>
              </w:rPr>
              <w:t>5</w:t>
            </w:r>
            <w:r w:rsidR="006175CA">
              <w:rPr>
                <w:szCs w:val="20"/>
              </w:rPr>
              <w:t>4</w:t>
            </w:r>
          </w:p>
        </w:tc>
        <w:tc>
          <w:tcPr>
            <w:tcW w:w="781" w:type="pct"/>
            <w:noWrap/>
            <w:vAlign w:val="center"/>
          </w:tcPr>
          <w:p w:rsidR="007B2F9B" w:rsidRPr="007B2F9B" w:rsidRDefault="007B2F9B" w:rsidP="009F05FF">
            <w:pPr>
              <w:spacing w:before="0" w:after="0"/>
              <w:jc w:val="center"/>
              <w:rPr>
                <w:szCs w:val="20"/>
              </w:rPr>
            </w:pPr>
            <w:r w:rsidRPr="007B2F9B">
              <w:rPr>
                <w:szCs w:val="20"/>
              </w:rPr>
              <w:t>54</w:t>
            </w:r>
          </w:p>
        </w:tc>
        <w:tc>
          <w:tcPr>
            <w:tcW w:w="781" w:type="pct"/>
            <w:noWrap/>
            <w:vAlign w:val="center"/>
          </w:tcPr>
          <w:p w:rsidR="007B2F9B" w:rsidRPr="007B2F9B" w:rsidRDefault="006175CA" w:rsidP="009F05FF">
            <w:pPr>
              <w:spacing w:before="0" w:after="0"/>
              <w:jc w:val="center"/>
              <w:rPr>
                <w:szCs w:val="20"/>
              </w:rPr>
            </w:pPr>
            <w:r>
              <w:rPr>
                <w:szCs w:val="20"/>
              </w:rPr>
              <w:t>73</w:t>
            </w:r>
          </w:p>
        </w:tc>
        <w:tc>
          <w:tcPr>
            <w:tcW w:w="781" w:type="pct"/>
            <w:noWrap/>
            <w:vAlign w:val="center"/>
          </w:tcPr>
          <w:p w:rsidR="007B2F9B" w:rsidRPr="007B2F9B" w:rsidRDefault="007B2F9B" w:rsidP="006175CA">
            <w:pPr>
              <w:spacing w:before="0" w:after="0"/>
              <w:jc w:val="center"/>
              <w:rPr>
                <w:szCs w:val="20"/>
              </w:rPr>
            </w:pPr>
            <w:r w:rsidRPr="007B2F9B">
              <w:rPr>
                <w:szCs w:val="20"/>
              </w:rPr>
              <w:t>4</w:t>
            </w:r>
            <w:r w:rsidR="006175CA">
              <w:rPr>
                <w:szCs w:val="20"/>
              </w:rPr>
              <w:t>3</w:t>
            </w:r>
          </w:p>
        </w:tc>
      </w:tr>
      <w:tr w:rsidR="007B2F9B" w:rsidRPr="00F52F00" w:rsidTr="009F05FF">
        <w:trPr>
          <w:trHeight w:hRule="exact" w:val="340"/>
        </w:trPr>
        <w:tc>
          <w:tcPr>
            <w:tcW w:w="1357" w:type="pct"/>
            <w:noWrap/>
            <w:vAlign w:val="center"/>
            <w:hideMark/>
          </w:tcPr>
          <w:p w:rsidR="007B2F9B" w:rsidRPr="00262F65" w:rsidRDefault="007B2F9B" w:rsidP="007E6A82">
            <w:pPr>
              <w:spacing w:before="0" w:after="0"/>
              <w:rPr>
                <w:sz w:val="20"/>
                <w:szCs w:val="20"/>
              </w:rPr>
            </w:pPr>
            <w:r w:rsidRPr="00262F65">
              <w:rPr>
                <w:sz w:val="20"/>
                <w:szCs w:val="20"/>
              </w:rPr>
              <w:t>14-15 financial YTD</w:t>
            </w:r>
          </w:p>
        </w:tc>
        <w:tc>
          <w:tcPr>
            <w:tcW w:w="518" w:type="pct"/>
            <w:noWrap/>
            <w:vAlign w:val="center"/>
          </w:tcPr>
          <w:p w:rsidR="007B2F9B" w:rsidRPr="007B2F9B" w:rsidRDefault="006175CA" w:rsidP="009F05FF">
            <w:pPr>
              <w:spacing w:before="0" w:after="0"/>
              <w:jc w:val="center"/>
              <w:rPr>
                <w:sz w:val="20"/>
                <w:szCs w:val="20"/>
              </w:rPr>
            </w:pPr>
            <w:r>
              <w:rPr>
                <w:sz w:val="20"/>
                <w:szCs w:val="20"/>
              </w:rPr>
              <w:t>70</w:t>
            </w:r>
          </w:p>
        </w:tc>
        <w:tc>
          <w:tcPr>
            <w:tcW w:w="781" w:type="pct"/>
            <w:noWrap/>
            <w:vAlign w:val="center"/>
          </w:tcPr>
          <w:p w:rsidR="007B2F9B" w:rsidRPr="007B2F9B" w:rsidRDefault="007B2F9B" w:rsidP="009F05FF">
            <w:pPr>
              <w:spacing w:before="0" w:after="0"/>
              <w:jc w:val="center"/>
              <w:rPr>
                <w:sz w:val="20"/>
                <w:szCs w:val="20"/>
              </w:rPr>
            </w:pPr>
            <w:r w:rsidRPr="007B2F9B">
              <w:rPr>
                <w:sz w:val="20"/>
                <w:szCs w:val="20"/>
              </w:rPr>
              <w:t>36</w:t>
            </w:r>
          </w:p>
        </w:tc>
        <w:tc>
          <w:tcPr>
            <w:tcW w:w="781" w:type="pct"/>
            <w:noWrap/>
            <w:vAlign w:val="center"/>
          </w:tcPr>
          <w:p w:rsidR="007B2F9B" w:rsidRPr="007B2F9B" w:rsidRDefault="007B2F9B" w:rsidP="009F05FF">
            <w:pPr>
              <w:spacing w:before="0" w:after="0"/>
              <w:jc w:val="center"/>
              <w:rPr>
                <w:sz w:val="20"/>
                <w:szCs w:val="20"/>
              </w:rPr>
            </w:pPr>
            <w:r w:rsidRPr="007B2F9B">
              <w:rPr>
                <w:sz w:val="20"/>
                <w:szCs w:val="20"/>
              </w:rPr>
              <w:t>31</w:t>
            </w:r>
          </w:p>
        </w:tc>
        <w:tc>
          <w:tcPr>
            <w:tcW w:w="781" w:type="pct"/>
            <w:noWrap/>
            <w:vAlign w:val="center"/>
          </w:tcPr>
          <w:p w:rsidR="007B2F9B" w:rsidRPr="007B2F9B" w:rsidRDefault="007B2F9B" w:rsidP="009F05FF">
            <w:pPr>
              <w:spacing w:before="0" w:after="0"/>
              <w:jc w:val="center"/>
              <w:rPr>
                <w:sz w:val="20"/>
                <w:szCs w:val="20"/>
              </w:rPr>
            </w:pPr>
            <w:r w:rsidRPr="007B2F9B">
              <w:rPr>
                <w:sz w:val="20"/>
                <w:szCs w:val="20"/>
              </w:rPr>
              <w:t>40</w:t>
            </w:r>
          </w:p>
        </w:tc>
        <w:tc>
          <w:tcPr>
            <w:tcW w:w="781" w:type="pct"/>
            <w:noWrap/>
            <w:vAlign w:val="center"/>
          </w:tcPr>
          <w:p w:rsidR="007B2F9B" w:rsidRPr="007B2F9B" w:rsidRDefault="007B2F9B" w:rsidP="006175CA">
            <w:pPr>
              <w:spacing w:before="0" w:after="0"/>
              <w:jc w:val="center"/>
              <w:rPr>
                <w:sz w:val="20"/>
                <w:szCs w:val="20"/>
              </w:rPr>
            </w:pPr>
            <w:r w:rsidRPr="007B2F9B">
              <w:rPr>
                <w:sz w:val="20"/>
                <w:szCs w:val="20"/>
              </w:rPr>
              <w:t>3</w:t>
            </w:r>
            <w:r w:rsidR="006175CA">
              <w:rPr>
                <w:sz w:val="20"/>
                <w:szCs w:val="20"/>
              </w:rPr>
              <w:t>9</w:t>
            </w:r>
          </w:p>
        </w:tc>
      </w:tr>
    </w:tbl>
    <w:p w:rsidR="00275002" w:rsidRPr="001F0DCA" w:rsidRDefault="00275002" w:rsidP="007E6A82">
      <w:pPr>
        <w:pStyle w:val="Tabletext"/>
        <w:rPr>
          <w:szCs w:val="18"/>
        </w:rPr>
      </w:pPr>
      <w:r w:rsidRPr="001F0DCA">
        <w:rPr>
          <w:szCs w:val="18"/>
        </w:rPr>
        <w:t xml:space="preserve">Longer-term statistics tracking average spot market prices are available on the </w:t>
      </w:r>
      <w:hyperlink r:id="rId12" w:history="1">
        <w:r w:rsidRPr="001F0DCA">
          <w:rPr>
            <w:rStyle w:val="Hyperlink"/>
            <w:sz w:val="18"/>
            <w:szCs w:val="18"/>
          </w:rPr>
          <w:t>AER website</w:t>
        </w:r>
      </w:hyperlink>
      <w:r w:rsidRPr="001F0DCA">
        <w:rPr>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 xml:space="preserve">There were </w:t>
      </w:r>
      <w:r w:rsidR="000E6DFB">
        <w:t>6</w:t>
      </w:r>
      <w:r w:rsidR="005057B5">
        <w:t>9</w:t>
      </w:r>
      <w:r w:rsidR="00A2356E" w:rsidRPr="00F70811">
        <w:t xml:space="preserve"> </w:t>
      </w:r>
      <w:r w:rsidRPr="00F70811">
        <w:t>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4264B7">
        <w:t xml:space="preserve">Table </w:t>
      </w:r>
      <w:r w:rsidR="004264B7">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w:t>
      </w:r>
      <w:r w:rsidR="00275002" w:rsidRPr="0031019A">
        <w:lastRenderedPageBreak/>
        <w:t xml:space="preserve">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fldSimple w:instr=" SEQ Table \* ARABIC ">
        <w:r w:rsidR="004264B7">
          <w:rPr>
            <w:noProof/>
          </w:rPr>
          <w:t>2</w:t>
        </w:r>
      </w:fldSimple>
      <w:bookmarkEnd w:id="12"/>
      <w:r>
        <w:t xml:space="preserve"> </w:t>
      </w:r>
      <w:r w:rsidRPr="00BC7912">
        <w:t>: Reasons for variations between forecast and actual prices</w:t>
      </w:r>
      <w:bookmarkEnd w:id="13"/>
    </w:p>
    <w:tbl>
      <w:tblPr>
        <w:tblStyle w:val="AERsummarytable"/>
        <w:tblW w:w="9122" w:type="dxa"/>
        <w:tblLayout w:type="fixed"/>
        <w:tblLook w:val="04A0" w:firstRow="1" w:lastRow="0" w:firstColumn="1" w:lastColumn="0" w:noHBand="0" w:noVBand="1"/>
        <w:tblCaption w:val="Table 2: Reasons for variations between forecast and actual prices"/>
        <w:tblDescription w:val="There were 69 trading intervals throughout the week where actual prices varied significantly from forecasts. This compares to the weekly average in 2014 of 71 counts and the average in 2013 of 97.    &#10;    &#10;    &#10;    &#10;"/>
      </w:tblPr>
      <w:tblGrid>
        <w:gridCol w:w="2835"/>
        <w:gridCol w:w="1571"/>
        <w:gridCol w:w="1572"/>
        <w:gridCol w:w="1572"/>
        <w:gridCol w:w="1572"/>
      </w:tblGrid>
      <w:tr w:rsidR="00275002" w:rsidRPr="00E7472E" w:rsidTr="007E6A82">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vAlign w:val="center"/>
            <w:hideMark/>
          </w:tcPr>
          <w:p w:rsidR="00275002" w:rsidRPr="00E7472E" w:rsidRDefault="00275002" w:rsidP="007E6A82">
            <w:pPr>
              <w:pStyle w:val="TableHeading"/>
              <w:jc w:val="center"/>
              <w:rPr>
                <w:sz w:val="20"/>
              </w:rPr>
            </w:pPr>
          </w:p>
        </w:tc>
        <w:tc>
          <w:tcPr>
            <w:tcW w:w="1571" w:type="dxa"/>
            <w:noWrap/>
            <w:vAlign w:val="center"/>
            <w:hideMark/>
          </w:tcPr>
          <w:p w:rsidR="00275002" w:rsidRPr="00E7472E" w:rsidRDefault="00275002" w:rsidP="007E6A82">
            <w:pPr>
              <w:pStyle w:val="TableHeading"/>
              <w:jc w:val="center"/>
              <w:rPr>
                <w:sz w:val="20"/>
              </w:rPr>
            </w:pPr>
            <w:r w:rsidRPr="00E7472E">
              <w:rPr>
                <w:sz w:val="20"/>
              </w:rPr>
              <w:t>Availability</w:t>
            </w:r>
          </w:p>
        </w:tc>
        <w:tc>
          <w:tcPr>
            <w:tcW w:w="1572" w:type="dxa"/>
            <w:noWrap/>
            <w:vAlign w:val="center"/>
            <w:hideMark/>
          </w:tcPr>
          <w:p w:rsidR="00275002" w:rsidRPr="00E7472E" w:rsidRDefault="00275002" w:rsidP="007E6A82">
            <w:pPr>
              <w:pStyle w:val="TableHeading"/>
              <w:jc w:val="center"/>
              <w:rPr>
                <w:sz w:val="20"/>
              </w:rPr>
            </w:pPr>
            <w:r w:rsidRPr="00E7472E">
              <w:rPr>
                <w:sz w:val="20"/>
              </w:rPr>
              <w:t>Demand</w:t>
            </w:r>
          </w:p>
        </w:tc>
        <w:tc>
          <w:tcPr>
            <w:tcW w:w="1572" w:type="dxa"/>
            <w:noWrap/>
            <w:vAlign w:val="center"/>
            <w:hideMark/>
          </w:tcPr>
          <w:p w:rsidR="00275002" w:rsidRPr="00E7472E" w:rsidRDefault="00275002" w:rsidP="007E6A82">
            <w:pPr>
              <w:pStyle w:val="TableHeading"/>
              <w:jc w:val="center"/>
              <w:rPr>
                <w:sz w:val="20"/>
              </w:rPr>
            </w:pPr>
            <w:r w:rsidRPr="00E7472E">
              <w:rPr>
                <w:sz w:val="20"/>
              </w:rPr>
              <w:t>Network</w:t>
            </w:r>
          </w:p>
        </w:tc>
        <w:tc>
          <w:tcPr>
            <w:tcW w:w="1572" w:type="dxa"/>
            <w:vAlign w:val="center"/>
            <w:hideMark/>
          </w:tcPr>
          <w:p w:rsidR="00275002" w:rsidRPr="00E7472E" w:rsidRDefault="00275002" w:rsidP="007E6A82">
            <w:pPr>
              <w:pStyle w:val="TableHeading"/>
              <w:jc w:val="center"/>
              <w:rPr>
                <w:sz w:val="20"/>
              </w:rPr>
            </w:pPr>
            <w:r w:rsidRPr="00E7472E">
              <w:rPr>
                <w:sz w:val="20"/>
              </w:rPr>
              <w:t>Combination</w:t>
            </w:r>
          </w:p>
        </w:tc>
      </w:tr>
      <w:tr w:rsidR="00686FAE" w:rsidRPr="00F52F00" w:rsidTr="004328C0">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686FAE" w:rsidRPr="0031019A" w:rsidRDefault="00686FAE" w:rsidP="007A6726">
            <w:pPr>
              <w:spacing w:after="0"/>
              <w:jc w:val="center"/>
            </w:pPr>
            <w:r w:rsidRPr="0031019A">
              <w:t>% of total above forecast</w:t>
            </w:r>
          </w:p>
        </w:tc>
        <w:tc>
          <w:tcPr>
            <w:tcW w:w="1571" w:type="dxa"/>
            <w:noWrap/>
          </w:tcPr>
          <w:p w:rsidR="00686FAE" w:rsidRPr="00686FAE" w:rsidRDefault="00686FAE" w:rsidP="00686FAE">
            <w:pPr>
              <w:jc w:val="center"/>
              <w:rPr>
                <w:sz w:val="20"/>
              </w:rPr>
            </w:pPr>
            <w:r w:rsidRPr="00686FAE">
              <w:rPr>
                <w:sz w:val="20"/>
              </w:rPr>
              <w:t>7</w:t>
            </w:r>
          </w:p>
        </w:tc>
        <w:tc>
          <w:tcPr>
            <w:tcW w:w="1572" w:type="dxa"/>
            <w:noWrap/>
          </w:tcPr>
          <w:p w:rsidR="00686FAE" w:rsidRPr="00686FAE" w:rsidRDefault="00052835" w:rsidP="00686FAE">
            <w:pPr>
              <w:jc w:val="center"/>
              <w:rPr>
                <w:sz w:val="20"/>
              </w:rPr>
            </w:pPr>
            <w:r>
              <w:rPr>
                <w:sz w:val="20"/>
              </w:rPr>
              <w:t>30</w:t>
            </w:r>
          </w:p>
        </w:tc>
        <w:tc>
          <w:tcPr>
            <w:tcW w:w="1572" w:type="dxa"/>
            <w:noWrap/>
          </w:tcPr>
          <w:p w:rsidR="00686FAE" w:rsidRPr="00686FAE" w:rsidRDefault="00052835" w:rsidP="00686FAE">
            <w:pPr>
              <w:jc w:val="center"/>
              <w:rPr>
                <w:sz w:val="20"/>
              </w:rPr>
            </w:pPr>
            <w:r>
              <w:rPr>
                <w:sz w:val="20"/>
              </w:rPr>
              <w:t>1</w:t>
            </w:r>
          </w:p>
        </w:tc>
        <w:tc>
          <w:tcPr>
            <w:tcW w:w="1572" w:type="dxa"/>
          </w:tcPr>
          <w:p w:rsidR="00686FAE" w:rsidRPr="00686FAE" w:rsidRDefault="00686FAE" w:rsidP="00686FAE">
            <w:pPr>
              <w:jc w:val="center"/>
              <w:rPr>
                <w:sz w:val="20"/>
              </w:rPr>
            </w:pPr>
            <w:r w:rsidRPr="00686FAE">
              <w:rPr>
                <w:sz w:val="20"/>
              </w:rPr>
              <w:t>0</w:t>
            </w:r>
          </w:p>
        </w:tc>
      </w:tr>
      <w:tr w:rsidR="00686FAE" w:rsidRPr="007E6A82" w:rsidTr="004328C0">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86FAE" w:rsidRPr="007E6A82" w:rsidRDefault="00686FAE" w:rsidP="007A6726">
            <w:pPr>
              <w:spacing w:after="0"/>
              <w:jc w:val="center"/>
            </w:pPr>
            <w:r w:rsidRPr="007E6A82">
              <w:t>% of total below forecast</w:t>
            </w:r>
          </w:p>
        </w:tc>
        <w:tc>
          <w:tcPr>
            <w:tcW w:w="1571" w:type="dxa"/>
            <w:noWrap/>
          </w:tcPr>
          <w:p w:rsidR="00686FAE" w:rsidRPr="00686FAE" w:rsidRDefault="00686FAE" w:rsidP="00686FAE">
            <w:pPr>
              <w:jc w:val="center"/>
              <w:rPr>
                <w:sz w:val="20"/>
              </w:rPr>
            </w:pPr>
            <w:r w:rsidRPr="00686FAE">
              <w:rPr>
                <w:sz w:val="20"/>
              </w:rPr>
              <w:t>22</w:t>
            </w:r>
          </w:p>
        </w:tc>
        <w:tc>
          <w:tcPr>
            <w:tcW w:w="1572" w:type="dxa"/>
            <w:noWrap/>
          </w:tcPr>
          <w:p w:rsidR="00686FAE" w:rsidRPr="00686FAE" w:rsidRDefault="00686FAE" w:rsidP="00686FAE">
            <w:pPr>
              <w:jc w:val="center"/>
              <w:rPr>
                <w:sz w:val="20"/>
              </w:rPr>
            </w:pPr>
            <w:r w:rsidRPr="00686FAE">
              <w:rPr>
                <w:sz w:val="20"/>
              </w:rPr>
              <w:t>34</w:t>
            </w:r>
          </w:p>
        </w:tc>
        <w:tc>
          <w:tcPr>
            <w:tcW w:w="1572" w:type="dxa"/>
            <w:noWrap/>
          </w:tcPr>
          <w:p w:rsidR="00686FAE" w:rsidRPr="00686FAE" w:rsidRDefault="00686FAE" w:rsidP="00686FAE">
            <w:pPr>
              <w:jc w:val="center"/>
              <w:rPr>
                <w:sz w:val="20"/>
              </w:rPr>
            </w:pPr>
            <w:r w:rsidRPr="00686FAE">
              <w:rPr>
                <w:sz w:val="20"/>
              </w:rPr>
              <w:t>0</w:t>
            </w:r>
          </w:p>
        </w:tc>
        <w:tc>
          <w:tcPr>
            <w:tcW w:w="1572" w:type="dxa"/>
          </w:tcPr>
          <w:p w:rsidR="00686FAE" w:rsidRPr="00686FAE" w:rsidRDefault="00686FAE" w:rsidP="00686FAE">
            <w:pPr>
              <w:jc w:val="center"/>
              <w:rPr>
                <w:sz w:val="20"/>
              </w:rPr>
            </w:pPr>
            <w:r w:rsidRPr="00686FAE">
              <w:rPr>
                <w:sz w:val="20"/>
              </w:rPr>
              <w:t>7</w:t>
            </w:r>
          </w:p>
        </w:tc>
      </w:tr>
    </w:tbl>
    <w:p w:rsidR="00275002" w:rsidRPr="007E6A82" w:rsidRDefault="00275002" w:rsidP="007E6A82">
      <w:pPr>
        <w:spacing w:before="120" w:after="120"/>
        <w:rPr>
          <w:sz w:val="18"/>
        </w:rPr>
      </w:pPr>
      <w:r w:rsidRPr="007E6A82">
        <w:rPr>
          <w:sz w:val="18"/>
        </w:rPr>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4264B7">
        <w:t xml:space="preserve">Figure </w:t>
      </w:r>
      <w:r w:rsidR="004264B7">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4264B7">
        <w:t xml:space="preserve">Figure </w:t>
      </w:r>
      <w:r w:rsidR="004264B7">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fldSimple w:instr=" SEQ Figure \* ARABIC ">
        <w:r w:rsidR="004264B7">
          <w:rPr>
            <w:noProof/>
          </w:rPr>
          <w:t>3</w:t>
        </w:r>
      </w:fldSimple>
      <w:bookmarkEnd w:id="14"/>
      <w:r>
        <w:t xml:space="preserve"> : Queensland </w:t>
      </w:r>
      <w:r w:rsidRPr="00690328">
        <w:t>generation and bidding patterns</w:t>
      </w:r>
    </w:p>
    <w:p w:rsidR="00275002" w:rsidRPr="00EA4191" w:rsidRDefault="001F0DCA" w:rsidP="00275002">
      <w:r>
        <w:rPr>
          <w:noProof/>
          <w:lang w:eastAsia="en-AU"/>
        </w:rPr>
        <mc:AlternateContent>
          <mc:Choice Requires="wps">
            <w:drawing>
              <wp:anchor distT="0" distB="0" distL="114300" distR="114300" simplePos="0" relativeHeight="251670528" behindDoc="0" locked="0" layoutInCell="1" allowOverlap="1" wp14:anchorId="551C82A8" wp14:editId="41CD539A">
                <wp:simplePos x="0" y="0"/>
                <wp:positionH relativeFrom="column">
                  <wp:posOffset>1365885</wp:posOffset>
                </wp:positionH>
                <wp:positionV relativeFrom="paragraph">
                  <wp:posOffset>496570</wp:posOffset>
                </wp:positionV>
                <wp:extent cx="278765" cy="1904365"/>
                <wp:effectExtent l="0" t="0" r="26035" b="19685"/>
                <wp:wrapNone/>
                <wp:docPr id="16" name="Oval 16"/>
                <wp:cNvGraphicFramePr/>
                <a:graphic xmlns:a="http://schemas.openxmlformats.org/drawingml/2006/main">
                  <a:graphicData uri="http://schemas.microsoft.com/office/word/2010/wordprocessingShape">
                    <wps:wsp>
                      <wps:cNvSpPr/>
                      <wps:spPr>
                        <a:xfrm>
                          <a:off x="0" y="0"/>
                          <a:ext cx="278765" cy="1904365"/>
                        </a:xfrm>
                        <a:prstGeom prst="ellipse">
                          <a:avLst/>
                        </a:prstGeom>
                        <a:noFill/>
                        <a:ln>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6" o:spid="_x0000_s1026" style="position:absolute;margin-left:107.55pt;margin-top:39.1pt;width:21.95pt;height:149.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" filled="f" strokecolor="red" strokeweight="2pt"/>
            </w:pict>
          </mc:Fallback>
        </mc:AlternateContent>
      </w:r>
      <w:r w:rsidR="00686FAE" w:rsidRPr="00686FAE">
        <w:rPr>
          <w:noProof/>
          <w:lang w:eastAsia="en-AU"/>
        </w:rPr>
        <w:drawing>
          <wp:inline distT="0" distB="0" distL="0" distR="0" wp14:anchorId="60D9625D" wp14:editId="0E9F644D">
            <wp:extent cx="5731510" cy="4111279"/>
            <wp:effectExtent l="0" t="0" r="2540" b="3810"/>
            <wp:docPr id="9" name="Picture 9"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title="Figure 3 :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1279"/>
                    </a:xfrm>
                    <a:prstGeom prst="rect">
                      <a:avLst/>
                    </a:prstGeom>
                    <a:noFill/>
                    <a:ln>
                      <a:noFill/>
                    </a:ln>
                  </pic:spPr>
                </pic:pic>
              </a:graphicData>
            </a:graphic>
          </wp:inline>
        </w:drawing>
      </w:r>
    </w:p>
    <w:p w:rsidR="000D3B30" w:rsidRPr="0031019A" w:rsidRDefault="001F0DCA" w:rsidP="00ED4C4C">
      <w:pPr>
        <w:jc w:val="both"/>
      </w:pPr>
      <w:r>
        <w:t xml:space="preserve">The red ellipses on </w:t>
      </w:r>
      <w:r>
        <w:fldChar w:fldCharType="begin"/>
      </w:r>
      <w:r>
        <w:instrText xml:space="preserve"> REF _Ref410383507 \h </w:instrText>
      </w:r>
      <w:r w:rsidR="00ED4C4C">
        <w:instrText xml:space="preserve"> \* MERGEFORMAT </w:instrText>
      </w:r>
      <w:r>
        <w:fldChar w:fldCharType="separate"/>
      </w:r>
      <w:r w:rsidR="004264B7">
        <w:t xml:space="preserve">Figure </w:t>
      </w:r>
      <w:r w:rsidR="004264B7">
        <w:rPr>
          <w:noProof/>
        </w:rPr>
        <w:t>3</w:t>
      </w:r>
      <w:r>
        <w:fldChar w:fldCharType="end"/>
      </w:r>
      <w:r>
        <w:t xml:space="preserve"> and </w:t>
      </w:r>
      <w:r>
        <w:fldChar w:fldCharType="begin"/>
      </w:r>
      <w:r>
        <w:instrText xml:space="preserve"> REF _Ref417471208 \h </w:instrText>
      </w:r>
      <w:r w:rsidR="00ED4C4C">
        <w:instrText xml:space="preserve"> \* MERGEFORMAT </w:instrText>
      </w:r>
      <w:r>
        <w:fldChar w:fldCharType="separate"/>
      </w:r>
      <w:r w:rsidR="004264B7">
        <w:t xml:space="preserve">Figure </w:t>
      </w:r>
      <w:r w:rsidR="004264B7">
        <w:rPr>
          <w:noProof/>
        </w:rPr>
        <w:t>4</w:t>
      </w:r>
      <w:r>
        <w:fldChar w:fldCharType="end"/>
      </w:r>
      <w:r>
        <w:t xml:space="preserve"> highlight</w:t>
      </w:r>
      <w:r w:rsidR="000D3B30">
        <w:t xml:space="preserve"> periods of rebidding that correspond to the time of high prices in those </w:t>
      </w:r>
      <w:r w:rsidR="00ED4C4C">
        <w:t>regions</w:t>
      </w:r>
      <w:r w:rsidR="000D3B30">
        <w:t>. These are discussed in further detail later in the report.</w:t>
      </w:r>
    </w:p>
    <w:p w:rsidR="00275002" w:rsidRDefault="00275002" w:rsidP="000E2946">
      <w:pPr>
        <w:pStyle w:val="Caption"/>
      </w:pPr>
      <w:bookmarkStart w:id="15" w:name="_Ref417471208"/>
      <w:r>
        <w:lastRenderedPageBreak/>
        <w:t xml:space="preserve">Figure </w:t>
      </w:r>
      <w:fldSimple w:instr=" SEQ Figure \* ARABIC ">
        <w:r w:rsidR="004264B7">
          <w:rPr>
            <w:noProof/>
          </w:rPr>
          <w:t>4</w:t>
        </w:r>
      </w:fldSimple>
      <w:bookmarkEnd w:id="15"/>
      <w:r>
        <w:t xml:space="preserve"> : </w:t>
      </w:r>
      <w:r w:rsidRPr="00CC5077">
        <w:t>New South Wales generation and bidding patterns</w:t>
      </w:r>
    </w:p>
    <w:p w:rsidR="00275002" w:rsidRPr="0031019A" w:rsidRDefault="001F0DCA" w:rsidP="00275002">
      <w:r>
        <w:rPr>
          <w:noProof/>
          <w:lang w:eastAsia="en-AU"/>
        </w:rPr>
        <mc:AlternateContent>
          <mc:Choice Requires="wps">
            <w:drawing>
              <wp:anchor distT="0" distB="0" distL="114300" distR="114300" simplePos="0" relativeHeight="251668480" behindDoc="0" locked="0" layoutInCell="1" allowOverlap="1" wp14:anchorId="7830528D" wp14:editId="70DBD8EA">
                <wp:simplePos x="0" y="0"/>
                <wp:positionH relativeFrom="column">
                  <wp:posOffset>1327785</wp:posOffset>
                </wp:positionH>
                <wp:positionV relativeFrom="paragraph">
                  <wp:posOffset>467995</wp:posOffset>
                </wp:positionV>
                <wp:extent cx="278765" cy="1904365"/>
                <wp:effectExtent l="0" t="0" r="26035" b="19685"/>
                <wp:wrapNone/>
                <wp:docPr id="7" name="Oval 7"/>
                <wp:cNvGraphicFramePr/>
                <a:graphic xmlns:a="http://schemas.openxmlformats.org/drawingml/2006/main">
                  <a:graphicData uri="http://schemas.microsoft.com/office/word/2010/wordprocessingShape">
                    <wps:wsp>
                      <wps:cNvSpPr/>
                      <wps:spPr>
                        <a:xfrm>
                          <a:off x="0" y="0"/>
                          <a:ext cx="278765" cy="1904365"/>
                        </a:xfrm>
                        <a:prstGeom prst="ellipse">
                          <a:avLst/>
                        </a:prstGeom>
                        <a:noFill/>
                        <a:ln>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 o:spid="_x0000_s1026" style="position:absolute;margin-left:104.55pt;margin-top:36.85pt;width:21.95pt;height:149.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" filled="f" strokecolor="red" strokeweight="2pt"/>
            </w:pict>
          </mc:Fallback>
        </mc:AlternateContent>
      </w:r>
      <w:r w:rsidR="00686FAE" w:rsidRPr="00686FAE">
        <w:rPr>
          <w:noProof/>
          <w:lang w:eastAsia="en-AU"/>
        </w:rPr>
        <w:drawing>
          <wp:inline distT="0" distB="0" distL="0" distR="0" wp14:anchorId="26F7336B" wp14:editId="747C5E3E">
            <wp:extent cx="5731510" cy="4119038"/>
            <wp:effectExtent l="0" t="0" r="2540" b="0"/>
            <wp:docPr id="11" name="Picture 11"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title="Figure 4 :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9038"/>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4264B7">
          <w:rPr>
            <w:noProof/>
          </w:rPr>
          <w:t>5</w:t>
        </w:r>
      </w:fldSimple>
      <w:r>
        <w:t xml:space="preserve"> </w:t>
      </w:r>
      <w:r w:rsidRPr="0003635A">
        <w:t>: Victoria generation and bidding patterns</w:t>
      </w:r>
    </w:p>
    <w:p w:rsidR="00275002" w:rsidRPr="0031019A" w:rsidRDefault="00686FAE" w:rsidP="00275002">
      <w:r w:rsidRPr="00686FAE">
        <w:rPr>
          <w:noProof/>
          <w:lang w:eastAsia="en-AU"/>
        </w:rPr>
        <w:drawing>
          <wp:inline distT="0" distB="0" distL="0" distR="0" wp14:anchorId="62387093" wp14:editId="2A43A194">
            <wp:extent cx="5731510" cy="4111279"/>
            <wp:effectExtent l="0" t="0" r="2540" b="3810"/>
            <wp:docPr id="12" name="Picture 12"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title="Figure 5 :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1279"/>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4264B7">
          <w:rPr>
            <w:noProof/>
          </w:rPr>
          <w:t>6</w:t>
        </w:r>
      </w:fldSimple>
      <w:r>
        <w:t>:</w:t>
      </w:r>
      <w:r w:rsidRPr="00BD00EB">
        <w:t xml:space="preserve"> South Australia generation and bidding patterns</w:t>
      </w:r>
    </w:p>
    <w:p w:rsidR="00275002" w:rsidRPr="0031019A" w:rsidRDefault="00686FAE" w:rsidP="00275002">
      <w:r w:rsidRPr="00686FAE">
        <w:rPr>
          <w:noProof/>
          <w:lang w:eastAsia="en-AU"/>
        </w:rPr>
        <w:drawing>
          <wp:inline distT="0" distB="0" distL="0" distR="0" wp14:anchorId="7F9A6D00" wp14:editId="625488B7">
            <wp:extent cx="5731510" cy="4111279"/>
            <wp:effectExtent l="0" t="0" r="2540" b="3810"/>
            <wp:docPr id="14" name="Picture 14"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1279"/>
                    </a:xfrm>
                    <a:prstGeom prst="rect">
                      <a:avLst/>
                    </a:prstGeom>
                    <a:noFill/>
                    <a:ln>
                      <a:noFill/>
                    </a:ln>
                  </pic:spPr>
                </pic:pic>
              </a:graphicData>
            </a:graphic>
          </wp:inline>
        </w:drawing>
      </w:r>
    </w:p>
    <w:p w:rsidR="00275002" w:rsidRDefault="00275002" w:rsidP="000E2946">
      <w:pPr>
        <w:pStyle w:val="Caption"/>
      </w:pPr>
      <w:bookmarkStart w:id="16" w:name="_Ref410383520"/>
      <w:r>
        <w:t xml:space="preserve">Figure </w:t>
      </w:r>
      <w:fldSimple w:instr=" SEQ Figure \* ARABIC ">
        <w:r w:rsidR="004264B7">
          <w:rPr>
            <w:noProof/>
          </w:rPr>
          <w:t>7</w:t>
        </w:r>
      </w:fldSimple>
      <w:bookmarkEnd w:id="16"/>
      <w:r>
        <w:t xml:space="preserve">: </w:t>
      </w:r>
      <w:r w:rsidRPr="008837C4">
        <w:t>Tasmania generation and bidding patterns</w:t>
      </w:r>
    </w:p>
    <w:p w:rsidR="00275002" w:rsidRDefault="003908EA" w:rsidP="00275002">
      <w:r>
        <w:rPr>
          <w:noProof/>
          <w:lang w:eastAsia="en-AU"/>
        </w:rPr>
        <mc:AlternateContent>
          <mc:Choice Requires="wps">
            <w:drawing>
              <wp:anchor distT="0" distB="0" distL="114300" distR="114300" simplePos="0" relativeHeight="251664384" behindDoc="0" locked="0" layoutInCell="1" allowOverlap="1" wp14:anchorId="600DCE16" wp14:editId="0CA81AA1">
                <wp:simplePos x="0" y="0"/>
                <wp:positionH relativeFrom="column">
                  <wp:posOffset>2070735</wp:posOffset>
                </wp:positionH>
                <wp:positionV relativeFrom="paragraph">
                  <wp:posOffset>473710</wp:posOffset>
                </wp:positionV>
                <wp:extent cx="278765" cy="1904365"/>
                <wp:effectExtent l="0" t="0" r="26035" b="19685"/>
                <wp:wrapNone/>
                <wp:docPr id="8" name="Oval 8"/>
                <wp:cNvGraphicFramePr/>
                <a:graphic xmlns:a="http://schemas.openxmlformats.org/drawingml/2006/main">
                  <a:graphicData uri="http://schemas.microsoft.com/office/word/2010/wordprocessingShape">
                    <wps:wsp>
                      <wps:cNvSpPr/>
                      <wps:spPr>
                        <a:xfrm>
                          <a:off x="0" y="0"/>
                          <a:ext cx="278765" cy="1904365"/>
                        </a:xfrm>
                        <a:prstGeom prst="ellipse">
                          <a:avLst/>
                        </a:prstGeom>
                        <a:noFill/>
                        <a:ln>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8" o:spid="_x0000_s1026" style="position:absolute;margin-left:163.05pt;margin-top:37.3pt;width:21.95pt;height:149.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" filled="f" strokecolor="red" strokeweight="2pt"/>
            </w:pict>
          </mc:Fallback>
        </mc:AlternateContent>
      </w:r>
      <w:r>
        <w:rPr>
          <w:noProof/>
          <w:lang w:eastAsia="en-AU"/>
        </w:rPr>
        <mc:AlternateContent>
          <mc:Choice Requires="wps">
            <w:drawing>
              <wp:anchor distT="0" distB="0" distL="114300" distR="114300" simplePos="0" relativeHeight="251666432" behindDoc="0" locked="0" layoutInCell="1" allowOverlap="1" wp14:anchorId="281256E6" wp14:editId="629C892C">
                <wp:simplePos x="0" y="0"/>
                <wp:positionH relativeFrom="column">
                  <wp:posOffset>3523037</wp:posOffset>
                </wp:positionH>
                <wp:positionV relativeFrom="paragraph">
                  <wp:posOffset>429864</wp:posOffset>
                </wp:positionV>
                <wp:extent cx="279205" cy="1904370"/>
                <wp:effectExtent l="0" t="0" r="26035" b="19685"/>
                <wp:wrapNone/>
                <wp:docPr id="10" name="Oval 10"/>
                <wp:cNvGraphicFramePr/>
                <a:graphic xmlns:a="http://schemas.openxmlformats.org/drawingml/2006/main">
                  <a:graphicData uri="http://schemas.microsoft.com/office/word/2010/wordprocessingShape">
                    <wps:wsp>
                      <wps:cNvSpPr/>
                      <wps:spPr>
                        <a:xfrm>
                          <a:off x="0" y="0"/>
                          <a:ext cx="279205" cy="1904370"/>
                        </a:xfrm>
                        <a:prstGeom prst="ellipse">
                          <a:avLst/>
                        </a:prstGeom>
                        <a:noFill/>
                        <a:ln>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0" o:spid="_x0000_s1026" style="position:absolute;margin-left:277.4pt;margin-top:33.85pt;width:22pt;height:14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" filled="f" strokecolor="red" strokeweight="2pt"/>
            </w:pict>
          </mc:Fallback>
        </mc:AlternateContent>
      </w:r>
      <w:r>
        <w:rPr>
          <w:noProof/>
          <w:lang w:eastAsia="en-AU"/>
        </w:rPr>
        <mc:AlternateContent>
          <mc:Choice Requires="wps">
            <w:drawing>
              <wp:anchor distT="0" distB="0" distL="114300" distR="114300" simplePos="0" relativeHeight="251660288" behindDoc="0" locked="0" layoutInCell="1" allowOverlap="1" wp14:anchorId="2FA83426" wp14:editId="62E56109">
                <wp:simplePos x="0" y="0"/>
                <wp:positionH relativeFrom="column">
                  <wp:posOffset>1320737</wp:posOffset>
                </wp:positionH>
                <wp:positionV relativeFrom="paragraph">
                  <wp:posOffset>426085</wp:posOffset>
                </wp:positionV>
                <wp:extent cx="279205" cy="1904370"/>
                <wp:effectExtent l="0" t="0" r="26035" b="19685"/>
                <wp:wrapNone/>
                <wp:docPr id="5" name="Oval 5"/>
                <wp:cNvGraphicFramePr/>
                <a:graphic xmlns:a="http://schemas.openxmlformats.org/drawingml/2006/main">
                  <a:graphicData uri="http://schemas.microsoft.com/office/word/2010/wordprocessingShape">
                    <wps:wsp>
                      <wps:cNvSpPr/>
                      <wps:spPr>
                        <a:xfrm>
                          <a:off x="0" y="0"/>
                          <a:ext cx="279205" cy="1904370"/>
                        </a:xfrm>
                        <a:prstGeom prst="ellipse">
                          <a:avLst/>
                        </a:prstGeom>
                        <a:noFill/>
                        <a:ln>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 o:spid="_x0000_s1026" style="position:absolute;margin-left:104pt;margin-top:33.55pt;width:22pt;height:149.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" filled="f" strokecolor="red" strokeweight="2pt"/>
            </w:pict>
          </mc:Fallback>
        </mc:AlternateContent>
      </w:r>
      <w:r w:rsidR="00686FAE" w:rsidRPr="00686FAE">
        <w:rPr>
          <w:noProof/>
          <w:lang w:eastAsia="en-AU"/>
        </w:rPr>
        <w:drawing>
          <wp:inline distT="0" distB="0" distL="0" distR="0" wp14:anchorId="610ECB13" wp14:editId="0F917CFC">
            <wp:extent cx="5731510" cy="4111279"/>
            <wp:effectExtent l="0" t="0" r="2540" b="3810"/>
            <wp:docPr id="15" name="Picture 15"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1279"/>
                    </a:xfrm>
                    <a:prstGeom prst="rect">
                      <a:avLst/>
                    </a:prstGeom>
                    <a:noFill/>
                    <a:ln>
                      <a:noFill/>
                    </a:ln>
                  </pic:spPr>
                </pic:pic>
              </a:graphicData>
            </a:graphic>
          </wp:inline>
        </w:drawing>
      </w:r>
    </w:p>
    <w:p w:rsidR="003908EA" w:rsidRPr="0031019A" w:rsidRDefault="003908EA" w:rsidP="00ED4C4C">
      <w:pPr>
        <w:jc w:val="both"/>
      </w:pPr>
      <w:r>
        <w:t xml:space="preserve">The red ellipses in </w:t>
      </w:r>
      <w:r>
        <w:fldChar w:fldCharType="begin"/>
      </w:r>
      <w:r>
        <w:instrText xml:space="preserve"> REF _Ref410383520 \h </w:instrText>
      </w:r>
      <w:r w:rsidR="00ED4C4C">
        <w:instrText xml:space="preserve"> \* MERGEFORMAT </w:instrText>
      </w:r>
      <w:r>
        <w:fldChar w:fldCharType="separate"/>
      </w:r>
      <w:r w:rsidR="004264B7">
        <w:t xml:space="preserve">Figure </w:t>
      </w:r>
      <w:r w:rsidR="004264B7">
        <w:rPr>
          <w:noProof/>
        </w:rPr>
        <w:t>7</w:t>
      </w:r>
      <w:r>
        <w:fldChar w:fldCharType="end"/>
      </w:r>
      <w:r>
        <w:t xml:space="preserve"> highlights where Hydro Tasmania offered </w:t>
      </w:r>
      <w:r w:rsidR="00E306F3">
        <w:t xml:space="preserve">little or </w:t>
      </w:r>
      <w:r>
        <w:t xml:space="preserve">no capacity between priced between </w:t>
      </w:r>
      <w:r w:rsidR="00E306F3">
        <w:t>zero and $</w:t>
      </w:r>
      <w:r>
        <w:t>11 500/MWh. It led to high prices on 2 April which are detailed in the “</w:t>
      </w:r>
      <w:r w:rsidRPr="00F33F2D">
        <w:t>Detailed market analysis of significant price events</w:t>
      </w:r>
      <w:r>
        <w:t xml:space="preserve">” section below </w:t>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4E13F5" w:rsidP="009A3D22">
      <w:pPr>
        <w:jc w:val="both"/>
      </w:pPr>
      <w:r w:rsidRPr="004E13F5">
        <w:t xml:space="preserve">The total cost of FCAS on </w:t>
      </w:r>
      <w:r w:rsidR="00635923">
        <w:t>the mainland for the week was $335</w:t>
      </w:r>
      <w:r w:rsidR="00A2356E">
        <w:t> </w:t>
      </w:r>
      <w:r w:rsidRPr="004E13F5">
        <w:t>500 or less than 1 per cent of energy turnover on the mainland.</w:t>
      </w:r>
    </w:p>
    <w:p w:rsidR="004E13F5" w:rsidRDefault="004E13F5" w:rsidP="004E13F5">
      <w:pPr>
        <w:jc w:val="both"/>
      </w:pPr>
      <w:bookmarkStart w:id="17" w:name="_Ref410383413"/>
      <w:r w:rsidRPr="004E13F5">
        <w:t>The total cost of FCAS in Tasmania for the week was $</w:t>
      </w:r>
      <w:r w:rsidR="00635923">
        <w:t>144</w:t>
      </w:r>
      <w:r w:rsidR="00A2356E">
        <w:t> </w:t>
      </w:r>
      <w:r w:rsidR="00635923">
        <w:t>0</w:t>
      </w:r>
      <w:r w:rsidRPr="004E13F5">
        <w:t xml:space="preserve">00 or </w:t>
      </w:r>
      <w:r w:rsidR="00635923">
        <w:t>2</w:t>
      </w:r>
      <w:r w:rsidR="007A6726">
        <w:t xml:space="preserve"> </w:t>
      </w:r>
      <w:r w:rsidRPr="004E13F5">
        <w:t>per</w:t>
      </w:r>
      <w:r w:rsidR="00A2356E">
        <w:t> </w:t>
      </w:r>
      <w:r w:rsidRPr="004E13F5">
        <w:t>cent of energy turnover in Tasmania.</w:t>
      </w:r>
    </w:p>
    <w:p w:rsidR="00275002" w:rsidRDefault="00275002" w:rsidP="000E2946">
      <w:pPr>
        <w:pStyle w:val="Caption"/>
      </w:pPr>
      <w:bookmarkStart w:id="18" w:name="_Ref416254344"/>
      <w:r>
        <w:t xml:space="preserve">Figure </w:t>
      </w:r>
      <w:fldSimple w:instr=" SEQ Figure \* ARABIC ">
        <w:r w:rsidR="004264B7">
          <w:rPr>
            <w:noProof/>
          </w:rPr>
          <w:t>8</w:t>
        </w:r>
      </w:fldSimple>
      <w:bookmarkEnd w:id="17"/>
      <w:bookmarkEnd w:id="18"/>
      <w:r w:rsidRPr="007707C6">
        <w:t>: Daily frequency control ancillary service cost</w:t>
      </w:r>
    </w:p>
    <w:p w:rsidR="00275002" w:rsidRPr="0031019A" w:rsidRDefault="00686FAE" w:rsidP="00275002">
      <w:r w:rsidRPr="00686FAE">
        <w:rPr>
          <w:noProof/>
          <w:lang w:eastAsia="en-AU"/>
        </w:rPr>
        <w:drawing>
          <wp:inline distT="0" distB="0" distL="0" distR="0" wp14:anchorId="5B74844C" wp14:editId="20042CA8">
            <wp:extent cx="5731510" cy="2888758"/>
            <wp:effectExtent l="0" t="0" r="2540" b="6985"/>
            <wp:docPr id="17" name="Picture 17" descr="&quot;Figure 8 shows the daily breakdown of cost for each FCAS for the NEM, as well as the average cost since the beginning of the previous financial year.&#10;Should you require a description of the data for the week under review, please email us at  AERInquiry@aer.gov.au.&quot;" title="Figure 8 :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88758"/>
                    </a:xfrm>
                    <a:prstGeom prst="rect">
                      <a:avLst/>
                    </a:prstGeom>
                    <a:noFill/>
                    <a:ln>
                      <a:noFill/>
                    </a:ln>
                  </pic:spPr>
                </pic:pic>
              </a:graphicData>
            </a:graphic>
          </wp:inline>
        </w:drawing>
      </w:r>
    </w:p>
    <w:p w:rsidR="00127CAB" w:rsidRDefault="003E144D" w:rsidP="009A3D22">
      <w:pPr>
        <w:jc w:val="both"/>
      </w:pPr>
      <w:r>
        <w:fldChar w:fldCharType="begin"/>
      </w:r>
      <w:r>
        <w:instrText xml:space="preserve"> REF _Ref416254344 \h </w:instrText>
      </w:r>
      <w:r>
        <w:fldChar w:fldCharType="separate"/>
      </w:r>
      <w:r w:rsidR="004264B7">
        <w:t xml:space="preserve">Figure </w:t>
      </w:r>
      <w:r w:rsidR="004264B7">
        <w:rPr>
          <w:noProof/>
        </w:rPr>
        <w:t>8</w:t>
      </w:r>
      <w:r>
        <w:fldChar w:fldCharType="end"/>
      </w:r>
      <w:r>
        <w:t xml:space="preserve"> </w:t>
      </w:r>
      <w:r w:rsidR="00275002" w:rsidRPr="0031019A">
        <w:t>shows the daily breakdown of cost for each FCAS for the NEM, as well as the average cost since the beginning of the previ</w:t>
      </w:r>
      <w:r w:rsidR="00275002" w:rsidRPr="008366CD">
        <w:t xml:space="preserve">ous financial year. </w:t>
      </w:r>
    </w:p>
    <w:bookmarkEnd w:id="0"/>
    <w:bookmarkEnd w:id="1"/>
    <w:bookmarkEnd w:id="2"/>
    <w:bookmarkEnd w:id="3"/>
    <w:bookmarkEnd w:id="4"/>
    <w:bookmarkEnd w:id="5"/>
    <w:p w:rsidR="00275002" w:rsidRPr="00F33F2D" w:rsidRDefault="00275002" w:rsidP="00914A87">
      <w:pPr>
        <w:pStyle w:val="AERHeading1"/>
      </w:pPr>
      <w:r w:rsidRPr="00F33F2D">
        <w:t>Detailed market analysis of significant price events</w:t>
      </w:r>
    </w:p>
    <w:p w:rsidR="00275002" w:rsidRDefault="00275002" w:rsidP="00A76905">
      <w:pPr>
        <w:jc w:val="both"/>
      </w:pPr>
      <w:r w:rsidRPr="00F33F2D">
        <w:t xml:space="preserve">We provide more detailed analysis of events where the spot price was greater than three times the weekly average price in a region and above $250/MWh or was below </w:t>
      </w:r>
      <w:r w:rsidRPr="00F33F2D">
        <w:noBreakHyphen/>
        <w:t xml:space="preserve">$100/MWh. </w:t>
      </w:r>
    </w:p>
    <w:p w:rsidR="00DA2A5D" w:rsidRPr="00DA2A5D" w:rsidRDefault="00DA2A5D" w:rsidP="00DA2A5D">
      <w:pPr>
        <w:keepNext/>
        <w:spacing w:before="240" w:after="120"/>
        <w:jc w:val="both"/>
        <w:rPr>
          <w:sz w:val="24"/>
        </w:rPr>
      </w:pPr>
      <w:r>
        <w:rPr>
          <w:b/>
          <w:bCs/>
          <w:color w:val="2272A3" w:themeColor="accent4" w:themeShade="80"/>
          <w:sz w:val="28"/>
          <w:szCs w:val="18"/>
        </w:rPr>
        <w:t>All regions</w:t>
      </w:r>
      <w:r w:rsidR="00AE0091">
        <w:rPr>
          <w:b/>
          <w:bCs/>
          <w:color w:val="2272A3" w:themeColor="accent4" w:themeShade="80"/>
          <w:sz w:val="28"/>
          <w:szCs w:val="18"/>
        </w:rPr>
        <w:t xml:space="preserve"> – Monday 30 March </w:t>
      </w:r>
    </w:p>
    <w:p w:rsidR="001528B1" w:rsidRPr="001528B1" w:rsidRDefault="001528B1" w:rsidP="00591FE6">
      <w:pPr>
        <w:spacing w:before="100" w:beforeAutospacing="1" w:after="100" w:afterAutospacing="1" w:line="288" w:lineRule="auto"/>
        <w:jc w:val="both"/>
        <w:rPr>
          <w:rFonts w:asciiTheme="minorHAnsi" w:eastAsia="Times New Roman" w:hAnsiTheme="minorHAnsi" w:cstheme="minorHAnsi"/>
          <w:szCs w:val="20"/>
          <w:lang w:eastAsia="en-AU"/>
        </w:rPr>
      </w:pPr>
      <w:r w:rsidRPr="00904116">
        <w:rPr>
          <w:rFonts w:asciiTheme="minorHAnsi" w:eastAsia="Times New Roman" w:hAnsiTheme="minorHAnsi" w:cstheme="minorHAnsi"/>
          <w:szCs w:val="20"/>
          <w:lang w:eastAsia="en-AU"/>
        </w:rPr>
        <w:t>There was one occasion where the spot price in Queensland was greater than three times the Queensland weekly average price of $33/MWh and above $250/MWh.</w:t>
      </w:r>
      <w:r>
        <w:rPr>
          <w:rFonts w:asciiTheme="minorHAnsi" w:eastAsia="Times New Roman" w:hAnsiTheme="minorHAnsi" w:cstheme="minorHAnsi"/>
          <w:szCs w:val="20"/>
          <w:lang w:eastAsia="en-AU"/>
        </w:rPr>
        <w:t xml:space="preserve"> </w:t>
      </w:r>
      <w:r w:rsidR="0095120C">
        <w:rPr>
          <w:rFonts w:asciiTheme="minorHAnsi" w:eastAsia="Times New Roman" w:hAnsiTheme="minorHAnsi" w:cstheme="minorHAnsi"/>
          <w:szCs w:val="20"/>
          <w:lang w:eastAsia="en-AU"/>
        </w:rPr>
        <w:t>During the same trading interval t</w:t>
      </w:r>
      <w:r>
        <w:rPr>
          <w:rFonts w:asciiTheme="minorHAnsi" w:eastAsia="Times New Roman" w:hAnsiTheme="minorHAnsi" w:cstheme="minorHAnsi"/>
          <w:szCs w:val="20"/>
          <w:lang w:eastAsia="en-AU"/>
        </w:rPr>
        <w:t xml:space="preserve">here were high prices </w:t>
      </w:r>
      <w:r w:rsidR="00DA2A5D">
        <w:rPr>
          <w:rFonts w:asciiTheme="minorHAnsi" w:eastAsia="Times New Roman" w:hAnsiTheme="minorHAnsi" w:cstheme="minorHAnsi"/>
          <w:szCs w:val="20"/>
          <w:lang w:eastAsia="en-AU"/>
        </w:rPr>
        <w:t>in all other regions</w:t>
      </w:r>
      <w:r>
        <w:rPr>
          <w:rFonts w:asciiTheme="minorHAnsi" w:eastAsia="Times New Roman" w:hAnsiTheme="minorHAnsi" w:cstheme="minorHAnsi"/>
          <w:szCs w:val="20"/>
          <w:lang w:eastAsia="en-AU"/>
        </w:rPr>
        <w:t>, however they did not exceed the threshold.</w:t>
      </w:r>
    </w:p>
    <w:p w:rsidR="001528B1" w:rsidRPr="00F33F2D" w:rsidRDefault="001528B1" w:rsidP="001528B1">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4264B7">
        <w:rPr>
          <w:b/>
          <w:bCs/>
          <w:noProof/>
          <w:color w:val="2272A3" w:themeColor="accent4" w:themeShade="80"/>
          <w:sz w:val="24"/>
          <w:szCs w:val="18"/>
        </w:rPr>
        <w:t>3</w:t>
      </w:r>
      <w:r w:rsidRPr="00F33F2D">
        <w:rPr>
          <w:b/>
          <w:bCs/>
          <w:noProof/>
          <w:color w:val="2272A3" w:themeColor="accent4" w:themeShade="80"/>
          <w:sz w:val="24"/>
          <w:szCs w:val="18"/>
        </w:rPr>
        <w:fldChar w:fldCharType="end"/>
      </w:r>
      <w:r w:rsidRPr="00F33F2D">
        <w:rPr>
          <w:b/>
          <w:bCs/>
          <w:color w:val="2272A3" w:themeColor="accent4" w:themeShade="80"/>
          <w:sz w:val="24"/>
          <w:szCs w:val="18"/>
        </w:rPr>
        <w:t>:</w:t>
      </w:r>
      <w:r>
        <w:rPr>
          <w:b/>
          <w:bCs/>
          <w:color w:val="2272A3" w:themeColor="accent4" w:themeShade="80"/>
          <w:sz w:val="24"/>
          <w:szCs w:val="18"/>
        </w:rPr>
        <w:t xml:space="preserve"> 7</w:t>
      </w:r>
      <w:r w:rsidR="00C8031C">
        <w:rPr>
          <w:b/>
          <w:bCs/>
          <w:color w:val="2272A3" w:themeColor="accent4" w:themeShade="80"/>
          <w:sz w:val="24"/>
          <w:szCs w:val="18"/>
        </w:rPr>
        <w:t> </w:t>
      </w:r>
      <w:proofErr w:type="gramStart"/>
      <w:r>
        <w:rPr>
          <w:b/>
          <w:bCs/>
          <w:color w:val="2272A3" w:themeColor="accent4" w:themeShade="80"/>
          <w:sz w:val="24"/>
          <w:szCs w:val="18"/>
        </w:rPr>
        <w:t>am</w:t>
      </w:r>
      <w:proofErr w:type="gramEnd"/>
      <w:r w:rsidRPr="00F33F2D">
        <w:rPr>
          <w:b/>
          <w:bCs/>
          <w:color w:val="2272A3" w:themeColor="accent4" w:themeShade="80"/>
          <w:sz w:val="24"/>
          <w:szCs w:val="18"/>
        </w:rPr>
        <w:t xml:space="preserve"> Price, Demand and Availability</w:t>
      </w:r>
    </w:p>
    <w:tbl>
      <w:tblPr>
        <w:tblStyle w:val="AERTable-Text"/>
        <w:tblW w:w="5128" w:type="pct"/>
        <w:tblLook w:val="04A0" w:firstRow="1" w:lastRow="0" w:firstColumn="1" w:lastColumn="0" w:noHBand="0" w:noVBand="1"/>
      </w:tblPr>
      <w:tblGrid>
        <w:gridCol w:w="1247"/>
        <w:gridCol w:w="916"/>
        <w:gridCol w:w="921"/>
        <w:gridCol w:w="993"/>
        <w:gridCol w:w="940"/>
        <w:gridCol w:w="918"/>
        <w:gridCol w:w="919"/>
        <w:gridCol w:w="789"/>
        <w:gridCol w:w="918"/>
        <w:gridCol w:w="918"/>
      </w:tblGrid>
      <w:tr w:rsidR="001528B1" w:rsidRPr="00F33F2D" w:rsidTr="009F05FF">
        <w:trPr>
          <w:cnfStyle w:val="100000000000" w:firstRow="1" w:lastRow="0" w:firstColumn="0" w:lastColumn="0" w:oddVBand="0" w:evenVBand="0" w:oddHBand="0" w:evenHBand="0" w:firstRowFirstColumn="0" w:firstRowLastColumn="0" w:lastRowFirstColumn="0" w:lastRowLastColumn="0"/>
          <w:tblHeader/>
        </w:trPr>
        <w:tc>
          <w:tcPr>
            <w:tcW w:w="658" w:type="pct"/>
            <w:tcBorders>
              <w:bottom w:val="nil"/>
            </w:tcBorders>
            <w:hideMark/>
          </w:tcPr>
          <w:p w:rsidR="001528B1" w:rsidRPr="00F33F2D" w:rsidRDefault="001528B1" w:rsidP="00F5251F">
            <w:pPr>
              <w:spacing w:before="60" w:after="60"/>
              <w:jc w:val="center"/>
              <w:rPr>
                <w:sz w:val="18"/>
                <w14:numSpacing w14:val="default"/>
              </w:rPr>
            </w:pPr>
            <w:r>
              <w:rPr>
                <w:sz w:val="18"/>
              </w:rPr>
              <w:t>Region</w:t>
            </w:r>
          </w:p>
        </w:tc>
        <w:tc>
          <w:tcPr>
            <w:tcW w:w="1493" w:type="pct"/>
            <w:gridSpan w:val="3"/>
            <w:tcBorders>
              <w:bottom w:val="nil"/>
            </w:tcBorders>
            <w:hideMark/>
          </w:tcPr>
          <w:p w:rsidR="001528B1" w:rsidRPr="00F33F2D" w:rsidRDefault="001528B1" w:rsidP="00F5251F">
            <w:pPr>
              <w:spacing w:before="60" w:after="60"/>
              <w:jc w:val="center"/>
              <w:rPr>
                <w:sz w:val="18"/>
                <w14:numSpacing w14:val="default"/>
              </w:rPr>
            </w:pPr>
            <w:r w:rsidRPr="00F33F2D">
              <w:rPr>
                <w:sz w:val="18"/>
              </w:rPr>
              <w:t>Price ($/MWh)</w:t>
            </w:r>
          </w:p>
        </w:tc>
        <w:tc>
          <w:tcPr>
            <w:tcW w:w="1465" w:type="pct"/>
            <w:gridSpan w:val="3"/>
            <w:tcBorders>
              <w:bottom w:val="nil"/>
            </w:tcBorders>
            <w:hideMark/>
          </w:tcPr>
          <w:p w:rsidR="001528B1" w:rsidRPr="00F33F2D" w:rsidRDefault="001528B1" w:rsidP="00F5251F">
            <w:pPr>
              <w:spacing w:before="60" w:after="60"/>
              <w:jc w:val="center"/>
              <w:rPr>
                <w:sz w:val="18"/>
                <w14:numSpacing w14:val="default"/>
              </w:rPr>
            </w:pPr>
            <w:r w:rsidRPr="00F33F2D">
              <w:rPr>
                <w:sz w:val="18"/>
              </w:rPr>
              <w:t>Demand (MW)</w:t>
            </w:r>
          </w:p>
        </w:tc>
        <w:tc>
          <w:tcPr>
            <w:tcW w:w="1384" w:type="pct"/>
            <w:gridSpan w:val="3"/>
            <w:tcBorders>
              <w:bottom w:val="nil"/>
            </w:tcBorders>
            <w:hideMark/>
          </w:tcPr>
          <w:p w:rsidR="001528B1" w:rsidRPr="00F33F2D" w:rsidRDefault="001528B1" w:rsidP="00F5251F">
            <w:pPr>
              <w:spacing w:before="60" w:after="60"/>
              <w:jc w:val="center"/>
              <w:rPr>
                <w:sz w:val="18"/>
                <w14:numSpacing w14:val="default"/>
              </w:rPr>
            </w:pPr>
            <w:r w:rsidRPr="00F33F2D">
              <w:rPr>
                <w:sz w:val="18"/>
              </w:rPr>
              <w:t>Availability (MW)</w:t>
            </w:r>
          </w:p>
        </w:tc>
      </w:tr>
      <w:tr w:rsidR="007F4198" w:rsidRPr="00F33F2D" w:rsidTr="00276108">
        <w:trPr>
          <w:cnfStyle w:val="100000000000" w:firstRow="1" w:lastRow="0" w:firstColumn="0" w:lastColumn="0" w:oddVBand="0" w:evenVBand="0" w:oddHBand="0" w:evenHBand="0" w:firstRowFirstColumn="0" w:firstRowLastColumn="0" w:lastRowFirstColumn="0" w:lastRowLastColumn="0"/>
          <w:tblHeader/>
        </w:trPr>
        <w:tc>
          <w:tcPr>
            <w:tcW w:w="658"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 </w:t>
            </w:r>
          </w:p>
        </w:tc>
        <w:tc>
          <w:tcPr>
            <w:tcW w:w="483"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Actual</w:t>
            </w:r>
          </w:p>
        </w:tc>
        <w:tc>
          <w:tcPr>
            <w:tcW w:w="486"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4 hr forecast</w:t>
            </w:r>
          </w:p>
        </w:tc>
        <w:tc>
          <w:tcPr>
            <w:tcW w:w="524"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12 hr forecast</w:t>
            </w:r>
          </w:p>
        </w:tc>
        <w:tc>
          <w:tcPr>
            <w:tcW w:w="496"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Actual</w:t>
            </w:r>
          </w:p>
        </w:tc>
        <w:tc>
          <w:tcPr>
            <w:tcW w:w="484"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4 hr forecast</w:t>
            </w:r>
          </w:p>
        </w:tc>
        <w:tc>
          <w:tcPr>
            <w:tcW w:w="485"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12 hr forecast</w:t>
            </w:r>
          </w:p>
        </w:tc>
        <w:tc>
          <w:tcPr>
            <w:tcW w:w="416"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Actual</w:t>
            </w:r>
          </w:p>
        </w:tc>
        <w:tc>
          <w:tcPr>
            <w:tcW w:w="484"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4 hr forecast</w:t>
            </w:r>
          </w:p>
        </w:tc>
        <w:tc>
          <w:tcPr>
            <w:tcW w:w="484" w:type="pct"/>
            <w:tcBorders>
              <w:bottom w:val="nil"/>
            </w:tcBorders>
            <w:shd w:val="clear" w:color="auto" w:fill="007192" w:themeFill="accent3" w:themeFillShade="BF"/>
            <w:hideMark/>
          </w:tcPr>
          <w:p w:rsidR="001528B1" w:rsidRPr="00F33F2D" w:rsidRDefault="001528B1" w:rsidP="00F5251F">
            <w:pPr>
              <w:spacing w:before="0"/>
              <w:jc w:val="center"/>
              <w:rPr>
                <w:sz w:val="18"/>
              </w:rPr>
            </w:pPr>
            <w:r w:rsidRPr="00F33F2D">
              <w:rPr>
                <w:sz w:val="18"/>
              </w:rPr>
              <w:t>12 hr forecast</w:t>
            </w:r>
          </w:p>
        </w:tc>
      </w:tr>
      <w:tr w:rsidR="001528B1" w:rsidRPr="00970968" w:rsidTr="009F05FF">
        <w:trPr>
          <w:trHeight w:val="510"/>
        </w:trPr>
        <w:tc>
          <w:tcPr>
            <w:tcW w:w="658"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Pr>
                <w:rFonts w:asciiTheme="minorHAnsi" w:hAnsiTheme="minorHAnsi" w:cstheme="minorHAnsi"/>
                <w:b/>
                <w:bCs/>
                <w:sz w:val="18"/>
                <w:szCs w:val="16"/>
              </w:rPr>
              <w:t>Queensland</w:t>
            </w:r>
          </w:p>
        </w:tc>
        <w:tc>
          <w:tcPr>
            <w:tcW w:w="483"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275.21</w:t>
            </w:r>
          </w:p>
        </w:tc>
        <w:tc>
          <w:tcPr>
            <w:tcW w:w="48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56.17</w:t>
            </w:r>
          </w:p>
        </w:tc>
        <w:tc>
          <w:tcPr>
            <w:tcW w:w="52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53.41</w:t>
            </w:r>
          </w:p>
        </w:tc>
        <w:tc>
          <w:tcPr>
            <w:tcW w:w="49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6142</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6134</w:t>
            </w:r>
          </w:p>
        </w:tc>
        <w:tc>
          <w:tcPr>
            <w:tcW w:w="485"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6074</w:t>
            </w:r>
          </w:p>
        </w:tc>
        <w:tc>
          <w:tcPr>
            <w:tcW w:w="41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9781</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9791</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rPr>
            </w:pPr>
            <w:r w:rsidRPr="00904116">
              <w:rPr>
                <w:rFonts w:asciiTheme="minorHAnsi" w:hAnsiTheme="minorHAnsi" w:cstheme="minorHAnsi"/>
                <w:sz w:val="18"/>
                <w:szCs w:val="16"/>
              </w:rPr>
              <w:t>9721</w:t>
            </w:r>
          </w:p>
        </w:tc>
      </w:tr>
      <w:tr w:rsidR="001528B1" w:rsidRPr="00970968" w:rsidTr="009F05FF">
        <w:trPr>
          <w:cnfStyle w:val="000000010000" w:firstRow="0" w:lastRow="0" w:firstColumn="0" w:lastColumn="0" w:oddVBand="0" w:evenVBand="0" w:oddHBand="0" w:evenHBand="1" w:firstRowFirstColumn="0" w:firstRowLastColumn="0" w:lastRowFirstColumn="0" w:lastRowLastColumn="0"/>
          <w:trHeight w:val="510"/>
        </w:trPr>
        <w:tc>
          <w:tcPr>
            <w:tcW w:w="658" w:type="pct"/>
            <w:tcBorders>
              <w:top w:val="nil"/>
              <w:bottom w:val="nil"/>
            </w:tcBorders>
            <w:vAlign w:val="center"/>
          </w:tcPr>
          <w:p w:rsidR="001528B1" w:rsidRDefault="001528B1" w:rsidP="00F5251F">
            <w:pPr>
              <w:pStyle w:val="NormalWeb"/>
              <w:jc w:val="center"/>
              <w:rPr>
                <w:rFonts w:asciiTheme="minorHAnsi" w:hAnsiTheme="minorHAnsi" w:cstheme="minorHAnsi"/>
                <w:b/>
                <w:bCs/>
                <w:sz w:val="18"/>
                <w:szCs w:val="16"/>
              </w:rPr>
            </w:pPr>
            <w:r>
              <w:rPr>
                <w:rFonts w:asciiTheme="minorHAnsi" w:hAnsiTheme="minorHAnsi" w:cstheme="minorHAnsi"/>
                <w:b/>
                <w:bCs/>
                <w:sz w:val="18"/>
                <w:szCs w:val="16"/>
              </w:rPr>
              <w:t>New South Wales</w:t>
            </w:r>
          </w:p>
        </w:tc>
        <w:tc>
          <w:tcPr>
            <w:tcW w:w="483"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233.68</w:t>
            </w:r>
          </w:p>
        </w:tc>
        <w:tc>
          <w:tcPr>
            <w:tcW w:w="48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49.98</w:t>
            </w:r>
          </w:p>
        </w:tc>
        <w:tc>
          <w:tcPr>
            <w:tcW w:w="52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49.88</w:t>
            </w:r>
          </w:p>
        </w:tc>
        <w:tc>
          <w:tcPr>
            <w:tcW w:w="49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8258</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8230</w:t>
            </w:r>
          </w:p>
        </w:tc>
        <w:tc>
          <w:tcPr>
            <w:tcW w:w="485"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8189</w:t>
            </w:r>
          </w:p>
        </w:tc>
        <w:tc>
          <w:tcPr>
            <w:tcW w:w="41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11</w:t>
            </w:r>
            <w:r w:rsidR="001502E8">
              <w:rPr>
                <w:rFonts w:asciiTheme="minorHAnsi" w:hAnsiTheme="minorHAnsi" w:cstheme="minorHAnsi"/>
                <w:sz w:val="18"/>
                <w:szCs w:val="16"/>
              </w:rPr>
              <w:t> </w:t>
            </w:r>
            <w:r>
              <w:rPr>
                <w:rFonts w:asciiTheme="minorHAnsi" w:hAnsiTheme="minorHAnsi" w:cstheme="minorHAnsi"/>
                <w:sz w:val="18"/>
                <w:szCs w:val="16"/>
              </w:rPr>
              <w:t>634</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11</w:t>
            </w:r>
            <w:r w:rsidR="00C8031C">
              <w:rPr>
                <w:rFonts w:asciiTheme="minorHAnsi" w:hAnsiTheme="minorHAnsi" w:cstheme="minorHAnsi"/>
                <w:sz w:val="18"/>
                <w:szCs w:val="16"/>
              </w:rPr>
              <w:t> </w:t>
            </w:r>
            <w:r>
              <w:rPr>
                <w:rFonts w:asciiTheme="minorHAnsi" w:hAnsiTheme="minorHAnsi" w:cstheme="minorHAnsi"/>
                <w:sz w:val="18"/>
                <w:szCs w:val="16"/>
              </w:rPr>
              <w:t>786</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11</w:t>
            </w:r>
            <w:r w:rsidR="00C8031C">
              <w:rPr>
                <w:rFonts w:asciiTheme="minorHAnsi" w:hAnsiTheme="minorHAnsi" w:cstheme="minorHAnsi"/>
                <w:sz w:val="18"/>
                <w:szCs w:val="16"/>
              </w:rPr>
              <w:t> </w:t>
            </w:r>
            <w:r>
              <w:rPr>
                <w:rFonts w:asciiTheme="minorHAnsi" w:hAnsiTheme="minorHAnsi" w:cstheme="minorHAnsi"/>
                <w:sz w:val="18"/>
                <w:szCs w:val="16"/>
              </w:rPr>
              <w:t>790</w:t>
            </w:r>
          </w:p>
        </w:tc>
      </w:tr>
      <w:tr w:rsidR="001528B1" w:rsidRPr="00970968" w:rsidTr="009F05FF">
        <w:trPr>
          <w:trHeight w:val="510"/>
        </w:trPr>
        <w:tc>
          <w:tcPr>
            <w:tcW w:w="658" w:type="pct"/>
            <w:tcBorders>
              <w:top w:val="nil"/>
              <w:bottom w:val="nil"/>
            </w:tcBorders>
            <w:vAlign w:val="center"/>
          </w:tcPr>
          <w:p w:rsidR="001528B1" w:rsidRDefault="001528B1" w:rsidP="00F5251F">
            <w:pPr>
              <w:pStyle w:val="NormalWeb"/>
              <w:jc w:val="center"/>
              <w:rPr>
                <w:rFonts w:asciiTheme="minorHAnsi" w:hAnsiTheme="minorHAnsi" w:cstheme="minorHAnsi"/>
                <w:b/>
                <w:bCs/>
                <w:sz w:val="18"/>
                <w:szCs w:val="16"/>
              </w:rPr>
            </w:pPr>
            <w:r>
              <w:rPr>
                <w:rFonts w:asciiTheme="minorHAnsi" w:hAnsiTheme="minorHAnsi" w:cstheme="minorHAnsi"/>
                <w:b/>
                <w:bCs/>
                <w:sz w:val="18"/>
                <w:szCs w:val="16"/>
              </w:rPr>
              <w:t>Victoria</w:t>
            </w:r>
          </w:p>
        </w:tc>
        <w:tc>
          <w:tcPr>
            <w:tcW w:w="483"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212.34</w:t>
            </w:r>
          </w:p>
        </w:tc>
        <w:tc>
          <w:tcPr>
            <w:tcW w:w="48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45.35</w:t>
            </w:r>
          </w:p>
        </w:tc>
        <w:tc>
          <w:tcPr>
            <w:tcW w:w="52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45.50</w:t>
            </w:r>
          </w:p>
        </w:tc>
        <w:tc>
          <w:tcPr>
            <w:tcW w:w="49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5705</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5697</w:t>
            </w:r>
          </w:p>
        </w:tc>
        <w:tc>
          <w:tcPr>
            <w:tcW w:w="485"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5635</w:t>
            </w:r>
          </w:p>
        </w:tc>
        <w:tc>
          <w:tcPr>
            <w:tcW w:w="41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9739</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9807</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9837</w:t>
            </w:r>
          </w:p>
        </w:tc>
      </w:tr>
      <w:tr w:rsidR="001528B1" w:rsidRPr="00970968" w:rsidTr="009F05FF">
        <w:trPr>
          <w:cnfStyle w:val="000000010000" w:firstRow="0" w:lastRow="0" w:firstColumn="0" w:lastColumn="0" w:oddVBand="0" w:evenVBand="0" w:oddHBand="0" w:evenHBand="1" w:firstRowFirstColumn="0" w:firstRowLastColumn="0" w:lastRowFirstColumn="0" w:lastRowLastColumn="0"/>
          <w:trHeight w:val="510"/>
        </w:trPr>
        <w:tc>
          <w:tcPr>
            <w:tcW w:w="658" w:type="pct"/>
            <w:tcBorders>
              <w:top w:val="nil"/>
              <w:bottom w:val="nil"/>
            </w:tcBorders>
            <w:vAlign w:val="center"/>
          </w:tcPr>
          <w:p w:rsidR="001528B1" w:rsidRDefault="001528B1" w:rsidP="00F5251F">
            <w:pPr>
              <w:pStyle w:val="NormalWeb"/>
              <w:jc w:val="center"/>
              <w:rPr>
                <w:rFonts w:asciiTheme="minorHAnsi" w:hAnsiTheme="minorHAnsi" w:cstheme="minorHAnsi"/>
                <w:b/>
                <w:bCs/>
                <w:sz w:val="18"/>
                <w:szCs w:val="16"/>
              </w:rPr>
            </w:pPr>
            <w:r>
              <w:rPr>
                <w:rFonts w:asciiTheme="minorHAnsi" w:hAnsiTheme="minorHAnsi" w:cstheme="minorHAnsi"/>
                <w:b/>
                <w:bCs/>
                <w:sz w:val="18"/>
                <w:szCs w:val="16"/>
              </w:rPr>
              <w:t>South Australia</w:t>
            </w:r>
          </w:p>
        </w:tc>
        <w:tc>
          <w:tcPr>
            <w:tcW w:w="483"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248.29</w:t>
            </w:r>
          </w:p>
        </w:tc>
        <w:tc>
          <w:tcPr>
            <w:tcW w:w="48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57.43</w:t>
            </w:r>
          </w:p>
        </w:tc>
        <w:tc>
          <w:tcPr>
            <w:tcW w:w="52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62.87</w:t>
            </w:r>
          </w:p>
        </w:tc>
        <w:tc>
          <w:tcPr>
            <w:tcW w:w="49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1540</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1500</w:t>
            </w:r>
          </w:p>
        </w:tc>
        <w:tc>
          <w:tcPr>
            <w:tcW w:w="485"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1542</w:t>
            </w:r>
          </w:p>
        </w:tc>
        <w:tc>
          <w:tcPr>
            <w:tcW w:w="416"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1777</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1746</w:t>
            </w:r>
          </w:p>
        </w:tc>
        <w:tc>
          <w:tcPr>
            <w:tcW w:w="484" w:type="pct"/>
            <w:tcBorders>
              <w:top w:val="nil"/>
              <w:bottom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1762</w:t>
            </w:r>
          </w:p>
        </w:tc>
      </w:tr>
      <w:tr w:rsidR="001528B1" w:rsidRPr="00970968" w:rsidTr="009F05FF">
        <w:trPr>
          <w:trHeight w:val="510"/>
        </w:trPr>
        <w:tc>
          <w:tcPr>
            <w:tcW w:w="658" w:type="pct"/>
            <w:tcBorders>
              <w:top w:val="nil"/>
            </w:tcBorders>
            <w:vAlign w:val="center"/>
          </w:tcPr>
          <w:p w:rsidR="001528B1" w:rsidRDefault="001528B1" w:rsidP="00F5251F">
            <w:pPr>
              <w:pStyle w:val="NormalWeb"/>
              <w:jc w:val="center"/>
              <w:rPr>
                <w:rFonts w:asciiTheme="minorHAnsi" w:hAnsiTheme="minorHAnsi" w:cstheme="minorHAnsi"/>
                <w:b/>
                <w:bCs/>
                <w:sz w:val="18"/>
                <w:szCs w:val="16"/>
              </w:rPr>
            </w:pPr>
            <w:r>
              <w:rPr>
                <w:rFonts w:asciiTheme="minorHAnsi" w:hAnsiTheme="minorHAnsi" w:cstheme="minorHAnsi"/>
                <w:b/>
                <w:bCs/>
                <w:sz w:val="18"/>
                <w:szCs w:val="16"/>
              </w:rPr>
              <w:t>Tasmania</w:t>
            </w:r>
          </w:p>
        </w:tc>
        <w:tc>
          <w:tcPr>
            <w:tcW w:w="483"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235.46</w:t>
            </w:r>
          </w:p>
        </w:tc>
        <w:tc>
          <w:tcPr>
            <w:tcW w:w="486"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43.67</w:t>
            </w:r>
          </w:p>
        </w:tc>
        <w:tc>
          <w:tcPr>
            <w:tcW w:w="524"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44.05</w:t>
            </w:r>
          </w:p>
        </w:tc>
        <w:tc>
          <w:tcPr>
            <w:tcW w:w="496"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1254</w:t>
            </w:r>
          </w:p>
        </w:tc>
        <w:tc>
          <w:tcPr>
            <w:tcW w:w="484"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1247</w:t>
            </w:r>
          </w:p>
        </w:tc>
        <w:tc>
          <w:tcPr>
            <w:tcW w:w="485"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1257</w:t>
            </w:r>
          </w:p>
        </w:tc>
        <w:tc>
          <w:tcPr>
            <w:tcW w:w="416"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2037</w:t>
            </w:r>
          </w:p>
        </w:tc>
        <w:tc>
          <w:tcPr>
            <w:tcW w:w="484"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2009</w:t>
            </w:r>
          </w:p>
        </w:tc>
        <w:tc>
          <w:tcPr>
            <w:tcW w:w="484" w:type="pct"/>
            <w:tcBorders>
              <w:top w:val="nil"/>
            </w:tcBorders>
            <w:vAlign w:val="center"/>
          </w:tcPr>
          <w:p w:rsidR="001528B1" w:rsidRPr="00904116" w:rsidRDefault="001528B1" w:rsidP="00F5251F">
            <w:pPr>
              <w:pStyle w:val="NormalWeb"/>
              <w:jc w:val="center"/>
              <w:rPr>
                <w:rFonts w:asciiTheme="minorHAnsi" w:hAnsiTheme="minorHAnsi" w:cstheme="minorHAnsi"/>
                <w:sz w:val="18"/>
                <w:szCs w:val="16"/>
              </w:rPr>
            </w:pPr>
            <w:r>
              <w:rPr>
                <w:rFonts w:asciiTheme="minorHAnsi" w:hAnsiTheme="minorHAnsi" w:cstheme="minorHAnsi"/>
                <w:sz w:val="18"/>
                <w:szCs w:val="16"/>
              </w:rPr>
              <w:t>2160</w:t>
            </w:r>
          </w:p>
        </w:tc>
      </w:tr>
    </w:tbl>
    <w:p w:rsidR="001528B1" w:rsidRDefault="001528B1" w:rsidP="009F05FF">
      <w:pPr>
        <w:spacing w:before="100" w:beforeAutospacing="1" w:after="100" w:afterAutospacing="1" w:line="288" w:lineRule="auto"/>
        <w:jc w:val="both"/>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Across all regions, both availability and actual demand was close to forecast four hours before.</w:t>
      </w:r>
      <w:r w:rsidR="00DA2A5D">
        <w:rPr>
          <w:rFonts w:asciiTheme="minorHAnsi" w:eastAsia="Times New Roman" w:hAnsiTheme="minorHAnsi" w:cstheme="minorHAnsi"/>
          <w:szCs w:val="20"/>
          <w:lang w:eastAsia="en-AU"/>
        </w:rPr>
        <w:t xml:space="preserve"> For most of the trading interval all interconnectors were unconstrained, meaning price</w:t>
      </w:r>
      <w:r w:rsidR="00AB417F">
        <w:rPr>
          <w:rFonts w:asciiTheme="minorHAnsi" w:eastAsia="Times New Roman" w:hAnsiTheme="minorHAnsi" w:cstheme="minorHAnsi"/>
          <w:szCs w:val="20"/>
          <w:lang w:eastAsia="en-AU"/>
        </w:rPr>
        <w:t>s were almost</w:t>
      </w:r>
      <w:r w:rsidR="00DA2A5D">
        <w:rPr>
          <w:rFonts w:asciiTheme="minorHAnsi" w:eastAsia="Times New Roman" w:hAnsiTheme="minorHAnsi" w:cstheme="minorHAnsi"/>
          <w:szCs w:val="20"/>
          <w:lang w:eastAsia="en-AU"/>
        </w:rPr>
        <w:t xml:space="preserve"> align</w:t>
      </w:r>
      <w:r w:rsidR="00AB417F">
        <w:rPr>
          <w:rFonts w:asciiTheme="minorHAnsi" w:eastAsia="Times New Roman" w:hAnsiTheme="minorHAnsi" w:cstheme="minorHAnsi"/>
          <w:szCs w:val="20"/>
          <w:lang w:eastAsia="en-AU"/>
        </w:rPr>
        <w:t>ed</w:t>
      </w:r>
      <w:r w:rsidR="00DA2A5D">
        <w:rPr>
          <w:rFonts w:asciiTheme="minorHAnsi" w:eastAsia="Times New Roman" w:hAnsiTheme="minorHAnsi" w:cstheme="minorHAnsi"/>
          <w:szCs w:val="20"/>
          <w:lang w:eastAsia="en-AU"/>
        </w:rPr>
        <w:t xml:space="preserve"> across the NEM.</w:t>
      </w:r>
      <w:r w:rsidR="000B0D0D">
        <w:rPr>
          <w:rFonts w:asciiTheme="minorHAnsi" w:eastAsia="Times New Roman" w:hAnsiTheme="minorHAnsi" w:cstheme="minorHAnsi"/>
          <w:szCs w:val="20"/>
          <w:lang w:eastAsia="en-AU"/>
        </w:rPr>
        <w:t xml:space="preserve"> </w:t>
      </w:r>
    </w:p>
    <w:p w:rsidR="001528B1" w:rsidRDefault="00DA2A5D" w:rsidP="001528B1">
      <w:pPr>
        <w:rPr>
          <w:rFonts w:ascii="Calibri" w:hAnsi="Calibri"/>
        </w:rPr>
      </w:pPr>
      <w:r w:rsidRPr="00F33F2D">
        <w:rPr>
          <w:b/>
          <w:bCs/>
          <w:color w:val="2272A3" w:themeColor="accent4" w:themeShade="80"/>
          <w:sz w:val="24"/>
          <w:szCs w:val="18"/>
        </w:rPr>
        <w:t xml:space="preserve">Table </w:t>
      </w:r>
      <w:r>
        <w:rPr>
          <w:b/>
          <w:bCs/>
          <w:color w:val="2272A3" w:themeColor="accent4" w:themeShade="80"/>
          <w:sz w:val="24"/>
          <w:szCs w:val="18"/>
        </w:rPr>
        <w:t>4</w:t>
      </w:r>
      <w:r w:rsidRPr="00F33F2D">
        <w:rPr>
          <w:b/>
          <w:bCs/>
          <w:color w:val="2272A3" w:themeColor="accent4" w:themeShade="80"/>
          <w:sz w:val="24"/>
          <w:szCs w:val="18"/>
        </w:rPr>
        <w:t>:</w:t>
      </w:r>
      <w:r>
        <w:rPr>
          <w:b/>
          <w:bCs/>
          <w:color w:val="2272A3" w:themeColor="accent4" w:themeShade="80"/>
          <w:sz w:val="24"/>
          <w:szCs w:val="18"/>
        </w:rPr>
        <w:t xml:space="preserve"> Rebids for the 7</w:t>
      </w:r>
      <w:r w:rsidR="00C209F5">
        <w:rPr>
          <w:b/>
          <w:bCs/>
          <w:color w:val="2272A3" w:themeColor="accent4" w:themeShade="80"/>
          <w:sz w:val="24"/>
          <w:szCs w:val="18"/>
        </w:rPr>
        <w:t> </w:t>
      </w:r>
      <w:r>
        <w:rPr>
          <w:b/>
          <w:bCs/>
          <w:color w:val="2272A3" w:themeColor="accent4" w:themeShade="80"/>
          <w:sz w:val="24"/>
          <w:szCs w:val="18"/>
        </w:rPr>
        <w:t>am trading interval</w:t>
      </w:r>
    </w:p>
    <w:tbl>
      <w:tblPr>
        <w:tblW w:w="5120" w:type="pct"/>
        <w:tblCellMar>
          <w:left w:w="0" w:type="dxa"/>
          <w:right w:w="0" w:type="dxa"/>
        </w:tblCellMar>
        <w:tblLook w:val="04A0" w:firstRow="1" w:lastRow="0" w:firstColumn="1" w:lastColumn="0" w:noHBand="0" w:noVBand="1"/>
      </w:tblPr>
      <w:tblGrid>
        <w:gridCol w:w="877"/>
        <w:gridCol w:w="867"/>
        <w:gridCol w:w="1147"/>
        <w:gridCol w:w="1107"/>
        <w:gridCol w:w="967"/>
        <w:gridCol w:w="916"/>
        <w:gridCol w:w="916"/>
        <w:gridCol w:w="1815"/>
        <w:gridCol w:w="852"/>
      </w:tblGrid>
      <w:tr w:rsidR="001528B1" w:rsidTr="009F05FF">
        <w:trPr>
          <w:cantSplit/>
          <w:trHeight w:val="780"/>
          <w:tblHeader/>
        </w:trPr>
        <w:tc>
          <w:tcPr>
            <w:tcW w:w="463" w:type="pct"/>
            <w:shd w:val="clear" w:color="auto" w:fill="076A92"/>
            <w:tcMar>
              <w:top w:w="0" w:type="dxa"/>
              <w:left w:w="108" w:type="dxa"/>
              <w:bottom w:w="0" w:type="dxa"/>
              <w:right w:w="108" w:type="dxa"/>
            </w:tcMar>
            <w:hideMark/>
          </w:tcPr>
          <w:p w:rsidR="001528B1" w:rsidRDefault="00C209F5">
            <w:pPr>
              <w:pStyle w:val="TableHeading"/>
              <w:rPr>
                <w:color w:val="FFFFFF"/>
                <w:szCs w:val="18"/>
                <w14:numSpacing w14:val="tabular"/>
              </w:rPr>
            </w:pPr>
            <w:r>
              <w:rPr>
                <w:b/>
                <w:bCs/>
                <w:color w:val="FFFFFF"/>
                <w:szCs w:val="18"/>
                <w14:numSpacing w14:val="tabular"/>
              </w:rPr>
              <w:t>Submit t</w:t>
            </w:r>
            <w:r w:rsidR="001528B1">
              <w:rPr>
                <w:b/>
                <w:bCs/>
                <w:color w:val="FFFFFF"/>
                <w:szCs w:val="18"/>
                <w14:numSpacing w14:val="tabular"/>
              </w:rPr>
              <w:t>ime</w:t>
            </w:r>
          </w:p>
        </w:tc>
        <w:tc>
          <w:tcPr>
            <w:tcW w:w="458" w:type="pct"/>
            <w:shd w:val="clear" w:color="auto" w:fill="076A92"/>
            <w:tcMar>
              <w:top w:w="0" w:type="dxa"/>
              <w:left w:w="108" w:type="dxa"/>
              <w:bottom w:w="0" w:type="dxa"/>
              <w:right w:w="108" w:type="dxa"/>
            </w:tcMar>
            <w:hideMark/>
          </w:tcPr>
          <w:p w:rsidR="001528B1" w:rsidRDefault="001528B1">
            <w:pPr>
              <w:pStyle w:val="TableHeading"/>
              <w:ind w:left="-108"/>
              <w:rPr>
                <w:color w:val="FFFFFF"/>
                <w:szCs w:val="18"/>
                <w14:numSpacing w14:val="tabular"/>
              </w:rPr>
            </w:pPr>
            <w:r>
              <w:rPr>
                <w:b/>
                <w:bCs/>
                <w:color w:val="FFFFFF"/>
                <w:szCs w:val="18"/>
                <w14:numSpacing w14:val="tabular"/>
              </w:rPr>
              <w:t>Time effective</w:t>
            </w:r>
          </w:p>
        </w:tc>
        <w:tc>
          <w:tcPr>
            <w:tcW w:w="606" w:type="pct"/>
            <w:shd w:val="clear" w:color="auto" w:fill="076A92"/>
            <w:tcMar>
              <w:top w:w="0" w:type="dxa"/>
              <w:left w:w="108" w:type="dxa"/>
              <w:bottom w:w="0" w:type="dxa"/>
              <w:right w:w="108" w:type="dxa"/>
            </w:tcMar>
            <w:hideMark/>
          </w:tcPr>
          <w:p w:rsidR="001528B1" w:rsidRDefault="001528B1">
            <w:pPr>
              <w:pStyle w:val="TableHeading"/>
              <w:rPr>
                <w:color w:val="FFFFFF"/>
                <w:szCs w:val="18"/>
                <w14:numSpacing w14:val="tabular"/>
              </w:rPr>
            </w:pPr>
            <w:r>
              <w:rPr>
                <w:b/>
                <w:bCs/>
                <w:color w:val="FFFFFF"/>
                <w:szCs w:val="18"/>
                <w14:numSpacing w14:val="tabular"/>
              </w:rPr>
              <w:t>Participant</w:t>
            </w:r>
          </w:p>
        </w:tc>
        <w:tc>
          <w:tcPr>
            <w:tcW w:w="585" w:type="pct"/>
            <w:shd w:val="clear" w:color="auto" w:fill="076A92"/>
            <w:tcMar>
              <w:top w:w="0" w:type="dxa"/>
              <w:left w:w="108" w:type="dxa"/>
              <w:bottom w:w="0" w:type="dxa"/>
              <w:right w:w="108" w:type="dxa"/>
            </w:tcMar>
            <w:hideMark/>
          </w:tcPr>
          <w:p w:rsidR="001528B1" w:rsidRDefault="001528B1">
            <w:pPr>
              <w:pStyle w:val="TableHeading"/>
              <w:rPr>
                <w:color w:val="FFFFFF"/>
                <w:szCs w:val="18"/>
                <w14:numSpacing w14:val="tabular"/>
              </w:rPr>
            </w:pPr>
            <w:r>
              <w:rPr>
                <w:b/>
                <w:bCs/>
                <w:color w:val="FFFFFF"/>
                <w:szCs w:val="18"/>
                <w14:numSpacing w14:val="tabular"/>
              </w:rPr>
              <w:t>Station</w:t>
            </w:r>
          </w:p>
        </w:tc>
        <w:tc>
          <w:tcPr>
            <w:tcW w:w="511" w:type="pct"/>
            <w:shd w:val="clear" w:color="auto" w:fill="076A92"/>
            <w:tcMar>
              <w:top w:w="0" w:type="dxa"/>
              <w:left w:w="108" w:type="dxa"/>
              <w:bottom w:w="0" w:type="dxa"/>
              <w:right w:w="108" w:type="dxa"/>
            </w:tcMar>
            <w:hideMark/>
          </w:tcPr>
          <w:p w:rsidR="001528B1" w:rsidRDefault="001528B1">
            <w:pPr>
              <w:pStyle w:val="TableHeading"/>
              <w:rPr>
                <w:color w:val="FFFFFF"/>
                <w:szCs w:val="18"/>
                <w14:numSpacing w14:val="tabular"/>
              </w:rPr>
            </w:pPr>
            <w:r>
              <w:rPr>
                <w:b/>
                <w:bCs/>
                <w:color w:val="FFFFFF"/>
                <w:szCs w:val="18"/>
                <w14:numSpacing w14:val="tabular"/>
              </w:rPr>
              <w:t>Capacity rebid (MW)</w:t>
            </w:r>
          </w:p>
        </w:tc>
        <w:tc>
          <w:tcPr>
            <w:tcW w:w="484" w:type="pct"/>
            <w:shd w:val="clear" w:color="auto" w:fill="076A92"/>
            <w:tcMar>
              <w:top w:w="0" w:type="dxa"/>
              <w:left w:w="108" w:type="dxa"/>
              <w:bottom w:w="0" w:type="dxa"/>
              <w:right w:w="108" w:type="dxa"/>
            </w:tcMar>
            <w:hideMark/>
          </w:tcPr>
          <w:p w:rsidR="001528B1" w:rsidRDefault="001528B1">
            <w:pPr>
              <w:pStyle w:val="TableHeading"/>
              <w:rPr>
                <w:color w:val="FFFFFF"/>
                <w:szCs w:val="18"/>
                <w14:numSpacing w14:val="tabular"/>
              </w:rPr>
            </w:pPr>
            <w:r>
              <w:rPr>
                <w:b/>
                <w:bCs/>
                <w:color w:val="FFFFFF"/>
                <w:szCs w:val="18"/>
                <w14:numSpacing w14:val="tabular"/>
              </w:rPr>
              <w:t>Price from ($/MWh)</w:t>
            </w:r>
          </w:p>
        </w:tc>
        <w:tc>
          <w:tcPr>
            <w:tcW w:w="484" w:type="pct"/>
            <w:shd w:val="clear" w:color="auto" w:fill="076A92"/>
            <w:tcMar>
              <w:top w:w="0" w:type="dxa"/>
              <w:left w:w="108" w:type="dxa"/>
              <w:bottom w:w="0" w:type="dxa"/>
              <w:right w:w="108" w:type="dxa"/>
            </w:tcMar>
            <w:hideMark/>
          </w:tcPr>
          <w:p w:rsidR="001528B1" w:rsidRDefault="001528B1">
            <w:pPr>
              <w:pStyle w:val="TableHeading"/>
              <w:rPr>
                <w:color w:val="FFFFFF"/>
                <w:szCs w:val="18"/>
                <w14:numSpacing w14:val="tabular"/>
              </w:rPr>
            </w:pPr>
            <w:r>
              <w:rPr>
                <w:b/>
                <w:bCs/>
                <w:color w:val="FFFFFF"/>
                <w:szCs w:val="18"/>
                <w14:numSpacing w14:val="tabular"/>
              </w:rPr>
              <w:t>Price to ($/MWh)</w:t>
            </w:r>
          </w:p>
        </w:tc>
        <w:tc>
          <w:tcPr>
            <w:tcW w:w="959" w:type="pct"/>
            <w:shd w:val="clear" w:color="auto" w:fill="076A92"/>
            <w:tcMar>
              <w:top w:w="0" w:type="dxa"/>
              <w:left w:w="108" w:type="dxa"/>
              <w:bottom w:w="0" w:type="dxa"/>
              <w:right w:w="108" w:type="dxa"/>
            </w:tcMar>
            <w:hideMark/>
          </w:tcPr>
          <w:p w:rsidR="001528B1" w:rsidRDefault="001528B1">
            <w:pPr>
              <w:pStyle w:val="TableHeading"/>
              <w:rPr>
                <w:color w:val="FFFFFF"/>
                <w:szCs w:val="18"/>
                <w14:numSpacing w14:val="tabular"/>
              </w:rPr>
            </w:pPr>
            <w:r>
              <w:rPr>
                <w:b/>
                <w:bCs/>
                <w:color w:val="FFFFFF"/>
                <w:szCs w:val="18"/>
                <w14:numSpacing w14:val="tabular"/>
              </w:rPr>
              <w:t>Rebid reason</w:t>
            </w:r>
          </w:p>
        </w:tc>
        <w:tc>
          <w:tcPr>
            <w:tcW w:w="450" w:type="pct"/>
            <w:shd w:val="clear" w:color="auto" w:fill="076A92"/>
            <w:tcMar>
              <w:top w:w="0" w:type="dxa"/>
              <w:left w:w="108" w:type="dxa"/>
              <w:bottom w:w="0" w:type="dxa"/>
              <w:right w:w="108" w:type="dxa"/>
            </w:tcMar>
          </w:tcPr>
          <w:p w:rsidR="001528B1" w:rsidRPr="001528B1" w:rsidRDefault="001528B1">
            <w:pPr>
              <w:pStyle w:val="TableHeading"/>
              <w:rPr>
                <w:b/>
                <w:color w:val="FFFFFF"/>
                <w:szCs w:val="18"/>
                <w14:numSpacing w14:val="tabular"/>
              </w:rPr>
            </w:pPr>
            <w:r w:rsidRPr="001528B1">
              <w:rPr>
                <w:b/>
                <w:color w:val="FFFFFF"/>
                <w:szCs w:val="18"/>
                <w14:numSpacing w14:val="tabular"/>
              </w:rPr>
              <w:t>Region</w:t>
            </w:r>
          </w:p>
        </w:tc>
      </w:tr>
      <w:tr w:rsidR="001528B1" w:rsidTr="009F05FF">
        <w:trPr>
          <w:cantSplit/>
          <w:trHeight w:val="606"/>
        </w:trPr>
        <w:tc>
          <w:tcPr>
            <w:tcW w:w="463"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w:t>
            </w:r>
            <w:r w:rsidRPr="009F05FF">
              <w:rPr>
                <w:bCs/>
                <w:sz w:val="18"/>
                <w:szCs w:val="18"/>
                <w:lang w:eastAsia="en-AU"/>
              </w:rPr>
              <w:t>.</w:t>
            </w:r>
            <w:r w:rsidRPr="009F05FF">
              <w:rPr>
                <w:b/>
                <w:bCs/>
                <w:sz w:val="18"/>
                <w:szCs w:val="18"/>
                <w:lang w:eastAsia="en-AU"/>
              </w:rPr>
              <w:t>26 am</w:t>
            </w:r>
          </w:p>
        </w:tc>
        <w:tc>
          <w:tcPr>
            <w:tcW w:w="458"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6.35 am</w:t>
            </w:r>
          </w:p>
        </w:tc>
        <w:tc>
          <w:tcPr>
            <w:tcW w:w="606"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CS Energy</w:t>
            </w:r>
          </w:p>
        </w:tc>
        <w:tc>
          <w:tcPr>
            <w:tcW w:w="585"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Callide</w:t>
            </w:r>
          </w:p>
        </w:tc>
        <w:tc>
          <w:tcPr>
            <w:tcW w:w="511"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30</w:t>
            </w:r>
          </w:p>
        </w:tc>
        <w:tc>
          <w:tcPr>
            <w:tcW w:w="484"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17</w:t>
            </w:r>
          </w:p>
        </w:tc>
        <w:tc>
          <w:tcPr>
            <w:tcW w:w="484"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13 500</w:t>
            </w:r>
          </w:p>
        </w:tc>
        <w:tc>
          <w:tcPr>
            <w:tcW w:w="959"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lang w:eastAsia="en-AU"/>
              </w:rPr>
            </w:pPr>
            <w:r w:rsidRPr="009F05FF">
              <w:rPr>
                <w:sz w:val="18"/>
                <w:szCs w:val="18"/>
              </w:rPr>
              <w:t xml:space="preserve">0642A </w:t>
            </w:r>
            <w:r w:rsidR="00C209F5" w:rsidRPr="00C209F5">
              <w:rPr>
                <w:sz w:val="18"/>
                <w:szCs w:val="18"/>
              </w:rPr>
              <w:t>dispatch price higher than 5min forecast</w:t>
            </w:r>
            <w:r w:rsidRPr="009F05FF">
              <w:rPr>
                <w:sz w:val="18"/>
                <w:szCs w:val="18"/>
              </w:rPr>
              <w:t>-SL</w:t>
            </w:r>
          </w:p>
        </w:tc>
        <w:tc>
          <w:tcPr>
            <w:tcW w:w="450"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QLD</w:t>
            </w:r>
          </w:p>
        </w:tc>
      </w:tr>
      <w:tr w:rsidR="001528B1" w:rsidTr="009F05FF">
        <w:trPr>
          <w:cantSplit/>
          <w:trHeight w:val="673"/>
        </w:trPr>
        <w:tc>
          <w:tcPr>
            <w:tcW w:w="463"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6.30 am</w:t>
            </w:r>
          </w:p>
        </w:tc>
        <w:tc>
          <w:tcPr>
            <w:tcW w:w="458"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6.40 am</w:t>
            </w:r>
          </w:p>
        </w:tc>
        <w:tc>
          <w:tcPr>
            <w:tcW w:w="606"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AGL Energy</w:t>
            </w:r>
          </w:p>
        </w:tc>
        <w:tc>
          <w:tcPr>
            <w:tcW w:w="585"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Bayswater, Liddell</w:t>
            </w:r>
          </w:p>
        </w:tc>
        <w:tc>
          <w:tcPr>
            <w:tcW w:w="511"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790</w:t>
            </w:r>
          </w:p>
        </w:tc>
        <w:tc>
          <w:tcPr>
            <w:tcW w:w="484"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&lt;296</w:t>
            </w:r>
          </w:p>
        </w:tc>
        <w:tc>
          <w:tcPr>
            <w:tcW w:w="484" w:type="pct"/>
            <w:shd w:val="clear" w:color="auto" w:fill="DBE5F1"/>
            <w:tcMar>
              <w:top w:w="0" w:type="dxa"/>
              <w:left w:w="108" w:type="dxa"/>
              <w:bottom w:w="0" w:type="dxa"/>
              <w:right w:w="108" w:type="dxa"/>
            </w:tcMar>
            <w:vAlign w:val="center"/>
            <w:hideMark/>
          </w:tcPr>
          <w:p w:rsidR="001528B1" w:rsidRPr="009F05FF" w:rsidRDefault="00B82756">
            <w:pPr>
              <w:spacing w:before="100" w:beforeAutospacing="1" w:after="100" w:afterAutospacing="1" w:line="240" w:lineRule="auto"/>
              <w:jc w:val="center"/>
              <w:rPr>
                <w:rFonts w:cs="Arial"/>
                <w:sz w:val="18"/>
                <w:szCs w:val="18"/>
                <w:lang w:eastAsia="en-AU"/>
              </w:rPr>
            </w:pPr>
            <w:r w:rsidRPr="009F05FF">
              <w:rPr>
                <w:sz w:val="18"/>
                <w:szCs w:val="18"/>
                <w:lang w:eastAsia="en-AU"/>
              </w:rPr>
              <w:t>13</w:t>
            </w:r>
            <w:r>
              <w:rPr>
                <w:sz w:val="18"/>
                <w:szCs w:val="18"/>
                <w:lang w:eastAsia="en-AU"/>
              </w:rPr>
              <w:t> </w:t>
            </w:r>
            <w:r w:rsidR="001528B1" w:rsidRPr="009F05FF">
              <w:rPr>
                <w:sz w:val="18"/>
                <w:szCs w:val="18"/>
                <w:lang w:eastAsia="en-AU"/>
              </w:rPr>
              <w:t>500</w:t>
            </w:r>
          </w:p>
        </w:tc>
        <w:tc>
          <w:tcPr>
            <w:tcW w:w="959"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rPr>
            </w:pPr>
            <w:r w:rsidRPr="009F05FF">
              <w:rPr>
                <w:sz w:val="18"/>
                <w:szCs w:val="18"/>
              </w:rPr>
              <w:t xml:space="preserve">0601~A~050 </w:t>
            </w:r>
            <w:proofErr w:type="spellStart"/>
            <w:r w:rsidR="00C209F5" w:rsidRPr="00C209F5">
              <w:rPr>
                <w:sz w:val="18"/>
                <w:szCs w:val="18"/>
              </w:rPr>
              <w:t>chg</w:t>
            </w:r>
            <w:proofErr w:type="spellEnd"/>
            <w:r w:rsidR="00C209F5" w:rsidRPr="00C209F5">
              <w:rPr>
                <w:sz w:val="18"/>
                <w:szCs w:val="18"/>
              </w:rPr>
              <w:t xml:space="preserve"> in </w:t>
            </w:r>
            <w:r w:rsidRPr="009F05FF">
              <w:rPr>
                <w:sz w:val="18"/>
                <w:szCs w:val="18"/>
              </w:rPr>
              <w:t xml:space="preserve">AEMO PD~51 </w:t>
            </w:r>
            <w:r w:rsidR="00C209F5" w:rsidRPr="00C209F5">
              <w:rPr>
                <w:sz w:val="18"/>
                <w:szCs w:val="18"/>
              </w:rPr>
              <w:t>cumulative</w:t>
            </w:r>
            <w:r w:rsidRPr="009F05FF">
              <w:rPr>
                <w:sz w:val="18"/>
                <w:szCs w:val="18"/>
              </w:rPr>
              <w:t xml:space="preserve"> PD</w:t>
            </w:r>
          </w:p>
        </w:tc>
        <w:tc>
          <w:tcPr>
            <w:tcW w:w="450"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NSW</w:t>
            </w:r>
          </w:p>
        </w:tc>
      </w:tr>
      <w:tr w:rsidR="001528B1" w:rsidTr="009F05FF">
        <w:trPr>
          <w:cantSplit/>
          <w:trHeight w:val="673"/>
        </w:trPr>
        <w:tc>
          <w:tcPr>
            <w:tcW w:w="463"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6.36 am</w:t>
            </w:r>
          </w:p>
        </w:tc>
        <w:tc>
          <w:tcPr>
            <w:tcW w:w="458"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6.45 am</w:t>
            </w:r>
          </w:p>
        </w:tc>
        <w:tc>
          <w:tcPr>
            <w:tcW w:w="606"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Hydro Tasmania</w:t>
            </w:r>
          </w:p>
        </w:tc>
        <w:tc>
          <w:tcPr>
            <w:tcW w:w="585"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Poatina</w:t>
            </w:r>
          </w:p>
        </w:tc>
        <w:tc>
          <w:tcPr>
            <w:tcW w:w="511"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29</w:t>
            </w:r>
          </w:p>
        </w:tc>
        <w:tc>
          <w:tcPr>
            <w:tcW w:w="484"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276</w:t>
            </w:r>
          </w:p>
        </w:tc>
        <w:tc>
          <w:tcPr>
            <w:tcW w:w="484"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13</w:t>
            </w:r>
            <w:r w:rsidR="007F4198">
              <w:rPr>
                <w:sz w:val="18"/>
                <w:szCs w:val="18"/>
                <w:lang w:eastAsia="en-AU"/>
              </w:rPr>
              <w:t> </w:t>
            </w:r>
            <w:r w:rsidRPr="009F05FF">
              <w:rPr>
                <w:sz w:val="18"/>
                <w:szCs w:val="18"/>
                <w:lang w:eastAsia="en-AU"/>
              </w:rPr>
              <w:t>498</w:t>
            </w:r>
          </w:p>
        </w:tc>
        <w:tc>
          <w:tcPr>
            <w:tcW w:w="959"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rPr>
            </w:pPr>
            <w:r w:rsidRPr="009F05FF">
              <w:rPr>
                <w:sz w:val="18"/>
                <w:szCs w:val="18"/>
              </w:rPr>
              <w:t xml:space="preserve">0635A </w:t>
            </w:r>
            <w:r w:rsidR="00C209F5" w:rsidRPr="00C209F5">
              <w:rPr>
                <w:sz w:val="18"/>
                <w:szCs w:val="18"/>
              </w:rPr>
              <w:t xml:space="preserve">demand different from forecast: </w:t>
            </w:r>
            <w:proofErr w:type="spellStart"/>
            <w:r w:rsidR="00C209F5" w:rsidRPr="00C209F5">
              <w:rPr>
                <w:sz w:val="18"/>
                <w:szCs w:val="18"/>
              </w:rPr>
              <w:t>tas</w:t>
            </w:r>
            <w:proofErr w:type="spellEnd"/>
          </w:p>
        </w:tc>
        <w:tc>
          <w:tcPr>
            <w:tcW w:w="450"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TAS</w:t>
            </w:r>
          </w:p>
        </w:tc>
      </w:tr>
      <w:tr w:rsidR="001528B1" w:rsidTr="009F05FF">
        <w:trPr>
          <w:cantSplit/>
          <w:trHeight w:val="673"/>
        </w:trPr>
        <w:tc>
          <w:tcPr>
            <w:tcW w:w="463"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6.36 am</w:t>
            </w:r>
          </w:p>
        </w:tc>
        <w:tc>
          <w:tcPr>
            <w:tcW w:w="458"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6.45 am</w:t>
            </w:r>
          </w:p>
        </w:tc>
        <w:tc>
          <w:tcPr>
            <w:tcW w:w="606"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Origin Energy</w:t>
            </w:r>
          </w:p>
        </w:tc>
        <w:tc>
          <w:tcPr>
            <w:tcW w:w="585"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Uranquinty</w:t>
            </w:r>
          </w:p>
        </w:tc>
        <w:tc>
          <w:tcPr>
            <w:tcW w:w="511"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noBreakHyphen/>
              <w:t>150</w:t>
            </w:r>
          </w:p>
        </w:tc>
        <w:tc>
          <w:tcPr>
            <w:tcW w:w="484"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50</w:t>
            </w:r>
          </w:p>
        </w:tc>
        <w:tc>
          <w:tcPr>
            <w:tcW w:w="484"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N/A</w:t>
            </w:r>
          </w:p>
        </w:tc>
        <w:tc>
          <w:tcPr>
            <w:tcW w:w="959"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rPr>
            </w:pPr>
            <w:r w:rsidRPr="009F05FF">
              <w:rPr>
                <w:sz w:val="18"/>
                <w:szCs w:val="18"/>
              </w:rPr>
              <w:t xml:space="preserve">0635A </w:t>
            </w:r>
            <w:r w:rsidR="00C209F5" w:rsidRPr="00C209F5">
              <w:rPr>
                <w:sz w:val="18"/>
                <w:szCs w:val="18"/>
              </w:rPr>
              <w:t xml:space="preserve">avoid uneconomic start </w:t>
            </w:r>
            <w:r w:rsidRPr="009F05FF">
              <w:rPr>
                <w:sz w:val="18"/>
                <w:szCs w:val="18"/>
              </w:rPr>
              <w:t>SL</w:t>
            </w:r>
          </w:p>
        </w:tc>
        <w:tc>
          <w:tcPr>
            <w:tcW w:w="450"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NSW</w:t>
            </w:r>
          </w:p>
        </w:tc>
      </w:tr>
      <w:tr w:rsidR="001528B1" w:rsidTr="009F05FF">
        <w:trPr>
          <w:cantSplit/>
          <w:trHeight w:val="673"/>
        </w:trPr>
        <w:tc>
          <w:tcPr>
            <w:tcW w:w="463"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6.41 am</w:t>
            </w:r>
          </w:p>
        </w:tc>
        <w:tc>
          <w:tcPr>
            <w:tcW w:w="458"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6.50 am</w:t>
            </w:r>
          </w:p>
        </w:tc>
        <w:tc>
          <w:tcPr>
            <w:tcW w:w="606"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Energy</w:t>
            </w:r>
            <w:r w:rsidR="00461A55" w:rsidRPr="009F05FF">
              <w:rPr>
                <w:sz w:val="18"/>
                <w:szCs w:val="18"/>
              </w:rPr>
              <w:t xml:space="preserve"> </w:t>
            </w:r>
            <w:r w:rsidRPr="009F05FF">
              <w:rPr>
                <w:sz w:val="18"/>
                <w:szCs w:val="18"/>
              </w:rPr>
              <w:t>Australia</w:t>
            </w:r>
          </w:p>
        </w:tc>
        <w:tc>
          <w:tcPr>
            <w:tcW w:w="585"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proofErr w:type="spellStart"/>
            <w:r w:rsidRPr="009F05FF">
              <w:rPr>
                <w:sz w:val="18"/>
                <w:szCs w:val="18"/>
                <w:lang w:eastAsia="en-AU"/>
              </w:rPr>
              <w:t>Tallawarra</w:t>
            </w:r>
            <w:proofErr w:type="spellEnd"/>
            <w:r w:rsidRPr="009F05FF">
              <w:rPr>
                <w:sz w:val="18"/>
                <w:szCs w:val="18"/>
                <w:lang w:eastAsia="en-AU"/>
              </w:rPr>
              <w:t>, Mt Piper</w:t>
            </w:r>
          </w:p>
        </w:tc>
        <w:tc>
          <w:tcPr>
            <w:tcW w:w="511"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60</w:t>
            </w:r>
          </w:p>
        </w:tc>
        <w:tc>
          <w:tcPr>
            <w:tcW w:w="484"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26</w:t>
            </w:r>
          </w:p>
        </w:tc>
        <w:tc>
          <w:tcPr>
            <w:tcW w:w="484"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&gt;12 835</w:t>
            </w:r>
          </w:p>
        </w:tc>
        <w:tc>
          <w:tcPr>
            <w:tcW w:w="959"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rPr>
            </w:pPr>
            <w:r w:rsidRPr="009F05FF">
              <w:rPr>
                <w:sz w:val="18"/>
                <w:szCs w:val="18"/>
              </w:rPr>
              <w:t xml:space="preserve">06:40 </w:t>
            </w:r>
            <w:r w:rsidR="00C209F5" w:rsidRPr="00C209F5">
              <w:rPr>
                <w:sz w:val="18"/>
                <w:szCs w:val="18"/>
              </w:rPr>
              <w:t xml:space="preserve">a band </w:t>
            </w:r>
            <w:proofErr w:type="spellStart"/>
            <w:r w:rsidR="00C209F5" w:rsidRPr="00C209F5">
              <w:rPr>
                <w:sz w:val="18"/>
                <w:szCs w:val="18"/>
              </w:rPr>
              <w:t>adj</w:t>
            </w:r>
            <w:proofErr w:type="spellEnd"/>
            <w:r w:rsidR="00C209F5" w:rsidRPr="00C209F5">
              <w:rPr>
                <w:sz w:val="18"/>
                <w:szCs w:val="18"/>
              </w:rPr>
              <w:t xml:space="preserve"> due to </w:t>
            </w:r>
            <w:proofErr w:type="spellStart"/>
            <w:r w:rsidR="00C209F5" w:rsidRPr="00C209F5">
              <w:rPr>
                <w:sz w:val="18"/>
                <w:szCs w:val="18"/>
              </w:rPr>
              <w:t>nsw</w:t>
            </w:r>
            <w:proofErr w:type="spellEnd"/>
            <w:r w:rsidR="00C209F5" w:rsidRPr="00C209F5">
              <w:rPr>
                <w:sz w:val="18"/>
                <w:szCs w:val="18"/>
              </w:rPr>
              <w:t xml:space="preserve"> price above</w:t>
            </w:r>
            <w:r w:rsidRPr="009F05FF">
              <w:rPr>
                <w:sz w:val="18"/>
                <w:szCs w:val="18"/>
              </w:rPr>
              <w:t xml:space="preserve"> 30PD 282.95 V</w:t>
            </w:r>
          </w:p>
        </w:tc>
        <w:tc>
          <w:tcPr>
            <w:tcW w:w="450"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NSW</w:t>
            </w:r>
          </w:p>
        </w:tc>
      </w:tr>
      <w:tr w:rsidR="001528B1" w:rsidTr="009F05FF">
        <w:trPr>
          <w:cantSplit/>
          <w:trHeight w:val="673"/>
        </w:trPr>
        <w:tc>
          <w:tcPr>
            <w:tcW w:w="463"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6.48 am</w:t>
            </w:r>
          </w:p>
        </w:tc>
        <w:tc>
          <w:tcPr>
            <w:tcW w:w="458"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6.55 am</w:t>
            </w:r>
          </w:p>
        </w:tc>
        <w:tc>
          <w:tcPr>
            <w:tcW w:w="606"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rPr>
              <w:t>Millmerran Energy Trader</w:t>
            </w:r>
          </w:p>
        </w:tc>
        <w:tc>
          <w:tcPr>
            <w:tcW w:w="585"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Millmerran</w:t>
            </w:r>
          </w:p>
        </w:tc>
        <w:tc>
          <w:tcPr>
            <w:tcW w:w="511"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225</w:t>
            </w:r>
          </w:p>
        </w:tc>
        <w:tc>
          <w:tcPr>
            <w:tcW w:w="484"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7</w:t>
            </w:r>
          </w:p>
        </w:tc>
        <w:tc>
          <w:tcPr>
            <w:tcW w:w="484"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13 500</w:t>
            </w:r>
          </w:p>
        </w:tc>
        <w:tc>
          <w:tcPr>
            <w:tcW w:w="959"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lang w:eastAsia="en-AU"/>
              </w:rPr>
            </w:pPr>
            <w:r w:rsidRPr="009F05FF">
              <w:rPr>
                <w:sz w:val="18"/>
                <w:szCs w:val="18"/>
              </w:rPr>
              <w:t xml:space="preserve">06:48 A </w:t>
            </w:r>
            <w:r w:rsidR="00C209F5" w:rsidRPr="00C209F5">
              <w:rPr>
                <w:sz w:val="18"/>
                <w:szCs w:val="18"/>
              </w:rPr>
              <w:t xml:space="preserve">price above </w:t>
            </w:r>
            <w:r w:rsidRPr="009F05FF">
              <w:rPr>
                <w:sz w:val="18"/>
                <w:szCs w:val="18"/>
              </w:rPr>
              <w:t>PD - SL</w:t>
            </w:r>
          </w:p>
        </w:tc>
        <w:tc>
          <w:tcPr>
            <w:tcW w:w="450"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QLD</w:t>
            </w:r>
          </w:p>
        </w:tc>
      </w:tr>
      <w:tr w:rsidR="001528B1" w:rsidTr="009F05FF">
        <w:trPr>
          <w:cantSplit/>
          <w:trHeight w:val="673"/>
        </w:trPr>
        <w:tc>
          <w:tcPr>
            <w:tcW w:w="463"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6.50 am</w:t>
            </w:r>
          </w:p>
        </w:tc>
        <w:tc>
          <w:tcPr>
            <w:tcW w:w="458"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7 am</w:t>
            </w:r>
          </w:p>
        </w:tc>
        <w:tc>
          <w:tcPr>
            <w:tcW w:w="606"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rPr>
              <w:t>ERM Power</w:t>
            </w:r>
          </w:p>
        </w:tc>
        <w:tc>
          <w:tcPr>
            <w:tcW w:w="585"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Oakey</w:t>
            </w:r>
          </w:p>
        </w:tc>
        <w:tc>
          <w:tcPr>
            <w:tcW w:w="511"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300</w:t>
            </w:r>
          </w:p>
        </w:tc>
        <w:tc>
          <w:tcPr>
            <w:tcW w:w="484"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310</w:t>
            </w:r>
          </w:p>
        </w:tc>
        <w:tc>
          <w:tcPr>
            <w:tcW w:w="484"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458</w:t>
            </w:r>
          </w:p>
        </w:tc>
        <w:tc>
          <w:tcPr>
            <w:tcW w:w="959"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rPr>
            </w:pPr>
            <w:r w:rsidRPr="009F05FF">
              <w:rPr>
                <w:sz w:val="18"/>
                <w:szCs w:val="18"/>
              </w:rPr>
              <w:t xml:space="preserve">0648F </w:t>
            </w:r>
            <w:r w:rsidR="00C209F5" w:rsidRPr="00C209F5">
              <w:rPr>
                <w:sz w:val="18"/>
                <w:szCs w:val="18"/>
              </w:rPr>
              <w:t>avoid uneconomic start::change avail/mw</w:t>
            </w:r>
          </w:p>
        </w:tc>
        <w:tc>
          <w:tcPr>
            <w:tcW w:w="450" w:type="pct"/>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QLD</w:t>
            </w:r>
          </w:p>
        </w:tc>
      </w:tr>
      <w:tr w:rsidR="001528B1" w:rsidTr="009F05FF">
        <w:trPr>
          <w:cantSplit/>
          <w:trHeight w:val="673"/>
        </w:trPr>
        <w:tc>
          <w:tcPr>
            <w:tcW w:w="463"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6.51 am</w:t>
            </w:r>
          </w:p>
        </w:tc>
        <w:tc>
          <w:tcPr>
            <w:tcW w:w="458"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7 am</w:t>
            </w:r>
          </w:p>
        </w:tc>
        <w:tc>
          <w:tcPr>
            <w:tcW w:w="606"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Origin Energy</w:t>
            </w:r>
          </w:p>
        </w:tc>
        <w:tc>
          <w:tcPr>
            <w:tcW w:w="585"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Uranquinty</w:t>
            </w:r>
          </w:p>
        </w:tc>
        <w:tc>
          <w:tcPr>
            <w:tcW w:w="511"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noBreakHyphen/>
              <w:t>150</w:t>
            </w:r>
          </w:p>
        </w:tc>
        <w:tc>
          <w:tcPr>
            <w:tcW w:w="484"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50</w:t>
            </w:r>
          </w:p>
        </w:tc>
        <w:tc>
          <w:tcPr>
            <w:tcW w:w="484"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N/A</w:t>
            </w:r>
          </w:p>
        </w:tc>
        <w:tc>
          <w:tcPr>
            <w:tcW w:w="959"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rPr>
            </w:pPr>
            <w:r w:rsidRPr="009F05FF">
              <w:rPr>
                <w:sz w:val="18"/>
                <w:szCs w:val="18"/>
              </w:rPr>
              <w:t xml:space="preserve">0650A </w:t>
            </w:r>
            <w:r w:rsidR="00C209F5" w:rsidRPr="00C209F5">
              <w:rPr>
                <w:sz w:val="18"/>
                <w:szCs w:val="18"/>
              </w:rPr>
              <w:t xml:space="preserve">avoid uneconomic start </w:t>
            </w:r>
            <w:r w:rsidRPr="009F05FF">
              <w:rPr>
                <w:sz w:val="18"/>
                <w:szCs w:val="18"/>
              </w:rPr>
              <w:t>SL</w:t>
            </w:r>
          </w:p>
        </w:tc>
        <w:tc>
          <w:tcPr>
            <w:tcW w:w="450" w:type="pct"/>
            <w:shd w:val="clear" w:color="auto" w:fill="DBE5F1"/>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NSW</w:t>
            </w:r>
          </w:p>
        </w:tc>
      </w:tr>
      <w:tr w:rsidR="001528B1" w:rsidTr="009F05FF">
        <w:trPr>
          <w:cantSplit/>
          <w:trHeight w:val="673"/>
        </w:trPr>
        <w:tc>
          <w:tcPr>
            <w:tcW w:w="463"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b/>
                <w:bCs/>
                <w:sz w:val="18"/>
                <w:szCs w:val="18"/>
                <w:lang w:eastAsia="en-AU"/>
              </w:rPr>
            </w:pPr>
            <w:r w:rsidRPr="009F05FF">
              <w:rPr>
                <w:b/>
                <w:bCs/>
                <w:sz w:val="18"/>
                <w:szCs w:val="18"/>
                <w:lang w:eastAsia="en-AU"/>
              </w:rPr>
              <w:t>6.53 am</w:t>
            </w:r>
          </w:p>
        </w:tc>
        <w:tc>
          <w:tcPr>
            <w:tcW w:w="458"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7 am</w:t>
            </w:r>
          </w:p>
        </w:tc>
        <w:tc>
          <w:tcPr>
            <w:tcW w:w="606"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rPr>
              <w:t>Callide Power Trading</w:t>
            </w:r>
          </w:p>
        </w:tc>
        <w:tc>
          <w:tcPr>
            <w:tcW w:w="585"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Callide C</w:t>
            </w:r>
          </w:p>
        </w:tc>
        <w:tc>
          <w:tcPr>
            <w:tcW w:w="511"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40</w:t>
            </w:r>
          </w:p>
        </w:tc>
        <w:tc>
          <w:tcPr>
            <w:tcW w:w="484"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19</w:t>
            </w:r>
          </w:p>
        </w:tc>
        <w:tc>
          <w:tcPr>
            <w:tcW w:w="484"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lang w:eastAsia="en-AU"/>
              </w:rPr>
            </w:pPr>
            <w:r w:rsidRPr="009F05FF">
              <w:rPr>
                <w:sz w:val="18"/>
                <w:szCs w:val="18"/>
                <w:lang w:eastAsia="en-AU"/>
              </w:rPr>
              <w:t>13</w:t>
            </w:r>
            <w:r w:rsidR="00B82756">
              <w:rPr>
                <w:sz w:val="18"/>
                <w:szCs w:val="18"/>
                <w:lang w:eastAsia="en-AU"/>
              </w:rPr>
              <w:t> </w:t>
            </w:r>
            <w:r w:rsidRPr="009F05FF">
              <w:rPr>
                <w:sz w:val="18"/>
                <w:szCs w:val="18"/>
                <w:lang w:eastAsia="en-AU"/>
              </w:rPr>
              <w:t>500</w:t>
            </w:r>
          </w:p>
        </w:tc>
        <w:tc>
          <w:tcPr>
            <w:tcW w:w="959"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rPr>
                <w:rFonts w:cs="Arial"/>
                <w:sz w:val="18"/>
                <w:szCs w:val="18"/>
              </w:rPr>
            </w:pPr>
            <w:r w:rsidRPr="009F05FF">
              <w:rPr>
                <w:sz w:val="18"/>
                <w:szCs w:val="18"/>
              </w:rPr>
              <w:t xml:space="preserve">0652F </w:t>
            </w:r>
            <w:r w:rsidR="00C209F5" w:rsidRPr="00C209F5">
              <w:rPr>
                <w:sz w:val="18"/>
                <w:szCs w:val="18"/>
              </w:rPr>
              <w:t>price above</w:t>
            </w:r>
            <w:r w:rsidRPr="009F05FF">
              <w:rPr>
                <w:sz w:val="18"/>
                <w:szCs w:val="18"/>
              </w:rPr>
              <w:t xml:space="preserve"> PD - SL</w:t>
            </w:r>
          </w:p>
        </w:tc>
        <w:tc>
          <w:tcPr>
            <w:tcW w:w="450" w:type="pct"/>
            <w:tcBorders>
              <w:top w:val="nil"/>
              <w:left w:val="nil"/>
              <w:bottom w:val="single" w:sz="8" w:space="0" w:color="auto"/>
              <w:right w:val="nil"/>
            </w:tcBorders>
            <w:tcMar>
              <w:top w:w="0" w:type="dxa"/>
              <w:left w:w="108" w:type="dxa"/>
              <w:bottom w:w="0" w:type="dxa"/>
              <w:right w:w="108" w:type="dxa"/>
            </w:tcMar>
            <w:vAlign w:val="center"/>
            <w:hideMark/>
          </w:tcPr>
          <w:p w:rsidR="001528B1" w:rsidRPr="009F05FF" w:rsidRDefault="001528B1">
            <w:pPr>
              <w:spacing w:before="100" w:beforeAutospacing="1" w:after="100" w:afterAutospacing="1" w:line="240" w:lineRule="auto"/>
              <w:jc w:val="center"/>
              <w:rPr>
                <w:rFonts w:cs="Arial"/>
                <w:sz w:val="18"/>
                <w:szCs w:val="18"/>
              </w:rPr>
            </w:pPr>
            <w:r w:rsidRPr="009F05FF">
              <w:rPr>
                <w:sz w:val="18"/>
                <w:szCs w:val="18"/>
              </w:rPr>
              <w:t>QLD</w:t>
            </w:r>
          </w:p>
        </w:tc>
      </w:tr>
    </w:tbl>
    <w:p w:rsidR="004B2A70" w:rsidRDefault="00C209F5" w:rsidP="009F05FF">
      <w:pPr>
        <w:spacing w:before="100" w:beforeAutospacing="1" w:after="100" w:afterAutospacing="1" w:line="288" w:lineRule="auto"/>
        <w:jc w:val="both"/>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 xml:space="preserve">At 6.30 am, effective at 6.40 am, AGL Energy rebid 790 MW of capacity at Bayswater and Liddell from prices below $296/MWh to the price cap. </w:t>
      </w:r>
      <w:r>
        <w:t>This saw the</w:t>
      </w:r>
      <w:r w:rsidR="000B0D0D">
        <w:t xml:space="preserve"> 6.40</w:t>
      </w:r>
      <w:r w:rsidR="00A15EAE">
        <w:t> </w:t>
      </w:r>
      <w:r w:rsidR="000B0D0D">
        <w:t>am</w:t>
      </w:r>
      <w:r>
        <w:t xml:space="preserve"> dispatch price </w:t>
      </w:r>
      <w:r w:rsidR="00B82756">
        <w:t>across all region</w:t>
      </w:r>
      <w:r w:rsidR="0095120C">
        <w:t>s</w:t>
      </w:r>
      <w:r w:rsidR="00B82756">
        <w:t xml:space="preserve"> increase to</w:t>
      </w:r>
      <w:r w:rsidR="00550A6D">
        <w:t xml:space="preserve"> between $162/MWh in Victoria and</w:t>
      </w:r>
      <w:r w:rsidR="00B82756">
        <w:t xml:space="preserve"> $</w:t>
      </w:r>
      <w:r w:rsidR="004947C4">
        <w:t>301</w:t>
      </w:r>
      <w:r w:rsidR="00B82756">
        <w:t xml:space="preserve">/MWh in </w:t>
      </w:r>
      <w:r w:rsidR="004947C4">
        <w:t>Tasmania</w:t>
      </w:r>
      <w:r w:rsidR="00B82756">
        <w:t xml:space="preserve">. Further rebidding saw the </w:t>
      </w:r>
      <w:r w:rsidR="004947C4">
        <w:t>6.45</w:t>
      </w:r>
      <w:r w:rsidR="00A15EAE">
        <w:t> </w:t>
      </w:r>
      <w:r w:rsidR="004947C4">
        <w:t xml:space="preserve">am </w:t>
      </w:r>
      <w:r w:rsidR="00B82756">
        <w:t xml:space="preserve">dispatch </w:t>
      </w:r>
      <w:r w:rsidR="00550A6D">
        <w:t xml:space="preserve">price </w:t>
      </w:r>
      <w:r w:rsidR="00B82756">
        <w:t>rise to</w:t>
      </w:r>
      <w:r w:rsidR="00550A6D">
        <w:t xml:space="preserve"> between $257/MWh in Victoria and</w:t>
      </w:r>
      <w:r w:rsidR="00B82756">
        <w:t xml:space="preserve"> $3</w:t>
      </w:r>
      <w:r w:rsidR="004947C4">
        <w:t>10</w:t>
      </w:r>
      <w:r w:rsidR="00B82756">
        <w:t xml:space="preserve">/MWh in </w:t>
      </w:r>
      <w:r w:rsidR="004947C4">
        <w:t>Queensland</w:t>
      </w:r>
      <w:r>
        <w:rPr>
          <w:rFonts w:asciiTheme="minorHAnsi" w:eastAsia="Times New Roman" w:hAnsiTheme="minorHAnsi" w:cstheme="minorHAnsi"/>
          <w:szCs w:val="20"/>
          <w:lang w:eastAsia="en-AU"/>
        </w:rPr>
        <w:t>.</w:t>
      </w:r>
      <w:r w:rsidR="00B82756" w:rsidRPr="00B82756">
        <w:rPr>
          <w:rFonts w:asciiTheme="minorHAnsi" w:eastAsia="Times New Roman" w:hAnsiTheme="minorHAnsi" w:cstheme="minorHAnsi"/>
          <w:szCs w:val="20"/>
          <w:lang w:eastAsia="en-AU"/>
        </w:rPr>
        <w:t xml:space="preserve"> </w:t>
      </w:r>
      <w:r w:rsidR="00B82756">
        <w:rPr>
          <w:rFonts w:asciiTheme="minorHAnsi" w:eastAsia="Times New Roman" w:hAnsiTheme="minorHAnsi" w:cstheme="minorHAnsi"/>
          <w:szCs w:val="20"/>
          <w:lang w:eastAsia="en-AU"/>
        </w:rPr>
        <w:t xml:space="preserve">Prices remained at around this level </w:t>
      </w:r>
      <w:r w:rsidR="004B2A70">
        <w:rPr>
          <w:rFonts w:asciiTheme="minorHAnsi" w:eastAsia="Times New Roman" w:hAnsiTheme="minorHAnsi" w:cstheme="minorHAnsi"/>
          <w:szCs w:val="20"/>
          <w:lang w:eastAsia="en-AU"/>
        </w:rPr>
        <w:t>for the rest of the trading interval except for Queensland at 7 am.</w:t>
      </w:r>
    </w:p>
    <w:p w:rsidR="001528B1" w:rsidRDefault="004B2A70" w:rsidP="009F05FF">
      <w:pPr>
        <w:spacing w:before="100" w:beforeAutospacing="1" w:after="100" w:afterAutospacing="1" w:line="288" w:lineRule="auto"/>
        <w:jc w:val="both"/>
        <w:rPr>
          <w:rFonts w:ascii="Calibri" w:hAnsi="Calibri" w:cs="Arial"/>
        </w:rPr>
      </w:pPr>
      <w:r>
        <w:rPr>
          <w:rFonts w:asciiTheme="minorHAnsi" w:eastAsia="Times New Roman" w:hAnsiTheme="minorHAnsi" w:cstheme="minorHAnsi"/>
          <w:szCs w:val="20"/>
          <w:lang w:eastAsia="en-AU"/>
        </w:rPr>
        <w:t xml:space="preserve">At </w:t>
      </w:r>
      <w:r w:rsidR="00B82756">
        <w:rPr>
          <w:rFonts w:asciiTheme="minorHAnsi" w:eastAsia="Times New Roman" w:hAnsiTheme="minorHAnsi" w:cstheme="minorHAnsi"/>
          <w:szCs w:val="20"/>
          <w:lang w:eastAsia="en-AU"/>
        </w:rPr>
        <w:t xml:space="preserve">7 am </w:t>
      </w:r>
      <w:r w:rsidR="00C209F5">
        <w:rPr>
          <w:rFonts w:asciiTheme="minorHAnsi" w:eastAsia="Times New Roman" w:hAnsiTheme="minorHAnsi" w:cstheme="minorHAnsi"/>
          <w:szCs w:val="20"/>
          <w:lang w:eastAsia="en-AU"/>
        </w:rPr>
        <w:t>both QNI and Terranora interconnector</w:t>
      </w:r>
      <w:r>
        <w:rPr>
          <w:rFonts w:asciiTheme="minorHAnsi" w:eastAsia="Times New Roman" w:hAnsiTheme="minorHAnsi" w:cstheme="minorHAnsi"/>
          <w:szCs w:val="20"/>
          <w:lang w:eastAsia="en-AU"/>
        </w:rPr>
        <w:t>s</w:t>
      </w:r>
      <w:r w:rsidR="00C209F5">
        <w:rPr>
          <w:rFonts w:asciiTheme="minorHAnsi" w:eastAsia="Times New Roman" w:hAnsiTheme="minorHAnsi" w:cstheme="minorHAnsi"/>
          <w:szCs w:val="20"/>
          <w:lang w:eastAsia="en-AU"/>
        </w:rPr>
        <w:t xml:space="preserve"> became constrained, isolating Queensland from the rest of the NEM.</w:t>
      </w:r>
      <w:r>
        <w:rPr>
          <w:rFonts w:asciiTheme="minorHAnsi" w:eastAsia="Times New Roman" w:hAnsiTheme="minorHAnsi" w:cstheme="minorHAnsi"/>
          <w:szCs w:val="20"/>
          <w:lang w:eastAsia="en-AU"/>
        </w:rPr>
        <w:t xml:space="preserve"> D</w:t>
      </w:r>
      <w:r w:rsidR="00C209F5">
        <w:rPr>
          <w:rFonts w:asciiTheme="minorHAnsi" w:eastAsia="Times New Roman" w:hAnsiTheme="minorHAnsi" w:cstheme="minorHAnsi"/>
          <w:szCs w:val="20"/>
          <w:lang w:eastAsia="en-AU"/>
        </w:rPr>
        <w:t>emand increased by over 70</w:t>
      </w:r>
      <w:r w:rsidR="00B82756">
        <w:rPr>
          <w:rFonts w:asciiTheme="minorHAnsi" w:eastAsia="Times New Roman" w:hAnsiTheme="minorHAnsi" w:cstheme="minorHAnsi"/>
          <w:szCs w:val="20"/>
          <w:lang w:eastAsia="en-AU"/>
        </w:rPr>
        <w:t> </w:t>
      </w:r>
      <w:r w:rsidR="00C209F5">
        <w:rPr>
          <w:rFonts w:asciiTheme="minorHAnsi" w:eastAsia="Times New Roman" w:hAnsiTheme="minorHAnsi" w:cstheme="minorHAnsi"/>
          <w:szCs w:val="20"/>
          <w:lang w:eastAsia="en-AU"/>
        </w:rPr>
        <w:t xml:space="preserve">MW </w:t>
      </w:r>
      <w:r w:rsidR="00B82756">
        <w:rPr>
          <w:rFonts w:asciiTheme="minorHAnsi" w:eastAsia="Times New Roman" w:hAnsiTheme="minorHAnsi" w:cstheme="minorHAnsi"/>
          <w:szCs w:val="20"/>
          <w:lang w:eastAsia="en-AU"/>
        </w:rPr>
        <w:t>which coincided with</w:t>
      </w:r>
      <w:r w:rsidR="00C209F5">
        <w:rPr>
          <w:rFonts w:asciiTheme="minorHAnsi" w:eastAsia="Times New Roman" w:hAnsiTheme="minorHAnsi" w:cstheme="minorHAnsi"/>
          <w:szCs w:val="20"/>
          <w:lang w:eastAsia="en-AU"/>
        </w:rPr>
        <w:t xml:space="preserve"> rebids by ERM Power</w:t>
      </w:r>
      <w:r>
        <w:rPr>
          <w:rFonts w:asciiTheme="minorHAnsi" w:eastAsia="Times New Roman" w:hAnsiTheme="minorHAnsi" w:cstheme="minorHAnsi"/>
          <w:szCs w:val="20"/>
          <w:lang w:eastAsia="en-AU"/>
        </w:rPr>
        <w:t>, Origin</w:t>
      </w:r>
      <w:r w:rsidR="00C209F5">
        <w:rPr>
          <w:rFonts w:asciiTheme="minorHAnsi" w:eastAsia="Times New Roman" w:hAnsiTheme="minorHAnsi" w:cstheme="minorHAnsi"/>
          <w:szCs w:val="20"/>
          <w:lang w:eastAsia="en-AU"/>
        </w:rPr>
        <w:t xml:space="preserve"> and Callide Power Trading </w:t>
      </w:r>
      <w:r>
        <w:rPr>
          <w:rFonts w:asciiTheme="minorHAnsi" w:eastAsia="Times New Roman" w:hAnsiTheme="minorHAnsi" w:cstheme="minorHAnsi"/>
          <w:szCs w:val="20"/>
          <w:lang w:eastAsia="en-AU"/>
        </w:rPr>
        <w:t>becoming effective</w:t>
      </w:r>
      <w:r w:rsidR="00550A6D">
        <w:rPr>
          <w:rFonts w:asciiTheme="minorHAnsi" w:eastAsia="Times New Roman" w:hAnsiTheme="minorHAnsi" w:cstheme="minorHAnsi"/>
          <w:szCs w:val="20"/>
          <w:lang w:eastAsia="en-AU"/>
        </w:rPr>
        <w:t>,</w:t>
      </w:r>
      <w:r w:rsidR="00C209F5">
        <w:rPr>
          <w:rFonts w:asciiTheme="minorHAnsi" w:eastAsia="Times New Roman" w:hAnsiTheme="minorHAnsi" w:cstheme="minorHAnsi"/>
          <w:szCs w:val="20"/>
          <w:lang w:eastAsia="en-AU"/>
        </w:rPr>
        <w:t xml:space="preserve"> </w:t>
      </w:r>
      <w:r>
        <w:rPr>
          <w:rFonts w:asciiTheme="minorHAnsi" w:eastAsia="Times New Roman" w:hAnsiTheme="minorHAnsi" w:cstheme="minorHAnsi"/>
          <w:szCs w:val="20"/>
          <w:lang w:eastAsia="en-AU"/>
        </w:rPr>
        <w:t>resulting in the price</w:t>
      </w:r>
      <w:r w:rsidR="00C209F5">
        <w:rPr>
          <w:rFonts w:asciiTheme="minorHAnsi" w:eastAsia="Times New Roman" w:hAnsiTheme="minorHAnsi" w:cstheme="minorHAnsi"/>
          <w:szCs w:val="20"/>
          <w:lang w:eastAsia="en-AU"/>
        </w:rPr>
        <w:t xml:space="preserve"> increasing from $319/MWh at 6.55</w:t>
      </w:r>
      <w:r>
        <w:rPr>
          <w:rFonts w:asciiTheme="minorHAnsi" w:eastAsia="Times New Roman" w:hAnsiTheme="minorHAnsi" w:cstheme="minorHAnsi"/>
          <w:szCs w:val="20"/>
          <w:lang w:eastAsia="en-AU"/>
        </w:rPr>
        <w:t> </w:t>
      </w:r>
      <w:r w:rsidR="00C209F5">
        <w:rPr>
          <w:rFonts w:asciiTheme="minorHAnsi" w:eastAsia="Times New Roman" w:hAnsiTheme="minorHAnsi" w:cstheme="minorHAnsi"/>
          <w:szCs w:val="20"/>
          <w:lang w:eastAsia="en-AU"/>
        </w:rPr>
        <w:t>am to $458/MWh at 7</w:t>
      </w:r>
      <w:r>
        <w:rPr>
          <w:rFonts w:asciiTheme="minorHAnsi" w:eastAsia="Times New Roman" w:hAnsiTheme="minorHAnsi" w:cstheme="minorHAnsi"/>
          <w:szCs w:val="20"/>
          <w:lang w:eastAsia="en-AU"/>
        </w:rPr>
        <w:t> </w:t>
      </w:r>
      <w:r w:rsidR="00C209F5">
        <w:rPr>
          <w:rFonts w:asciiTheme="minorHAnsi" w:eastAsia="Times New Roman" w:hAnsiTheme="minorHAnsi" w:cstheme="minorHAnsi"/>
          <w:szCs w:val="20"/>
          <w:lang w:eastAsia="en-AU"/>
        </w:rPr>
        <w:t>am</w:t>
      </w:r>
      <w:r>
        <w:rPr>
          <w:rFonts w:asciiTheme="minorHAnsi" w:eastAsia="Times New Roman" w:hAnsiTheme="minorHAnsi" w:cstheme="minorHAnsi"/>
          <w:szCs w:val="20"/>
          <w:lang w:eastAsia="en-AU"/>
        </w:rPr>
        <w:t xml:space="preserve"> in Queensland.</w:t>
      </w:r>
    </w:p>
    <w:p w:rsidR="00904116" w:rsidRPr="00904116" w:rsidRDefault="00904116" w:rsidP="00904116">
      <w:pPr>
        <w:keepNext/>
        <w:spacing w:before="240" w:after="120"/>
        <w:jc w:val="both"/>
        <w:rPr>
          <w:sz w:val="24"/>
        </w:rPr>
      </w:pPr>
      <w:r w:rsidRPr="00904116">
        <w:rPr>
          <w:b/>
          <w:bCs/>
          <w:color w:val="2272A3" w:themeColor="accent4" w:themeShade="80"/>
          <w:sz w:val="28"/>
          <w:szCs w:val="18"/>
        </w:rPr>
        <w:t>New South Wales</w:t>
      </w:r>
      <w:r w:rsidR="004A246D">
        <w:rPr>
          <w:b/>
          <w:bCs/>
          <w:color w:val="2272A3" w:themeColor="accent4" w:themeShade="80"/>
          <w:sz w:val="28"/>
          <w:szCs w:val="18"/>
        </w:rPr>
        <w:t xml:space="preserve"> and Queensland</w:t>
      </w:r>
      <w:r w:rsidR="00AE0091">
        <w:rPr>
          <w:b/>
          <w:bCs/>
          <w:color w:val="2272A3" w:themeColor="accent4" w:themeShade="80"/>
          <w:sz w:val="28"/>
          <w:szCs w:val="18"/>
        </w:rPr>
        <w:t xml:space="preserve"> – Wednesday 1 April </w:t>
      </w:r>
    </w:p>
    <w:p w:rsidR="00904116" w:rsidRPr="00904116" w:rsidRDefault="00904116" w:rsidP="00591FE6">
      <w:pPr>
        <w:spacing w:before="100" w:beforeAutospacing="1" w:after="100" w:afterAutospacing="1" w:line="288" w:lineRule="auto"/>
        <w:jc w:val="both"/>
        <w:rPr>
          <w:rFonts w:asciiTheme="minorHAnsi" w:hAnsiTheme="minorHAnsi" w:cstheme="minorHAnsi"/>
          <w:szCs w:val="20"/>
        </w:rPr>
      </w:pPr>
      <w:r w:rsidRPr="00904116">
        <w:rPr>
          <w:rFonts w:asciiTheme="minorHAnsi" w:hAnsiTheme="minorHAnsi" w:cstheme="minorHAnsi"/>
          <w:szCs w:val="20"/>
        </w:rPr>
        <w:t>There were two occasions where the spot price in New South Wales was greater than three times the New South Wales weekly average price of $35/MWh and above $250/MWh.</w:t>
      </w:r>
      <w:r w:rsidR="004A246D">
        <w:rPr>
          <w:rFonts w:asciiTheme="minorHAnsi" w:hAnsiTheme="minorHAnsi" w:cstheme="minorHAnsi"/>
          <w:szCs w:val="20"/>
        </w:rPr>
        <w:t xml:space="preserve"> There were high prices in </w:t>
      </w:r>
      <w:proofErr w:type="gramStart"/>
      <w:r w:rsidR="004A246D">
        <w:rPr>
          <w:rFonts w:asciiTheme="minorHAnsi" w:hAnsiTheme="minorHAnsi" w:cstheme="minorHAnsi"/>
          <w:szCs w:val="20"/>
        </w:rPr>
        <w:t>Queensland,</w:t>
      </w:r>
      <w:proofErr w:type="gramEnd"/>
      <w:r w:rsidR="004A246D">
        <w:rPr>
          <w:rFonts w:asciiTheme="minorHAnsi" w:hAnsiTheme="minorHAnsi" w:cstheme="minorHAnsi"/>
          <w:szCs w:val="20"/>
        </w:rPr>
        <w:t xml:space="preserve"> however they did not exceed the </w:t>
      </w:r>
      <w:r w:rsidR="00AB417F">
        <w:rPr>
          <w:rFonts w:asciiTheme="minorHAnsi" w:hAnsiTheme="minorHAnsi" w:cstheme="minorHAnsi"/>
          <w:szCs w:val="20"/>
        </w:rPr>
        <w:t xml:space="preserve">reporting </w:t>
      </w:r>
      <w:r w:rsidR="004A246D">
        <w:rPr>
          <w:rFonts w:asciiTheme="minorHAnsi" w:hAnsiTheme="minorHAnsi" w:cstheme="minorHAnsi"/>
          <w:szCs w:val="20"/>
        </w:rPr>
        <w:t xml:space="preserve">threshold. </w:t>
      </w:r>
    </w:p>
    <w:p w:rsidR="00FF26D0" w:rsidRPr="00F33F2D" w:rsidRDefault="003E144D" w:rsidP="00FF26D0">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00D76663">
        <w:rPr>
          <w:b/>
          <w:bCs/>
          <w:color w:val="2272A3" w:themeColor="accent4" w:themeShade="80"/>
          <w:sz w:val="24"/>
          <w:szCs w:val="18"/>
        </w:rPr>
        <w:t>5</w:t>
      </w:r>
      <w:r w:rsidR="00FF26D0" w:rsidRPr="00F33F2D">
        <w:rPr>
          <w:b/>
          <w:bCs/>
          <w:color w:val="2272A3" w:themeColor="accent4" w:themeShade="80"/>
          <w:sz w:val="24"/>
          <w:szCs w:val="18"/>
        </w:rPr>
        <w:t xml:space="preserve">: </w:t>
      </w:r>
      <w:r w:rsidR="00F54630">
        <w:rPr>
          <w:b/>
          <w:bCs/>
          <w:color w:val="2272A3" w:themeColor="accent4" w:themeShade="80"/>
          <w:sz w:val="24"/>
          <w:szCs w:val="18"/>
        </w:rPr>
        <w:t xml:space="preserve">NSW </w:t>
      </w:r>
      <w:r w:rsidR="00FF26D0" w:rsidRPr="00F33F2D">
        <w:rPr>
          <w:b/>
          <w:bCs/>
          <w:color w:val="2272A3" w:themeColor="accent4" w:themeShade="80"/>
          <w:sz w:val="24"/>
          <w:szCs w:val="18"/>
        </w:rPr>
        <w:t>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F33F2D"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F33F2D" w:rsidRPr="00F33F2D" w:rsidRDefault="00F33F2D" w:rsidP="00993358">
            <w:pPr>
              <w:spacing w:before="60" w:after="60"/>
              <w:jc w:val="center"/>
              <w:rPr>
                <w:sz w:val="18"/>
                <w14:numSpacing w14:val="default"/>
              </w:rPr>
            </w:pPr>
            <w:r w:rsidRPr="00F33F2D">
              <w:rPr>
                <w:sz w:val="18"/>
              </w:rPr>
              <w:t>Time</w:t>
            </w:r>
          </w:p>
        </w:tc>
        <w:tc>
          <w:tcPr>
            <w:tcW w:w="1513"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Price ($/MWh)</w:t>
            </w:r>
          </w:p>
        </w:tc>
        <w:tc>
          <w:tcPr>
            <w:tcW w:w="1474"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Demand (MW)</w:t>
            </w:r>
          </w:p>
        </w:tc>
        <w:tc>
          <w:tcPr>
            <w:tcW w:w="1473"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Availability (MW)</w:t>
            </w:r>
          </w:p>
        </w:tc>
      </w:tr>
      <w:tr w:rsidR="00F33F2D"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 </w:t>
            </w:r>
          </w:p>
        </w:tc>
        <w:tc>
          <w:tcPr>
            <w:tcW w:w="518"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8"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6"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r>
      <w:tr w:rsidR="00904116" w:rsidRPr="00F33F2D" w:rsidTr="00904116">
        <w:trPr>
          <w:trHeight w:val="510"/>
        </w:trPr>
        <w:tc>
          <w:tcPr>
            <w:tcW w:w="539"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b/>
                <w:bCs/>
                <w:sz w:val="18"/>
                <w:szCs w:val="18"/>
              </w:rPr>
              <w:t>6:30 AM</w:t>
            </w:r>
          </w:p>
        </w:tc>
        <w:tc>
          <w:tcPr>
            <w:tcW w:w="518"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254.43</w:t>
            </w:r>
          </w:p>
        </w:tc>
        <w:tc>
          <w:tcPr>
            <w:tcW w:w="497"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30.67</w:t>
            </w:r>
          </w:p>
        </w:tc>
        <w:tc>
          <w:tcPr>
            <w:tcW w:w="498"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30.06</w:t>
            </w:r>
          </w:p>
        </w:tc>
        <w:tc>
          <w:tcPr>
            <w:tcW w:w="480"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7960</w:t>
            </w:r>
          </w:p>
        </w:tc>
        <w:tc>
          <w:tcPr>
            <w:tcW w:w="497"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7893</w:t>
            </w:r>
          </w:p>
        </w:tc>
        <w:tc>
          <w:tcPr>
            <w:tcW w:w="497"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7808</w:t>
            </w:r>
          </w:p>
        </w:tc>
        <w:tc>
          <w:tcPr>
            <w:tcW w:w="480"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10 680</w:t>
            </w:r>
          </w:p>
        </w:tc>
        <w:tc>
          <w:tcPr>
            <w:tcW w:w="497"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11 195</w:t>
            </w:r>
          </w:p>
        </w:tc>
        <w:tc>
          <w:tcPr>
            <w:tcW w:w="496" w:type="pct"/>
            <w:tcBorders>
              <w:top w:val="nil"/>
              <w:bottom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11 198</w:t>
            </w:r>
          </w:p>
        </w:tc>
      </w:tr>
      <w:tr w:rsidR="00904116" w:rsidRPr="00F33F2D" w:rsidTr="00993358">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b/>
                <w:bCs/>
                <w:sz w:val="18"/>
                <w:szCs w:val="18"/>
              </w:rPr>
              <w:t>7:00 AM</w:t>
            </w:r>
          </w:p>
        </w:tc>
        <w:tc>
          <w:tcPr>
            <w:tcW w:w="518"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258.35</w:t>
            </w:r>
          </w:p>
        </w:tc>
        <w:tc>
          <w:tcPr>
            <w:tcW w:w="497"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49.98</w:t>
            </w:r>
          </w:p>
        </w:tc>
        <w:tc>
          <w:tcPr>
            <w:tcW w:w="498"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35.03</w:t>
            </w:r>
          </w:p>
        </w:tc>
        <w:tc>
          <w:tcPr>
            <w:tcW w:w="480"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8228</w:t>
            </w:r>
          </w:p>
        </w:tc>
        <w:tc>
          <w:tcPr>
            <w:tcW w:w="497"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8234</w:t>
            </w:r>
          </w:p>
        </w:tc>
        <w:tc>
          <w:tcPr>
            <w:tcW w:w="497"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8187</w:t>
            </w:r>
          </w:p>
        </w:tc>
        <w:tc>
          <w:tcPr>
            <w:tcW w:w="480"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10 741</w:t>
            </w:r>
          </w:p>
        </w:tc>
        <w:tc>
          <w:tcPr>
            <w:tcW w:w="497"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10 720</w:t>
            </w:r>
          </w:p>
        </w:tc>
        <w:tc>
          <w:tcPr>
            <w:tcW w:w="496" w:type="pct"/>
            <w:tcBorders>
              <w:top w:val="nil"/>
            </w:tcBorders>
            <w:vAlign w:val="center"/>
          </w:tcPr>
          <w:p w:rsidR="00904116" w:rsidRPr="00904116" w:rsidRDefault="00904116">
            <w:pPr>
              <w:pStyle w:val="NormalWeb"/>
              <w:jc w:val="center"/>
              <w:rPr>
                <w:rFonts w:asciiTheme="minorHAnsi" w:hAnsiTheme="minorHAnsi" w:cstheme="minorHAnsi"/>
                <w:sz w:val="18"/>
                <w:szCs w:val="18"/>
              </w:rPr>
            </w:pPr>
            <w:r w:rsidRPr="00904116">
              <w:rPr>
                <w:rFonts w:asciiTheme="minorHAnsi" w:hAnsiTheme="minorHAnsi" w:cstheme="minorHAnsi"/>
                <w:sz w:val="18"/>
                <w:szCs w:val="18"/>
              </w:rPr>
              <w:t>11 222</w:t>
            </w:r>
          </w:p>
        </w:tc>
      </w:tr>
    </w:tbl>
    <w:p w:rsidR="00F83421" w:rsidRDefault="00F83421" w:rsidP="009F05FF">
      <w:pPr>
        <w:pStyle w:val="AERbodytext"/>
      </w:pPr>
    </w:p>
    <w:p w:rsidR="00AE0091" w:rsidRDefault="00AE0091" w:rsidP="009F05FF">
      <w:pPr>
        <w:pStyle w:val="AERbodytext"/>
      </w:pPr>
      <w:r>
        <w:t xml:space="preserve">Conditions at the time saw demand </w:t>
      </w:r>
      <w:r w:rsidR="00F83421">
        <w:t>close to</w:t>
      </w:r>
      <w:r w:rsidR="00B45E3B">
        <w:t xml:space="preserve"> forecast four hours ahead but</w:t>
      </w:r>
      <w:r>
        <w:t xml:space="preserve"> available capacity </w:t>
      </w:r>
      <w:r w:rsidR="00175758">
        <w:t xml:space="preserve">was </w:t>
      </w:r>
      <w:r>
        <w:t xml:space="preserve">more than </w:t>
      </w:r>
      <w:r w:rsidR="00F83421">
        <w:t>510 </w:t>
      </w:r>
      <w:r>
        <w:t>MW lower than forecast four hours ahead for the 6.30 am</w:t>
      </w:r>
      <w:r w:rsidR="00F83421">
        <w:t xml:space="preserve"> trading interval</w:t>
      </w:r>
      <w:r>
        <w:t xml:space="preserve">. </w:t>
      </w:r>
    </w:p>
    <w:p w:rsidR="0057337F" w:rsidRDefault="0057337F" w:rsidP="009F05FF">
      <w:pPr>
        <w:pStyle w:val="AERbodytext"/>
      </w:pPr>
      <w:r>
        <w:t xml:space="preserve">The QNI and Terranora interconnectors were unconstrained meaning there was price alignment across New South Wales and Queensland. </w:t>
      </w:r>
      <w:r w:rsidR="00575A65">
        <w:t xml:space="preserve">The Victoria-New South Wales interconnector was </w:t>
      </w:r>
      <w:r w:rsidR="00737927">
        <w:t>constrained for most of the 6.</w:t>
      </w:r>
      <w:r w:rsidR="00F83421">
        <w:t>30 </w:t>
      </w:r>
      <w:r w:rsidR="00737927">
        <w:t>am trading interval and all of the 7</w:t>
      </w:r>
      <w:r w:rsidR="00F83421">
        <w:t> </w:t>
      </w:r>
      <w:r w:rsidR="00737927">
        <w:t>am trading interval, isolating New South Wales and Queensland from the rest of the NEM.</w:t>
      </w:r>
    </w:p>
    <w:p w:rsidR="002035E2" w:rsidRPr="0016721B" w:rsidRDefault="0016721B" w:rsidP="00D76663">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Pr>
          <w:b/>
          <w:bCs/>
          <w:color w:val="2272A3" w:themeColor="accent4" w:themeShade="80"/>
          <w:sz w:val="24"/>
          <w:szCs w:val="18"/>
        </w:rPr>
        <w:t>6</w:t>
      </w:r>
      <w:r w:rsidRPr="00F33F2D">
        <w:rPr>
          <w:b/>
          <w:bCs/>
          <w:color w:val="2272A3" w:themeColor="accent4" w:themeShade="80"/>
          <w:sz w:val="24"/>
          <w:szCs w:val="18"/>
        </w:rPr>
        <w:t xml:space="preserve">: </w:t>
      </w:r>
      <w:r>
        <w:rPr>
          <w:b/>
          <w:bCs/>
          <w:color w:val="2272A3" w:themeColor="accent4" w:themeShade="80"/>
          <w:sz w:val="24"/>
          <w:szCs w:val="18"/>
        </w:rPr>
        <w:t>Rebids for the 6.</w:t>
      </w:r>
      <w:r w:rsidR="00586F74">
        <w:rPr>
          <w:b/>
          <w:bCs/>
          <w:color w:val="2272A3" w:themeColor="accent4" w:themeShade="80"/>
          <w:sz w:val="24"/>
          <w:szCs w:val="18"/>
        </w:rPr>
        <w:t>30 </w:t>
      </w:r>
      <w:r>
        <w:rPr>
          <w:b/>
          <w:bCs/>
          <w:color w:val="2272A3" w:themeColor="accent4" w:themeShade="80"/>
          <w:sz w:val="24"/>
          <w:szCs w:val="18"/>
        </w:rPr>
        <w:t>am</w:t>
      </w:r>
      <w:r w:rsidR="0057337F">
        <w:rPr>
          <w:b/>
          <w:bCs/>
          <w:color w:val="2272A3" w:themeColor="accent4" w:themeShade="80"/>
          <w:sz w:val="24"/>
          <w:szCs w:val="18"/>
        </w:rPr>
        <w:t xml:space="preserve"> and 7</w:t>
      </w:r>
      <w:r w:rsidR="00586F74">
        <w:rPr>
          <w:b/>
          <w:bCs/>
          <w:color w:val="2272A3" w:themeColor="accent4" w:themeShade="80"/>
          <w:sz w:val="24"/>
          <w:szCs w:val="18"/>
        </w:rPr>
        <w:t> </w:t>
      </w:r>
      <w:r w:rsidR="0057337F">
        <w:rPr>
          <w:b/>
          <w:bCs/>
          <w:color w:val="2272A3" w:themeColor="accent4" w:themeShade="80"/>
          <w:sz w:val="24"/>
          <w:szCs w:val="18"/>
        </w:rPr>
        <w:t>am</w:t>
      </w:r>
      <w:r>
        <w:rPr>
          <w:b/>
          <w:bCs/>
          <w:color w:val="2272A3" w:themeColor="accent4" w:themeShade="80"/>
          <w:sz w:val="24"/>
          <w:szCs w:val="18"/>
        </w:rPr>
        <w:t xml:space="preserve"> trading interval</w:t>
      </w:r>
      <w:r w:rsidR="0057337F">
        <w:rPr>
          <w:b/>
          <w:bCs/>
          <w:color w:val="2272A3" w:themeColor="accent4" w:themeShade="80"/>
          <w:sz w:val="24"/>
          <w:szCs w:val="18"/>
        </w:rPr>
        <w:t>s</w:t>
      </w:r>
    </w:p>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960"/>
        <w:gridCol w:w="911"/>
        <w:gridCol w:w="1150"/>
        <w:gridCol w:w="909"/>
        <w:gridCol w:w="967"/>
        <w:gridCol w:w="928"/>
        <w:gridCol w:w="1022"/>
        <w:gridCol w:w="1569"/>
        <w:gridCol w:w="826"/>
      </w:tblGrid>
      <w:tr w:rsidR="00586F74" w:rsidTr="009F05FF">
        <w:trPr>
          <w:cantSplit/>
          <w:trHeight w:val="780"/>
          <w:tblHeader/>
        </w:trPr>
        <w:tc>
          <w:tcPr>
            <w:tcW w:w="519" w:type="pct"/>
            <w:shd w:val="clear" w:color="auto" w:fill="076A92"/>
            <w:tcMar>
              <w:top w:w="0" w:type="dxa"/>
              <w:left w:w="108" w:type="dxa"/>
              <w:bottom w:w="0" w:type="dxa"/>
              <w:right w:w="108" w:type="dxa"/>
            </w:tcMar>
            <w:hideMark/>
          </w:tcPr>
          <w:p w:rsidR="004A246D" w:rsidRDefault="00586F74">
            <w:pPr>
              <w:pStyle w:val="TableHeading"/>
              <w:rPr>
                <w:color w:val="FFFFFF"/>
                <w:szCs w:val="18"/>
                <w14:numSpacing w14:val="tabular"/>
              </w:rPr>
            </w:pPr>
            <w:r>
              <w:rPr>
                <w:b/>
                <w:bCs/>
                <w:color w:val="FFFFFF"/>
                <w:szCs w:val="18"/>
                <w14:numSpacing w14:val="tabular"/>
              </w:rPr>
              <w:t>Submit t</w:t>
            </w:r>
            <w:r w:rsidR="004A246D">
              <w:rPr>
                <w:b/>
                <w:bCs/>
                <w:color w:val="FFFFFF"/>
                <w:szCs w:val="18"/>
                <w14:numSpacing w14:val="tabular"/>
              </w:rPr>
              <w:t>ime</w:t>
            </w:r>
          </w:p>
        </w:tc>
        <w:tc>
          <w:tcPr>
            <w:tcW w:w="493" w:type="pct"/>
            <w:shd w:val="clear" w:color="auto" w:fill="076A92"/>
            <w:tcMar>
              <w:top w:w="0" w:type="dxa"/>
              <w:left w:w="108" w:type="dxa"/>
              <w:bottom w:w="0" w:type="dxa"/>
              <w:right w:w="108" w:type="dxa"/>
            </w:tcMar>
            <w:hideMark/>
          </w:tcPr>
          <w:p w:rsidR="004A246D" w:rsidRDefault="004A246D" w:rsidP="00F5251F">
            <w:pPr>
              <w:pStyle w:val="TableHeading"/>
              <w:ind w:left="-108"/>
              <w:rPr>
                <w:color w:val="FFFFFF"/>
                <w:szCs w:val="18"/>
                <w14:numSpacing w14:val="tabular"/>
              </w:rPr>
            </w:pPr>
            <w:r>
              <w:rPr>
                <w:b/>
                <w:bCs/>
                <w:color w:val="FFFFFF"/>
                <w:szCs w:val="18"/>
                <w14:numSpacing w14:val="tabular"/>
              </w:rPr>
              <w:t>Time effective</w:t>
            </w:r>
          </w:p>
        </w:tc>
        <w:tc>
          <w:tcPr>
            <w:tcW w:w="622" w:type="pct"/>
            <w:shd w:val="clear" w:color="auto" w:fill="076A92"/>
            <w:tcMar>
              <w:top w:w="0" w:type="dxa"/>
              <w:left w:w="108" w:type="dxa"/>
              <w:bottom w:w="0" w:type="dxa"/>
              <w:right w:w="108" w:type="dxa"/>
            </w:tcMar>
            <w:hideMark/>
          </w:tcPr>
          <w:p w:rsidR="004A246D" w:rsidRDefault="004A246D" w:rsidP="00F5251F">
            <w:pPr>
              <w:pStyle w:val="TableHeading"/>
              <w:rPr>
                <w:color w:val="FFFFFF"/>
                <w:szCs w:val="18"/>
                <w14:numSpacing w14:val="tabular"/>
              </w:rPr>
            </w:pPr>
            <w:r>
              <w:rPr>
                <w:b/>
                <w:bCs/>
                <w:color w:val="FFFFFF"/>
                <w:szCs w:val="18"/>
                <w14:numSpacing w14:val="tabular"/>
              </w:rPr>
              <w:t>Participant</w:t>
            </w:r>
          </w:p>
        </w:tc>
        <w:tc>
          <w:tcPr>
            <w:tcW w:w="492" w:type="pct"/>
            <w:shd w:val="clear" w:color="auto" w:fill="076A92"/>
            <w:tcMar>
              <w:top w:w="0" w:type="dxa"/>
              <w:left w:w="108" w:type="dxa"/>
              <w:bottom w:w="0" w:type="dxa"/>
              <w:right w:w="108" w:type="dxa"/>
            </w:tcMar>
            <w:hideMark/>
          </w:tcPr>
          <w:p w:rsidR="004A246D" w:rsidRDefault="004A246D" w:rsidP="00F5251F">
            <w:pPr>
              <w:pStyle w:val="TableHeading"/>
              <w:rPr>
                <w:color w:val="FFFFFF"/>
                <w:szCs w:val="18"/>
                <w14:numSpacing w14:val="tabular"/>
              </w:rPr>
            </w:pPr>
            <w:r>
              <w:rPr>
                <w:b/>
                <w:bCs/>
                <w:color w:val="FFFFFF"/>
                <w:szCs w:val="18"/>
                <w14:numSpacing w14:val="tabular"/>
              </w:rPr>
              <w:t>Station</w:t>
            </w:r>
          </w:p>
        </w:tc>
        <w:tc>
          <w:tcPr>
            <w:tcW w:w="523" w:type="pct"/>
            <w:shd w:val="clear" w:color="auto" w:fill="076A92"/>
            <w:tcMar>
              <w:top w:w="0" w:type="dxa"/>
              <w:left w:w="108" w:type="dxa"/>
              <w:bottom w:w="0" w:type="dxa"/>
              <w:right w:w="108" w:type="dxa"/>
            </w:tcMar>
            <w:hideMark/>
          </w:tcPr>
          <w:p w:rsidR="004A246D" w:rsidRDefault="004A246D" w:rsidP="00F5251F">
            <w:pPr>
              <w:pStyle w:val="TableHeading"/>
              <w:rPr>
                <w:color w:val="FFFFFF"/>
                <w:szCs w:val="18"/>
                <w14:numSpacing w14:val="tabular"/>
              </w:rPr>
            </w:pPr>
            <w:r>
              <w:rPr>
                <w:b/>
                <w:bCs/>
                <w:color w:val="FFFFFF"/>
                <w:szCs w:val="18"/>
                <w14:numSpacing w14:val="tabular"/>
              </w:rPr>
              <w:t>Capacity rebid (MW)</w:t>
            </w:r>
          </w:p>
        </w:tc>
        <w:tc>
          <w:tcPr>
            <w:tcW w:w="502" w:type="pct"/>
            <w:shd w:val="clear" w:color="auto" w:fill="076A92"/>
            <w:tcMar>
              <w:top w:w="0" w:type="dxa"/>
              <w:left w:w="108" w:type="dxa"/>
              <w:bottom w:w="0" w:type="dxa"/>
              <w:right w:w="108" w:type="dxa"/>
            </w:tcMar>
            <w:hideMark/>
          </w:tcPr>
          <w:p w:rsidR="004A246D" w:rsidRDefault="004A246D" w:rsidP="00F5251F">
            <w:pPr>
              <w:pStyle w:val="TableHeading"/>
              <w:rPr>
                <w:color w:val="FFFFFF"/>
                <w:szCs w:val="18"/>
                <w14:numSpacing w14:val="tabular"/>
              </w:rPr>
            </w:pPr>
            <w:r>
              <w:rPr>
                <w:b/>
                <w:bCs/>
                <w:color w:val="FFFFFF"/>
                <w:szCs w:val="18"/>
                <w14:numSpacing w14:val="tabular"/>
              </w:rPr>
              <w:t>Price from ($/MWh)</w:t>
            </w:r>
          </w:p>
        </w:tc>
        <w:tc>
          <w:tcPr>
            <w:tcW w:w="553" w:type="pct"/>
            <w:shd w:val="clear" w:color="auto" w:fill="076A92"/>
            <w:tcMar>
              <w:top w:w="0" w:type="dxa"/>
              <w:left w:w="108" w:type="dxa"/>
              <w:bottom w:w="0" w:type="dxa"/>
              <w:right w:w="108" w:type="dxa"/>
            </w:tcMar>
            <w:hideMark/>
          </w:tcPr>
          <w:p w:rsidR="004A246D" w:rsidRDefault="004A246D" w:rsidP="00F5251F">
            <w:pPr>
              <w:pStyle w:val="TableHeading"/>
              <w:rPr>
                <w:color w:val="FFFFFF"/>
                <w:szCs w:val="18"/>
                <w14:numSpacing w14:val="tabular"/>
              </w:rPr>
            </w:pPr>
            <w:r>
              <w:rPr>
                <w:b/>
                <w:bCs/>
                <w:color w:val="FFFFFF"/>
                <w:szCs w:val="18"/>
                <w14:numSpacing w14:val="tabular"/>
              </w:rPr>
              <w:t>Price to ($/MWh)</w:t>
            </w:r>
          </w:p>
        </w:tc>
        <w:tc>
          <w:tcPr>
            <w:tcW w:w="849" w:type="pct"/>
            <w:shd w:val="clear" w:color="auto" w:fill="076A92"/>
            <w:tcMar>
              <w:top w:w="0" w:type="dxa"/>
              <w:left w:w="108" w:type="dxa"/>
              <w:bottom w:w="0" w:type="dxa"/>
              <w:right w:w="108" w:type="dxa"/>
            </w:tcMar>
            <w:hideMark/>
          </w:tcPr>
          <w:p w:rsidR="004A246D" w:rsidRDefault="004A246D" w:rsidP="00F5251F">
            <w:pPr>
              <w:pStyle w:val="TableHeading"/>
              <w:rPr>
                <w:color w:val="FFFFFF"/>
                <w:szCs w:val="18"/>
                <w14:numSpacing w14:val="tabular"/>
              </w:rPr>
            </w:pPr>
            <w:r>
              <w:rPr>
                <w:b/>
                <w:bCs/>
                <w:color w:val="FFFFFF"/>
                <w:szCs w:val="18"/>
                <w14:numSpacing w14:val="tabular"/>
              </w:rPr>
              <w:t>Rebid reason</w:t>
            </w:r>
          </w:p>
        </w:tc>
        <w:tc>
          <w:tcPr>
            <w:tcW w:w="448" w:type="pct"/>
            <w:shd w:val="clear" w:color="auto" w:fill="076A92"/>
            <w:tcMar>
              <w:top w:w="0" w:type="dxa"/>
              <w:left w:w="108" w:type="dxa"/>
              <w:bottom w:w="0" w:type="dxa"/>
              <w:right w:w="108" w:type="dxa"/>
            </w:tcMar>
          </w:tcPr>
          <w:p w:rsidR="004A246D" w:rsidRPr="001528B1" w:rsidRDefault="004A246D" w:rsidP="00F5251F">
            <w:pPr>
              <w:pStyle w:val="TableHeading"/>
              <w:rPr>
                <w:b/>
                <w:color w:val="FFFFFF"/>
                <w:szCs w:val="18"/>
                <w14:numSpacing w14:val="tabular"/>
              </w:rPr>
            </w:pPr>
            <w:r w:rsidRPr="001528B1">
              <w:rPr>
                <w:b/>
                <w:color w:val="FFFFFF"/>
                <w:szCs w:val="18"/>
                <w14:numSpacing w14:val="tabular"/>
              </w:rPr>
              <w:t>Region</w:t>
            </w:r>
          </w:p>
        </w:tc>
      </w:tr>
      <w:tr w:rsidR="00586F74" w:rsidTr="009F05FF">
        <w:trPr>
          <w:cantSplit/>
          <w:trHeight w:val="606"/>
        </w:trPr>
        <w:tc>
          <w:tcPr>
            <w:tcW w:w="519" w:type="pct"/>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b/>
                <w:bCs/>
                <w:sz w:val="18"/>
                <w:szCs w:val="18"/>
                <w:lang w:eastAsia="en-AU"/>
              </w:rPr>
            </w:pPr>
            <w:r w:rsidRPr="009F05FF">
              <w:rPr>
                <w:rFonts w:cs="Arial"/>
                <w:b/>
                <w:bCs/>
                <w:sz w:val="18"/>
                <w:szCs w:val="18"/>
                <w:lang w:eastAsia="en-AU"/>
              </w:rPr>
              <w:t>5.51 am</w:t>
            </w:r>
          </w:p>
        </w:tc>
        <w:tc>
          <w:tcPr>
            <w:tcW w:w="493" w:type="pct"/>
            <w:tcMar>
              <w:top w:w="0" w:type="dxa"/>
              <w:left w:w="108" w:type="dxa"/>
              <w:bottom w:w="0" w:type="dxa"/>
              <w:right w:w="108" w:type="dxa"/>
            </w:tcMar>
            <w:vAlign w:val="center"/>
          </w:tcPr>
          <w:p w:rsidR="004A246D" w:rsidRPr="009F05FF" w:rsidRDefault="00586F74" w:rsidP="00F5251F">
            <w:pPr>
              <w:spacing w:before="100" w:beforeAutospacing="1" w:after="100" w:afterAutospacing="1" w:line="240" w:lineRule="auto"/>
              <w:jc w:val="center"/>
              <w:rPr>
                <w:rFonts w:cs="Arial"/>
                <w:sz w:val="18"/>
                <w:szCs w:val="18"/>
                <w:lang w:eastAsia="en-AU"/>
              </w:rPr>
            </w:pPr>
            <w:r>
              <w:rPr>
                <w:rFonts w:cs="Arial"/>
                <w:sz w:val="18"/>
                <w:szCs w:val="18"/>
                <w:lang w:eastAsia="en-AU"/>
              </w:rPr>
              <w:t>6.05 am</w:t>
            </w:r>
          </w:p>
        </w:tc>
        <w:tc>
          <w:tcPr>
            <w:tcW w:w="622" w:type="pct"/>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lang w:eastAsia="en-AU"/>
              </w:rPr>
            </w:pPr>
            <w:r w:rsidRPr="009F05FF">
              <w:rPr>
                <w:rFonts w:cs="Arial"/>
                <w:sz w:val="18"/>
                <w:szCs w:val="18"/>
                <w:lang w:eastAsia="en-AU"/>
              </w:rPr>
              <w:t>Stanwell</w:t>
            </w:r>
          </w:p>
        </w:tc>
        <w:tc>
          <w:tcPr>
            <w:tcW w:w="492" w:type="pct"/>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lang w:eastAsia="en-AU"/>
              </w:rPr>
            </w:pPr>
            <w:r w:rsidRPr="009F05FF">
              <w:rPr>
                <w:rFonts w:cs="Arial"/>
                <w:sz w:val="18"/>
                <w:szCs w:val="18"/>
                <w:lang w:eastAsia="en-AU"/>
              </w:rPr>
              <w:t>Stanwell</w:t>
            </w:r>
          </w:p>
        </w:tc>
        <w:tc>
          <w:tcPr>
            <w:tcW w:w="523" w:type="pct"/>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lang w:eastAsia="en-AU"/>
              </w:rPr>
            </w:pPr>
            <w:r w:rsidRPr="009F05FF">
              <w:rPr>
                <w:rFonts w:cs="Arial"/>
                <w:sz w:val="18"/>
                <w:szCs w:val="18"/>
                <w:lang w:eastAsia="en-AU"/>
              </w:rPr>
              <w:t>130</w:t>
            </w:r>
          </w:p>
        </w:tc>
        <w:tc>
          <w:tcPr>
            <w:tcW w:w="502" w:type="pct"/>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lang w:eastAsia="en-AU"/>
              </w:rPr>
            </w:pPr>
            <w:r w:rsidRPr="009F05FF">
              <w:rPr>
                <w:rFonts w:cs="Arial"/>
                <w:sz w:val="18"/>
                <w:szCs w:val="18"/>
                <w:lang w:eastAsia="en-AU"/>
              </w:rPr>
              <w:t>&lt;288</w:t>
            </w:r>
          </w:p>
        </w:tc>
        <w:tc>
          <w:tcPr>
            <w:tcW w:w="553" w:type="pct"/>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lang w:eastAsia="en-AU"/>
              </w:rPr>
            </w:pPr>
            <w:r w:rsidRPr="009F05FF">
              <w:rPr>
                <w:rFonts w:cs="Arial"/>
                <w:sz w:val="18"/>
                <w:szCs w:val="18"/>
                <w:lang w:eastAsia="en-AU"/>
              </w:rPr>
              <w:t>13</w:t>
            </w:r>
            <w:r w:rsidR="00586F74">
              <w:rPr>
                <w:rFonts w:cs="Arial"/>
                <w:sz w:val="18"/>
                <w:szCs w:val="18"/>
                <w:lang w:eastAsia="en-AU"/>
              </w:rPr>
              <w:t> </w:t>
            </w:r>
            <w:r w:rsidRPr="009F05FF">
              <w:rPr>
                <w:rFonts w:cs="Arial"/>
                <w:sz w:val="18"/>
                <w:szCs w:val="18"/>
                <w:lang w:eastAsia="en-AU"/>
              </w:rPr>
              <w:t>499</w:t>
            </w:r>
          </w:p>
        </w:tc>
        <w:tc>
          <w:tcPr>
            <w:tcW w:w="849" w:type="pct"/>
            <w:tcMar>
              <w:top w:w="0" w:type="dxa"/>
              <w:left w:w="108" w:type="dxa"/>
              <w:bottom w:w="0" w:type="dxa"/>
              <w:right w:w="108" w:type="dxa"/>
            </w:tcMar>
            <w:vAlign w:val="center"/>
          </w:tcPr>
          <w:p w:rsidR="004A246D" w:rsidRPr="009F05FF" w:rsidRDefault="0016721B" w:rsidP="00B074C5">
            <w:pPr>
              <w:spacing w:before="100" w:beforeAutospacing="1" w:after="100" w:afterAutospacing="1" w:line="240" w:lineRule="auto"/>
              <w:rPr>
                <w:rFonts w:cs="Arial"/>
                <w:sz w:val="18"/>
                <w:szCs w:val="18"/>
                <w:lang w:eastAsia="en-AU"/>
              </w:rPr>
            </w:pPr>
            <w:r w:rsidRPr="009F05FF">
              <w:rPr>
                <w:rFonts w:cs="Arial"/>
                <w:sz w:val="18"/>
                <w:szCs w:val="18"/>
                <w:lang w:eastAsia="en-AU"/>
              </w:rPr>
              <w:t>0523</w:t>
            </w:r>
            <w:r w:rsidR="00B074C5">
              <w:rPr>
                <w:rFonts w:cs="Arial"/>
                <w:sz w:val="18"/>
                <w:szCs w:val="18"/>
                <w:lang w:eastAsia="en-AU"/>
              </w:rPr>
              <w:t>P</w:t>
            </w:r>
            <w:r w:rsidRPr="009F05FF">
              <w:rPr>
                <w:rFonts w:cs="Arial"/>
                <w:sz w:val="18"/>
                <w:szCs w:val="18"/>
                <w:lang w:eastAsia="en-AU"/>
              </w:rPr>
              <w:t xml:space="preserve"> </w:t>
            </w:r>
            <w:r w:rsidR="00586F74" w:rsidRPr="00586F74">
              <w:rPr>
                <w:rFonts w:cs="Arial"/>
                <w:sz w:val="18"/>
                <w:szCs w:val="18"/>
                <w:lang w:eastAsia="en-AU"/>
              </w:rPr>
              <w:t>dust plant limitations</w:t>
            </w:r>
          </w:p>
        </w:tc>
        <w:tc>
          <w:tcPr>
            <w:tcW w:w="448" w:type="pct"/>
            <w:tcMar>
              <w:top w:w="0" w:type="dxa"/>
              <w:left w:w="108" w:type="dxa"/>
              <w:bottom w:w="0" w:type="dxa"/>
              <w:right w:w="108" w:type="dxa"/>
            </w:tcMar>
            <w:vAlign w:val="center"/>
          </w:tcPr>
          <w:p w:rsidR="004A246D" w:rsidRPr="009F05FF" w:rsidRDefault="004A246D" w:rsidP="00F5251F">
            <w:pPr>
              <w:spacing w:before="100" w:beforeAutospacing="1" w:after="100" w:afterAutospacing="1" w:line="240" w:lineRule="auto"/>
              <w:jc w:val="center"/>
              <w:rPr>
                <w:rFonts w:cs="Arial"/>
                <w:sz w:val="18"/>
                <w:szCs w:val="18"/>
              </w:rPr>
            </w:pPr>
            <w:r w:rsidRPr="009F05FF">
              <w:rPr>
                <w:rFonts w:cs="Arial"/>
                <w:sz w:val="18"/>
                <w:szCs w:val="18"/>
              </w:rPr>
              <w:t>QLD</w:t>
            </w:r>
          </w:p>
        </w:tc>
      </w:tr>
      <w:tr w:rsidR="00586F74" w:rsidTr="009F05FF">
        <w:trPr>
          <w:cantSplit/>
          <w:trHeight w:val="673"/>
        </w:trPr>
        <w:tc>
          <w:tcPr>
            <w:tcW w:w="519" w:type="pct"/>
            <w:shd w:val="clear" w:color="auto" w:fill="DBE5F1"/>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b/>
                <w:bCs/>
                <w:sz w:val="18"/>
                <w:szCs w:val="18"/>
                <w:lang w:eastAsia="en-AU"/>
              </w:rPr>
            </w:pPr>
            <w:r w:rsidRPr="009F05FF">
              <w:rPr>
                <w:rFonts w:cs="Arial"/>
                <w:b/>
                <w:bCs/>
                <w:sz w:val="18"/>
                <w:szCs w:val="18"/>
                <w:lang w:eastAsia="en-AU"/>
              </w:rPr>
              <w:t>5.52 am</w:t>
            </w:r>
          </w:p>
        </w:tc>
        <w:tc>
          <w:tcPr>
            <w:tcW w:w="493" w:type="pct"/>
            <w:shd w:val="clear" w:color="auto" w:fill="DBE5F1"/>
            <w:tcMar>
              <w:top w:w="0" w:type="dxa"/>
              <w:left w:w="108" w:type="dxa"/>
              <w:bottom w:w="0" w:type="dxa"/>
              <w:right w:w="108" w:type="dxa"/>
            </w:tcMar>
            <w:vAlign w:val="center"/>
          </w:tcPr>
          <w:p w:rsidR="004A246D" w:rsidRPr="009F05FF" w:rsidRDefault="00586F74" w:rsidP="00F5251F">
            <w:pPr>
              <w:spacing w:before="100" w:beforeAutospacing="1" w:after="100" w:afterAutospacing="1" w:line="240" w:lineRule="auto"/>
              <w:jc w:val="center"/>
              <w:rPr>
                <w:rFonts w:cs="Arial"/>
                <w:sz w:val="18"/>
                <w:szCs w:val="18"/>
                <w:lang w:eastAsia="en-AU"/>
              </w:rPr>
            </w:pPr>
            <w:r>
              <w:rPr>
                <w:rFonts w:cs="Arial"/>
                <w:sz w:val="18"/>
                <w:szCs w:val="18"/>
                <w:lang w:eastAsia="en-AU"/>
              </w:rPr>
              <w:t>6.05 am</w:t>
            </w:r>
          </w:p>
        </w:tc>
        <w:tc>
          <w:tcPr>
            <w:tcW w:w="622" w:type="pct"/>
            <w:shd w:val="clear" w:color="auto" w:fill="DBE5F1"/>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rPr>
            </w:pPr>
            <w:r w:rsidRPr="009F05FF">
              <w:rPr>
                <w:rFonts w:cs="Arial"/>
                <w:sz w:val="18"/>
                <w:szCs w:val="18"/>
              </w:rPr>
              <w:t>CS Energy</w:t>
            </w:r>
          </w:p>
        </w:tc>
        <w:tc>
          <w:tcPr>
            <w:tcW w:w="492" w:type="pct"/>
            <w:shd w:val="clear" w:color="auto" w:fill="DBE5F1"/>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lang w:eastAsia="en-AU"/>
              </w:rPr>
            </w:pPr>
            <w:r w:rsidRPr="009F05FF">
              <w:rPr>
                <w:rFonts w:cs="Arial"/>
                <w:sz w:val="18"/>
                <w:szCs w:val="18"/>
                <w:lang w:eastAsia="en-AU"/>
              </w:rPr>
              <w:t>Callide</w:t>
            </w:r>
          </w:p>
        </w:tc>
        <w:tc>
          <w:tcPr>
            <w:tcW w:w="523" w:type="pct"/>
            <w:shd w:val="clear" w:color="auto" w:fill="DBE5F1"/>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lang w:eastAsia="en-AU"/>
              </w:rPr>
            </w:pPr>
            <w:r w:rsidRPr="009F05FF">
              <w:rPr>
                <w:rFonts w:cs="Arial"/>
                <w:sz w:val="18"/>
                <w:szCs w:val="18"/>
                <w:lang w:eastAsia="en-AU"/>
              </w:rPr>
              <w:t>80</w:t>
            </w:r>
          </w:p>
        </w:tc>
        <w:tc>
          <w:tcPr>
            <w:tcW w:w="502" w:type="pct"/>
            <w:shd w:val="clear" w:color="auto" w:fill="DBE5F1"/>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lang w:eastAsia="en-AU"/>
              </w:rPr>
            </w:pPr>
            <w:r w:rsidRPr="009F05FF">
              <w:rPr>
                <w:rFonts w:cs="Arial"/>
                <w:sz w:val="18"/>
                <w:szCs w:val="18"/>
                <w:lang w:eastAsia="en-AU"/>
              </w:rPr>
              <w:t>17</w:t>
            </w:r>
          </w:p>
        </w:tc>
        <w:tc>
          <w:tcPr>
            <w:tcW w:w="553" w:type="pct"/>
            <w:shd w:val="clear" w:color="auto" w:fill="DBE5F1"/>
            <w:tcMar>
              <w:top w:w="0" w:type="dxa"/>
              <w:left w:w="108" w:type="dxa"/>
              <w:bottom w:w="0" w:type="dxa"/>
              <w:right w:w="108" w:type="dxa"/>
            </w:tcMar>
            <w:vAlign w:val="center"/>
          </w:tcPr>
          <w:p w:rsidR="004A246D" w:rsidRPr="009F05FF" w:rsidRDefault="00586F74" w:rsidP="00F5251F">
            <w:pPr>
              <w:spacing w:before="100" w:beforeAutospacing="1" w:after="100" w:afterAutospacing="1" w:line="240" w:lineRule="auto"/>
              <w:jc w:val="center"/>
              <w:rPr>
                <w:rFonts w:cs="Arial"/>
                <w:sz w:val="18"/>
                <w:szCs w:val="18"/>
                <w:lang w:eastAsia="en-AU"/>
              </w:rPr>
            </w:pPr>
            <w:r>
              <w:rPr>
                <w:rFonts w:cs="Arial"/>
                <w:sz w:val="18"/>
                <w:szCs w:val="18"/>
                <w:lang w:eastAsia="en-AU"/>
              </w:rPr>
              <w:t>13 500</w:t>
            </w:r>
          </w:p>
        </w:tc>
        <w:tc>
          <w:tcPr>
            <w:tcW w:w="849" w:type="pct"/>
            <w:shd w:val="clear" w:color="auto" w:fill="DBE5F1"/>
            <w:tcMar>
              <w:top w:w="0" w:type="dxa"/>
              <w:left w:w="108" w:type="dxa"/>
              <w:bottom w:w="0" w:type="dxa"/>
              <w:right w:w="108" w:type="dxa"/>
            </w:tcMar>
            <w:vAlign w:val="center"/>
          </w:tcPr>
          <w:p w:rsidR="004A246D" w:rsidRPr="009F05FF" w:rsidRDefault="0016721B" w:rsidP="00B074C5">
            <w:pPr>
              <w:spacing w:before="100" w:beforeAutospacing="1" w:after="100" w:afterAutospacing="1" w:line="240" w:lineRule="auto"/>
              <w:rPr>
                <w:rFonts w:cs="Arial"/>
                <w:sz w:val="18"/>
                <w:szCs w:val="18"/>
              </w:rPr>
            </w:pPr>
            <w:r w:rsidRPr="009F05FF">
              <w:rPr>
                <w:rFonts w:cs="Arial"/>
                <w:sz w:val="18"/>
                <w:szCs w:val="18"/>
              </w:rPr>
              <w:t>055</w:t>
            </w:r>
            <w:r w:rsidR="00B074C5">
              <w:rPr>
                <w:rFonts w:cs="Arial"/>
                <w:sz w:val="18"/>
                <w:szCs w:val="18"/>
              </w:rPr>
              <w:t>1A</w:t>
            </w:r>
            <w:r w:rsidRPr="009F05FF">
              <w:rPr>
                <w:rFonts w:cs="Arial"/>
                <w:sz w:val="18"/>
                <w:szCs w:val="18"/>
              </w:rPr>
              <w:t xml:space="preserve"> </w:t>
            </w:r>
            <w:proofErr w:type="spellStart"/>
            <w:r w:rsidR="00586F74" w:rsidRPr="00586F74">
              <w:rPr>
                <w:rFonts w:cs="Arial"/>
                <w:sz w:val="18"/>
                <w:szCs w:val="18"/>
              </w:rPr>
              <w:t>inc</w:t>
            </w:r>
            <w:proofErr w:type="spellEnd"/>
            <w:r w:rsidR="00586F74" w:rsidRPr="00586F74">
              <w:rPr>
                <w:rFonts w:cs="Arial"/>
                <w:sz w:val="18"/>
                <w:szCs w:val="18"/>
              </w:rPr>
              <w:t xml:space="preserve"> </w:t>
            </w:r>
            <w:proofErr w:type="spellStart"/>
            <w:r w:rsidR="00586F74" w:rsidRPr="00586F74">
              <w:rPr>
                <w:rFonts w:cs="Arial"/>
                <w:sz w:val="18"/>
                <w:szCs w:val="18"/>
              </w:rPr>
              <w:t>qld</w:t>
            </w:r>
            <w:proofErr w:type="spellEnd"/>
            <w:r w:rsidR="00586F74" w:rsidRPr="00586F74">
              <w:rPr>
                <w:rFonts w:cs="Arial"/>
                <w:sz w:val="18"/>
                <w:szCs w:val="18"/>
              </w:rPr>
              <w:t xml:space="preserve"> </w:t>
            </w:r>
            <w:proofErr w:type="spellStart"/>
            <w:r w:rsidR="00586F74" w:rsidRPr="00586F74">
              <w:rPr>
                <w:rFonts w:cs="Arial"/>
                <w:sz w:val="18"/>
                <w:szCs w:val="18"/>
              </w:rPr>
              <w:t>dem</w:t>
            </w:r>
            <w:proofErr w:type="spellEnd"/>
            <w:r w:rsidR="00586F74" w:rsidRPr="00586F74">
              <w:rPr>
                <w:rFonts w:cs="Arial"/>
                <w:sz w:val="18"/>
                <w:szCs w:val="18"/>
              </w:rPr>
              <w:t xml:space="preserve"> </w:t>
            </w:r>
            <w:r w:rsidRPr="009F05FF">
              <w:rPr>
                <w:rFonts w:cs="Arial"/>
                <w:sz w:val="18"/>
                <w:szCs w:val="18"/>
              </w:rPr>
              <w:t>5PD 5981MW&gt;30PD 5740MW @ 0630 SL</w:t>
            </w:r>
          </w:p>
        </w:tc>
        <w:tc>
          <w:tcPr>
            <w:tcW w:w="448" w:type="pct"/>
            <w:shd w:val="clear" w:color="auto" w:fill="DBE5F1"/>
            <w:tcMar>
              <w:top w:w="0" w:type="dxa"/>
              <w:left w:w="108" w:type="dxa"/>
              <w:bottom w:w="0" w:type="dxa"/>
              <w:right w:w="108" w:type="dxa"/>
            </w:tcMar>
            <w:vAlign w:val="center"/>
          </w:tcPr>
          <w:p w:rsidR="004A246D" w:rsidRPr="009F05FF" w:rsidRDefault="0016721B" w:rsidP="00F5251F">
            <w:pPr>
              <w:spacing w:before="100" w:beforeAutospacing="1" w:after="100" w:afterAutospacing="1" w:line="240" w:lineRule="auto"/>
              <w:jc w:val="center"/>
              <w:rPr>
                <w:rFonts w:cs="Arial"/>
                <w:sz w:val="18"/>
                <w:szCs w:val="18"/>
              </w:rPr>
            </w:pPr>
            <w:r w:rsidRPr="009F05FF">
              <w:rPr>
                <w:rFonts w:cs="Arial"/>
                <w:sz w:val="18"/>
                <w:szCs w:val="18"/>
              </w:rPr>
              <w:t>QLD</w:t>
            </w:r>
          </w:p>
        </w:tc>
      </w:tr>
    </w:tbl>
    <w:p w:rsidR="00F83421" w:rsidRDefault="00F83421" w:rsidP="00F83421">
      <w:pPr>
        <w:pStyle w:val="AERbodytext"/>
        <w:rPr>
          <w:bCs/>
          <w:szCs w:val="18"/>
        </w:rPr>
      </w:pPr>
    </w:p>
    <w:p w:rsidR="00F83421" w:rsidRPr="0057337F" w:rsidRDefault="00F83421" w:rsidP="00F83421">
      <w:pPr>
        <w:pStyle w:val="AERbodytext"/>
        <w:rPr>
          <w:bCs/>
          <w:szCs w:val="18"/>
        </w:rPr>
      </w:pPr>
      <w:r>
        <w:rPr>
          <w:bCs/>
          <w:szCs w:val="18"/>
        </w:rPr>
        <w:t xml:space="preserve">These two rebids saw the </w:t>
      </w:r>
      <w:r w:rsidR="00282B30">
        <w:rPr>
          <w:bCs/>
          <w:szCs w:val="18"/>
        </w:rPr>
        <w:t>6.05</w:t>
      </w:r>
      <w:r w:rsidR="00A15EAE">
        <w:rPr>
          <w:bCs/>
          <w:szCs w:val="18"/>
        </w:rPr>
        <w:t> </w:t>
      </w:r>
      <w:r w:rsidR="00282B30">
        <w:rPr>
          <w:bCs/>
          <w:szCs w:val="18"/>
        </w:rPr>
        <w:t xml:space="preserve">am </w:t>
      </w:r>
      <w:proofErr w:type="gramStart"/>
      <w:r w:rsidR="00586F74">
        <w:rPr>
          <w:bCs/>
          <w:szCs w:val="18"/>
        </w:rPr>
        <w:t>dispatch</w:t>
      </w:r>
      <w:proofErr w:type="gramEnd"/>
      <w:r w:rsidR="00586F74">
        <w:rPr>
          <w:bCs/>
          <w:szCs w:val="18"/>
        </w:rPr>
        <w:t xml:space="preserve"> </w:t>
      </w:r>
      <w:r>
        <w:rPr>
          <w:bCs/>
          <w:szCs w:val="18"/>
        </w:rPr>
        <w:t xml:space="preserve">price </w:t>
      </w:r>
      <w:r w:rsidR="00586F74">
        <w:rPr>
          <w:bCs/>
          <w:szCs w:val="18"/>
        </w:rPr>
        <w:t xml:space="preserve">increase to $284/MWh </w:t>
      </w:r>
      <w:r>
        <w:rPr>
          <w:bCs/>
          <w:szCs w:val="18"/>
        </w:rPr>
        <w:t>in Queensland</w:t>
      </w:r>
      <w:r w:rsidR="00586F74">
        <w:rPr>
          <w:bCs/>
          <w:szCs w:val="18"/>
        </w:rPr>
        <w:t xml:space="preserve"> and $300/MWh</w:t>
      </w:r>
      <w:r>
        <w:rPr>
          <w:bCs/>
          <w:szCs w:val="18"/>
        </w:rPr>
        <w:t xml:space="preserve"> in New South Wales. </w:t>
      </w:r>
      <w:r w:rsidR="00586F74">
        <w:rPr>
          <w:bCs/>
          <w:szCs w:val="18"/>
        </w:rPr>
        <w:t>R</w:t>
      </w:r>
      <w:r>
        <w:rPr>
          <w:bCs/>
          <w:szCs w:val="18"/>
        </w:rPr>
        <w:t xml:space="preserve">ising </w:t>
      </w:r>
      <w:r w:rsidR="00586F74">
        <w:rPr>
          <w:bCs/>
          <w:szCs w:val="18"/>
        </w:rPr>
        <w:t xml:space="preserve">morning </w:t>
      </w:r>
      <w:r>
        <w:rPr>
          <w:bCs/>
          <w:szCs w:val="18"/>
        </w:rPr>
        <w:t xml:space="preserve">demand across </w:t>
      </w:r>
      <w:r w:rsidR="00A15EAE">
        <w:rPr>
          <w:bCs/>
          <w:szCs w:val="18"/>
        </w:rPr>
        <w:t>New </w:t>
      </w:r>
      <w:r>
        <w:rPr>
          <w:bCs/>
          <w:szCs w:val="18"/>
        </w:rPr>
        <w:t xml:space="preserve">South Wales and Queensland kept prices close to $300/MWh </w:t>
      </w:r>
      <w:r w:rsidR="005D1E75">
        <w:rPr>
          <w:bCs/>
          <w:szCs w:val="18"/>
        </w:rPr>
        <w:t xml:space="preserve">throughout </w:t>
      </w:r>
      <w:r>
        <w:rPr>
          <w:bCs/>
          <w:szCs w:val="18"/>
        </w:rPr>
        <w:t>most</w:t>
      </w:r>
      <w:r w:rsidR="00650DCA">
        <w:rPr>
          <w:bCs/>
          <w:szCs w:val="18"/>
        </w:rPr>
        <w:t xml:space="preserve"> of</w:t>
      </w:r>
      <w:r>
        <w:rPr>
          <w:bCs/>
          <w:szCs w:val="18"/>
        </w:rPr>
        <w:t xml:space="preserve"> </w:t>
      </w:r>
      <w:r w:rsidR="00586F74">
        <w:rPr>
          <w:bCs/>
          <w:szCs w:val="18"/>
        </w:rPr>
        <w:t>the two</w:t>
      </w:r>
      <w:r>
        <w:rPr>
          <w:bCs/>
          <w:szCs w:val="18"/>
        </w:rPr>
        <w:t xml:space="preserve"> trading intervals.</w:t>
      </w:r>
    </w:p>
    <w:p w:rsidR="00904116" w:rsidRPr="00904116" w:rsidRDefault="00904116" w:rsidP="009F05FF">
      <w:pPr>
        <w:keepNext/>
        <w:spacing w:before="120" w:after="120"/>
        <w:jc w:val="both"/>
        <w:rPr>
          <w:sz w:val="24"/>
        </w:rPr>
      </w:pPr>
      <w:r w:rsidRPr="00904116">
        <w:rPr>
          <w:b/>
          <w:bCs/>
          <w:color w:val="2272A3" w:themeColor="accent4" w:themeShade="80"/>
          <w:sz w:val="28"/>
          <w:szCs w:val="18"/>
        </w:rPr>
        <w:t>Tasmania</w:t>
      </w:r>
      <w:r w:rsidR="00AB7485">
        <w:rPr>
          <w:b/>
          <w:bCs/>
          <w:color w:val="2272A3" w:themeColor="accent4" w:themeShade="80"/>
          <w:sz w:val="28"/>
          <w:szCs w:val="18"/>
        </w:rPr>
        <w:t xml:space="preserve"> – Thursday 2 April</w:t>
      </w:r>
    </w:p>
    <w:p w:rsidR="00904116" w:rsidRPr="00904116" w:rsidRDefault="00904116" w:rsidP="00904116">
      <w:pPr>
        <w:spacing w:before="100" w:beforeAutospacing="1" w:after="100" w:afterAutospacing="1" w:line="288" w:lineRule="auto"/>
        <w:rPr>
          <w:rFonts w:asciiTheme="minorHAnsi" w:eastAsia="Times New Roman" w:hAnsiTheme="minorHAnsi" w:cstheme="minorHAnsi"/>
          <w:szCs w:val="20"/>
          <w:lang w:eastAsia="en-AU"/>
        </w:rPr>
      </w:pPr>
      <w:r w:rsidRPr="00904116">
        <w:rPr>
          <w:rFonts w:asciiTheme="minorHAnsi" w:hAnsiTheme="minorHAnsi" w:cstheme="minorHAnsi"/>
          <w:szCs w:val="20"/>
        </w:rPr>
        <w:t>There was one occasion where the spot price in Tasmania was greater than three times the Tasmania weekly average price of $40/MWh and above $250/MWh.</w:t>
      </w:r>
    </w:p>
    <w:p w:rsidR="00904116" w:rsidRPr="00FF26D0" w:rsidRDefault="002035E2" w:rsidP="00904116">
      <w:pPr>
        <w:keepNext/>
        <w:spacing w:before="240" w:after="120"/>
        <w:rPr>
          <w:b/>
          <w:bCs/>
          <w:color w:val="2272A3" w:themeColor="accent4" w:themeShade="80"/>
          <w:sz w:val="24"/>
          <w:szCs w:val="18"/>
        </w:rPr>
      </w:pPr>
      <w:r>
        <w:rPr>
          <w:b/>
          <w:bCs/>
          <w:color w:val="2272A3" w:themeColor="accent4" w:themeShade="80"/>
          <w:sz w:val="24"/>
          <w:szCs w:val="18"/>
        </w:rPr>
        <w:t xml:space="preserve">Table </w:t>
      </w:r>
      <w:r w:rsidR="0057337F">
        <w:rPr>
          <w:b/>
          <w:bCs/>
          <w:color w:val="2272A3" w:themeColor="accent4" w:themeShade="80"/>
          <w:sz w:val="24"/>
          <w:szCs w:val="18"/>
        </w:rPr>
        <w:t>7</w:t>
      </w:r>
      <w:r w:rsidR="00904116">
        <w:rPr>
          <w:b/>
          <w:bCs/>
          <w:color w:val="2272A3" w:themeColor="accent4" w:themeShade="80"/>
          <w:sz w:val="24"/>
          <w:szCs w:val="18"/>
        </w:rPr>
        <w:t>:</w:t>
      </w:r>
      <w:r>
        <w:rPr>
          <w:b/>
          <w:bCs/>
          <w:color w:val="2272A3" w:themeColor="accent4" w:themeShade="80"/>
          <w:sz w:val="24"/>
          <w:szCs w:val="18"/>
        </w:rPr>
        <w:t xml:space="preserve"> Price, Demand and Availability</w:t>
      </w:r>
      <w:r w:rsidR="00904116">
        <w:rPr>
          <w:b/>
          <w:bCs/>
          <w:color w:val="2272A3" w:themeColor="accent4" w:themeShade="80"/>
          <w:sz w:val="24"/>
          <w:szCs w:val="18"/>
        </w:rPr>
        <w:t xml:space="preserve"> </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904116" w:rsidRPr="00F33F2D" w:rsidTr="004328C0">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904116" w:rsidRPr="00F33F2D" w:rsidRDefault="00904116" w:rsidP="004328C0">
            <w:pPr>
              <w:spacing w:before="60" w:after="60"/>
              <w:jc w:val="center"/>
              <w:rPr>
                <w:sz w:val="18"/>
                <w14:numSpacing w14:val="default"/>
              </w:rPr>
            </w:pPr>
            <w:r w:rsidRPr="00F33F2D">
              <w:rPr>
                <w:sz w:val="18"/>
              </w:rPr>
              <w:t>Time</w:t>
            </w:r>
          </w:p>
        </w:tc>
        <w:tc>
          <w:tcPr>
            <w:tcW w:w="1513" w:type="pct"/>
            <w:gridSpan w:val="3"/>
            <w:tcBorders>
              <w:bottom w:val="nil"/>
            </w:tcBorders>
            <w:hideMark/>
          </w:tcPr>
          <w:p w:rsidR="00904116" w:rsidRPr="00F33F2D" w:rsidRDefault="00904116" w:rsidP="004328C0">
            <w:pPr>
              <w:spacing w:before="60" w:after="60"/>
              <w:jc w:val="center"/>
              <w:rPr>
                <w:sz w:val="18"/>
                <w14:numSpacing w14:val="default"/>
              </w:rPr>
            </w:pPr>
            <w:r w:rsidRPr="00F33F2D">
              <w:rPr>
                <w:sz w:val="18"/>
              </w:rPr>
              <w:t>Price ($/MWh)</w:t>
            </w:r>
          </w:p>
        </w:tc>
        <w:tc>
          <w:tcPr>
            <w:tcW w:w="1474" w:type="pct"/>
            <w:gridSpan w:val="3"/>
            <w:tcBorders>
              <w:bottom w:val="nil"/>
            </w:tcBorders>
            <w:hideMark/>
          </w:tcPr>
          <w:p w:rsidR="00904116" w:rsidRPr="00F33F2D" w:rsidRDefault="00904116" w:rsidP="004328C0">
            <w:pPr>
              <w:spacing w:before="60" w:after="60"/>
              <w:jc w:val="center"/>
              <w:rPr>
                <w:sz w:val="18"/>
                <w14:numSpacing w14:val="default"/>
              </w:rPr>
            </w:pPr>
            <w:r w:rsidRPr="00F33F2D">
              <w:rPr>
                <w:sz w:val="18"/>
              </w:rPr>
              <w:t>Demand (MW)</w:t>
            </w:r>
          </w:p>
        </w:tc>
        <w:tc>
          <w:tcPr>
            <w:tcW w:w="1473" w:type="pct"/>
            <w:gridSpan w:val="3"/>
            <w:tcBorders>
              <w:bottom w:val="nil"/>
            </w:tcBorders>
            <w:hideMark/>
          </w:tcPr>
          <w:p w:rsidR="00904116" w:rsidRPr="00F33F2D" w:rsidRDefault="00904116" w:rsidP="004328C0">
            <w:pPr>
              <w:spacing w:before="60" w:after="60"/>
              <w:jc w:val="center"/>
              <w:rPr>
                <w:sz w:val="18"/>
                <w14:numSpacing w14:val="default"/>
              </w:rPr>
            </w:pPr>
            <w:r w:rsidRPr="00F33F2D">
              <w:rPr>
                <w:sz w:val="18"/>
              </w:rPr>
              <w:t>Availability (MW)</w:t>
            </w:r>
          </w:p>
        </w:tc>
      </w:tr>
      <w:tr w:rsidR="00904116" w:rsidRPr="00F33F2D" w:rsidTr="004328C0">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 </w:t>
            </w:r>
          </w:p>
        </w:tc>
        <w:tc>
          <w:tcPr>
            <w:tcW w:w="518"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4 hr forecast</w:t>
            </w:r>
          </w:p>
        </w:tc>
        <w:tc>
          <w:tcPr>
            <w:tcW w:w="498"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4 hr forecast</w:t>
            </w:r>
          </w:p>
        </w:tc>
        <w:tc>
          <w:tcPr>
            <w:tcW w:w="497"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4 hr forecast</w:t>
            </w:r>
          </w:p>
        </w:tc>
        <w:tc>
          <w:tcPr>
            <w:tcW w:w="496" w:type="pct"/>
            <w:tcBorders>
              <w:bottom w:val="nil"/>
            </w:tcBorders>
            <w:shd w:val="clear" w:color="auto" w:fill="007192" w:themeFill="accent3" w:themeFillShade="BF"/>
            <w:hideMark/>
          </w:tcPr>
          <w:p w:rsidR="00904116" w:rsidRPr="00F33F2D" w:rsidRDefault="00904116" w:rsidP="004328C0">
            <w:pPr>
              <w:spacing w:before="0"/>
              <w:jc w:val="center"/>
              <w:rPr>
                <w:sz w:val="18"/>
              </w:rPr>
            </w:pPr>
            <w:r w:rsidRPr="00F33F2D">
              <w:rPr>
                <w:sz w:val="18"/>
              </w:rPr>
              <w:t>12 hr forecast</w:t>
            </w:r>
          </w:p>
        </w:tc>
      </w:tr>
      <w:tr w:rsidR="00904116" w:rsidRPr="00970968" w:rsidTr="004328C0">
        <w:trPr>
          <w:trHeight w:val="510"/>
        </w:trPr>
        <w:tc>
          <w:tcPr>
            <w:tcW w:w="539"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b/>
                <w:bCs/>
                <w:sz w:val="18"/>
                <w:szCs w:val="16"/>
              </w:rPr>
              <w:t>6:30 AM</w:t>
            </w:r>
          </w:p>
        </w:tc>
        <w:tc>
          <w:tcPr>
            <w:tcW w:w="518"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1958.65</w:t>
            </w:r>
          </w:p>
        </w:tc>
        <w:tc>
          <w:tcPr>
            <w:tcW w:w="497"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28.03</w:t>
            </w:r>
          </w:p>
        </w:tc>
        <w:tc>
          <w:tcPr>
            <w:tcW w:w="498"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27.95</w:t>
            </w:r>
          </w:p>
        </w:tc>
        <w:tc>
          <w:tcPr>
            <w:tcW w:w="480"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1153</w:t>
            </w:r>
          </w:p>
        </w:tc>
        <w:tc>
          <w:tcPr>
            <w:tcW w:w="497"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1106</w:t>
            </w:r>
          </w:p>
        </w:tc>
        <w:tc>
          <w:tcPr>
            <w:tcW w:w="497"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1118</w:t>
            </w:r>
          </w:p>
        </w:tc>
        <w:tc>
          <w:tcPr>
            <w:tcW w:w="480"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2171</w:t>
            </w:r>
          </w:p>
        </w:tc>
        <w:tc>
          <w:tcPr>
            <w:tcW w:w="497"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2097</w:t>
            </w:r>
          </w:p>
        </w:tc>
        <w:tc>
          <w:tcPr>
            <w:tcW w:w="496" w:type="pct"/>
            <w:tcBorders>
              <w:top w:val="nil"/>
            </w:tcBorders>
            <w:vAlign w:val="center"/>
          </w:tcPr>
          <w:p w:rsidR="00904116" w:rsidRPr="00904116" w:rsidRDefault="00904116">
            <w:pPr>
              <w:pStyle w:val="NormalWeb"/>
              <w:jc w:val="center"/>
              <w:rPr>
                <w:rFonts w:asciiTheme="minorHAnsi" w:hAnsiTheme="minorHAnsi" w:cstheme="minorHAnsi"/>
                <w:sz w:val="18"/>
              </w:rPr>
            </w:pPr>
            <w:r w:rsidRPr="00904116">
              <w:rPr>
                <w:rFonts w:asciiTheme="minorHAnsi" w:hAnsiTheme="minorHAnsi" w:cstheme="minorHAnsi"/>
                <w:sz w:val="18"/>
                <w:szCs w:val="16"/>
              </w:rPr>
              <w:t>2077</w:t>
            </w:r>
          </w:p>
        </w:tc>
      </w:tr>
    </w:tbl>
    <w:p w:rsidR="004838EC" w:rsidRDefault="004838EC" w:rsidP="009F05FF">
      <w:pPr>
        <w:pStyle w:val="AERbodytext"/>
        <w:spacing w:after="120"/>
      </w:pPr>
    </w:p>
    <w:p w:rsidR="00854CD5" w:rsidRDefault="00650DCA" w:rsidP="009F05FF">
      <w:pPr>
        <w:pStyle w:val="AERbodytext"/>
      </w:pPr>
      <w:r>
        <w:t xml:space="preserve">Demand </w:t>
      </w:r>
      <w:r w:rsidR="007F4198">
        <w:t xml:space="preserve">and </w:t>
      </w:r>
      <w:r w:rsidR="00854CD5">
        <w:t xml:space="preserve">available generation </w:t>
      </w:r>
      <w:r w:rsidR="007F4198">
        <w:t>were close to</w:t>
      </w:r>
      <w:r w:rsidR="00CE58F4">
        <w:t xml:space="preserve"> forecast four hours </w:t>
      </w:r>
      <w:r w:rsidR="007F4198">
        <w:t>ahead</w:t>
      </w:r>
      <w:r w:rsidR="00CE58F4">
        <w:t>.</w:t>
      </w:r>
    </w:p>
    <w:p w:rsidR="007F4198" w:rsidRDefault="007F4198" w:rsidP="009F05FF">
      <w:pPr>
        <w:pStyle w:val="AERbodytext"/>
        <w:spacing w:after="120"/>
      </w:pPr>
      <w:r>
        <w:t>There was no capacity priced between zero and $1</w:t>
      </w:r>
      <w:r w:rsidR="00A05309">
        <w:t>1</w:t>
      </w:r>
      <w:r>
        <w:t> </w:t>
      </w:r>
      <w:r w:rsidR="00A05309">
        <w:t>6</w:t>
      </w:r>
      <w:r>
        <w:t>00/MWh (which was offered a day ahead) meaning that small changes in demand, availability or network conditions could lead to high prices.</w:t>
      </w:r>
    </w:p>
    <w:p w:rsidR="00414F0B" w:rsidRDefault="00414F0B" w:rsidP="009F05FF">
      <w:pPr>
        <w:pStyle w:val="AERbodytext"/>
      </w:pPr>
      <w:r>
        <w:t>At 6.</w:t>
      </w:r>
      <w:r w:rsidR="00A05309">
        <w:t>25 </w:t>
      </w:r>
      <w:r>
        <w:t xml:space="preserve">am </w:t>
      </w:r>
      <w:r w:rsidR="00AB417F">
        <w:t xml:space="preserve">wind </w:t>
      </w:r>
      <w:r>
        <w:t xml:space="preserve">generation </w:t>
      </w:r>
      <w:r w:rsidR="00AB417F">
        <w:t>fell</w:t>
      </w:r>
      <w:r>
        <w:t xml:space="preserve"> by </w:t>
      </w:r>
      <w:r w:rsidR="00A05309">
        <w:t>29 </w:t>
      </w:r>
      <w:r>
        <w:t xml:space="preserve">MW and demand increased by </w:t>
      </w:r>
      <w:r w:rsidR="00A05309">
        <w:t>22 </w:t>
      </w:r>
      <w:r>
        <w:t xml:space="preserve">MW. </w:t>
      </w:r>
      <w:r w:rsidR="005F446B">
        <w:t xml:space="preserve">At the </w:t>
      </w:r>
      <w:r w:rsidR="00F5251F">
        <w:t xml:space="preserve">same time, a constraint </w:t>
      </w:r>
      <w:r w:rsidR="004838EC">
        <w:t xml:space="preserve">used to avoid the overload of a Farrell to Sheffield </w:t>
      </w:r>
      <w:r w:rsidR="00A15EAE">
        <w:t>220 </w:t>
      </w:r>
      <w:r w:rsidR="004838EC">
        <w:t>kV line</w:t>
      </w:r>
      <w:r w:rsidR="00F5251F">
        <w:t xml:space="preserve"> on the </w:t>
      </w:r>
      <w:r w:rsidR="004838EC">
        <w:t xml:space="preserve">loss of the other </w:t>
      </w:r>
      <w:r w:rsidR="00F5251F">
        <w:t xml:space="preserve">Farrell to Sheffield </w:t>
      </w:r>
      <w:r w:rsidR="00591FE6">
        <w:t>220 </w:t>
      </w:r>
      <w:r w:rsidR="00F5251F">
        <w:t>kV line</w:t>
      </w:r>
      <w:r w:rsidR="00650DCA">
        <w:t xml:space="preserve"> </w:t>
      </w:r>
      <w:r w:rsidR="003D1343">
        <w:t>bound</w:t>
      </w:r>
      <w:r w:rsidR="00F5251F">
        <w:t xml:space="preserve">. </w:t>
      </w:r>
      <w:r w:rsidR="004838EC">
        <w:t>This system normal constraint limited the low-priced generation at Reece and Mackintosh.</w:t>
      </w:r>
    </w:p>
    <w:p w:rsidR="00414F0B" w:rsidRDefault="00414F0B" w:rsidP="009F05FF">
      <w:pPr>
        <w:pStyle w:val="AERbodytext"/>
      </w:pPr>
      <w:r>
        <w:t>With low priced capacity either ramp rate limited</w:t>
      </w:r>
      <w:r w:rsidR="00F5251F">
        <w:t>, trapped, stranded</w:t>
      </w:r>
      <w:r>
        <w:t xml:space="preserve"> or fully dispatched, the dispatch price increased from $16/MWh at 6.</w:t>
      </w:r>
      <w:r w:rsidR="00DF30BE">
        <w:t>20 </w:t>
      </w:r>
      <w:r>
        <w:t>am to $11</w:t>
      </w:r>
      <w:r w:rsidR="00DF30BE">
        <w:t> </w:t>
      </w:r>
      <w:r>
        <w:t>678/MWh at 6.</w:t>
      </w:r>
      <w:r w:rsidR="00DF30BE">
        <w:t>25 </w:t>
      </w:r>
      <w:r>
        <w:t xml:space="preserve">am. Prices </w:t>
      </w:r>
      <w:r w:rsidR="00AB417F">
        <w:t>fell</w:t>
      </w:r>
      <w:r>
        <w:t xml:space="preserve"> to </w:t>
      </w:r>
      <w:r w:rsidR="00DF30BE">
        <w:t>$</w:t>
      </w:r>
      <w:r>
        <w:t>24/MWh at 6.</w:t>
      </w:r>
      <w:r w:rsidR="00A15EAE">
        <w:t>30 </w:t>
      </w:r>
      <w:r>
        <w:t xml:space="preserve">am </w:t>
      </w:r>
      <w:r w:rsidR="00AB417F">
        <w:t>coinciding with a fall in demand of</w:t>
      </w:r>
      <w:r>
        <w:t xml:space="preserve"> 79</w:t>
      </w:r>
      <w:r w:rsidR="004838EC">
        <w:t> </w:t>
      </w:r>
      <w:r>
        <w:t>MW.</w:t>
      </w:r>
    </w:p>
    <w:p w:rsidR="00904116" w:rsidRDefault="00414F0B" w:rsidP="009F05FF">
      <w:pPr>
        <w:pStyle w:val="AERbodytext"/>
      </w:pPr>
      <w:r>
        <w:t>There were no significant rebids.</w:t>
      </w:r>
    </w:p>
    <w:p w:rsidR="00275002" w:rsidRPr="00F33F2D" w:rsidRDefault="00275002" w:rsidP="005F6ADE">
      <w:pPr>
        <w:pStyle w:val="Heading2"/>
      </w:pPr>
      <w:r w:rsidRPr="00F33F2D">
        <w:t>Financial markets</w:t>
      </w:r>
    </w:p>
    <w:p w:rsidR="00275002" w:rsidRPr="0031019A" w:rsidRDefault="00275002" w:rsidP="009A3D22">
      <w:pPr>
        <w:jc w:val="both"/>
      </w:pPr>
      <w:r w:rsidRPr="00F33F2D">
        <w:fldChar w:fldCharType="begin"/>
      </w:r>
      <w:r w:rsidRPr="00F33F2D">
        <w:instrText xml:space="preserve"> REF _Ref410386540 \h </w:instrText>
      </w:r>
      <w:r w:rsidR="009A3D22" w:rsidRPr="00F33F2D">
        <w:instrText xml:space="preserve"> \* MERGEFORMAT </w:instrText>
      </w:r>
      <w:r w:rsidRPr="00F33F2D">
        <w:fldChar w:fldCharType="separate"/>
      </w:r>
      <w:r w:rsidR="004264B7" w:rsidRPr="000E6DFB">
        <w:t xml:space="preserve">Figure </w:t>
      </w:r>
      <w:r w:rsidR="004264B7">
        <w:rPr>
          <w:noProof/>
        </w:rPr>
        <w:t>9</w:t>
      </w:r>
      <w:r w:rsidRPr="00F33F2D">
        <w:fldChar w:fldCharType="end"/>
      </w:r>
      <w:r w:rsidRPr="00F33F2D">
        <w:t xml:space="preserve"> shows for all mainland regions the prices for base contracts (and total traded quantities for the week) for each quarter for the next four financial years.</w:t>
      </w:r>
      <w:r w:rsidRPr="0031019A">
        <w:t xml:space="preserve"> </w:t>
      </w:r>
    </w:p>
    <w:p w:rsidR="004E13F5" w:rsidRPr="000E6DFB" w:rsidRDefault="00275002" w:rsidP="004E13F5">
      <w:pPr>
        <w:pStyle w:val="Caption"/>
      </w:pPr>
      <w:bookmarkStart w:id="19" w:name="_Ref410386540"/>
      <w:r w:rsidRPr="000E6DFB">
        <w:t xml:space="preserve">Figure </w:t>
      </w:r>
      <w:fldSimple w:instr=" SEQ Figure \* ARABIC ">
        <w:r w:rsidR="004264B7">
          <w:rPr>
            <w:noProof/>
          </w:rPr>
          <w:t>9</w:t>
        </w:r>
      </w:fldSimple>
      <w:bookmarkEnd w:id="19"/>
      <w:r w:rsidRPr="000E6DFB">
        <w:t>: Quarterly base future prices Q1 2015 – Q4 2018</w:t>
      </w:r>
    </w:p>
    <w:p w:rsidR="004E13F5" w:rsidRPr="004E13F5" w:rsidRDefault="007C205C" w:rsidP="004E13F5">
      <w:r w:rsidRPr="007C205C">
        <w:rPr>
          <w:noProof/>
          <w:lang w:eastAsia="en-AU"/>
        </w:rPr>
        <w:drawing>
          <wp:inline distT="0" distB="0" distL="0" distR="0" wp14:anchorId="5B31E2BA" wp14:editId="23D3CE2B">
            <wp:extent cx="5731510" cy="2883915"/>
            <wp:effectExtent l="0" t="0" r="2540" b="0"/>
            <wp:docPr id="1" name="Picture 1" descr="Figure 9 shows for all mainland regions the prices for base contracts (and total traded quantities for the week) for each quarter for the next four financial years.     &#10;" title="Figure 9: Quarterly base future prices Q1 2015 ­­- Q4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915"/>
                    </a:xfrm>
                    <a:prstGeom prst="rect">
                      <a:avLst/>
                    </a:prstGeom>
                    <a:noFill/>
                    <a:ln>
                      <a:noFill/>
                    </a:ln>
                  </pic:spPr>
                </pic:pic>
              </a:graphicData>
            </a:graphic>
          </wp:inline>
        </w:drawing>
      </w:r>
    </w:p>
    <w:p w:rsidR="00275002" w:rsidRPr="002A7439" w:rsidRDefault="00275002" w:rsidP="00275002">
      <w:pPr>
        <w:rPr>
          <w:rStyle w:val="SourceChar"/>
        </w:rPr>
      </w:pPr>
      <w:r w:rsidRPr="002A7439">
        <w:rPr>
          <w:rStyle w:val="SourceChar"/>
        </w:rPr>
        <w:t xml:space="preserve">Source: </w:t>
      </w:r>
      <w:hyperlink r:id="rId20" w:history="1">
        <w:r w:rsidRPr="002A7439">
          <w:rPr>
            <w:rStyle w:val="SourceChar"/>
          </w:rPr>
          <w:t>ASXEnergy.com.au</w:t>
        </w:r>
      </w:hyperlink>
    </w:p>
    <w:p w:rsidR="00B074C5" w:rsidRDefault="00275002" w:rsidP="009A3D22">
      <w:pPr>
        <w:jc w:val="both"/>
      </w:pPr>
      <w:r>
        <w:fldChar w:fldCharType="begin"/>
      </w:r>
      <w:r>
        <w:instrText xml:space="preserve"> REF _Ref410380382 \h </w:instrText>
      </w:r>
      <w:r w:rsidR="009A3D22">
        <w:instrText xml:space="preserve"> \* MERGEFORMAT </w:instrText>
      </w:r>
      <w:r>
        <w:fldChar w:fldCharType="separate"/>
      </w:r>
      <w:r w:rsidR="004264B7" w:rsidRPr="000E6DFB">
        <w:t xml:space="preserve">Figure </w:t>
      </w:r>
      <w:r w:rsidR="004264B7">
        <w:rPr>
          <w:noProof/>
        </w:rPr>
        <w:t>10</w:t>
      </w:r>
      <w:r>
        <w:fldChar w:fldCharType="end"/>
      </w:r>
      <w:r>
        <w:t xml:space="preserve"> </w:t>
      </w:r>
      <w:r w:rsidRPr="0031019A">
        <w:t xml:space="preserve">shows how the price for each regional Quarter 1 2015 base contract has changed over the last 10 weeks (as well as the total number of trades each week). The closing </w:t>
      </w:r>
      <w:r w:rsidR="00B074C5" w:rsidRPr="0031019A">
        <w:t xml:space="preserve">Quarter </w:t>
      </w:r>
      <w:r w:rsidRPr="0031019A">
        <w:t xml:space="preserve">1 2013 and </w:t>
      </w:r>
      <w:r w:rsidR="00B074C5" w:rsidRPr="0031019A">
        <w:t xml:space="preserve">Quarter </w:t>
      </w:r>
      <w:r w:rsidRPr="0031019A">
        <w:t xml:space="preserve">1 2014 prices are also shown. The AER notes that data for South Australia is less reliable due to very low numbers of trades. </w:t>
      </w:r>
    </w:p>
    <w:p w:rsidR="00275002" w:rsidRPr="0031019A" w:rsidRDefault="009275ED" w:rsidP="009A3D22">
      <w:pPr>
        <w:jc w:val="both"/>
      </w:pPr>
      <w:r>
        <w:t xml:space="preserve">There were only two trading days in the current week that correspond to Quarter 1 and no trades occurred on those days. Consequently, actual </w:t>
      </w:r>
      <w:r w:rsidRPr="00B074C5">
        <w:t xml:space="preserve">base </w:t>
      </w:r>
      <w:r w:rsidR="00B074C5" w:rsidRPr="00B074C5">
        <w:t xml:space="preserve">contract prices are shown for each the previous </w:t>
      </w:r>
      <w:r>
        <w:t>nine</w:t>
      </w:r>
      <w:r w:rsidR="00B074C5" w:rsidRPr="00B074C5">
        <w:t xml:space="preserve"> weeks</w:t>
      </w:r>
      <w:r>
        <w:t xml:space="preserve"> and those for the current week have been assumed to be the same as those of the preceding week.</w:t>
      </w:r>
      <w:r w:rsidR="00B074C5" w:rsidRPr="00B074C5">
        <w:t xml:space="preserve"> </w:t>
      </w:r>
      <w:r>
        <w:t>A</w:t>
      </w:r>
      <w:r w:rsidR="00B074C5" w:rsidRPr="00B074C5">
        <w:t>verage prices for yearly periods 1 and 2 years prior to the current year</w:t>
      </w:r>
      <w:r>
        <w:t xml:space="preserve"> are also shown</w:t>
      </w:r>
      <w:r w:rsidR="00B074C5" w:rsidRPr="00B074C5">
        <w:t>.</w:t>
      </w:r>
    </w:p>
    <w:p w:rsidR="00275002" w:rsidRDefault="00275002" w:rsidP="000E2946">
      <w:pPr>
        <w:pStyle w:val="Caption"/>
      </w:pPr>
      <w:bookmarkStart w:id="20" w:name="_Ref410380382"/>
      <w:r w:rsidRPr="000E6DFB">
        <w:t xml:space="preserve">Figure </w:t>
      </w:r>
      <w:fldSimple w:instr=" SEQ Figure \* ARABIC ">
        <w:r w:rsidR="004264B7">
          <w:rPr>
            <w:noProof/>
          </w:rPr>
          <w:t>10</w:t>
        </w:r>
      </w:fldSimple>
      <w:bookmarkEnd w:id="20"/>
      <w:r w:rsidRPr="000E6DFB">
        <w:t>: Price of Q1 2015 base contracts over the past 10 weeks (and the past 2 years)</w:t>
      </w:r>
    </w:p>
    <w:p w:rsidR="00275002" w:rsidRPr="0031019A" w:rsidRDefault="003D2899" w:rsidP="00275002">
      <w:r w:rsidRPr="003D2899">
        <w:rPr>
          <w:noProof/>
          <w:lang w:eastAsia="en-AU"/>
        </w:rPr>
        <w:drawing>
          <wp:inline distT="0" distB="0" distL="0" distR="0" wp14:anchorId="7A0D01B7" wp14:editId="6007B334">
            <wp:extent cx="5731510" cy="2897628"/>
            <wp:effectExtent l="0" t="0" r="2540" b="0"/>
            <wp:docPr id="2" name="Picture 2"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title="Figure 10 : Price of Q1 2015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7628"/>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2"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3" w:history="1">
        <w:r w:rsidR="001805BB">
          <w:rPr>
            <w:rStyle w:val="Hyperlink"/>
          </w:rPr>
          <w:t>Industry Statistics</w:t>
        </w:r>
      </w:hyperlink>
      <w:r w:rsidR="00D615F9">
        <w:t xml:space="preserve"> s</w:t>
      </w:r>
      <w:r w:rsidRPr="0031019A">
        <w:t>ection of our website.</w:t>
      </w:r>
    </w:p>
    <w:p w:rsidR="00275002" w:rsidRPr="0031019A" w:rsidRDefault="004838EC" w:rsidP="009A3D22">
      <w:pPr>
        <w:jc w:val="both"/>
      </w:pPr>
      <w:r>
        <w:fldChar w:fldCharType="begin"/>
      </w:r>
      <w:r>
        <w:instrText xml:space="preserve"> REF _Ref417459449 \h </w:instrText>
      </w:r>
      <w:r>
        <w:fldChar w:fldCharType="separate"/>
      </w:r>
      <w:r w:rsidR="004264B7" w:rsidRPr="000E6DFB">
        <w:t xml:space="preserve">Figure </w:t>
      </w:r>
      <w:r w:rsidR="004264B7">
        <w:rPr>
          <w:noProof/>
        </w:rPr>
        <w:t>11</w:t>
      </w:r>
      <w:r>
        <w:fldChar w:fldCharType="end"/>
      </w:r>
      <w:r>
        <w:t xml:space="preserve">: </w:t>
      </w:r>
      <w:r w:rsidR="00275002" w:rsidRPr="0031019A">
        <w:t xml:space="preserve">shows how the price for each regional Quarter 1 2015 cap contract has changed over the last 10 weeks (as well as the total number of trades each week). </w:t>
      </w:r>
      <w:r w:rsidR="00B074C5" w:rsidRPr="00B074C5">
        <w:t xml:space="preserve">No trades </w:t>
      </w:r>
      <w:r w:rsidR="00B074C5">
        <w:t xml:space="preserve">were </w:t>
      </w:r>
      <w:r w:rsidR="00B074C5" w:rsidRPr="00B074C5">
        <w:t xml:space="preserve">recorded </w:t>
      </w:r>
      <w:r w:rsidR="00650DCA">
        <w:t>on the two</w:t>
      </w:r>
      <w:r w:rsidR="009275ED">
        <w:t xml:space="preserve"> days in the current week that relate to the </w:t>
      </w:r>
      <w:r w:rsidR="00B074C5" w:rsidRPr="00B074C5">
        <w:t>first quarter</w:t>
      </w:r>
      <w:r w:rsidR="009275ED">
        <w:t xml:space="preserve">.  Rather than showing zero prices we have </w:t>
      </w:r>
      <w:r w:rsidR="00B074C5" w:rsidRPr="00B074C5">
        <w:t xml:space="preserve">assumed </w:t>
      </w:r>
      <w:r w:rsidR="009275ED">
        <w:t xml:space="preserve">that the prices were </w:t>
      </w:r>
      <w:r w:rsidR="00B074C5" w:rsidRPr="00B074C5">
        <w:t xml:space="preserve">the same as </w:t>
      </w:r>
      <w:r w:rsidR="009275ED">
        <w:t xml:space="preserve">for </w:t>
      </w:r>
      <w:r w:rsidR="00B074C5" w:rsidRPr="00B074C5">
        <w:t xml:space="preserve">the previous week. </w:t>
      </w:r>
      <w:r w:rsidR="00275002" w:rsidRPr="0031019A">
        <w:t xml:space="preserve">The closing </w:t>
      </w:r>
      <w:r w:rsidR="009275ED" w:rsidRPr="0031019A">
        <w:t xml:space="preserve">Quarter </w:t>
      </w:r>
      <w:r w:rsidR="00275002" w:rsidRPr="0031019A">
        <w:t xml:space="preserve">1 2013 and </w:t>
      </w:r>
      <w:r w:rsidR="009275ED" w:rsidRPr="0031019A">
        <w:t xml:space="preserve">Quarter </w:t>
      </w:r>
      <w:r w:rsidR="00275002" w:rsidRPr="0031019A">
        <w:t xml:space="preserve">1 2014 prices are also shown. </w:t>
      </w:r>
    </w:p>
    <w:p w:rsidR="00275002" w:rsidRDefault="00275002" w:rsidP="000E2946">
      <w:pPr>
        <w:pStyle w:val="Caption"/>
      </w:pPr>
      <w:bookmarkStart w:id="21" w:name="_Ref417459449"/>
      <w:bookmarkStart w:id="22" w:name="_Ref410744936"/>
      <w:r w:rsidRPr="000E6DFB">
        <w:t xml:space="preserve">Figure </w:t>
      </w:r>
      <w:fldSimple w:instr=" SEQ Figure \* ARABIC ">
        <w:r w:rsidR="004264B7">
          <w:rPr>
            <w:noProof/>
          </w:rPr>
          <w:t>11</w:t>
        </w:r>
      </w:fldSimple>
      <w:bookmarkEnd w:id="21"/>
      <w:r w:rsidRPr="000E6DFB">
        <w:t xml:space="preserve"> : Price of Q1 2015 cap contracts over the past 10 weeks (and the past 2 years)</w:t>
      </w:r>
      <w:bookmarkEnd w:id="22"/>
    </w:p>
    <w:p w:rsidR="00B925F8" w:rsidRPr="00B925F8" w:rsidRDefault="00B925F8" w:rsidP="00B925F8">
      <w:r w:rsidRPr="00B925F8">
        <w:rPr>
          <w:noProof/>
          <w:lang w:eastAsia="en-AU"/>
        </w:rPr>
        <w:drawing>
          <wp:inline distT="0" distB="0" distL="0" distR="0" wp14:anchorId="4B277675" wp14:editId="43F84297">
            <wp:extent cx="5731510" cy="2871713"/>
            <wp:effectExtent l="0" t="0" r="2540" b="5080"/>
            <wp:docPr id="4" name="Picture 4" descr="Figure 11 shows how the price for each regional Quarter 1 2015 cap contract has changed over the last 10 weeks (as well as the total number of trades each week). The closing quarter 1 2013 and quarter 1 2014 prices are also shown.        &#10;" title="Figure 11 : Price of Q1 2015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1713"/>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5"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B03723" w:rsidP="00275002">
      <w:pPr>
        <w:pStyle w:val="Heading4notnumbered"/>
      </w:pPr>
      <w:r>
        <w:t>April</w:t>
      </w:r>
      <w:r w:rsidR="00275002" w:rsidRPr="0031019A">
        <w:t xml:space="preserve"> 2015</w:t>
      </w:r>
    </w:p>
    <w:p w:rsidR="004E7D10" w:rsidRPr="0031019A" w:rsidRDefault="004E7D10">
      <w:pPr>
        <w:pStyle w:val="Heading4notnumbered"/>
      </w:pPr>
    </w:p>
    <w:sectPr w:rsidR="004E7D10" w:rsidRPr="0031019A" w:rsidSect="00FF029A">
      <w:headerReference w:type="even" r:id="rId26"/>
      <w:headerReference w:type="default" r:id="rId27"/>
      <w:footerReference w:type="even" r:id="rId28"/>
      <w:footerReference w:type="default" r:id="rId29"/>
      <w:headerReference w:type="first" r:id="rId30"/>
      <w:footerReference w:type="first" r:id="rId31"/>
      <w:pgSz w:w="11906" w:h="16838"/>
      <w:pgMar w:top="993" w:right="1440" w:bottom="1135"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C4" w:rsidRDefault="004947C4" w:rsidP="004B4412">
      <w:pPr>
        <w:spacing w:before="0"/>
      </w:pPr>
      <w:r>
        <w:separator/>
      </w:r>
    </w:p>
  </w:endnote>
  <w:endnote w:type="continuationSeparator" w:id="0">
    <w:p w:rsidR="004947C4" w:rsidRDefault="004947C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7C4" w:rsidRPr="00A91A9E" w:rsidRDefault="004947C4"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947C4" w:rsidRDefault="004947C4"/>
  <w:p w:rsidR="004947C4" w:rsidRDefault="004947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7C4" w:rsidRDefault="004947C4"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264B7">
      <w:rPr>
        <w:rFonts w:cs="Arial"/>
        <w:i/>
        <w:noProof/>
      </w:rPr>
      <w:t>11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333761" w:rsidRPr="00333761">
      <w:rPr>
        <w:rFonts w:cs="Arial"/>
        <w:i/>
      </w:rPr>
      <w:t>52898</w:t>
    </w:r>
  </w:p>
  <w:p w:rsidR="004947C4" w:rsidRPr="00A94D89" w:rsidRDefault="004947C4"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7C4" w:rsidRPr="00A94D89" w:rsidRDefault="004947C4"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264B7">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333761" w:rsidRPr="00333761">
      <w:rPr>
        <w:rFonts w:cs="Arial"/>
        <w:i/>
      </w:rPr>
      <w:t>52898</w:t>
    </w:r>
  </w:p>
  <w:p w:rsidR="004947C4" w:rsidRDefault="00494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C4" w:rsidRDefault="004947C4" w:rsidP="004B4412">
      <w:pPr>
        <w:spacing w:before="0"/>
      </w:pPr>
      <w:r>
        <w:separator/>
      </w:r>
    </w:p>
  </w:footnote>
  <w:footnote w:type="continuationSeparator" w:id="0">
    <w:p w:rsidR="004947C4" w:rsidRDefault="004947C4"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61" w:rsidRDefault="00333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61" w:rsidRDefault="00333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61" w:rsidRDefault="00333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20150329 - 20150404 Electricity weekly report - updated copy.DOCX"/>
  </w:docVars>
  <w:rsids>
    <w:rsidRoot w:val="00275002"/>
    <w:rsid w:val="00003286"/>
    <w:rsid w:val="00021202"/>
    <w:rsid w:val="00022F09"/>
    <w:rsid w:val="000316E7"/>
    <w:rsid w:val="0003578C"/>
    <w:rsid w:val="00051160"/>
    <w:rsid w:val="00051880"/>
    <w:rsid w:val="00052835"/>
    <w:rsid w:val="00061CE2"/>
    <w:rsid w:val="00063247"/>
    <w:rsid w:val="00070F9F"/>
    <w:rsid w:val="0007137B"/>
    <w:rsid w:val="00082A44"/>
    <w:rsid w:val="00085663"/>
    <w:rsid w:val="00085EBF"/>
    <w:rsid w:val="00094D20"/>
    <w:rsid w:val="0009584C"/>
    <w:rsid w:val="000A6FA6"/>
    <w:rsid w:val="000B0D0D"/>
    <w:rsid w:val="000B22E7"/>
    <w:rsid w:val="000B7766"/>
    <w:rsid w:val="000D122C"/>
    <w:rsid w:val="000D2751"/>
    <w:rsid w:val="000D3B30"/>
    <w:rsid w:val="000D6002"/>
    <w:rsid w:val="000E14E0"/>
    <w:rsid w:val="000E1819"/>
    <w:rsid w:val="000E2946"/>
    <w:rsid w:val="000E6C72"/>
    <w:rsid w:val="000E6DFB"/>
    <w:rsid w:val="000E77BB"/>
    <w:rsid w:val="000F3EE7"/>
    <w:rsid w:val="00103E4D"/>
    <w:rsid w:val="00116EB2"/>
    <w:rsid w:val="00124609"/>
    <w:rsid w:val="00127CAB"/>
    <w:rsid w:val="001373F1"/>
    <w:rsid w:val="00141541"/>
    <w:rsid w:val="001502E8"/>
    <w:rsid w:val="001528B1"/>
    <w:rsid w:val="001536DC"/>
    <w:rsid w:val="00155113"/>
    <w:rsid w:val="001573E4"/>
    <w:rsid w:val="00160756"/>
    <w:rsid w:val="00163B72"/>
    <w:rsid w:val="0016721B"/>
    <w:rsid w:val="0017232E"/>
    <w:rsid w:val="00174102"/>
    <w:rsid w:val="00175758"/>
    <w:rsid w:val="00180157"/>
    <w:rsid w:val="001805BB"/>
    <w:rsid w:val="00186F77"/>
    <w:rsid w:val="00191EDB"/>
    <w:rsid w:val="001926A4"/>
    <w:rsid w:val="00194835"/>
    <w:rsid w:val="001A5CAD"/>
    <w:rsid w:val="001B45A0"/>
    <w:rsid w:val="001C1BC0"/>
    <w:rsid w:val="001D055E"/>
    <w:rsid w:val="001D0CE3"/>
    <w:rsid w:val="001D164D"/>
    <w:rsid w:val="001E01B4"/>
    <w:rsid w:val="001E0E41"/>
    <w:rsid w:val="001F0DCA"/>
    <w:rsid w:val="001F1B78"/>
    <w:rsid w:val="001F492E"/>
    <w:rsid w:val="001F6DA3"/>
    <w:rsid w:val="002035E2"/>
    <w:rsid w:val="0020489F"/>
    <w:rsid w:val="00214271"/>
    <w:rsid w:val="00214FBA"/>
    <w:rsid w:val="002167D4"/>
    <w:rsid w:val="00224DB9"/>
    <w:rsid w:val="00236284"/>
    <w:rsid w:val="002374FD"/>
    <w:rsid w:val="00251745"/>
    <w:rsid w:val="00253002"/>
    <w:rsid w:val="00262F65"/>
    <w:rsid w:val="00263AC0"/>
    <w:rsid w:val="002649D2"/>
    <w:rsid w:val="002649D8"/>
    <w:rsid w:val="0026772D"/>
    <w:rsid w:val="002706ED"/>
    <w:rsid w:val="00275002"/>
    <w:rsid w:val="00276108"/>
    <w:rsid w:val="00282B30"/>
    <w:rsid w:val="00286874"/>
    <w:rsid w:val="00290A82"/>
    <w:rsid w:val="00296B65"/>
    <w:rsid w:val="002A702D"/>
    <w:rsid w:val="002A7439"/>
    <w:rsid w:val="002A7DEF"/>
    <w:rsid w:val="002B28AF"/>
    <w:rsid w:val="002E64A4"/>
    <w:rsid w:val="002F7986"/>
    <w:rsid w:val="003001F5"/>
    <w:rsid w:val="003040F3"/>
    <w:rsid w:val="00307F6D"/>
    <w:rsid w:val="003177A2"/>
    <w:rsid w:val="00321853"/>
    <w:rsid w:val="003271B5"/>
    <w:rsid w:val="00331264"/>
    <w:rsid w:val="00333761"/>
    <w:rsid w:val="00334C8D"/>
    <w:rsid w:val="003518B3"/>
    <w:rsid w:val="00371F3A"/>
    <w:rsid w:val="003846F1"/>
    <w:rsid w:val="00384A55"/>
    <w:rsid w:val="003908EA"/>
    <w:rsid w:val="003A2F7D"/>
    <w:rsid w:val="003A41E0"/>
    <w:rsid w:val="003B674F"/>
    <w:rsid w:val="003C2B22"/>
    <w:rsid w:val="003C7208"/>
    <w:rsid w:val="003D1343"/>
    <w:rsid w:val="003D2899"/>
    <w:rsid w:val="003E144D"/>
    <w:rsid w:val="003E5FB6"/>
    <w:rsid w:val="00403473"/>
    <w:rsid w:val="00405D86"/>
    <w:rsid w:val="00414F0B"/>
    <w:rsid w:val="00420080"/>
    <w:rsid w:val="0042477B"/>
    <w:rsid w:val="004264B7"/>
    <w:rsid w:val="004328C0"/>
    <w:rsid w:val="00435963"/>
    <w:rsid w:val="00461443"/>
    <w:rsid w:val="00461A55"/>
    <w:rsid w:val="004711F6"/>
    <w:rsid w:val="00476BE9"/>
    <w:rsid w:val="00480B4B"/>
    <w:rsid w:val="004838EC"/>
    <w:rsid w:val="00485DC4"/>
    <w:rsid w:val="00493B02"/>
    <w:rsid w:val="004947C4"/>
    <w:rsid w:val="004A1CE8"/>
    <w:rsid w:val="004A246D"/>
    <w:rsid w:val="004B2A70"/>
    <w:rsid w:val="004B2ECC"/>
    <w:rsid w:val="004B4412"/>
    <w:rsid w:val="004C348C"/>
    <w:rsid w:val="004C63B9"/>
    <w:rsid w:val="004D34AD"/>
    <w:rsid w:val="004D55BA"/>
    <w:rsid w:val="004E13F5"/>
    <w:rsid w:val="004E34E7"/>
    <w:rsid w:val="004E7D10"/>
    <w:rsid w:val="005057B5"/>
    <w:rsid w:val="00510830"/>
    <w:rsid w:val="00521502"/>
    <w:rsid w:val="00521657"/>
    <w:rsid w:val="00522668"/>
    <w:rsid w:val="00530128"/>
    <w:rsid w:val="00531E29"/>
    <w:rsid w:val="00532467"/>
    <w:rsid w:val="00535DCE"/>
    <w:rsid w:val="00550A6D"/>
    <w:rsid w:val="00556B64"/>
    <w:rsid w:val="00564A4D"/>
    <w:rsid w:val="00567CEB"/>
    <w:rsid w:val="00571680"/>
    <w:rsid w:val="00571B35"/>
    <w:rsid w:val="0057337F"/>
    <w:rsid w:val="00575A65"/>
    <w:rsid w:val="00575C43"/>
    <w:rsid w:val="00577A09"/>
    <w:rsid w:val="00584D8F"/>
    <w:rsid w:val="00586F74"/>
    <w:rsid w:val="00591FE6"/>
    <w:rsid w:val="005967D7"/>
    <w:rsid w:val="005A404D"/>
    <w:rsid w:val="005B1E3C"/>
    <w:rsid w:val="005C234F"/>
    <w:rsid w:val="005C26CC"/>
    <w:rsid w:val="005C4659"/>
    <w:rsid w:val="005D0F52"/>
    <w:rsid w:val="005D1E75"/>
    <w:rsid w:val="005D298D"/>
    <w:rsid w:val="005D4ADF"/>
    <w:rsid w:val="005D69AF"/>
    <w:rsid w:val="005E065E"/>
    <w:rsid w:val="005F446B"/>
    <w:rsid w:val="005F6ADE"/>
    <w:rsid w:val="00612006"/>
    <w:rsid w:val="00612B60"/>
    <w:rsid w:val="00615C6B"/>
    <w:rsid w:val="006175CA"/>
    <w:rsid w:val="00621545"/>
    <w:rsid w:val="00626221"/>
    <w:rsid w:val="00630A15"/>
    <w:rsid w:val="00632D6D"/>
    <w:rsid w:val="00635923"/>
    <w:rsid w:val="00642C3E"/>
    <w:rsid w:val="00650DCA"/>
    <w:rsid w:val="00660D26"/>
    <w:rsid w:val="00663DAD"/>
    <w:rsid w:val="00676679"/>
    <w:rsid w:val="00676AD2"/>
    <w:rsid w:val="006777D7"/>
    <w:rsid w:val="00680764"/>
    <w:rsid w:val="00686FAE"/>
    <w:rsid w:val="00694FD6"/>
    <w:rsid w:val="006B4CF9"/>
    <w:rsid w:val="006B7AC8"/>
    <w:rsid w:val="006C0DD8"/>
    <w:rsid w:val="006C208B"/>
    <w:rsid w:val="006D550F"/>
    <w:rsid w:val="006E1E7D"/>
    <w:rsid w:val="006F3750"/>
    <w:rsid w:val="006F3FCB"/>
    <w:rsid w:val="00701CAB"/>
    <w:rsid w:val="00707563"/>
    <w:rsid w:val="00720A32"/>
    <w:rsid w:val="0072348C"/>
    <w:rsid w:val="00724A37"/>
    <w:rsid w:val="007303C3"/>
    <w:rsid w:val="007358FB"/>
    <w:rsid w:val="00736390"/>
    <w:rsid w:val="00737927"/>
    <w:rsid w:val="00743223"/>
    <w:rsid w:val="00746E01"/>
    <w:rsid w:val="007532DD"/>
    <w:rsid w:val="00761A8F"/>
    <w:rsid w:val="00762D41"/>
    <w:rsid w:val="00763E5D"/>
    <w:rsid w:val="00767740"/>
    <w:rsid w:val="00767AE6"/>
    <w:rsid w:val="00777EE6"/>
    <w:rsid w:val="00782EEA"/>
    <w:rsid w:val="007A6726"/>
    <w:rsid w:val="007B1732"/>
    <w:rsid w:val="007B2C72"/>
    <w:rsid w:val="007B2F9B"/>
    <w:rsid w:val="007C1C53"/>
    <w:rsid w:val="007C205C"/>
    <w:rsid w:val="007C7EE9"/>
    <w:rsid w:val="007D3DF2"/>
    <w:rsid w:val="007D4848"/>
    <w:rsid w:val="007D4FDD"/>
    <w:rsid w:val="007E1516"/>
    <w:rsid w:val="007E4904"/>
    <w:rsid w:val="007E4CB5"/>
    <w:rsid w:val="007E6A82"/>
    <w:rsid w:val="007F066B"/>
    <w:rsid w:val="007F0F77"/>
    <w:rsid w:val="007F4198"/>
    <w:rsid w:val="007F475F"/>
    <w:rsid w:val="008033C4"/>
    <w:rsid w:val="00806C88"/>
    <w:rsid w:val="0080703F"/>
    <w:rsid w:val="0081034E"/>
    <w:rsid w:val="00827B48"/>
    <w:rsid w:val="008344F6"/>
    <w:rsid w:val="0083510F"/>
    <w:rsid w:val="008366CD"/>
    <w:rsid w:val="00837FC9"/>
    <w:rsid w:val="00851209"/>
    <w:rsid w:val="0085409E"/>
    <w:rsid w:val="00854CD5"/>
    <w:rsid w:val="00861AED"/>
    <w:rsid w:val="0086231D"/>
    <w:rsid w:val="0086428B"/>
    <w:rsid w:val="008837AC"/>
    <w:rsid w:val="00887EBF"/>
    <w:rsid w:val="0089283C"/>
    <w:rsid w:val="008A587D"/>
    <w:rsid w:val="008C1FE0"/>
    <w:rsid w:val="008C5486"/>
    <w:rsid w:val="008E3EEC"/>
    <w:rsid w:val="008E535A"/>
    <w:rsid w:val="008E6CAE"/>
    <w:rsid w:val="008E7031"/>
    <w:rsid w:val="0090239D"/>
    <w:rsid w:val="00904116"/>
    <w:rsid w:val="0090695B"/>
    <w:rsid w:val="00914A87"/>
    <w:rsid w:val="009164D5"/>
    <w:rsid w:val="009170B0"/>
    <w:rsid w:val="009233EE"/>
    <w:rsid w:val="00925FB1"/>
    <w:rsid w:val="00926380"/>
    <w:rsid w:val="009275ED"/>
    <w:rsid w:val="00932A69"/>
    <w:rsid w:val="00933515"/>
    <w:rsid w:val="009377D8"/>
    <w:rsid w:val="00947323"/>
    <w:rsid w:val="0095120C"/>
    <w:rsid w:val="00951D87"/>
    <w:rsid w:val="00957591"/>
    <w:rsid w:val="00966130"/>
    <w:rsid w:val="009661DE"/>
    <w:rsid w:val="00970968"/>
    <w:rsid w:val="00982FEB"/>
    <w:rsid w:val="009837D1"/>
    <w:rsid w:val="009855C8"/>
    <w:rsid w:val="009856B7"/>
    <w:rsid w:val="00993358"/>
    <w:rsid w:val="009A20CF"/>
    <w:rsid w:val="009A3D22"/>
    <w:rsid w:val="009B141F"/>
    <w:rsid w:val="009B38EC"/>
    <w:rsid w:val="009B4E65"/>
    <w:rsid w:val="009B74B0"/>
    <w:rsid w:val="009B7EDA"/>
    <w:rsid w:val="009D5B5F"/>
    <w:rsid w:val="009D6B46"/>
    <w:rsid w:val="009E7749"/>
    <w:rsid w:val="009F05FF"/>
    <w:rsid w:val="009F4940"/>
    <w:rsid w:val="00A04332"/>
    <w:rsid w:val="00A05309"/>
    <w:rsid w:val="00A15EAE"/>
    <w:rsid w:val="00A21684"/>
    <w:rsid w:val="00A2356E"/>
    <w:rsid w:val="00A4478A"/>
    <w:rsid w:val="00A44852"/>
    <w:rsid w:val="00A51A53"/>
    <w:rsid w:val="00A57D04"/>
    <w:rsid w:val="00A60A26"/>
    <w:rsid w:val="00A61598"/>
    <w:rsid w:val="00A6307B"/>
    <w:rsid w:val="00A72EC8"/>
    <w:rsid w:val="00A76905"/>
    <w:rsid w:val="00A81EF8"/>
    <w:rsid w:val="00A823DE"/>
    <w:rsid w:val="00A841A3"/>
    <w:rsid w:val="00A84F46"/>
    <w:rsid w:val="00A871F4"/>
    <w:rsid w:val="00A91746"/>
    <w:rsid w:val="00A92CD5"/>
    <w:rsid w:val="00A94D89"/>
    <w:rsid w:val="00AB417F"/>
    <w:rsid w:val="00AB7485"/>
    <w:rsid w:val="00AC1B2C"/>
    <w:rsid w:val="00AC29CA"/>
    <w:rsid w:val="00AC3264"/>
    <w:rsid w:val="00AC528E"/>
    <w:rsid w:val="00AC7F48"/>
    <w:rsid w:val="00AD13A2"/>
    <w:rsid w:val="00AD4310"/>
    <w:rsid w:val="00AE0091"/>
    <w:rsid w:val="00AE1BF1"/>
    <w:rsid w:val="00AE3486"/>
    <w:rsid w:val="00AE7799"/>
    <w:rsid w:val="00AF0DD2"/>
    <w:rsid w:val="00AF7058"/>
    <w:rsid w:val="00B03723"/>
    <w:rsid w:val="00B074C5"/>
    <w:rsid w:val="00B13048"/>
    <w:rsid w:val="00B1716D"/>
    <w:rsid w:val="00B17A1D"/>
    <w:rsid w:val="00B207A0"/>
    <w:rsid w:val="00B45E3B"/>
    <w:rsid w:val="00B56E03"/>
    <w:rsid w:val="00B61CCE"/>
    <w:rsid w:val="00B8080B"/>
    <w:rsid w:val="00B82756"/>
    <w:rsid w:val="00B83745"/>
    <w:rsid w:val="00B84B40"/>
    <w:rsid w:val="00B87C39"/>
    <w:rsid w:val="00B87DD6"/>
    <w:rsid w:val="00B9227A"/>
    <w:rsid w:val="00B925F8"/>
    <w:rsid w:val="00BA390A"/>
    <w:rsid w:val="00BA4665"/>
    <w:rsid w:val="00BB18BB"/>
    <w:rsid w:val="00BB2FB2"/>
    <w:rsid w:val="00BB3304"/>
    <w:rsid w:val="00BC4ACD"/>
    <w:rsid w:val="00BD3446"/>
    <w:rsid w:val="00BE1F1B"/>
    <w:rsid w:val="00BE3C61"/>
    <w:rsid w:val="00BE47B5"/>
    <w:rsid w:val="00C16B2C"/>
    <w:rsid w:val="00C209F5"/>
    <w:rsid w:val="00C23A74"/>
    <w:rsid w:val="00C31A48"/>
    <w:rsid w:val="00C41F44"/>
    <w:rsid w:val="00C457F3"/>
    <w:rsid w:val="00C538A9"/>
    <w:rsid w:val="00C53B5A"/>
    <w:rsid w:val="00C54F5A"/>
    <w:rsid w:val="00C73A47"/>
    <w:rsid w:val="00C73C83"/>
    <w:rsid w:val="00C74A11"/>
    <w:rsid w:val="00C764EB"/>
    <w:rsid w:val="00C8031C"/>
    <w:rsid w:val="00C80D97"/>
    <w:rsid w:val="00C86679"/>
    <w:rsid w:val="00C872DB"/>
    <w:rsid w:val="00C950AF"/>
    <w:rsid w:val="00CA6754"/>
    <w:rsid w:val="00CB666B"/>
    <w:rsid w:val="00CD7C9D"/>
    <w:rsid w:val="00CE58F4"/>
    <w:rsid w:val="00CF1EDE"/>
    <w:rsid w:val="00D01CF0"/>
    <w:rsid w:val="00D0442A"/>
    <w:rsid w:val="00D32767"/>
    <w:rsid w:val="00D33A4A"/>
    <w:rsid w:val="00D37241"/>
    <w:rsid w:val="00D4239E"/>
    <w:rsid w:val="00D50D02"/>
    <w:rsid w:val="00D56959"/>
    <w:rsid w:val="00D61388"/>
    <w:rsid w:val="00D615F9"/>
    <w:rsid w:val="00D61A54"/>
    <w:rsid w:val="00D64DEA"/>
    <w:rsid w:val="00D76663"/>
    <w:rsid w:val="00D80893"/>
    <w:rsid w:val="00D92CF1"/>
    <w:rsid w:val="00D92D38"/>
    <w:rsid w:val="00D948DD"/>
    <w:rsid w:val="00D950F5"/>
    <w:rsid w:val="00DA2A5D"/>
    <w:rsid w:val="00DA3E42"/>
    <w:rsid w:val="00DB0C0B"/>
    <w:rsid w:val="00DB0F93"/>
    <w:rsid w:val="00DB2FD0"/>
    <w:rsid w:val="00DB6314"/>
    <w:rsid w:val="00DC153A"/>
    <w:rsid w:val="00DC5E54"/>
    <w:rsid w:val="00DC7981"/>
    <w:rsid w:val="00DD15C2"/>
    <w:rsid w:val="00DE4EFA"/>
    <w:rsid w:val="00DE5520"/>
    <w:rsid w:val="00DF30BE"/>
    <w:rsid w:val="00DF6A0F"/>
    <w:rsid w:val="00E00EC9"/>
    <w:rsid w:val="00E04818"/>
    <w:rsid w:val="00E06442"/>
    <w:rsid w:val="00E1225C"/>
    <w:rsid w:val="00E135DB"/>
    <w:rsid w:val="00E23993"/>
    <w:rsid w:val="00E25B8C"/>
    <w:rsid w:val="00E306F3"/>
    <w:rsid w:val="00E577BB"/>
    <w:rsid w:val="00E577D7"/>
    <w:rsid w:val="00E65C85"/>
    <w:rsid w:val="00E66199"/>
    <w:rsid w:val="00E6672F"/>
    <w:rsid w:val="00E71459"/>
    <w:rsid w:val="00E74079"/>
    <w:rsid w:val="00E7472E"/>
    <w:rsid w:val="00E755EC"/>
    <w:rsid w:val="00E7624D"/>
    <w:rsid w:val="00E81148"/>
    <w:rsid w:val="00E85C1E"/>
    <w:rsid w:val="00E9003D"/>
    <w:rsid w:val="00EA3D42"/>
    <w:rsid w:val="00EA42E2"/>
    <w:rsid w:val="00EA6B1B"/>
    <w:rsid w:val="00EB049F"/>
    <w:rsid w:val="00EB7D7F"/>
    <w:rsid w:val="00ED4C4C"/>
    <w:rsid w:val="00EE28F3"/>
    <w:rsid w:val="00EE347F"/>
    <w:rsid w:val="00EE3836"/>
    <w:rsid w:val="00EF5110"/>
    <w:rsid w:val="00EF6AE4"/>
    <w:rsid w:val="00F02D9B"/>
    <w:rsid w:val="00F13EAA"/>
    <w:rsid w:val="00F15882"/>
    <w:rsid w:val="00F20BD3"/>
    <w:rsid w:val="00F27D2F"/>
    <w:rsid w:val="00F32F4B"/>
    <w:rsid w:val="00F33F2D"/>
    <w:rsid w:val="00F373A5"/>
    <w:rsid w:val="00F40401"/>
    <w:rsid w:val="00F47559"/>
    <w:rsid w:val="00F5251F"/>
    <w:rsid w:val="00F54630"/>
    <w:rsid w:val="00F570A3"/>
    <w:rsid w:val="00F64C7B"/>
    <w:rsid w:val="00F662F1"/>
    <w:rsid w:val="00F676DD"/>
    <w:rsid w:val="00F70811"/>
    <w:rsid w:val="00F725DB"/>
    <w:rsid w:val="00F75A26"/>
    <w:rsid w:val="00F77130"/>
    <w:rsid w:val="00F83421"/>
    <w:rsid w:val="00F83FAD"/>
    <w:rsid w:val="00F952A0"/>
    <w:rsid w:val="00FA3830"/>
    <w:rsid w:val="00FA3C7F"/>
    <w:rsid w:val="00FB74E2"/>
    <w:rsid w:val="00FC6C0A"/>
    <w:rsid w:val="00FD5614"/>
    <w:rsid w:val="00FD72DC"/>
    <w:rsid w:val="00FE0BE1"/>
    <w:rsid w:val="00FE1DE9"/>
    <w:rsid w:val="00FE30FA"/>
    <w:rsid w:val="00FE39C2"/>
    <w:rsid w:val="00FE64AE"/>
    <w:rsid w:val="00FF029A"/>
    <w:rsid w:val="00FF26D0"/>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0726">
      <w:bodyDiv w:val="1"/>
      <w:marLeft w:val="0"/>
      <w:marRight w:val="0"/>
      <w:marTop w:val="0"/>
      <w:marBottom w:val="0"/>
      <w:divBdr>
        <w:top w:val="none" w:sz="0" w:space="0" w:color="auto"/>
        <w:left w:val="none" w:sz="0" w:space="0" w:color="auto"/>
        <w:bottom w:val="none" w:sz="0" w:space="0" w:color="auto"/>
        <w:right w:val="none" w:sz="0" w:space="0" w:color="auto"/>
      </w:divBdr>
    </w:div>
    <w:div w:id="417487213">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092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403C2FE6</Template>
  <TotalTime>0</TotalTime>
  <Pages>11</Pages>
  <Words>2270</Words>
  <Characters>12942</Characters>
  <Application>Microsoft Office Word</Application>
  <DocSecurity>0</DocSecurity>
  <Lines>107</Lines>
  <Paragraphs>30</Paragraphs>
  <ScaleCrop>false</ScaleCrop>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2015-04-24T05:41:00Z</dcterms:created>
  <dcterms:modified xsi:type="dcterms:W3CDTF">2015-04-24T05:41:00Z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8417208</vt:lpwstr>
  </property>
</Properties>
</file>