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6C8DA750" wp14:editId="115899FE">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963" w:rsidRPr="000E2946" w:rsidRDefault="00435963" w:rsidP="000E2946">
                            <w:pPr>
                              <w:pStyle w:val="Title"/>
                            </w:pPr>
                            <w:r w:rsidRPr="000E2946">
                              <w:t>Electricity Report</w:t>
                            </w:r>
                          </w:p>
                          <w:p w:rsidR="00435963" w:rsidRPr="000E2946" w:rsidRDefault="00435963" w:rsidP="000E2946">
                            <w:pPr>
                              <w:pStyle w:val="Title"/>
                            </w:pPr>
                            <w:r>
                              <w:t>22</w:t>
                            </w:r>
                            <w:r w:rsidRPr="000E2946">
                              <w:t xml:space="preserve"> – </w:t>
                            </w:r>
                            <w:r>
                              <w:t>28</w:t>
                            </w:r>
                            <w:r w:rsidRPr="000E2946">
                              <w:t xml:space="preserve"> </w:t>
                            </w:r>
                            <w:r>
                              <w:t>March</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435963" w:rsidRPr="000E2946" w:rsidRDefault="00435963" w:rsidP="000E2946">
                      <w:pPr>
                        <w:pStyle w:val="Title"/>
                      </w:pPr>
                      <w:r w:rsidRPr="000E2946">
                        <w:t>Electricity Report</w:t>
                      </w:r>
                    </w:p>
                    <w:p w:rsidR="00435963" w:rsidRPr="000E2946" w:rsidRDefault="00435963" w:rsidP="000E2946">
                      <w:pPr>
                        <w:pStyle w:val="Title"/>
                      </w:pPr>
                      <w:r>
                        <w:t>22</w:t>
                      </w:r>
                      <w:r w:rsidRPr="000E2946">
                        <w:t xml:space="preserve"> – </w:t>
                      </w:r>
                      <w:r>
                        <w:t>28</w:t>
                      </w:r>
                      <w:r w:rsidRPr="000E2946">
                        <w:t xml:space="preserve"> </w:t>
                      </w:r>
                      <w:r>
                        <w:t>March</w:t>
                      </w:r>
                      <w:r w:rsidRPr="000E2946">
                        <w:t xml:space="preserve"> 2015 </w:t>
                      </w:r>
                    </w:p>
                  </w:txbxContent>
                </v:textbox>
              </v:shape>
            </w:pict>
          </mc:Fallback>
        </mc:AlternateContent>
      </w:r>
      <w:r w:rsidRPr="0031019A">
        <w:rPr>
          <w:noProof/>
          <w:lang w:eastAsia="en-AU"/>
        </w:rPr>
        <w:drawing>
          <wp:inline distT="0" distB="0" distL="0" distR="0" wp14:anchorId="0F1872FA" wp14:editId="37FFA229">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AD13A2" w:rsidRDefault="001D0CE3" w:rsidP="009A3D22">
      <w:pPr>
        <w:jc w:val="both"/>
      </w:pPr>
      <w:r w:rsidRPr="00AD13A2">
        <w:rPr>
          <w:rFonts w:cs="Arial"/>
        </w:rPr>
        <w:fldChar w:fldCharType="begin"/>
      </w:r>
      <w:r w:rsidRPr="00AD13A2">
        <w:rPr>
          <w:rFonts w:cs="Arial"/>
        </w:rPr>
        <w:instrText xml:space="preserve"> REF _Ref410382491 \h </w:instrText>
      </w:r>
      <w:r w:rsidRPr="00AD13A2">
        <w:rPr>
          <w:rFonts w:cs="Arial"/>
        </w:rPr>
      </w:r>
      <w:r w:rsidRPr="00AD13A2">
        <w:rPr>
          <w:rFonts w:cs="Arial"/>
        </w:rPr>
        <w:fldChar w:fldCharType="separate"/>
      </w:r>
      <w:r w:rsidR="003E144D" w:rsidRPr="000E2946">
        <w:t xml:space="preserve">Figure </w:t>
      </w:r>
      <w:r w:rsidR="003E144D">
        <w:rPr>
          <w:noProof/>
        </w:rPr>
        <w:t>1</w:t>
      </w:r>
      <w:r w:rsidRPr="00AD13A2">
        <w:rPr>
          <w:rFonts w:cs="Arial"/>
        </w:rPr>
        <w:fldChar w:fldCharType="end"/>
      </w:r>
      <w:r w:rsidRPr="00AD13A2">
        <w:rPr>
          <w:rFonts w:cs="Arial"/>
        </w:rPr>
        <w:t xml:space="preserve"> </w:t>
      </w:r>
      <w:r w:rsidR="00AF7058" w:rsidRPr="00AD13A2">
        <w:rPr>
          <w:rFonts w:cs="Arial"/>
        </w:rPr>
        <w:t xml:space="preserve">shows the spot prices that occurred in each region during the week </w:t>
      </w:r>
      <w:r w:rsidR="009164D5">
        <w:rPr>
          <w:rFonts w:cs="Arial"/>
        </w:rPr>
        <w:t>22</w:t>
      </w:r>
      <w:r w:rsidR="0086231D" w:rsidRPr="00AD13A2">
        <w:rPr>
          <w:rFonts w:cs="Arial"/>
        </w:rPr>
        <w:t xml:space="preserve"> to </w:t>
      </w:r>
      <w:r w:rsidR="00AD13A2" w:rsidRPr="00AD13A2">
        <w:rPr>
          <w:rFonts w:cs="Arial"/>
        </w:rPr>
        <w:t>2</w:t>
      </w:r>
      <w:r w:rsidR="009164D5">
        <w:rPr>
          <w:rFonts w:cs="Arial"/>
        </w:rPr>
        <w:t>8</w:t>
      </w:r>
      <w:r w:rsidR="007E6A82" w:rsidRPr="00AD13A2">
        <w:rPr>
          <w:rFonts w:cs="Arial"/>
        </w:rPr>
        <w:t> </w:t>
      </w:r>
      <w:r w:rsidR="00E577D7" w:rsidRPr="00AD13A2">
        <w:rPr>
          <w:rFonts w:cs="Arial"/>
        </w:rPr>
        <w:t>March</w:t>
      </w:r>
      <w:r w:rsidR="00AF7058" w:rsidRPr="00AD13A2">
        <w:rPr>
          <w:rFonts w:cs="Arial"/>
        </w:rPr>
        <w:t xml:space="preserve"> 2015. There </w:t>
      </w:r>
      <w:r w:rsidR="0042477B" w:rsidRPr="00AD13A2">
        <w:rPr>
          <w:rFonts w:cs="Arial"/>
        </w:rPr>
        <w:t>w</w:t>
      </w:r>
      <w:r w:rsidR="00932A69" w:rsidRPr="00AD13A2">
        <w:rPr>
          <w:rFonts w:cs="Arial"/>
        </w:rPr>
        <w:t xml:space="preserve">ere </w:t>
      </w:r>
      <w:r w:rsidR="009164D5">
        <w:rPr>
          <w:rFonts w:cs="Arial"/>
        </w:rPr>
        <w:t>two</w:t>
      </w:r>
      <w:r w:rsidR="00932A69" w:rsidRPr="00AD13A2">
        <w:rPr>
          <w:rFonts w:cs="Arial"/>
        </w:rPr>
        <w:t xml:space="preserve"> </w:t>
      </w:r>
      <w:r w:rsidR="0042477B" w:rsidRPr="00AD13A2">
        <w:rPr>
          <w:rFonts w:cs="Arial"/>
        </w:rPr>
        <w:t>occasion</w:t>
      </w:r>
      <w:r w:rsidR="00932A69" w:rsidRPr="00AD13A2">
        <w:rPr>
          <w:rFonts w:cs="Arial"/>
        </w:rPr>
        <w:t>s</w:t>
      </w:r>
      <w:r w:rsidR="00AF7058" w:rsidRPr="00AD13A2">
        <w:rPr>
          <w:rFonts w:cs="Arial"/>
        </w:rPr>
        <w:t xml:space="preserve"> </w:t>
      </w:r>
      <w:r w:rsidR="00AD13A2" w:rsidRPr="00AD13A2">
        <w:rPr>
          <w:rFonts w:cs="Arial"/>
        </w:rPr>
        <w:t xml:space="preserve">during the week </w:t>
      </w:r>
      <w:r w:rsidR="00AF7058" w:rsidRPr="00AD13A2">
        <w:rPr>
          <w:rFonts w:cs="Arial"/>
        </w:rPr>
        <w:t xml:space="preserve">where the spot price in </w:t>
      </w:r>
      <w:r w:rsidR="00932A69" w:rsidRPr="00AD13A2">
        <w:rPr>
          <w:rFonts w:cs="Arial"/>
        </w:rPr>
        <w:t xml:space="preserve">Queensland was </w:t>
      </w:r>
      <w:r w:rsidR="00AD13A2" w:rsidRPr="00AD13A2">
        <w:rPr>
          <w:rFonts w:cs="Arial"/>
        </w:rPr>
        <w:t>above $</w:t>
      </w:r>
      <w:r w:rsidR="009164D5">
        <w:rPr>
          <w:rFonts w:cs="Arial"/>
        </w:rPr>
        <w:t>250</w:t>
      </w:r>
      <w:r w:rsidR="00AD13A2" w:rsidRPr="00AD13A2">
        <w:rPr>
          <w:rFonts w:cs="Arial"/>
        </w:rPr>
        <w:t xml:space="preserve">/MWh, as discussed in the </w:t>
      </w:r>
      <w:r w:rsidR="00AD13A2" w:rsidRPr="00AD13A2">
        <w:rPr>
          <w:rFonts w:cs="Arial"/>
          <w:i/>
        </w:rPr>
        <w:t>Detailed market analysis of significant price events</w:t>
      </w:r>
      <w:r w:rsidR="00AD13A2" w:rsidRPr="00AD13A2">
        <w:rPr>
          <w:rFonts w:cs="Arial"/>
        </w:rPr>
        <w:t xml:space="preserve"> section. </w:t>
      </w:r>
    </w:p>
    <w:p w:rsidR="00275002" w:rsidRPr="000E2946" w:rsidRDefault="00275002" w:rsidP="000E2946">
      <w:pPr>
        <w:pStyle w:val="Caption"/>
      </w:pPr>
      <w:bookmarkStart w:id="7" w:name="_Ref410382491"/>
      <w:bookmarkStart w:id="8" w:name="OLE_LINK28"/>
      <w:bookmarkStart w:id="9" w:name="OLE_LINK29"/>
      <w:r w:rsidRPr="000E2946">
        <w:t xml:space="preserve">Figure </w:t>
      </w:r>
      <w:r w:rsidR="0086538A">
        <w:fldChar w:fldCharType="begin"/>
      </w:r>
      <w:r w:rsidR="0086538A">
        <w:instrText xml:space="preserve"> SEQ Figure \* ARABIC </w:instrText>
      </w:r>
      <w:r w:rsidR="0086538A">
        <w:fldChar w:fldCharType="separate"/>
      </w:r>
      <w:r w:rsidR="003E144D">
        <w:rPr>
          <w:noProof/>
        </w:rPr>
        <w:t>1</w:t>
      </w:r>
      <w:r w:rsidR="0086538A">
        <w:rPr>
          <w:noProof/>
        </w:rPr>
        <w:fldChar w:fldCharType="end"/>
      </w:r>
      <w:bookmarkEnd w:id="7"/>
      <w:r w:rsidRPr="000E2946">
        <w:t xml:space="preserve"> : Spot price by region ($/MWh)</w:t>
      </w:r>
    </w:p>
    <w:p w:rsidR="00275002" w:rsidRPr="0031019A" w:rsidRDefault="009164D5" w:rsidP="00275002">
      <w:r w:rsidRPr="009164D5">
        <w:rPr>
          <w:noProof/>
          <w:lang w:eastAsia="en-AU"/>
        </w:rPr>
        <w:drawing>
          <wp:inline distT="0" distB="0" distL="0" distR="0" wp14:anchorId="5202D71A" wp14:editId="5202E8AB">
            <wp:extent cx="5731510" cy="2859551"/>
            <wp:effectExtent l="0" t="0" r="2540" b="0"/>
            <wp:docPr id="4" name="Picture 4" descr="Figure 1 shows the spot prices for this week in each region. The markers indicate the daily maximum and minimum spot prices in each region." title="Figure 1 :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3E144D">
        <w:t xml:space="preserve">Figure </w:t>
      </w:r>
      <w:r w:rsidR="003E144D">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3E144D">
        <w:t xml:space="preserve">Table </w:t>
      </w:r>
      <w:r w:rsidR="003E144D">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r w:rsidR="0086538A">
        <w:fldChar w:fldCharType="begin"/>
      </w:r>
      <w:r w:rsidR="0086538A">
        <w:instrText xml:space="preserve"> SEQ Figure \* ARABIC </w:instrText>
      </w:r>
      <w:r w:rsidR="0086538A">
        <w:fldChar w:fldCharType="separate"/>
      </w:r>
      <w:r w:rsidR="003E144D">
        <w:rPr>
          <w:noProof/>
        </w:rPr>
        <w:t>2</w:t>
      </w:r>
      <w:r w:rsidR="0086538A">
        <w:rPr>
          <w:noProof/>
        </w:rPr>
        <w:fldChar w:fldCharType="end"/>
      </w:r>
      <w:bookmarkEnd w:id="10"/>
      <w:r>
        <w:t xml:space="preserve"> :</w:t>
      </w:r>
      <w:r w:rsidRPr="00037176">
        <w:t xml:space="preserve"> Volume weighted average spot price by region ($/MWh)</w:t>
      </w:r>
    </w:p>
    <w:p w:rsidR="00275002" w:rsidRPr="0031019A" w:rsidRDefault="009164D5" w:rsidP="00275002">
      <w:r w:rsidRPr="009164D5">
        <w:rPr>
          <w:noProof/>
          <w:lang w:eastAsia="en-AU"/>
        </w:rPr>
        <w:drawing>
          <wp:inline distT="0" distB="0" distL="0" distR="0" wp14:anchorId="54A4DB5C" wp14:editId="53804032">
            <wp:extent cx="5731510" cy="2859551"/>
            <wp:effectExtent l="0" t="0" r="2540" b="0"/>
            <wp:docPr id="5" name="Picture 5" descr="Figure 2 shows the volume weighted average (VWA) prices for this week (with prices shown in Table 1) and the preceding 12 weeks, as well as the VWA price over the previous 3 financial years." title="Figure 2 :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86538A">
        <w:fldChar w:fldCharType="begin"/>
      </w:r>
      <w:r w:rsidR="0086538A">
        <w:instrText xml:space="preserve"> SEQ Table \* ARABIC </w:instrText>
      </w:r>
      <w:r w:rsidR="0086538A">
        <w:fldChar w:fldCharType="separate"/>
      </w:r>
      <w:r w:rsidR="003E144D">
        <w:rPr>
          <w:noProof/>
        </w:rPr>
        <w:t>1</w:t>
      </w:r>
      <w:r w:rsidR="0086538A">
        <w:rPr>
          <w:noProof/>
        </w:rPr>
        <w:fldChar w:fldCharType="end"/>
      </w:r>
      <w:bookmarkEnd w:id="11"/>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275002" w:rsidRPr="000E2946" w:rsidTr="006D3ADF">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728" w:type="pct"/>
            <w:noWrap/>
            <w:hideMark/>
          </w:tcPr>
          <w:p w:rsidR="00275002" w:rsidRPr="000E2946" w:rsidRDefault="00275002" w:rsidP="00E7472E">
            <w:pPr>
              <w:pStyle w:val="TableHeading"/>
              <w:jc w:val="center"/>
            </w:pPr>
            <w:r w:rsidRPr="000E2946">
              <w:t>Qld</w:t>
            </w:r>
          </w:p>
        </w:tc>
        <w:tc>
          <w:tcPr>
            <w:tcW w:w="729" w:type="pct"/>
            <w:noWrap/>
            <w:hideMark/>
          </w:tcPr>
          <w:p w:rsidR="00275002" w:rsidRPr="000E2946" w:rsidRDefault="00275002" w:rsidP="00E7472E">
            <w:pPr>
              <w:pStyle w:val="TableHeading"/>
              <w:jc w:val="center"/>
            </w:pPr>
            <w:r w:rsidRPr="000E2946">
              <w:t>NSW</w:t>
            </w:r>
          </w:p>
        </w:tc>
        <w:tc>
          <w:tcPr>
            <w:tcW w:w="728" w:type="pct"/>
            <w:noWrap/>
            <w:hideMark/>
          </w:tcPr>
          <w:p w:rsidR="00275002" w:rsidRPr="000E2946" w:rsidRDefault="00275002" w:rsidP="00E7472E">
            <w:pPr>
              <w:pStyle w:val="TableHeading"/>
              <w:jc w:val="center"/>
            </w:pPr>
            <w:r w:rsidRPr="000E2946">
              <w:t>Vic</w:t>
            </w:r>
          </w:p>
        </w:tc>
        <w:tc>
          <w:tcPr>
            <w:tcW w:w="729" w:type="pct"/>
            <w:noWrap/>
            <w:hideMark/>
          </w:tcPr>
          <w:p w:rsidR="00275002" w:rsidRPr="000E2946" w:rsidRDefault="00275002" w:rsidP="00E7472E">
            <w:pPr>
              <w:pStyle w:val="TableHeading"/>
              <w:jc w:val="center"/>
            </w:pPr>
            <w:r w:rsidRPr="000E2946">
              <w:t>SA</w:t>
            </w:r>
          </w:p>
        </w:tc>
        <w:tc>
          <w:tcPr>
            <w:tcW w:w="729" w:type="pct"/>
            <w:noWrap/>
            <w:hideMark/>
          </w:tcPr>
          <w:p w:rsidR="00275002" w:rsidRPr="000E2946" w:rsidRDefault="00275002" w:rsidP="00E7472E">
            <w:pPr>
              <w:pStyle w:val="TableHeading"/>
              <w:jc w:val="center"/>
            </w:pPr>
            <w:r w:rsidRPr="000E2946">
              <w:t>Tas</w:t>
            </w:r>
          </w:p>
        </w:tc>
      </w:tr>
      <w:tr w:rsidR="005057B5" w:rsidRPr="00F52F00" w:rsidTr="006D3ADF">
        <w:trPr>
          <w:trHeight w:hRule="exact" w:val="340"/>
        </w:trPr>
        <w:tc>
          <w:tcPr>
            <w:tcW w:w="1357" w:type="pct"/>
            <w:noWrap/>
            <w:vAlign w:val="center"/>
            <w:hideMark/>
          </w:tcPr>
          <w:p w:rsidR="005057B5" w:rsidRPr="00262F65" w:rsidRDefault="005057B5" w:rsidP="006D3ADF">
            <w:pPr>
              <w:spacing w:before="0" w:after="0"/>
              <w:rPr>
                <w:sz w:val="20"/>
                <w:szCs w:val="20"/>
              </w:rPr>
            </w:pPr>
            <w:r w:rsidRPr="00262F65">
              <w:rPr>
                <w:sz w:val="20"/>
                <w:szCs w:val="20"/>
              </w:rPr>
              <w:t>Current week</w:t>
            </w:r>
          </w:p>
        </w:tc>
        <w:tc>
          <w:tcPr>
            <w:tcW w:w="728" w:type="pct"/>
            <w:noWrap/>
            <w:vAlign w:val="center"/>
          </w:tcPr>
          <w:p w:rsidR="005057B5" w:rsidRPr="006D3ADF" w:rsidRDefault="005057B5" w:rsidP="006D3ADF">
            <w:pPr>
              <w:spacing w:before="0" w:after="0"/>
              <w:jc w:val="center"/>
              <w:rPr>
                <w:sz w:val="20"/>
                <w:szCs w:val="20"/>
              </w:rPr>
            </w:pPr>
            <w:r w:rsidRPr="006D3ADF">
              <w:rPr>
                <w:sz w:val="20"/>
                <w:szCs w:val="20"/>
              </w:rPr>
              <w:t>44</w:t>
            </w:r>
          </w:p>
        </w:tc>
        <w:tc>
          <w:tcPr>
            <w:tcW w:w="729" w:type="pct"/>
            <w:noWrap/>
            <w:vAlign w:val="center"/>
          </w:tcPr>
          <w:p w:rsidR="005057B5" w:rsidRPr="006D3ADF" w:rsidRDefault="005057B5" w:rsidP="006D3ADF">
            <w:pPr>
              <w:spacing w:before="0" w:after="0"/>
              <w:jc w:val="center"/>
              <w:rPr>
                <w:sz w:val="20"/>
                <w:szCs w:val="20"/>
              </w:rPr>
            </w:pPr>
            <w:r w:rsidRPr="006D3ADF">
              <w:rPr>
                <w:sz w:val="20"/>
                <w:szCs w:val="20"/>
              </w:rPr>
              <w:t>32</w:t>
            </w:r>
          </w:p>
        </w:tc>
        <w:tc>
          <w:tcPr>
            <w:tcW w:w="728" w:type="pct"/>
            <w:noWrap/>
            <w:vAlign w:val="center"/>
          </w:tcPr>
          <w:p w:rsidR="005057B5" w:rsidRPr="006D3ADF" w:rsidRDefault="005057B5" w:rsidP="006D3ADF">
            <w:pPr>
              <w:spacing w:before="0" w:after="0"/>
              <w:jc w:val="center"/>
              <w:rPr>
                <w:sz w:val="20"/>
                <w:szCs w:val="20"/>
              </w:rPr>
            </w:pPr>
            <w:r w:rsidRPr="006D3ADF">
              <w:rPr>
                <w:sz w:val="20"/>
                <w:szCs w:val="20"/>
              </w:rPr>
              <w:t>27</w:t>
            </w:r>
          </w:p>
        </w:tc>
        <w:tc>
          <w:tcPr>
            <w:tcW w:w="729" w:type="pct"/>
            <w:noWrap/>
            <w:vAlign w:val="center"/>
          </w:tcPr>
          <w:p w:rsidR="005057B5" w:rsidRPr="006D3ADF" w:rsidRDefault="005057B5" w:rsidP="006D3ADF">
            <w:pPr>
              <w:spacing w:before="0" w:after="0"/>
              <w:jc w:val="center"/>
              <w:rPr>
                <w:sz w:val="20"/>
                <w:szCs w:val="20"/>
              </w:rPr>
            </w:pPr>
            <w:r w:rsidRPr="006D3ADF">
              <w:rPr>
                <w:sz w:val="20"/>
                <w:szCs w:val="20"/>
              </w:rPr>
              <w:t>29</w:t>
            </w:r>
          </w:p>
        </w:tc>
        <w:tc>
          <w:tcPr>
            <w:tcW w:w="729" w:type="pct"/>
            <w:noWrap/>
            <w:vAlign w:val="center"/>
          </w:tcPr>
          <w:p w:rsidR="005057B5" w:rsidRPr="006D3ADF" w:rsidRDefault="005057B5" w:rsidP="006D3ADF">
            <w:pPr>
              <w:spacing w:before="0" w:after="0"/>
              <w:jc w:val="center"/>
              <w:rPr>
                <w:sz w:val="20"/>
                <w:szCs w:val="20"/>
              </w:rPr>
            </w:pPr>
            <w:r w:rsidRPr="006D3ADF">
              <w:rPr>
                <w:sz w:val="20"/>
                <w:szCs w:val="20"/>
              </w:rPr>
              <w:t>39</w:t>
            </w:r>
          </w:p>
        </w:tc>
      </w:tr>
      <w:tr w:rsidR="005057B5" w:rsidRPr="00F52F00" w:rsidTr="006D3AD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5057B5" w:rsidRPr="00262F65" w:rsidRDefault="005057B5" w:rsidP="006D3ADF">
            <w:pPr>
              <w:spacing w:before="0" w:after="0"/>
              <w:rPr>
                <w:szCs w:val="20"/>
              </w:rPr>
            </w:pPr>
            <w:r w:rsidRPr="00262F65">
              <w:rPr>
                <w:szCs w:val="20"/>
              </w:rPr>
              <w:t>13-14 financial YTD</w:t>
            </w:r>
          </w:p>
        </w:tc>
        <w:tc>
          <w:tcPr>
            <w:tcW w:w="728" w:type="pct"/>
            <w:noWrap/>
            <w:vAlign w:val="center"/>
          </w:tcPr>
          <w:p w:rsidR="005057B5" w:rsidRPr="006D3ADF" w:rsidRDefault="005057B5" w:rsidP="006D3ADF">
            <w:pPr>
              <w:spacing w:before="0" w:after="0"/>
              <w:jc w:val="center"/>
              <w:rPr>
                <w:szCs w:val="20"/>
              </w:rPr>
            </w:pPr>
            <w:r w:rsidRPr="006D3ADF">
              <w:rPr>
                <w:szCs w:val="20"/>
              </w:rPr>
              <w:t>61</w:t>
            </w:r>
          </w:p>
        </w:tc>
        <w:tc>
          <w:tcPr>
            <w:tcW w:w="729" w:type="pct"/>
            <w:noWrap/>
            <w:vAlign w:val="center"/>
          </w:tcPr>
          <w:p w:rsidR="005057B5" w:rsidRPr="006D3ADF" w:rsidRDefault="005057B5" w:rsidP="006D3ADF">
            <w:pPr>
              <w:spacing w:before="0" w:after="0"/>
              <w:jc w:val="center"/>
              <w:rPr>
                <w:szCs w:val="20"/>
              </w:rPr>
            </w:pPr>
            <w:r w:rsidRPr="006D3ADF">
              <w:rPr>
                <w:szCs w:val="20"/>
              </w:rPr>
              <w:t>53</w:t>
            </w:r>
          </w:p>
        </w:tc>
        <w:tc>
          <w:tcPr>
            <w:tcW w:w="728" w:type="pct"/>
            <w:noWrap/>
            <w:vAlign w:val="center"/>
          </w:tcPr>
          <w:p w:rsidR="005057B5" w:rsidRPr="006D3ADF" w:rsidRDefault="005057B5" w:rsidP="006D3ADF">
            <w:pPr>
              <w:spacing w:before="0" w:after="0"/>
              <w:jc w:val="center"/>
              <w:rPr>
                <w:szCs w:val="20"/>
              </w:rPr>
            </w:pPr>
            <w:r w:rsidRPr="006D3ADF">
              <w:rPr>
                <w:szCs w:val="20"/>
              </w:rPr>
              <w:t>54</w:t>
            </w:r>
          </w:p>
        </w:tc>
        <w:tc>
          <w:tcPr>
            <w:tcW w:w="729" w:type="pct"/>
            <w:noWrap/>
            <w:vAlign w:val="center"/>
          </w:tcPr>
          <w:p w:rsidR="005057B5" w:rsidRPr="006D3ADF" w:rsidRDefault="005057B5" w:rsidP="006D3ADF">
            <w:pPr>
              <w:spacing w:before="0" w:after="0"/>
              <w:jc w:val="center"/>
              <w:rPr>
                <w:szCs w:val="20"/>
              </w:rPr>
            </w:pPr>
            <w:r w:rsidRPr="006D3ADF">
              <w:rPr>
                <w:szCs w:val="20"/>
              </w:rPr>
              <w:t>68</w:t>
            </w:r>
          </w:p>
        </w:tc>
        <w:tc>
          <w:tcPr>
            <w:tcW w:w="729" w:type="pct"/>
            <w:noWrap/>
            <w:vAlign w:val="center"/>
          </w:tcPr>
          <w:p w:rsidR="005057B5" w:rsidRPr="006D3ADF" w:rsidRDefault="005057B5" w:rsidP="006D3ADF">
            <w:pPr>
              <w:spacing w:before="0" w:after="0"/>
              <w:jc w:val="center"/>
              <w:rPr>
                <w:szCs w:val="20"/>
              </w:rPr>
            </w:pPr>
            <w:r w:rsidRPr="006D3ADF">
              <w:rPr>
                <w:szCs w:val="20"/>
              </w:rPr>
              <w:t>42</w:t>
            </w:r>
          </w:p>
        </w:tc>
      </w:tr>
      <w:tr w:rsidR="005057B5" w:rsidRPr="00F52F00" w:rsidTr="006D3ADF">
        <w:trPr>
          <w:trHeight w:hRule="exact" w:val="340"/>
        </w:trPr>
        <w:tc>
          <w:tcPr>
            <w:tcW w:w="1357" w:type="pct"/>
            <w:noWrap/>
            <w:vAlign w:val="center"/>
            <w:hideMark/>
          </w:tcPr>
          <w:p w:rsidR="005057B5" w:rsidRPr="00262F65" w:rsidRDefault="005057B5" w:rsidP="006D3ADF">
            <w:pPr>
              <w:spacing w:before="0" w:after="0"/>
              <w:rPr>
                <w:sz w:val="20"/>
                <w:szCs w:val="20"/>
              </w:rPr>
            </w:pPr>
            <w:r w:rsidRPr="00262F65">
              <w:rPr>
                <w:sz w:val="20"/>
                <w:szCs w:val="20"/>
              </w:rPr>
              <w:t>14-15 financial YTD</w:t>
            </w:r>
          </w:p>
        </w:tc>
        <w:tc>
          <w:tcPr>
            <w:tcW w:w="728" w:type="pct"/>
            <w:noWrap/>
            <w:vAlign w:val="center"/>
          </w:tcPr>
          <w:p w:rsidR="005057B5" w:rsidRPr="006D3ADF" w:rsidRDefault="005057B5" w:rsidP="006D3ADF">
            <w:pPr>
              <w:spacing w:before="0" w:after="0"/>
              <w:jc w:val="center"/>
              <w:rPr>
                <w:sz w:val="20"/>
                <w:szCs w:val="20"/>
              </w:rPr>
            </w:pPr>
            <w:r w:rsidRPr="006D3ADF">
              <w:rPr>
                <w:sz w:val="20"/>
                <w:szCs w:val="20"/>
              </w:rPr>
              <w:t>70</w:t>
            </w:r>
          </w:p>
        </w:tc>
        <w:tc>
          <w:tcPr>
            <w:tcW w:w="729" w:type="pct"/>
            <w:noWrap/>
            <w:vAlign w:val="center"/>
          </w:tcPr>
          <w:p w:rsidR="005057B5" w:rsidRPr="006D3ADF" w:rsidRDefault="005057B5" w:rsidP="006D3ADF">
            <w:pPr>
              <w:spacing w:before="0" w:after="0"/>
              <w:jc w:val="center"/>
              <w:rPr>
                <w:sz w:val="20"/>
                <w:szCs w:val="20"/>
              </w:rPr>
            </w:pPr>
            <w:r w:rsidRPr="006D3ADF">
              <w:rPr>
                <w:sz w:val="20"/>
                <w:szCs w:val="20"/>
              </w:rPr>
              <w:t>36</w:t>
            </w:r>
          </w:p>
        </w:tc>
        <w:tc>
          <w:tcPr>
            <w:tcW w:w="728" w:type="pct"/>
            <w:noWrap/>
            <w:vAlign w:val="center"/>
          </w:tcPr>
          <w:p w:rsidR="005057B5" w:rsidRPr="006D3ADF" w:rsidRDefault="005057B5" w:rsidP="006D3ADF">
            <w:pPr>
              <w:spacing w:before="0" w:after="0"/>
              <w:jc w:val="center"/>
              <w:rPr>
                <w:sz w:val="20"/>
                <w:szCs w:val="20"/>
              </w:rPr>
            </w:pPr>
            <w:r w:rsidRPr="006D3ADF">
              <w:rPr>
                <w:sz w:val="20"/>
                <w:szCs w:val="20"/>
              </w:rPr>
              <w:t>31</w:t>
            </w:r>
          </w:p>
        </w:tc>
        <w:tc>
          <w:tcPr>
            <w:tcW w:w="729" w:type="pct"/>
            <w:noWrap/>
            <w:vAlign w:val="center"/>
          </w:tcPr>
          <w:p w:rsidR="005057B5" w:rsidRPr="006D3ADF" w:rsidRDefault="005057B5" w:rsidP="006D3ADF">
            <w:pPr>
              <w:spacing w:before="0" w:after="0"/>
              <w:jc w:val="center"/>
              <w:rPr>
                <w:sz w:val="20"/>
                <w:szCs w:val="20"/>
              </w:rPr>
            </w:pPr>
            <w:r w:rsidRPr="006D3ADF">
              <w:rPr>
                <w:sz w:val="20"/>
                <w:szCs w:val="20"/>
              </w:rPr>
              <w:t>40</w:t>
            </w:r>
          </w:p>
        </w:tc>
        <w:tc>
          <w:tcPr>
            <w:tcW w:w="729" w:type="pct"/>
            <w:noWrap/>
            <w:vAlign w:val="center"/>
          </w:tcPr>
          <w:p w:rsidR="005057B5" w:rsidRPr="006D3ADF" w:rsidRDefault="005057B5" w:rsidP="006D3ADF">
            <w:pPr>
              <w:spacing w:before="0" w:after="0"/>
              <w:jc w:val="center"/>
              <w:rPr>
                <w:sz w:val="20"/>
                <w:szCs w:val="20"/>
              </w:rPr>
            </w:pPr>
            <w:r w:rsidRPr="006D3ADF">
              <w:rPr>
                <w:sz w:val="20"/>
                <w:szCs w:val="20"/>
              </w:rPr>
              <w:t>38</w:t>
            </w:r>
          </w:p>
        </w:tc>
      </w:tr>
    </w:tbl>
    <w:p w:rsidR="00275002" w:rsidRPr="006D3ADF" w:rsidRDefault="00275002" w:rsidP="007E6A82">
      <w:pPr>
        <w:pStyle w:val="Tabletext"/>
        <w:rPr>
          <w:szCs w:val="18"/>
        </w:rPr>
      </w:pPr>
      <w:r w:rsidRPr="006D3ADF">
        <w:rPr>
          <w:szCs w:val="18"/>
        </w:rPr>
        <w:t xml:space="preserve">Longer-term statistics tracking average spot market prices are available on the </w:t>
      </w:r>
      <w:hyperlink r:id="rId12" w:history="1">
        <w:r w:rsidRPr="006D3ADF">
          <w:rPr>
            <w:rStyle w:val="Hyperlink"/>
            <w:sz w:val="18"/>
            <w:szCs w:val="18"/>
          </w:rPr>
          <w:t>AER website</w:t>
        </w:r>
      </w:hyperlink>
      <w:r w:rsidRPr="006D3ADF">
        <w:rPr>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5057B5">
        <w:t>99</w:t>
      </w:r>
      <w:r w:rsidR="00A2356E" w:rsidRPr="00F70811">
        <w:t xml:space="preserve"> </w:t>
      </w:r>
      <w:r w:rsidRPr="00F70811">
        <w:t>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3E144D">
        <w:t xml:space="preserve">Table </w:t>
      </w:r>
      <w:r w:rsidR="003E144D">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w:t>
      </w:r>
      <w:r w:rsidR="00275002" w:rsidRPr="0031019A">
        <w:lastRenderedPageBreak/>
        <w:t>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86538A">
        <w:fldChar w:fldCharType="begin"/>
      </w:r>
      <w:r w:rsidR="0086538A">
        <w:instrText xml:space="preserve"> SEQ Table \* ARABIC </w:instrText>
      </w:r>
      <w:r w:rsidR="0086538A">
        <w:fldChar w:fldCharType="separate"/>
      </w:r>
      <w:r w:rsidR="003E144D">
        <w:rPr>
          <w:noProof/>
        </w:rPr>
        <w:t>2</w:t>
      </w:r>
      <w:r w:rsidR="0086538A">
        <w:rPr>
          <w:noProof/>
        </w:rPr>
        <w:fldChar w:fldCharType="end"/>
      </w:r>
      <w:bookmarkEnd w:id="12"/>
      <w:r>
        <w:t xml:space="preserve"> </w:t>
      </w:r>
      <w:r w:rsidRPr="00BC7912">
        <w:t>: Reasons for variations between forecast and actual prices</w:t>
      </w:r>
      <w:bookmarkEnd w:id="13"/>
    </w:p>
    <w:tbl>
      <w:tblPr>
        <w:tblStyle w:val="AERsummarytable"/>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7E6A82">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vAlign w:val="center"/>
            <w:hideMark/>
          </w:tcPr>
          <w:p w:rsidR="00275002" w:rsidRPr="00E7472E" w:rsidRDefault="00275002" w:rsidP="009D62F4">
            <w:pPr>
              <w:pStyle w:val="TableHeading"/>
              <w:rPr>
                <w:sz w:val="20"/>
              </w:rPr>
            </w:pPr>
          </w:p>
        </w:tc>
        <w:tc>
          <w:tcPr>
            <w:tcW w:w="1571" w:type="dxa"/>
            <w:noWrap/>
            <w:vAlign w:val="center"/>
            <w:hideMark/>
          </w:tcPr>
          <w:p w:rsidR="00275002" w:rsidRPr="00E7472E" w:rsidRDefault="00275002" w:rsidP="007E6A82">
            <w:pPr>
              <w:pStyle w:val="TableHeading"/>
              <w:jc w:val="center"/>
              <w:rPr>
                <w:sz w:val="20"/>
              </w:rPr>
            </w:pPr>
            <w:r w:rsidRPr="00E7472E">
              <w:rPr>
                <w:sz w:val="20"/>
              </w:rPr>
              <w:t>Availability</w:t>
            </w:r>
          </w:p>
        </w:tc>
        <w:tc>
          <w:tcPr>
            <w:tcW w:w="1572" w:type="dxa"/>
            <w:noWrap/>
            <w:vAlign w:val="center"/>
            <w:hideMark/>
          </w:tcPr>
          <w:p w:rsidR="00275002" w:rsidRPr="00E7472E" w:rsidRDefault="00275002" w:rsidP="007E6A82">
            <w:pPr>
              <w:pStyle w:val="TableHeading"/>
              <w:jc w:val="center"/>
              <w:rPr>
                <w:sz w:val="20"/>
              </w:rPr>
            </w:pPr>
            <w:r w:rsidRPr="00E7472E">
              <w:rPr>
                <w:sz w:val="20"/>
              </w:rPr>
              <w:t>Demand</w:t>
            </w:r>
          </w:p>
        </w:tc>
        <w:tc>
          <w:tcPr>
            <w:tcW w:w="1572" w:type="dxa"/>
            <w:noWrap/>
            <w:vAlign w:val="center"/>
            <w:hideMark/>
          </w:tcPr>
          <w:p w:rsidR="00275002" w:rsidRPr="00E7472E" w:rsidRDefault="00275002" w:rsidP="007E6A82">
            <w:pPr>
              <w:pStyle w:val="TableHeading"/>
              <w:jc w:val="center"/>
              <w:rPr>
                <w:sz w:val="20"/>
              </w:rPr>
            </w:pPr>
            <w:r w:rsidRPr="00E7472E">
              <w:rPr>
                <w:sz w:val="20"/>
              </w:rPr>
              <w:t>Network</w:t>
            </w:r>
          </w:p>
        </w:tc>
        <w:tc>
          <w:tcPr>
            <w:tcW w:w="1572" w:type="dxa"/>
            <w:vAlign w:val="center"/>
            <w:hideMark/>
          </w:tcPr>
          <w:p w:rsidR="00275002" w:rsidRPr="00E7472E" w:rsidRDefault="00275002" w:rsidP="007E6A82">
            <w:pPr>
              <w:pStyle w:val="TableHeading"/>
              <w:jc w:val="center"/>
              <w:rPr>
                <w:sz w:val="20"/>
              </w:rPr>
            </w:pPr>
            <w:r w:rsidRPr="00E7472E">
              <w:rPr>
                <w:sz w:val="20"/>
              </w:rPr>
              <w:t>Combination</w:t>
            </w:r>
          </w:p>
        </w:tc>
      </w:tr>
      <w:tr w:rsidR="004A1CE8" w:rsidRPr="009D62F4" w:rsidTr="007A6726">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A1CE8" w:rsidRPr="009D62F4" w:rsidRDefault="004A1CE8" w:rsidP="009D62F4">
            <w:pPr>
              <w:spacing w:after="0"/>
            </w:pPr>
            <w:r w:rsidRPr="009D62F4">
              <w:t>% of total above forecast</w:t>
            </w:r>
          </w:p>
        </w:tc>
        <w:tc>
          <w:tcPr>
            <w:tcW w:w="1571" w:type="dxa"/>
            <w:noWrap/>
            <w:vAlign w:val="center"/>
          </w:tcPr>
          <w:p w:rsidR="004A1CE8" w:rsidRPr="009D62F4" w:rsidRDefault="005057B5" w:rsidP="007A6726">
            <w:pPr>
              <w:spacing w:after="0"/>
              <w:jc w:val="center"/>
            </w:pPr>
            <w:r w:rsidRPr="009D62F4">
              <w:t>1</w:t>
            </w:r>
          </w:p>
        </w:tc>
        <w:tc>
          <w:tcPr>
            <w:tcW w:w="1572" w:type="dxa"/>
            <w:noWrap/>
            <w:vAlign w:val="center"/>
          </w:tcPr>
          <w:p w:rsidR="004A1CE8" w:rsidRPr="009D62F4" w:rsidRDefault="005057B5" w:rsidP="007A6726">
            <w:pPr>
              <w:spacing w:after="0"/>
              <w:jc w:val="center"/>
            </w:pPr>
            <w:r w:rsidRPr="009D62F4">
              <w:t>58</w:t>
            </w:r>
          </w:p>
        </w:tc>
        <w:tc>
          <w:tcPr>
            <w:tcW w:w="1572" w:type="dxa"/>
            <w:noWrap/>
            <w:vAlign w:val="center"/>
          </w:tcPr>
          <w:p w:rsidR="004A1CE8" w:rsidRPr="009D62F4" w:rsidRDefault="004A1CE8" w:rsidP="007A6726">
            <w:pPr>
              <w:spacing w:after="0"/>
              <w:jc w:val="center"/>
            </w:pPr>
            <w:r w:rsidRPr="009D62F4">
              <w:t>0</w:t>
            </w:r>
          </w:p>
        </w:tc>
        <w:tc>
          <w:tcPr>
            <w:tcW w:w="1572" w:type="dxa"/>
            <w:vAlign w:val="center"/>
          </w:tcPr>
          <w:p w:rsidR="004A1CE8" w:rsidRPr="009D62F4" w:rsidRDefault="005057B5" w:rsidP="007A6726">
            <w:pPr>
              <w:spacing w:after="0"/>
              <w:jc w:val="center"/>
            </w:pPr>
            <w:r w:rsidRPr="009D62F4">
              <w:t>6</w:t>
            </w:r>
          </w:p>
        </w:tc>
      </w:tr>
      <w:tr w:rsidR="004A1CE8" w:rsidRPr="007E6A82" w:rsidTr="007A6726">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A1CE8" w:rsidRPr="009D62F4" w:rsidRDefault="004A1CE8" w:rsidP="009D62F4">
            <w:pPr>
              <w:spacing w:after="0"/>
            </w:pPr>
            <w:r w:rsidRPr="009D62F4">
              <w:t>% of total below forecast</w:t>
            </w:r>
          </w:p>
        </w:tc>
        <w:tc>
          <w:tcPr>
            <w:tcW w:w="1571" w:type="dxa"/>
            <w:noWrap/>
            <w:vAlign w:val="center"/>
          </w:tcPr>
          <w:p w:rsidR="004A1CE8" w:rsidRPr="009D62F4" w:rsidRDefault="005057B5" w:rsidP="007A6726">
            <w:pPr>
              <w:spacing w:after="0"/>
              <w:jc w:val="center"/>
            </w:pPr>
            <w:r w:rsidRPr="009D62F4">
              <w:t>33</w:t>
            </w:r>
          </w:p>
        </w:tc>
        <w:tc>
          <w:tcPr>
            <w:tcW w:w="1572" w:type="dxa"/>
            <w:noWrap/>
            <w:vAlign w:val="center"/>
          </w:tcPr>
          <w:p w:rsidR="004A1CE8" w:rsidRPr="009D62F4" w:rsidRDefault="005057B5" w:rsidP="007A6726">
            <w:pPr>
              <w:spacing w:after="0"/>
              <w:jc w:val="center"/>
            </w:pPr>
            <w:r w:rsidRPr="009D62F4">
              <w:t>1</w:t>
            </w:r>
          </w:p>
        </w:tc>
        <w:tc>
          <w:tcPr>
            <w:tcW w:w="1572" w:type="dxa"/>
            <w:noWrap/>
            <w:vAlign w:val="center"/>
          </w:tcPr>
          <w:p w:rsidR="004A1CE8" w:rsidRPr="009D62F4" w:rsidRDefault="004A1CE8" w:rsidP="007A6726">
            <w:pPr>
              <w:spacing w:after="0"/>
              <w:jc w:val="center"/>
            </w:pPr>
            <w:r w:rsidRPr="009D62F4">
              <w:t>0</w:t>
            </w:r>
          </w:p>
        </w:tc>
        <w:tc>
          <w:tcPr>
            <w:tcW w:w="1572" w:type="dxa"/>
            <w:vAlign w:val="center"/>
          </w:tcPr>
          <w:p w:rsidR="004A1CE8" w:rsidRPr="009D62F4" w:rsidRDefault="005057B5" w:rsidP="007A6726">
            <w:pPr>
              <w:spacing w:after="0"/>
              <w:jc w:val="center"/>
            </w:pPr>
            <w:r w:rsidRPr="009D62F4">
              <w:t>0</w:t>
            </w:r>
          </w:p>
        </w:tc>
      </w:tr>
    </w:tbl>
    <w:p w:rsidR="00275002" w:rsidRPr="007E6A82" w:rsidRDefault="00275002" w:rsidP="007E6A82">
      <w:pPr>
        <w:spacing w:before="120" w:after="120"/>
        <w:rPr>
          <w:sz w:val="18"/>
        </w:rPr>
      </w:pPr>
      <w:r w:rsidRPr="007E6A82">
        <w:rPr>
          <w:sz w:val="18"/>
        </w:rPr>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3E144D">
        <w:t xml:space="preserve">Figure </w:t>
      </w:r>
      <w:r w:rsidR="003E144D">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3E144D">
        <w:t xml:space="preserve">Figure </w:t>
      </w:r>
      <w:r w:rsidR="003E144D">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86538A">
        <w:fldChar w:fldCharType="begin"/>
      </w:r>
      <w:r w:rsidR="0086538A">
        <w:instrText xml:space="preserve"> SEQ Figure \* ARABIC </w:instrText>
      </w:r>
      <w:r w:rsidR="0086538A">
        <w:fldChar w:fldCharType="separate"/>
      </w:r>
      <w:r w:rsidR="003E144D">
        <w:rPr>
          <w:noProof/>
        </w:rPr>
        <w:t>3</w:t>
      </w:r>
      <w:r w:rsidR="0086538A">
        <w:rPr>
          <w:noProof/>
        </w:rPr>
        <w:fldChar w:fldCharType="end"/>
      </w:r>
      <w:bookmarkEnd w:id="14"/>
      <w:r>
        <w:t xml:space="preserve"> : Queensland </w:t>
      </w:r>
      <w:r w:rsidRPr="00690328">
        <w:t>generation and bidding patterns</w:t>
      </w:r>
    </w:p>
    <w:p w:rsidR="00275002" w:rsidRDefault="009D62F4" w:rsidP="00275002">
      <w:r>
        <w:rPr>
          <w:noProof/>
          <w:lang w:eastAsia="en-AU"/>
        </w:rPr>
        <mc:AlternateContent>
          <mc:Choice Requires="wps">
            <w:drawing>
              <wp:anchor distT="0" distB="0" distL="114300" distR="114300" simplePos="0" relativeHeight="251666432" behindDoc="0" locked="0" layoutInCell="1" allowOverlap="1" wp14:anchorId="227207C7" wp14:editId="0BA11C63">
                <wp:simplePos x="0" y="0"/>
                <wp:positionH relativeFrom="column">
                  <wp:posOffset>3700514</wp:posOffset>
                </wp:positionH>
                <wp:positionV relativeFrom="paragraph">
                  <wp:posOffset>818724</wp:posOffset>
                </wp:positionV>
                <wp:extent cx="552109" cy="805218"/>
                <wp:effectExtent l="0" t="0" r="19685" b="13970"/>
                <wp:wrapNone/>
                <wp:docPr id="6" name="Oval 6"/>
                <wp:cNvGraphicFramePr/>
                <a:graphic xmlns:a="http://schemas.openxmlformats.org/drawingml/2006/main">
                  <a:graphicData uri="http://schemas.microsoft.com/office/word/2010/wordprocessingShape">
                    <wps:wsp>
                      <wps:cNvSpPr/>
                      <wps:spPr>
                        <a:xfrm>
                          <a:off x="0" y="0"/>
                          <a:ext cx="552109" cy="80521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 o:spid="_x0000_s1026" style="position:absolute;margin-left:291.4pt;margin-top:64.45pt;width:43.45pt;height:6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" filled="f" strokecolor="red" strokeweight="2pt"/>
            </w:pict>
          </mc:Fallback>
        </mc:AlternateContent>
      </w:r>
      <w:r>
        <w:rPr>
          <w:noProof/>
          <w:lang w:eastAsia="en-AU"/>
        </w:rPr>
        <mc:AlternateContent>
          <mc:Choice Requires="wps">
            <w:drawing>
              <wp:anchor distT="0" distB="0" distL="114300" distR="114300" simplePos="0" relativeHeight="251664384" behindDoc="0" locked="0" layoutInCell="1" allowOverlap="1" wp14:anchorId="1020EA36" wp14:editId="59C5D961">
                <wp:simplePos x="0" y="0"/>
                <wp:positionH relativeFrom="column">
                  <wp:posOffset>2922592</wp:posOffset>
                </wp:positionH>
                <wp:positionV relativeFrom="paragraph">
                  <wp:posOffset>811900</wp:posOffset>
                </wp:positionV>
                <wp:extent cx="552109" cy="805218"/>
                <wp:effectExtent l="0" t="0" r="19685" b="13970"/>
                <wp:wrapNone/>
                <wp:docPr id="3" name="Oval 3"/>
                <wp:cNvGraphicFramePr/>
                <a:graphic xmlns:a="http://schemas.openxmlformats.org/drawingml/2006/main">
                  <a:graphicData uri="http://schemas.microsoft.com/office/word/2010/wordprocessingShape">
                    <wps:wsp>
                      <wps:cNvSpPr/>
                      <wps:spPr>
                        <a:xfrm>
                          <a:off x="0" y="0"/>
                          <a:ext cx="552109" cy="80521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26" style="position:absolute;margin-left:230.15pt;margin-top:63.95pt;width:43.45pt;height:63.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" filled="f" strokecolor="red" strokeweight="2pt"/>
            </w:pict>
          </mc:Fallback>
        </mc:AlternateContent>
      </w:r>
      <w:r>
        <w:rPr>
          <w:noProof/>
          <w:lang w:eastAsia="en-AU"/>
        </w:rPr>
        <mc:AlternateContent>
          <mc:Choice Requires="wps">
            <w:drawing>
              <wp:anchor distT="0" distB="0" distL="114300" distR="114300" simplePos="0" relativeHeight="251662336" behindDoc="0" locked="0" layoutInCell="1" allowOverlap="1" wp14:anchorId="2A99B56C" wp14:editId="65D1BF82">
                <wp:simplePos x="0" y="0"/>
                <wp:positionH relativeFrom="column">
                  <wp:posOffset>2233381</wp:posOffset>
                </wp:positionH>
                <wp:positionV relativeFrom="paragraph">
                  <wp:posOffset>811900</wp:posOffset>
                </wp:positionV>
                <wp:extent cx="552109" cy="805218"/>
                <wp:effectExtent l="0" t="0" r="19685" b="13970"/>
                <wp:wrapNone/>
                <wp:docPr id="2" name="Oval 2"/>
                <wp:cNvGraphicFramePr/>
                <a:graphic xmlns:a="http://schemas.openxmlformats.org/drawingml/2006/main">
                  <a:graphicData uri="http://schemas.microsoft.com/office/word/2010/wordprocessingShape">
                    <wps:wsp>
                      <wps:cNvSpPr/>
                      <wps:spPr>
                        <a:xfrm>
                          <a:off x="0" y="0"/>
                          <a:ext cx="552109" cy="80521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margin-left:175.85pt;margin-top:63.95pt;width:43.45pt;height:63.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" filled="f" strokecolor="red" strokeweight="2pt"/>
            </w:pict>
          </mc:Fallback>
        </mc:AlternateContent>
      </w:r>
      <w:r>
        <w:rPr>
          <w:noProof/>
          <w:lang w:eastAsia="en-AU"/>
        </w:rPr>
        <mc:AlternateContent>
          <mc:Choice Requires="wps">
            <w:drawing>
              <wp:anchor distT="0" distB="0" distL="114300" distR="114300" simplePos="0" relativeHeight="251660288" behindDoc="0" locked="0" layoutInCell="1" allowOverlap="1" wp14:anchorId="0149459B" wp14:editId="730006E0">
                <wp:simplePos x="0" y="0"/>
                <wp:positionH relativeFrom="column">
                  <wp:posOffset>1412543</wp:posOffset>
                </wp:positionH>
                <wp:positionV relativeFrom="paragraph">
                  <wp:posOffset>809796</wp:posOffset>
                </wp:positionV>
                <wp:extent cx="552109" cy="805218"/>
                <wp:effectExtent l="0" t="0" r="19685" b="13970"/>
                <wp:wrapNone/>
                <wp:docPr id="1" name="Oval 1"/>
                <wp:cNvGraphicFramePr/>
                <a:graphic xmlns:a="http://schemas.openxmlformats.org/drawingml/2006/main">
                  <a:graphicData uri="http://schemas.microsoft.com/office/word/2010/wordprocessingShape">
                    <wps:wsp>
                      <wps:cNvSpPr/>
                      <wps:spPr>
                        <a:xfrm>
                          <a:off x="0" y="0"/>
                          <a:ext cx="552109" cy="80521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 o:spid="_x0000_s1026" style="position:absolute;margin-left:111.2pt;margin-top:63.75pt;width:43.45pt;height:6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" filled="f" strokecolor="red" strokeweight="2pt"/>
            </w:pict>
          </mc:Fallback>
        </mc:AlternateContent>
      </w:r>
      <w:r w:rsidR="005057B5" w:rsidRPr="005057B5">
        <w:rPr>
          <w:noProof/>
          <w:lang w:eastAsia="en-AU"/>
        </w:rPr>
        <w:drawing>
          <wp:inline distT="0" distB="0" distL="0" distR="0" wp14:anchorId="7AF4AFE5" wp14:editId="180CCC0B">
            <wp:extent cx="5731510" cy="4118724"/>
            <wp:effectExtent l="0" t="0" r="2540" b="0"/>
            <wp:docPr id="7" name="Picture 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title="Figure 3 :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3933FB" w:rsidRPr="00EA4191" w:rsidRDefault="003933FB" w:rsidP="00167A05">
      <w:pPr>
        <w:jc w:val="both"/>
      </w:pPr>
      <w:r>
        <w:t xml:space="preserve">The red ellipses on </w:t>
      </w:r>
      <w:r>
        <w:fldChar w:fldCharType="begin"/>
      </w:r>
      <w:r>
        <w:instrText xml:space="preserve"> REF _Ref410383507 \h </w:instrText>
      </w:r>
      <w:r>
        <w:fldChar w:fldCharType="separate"/>
      </w:r>
      <w:r>
        <w:t xml:space="preserve">Figure </w:t>
      </w:r>
      <w:r>
        <w:rPr>
          <w:noProof/>
        </w:rPr>
        <w:t>3</w:t>
      </w:r>
      <w:r>
        <w:fldChar w:fldCharType="end"/>
      </w:r>
      <w:r>
        <w:t xml:space="preserve"> and </w:t>
      </w:r>
      <w:r>
        <w:fldChar w:fldCharType="begin"/>
      </w:r>
      <w:r>
        <w:instrText xml:space="preserve"> REF _Ref416773573 \h </w:instrText>
      </w:r>
      <w:r>
        <w:fldChar w:fldCharType="separate"/>
      </w:r>
      <w:r>
        <w:t xml:space="preserve">Figure </w:t>
      </w:r>
      <w:r>
        <w:rPr>
          <w:noProof/>
        </w:rPr>
        <w:t>4</w:t>
      </w:r>
      <w:r>
        <w:fldChar w:fldCharType="end"/>
      </w:r>
      <w:r>
        <w:t xml:space="preserve"> highlight periods where rebidding </w:t>
      </w:r>
      <w:r w:rsidR="00D64538">
        <w:t xml:space="preserve">shifted net capacity from low priced bands to high prices.  </w:t>
      </w:r>
      <w:r w:rsidR="00593BD9">
        <w:t>On 23 March, i</w:t>
      </w:r>
      <w:r w:rsidR="00D64538">
        <w:t>n New South Wales the majority of the late rebidding</w:t>
      </w:r>
      <w:r w:rsidR="00593BD9">
        <w:t>, corresponding with similar shifts in Queensland</w:t>
      </w:r>
      <w:r w:rsidR="00167A05">
        <w:t>,</w:t>
      </w:r>
      <w:r w:rsidR="00D64538">
        <w:t xml:space="preserve"> moved capacity up to prices greater than $10 000/MWh</w:t>
      </w:r>
      <w:r w:rsidR="00593BD9">
        <w:t>.</w:t>
      </w:r>
      <w:r w:rsidR="00D64538">
        <w:t xml:space="preserve"> </w:t>
      </w:r>
      <w:r w:rsidR="00593BD9">
        <w:t xml:space="preserve">While </w:t>
      </w:r>
      <w:r w:rsidR="00D64538">
        <w:t>this was not sufficient to tr</w:t>
      </w:r>
      <w:r w:rsidR="00167A05">
        <w:t>igger our reporting threshold it</w:t>
      </w:r>
      <w:r w:rsidR="00D64538">
        <w:t xml:space="preserve"> increased dispatch prices in a number of intervals</w:t>
      </w:r>
      <w:r w:rsidR="00167A05">
        <w:t>,</w:t>
      </w:r>
      <w:r w:rsidR="00D64538">
        <w:t xml:space="preserve"> materially</w:t>
      </w:r>
      <w:r w:rsidR="00593BD9">
        <w:t xml:space="preserve"> resulting in a spot price of around $220/MWh at 7.00 am and around $200/MWh at 2.30 pm</w:t>
      </w:r>
      <w:r w:rsidR="00D64538">
        <w:t>.</w:t>
      </w:r>
    </w:p>
    <w:p w:rsidR="00275002" w:rsidRDefault="00275002" w:rsidP="000E2946">
      <w:pPr>
        <w:pStyle w:val="Caption"/>
      </w:pPr>
      <w:bookmarkStart w:id="15" w:name="_Ref416773573"/>
      <w:r>
        <w:t xml:space="preserve">Figure </w:t>
      </w:r>
      <w:r w:rsidR="0086538A">
        <w:fldChar w:fldCharType="begin"/>
      </w:r>
      <w:r w:rsidR="0086538A">
        <w:instrText xml:space="preserve"> SEQ Figure \* ARABIC </w:instrText>
      </w:r>
      <w:r w:rsidR="0086538A">
        <w:fldChar w:fldCharType="separate"/>
      </w:r>
      <w:r w:rsidR="003E144D">
        <w:rPr>
          <w:noProof/>
        </w:rPr>
        <w:t>4</w:t>
      </w:r>
      <w:r w:rsidR="0086538A">
        <w:rPr>
          <w:noProof/>
        </w:rPr>
        <w:fldChar w:fldCharType="end"/>
      </w:r>
      <w:bookmarkEnd w:id="15"/>
      <w:r>
        <w:t xml:space="preserve"> : </w:t>
      </w:r>
      <w:r w:rsidRPr="00CC5077">
        <w:t>New South Wales generation and bidding patterns</w:t>
      </w:r>
    </w:p>
    <w:p w:rsidR="00275002" w:rsidRPr="0031019A" w:rsidRDefault="009D62F4" w:rsidP="00275002">
      <w:r>
        <w:rPr>
          <w:noProof/>
          <w:lang w:eastAsia="en-AU"/>
        </w:rPr>
        <mc:AlternateContent>
          <mc:Choice Requires="wps">
            <w:drawing>
              <wp:anchor distT="0" distB="0" distL="114300" distR="114300" simplePos="0" relativeHeight="251668480" behindDoc="0" locked="0" layoutInCell="1" allowOverlap="1" wp14:anchorId="1DBAABC5" wp14:editId="1D5C6861">
                <wp:simplePos x="0" y="0"/>
                <wp:positionH relativeFrom="column">
                  <wp:posOffset>1398896</wp:posOffset>
                </wp:positionH>
                <wp:positionV relativeFrom="paragraph">
                  <wp:posOffset>524140</wp:posOffset>
                </wp:positionV>
                <wp:extent cx="477671" cy="1487606"/>
                <wp:effectExtent l="0" t="0" r="17780" b="17780"/>
                <wp:wrapNone/>
                <wp:docPr id="9" name="Oval 9"/>
                <wp:cNvGraphicFramePr/>
                <a:graphic xmlns:a="http://schemas.openxmlformats.org/drawingml/2006/main">
                  <a:graphicData uri="http://schemas.microsoft.com/office/word/2010/wordprocessingShape">
                    <wps:wsp>
                      <wps:cNvSpPr/>
                      <wps:spPr>
                        <a:xfrm>
                          <a:off x="0" y="0"/>
                          <a:ext cx="477671" cy="148760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10.15pt;margin-top:41.25pt;width:37.6pt;height:1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" filled="f" strokecolor="red" strokeweight="2pt"/>
            </w:pict>
          </mc:Fallback>
        </mc:AlternateContent>
      </w:r>
      <w:r w:rsidR="005057B5" w:rsidRPr="005057B5">
        <w:rPr>
          <w:noProof/>
          <w:lang w:eastAsia="en-AU"/>
        </w:rPr>
        <w:drawing>
          <wp:inline distT="0" distB="0" distL="0" distR="0" wp14:anchorId="7D1D1379" wp14:editId="5F80F8AC">
            <wp:extent cx="5731510" cy="4125116"/>
            <wp:effectExtent l="0" t="0" r="2540" b="8890"/>
            <wp:docPr id="8" name="Picture 8"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title="Figure 4 :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5116"/>
                    </a:xfrm>
                    <a:prstGeom prst="rect">
                      <a:avLst/>
                    </a:prstGeom>
                    <a:noFill/>
                    <a:ln>
                      <a:noFill/>
                    </a:ln>
                  </pic:spPr>
                </pic:pic>
              </a:graphicData>
            </a:graphic>
          </wp:inline>
        </w:drawing>
      </w:r>
    </w:p>
    <w:p w:rsidR="00275002" w:rsidRDefault="00275002" w:rsidP="000E2946">
      <w:pPr>
        <w:pStyle w:val="Caption"/>
      </w:pPr>
      <w:r>
        <w:t xml:space="preserve">Figure </w:t>
      </w:r>
      <w:r w:rsidR="0086538A">
        <w:fldChar w:fldCharType="begin"/>
      </w:r>
      <w:r w:rsidR="0086538A">
        <w:instrText xml:space="preserve"> SEQ Figure \* ARABIC </w:instrText>
      </w:r>
      <w:r w:rsidR="0086538A">
        <w:fldChar w:fldCharType="separate"/>
      </w:r>
      <w:r w:rsidR="003E144D">
        <w:rPr>
          <w:noProof/>
        </w:rPr>
        <w:t>5</w:t>
      </w:r>
      <w:r w:rsidR="0086538A">
        <w:rPr>
          <w:noProof/>
        </w:rPr>
        <w:fldChar w:fldCharType="end"/>
      </w:r>
      <w:r>
        <w:t xml:space="preserve"> </w:t>
      </w:r>
      <w:r w:rsidRPr="0003635A">
        <w:t>: Victoria generation and bidding patterns</w:t>
      </w:r>
    </w:p>
    <w:p w:rsidR="00275002" w:rsidRPr="0031019A" w:rsidRDefault="005057B5" w:rsidP="00275002">
      <w:r w:rsidRPr="005057B5">
        <w:rPr>
          <w:noProof/>
          <w:lang w:eastAsia="en-AU"/>
        </w:rPr>
        <w:drawing>
          <wp:inline distT="0" distB="0" distL="0" distR="0" wp14:anchorId="71D0D817" wp14:editId="73FEE2FD">
            <wp:extent cx="5731510" cy="4118724"/>
            <wp:effectExtent l="0" t="0" r="2540" b="0"/>
            <wp:docPr id="10" name="Picture 10"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title="Figure 5 :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r>
        <w:t xml:space="preserve">Figure </w:t>
      </w:r>
      <w:r w:rsidR="0086538A">
        <w:fldChar w:fldCharType="begin"/>
      </w:r>
      <w:r w:rsidR="0086538A">
        <w:instrText xml:space="preserve"> SEQ Figure \* ARABIC </w:instrText>
      </w:r>
      <w:r w:rsidR="0086538A">
        <w:fldChar w:fldCharType="separate"/>
      </w:r>
      <w:r w:rsidR="003E144D">
        <w:rPr>
          <w:noProof/>
        </w:rPr>
        <w:t>6</w:t>
      </w:r>
      <w:r w:rsidR="0086538A">
        <w:rPr>
          <w:noProof/>
        </w:rPr>
        <w:fldChar w:fldCharType="end"/>
      </w:r>
      <w:r>
        <w:t>:</w:t>
      </w:r>
      <w:r w:rsidRPr="00BD00EB">
        <w:t xml:space="preserve"> South Australia generation and bidding patterns</w:t>
      </w:r>
    </w:p>
    <w:p w:rsidR="00275002" w:rsidRPr="0031019A" w:rsidRDefault="005057B5" w:rsidP="00275002">
      <w:r w:rsidRPr="005057B5">
        <w:rPr>
          <w:noProof/>
          <w:lang w:eastAsia="en-AU"/>
        </w:rPr>
        <w:drawing>
          <wp:inline distT="0" distB="0" distL="0" distR="0" wp14:anchorId="1456EEB0" wp14:editId="660F8344">
            <wp:extent cx="5731510" cy="4118724"/>
            <wp:effectExtent l="0" t="0" r="2540" b="0"/>
            <wp:docPr id="16" name="Picture 16"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6" w:name="_Ref410383520"/>
      <w:r>
        <w:t xml:space="preserve">Figure </w:t>
      </w:r>
      <w:r w:rsidR="0086538A">
        <w:fldChar w:fldCharType="begin"/>
      </w:r>
      <w:r w:rsidR="0086538A">
        <w:instrText xml:space="preserve"> SEQ Figure \* ARABIC </w:instrText>
      </w:r>
      <w:r w:rsidR="0086538A">
        <w:fldChar w:fldCharType="separate"/>
      </w:r>
      <w:r w:rsidR="003E144D">
        <w:rPr>
          <w:noProof/>
        </w:rPr>
        <w:t>7</w:t>
      </w:r>
      <w:r w:rsidR="0086538A">
        <w:rPr>
          <w:noProof/>
        </w:rPr>
        <w:fldChar w:fldCharType="end"/>
      </w:r>
      <w:bookmarkEnd w:id="16"/>
      <w:r>
        <w:t xml:space="preserve">: </w:t>
      </w:r>
      <w:r w:rsidRPr="008837C4">
        <w:t>Tasmania generation and bidding patterns</w:t>
      </w:r>
    </w:p>
    <w:p w:rsidR="00275002" w:rsidRDefault="000143B3" w:rsidP="00275002">
      <w:r>
        <w:rPr>
          <w:noProof/>
          <w:lang w:eastAsia="en-AU"/>
        </w:rPr>
        <mc:AlternateContent>
          <mc:Choice Requires="wps">
            <w:drawing>
              <wp:anchor distT="0" distB="0" distL="114300" distR="114300" simplePos="0" relativeHeight="251670528" behindDoc="0" locked="0" layoutInCell="1" allowOverlap="1" wp14:anchorId="220621CE" wp14:editId="604BAE8E">
                <wp:simplePos x="0" y="0"/>
                <wp:positionH relativeFrom="column">
                  <wp:posOffset>1235075</wp:posOffset>
                </wp:positionH>
                <wp:positionV relativeFrom="paragraph">
                  <wp:posOffset>1331595</wp:posOffset>
                </wp:positionV>
                <wp:extent cx="614045" cy="1043940"/>
                <wp:effectExtent l="0" t="0" r="14605" b="22860"/>
                <wp:wrapNone/>
                <wp:docPr id="11" name="Oval 11"/>
                <wp:cNvGraphicFramePr/>
                <a:graphic xmlns:a="http://schemas.openxmlformats.org/drawingml/2006/main">
                  <a:graphicData uri="http://schemas.microsoft.com/office/word/2010/wordprocessingShape">
                    <wps:wsp>
                      <wps:cNvSpPr/>
                      <wps:spPr>
                        <a:xfrm>
                          <a:off x="0" y="0"/>
                          <a:ext cx="614045" cy="10439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97.25pt;margin-top:104.85pt;width:48.35pt;height:8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" filled="f" strokecolor="red" strokeweight="2pt"/>
            </w:pict>
          </mc:Fallback>
        </mc:AlternateContent>
      </w:r>
      <w:r>
        <w:rPr>
          <w:noProof/>
          <w:lang w:eastAsia="en-AU"/>
        </w:rPr>
        <mc:AlternateContent>
          <mc:Choice Requires="wps">
            <w:drawing>
              <wp:anchor distT="0" distB="0" distL="114300" distR="114300" simplePos="0" relativeHeight="251678720" behindDoc="0" locked="0" layoutInCell="1" allowOverlap="1" wp14:anchorId="3A01DA18" wp14:editId="74189B7D">
                <wp:simplePos x="0" y="0"/>
                <wp:positionH relativeFrom="column">
                  <wp:posOffset>1937385</wp:posOffset>
                </wp:positionH>
                <wp:positionV relativeFrom="paragraph">
                  <wp:posOffset>1181025</wp:posOffset>
                </wp:positionV>
                <wp:extent cx="551815" cy="1289704"/>
                <wp:effectExtent l="0" t="0" r="19685" b="24765"/>
                <wp:wrapNone/>
                <wp:docPr id="17" name="Oval 17"/>
                <wp:cNvGraphicFramePr/>
                <a:graphic xmlns:a="http://schemas.openxmlformats.org/drawingml/2006/main">
                  <a:graphicData uri="http://schemas.microsoft.com/office/word/2010/wordprocessingShape">
                    <wps:wsp>
                      <wps:cNvSpPr/>
                      <wps:spPr>
                        <a:xfrm>
                          <a:off x="0" y="0"/>
                          <a:ext cx="551815" cy="128970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152.55pt;margin-top:93pt;width:43.45pt;height:10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" filled="f" strokecolor="red" strokeweight="2pt"/>
            </w:pict>
          </mc:Fallback>
        </mc:AlternateContent>
      </w:r>
      <w:r>
        <w:rPr>
          <w:noProof/>
          <w:lang w:eastAsia="en-AU"/>
        </w:rPr>
        <mc:AlternateContent>
          <mc:Choice Requires="wps">
            <w:drawing>
              <wp:anchor distT="0" distB="0" distL="114300" distR="114300" simplePos="0" relativeHeight="251676672" behindDoc="0" locked="0" layoutInCell="1" allowOverlap="1" wp14:anchorId="6F120344" wp14:editId="21144775">
                <wp:simplePos x="0" y="0"/>
                <wp:positionH relativeFrom="column">
                  <wp:posOffset>2669540</wp:posOffset>
                </wp:positionH>
                <wp:positionV relativeFrom="paragraph">
                  <wp:posOffset>733425</wp:posOffset>
                </wp:positionV>
                <wp:extent cx="551815" cy="1801495"/>
                <wp:effectExtent l="0" t="0" r="19685" b="27305"/>
                <wp:wrapNone/>
                <wp:docPr id="15" name="Oval 15"/>
                <wp:cNvGraphicFramePr/>
                <a:graphic xmlns:a="http://schemas.openxmlformats.org/drawingml/2006/main">
                  <a:graphicData uri="http://schemas.microsoft.com/office/word/2010/wordprocessingShape">
                    <wps:wsp>
                      <wps:cNvSpPr/>
                      <wps:spPr>
                        <a:xfrm>
                          <a:off x="0" y="0"/>
                          <a:ext cx="551815" cy="18014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210.2pt;margin-top:57.75pt;width:43.45pt;height:14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" filled="f" strokecolor="red" strokeweight="2pt"/>
            </w:pict>
          </mc:Fallback>
        </mc:AlternateContent>
      </w:r>
      <w:r>
        <w:rPr>
          <w:noProof/>
          <w:lang w:eastAsia="en-AU"/>
        </w:rPr>
        <mc:AlternateContent>
          <mc:Choice Requires="wps">
            <w:drawing>
              <wp:anchor distT="0" distB="0" distL="114300" distR="114300" simplePos="0" relativeHeight="251672576" behindDoc="0" locked="0" layoutInCell="1" allowOverlap="1" wp14:anchorId="333BB4E9" wp14:editId="1498135B">
                <wp:simplePos x="0" y="0"/>
                <wp:positionH relativeFrom="column">
                  <wp:posOffset>3370997</wp:posOffset>
                </wp:positionH>
                <wp:positionV relativeFrom="paragraph">
                  <wp:posOffset>772320</wp:posOffset>
                </wp:positionV>
                <wp:extent cx="551815" cy="1801505"/>
                <wp:effectExtent l="0" t="0" r="19685" b="27305"/>
                <wp:wrapNone/>
                <wp:docPr id="12" name="Oval 12"/>
                <wp:cNvGraphicFramePr/>
                <a:graphic xmlns:a="http://schemas.openxmlformats.org/drawingml/2006/main">
                  <a:graphicData uri="http://schemas.microsoft.com/office/word/2010/wordprocessingShape">
                    <wps:wsp>
                      <wps:cNvSpPr/>
                      <wps:spPr>
                        <a:xfrm>
                          <a:off x="0" y="0"/>
                          <a:ext cx="551815" cy="18015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6" style="position:absolute;margin-left:265.45pt;margin-top:60.8pt;width:43.45pt;height:14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" filled="f" strokecolor="red" strokeweight="2pt"/>
            </w:pict>
          </mc:Fallback>
        </mc:AlternateContent>
      </w:r>
      <w:r>
        <w:rPr>
          <w:noProof/>
          <w:lang w:eastAsia="en-AU"/>
        </w:rPr>
        <mc:AlternateContent>
          <mc:Choice Requires="wps">
            <w:drawing>
              <wp:anchor distT="0" distB="0" distL="114300" distR="114300" simplePos="0" relativeHeight="251674624" behindDoc="0" locked="0" layoutInCell="1" allowOverlap="1" wp14:anchorId="25AB86A8" wp14:editId="4059A609">
                <wp:simplePos x="0" y="0"/>
                <wp:positionH relativeFrom="column">
                  <wp:posOffset>4148919</wp:posOffset>
                </wp:positionH>
                <wp:positionV relativeFrom="paragraph">
                  <wp:posOffset>1140811</wp:posOffset>
                </wp:positionV>
                <wp:extent cx="551815" cy="1330656"/>
                <wp:effectExtent l="0" t="0" r="19685" b="22225"/>
                <wp:wrapNone/>
                <wp:docPr id="14" name="Oval 14"/>
                <wp:cNvGraphicFramePr/>
                <a:graphic xmlns:a="http://schemas.openxmlformats.org/drawingml/2006/main">
                  <a:graphicData uri="http://schemas.microsoft.com/office/word/2010/wordprocessingShape">
                    <wps:wsp>
                      <wps:cNvSpPr/>
                      <wps:spPr>
                        <a:xfrm>
                          <a:off x="0" y="0"/>
                          <a:ext cx="551815" cy="133065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326.7pt;margin-top:89.85pt;width:43.45pt;height:10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" filled="f" strokecolor="red" strokeweight="2pt"/>
            </w:pict>
          </mc:Fallback>
        </mc:AlternateContent>
      </w:r>
      <w:r w:rsidR="005057B5" w:rsidRPr="005057B5">
        <w:rPr>
          <w:noProof/>
          <w:lang w:eastAsia="en-AU"/>
        </w:rPr>
        <w:drawing>
          <wp:inline distT="0" distB="0" distL="0" distR="0" wp14:anchorId="2BBAE7A9" wp14:editId="3C56073A">
            <wp:extent cx="5731510" cy="4118724"/>
            <wp:effectExtent l="0" t="0" r="2540" b="0"/>
            <wp:docPr id="19" name="Picture 19"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0143B3" w:rsidRPr="0031019A" w:rsidRDefault="000143B3" w:rsidP="00167A05">
      <w:pPr>
        <w:jc w:val="both"/>
      </w:pPr>
      <w:r>
        <w:t xml:space="preserve">The five red ellipses on </w:t>
      </w:r>
      <w:r>
        <w:fldChar w:fldCharType="begin"/>
      </w:r>
      <w:r>
        <w:instrText xml:space="preserve"> REF _Ref410383520 \h </w:instrText>
      </w:r>
      <w:r>
        <w:fldChar w:fldCharType="separate"/>
      </w:r>
      <w:r>
        <w:t xml:space="preserve">Figure </w:t>
      </w:r>
      <w:r>
        <w:rPr>
          <w:noProof/>
        </w:rPr>
        <w:t>7</w:t>
      </w:r>
      <w:r>
        <w:fldChar w:fldCharType="end"/>
      </w:r>
      <w:r>
        <w:t xml:space="preserve"> highlight periods where </w:t>
      </w:r>
      <w:r w:rsidR="00343ADB">
        <w:t>H</w:t>
      </w:r>
      <w:r>
        <w:t>ydro Tasmania rebid significant volumes of capacity from higher prices down to prices close to zero</w:t>
      </w:r>
      <w:r w:rsidR="00167A05">
        <w:t>,</w:t>
      </w:r>
      <w:r>
        <w:t xml:space="preserve"> resulting in an increase in hydro generation in Tasmania and a reversal of flows on Basslink from import to export.  The rebid reasons for these events reference transmission constraints being different to forecast</w:t>
      </w:r>
      <w:r w:rsidR="003933FB">
        <w:t xml:space="preserve"> and </w:t>
      </w:r>
      <w:r w:rsidR="00D64538">
        <w:t>broadly</w:t>
      </w:r>
      <w:r w:rsidR="003933FB">
        <w:t xml:space="preserve"> coincided with higher prices on the mainland in Queensland and New South Wales</w:t>
      </w:r>
      <w:r>
        <w:t>.</w:t>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4E13F5" w:rsidP="009A3D22">
      <w:pPr>
        <w:jc w:val="both"/>
      </w:pPr>
      <w:r w:rsidRPr="004E13F5">
        <w:t>The total cost of FCAS on the mainland for the week was $2</w:t>
      </w:r>
      <w:r w:rsidR="00970968">
        <w:t>86</w:t>
      </w:r>
      <w:r w:rsidR="00A2356E">
        <w:t> </w:t>
      </w:r>
      <w:r w:rsidRPr="004E13F5">
        <w:t>500 or less than 1 per cent of energy turnover on the mainland.</w:t>
      </w:r>
    </w:p>
    <w:p w:rsidR="004E13F5" w:rsidRDefault="004E13F5" w:rsidP="004E13F5">
      <w:pPr>
        <w:jc w:val="both"/>
      </w:pPr>
      <w:bookmarkStart w:id="17" w:name="_Ref410383413"/>
      <w:r w:rsidRPr="004E13F5">
        <w:t>The total cost of FCAS in Tasmania for the week was $</w:t>
      </w:r>
      <w:r w:rsidR="00970968">
        <w:t>110</w:t>
      </w:r>
      <w:r w:rsidR="00A2356E">
        <w:t> </w:t>
      </w:r>
      <w:r w:rsidRPr="004E13F5">
        <w:t xml:space="preserve">500 or </w:t>
      </w:r>
      <w:r w:rsidR="001805BB">
        <w:t xml:space="preserve">less than </w:t>
      </w:r>
      <w:r w:rsidR="007A6726">
        <w:t>1.</w:t>
      </w:r>
      <w:r w:rsidR="00970968">
        <w:t>6</w:t>
      </w:r>
      <w:r w:rsidR="007A6726">
        <w:t xml:space="preserve"> </w:t>
      </w:r>
      <w:r w:rsidRPr="004E13F5">
        <w:t>per</w:t>
      </w:r>
      <w:r w:rsidR="00A2356E">
        <w:t> </w:t>
      </w:r>
      <w:r w:rsidRPr="004E13F5">
        <w:t>cent of energy turnover in Tasmania.</w:t>
      </w:r>
    </w:p>
    <w:p w:rsidR="00275002" w:rsidRDefault="00275002" w:rsidP="000E2946">
      <w:pPr>
        <w:pStyle w:val="Caption"/>
      </w:pPr>
      <w:bookmarkStart w:id="18" w:name="_Ref416254344"/>
      <w:r>
        <w:t xml:space="preserve">Figure </w:t>
      </w:r>
      <w:r w:rsidR="0086538A">
        <w:fldChar w:fldCharType="begin"/>
      </w:r>
      <w:r w:rsidR="0086538A">
        <w:instrText xml:space="preserve"> SEQ Figure \* ARABIC </w:instrText>
      </w:r>
      <w:r w:rsidR="0086538A">
        <w:fldChar w:fldCharType="separate"/>
      </w:r>
      <w:r w:rsidR="003E144D">
        <w:rPr>
          <w:noProof/>
        </w:rPr>
        <w:t>8</w:t>
      </w:r>
      <w:r w:rsidR="0086538A">
        <w:rPr>
          <w:noProof/>
        </w:rPr>
        <w:fldChar w:fldCharType="end"/>
      </w:r>
      <w:bookmarkEnd w:id="17"/>
      <w:bookmarkEnd w:id="18"/>
      <w:r>
        <w:t xml:space="preserve"> </w:t>
      </w:r>
      <w:r w:rsidRPr="007707C6">
        <w:t>: Daily frequency control ancillary service cost</w:t>
      </w:r>
    </w:p>
    <w:p w:rsidR="00275002" w:rsidRPr="0031019A" w:rsidRDefault="00970968" w:rsidP="00275002">
      <w:r w:rsidRPr="00970968">
        <w:rPr>
          <w:noProof/>
          <w:lang w:eastAsia="en-AU"/>
        </w:rPr>
        <w:drawing>
          <wp:inline distT="0" distB="0" distL="0" distR="0" wp14:anchorId="6F93DCF0" wp14:editId="168FE2DE">
            <wp:extent cx="5731510" cy="2894051"/>
            <wp:effectExtent l="0" t="0" r="2540" b="1905"/>
            <wp:docPr id="20" name="Picture 20"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051"/>
                    </a:xfrm>
                    <a:prstGeom prst="rect">
                      <a:avLst/>
                    </a:prstGeom>
                    <a:noFill/>
                    <a:ln>
                      <a:noFill/>
                    </a:ln>
                  </pic:spPr>
                </pic:pic>
              </a:graphicData>
            </a:graphic>
          </wp:inline>
        </w:drawing>
      </w:r>
    </w:p>
    <w:p w:rsidR="00127CAB" w:rsidRDefault="003E144D" w:rsidP="009A3D22">
      <w:pPr>
        <w:jc w:val="both"/>
      </w:pPr>
      <w:r>
        <w:fldChar w:fldCharType="begin"/>
      </w:r>
      <w:r>
        <w:instrText xml:space="preserve"> REF _Ref416254344 \h </w:instrText>
      </w:r>
      <w:r>
        <w:fldChar w:fldCharType="separate"/>
      </w:r>
      <w:r>
        <w:t xml:space="preserve">Figure </w:t>
      </w:r>
      <w:r>
        <w:rPr>
          <w:noProof/>
        </w:rPr>
        <w:t>8</w:t>
      </w:r>
      <w:r>
        <w:fldChar w:fldCharType="end"/>
      </w:r>
      <w:r>
        <w:t xml:space="preserve"> </w:t>
      </w:r>
      <w:r w:rsidR="00275002" w:rsidRPr="0031019A">
        <w:t>shows the daily breakdown of cost for each FCAS for the NEM, as well as the average cost since the beginning of the previ</w:t>
      </w:r>
      <w:r w:rsidR="00275002" w:rsidRPr="008366CD">
        <w:t xml:space="preserve">ous financial year. </w:t>
      </w:r>
    </w:p>
    <w:bookmarkEnd w:id="0"/>
    <w:bookmarkEnd w:id="1"/>
    <w:bookmarkEnd w:id="2"/>
    <w:bookmarkEnd w:id="3"/>
    <w:bookmarkEnd w:id="4"/>
    <w:bookmarkEnd w:id="5"/>
    <w:p w:rsidR="00275002" w:rsidRPr="00F33F2D" w:rsidRDefault="00275002" w:rsidP="00914A87">
      <w:pPr>
        <w:pStyle w:val="AERHeading1"/>
      </w:pPr>
      <w:r w:rsidRPr="00F33F2D">
        <w:t>Detailed market analysis of significant price events</w:t>
      </w:r>
    </w:p>
    <w:p w:rsidR="00275002" w:rsidRPr="00F33F2D" w:rsidRDefault="00275002" w:rsidP="00A76905">
      <w:pPr>
        <w:jc w:val="both"/>
      </w:pPr>
      <w:r w:rsidRPr="00F33F2D">
        <w:t xml:space="preserve">We provide more detailed analysis of events where the spot price was greater than three times the weekly average price in a region and above $250/MWh or was below </w:t>
      </w:r>
      <w:r w:rsidRPr="00F33F2D">
        <w:noBreakHyphen/>
        <w:t xml:space="preserve">$100/MWh. </w:t>
      </w:r>
    </w:p>
    <w:p w:rsidR="00F33F2D" w:rsidRPr="00F33F2D" w:rsidRDefault="00F33F2D" w:rsidP="00A76905">
      <w:pPr>
        <w:jc w:val="both"/>
      </w:pPr>
      <w:r w:rsidRPr="00F33F2D">
        <w:t xml:space="preserve">There were </w:t>
      </w:r>
      <w:r w:rsidR="00970968">
        <w:t>two</w:t>
      </w:r>
      <w:r w:rsidRPr="00F33F2D">
        <w:t xml:space="preserve"> occasions where the spot price in Queensland was greater than three times the Queensland weekly average price of $</w:t>
      </w:r>
      <w:r w:rsidR="00970968">
        <w:t>44</w:t>
      </w:r>
      <w:r w:rsidRPr="00F33F2D">
        <w:t>/MWh and above $250/MWh.</w:t>
      </w:r>
    </w:p>
    <w:p w:rsidR="004E13F5" w:rsidRPr="00F33F2D" w:rsidRDefault="00970968" w:rsidP="00A76905">
      <w:pPr>
        <w:keepNext/>
        <w:spacing w:before="240" w:after="120"/>
        <w:jc w:val="both"/>
        <w:rPr>
          <w:b/>
          <w:bCs/>
          <w:color w:val="2272A3" w:themeColor="accent4" w:themeShade="80"/>
          <w:sz w:val="24"/>
          <w:szCs w:val="18"/>
        </w:rPr>
      </w:pPr>
      <w:r>
        <w:rPr>
          <w:b/>
          <w:bCs/>
          <w:color w:val="2272A3" w:themeColor="accent4" w:themeShade="80"/>
          <w:sz w:val="24"/>
          <w:szCs w:val="18"/>
        </w:rPr>
        <w:t>Tue</w:t>
      </w:r>
      <w:r w:rsidR="00F33F2D">
        <w:rPr>
          <w:b/>
          <w:bCs/>
          <w:color w:val="2272A3" w:themeColor="accent4" w:themeShade="80"/>
          <w:sz w:val="24"/>
          <w:szCs w:val="18"/>
        </w:rPr>
        <w:t>sday </w:t>
      </w:r>
      <w:r>
        <w:rPr>
          <w:b/>
          <w:bCs/>
          <w:color w:val="2272A3" w:themeColor="accent4" w:themeShade="80"/>
          <w:sz w:val="24"/>
          <w:szCs w:val="18"/>
        </w:rPr>
        <w:t>24</w:t>
      </w:r>
      <w:r w:rsidR="00F33F2D">
        <w:rPr>
          <w:b/>
          <w:bCs/>
          <w:color w:val="2272A3" w:themeColor="accent4" w:themeShade="80"/>
          <w:sz w:val="24"/>
          <w:szCs w:val="18"/>
        </w:rPr>
        <w:t> March</w:t>
      </w:r>
    </w:p>
    <w:p w:rsidR="004E13F5" w:rsidRPr="00F33F2D" w:rsidRDefault="004E13F5" w:rsidP="004E13F5">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3E144D">
        <w:rPr>
          <w:b/>
          <w:bCs/>
          <w:noProof/>
          <w:color w:val="2272A3" w:themeColor="accent4" w:themeShade="80"/>
          <w:sz w:val="24"/>
          <w:szCs w:val="18"/>
        </w:rPr>
        <w:t>3</w:t>
      </w:r>
      <w:r w:rsidRPr="00F33F2D">
        <w:rPr>
          <w:b/>
          <w:bCs/>
          <w:noProof/>
          <w:color w:val="2272A3" w:themeColor="accent4" w:themeShade="80"/>
          <w:sz w:val="24"/>
          <w:szCs w:val="18"/>
        </w:rPr>
        <w:fldChar w:fldCharType="end"/>
      </w:r>
      <w:r w:rsidRPr="00F33F2D">
        <w:rPr>
          <w:b/>
          <w:bCs/>
          <w:color w:val="2272A3" w:themeColor="accent4" w:themeShade="80"/>
          <w:sz w:val="24"/>
          <w:szCs w:val="18"/>
        </w:rPr>
        <w:t xml:space="preserve"> :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4E13F5"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4E13F5" w:rsidRPr="00F33F2D" w:rsidRDefault="004E13F5" w:rsidP="004E13F5">
            <w:pPr>
              <w:spacing w:before="60" w:after="60"/>
              <w:jc w:val="center"/>
              <w:rPr>
                <w:sz w:val="18"/>
                <w14:numSpacing w14:val="default"/>
              </w:rPr>
            </w:pPr>
            <w:r w:rsidRPr="00F33F2D">
              <w:rPr>
                <w:sz w:val="18"/>
              </w:rPr>
              <w:t>Time</w:t>
            </w:r>
          </w:p>
        </w:tc>
        <w:tc>
          <w:tcPr>
            <w:tcW w:w="1513"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Availability (MW)</w:t>
            </w:r>
          </w:p>
        </w:tc>
      </w:tr>
      <w:tr w:rsidR="00FF26D0"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r>
      <w:tr w:rsidR="00970968" w:rsidRPr="00970968" w:rsidTr="00F33F2D">
        <w:trPr>
          <w:trHeight w:val="510"/>
        </w:trPr>
        <w:tc>
          <w:tcPr>
            <w:tcW w:w="539" w:type="pct"/>
            <w:tcBorders>
              <w:top w:val="nil"/>
            </w:tcBorders>
            <w:vAlign w:val="center"/>
          </w:tcPr>
          <w:p w:rsidR="00970968" w:rsidRPr="00F33F2D" w:rsidRDefault="00970968" w:rsidP="00F33F2D">
            <w:pPr>
              <w:spacing w:before="100" w:beforeAutospacing="1" w:after="100" w:afterAutospacing="1" w:line="240" w:lineRule="auto"/>
              <w:jc w:val="center"/>
              <w:rPr>
                <w:rFonts w:asciiTheme="minorHAnsi" w:eastAsia="Times New Roman" w:hAnsiTheme="minorHAnsi" w:cstheme="minorHAnsi"/>
                <w:sz w:val="24"/>
                <w:szCs w:val="24"/>
                <w:lang w:eastAsia="en-AU"/>
              </w:rPr>
            </w:pPr>
            <w:r>
              <w:rPr>
                <w:rFonts w:asciiTheme="minorHAnsi" w:eastAsia="Times New Roman" w:hAnsiTheme="minorHAnsi" w:cstheme="minorHAnsi"/>
                <w:b/>
                <w:bCs/>
                <w:sz w:val="16"/>
                <w:szCs w:val="16"/>
                <w:lang w:eastAsia="en-AU"/>
              </w:rPr>
              <w:t>5 </w:t>
            </w:r>
            <w:r w:rsidRPr="00F33F2D">
              <w:rPr>
                <w:rFonts w:asciiTheme="minorHAnsi" w:eastAsia="Times New Roman" w:hAnsiTheme="minorHAnsi" w:cstheme="minorHAnsi"/>
                <w:b/>
                <w:bCs/>
                <w:sz w:val="16"/>
                <w:szCs w:val="16"/>
                <w:lang w:eastAsia="en-AU"/>
              </w:rPr>
              <w:t>pm</w:t>
            </w:r>
          </w:p>
        </w:tc>
        <w:tc>
          <w:tcPr>
            <w:tcW w:w="518"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299</w:t>
            </w:r>
          </w:p>
        </w:tc>
        <w:tc>
          <w:tcPr>
            <w:tcW w:w="497" w:type="pct"/>
            <w:tcBorders>
              <w:top w:val="nil"/>
            </w:tcBorders>
            <w:vAlign w:val="center"/>
          </w:tcPr>
          <w:p w:rsidR="00970968" w:rsidRPr="00970968" w:rsidRDefault="00970968" w:rsidP="00970968">
            <w:pPr>
              <w:pStyle w:val="NormalWeb"/>
              <w:jc w:val="center"/>
              <w:rPr>
                <w:rFonts w:ascii="Arial" w:hAnsi="Arial" w:cs="Arial"/>
                <w:sz w:val="18"/>
                <w:szCs w:val="18"/>
              </w:rPr>
            </w:pPr>
            <w:r w:rsidRPr="00970968">
              <w:rPr>
                <w:rFonts w:ascii="Arial" w:hAnsi="Arial" w:cs="Arial"/>
                <w:sz w:val="18"/>
                <w:szCs w:val="18"/>
              </w:rPr>
              <w:t>59</w:t>
            </w:r>
          </w:p>
        </w:tc>
        <w:tc>
          <w:tcPr>
            <w:tcW w:w="498" w:type="pct"/>
            <w:tcBorders>
              <w:top w:val="nil"/>
            </w:tcBorders>
            <w:vAlign w:val="center"/>
          </w:tcPr>
          <w:p w:rsidR="00970968" w:rsidRPr="00970968" w:rsidRDefault="00970968" w:rsidP="00970968">
            <w:pPr>
              <w:pStyle w:val="NormalWeb"/>
              <w:jc w:val="center"/>
              <w:rPr>
                <w:rFonts w:ascii="Arial" w:hAnsi="Arial" w:cs="Arial"/>
                <w:sz w:val="18"/>
                <w:szCs w:val="18"/>
              </w:rPr>
            </w:pPr>
            <w:r w:rsidRPr="00970968">
              <w:rPr>
                <w:rFonts w:ascii="Arial" w:hAnsi="Arial" w:cs="Arial"/>
                <w:sz w:val="18"/>
                <w:szCs w:val="18"/>
              </w:rPr>
              <w:t>96</w:t>
            </w:r>
          </w:p>
        </w:tc>
        <w:tc>
          <w:tcPr>
            <w:tcW w:w="480"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7687</w:t>
            </w:r>
          </w:p>
        </w:tc>
        <w:tc>
          <w:tcPr>
            <w:tcW w:w="497"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7485</w:t>
            </w:r>
          </w:p>
        </w:tc>
        <w:tc>
          <w:tcPr>
            <w:tcW w:w="497"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7559</w:t>
            </w:r>
          </w:p>
        </w:tc>
        <w:tc>
          <w:tcPr>
            <w:tcW w:w="480"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9499</w:t>
            </w:r>
          </w:p>
        </w:tc>
        <w:tc>
          <w:tcPr>
            <w:tcW w:w="497"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9563</w:t>
            </w:r>
          </w:p>
        </w:tc>
        <w:tc>
          <w:tcPr>
            <w:tcW w:w="496"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9598</w:t>
            </w:r>
          </w:p>
        </w:tc>
      </w:tr>
    </w:tbl>
    <w:p w:rsidR="00970968" w:rsidRDefault="00435963" w:rsidP="00D948DD">
      <w:pPr>
        <w:jc w:val="both"/>
      </w:pPr>
      <w:r>
        <w:t>Conditions at the time saw demand more than 200 MW higher than that forecast four hours ahead, while available capacity was only slightly below forecast levels.</w:t>
      </w:r>
    </w:p>
    <w:p w:rsidR="00EA72E6" w:rsidRDefault="002706ED" w:rsidP="00D948DD">
      <w:pPr>
        <w:jc w:val="both"/>
      </w:pPr>
      <w:r>
        <w:t xml:space="preserve">Additional supply from New South Wales was limited by system normal constraints managing voltage stability on the loss of Kogan Creek, and the </w:t>
      </w:r>
      <w:r w:rsidR="00EA72E6">
        <w:t xml:space="preserve">limits on </w:t>
      </w:r>
      <w:r>
        <w:t xml:space="preserve">Directlink. </w:t>
      </w:r>
    </w:p>
    <w:p w:rsidR="002706ED" w:rsidRDefault="006C0DD8" w:rsidP="00D948DD">
      <w:pPr>
        <w:jc w:val="both"/>
      </w:pPr>
      <w:r>
        <w:t>Forecast spot prices started increasing in pre dispatch runs from one hour ahead when expected demand rose to levels above 7600 MW.</w:t>
      </w:r>
    </w:p>
    <w:p w:rsidR="006C0DD8" w:rsidRDefault="00496CC6" w:rsidP="00D948DD">
      <w:pPr>
        <w:jc w:val="both"/>
      </w:pPr>
      <w:r>
        <w:t xml:space="preserve">Numerous plant in Queensland moved small volumes across the forecast price threshold and technical issues at Callide B resulted in a progressive reduction in its available capacity. </w:t>
      </w:r>
      <w:r w:rsidR="006C0DD8">
        <w:t>At 3.59 pm, Stanwell rebid 220 MW of available capacity at its Stanwell and Tarong generating units from below $30/MWh to above $298/MWh. The reason given was “</w:t>
      </w:r>
      <w:r w:rsidR="006C0DD8" w:rsidRPr="006C0DD8">
        <w:t>1559A QLD 5MIN DEMAND ABOVE 30MIN PD @ 1550HRS</w:t>
      </w:r>
      <w:r w:rsidR="006C0DD8">
        <w:t>”.</w:t>
      </w:r>
    </w:p>
    <w:p w:rsidR="00F27D2F" w:rsidRDefault="00F27D2F" w:rsidP="00D948DD">
      <w:pPr>
        <w:jc w:val="both"/>
      </w:pPr>
      <w:r>
        <w:t>When demand in Queensland began to exceed 7600 MW from 4.15 pm, 5</w:t>
      </w:r>
      <w:r>
        <w:noBreakHyphen/>
        <w:t xml:space="preserve">minute prices rose to around $300/MWh over 13 consecutive dispatch intervals until 5.20 pm when demand reduced to just over 7500 MW. </w:t>
      </w:r>
    </w:p>
    <w:p w:rsidR="00F27D2F" w:rsidRDefault="00F27D2F" w:rsidP="00D948DD">
      <w:pPr>
        <w:jc w:val="both"/>
      </w:pPr>
      <w:r>
        <w:t>There was no other significant rebidding.</w:t>
      </w:r>
    </w:p>
    <w:p w:rsidR="00F33F2D" w:rsidRPr="00FF26D0" w:rsidRDefault="00970968" w:rsidP="00FF26D0">
      <w:pPr>
        <w:keepNext/>
        <w:spacing w:before="240" w:after="120"/>
        <w:rPr>
          <w:b/>
          <w:bCs/>
          <w:color w:val="2272A3" w:themeColor="accent4" w:themeShade="80"/>
          <w:sz w:val="24"/>
          <w:szCs w:val="18"/>
        </w:rPr>
      </w:pPr>
      <w:r>
        <w:rPr>
          <w:b/>
          <w:bCs/>
          <w:color w:val="2272A3" w:themeColor="accent4" w:themeShade="80"/>
          <w:sz w:val="24"/>
          <w:szCs w:val="18"/>
        </w:rPr>
        <w:t>Wednes</w:t>
      </w:r>
      <w:r w:rsidR="00FF26D0" w:rsidRPr="00FF26D0">
        <w:rPr>
          <w:b/>
          <w:bCs/>
          <w:color w:val="2272A3" w:themeColor="accent4" w:themeShade="80"/>
          <w:sz w:val="24"/>
          <w:szCs w:val="18"/>
        </w:rPr>
        <w:t>day 2</w:t>
      </w:r>
      <w:r>
        <w:rPr>
          <w:b/>
          <w:bCs/>
          <w:color w:val="2272A3" w:themeColor="accent4" w:themeShade="80"/>
          <w:sz w:val="24"/>
          <w:szCs w:val="18"/>
        </w:rPr>
        <w:t>5</w:t>
      </w:r>
      <w:r w:rsidR="00FF26D0" w:rsidRPr="00FF26D0">
        <w:rPr>
          <w:b/>
          <w:bCs/>
          <w:color w:val="2272A3" w:themeColor="accent4" w:themeShade="80"/>
          <w:sz w:val="24"/>
          <w:szCs w:val="18"/>
        </w:rPr>
        <w:t> March</w:t>
      </w:r>
    </w:p>
    <w:p w:rsidR="00FF26D0" w:rsidRPr="00F33F2D" w:rsidRDefault="003E144D" w:rsidP="00FF26D0">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73F43">
        <w:rPr>
          <w:b/>
          <w:bCs/>
          <w:noProof/>
          <w:color w:val="2272A3" w:themeColor="accent4" w:themeShade="80"/>
          <w:sz w:val="24"/>
          <w:szCs w:val="18"/>
        </w:rPr>
        <w:t>4</w:t>
      </w:r>
      <w:r w:rsidRPr="00F33F2D">
        <w:rPr>
          <w:b/>
          <w:bCs/>
          <w:noProof/>
          <w:color w:val="2272A3" w:themeColor="accent4" w:themeShade="80"/>
          <w:sz w:val="24"/>
          <w:szCs w:val="18"/>
        </w:rPr>
        <w:fldChar w:fldCharType="end"/>
      </w:r>
      <w:r w:rsidR="00FF26D0" w:rsidRPr="00F33F2D">
        <w:rPr>
          <w:b/>
          <w:bCs/>
          <w:color w:val="2272A3" w:themeColor="accent4" w:themeShade="80"/>
          <w:sz w:val="24"/>
          <w:szCs w:val="18"/>
        </w:rPr>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F33F2D" w:rsidRPr="00F33F2D" w:rsidRDefault="00F33F2D" w:rsidP="00993358">
            <w:pPr>
              <w:spacing w:before="60" w:after="60"/>
              <w:jc w:val="center"/>
              <w:rPr>
                <w:sz w:val="18"/>
                <w14:numSpacing w14:val="default"/>
              </w:rPr>
            </w:pPr>
            <w:r w:rsidRPr="00F33F2D">
              <w:rPr>
                <w:sz w:val="18"/>
              </w:rPr>
              <w:t>Time</w:t>
            </w:r>
          </w:p>
        </w:tc>
        <w:tc>
          <w:tcPr>
            <w:tcW w:w="151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Availability (MW)</w:t>
            </w:r>
          </w:p>
        </w:tc>
      </w:tr>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r>
      <w:tr w:rsidR="00970968" w:rsidRPr="00F33F2D" w:rsidTr="00993358">
        <w:trPr>
          <w:trHeight w:val="510"/>
        </w:trPr>
        <w:tc>
          <w:tcPr>
            <w:tcW w:w="539" w:type="pct"/>
            <w:tcBorders>
              <w:top w:val="nil"/>
            </w:tcBorders>
            <w:vAlign w:val="center"/>
          </w:tcPr>
          <w:p w:rsidR="00970968" w:rsidRPr="00F33F2D" w:rsidRDefault="00970968"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7.30 pm</w:t>
            </w:r>
          </w:p>
        </w:tc>
        <w:tc>
          <w:tcPr>
            <w:tcW w:w="518"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261.52</w:t>
            </w:r>
          </w:p>
        </w:tc>
        <w:tc>
          <w:tcPr>
            <w:tcW w:w="497"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29.40</w:t>
            </w:r>
          </w:p>
        </w:tc>
        <w:tc>
          <w:tcPr>
            <w:tcW w:w="498"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31.01</w:t>
            </w:r>
          </w:p>
        </w:tc>
        <w:tc>
          <w:tcPr>
            <w:tcW w:w="480"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7991</w:t>
            </w:r>
          </w:p>
        </w:tc>
        <w:tc>
          <w:tcPr>
            <w:tcW w:w="497"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7786</w:t>
            </w:r>
          </w:p>
        </w:tc>
        <w:tc>
          <w:tcPr>
            <w:tcW w:w="497"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8080</w:t>
            </w:r>
          </w:p>
        </w:tc>
        <w:tc>
          <w:tcPr>
            <w:tcW w:w="480"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9953</w:t>
            </w:r>
          </w:p>
        </w:tc>
        <w:tc>
          <w:tcPr>
            <w:tcW w:w="497"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9976</w:t>
            </w:r>
          </w:p>
        </w:tc>
        <w:tc>
          <w:tcPr>
            <w:tcW w:w="496" w:type="pct"/>
            <w:tcBorders>
              <w:top w:val="nil"/>
            </w:tcBorders>
            <w:vAlign w:val="center"/>
          </w:tcPr>
          <w:p w:rsidR="00970968" w:rsidRPr="00970968" w:rsidRDefault="00970968">
            <w:pPr>
              <w:pStyle w:val="NormalWeb"/>
              <w:jc w:val="center"/>
              <w:rPr>
                <w:rFonts w:ascii="Arial" w:hAnsi="Arial" w:cs="Arial"/>
                <w:sz w:val="18"/>
                <w:szCs w:val="18"/>
              </w:rPr>
            </w:pPr>
            <w:r w:rsidRPr="00970968">
              <w:rPr>
                <w:rFonts w:ascii="Arial" w:hAnsi="Arial" w:cs="Arial"/>
                <w:sz w:val="18"/>
                <w:szCs w:val="18"/>
              </w:rPr>
              <w:t>10 071</w:t>
            </w:r>
          </w:p>
        </w:tc>
      </w:tr>
    </w:tbl>
    <w:p w:rsidR="00767AE6" w:rsidRDefault="00767AE6" w:rsidP="00767AE6">
      <w:pPr>
        <w:jc w:val="both"/>
      </w:pPr>
      <w:r>
        <w:t>Conditions at the time saw demand more than 200 MW higher than that forecast four hours ahead, while available capacity was only slightly below forecast levels.</w:t>
      </w:r>
    </w:p>
    <w:p w:rsidR="00290A82" w:rsidRDefault="00767AE6" w:rsidP="00D948DD">
      <w:pPr>
        <w:jc w:val="both"/>
      </w:pPr>
      <w:r>
        <w:t>Additional supply from New South Wales was limited by system normal constraints managing voltage stability on the loss of Kogan Creek, and the outage of t</w:t>
      </w:r>
      <w:r w:rsidR="0080703F">
        <w:t>wo</w:t>
      </w:r>
      <w:r>
        <w:t xml:space="preserve"> Directlink cables. </w:t>
      </w:r>
    </w:p>
    <w:p w:rsidR="00E9003D" w:rsidRDefault="00E9003D" w:rsidP="00D948DD">
      <w:pPr>
        <w:jc w:val="both"/>
      </w:pPr>
      <w:r>
        <w:t>High spot prices were no</w:t>
      </w:r>
      <w:r w:rsidR="00DB2FD0">
        <w:t>t</w:t>
      </w:r>
      <w:r>
        <w:t xml:space="preserve"> forecast in pre</w:t>
      </w:r>
      <w:r w:rsidR="00885563">
        <w:t xml:space="preserve"> </w:t>
      </w:r>
      <w:r>
        <w:t>dispatch runs</w:t>
      </w:r>
      <w:r w:rsidR="00DB2FD0">
        <w:t>.</w:t>
      </w:r>
      <w:r>
        <w:t xml:space="preserve"> </w:t>
      </w:r>
      <w:r w:rsidR="00DB2FD0">
        <w:t>P</w:t>
      </w:r>
      <w:r>
        <w:t xml:space="preserve">articipant rebidding close to </w:t>
      </w:r>
      <w:r w:rsidR="00496CC6">
        <w:t xml:space="preserve">the start of the trading interval and during the trading interval </w:t>
      </w:r>
      <w:r>
        <w:t>reduc</w:t>
      </w:r>
      <w:r w:rsidR="00DB2FD0">
        <w:t>ed</w:t>
      </w:r>
      <w:r>
        <w:t xml:space="preserve"> the </w:t>
      </w:r>
      <w:r w:rsidR="00496CC6">
        <w:t xml:space="preserve">volume </w:t>
      </w:r>
      <w:r>
        <w:t>of generation priced below $500/MWh by more than 300 MW</w:t>
      </w:r>
      <w:r w:rsidR="00496CC6">
        <w:t>.</w:t>
      </w:r>
      <w:r w:rsidR="00DB2FD0">
        <w:t xml:space="preserve"> </w:t>
      </w:r>
      <w:r w:rsidR="00496CC6">
        <w:t xml:space="preserve">The resulting steep supply curve </w:t>
      </w:r>
      <w:r w:rsidR="00DB2FD0">
        <w:t>(</w:t>
      </w:r>
      <w:r w:rsidR="00496CC6">
        <w:t xml:space="preserve">with </w:t>
      </w:r>
      <w:r w:rsidR="00DB2FD0">
        <w:t xml:space="preserve">only 36 MW available between $50/MWh and $200/MWh over the period) </w:t>
      </w:r>
      <w:r w:rsidR="00496CC6">
        <w:t>create</w:t>
      </w:r>
      <w:r w:rsidR="00167A05">
        <w:t>d</w:t>
      </w:r>
      <w:r w:rsidR="00496CC6">
        <w:t xml:space="preserve"> a situation where </w:t>
      </w:r>
      <w:r w:rsidR="00DB2FD0">
        <w:t xml:space="preserve">small changes to </w:t>
      </w:r>
      <w:r w:rsidR="00496CC6">
        <w:t xml:space="preserve">demand or </w:t>
      </w:r>
      <w:r w:rsidR="00DB2FD0">
        <w:t>available capacity had a more significant impact.</w:t>
      </w:r>
    </w:p>
    <w:p w:rsidR="00DA3E42" w:rsidRPr="00F32F4B" w:rsidRDefault="003E144D" w:rsidP="00B9227A">
      <w:pPr>
        <w:keepNext/>
        <w:spacing w:before="240" w:after="120"/>
        <w:rPr>
          <w:b/>
          <w:bCs/>
          <w:color w:val="2272A3" w:themeColor="accent4" w:themeShade="80"/>
          <w:sz w:val="24"/>
          <w:szCs w:val="18"/>
        </w:rPr>
      </w:pPr>
      <w:r w:rsidRPr="00F32F4B">
        <w:rPr>
          <w:b/>
          <w:bCs/>
          <w:color w:val="2272A3" w:themeColor="accent4" w:themeShade="80"/>
          <w:sz w:val="24"/>
          <w:szCs w:val="18"/>
        </w:rPr>
        <w:t xml:space="preserve">Table </w:t>
      </w:r>
      <w:r w:rsidRPr="00F32F4B">
        <w:rPr>
          <w:b/>
          <w:bCs/>
          <w:color w:val="2272A3" w:themeColor="accent4" w:themeShade="80"/>
          <w:sz w:val="24"/>
          <w:szCs w:val="18"/>
        </w:rPr>
        <w:fldChar w:fldCharType="begin"/>
      </w:r>
      <w:r w:rsidRPr="00F32F4B">
        <w:rPr>
          <w:b/>
          <w:bCs/>
          <w:color w:val="2272A3" w:themeColor="accent4" w:themeShade="80"/>
          <w:sz w:val="24"/>
          <w:szCs w:val="18"/>
        </w:rPr>
        <w:instrText xml:space="preserve"> SEQ Table \* ARABIC </w:instrText>
      </w:r>
      <w:r w:rsidRPr="00F32F4B">
        <w:rPr>
          <w:b/>
          <w:bCs/>
          <w:color w:val="2272A3" w:themeColor="accent4" w:themeShade="80"/>
          <w:sz w:val="24"/>
          <w:szCs w:val="18"/>
        </w:rPr>
        <w:fldChar w:fldCharType="separate"/>
      </w:r>
      <w:r w:rsidR="00C73F43">
        <w:rPr>
          <w:b/>
          <w:bCs/>
          <w:noProof/>
          <w:color w:val="2272A3" w:themeColor="accent4" w:themeShade="80"/>
          <w:sz w:val="24"/>
          <w:szCs w:val="18"/>
        </w:rPr>
        <w:t>5</w:t>
      </w:r>
      <w:r w:rsidRPr="00F32F4B">
        <w:rPr>
          <w:b/>
          <w:bCs/>
          <w:noProof/>
          <w:color w:val="2272A3" w:themeColor="accent4" w:themeShade="80"/>
          <w:sz w:val="24"/>
          <w:szCs w:val="18"/>
        </w:rPr>
        <w:fldChar w:fldCharType="end"/>
      </w:r>
      <w:r w:rsidR="00DA3E42" w:rsidRPr="00F32F4B">
        <w:rPr>
          <w:b/>
          <w:bCs/>
          <w:color w:val="2272A3" w:themeColor="accent4" w:themeShade="80"/>
          <w:sz w:val="24"/>
          <w:szCs w:val="18"/>
        </w:rPr>
        <w:t xml:space="preserve">: Rebids for </w:t>
      </w:r>
      <w:r w:rsidR="00F32F4B" w:rsidRPr="00F32F4B">
        <w:rPr>
          <w:b/>
          <w:bCs/>
          <w:color w:val="2272A3" w:themeColor="accent4" w:themeShade="80"/>
          <w:sz w:val="24"/>
          <w:szCs w:val="18"/>
        </w:rPr>
        <w:t>7.30</w:t>
      </w:r>
      <w:r w:rsidR="00DA3E42" w:rsidRPr="00F32F4B">
        <w:rPr>
          <w:b/>
          <w:bCs/>
          <w:color w:val="2272A3" w:themeColor="accent4" w:themeShade="80"/>
          <w:sz w:val="24"/>
          <w:szCs w:val="18"/>
        </w:rPr>
        <w:t> pm</w:t>
      </w:r>
    </w:p>
    <w:tbl>
      <w:tblPr>
        <w:tblStyle w:val="AERsummarytable"/>
        <w:tblW w:w="9180" w:type="dxa"/>
        <w:tblLayout w:type="fixed"/>
        <w:tblLook w:val="04A0" w:firstRow="1" w:lastRow="0" w:firstColumn="1" w:lastColumn="0" w:noHBand="0" w:noVBand="1"/>
      </w:tblPr>
      <w:tblGrid>
        <w:gridCol w:w="959"/>
        <w:gridCol w:w="992"/>
        <w:gridCol w:w="1363"/>
        <w:gridCol w:w="1047"/>
        <w:gridCol w:w="992"/>
        <w:gridCol w:w="969"/>
        <w:gridCol w:w="971"/>
        <w:gridCol w:w="1887"/>
      </w:tblGrid>
      <w:tr w:rsidR="00DA3E42" w:rsidRPr="00F32F4B" w:rsidTr="00993358">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DA3E42" w:rsidRPr="00F32F4B" w:rsidRDefault="00DA3E42" w:rsidP="00993358">
            <w:pPr>
              <w:pStyle w:val="TableHeading"/>
            </w:pPr>
            <w:r w:rsidRPr="00F32F4B">
              <w:t>Time in</w:t>
            </w:r>
          </w:p>
        </w:tc>
        <w:tc>
          <w:tcPr>
            <w:tcW w:w="992" w:type="dxa"/>
            <w:hideMark/>
          </w:tcPr>
          <w:p w:rsidR="00DA3E42" w:rsidRPr="00F32F4B" w:rsidRDefault="00DA3E42" w:rsidP="00993358">
            <w:pPr>
              <w:pStyle w:val="TableHeading"/>
              <w:ind w:left="-108"/>
            </w:pPr>
            <w:r w:rsidRPr="00F32F4B">
              <w:t>Time effective</w:t>
            </w:r>
          </w:p>
        </w:tc>
        <w:tc>
          <w:tcPr>
            <w:tcW w:w="1363" w:type="dxa"/>
            <w:hideMark/>
          </w:tcPr>
          <w:p w:rsidR="00DA3E42" w:rsidRPr="00F32F4B" w:rsidRDefault="00DA3E42" w:rsidP="00993358">
            <w:pPr>
              <w:pStyle w:val="TableHeading"/>
            </w:pPr>
            <w:r w:rsidRPr="00F32F4B">
              <w:t>Participant</w:t>
            </w:r>
          </w:p>
        </w:tc>
        <w:tc>
          <w:tcPr>
            <w:tcW w:w="1047" w:type="dxa"/>
            <w:hideMark/>
          </w:tcPr>
          <w:p w:rsidR="00DA3E42" w:rsidRPr="00F32F4B" w:rsidRDefault="00DA3E42" w:rsidP="00993358">
            <w:pPr>
              <w:pStyle w:val="TableHeading"/>
            </w:pPr>
            <w:r w:rsidRPr="00F32F4B">
              <w:t>Station</w:t>
            </w:r>
          </w:p>
        </w:tc>
        <w:tc>
          <w:tcPr>
            <w:tcW w:w="992" w:type="dxa"/>
            <w:hideMark/>
          </w:tcPr>
          <w:p w:rsidR="00DA3E42" w:rsidRPr="00F32F4B" w:rsidRDefault="00DA3E42" w:rsidP="00993358">
            <w:pPr>
              <w:pStyle w:val="TableHeading"/>
            </w:pPr>
            <w:r w:rsidRPr="00F32F4B">
              <w:t>Capacity rebid (MW)</w:t>
            </w:r>
          </w:p>
        </w:tc>
        <w:tc>
          <w:tcPr>
            <w:tcW w:w="969" w:type="dxa"/>
            <w:hideMark/>
          </w:tcPr>
          <w:p w:rsidR="00DA3E42" w:rsidRPr="00F32F4B" w:rsidRDefault="00DA3E42" w:rsidP="00993358">
            <w:pPr>
              <w:pStyle w:val="TableHeading"/>
            </w:pPr>
            <w:r w:rsidRPr="00F32F4B">
              <w:t>Price from ($/MWh)</w:t>
            </w:r>
          </w:p>
        </w:tc>
        <w:tc>
          <w:tcPr>
            <w:tcW w:w="971" w:type="dxa"/>
            <w:hideMark/>
          </w:tcPr>
          <w:p w:rsidR="00DA3E42" w:rsidRPr="00F32F4B" w:rsidRDefault="00DA3E42" w:rsidP="00993358">
            <w:pPr>
              <w:pStyle w:val="TableHeading"/>
            </w:pPr>
            <w:r w:rsidRPr="00F32F4B">
              <w:t>Price to ($/MWh)</w:t>
            </w:r>
          </w:p>
        </w:tc>
        <w:tc>
          <w:tcPr>
            <w:tcW w:w="1887" w:type="dxa"/>
            <w:hideMark/>
          </w:tcPr>
          <w:p w:rsidR="00DA3E42" w:rsidRPr="00F32F4B" w:rsidRDefault="00DA3E42" w:rsidP="00993358">
            <w:pPr>
              <w:pStyle w:val="TableHeading"/>
            </w:pPr>
            <w:r w:rsidRPr="00F32F4B">
              <w:t>Rebid reason</w:t>
            </w:r>
          </w:p>
        </w:tc>
      </w:tr>
      <w:tr w:rsidR="00DA3E42" w:rsidRPr="00F32F4B" w:rsidTr="00993358">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DA3E42" w:rsidRPr="00F32F4B" w:rsidRDefault="00F32F4B" w:rsidP="00521657">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3.34 pm</w:t>
            </w:r>
          </w:p>
        </w:tc>
        <w:tc>
          <w:tcPr>
            <w:tcW w:w="992" w:type="dxa"/>
            <w:vAlign w:val="center"/>
          </w:tcPr>
          <w:p w:rsidR="00DA3E42" w:rsidRPr="00F32F4B" w:rsidRDefault="00DA3E42"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p>
        </w:tc>
        <w:tc>
          <w:tcPr>
            <w:tcW w:w="1363" w:type="dxa"/>
            <w:vAlign w:val="center"/>
          </w:tcPr>
          <w:p w:rsidR="00DA3E42" w:rsidRPr="00F32F4B"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Callide Power Trading</w:t>
            </w:r>
          </w:p>
        </w:tc>
        <w:tc>
          <w:tcPr>
            <w:tcW w:w="1047" w:type="dxa"/>
            <w:vAlign w:val="center"/>
          </w:tcPr>
          <w:p w:rsidR="00DA3E42" w:rsidRPr="00F32F4B"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Callide C</w:t>
            </w:r>
          </w:p>
        </w:tc>
        <w:tc>
          <w:tcPr>
            <w:tcW w:w="992" w:type="dxa"/>
            <w:vAlign w:val="center"/>
          </w:tcPr>
          <w:p w:rsidR="00DA3E42" w:rsidRPr="00F32F4B" w:rsidRDefault="00F32F4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23</w:t>
            </w:r>
          </w:p>
        </w:tc>
        <w:tc>
          <w:tcPr>
            <w:tcW w:w="969" w:type="dxa"/>
            <w:vAlign w:val="center"/>
          </w:tcPr>
          <w:p w:rsidR="00DA3E42" w:rsidRPr="00F32F4B" w:rsidRDefault="00521657" w:rsidP="00F32F4B">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&lt;</w:t>
            </w:r>
            <w:r w:rsidR="00F32F4B" w:rsidRPr="00F32F4B">
              <w:rPr>
                <w:rFonts w:asciiTheme="minorHAnsi" w:eastAsia="Times New Roman" w:hAnsiTheme="minorHAnsi" w:cstheme="minorHAnsi"/>
                <w:bCs/>
                <w:sz w:val="16"/>
                <w:szCs w:val="16"/>
                <w:lang w:eastAsia="en-AU"/>
              </w:rPr>
              <w:t>20</w:t>
            </w:r>
          </w:p>
        </w:tc>
        <w:tc>
          <w:tcPr>
            <w:tcW w:w="971" w:type="dxa"/>
            <w:vAlign w:val="center"/>
          </w:tcPr>
          <w:p w:rsidR="00DA3E42" w:rsidRPr="00F32F4B" w:rsidRDefault="00521657"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13 500</w:t>
            </w:r>
          </w:p>
        </w:tc>
        <w:tc>
          <w:tcPr>
            <w:tcW w:w="1887" w:type="dxa"/>
            <w:vAlign w:val="center"/>
          </w:tcPr>
          <w:p w:rsidR="00DA3E42" w:rsidRPr="00F32F4B" w:rsidRDefault="00F32F4B"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1533A CHANGE IN 5MIN PD DEMAND - SL</w:t>
            </w:r>
          </w:p>
        </w:tc>
      </w:tr>
      <w:tr w:rsidR="00F32F4B" w:rsidRPr="00F32F4B" w:rsidTr="00993358">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F32F4B" w:rsidRPr="00F32F4B" w:rsidRDefault="00F32F4B" w:rsidP="00DB57E9">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6.53 pm</w:t>
            </w:r>
          </w:p>
        </w:tc>
        <w:tc>
          <w:tcPr>
            <w:tcW w:w="992" w:type="dxa"/>
            <w:vAlign w:val="center"/>
          </w:tcPr>
          <w:p w:rsidR="00F32F4B" w:rsidRPr="00F32F4B" w:rsidRDefault="00F32F4B" w:rsidP="00DB57E9">
            <w:pPr>
              <w:spacing w:before="100" w:beforeAutospacing="1" w:after="100" w:afterAutospacing="1" w:line="240" w:lineRule="auto"/>
              <w:jc w:val="center"/>
              <w:rPr>
                <w:rFonts w:asciiTheme="minorHAnsi" w:eastAsia="Times New Roman" w:hAnsiTheme="minorHAnsi" w:cstheme="minorHAnsi"/>
                <w:bCs/>
                <w:sz w:val="16"/>
                <w:szCs w:val="16"/>
                <w:lang w:eastAsia="en-AU"/>
              </w:rPr>
            </w:pPr>
          </w:p>
        </w:tc>
        <w:tc>
          <w:tcPr>
            <w:tcW w:w="1363" w:type="dxa"/>
            <w:vAlign w:val="center"/>
          </w:tcPr>
          <w:p w:rsidR="00F32F4B" w:rsidRPr="00F32F4B" w:rsidRDefault="00F32F4B" w:rsidP="00DB57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Callide Power Trading</w:t>
            </w:r>
          </w:p>
        </w:tc>
        <w:tc>
          <w:tcPr>
            <w:tcW w:w="1047" w:type="dxa"/>
            <w:vAlign w:val="center"/>
          </w:tcPr>
          <w:p w:rsidR="00F32F4B" w:rsidRPr="00F32F4B" w:rsidRDefault="00F32F4B" w:rsidP="00DB57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Callide C</w:t>
            </w:r>
          </w:p>
        </w:tc>
        <w:tc>
          <w:tcPr>
            <w:tcW w:w="992" w:type="dxa"/>
            <w:vAlign w:val="center"/>
          </w:tcPr>
          <w:p w:rsidR="00F32F4B" w:rsidRPr="00F32F4B" w:rsidRDefault="00F32F4B" w:rsidP="00DB57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50</w:t>
            </w:r>
          </w:p>
        </w:tc>
        <w:tc>
          <w:tcPr>
            <w:tcW w:w="969" w:type="dxa"/>
            <w:vAlign w:val="center"/>
          </w:tcPr>
          <w:p w:rsidR="00F32F4B" w:rsidRPr="00F32F4B" w:rsidRDefault="00F32F4B" w:rsidP="00DB57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&lt;20</w:t>
            </w:r>
          </w:p>
        </w:tc>
        <w:tc>
          <w:tcPr>
            <w:tcW w:w="971" w:type="dxa"/>
            <w:vAlign w:val="center"/>
          </w:tcPr>
          <w:p w:rsidR="00F32F4B" w:rsidRPr="00F32F4B" w:rsidRDefault="00F32F4B" w:rsidP="00DB57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13 500</w:t>
            </w:r>
          </w:p>
        </w:tc>
        <w:tc>
          <w:tcPr>
            <w:tcW w:w="1887" w:type="dxa"/>
            <w:vAlign w:val="center"/>
          </w:tcPr>
          <w:p w:rsidR="00F32F4B" w:rsidRPr="00F32F4B" w:rsidRDefault="00F32F4B" w:rsidP="00DB57E9">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1852A RRP ABOVE PD</w:t>
            </w:r>
          </w:p>
        </w:tc>
      </w:tr>
      <w:tr w:rsidR="000B7766" w:rsidRPr="00F32F4B" w:rsidTr="00993358">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7D4FDD" w:rsidRPr="00F32F4B" w:rsidRDefault="00F32F4B" w:rsidP="00F32F4B">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6.49 </w:t>
            </w:r>
            <w:r w:rsidR="007D4FDD" w:rsidRPr="00F32F4B">
              <w:rPr>
                <w:rFonts w:asciiTheme="minorHAnsi" w:eastAsia="Times New Roman" w:hAnsiTheme="minorHAnsi" w:cstheme="minorHAnsi"/>
                <w:b/>
                <w:bCs/>
                <w:sz w:val="16"/>
                <w:szCs w:val="16"/>
                <w:lang w:eastAsia="en-AU"/>
              </w:rPr>
              <w:t>pm</w:t>
            </w:r>
          </w:p>
        </w:tc>
        <w:tc>
          <w:tcPr>
            <w:tcW w:w="992" w:type="dxa"/>
            <w:vAlign w:val="center"/>
          </w:tcPr>
          <w:p w:rsidR="007D4FDD" w:rsidRPr="00F32F4B"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p>
        </w:tc>
        <w:tc>
          <w:tcPr>
            <w:tcW w:w="1363" w:type="dxa"/>
            <w:vAlign w:val="center"/>
          </w:tcPr>
          <w:p w:rsidR="007D4FDD" w:rsidRPr="00F32F4B" w:rsidRDefault="007D4FDD" w:rsidP="000B7766">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Millmerran Energy Trader</w:t>
            </w:r>
          </w:p>
        </w:tc>
        <w:tc>
          <w:tcPr>
            <w:tcW w:w="1047" w:type="dxa"/>
            <w:vAlign w:val="center"/>
          </w:tcPr>
          <w:p w:rsidR="007D4FDD" w:rsidRPr="00F32F4B"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Millmerran</w:t>
            </w:r>
          </w:p>
        </w:tc>
        <w:tc>
          <w:tcPr>
            <w:tcW w:w="992" w:type="dxa"/>
            <w:vAlign w:val="center"/>
          </w:tcPr>
          <w:p w:rsidR="007D4FDD" w:rsidRPr="00F32F4B" w:rsidRDefault="00F32F4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19</w:t>
            </w:r>
            <w:r w:rsidR="007D4FDD" w:rsidRPr="00F32F4B">
              <w:rPr>
                <w:rFonts w:asciiTheme="minorHAnsi" w:eastAsia="Times New Roman" w:hAnsiTheme="minorHAnsi" w:cstheme="minorHAnsi"/>
                <w:bCs/>
                <w:sz w:val="16"/>
                <w:szCs w:val="16"/>
                <w:lang w:eastAsia="en-AU"/>
              </w:rPr>
              <w:t>5</w:t>
            </w:r>
          </w:p>
        </w:tc>
        <w:tc>
          <w:tcPr>
            <w:tcW w:w="969" w:type="dxa"/>
            <w:vAlign w:val="center"/>
          </w:tcPr>
          <w:p w:rsidR="007D4FDD" w:rsidRPr="00F32F4B"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7</w:t>
            </w:r>
          </w:p>
        </w:tc>
        <w:tc>
          <w:tcPr>
            <w:tcW w:w="971" w:type="dxa"/>
            <w:vAlign w:val="center"/>
          </w:tcPr>
          <w:p w:rsidR="007D4FDD" w:rsidRPr="00F32F4B" w:rsidRDefault="007D4FDD"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13 500</w:t>
            </w:r>
          </w:p>
        </w:tc>
        <w:tc>
          <w:tcPr>
            <w:tcW w:w="1887" w:type="dxa"/>
            <w:vAlign w:val="center"/>
          </w:tcPr>
          <w:p w:rsidR="007D4FDD" w:rsidRPr="00F32F4B" w:rsidRDefault="00F32F4B"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18:48 A RRP ABOVE PD</w:t>
            </w:r>
          </w:p>
        </w:tc>
      </w:tr>
      <w:tr w:rsidR="0086428B" w:rsidRPr="0086428B" w:rsidTr="007C7EE9">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86428B" w:rsidRPr="0086428B" w:rsidRDefault="0086428B" w:rsidP="0086428B">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sidRPr="0086428B">
              <w:rPr>
                <w:rFonts w:asciiTheme="minorHAnsi" w:eastAsia="Times New Roman" w:hAnsiTheme="minorHAnsi" w:cstheme="minorHAnsi"/>
                <w:bCs/>
                <w:sz w:val="16"/>
                <w:szCs w:val="16"/>
                <w:lang w:eastAsia="en-AU"/>
              </w:rPr>
              <w:t xml:space="preserve">Multiple rebids </w:t>
            </w:r>
            <w:r w:rsidRPr="0086428B">
              <w:rPr>
                <w:rFonts w:asciiTheme="minorHAnsi" w:eastAsia="Times New Roman" w:hAnsiTheme="minorHAnsi" w:cstheme="minorHAnsi"/>
                <w:b/>
                <w:bCs/>
                <w:sz w:val="16"/>
                <w:szCs w:val="16"/>
                <w:lang w:eastAsia="en-AU"/>
              </w:rPr>
              <w:t>6.45 pm</w:t>
            </w:r>
            <w:r w:rsidRPr="00680764">
              <w:rPr>
                <w:rFonts w:asciiTheme="minorHAnsi" w:eastAsia="Times New Roman" w:hAnsiTheme="minorHAnsi" w:cstheme="minorHAnsi"/>
                <w:b/>
                <w:bCs/>
                <w:sz w:val="16"/>
                <w:szCs w:val="16"/>
                <w:lang w:eastAsia="en-AU"/>
              </w:rPr>
              <w:t xml:space="preserve"> to 6.55 pm</w:t>
            </w:r>
          </w:p>
        </w:tc>
        <w:tc>
          <w:tcPr>
            <w:tcW w:w="992" w:type="dxa"/>
            <w:vAlign w:val="center"/>
          </w:tcPr>
          <w:p w:rsidR="0086428B" w:rsidRPr="0086428B" w:rsidRDefault="0086428B" w:rsidP="0086428B">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86428B">
              <w:rPr>
                <w:rFonts w:asciiTheme="minorHAnsi" w:eastAsia="Times New Roman" w:hAnsiTheme="minorHAnsi" w:cstheme="minorHAnsi"/>
                <w:bCs/>
                <w:sz w:val="16"/>
                <w:szCs w:val="16"/>
                <w:lang w:eastAsia="en-AU"/>
              </w:rPr>
              <w:t>7.05 pm</w:t>
            </w:r>
          </w:p>
        </w:tc>
        <w:tc>
          <w:tcPr>
            <w:tcW w:w="1363" w:type="dxa"/>
            <w:vAlign w:val="center"/>
          </w:tcPr>
          <w:p w:rsidR="0086428B" w:rsidRP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86428B">
              <w:rPr>
                <w:rFonts w:asciiTheme="minorHAnsi" w:eastAsia="Times New Roman" w:hAnsiTheme="minorHAnsi" w:cstheme="minorHAnsi"/>
                <w:bCs/>
                <w:sz w:val="16"/>
                <w:szCs w:val="16"/>
                <w:lang w:eastAsia="en-AU"/>
              </w:rPr>
              <w:t>Stanwell Corporation</w:t>
            </w:r>
          </w:p>
        </w:tc>
        <w:tc>
          <w:tcPr>
            <w:tcW w:w="1047" w:type="dxa"/>
            <w:vAlign w:val="center"/>
          </w:tcPr>
          <w:p w:rsidR="0086428B" w:rsidRP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86428B">
              <w:rPr>
                <w:rFonts w:asciiTheme="minorHAnsi" w:eastAsia="Times New Roman" w:hAnsiTheme="minorHAnsi" w:cstheme="minorHAnsi"/>
                <w:bCs/>
                <w:sz w:val="16"/>
                <w:szCs w:val="16"/>
                <w:lang w:eastAsia="en-AU"/>
              </w:rPr>
              <w:t>Stanwell and Tarong</w:t>
            </w:r>
          </w:p>
        </w:tc>
        <w:tc>
          <w:tcPr>
            <w:tcW w:w="992" w:type="dxa"/>
            <w:vAlign w:val="center"/>
          </w:tcPr>
          <w:p w:rsidR="0086428B" w:rsidRP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86428B">
              <w:rPr>
                <w:rFonts w:asciiTheme="minorHAnsi" w:eastAsia="Times New Roman" w:hAnsiTheme="minorHAnsi" w:cstheme="minorHAnsi"/>
                <w:bCs/>
                <w:sz w:val="16"/>
                <w:szCs w:val="16"/>
                <w:lang w:eastAsia="en-AU"/>
              </w:rPr>
              <w:t>265</w:t>
            </w:r>
          </w:p>
        </w:tc>
        <w:tc>
          <w:tcPr>
            <w:tcW w:w="969" w:type="dxa"/>
            <w:vAlign w:val="center"/>
          </w:tcPr>
          <w:p w:rsidR="0086428B" w:rsidRP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86428B">
              <w:rPr>
                <w:rFonts w:asciiTheme="minorHAnsi" w:eastAsia="Times New Roman" w:hAnsiTheme="minorHAnsi" w:cstheme="minorHAnsi"/>
                <w:bCs/>
                <w:sz w:val="16"/>
                <w:szCs w:val="16"/>
                <w:lang w:eastAsia="en-AU"/>
              </w:rPr>
              <w:t>&lt;29</w:t>
            </w:r>
          </w:p>
        </w:tc>
        <w:tc>
          <w:tcPr>
            <w:tcW w:w="971" w:type="dxa"/>
            <w:vAlign w:val="center"/>
          </w:tcPr>
          <w:p w:rsidR="0086428B" w:rsidRP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86428B">
              <w:rPr>
                <w:rFonts w:asciiTheme="minorHAnsi" w:eastAsia="Times New Roman" w:hAnsiTheme="minorHAnsi" w:cstheme="minorHAnsi"/>
                <w:bCs/>
                <w:sz w:val="16"/>
                <w:szCs w:val="16"/>
                <w:lang w:eastAsia="en-AU"/>
              </w:rPr>
              <w:t>12950</w:t>
            </w:r>
          </w:p>
        </w:tc>
        <w:tc>
          <w:tcPr>
            <w:tcW w:w="1887" w:type="dxa"/>
            <w:vAlign w:val="center"/>
          </w:tcPr>
          <w:p w:rsidR="0086428B" w:rsidRPr="0086428B" w:rsidRDefault="0086428B" w:rsidP="007C7EE9">
            <w:pPr>
              <w:spacing w:before="100" w:beforeAutospacing="1" w:after="100" w:afterAutospacing="1" w:line="240" w:lineRule="auto"/>
              <w:rPr>
                <w:rFonts w:cs="Arial"/>
                <w:sz w:val="16"/>
                <w:szCs w:val="16"/>
              </w:rPr>
            </w:pPr>
            <w:r w:rsidRPr="0086428B">
              <w:rPr>
                <w:rFonts w:cs="Arial"/>
                <w:sz w:val="16"/>
                <w:szCs w:val="16"/>
              </w:rPr>
              <w:t>1840A QNI BINDING NORTH - SCL IT ISSUE BIDDING VIA AEMO'S SYSTEM</w:t>
            </w:r>
          </w:p>
        </w:tc>
      </w:tr>
      <w:tr w:rsidR="0086428B" w:rsidRPr="00F32F4B" w:rsidTr="007C7EE9">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86428B" w:rsidRDefault="0086428B" w:rsidP="00F32F4B">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6.56 pm</w:t>
            </w:r>
          </w:p>
        </w:tc>
        <w:tc>
          <w:tcPr>
            <w:tcW w:w="992"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7.05 pm</w:t>
            </w:r>
          </w:p>
        </w:tc>
        <w:tc>
          <w:tcPr>
            <w:tcW w:w="1363"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ERM Power</w:t>
            </w:r>
          </w:p>
        </w:tc>
        <w:tc>
          <w:tcPr>
            <w:tcW w:w="1047"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Oakey</w:t>
            </w:r>
          </w:p>
        </w:tc>
        <w:tc>
          <w:tcPr>
            <w:tcW w:w="992"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140</w:t>
            </w:r>
          </w:p>
        </w:tc>
        <w:tc>
          <w:tcPr>
            <w:tcW w:w="969"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&gt;288</w:t>
            </w:r>
          </w:p>
        </w:tc>
        <w:tc>
          <w:tcPr>
            <w:tcW w:w="971"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0</w:t>
            </w:r>
          </w:p>
        </w:tc>
        <w:tc>
          <w:tcPr>
            <w:tcW w:w="1887" w:type="dxa"/>
            <w:vAlign w:val="center"/>
          </w:tcPr>
          <w:p w:rsidR="0086428B" w:rsidRPr="00F32F4B" w:rsidRDefault="0086428B" w:rsidP="007C7EE9">
            <w:pPr>
              <w:spacing w:before="100" w:beforeAutospacing="1" w:after="100" w:afterAutospacing="1" w:line="240" w:lineRule="auto"/>
              <w:rPr>
                <w:rFonts w:cs="Arial"/>
                <w:sz w:val="16"/>
                <w:szCs w:val="16"/>
              </w:rPr>
            </w:pPr>
            <w:r>
              <w:rPr>
                <w:rFonts w:cs="Arial"/>
                <w:sz w:val="16"/>
                <w:szCs w:val="16"/>
              </w:rPr>
              <w:t>1856F CHANGE IN PD: FCAST PRICE INC::CHANGE MW DISTRIB.</w:t>
            </w:r>
          </w:p>
        </w:tc>
      </w:tr>
      <w:tr w:rsidR="0086428B" w:rsidRPr="00F32F4B" w:rsidTr="007C7EE9">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86428B" w:rsidRDefault="0086428B" w:rsidP="00F32F4B">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6.57 pm</w:t>
            </w:r>
          </w:p>
        </w:tc>
        <w:tc>
          <w:tcPr>
            <w:tcW w:w="992" w:type="dxa"/>
            <w:vAlign w:val="center"/>
          </w:tcPr>
          <w:p w:rsid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7.05 pm</w:t>
            </w:r>
          </w:p>
        </w:tc>
        <w:tc>
          <w:tcPr>
            <w:tcW w:w="1363" w:type="dxa"/>
            <w:vAlign w:val="center"/>
          </w:tcPr>
          <w:p w:rsid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AGL Energy</w:t>
            </w:r>
          </w:p>
        </w:tc>
        <w:tc>
          <w:tcPr>
            <w:tcW w:w="1047" w:type="dxa"/>
            <w:vAlign w:val="center"/>
          </w:tcPr>
          <w:p w:rsid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Yabulu</w:t>
            </w:r>
          </w:p>
        </w:tc>
        <w:tc>
          <w:tcPr>
            <w:tcW w:w="992" w:type="dxa"/>
            <w:vAlign w:val="center"/>
          </w:tcPr>
          <w:p w:rsid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73</w:t>
            </w:r>
          </w:p>
        </w:tc>
        <w:tc>
          <w:tcPr>
            <w:tcW w:w="969" w:type="dxa"/>
            <w:vAlign w:val="center"/>
          </w:tcPr>
          <w:p w:rsid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422</w:t>
            </w:r>
          </w:p>
        </w:tc>
        <w:tc>
          <w:tcPr>
            <w:tcW w:w="971" w:type="dxa"/>
            <w:vAlign w:val="center"/>
          </w:tcPr>
          <w:p w:rsidR="0086428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13243</w:t>
            </w:r>
          </w:p>
        </w:tc>
        <w:tc>
          <w:tcPr>
            <w:tcW w:w="1887" w:type="dxa"/>
            <w:vAlign w:val="center"/>
          </w:tcPr>
          <w:p w:rsidR="0086428B" w:rsidRDefault="0086428B" w:rsidP="007C7EE9">
            <w:pPr>
              <w:spacing w:before="100" w:beforeAutospacing="1" w:after="100" w:afterAutospacing="1" w:line="240" w:lineRule="auto"/>
              <w:rPr>
                <w:rFonts w:cs="Arial"/>
                <w:sz w:val="16"/>
                <w:szCs w:val="16"/>
              </w:rPr>
            </w:pPr>
            <w:r>
              <w:rPr>
                <w:rFonts w:cs="Arial"/>
                <w:sz w:val="16"/>
                <w:szCs w:val="16"/>
              </w:rPr>
              <w:t>1855~A~050 CHG IN AEMO PD~PRICE INCREASE VS PD QLD 12950</w:t>
            </w:r>
          </w:p>
        </w:tc>
      </w:tr>
      <w:tr w:rsidR="0086428B" w:rsidRPr="00F32F4B" w:rsidTr="007C7EE9">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86428B" w:rsidRPr="00F32F4B" w:rsidRDefault="0086428B" w:rsidP="00F32F4B">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7.07 </w:t>
            </w:r>
            <w:r w:rsidRPr="00F32F4B">
              <w:rPr>
                <w:rFonts w:asciiTheme="minorHAnsi" w:eastAsia="Times New Roman" w:hAnsiTheme="minorHAnsi" w:cstheme="minorHAnsi"/>
                <w:b/>
                <w:bCs/>
                <w:sz w:val="16"/>
                <w:szCs w:val="16"/>
                <w:lang w:eastAsia="en-AU"/>
              </w:rPr>
              <w:t>pm</w:t>
            </w:r>
          </w:p>
        </w:tc>
        <w:tc>
          <w:tcPr>
            <w:tcW w:w="992"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7.15 pm</w:t>
            </w:r>
          </w:p>
        </w:tc>
        <w:tc>
          <w:tcPr>
            <w:tcW w:w="1363"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ERM Power</w:t>
            </w:r>
          </w:p>
        </w:tc>
        <w:tc>
          <w:tcPr>
            <w:tcW w:w="1047"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Oakey</w:t>
            </w:r>
          </w:p>
        </w:tc>
        <w:tc>
          <w:tcPr>
            <w:tcW w:w="992" w:type="dxa"/>
            <w:vAlign w:val="center"/>
          </w:tcPr>
          <w:p w:rsidR="0086428B" w:rsidRPr="00F32F4B" w:rsidRDefault="0086428B" w:rsidP="00F32F4B">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140</w:t>
            </w:r>
          </w:p>
        </w:tc>
        <w:tc>
          <w:tcPr>
            <w:tcW w:w="969"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0</w:t>
            </w:r>
          </w:p>
        </w:tc>
        <w:tc>
          <w:tcPr>
            <w:tcW w:w="971"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288</w:t>
            </w:r>
          </w:p>
        </w:tc>
        <w:tc>
          <w:tcPr>
            <w:tcW w:w="1887" w:type="dxa"/>
            <w:vAlign w:val="center"/>
          </w:tcPr>
          <w:p w:rsidR="0086428B" w:rsidRPr="00F32F4B" w:rsidRDefault="0086428B" w:rsidP="007C7EE9">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1907P FUEL MANAGEMENT::CHANGE MW DISTRIB.</w:t>
            </w:r>
          </w:p>
        </w:tc>
      </w:tr>
      <w:tr w:rsidR="0086428B" w:rsidRPr="00F32F4B" w:rsidTr="007C7EE9">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86428B" w:rsidRPr="00F32F4B" w:rsidRDefault="0086428B" w:rsidP="004711F6">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7.11 </w:t>
            </w:r>
            <w:r w:rsidRPr="00F32F4B">
              <w:rPr>
                <w:rFonts w:asciiTheme="minorHAnsi" w:eastAsia="Times New Roman" w:hAnsiTheme="minorHAnsi" w:cstheme="minorHAnsi"/>
                <w:b/>
                <w:bCs/>
                <w:sz w:val="16"/>
                <w:szCs w:val="16"/>
                <w:lang w:eastAsia="en-AU"/>
              </w:rPr>
              <w:t>pm</w:t>
            </w:r>
          </w:p>
        </w:tc>
        <w:tc>
          <w:tcPr>
            <w:tcW w:w="992"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7.20 </w:t>
            </w:r>
            <w:r w:rsidRPr="00F32F4B">
              <w:rPr>
                <w:rFonts w:asciiTheme="minorHAnsi" w:eastAsia="Times New Roman" w:hAnsiTheme="minorHAnsi" w:cstheme="minorHAnsi"/>
                <w:bCs/>
                <w:sz w:val="16"/>
                <w:szCs w:val="16"/>
                <w:lang w:eastAsia="en-AU"/>
              </w:rPr>
              <w:t>pm</w:t>
            </w:r>
          </w:p>
        </w:tc>
        <w:tc>
          <w:tcPr>
            <w:tcW w:w="1363"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CS Energy</w:t>
            </w:r>
          </w:p>
        </w:tc>
        <w:tc>
          <w:tcPr>
            <w:tcW w:w="1047"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Gladstone, Wivenhoe</w:t>
            </w:r>
          </w:p>
        </w:tc>
        <w:tc>
          <w:tcPr>
            <w:tcW w:w="992"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2</w:t>
            </w:r>
            <w:r w:rsidRPr="00F32F4B">
              <w:rPr>
                <w:rFonts w:asciiTheme="minorHAnsi" w:eastAsia="Times New Roman" w:hAnsiTheme="minorHAnsi" w:cstheme="minorHAnsi"/>
                <w:bCs/>
                <w:sz w:val="16"/>
                <w:szCs w:val="16"/>
                <w:lang w:eastAsia="en-AU"/>
              </w:rPr>
              <w:t>25</w:t>
            </w:r>
          </w:p>
        </w:tc>
        <w:tc>
          <w:tcPr>
            <w:tcW w:w="969" w:type="dxa"/>
            <w:vAlign w:val="center"/>
          </w:tcPr>
          <w:p w:rsidR="0086428B" w:rsidRPr="00F32F4B" w:rsidRDefault="0086428B" w:rsidP="007C7EE9">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&lt;300</w:t>
            </w:r>
          </w:p>
        </w:tc>
        <w:tc>
          <w:tcPr>
            <w:tcW w:w="971" w:type="dxa"/>
            <w:vAlign w:val="center"/>
          </w:tcPr>
          <w:p w:rsidR="0086428B" w:rsidRPr="00F32F4B" w:rsidRDefault="0086428B" w:rsidP="007C7EE9">
            <w:pPr>
              <w:spacing w:before="100" w:beforeAutospacing="1" w:after="100" w:afterAutospacing="1" w:line="240" w:lineRule="auto"/>
              <w:jc w:val="center"/>
              <w:rPr>
                <w:sz w:val="16"/>
                <w:szCs w:val="16"/>
              </w:rPr>
            </w:pPr>
            <w:r>
              <w:rPr>
                <w:rFonts w:asciiTheme="minorHAnsi" w:eastAsia="Times New Roman" w:hAnsiTheme="minorHAnsi" w:cstheme="minorHAnsi"/>
                <w:bCs/>
                <w:sz w:val="16"/>
                <w:szCs w:val="16"/>
                <w:lang w:eastAsia="en-AU"/>
              </w:rPr>
              <w:t>&gt;10 900</w:t>
            </w:r>
          </w:p>
        </w:tc>
        <w:tc>
          <w:tcPr>
            <w:tcW w:w="1887" w:type="dxa"/>
            <w:vAlign w:val="center"/>
          </w:tcPr>
          <w:p w:rsidR="0086428B" w:rsidRPr="00F32F4B" w:rsidRDefault="0086428B" w:rsidP="007C7EE9">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1910A INTERCONNECTOR CONSTRAINT-BINDING NORTH-SL</w:t>
            </w:r>
          </w:p>
        </w:tc>
      </w:tr>
      <w:tr w:rsidR="0086428B" w:rsidRPr="00970968" w:rsidTr="00993358">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86428B" w:rsidRPr="00F32F4B" w:rsidRDefault="0086428B" w:rsidP="00993358">
            <w:pPr>
              <w:spacing w:before="100" w:beforeAutospacing="1" w:after="100" w:afterAutospacing="1" w:line="240" w:lineRule="auto"/>
              <w:jc w:val="center"/>
              <w:rPr>
                <w:rFonts w:asciiTheme="minorHAnsi" w:eastAsia="Times New Roman" w:hAnsiTheme="minorHAnsi" w:cstheme="minorHAnsi"/>
                <w:b/>
                <w:bCs/>
                <w:sz w:val="16"/>
                <w:szCs w:val="16"/>
                <w:lang w:eastAsia="en-AU"/>
              </w:rPr>
            </w:pPr>
            <w:r>
              <w:rPr>
                <w:rFonts w:asciiTheme="minorHAnsi" w:eastAsia="Times New Roman" w:hAnsiTheme="minorHAnsi" w:cstheme="minorHAnsi"/>
                <w:b/>
                <w:bCs/>
                <w:sz w:val="16"/>
                <w:szCs w:val="16"/>
                <w:lang w:eastAsia="en-AU"/>
              </w:rPr>
              <w:t>7.17 pm</w:t>
            </w:r>
          </w:p>
        </w:tc>
        <w:tc>
          <w:tcPr>
            <w:tcW w:w="992" w:type="dxa"/>
            <w:vAlign w:val="center"/>
          </w:tcPr>
          <w:p w:rsidR="0086428B" w:rsidRPr="00F32F4B" w:rsidRDefault="0086428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7.25 pm</w:t>
            </w:r>
          </w:p>
        </w:tc>
        <w:tc>
          <w:tcPr>
            <w:tcW w:w="1363" w:type="dxa"/>
            <w:vAlign w:val="center"/>
          </w:tcPr>
          <w:p w:rsidR="0086428B" w:rsidRPr="00F32F4B" w:rsidRDefault="0086428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Stanwell Corporation</w:t>
            </w:r>
          </w:p>
        </w:tc>
        <w:tc>
          <w:tcPr>
            <w:tcW w:w="1047" w:type="dxa"/>
            <w:vAlign w:val="center"/>
          </w:tcPr>
          <w:p w:rsidR="0086428B" w:rsidRPr="00F32F4B" w:rsidRDefault="0086428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Kareeya</w:t>
            </w:r>
          </w:p>
        </w:tc>
        <w:tc>
          <w:tcPr>
            <w:tcW w:w="992" w:type="dxa"/>
            <w:vAlign w:val="center"/>
          </w:tcPr>
          <w:p w:rsidR="0086428B" w:rsidRPr="00F32F4B" w:rsidRDefault="0086428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t>68</w:t>
            </w:r>
          </w:p>
        </w:tc>
        <w:tc>
          <w:tcPr>
            <w:tcW w:w="969" w:type="dxa"/>
            <w:vAlign w:val="center"/>
          </w:tcPr>
          <w:p w:rsidR="0086428B" w:rsidRPr="00F32F4B" w:rsidRDefault="0086428B" w:rsidP="00993358">
            <w:pPr>
              <w:spacing w:before="100" w:beforeAutospacing="1" w:after="100" w:afterAutospacing="1" w:line="240" w:lineRule="auto"/>
              <w:jc w:val="center"/>
              <w:rPr>
                <w:rFonts w:asciiTheme="minorHAnsi" w:eastAsia="Times New Roman" w:hAnsiTheme="minorHAnsi" w:cstheme="minorHAnsi"/>
                <w:bCs/>
                <w:sz w:val="16"/>
                <w:szCs w:val="16"/>
                <w:lang w:eastAsia="en-AU"/>
              </w:rPr>
            </w:pPr>
            <w:r>
              <w:rPr>
                <w:rFonts w:asciiTheme="minorHAnsi" w:eastAsia="Times New Roman" w:hAnsiTheme="minorHAnsi" w:cstheme="minorHAnsi"/>
                <w:bCs/>
                <w:sz w:val="16"/>
                <w:szCs w:val="16"/>
                <w:lang w:eastAsia="en-AU"/>
              </w:rPr>
              <w:noBreakHyphen/>
              <w:t>1</w:t>
            </w:r>
          </w:p>
        </w:tc>
        <w:tc>
          <w:tcPr>
            <w:tcW w:w="971" w:type="dxa"/>
            <w:vAlign w:val="center"/>
          </w:tcPr>
          <w:p w:rsidR="0086428B" w:rsidRPr="00F32F4B" w:rsidRDefault="0086428B" w:rsidP="000B7766">
            <w:pPr>
              <w:spacing w:before="100" w:beforeAutospacing="1" w:after="100" w:afterAutospacing="1" w:line="240" w:lineRule="auto"/>
              <w:jc w:val="center"/>
              <w:rPr>
                <w:rFonts w:asciiTheme="minorHAnsi" w:eastAsia="Times New Roman" w:hAnsiTheme="minorHAnsi" w:cstheme="minorHAnsi"/>
                <w:bCs/>
                <w:sz w:val="16"/>
                <w:szCs w:val="16"/>
                <w:lang w:eastAsia="en-AU"/>
              </w:rPr>
            </w:pPr>
            <w:r w:rsidRPr="00F32F4B">
              <w:rPr>
                <w:rFonts w:asciiTheme="minorHAnsi" w:eastAsia="Times New Roman" w:hAnsiTheme="minorHAnsi" w:cstheme="minorHAnsi"/>
                <w:bCs/>
                <w:sz w:val="16"/>
                <w:szCs w:val="16"/>
                <w:lang w:eastAsia="en-AU"/>
              </w:rPr>
              <w:t>1</w:t>
            </w:r>
            <w:r>
              <w:rPr>
                <w:rFonts w:asciiTheme="minorHAnsi" w:eastAsia="Times New Roman" w:hAnsiTheme="minorHAnsi" w:cstheme="minorHAnsi"/>
                <w:bCs/>
                <w:sz w:val="16"/>
                <w:szCs w:val="16"/>
                <w:lang w:eastAsia="en-AU"/>
              </w:rPr>
              <w:t>2</w:t>
            </w:r>
            <w:r w:rsidRPr="00F32F4B">
              <w:rPr>
                <w:rFonts w:asciiTheme="minorHAnsi" w:eastAsia="Times New Roman" w:hAnsiTheme="minorHAnsi" w:cstheme="minorHAnsi"/>
                <w:bCs/>
                <w:sz w:val="16"/>
                <w:szCs w:val="16"/>
                <w:lang w:eastAsia="en-AU"/>
              </w:rPr>
              <w:t> </w:t>
            </w:r>
            <w:r>
              <w:rPr>
                <w:rFonts w:asciiTheme="minorHAnsi" w:eastAsia="Times New Roman" w:hAnsiTheme="minorHAnsi" w:cstheme="minorHAnsi"/>
                <w:bCs/>
                <w:sz w:val="16"/>
                <w:szCs w:val="16"/>
                <w:lang w:eastAsia="en-AU"/>
              </w:rPr>
              <w:t>9</w:t>
            </w:r>
            <w:r w:rsidRPr="00F32F4B">
              <w:rPr>
                <w:rFonts w:asciiTheme="minorHAnsi" w:eastAsia="Times New Roman" w:hAnsiTheme="minorHAnsi" w:cstheme="minorHAnsi"/>
                <w:bCs/>
                <w:sz w:val="16"/>
                <w:szCs w:val="16"/>
                <w:lang w:eastAsia="en-AU"/>
              </w:rPr>
              <w:t>50</w:t>
            </w:r>
          </w:p>
        </w:tc>
        <w:tc>
          <w:tcPr>
            <w:tcW w:w="1887" w:type="dxa"/>
            <w:vAlign w:val="center"/>
          </w:tcPr>
          <w:p w:rsidR="0086428B" w:rsidRPr="00F32F4B" w:rsidRDefault="0086428B" w:rsidP="00993358">
            <w:pPr>
              <w:spacing w:before="100" w:beforeAutospacing="1" w:after="100" w:afterAutospacing="1" w:line="240" w:lineRule="auto"/>
              <w:rPr>
                <w:rFonts w:asciiTheme="minorHAnsi" w:eastAsia="Times New Roman" w:hAnsiTheme="minorHAnsi" w:cstheme="minorHAnsi"/>
                <w:bCs/>
                <w:sz w:val="16"/>
                <w:szCs w:val="16"/>
                <w:lang w:eastAsia="en-AU"/>
              </w:rPr>
            </w:pPr>
            <w:r>
              <w:rPr>
                <w:rFonts w:cs="Arial"/>
                <w:sz w:val="16"/>
                <w:szCs w:val="16"/>
              </w:rPr>
              <w:t>1916A QLD 5MIN PRICE FCAST HIGHER- DI1920 VDI1915</w:t>
            </w:r>
          </w:p>
        </w:tc>
      </w:tr>
    </w:tbl>
    <w:p w:rsidR="00A76905" w:rsidRPr="00DB2FD0" w:rsidRDefault="00A76905" w:rsidP="00A76905">
      <w:pPr>
        <w:jc w:val="both"/>
      </w:pPr>
      <w:r w:rsidRPr="00DB2FD0">
        <w:t>As a number of participants’ rebids became effective 5-minute prices increased despite declining demand, with a number of generators at their maximum availability and other units trapped or stranded in FCAS over the period.</w:t>
      </w:r>
    </w:p>
    <w:p w:rsidR="00F77130" w:rsidRDefault="00680764" w:rsidP="00F77130">
      <w:pPr>
        <w:jc w:val="both"/>
      </w:pPr>
      <w:r>
        <w:t>There was no other significant rebidding.</w:t>
      </w:r>
    </w:p>
    <w:p w:rsidR="00275002" w:rsidRPr="00F33F2D" w:rsidRDefault="00275002" w:rsidP="005F6ADE">
      <w:pPr>
        <w:pStyle w:val="Heading2"/>
      </w:pPr>
      <w:r w:rsidRPr="00F33F2D">
        <w:t>Financial markets</w:t>
      </w:r>
    </w:p>
    <w:p w:rsidR="00275002" w:rsidRPr="0031019A" w:rsidRDefault="00275002" w:rsidP="009A3D22">
      <w:pPr>
        <w:jc w:val="both"/>
      </w:pPr>
      <w:r w:rsidRPr="00F33F2D">
        <w:fldChar w:fldCharType="begin"/>
      </w:r>
      <w:r w:rsidRPr="00F33F2D">
        <w:instrText xml:space="preserve"> REF _Ref410386540 \h </w:instrText>
      </w:r>
      <w:r w:rsidR="009A3D22" w:rsidRPr="00F33F2D">
        <w:instrText xml:space="preserve"> \* MERGEFORMAT </w:instrText>
      </w:r>
      <w:r w:rsidRPr="00F33F2D">
        <w:fldChar w:fldCharType="separate"/>
      </w:r>
      <w:r w:rsidR="003E144D">
        <w:t xml:space="preserve">Figure </w:t>
      </w:r>
      <w:r w:rsidR="003E144D">
        <w:rPr>
          <w:noProof/>
        </w:rPr>
        <w:t>9</w:t>
      </w:r>
      <w:r w:rsidRPr="00F33F2D">
        <w:fldChar w:fldCharType="end"/>
      </w:r>
      <w:r w:rsidRPr="00F33F2D">
        <w:t xml:space="preserve"> shows for all mainland regions the prices for base contracts (and total traded quantities for the week) for each quarter for the next four financial years.</w:t>
      </w:r>
      <w:r w:rsidRPr="0031019A">
        <w:t xml:space="preserve"> </w:t>
      </w:r>
    </w:p>
    <w:p w:rsidR="004E13F5" w:rsidRDefault="00275002" w:rsidP="004E13F5">
      <w:pPr>
        <w:pStyle w:val="Caption"/>
        <w:rPr>
          <w:noProof/>
          <w:lang w:eastAsia="en-AU"/>
        </w:rPr>
      </w:pPr>
      <w:bookmarkStart w:id="19" w:name="_Ref410386540"/>
      <w:r>
        <w:t xml:space="preserve">Figure </w:t>
      </w:r>
      <w:r w:rsidR="0086538A">
        <w:fldChar w:fldCharType="begin"/>
      </w:r>
      <w:r w:rsidR="0086538A">
        <w:instrText xml:space="preserve"> SEQ Figure \* ARABIC </w:instrText>
      </w:r>
      <w:r w:rsidR="0086538A">
        <w:fldChar w:fldCharType="separate"/>
      </w:r>
      <w:r w:rsidR="003E144D">
        <w:rPr>
          <w:noProof/>
        </w:rPr>
        <w:t>9</w:t>
      </w:r>
      <w:r w:rsidR="0086538A">
        <w:rPr>
          <w:noProof/>
        </w:rPr>
        <w:fldChar w:fldCharType="end"/>
      </w:r>
      <w:bookmarkEnd w:id="19"/>
      <w:r>
        <w:t xml:space="preserve"> : </w:t>
      </w:r>
      <w:r w:rsidRPr="007A6ACB">
        <w:t>Quarterly base future prices Q1 2015 – Q4 2018</w:t>
      </w:r>
    </w:p>
    <w:p w:rsidR="004E13F5" w:rsidRPr="004E13F5" w:rsidRDefault="00970968" w:rsidP="004E13F5">
      <w:pPr>
        <w:rPr>
          <w:lang w:eastAsia="en-AU"/>
        </w:rPr>
      </w:pPr>
      <w:r w:rsidRPr="00970968">
        <w:rPr>
          <w:noProof/>
          <w:lang w:eastAsia="en-AU"/>
        </w:rPr>
        <w:drawing>
          <wp:inline distT="0" distB="0" distL="0" distR="0" wp14:anchorId="04838B36" wp14:editId="45803F61">
            <wp:extent cx="5731510" cy="2887610"/>
            <wp:effectExtent l="0" t="0" r="2540" b="8255"/>
            <wp:docPr id="24" name="Picture 24" descr="Figure 9 shows for all mainland regions the prices for base contracts (and total traded quantities for the week) for each quarter for the next four financial years." title="Figure 9 : Quarterly base future prices Q1 2015 – Q4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610"/>
                    </a:xfrm>
                    <a:prstGeom prst="rect">
                      <a:avLst/>
                    </a:prstGeom>
                    <a:noFill/>
                    <a:ln>
                      <a:noFill/>
                    </a:ln>
                  </pic:spPr>
                </pic:pic>
              </a:graphicData>
            </a:graphic>
          </wp:inline>
        </w:drawing>
      </w:r>
    </w:p>
    <w:p w:rsidR="00275002" w:rsidRPr="002A7439" w:rsidRDefault="00275002" w:rsidP="00275002">
      <w:pPr>
        <w:rPr>
          <w:rStyle w:val="SourceChar"/>
        </w:rPr>
      </w:pPr>
      <w:r w:rsidRPr="002A7439">
        <w:rPr>
          <w:rStyle w:val="SourceChar"/>
        </w:rPr>
        <w:t xml:space="preserve">Source: </w:t>
      </w:r>
      <w:hyperlink r:id="rId20" w:history="1">
        <w:r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3E144D">
        <w:t xml:space="preserve">Figure </w:t>
      </w:r>
      <w:r w:rsidR="003E144D">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w:t>
      </w:r>
    </w:p>
    <w:p w:rsidR="00275002" w:rsidRDefault="00275002" w:rsidP="000E2946">
      <w:pPr>
        <w:pStyle w:val="Caption"/>
      </w:pPr>
      <w:bookmarkStart w:id="20" w:name="_Ref410380382"/>
      <w:r>
        <w:t xml:space="preserve">Figure </w:t>
      </w:r>
      <w:r w:rsidR="0086538A">
        <w:fldChar w:fldCharType="begin"/>
      </w:r>
      <w:r w:rsidR="0086538A">
        <w:instrText xml:space="preserve"> SEQ Figure \* ARABIC </w:instrText>
      </w:r>
      <w:r w:rsidR="0086538A">
        <w:fldChar w:fldCharType="separate"/>
      </w:r>
      <w:r w:rsidR="003E144D">
        <w:rPr>
          <w:noProof/>
        </w:rPr>
        <w:t>10</w:t>
      </w:r>
      <w:r w:rsidR="0086538A">
        <w:rPr>
          <w:noProof/>
        </w:rPr>
        <w:fldChar w:fldCharType="end"/>
      </w:r>
      <w:bookmarkEnd w:id="20"/>
      <w:r>
        <w:t xml:space="preserve"> </w:t>
      </w:r>
      <w:r w:rsidRPr="00DF093A">
        <w:t>: Price of Q1 2015 base contracts over the past 10 weeks (and the past 2 years)</w:t>
      </w:r>
    </w:p>
    <w:p w:rsidR="00275002" w:rsidRPr="0031019A" w:rsidRDefault="009170B0" w:rsidP="00275002">
      <w:r w:rsidRPr="009170B0">
        <w:rPr>
          <w:noProof/>
          <w:lang w:eastAsia="en-AU"/>
        </w:rPr>
        <w:drawing>
          <wp:inline distT="0" distB="0" distL="0" distR="0" wp14:anchorId="4E8CFF96" wp14:editId="1235FDB4">
            <wp:extent cx="5731510" cy="2900182"/>
            <wp:effectExtent l="0" t="0" r="2540" b="0"/>
            <wp:docPr id="25" name="Picture 25"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title="Figure 10 : Price of Q1 2015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0182"/>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001805BB">
          <w:rPr>
            <w:rStyle w:val="Hyperlink"/>
          </w:rPr>
          <w:t>Industry Statistics</w:t>
        </w:r>
      </w:hyperlink>
      <w:r w:rsidR="00D615F9">
        <w:t xml:space="preserve"> s</w:t>
      </w:r>
      <w:r w:rsidRPr="0031019A">
        <w:t>ection of our website.</w:t>
      </w:r>
    </w:p>
    <w:p w:rsidR="00275002" w:rsidRPr="0031019A" w:rsidRDefault="00F516E0" w:rsidP="009A3D22">
      <w:pPr>
        <w:jc w:val="both"/>
      </w:pPr>
      <w:r>
        <w:fldChar w:fldCharType="begin"/>
      </w:r>
      <w:r>
        <w:instrText xml:space="preserve"> REF _Ref416786708 \h </w:instrText>
      </w:r>
      <w:r>
        <w:fldChar w:fldCharType="separate"/>
      </w:r>
      <w:r>
        <w:t xml:space="preserve">Figure </w:t>
      </w:r>
      <w:r>
        <w:rPr>
          <w:noProof/>
        </w:rPr>
        <w:t>11</w:t>
      </w:r>
      <w:r>
        <w:fldChar w:fldCharType="end"/>
      </w:r>
      <w:r>
        <w:t xml:space="preserve"> </w:t>
      </w:r>
      <w:r w:rsidR="00275002" w:rsidRPr="0031019A">
        <w:t xml:space="preserve">shows how the price for each regional Quarter 1 2015 cap contract has changed over the last 10 weeks (as well as the total number of trades each week). The closing quarter 1 2013 and quarter 1 2014 prices are also shown. </w:t>
      </w:r>
      <w:r>
        <w:t>Despite being close to the end of the quarter, prices in Queensland remain elevated and volumes are still being traded.</w:t>
      </w:r>
    </w:p>
    <w:p w:rsidR="00275002" w:rsidRDefault="00275002" w:rsidP="000E2946">
      <w:pPr>
        <w:pStyle w:val="Caption"/>
      </w:pPr>
      <w:bookmarkStart w:id="21" w:name="_Ref416786708"/>
      <w:bookmarkStart w:id="22" w:name="_Ref410744936"/>
      <w:r>
        <w:t xml:space="preserve">Figure </w:t>
      </w:r>
      <w:r w:rsidR="0086538A">
        <w:fldChar w:fldCharType="begin"/>
      </w:r>
      <w:r w:rsidR="0086538A">
        <w:instrText xml:space="preserve"> SEQ Figure \* ARABIC </w:instrText>
      </w:r>
      <w:r w:rsidR="0086538A">
        <w:fldChar w:fldCharType="separate"/>
      </w:r>
      <w:r w:rsidR="003E144D">
        <w:rPr>
          <w:noProof/>
        </w:rPr>
        <w:t>11</w:t>
      </w:r>
      <w:r w:rsidR="0086538A">
        <w:rPr>
          <w:noProof/>
        </w:rPr>
        <w:fldChar w:fldCharType="end"/>
      </w:r>
      <w:bookmarkEnd w:id="21"/>
      <w:r>
        <w:t xml:space="preserve"> </w:t>
      </w:r>
      <w:r w:rsidRPr="0074419D">
        <w:t>: Price of Q1 2015 cap contracts over the past 10 weeks (and the past 2 years)</w:t>
      </w:r>
      <w:bookmarkEnd w:id="22"/>
    </w:p>
    <w:p w:rsidR="00275002" w:rsidRPr="0031019A" w:rsidRDefault="009170B0" w:rsidP="00275002">
      <w:r w:rsidRPr="009170B0">
        <w:rPr>
          <w:noProof/>
          <w:lang w:eastAsia="en-AU"/>
        </w:rPr>
        <w:drawing>
          <wp:inline distT="0" distB="0" distL="0" distR="0" wp14:anchorId="08868BA5" wp14:editId="2CA7DD6F">
            <wp:extent cx="5731510" cy="2874917"/>
            <wp:effectExtent l="0" t="0" r="2540" b="1905"/>
            <wp:docPr id="26" name="Picture 26" descr="Figure 11 shows how the price for each regional Quarter 1 2015 cap contract has changed over the last 10 weeks (as well as the total number of trades each week). The closing quarter 1 2013 and quarter 1 2014 prices are also shown." title="Figure 11 : Price of Q1 2015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917"/>
                    </a:xfrm>
                    <a:prstGeom prst="rect">
                      <a:avLst/>
                    </a:prstGeom>
                    <a:noFill/>
                    <a:ln>
                      <a:noFill/>
                    </a:ln>
                  </pic:spPr>
                </pic:pic>
              </a:graphicData>
            </a:graphic>
          </wp:inline>
        </w:drawing>
      </w:r>
      <w:r w:rsidR="003E144D" w:rsidRPr="003E144D" w:rsidDel="003E144D">
        <w:t xml:space="preserve"> </w:t>
      </w:r>
    </w:p>
    <w:p w:rsidR="00275002" w:rsidRPr="002A7439" w:rsidRDefault="00275002" w:rsidP="002A7439">
      <w:pPr>
        <w:pStyle w:val="Source"/>
      </w:pPr>
      <w:r w:rsidRPr="002A7439">
        <w:t xml:space="preserve">Source: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B03723" w:rsidP="00275002">
      <w:pPr>
        <w:pStyle w:val="Heading4notnumbered"/>
      </w:pPr>
      <w:r>
        <w:t>April</w:t>
      </w:r>
      <w:r w:rsidR="00275002" w:rsidRPr="0031019A">
        <w:t xml:space="preserve"> 2015</w:t>
      </w:r>
    </w:p>
    <w:p w:rsidR="004E7D10" w:rsidRPr="0031019A" w:rsidRDefault="004E7D10">
      <w:pPr>
        <w:pStyle w:val="Heading4notnumbered"/>
      </w:pPr>
    </w:p>
    <w:sectPr w:rsidR="004E7D10" w:rsidRPr="0031019A" w:rsidSect="00EE347F">
      <w:footerReference w:type="even" r:id="rId26"/>
      <w:footerReference w:type="default" r:id="rId27"/>
      <w:footerReference w:type="first" r:id="rId28"/>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63" w:rsidRDefault="00435963" w:rsidP="004B4412">
      <w:pPr>
        <w:spacing w:before="0"/>
      </w:pPr>
      <w:r>
        <w:separator/>
      </w:r>
    </w:p>
  </w:endnote>
  <w:endnote w:type="continuationSeparator" w:id="0">
    <w:p w:rsidR="00435963" w:rsidRDefault="0043596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63" w:rsidRPr="00A91A9E" w:rsidRDefault="0043596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35963" w:rsidRDefault="00435963"/>
  <w:p w:rsidR="00435963" w:rsidRDefault="004359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63" w:rsidRDefault="0043596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6538A">
      <w:rPr>
        <w:rFonts w:cs="Arial"/>
        <w:i/>
        <w:noProof/>
      </w:rPr>
      <w:t>2</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C73F43">
      <w:rPr>
        <w:rFonts w:cs="Arial"/>
        <w:i/>
      </w:rPr>
      <w:t>44501</w:t>
    </w:r>
  </w:p>
  <w:p w:rsidR="00435963" w:rsidRPr="00A94D89" w:rsidRDefault="00435963"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63" w:rsidRPr="00A94D89" w:rsidRDefault="0043596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6538A">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44501</w:t>
    </w:r>
  </w:p>
  <w:p w:rsidR="00435963" w:rsidRDefault="004359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63" w:rsidRDefault="00435963" w:rsidP="004B4412">
      <w:pPr>
        <w:spacing w:before="0"/>
      </w:pPr>
      <w:r>
        <w:separator/>
      </w:r>
    </w:p>
  </w:footnote>
  <w:footnote w:type="continuationSeparator" w:id="0">
    <w:p w:rsidR="00435963" w:rsidRDefault="0043596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148\D15 44501  20150322 - 20150328 Electricity weekly report.DOCX"/>
  </w:docVars>
  <w:rsids>
    <w:rsidRoot w:val="00275002"/>
    <w:rsid w:val="00003286"/>
    <w:rsid w:val="000143B3"/>
    <w:rsid w:val="00021202"/>
    <w:rsid w:val="00022F09"/>
    <w:rsid w:val="000316E7"/>
    <w:rsid w:val="0003578C"/>
    <w:rsid w:val="00051160"/>
    <w:rsid w:val="00051880"/>
    <w:rsid w:val="00061CE2"/>
    <w:rsid w:val="00063247"/>
    <w:rsid w:val="00070F9F"/>
    <w:rsid w:val="0007137B"/>
    <w:rsid w:val="00085663"/>
    <w:rsid w:val="00085EBF"/>
    <w:rsid w:val="00094D20"/>
    <w:rsid w:val="0009584C"/>
    <w:rsid w:val="000A6FA6"/>
    <w:rsid w:val="000B22E7"/>
    <w:rsid w:val="000B7766"/>
    <w:rsid w:val="000D122C"/>
    <w:rsid w:val="000D2751"/>
    <w:rsid w:val="000D6002"/>
    <w:rsid w:val="000E14E0"/>
    <w:rsid w:val="000E1819"/>
    <w:rsid w:val="000E2946"/>
    <w:rsid w:val="000E6C72"/>
    <w:rsid w:val="000E77BB"/>
    <w:rsid w:val="00103E4D"/>
    <w:rsid w:val="00116EB2"/>
    <w:rsid w:val="00124609"/>
    <w:rsid w:val="00127CAB"/>
    <w:rsid w:val="001373F1"/>
    <w:rsid w:val="00141541"/>
    <w:rsid w:val="001536DC"/>
    <w:rsid w:val="00155113"/>
    <w:rsid w:val="001573E4"/>
    <w:rsid w:val="00160756"/>
    <w:rsid w:val="00163B72"/>
    <w:rsid w:val="00167A05"/>
    <w:rsid w:val="0017232E"/>
    <w:rsid w:val="00174102"/>
    <w:rsid w:val="00180157"/>
    <w:rsid w:val="001805BB"/>
    <w:rsid w:val="00186F77"/>
    <w:rsid w:val="001906D1"/>
    <w:rsid w:val="001926A4"/>
    <w:rsid w:val="00194835"/>
    <w:rsid w:val="001A5CAD"/>
    <w:rsid w:val="001B45A0"/>
    <w:rsid w:val="001C1BC0"/>
    <w:rsid w:val="001D055E"/>
    <w:rsid w:val="001D0CE3"/>
    <w:rsid w:val="001D164D"/>
    <w:rsid w:val="001E01B4"/>
    <w:rsid w:val="001F1B78"/>
    <w:rsid w:val="001F492E"/>
    <w:rsid w:val="001F6DA3"/>
    <w:rsid w:val="0020489F"/>
    <w:rsid w:val="00214271"/>
    <w:rsid w:val="00214FBA"/>
    <w:rsid w:val="00224DB9"/>
    <w:rsid w:val="00236284"/>
    <w:rsid w:val="002374FD"/>
    <w:rsid w:val="00251745"/>
    <w:rsid w:val="00253002"/>
    <w:rsid w:val="00262F65"/>
    <w:rsid w:val="00263AC0"/>
    <w:rsid w:val="002649D2"/>
    <w:rsid w:val="002649D8"/>
    <w:rsid w:val="0026772D"/>
    <w:rsid w:val="002706ED"/>
    <w:rsid w:val="00275002"/>
    <w:rsid w:val="00286874"/>
    <w:rsid w:val="00290A82"/>
    <w:rsid w:val="00296B65"/>
    <w:rsid w:val="002A702D"/>
    <w:rsid w:val="002A7439"/>
    <w:rsid w:val="002A7DEF"/>
    <w:rsid w:val="002B28AF"/>
    <w:rsid w:val="002E64A4"/>
    <w:rsid w:val="002F7986"/>
    <w:rsid w:val="003001F5"/>
    <w:rsid w:val="003040F3"/>
    <w:rsid w:val="00307F6D"/>
    <w:rsid w:val="003177A2"/>
    <w:rsid w:val="00321853"/>
    <w:rsid w:val="003271B5"/>
    <w:rsid w:val="00331264"/>
    <w:rsid w:val="00334C8D"/>
    <w:rsid w:val="00343ADB"/>
    <w:rsid w:val="003518B3"/>
    <w:rsid w:val="00371F3A"/>
    <w:rsid w:val="003846F1"/>
    <w:rsid w:val="00384A55"/>
    <w:rsid w:val="003933FB"/>
    <w:rsid w:val="003A2F7D"/>
    <w:rsid w:val="003A41E0"/>
    <w:rsid w:val="003B674F"/>
    <w:rsid w:val="003C2B22"/>
    <w:rsid w:val="003C7208"/>
    <w:rsid w:val="003E144D"/>
    <w:rsid w:val="00403473"/>
    <w:rsid w:val="00405D86"/>
    <w:rsid w:val="00420080"/>
    <w:rsid w:val="0042477B"/>
    <w:rsid w:val="00435963"/>
    <w:rsid w:val="00461443"/>
    <w:rsid w:val="004711F6"/>
    <w:rsid w:val="00480B4B"/>
    <w:rsid w:val="00485DC4"/>
    <w:rsid w:val="00493B02"/>
    <w:rsid w:val="00496CC6"/>
    <w:rsid w:val="004A1CE8"/>
    <w:rsid w:val="004B2ECC"/>
    <w:rsid w:val="004B4412"/>
    <w:rsid w:val="004C348C"/>
    <w:rsid w:val="004C63B9"/>
    <w:rsid w:val="004D34AD"/>
    <w:rsid w:val="004D55BA"/>
    <w:rsid w:val="004E13F5"/>
    <w:rsid w:val="004E34E7"/>
    <w:rsid w:val="004E7D10"/>
    <w:rsid w:val="005057B5"/>
    <w:rsid w:val="00510830"/>
    <w:rsid w:val="00521502"/>
    <w:rsid w:val="00521657"/>
    <w:rsid w:val="00522668"/>
    <w:rsid w:val="00530128"/>
    <w:rsid w:val="00531E29"/>
    <w:rsid w:val="00532467"/>
    <w:rsid w:val="00535DCE"/>
    <w:rsid w:val="00556B64"/>
    <w:rsid w:val="00564A4D"/>
    <w:rsid w:val="00567CEB"/>
    <w:rsid w:val="00571680"/>
    <w:rsid w:val="00571B35"/>
    <w:rsid w:val="00575C43"/>
    <w:rsid w:val="00577A09"/>
    <w:rsid w:val="00584D8F"/>
    <w:rsid w:val="00593BD9"/>
    <w:rsid w:val="005967D7"/>
    <w:rsid w:val="005A404D"/>
    <w:rsid w:val="005B1E3C"/>
    <w:rsid w:val="005C26CC"/>
    <w:rsid w:val="005C4659"/>
    <w:rsid w:val="005D298D"/>
    <w:rsid w:val="005D69AF"/>
    <w:rsid w:val="005E065E"/>
    <w:rsid w:val="005F6ADE"/>
    <w:rsid w:val="00612006"/>
    <w:rsid w:val="00612B60"/>
    <w:rsid w:val="00615C6B"/>
    <w:rsid w:val="00621545"/>
    <w:rsid w:val="00626221"/>
    <w:rsid w:val="00630A15"/>
    <w:rsid w:val="00632D6D"/>
    <w:rsid w:val="00642C3E"/>
    <w:rsid w:val="00663DAD"/>
    <w:rsid w:val="00676679"/>
    <w:rsid w:val="00676AD2"/>
    <w:rsid w:val="006777D7"/>
    <w:rsid w:val="00680764"/>
    <w:rsid w:val="00694FD6"/>
    <w:rsid w:val="006B4CF9"/>
    <w:rsid w:val="006B7AC8"/>
    <w:rsid w:val="006C0DD8"/>
    <w:rsid w:val="006D3ADF"/>
    <w:rsid w:val="006D550F"/>
    <w:rsid w:val="006E1E7D"/>
    <w:rsid w:val="006F3750"/>
    <w:rsid w:val="006F3FCB"/>
    <w:rsid w:val="00701CAB"/>
    <w:rsid w:val="00707563"/>
    <w:rsid w:val="00720A32"/>
    <w:rsid w:val="0072348C"/>
    <w:rsid w:val="00724A37"/>
    <w:rsid w:val="007303C3"/>
    <w:rsid w:val="007358FB"/>
    <w:rsid w:val="00736390"/>
    <w:rsid w:val="00743223"/>
    <w:rsid w:val="00746E01"/>
    <w:rsid w:val="007532DD"/>
    <w:rsid w:val="00761A8F"/>
    <w:rsid w:val="00762D41"/>
    <w:rsid w:val="00763E5D"/>
    <w:rsid w:val="00767740"/>
    <w:rsid w:val="00767AE6"/>
    <w:rsid w:val="00777EE6"/>
    <w:rsid w:val="00782EEA"/>
    <w:rsid w:val="007A6726"/>
    <w:rsid w:val="007B1732"/>
    <w:rsid w:val="007B2C72"/>
    <w:rsid w:val="007C1C53"/>
    <w:rsid w:val="007C7EE9"/>
    <w:rsid w:val="007D4848"/>
    <w:rsid w:val="007D4FDD"/>
    <w:rsid w:val="007E1516"/>
    <w:rsid w:val="007E4904"/>
    <w:rsid w:val="007E4CB5"/>
    <w:rsid w:val="007E6A82"/>
    <w:rsid w:val="007F066B"/>
    <w:rsid w:val="007F0F77"/>
    <w:rsid w:val="007F475F"/>
    <w:rsid w:val="008033C4"/>
    <w:rsid w:val="00806C88"/>
    <w:rsid w:val="0080703F"/>
    <w:rsid w:val="0081034E"/>
    <w:rsid w:val="00827B48"/>
    <w:rsid w:val="008344F6"/>
    <w:rsid w:val="0083510F"/>
    <w:rsid w:val="008366CD"/>
    <w:rsid w:val="00837FC9"/>
    <w:rsid w:val="00851209"/>
    <w:rsid w:val="0085409E"/>
    <w:rsid w:val="00861AED"/>
    <w:rsid w:val="0086231D"/>
    <w:rsid w:val="0086428B"/>
    <w:rsid w:val="0086538A"/>
    <w:rsid w:val="008837AC"/>
    <w:rsid w:val="00885563"/>
    <w:rsid w:val="00887EBF"/>
    <w:rsid w:val="0089283C"/>
    <w:rsid w:val="008A587D"/>
    <w:rsid w:val="008B21D0"/>
    <w:rsid w:val="008C1FE0"/>
    <w:rsid w:val="008C5486"/>
    <w:rsid w:val="008E3EEC"/>
    <w:rsid w:val="008E535A"/>
    <w:rsid w:val="008E6CAE"/>
    <w:rsid w:val="008E7031"/>
    <w:rsid w:val="0090239D"/>
    <w:rsid w:val="0090695B"/>
    <w:rsid w:val="00914A87"/>
    <w:rsid w:val="009164D5"/>
    <w:rsid w:val="009170B0"/>
    <w:rsid w:val="009233EE"/>
    <w:rsid w:val="00925FB1"/>
    <w:rsid w:val="00926380"/>
    <w:rsid w:val="00932A69"/>
    <w:rsid w:val="00933515"/>
    <w:rsid w:val="009377D8"/>
    <w:rsid w:val="00947323"/>
    <w:rsid w:val="00957591"/>
    <w:rsid w:val="009661DE"/>
    <w:rsid w:val="00970968"/>
    <w:rsid w:val="00982FEB"/>
    <w:rsid w:val="009837D1"/>
    <w:rsid w:val="009856B7"/>
    <w:rsid w:val="00993358"/>
    <w:rsid w:val="009A20CF"/>
    <w:rsid w:val="009A3D22"/>
    <w:rsid w:val="009B38EC"/>
    <w:rsid w:val="009B4E65"/>
    <w:rsid w:val="009B74B0"/>
    <w:rsid w:val="009B7EDA"/>
    <w:rsid w:val="009D62F4"/>
    <w:rsid w:val="009D6B46"/>
    <w:rsid w:val="009E7749"/>
    <w:rsid w:val="009F4940"/>
    <w:rsid w:val="00A04332"/>
    <w:rsid w:val="00A21684"/>
    <w:rsid w:val="00A2356E"/>
    <w:rsid w:val="00A4478A"/>
    <w:rsid w:val="00A44852"/>
    <w:rsid w:val="00A51A53"/>
    <w:rsid w:val="00A57D04"/>
    <w:rsid w:val="00A60A26"/>
    <w:rsid w:val="00A61598"/>
    <w:rsid w:val="00A6307B"/>
    <w:rsid w:val="00A72EC8"/>
    <w:rsid w:val="00A76905"/>
    <w:rsid w:val="00A81EF8"/>
    <w:rsid w:val="00A841A3"/>
    <w:rsid w:val="00A84F46"/>
    <w:rsid w:val="00A871F4"/>
    <w:rsid w:val="00A91746"/>
    <w:rsid w:val="00A92CD5"/>
    <w:rsid w:val="00A94D89"/>
    <w:rsid w:val="00AC1B2C"/>
    <w:rsid w:val="00AC29CA"/>
    <w:rsid w:val="00AC3264"/>
    <w:rsid w:val="00AC7F48"/>
    <w:rsid w:val="00AD13A2"/>
    <w:rsid w:val="00AD4310"/>
    <w:rsid w:val="00AE1BF1"/>
    <w:rsid w:val="00AE7799"/>
    <w:rsid w:val="00AF0DD2"/>
    <w:rsid w:val="00AF7058"/>
    <w:rsid w:val="00B03723"/>
    <w:rsid w:val="00B13048"/>
    <w:rsid w:val="00B15A5E"/>
    <w:rsid w:val="00B1716D"/>
    <w:rsid w:val="00B17A1D"/>
    <w:rsid w:val="00B207A0"/>
    <w:rsid w:val="00B56E03"/>
    <w:rsid w:val="00B61CCE"/>
    <w:rsid w:val="00B8080B"/>
    <w:rsid w:val="00B83745"/>
    <w:rsid w:val="00B84B40"/>
    <w:rsid w:val="00B87C39"/>
    <w:rsid w:val="00B87DD6"/>
    <w:rsid w:val="00B9227A"/>
    <w:rsid w:val="00BA390A"/>
    <w:rsid w:val="00BA4665"/>
    <w:rsid w:val="00BB18BB"/>
    <w:rsid w:val="00BB2FB2"/>
    <w:rsid w:val="00BB3304"/>
    <w:rsid w:val="00BC4ACD"/>
    <w:rsid w:val="00BD3446"/>
    <w:rsid w:val="00BE1F1B"/>
    <w:rsid w:val="00BE3C61"/>
    <w:rsid w:val="00BE47B5"/>
    <w:rsid w:val="00C16B2C"/>
    <w:rsid w:val="00C23A74"/>
    <w:rsid w:val="00C41F44"/>
    <w:rsid w:val="00C457F3"/>
    <w:rsid w:val="00C538A9"/>
    <w:rsid w:val="00C53B5A"/>
    <w:rsid w:val="00C54F5A"/>
    <w:rsid w:val="00C73A47"/>
    <w:rsid w:val="00C73C83"/>
    <w:rsid w:val="00C73F43"/>
    <w:rsid w:val="00C74A11"/>
    <w:rsid w:val="00C764EB"/>
    <w:rsid w:val="00C80D97"/>
    <w:rsid w:val="00C86679"/>
    <w:rsid w:val="00C872DB"/>
    <w:rsid w:val="00C950AF"/>
    <w:rsid w:val="00CA6754"/>
    <w:rsid w:val="00CB666B"/>
    <w:rsid w:val="00CD7C9D"/>
    <w:rsid w:val="00D01CF0"/>
    <w:rsid w:val="00D0442A"/>
    <w:rsid w:val="00D32767"/>
    <w:rsid w:val="00D33A4A"/>
    <w:rsid w:val="00D4239E"/>
    <w:rsid w:val="00D56959"/>
    <w:rsid w:val="00D61388"/>
    <w:rsid w:val="00D615F9"/>
    <w:rsid w:val="00D61A54"/>
    <w:rsid w:val="00D64538"/>
    <w:rsid w:val="00D64DEA"/>
    <w:rsid w:val="00D80893"/>
    <w:rsid w:val="00D92CF1"/>
    <w:rsid w:val="00D92D38"/>
    <w:rsid w:val="00D948DD"/>
    <w:rsid w:val="00D950F5"/>
    <w:rsid w:val="00DA3E42"/>
    <w:rsid w:val="00DB0C0B"/>
    <w:rsid w:val="00DB0F93"/>
    <w:rsid w:val="00DB2FD0"/>
    <w:rsid w:val="00DC153A"/>
    <w:rsid w:val="00DC5E54"/>
    <w:rsid w:val="00DC7981"/>
    <w:rsid w:val="00DD15C2"/>
    <w:rsid w:val="00DE4EFA"/>
    <w:rsid w:val="00DE5520"/>
    <w:rsid w:val="00DF6A0F"/>
    <w:rsid w:val="00E00EC9"/>
    <w:rsid w:val="00E04818"/>
    <w:rsid w:val="00E06442"/>
    <w:rsid w:val="00E1225C"/>
    <w:rsid w:val="00E135DB"/>
    <w:rsid w:val="00E23993"/>
    <w:rsid w:val="00E25B8C"/>
    <w:rsid w:val="00E577BB"/>
    <w:rsid w:val="00E577D7"/>
    <w:rsid w:val="00E65C85"/>
    <w:rsid w:val="00E66199"/>
    <w:rsid w:val="00E6672F"/>
    <w:rsid w:val="00E71459"/>
    <w:rsid w:val="00E74079"/>
    <w:rsid w:val="00E7472E"/>
    <w:rsid w:val="00E755EC"/>
    <w:rsid w:val="00E7624D"/>
    <w:rsid w:val="00E85C1E"/>
    <w:rsid w:val="00E9003D"/>
    <w:rsid w:val="00EA3D42"/>
    <w:rsid w:val="00EA42E2"/>
    <w:rsid w:val="00EA6B1B"/>
    <w:rsid w:val="00EA72E6"/>
    <w:rsid w:val="00EB049F"/>
    <w:rsid w:val="00EB7D7F"/>
    <w:rsid w:val="00EE28F3"/>
    <w:rsid w:val="00EE347F"/>
    <w:rsid w:val="00EF5110"/>
    <w:rsid w:val="00EF6AE4"/>
    <w:rsid w:val="00F02D9B"/>
    <w:rsid w:val="00F13EAA"/>
    <w:rsid w:val="00F15882"/>
    <w:rsid w:val="00F20BD3"/>
    <w:rsid w:val="00F27D2F"/>
    <w:rsid w:val="00F32F4B"/>
    <w:rsid w:val="00F33F2D"/>
    <w:rsid w:val="00F373A5"/>
    <w:rsid w:val="00F40401"/>
    <w:rsid w:val="00F47559"/>
    <w:rsid w:val="00F516E0"/>
    <w:rsid w:val="00F570A3"/>
    <w:rsid w:val="00F64C7B"/>
    <w:rsid w:val="00F662F1"/>
    <w:rsid w:val="00F676DD"/>
    <w:rsid w:val="00F70811"/>
    <w:rsid w:val="00F75A26"/>
    <w:rsid w:val="00F77130"/>
    <w:rsid w:val="00F83FAD"/>
    <w:rsid w:val="00F952A0"/>
    <w:rsid w:val="00FA3830"/>
    <w:rsid w:val="00FA3C7F"/>
    <w:rsid w:val="00FB74E2"/>
    <w:rsid w:val="00FD5614"/>
    <w:rsid w:val="00FD72DC"/>
    <w:rsid w:val="00FE0BE1"/>
    <w:rsid w:val="00FE1DE9"/>
    <w:rsid w:val="00FE39C2"/>
    <w:rsid w:val="00FE64AE"/>
    <w:rsid w:val="00FF26D0"/>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7213">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AA4CD8E1.dotm</Template>
  <TotalTime>0</TotalTime>
  <Pages>10</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2015-04-15T05:19:00Z</dcterms:created>
  <dcterms:modified xsi:type="dcterms:W3CDTF">2015-04-15T05:25:00Z</dcterms:modified>
</cp:coreProperties>
</file>