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5751931"/>
    <w:bookmarkStart w:id="1" w:name="_Toc308601044"/>
    <w:bookmarkStart w:id="2" w:name="_Toc316978870"/>
    <w:bookmarkStart w:id="3" w:name="_Toc317520246"/>
    <w:bookmarkStart w:id="4" w:name="OLE_LINK72"/>
    <w:bookmarkStart w:id="5" w:name="OLE_LINK73"/>
    <w:p w:rsidR="00275002" w:rsidRPr="0031019A" w:rsidRDefault="00275002" w:rsidP="00275002">
      <w:r w:rsidRPr="0031019A">
        <w:rPr>
          <w:noProof/>
          <w:lang w:eastAsia="en-AU"/>
        </w:rPr>
        <mc:AlternateContent>
          <mc:Choice Requires="wps">
            <w:drawing>
              <wp:anchor distT="0" distB="0" distL="114300" distR="114300" simplePos="0" relativeHeight="251659264" behindDoc="0" locked="0" layoutInCell="1" allowOverlap="1" wp14:anchorId="6C8DA750" wp14:editId="115899FE">
                <wp:simplePos x="0" y="0"/>
                <wp:positionH relativeFrom="column">
                  <wp:posOffset>-85090</wp:posOffset>
                </wp:positionH>
                <wp:positionV relativeFrom="paragraph">
                  <wp:posOffset>219710</wp:posOffset>
                </wp:positionV>
                <wp:extent cx="3354705" cy="1102995"/>
                <wp:effectExtent l="635"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0D3" w:rsidRPr="000E2946" w:rsidRDefault="00FF10D3" w:rsidP="000E2946">
                            <w:pPr>
                              <w:pStyle w:val="Title"/>
                            </w:pPr>
                            <w:r w:rsidRPr="000E2946">
                              <w:t>Electricity Report</w:t>
                            </w:r>
                          </w:p>
                          <w:p w:rsidR="00FF10D3" w:rsidRPr="000E2946" w:rsidRDefault="00FF10D3" w:rsidP="000E2946">
                            <w:pPr>
                              <w:pStyle w:val="Title"/>
                            </w:pPr>
                            <w:r>
                              <w:t>15</w:t>
                            </w:r>
                            <w:r w:rsidRPr="000E2946">
                              <w:t xml:space="preserve"> – </w:t>
                            </w:r>
                            <w:r>
                              <w:t>21</w:t>
                            </w:r>
                            <w:r w:rsidRPr="000E2946">
                              <w:t xml:space="preserve"> </w:t>
                            </w:r>
                            <w:r>
                              <w:t>March</w:t>
                            </w:r>
                            <w:r w:rsidRPr="000E2946">
                              <w:t xml:space="preserve"> 2015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7pt;margin-top:17.3pt;width:264.15pt;height: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o2tgIAALw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" filled="f" stroked="f">
                <v:textbox>
                  <w:txbxContent>
                    <w:p w:rsidR="00FF10D3" w:rsidRPr="000E2946" w:rsidRDefault="00FF10D3" w:rsidP="000E2946">
                      <w:pPr>
                        <w:pStyle w:val="Title"/>
                      </w:pPr>
                      <w:r w:rsidRPr="000E2946">
                        <w:t>Electricity Report</w:t>
                      </w:r>
                    </w:p>
                    <w:p w:rsidR="00FF10D3" w:rsidRPr="000E2946" w:rsidRDefault="00FF10D3" w:rsidP="000E2946">
                      <w:pPr>
                        <w:pStyle w:val="Title"/>
                      </w:pPr>
                      <w:r>
                        <w:t>15</w:t>
                      </w:r>
                      <w:r w:rsidRPr="000E2946">
                        <w:t xml:space="preserve"> – </w:t>
                      </w:r>
                      <w:r>
                        <w:t>21</w:t>
                      </w:r>
                      <w:r w:rsidRPr="000E2946">
                        <w:t xml:space="preserve"> </w:t>
                      </w:r>
                      <w:r>
                        <w:t>March</w:t>
                      </w:r>
                      <w:r w:rsidRPr="000E2946">
                        <w:t xml:space="preserve"> 2015 </w:t>
                      </w:r>
                    </w:p>
                  </w:txbxContent>
                </v:textbox>
              </v:shape>
            </w:pict>
          </mc:Fallback>
        </mc:AlternateContent>
      </w:r>
      <w:r w:rsidRPr="0031019A">
        <w:rPr>
          <w:noProof/>
          <w:lang w:eastAsia="en-AU"/>
        </w:rPr>
        <w:drawing>
          <wp:inline distT="0" distB="0" distL="0" distR="0" wp14:anchorId="0F1872FA" wp14:editId="37FFA229">
            <wp:extent cx="5718175" cy="1262380"/>
            <wp:effectExtent l="0" t="0" r="0" b="0"/>
            <wp:docPr id="13" name="Picture 13" descr="AER_Hea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_Head1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8175" cy="1262380"/>
                    </a:xfrm>
                    <a:prstGeom prst="rect">
                      <a:avLst/>
                    </a:prstGeom>
                    <a:noFill/>
                    <a:ln>
                      <a:noFill/>
                    </a:ln>
                  </pic:spPr>
                </pic:pic>
              </a:graphicData>
            </a:graphic>
          </wp:inline>
        </w:drawing>
      </w:r>
      <w:r w:rsidRPr="0031019A">
        <w:t xml:space="preserve"> </w:t>
      </w:r>
    </w:p>
    <w:p w:rsidR="00275002" w:rsidRPr="000E2946" w:rsidRDefault="00275002" w:rsidP="000E2946">
      <w:pPr>
        <w:pStyle w:val="AERHeading1"/>
      </w:pPr>
      <w:r w:rsidRPr="000E2946">
        <w:t>Introduction</w:t>
      </w:r>
    </w:p>
    <w:p w:rsidR="00275002" w:rsidRPr="0031019A" w:rsidRDefault="00275002" w:rsidP="009A3D22">
      <w:pPr>
        <w:jc w:val="both"/>
      </w:pPr>
      <w:r w:rsidRPr="0031019A">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AD13A2" w:rsidRDefault="001D0CE3" w:rsidP="009A3D22">
      <w:pPr>
        <w:jc w:val="both"/>
      </w:pPr>
      <w:r w:rsidRPr="00AD13A2">
        <w:rPr>
          <w:rFonts w:cs="Arial"/>
        </w:rPr>
        <w:fldChar w:fldCharType="begin"/>
      </w:r>
      <w:r w:rsidRPr="00AD13A2">
        <w:rPr>
          <w:rFonts w:cs="Arial"/>
        </w:rPr>
        <w:instrText xml:space="preserve"> REF _Ref410382491 \h </w:instrText>
      </w:r>
      <w:r w:rsidRPr="00AD13A2">
        <w:rPr>
          <w:rFonts w:cs="Arial"/>
        </w:rPr>
      </w:r>
      <w:r w:rsidRPr="00AD13A2">
        <w:rPr>
          <w:rFonts w:cs="Arial"/>
        </w:rPr>
        <w:fldChar w:fldCharType="separate"/>
      </w:r>
      <w:r w:rsidR="00CF5BD9" w:rsidRPr="000E2946">
        <w:t xml:space="preserve">Figure </w:t>
      </w:r>
      <w:r w:rsidR="00CF5BD9">
        <w:rPr>
          <w:noProof/>
        </w:rPr>
        <w:t>1</w:t>
      </w:r>
      <w:r w:rsidRPr="00AD13A2">
        <w:rPr>
          <w:rFonts w:cs="Arial"/>
        </w:rPr>
        <w:fldChar w:fldCharType="end"/>
      </w:r>
      <w:r w:rsidRPr="00AD13A2">
        <w:rPr>
          <w:rFonts w:cs="Arial"/>
        </w:rPr>
        <w:t xml:space="preserve"> </w:t>
      </w:r>
      <w:r w:rsidR="00AF7058" w:rsidRPr="00AD13A2">
        <w:rPr>
          <w:rFonts w:cs="Arial"/>
        </w:rPr>
        <w:t xml:space="preserve">shows the spot prices that occurred in each region during the week </w:t>
      </w:r>
      <w:r w:rsidR="00AD13A2" w:rsidRPr="00AD13A2">
        <w:rPr>
          <w:rFonts w:cs="Arial"/>
        </w:rPr>
        <w:t>15</w:t>
      </w:r>
      <w:r w:rsidR="0086231D" w:rsidRPr="00AD13A2">
        <w:rPr>
          <w:rFonts w:cs="Arial"/>
        </w:rPr>
        <w:t xml:space="preserve"> to </w:t>
      </w:r>
      <w:r w:rsidR="00AD13A2" w:rsidRPr="00AD13A2">
        <w:rPr>
          <w:rFonts w:cs="Arial"/>
        </w:rPr>
        <w:t>21</w:t>
      </w:r>
      <w:r w:rsidR="007E6A82" w:rsidRPr="00AD13A2">
        <w:rPr>
          <w:rFonts w:cs="Arial"/>
        </w:rPr>
        <w:t> </w:t>
      </w:r>
      <w:r w:rsidR="00E577D7" w:rsidRPr="00AD13A2">
        <w:rPr>
          <w:rFonts w:cs="Arial"/>
        </w:rPr>
        <w:t>March</w:t>
      </w:r>
      <w:r w:rsidR="00AF7058" w:rsidRPr="00AD13A2">
        <w:rPr>
          <w:rFonts w:cs="Arial"/>
        </w:rPr>
        <w:t xml:space="preserve"> 2015. There </w:t>
      </w:r>
      <w:r w:rsidR="0042477B" w:rsidRPr="00AD13A2">
        <w:rPr>
          <w:rFonts w:cs="Arial"/>
        </w:rPr>
        <w:t>w</w:t>
      </w:r>
      <w:r w:rsidR="00932A69" w:rsidRPr="00AD13A2">
        <w:rPr>
          <w:rFonts w:cs="Arial"/>
        </w:rPr>
        <w:t xml:space="preserve">ere five </w:t>
      </w:r>
      <w:r w:rsidR="0042477B" w:rsidRPr="00AD13A2">
        <w:rPr>
          <w:rFonts w:cs="Arial"/>
        </w:rPr>
        <w:t>occasion</w:t>
      </w:r>
      <w:r w:rsidR="00932A69" w:rsidRPr="00AD13A2">
        <w:rPr>
          <w:rFonts w:cs="Arial"/>
        </w:rPr>
        <w:t>s</w:t>
      </w:r>
      <w:r w:rsidR="00AF7058" w:rsidRPr="00AD13A2">
        <w:rPr>
          <w:rFonts w:cs="Arial"/>
        </w:rPr>
        <w:t xml:space="preserve"> </w:t>
      </w:r>
      <w:r w:rsidR="00AD13A2" w:rsidRPr="00AD13A2">
        <w:rPr>
          <w:rFonts w:cs="Arial"/>
        </w:rPr>
        <w:t xml:space="preserve">during the week </w:t>
      </w:r>
      <w:r w:rsidR="00AF7058" w:rsidRPr="00AD13A2">
        <w:rPr>
          <w:rFonts w:cs="Arial"/>
        </w:rPr>
        <w:t xml:space="preserve">where the spot price in </w:t>
      </w:r>
      <w:r w:rsidR="00932A69" w:rsidRPr="00AD13A2">
        <w:rPr>
          <w:rFonts w:cs="Arial"/>
        </w:rPr>
        <w:t xml:space="preserve">Queensland was </w:t>
      </w:r>
      <w:r w:rsidR="00AD13A2" w:rsidRPr="00AD13A2">
        <w:rPr>
          <w:rFonts w:cs="Arial"/>
        </w:rPr>
        <w:t xml:space="preserve">above $1800/MWh, as discussed in the </w:t>
      </w:r>
      <w:proofErr w:type="gramStart"/>
      <w:r w:rsidR="00AD13A2" w:rsidRPr="00AD13A2">
        <w:rPr>
          <w:rFonts w:cs="Arial"/>
          <w:i/>
        </w:rPr>
        <w:t>Detailed</w:t>
      </w:r>
      <w:proofErr w:type="gramEnd"/>
      <w:r w:rsidR="00AD13A2" w:rsidRPr="00AD13A2">
        <w:rPr>
          <w:rFonts w:cs="Arial"/>
          <w:i/>
        </w:rPr>
        <w:t xml:space="preserve"> market analysis of significant price events</w:t>
      </w:r>
      <w:r w:rsidR="00AD13A2" w:rsidRPr="00AD13A2">
        <w:rPr>
          <w:rFonts w:cs="Arial"/>
        </w:rPr>
        <w:t xml:space="preserve"> section. </w:t>
      </w:r>
    </w:p>
    <w:p w:rsidR="00275002" w:rsidRPr="000E2946" w:rsidRDefault="00275002" w:rsidP="000E2946">
      <w:pPr>
        <w:pStyle w:val="Caption"/>
      </w:pPr>
      <w:bookmarkStart w:id="6" w:name="_Ref410382491"/>
      <w:bookmarkStart w:id="7" w:name="OLE_LINK28"/>
      <w:bookmarkStart w:id="8" w:name="OLE_LINK29"/>
      <w:r w:rsidRPr="000E2946">
        <w:t xml:space="preserve">Figure </w:t>
      </w:r>
      <w:fldSimple w:instr=" SEQ Figure \* ARABIC ">
        <w:r w:rsidR="00CF5BD9">
          <w:rPr>
            <w:noProof/>
          </w:rPr>
          <w:t>1</w:t>
        </w:r>
      </w:fldSimple>
      <w:bookmarkEnd w:id="6"/>
      <w:r w:rsidRPr="000E2946">
        <w:t xml:space="preserve"> : Spot price by region ($/MWh)</w:t>
      </w:r>
    </w:p>
    <w:p w:rsidR="00275002" w:rsidRPr="0031019A" w:rsidRDefault="003E144D" w:rsidP="00275002">
      <w:r w:rsidRPr="003E144D">
        <w:rPr>
          <w:noProof/>
          <w:lang w:eastAsia="en-AU"/>
        </w:rPr>
        <w:drawing>
          <wp:inline distT="0" distB="0" distL="0" distR="0" wp14:anchorId="64FCC15B" wp14:editId="4F929E51">
            <wp:extent cx="5733254" cy="3450566"/>
            <wp:effectExtent l="0" t="0" r="1270" b="0"/>
            <wp:docPr id="2" name="Picture 2"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8952"/>
                    <a:stretch/>
                  </pic:blipFill>
                  <pic:spPr bwMode="auto">
                    <a:xfrm>
                      <a:off x="0" y="0"/>
                      <a:ext cx="5731510" cy="3449517"/>
                    </a:xfrm>
                    <a:prstGeom prst="rect">
                      <a:avLst/>
                    </a:prstGeom>
                    <a:noFill/>
                    <a:ln>
                      <a:noFill/>
                    </a:ln>
                    <a:extLst>
                      <a:ext uri="{53640926-AAD7-44D8-BBD7-CCE9431645EC}">
                        <a14:shadowObscured xmlns:a14="http://schemas.microsoft.com/office/drawing/2010/main"/>
                      </a:ext>
                    </a:extLst>
                  </pic:spPr>
                </pic:pic>
              </a:graphicData>
            </a:graphic>
          </wp:inline>
        </w:drawing>
      </w:r>
    </w:p>
    <w:p w:rsidR="00275002" w:rsidRPr="0031019A" w:rsidRDefault="00275002" w:rsidP="009A3D22">
      <w:pPr>
        <w:jc w:val="both"/>
      </w:pPr>
      <w:r>
        <w:fldChar w:fldCharType="begin"/>
      </w:r>
      <w:r>
        <w:instrText xml:space="preserve"> REF _Ref410382517 \h </w:instrText>
      </w:r>
      <w:r w:rsidR="009A3D22">
        <w:instrText xml:space="preserve"> \* MERGEFORMAT </w:instrText>
      </w:r>
      <w:r>
        <w:fldChar w:fldCharType="separate"/>
      </w:r>
      <w:r w:rsidR="00CF5BD9">
        <w:t xml:space="preserve">Figure </w:t>
      </w:r>
      <w:r w:rsidR="00CF5BD9">
        <w:rPr>
          <w:noProof/>
        </w:rPr>
        <w:t>2</w:t>
      </w:r>
      <w:r>
        <w:fldChar w:fldCharType="end"/>
      </w:r>
      <w:r w:rsidRPr="0031019A">
        <w:t xml:space="preserve"> shows the volume weighted average (VWA) prices for the current week (with prices shown in </w:t>
      </w:r>
      <w:r>
        <w:fldChar w:fldCharType="begin"/>
      </w:r>
      <w:r>
        <w:instrText xml:space="preserve"> REF _Ref410382587 \h </w:instrText>
      </w:r>
      <w:r w:rsidR="009A3D22">
        <w:instrText xml:space="preserve"> \* </w:instrText>
      </w:r>
      <w:r w:rsidR="009A3D22">
        <w:lastRenderedPageBreak/>
        <w:instrText xml:space="preserve">MERGEFORMAT </w:instrText>
      </w:r>
      <w:r>
        <w:fldChar w:fldCharType="separate"/>
      </w:r>
      <w:r w:rsidR="00CF5BD9">
        <w:t xml:space="preserve">Table </w:t>
      </w:r>
      <w:r w:rsidR="00CF5BD9">
        <w:rPr>
          <w:noProof/>
        </w:rPr>
        <w:t>1</w:t>
      </w:r>
      <w:r>
        <w:fldChar w:fldCharType="end"/>
      </w:r>
      <w:r w:rsidRPr="0031019A">
        <w:t>) and the preceding 12 weeks, as well as the VWA price over the previous 3 financial years</w:t>
      </w:r>
      <w:r w:rsidR="00762D41">
        <w:t>.</w:t>
      </w:r>
    </w:p>
    <w:p w:rsidR="00275002" w:rsidRDefault="00275002" w:rsidP="000E2946">
      <w:pPr>
        <w:pStyle w:val="Caption"/>
      </w:pPr>
      <w:bookmarkStart w:id="9" w:name="_Ref410382517"/>
      <w:r>
        <w:t xml:space="preserve">Figure </w:t>
      </w:r>
      <w:fldSimple w:instr=" SEQ Figure \* ARABIC ">
        <w:r w:rsidR="00CF5BD9">
          <w:rPr>
            <w:noProof/>
          </w:rPr>
          <w:t>2</w:t>
        </w:r>
      </w:fldSimple>
      <w:bookmarkEnd w:id="9"/>
      <w:r>
        <w:t xml:space="preserve"> :</w:t>
      </w:r>
      <w:r w:rsidRPr="00037176">
        <w:t xml:space="preserve"> Volume weighted average spot price by region ($/MWh)</w:t>
      </w:r>
    </w:p>
    <w:p w:rsidR="00275002" w:rsidRPr="0031019A" w:rsidRDefault="004A1CE8" w:rsidP="00275002">
      <w:r w:rsidRPr="004A1CE8">
        <w:rPr>
          <w:noProof/>
          <w:lang w:eastAsia="en-AU"/>
        </w:rPr>
        <w:drawing>
          <wp:inline distT="0" distB="0" distL="0" distR="0" wp14:anchorId="46D07699" wp14:editId="46629802">
            <wp:extent cx="5731510" cy="2857945"/>
            <wp:effectExtent l="0" t="0" r="2540" b="0"/>
            <wp:docPr id="9" name="Picture 9" descr="Figure 2 shows the volume weighted average (VWA) prices for this week (with prices shown in Table 1) and the preceding 12 weeks, as well as the VWA price over the previous 3 financial years.    &#10;" title="Figure 2 : Volume weighted average spot price by region ($/M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57945"/>
                    </a:xfrm>
                    <a:prstGeom prst="rect">
                      <a:avLst/>
                    </a:prstGeom>
                    <a:noFill/>
                    <a:ln>
                      <a:noFill/>
                    </a:ln>
                  </pic:spPr>
                </pic:pic>
              </a:graphicData>
            </a:graphic>
          </wp:inline>
        </w:drawing>
      </w:r>
    </w:p>
    <w:p w:rsidR="00275002" w:rsidRPr="0031019A" w:rsidRDefault="00275002" w:rsidP="000E2946">
      <w:pPr>
        <w:pStyle w:val="Caption"/>
      </w:pPr>
      <w:bookmarkStart w:id="10" w:name="_Ref410382587"/>
      <w:r>
        <w:t xml:space="preserve">Table </w:t>
      </w:r>
      <w:fldSimple w:instr=" SEQ Table \* ARABIC ">
        <w:r w:rsidR="00CF5BD9">
          <w:rPr>
            <w:noProof/>
          </w:rPr>
          <w:t>1</w:t>
        </w:r>
      </w:fldSimple>
      <w:bookmarkEnd w:id="10"/>
      <w:r>
        <w:t xml:space="preserve"> </w:t>
      </w:r>
      <w:r w:rsidRPr="00731409">
        <w:t>: Volume weighted average spot prices by region ($/MWh)</w:t>
      </w:r>
    </w:p>
    <w:tbl>
      <w:tblPr>
        <w:tblStyle w:val="AERTable-Text"/>
        <w:tblW w:w="5000" w:type="pct"/>
        <w:tblLook w:val="04A0" w:firstRow="1" w:lastRow="0" w:firstColumn="1" w:lastColumn="0" w:noHBand="0" w:noVBand="1"/>
      </w:tblPr>
      <w:tblGrid>
        <w:gridCol w:w="2509"/>
        <w:gridCol w:w="957"/>
        <w:gridCol w:w="1444"/>
        <w:gridCol w:w="1444"/>
        <w:gridCol w:w="1444"/>
        <w:gridCol w:w="1444"/>
      </w:tblGrid>
      <w:tr w:rsidR="00275002" w:rsidRPr="000E2946" w:rsidTr="00275002">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hideMark/>
          </w:tcPr>
          <w:p w:rsidR="00275002" w:rsidRPr="000E2946" w:rsidRDefault="00275002" w:rsidP="00957591">
            <w:pPr>
              <w:pStyle w:val="TableHeading"/>
            </w:pPr>
            <w:r w:rsidRPr="000E2946">
              <w:t>Region</w:t>
            </w:r>
          </w:p>
        </w:tc>
        <w:tc>
          <w:tcPr>
            <w:tcW w:w="518" w:type="pct"/>
            <w:noWrap/>
            <w:hideMark/>
          </w:tcPr>
          <w:p w:rsidR="00275002" w:rsidRPr="000E2946" w:rsidRDefault="00275002" w:rsidP="00E7472E">
            <w:pPr>
              <w:pStyle w:val="TableHeading"/>
              <w:jc w:val="center"/>
            </w:pPr>
            <w:r w:rsidRPr="000E2946">
              <w:t>Qld</w:t>
            </w:r>
          </w:p>
        </w:tc>
        <w:tc>
          <w:tcPr>
            <w:tcW w:w="781" w:type="pct"/>
            <w:noWrap/>
            <w:hideMark/>
          </w:tcPr>
          <w:p w:rsidR="00275002" w:rsidRPr="000E2946" w:rsidRDefault="00275002" w:rsidP="00E7472E">
            <w:pPr>
              <w:pStyle w:val="TableHeading"/>
              <w:jc w:val="center"/>
            </w:pPr>
            <w:r w:rsidRPr="000E2946">
              <w:t>NSW</w:t>
            </w:r>
          </w:p>
        </w:tc>
        <w:tc>
          <w:tcPr>
            <w:tcW w:w="781" w:type="pct"/>
            <w:noWrap/>
            <w:hideMark/>
          </w:tcPr>
          <w:p w:rsidR="00275002" w:rsidRPr="000E2946" w:rsidRDefault="00275002" w:rsidP="00E7472E">
            <w:pPr>
              <w:pStyle w:val="TableHeading"/>
              <w:jc w:val="center"/>
            </w:pPr>
            <w:r w:rsidRPr="000E2946">
              <w:t>Vic</w:t>
            </w:r>
          </w:p>
        </w:tc>
        <w:tc>
          <w:tcPr>
            <w:tcW w:w="781" w:type="pct"/>
            <w:noWrap/>
            <w:hideMark/>
          </w:tcPr>
          <w:p w:rsidR="00275002" w:rsidRPr="000E2946" w:rsidRDefault="00275002" w:rsidP="00E7472E">
            <w:pPr>
              <w:pStyle w:val="TableHeading"/>
              <w:jc w:val="center"/>
            </w:pPr>
            <w:r w:rsidRPr="000E2946">
              <w:t>SA</w:t>
            </w:r>
          </w:p>
        </w:tc>
        <w:tc>
          <w:tcPr>
            <w:tcW w:w="781" w:type="pct"/>
            <w:noWrap/>
            <w:hideMark/>
          </w:tcPr>
          <w:p w:rsidR="00275002" w:rsidRPr="000E2946" w:rsidRDefault="00275002" w:rsidP="00E7472E">
            <w:pPr>
              <w:pStyle w:val="TableHeading"/>
              <w:jc w:val="center"/>
            </w:pPr>
            <w:proofErr w:type="spellStart"/>
            <w:r w:rsidRPr="000E2946">
              <w:t>Tas</w:t>
            </w:r>
            <w:proofErr w:type="spellEnd"/>
          </w:p>
        </w:tc>
      </w:tr>
      <w:tr w:rsidR="004A1CE8" w:rsidRPr="00F52F00" w:rsidTr="00993358">
        <w:trPr>
          <w:trHeight w:hRule="exact" w:val="340"/>
        </w:trPr>
        <w:tc>
          <w:tcPr>
            <w:tcW w:w="1357" w:type="pct"/>
            <w:noWrap/>
            <w:vAlign w:val="center"/>
            <w:hideMark/>
          </w:tcPr>
          <w:p w:rsidR="004A1CE8" w:rsidRPr="00262F65" w:rsidRDefault="004A1CE8" w:rsidP="007E6A82">
            <w:pPr>
              <w:spacing w:before="0" w:after="0"/>
              <w:rPr>
                <w:sz w:val="20"/>
                <w:szCs w:val="20"/>
              </w:rPr>
            </w:pPr>
            <w:r w:rsidRPr="00262F65">
              <w:rPr>
                <w:sz w:val="20"/>
                <w:szCs w:val="20"/>
              </w:rPr>
              <w:t>Current week</w:t>
            </w:r>
          </w:p>
        </w:tc>
        <w:tc>
          <w:tcPr>
            <w:tcW w:w="518" w:type="pct"/>
            <w:noWrap/>
          </w:tcPr>
          <w:p w:rsidR="004A1CE8" w:rsidRPr="007A6726" w:rsidRDefault="004A1CE8" w:rsidP="004A1CE8">
            <w:pPr>
              <w:jc w:val="center"/>
              <w:rPr>
                <w:sz w:val="20"/>
                <w:szCs w:val="20"/>
              </w:rPr>
            </w:pPr>
            <w:r w:rsidRPr="007A6726">
              <w:rPr>
                <w:sz w:val="20"/>
                <w:szCs w:val="20"/>
              </w:rPr>
              <w:t>67</w:t>
            </w:r>
          </w:p>
        </w:tc>
        <w:tc>
          <w:tcPr>
            <w:tcW w:w="781" w:type="pct"/>
            <w:noWrap/>
          </w:tcPr>
          <w:p w:rsidR="004A1CE8" w:rsidRPr="007A6726" w:rsidRDefault="004A1CE8" w:rsidP="004A1CE8">
            <w:pPr>
              <w:jc w:val="center"/>
              <w:rPr>
                <w:sz w:val="20"/>
                <w:szCs w:val="20"/>
              </w:rPr>
            </w:pPr>
            <w:r w:rsidRPr="007A6726">
              <w:rPr>
                <w:sz w:val="20"/>
                <w:szCs w:val="20"/>
              </w:rPr>
              <w:t>26</w:t>
            </w:r>
          </w:p>
        </w:tc>
        <w:tc>
          <w:tcPr>
            <w:tcW w:w="781" w:type="pct"/>
            <w:noWrap/>
          </w:tcPr>
          <w:p w:rsidR="004A1CE8" w:rsidRPr="007A6726" w:rsidRDefault="004A1CE8" w:rsidP="004A1CE8">
            <w:pPr>
              <w:jc w:val="center"/>
              <w:rPr>
                <w:sz w:val="20"/>
                <w:szCs w:val="20"/>
              </w:rPr>
            </w:pPr>
            <w:r w:rsidRPr="007A6726">
              <w:rPr>
                <w:sz w:val="20"/>
                <w:szCs w:val="20"/>
              </w:rPr>
              <w:t>22</w:t>
            </w:r>
          </w:p>
        </w:tc>
        <w:tc>
          <w:tcPr>
            <w:tcW w:w="781" w:type="pct"/>
            <w:noWrap/>
          </w:tcPr>
          <w:p w:rsidR="004A1CE8" w:rsidRPr="007A6726" w:rsidRDefault="004A1CE8" w:rsidP="004A1CE8">
            <w:pPr>
              <w:jc w:val="center"/>
              <w:rPr>
                <w:sz w:val="20"/>
                <w:szCs w:val="20"/>
              </w:rPr>
            </w:pPr>
            <w:r w:rsidRPr="007A6726">
              <w:rPr>
                <w:sz w:val="20"/>
                <w:szCs w:val="20"/>
              </w:rPr>
              <w:t>22</w:t>
            </w:r>
          </w:p>
        </w:tc>
        <w:tc>
          <w:tcPr>
            <w:tcW w:w="781" w:type="pct"/>
            <w:noWrap/>
          </w:tcPr>
          <w:p w:rsidR="004A1CE8" w:rsidRPr="007A6726" w:rsidRDefault="004A1CE8" w:rsidP="004A1CE8">
            <w:pPr>
              <w:jc w:val="center"/>
              <w:rPr>
                <w:sz w:val="20"/>
                <w:szCs w:val="20"/>
              </w:rPr>
            </w:pPr>
            <w:r w:rsidRPr="007A6726">
              <w:rPr>
                <w:sz w:val="20"/>
                <w:szCs w:val="20"/>
              </w:rPr>
              <w:t>38</w:t>
            </w:r>
          </w:p>
        </w:tc>
      </w:tr>
      <w:tr w:rsidR="004A1CE8" w:rsidRPr="00F52F00" w:rsidTr="00993358">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4A1CE8" w:rsidRPr="00262F65" w:rsidRDefault="004A1CE8" w:rsidP="007E6A82">
            <w:pPr>
              <w:spacing w:before="0" w:after="0"/>
              <w:rPr>
                <w:szCs w:val="20"/>
              </w:rPr>
            </w:pPr>
            <w:r w:rsidRPr="00262F65">
              <w:rPr>
                <w:szCs w:val="20"/>
              </w:rPr>
              <w:t>13-14 financial YTD</w:t>
            </w:r>
          </w:p>
        </w:tc>
        <w:tc>
          <w:tcPr>
            <w:tcW w:w="518" w:type="pct"/>
            <w:noWrap/>
          </w:tcPr>
          <w:p w:rsidR="004A1CE8" w:rsidRPr="007A6726" w:rsidRDefault="004A1CE8" w:rsidP="004A1CE8">
            <w:pPr>
              <w:jc w:val="center"/>
              <w:rPr>
                <w:szCs w:val="20"/>
              </w:rPr>
            </w:pPr>
            <w:r w:rsidRPr="007A6726">
              <w:rPr>
                <w:szCs w:val="20"/>
              </w:rPr>
              <w:t>61</w:t>
            </w:r>
          </w:p>
        </w:tc>
        <w:tc>
          <w:tcPr>
            <w:tcW w:w="781" w:type="pct"/>
            <w:noWrap/>
          </w:tcPr>
          <w:p w:rsidR="004A1CE8" w:rsidRPr="007A6726" w:rsidRDefault="004A1CE8" w:rsidP="004A1CE8">
            <w:pPr>
              <w:jc w:val="center"/>
              <w:rPr>
                <w:szCs w:val="20"/>
              </w:rPr>
            </w:pPr>
            <w:r w:rsidRPr="007A6726">
              <w:rPr>
                <w:szCs w:val="20"/>
              </w:rPr>
              <w:t>53</w:t>
            </w:r>
          </w:p>
        </w:tc>
        <w:tc>
          <w:tcPr>
            <w:tcW w:w="781" w:type="pct"/>
            <w:noWrap/>
          </w:tcPr>
          <w:p w:rsidR="004A1CE8" w:rsidRPr="007A6726" w:rsidRDefault="004A1CE8" w:rsidP="004A1CE8">
            <w:pPr>
              <w:jc w:val="center"/>
              <w:rPr>
                <w:szCs w:val="20"/>
              </w:rPr>
            </w:pPr>
            <w:r w:rsidRPr="007A6726">
              <w:rPr>
                <w:szCs w:val="20"/>
              </w:rPr>
              <w:t>54</w:t>
            </w:r>
          </w:p>
        </w:tc>
        <w:tc>
          <w:tcPr>
            <w:tcW w:w="781" w:type="pct"/>
            <w:noWrap/>
          </w:tcPr>
          <w:p w:rsidR="004A1CE8" w:rsidRPr="007A6726" w:rsidRDefault="004A1CE8" w:rsidP="004A1CE8">
            <w:pPr>
              <w:jc w:val="center"/>
              <w:rPr>
                <w:szCs w:val="20"/>
              </w:rPr>
            </w:pPr>
            <w:r w:rsidRPr="007A6726">
              <w:rPr>
                <w:szCs w:val="20"/>
              </w:rPr>
              <w:t>68</w:t>
            </w:r>
          </w:p>
        </w:tc>
        <w:tc>
          <w:tcPr>
            <w:tcW w:w="781" w:type="pct"/>
            <w:noWrap/>
          </w:tcPr>
          <w:p w:rsidR="004A1CE8" w:rsidRPr="007A6726" w:rsidRDefault="004A1CE8" w:rsidP="004A1CE8">
            <w:pPr>
              <w:jc w:val="center"/>
              <w:rPr>
                <w:szCs w:val="20"/>
              </w:rPr>
            </w:pPr>
            <w:r w:rsidRPr="007A6726">
              <w:rPr>
                <w:szCs w:val="20"/>
              </w:rPr>
              <w:t>42</w:t>
            </w:r>
          </w:p>
        </w:tc>
      </w:tr>
      <w:tr w:rsidR="004A1CE8" w:rsidRPr="00F52F00" w:rsidTr="00993358">
        <w:trPr>
          <w:trHeight w:hRule="exact" w:val="340"/>
        </w:trPr>
        <w:tc>
          <w:tcPr>
            <w:tcW w:w="1357" w:type="pct"/>
            <w:noWrap/>
            <w:vAlign w:val="center"/>
            <w:hideMark/>
          </w:tcPr>
          <w:p w:rsidR="004A1CE8" w:rsidRPr="00262F65" w:rsidRDefault="004A1CE8" w:rsidP="007E6A82">
            <w:pPr>
              <w:spacing w:before="0" w:after="0"/>
              <w:rPr>
                <w:sz w:val="20"/>
                <w:szCs w:val="20"/>
              </w:rPr>
            </w:pPr>
            <w:r w:rsidRPr="00262F65">
              <w:rPr>
                <w:sz w:val="20"/>
                <w:szCs w:val="20"/>
              </w:rPr>
              <w:t>14-15 financial YTD</w:t>
            </w:r>
          </w:p>
        </w:tc>
        <w:tc>
          <w:tcPr>
            <w:tcW w:w="518" w:type="pct"/>
            <w:noWrap/>
          </w:tcPr>
          <w:p w:rsidR="004A1CE8" w:rsidRPr="007A6726" w:rsidRDefault="004A1CE8" w:rsidP="004A1CE8">
            <w:pPr>
              <w:jc w:val="center"/>
              <w:rPr>
                <w:sz w:val="20"/>
                <w:szCs w:val="20"/>
              </w:rPr>
            </w:pPr>
            <w:r w:rsidRPr="007A6726">
              <w:rPr>
                <w:sz w:val="20"/>
                <w:szCs w:val="20"/>
              </w:rPr>
              <w:t>72</w:t>
            </w:r>
          </w:p>
        </w:tc>
        <w:tc>
          <w:tcPr>
            <w:tcW w:w="781" w:type="pct"/>
            <w:noWrap/>
          </w:tcPr>
          <w:p w:rsidR="004A1CE8" w:rsidRPr="007A6726" w:rsidRDefault="004A1CE8" w:rsidP="004A1CE8">
            <w:pPr>
              <w:jc w:val="center"/>
              <w:rPr>
                <w:sz w:val="20"/>
                <w:szCs w:val="20"/>
              </w:rPr>
            </w:pPr>
            <w:r w:rsidRPr="007A6726">
              <w:rPr>
                <w:sz w:val="20"/>
                <w:szCs w:val="20"/>
              </w:rPr>
              <w:t>36</w:t>
            </w:r>
          </w:p>
        </w:tc>
        <w:tc>
          <w:tcPr>
            <w:tcW w:w="781" w:type="pct"/>
            <w:noWrap/>
          </w:tcPr>
          <w:p w:rsidR="004A1CE8" w:rsidRPr="007A6726" w:rsidRDefault="004A1CE8" w:rsidP="004A1CE8">
            <w:pPr>
              <w:jc w:val="center"/>
              <w:rPr>
                <w:sz w:val="20"/>
                <w:szCs w:val="20"/>
              </w:rPr>
            </w:pPr>
            <w:r w:rsidRPr="007A6726">
              <w:rPr>
                <w:sz w:val="20"/>
                <w:szCs w:val="20"/>
              </w:rPr>
              <w:t>31</w:t>
            </w:r>
          </w:p>
        </w:tc>
        <w:tc>
          <w:tcPr>
            <w:tcW w:w="781" w:type="pct"/>
            <w:noWrap/>
          </w:tcPr>
          <w:p w:rsidR="004A1CE8" w:rsidRPr="007A6726" w:rsidRDefault="004A1CE8" w:rsidP="004A1CE8">
            <w:pPr>
              <w:jc w:val="center"/>
              <w:rPr>
                <w:sz w:val="20"/>
                <w:szCs w:val="20"/>
              </w:rPr>
            </w:pPr>
            <w:r w:rsidRPr="007A6726">
              <w:rPr>
                <w:sz w:val="20"/>
                <w:szCs w:val="20"/>
              </w:rPr>
              <w:t>40</w:t>
            </w:r>
          </w:p>
        </w:tc>
        <w:tc>
          <w:tcPr>
            <w:tcW w:w="781" w:type="pct"/>
            <w:noWrap/>
          </w:tcPr>
          <w:p w:rsidR="004A1CE8" w:rsidRPr="007A6726" w:rsidRDefault="004A1CE8" w:rsidP="004A1CE8">
            <w:pPr>
              <w:jc w:val="center"/>
              <w:rPr>
                <w:sz w:val="20"/>
                <w:szCs w:val="20"/>
              </w:rPr>
            </w:pPr>
            <w:r w:rsidRPr="007A6726">
              <w:rPr>
                <w:sz w:val="20"/>
                <w:szCs w:val="20"/>
              </w:rPr>
              <w:t>38</w:t>
            </w:r>
          </w:p>
        </w:tc>
      </w:tr>
    </w:tbl>
    <w:p w:rsidR="00275002" w:rsidRPr="0031019A" w:rsidRDefault="00275002" w:rsidP="007E6A82">
      <w:pPr>
        <w:pStyle w:val="Tabletext"/>
      </w:pPr>
      <w:r w:rsidRPr="0031019A">
        <w:t xml:space="preserve">Longer-term statistics tracking average spot market prices are available on the </w:t>
      </w:r>
      <w:hyperlink r:id="rId13" w:history="1">
        <w:r w:rsidRPr="0031019A">
          <w:rPr>
            <w:rStyle w:val="Hyperlink"/>
          </w:rPr>
          <w:t>AER website</w:t>
        </w:r>
      </w:hyperlink>
      <w:r w:rsidRPr="0031019A">
        <w:t xml:space="preserve">. </w:t>
      </w:r>
    </w:p>
    <w:bookmarkEnd w:id="7"/>
    <w:bookmarkEnd w:id="8"/>
    <w:p w:rsidR="00275002" w:rsidRPr="0031019A" w:rsidRDefault="00275002" w:rsidP="000E2946">
      <w:pPr>
        <w:pStyle w:val="AERHeading1"/>
      </w:pPr>
      <w:r w:rsidRPr="0031019A">
        <w:t>Spot market price forecast variations</w:t>
      </w:r>
    </w:p>
    <w:p w:rsidR="00275002" w:rsidRPr="0031019A" w:rsidRDefault="00275002" w:rsidP="009A3D22">
      <w:pPr>
        <w:jc w:val="both"/>
      </w:pPr>
      <w:r w:rsidRPr="0031019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1019A" w:rsidRDefault="00F70811" w:rsidP="009A3D22">
      <w:pPr>
        <w:jc w:val="both"/>
      </w:pPr>
      <w:r w:rsidRPr="00F70811">
        <w:t xml:space="preserve">There were </w:t>
      </w:r>
      <w:r w:rsidR="00A2356E">
        <w:t>1</w:t>
      </w:r>
      <w:r w:rsidR="004A1CE8">
        <w:t>26</w:t>
      </w:r>
      <w:r w:rsidR="00A2356E" w:rsidRPr="00F70811">
        <w:t xml:space="preserve"> </w:t>
      </w:r>
      <w:r w:rsidRPr="00F70811">
        <w:t>trading intervals throughout the week where actual prices varied significantly from forecasts. This compares to the weekly average in 2014 of 71 counts and the average in 2013 of 97</w:t>
      </w:r>
      <w:r w:rsidR="00275002" w:rsidRPr="0031019A">
        <w:t xml:space="preserve">. Reasons for the variations for this week are summarised in </w:t>
      </w:r>
      <w:r w:rsidR="00E7472E">
        <w:fldChar w:fldCharType="begin"/>
      </w:r>
      <w:r w:rsidR="00E7472E">
        <w:instrText xml:space="preserve"> REF _Ref410993002 \h </w:instrText>
      </w:r>
      <w:r w:rsidR="00E7472E">
        <w:fldChar w:fldCharType="separate"/>
      </w:r>
      <w:r w:rsidR="00CF5BD9">
        <w:t xml:space="preserve">Table </w:t>
      </w:r>
      <w:r w:rsidR="00CF5BD9">
        <w:rPr>
          <w:noProof/>
        </w:rPr>
        <w:t>2</w:t>
      </w:r>
      <w:r w:rsidR="00E7472E">
        <w:fldChar w:fldCharType="end"/>
      </w:r>
      <w:r w:rsidR="00275002" w:rsidRPr="0031019A">
        <w:t xml:space="preserve">. Based on AER analysis, the table summarises (as a percentage) the </w:t>
      </w:r>
      <w:r w:rsidR="00275002" w:rsidRPr="0031019A">
        <w:lastRenderedPageBreak/>
        <w:t xml:space="preserve">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1019A">
        <w:t>ahead</w:t>
      </w:r>
      <w:proofErr w:type="gramEnd"/>
      <w:r w:rsidR="00275002" w:rsidRPr="0031019A">
        <w:t xml:space="preserve"> forecasts differ significantly from the actual price will be counted as two variations.</w:t>
      </w:r>
    </w:p>
    <w:p w:rsidR="00275002" w:rsidRPr="0031019A" w:rsidRDefault="00275002" w:rsidP="000E2946">
      <w:pPr>
        <w:pStyle w:val="Caption"/>
      </w:pPr>
      <w:bookmarkStart w:id="11" w:name="_Ref410993002"/>
      <w:bookmarkStart w:id="12" w:name="_Ref410992996"/>
      <w:r>
        <w:t xml:space="preserve">Table </w:t>
      </w:r>
      <w:fldSimple w:instr=" SEQ Table \* ARABIC ">
        <w:r w:rsidR="00CF5BD9">
          <w:rPr>
            <w:noProof/>
          </w:rPr>
          <w:t>2</w:t>
        </w:r>
      </w:fldSimple>
      <w:bookmarkEnd w:id="11"/>
      <w:r>
        <w:t xml:space="preserve"> </w:t>
      </w:r>
      <w:r w:rsidRPr="00BC7912">
        <w:t>: Reasons for variations between forecast and actual prices</w:t>
      </w:r>
      <w:bookmarkEnd w:id="12"/>
    </w:p>
    <w:tbl>
      <w:tblPr>
        <w:tblStyle w:val="AERsummarytable"/>
        <w:tblW w:w="9122" w:type="dxa"/>
        <w:tblLayout w:type="fixed"/>
        <w:tblLook w:val="04A0" w:firstRow="1" w:lastRow="0" w:firstColumn="1" w:lastColumn="0" w:noHBand="0" w:noVBand="1"/>
      </w:tblPr>
      <w:tblGrid>
        <w:gridCol w:w="2835"/>
        <w:gridCol w:w="1571"/>
        <w:gridCol w:w="1572"/>
        <w:gridCol w:w="1572"/>
        <w:gridCol w:w="1572"/>
      </w:tblGrid>
      <w:tr w:rsidR="00275002" w:rsidRPr="00E7472E" w:rsidTr="007E6A82">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vAlign w:val="center"/>
            <w:hideMark/>
          </w:tcPr>
          <w:p w:rsidR="00275002" w:rsidRPr="00E7472E" w:rsidRDefault="00275002" w:rsidP="007E6A82">
            <w:pPr>
              <w:pStyle w:val="TableHeading"/>
              <w:jc w:val="center"/>
              <w:rPr>
                <w:sz w:val="20"/>
              </w:rPr>
            </w:pPr>
          </w:p>
        </w:tc>
        <w:tc>
          <w:tcPr>
            <w:tcW w:w="1571" w:type="dxa"/>
            <w:noWrap/>
            <w:vAlign w:val="center"/>
            <w:hideMark/>
          </w:tcPr>
          <w:p w:rsidR="00275002" w:rsidRPr="00E7472E" w:rsidRDefault="00275002" w:rsidP="007E6A82">
            <w:pPr>
              <w:pStyle w:val="TableHeading"/>
              <w:jc w:val="center"/>
              <w:rPr>
                <w:sz w:val="20"/>
              </w:rPr>
            </w:pPr>
            <w:r w:rsidRPr="00E7472E">
              <w:rPr>
                <w:sz w:val="20"/>
              </w:rPr>
              <w:t>Availability</w:t>
            </w:r>
          </w:p>
        </w:tc>
        <w:tc>
          <w:tcPr>
            <w:tcW w:w="1572" w:type="dxa"/>
            <w:noWrap/>
            <w:vAlign w:val="center"/>
            <w:hideMark/>
          </w:tcPr>
          <w:p w:rsidR="00275002" w:rsidRPr="00E7472E" w:rsidRDefault="00275002" w:rsidP="007E6A82">
            <w:pPr>
              <w:pStyle w:val="TableHeading"/>
              <w:jc w:val="center"/>
              <w:rPr>
                <w:sz w:val="20"/>
              </w:rPr>
            </w:pPr>
            <w:r w:rsidRPr="00E7472E">
              <w:rPr>
                <w:sz w:val="20"/>
              </w:rPr>
              <w:t>Demand</w:t>
            </w:r>
          </w:p>
        </w:tc>
        <w:tc>
          <w:tcPr>
            <w:tcW w:w="1572" w:type="dxa"/>
            <w:noWrap/>
            <w:vAlign w:val="center"/>
            <w:hideMark/>
          </w:tcPr>
          <w:p w:rsidR="00275002" w:rsidRPr="00E7472E" w:rsidRDefault="00275002" w:rsidP="007E6A82">
            <w:pPr>
              <w:pStyle w:val="TableHeading"/>
              <w:jc w:val="center"/>
              <w:rPr>
                <w:sz w:val="20"/>
              </w:rPr>
            </w:pPr>
            <w:r w:rsidRPr="00E7472E">
              <w:rPr>
                <w:sz w:val="20"/>
              </w:rPr>
              <w:t>Network</w:t>
            </w:r>
          </w:p>
        </w:tc>
        <w:tc>
          <w:tcPr>
            <w:tcW w:w="1572" w:type="dxa"/>
            <w:vAlign w:val="center"/>
            <w:hideMark/>
          </w:tcPr>
          <w:p w:rsidR="00275002" w:rsidRPr="00E7472E" w:rsidRDefault="00275002" w:rsidP="007E6A82">
            <w:pPr>
              <w:pStyle w:val="TableHeading"/>
              <w:jc w:val="center"/>
              <w:rPr>
                <w:sz w:val="20"/>
              </w:rPr>
            </w:pPr>
            <w:r w:rsidRPr="00E7472E">
              <w:rPr>
                <w:sz w:val="20"/>
              </w:rPr>
              <w:t>Combination</w:t>
            </w:r>
          </w:p>
        </w:tc>
      </w:tr>
      <w:tr w:rsidR="004A1CE8" w:rsidRPr="00F52F00" w:rsidTr="007A6726">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4A1CE8" w:rsidRPr="0031019A" w:rsidRDefault="004A1CE8" w:rsidP="007A6726">
            <w:pPr>
              <w:spacing w:after="0"/>
              <w:jc w:val="center"/>
            </w:pPr>
            <w:r w:rsidRPr="0031019A">
              <w:t>% of total above forecast</w:t>
            </w:r>
          </w:p>
        </w:tc>
        <w:tc>
          <w:tcPr>
            <w:tcW w:w="1571" w:type="dxa"/>
            <w:noWrap/>
            <w:vAlign w:val="center"/>
          </w:tcPr>
          <w:p w:rsidR="004A1CE8" w:rsidRPr="004C03AE" w:rsidRDefault="004A1CE8" w:rsidP="007A6726">
            <w:pPr>
              <w:spacing w:after="0"/>
              <w:jc w:val="center"/>
            </w:pPr>
            <w:r w:rsidRPr="004C03AE">
              <w:t>0</w:t>
            </w:r>
          </w:p>
        </w:tc>
        <w:tc>
          <w:tcPr>
            <w:tcW w:w="1572" w:type="dxa"/>
            <w:noWrap/>
            <w:vAlign w:val="center"/>
          </w:tcPr>
          <w:p w:rsidR="004A1CE8" w:rsidRPr="004C03AE" w:rsidRDefault="004A1CE8" w:rsidP="007A6726">
            <w:pPr>
              <w:spacing w:after="0"/>
              <w:jc w:val="center"/>
            </w:pPr>
            <w:r w:rsidRPr="004C03AE">
              <w:t>39</w:t>
            </w:r>
          </w:p>
        </w:tc>
        <w:tc>
          <w:tcPr>
            <w:tcW w:w="1572" w:type="dxa"/>
            <w:noWrap/>
            <w:vAlign w:val="center"/>
          </w:tcPr>
          <w:p w:rsidR="004A1CE8" w:rsidRPr="004C03AE" w:rsidRDefault="004A1CE8" w:rsidP="007A6726">
            <w:pPr>
              <w:spacing w:after="0"/>
              <w:jc w:val="center"/>
            </w:pPr>
            <w:r w:rsidRPr="004C03AE">
              <w:t>0</w:t>
            </w:r>
          </w:p>
        </w:tc>
        <w:tc>
          <w:tcPr>
            <w:tcW w:w="1572" w:type="dxa"/>
            <w:vAlign w:val="center"/>
          </w:tcPr>
          <w:p w:rsidR="004A1CE8" w:rsidRPr="004C03AE" w:rsidRDefault="004A1CE8" w:rsidP="007A6726">
            <w:pPr>
              <w:spacing w:after="0"/>
              <w:jc w:val="center"/>
            </w:pPr>
            <w:r w:rsidRPr="004C03AE">
              <w:t>2</w:t>
            </w:r>
          </w:p>
        </w:tc>
      </w:tr>
      <w:tr w:rsidR="004A1CE8" w:rsidRPr="007E6A82" w:rsidTr="007A6726">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4A1CE8" w:rsidRPr="007E6A82" w:rsidRDefault="004A1CE8" w:rsidP="007A6726">
            <w:pPr>
              <w:spacing w:after="0"/>
              <w:jc w:val="center"/>
            </w:pPr>
            <w:r w:rsidRPr="007E6A82">
              <w:t>% of total below forecast</w:t>
            </w:r>
          </w:p>
        </w:tc>
        <w:tc>
          <w:tcPr>
            <w:tcW w:w="1571" w:type="dxa"/>
            <w:noWrap/>
            <w:vAlign w:val="center"/>
          </w:tcPr>
          <w:p w:rsidR="004A1CE8" w:rsidRPr="004C03AE" w:rsidRDefault="004A1CE8" w:rsidP="007A6726">
            <w:pPr>
              <w:spacing w:after="0"/>
              <w:jc w:val="center"/>
            </w:pPr>
            <w:r w:rsidRPr="004C03AE">
              <w:t>55</w:t>
            </w:r>
          </w:p>
        </w:tc>
        <w:tc>
          <w:tcPr>
            <w:tcW w:w="1572" w:type="dxa"/>
            <w:noWrap/>
            <w:vAlign w:val="center"/>
          </w:tcPr>
          <w:p w:rsidR="004A1CE8" w:rsidRPr="004C03AE" w:rsidRDefault="004A1CE8" w:rsidP="007A6726">
            <w:pPr>
              <w:spacing w:after="0"/>
              <w:jc w:val="center"/>
            </w:pPr>
            <w:r w:rsidRPr="004C03AE">
              <w:t>3</w:t>
            </w:r>
          </w:p>
        </w:tc>
        <w:tc>
          <w:tcPr>
            <w:tcW w:w="1572" w:type="dxa"/>
            <w:noWrap/>
            <w:vAlign w:val="center"/>
          </w:tcPr>
          <w:p w:rsidR="004A1CE8" w:rsidRPr="004C03AE" w:rsidRDefault="004A1CE8" w:rsidP="007A6726">
            <w:pPr>
              <w:spacing w:after="0"/>
              <w:jc w:val="center"/>
            </w:pPr>
            <w:r w:rsidRPr="004C03AE">
              <w:t>0</w:t>
            </w:r>
          </w:p>
        </w:tc>
        <w:tc>
          <w:tcPr>
            <w:tcW w:w="1572" w:type="dxa"/>
            <w:vAlign w:val="center"/>
          </w:tcPr>
          <w:p w:rsidR="004A1CE8" w:rsidRDefault="004A1CE8" w:rsidP="007A6726">
            <w:pPr>
              <w:spacing w:after="0"/>
              <w:jc w:val="center"/>
            </w:pPr>
            <w:r w:rsidRPr="004C03AE">
              <w:t>1</w:t>
            </w:r>
          </w:p>
        </w:tc>
      </w:tr>
    </w:tbl>
    <w:p w:rsidR="00275002" w:rsidRPr="007E6A82" w:rsidRDefault="00275002" w:rsidP="007E6A82">
      <w:pPr>
        <w:spacing w:before="120" w:after="120"/>
        <w:rPr>
          <w:sz w:val="18"/>
        </w:rPr>
      </w:pPr>
      <w:r w:rsidRPr="007E6A82">
        <w:rPr>
          <w:sz w:val="18"/>
        </w:rPr>
        <w:t>Note: Due to rounding, the total may not be 100 per cent.</w:t>
      </w:r>
    </w:p>
    <w:p w:rsidR="00275002" w:rsidRPr="0031019A" w:rsidRDefault="00275002" w:rsidP="00914A87">
      <w:pPr>
        <w:pStyle w:val="AERHeading1"/>
      </w:pPr>
      <w:r w:rsidRPr="0031019A">
        <w:t>Generation and bidding patterns</w:t>
      </w:r>
    </w:p>
    <w:p w:rsidR="00275002" w:rsidRPr="0031019A" w:rsidRDefault="00275002" w:rsidP="009A3D22">
      <w:pPr>
        <w:jc w:val="both"/>
      </w:pPr>
      <w:r w:rsidRPr="0031019A">
        <w:t xml:space="preserve">The AER reviews generator bidding as part of its market monitoring to better understand the drivers behind price variations. </w:t>
      </w:r>
      <w:r>
        <w:fldChar w:fldCharType="begin"/>
      </w:r>
      <w:r>
        <w:instrText xml:space="preserve"> REF _Ref410383507 \h </w:instrText>
      </w:r>
      <w:r w:rsidR="009A3D22">
        <w:instrText xml:space="preserve"> \* MERGEFORMAT </w:instrText>
      </w:r>
      <w:r>
        <w:fldChar w:fldCharType="separate"/>
      </w:r>
      <w:r w:rsidR="00CF5BD9">
        <w:t xml:space="preserve">Figure </w:t>
      </w:r>
      <w:r w:rsidR="00CF5BD9">
        <w:rPr>
          <w:noProof/>
        </w:rPr>
        <w:t>3</w:t>
      </w:r>
      <w:r>
        <w:fldChar w:fldCharType="end"/>
      </w:r>
      <w:r w:rsidRPr="0031019A">
        <w:t xml:space="preserve"> to </w:t>
      </w:r>
      <w:r>
        <w:fldChar w:fldCharType="begin"/>
      </w:r>
      <w:r>
        <w:instrText xml:space="preserve"> REF _Ref410383520 \h </w:instrText>
      </w:r>
      <w:r w:rsidR="009A3D22">
        <w:instrText xml:space="preserve"> \* MERGEFORMAT </w:instrText>
      </w:r>
      <w:r>
        <w:fldChar w:fldCharType="separate"/>
      </w:r>
      <w:r w:rsidR="00CF5BD9">
        <w:t xml:space="preserve">Figure </w:t>
      </w:r>
      <w:r w:rsidR="00CF5BD9">
        <w:rPr>
          <w:noProof/>
        </w:rPr>
        <w:t>7</w:t>
      </w:r>
      <w:r>
        <w:fldChar w:fldCharType="end"/>
      </w:r>
      <w:r w:rsidRPr="0031019A">
        <w:t xml:space="preserve"> show, the total generation dispatched and the amounts of capacity offered within certain price bands for each 30 minute trading interval in each region. </w:t>
      </w:r>
    </w:p>
    <w:p w:rsidR="00275002" w:rsidRDefault="00275002" w:rsidP="000E2946">
      <w:pPr>
        <w:pStyle w:val="Caption"/>
      </w:pPr>
      <w:bookmarkStart w:id="13" w:name="_Ref410383507"/>
      <w:r>
        <w:t xml:space="preserve">Figure </w:t>
      </w:r>
      <w:fldSimple w:instr=" SEQ Figure \* ARABIC ">
        <w:r w:rsidR="00CF5BD9">
          <w:rPr>
            <w:noProof/>
          </w:rPr>
          <w:t>3</w:t>
        </w:r>
      </w:fldSimple>
      <w:bookmarkEnd w:id="13"/>
      <w:r>
        <w:t xml:space="preserve"> : Queensland </w:t>
      </w:r>
      <w:r w:rsidRPr="00690328">
        <w:t>generation and bidding patterns</w:t>
      </w:r>
    </w:p>
    <w:p w:rsidR="00275002" w:rsidRPr="00EA4191" w:rsidRDefault="00FF10D3" w:rsidP="00275002">
      <w:r>
        <w:rPr>
          <w:noProof/>
          <w:lang w:eastAsia="en-AU"/>
        </w:rPr>
        <mc:AlternateContent>
          <mc:Choice Requires="wps">
            <w:drawing>
              <wp:anchor distT="0" distB="0" distL="114300" distR="114300" simplePos="0" relativeHeight="251664384" behindDoc="0" locked="0" layoutInCell="1" allowOverlap="1" wp14:anchorId="3C7FDBF0" wp14:editId="10254F05">
                <wp:simplePos x="0" y="0"/>
                <wp:positionH relativeFrom="column">
                  <wp:posOffset>4529115</wp:posOffset>
                </wp:positionH>
                <wp:positionV relativeFrom="paragraph">
                  <wp:posOffset>778906</wp:posOffset>
                </wp:positionV>
                <wp:extent cx="271604" cy="819338"/>
                <wp:effectExtent l="0" t="0" r="14605" b="19050"/>
                <wp:wrapNone/>
                <wp:docPr id="5" name="Oval 5"/>
                <wp:cNvGraphicFramePr/>
                <a:graphic xmlns:a="http://schemas.openxmlformats.org/drawingml/2006/main">
                  <a:graphicData uri="http://schemas.microsoft.com/office/word/2010/wordprocessingShape">
                    <wps:wsp>
                      <wps:cNvSpPr/>
                      <wps:spPr>
                        <a:xfrm>
                          <a:off x="0" y="0"/>
                          <a:ext cx="271604" cy="81933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 o:spid="_x0000_s1026" style="position:absolute;margin-left:356.6pt;margin-top:61.35pt;width:21.4pt;height:6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" filled="f" strokecolor="red" strokeweight="2pt"/>
            </w:pict>
          </mc:Fallback>
        </mc:AlternateContent>
      </w:r>
      <w:r>
        <w:rPr>
          <w:noProof/>
          <w:lang w:eastAsia="en-AU"/>
        </w:rPr>
        <mc:AlternateContent>
          <mc:Choice Requires="wps">
            <w:drawing>
              <wp:anchor distT="0" distB="0" distL="114300" distR="114300" simplePos="0" relativeHeight="251662336" behindDoc="0" locked="0" layoutInCell="1" allowOverlap="1" wp14:anchorId="1ADB3831" wp14:editId="670775B6">
                <wp:simplePos x="0" y="0"/>
                <wp:positionH relativeFrom="column">
                  <wp:posOffset>3890846</wp:posOffset>
                </wp:positionH>
                <wp:positionV relativeFrom="paragraph">
                  <wp:posOffset>756272</wp:posOffset>
                </wp:positionV>
                <wp:extent cx="271604" cy="819338"/>
                <wp:effectExtent l="0" t="0" r="14605" b="19050"/>
                <wp:wrapNone/>
                <wp:docPr id="4" name="Oval 4"/>
                <wp:cNvGraphicFramePr/>
                <a:graphic xmlns:a="http://schemas.openxmlformats.org/drawingml/2006/main">
                  <a:graphicData uri="http://schemas.microsoft.com/office/word/2010/wordprocessingShape">
                    <wps:wsp>
                      <wps:cNvSpPr/>
                      <wps:spPr>
                        <a:xfrm>
                          <a:off x="0" y="0"/>
                          <a:ext cx="271604" cy="81933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 o:spid="_x0000_s1026" style="position:absolute;margin-left:306.35pt;margin-top:59.55pt;width:21.4pt;height:6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" filled="f" strokecolor="red" strokeweight="2pt"/>
            </w:pict>
          </mc:Fallback>
        </mc:AlternateContent>
      </w:r>
      <w:r>
        <w:rPr>
          <w:noProof/>
          <w:lang w:eastAsia="en-AU"/>
        </w:rPr>
        <mc:AlternateContent>
          <mc:Choice Requires="wps">
            <w:drawing>
              <wp:anchor distT="0" distB="0" distL="114300" distR="114300" simplePos="0" relativeHeight="251660288" behindDoc="0" locked="0" layoutInCell="1" allowOverlap="1" wp14:anchorId="1F022406" wp14:editId="302CB24D">
                <wp:simplePos x="0" y="0"/>
                <wp:positionH relativeFrom="column">
                  <wp:posOffset>3200218</wp:posOffset>
                </wp:positionH>
                <wp:positionV relativeFrom="paragraph">
                  <wp:posOffset>780415</wp:posOffset>
                </wp:positionV>
                <wp:extent cx="271604" cy="819338"/>
                <wp:effectExtent l="0" t="0" r="14605" b="19050"/>
                <wp:wrapNone/>
                <wp:docPr id="3" name="Oval 3"/>
                <wp:cNvGraphicFramePr/>
                <a:graphic xmlns:a="http://schemas.openxmlformats.org/drawingml/2006/main">
                  <a:graphicData uri="http://schemas.microsoft.com/office/word/2010/wordprocessingShape">
                    <wps:wsp>
                      <wps:cNvSpPr/>
                      <wps:spPr>
                        <a:xfrm>
                          <a:off x="0" y="0"/>
                          <a:ext cx="271604" cy="81933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252pt;margin-top:61.45pt;width:21.4pt;height:6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" filled="f" strokecolor="red" strokeweight="2pt"/>
            </w:pict>
          </mc:Fallback>
        </mc:AlternateContent>
      </w:r>
      <w:r w:rsidR="007D4848" w:rsidRPr="007D4848">
        <w:rPr>
          <w:noProof/>
          <w:lang w:eastAsia="en-AU"/>
        </w:rPr>
        <w:drawing>
          <wp:inline distT="0" distB="0" distL="0" distR="0" wp14:anchorId="4F6E690E" wp14:editId="59C1203E">
            <wp:extent cx="5731510" cy="4112063"/>
            <wp:effectExtent l="0" t="0" r="2540" b="3175"/>
            <wp:docPr id="11" name="Picture 11"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10;" title="Figure 3 : Queensland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2063"/>
                    </a:xfrm>
                    <a:prstGeom prst="rect">
                      <a:avLst/>
                    </a:prstGeom>
                    <a:noFill/>
                    <a:ln>
                      <a:noFill/>
                    </a:ln>
                  </pic:spPr>
                </pic:pic>
              </a:graphicData>
            </a:graphic>
          </wp:inline>
        </w:drawing>
      </w:r>
    </w:p>
    <w:p w:rsidR="00275002" w:rsidRPr="0031019A" w:rsidRDefault="00FF10D3" w:rsidP="00373B41">
      <w:pPr>
        <w:jc w:val="both"/>
      </w:pPr>
      <w:r>
        <w:t xml:space="preserve">The three red </w:t>
      </w:r>
      <w:r w:rsidR="00373B41">
        <w:t>ellipses</w:t>
      </w:r>
      <w:r>
        <w:t xml:space="preserve"> on </w:t>
      </w:r>
      <w:r>
        <w:fldChar w:fldCharType="begin"/>
      </w:r>
      <w:r>
        <w:instrText xml:space="preserve"> REF _Ref410383507 \h </w:instrText>
      </w:r>
      <w:r w:rsidR="00373B41">
        <w:instrText xml:space="preserve"> \* MERGEFORMAT </w:instrText>
      </w:r>
      <w:r>
        <w:fldChar w:fldCharType="separate"/>
      </w:r>
      <w:r w:rsidR="00CF5BD9">
        <w:t xml:space="preserve">Figure </w:t>
      </w:r>
      <w:r w:rsidR="00CF5BD9">
        <w:rPr>
          <w:noProof/>
        </w:rPr>
        <w:t>3</w:t>
      </w:r>
      <w:r>
        <w:fldChar w:fldCharType="end"/>
      </w:r>
      <w:r>
        <w:t xml:space="preserve"> highlight periods during which material volumes were rebid by participants from low priced bands into high priced bands. The rebidding on 18 March did not result in significant increases in price over </w:t>
      </w:r>
      <w:r w:rsidR="001F772F">
        <w:t>that forecast</w:t>
      </w:r>
      <w:r>
        <w:t xml:space="preserve"> while those on 19 and 20 March materially increased the spot price and are discussed later in this report.</w:t>
      </w:r>
    </w:p>
    <w:p w:rsidR="00275002" w:rsidRDefault="00275002" w:rsidP="000E2946">
      <w:pPr>
        <w:pStyle w:val="Caption"/>
      </w:pPr>
      <w:r>
        <w:t xml:space="preserve">Figure </w:t>
      </w:r>
      <w:fldSimple w:instr=" SEQ Figure \* ARABIC ">
        <w:r w:rsidR="00CF5BD9">
          <w:rPr>
            <w:noProof/>
          </w:rPr>
          <w:t>4</w:t>
        </w:r>
      </w:fldSimple>
      <w:r>
        <w:t xml:space="preserve"> : </w:t>
      </w:r>
      <w:r w:rsidRPr="00CC5077">
        <w:t>New South Wales generation and bidding patterns</w:t>
      </w:r>
    </w:p>
    <w:p w:rsidR="00275002" w:rsidRPr="0031019A" w:rsidRDefault="007D4848" w:rsidP="00275002">
      <w:r w:rsidRPr="007D4848">
        <w:rPr>
          <w:noProof/>
          <w:lang w:eastAsia="en-AU"/>
        </w:rPr>
        <w:drawing>
          <wp:inline distT="0" distB="0" distL="0" distR="0" wp14:anchorId="60FEC26A" wp14:editId="287538D2">
            <wp:extent cx="5731510" cy="4122561"/>
            <wp:effectExtent l="0" t="0" r="2540" b="0"/>
            <wp:docPr id="12" name="Picture 12"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10;" title="Figure 4 : New South Wales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2561"/>
                    </a:xfrm>
                    <a:prstGeom prst="rect">
                      <a:avLst/>
                    </a:prstGeom>
                    <a:noFill/>
                    <a:ln>
                      <a:noFill/>
                    </a:ln>
                  </pic:spPr>
                </pic:pic>
              </a:graphicData>
            </a:graphic>
          </wp:inline>
        </w:drawing>
      </w:r>
    </w:p>
    <w:p w:rsidR="00275002" w:rsidRDefault="00275002" w:rsidP="000E2946">
      <w:pPr>
        <w:pStyle w:val="Caption"/>
      </w:pPr>
      <w:r>
        <w:t xml:space="preserve">Figure </w:t>
      </w:r>
      <w:fldSimple w:instr=" SEQ Figure \* ARABIC ">
        <w:r w:rsidR="00CF5BD9">
          <w:rPr>
            <w:noProof/>
          </w:rPr>
          <w:t>5</w:t>
        </w:r>
      </w:fldSimple>
      <w:r>
        <w:t xml:space="preserve"> </w:t>
      </w:r>
      <w:r w:rsidRPr="0003635A">
        <w:t>: Victoria generation and bidding patterns</w:t>
      </w:r>
    </w:p>
    <w:p w:rsidR="00275002" w:rsidRPr="0031019A" w:rsidRDefault="007D4848" w:rsidP="00275002">
      <w:r w:rsidRPr="007D4848">
        <w:rPr>
          <w:noProof/>
          <w:lang w:eastAsia="en-AU"/>
        </w:rPr>
        <w:drawing>
          <wp:inline distT="0" distB="0" distL="0" distR="0" wp14:anchorId="3411A1BD" wp14:editId="23769426">
            <wp:extent cx="5731510" cy="4112063"/>
            <wp:effectExtent l="0" t="0" r="2540" b="3175"/>
            <wp:docPr id="14" name="Picture 14"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10;" title="Figure 5 : Victor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2063"/>
                    </a:xfrm>
                    <a:prstGeom prst="rect">
                      <a:avLst/>
                    </a:prstGeom>
                    <a:noFill/>
                    <a:ln>
                      <a:noFill/>
                    </a:ln>
                  </pic:spPr>
                </pic:pic>
              </a:graphicData>
            </a:graphic>
          </wp:inline>
        </w:drawing>
      </w:r>
    </w:p>
    <w:p w:rsidR="00275002" w:rsidRDefault="00275002" w:rsidP="000E2946">
      <w:pPr>
        <w:pStyle w:val="Caption"/>
      </w:pPr>
      <w:r>
        <w:t xml:space="preserve">Figure </w:t>
      </w:r>
      <w:fldSimple w:instr=" SEQ Figure \* ARABIC ">
        <w:r w:rsidR="00CF5BD9">
          <w:rPr>
            <w:noProof/>
          </w:rPr>
          <w:t>6</w:t>
        </w:r>
      </w:fldSimple>
      <w:r>
        <w:t>:</w:t>
      </w:r>
      <w:r w:rsidRPr="00BD00EB">
        <w:t xml:space="preserve"> South Australia generation and bidding patterns</w:t>
      </w:r>
    </w:p>
    <w:p w:rsidR="00275002" w:rsidRPr="0031019A" w:rsidRDefault="007D4848" w:rsidP="00275002">
      <w:r w:rsidRPr="007D4848">
        <w:rPr>
          <w:noProof/>
          <w:lang w:eastAsia="en-AU"/>
        </w:rPr>
        <w:drawing>
          <wp:inline distT="0" distB="0" distL="0" distR="0" wp14:anchorId="171E2A08" wp14:editId="7B3F3F88">
            <wp:extent cx="5731510" cy="4117084"/>
            <wp:effectExtent l="0" t="0" r="2540" b="0"/>
            <wp:docPr id="15" name="Picture 15"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10;" title="Figure 6: South Austral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7084"/>
                    </a:xfrm>
                    <a:prstGeom prst="rect">
                      <a:avLst/>
                    </a:prstGeom>
                    <a:noFill/>
                    <a:ln>
                      <a:noFill/>
                    </a:ln>
                  </pic:spPr>
                </pic:pic>
              </a:graphicData>
            </a:graphic>
          </wp:inline>
        </w:drawing>
      </w:r>
    </w:p>
    <w:p w:rsidR="00275002" w:rsidRDefault="00275002" w:rsidP="000E2946">
      <w:pPr>
        <w:pStyle w:val="Caption"/>
      </w:pPr>
      <w:bookmarkStart w:id="14" w:name="_Ref410383520"/>
      <w:r>
        <w:t xml:space="preserve">Figure </w:t>
      </w:r>
      <w:fldSimple w:instr=" SEQ Figure \* ARABIC ">
        <w:r w:rsidR="00CF5BD9">
          <w:rPr>
            <w:noProof/>
          </w:rPr>
          <w:t>7</w:t>
        </w:r>
      </w:fldSimple>
      <w:bookmarkEnd w:id="14"/>
      <w:r>
        <w:t xml:space="preserve">: </w:t>
      </w:r>
      <w:r w:rsidRPr="008837C4">
        <w:t>Tasmania generation and bidding patterns</w:t>
      </w:r>
    </w:p>
    <w:p w:rsidR="00275002" w:rsidRPr="0031019A" w:rsidRDefault="007D4848" w:rsidP="00275002">
      <w:r w:rsidRPr="007D4848">
        <w:rPr>
          <w:noProof/>
          <w:lang w:eastAsia="en-AU"/>
        </w:rPr>
        <w:drawing>
          <wp:inline distT="0" distB="0" distL="0" distR="0" wp14:anchorId="44754150" wp14:editId="61576C1B">
            <wp:extent cx="5731510" cy="4112063"/>
            <wp:effectExtent l="0" t="0" r="2540" b="3175"/>
            <wp:docPr id="17" name="Picture 17"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10;" title="Figure 7: Tasman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2063"/>
                    </a:xfrm>
                    <a:prstGeom prst="rect">
                      <a:avLst/>
                    </a:prstGeom>
                    <a:noFill/>
                    <a:ln>
                      <a:noFill/>
                    </a:ln>
                  </pic:spPr>
                </pic:pic>
              </a:graphicData>
            </a:graphic>
          </wp:inline>
        </w:drawing>
      </w:r>
    </w:p>
    <w:p w:rsidR="00275002" w:rsidRPr="0031019A" w:rsidRDefault="00275002" w:rsidP="00914A87">
      <w:pPr>
        <w:pStyle w:val="AERHeading1"/>
      </w:pPr>
      <w:r w:rsidRPr="0031019A">
        <w:t>Frequency control ancillary services markets</w:t>
      </w:r>
    </w:p>
    <w:p w:rsidR="00275002" w:rsidRPr="0031019A" w:rsidRDefault="00275002" w:rsidP="009A3D22">
      <w:pPr>
        <w:jc w:val="both"/>
      </w:pPr>
      <w:r w:rsidRPr="0031019A">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6F3750">
      <w:pPr>
        <w:pStyle w:val="Bulletpoint"/>
      </w:pPr>
      <w:r w:rsidRPr="0031019A">
        <w:t>fast services, which arrest a frequency deviation within the first 6 seconds of a contingent event (raise and lower 6 second)</w:t>
      </w:r>
    </w:p>
    <w:p w:rsidR="00275002" w:rsidRPr="0031019A" w:rsidRDefault="00275002" w:rsidP="006F3750">
      <w:pPr>
        <w:pStyle w:val="Bulletpoint"/>
      </w:pPr>
      <w:r w:rsidRPr="0031019A">
        <w:t>slow services, which stabilise frequency deviations within 60 seconds of the event (raise and lower 60 second)</w:t>
      </w:r>
    </w:p>
    <w:p w:rsidR="00275002" w:rsidRPr="0031019A" w:rsidRDefault="00275002" w:rsidP="006F3750">
      <w:pPr>
        <w:pStyle w:val="Bulletpoint"/>
      </w:pPr>
      <w:proofErr w:type="gramStart"/>
      <w:r w:rsidRPr="0031019A">
        <w:t>delayed</w:t>
      </w:r>
      <w:proofErr w:type="gramEnd"/>
      <w:r w:rsidRPr="0031019A">
        <w:t xml:space="preserve"> services, which return the frequency to the normal operating band within 5 minutes (raise and lower 5 minute) at which time the five minute dispatch process will take effect.</w:t>
      </w:r>
    </w:p>
    <w:p w:rsidR="00275002" w:rsidRPr="0031019A" w:rsidRDefault="00275002" w:rsidP="009A3D22">
      <w:pPr>
        <w:jc w:val="both"/>
      </w:pPr>
      <w:r w:rsidRPr="0031019A">
        <w:t>The Electricity Rules stipulate that generators pay for raise contingency services and customers pay for lower contingency services. Regulation services are paid for on a “causer pays” basis determined every four weeks by AEMO.</w:t>
      </w:r>
    </w:p>
    <w:p w:rsidR="00275002" w:rsidRPr="0031019A" w:rsidRDefault="004E13F5" w:rsidP="009A3D22">
      <w:pPr>
        <w:jc w:val="both"/>
      </w:pPr>
      <w:r w:rsidRPr="004E13F5">
        <w:t>The total cost of FCAS on the mainland for the week was $2</w:t>
      </w:r>
      <w:r w:rsidR="001805BB">
        <w:t>78</w:t>
      </w:r>
      <w:r w:rsidR="00A2356E">
        <w:t> </w:t>
      </w:r>
      <w:r w:rsidRPr="004E13F5">
        <w:t>500 or less than 1 per cent of energy turnover on the mainland.</w:t>
      </w:r>
    </w:p>
    <w:p w:rsidR="004E13F5" w:rsidRDefault="004E13F5" w:rsidP="004E13F5">
      <w:pPr>
        <w:jc w:val="both"/>
      </w:pPr>
      <w:bookmarkStart w:id="15" w:name="_Ref410383413"/>
      <w:r w:rsidRPr="004E13F5">
        <w:t>The total cost of FCAS in Tasmania for the week was $8</w:t>
      </w:r>
      <w:r w:rsidR="001805BB">
        <w:t>1</w:t>
      </w:r>
      <w:r w:rsidR="00A2356E">
        <w:t> </w:t>
      </w:r>
      <w:r w:rsidRPr="004E13F5">
        <w:t xml:space="preserve">500 or </w:t>
      </w:r>
      <w:r w:rsidR="001805BB">
        <w:t xml:space="preserve">less than </w:t>
      </w:r>
      <w:r w:rsidR="007A6726">
        <w:t xml:space="preserve">1.3 </w:t>
      </w:r>
      <w:r w:rsidRPr="004E13F5">
        <w:t>per</w:t>
      </w:r>
      <w:r w:rsidR="00A2356E">
        <w:t> </w:t>
      </w:r>
      <w:r w:rsidRPr="004E13F5">
        <w:t>cent of energy turnover in Tasmania.</w:t>
      </w:r>
    </w:p>
    <w:p w:rsidR="00275002" w:rsidRDefault="00275002" w:rsidP="000E2946">
      <w:pPr>
        <w:pStyle w:val="Caption"/>
      </w:pPr>
      <w:bookmarkStart w:id="16" w:name="_Ref416254344"/>
      <w:r>
        <w:t xml:space="preserve">Figure </w:t>
      </w:r>
      <w:fldSimple w:instr=" SEQ Figure \* ARABIC ">
        <w:r w:rsidR="00CF5BD9">
          <w:rPr>
            <w:noProof/>
          </w:rPr>
          <w:t>8</w:t>
        </w:r>
      </w:fldSimple>
      <w:bookmarkEnd w:id="15"/>
      <w:bookmarkEnd w:id="16"/>
      <w:r>
        <w:t xml:space="preserve"> </w:t>
      </w:r>
      <w:r w:rsidRPr="007707C6">
        <w:t>: Daily frequency control ancillary service cost</w:t>
      </w:r>
    </w:p>
    <w:p w:rsidR="00275002" w:rsidRPr="0031019A" w:rsidRDefault="007D4848" w:rsidP="00275002">
      <w:r w:rsidRPr="007D4848">
        <w:rPr>
          <w:noProof/>
          <w:lang w:eastAsia="en-AU"/>
        </w:rPr>
        <w:drawing>
          <wp:inline distT="0" distB="0" distL="0" distR="0" wp14:anchorId="71DB4409" wp14:editId="03CE139F">
            <wp:extent cx="5731510" cy="2889458"/>
            <wp:effectExtent l="0" t="0" r="2540" b="6350"/>
            <wp:docPr id="21" name="Picture 21" descr="Figure 8 shows the daily breakdown of cost for each FCAS for the NEM, as well as the average cost since the beginning of the previous financial year.&#10;Should you require a description of the data for the week under review, please email us at  AERInquiry@aer.gov.au.        &#10;        &#10;        &#10;        &#10;" title="Figure 8 : Daily frequency control ancillary service 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9458"/>
                    </a:xfrm>
                    <a:prstGeom prst="rect">
                      <a:avLst/>
                    </a:prstGeom>
                    <a:noFill/>
                    <a:ln>
                      <a:noFill/>
                    </a:ln>
                  </pic:spPr>
                </pic:pic>
              </a:graphicData>
            </a:graphic>
          </wp:inline>
        </w:drawing>
      </w:r>
    </w:p>
    <w:p w:rsidR="00127CAB" w:rsidRDefault="003E144D" w:rsidP="009A3D22">
      <w:pPr>
        <w:jc w:val="both"/>
      </w:pPr>
      <w:r>
        <w:fldChar w:fldCharType="begin"/>
      </w:r>
      <w:r>
        <w:instrText xml:space="preserve"> REF _Ref416254344 \h </w:instrText>
      </w:r>
      <w:r>
        <w:fldChar w:fldCharType="separate"/>
      </w:r>
      <w:r w:rsidR="00CF5BD9">
        <w:t xml:space="preserve">Figure </w:t>
      </w:r>
      <w:r w:rsidR="00CF5BD9">
        <w:rPr>
          <w:noProof/>
        </w:rPr>
        <w:t>8</w:t>
      </w:r>
      <w:r>
        <w:fldChar w:fldCharType="end"/>
      </w:r>
      <w:r>
        <w:t xml:space="preserve"> </w:t>
      </w:r>
      <w:r w:rsidR="00275002" w:rsidRPr="0031019A">
        <w:t>shows the daily breakdown of cost for each FCAS for the NEM, as well as the average cost since the beginning of the previ</w:t>
      </w:r>
      <w:r w:rsidR="00275002" w:rsidRPr="008366CD">
        <w:t xml:space="preserve">ous financial year. </w:t>
      </w:r>
    </w:p>
    <w:bookmarkEnd w:id="0"/>
    <w:bookmarkEnd w:id="1"/>
    <w:bookmarkEnd w:id="2"/>
    <w:bookmarkEnd w:id="3"/>
    <w:bookmarkEnd w:id="4"/>
    <w:bookmarkEnd w:id="5"/>
    <w:p w:rsidR="00AD13A2" w:rsidRDefault="00AD13A2">
      <w:pPr>
        <w:spacing w:line="240" w:lineRule="auto"/>
        <w:rPr>
          <w:rFonts w:eastAsia="Times New Roman" w:cs="Times New Roman"/>
          <w:b/>
          <w:bCs/>
          <w:color w:val="2272A3" w:themeColor="accent4" w:themeShade="80"/>
          <w:sz w:val="32"/>
          <w:szCs w:val="20"/>
        </w:rPr>
      </w:pPr>
      <w:r>
        <w:br w:type="page"/>
      </w:r>
    </w:p>
    <w:p w:rsidR="00275002" w:rsidRPr="00F33F2D" w:rsidRDefault="00275002" w:rsidP="00914A87">
      <w:pPr>
        <w:pStyle w:val="AERHeading1"/>
      </w:pPr>
      <w:r w:rsidRPr="00F33F2D">
        <w:t>Detailed market analysis of significant price events</w:t>
      </w:r>
    </w:p>
    <w:p w:rsidR="00275002" w:rsidRPr="00F33F2D" w:rsidRDefault="00275002" w:rsidP="009A3D22">
      <w:pPr>
        <w:jc w:val="both"/>
      </w:pPr>
      <w:r w:rsidRPr="00F33F2D">
        <w:t xml:space="preserve">We provide more detailed analysis of events where the spot price was greater than three times the weekly average price in a region and above $250/MWh or was below </w:t>
      </w:r>
      <w:r w:rsidRPr="00F33F2D">
        <w:noBreakHyphen/>
        <w:t xml:space="preserve">$100/MWh. </w:t>
      </w:r>
    </w:p>
    <w:p w:rsidR="00F33F2D" w:rsidRDefault="00F33F2D" w:rsidP="00F33F2D">
      <w:pPr>
        <w:jc w:val="both"/>
      </w:pPr>
      <w:r w:rsidRPr="00F33F2D">
        <w:t>There were five occasions where the spot price in Queensland was greater than three times the Queensland weekly average price of $67/MWh and above $250/MWh.</w:t>
      </w:r>
    </w:p>
    <w:p w:rsidR="00C33A3E" w:rsidRPr="00F33F2D" w:rsidRDefault="00C33A3E" w:rsidP="007032F4">
      <w:pPr>
        <w:jc w:val="both"/>
      </w:pPr>
      <w:r>
        <w:t xml:space="preserve">During these high price periods QNI was supplying between 180 MW and 240 MW into Queensland limited by </w:t>
      </w:r>
      <w:r w:rsidRPr="00C33A3E">
        <w:t>a system normal constraint used to avoid voltage collapse on the lo</w:t>
      </w:r>
      <w:r>
        <w:t xml:space="preserve">ss of </w:t>
      </w:r>
      <w:proofErr w:type="spellStart"/>
      <w:r>
        <w:t>Kogan</w:t>
      </w:r>
      <w:proofErr w:type="spellEnd"/>
      <w:r>
        <w:t xml:space="preserve"> Creek power station and transmission constraints relating to </w:t>
      </w:r>
      <w:r w:rsidR="001F772F">
        <w:t xml:space="preserve">the </w:t>
      </w:r>
      <w:r>
        <w:t xml:space="preserve">overload of the Liddell Muswellbrook on the failure of the Liddell - Tamworth lines. At the same time </w:t>
      </w:r>
      <w:r w:rsidR="007032F4">
        <w:t>flow on t</w:t>
      </w:r>
      <w:r w:rsidRPr="00C33A3E">
        <w:t>he Terranora interconnector was being forced into New South Wales by between 40</w:t>
      </w:r>
      <w:r w:rsidR="001F772F">
        <w:t> </w:t>
      </w:r>
      <w:r w:rsidRPr="00C33A3E">
        <w:t>MW to 60</w:t>
      </w:r>
      <w:proofErr w:type="gramStart"/>
      <w:r w:rsidR="001F772F">
        <w:t> </w:t>
      </w:r>
      <w:r w:rsidRPr="00C33A3E">
        <w:t xml:space="preserve"> MW</w:t>
      </w:r>
      <w:proofErr w:type="gramEnd"/>
      <w:r w:rsidRPr="00C33A3E">
        <w:t>.</w:t>
      </w:r>
    </w:p>
    <w:p w:rsidR="004E13F5" w:rsidRPr="00F33F2D" w:rsidRDefault="00F33F2D" w:rsidP="004E13F5">
      <w:pPr>
        <w:keepNext/>
        <w:spacing w:before="240" w:after="120"/>
        <w:rPr>
          <w:b/>
          <w:bCs/>
          <w:color w:val="2272A3" w:themeColor="accent4" w:themeShade="80"/>
          <w:sz w:val="24"/>
          <w:szCs w:val="18"/>
        </w:rPr>
      </w:pPr>
      <w:r>
        <w:rPr>
          <w:b/>
          <w:bCs/>
          <w:color w:val="2272A3" w:themeColor="accent4" w:themeShade="80"/>
          <w:sz w:val="24"/>
          <w:szCs w:val="18"/>
        </w:rPr>
        <w:t>Thursday 19 March</w:t>
      </w:r>
    </w:p>
    <w:p w:rsidR="004E13F5" w:rsidRPr="00F33F2D" w:rsidRDefault="004E13F5" w:rsidP="004E13F5">
      <w:pPr>
        <w:keepNext/>
        <w:spacing w:before="240" w:after="120"/>
        <w:rPr>
          <w:b/>
          <w:bCs/>
          <w:color w:val="2272A3" w:themeColor="accent4" w:themeShade="80"/>
          <w:sz w:val="24"/>
          <w:szCs w:val="18"/>
        </w:rPr>
      </w:pPr>
      <w:r w:rsidRPr="00F33F2D">
        <w:rPr>
          <w:b/>
          <w:bCs/>
          <w:color w:val="2272A3" w:themeColor="accent4" w:themeShade="80"/>
          <w:sz w:val="24"/>
          <w:szCs w:val="18"/>
        </w:rPr>
        <w:t xml:space="preserve">Table </w:t>
      </w:r>
      <w:r w:rsidRPr="00F33F2D">
        <w:rPr>
          <w:b/>
          <w:bCs/>
          <w:color w:val="2272A3" w:themeColor="accent4" w:themeShade="80"/>
          <w:sz w:val="24"/>
          <w:szCs w:val="18"/>
        </w:rPr>
        <w:fldChar w:fldCharType="begin"/>
      </w:r>
      <w:r w:rsidRPr="00F33F2D">
        <w:rPr>
          <w:b/>
          <w:bCs/>
          <w:color w:val="2272A3" w:themeColor="accent4" w:themeShade="80"/>
          <w:sz w:val="24"/>
          <w:szCs w:val="18"/>
        </w:rPr>
        <w:instrText xml:space="preserve"> SEQ Table \* ARABIC </w:instrText>
      </w:r>
      <w:r w:rsidRPr="00F33F2D">
        <w:rPr>
          <w:b/>
          <w:bCs/>
          <w:color w:val="2272A3" w:themeColor="accent4" w:themeShade="80"/>
          <w:sz w:val="24"/>
          <w:szCs w:val="18"/>
        </w:rPr>
        <w:fldChar w:fldCharType="separate"/>
      </w:r>
      <w:r w:rsidR="00CF5BD9">
        <w:rPr>
          <w:b/>
          <w:bCs/>
          <w:noProof/>
          <w:color w:val="2272A3" w:themeColor="accent4" w:themeShade="80"/>
          <w:sz w:val="24"/>
          <w:szCs w:val="18"/>
        </w:rPr>
        <w:t>3</w:t>
      </w:r>
      <w:r w:rsidRPr="00F33F2D">
        <w:rPr>
          <w:b/>
          <w:bCs/>
          <w:noProof/>
          <w:color w:val="2272A3" w:themeColor="accent4" w:themeShade="80"/>
          <w:sz w:val="24"/>
          <w:szCs w:val="18"/>
        </w:rPr>
        <w:fldChar w:fldCharType="end"/>
      </w:r>
      <w:r w:rsidRPr="00F33F2D">
        <w:rPr>
          <w:b/>
          <w:bCs/>
          <w:color w:val="2272A3" w:themeColor="accent4" w:themeShade="80"/>
          <w:sz w:val="24"/>
          <w:szCs w:val="18"/>
        </w:rPr>
        <w:t xml:space="preserve"> : Price, Demand and Availability</w:t>
      </w:r>
    </w:p>
    <w:tbl>
      <w:tblPr>
        <w:tblStyle w:val="AERTable-Text"/>
        <w:tblW w:w="5000" w:type="pct"/>
        <w:tblLook w:val="04A0" w:firstRow="1" w:lastRow="0" w:firstColumn="1" w:lastColumn="0" w:noHBand="0" w:noVBand="1"/>
      </w:tblPr>
      <w:tblGrid>
        <w:gridCol w:w="997"/>
        <w:gridCol w:w="957"/>
        <w:gridCol w:w="919"/>
        <w:gridCol w:w="921"/>
        <w:gridCol w:w="887"/>
        <w:gridCol w:w="919"/>
        <w:gridCol w:w="919"/>
        <w:gridCol w:w="887"/>
        <w:gridCol w:w="919"/>
        <w:gridCol w:w="917"/>
      </w:tblGrid>
      <w:tr w:rsidR="004E13F5" w:rsidRPr="00F33F2D" w:rsidTr="00993358">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hideMark/>
          </w:tcPr>
          <w:p w:rsidR="004E13F5" w:rsidRPr="00F33F2D" w:rsidRDefault="004E13F5" w:rsidP="004E13F5">
            <w:pPr>
              <w:spacing w:before="60" w:after="60"/>
              <w:jc w:val="center"/>
              <w:rPr>
                <w:sz w:val="18"/>
                <w14:numSpacing w14:val="default"/>
              </w:rPr>
            </w:pPr>
            <w:r w:rsidRPr="00F33F2D">
              <w:rPr>
                <w:sz w:val="18"/>
              </w:rPr>
              <w:t>Time</w:t>
            </w:r>
          </w:p>
        </w:tc>
        <w:tc>
          <w:tcPr>
            <w:tcW w:w="1513" w:type="pct"/>
            <w:gridSpan w:val="3"/>
            <w:tcBorders>
              <w:bottom w:val="nil"/>
            </w:tcBorders>
            <w:hideMark/>
          </w:tcPr>
          <w:p w:rsidR="004E13F5" w:rsidRPr="00F33F2D" w:rsidRDefault="004E13F5" w:rsidP="004E13F5">
            <w:pPr>
              <w:spacing w:before="60" w:after="60"/>
              <w:jc w:val="center"/>
              <w:rPr>
                <w:sz w:val="18"/>
                <w14:numSpacing w14:val="default"/>
              </w:rPr>
            </w:pPr>
            <w:r w:rsidRPr="00F33F2D">
              <w:rPr>
                <w:sz w:val="18"/>
              </w:rPr>
              <w:t>Price ($/MWh)</w:t>
            </w:r>
          </w:p>
        </w:tc>
        <w:tc>
          <w:tcPr>
            <w:tcW w:w="1474" w:type="pct"/>
            <w:gridSpan w:val="3"/>
            <w:tcBorders>
              <w:bottom w:val="nil"/>
            </w:tcBorders>
            <w:hideMark/>
          </w:tcPr>
          <w:p w:rsidR="004E13F5" w:rsidRPr="00F33F2D" w:rsidRDefault="004E13F5" w:rsidP="004E13F5">
            <w:pPr>
              <w:spacing w:before="60" w:after="60"/>
              <w:jc w:val="center"/>
              <w:rPr>
                <w:sz w:val="18"/>
                <w14:numSpacing w14:val="default"/>
              </w:rPr>
            </w:pPr>
            <w:r w:rsidRPr="00F33F2D">
              <w:rPr>
                <w:sz w:val="18"/>
              </w:rPr>
              <w:t>Demand (MW)</w:t>
            </w:r>
          </w:p>
        </w:tc>
        <w:tc>
          <w:tcPr>
            <w:tcW w:w="1473" w:type="pct"/>
            <w:gridSpan w:val="3"/>
            <w:tcBorders>
              <w:bottom w:val="nil"/>
            </w:tcBorders>
            <w:hideMark/>
          </w:tcPr>
          <w:p w:rsidR="004E13F5" w:rsidRPr="00F33F2D" w:rsidRDefault="004E13F5" w:rsidP="004E13F5">
            <w:pPr>
              <w:spacing w:before="60" w:after="60"/>
              <w:jc w:val="center"/>
              <w:rPr>
                <w:sz w:val="18"/>
                <w14:numSpacing w14:val="default"/>
              </w:rPr>
            </w:pPr>
            <w:r w:rsidRPr="00F33F2D">
              <w:rPr>
                <w:sz w:val="18"/>
              </w:rPr>
              <w:t>Availability (MW)</w:t>
            </w:r>
          </w:p>
        </w:tc>
      </w:tr>
      <w:tr w:rsidR="00FF26D0" w:rsidRPr="00F33F2D" w:rsidTr="00993358">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shd w:val="clear" w:color="auto" w:fill="007192" w:themeFill="accent3" w:themeFillShade="BF"/>
            <w:hideMark/>
          </w:tcPr>
          <w:p w:rsidR="004E13F5" w:rsidRPr="00F33F2D" w:rsidRDefault="004E13F5" w:rsidP="004E13F5">
            <w:pPr>
              <w:spacing w:before="0"/>
              <w:jc w:val="center"/>
              <w:rPr>
                <w:sz w:val="18"/>
              </w:rPr>
            </w:pPr>
            <w:r w:rsidRPr="00F33F2D">
              <w:rPr>
                <w:sz w:val="18"/>
              </w:rPr>
              <w:t> </w:t>
            </w:r>
          </w:p>
        </w:tc>
        <w:tc>
          <w:tcPr>
            <w:tcW w:w="518" w:type="pct"/>
            <w:tcBorders>
              <w:bottom w:val="nil"/>
            </w:tcBorders>
            <w:shd w:val="clear" w:color="auto" w:fill="007192" w:themeFill="accent3" w:themeFillShade="BF"/>
            <w:hideMark/>
          </w:tcPr>
          <w:p w:rsidR="004E13F5" w:rsidRPr="00F33F2D" w:rsidRDefault="004E13F5" w:rsidP="004E13F5">
            <w:pPr>
              <w:spacing w:before="0"/>
              <w:jc w:val="center"/>
              <w:rPr>
                <w:sz w:val="18"/>
              </w:rPr>
            </w:pPr>
            <w:r w:rsidRPr="00F33F2D">
              <w:rPr>
                <w:sz w:val="18"/>
              </w:rPr>
              <w:t>Actual</w:t>
            </w:r>
          </w:p>
        </w:tc>
        <w:tc>
          <w:tcPr>
            <w:tcW w:w="497" w:type="pct"/>
            <w:tcBorders>
              <w:bottom w:val="nil"/>
            </w:tcBorders>
            <w:shd w:val="clear" w:color="auto" w:fill="007192" w:themeFill="accent3" w:themeFillShade="BF"/>
            <w:hideMark/>
          </w:tcPr>
          <w:p w:rsidR="004E13F5" w:rsidRPr="00F33F2D" w:rsidRDefault="004E13F5" w:rsidP="004E13F5">
            <w:pPr>
              <w:spacing w:before="0"/>
              <w:jc w:val="center"/>
              <w:rPr>
                <w:sz w:val="18"/>
              </w:rPr>
            </w:pPr>
            <w:r w:rsidRPr="00F33F2D">
              <w:rPr>
                <w:sz w:val="18"/>
              </w:rPr>
              <w:t>4 hr forecast</w:t>
            </w:r>
          </w:p>
        </w:tc>
        <w:tc>
          <w:tcPr>
            <w:tcW w:w="498" w:type="pct"/>
            <w:tcBorders>
              <w:bottom w:val="nil"/>
            </w:tcBorders>
            <w:shd w:val="clear" w:color="auto" w:fill="007192" w:themeFill="accent3" w:themeFillShade="BF"/>
            <w:hideMark/>
          </w:tcPr>
          <w:p w:rsidR="004E13F5" w:rsidRPr="00F33F2D" w:rsidRDefault="004E13F5" w:rsidP="004E13F5">
            <w:pPr>
              <w:spacing w:before="0"/>
              <w:jc w:val="center"/>
              <w:rPr>
                <w:sz w:val="18"/>
              </w:rPr>
            </w:pPr>
            <w:r w:rsidRPr="00F33F2D">
              <w:rPr>
                <w:sz w:val="18"/>
              </w:rPr>
              <w:t>12 hr forecast</w:t>
            </w:r>
          </w:p>
        </w:tc>
        <w:tc>
          <w:tcPr>
            <w:tcW w:w="480" w:type="pct"/>
            <w:tcBorders>
              <w:bottom w:val="nil"/>
            </w:tcBorders>
            <w:shd w:val="clear" w:color="auto" w:fill="007192" w:themeFill="accent3" w:themeFillShade="BF"/>
            <w:hideMark/>
          </w:tcPr>
          <w:p w:rsidR="004E13F5" w:rsidRPr="00F33F2D" w:rsidRDefault="004E13F5" w:rsidP="004E13F5">
            <w:pPr>
              <w:spacing w:before="0"/>
              <w:jc w:val="center"/>
              <w:rPr>
                <w:sz w:val="18"/>
              </w:rPr>
            </w:pPr>
            <w:r w:rsidRPr="00F33F2D">
              <w:rPr>
                <w:sz w:val="18"/>
              </w:rPr>
              <w:t>Actual</w:t>
            </w:r>
          </w:p>
        </w:tc>
        <w:tc>
          <w:tcPr>
            <w:tcW w:w="497" w:type="pct"/>
            <w:tcBorders>
              <w:bottom w:val="nil"/>
            </w:tcBorders>
            <w:shd w:val="clear" w:color="auto" w:fill="007192" w:themeFill="accent3" w:themeFillShade="BF"/>
            <w:hideMark/>
          </w:tcPr>
          <w:p w:rsidR="004E13F5" w:rsidRPr="00F33F2D" w:rsidRDefault="004E13F5" w:rsidP="004E13F5">
            <w:pPr>
              <w:spacing w:before="0"/>
              <w:jc w:val="center"/>
              <w:rPr>
                <w:sz w:val="18"/>
              </w:rPr>
            </w:pPr>
            <w:r w:rsidRPr="00F33F2D">
              <w:rPr>
                <w:sz w:val="18"/>
              </w:rPr>
              <w:t>4 hr forecast</w:t>
            </w:r>
          </w:p>
        </w:tc>
        <w:tc>
          <w:tcPr>
            <w:tcW w:w="497" w:type="pct"/>
            <w:tcBorders>
              <w:bottom w:val="nil"/>
            </w:tcBorders>
            <w:shd w:val="clear" w:color="auto" w:fill="007192" w:themeFill="accent3" w:themeFillShade="BF"/>
            <w:hideMark/>
          </w:tcPr>
          <w:p w:rsidR="004E13F5" w:rsidRPr="00F33F2D" w:rsidRDefault="004E13F5" w:rsidP="004E13F5">
            <w:pPr>
              <w:spacing w:before="0"/>
              <w:jc w:val="center"/>
              <w:rPr>
                <w:sz w:val="18"/>
              </w:rPr>
            </w:pPr>
            <w:r w:rsidRPr="00F33F2D">
              <w:rPr>
                <w:sz w:val="18"/>
              </w:rPr>
              <w:t>12 hr forecast</w:t>
            </w:r>
          </w:p>
        </w:tc>
        <w:tc>
          <w:tcPr>
            <w:tcW w:w="480" w:type="pct"/>
            <w:tcBorders>
              <w:bottom w:val="nil"/>
            </w:tcBorders>
            <w:shd w:val="clear" w:color="auto" w:fill="007192" w:themeFill="accent3" w:themeFillShade="BF"/>
            <w:hideMark/>
          </w:tcPr>
          <w:p w:rsidR="004E13F5" w:rsidRPr="00F33F2D" w:rsidRDefault="004E13F5" w:rsidP="004E13F5">
            <w:pPr>
              <w:spacing w:before="0"/>
              <w:jc w:val="center"/>
              <w:rPr>
                <w:sz w:val="18"/>
              </w:rPr>
            </w:pPr>
            <w:r w:rsidRPr="00F33F2D">
              <w:rPr>
                <w:sz w:val="18"/>
              </w:rPr>
              <w:t>Actual</w:t>
            </w:r>
          </w:p>
        </w:tc>
        <w:tc>
          <w:tcPr>
            <w:tcW w:w="497" w:type="pct"/>
            <w:tcBorders>
              <w:bottom w:val="nil"/>
            </w:tcBorders>
            <w:shd w:val="clear" w:color="auto" w:fill="007192" w:themeFill="accent3" w:themeFillShade="BF"/>
            <w:hideMark/>
          </w:tcPr>
          <w:p w:rsidR="004E13F5" w:rsidRPr="00F33F2D" w:rsidRDefault="004E13F5" w:rsidP="004E13F5">
            <w:pPr>
              <w:spacing w:before="0"/>
              <w:jc w:val="center"/>
              <w:rPr>
                <w:sz w:val="18"/>
              </w:rPr>
            </w:pPr>
            <w:r w:rsidRPr="00F33F2D">
              <w:rPr>
                <w:sz w:val="18"/>
              </w:rPr>
              <w:t>4 hr forecast</w:t>
            </w:r>
          </w:p>
        </w:tc>
        <w:tc>
          <w:tcPr>
            <w:tcW w:w="496" w:type="pct"/>
            <w:tcBorders>
              <w:bottom w:val="nil"/>
            </w:tcBorders>
            <w:shd w:val="clear" w:color="auto" w:fill="007192" w:themeFill="accent3" w:themeFillShade="BF"/>
            <w:hideMark/>
          </w:tcPr>
          <w:p w:rsidR="004E13F5" w:rsidRPr="00F33F2D" w:rsidRDefault="004E13F5" w:rsidP="004E13F5">
            <w:pPr>
              <w:spacing w:before="0"/>
              <w:jc w:val="center"/>
              <w:rPr>
                <w:sz w:val="18"/>
              </w:rPr>
            </w:pPr>
            <w:r w:rsidRPr="00F33F2D">
              <w:rPr>
                <w:sz w:val="18"/>
              </w:rPr>
              <w:t>12 hr forecast</w:t>
            </w:r>
          </w:p>
        </w:tc>
      </w:tr>
      <w:tr w:rsidR="00736390" w:rsidRPr="00F33F2D" w:rsidTr="00F33F2D">
        <w:trPr>
          <w:trHeight w:val="510"/>
        </w:trPr>
        <w:tc>
          <w:tcPr>
            <w:tcW w:w="539" w:type="pct"/>
            <w:tcBorders>
              <w:top w:val="nil"/>
            </w:tcBorders>
            <w:vAlign w:val="center"/>
          </w:tcPr>
          <w:p w:rsidR="00736390" w:rsidRPr="00F33F2D" w:rsidRDefault="00736390" w:rsidP="00F33F2D">
            <w:pPr>
              <w:spacing w:before="100" w:beforeAutospacing="1" w:after="100" w:afterAutospacing="1" w:line="240" w:lineRule="auto"/>
              <w:jc w:val="center"/>
              <w:rPr>
                <w:rFonts w:asciiTheme="minorHAnsi" w:eastAsia="Times New Roman" w:hAnsiTheme="minorHAnsi" w:cstheme="minorHAnsi"/>
                <w:sz w:val="24"/>
                <w:szCs w:val="24"/>
                <w:lang w:eastAsia="en-AU"/>
              </w:rPr>
            </w:pPr>
            <w:r>
              <w:rPr>
                <w:rFonts w:asciiTheme="minorHAnsi" w:eastAsia="Times New Roman" w:hAnsiTheme="minorHAnsi" w:cstheme="minorHAnsi"/>
                <w:b/>
                <w:bCs/>
                <w:sz w:val="16"/>
                <w:szCs w:val="16"/>
                <w:lang w:eastAsia="en-AU"/>
              </w:rPr>
              <w:t>7 </w:t>
            </w:r>
            <w:r w:rsidRPr="00F33F2D">
              <w:rPr>
                <w:rFonts w:asciiTheme="minorHAnsi" w:eastAsia="Times New Roman" w:hAnsiTheme="minorHAnsi" w:cstheme="minorHAnsi"/>
                <w:b/>
                <w:bCs/>
                <w:sz w:val="16"/>
                <w:szCs w:val="16"/>
                <w:lang w:eastAsia="en-AU"/>
              </w:rPr>
              <w:t>pm</w:t>
            </w:r>
          </w:p>
        </w:tc>
        <w:tc>
          <w:tcPr>
            <w:tcW w:w="518" w:type="pct"/>
            <w:tcBorders>
              <w:top w:val="nil"/>
            </w:tcBorders>
            <w:vAlign w:val="center"/>
          </w:tcPr>
          <w:p w:rsidR="00736390" w:rsidRPr="00736390" w:rsidRDefault="00736390" w:rsidP="00FF26D0">
            <w:pPr>
              <w:pStyle w:val="NormalWeb"/>
              <w:jc w:val="center"/>
              <w:rPr>
                <w:rFonts w:ascii="Arial" w:hAnsi="Arial" w:cs="Arial"/>
                <w:sz w:val="18"/>
                <w:szCs w:val="18"/>
              </w:rPr>
            </w:pPr>
            <w:r w:rsidRPr="00736390">
              <w:rPr>
                <w:rFonts w:ascii="Arial" w:hAnsi="Arial" w:cs="Arial"/>
                <w:sz w:val="18"/>
                <w:szCs w:val="18"/>
              </w:rPr>
              <w:t>23</w:t>
            </w:r>
            <w:r w:rsidR="00FF26D0">
              <w:rPr>
                <w:rFonts w:ascii="Arial" w:hAnsi="Arial" w:cs="Arial"/>
                <w:sz w:val="18"/>
                <w:szCs w:val="18"/>
              </w:rPr>
              <w:t>50</w:t>
            </w:r>
          </w:p>
        </w:tc>
        <w:tc>
          <w:tcPr>
            <w:tcW w:w="497" w:type="pct"/>
            <w:tcBorders>
              <w:top w:val="nil"/>
            </w:tcBorders>
            <w:vAlign w:val="center"/>
          </w:tcPr>
          <w:p w:rsidR="00736390" w:rsidRPr="00736390" w:rsidRDefault="00736390" w:rsidP="00FF26D0">
            <w:pPr>
              <w:pStyle w:val="NormalWeb"/>
              <w:jc w:val="center"/>
              <w:rPr>
                <w:rFonts w:ascii="Arial" w:hAnsi="Arial" w:cs="Arial"/>
                <w:sz w:val="18"/>
                <w:szCs w:val="18"/>
              </w:rPr>
            </w:pPr>
            <w:r w:rsidRPr="00736390">
              <w:rPr>
                <w:rFonts w:ascii="Arial" w:hAnsi="Arial" w:cs="Arial"/>
                <w:sz w:val="18"/>
                <w:szCs w:val="18"/>
              </w:rPr>
              <w:t>3</w:t>
            </w:r>
            <w:r w:rsidR="00FF26D0">
              <w:rPr>
                <w:rFonts w:ascii="Arial" w:hAnsi="Arial" w:cs="Arial"/>
                <w:sz w:val="18"/>
                <w:szCs w:val="18"/>
              </w:rPr>
              <w:t>8</w:t>
            </w:r>
          </w:p>
        </w:tc>
        <w:tc>
          <w:tcPr>
            <w:tcW w:w="498" w:type="pct"/>
            <w:tcBorders>
              <w:top w:val="nil"/>
            </w:tcBorders>
            <w:vAlign w:val="center"/>
          </w:tcPr>
          <w:p w:rsidR="00736390" w:rsidRPr="00736390" w:rsidRDefault="00736390" w:rsidP="00FF26D0">
            <w:pPr>
              <w:pStyle w:val="NormalWeb"/>
              <w:jc w:val="center"/>
              <w:rPr>
                <w:rFonts w:ascii="Arial" w:hAnsi="Arial" w:cs="Arial"/>
                <w:sz w:val="18"/>
                <w:szCs w:val="18"/>
              </w:rPr>
            </w:pPr>
            <w:r w:rsidRPr="00736390">
              <w:rPr>
                <w:rFonts w:ascii="Arial" w:hAnsi="Arial" w:cs="Arial"/>
                <w:sz w:val="18"/>
                <w:szCs w:val="18"/>
              </w:rPr>
              <w:t>39</w:t>
            </w:r>
          </w:p>
        </w:tc>
        <w:tc>
          <w:tcPr>
            <w:tcW w:w="480" w:type="pct"/>
            <w:tcBorders>
              <w:top w:val="nil"/>
            </w:tcBorders>
            <w:vAlign w:val="center"/>
          </w:tcPr>
          <w:p w:rsidR="00736390" w:rsidRPr="00736390" w:rsidRDefault="00736390">
            <w:pPr>
              <w:pStyle w:val="NormalWeb"/>
              <w:jc w:val="center"/>
              <w:rPr>
                <w:rFonts w:ascii="Arial" w:hAnsi="Arial" w:cs="Arial"/>
                <w:sz w:val="18"/>
                <w:szCs w:val="18"/>
              </w:rPr>
            </w:pPr>
            <w:r w:rsidRPr="00736390">
              <w:rPr>
                <w:rFonts w:ascii="Arial" w:hAnsi="Arial" w:cs="Arial"/>
                <w:sz w:val="18"/>
                <w:szCs w:val="18"/>
              </w:rPr>
              <w:t>8339</w:t>
            </w:r>
          </w:p>
        </w:tc>
        <w:tc>
          <w:tcPr>
            <w:tcW w:w="497" w:type="pct"/>
            <w:tcBorders>
              <w:top w:val="nil"/>
            </w:tcBorders>
            <w:vAlign w:val="center"/>
          </w:tcPr>
          <w:p w:rsidR="00736390" w:rsidRPr="00736390" w:rsidRDefault="00736390">
            <w:pPr>
              <w:pStyle w:val="NormalWeb"/>
              <w:jc w:val="center"/>
              <w:rPr>
                <w:rFonts w:ascii="Arial" w:hAnsi="Arial" w:cs="Arial"/>
                <w:sz w:val="18"/>
                <w:szCs w:val="18"/>
              </w:rPr>
            </w:pPr>
            <w:r w:rsidRPr="00736390">
              <w:rPr>
                <w:rFonts w:ascii="Arial" w:hAnsi="Arial" w:cs="Arial"/>
                <w:sz w:val="18"/>
                <w:szCs w:val="18"/>
              </w:rPr>
              <w:t>8049</w:t>
            </w:r>
          </w:p>
        </w:tc>
        <w:tc>
          <w:tcPr>
            <w:tcW w:w="497" w:type="pct"/>
            <w:tcBorders>
              <w:top w:val="nil"/>
            </w:tcBorders>
            <w:vAlign w:val="center"/>
          </w:tcPr>
          <w:p w:rsidR="00736390" w:rsidRPr="00736390" w:rsidRDefault="00736390">
            <w:pPr>
              <w:pStyle w:val="NormalWeb"/>
              <w:jc w:val="center"/>
              <w:rPr>
                <w:rFonts w:ascii="Arial" w:hAnsi="Arial" w:cs="Arial"/>
                <w:sz w:val="18"/>
                <w:szCs w:val="18"/>
              </w:rPr>
            </w:pPr>
            <w:r w:rsidRPr="00736390">
              <w:rPr>
                <w:rFonts w:ascii="Arial" w:hAnsi="Arial" w:cs="Arial"/>
                <w:sz w:val="18"/>
                <w:szCs w:val="18"/>
              </w:rPr>
              <w:t>8745</w:t>
            </w:r>
          </w:p>
        </w:tc>
        <w:tc>
          <w:tcPr>
            <w:tcW w:w="480" w:type="pct"/>
            <w:tcBorders>
              <w:top w:val="nil"/>
            </w:tcBorders>
            <w:vAlign w:val="center"/>
          </w:tcPr>
          <w:p w:rsidR="00736390" w:rsidRPr="00736390" w:rsidRDefault="00736390">
            <w:pPr>
              <w:pStyle w:val="NormalWeb"/>
              <w:jc w:val="center"/>
              <w:rPr>
                <w:rFonts w:ascii="Arial" w:hAnsi="Arial" w:cs="Arial"/>
                <w:sz w:val="18"/>
                <w:szCs w:val="18"/>
              </w:rPr>
            </w:pPr>
            <w:r w:rsidRPr="00736390">
              <w:rPr>
                <w:rFonts w:ascii="Arial" w:hAnsi="Arial" w:cs="Arial"/>
                <w:sz w:val="18"/>
                <w:szCs w:val="18"/>
              </w:rPr>
              <w:t>9980</w:t>
            </w:r>
          </w:p>
        </w:tc>
        <w:tc>
          <w:tcPr>
            <w:tcW w:w="497" w:type="pct"/>
            <w:tcBorders>
              <w:top w:val="nil"/>
            </w:tcBorders>
            <w:vAlign w:val="center"/>
          </w:tcPr>
          <w:p w:rsidR="00736390" w:rsidRPr="00736390" w:rsidRDefault="00736390">
            <w:pPr>
              <w:pStyle w:val="NormalWeb"/>
              <w:jc w:val="center"/>
              <w:rPr>
                <w:rFonts w:ascii="Arial" w:hAnsi="Arial" w:cs="Arial"/>
                <w:sz w:val="18"/>
                <w:szCs w:val="18"/>
              </w:rPr>
            </w:pPr>
            <w:r w:rsidRPr="00736390">
              <w:rPr>
                <w:rFonts w:ascii="Arial" w:hAnsi="Arial" w:cs="Arial"/>
                <w:sz w:val="18"/>
                <w:szCs w:val="18"/>
              </w:rPr>
              <w:t>9951</w:t>
            </w:r>
          </w:p>
        </w:tc>
        <w:tc>
          <w:tcPr>
            <w:tcW w:w="496" w:type="pct"/>
            <w:tcBorders>
              <w:top w:val="nil"/>
            </w:tcBorders>
            <w:vAlign w:val="center"/>
          </w:tcPr>
          <w:p w:rsidR="00736390" w:rsidRPr="00736390" w:rsidRDefault="00736390">
            <w:pPr>
              <w:pStyle w:val="NormalWeb"/>
              <w:jc w:val="center"/>
              <w:rPr>
                <w:rFonts w:ascii="Arial" w:hAnsi="Arial" w:cs="Arial"/>
                <w:sz w:val="18"/>
                <w:szCs w:val="18"/>
              </w:rPr>
            </w:pPr>
            <w:r w:rsidRPr="00736390">
              <w:rPr>
                <w:rFonts w:ascii="Arial" w:hAnsi="Arial" w:cs="Arial"/>
                <w:sz w:val="18"/>
                <w:szCs w:val="18"/>
              </w:rPr>
              <w:t>10 175</w:t>
            </w:r>
          </w:p>
        </w:tc>
      </w:tr>
    </w:tbl>
    <w:p w:rsidR="00676AD2" w:rsidRDefault="00253002" w:rsidP="00D948DD">
      <w:pPr>
        <w:jc w:val="both"/>
      </w:pPr>
      <w:r>
        <w:t xml:space="preserve">Demand </w:t>
      </w:r>
      <w:r w:rsidR="00FF10D3">
        <w:t>forecasts were notably different to forecast, being</w:t>
      </w:r>
      <w:r>
        <w:t xml:space="preserve"> 290 MW higher than forecast four hours ahead, </w:t>
      </w:r>
      <w:r w:rsidR="00FF10D3">
        <w:t xml:space="preserve">but </w:t>
      </w:r>
      <w:r w:rsidR="00D4239E">
        <w:t>406 </w:t>
      </w:r>
      <w:r w:rsidR="00676AD2">
        <w:t>MW lower than forecast 12 hours ahead.</w:t>
      </w:r>
      <w:r>
        <w:t xml:space="preserve"> </w:t>
      </w:r>
      <w:r w:rsidR="00676AD2">
        <w:t>Availability</w:t>
      </w:r>
      <w:r w:rsidR="00194835">
        <w:t xml:space="preserve"> was</w:t>
      </w:r>
      <w:r w:rsidR="00676AD2">
        <w:t xml:space="preserve"> </w:t>
      </w:r>
      <w:r w:rsidR="00194835">
        <w:t xml:space="preserve">close to forecast </w:t>
      </w:r>
      <w:r w:rsidR="00FF10D3">
        <w:t>four</w:t>
      </w:r>
      <w:r w:rsidR="00194835">
        <w:t xml:space="preserve"> hours ahead</w:t>
      </w:r>
      <w:r w:rsidR="00676AD2">
        <w:t xml:space="preserve">, </w:t>
      </w:r>
      <w:r w:rsidR="00194835">
        <w:t>but</w:t>
      </w:r>
      <w:r w:rsidR="00676AD2">
        <w:t xml:space="preserve"> 195 MW lower than forecast 12 hours ahead.</w:t>
      </w:r>
      <w:r w:rsidR="009D6B6A">
        <w:t xml:space="preserve"> </w:t>
      </w:r>
      <w:bookmarkStart w:id="17" w:name="_GoBack"/>
      <w:bookmarkEnd w:id="17"/>
      <w:r w:rsidR="009D6B6A">
        <w:t>However these differences between 12 and four hours had little effect on forecast prices.</w:t>
      </w:r>
    </w:p>
    <w:p w:rsidR="00A92CD5" w:rsidRPr="00B9227A" w:rsidRDefault="003E144D" w:rsidP="00B9227A">
      <w:pPr>
        <w:keepNext/>
        <w:spacing w:before="240" w:after="120"/>
        <w:rPr>
          <w:b/>
          <w:bCs/>
          <w:color w:val="2272A3" w:themeColor="accent4" w:themeShade="80"/>
          <w:sz w:val="24"/>
          <w:szCs w:val="18"/>
        </w:rPr>
      </w:pPr>
      <w:r w:rsidRPr="00F33F2D">
        <w:rPr>
          <w:b/>
          <w:bCs/>
          <w:color w:val="2272A3" w:themeColor="accent4" w:themeShade="80"/>
          <w:sz w:val="24"/>
          <w:szCs w:val="18"/>
        </w:rPr>
        <w:t xml:space="preserve">Table </w:t>
      </w:r>
      <w:r w:rsidRPr="00F33F2D">
        <w:rPr>
          <w:b/>
          <w:bCs/>
          <w:color w:val="2272A3" w:themeColor="accent4" w:themeShade="80"/>
          <w:sz w:val="24"/>
          <w:szCs w:val="18"/>
        </w:rPr>
        <w:fldChar w:fldCharType="begin"/>
      </w:r>
      <w:r w:rsidRPr="00F33F2D">
        <w:rPr>
          <w:b/>
          <w:bCs/>
          <w:color w:val="2272A3" w:themeColor="accent4" w:themeShade="80"/>
          <w:sz w:val="24"/>
          <w:szCs w:val="18"/>
        </w:rPr>
        <w:instrText xml:space="preserve"> SEQ Table \* ARABIC </w:instrText>
      </w:r>
      <w:r w:rsidRPr="00F33F2D">
        <w:rPr>
          <w:b/>
          <w:bCs/>
          <w:color w:val="2272A3" w:themeColor="accent4" w:themeShade="80"/>
          <w:sz w:val="24"/>
          <w:szCs w:val="18"/>
        </w:rPr>
        <w:fldChar w:fldCharType="separate"/>
      </w:r>
      <w:r w:rsidR="00CF5BD9">
        <w:rPr>
          <w:b/>
          <w:bCs/>
          <w:noProof/>
          <w:color w:val="2272A3" w:themeColor="accent4" w:themeShade="80"/>
          <w:sz w:val="24"/>
          <w:szCs w:val="18"/>
        </w:rPr>
        <w:t>4</w:t>
      </w:r>
      <w:r w:rsidRPr="00F33F2D">
        <w:rPr>
          <w:b/>
          <w:bCs/>
          <w:noProof/>
          <w:color w:val="2272A3" w:themeColor="accent4" w:themeShade="80"/>
          <w:sz w:val="24"/>
          <w:szCs w:val="18"/>
        </w:rPr>
        <w:fldChar w:fldCharType="end"/>
      </w:r>
      <w:r w:rsidR="00A92CD5" w:rsidRPr="00B9227A">
        <w:rPr>
          <w:b/>
          <w:bCs/>
          <w:color w:val="2272A3" w:themeColor="accent4" w:themeShade="80"/>
          <w:sz w:val="24"/>
          <w:szCs w:val="18"/>
        </w:rPr>
        <w:t>: Rebids for 7 pm</w:t>
      </w:r>
    </w:p>
    <w:tbl>
      <w:tblPr>
        <w:tblStyle w:val="AERsummarytable"/>
        <w:tblW w:w="9180" w:type="dxa"/>
        <w:tblLayout w:type="fixed"/>
        <w:tblLook w:val="04A0" w:firstRow="1" w:lastRow="0" w:firstColumn="1" w:lastColumn="0" w:noHBand="0" w:noVBand="1"/>
      </w:tblPr>
      <w:tblGrid>
        <w:gridCol w:w="959"/>
        <w:gridCol w:w="992"/>
        <w:gridCol w:w="1363"/>
        <w:gridCol w:w="1047"/>
        <w:gridCol w:w="992"/>
        <w:gridCol w:w="969"/>
        <w:gridCol w:w="971"/>
        <w:gridCol w:w="1887"/>
      </w:tblGrid>
      <w:tr w:rsidR="00A92CD5" w:rsidRPr="00914A87" w:rsidTr="00003286">
        <w:trPr>
          <w:cnfStyle w:val="100000000000" w:firstRow="1" w:lastRow="0" w:firstColumn="0" w:lastColumn="0" w:oddVBand="0" w:evenVBand="0" w:oddHBand="0" w:evenHBand="0" w:firstRowFirstColumn="0" w:firstRowLastColumn="0" w:lastRowFirstColumn="0" w:lastRowLastColumn="0"/>
          <w:trHeight w:val="780"/>
        </w:trPr>
        <w:tc>
          <w:tcPr>
            <w:tcW w:w="959" w:type="dxa"/>
            <w:hideMark/>
          </w:tcPr>
          <w:p w:rsidR="00A92CD5" w:rsidRPr="00914A87" w:rsidRDefault="00A92CD5" w:rsidP="00993358">
            <w:pPr>
              <w:pStyle w:val="TableHeading"/>
            </w:pPr>
            <w:r w:rsidRPr="00914A87">
              <w:t xml:space="preserve">Time </w:t>
            </w:r>
            <w:r>
              <w:t>in</w:t>
            </w:r>
          </w:p>
        </w:tc>
        <w:tc>
          <w:tcPr>
            <w:tcW w:w="992" w:type="dxa"/>
            <w:hideMark/>
          </w:tcPr>
          <w:p w:rsidR="00A92CD5" w:rsidRPr="00914A87" w:rsidRDefault="00A92CD5" w:rsidP="00993358">
            <w:pPr>
              <w:pStyle w:val="TableHeading"/>
              <w:ind w:left="-108"/>
            </w:pPr>
            <w:r w:rsidRPr="00914A87">
              <w:t>Time effective</w:t>
            </w:r>
          </w:p>
        </w:tc>
        <w:tc>
          <w:tcPr>
            <w:tcW w:w="1363" w:type="dxa"/>
            <w:hideMark/>
          </w:tcPr>
          <w:p w:rsidR="00A92CD5" w:rsidRPr="00914A87" w:rsidRDefault="00A92CD5" w:rsidP="00993358">
            <w:pPr>
              <w:pStyle w:val="TableHeading"/>
            </w:pPr>
            <w:r w:rsidRPr="00914A87">
              <w:t>Participant</w:t>
            </w:r>
          </w:p>
        </w:tc>
        <w:tc>
          <w:tcPr>
            <w:tcW w:w="1047" w:type="dxa"/>
            <w:hideMark/>
          </w:tcPr>
          <w:p w:rsidR="00A92CD5" w:rsidRPr="00914A87" w:rsidRDefault="00A92CD5" w:rsidP="00993358">
            <w:pPr>
              <w:pStyle w:val="TableHeading"/>
            </w:pPr>
            <w:r w:rsidRPr="00914A87">
              <w:t>Station</w:t>
            </w:r>
          </w:p>
        </w:tc>
        <w:tc>
          <w:tcPr>
            <w:tcW w:w="992" w:type="dxa"/>
            <w:hideMark/>
          </w:tcPr>
          <w:p w:rsidR="00A92CD5" w:rsidRPr="00914A87" w:rsidRDefault="00A92CD5" w:rsidP="00993358">
            <w:pPr>
              <w:pStyle w:val="TableHeading"/>
            </w:pPr>
            <w:r w:rsidRPr="00914A87">
              <w:t>Capacity rebid (MW)</w:t>
            </w:r>
          </w:p>
        </w:tc>
        <w:tc>
          <w:tcPr>
            <w:tcW w:w="969" w:type="dxa"/>
            <w:hideMark/>
          </w:tcPr>
          <w:p w:rsidR="00A92CD5" w:rsidRPr="00914A87" w:rsidRDefault="00A92CD5" w:rsidP="00993358">
            <w:pPr>
              <w:pStyle w:val="TableHeading"/>
            </w:pPr>
            <w:r w:rsidRPr="00914A87">
              <w:t>Price from ($/MWh)</w:t>
            </w:r>
          </w:p>
        </w:tc>
        <w:tc>
          <w:tcPr>
            <w:tcW w:w="971" w:type="dxa"/>
            <w:hideMark/>
          </w:tcPr>
          <w:p w:rsidR="00A92CD5" w:rsidRPr="00914A87" w:rsidRDefault="00A92CD5" w:rsidP="00993358">
            <w:pPr>
              <w:pStyle w:val="TableHeading"/>
            </w:pPr>
            <w:r w:rsidRPr="00914A87">
              <w:t>Price to ($/MWh)</w:t>
            </w:r>
          </w:p>
        </w:tc>
        <w:tc>
          <w:tcPr>
            <w:tcW w:w="1887" w:type="dxa"/>
            <w:hideMark/>
          </w:tcPr>
          <w:p w:rsidR="00A92CD5" w:rsidRPr="00914A87" w:rsidRDefault="00A92CD5" w:rsidP="00993358">
            <w:pPr>
              <w:pStyle w:val="TableHeading"/>
            </w:pPr>
            <w:r w:rsidRPr="00914A87">
              <w:t>Rebid reason</w:t>
            </w:r>
          </w:p>
        </w:tc>
      </w:tr>
      <w:tr w:rsidR="00A92CD5" w:rsidRPr="00720A32" w:rsidTr="00003286">
        <w:trPr>
          <w:cnfStyle w:val="000000100000" w:firstRow="0" w:lastRow="0" w:firstColumn="0" w:lastColumn="0" w:oddVBand="0" w:evenVBand="0" w:oddHBand="1" w:evenHBand="0" w:firstRowFirstColumn="0" w:firstRowLastColumn="0" w:lastRowFirstColumn="0" w:lastRowLastColumn="0"/>
          <w:trHeight w:val="606"/>
        </w:trPr>
        <w:tc>
          <w:tcPr>
            <w:tcW w:w="959" w:type="dxa"/>
            <w:vAlign w:val="center"/>
          </w:tcPr>
          <w:p w:rsidR="00A92CD5" w:rsidRPr="00720A32" w:rsidRDefault="00A92CD5" w:rsidP="009B38EC">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sidRPr="00720A32">
              <w:rPr>
                <w:rFonts w:asciiTheme="minorHAnsi" w:eastAsia="Times New Roman" w:hAnsiTheme="minorHAnsi" w:cstheme="minorHAnsi"/>
                <w:b/>
                <w:bCs/>
                <w:sz w:val="16"/>
                <w:szCs w:val="16"/>
                <w:lang w:eastAsia="en-AU"/>
              </w:rPr>
              <w:t>3.</w:t>
            </w:r>
            <w:r w:rsidR="009B38EC">
              <w:rPr>
                <w:rFonts w:asciiTheme="minorHAnsi" w:eastAsia="Times New Roman" w:hAnsiTheme="minorHAnsi" w:cstheme="minorHAnsi"/>
                <w:b/>
                <w:bCs/>
                <w:sz w:val="16"/>
                <w:szCs w:val="16"/>
                <w:lang w:eastAsia="en-AU"/>
              </w:rPr>
              <w:t>38 </w:t>
            </w:r>
            <w:r w:rsidRPr="00720A32">
              <w:rPr>
                <w:rFonts w:asciiTheme="minorHAnsi" w:eastAsia="Times New Roman" w:hAnsiTheme="minorHAnsi" w:cstheme="minorHAnsi"/>
                <w:b/>
                <w:bCs/>
                <w:sz w:val="16"/>
                <w:szCs w:val="16"/>
                <w:lang w:eastAsia="en-AU"/>
              </w:rPr>
              <w:t>pm</w:t>
            </w:r>
          </w:p>
        </w:tc>
        <w:tc>
          <w:tcPr>
            <w:tcW w:w="992" w:type="dxa"/>
            <w:vAlign w:val="center"/>
          </w:tcPr>
          <w:p w:rsidR="00A92CD5" w:rsidRPr="00720A32" w:rsidRDefault="00A92CD5" w:rsidP="009B38EC">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3.</w:t>
            </w:r>
            <w:r w:rsidR="009B38EC">
              <w:rPr>
                <w:rFonts w:asciiTheme="minorHAnsi" w:eastAsia="Times New Roman" w:hAnsiTheme="minorHAnsi" w:cstheme="minorHAnsi"/>
                <w:bCs/>
                <w:sz w:val="16"/>
                <w:szCs w:val="16"/>
                <w:lang w:eastAsia="en-AU"/>
              </w:rPr>
              <w:t>45</w:t>
            </w:r>
            <w:r>
              <w:rPr>
                <w:rFonts w:asciiTheme="minorHAnsi" w:eastAsia="Times New Roman" w:hAnsiTheme="minorHAnsi" w:cstheme="minorHAnsi"/>
                <w:bCs/>
                <w:sz w:val="16"/>
                <w:szCs w:val="16"/>
                <w:lang w:eastAsia="en-AU"/>
              </w:rPr>
              <w:t> pm</w:t>
            </w:r>
          </w:p>
        </w:tc>
        <w:tc>
          <w:tcPr>
            <w:tcW w:w="1363" w:type="dxa"/>
            <w:vAlign w:val="center"/>
          </w:tcPr>
          <w:p w:rsidR="00A92CD5" w:rsidRPr="00720A32" w:rsidRDefault="009B38EC" w:rsidP="009B38EC">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Arrow Energy</w:t>
            </w:r>
          </w:p>
        </w:tc>
        <w:tc>
          <w:tcPr>
            <w:tcW w:w="1047" w:type="dxa"/>
            <w:vAlign w:val="center"/>
          </w:tcPr>
          <w:p w:rsidR="00A92CD5" w:rsidRPr="00720A32" w:rsidRDefault="009B38EC"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proofErr w:type="spellStart"/>
            <w:r>
              <w:rPr>
                <w:rFonts w:asciiTheme="minorHAnsi" w:eastAsia="Times New Roman" w:hAnsiTheme="minorHAnsi" w:cstheme="minorHAnsi"/>
                <w:bCs/>
                <w:sz w:val="16"/>
                <w:szCs w:val="16"/>
                <w:lang w:eastAsia="en-AU"/>
              </w:rPr>
              <w:t>Braemar</w:t>
            </w:r>
            <w:proofErr w:type="spellEnd"/>
          </w:p>
        </w:tc>
        <w:tc>
          <w:tcPr>
            <w:tcW w:w="992" w:type="dxa"/>
            <w:vAlign w:val="center"/>
          </w:tcPr>
          <w:p w:rsidR="00A92CD5" w:rsidRPr="00720A32" w:rsidRDefault="009B38EC"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42</w:t>
            </w:r>
          </w:p>
        </w:tc>
        <w:tc>
          <w:tcPr>
            <w:tcW w:w="969" w:type="dxa"/>
            <w:vAlign w:val="center"/>
          </w:tcPr>
          <w:p w:rsidR="00A92CD5" w:rsidRPr="00720A32" w:rsidRDefault="009B38EC" w:rsidP="009B38EC">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200</w:t>
            </w:r>
          </w:p>
        </w:tc>
        <w:tc>
          <w:tcPr>
            <w:tcW w:w="971" w:type="dxa"/>
            <w:vAlign w:val="center"/>
          </w:tcPr>
          <w:p w:rsidR="00A92CD5" w:rsidRPr="00720A32" w:rsidRDefault="009B38EC" w:rsidP="009B38EC">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w:t>
            </w:r>
            <w:r w:rsidR="00A92CD5" w:rsidRPr="00720A32">
              <w:rPr>
                <w:rFonts w:asciiTheme="minorHAnsi" w:eastAsia="Times New Roman" w:hAnsiTheme="minorHAnsi" w:cstheme="minorHAnsi"/>
                <w:bCs/>
                <w:sz w:val="16"/>
                <w:szCs w:val="16"/>
                <w:lang w:eastAsia="en-AU"/>
              </w:rPr>
              <w:t>2</w:t>
            </w:r>
            <w:r>
              <w:rPr>
                <w:rFonts w:asciiTheme="minorHAnsi" w:eastAsia="Times New Roman" w:hAnsiTheme="minorHAnsi" w:cstheme="minorHAnsi"/>
                <w:bCs/>
                <w:sz w:val="16"/>
                <w:szCs w:val="16"/>
                <w:lang w:eastAsia="en-AU"/>
              </w:rPr>
              <w:t> 948</w:t>
            </w:r>
          </w:p>
        </w:tc>
        <w:tc>
          <w:tcPr>
            <w:tcW w:w="1887" w:type="dxa"/>
            <w:vAlign w:val="center"/>
          </w:tcPr>
          <w:p w:rsidR="00A92CD5" w:rsidRPr="00720A32" w:rsidRDefault="00A92CD5" w:rsidP="009B38EC">
            <w:pPr>
              <w:spacing w:before="100" w:beforeAutospacing="1" w:after="100" w:afterAutospacing="1" w:line="240" w:lineRule="auto"/>
              <w:rPr>
                <w:rFonts w:asciiTheme="minorHAnsi" w:eastAsia="Times New Roman" w:hAnsiTheme="minorHAnsi" w:cstheme="minorHAnsi"/>
                <w:bCs/>
                <w:sz w:val="16"/>
                <w:szCs w:val="16"/>
                <w:lang w:eastAsia="en-AU"/>
              </w:rPr>
            </w:pPr>
            <w:r w:rsidRPr="00720A32">
              <w:rPr>
                <w:rFonts w:asciiTheme="minorHAnsi" w:eastAsia="Times New Roman" w:hAnsiTheme="minorHAnsi" w:cstheme="minorHAnsi"/>
                <w:bCs/>
                <w:sz w:val="16"/>
                <w:szCs w:val="16"/>
                <w:lang w:eastAsia="en-AU"/>
              </w:rPr>
              <w:t>15</w:t>
            </w:r>
            <w:r w:rsidR="009B38EC">
              <w:rPr>
                <w:rFonts w:asciiTheme="minorHAnsi" w:eastAsia="Times New Roman" w:hAnsiTheme="minorHAnsi" w:cstheme="minorHAnsi"/>
                <w:bCs/>
                <w:sz w:val="16"/>
                <w:szCs w:val="16"/>
                <w:lang w:eastAsia="en-AU"/>
              </w:rPr>
              <w:t>37A Change in 5min PD: Qld price increase SL</w:t>
            </w:r>
          </w:p>
        </w:tc>
      </w:tr>
      <w:tr w:rsidR="00A92CD5" w:rsidRPr="00720A32" w:rsidTr="00003286">
        <w:trPr>
          <w:cnfStyle w:val="000000010000" w:firstRow="0" w:lastRow="0" w:firstColumn="0" w:lastColumn="0" w:oddVBand="0" w:evenVBand="0" w:oddHBand="0" w:evenHBand="1" w:firstRowFirstColumn="0" w:firstRowLastColumn="0" w:lastRowFirstColumn="0" w:lastRowLastColumn="0"/>
          <w:trHeight w:val="673"/>
        </w:trPr>
        <w:tc>
          <w:tcPr>
            <w:tcW w:w="959" w:type="dxa"/>
            <w:vAlign w:val="center"/>
          </w:tcPr>
          <w:p w:rsidR="00A92CD5" w:rsidRPr="00720A32" w:rsidRDefault="003C7208" w:rsidP="00993358">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3.59</w:t>
            </w:r>
            <w:r w:rsidR="003001F5">
              <w:rPr>
                <w:rFonts w:asciiTheme="minorHAnsi" w:eastAsia="Times New Roman" w:hAnsiTheme="minorHAnsi" w:cstheme="minorHAnsi"/>
                <w:b/>
                <w:bCs/>
                <w:sz w:val="16"/>
                <w:szCs w:val="16"/>
                <w:lang w:eastAsia="en-AU"/>
              </w:rPr>
              <w:t> pm</w:t>
            </w:r>
          </w:p>
        </w:tc>
        <w:tc>
          <w:tcPr>
            <w:tcW w:w="992" w:type="dxa"/>
            <w:vAlign w:val="center"/>
          </w:tcPr>
          <w:p w:rsidR="00A92CD5" w:rsidRPr="00720A32" w:rsidRDefault="007C7EE9"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5.05 pm</w:t>
            </w:r>
          </w:p>
        </w:tc>
        <w:tc>
          <w:tcPr>
            <w:tcW w:w="1363" w:type="dxa"/>
            <w:vAlign w:val="center"/>
          </w:tcPr>
          <w:p w:rsidR="00A92CD5" w:rsidRPr="00720A32" w:rsidRDefault="003001F5"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CS Energy</w:t>
            </w:r>
          </w:p>
        </w:tc>
        <w:tc>
          <w:tcPr>
            <w:tcW w:w="1047" w:type="dxa"/>
            <w:vAlign w:val="center"/>
          </w:tcPr>
          <w:p w:rsidR="00A92CD5" w:rsidRPr="00720A32" w:rsidRDefault="00C457F3"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Gladstone</w:t>
            </w:r>
          </w:p>
        </w:tc>
        <w:tc>
          <w:tcPr>
            <w:tcW w:w="992" w:type="dxa"/>
            <w:vAlign w:val="center"/>
          </w:tcPr>
          <w:p w:rsidR="00A92CD5" w:rsidRPr="00720A32" w:rsidRDefault="00C457F3"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180</w:t>
            </w:r>
          </w:p>
        </w:tc>
        <w:tc>
          <w:tcPr>
            <w:tcW w:w="969" w:type="dxa"/>
            <w:vAlign w:val="center"/>
          </w:tcPr>
          <w:p w:rsidR="00A92CD5" w:rsidRPr="00720A32" w:rsidRDefault="00C457F3"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34</w:t>
            </w:r>
          </w:p>
        </w:tc>
        <w:tc>
          <w:tcPr>
            <w:tcW w:w="971" w:type="dxa"/>
            <w:vAlign w:val="center"/>
          </w:tcPr>
          <w:p w:rsidR="00A92CD5" w:rsidRPr="00720A32" w:rsidRDefault="00C457F3"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13 500</w:t>
            </w:r>
          </w:p>
        </w:tc>
        <w:tc>
          <w:tcPr>
            <w:tcW w:w="1887" w:type="dxa"/>
            <w:vAlign w:val="center"/>
          </w:tcPr>
          <w:p w:rsidR="00A92CD5" w:rsidRPr="00720A32" w:rsidRDefault="00C457F3" w:rsidP="003C7208">
            <w:pPr>
              <w:spacing w:before="100" w:beforeAutospacing="1" w:after="100" w:afterAutospacing="1" w:line="240" w:lineRule="auto"/>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1559A Demand higher than 30 min forecast</w:t>
            </w:r>
            <w:r w:rsidR="003C7208">
              <w:rPr>
                <w:rFonts w:asciiTheme="minorHAnsi" w:eastAsia="Times New Roman" w:hAnsiTheme="minorHAnsi" w:cstheme="minorHAnsi"/>
                <w:bCs/>
                <w:sz w:val="16"/>
                <w:szCs w:val="16"/>
                <w:lang w:eastAsia="en-AU"/>
              </w:rPr>
              <w:t>-SL</w:t>
            </w:r>
          </w:p>
        </w:tc>
      </w:tr>
      <w:tr w:rsidR="00BC4ACD" w:rsidRPr="00720A32" w:rsidTr="00003286">
        <w:trPr>
          <w:cnfStyle w:val="000000100000" w:firstRow="0" w:lastRow="0" w:firstColumn="0" w:lastColumn="0" w:oddVBand="0" w:evenVBand="0" w:oddHBand="1" w:evenHBand="0" w:firstRowFirstColumn="0" w:firstRowLastColumn="0" w:lastRowFirstColumn="0" w:lastRowLastColumn="0"/>
          <w:trHeight w:val="673"/>
        </w:trPr>
        <w:tc>
          <w:tcPr>
            <w:tcW w:w="959" w:type="dxa"/>
            <w:vAlign w:val="center"/>
          </w:tcPr>
          <w:p w:rsidR="00BC4ACD" w:rsidRDefault="000D6002" w:rsidP="00993358">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4.38 pm</w:t>
            </w:r>
          </w:p>
        </w:tc>
        <w:tc>
          <w:tcPr>
            <w:tcW w:w="992" w:type="dxa"/>
            <w:vAlign w:val="center"/>
          </w:tcPr>
          <w:p w:rsidR="00BC4ACD" w:rsidRPr="00720A32" w:rsidRDefault="007C7EE9"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4.45 pm</w:t>
            </w:r>
          </w:p>
        </w:tc>
        <w:tc>
          <w:tcPr>
            <w:tcW w:w="1363" w:type="dxa"/>
            <w:vAlign w:val="center"/>
          </w:tcPr>
          <w:p w:rsidR="00BC4ACD" w:rsidRDefault="000D6002"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ERM Power</w:t>
            </w:r>
          </w:p>
        </w:tc>
        <w:tc>
          <w:tcPr>
            <w:tcW w:w="1047" w:type="dxa"/>
            <w:vAlign w:val="center"/>
          </w:tcPr>
          <w:p w:rsidR="00BC4ACD" w:rsidRDefault="000D6002" w:rsidP="000D6002">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Oakey</w:t>
            </w:r>
          </w:p>
        </w:tc>
        <w:tc>
          <w:tcPr>
            <w:tcW w:w="992" w:type="dxa"/>
            <w:vAlign w:val="center"/>
          </w:tcPr>
          <w:p w:rsidR="00BC4ACD" w:rsidRPr="00720A32" w:rsidRDefault="0085409E"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w:t>
            </w:r>
            <w:r w:rsidR="000D6002">
              <w:rPr>
                <w:rFonts w:asciiTheme="minorHAnsi" w:eastAsia="Times New Roman" w:hAnsiTheme="minorHAnsi" w:cstheme="minorHAnsi"/>
                <w:bCs/>
                <w:sz w:val="16"/>
                <w:szCs w:val="16"/>
                <w:lang w:eastAsia="en-AU"/>
              </w:rPr>
              <w:t>36</w:t>
            </w:r>
          </w:p>
        </w:tc>
        <w:tc>
          <w:tcPr>
            <w:tcW w:w="969" w:type="dxa"/>
            <w:vAlign w:val="center"/>
          </w:tcPr>
          <w:p w:rsidR="00BC4ACD" w:rsidRPr="00720A32" w:rsidRDefault="000D6002"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458</w:t>
            </w:r>
          </w:p>
        </w:tc>
        <w:tc>
          <w:tcPr>
            <w:tcW w:w="971" w:type="dxa"/>
            <w:vAlign w:val="center"/>
          </w:tcPr>
          <w:p w:rsidR="00BC4ACD" w:rsidRDefault="000D6002"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N/A</w:t>
            </w:r>
          </w:p>
        </w:tc>
        <w:tc>
          <w:tcPr>
            <w:tcW w:w="1887" w:type="dxa"/>
            <w:vAlign w:val="center"/>
          </w:tcPr>
          <w:p w:rsidR="00BC4ACD" w:rsidRDefault="000D6002" w:rsidP="00993358">
            <w:pPr>
              <w:spacing w:before="100" w:beforeAutospacing="1" w:after="100" w:afterAutospacing="1" w:line="240" w:lineRule="auto"/>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 xml:space="preserve">1636P Ambient conditions::change MW </w:t>
            </w:r>
            <w:proofErr w:type="spellStart"/>
            <w:r>
              <w:rPr>
                <w:rFonts w:asciiTheme="minorHAnsi" w:eastAsia="Times New Roman" w:hAnsiTheme="minorHAnsi" w:cstheme="minorHAnsi"/>
                <w:bCs/>
                <w:sz w:val="16"/>
                <w:szCs w:val="16"/>
                <w:lang w:eastAsia="en-AU"/>
              </w:rPr>
              <w:t>distrib</w:t>
            </w:r>
            <w:proofErr w:type="spellEnd"/>
            <w:r>
              <w:rPr>
                <w:rFonts w:asciiTheme="minorHAnsi" w:eastAsia="Times New Roman" w:hAnsiTheme="minorHAnsi" w:cstheme="minorHAnsi"/>
                <w:bCs/>
                <w:sz w:val="16"/>
                <w:szCs w:val="16"/>
                <w:lang w:eastAsia="en-AU"/>
              </w:rPr>
              <w:t>.</w:t>
            </w:r>
          </w:p>
        </w:tc>
      </w:tr>
      <w:tr w:rsidR="00BC4ACD" w:rsidRPr="00720A32" w:rsidTr="00003286">
        <w:trPr>
          <w:cnfStyle w:val="000000010000" w:firstRow="0" w:lastRow="0" w:firstColumn="0" w:lastColumn="0" w:oddVBand="0" w:evenVBand="0" w:oddHBand="0" w:evenHBand="1" w:firstRowFirstColumn="0" w:firstRowLastColumn="0" w:lastRowFirstColumn="0" w:lastRowLastColumn="0"/>
          <w:trHeight w:val="673"/>
        </w:trPr>
        <w:tc>
          <w:tcPr>
            <w:tcW w:w="959" w:type="dxa"/>
            <w:vAlign w:val="center"/>
          </w:tcPr>
          <w:p w:rsidR="00BC4ACD" w:rsidRDefault="005C4659" w:rsidP="00993358">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4.15 pm</w:t>
            </w:r>
          </w:p>
        </w:tc>
        <w:tc>
          <w:tcPr>
            <w:tcW w:w="992" w:type="dxa"/>
            <w:vAlign w:val="center"/>
          </w:tcPr>
          <w:p w:rsidR="00BC4ACD" w:rsidRPr="00720A32" w:rsidRDefault="00A72EC8"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4.25 pm</w:t>
            </w:r>
          </w:p>
        </w:tc>
        <w:tc>
          <w:tcPr>
            <w:tcW w:w="1363" w:type="dxa"/>
            <w:vAlign w:val="center"/>
          </w:tcPr>
          <w:p w:rsidR="00BC4ACD" w:rsidRDefault="00003286"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Millmerran Energy Trader</w:t>
            </w:r>
          </w:p>
        </w:tc>
        <w:tc>
          <w:tcPr>
            <w:tcW w:w="1047" w:type="dxa"/>
            <w:vAlign w:val="center"/>
          </w:tcPr>
          <w:p w:rsidR="00BC4ACD" w:rsidRDefault="00003286"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Millmerran</w:t>
            </w:r>
          </w:p>
        </w:tc>
        <w:tc>
          <w:tcPr>
            <w:tcW w:w="992" w:type="dxa"/>
            <w:vAlign w:val="center"/>
          </w:tcPr>
          <w:p w:rsidR="00BC4ACD" w:rsidRPr="00720A32" w:rsidRDefault="0085409E"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50</w:t>
            </w:r>
          </w:p>
        </w:tc>
        <w:tc>
          <w:tcPr>
            <w:tcW w:w="969" w:type="dxa"/>
            <w:vAlign w:val="center"/>
          </w:tcPr>
          <w:p w:rsidR="00BC4ACD" w:rsidRPr="00720A32" w:rsidRDefault="005C4659"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7</w:t>
            </w:r>
          </w:p>
        </w:tc>
        <w:tc>
          <w:tcPr>
            <w:tcW w:w="971" w:type="dxa"/>
            <w:vAlign w:val="center"/>
          </w:tcPr>
          <w:p w:rsidR="00BC4ACD" w:rsidRDefault="005C4659"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13 500</w:t>
            </w:r>
          </w:p>
        </w:tc>
        <w:tc>
          <w:tcPr>
            <w:tcW w:w="1887" w:type="dxa"/>
            <w:vAlign w:val="center"/>
          </w:tcPr>
          <w:p w:rsidR="00BC4ACD" w:rsidRDefault="005C4659" w:rsidP="00993358">
            <w:pPr>
              <w:spacing w:before="100" w:beforeAutospacing="1" w:after="100" w:afterAutospacing="1" w:line="240" w:lineRule="auto"/>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16:14 A RRP above PD</w:t>
            </w:r>
          </w:p>
        </w:tc>
      </w:tr>
      <w:tr w:rsidR="0085409E" w:rsidRPr="00720A32" w:rsidTr="00003286">
        <w:trPr>
          <w:cnfStyle w:val="000000100000" w:firstRow="0" w:lastRow="0" w:firstColumn="0" w:lastColumn="0" w:oddVBand="0" w:evenVBand="0" w:oddHBand="1" w:evenHBand="0" w:firstRowFirstColumn="0" w:firstRowLastColumn="0" w:lastRowFirstColumn="0" w:lastRowLastColumn="0"/>
          <w:trHeight w:val="673"/>
        </w:trPr>
        <w:tc>
          <w:tcPr>
            <w:tcW w:w="959" w:type="dxa"/>
            <w:vAlign w:val="center"/>
          </w:tcPr>
          <w:p w:rsidR="0085409E" w:rsidRDefault="005C4659" w:rsidP="00993358">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6.14 pm</w:t>
            </w:r>
          </w:p>
        </w:tc>
        <w:tc>
          <w:tcPr>
            <w:tcW w:w="992" w:type="dxa"/>
            <w:vAlign w:val="center"/>
          </w:tcPr>
          <w:p w:rsidR="0085409E" w:rsidRPr="00720A32" w:rsidRDefault="00A72EC8"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 xml:space="preserve">6.25 pm </w:t>
            </w:r>
          </w:p>
        </w:tc>
        <w:tc>
          <w:tcPr>
            <w:tcW w:w="1363" w:type="dxa"/>
            <w:vAlign w:val="center"/>
          </w:tcPr>
          <w:p w:rsidR="0085409E" w:rsidRDefault="0085409E"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Millmerran Energy Trader</w:t>
            </w:r>
          </w:p>
        </w:tc>
        <w:tc>
          <w:tcPr>
            <w:tcW w:w="1047" w:type="dxa"/>
            <w:vAlign w:val="center"/>
          </w:tcPr>
          <w:p w:rsidR="0085409E" w:rsidRDefault="0085409E"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Millmerran</w:t>
            </w:r>
          </w:p>
        </w:tc>
        <w:tc>
          <w:tcPr>
            <w:tcW w:w="992" w:type="dxa"/>
            <w:vAlign w:val="center"/>
          </w:tcPr>
          <w:p w:rsidR="0085409E" w:rsidRPr="00720A32" w:rsidRDefault="0085409E"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40</w:t>
            </w:r>
          </w:p>
        </w:tc>
        <w:tc>
          <w:tcPr>
            <w:tcW w:w="969" w:type="dxa"/>
            <w:vAlign w:val="center"/>
          </w:tcPr>
          <w:p w:rsidR="0085409E" w:rsidRPr="00720A32" w:rsidRDefault="00DB0C0B"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-40</w:t>
            </w:r>
          </w:p>
        </w:tc>
        <w:tc>
          <w:tcPr>
            <w:tcW w:w="971" w:type="dxa"/>
            <w:vAlign w:val="center"/>
          </w:tcPr>
          <w:p w:rsidR="0085409E" w:rsidRDefault="00DB0C0B"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13 500</w:t>
            </w:r>
          </w:p>
        </w:tc>
        <w:tc>
          <w:tcPr>
            <w:tcW w:w="1887" w:type="dxa"/>
            <w:vAlign w:val="center"/>
          </w:tcPr>
          <w:p w:rsidR="0085409E" w:rsidRDefault="00DB0C0B" w:rsidP="00993358">
            <w:pPr>
              <w:spacing w:before="100" w:beforeAutospacing="1" w:after="100" w:afterAutospacing="1" w:line="240" w:lineRule="auto"/>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18:13 A RRP below PD</w:t>
            </w:r>
          </w:p>
        </w:tc>
      </w:tr>
      <w:tr w:rsidR="003040F3" w:rsidRPr="00720A32" w:rsidTr="00003286">
        <w:trPr>
          <w:cnfStyle w:val="000000010000" w:firstRow="0" w:lastRow="0" w:firstColumn="0" w:lastColumn="0" w:oddVBand="0" w:evenVBand="0" w:oddHBand="0" w:evenHBand="1" w:firstRowFirstColumn="0" w:firstRowLastColumn="0" w:lastRowFirstColumn="0" w:lastRowLastColumn="0"/>
          <w:trHeight w:val="673"/>
        </w:trPr>
        <w:tc>
          <w:tcPr>
            <w:tcW w:w="959" w:type="dxa"/>
            <w:vAlign w:val="center"/>
          </w:tcPr>
          <w:p w:rsidR="00CD7C9D" w:rsidRDefault="00EF6AE4" w:rsidP="00993358">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6.42 pm</w:t>
            </w:r>
          </w:p>
        </w:tc>
        <w:tc>
          <w:tcPr>
            <w:tcW w:w="992" w:type="dxa"/>
            <w:vAlign w:val="center"/>
          </w:tcPr>
          <w:p w:rsidR="00CD7C9D" w:rsidRPr="00720A32" w:rsidRDefault="003040F3"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6.50 pm</w:t>
            </w:r>
          </w:p>
        </w:tc>
        <w:tc>
          <w:tcPr>
            <w:tcW w:w="1363" w:type="dxa"/>
            <w:vAlign w:val="center"/>
          </w:tcPr>
          <w:p w:rsidR="00CD7C9D" w:rsidRDefault="00EF6AE4"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AGL Energy</w:t>
            </w:r>
          </w:p>
        </w:tc>
        <w:tc>
          <w:tcPr>
            <w:tcW w:w="1047" w:type="dxa"/>
            <w:vAlign w:val="center"/>
          </w:tcPr>
          <w:p w:rsidR="00CD7C9D" w:rsidRDefault="00EF6AE4"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Yabulu</w:t>
            </w:r>
          </w:p>
        </w:tc>
        <w:tc>
          <w:tcPr>
            <w:tcW w:w="992" w:type="dxa"/>
            <w:vAlign w:val="center"/>
          </w:tcPr>
          <w:p w:rsidR="00CD7C9D" w:rsidRPr="00720A32" w:rsidRDefault="00EF6AE4"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71</w:t>
            </w:r>
          </w:p>
        </w:tc>
        <w:tc>
          <w:tcPr>
            <w:tcW w:w="969" w:type="dxa"/>
            <w:vAlign w:val="center"/>
          </w:tcPr>
          <w:p w:rsidR="00CD7C9D" w:rsidRPr="00720A32" w:rsidRDefault="00EF6AE4"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0</w:t>
            </w:r>
          </w:p>
        </w:tc>
        <w:tc>
          <w:tcPr>
            <w:tcW w:w="971" w:type="dxa"/>
            <w:vAlign w:val="center"/>
          </w:tcPr>
          <w:p w:rsidR="00CD7C9D" w:rsidRDefault="00EF6AE4"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13 243</w:t>
            </w:r>
          </w:p>
        </w:tc>
        <w:tc>
          <w:tcPr>
            <w:tcW w:w="1887" w:type="dxa"/>
            <w:vAlign w:val="center"/>
          </w:tcPr>
          <w:p w:rsidR="00CD7C9D" w:rsidRDefault="00EF6AE4" w:rsidP="00993358">
            <w:pPr>
              <w:spacing w:before="100" w:beforeAutospacing="1" w:after="100" w:afterAutospacing="1" w:line="240" w:lineRule="auto"/>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 xml:space="preserve">1835~A~040 </w:t>
            </w:r>
            <w:proofErr w:type="spellStart"/>
            <w:r>
              <w:rPr>
                <w:rFonts w:asciiTheme="minorHAnsi" w:eastAsia="Times New Roman" w:hAnsiTheme="minorHAnsi" w:cstheme="minorHAnsi"/>
                <w:bCs/>
                <w:sz w:val="16"/>
                <w:szCs w:val="16"/>
                <w:lang w:eastAsia="en-AU"/>
              </w:rPr>
              <w:t>Chg</w:t>
            </w:r>
            <w:proofErr w:type="spellEnd"/>
            <w:r>
              <w:rPr>
                <w:rFonts w:asciiTheme="minorHAnsi" w:eastAsia="Times New Roman" w:hAnsiTheme="minorHAnsi" w:cstheme="minorHAnsi"/>
                <w:bCs/>
                <w:sz w:val="16"/>
                <w:szCs w:val="16"/>
                <w:lang w:eastAsia="en-AU"/>
              </w:rPr>
              <w:t xml:space="preserve"> in AEMO disp~41 demand increase Qld 8368 MW V PD 8</w:t>
            </w:r>
          </w:p>
        </w:tc>
      </w:tr>
      <w:tr w:rsidR="003040F3" w:rsidRPr="00720A32" w:rsidTr="00003286">
        <w:trPr>
          <w:cnfStyle w:val="000000100000" w:firstRow="0" w:lastRow="0" w:firstColumn="0" w:lastColumn="0" w:oddVBand="0" w:evenVBand="0" w:oddHBand="1" w:evenHBand="0" w:firstRowFirstColumn="0" w:firstRowLastColumn="0" w:lastRowFirstColumn="0" w:lastRowLastColumn="0"/>
          <w:trHeight w:val="673"/>
        </w:trPr>
        <w:tc>
          <w:tcPr>
            <w:tcW w:w="959" w:type="dxa"/>
            <w:vAlign w:val="center"/>
          </w:tcPr>
          <w:p w:rsidR="00535DCE" w:rsidRDefault="009B7EDA" w:rsidP="00993358">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6.50 pm</w:t>
            </w:r>
          </w:p>
        </w:tc>
        <w:tc>
          <w:tcPr>
            <w:tcW w:w="992" w:type="dxa"/>
            <w:vAlign w:val="center"/>
          </w:tcPr>
          <w:p w:rsidR="00535DCE" w:rsidRPr="00720A32" w:rsidRDefault="003040F3"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7 pm</w:t>
            </w:r>
          </w:p>
        </w:tc>
        <w:tc>
          <w:tcPr>
            <w:tcW w:w="1363" w:type="dxa"/>
            <w:vAlign w:val="center"/>
          </w:tcPr>
          <w:p w:rsidR="00535DCE" w:rsidRDefault="00BE3C61"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Stanwell</w:t>
            </w:r>
            <w:r w:rsidR="003B674F">
              <w:rPr>
                <w:rFonts w:asciiTheme="minorHAnsi" w:eastAsia="Times New Roman" w:hAnsiTheme="minorHAnsi" w:cstheme="minorHAnsi"/>
                <w:bCs/>
                <w:sz w:val="16"/>
                <w:szCs w:val="16"/>
                <w:lang w:eastAsia="en-AU"/>
              </w:rPr>
              <w:t xml:space="preserve"> Corporation </w:t>
            </w:r>
          </w:p>
        </w:tc>
        <w:tc>
          <w:tcPr>
            <w:tcW w:w="1047" w:type="dxa"/>
            <w:vAlign w:val="center"/>
          </w:tcPr>
          <w:p w:rsidR="00535DCE" w:rsidRDefault="00094D20"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proofErr w:type="spellStart"/>
            <w:r>
              <w:rPr>
                <w:rFonts w:asciiTheme="minorHAnsi" w:eastAsia="Times New Roman" w:hAnsiTheme="minorHAnsi" w:cstheme="minorHAnsi"/>
                <w:bCs/>
                <w:sz w:val="16"/>
                <w:szCs w:val="16"/>
                <w:lang w:eastAsia="en-AU"/>
              </w:rPr>
              <w:t>Tarong</w:t>
            </w:r>
            <w:proofErr w:type="spellEnd"/>
            <w:r>
              <w:rPr>
                <w:rFonts w:asciiTheme="minorHAnsi" w:eastAsia="Times New Roman" w:hAnsiTheme="minorHAnsi" w:cstheme="minorHAnsi"/>
                <w:bCs/>
                <w:sz w:val="16"/>
                <w:szCs w:val="16"/>
                <w:lang w:eastAsia="en-AU"/>
              </w:rPr>
              <w:t xml:space="preserve"> and Stanwell</w:t>
            </w:r>
          </w:p>
        </w:tc>
        <w:tc>
          <w:tcPr>
            <w:tcW w:w="992" w:type="dxa"/>
            <w:vAlign w:val="center"/>
          </w:tcPr>
          <w:p w:rsidR="00535DCE" w:rsidRPr="00720A32" w:rsidRDefault="00D4239E" w:rsidP="00D4239E">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170</w:t>
            </w:r>
          </w:p>
        </w:tc>
        <w:tc>
          <w:tcPr>
            <w:tcW w:w="969" w:type="dxa"/>
            <w:vAlign w:val="center"/>
          </w:tcPr>
          <w:p w:rsidR="00535DCE" w:rsidRPr="00720A32" w:rsidRDefault="003040F3" w:rsidP="003040F3">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&lt;10 899</w:t>
            </w:r>
            <w:r w:rsidR="00094D20">
              <w:rPr>
                <w:rFonts w:asciiTheme="minorHAnsi" w:eastAsia="Times New Roman" w:hAnsiTheme="minorHAnsi" w:cstheme="minorHAnsi"/>
                <w:bCs/>
                <w:sz w:val="16"/>
                <w:szCs w:val="16"/>
                <w:lang w:eastAsia="en-AU"/>
              </w:rPr>
              <w:t>*</w:t>
            </w:r>
          </w:p>
        </w:tc>
        <w:tc>
          <w:tcPr>
            <w:tcW w:w="971" w:type="dxa"/>
            <w:vAlign w:val="center"/>
          </w:tcPr>
          <w:p w:rsidR="00535DCE" w:rsidRDefault="009B7EDA"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13 100</w:t>
            </w:r>
          </w:p>
        </w:tc>
        <w:tc>
          <w:tcPr>
            <w:tcW w:w="1887" w:type="dxa"/>
            <w:vAlign w:val="center"/>
          </w:tcPr>
          <w:p w:rsidR="00535DCE" w:rsidRDefault="009B7EDA" w:rsidP="009B7EDA">
            <w:pPr>
              <w:spacing w:before="100" w:beforeAutospacing="1" w:after="100" w:afterAutospacing="1" w:line="240" w:lineRule="auto"/>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1845A Material change in Mt Stuart Generation DI 1845</w:t>
            </w:r>
          </w:p>
        </w:tc>
      </w:tr>
    </w:tbl>
    <w:p w:rsidR="00094D20" w:rsidRPr="00F570A3" w:rsidRDefault="00094D20" w:rsidP="00D948DD">
      <w:pPr>
        <w:jc w:val="both"/>
        <w:rPr>
          <w:sz w:val="16"/>
          <w:szCs w:val="16"/>
        </w:rPr>
      </w:pPr>
      <w:r w:rsidRPr="00F570A3">
        <w:rPr>
          <w:sz w:val="16"/>
          <w:szCs w:val="16"/>
        </w:rPr>
        <w:t xml:space="preserve">* </w:t>
      </w:r>
      <w:proofErr w:type="gramStart"/>
      <w:r w:rsidR="00F570A3" w:rsidRPr="00F570A3">
        <w:rPr>
          <w:sz w:val="16"/>
          <w:szCs w:val="16"/>
        </w:rPr>
        <w:t>the</w:t>
      </w:r>
      <w:proofErr w:type="gramEnd"/>
      <w:r w:rsidR="00F570A3" w:rsidRPr="00F570A3">
        <w:rPr>
          <w:sz w:val="16"/>
          <w:szCs w:val="16"/>
        </w:rPr>
        <w:t xml:space="preserve"> majority of this capacity was priced at $275/MWh.</w:t>
      </w:r>
    </w:p>
    <w:p w:rsidR="00194835" w:rsidRDefault="009D6B6A" w:rsidP="00194835">
      <w:pPr>
        <w:jc w:val="both"/>
      </w:pPr>
      <w:r>
        <w:t>Late in the trading interval two rebids shifted 241 MW to high prices and w</w:t>
      </w:r>
      <w:r w:rsidR="003040F3">
        <w:t xml:space="preserve">ith low price capacity fully dispatched, Stanwell’s </w:t>
      </w:r>
      <w:r w:rsidR="00F570A3">
        <w:t xml:space="preserve">6.50 pm </w:t>
      </w:r>
      <w:r w:rsidR="003040F3">
        <w:t xml:space="preserve">rebid </w:t>
      </w:r>
      <w:r w:rsidR="00F570A3">
        <w:t xml:space="preserve">at </w:t>
      </w:r>
      <w:proofErr w:type="spellStart"/>
      <w:r w:rsidR="00F570A3">
        <w:t>Tarong</w:t>
      </w:r>
      <w:proofErr w:type="spellEnd"/>
      <w:r w:rsidR="00F570A3">
        <w:t xml:space="preserve"> and Stanwell caused </w:t>
      </w:r>
      <w:r w:rsidR="000E14E0">
        <w:t xml:space="preserve">the dispatch price to increase from $275/MWh at 6.55 pm to $12 948 at 7 pm, </w:t>
      </w:r>
      <w:r w:rsidR="007120DB">
        <w:t xml:space="preserve">set </w:t>
      </w:r>
      <w:r w:rsidR="00F570A3">
        <w:t>by Arrow Energy</w:t>
      </w:r>
      <w:r w:rsidR="000E14E0">
        <w:t>’s</w:t>
      </w:r>
      <w:r w:rsidR="00F570A3">
        <w:t xml:space="preserve"> </w:t>
      </w:r>
      <w:r w:rsidR="007120DB">
        <w:t xml:space="preserve">3.38 pm </w:t>
      </w:r>
      <w:r w:rsidR="000E14E0">
        <w:t xml:space="preserve">rebid at </w:t>
      </w:r>
      <w:proofErr w:type="spellStart"/>
      <w:r w:rsidR="00C764EB">
        <w:t>Braemar</w:t>
      </w:r>
      <w:proofErr w:type="spellEnd"/>
      <w:r w:rsidR="000E14E0">
        <w:t>.</w:t>
      </w:r>
      <w:r w:rsidR="00194835">
        <w:t xml:space="preserve"> </w:t>
      </w:r>
    </w:p>
    <w:p w:rsidR="00F33F2D" w:rsidRPr="00FF26D0" w:rsidRDefault="00FF26D0" w:rsidP="00FF26D0">
      <w:pPr>
        <w:keepNext/>
        <w:spacing w:before="240" w:after="120"/>
        <w:rPr>
          <w:b/>
          <w:bCs/>
          <w:color w:val="2272A3" w:themeColor="accent4" w:themeShade="80"/>
          <w:sz w:val="24"/>
          <w:szCs w:val="18"/>
        </w:rPr>
      </w:pPr>
      <w:r w:rsidRPr="00FF26D0">
        <w:rPr>
          <w:b/>
          <w:bCs/>
          <w:color w:val="2272A3" w:themeColor="accent4" w:themeShade="80"/>
          <w:sz w:val="24"/>
          <w:szCs w:val="18"/>
        </w:rPr>
        <w:t>Friday 20 March</w:t>
      </w:r>
    </w:p>
    <w:p w:rsidR="00FF26D0" w:rsidRPr="00F33F2D" w:rsidRDefault="003E144D" w:rsidP="00FF26D0">
      <w:pPr>
        <w:keepNext/>
        <w:spacing w:before="240" w:after="120"/>
        <w:rPr>
          <w:b/>
          <w:bCs/>
          <w:color w:val="2272A3" w:themeColor="accent4" w:themeShade="80"/>
          <w:sz w:val="24"/>
          <w:szCs w:val="18"/>
        </w:rPr>
      </w:pPr>
      <w:r w:rsidRPr="00F33F2D">
        <w:rPr>
          <w:b/>
          <w:bCs/>
          <w:color w:val="2272A3" w:themeColor="accent4" w:themeShade="80"/>
          <w:sz w:val="24"/>
          <w:szCs w:val="18"/>
        </w:rPr>
        <w:t xml:space="preserve">Table </w:t>
      </w:r>
      <w:r w:rsidRPr="00F33F2D">
        <w:rPr>
          <w:b/>
          <w:bCs/>
          <w:color w:val="2272A3" w:themeColor="accent4" w:themeShade="80"/>
          <w:sz w:val="24"/>
          <w:szCs w:val="18"/>
        </w:rPr>
        <w:fldChar w:fldCharType="begin"/>
      </w:r>
      <w:r w:rsidRPr="00F33F2D">
        <w:rPr>
          <w:b/>
          <w:bCs/>
          <w:color w:val="2272A3" w:themeColor="accent4" w:themeShade="80"/>
          <w:sz w:val="24"/>
          <w:szCs w:val="18"/>
        </w:rPr>
        <w:instrText xml:space="preserve"> SEQ Table \* ARABIC </w:instrText>
      </w:r>
      <w:r w:rsidRPr="00F33F2D">
        <w:rPr>
          <w:b/>
          <w:bCs/>
          <w:color w:val="2272A3" w:themeColor="accent4" w:themeShade="80"/>
          <w:sz w:val="24"/>
          <w:szCs w:val="18"/>
        </w:rPr>
        <w:fldChar w:fldCharType="separate"/>
      </w:r>
      <w:r w:rsidR="00CF5BD9">
        <w:rPr>
          <w:b/>
          <w:bCs/>
          <w:noProof/>
          <w:color w:val="2272A3" w:themeColor="accent4" w:themeShade="80"/>
          <w:sz w:val="24"/>
          <w:szCs w:val="18"/>
        </w:rPr>
        <w:t>5</w:t>
      </w:r>
      <w:r w:rsidRPr="00F33F2D">
        <w:rPr>
          <w:b/>
          <w:bCs/>
          <w:noProof/>
          <w:color w:val="2272A3" w:themeColor="accent4" w:themeShade="80"/>
          <w:sz w:val="24"/>
          <w:szCs w:val="18"/>
        </w:rPr>
        <w:fldChar w:fldCharType="end"/>
      </w:r>
      <w:r w:rsidR="00FF26D0" w:rsidRPr="00F33F2D">
        <w:rPr>
          <w:b/>
          <w:bCs/>
          <w:color w:val="2272A3" w:themeColor="accent4" w:themeShade="80"/>
          <w:sz w:val="24"/>
          <w:szCs w:val="18"/>
        </w:rPr>
        <w:t>: Price, Demand and Availability</w:t>
      </w:r>
    </w:p>
    <w:tbl>
      <w:tblPr>
        <w:tblStyle w:val="AERTable-Text"/>
        <w:tblW w:w="5000" w:type="pct"/>
        <w:tblLook w:val="04A0" w:firstRow="1" w:lastRow="0" w:firstColumn="1" w:lastColumn="0" w:noHBand="0" w:noVBand="1"/>
      </w:tblPr>
      <w:tblGrid>
        <w:gridCol w:w="997"/>
        <w:gridCol w:w="957"/>
        <w:gridCol w:w="919"/>
        <w:gridCol w:w="921"/>
        <w:gridCol w:w="887"/>
        <w:gridCol w:w="919"/>
        <w:gridCol w:w="919"/>
        <w:gridCol w:w="887"/>
        <w:gridCol w:w="919"/>
        <w:gridCol w:w="917"/>
      </w:tblGrid>
      <w:tr w:rsidR="00F33F2D" w:rsidRPr="00F33F2D" w:rsidTr="00993358">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hideMark/>
          </w:tcPr>
          <w:p w:rsidR="00F33F2D" w:rsidRPr="00F33F2D" w:rsidRDefault="00F33F2D" w:rsidP="00993358">
            <w:pPr>
              <w:spacing w:before="60" w:after="60"/>
              <w:jc w:val="center"/>
              <w:rPr>
                <w:sz w:val="18"/>
                <w14:numSpacing w14:val="default"/>
              </w:rPr>
            </w:pPr>
            <w:r w:rsidRPr="00F33F2D">
              <w:rPr>
                <w:sz w:val="18"/>
              </w:rPr>
              <w:t>Time</w:t>
            </w:r>
          </w:p>
        </w:tc>
        <w:tc>
          <w:tcPr>
            <w:tcW w:w="1513" w:type="pct"/>
            <w:gridSpan w:val="3"/>
            <w:tcBorders>
              <w:bottom w:val="nil"/>
            </w:tcBorders>
            <w:hideMark/>
          </w:tcPr>
          <w:p w:rsidR="00F33F2D" w:rsidRPr="00F33F2D" w:rsidRDefault="00F33F2D" w:rsidP="00993358">
            <w:pPr>
              <w:spacing w:before="60" w:after="60"/>
              <w:jc w:val="center"/>
              <w:rPr>
                <w:sz w:val="18"/>
                <w14:numSpacing w14:val="default"/>
              </w:rPr>
            </w:pPr>
            <w:r w:rsidRPr="00F33F2D">
              <w:rPr>
                <w:sz w:val="18"/>
              </w:rPr>
              <w:t>Price ($/MWh)</w:t>
            </w:r>
          </w:p>
        </w:tc>
        <w:tc>
          <w:tcPr>
            <w:tcW w:w="1474" w:type="pct"/>
            <w:gridSpan w:val="3"/>
            <w:tcBorders>
              <w:bottom w:val="nil"/>
            </w:tcBorders>
            <w:hideMark/>
          </w:tcPr>
          <w:p w:rsidR="00F33F2D" w:rsidRPr="00F33F2D" w:rsidRDefault="00F33F2D" w:rsidP="00993358">
            <w:pPr>
              <w:spacing w:before="60" w:after="60"/>
              <w:jc w:val="center"/>
              <w:rPr>
                <w:sz w:val="18"/>
                <w14:numSpacing w14:val="default"/>
              </w:rPr>
            </w:pPr>
            <w:r w:rsidRPr="00F33F2D">
              <w:rPr>
                <w:sz w:val="18"/>
              </w:rPr>
              <w:t>Demand (MW)</w:t>
            </w:r>
          </w:p>
        </w:tc>
        <w:tc>
          <w:tcPr>
            <w:tcW w:w="1473" w:type="pct"/>
            <w:gridSpan w:val="3"/>
            <w:tcBorders>
              <w:bottom w:val="nil"/>
            </w:tcBorders>
            <w:hideMark/>
          </w:tcPr>
          <w:p w:rsidR="00F33F2D" w:rsidRPr="00F33F2D" w:rsidRDefault="00F33F2D" w:rsidP="00993358">
            <w:pPr>
              <w:spacing w:before="60" w:after="60"/>
              <w:jc w:val="center"/>
              <w:rPr>
                <w:sz w:val="18"/>
                <w14:numSpacing w14:val="default"/>
              </w:rPr>
            </w:pPr>
            <w:r w:rsidRPr="00F33F2D">
              <w:rPr>
                <w:sz w:val="18"/>
              </w:rPr>
              <w:t>Availability (MW)</w:t>
            </w:r>
          </w:p>
        </w:tc>
      </w:tr>
      <w:tr w:rsidR="00F33F2D" w:rsidRPr="00F33F2D" w:rsidTr="00993358">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 </w:t>
            </w:r>
          </w:p>
        </w:tc>
        <w:tc>
          <w:tcPr>
            <w:tcW w:w="518"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Actual</w:t>
            </w:r>
          </w:p>
        </w:tc>
        <w:tc>
          <w:tcPr>
            <w:tcW w:w="497"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4 hr forecast</w:t>
            </w:r>
          </w:p>
        </w:tc>
        <w:tc>
          <w:tcPr>
            <w:tcW w:w="498"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12 hr forecast</w:t>
            </w:r>
          </w:p>
        </w:tc>
        <w:tc>
          <w:tcPr>
            <w:tcW w:w="480"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Actual</w:t>
            </w:r>
          </w:p>
        </w:tc>
        <w:tc>
          <w:tcPr>
            <w:tcW w:w="497"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4 hr forecast</w:t>
            </w:r>
          </w:p>
        </w:tc>
        <w:tc>
          <w:tcPr>
            <w:tcW w:w="497"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12 hr forecast</w:t>
            </w:r>
          </w:p>
        </w:tc>
        <w:tc>
          <w:tcPr>
            <w:tcW w:w="480"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Actual</w:t>
            </w:r>
          </w:p>
        </w:tc>
        <w:tc>
          <w:tcPr>
            <w:tcW w:w="497"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4 hr forecast</w:t>
            </w:r>
          </w:p>
        </w:tc>
        <w:tc>
          <w:tcPr>
            <w:tcW w:w="496"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12 hr forecast</w:t>
            </w:r>
          </w:p>
        </w:tc>
      </w:tr>
      <w:tr w:rsidR="00FF26D0" w:rsidRPr="00F33F2D" w:rsidTr="00F33F2D">
        <w:trPr>
          <w:trHeight w:val="510"/>
        </w:trPr>
        <w:tc>
          <w:tcPr>
            <w:tcW w:w="539" w:type="pct"/>
            <w:tcBorders>
              <w:top w:val="nil"/>
              <w:bottom w:val="nil"/>
            </w:tcBorders>
            <w:vAlign w:val="center"/>
          </w:tcPr>
          <w:p w:rsidR="00736390" w:rsidRPr="00F33F2D" w:rsidRDefault="00736390" w:rsidP="00F33F2D">
            <w:pPr>
              <w:spacing w:before="100" w:beforeAutospacing="1" w:after="100" w:afterAutospacing="1" w:line="240" w:lineRule="auto"/>
              <w:jc w:val="center"/>
              <w:rPr>
                <w:rFonts w:asciiTheme="minorHAnsi" w:eastAsia="Times New Roman" w:hAnsiTheme="minorHAnsi" w:cstheme="minorHAnsi"/>
                <w:sz w:val="24"/>
                <w:szCs w:val="24"/>
                <w:lang w:eastAsia="en-AU"/>
              </w:rPr>
            </w:pPr>
            <w:r w:rsidRPr="00F33F2D">
              <w:rPr>
                <w:rFonts w:asciiTheme="minorHAnsi" w:eastAsia="Times New Roman" w:hAnsiTheme="minorHAnsi" w:cstheme="minorHAnsi"/>
                <w:b/>
                <w:bCs/>
                <w:sz w:val="16"/>
                <w:szCs w:val="16"/>
                <w:lang w:eastAsia="en-AU"/>
              </w:rPr>
              <w:t>4</w:t>
            </w:r>
            <w:r>
              <w:rPr>
                <w:rFonts w:asciiTheme="minorHAnsi" w:eastAsia="Times New Roman" w:hAnsiTheme="minorHAnsi" w:cstheme="minorHAnsi"/>
                <w:b/>
                <w:bCs/>
                <w:sz w:val="16"/>
                <w:szCs w:val="16"/>
                <w:lang w:eastAsia="en-AU"/>
              </w:rPr>
              <w:t> </w:t>
            </w:r>
            <w:r w:rsidRPr="00F33F2D">
              <w:rPr>
                <w:rFonts w:asciiTheme="minorHAnsi" w:eastAsia="Times New Roman" w:hAnsiTheme="minorHAnsi" w:cstheme="minorHAnsi"/>
                <w:b/>
                <w:bCs/>
                <w:sz w:val="16"/>
                <w:szCs w:val="16"/>
                <w:lang w:eastAsia="en-AU"/>
              </w:rPr>
              <w:t>pm</w:t>
            </w:r>
          </w:p>
        </w:tc>
        <w:tc>
          <w:tcPr>
            <w:tcW w:w="518" w:type="pct"/>
            <w:tcBorders>
              <w:top w:val="nil"/>
              <w:bottom w:val="nil"/>
            </w:tcBorders>
            <w:vAlign w:val="center"/>
          </w:tcPr>
          <w:p w:rsidR="00736390" w:rsidRPr="00736390" w:rsidRDefault="00736390" w:rsidP="00FF26D0">
            <w:pPr>
              <w:pStyle w:val="NormalWeb"/>
              <w:jc w:val="center"/>
              <w:rPr>
                <w:rFonts w:ascii="Arial" w:hAnsi="Arial" w:cs="Arial"/>
                <w:sz w:val="18"/>
                <w:szCs w:val="18"/>
              </w:rPr>
            </w:pPr>
            <w:r w:rsidRPr="00736390">
              <w:rPr>
                <w:rFonts w:ascii="Arial" w:hAnsi="Arial" w:cs="Arial"/>
                <w:sz w:val="18"/>
                <w:szCs w:val="18"/>
              </w:rPr>
              <w:t>210</w:t>
            </w:r>
            <w:r w:rsidR="00FF26D0">
              <w:rPr>
                <w:rFonts w:ascii="Arial" w:hAnsi="Arial" w:cs="Arial"/>
                <w:sz w:val="18"/>
                <w:szCs w:val="18"/>
              </w:rPr>
              <w:t>1</w:t>
            </w:r>
          </w:p>
        </w:tc>
        <w:tc>
          <w:tcPr>
            <w:tcW w:w="497" w:type="pct"/>
            <w:tcBorders>
              <w:top w:val="nil"/>
              <w:bottom w:val="nil"/>
            </w:tcBorders>
            <w:vAlign w:val="center"/>
          </w:tcPr>
          <w:p w:rsidR="00736390" w:rsidRPr="00736390" w:rsidRDefault="00736390" w:rsidP="00FF26D0">
            <w:pPr>
              <w:pStyle w:val="NormalWeb"/>
              <w:jc w:val="center"/>
              <w:rPr>
                <w:rFonts w:ascii="Arial" w:hAnsi="Arial" w:cs="Arial"/>
                <w:sz w:val="18"/>
                <w:szCs w:val="18"/>
              </w:rPr>
            </w:pPr>
            <w:r w:rsidRPr="00736390">
              <w:rPr>
                <w:rFonts w:ascii="Arial" w:hAnsi="Arial" w:cs="Arial"/>
                <w:sz w:val="18"/>
                <w:szCs w:val="18"/>
              </w:rPr>
              <w:t>95</w:t>
            </w:r>
          </w:p>
        </w:tc>
        <w:tc>
          <w:tcPr>
            <w:tcW w:w="498" w:type="pct"/>
            <w:tcBorders>
              <w:top w:val="nil"/>
              <w:bottom w:val="nil"/>
            </w:tcBorders>
            <w:vAlign w:val="center"/>
          </w:tcPr>
          <w:p w:rsidR="00736390" w:rsidRPr="00736390" w:rsidRDefault="00736390" w:rsidP="00FF26D0">
            <w:pPr>
              <w:pStyle w:val="NormalWeb"/>
              <w:jc w:val="center"/>
              <w:rPr>
                <w:rFonts w:ascii="Arial" w:hAnsi="Arial" w:cs="Arial"/>
                <w:sz w:val="18"/>
                <w:szCs w:val="18"/>
              </w:rPr>
            </w:pPr>
            <w:r w:rsidRPr="00736390">
              <w:rPr>
                <w:rFonts w:ascii="Arial" w:hAnsi="Arial" w:cs="Arial"/>
                <w:sz w:val="18"/>
                <w:szCs w:val="18"/>
              </w:rPr>
              <w:t>37</w:t>
            </w:r>
          </w:p>
        </w:tc>
        <w:tc>
          <w:tcPr>
            <w:tcW w:w="480" w:type="pct"/>
            <w:tcBorders>
              <w:top w:val="nil"/>
              <w:bottom w:val="nil"/>
            </w:tcBorders>
            <w:vAlign w:val="center"/>
          </w:tcPr>
          <w:p w:rsidR="00736390" w:rsidRPr="00736390" w:rsidRDefault="00736390">
            <w:pPr>
              <w:pStyle w:val="NormalWeb"/>
              <w:jc w:val="center"/>
              <w:rPr>
                <w:rFonts w:ascii="Arial" w:hAnsi="Arial" w:cs="Arial"/>
                <w:sz w:val="18"/>
                <w:szCs w:val="18"/>
              </w:rPr>
            </w:pPr>
            <w:r w:rsidRPr="00736390">
              <w:rPr>
                <w:rFonts w:ascii="Arial" w:hAnsi="Arial" w:cs="Arial"/>
                <w:sz w:val="18"/>
                <w:szCs w:val="18"/>
              </w:rPr>
              <w:t>8327</w:t>
            </w:r>
          </w:p>
        </w:tc>
        <w:tc>
          <w:tcPr>
            <w:tcW w:w="497" w:type="pct"/>
            <w:tcBorders>
              <w:top w:val="nil"/>
              <w:bottom w:val="nil"/>
            </w:tcBorders>
            <w:vAlign w:val="center"/>
          </w:tcPr>
          <w:p w:rsidR="00736390" w:rsidRPr="00736390" w:rsidRDefault="00736390">
            <w:pPr>
              <w:pStyle w:val="NormalWeb"/>
              <w:jc w:val="center"/>
              <w:rPr>
                <w:rFonts w:ascii="Arial" w:hAnsi="Arial" w:cs="Arial"/>
                <w:sz w:val="18"/>
                <w:szCs w:val="18"/>
              </w:rPr>
            </w:pPr>
            <w:r w:rsidRPr="00736390">
              <w:rPr>
                <w:rFonts w:ascii="Arial" w:hAnsi="Arial" w:cs="Arial"/>
                <w:sz w:val="18"/>
                <w:szCs w:val="18"/>
              </w:rPr>
              <w:t>8096</w:t>
            </w:r>
          </w:p>
        </w:tc>
        <w:tc>
          <w:tcPr>
            <w:tcW w:w="497" w:type="pct"/>
            <w:tcBorders>
              <w:top w:val="nil"/>
              <w:bottom w:val="nil"/>
            </w:tcBorders>
            <w:vAlign w:val="center"/>
          </w:tcPr>
          <w:p w:rsidR="00736390" w:rsidRPr="00736390" w:rsidRDefault="00736390">
            <w:pPr>
              <w:pStyle w:val="NormalWeb"/>
              <w:jc w:val="center"/>
              <w:rPr>
                <w:rFonts w:ascii="Arial" w:hAnsi="Arial" w:cs="Arial"/>
                <w:sz w:val="18"/>
                <w:szCs w:val="18"/>
              </w:rPr>
            </w:pPr>
            <w:r w:rsidRPr="00736390">
              <w:rPr>
                <w:rFonts w:ascii="Arial" w:hAnsi="Arial" w:cs="Arial"/>
                <w:sz w:val="18"/>
                <w:szCs w:val="18"/>
              </w:rPr>
              <w:t>8223</w:t>
            </w:r>
          </w:p>
        </w:tc>
        <w:tc>
          <w:tcPr>
            <w:tcW w:w="480" w:type="pct"/>
            <w:tcBorders>
              <w:top w:val="nil"/>
              <w:bottom w:val="nil"/>
            </w:tcBorders>
            <w:vAlign w:val="center"/>
          </w:tcPr>
          <w:p w:rsidR="00736390" w:rsidRPr="00736390" w:rsidRDefault="00736390">
            <w:pPr>
              <w:pStyle w:val="NormalWeb"/>
              <w:jc w:val="center"/>
              <w:rPr>
                <w:rFonts w:ascii="Arial" w:hAnsi="Arial" w:cs="Arial"/>
                <w:sz w:val="18"/>
                <w:szCs w:val="18"/>
              </w:rPr>
            </w:pPr>
            <w:r w:rsidRPr="00736390">
              <w:rPr>
                <w:rFonts w:ascii="Arial" w:hAnsi="Arial" w:cs="Arial"/>
                <w:sz w:val="18"/>
                <w:szCs w:val="18"/>
              </w:rPr>
              <w:t>10 005</w:t>
            </w:r>
          </w:p>
        </w:tc>
        <w:tc>
          <w:tcPr>
            <w:tcW w:w="497" w:type="pct"/>
            <w:tcBorders>
              <w:top w:val="nil"/>
              <w:bottom w:val="nil"/>
            </w:tcBorders>
            <w:vAlign w:val="center"/>
          </w:tcPr>
          <w:p w:rsidR="00736390" w:rsidRPr="00736390" w:rsidRDefault="00736390">
            <w:pPr>
              <w:pStyle w:val="NormalWeb"/>
              <w:jc w:val="center"/>
              <w:rPr>
                <w:rFonts w:ascii="Arial" w:hAnsi="Arial" w:cs="Arial"/>
                <w:sz w:val="18"/>
                <w:szCs w:val="18"/>
              </w:rPr>
            </w:pPr>
            <w:r w:rsidRPr="00736390">
              <w:rPr>
                <w:rFonts w:ascii="Arial" w:hAnsi="Arial" w:cs="Arial"/>
                <w:sz w:val="18"/>
                <w:szCs w:val="18"/>
              </w:rPr>
              <w:t>10 016</w:t>
            </w:r>
          </w:p>
        </w:tc>
        <w:tc>
          <w:tcPr>
            <w:tcW w:w="496" w:type="pct"/>
            <w:tcBorders>
              <w:top w:val="nil"/>
              <w:bottom w:val="nil"/>
            </w:tcBorders>
            <w:vAlign w:val="center"/>
          </w:tcPr>
          <w:p w:rsidR="00736390" w:rsidRPr="00736390" w:rsidRDefault="00736390">
            <w:pPr>
              <w:pStyle w:val="NormalWeb"/>
              <w:jc w:val="center"/>
              <w:rPr>
                <w:rFonts w:ascii="Arial" w:hAnsi="Arial" w:cs="Arial"/>
                <w:sz w:val="18"/>
                <w:szCs w:val="18"/>
              </w:rPr>
            </w:pPr>
            <w:r w:rsidRPr="00736390">
              <w:rPr>
                <w:rFonts w:ascii="Arial" w:hAnsi="Arial" w:cs="Arial"/>
                <w:sz w:val="18"/>
                <w:szCs w:val="18"/>
              </w:rPr>
              <w:t>10 013</w:t>
            </w:r>
          </w:p>
        </w:tc>
      </w:tr>
      <w:tr w:rsidR="00736390" w:rsidRPr="00F33F2D" w:rsidTr="00F33F2D">
        <w:trPr>
          <w:cnfStyle w:val="000000010000" w:firstRow="0" w:lastRow="0" w:firstColumn="0" w:lastColumn="0" w:oddVBand="0" w:evenVBand="0" w:oddHBand="0" w:evenHBand="1" w:firstRowFirstColumn="0" w:firstRowLastColumn="0" w:lastRowFirstColumn="0" w:lastRowLastColumn="0"/>
          <w:trHeight w:val="510"/>
        </w:trPr>
        <w:tc>
          <w:tcPr>
            <w:tcW w:w="539" w:type="pct"/>
            <w:tcBorders>
              <w:top w:val="nil"/>
              <w:bottom w:val="nil"/>
            </w:tcBorders>
            <w:vAlign w:val="center"/>
          </w:tcPr>
          <w:p w:rsidR="00736390" w:rsidRPr="00F33F2D" w:rsidRDefault="00736390" w:rsidP="00993358">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4.30 pm</w:t>
            </w:r>
          </w:p>
        </w:tc>
        <w:tc>
          <w:tcPr>
            <w:tcW w:w="518" w:type="pct"/>
            <w:tcBorders>
              <w:top w:val="nil"/>
              <w:bottom w:val="nil"/>
            </w:tcBorders>
            <w:vAlign w:val="center"/>
          </w:tcPr>
          <w:p w:rsidR="00736390" w:rsidRPr="00736390" w:rsidRDefault="00736390" w:rsidP="00FF26D0">
            <w:pPr>
              <w:pStyle w:val="NormalWeb"/>
              <w:jc w:val="center"/>
              <w:rPr>
                <w:rFonts w:ascii="Arial" w:hAnsi="Arial" w:cs="Arial"/>
                <w:sz w:val="18"/>
                <w:szCs w:val="18"/>
              </w:rPr>
            </w:pPr>
            <w:r w:rsidRPr="00736390">
              <w:rPr>
                <w:rFonts w:ascii="Arial" w:hAnsi="Arial" w:cs="Arial"/>
                <w:sz w:val="18"/>
                <w:szCs w:val="18"/>
              </w:rPr>
              <w:t>2160</w:t>
            </w:r>
          </w:p>
        </w:tc>
        <w:tc>
          <w:tcPr>
            <w:tcW w:w="497" w:type="pct"/>
            <w:tcBorders>
              <w:top w:val="nil"/>
              <w:bottom w:val="nil"/>
            </w:tcBorders>
            <w:vAlign w:val="center"/>
          </w:tcPr>
          <w:p w:rsidR="00736390" w:rsidRPr="00736390" w:rsidRDefault="00736390" w:rsidP="00FF26D0">
            <w:pPr>
              <w:pStyle w:val="NormalWeb"/>
              <w:jc w:val="center"/>
              <w:rPr>
                <w:rFonts w:ascii="Arial" w:hAnsi="Arial" w:cs="Arial"/>
                <w:sz w:val="18"/>
                <w:szCs w:val="18"/>
              </w:rPr>
            </w:pPr>
            <w:r w:rsidRPr="00736390">
              <w:rPr>
                <w:rFonts w:ascii="Arial" w:hAnsi="Arial" w:cs="Arial"/>
                <w:sz w:val="18"/>
                <w:szCs w:val="18"/>
              </w:rPr>
              <w:t>200</w:t>
            </w:r>
          </w:p>
        </w:tc>
        <w:tc>
          <w:tcPr>
            <w:tcW w:w="498" w:type="pct"/>
            <w:tcBorders>
              <w:top w:val="nil"/>
              <w:bottom w:val="nil"/>
            </w:tcBorders>
            <w:vAlign w:val="center"/>
          </w:tcPr>
          <w:p w:rsidR="00736390" w:rsidRPr="00736390" w:rsidRDefault="00736390" w:rsidP="00FF26D0">
            <w:pPr>
              <w:pStyle w:val="NormalWeb"/>
              <w:jc w:val="center"/>
              <w:rPr>
                <w:rFonts w:ascii="Arial" w:hAnsi="Arial" w:cs="Arial"/>
                <w:sz w:val="18"/>
                <w:szCs w:val="18"/>
              </w:rPr>
            </w:pPr>
            <w:r w:rsidRPr="00736390">
              <w:rPr>
                <w:rFonts w:ascii="Arial" w:hAnsi="Arial" w:cs="Arial"/>
                <w:sz w:val="18"/>
                <w:szCs w:val="18"/>
              </w:rPr>
              <w:t>34</w:t>
            </w:r>
          </w:p>
        </w:tc>
        <w:tc>
          <w:tcPr>
            <w:tcW w:w="480" w:type="pct"/>
            <w:tcBorders>
              <w:top w:val="nil"/>
              <w:bottom w:val="nil"/>
            </w:tcBorders>
            <w:vAlign w:val="center"/>
          </w:tcPr>
          <w:p w:rsidR="00736390" w:rsidRPr="00736390" w:rsidRDefault="00736390">
            <w:pPr>
              <w:pStyle w:val="NormalWeb"/>
              <w:jc w:val="center"/>
              <w:rPr>
                <w:rFonts w:ascii="Arial" w:hAnsi="Arial" w:cs="Arial"/>
                <w:sz w:val="18"/>
                <w:szCs w:val="18"/>
              </w:rPr>
            </w:pPr>
            <w:r w:rsidRPr="00736390">
              <w:rPr>
                <w:rFonts w:ascii="Arial" w:hAnsi="Arial" w:cs="Arial"/>
                <w:sz w:val="18"/>
                <w:szCs w:val="18"/>
              </w:rPr>
              <w:t>8408</w:t>
            </w:r>
          </w:p>
        </w:tc>
        <w:tc>
          <w:tcPr>
            <w:tcW w:w="497" w:type="pct"/>
            <w:tcBorders>
              <w:top w:val="nil"/>
              <w:bottom w:val="nil"/>
            </w:tcBorders>
            <w:vAlign w:val="center"/>
          </w:tcPr>
          <w:p w:rsidR="00736390" w:rsidRPr="00736390" w:rsidRDefault="00736390">
            <w:pPr>
              <w:pStyle w:val="NormalWeb"/>
              <w:jc w:val="center"/>
              <w:rPr>
                <w:rFonts w:ascii="Arial" w:hAnsi="Arial" w:cs="Arial"/>
                <w:sz w:val="18"/>
                <w:szCs w:val="18"/>
              </w:rPr>
            </w:pPr>
            <w:r w:rsidRPr="00736390">
              <w:rPr>
                <w:rFonts w:ascii="Arial" w:hAnsi="Arial" w:cs="Arial"/>
                <w:sz w:val="18"/>
                <w:szCs w:val="18"/>
              </w:rPr>
              <w:t>8156</w:t>
            </w:r>
          </w:p>
        </w:tc>
        <w:tc>
          <w:tcPr>
            <w:tcW w:w="497" w:type="pct"/>
            <w:tcBorders>
              <w:top w:val="nil"/>
              <w:bottom w:val="nil"/>
            </w:tcBorders>
            <w:vAlign w:val="center"/>
          </w:tcPr>
          <w:p w:rsidR="00736390" w:rsidRPr="00736390" w:rsidRDefault="00736390">
            <w:pPr>
              <w:pStyle w:val="NormalWeb"/>
              <w:jc w:val="center"/>
              <w:rPr>
                <w:rFonts w:ascii="Arial" w:hAnsi="Arial" w:cs="Arial"/>
                <w:sz w:val="18"/>
                <w:szCs w:val="18"/>
              </w:rPr>
            </w:pPr>
            <w:r w:rsidRPr="00736390">
              <w:rPr>
                <w:rFonts w:ascii="Arial" w:hAnsi="Arial" w:cs="Arial"/>
                <w:sz w:val="18"/>
                <w:szCs w:val="18"/>
              </w:rPr>
              <w:t>8295</w:t>
            </w:r>
          </w:p>
        </w:tc>
        <w:tc>
          <w:tcPr>
            <w:tcW w:w="480" w:type="pct"/>
            <w:tcBorders>
              <w:top w:val="nil"/>
              <w:bottom w:val="nil"/>
            </w:tcBorders>
            <w:vAlign w:val="center"/>
          </w:tcPr>
          <w:p w:rsidR="00736390" w:rsidRPr="00736390" w:rsidRDefault="00736390">
            <w:pPr>
              <w:pStyle w:val="NormalWeb"/>
              <w:jc w:val="center"/>
              <w:rPr>
                <w:rFonts w:ascii="Arial" w:hAnsi="Arial" w:cs="Arial"/>
                <w:sz w:val="18"/>
                <w:szCs w:val="18"/>
              </w:rPr>
            </w:pPr>
            <w:r w:rsidRPr="00736390">
              <w:rPr>
                <w:rFonts w:ascii="Arial" w:hAnsi="Arial" w:cs="Arial"/>
                <w:sz w:val="18"/>
                <w:szCs w:val="18"/>
              </w:rPr>
              <w:t>9992</w:t>
            </w:r>
          </w:p>
        </w:tc>
        <w:tc>
          <w:tcPr>
            <w:tcW w:w="497" w:type="pct"/>
            <w:tcBorders>
              <w:top w:val="nil"/>
              <w:bottom w:val="nil"/>
            </w:tcBorders>
            <w:vAlign w:val="center"/>
          </w:tcPr>
          <w:p w:rsidR="00736390" w:rsidRPr="00736390" w:rsidRDefault="00736390">
            <w:pPr>
              <w:pStyle w:val="NormalWeb"/>
              <w:jc w:val="center"/>
              <w:rPr>
                <w:rFonts w:ascii="Arial" w:hAnsi="Arial" w:cs="Arial"/>
                <w:sz w:val="18"/>
                <w:szCs w:val="18"/>
              </w:rPr>
            </w:pPr>
            <w:r w:rsidRPr="00736390">
              <w:rPr>
                <w:rFonts w:ascii="Arial" w:hAnsi="Arial" w:cs="Arial"/>
                <w:sz w:val="18"/>
                <w:szCs w:val="18"/>
              </w:rPr>
              <w:t>10 011</w:t>
            </w:r>
          </w:p>
        </w:tc>
        <w:tc>
          <w:tcPr>
            <w:tcW w:w="496" w:type="pct"/>
            <w:tcBorders>
              <w:top w:val="nil"/>
              <w:bottom w:val="nil"/>
            </w:tcBorders>
            <w:vAlign w:val="center"/>
          </w:tcPr>
          <w:p w:rsidR="00736390" w:rsidRPr="00736390" w:rsidRDefault="00736390">
            <w:pPr>
              <w:pStyle w:val="NormalWeb"/>
              <w:jc w:val="center"/>
              <w:rPr>
                <w:rFonts w:ascii="Arial" w:hAnsi="Arial" w:cs="Arial"/>
                <w:sz w:val="18"/>
                <w:szCs w:val="18"/>
              </w:rPr>
            </w:pPr>
            <w:r w:rsidRPr="00736390">
              <w:rPr>
                <w:rFonts w:ascii="Arial" w:hAnsi="Arial" w:cs="Arial"/>
                <w:sz w:val="18"/>
                <w:szCs w:val="18"/>
              </w:rPr>
              <w:t>10 023</w:t>
            </w:r>
          </w:p>
        </w:tc>
      </w:tr>
      <w:tr w:rsidR="00736390" w:rsidRPr="00F33F2D" w:rsidTr="00F33F2D">
        <w:trPr>
          <w:trHeight w:val="510"/>
        </w:trPr>
        <w:tc>
          <w:tcPr>
            <w:tcW w:w="539" w:type="pct"/>
            <w:tcBorders>
              <w:top w:val="nil"/>
              <w:bottom w:val="nil"/>
            </w:tcBorders>
            <w:vAlign w:val="center"/>
          </w:tcPr>
          <w:p w:rsidR="00736390" w:rsidRPr="00F33F2D" w:rsidRDefault="00736390" w:rsidP="00993358">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5 pm</w:t>
            </w:r>
          </w:p>
        </w:tc>
        <w:tc>
          <w:tcPr>
            <w:tcW w:w="518" w:type="pct"/>
            <w:tcBorders>
              <w:top w:val="nil"/>
              <w:bottom w:val="nil"/>
            </w:tcBorders>
            <w:vAlign w:val="center"/>
          </w:tcPr>
          <w:p w:rsidR="00736390" w:rsidRPr="00736390" w:rsidRDefault="00736390" w:rsidP="00FF26D0">
            <w:pPr>
              <w:pStyle w:val="NormalWeb"/>
              <w:jc w:val="center"/>
              <w:rPr>
                <w:rFonts w:ascii="Arial" w:hAnsi="Arial" w:cs="Arial"/>
                <w:sz w:val="18"/>
                <w:szCs w:val="18"/>
              </w:rPr>
            </w:pPr>
            <w:r w:rsidRPr="00736390">
              <w:rPr>
                <w:rFonts w:ascii="Arial" w:hAnsi="Arial" w:cs="Arial"/>
                <w:sz w:val="18"/>
                <w:szCs w:val="18"/>
              </w:rPr>
              <w:t>1873</w:t>
            </w:r>
          </w:p>
        </w:tc>
        <w:tc>
          <w:tcPr>
            <w:tcW w:w="497" w:type="pct"/>
            <w:tcBorders>
              <w:top w:val="nil"/>
              <w:bottom w:val="nil"/>
            </w:tcBorders>
            <w:vAlign w:val="center"/>
          </w:tcPr>
          <w:p w:rsidR="00736390" w:rsidRPr="00736390" w:rsidRDefault="00736390" w:rsidP="00FF26D0">
            <w:pPr>
              <w:pStyle w:val="NormalWeb"/>
              <w:jc w:val="center"/>
              <w:rPr>
                <w:rFonts w:ascii="Arial" w:hAnsi="Arial" w:cs="Arial"/>
                <w:sz w:val="18"/>
                <w:szCs w:val="18"/>
              </w:rPr>
            </w:pPr>
            <w:r w:rsidRPr="00736390">
              <w:rPr>
                <w:rFonts w:ascii="Arial" w:hAnsi="Arial" w:cs="Arial"/>
                <w:sz w:val="18"/>
                <w:szCs w:val="18"/>
              </w:rPr>
              <w:t>302</w:t>
            </w:r>
          </w:p>
        </w:tc>
        <w:tc>
          <w:tcPr>
            <w:tcW w:w="498" w:type="pct"/>
            <w:tcBorders>
              <w:top w:val="nil"/>
              <w:bottom w:val="nil"/>
            </w:tcBorders>
            <w:vAlign w:val="center"/>
          </w:tcPr>
          <w:p w:rsidR="00736390" w:rsidRPr="00736390" w:rsidRDefault="00736390" w:rsidP="00FF26D0">
            <w:pPr>
              <w:pStyle w:val="NormalWeb"/>
              <w:jc w:val="center"/>
              <w:rPr>
                <w:rFonts w:ascii="Arial" w:hAnsi="Arial" w:cs="Arial"/>
                <w:sz w:val="18"/>
                <w:szCs w:val="18"/>
              </w:rPr>
            </w:pPr>
            <w:r w:rsidRPr="00736390">
              <w:rPr>
                <w:rFonts w:ascii="Arial" w:hAnsi="Arial" w:cs="Arial"/>
                <w:sz w:val="18"/>
                <w:szCs w:val="18"/>
              </w:rPr>
              <w:t>3</w:t>
            </w:r>
            <w:r w:rsidR="00FF26D0">
              <w:rPr>
                <w:rFonts w:ascii="Arial" w:hAnsi="Arial" w:cs="Arial"/>
                <w:sz w:val="18"/>
                <w:szCs w:val="18"/>
              </w:rPr>
              <w:t>5</w:t>
            </w:r>
          </w:p>
        </w:tc>
        <w:tc>
          <w:tcPr>
            <w:tcW w:w="480" w:type="pct"/>
            <w:tcBorders>
              <w:top w:val="nil"/>
              <w:bottom w:val="nil"/>
            </w:tcBorders>
            <w:vAlign w:val="center"/>
          </w:tcPr>
          <w:p w:rsidR="00736390" w:rsidRPr="00736390" w:rsidRDefault="00736390">
            <w:pPr>
              <w:pStyle w:val="NormalWeb"/>
              <w:jc w:val="center"/>
              <w:rPr>
                <w:rFonts w:ascii="Arial" w:hAnsi="Arial" w:cs="Arial"/>
                <w:sz w:val="18"/>
                <w:szCs w:val="18"/>
              </w:rPr>
            </w:pPr>
            <w:r w:rsidRPr="00736390">
              <w:rPr>
                <w:rFonts w:ascii="Arial" w:hAnsi="Arial" w:cs="Arial"/>
                <w:sz w:val="18"/>
                <w:szCs w:val="18"/>
              </w:rPr>
              <w:t>8438</w:t>
            </w:r>
          </w:p>
        </w:tc>
        <w:tc>
          <w:tcPr>
            <w:tcW w:w="497" w:type="pct"/>
            <w:tcBorders>
              <w:top w:val="nil"/>
              <w:bottom w:val="nil"/>
            </w:tcBorders>
            <w:vAlign w:val="center"/>
          </w:tcPr>
          <w:p w:rsidR="00736390" w:rsidRPr="00736390" w:rsidRDefault="00736390">
            <w:pPr>
              <w:pStyle w:val="NormalWeb"/>
              <w:jc w:val="center"/>
              <w:rPr>
                <w:rFonts w:ascii="Arial" w:hAnsi="Arial" w:cs="Arial"/>
                <w:sz w:val="18"/>
                <w:szCs w:val="18"/>
              </w:rPr>
            </w:pPr>
            <w:r w:rsidRPr="00736390">
              <w:rPr>
                <w:rFonts w:ascii="Arial" w:hAnsi="Arial" w:cs="Arial"/>
                <w:sz w:val="18"/>
                <w:szCs w:val="18"/>
              </w:rPr>
              <w:t>8183</w:t>
            </w:r>
          </w:p>
        </w:tc>
        <w:tc>
          <w:tcPr>
            <w:tcW w:w="497" w:type="pct"/>
            <w:tcBorders>
              <w:top w:val="nil"/>
              <w:bottom w:val="nil"/>
            </w:tcBorders>
            <w:vAlign w:val="center"/>
          </w:tcPr>
          <w:p w:rsidR="00736390" w:rsidRPr="00736390" w:rsidRDefault="00736390">
            <w:pPr>
              <w:pStyle w:val="NormalWeb"/>
              <w:jc w:val="center"/>
              <w:rPr>
                <w:rFonts w:ascii="Arial" w:hAnsi="Arial" w:cs="Arial"/>
                <w:sz w:val="18"/>
                <w:szCs w:val="18"/>
              </w:rPr>
            </w:pPr>
            <w:r w:rsidRPr="00736390">
              <w:rPr>
                <w:rFonts w:ascii="Arial" w:hAnsi="Arial" w:cs="Arial"/>
                <w:sz w:val="18"/>
                <w:szCs w:val="18"/>
              </w:rPr>
              <w:t>8343</w:t>
            </w:r>
          </w:p>
        </w:tc>
        <w:tc>
          <w:tcPr>
            <w:tcW w:w="480" w:type="pct"/>
            <w:tcBorders>
              <w:top w:val="nil"/>
              <w:bottom w:val="nil"/>
            </w:tcBorders>
            <w:vAlign w:val="center"/>
          </w:tcPr>
          <w:p w:rsidR="00736390" w:rsidRPr="00736390" w:rsidRDefault="00736390">
            <w:pPr>
              <w:pStyle w:val="NormalWeb"/>
              <w:jc w:val="center"/>
              <w:rPr>
                <w:rFonts w:ascii="Arial" w:hAnsi="Arial" w:cs="Arial"/>
                <w:sz w:val="18"/>
                <w:szCs w:val="18"/>
              </w:rPr>
            </w:pPr>
            <w:r w:rsidRPr="00736390">
              <w:rPr>
                <w:rFonts w:ascii="Arial" w:hAnsi="Arial" w:cs="Arial"/>
                <w:sz w:val="18"/>
                <w:szCs w:val="18"/>
              </w:rPr>
              <w:t>9978</w:t>
            </w:r>
          </w:p>
        </w:tc>
        <w:tc>
          <w:tcPr>
            <w:tcW w:w="497" w:type="pct"/>
            <w:tcBorders>
              <w:top w:val="nil"/>
              <w:bottom w:val="nil"/>
            </w:tcBorders>
            <w:vAlign w:val="center"/>
          </w:tcPr>
          <w:p w:rsidR="00736390" w:rsidRPr="00736390" w:rsidRDefault="00736390">
            <w:pPr>
              <w:pStyle w:val="NormalWeb"/>
              <w:jc w:val="center"/>
              <w:rPr>
                <w:rFonts w:ascii="Arial" w:hAnsi="Arial" w:cs="Arial"/>
                <w:sz w:val="18"/>
                <w:szCs w:val="18"/>
              </w:rPr>
            </w:pPr>
            <w:r w:rsidRPr="00736390">
              <w:rPr>
                <w:rFonts w:ascii="Arial" w:hAnsi="Arial" w:cs="Arial"/>
                <w:sz w:val="18"/>
                <w:szCs w:val="18"/>
              </w:rPr>
              <w:t>10 011</w:t>
            </w:r>
          </w:p>
        </w:tc>
        <w:tc>
          <w:tcPr>
            <w:tcW w:w="496" w:type="pct"/>
            <w:tcBorders>
              <w:top w:val="nil"/>
              <w:bottom w:val="nil"/>
            </w:tcBorders>
            <w:vAlign w:val="center"/>
          </w:tcPr>
          <w:p w:rsidR="00736390" w:rsidRPr="00736390" w:rsidRDefault="00736390">
            <w:pPr>
              <w:pStyle w:val="NormalWeb"/>
              <w:jc w:val="center"/>
              <w:rPr>
                <w:rFonts w:ascii="Arial" w:hAnsi="Arial" w:cs="Arial"/>
                <w:sz w:val="18"/>
                <w:szCs w:val="18"/>
              </w:rPr>
            </w:pPr>
            <w:r w:rsidRPr="00736390">
              <w:rPr>
                <w:rFonts w:ascii="Arial" w:hAnsi="Arial" w:cs="Arial"/>
                <w:sz w:val="18"/>
                <w:szCs w:val="18"/>
              </w:rPr>
              <w:t>10 033</w:t>
            </w:r>
          </w:p>
        </w:tc>
      </w:tr>
      <w:tr w:rsidR="00736390" w:rsidRPr="00F33F2D" w:rsidTr="00993358">
        <w:trPr>
          <w:cnfStyle w:val="000000010000" w:firstRow="0" w:lastRow="0" w:firstColumn="0" w:lastColumn="0" w:oddVBand="0" w:evenVBand="0" w:oddHBand="0" w:evenHBand="1" w:firstRowFirstColumn="0" w:firstRowLastColumn="0" w:lastRowFirstColumn="0" w:lastRowLastColumn="0"/>
          <w:trHeight w:val="510"/>
        </w:trPr>
        <w:tc>
          <w:tcPr>
            <w:tcW w:w="539" w:type="pct"/>
            <w:tcBorders>
              <w:top w:val="nil"/>
            </w:tcBorders>
            <w:vAlign w:val="center"/>
          </w:tcPr>
          <w:p w:rsidR="00736390" w:rsidRPr="00F33F2D" w:rsidRDefault="00736390" w:rsidP="00993358">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5.30 pm</w:t>
            </w:r>
          </w:p>
        </w:tc>
        <w:tc>
          <w:tcPr>
            <w:tcW w:w="518" w:type="pct"/>
            <w:tcBorders>
              <w:top w:val="nil"/>
            </w:tcBorders>
            <w:vAlign w:val="center"/>
          </w:tcPr>
          <w:p w:rsidR="00736390" w:rsidRPr="00736390" w:rsidRDefault="00736390" w:rsidP="00FF26D0">
            <w:pPr>
              <w:pStyle w:val="NormalWeb"/>
              <w:jc w:val="center"/>
              <w:rPr>
                <w:rFonts w:ascii="Arial" w:hAnsi="Arial" w:cs="Arial"/>
                <w:sz w:val="18"/>
                <w:szCs w:val="18"/>
              </w:rPr>
            </w:pPr>
            <w:r w:rsidRPr="00736390">
              <w:rPr>
                <w:rFonts w:ascii="Arial" w:hAnsi="Arial" w:cs="Arial"/>
                <w:sz w:val="18"/>
                <w:szCs w:val="18"/>
              </w:rPr>
              <w:t>1841</w:t>
            </w:r>
          </w:p>
        </w:tc>
        <w:tc>
          <w:tcPr>
            <w:tcW w:w="497" w:type="pct"/>
            <w:tcBorders>
              <w:top w:val="nil"/>
            </w:tcBorders>
            <w:vAlign w:val="center"/>
          </w:tcPr>
          <w:p w:rsidR="00736390" w:rsidRPr="00736390" w:rsidRDefault="00736390" w:rsidP="00FF26D0">
            <w:pPr>
              <w:pStyle w:val="NormalWeb"/>
              <w:jc w:val="center"/>
              <w:rPr>
                <w:rFonts w:ascii="Arial" w:hAnsi="Arial" w:cs="Arial"/>
                <w:sz w:val="18"/>
                <w:szCs w:val="18"/>
              </w:rPr>
            </w:pPr>
            <w:r w:rsidRPr="00736390">
              <w:rPr>
                <w:rFonts w:ascii="Arial" w:hAnsi="Arial" w:cs="Arial"/>
                <w:sz w:val="18"/>
                <w:szCs w:val="18"/>
              </w:rPr>
              <w:t>3</w:t>
            </w:r>
            <w:r w:rsidR="00FF26D0">
              <w:rPr>
                <w:rFonts w:ascii="Arial" w:hAnsi="Arial" w:cs="Arial"/>
                <w:sz w:val="18"/>
                <w:szCs w:val="18"/>
              </w:rPr>
              <w:t>5</w:t>
            </w:r>
          </w:p>
        </w:tc>
        <w:tc>
          <w:tcPr>
            <w:tcW w:w="498" w:type="pct"/>
            <w:tcBorders>
              <w:top w:val="nil"/>
            </w:tcBorders>
            <w:vAlign w:val="center"/>
          </w:tcPr>
          <w:p w:rsidR="00736390" w:rsidRPr="00736390" w:rsidRDefault="00736390" w:rsidP="00FF26D0">
            <w:pPr>
              <w:pStyle w:val="NormalWeb"/>
              <w:jc w:val="center"/>
              <w:rPr>
                <w:rFonts w:ascii="Arial" w:hAnsi="Arial" w:cs="Arial"/>
                <w:sz w:val="18"/>
                <w:szCs w:val="18"/>
              </w:rPr>
            </w:pPr>
            <w:r w:rsidRPr="00736390">
              <w:rPr>
                <w:rFonts w:ascii="Arial" w:hAnsi="Arial" w:cs="Arial"/>
                <w:sz w:val="18"/>
                <w:szCs w:val="18"/>
              </w:rPr>
              <w:t>3</w:t>
            </w:r>
            <w:r w:rsidR="00FF26D0">
              <w:rPr>
                <w:rFonts w:ascii="Arial" w:hAnsi="Arial" w:cs="Arial"/>
                <w:sz w:val="18"/>
                <w:szCs w:val="18"/>
              </w:rPr>
              <w:t>2</w:t>
            </w:r>
          </w:p>
        </w:tc>
        <w:tc>
          <w:tcPr>
            <w:tcW w:w="480" w:type="pct"/>
            <w:tcBorders>
              <w:top w:val="nil"/>
            </w:tcBorders>
            <w:vAlign w:val="center"/>
          </w:tcPr>
          <w:p w:rsidR="00736390" w:rsidRPr="00736390" w:rsidRDefault="00736390">
            <w:pPr>
              <w:pStyle w:val="NormalWeb"/>
              <w:jc w:val="center"/>
              <w:rPr>
                <w:rFonts w:ascii="Arial" w:hAnsi="Arial" w:cs="Arial"/>
                <w:sz w:val="18"/>
                <w:szCs w:val="18"/>
              </w:rPr>
            </w:pPr>
            <w:r w:rsidRPr="00736390">
              <w:rPr>
                <w:rFonts w:ascii="Arial" w:hAnsi="Arial" w:cs="Arial"/>
                <w:sz w:val="18"/>
                <w:szCs w:val="18"/>
              </w:rPr>
              <w:t>8308</w:t>
            </w:r>
          </w:p>
        </w:tc>
        <w:tc>
          <w:tcPr>
            <w:tcW w:w="497" w:type="pct"/>
            <w:tcBorders>
              <w:top w:val="nil"/>
            </w:tcBorders>
            <w:vAlign w:val="center"/>
          </w:tcPr>
          <w:p w:rsidR="00736390" w:rsidRPr="00736390" w:rsidRDefault="00736390">
            <w:pPr>
              <w:pStyle w:val="NormalWeb"/>
              <w:jc w:val="center"/>
              <w:rPr>
                <w:rFonts w:ascii="Arial" w:hAnsi="Arial" w:cs="Arial"/>
                <w:sz w:val="18"/>
                <w:szCs w:val="18"/>
              </w:rPr>
            </w:pPr>
            <w:r w:rsidRPr="00736390">
              <w:rPr>
                <w:rFonts w:ascii="Arial" w:hAnsi="Arial" w:cs="Arial"/>
                <w:sz w:val="18"/>
                <w:szCs w:val="18"/>
              </w:rPr>
              <w:t>8080</w:t>
            </w:r>
          </w:p>
        </w:tc>
        <w:tc>
          <w:tcPr>
            <w:tcW w:w="497" w:type="pct"/>
            <w:tcBorders>
              <w:top w:val="nil"/>
            </w:tcBorders>
            <w:vAlign w:val="center"/>
          </w:tcPr>
          <w:p w:rsidR="00736390" w:rsidRPr="00736390" w:rsidRDefault="00736390">
            <w:pPr>
              <w:pStyle w:val="NormalWeb"/>
              <w:jc w:val="center"/>
              <w:rPr>
                <w:rFonts w:ascii="Arial" w:hAnsi="Arial" w:cs="Arial"/>
                <w:sz w:val="18"/>
                <w:szCs w:val="18"/>
              </w:rPr>
            </w:pPr>
            <w:r w:rsidRPr="00736390">
              <w:rPr>
                <w:rFonts w:ascii="Arial" w:hAnsi="Arial" w:cs="Arial"/>
                <w:sz w:val="18"/>
                <w:szCs w:val="18"/>
              </w:rPr>
              <w:t>8197</w:t>
            </w:r>
          </w:p>
        </w:tc>
        <w:tc>
          <w:tcPr>
            <w:tcW w:w="480" w:type="pct"/>
            <w:tcBorders>
              <w:top w:val="nil"/>
            </w:tcBorders>
            <w:vAlign w:val="center"/>
          </w:tcPr>
          <w:p w:rsidR="00736390" w:rsidRPr="00736390" w:rsidRDefault="00736390">
            <w:pPr>
              <w:pStyle w:val="NormalWeb"/>
              <w:jc w:val="center"/>
              <w:rPr>
                <w:rFonts w:ascii="Arial" w:hAnsi="Arial" w:cs="Arial"/>
                <w:sz w:val="18"/>
                <w:szCs w:val="18"/>
              </w:rPr>
            </w:pPr>
            <w:r w:rsidRPr="00736390">
              <w:rPr>
                <w:rFonts w:ascii="Arial" w:hAnsi="Arial" w:cs="Arial"/>
                <w:sz w:val="18"/>
                <w:szCs w:val="18"/>
              </w:rPr>
              <w:t>9970</w:t>
            </w:r>
          </w:p>
        </w:tc>
        <w:tc>
          <w:tcPr>
            <w:tcW w:w="497" w:type="pct"/>
            <w:tcBorders>
              <w:top w:val="nil"/>
            </w:tcBorders>
            <w:vAlign w:val="center"/>
          </w:tcPr>
          <w:p w:rsidR="00736390" w:rsidRPr="00736390" w:rsidRDefault="00736390">
            <w:pPr>
              <w:pStyle w:val="NormalWeb"/>
              <w:jc w:val="center"/>
              <w:rPr>
                <w:rFonts w:ascii="Arial" w:hAnsi="Arial" w:cs="Arial"/>
                <w:sz w:val="18"/>
                <w:szCs w:val="18"/>
              </w:rPr>
            </w:pPr>
            <w:r w:rsidRPr="00736390">
              <w:rPr>
                <w:rFonts w:ascii="Arial" w:hAnsi="Arial" w:cs="Arial"/>
                <w:sz w:val="18"/>
                <w:szCs w:val="18"/>
              </w:rPr>
              <w:t>9989</w:t>
            </w:r>
          </w:p>
        </w:tc>
        <w:tc>
          <w:tcPr>
            <w:tcW w:w="496" w:type="pct"/>
            <w:tcBorders>
              <w:top w:val="nil"/>
            </w:tcBorders>
            <w:vAlign w:val="center"/>
          </w:tcPr>
          <w:p w:rsidR="00736390" w:rsidRPr="00736390" w:rsidRDefault="00736390">
            <w:pPr>
              <w:pStyle w:val="NormalWeb"/>
              <w:jc w:val="center"/>
              <w:rPr>
                <w:rFonts w:ascii="Arial" w:hAnsi="Arial" w:cs="Arial"/>
                <w:sz w:val="18"/>
                <w:szCs w:val="18"/>
              </w:rPr>
            </w:pPr>
            <w:r w:rsidRPr="00736390">
              <w:rPr>
                <w:rFonts w:ascii="Arial" w:hAnsi="Arial" w:cs="Arial"/>
                <w:sz w:val="18"/>
                <w:szCs w:val="18"/>
              </w:rPr>
              <w:t>10 043</w:t>
            </w:r>
          </w:p>
        </w:tc>
      </w:tr>
    </w:tbl>
    <w:p w:rsidR="00F33F2D" w:rsidRDefault="002E64A4" w:rsidP="00D948DD">
      <w:pPr>
        <w:jc w:val="both"/>
      </w:pPr>
      <w:r>
        <w:t>Demand was up to 255 MW higher than forecast four hours ahead</w:t>
      </w:r>
      <w:r w:rsidR="00194835">
        <w:t xml:space="preserve"> and a</w:t>
      </w:r>
      <w:r>
        <w:t xml:space="preserve">vailability was up to 33 MW </w:t>
      </w:r>
      <w:r w:rsidR="00947323">
        <w:t xml:space="preserve">lower than forecast </w:t>
      </w:r>
      <w:r w:rsidR="00C33A3E">
        <w:t>four</w:t>
      </w:r>
      <w:r w:rsidR="00947323">
        <w:t xml:space="preserve"> hours ahead. </w:t>
      </w:r>
    </w:p>
    <w:p w:rsidR="00DA3E42" w:rsidRPr="00B9227A" w:rsidRDefault="003E144D" w:rsidP="00B9227A">
      <w:pPr>
        <w:keepNext/>
        <w:spacing w:before="240" w:after="120"/>
        <w:rPr>
          <w:b/>
          <w:bCs/>
          <w:color w:val="2272A3" w:themeColor="accent4" w:themeShade="80"/>
          <w:sz w:val="24"/>
          <w:szCs w:val="18"/>
        </w:rPr>
      </w:pPr>
      <w:r w:rsidRPr="00F33F2D">
        <w:rPr>
          <w:b/>
          <w:bCs/>
          <w:color w:val="2272A3" w:themeColor="accent4" w:themeShade="80"/>
          <w:sz w:val="24"/>
          <w:szCs w:val="18"/>
        </w:rPr>
        <w:t xml:space="preserve">Table </w:t>
      </w:r>
      <w:r w:rsidRPr="00F33F2D">
        <w:rPr>
          <w:b/>
          <w:bCs/>
          <w:color w:val="2272A3" w:themeColor="accent4" w:themeShade="80"/>
          <w:sz w:val="24"/>
          <w:szCs w:val="18"/>
        </w:rPr>
        <w:fldChar w:fldCharType="begin"/>
      </w:r>
      <w:r w:rsidRPr="00F33F2D">
        <w:rPr>
          <w:b/>
          <w:bCs/>
          <w:color w:val="2272A3" w:themeColor="accent4" w:themeShade="80"/>
          <w:sz w:val="24"/>
          <w:szCs w:val="18"/>
        </w:rPr>
        <w:instrText xml:space="preserve"> SEQ Table \* ARABIC </w:instrText>
      </w:r>
      <w:r w:rsidRPr="00F33F2D">
        <w:rPr>
          <w:b/>
          <w:bCs/>
          <w:color w:val="2272A3" w:themeColor="accent4" w:themeShade="80"/>
          <w:sz w:val="24"/>
          <w:szCs w:val="18"/>
        </w:rPr>
        <w:fldChar w:fldCharType="separate"/>
      </w:r>
      <w:r w:rsidR="00CF5BD9">
        <w:rPr>
          <w:b/>
          <w:bCs/>
          <w:noProof/>
          <w:color w:val="2272A3" w:themeColor="accent4" w:themeShade="80"/>
          <w:sz w:val="24"/>
          <w:szCs w:val="18"/>
        </w:rPr>
        <w:t>6</w:t>
      </w:r>
      <w:r w:rsidRPr="00F33F2D">
        <w:rPr>
          <w:b/>
          <w:bCs/>
          <w:noProof/>
          <w:color w:val="2272A3" w:themeColor="accent4" w:themeShade="80"/>
          <w:sz w:val="24"/>
          <w:szCs w:val="18"/>
        </w:rPr>
        <w:fldChar w:fldCharType="end"/>
      </w:r>
      <w:r w:rsidR="00DA3E42" w:rsidRPr="00B9227A">
        <w:rPr>
          <w:b/>
          <w:bCs/>
          <w:color w:val="2272A3" w:themeColor="accent4" w:themeShade="80"/>
          <w:sz w:val="24"/>
          <w:szCs w:val="18"/>
        </w:rPr>
        <w:t xml:space="preserve">: Rebids for </w:t>
      </w:r>
      <w:r w:rsidR="00C80D97" w:rsidRPr="00B9227A">
        <w:rPr>
          <w:b/>
          <w:bCs/>
          <w:color w:val="2272A3" w:themeColor="accent4" w:themeShade="80"/>
          <w:sz w:val="24"/>
          <w:szCs w:val="18"/>
        </w:rPr>
        <w:t>4</w:t>
      </w:r>
      <w:r w:rsidR="00DA3E42" w:rsidRPr="00B9227A">
        <w:rPr>
          <w:b/>
          <w:bCs/>
          <w:color w:val="2272A3" w:themeColor="accent4" w:themeShade="80"/>
          <w:sz w:val="24"/>
          <w:szCs w:val="18"/>
        </w:rPr>
        <w:t> pm</w:t>
      </w:r>
    </w:p>
    <w:tbl>
      <w:tblPr>
        <w:tblStyle w:val="AERsummarytable"/>
        <w:tblW w:w="9180" w:type="dxa"/>
        <w:tblLayout w:type="fixed"/>
        <w:tblLook w:val="04A0" w:firstRow="1" w:lastRow="0" w:firstColumn="1" w:lastColumn="0" w:noHBand="0" w:noVBand="1"/>
      </w:tblPr>
      <w:tblGrid>
        <w:gridCol w:w="959"/>
        <w:gridCol w:w="992"/>
        <w:gridCol w:w="1363"/>
        <w:gridCol w:w="1047"/>
        <w:gridCol w:w="992"/>
        <w:gridCol w:w="969"/>
        <w:gridCol w:w="971"/>
        <w:gridCol w:w="1887"/>
      </w:tblGrid>
      <w:tr w:rsidR="00DA3E42" w:rsidRPr="00914A87" w:rsidTr="00993358">
        <w:trPr>
          <w:cnfStyle w:val="100000000000" w:firstRow="1" w:lastRow="0" w:firstColumn="0" w:lastColumn="0" w:oddVBand="0" w:evenVBand="0" w:oddHBand="0" w:evenHBand="0" w:firstRowFirstColumn="0" w:firstRowLastColumn="0" w:lastRowFirstColumn="0" w:lastRowLastColumn="0"/>
          <w:trHeight w:val="780"/>
        </w:trPr>
        <w:tc>
          <w:tcPr>
            <w:tcW w:w="959" w:type="dxa"/>
            <w:hideMark/>
          </w:tcPr>
          <w:p w:rsidR="00DA3E42" w:rsidRPr="00914A87" w:rsidRDefault="00DA3E42" w:rsidP="00993358">
            <w:pPr>
              <w:pStyle w:val="TableHeading"/>
            </w:pPr>
            <w:r w:rsidRPr="00914A87">
              <w:t xml:space="preserve">Time </w:t>
            </w:r>
            <w:r>
              <w:t>in</w:t>
            </w:r>
          </w:p>
        </w:tc>
        <w:tc>
          <w:tcPr>
            <w:tcW w:w="992" w:type="dxa"/>
            <w:hideMark/>
          </w:tcPr>
          <w:p w:rsidR="00DA3E42" w:rsidRPr="00914A87" w:rsidRDefault="00DA3E42" w:rsidP="00993358">
            <w:pPr>
              <w:pStyle w:val="TableHeading"/>
              <w:ind w:left="-108"/>
            </w:pPr>
            <w:r w:rsidRPr="00914A87">
              <w:t>Time effective</w:t>
            </w:r>
          </w:p>
        </w:tc>
        <w:tc>
          <w:tcPr>
            <w:tcW w:w="1363" w:type="dxa"/>
            <w:hideMark/>
          </w:tcPr>
          <w:p w:rsidR="00DA3E42" w:rsidRPr="00914A87" w:rsidRDefault="00DA3E42" w:rsidP="00993358">
            <w:pPr>
              <w:pStyle w:val="TableHeading"/>
            </w:pPr>
            <w:r w:rsidRPr="00914A87">
              <w:t>Participant</w:t>
            </w:r>
          </w:p>
        </w:tc>
        <w:tc>
          <w:tcPr>
            <w:tcW w:w="1047" w:type="dxa"/>
            <w:hideMark/>
          </w:tcPr>
          <w:p w:rsidR="00DA3E42" w:rsidRPr="00914A87" w:rsidRDefault="00DA3E42" w:rsidP="00993358">
            <w:pPr>
              <w:pStyle w:val="TableHeading"/>
            </w:pPr>
            <w:r w:rsidRPr="00914A87">
              <w:t>Station</w:t>
            </w:r>
          </w:p>
        </w:tc>
        <w:tc>
          <w:tcPr>
            <w:tcW w:w="992" w:type="dxa"/>
            <w:hideMark/>
          </w:tcPr>
          <w:p w:rsidR="00DA3E42" w:rsidRPr="00914A87" w:rsidRDefault="00DA3E42" w:rsidP="00993358">
            <w:pPr>
              <w:pStyle w:val="TableHeading"/>
            </w:pPr>
            <w:r w:rsidRPr="00914A87">
              <w:t>Capacity rebid (MW)</w:t>
            </w:r>
          </w:p>
        </w:tc>
        <w:tc>
          <w:tcPr>
            <w:tcW w:w="969" w:type="dxa"/>
            <w:hideMark/>
          </w:tcPr>
          <w:p w:rsidR="00DA3E42" w:rsidRPr="00914A87" w:rsidRDefault="00DA3E42" w:rsidP="00993358">
            <w:pPr>
              <w:pStyle w:val="TableHeading"/>
            </w:pPr>
            <w:r w:rsidRPr="00914A87">
              <w:t>Price from ($/MWh)</w:t>
            </w:r>
          </w:p>
        </w:tc>
        <w:tc>
          <w:tcPr>
            <w:tcW w:w="971" w:type="dxa"/>
            <w:hideMark/>
          </w:tcPr>
          <w:p w:rsidR="00DA3E42" w:rsidRPr="00914A87" w:rsidRDefault="00DA3E42" w:rsidP="00993358">
            <w:pPr>
              <w:pStyle w:val="TableHeading"/>
            </w:pPr>
            <w:r w:rsidRPr="00914A87">
              <w:t>Price to ($/MWh)</w:t>
            </w:r>
          </w:p>
        </w:tc>
        <w:tc>
          <w:tcPr>
            <w:tcW w:w="1887" w:type="dxa"/>
            <w:hideMark/>
          </w:tcPr>
          <w:p w:rsidR="00DA3E42" w:rsidRPr="00914A87" w:rsidRDefault="00DA3E42" w:rsidP="00993358">
            <w:pPr>
              <w:pStyle w:val="TableHeading"/>
            </w:pPr>
            <w:r w:rsidRPr="00914A87">
              <w:t>Rebid reason</w:t>
            </w:r>
          </w:p>
        </w:tc>
      </w:tr>
      <w:tr w:rsidR="00DA3E42" w:rsidRPr="00720A32" w:rsidTr="00993358">
        <w:trPr>
          <w:cnfStyle w:val="000000100000" w:firstRow="0" w:lastRow="0" w:firstColumn="0" w:lastColumn="0" w:oddVBand="0" w:evenVBand="0" w:oddHBand="1" w:evenHBand="0" w:firstRowFirstColumn="0" w:firstRowLastColumn="0" w:lastRowFirstColumn="0" w:lastRowLastColumn="0"/>
          <w:trHeight w:val="606"/>
        </w:trPr>
        <w:tc>
          <w:tcPr>
            <w:tcW w:w="959" w:type="dxa"/>
            <w:vAlign w:val="center"/>
          </w:tcPr>
          <w:p w:rsidR="00DA3E42" w:rsidRPr="00E71459" w:rsidRDefault="00521657" w:rsidP="00521657">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1.12 pm</w:t>
            </w:r>
          </w:p>
        </w:tc>
        <w:tc>
          <w:tcPr>
            <w:tcW w:w="992" w:type="dxa"/>
            <w:vAlign w:val="center"/>
          </w:tcPr>
          <w:p w:rsidR="00DA3E42" w:rsidRPr="00405D86" w:rsidRDefault="00933515"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sidRPr="00405D86">
              <w:rPr>
                <w:rFonts w:asciiTheme="minorHAnsi" w:eastAsia="Times New Roman" w:hAnsiTheme="minorHAnsi" w:cstheme="minorHAnsi"/>
                <w:bCs/>
                <w:sz w:val="16"/>
                <w:szCs w:val="16"/>
                <w:lang w:eastAsia="en-AU"/>
              </w:rPr>
              <w:t>1.20 pm</w:t>
            </w:r>
          </w:p>
        </w:tc>
        <w:tc>
          <w:tcPr>
            <w:tcW w:w="1363" w:type="dxa"/>
            <w:vAlign w:val="center"/>
          </w:tcPr>
          <w:p w:rsidR="00DA3E42" w:rsidRPr="00720A32" w:rsidRDefault="00521657"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Callide Power Trading</w:t>
            </w:r>
          </w:p>
        </w:tc>
        <w:tc>
          <w:tcPr>
            <w:tcW w:w="1047" w:type="dxa"/>
            <w:vAlign w:val="center"/>
          </w:tcPr>
          <w:p w:rsidR="00DA3E42" w:rsidRPr="00720A32" w:rsidRDefault="00521657"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Callide C</w:t>
            </w:r>
          </w:p>
        </w:tc>
        <w:tc>
          <w:tcPr>
            <w:tcW w:w="992" w:type="dxa"/>
            <w:vAlign w:val="center"/>
          </w:tcPr>
          <w:p w:rsidR="00DA3E42" w:rsidRPr="00720A32" w:rsidRDefault="00521657"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28</w:t>
            </w:r>
          </w:p>
        </w:tc>
        <w:tc>
          <w:tcPr>
            <w:tcW w:w="969" w:type="dxa"/>
            <w:vAlign w:val="center"/>
          </w:tcPr>
          <w:p w:rsidR="00DA3E42" w:rsidRPr="00720A32" w:rsidRDefault="00521657"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&lt;14</w:t>
            </w:r>
          </w:p>
        </w:tc>
        <w:tc>
          <w:tcPr>
            <w:tcW w:w="971" w:type="dxa"/>
            <w:vAlign w:val="center"/>
          </w:tcPr>
          <w:p w:rsidR="00DA3E42" w:rsidRPr="00720A32" w:rsidRDefault="00521657"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13 500</w:t>
            </w:r>
          </w:p>
        </w:tc>
        <w:tc>
          <w:tcPr>
            <w:tcW w:w="1887" w:type="dxa"/>
            <w:vAlign w:val="center"/>
          </w:tcPr>
          <w:p w:rsidR="00DA3E42" w:rsidRPr="00720A32" w:rsidRDefault="00521657" w:rsidP="00993358">
            <w:pPr>
              <w:spacing w:before="100" w:beforeAutospacing="1" w:after="100" w:afterAutospacing="1" w:line="240" w:lineRule="auto"/>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1312A RRP above PD</w:t>
            </w:r>
          </w:p>
        </w:tc>
      </w:tr>
      <w:tr w:rsidR="007D4FDD" w:rsidRPr="00720A32" w:rsidTr="00993358">
        <w:trPr>
          <w:cnfStyle w:val="000000010000" w:firstRow="0" w:lastRow="0" w:firstColumn="0" w:lastColumn="0" w:oddVBand="0" w:evenVBand="0" w:oddHBand="0" w:evenHBand="1" w:firstRowFirstColumn="0" w:firstRowLastColumn="0" w:lastRowFirstColumn="0" w:lastRowLastColumn="0"/>
          <w:trHeight w:val="673"/>
        </w:trPr>
        <w:tc>
          <w:tcPr>
            <w:tcW w:w="959" w:type="dxa"/>
            <w:vAlign w:val="center"/>
          </w:tcPr>
          <w:p w:rsidR="007D4FDD" w:rsidRPr="00E71459" w:rsidRDefault="007D4FDD" w:rsidP="00993358">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1</w:t>
            </w:r>
            <w:r w:rsidR="00B84B40">
              <w:rPr>
                <w:rFonts w:asciiTheme="minorHAnsi" w:eastAsia="Times New Roman" w:hAnsiTheme="minorHAnsi" w:cstheme="minorHAnsi"/>
                <w:b/>
                <w:bCs/>
                <w:sz w:val="16"/>
                <w:szCs w:val="16"/>
                <w:lang w:eastAsia="en-AU"/>
              </w:rPr>
              <w:t>.</w:t>
            </w:r>
            <w:r>
              <w:rPr>
                <w:rFonts w:asciiTheme="minorHAnsi" w:eastAsia="Times New Roman" w:hAnsiTheme="minorHAnsi" w:cstheme="minorHAnsi"/>
                <w:b/>
                <w:bCs/>
                <w:sz w:val="16"/>
                <w:szCs w:val="16"/>
                <w:lang w:eastAsia="en-AU"/>
              </w:rPr>
              <w:t>14 pm</w:t>
            </w:r>
          </w:p>
        </w:tc>
        <w:tc>
          <w:tcPr>
            <w:tcW w:w="992" w:type="dxa"/>
            <w:vAlign w:val="center"/>
          </w:tcPr>
          <w:p w:rsidR="007D4FDD" w:rsidRPr="00405D86" w:rsidRDefault="00933515"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sidRPr="00405D86">
              <w:rPr>
                <w:rFonts w:asciiTheme="minorHAnsi" w:eastAsia="Times New Roman" w:hAnsiTheme="minorHAnsi" w:cstheme="minorHAnsi"/>
                <w:bCs/>
                <w:sz w:val="16"/>
                <w:szCs w:val="16"/>
                <w:lang w:eastAsia="en-AU"/>
              </w:rPr>
              <w:t>1.25 pm</w:t>
            </w:r>
          </w:p>
        </w:tc>
        <w:tc>
          <w:tcPr>
            <w:tcW w:w="1363" w:type="dxa"/>
            <w:vAlign w:val="center"/>
          </w:tcPr>
          <w:p w:rsidR="007D4FDD" w:rsidRPr="00A21684" w:rsidRDefault="007D4FDD"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sidRPr="00A21684">
              <w:rPr>
                <w:rFonts w:asciiTheme="minorHAnsi" w:eastAsia="Times New Roman" w:hAnsiTheme="minorHAnsi" w:cstheme="minorHAnsi"/>
                <w:bCs/>
                <w:sz w:val="16"/>
                <w:szCs w:val="16"/>
                <w:lang w:eastAsia="en-AU"/>
              </w:rPr>
              <w:t>M</w:t>
            </w:r>
            <w:r>
              <w:rPr>
                <w:rFonts w:asciiTheme="minorHAnsi" w:eastAsia="Times New Roman" w:hAnsiTheme="minorHAnsi" w:cstheme="minorHAnsi"/>
                <w:bCs/>
                <w:sz w:val="16"/>
                <w:szCs w:val="16"/>
                <w:lang w:eastAsia="en-AU"/>
              </w:rPr>
              <w:t>illmerran Energy Trader</w:t>
            </w:r>
          </w:p>
        </w:tc>
        <w:tc>
          <w:tcPr>
            <w:tcW w:w="1047" w:type="dxa"/>
            <w:vAlign w:val="center"/>
          </w:tcPr>
          <w:p w:rsidR="007D4FDD" w:rsidRPr="00720A32" w:rsidRDefault="007D4FDD"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Millmerran</w:t>
            </w:r>
          </w:p>
        </w:tc>
        <w:tc>
          <w:tcPr>
            <w:tcW w:w="992" w:type="dxa"/>
            <w:vAlign w:val="center"/>
          </w:tcPr>
          <w:p w:rsidR="007D4FDD" w:rsidRPr="00720A32" w:rsidRDefault="007D4FDD"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75</w:t>
            </w:r>
          </w:p>
        </w:tc>
        <w:tc>
          <w:tcPr>
            <w:tcW w:w="969" w:type="dxa"/>
            <w:vAlign w:val="center"/>
          </w:tcPr>
          <w:p w:rsidR="007D4FDD" w:rsidRPr="00720A32" w:rsidRDefault="007D4FDD"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7</w:t>
            </w:r>
          </w:p>
        </w:tc>
        <w:tc>
          <w:tcPr>
            <w:tcW w:w="971" w:type="dxa"/>
            <w:vAlign w:val="center"/>
          </w:tcPr>
          <w:p w:rsidR="007D4FDD" w:rsidRPr="00720A32" w:rsidRDefault="007D4FDD"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13 500</w:t>
            </w:r>
          </w:p>
        </w:tc>
        <w:tc>
          <w:tcPr>
            <w:tcW w:w="1887" w:type="dxa"/>
            <w:vAlign w:val="center"/>
          </w:tcPr>
          <w:p w:rsidR="007D4FDD" w:rsidRPr="00720A32" w:rsidRDefault="007D4FDD" w:rsidP="00993358">
            <w:pPr>
              <w:spacing w:before="100" w:beforeAutospacing="1" w:after="100" w:afterAutospacing="1" w:line="240" w:lineRule="auto"/>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13:14 A RRP above PD</w:t>
            </w:r>
          </w:p>
        </w:tc>
      </w:tr>
      <w:tr w:rsidR="00B84B40" w:rsidRPr="00720A32" w:rsidTr="007C7EE9">
        <w:trPr>
          <w:cnfStyle w:val="000000100000" w:firstRow="0" w:lastRow="0" w:firstColumn="0" w:lastColumn="0" w:oddVBand="0" w:evenVBand="0" w:oddHBand="1" w:evenHBand="0" w:firstRowFirstColumn="0" w:firstRowLastColumn="0" w:lastRowFirstColumn="0" w:lastRowLastColumn="0"/>
          <w:trHeight w:val="673"/>
        </w:trPr>
        <w:tc>
          <w:tcPr>
            <w:tcW w:w="959" w:type="dxa"/>
            <w:vAlign w:val="center"/>
          </w:tcPr>
          <w:p w:rsidR="00B84B40" w:rsidRDefault="00B84B40" w:rsidP="007C7EE9">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3.39 pm</w:t>
            </w:r>
          </w:p>
        </w:tc>
        <w:tc>
          <w:tcPr>
            <w:tcW w:w="992" w:type="dxa"/>
            <w:vAlign w:val="center"/>
          </w:tcPr>
          <w:p w:rsidR="00B84B40" w:rsidRDefault="00B84B40"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3.50 pm</w:t>
            </w:r>
          </w:p>
        </w:tc>
        <w:tc>
          <w:tcPr>
            <w:tcW w:w="1363" w:type="dxa"/>
            <w:vAlign w:val="center"/>
          </w:tcPr>
          <w:p w:rsidR="00B84B40" w:rsidRPr="00A21684" w:rsidRDefault="00B84B40"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CS Energy</w:t>
            </w:r>
          </w:p>
        </w:tc>
        <w:tc>
          <w:tcPr>
            <w:tcW w:w="1047" w:type="dxa"/>
            <w:vAlign w:val="center"/>
          </w:tcPr>
          <w:p w:rsidR="00B84B40" w:rsidRDefault="00B84B40"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Callide B</w:t>
            </w:r>
          </w:p>
        </w:tc>
        <w:tc>
          <w:tcPr>
            <w:tcW w:w="992" w:type="dxa"/>
            <w:vAlign w:val="center"/>
          </w:tcPr>
          <w:p w:rsidR="00B84B40" w:rsidRDefault="00B84B40"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15</w:t>
            </w:r>
          </w:p>
        </w:tc>
        <w:tc>
          <w:tcPr>
            <w:tcW w:w="969" w:type="dxa"/>
            <w:vAlign w:val="center"/>
          </w:tcPr>
          <w:p w:rsidR="00B84B40" w:rsidRDefault="00B84B40"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17</w:t>
            </w:r>
          </w:p>
        </w:tc>
        <w:tc>
          <w:tcPr>
            <w:tcW w:w="971" w:type="dxa"/>
            <w:vAlign w:val="center"/>
          </w:tcPr>
          <w:p w:rsidR="00B84B40" w:rsidRDefault="00B84B40"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10 796</w:t>
            </w:r>
          </w:p>
        </w:tc>
        <w:tc>
          <w:tcPr>
            <w:tcW w:w="1887" w:type="dxa"/>
            <w:vAlign w:val="center"/>
          </w:tcPr>
          <w:p w:rsidR="00B84B40" w:rsidRDefault="00B84B40" w:rsidP="007C7EE9">
            <w:pPr>
              <w:spacing w:before="100" w:beforeAutospacing="1" w:after="100" w:afterAutospacing="1" w:line="240" w:lineRule="auto"/>
              <w:rPr>
                <w:rFonts w:asciiTheme="minorHAnsi" w:eastAsia="Times New Roman" w:hAnsiTheme="minorHAnsi" w:cstheme="minorHAnsi"/>
                <w:bCs/>
                <w:sz w:val="16"/>
                <w:szCs w:val="16"/>
                <w:lang w:eastAsia="en-AU"/>
              </w:rPr>
            </w:pPr>
            <w:r>
              <w:rPr>
                <w:rFonts w:cs="Arial"/>
                <w:sz w:val="16"/>
                <w:szCs w:val="16"/>
              </w:rPr>
              <w:t>1538A dispatch price higher than 30min forecast-SL</w:t>
            </w:r>
          </w:p>
        </w:tc>
      </w:tr>
      <w:tr w:rsidR="00B84B40" w:rsidRPr="00720A32" w:rsidTr="007C7EE9">
        <w:trPr>
          <w:cnfStyle w:val="000000010000" w:firstRow="0" w:lastRow="0" w:firstColumn="0" w:lastColumn="0" w:oddVBand="0" w:evenVBand="0" w:oddHBand="0" w:evenHBand="1" w:firstRowFirstColumn="0" w:firstRowLastColumn="0" w:lastRowFirstColumn="0" w:lastRowLastColumn="0"/>
          <w:trHeight w:val="673"/>
        </w:trPr>
        <w:tc>
          <w:tcPr>
            <w:tcW w:w="959" w:type="dxa"/>
            <w:vAlign w:val="center"/>
          </w:tcPr>
          <w:p w:rsidR="00B84B40" w:rsidRPr="00E71459" w:rsidRDefault="00B84B40" w:rsidP="007C7EE9">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3.51 pm</w:t>
            </w:r>
          </w:p>
        </w:tc>
        <w:tc>
          <w:tcPr>
            <w:tcW w:w="992" w:type="dxa"/>
            <w:vAlign w:val="center"/>
          </w:tcPr>
          <w:p w:rsidR="00B84B40" w:rsidRPr="00720A32" w:rsidRDefault="00B84B40"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4 pm</w:t>
            </w:r>
          </w:p>
        </w:tc>
        <w:tc>
          <w:tcPr>
            <w:tcW w:w="1363" w:type="dxa"/>
            <w:vAlign w:val="center"/>
          </w:tcPr>
          <w:p w:rsidR="00B84B40" w:rsidRPr="00A21684" w:rsidRDefault="00B84B40"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sidRPr="00A21684">
              <w:rPr>
                <w:rFonts w:asciiTheme="minorHAnsi" w:eastAsia="Times New Roman" w:hAnsiTheme="minorHAnsi" w:cstheme="minorHAnsi"/>
                <w:bCs/>
                <w:sz w:val="16"/>
                <w:szCs w:val="16"/>
                <w:lang w:eastAsia="en-AU"/>
              </w:rPr>
              <w:t>M</w:t>
            </w:r>
            <w:r>
              <w:rPr>
                <w:rFonts w:asciiTheme="minorHAnsi" w:eastAsia="Times New Roman" w:hAnsiTheme="minorHAnsi" w:cstheme="minorHAnsi"/>
                <w:bCs/>
                <w:sz w:val="16"/>
                <w:szCs w:val="16"/>
                <w:lang w:eastAsia="en-AU"/>
              </w:rPr>
              <w:t>illmerran Energy Trader</w:t>
            </w:r>
          </w:p>
        </w:tc>
        <w:tc>
          <w:tcPr>
            <w:tcW w:w="1047" w:type="dxa"/>
            <w:vAlign w:val="center"/>
          </w:tcPr>
          <w:p w:rsidR="00B84B40" w:rsidRPr="00720A32" w:rsidRDefault="00B84B40"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Millmerran</w:t>
            </w:r>
          </w:p>
        </w:tc>
        <w:tc>
          <w:tcPr>
            <w:tcW w:w="992" w:type="dxa"/>
            <w:vAlign w:val="center"/>
          </w:tcPr>
          <w:p w:rsidR="00B84B40" w:rsidRPr="00720A32" w:rsidRDefault="00B84B40"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25</w:t>
            </w:r>
          </w:p>
        </w:tc>
        <w:tc>
          <w:tcPr>
            <w:tcW w:w="969" w:type="dxa"/>
            <w:vAlign w:val="center"/>
          </w:tcPr>
          <w:p w:rsidR="00B84B40" w:rsidRPr="00720A32" w:rsidRDefault="00B84B40"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7</w:t>
            </w:r>
          </w:p>
        </w:tc>
        <w:tc>
          <w:tcPr>
            <w:tcW w:w="971" w:type="dxa"/>
            <w:vAlign w:val="center"/>
          </w:tcPr>
          <w:p w:rsidR="00B84B40" w:rsidRPr="0089283C" w:rsidRDefault="00B84B40" w:rsidP="007C7EE9">
            <w:pPr>
              <w:spacing w:before="100" w:beforeAutospacing="1" w:after="100" w:afterAutospacing="1" w:line="240" w:lineRule="auto"/>
              <w:jc w:val="center"/>
            </w:pPr>
            <w:r>
              <w:rPr>
                <w:rFonts w:asciiTheme="minorHAnsi" w:eastAsia="Times New Roman" w:hAnsiTheme="minorHAnsi" w:cstheme="minorHAnsi"/>
                <w:bCs/>
                <w:sz w:val="16"/>
                <w:szCs w:val="16"/>
                <w:lang w:eastAsia="en-AU"/>
              </w:rPr>
              <w:t>13</w:t>
            </w:r>
            <w:r>
              <w:t> 500</w:t>
            </w:r>
          </w:p>
        </w:tc>
        <w:tc>
          <w:tcPr>
            <w:tcW w:w="1887" w:type="dxa"/>
            <w:vAlign w:val="center"/>
          </w:tcPr>
          <w:p w:rsidR="00B84B40" w:rsidRPr="00720A32" w:rsidRDefault="00B84B40" w:rsidP="007C7EE9">
            <w:pPr>
              <w:spacing w:before="100" w:beforeAutospacing="1" w:after="100" w:afterAutospacing="1" w:line="240" w:lineRule="auto"/>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15:51 A RRP below PD</w:t>
            </w:r>
          </w:p>
        </w:tc>
      </w:tr>
      <w:tr w:rsidR="00521657" w:rsidRPr="00720A32" w:rsidTr="00993358">
        <w:trPr>
          <w:cnfStyle w:val="000000100000" w:firstRow="0" w:lastRow="0" w:firstColumn="0" w:lastColumn="0" w:oddVBand="0" w:evenVBand="0" w:oddHBand="1" w:evenHBand="0" w:firstRowFirstColumn="0" w:firstRowLastColumn="0" w:lastRowFirstColumn="0" w:lastRowLastColumn="0"/>
          <w:trHeight w:val="673"/>
        </w:trPr>
        <w:tc>
          <w:tcPr>
            <w:tcW w:w="959" w:type="dxa"/>
            <w:vAlign w:val="center"/>
          </w:tcPr>
          <w:p w:rsidR="00521657" w:rsidRPr="00E71459" w:rsidRDefault="00521657" w:rsidP="00993358">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3.52 pm</w:t>
            </w:r>
          </w:p>
        </w:tc>
        <w:tc>
          <w:tcPr>
            <w:tcW w:w="992" w:type="dxa"/>
            <w:vAlign w:val="center"/>
          </w:tcPr>
          <w:p w:rsidR="00521657" w:rsidRPr="00720A32" w:rsidRDefault="00521657"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4 pm</w:t>
            </w:r>
          </w:p>
        </w:tc>
        <w:tc>
          <w:tcPr>
            <w:tcW w:w="1363" w:type="dxa"/>
            <w:vAlign w:val="center"/>
          </w:tcPr>
          <w:p w:rsidR="00521657" w:rsidRPr="00720A32" w:rsidRDefault="00521657"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Callide Power Trading</w:t>
            </w:r>
          </w:p>
        </w:tc>
        <w:tc>
          <w:tcPr>
            <w:tcW w:w="1047" w:type="dxa"/>
            <w:vAlign w:val="center"/>
          </w:tcPr>
          <w:p w:rsidR="00521657" w:rsidRPr="00720A32" w:rsidRDefault="00521657"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Callide C</w:t>
            </w:r>
          </w:p>
        </w:tc>
        <w:tc>
          <w:tcPr>
            <w:tcW w:w="992" w:type="dxa"/>
            <w:vAlign w:val="center"/>
          </w:tcPr>
          <w:p w:rsidR="00521657" w:rsidRPr="00720A32" w:rsidRDefault="00612B60"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3</w:t>
            </w:r>
            <w:r w:rsidR="00521657">
              <w:rPr>
                <w:rFonts w:asciiTheme="minorHAnsi" w:eastAsia="Times New Roman" w:hAnsiTheme="minorHAnsi" w:cstheme="minorHAnsi"/>
                <w:bCs/>
                <w:sz w:val="16"/>
                <w:szCs w:val="16"/>
                <w:lang w:eastAsia="en-AU"/>
              </w:rPr>
              <w:t>0</w:t>
            </w:r>
          </w:p>
        </w:tc>
        <w:tc>
          <w:tcPr>
            <w:tcW w:w="969" w:type="dxa"/>
            <w:vAlign w:val="center"/>
          </w:tcPr>
          <w:p w:rsidR="00521657" w:rsidRPr="00720A32" w:rsidRDefault="00612B60"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&lt;14</w:t>
            </w:r>
          </w:p>
        </w:tc>
        <w:tc>
          <w:tcPr>
            <w:tcW w:w="971" w:type="dxa"/>
            <w:vAlign w:val="center"/>
          </w:tcPr>
          <w:p w:rsidR="00521657" w:rsidRPr="00720A32" w:rsidRDefault="00521657"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13 500</w:t>
            </w:r>
          </w:p>
        </w:tc>
        <w:tc>
          <w:tcPr>
            <w:tcW w:w="1887" w:type="dxa"/>
            <w:vAlign w:val="center"/>
          </w:tcPr>
          <w:p w:rsidR="00521657" w:rsidRPr="00720A32" w:rsidRDefault="00521657" w:rsidP="00993358">
            <w:pPr>
              <w:spacing w:before="100" w:beforeAutospacing="1" w:after="100" w:afterAutospacing="1" w:line="240" w:lineRule="auto"/>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1537A RRP above PD</w:t>
            </w:r>
          </w:p>
        </w:tc>
      </w:tr>
    </w:tbl>
    <w:p w:rsidR="00AD4310" w:rsidRDefault="00C33A3E" w:rsidP="00AD4310">
      <w:pPr>
        <w:jc w:val="both"/>
      </w:pPr>
      <w:r>
        <w:t xml:space="preserve">Three rebids during the trading interval shifted 70 MW up to prices greater than $10 000. </w:t>
      </w:r>
      <w:r w:rsidR="00AD4310">
        <w:t xml:space="preserve">An increase in 5-minute demand of 93 MW from 3.55 pm to 4 pm coincided with </w:t>
      </w:r>
      <w:r w:rsidR="002A702D">
        <w:t>Millmerran and Callide Powers rebids</w:t>
      </w:r>
      <w:r w:rsidR="00AD4310">
        <w:t xml:space="preserve"> becoming effective </w:t>
      </w:r>
      <w:r w:rsidR="00B9227A">
        <w:t xml:space="preserve">and as a result the </w:t>
      </w:r>
      <w:r w:rsidR="00AD4310">
        <w:t>5-minute price increase</w:t>
      </w:r>
      <w:r w:rsidR="00B9227A">
        <w:t>d</w:t>
      </w:r>
      <w:r w:rsidR="00AD4310">
        <w:t xml:space="preserve"> to $</w:t>
      </w:r>
      <w:r w:rsidR="00AD4310" w:rsidRPr="00AD4310">
        <w:t>10</w:t>
      </w:r>
      <w:r w:rsidR="00AD4310">
        <w:t> </w:t>
      </w:r>
      <w:r w:rsidR="00AD4310" w:rsidRPr="00AD4310">
        <w:t>796</w:t>
      </w:r>
      <w:r w:rsidR="00AD4310">
        <w:t>/MWh at 4 pm</w:t>
      </w:r>
      <w:r w:rsidR="002A702D">
        <w:t>, set by Callide B’s earlier rebid.</w:t>
      </w:r>
      <w:r w:rsidR="00AD4310">
        <w:t xml:space="preserve"> </w:t>
      </w:r>
    </w:p>
    <w:p w:rsidR="007032F4" w:rsidRDefault="007032F4" w:rsidP="00AD4310">
      <w:pPr>
        <w:jc w:val="both"/>
      </w:pPr>
    </w:p>
    <w:p w:rsidR="00C80D97" w:rsidRPr="00B9227A" w:rsidRDefault="003E144D" w:rsidP="00B9227A">
      <w:pPr>
        <w:keepNext/>
        <w:spacing w:before="240" w:after="120"/>
        <w:rPr>
          <w:b/>
          <w:bCs/>
          <w:color w:val="2272A3" w:themeColor="accent4" w:themeShade="80"/>
          <w:sz w:val="24"/>
          <w:szCs w:val="18"/>
        </w:rPr>
      </w:pPr>
      <w:r w:rsidRPr="00F33F2D">
        <w:rPr>
          <w:b/>
          <w:bCs/>
          <w:color w:val="2272A3" w:themeColor="accent4" w:themeShade="80"/>
          <w:sz w:val="24"/>
          <w:szCs w:val="18"/>
        </w:rPr>
        <w:t xml:space="preserve">Table </w:t>
      </w:r>
      <w:r w:rsidRPr="00F33F2D">
        <w:rPr>
          <w:b/>
          <w:bCs/>
          <w:color w:val="2272A3" w:themeColor="accent4" w:themeShade="80"/>
          <w:sz w:val="24"/>
          <w:szCs w:val="18"/>
        </w:rPr>
        <w:fldChar w:fldCharType="begin"/>
      </w:r>
      <w:r w:rsidRPr="00F33F2D">
        <w:rPr>
          <w:b/>
          <w:bCs/>
          <w:color w:val="2272A3" w:themeColor="accent4" w:themeShade="80"/>
          <w:sz w:val="24"/>
          <w:szCs w:val="18"/>
        </w:rPr>
        <w:instrText xml:space="preserve"> SEQ Table \* ARABIC </w:instrText>
      </w:r>
      <w:r w:rsidRPr="00F33F2D">
        <w:rPr>
          <w:b/>
          <w:bCs/>
          <w:color w:val="2272A3" w:themeColor="accent4" w:themeShade="80"/>
          <w:sz w:val="24"/>
          <w:szCs w:val="18"/>
        </w:rPr>
        <w:fldChar w:fldCharType="separate"/>
      </w:r>
      <w:r w:rsidR="00CF5BD9">
        <w:rPr>
          <w:b/>
          <w:bCs/>
          <w:noProof/>
          <w:color w:val="2272A3" w:themeColor="accent4" w:themeShade="80"/>
          <w:sz w:val="24"/>
          <w:szCs w:val="18"/>
        </w:rPr>
        <w:t>7</w:t>
      </w:r>
      <w:r w:rsidRPr="00F33F2D">
        <w:rPr>
          <w:b/>
          <w:bCs/>
          <w:noProof/>
          <w:color w:val="2272A3" w:themeColor="accent4" w:themeShade="80"/>
          <w:sz w:val="24"/>
          <w:szCs w:val="18"/>
        </w:rPr>
        <w:fldChar w:fldCharType="end"/>
      </w:r>
      <w:r w:rsidR="00C80D97" w:rsidRPr="00B9227A">
        <w:rPr>
          <w:b/>
          <w:bCs/>
          <w:color w:val="2272A3" w:themeColor="accent4" w:themeShade="80"/>
          <w:sz w:val="24"/>
          <w:szCs w:val="18"/>
        </w:rPr>
        <w:t>: Rebids for 4</w:t>
      </w:r>
      <w:r w:rsidR="00F77130" w:rsidRPr="00B9227A">
        <w:rPr>
          <w:b/>
          <w:bCs/>
          <w:color w:val="2272A3" w:themeColor="accent4" w:themeShade="80"/>
          <w:sz w:val="24"/>
          <w:szCs w:val="18"/>
        </w:rPr>
        <w:t>.30</w:t>
      </w:r>
      <w:r w:rsidR="00C80D97" w:rsidRPr="00B9227A">
        <w:rPr>
          <w:b/>
          <w:bCs/>
          <w:color w:val="2272A3" w:themeColor="accent4" w:themeShade="80"/>
          <w:sz w:val="24"/>
          <w:szCs w:val="18"/>
        </w:rPr>
        <w:t> pm</w:t>
      </w:r>
    </w:p>
    <w:tbl>
      <w:tblPr>
        <w:tblStyle w:val="AERsummarytable"/>
        <w:tblW w:w="9180" w:type="dxa"/>
        <w:tblLayout w:type="fixed"/>
        <w:tblLook w:val="04A0" w:firstRow="1" w:lastRow="0" w:firstColumn="1" w:lastColumn="0" w:noHBand="0" w:noVBand="1"/>
      </w:tblPr>
      <w:tblGrid>
        <w:gridCol w:w="959"/>
        <w:gridCol w:w="992"/>
        <w:gridCol w:w="1363"/>
        <w:gridCol w:w="1047"/>
        <w:gridCol w:w="992"/>
        <w:gridCol w:w="969"/>
        <w:gridCol w:w="971"/>
        <w:gridCol w:w="1887"/>
      </w:tblGrid>
      <w:tr w:rsidR="00C80D97" w:rsidRPr="00914A87" w:rsidTr="007032F4">
        <w:trPr>
          <w:cnfStyle w:val="100000000000" w:firstRow="1" w:lastRow="0" w:firstColumn="0" w:lastColumn="0" w:oddVBand="0" w:evenVBand="0" w:oddHBand="0" w:evenHBand="0" w:firstRowFirstColumn="0" w:firstRowLastColumn="0" w:lastRowFirstColumn="0" w:lastRowLastColumn="0"/>
          <w:trHeight w:val="780"/>
          <w:tblHeader/>
        </w:trPr>
        <w:tc>
          <w:tcPr>
            <w:tcW w:w="959" w:type="dxa"/>
            <w:hideMark/>
          </w:tcPr>
          <w:p w:rsidR="00C80D97" w:rsidRPr="00914A87" w:rsidRDefault="00C80D97" w:rsidP="00993358">
            <w:pPr>
              <w:pStyle w:val="TableHeading"/>
            </w:pPr>
            <w:r w:rsidRPr="00914A87">
              <w:t xml:space="preserve">Time </w:t>
            </w:r>
            <w:r>
              <w:t>in</w:t>
            </w:r>
          </w:p>
        </w:tc>
        <w:tc>
          <w:tcPr>
            <w:tcW w:w="992" w:type="dxa"/>
            <w:hideMark/>
          </w:tcPr>
          <w:p w:rsidR="00C80D97" w:rsidRPr="00914A87" w:rsidRDefault="00C80D97" w:rsidP="00993358">
            <w:pPr>
              <w:pStyle w:val="TableHeading"/>
              <w:ind w:left="-108"/>
            </w:pPr>
            <w:r w:rsidRPr="00914A87">
              <w:t>Time effective</w:t>
            </w:r>
          </w:p>
        </w:tc>
        <w:tc>
          <w:tcPr>
            <w:tcW w:w="1363" w:type="dxa"/>
            <w:hideMark/>
          </w:tcPr>
          <w:p w:rsidR="00C80D97" w:rsidRPr="00914A87" w:rsidRDefault="00C80D97" w:rsidP="00993358">
            <w:pPr>
              <w:pStyle w:val="TableHeading"/>
            </w:pPr>
            <w:r w:rsidRPr="00914A87">
              <w:t>Participant</w:t>
            </w:r>
          </w:p>
        </w:tc>
        <w:tc>
          <w:tcPr>
            <w:tcW w:w="1047" w:type="dxa"/>
            <w:hideMark/>
          </w:tcPr>
          <w:p w:rsidR="00C80D97" w:rsidRPr="00914A87" w:rsidRDefault="00C80D97" w:rsidP="00993358">
            <w:pPr>
              <w:pStyle w:val="TableHeading"/>
            </w:pPr>
            <w:r w:rsidRPr="00914A87">
              <w:t>Station</w:t>
            </w:r>
          </w:p>
        </w:tc>
        <w:tc>
          <w:tcPr>
            <w:tcW w:w="992" w:type="dxa"/>
            <w:hideMark/>
          </w:tcPr>
          <w:p w:rsidR="00C80D97" w:rsidRPr="00914A87" w:rsidRDefault="00C80D97" w:rsidP="00993358">
            <w:pPr>
              <w:pStyle w:val="TableHeading"/>
            </w:pPr>
            <w:r w:rsidRPr="00914A87">
              <w:t>Capacity rebid (MW)</w:t>
            </w:r>
          </w:p>
        </w:tc>
        <w:tc>
          <w:tcPr>
            <w:tcW w:w="969" w:type="dxa"/>
            <w:hideMark/>
          </w:tcPr>
          <w:p w:rsidR="00C80D97" w:rsidRPr="00914A87" w:rsidRDefault="00C80D97" w:rsidP="00993358">
            <w:pPr>
              <w:pStyle w:val="TableHeading"/>
            </w:pPr>
            <w:r w:rsidRPr="00914A87">
              <w:t>Price from ($/MWh)</w:t>
            </w:r>
          </w:p>
        </w:tc>
        <w:tc>
          <w:tcPr>
            <w:tcW w:w="971" w:type="dxa"/>
            <w:hideMark/>
          </w:tcPr>
          <w:p w:rsidR="00C80D97" w:rsidRPr="00914A87" w:rsidRDefault="00C80D97" w:rsidP="00993358">
            <w:pPr>
              <w:pStyle w:val="TableHeading"/>
            </w:pPr>
            <w:r w:rsidRPr="00914A87">
              <w:t>Price to ($/MWh)</w:t>
            </w:r>
          </w:p>
        </w:tc>
        <w:tc>
          <w:tcPr>
            <w:tcW w:w="1887" w:type="dxa"/>
            <w:hideMark/>
          </w:tcPr>
          <w:p w:rsidR="00C80D97" w:rsidRPr="00914A87" w:rsidRDefault="00C80D97" w:rsidP="00993358">
            <w:pPr>
              <w:pStyle w:val="TableHeading"/>
            </w:pPr>
            <w:r w:rsidRPr="00914A87">
              <w:t>Rebid reason</w:t>
            </w:r>
          </w:p>
        </w:tc>
      </w:tr>
      <w:tr w:rsidR="00C80D97" w:rsidRPr="00720A32" w:rsidTr="00993358">
        <w:trPr>
          <w:cnfStyle w:val="000000100000" w:firstRow="0" w:lastRow="0" w:firstColumn="0" w:lastColumn="0" w:oddVBand="0" w:evenVBand="0" w:oddHBand="1" w:evenHBand="0" w:firstRowFirstColumn="0" w:firstRowLastColumn="0" w:lastRowFirstColumn="0" w:lastRowLastColumn="0"/>
          <w:trHeight w:val="606"/>
        </w:trPr>
        <w:tc>
          <w:tcPr>
            <w:tcW w:w="959" w:type="dxa"/>
            <w:vAlign w:val="center"/>
          </w:tcPr>
          <w:p w:rsidR="00C80D97" w:rsidRPr="00720A32" w:rsidRDefault="007D4FDD" w:rsidP="00993358">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1.12 pm</w:t>
            </w:r>
          </w:p>
        </w:tc>
        <w:tc>
          <w:tcPr>
            <w:tcW w:w="992" w:type="dxa"/>
            <w:vAlign w:val="center"/>
          </w:tcPr>
          <w:p w:rsidR="00C80D97" w:rsidRPr="00405D86" w:rsidRDefault="00933515"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sidRPr="00405D86">
              <w:rPr>
                <w:rFonts w:asciiTheme="minorHAnsi" w:eastAsia="Times New Roman" w:hAnsiTheme="minorHAnsi" w:cstheme="minorHAnsi"/>
                <w:bCs/>
                <w:sz w:val="16"/>
                <w:szCs w:val="16"/>
                <w:lang w:eastAsia="en-AU"/>
              </w:rPr>
              <w:t>1.20 pm</w:t>
            </w:r>
          </w:p>
        </w:tc>
        <w:tc>
          <w:tcPr>
            <w:tcW w:w="1363" w:type="dxa"/>
            <w:vAlign w:val="center"/>
          </w:tcPr>
          <w:p w:rsidR="00C80D97" w:rsidRPr="00720A32" w:rsidRDefault="007D4FDD"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Callide Power Trading</w:t>
            </w:r>
          </w:p>
        </w:tc>
        <w:tc>
          <w:tcPr>
            <w:tcW w:w="1047" w:type="dxa"/>
            <w:vAlign w:val="center"/>
          </w:tcPr>
          <w:p w:rsidR="00C80D97" w:rsidRPr="00720A32" w:rsidRDefault="007D4FDD"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Callide</w:t>
            </w:r>
            <w:r w:rsidR="00A841A3">
              <w:rPr>
                <w:rFonts w:asciiTheme="minorHAnsi" w:eastAsia="Times New Roman" w:hAnsiTheme="minorHAnsi" w:cstheme="minorHAnsi"/>
                <w:bCs/>
                <w:sz w:val="16"/>
                <w:szCs w:val="16"/>
                <w:lang w:eastAsia="en-AU"/>
              </w:rPr>
              <w:t xml:space="preserve"> C</w:t>
            </w:r>
          </w:p>
        </w:tc>
        <w:tc>
          <w:tcPr>
            <w:tcW w:w="992" w:type="dxa"/>
            <w:vAlign w:val="center"/>
          </w:tcPr>
          <w:p w:rsidR="00C80D97" w:rsidRPr="00720A32" w:rsidRDefault="007D4FDD"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28</w:t>
            </w:r>
          </w:p>
        </w:tc>
        <w:tc>
          <w:tcPr>
            <w:tcW w:w="969" w:type="dxa"/>
            <w:vAlign w:val="center"/>
          </w:tcPr>
          <w:p w:rsidR="00C80D97" w:rsidRPr="00720A32" w:rsidRDefault="007D4FDD"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&lt;14</w:t>
            </w:r>
          </w:p>
        </w:tc>
        <w:tc>
          <w:tcPr>
            <w:tcW w:w="971" w:type="dxa"/>
            <w:vAlign w:val="center"/>
          </w:tcPr>
          <w:p w:rsidR="00C80D97" w:rsidRPr="00720A32" w:rsidRDefault="007D4FDD"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13 500</w:t>
            </w:r>
          </w:p>
        </w:tc>
        <w:tc>
          <w:tcPr>
            <w:tcW w:w="1887" w:type="dxa"/>
            <w:vAlign w:val="center"/>
          </w:tcPr>
          <w:p w:rsidR="00C80D97" w:rsidRPr="00720A32" w:rsidRDefault="007D4FDD" w:rsidP="00993358">
            <w:pPr>
              <w:spacing w:before="100" w:beforeAutospacing="1" w:after="100" w:afterAutospacing="1" w:line="240" w:lineRule="auto"/>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1312A RRP above PD</w:t>
            </w:r>
          </w:p>
        </w:tc>
      </w:tr>
      <w:tr w:rsidR="009A20CF" w:rsidRPr="00720A32" w:rsidTr="00510830">
        <w:trPr>
          <w:cnfStyle w:val="000000010000" w:firstRow="0" w:lastRow="0" w:firstColumn="0" w:lastColumn="0" w:oddVBand="0" w:evenVBand="0" w:oddHBand="0" w:evenHBand="1" w:firstRowFirstColumn="0" w:firstRowLastColumn="0" w:lastRowFirstColumn="0" w:lastRowLastColumn="0"/>
          <w:trHeight w:val="673"/>
        </w:trPr>
        <w:tc>
          <w:tcPr>
            <w:tcW w:w="959" w:type="dxa"/>
            <w:vAlign w:val="center"/>
          </w:tcPr>
          <w:p w:rsidR="009A20CF" w:rsidRPr="00720A32" w:rsidRDefault="009A20CF" w:rsidP="00510830">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1.14 pm</w:t>
            </w:r>
          </w:p>
        </w:tc>
        <w:tc>
          <w:tcPr>
            <w:tcW w:w="992" w:type="dxa"/>
            <w:vAlign w:val="center"/>
          </w:tcPr>
          <w:p w:rsidR="009A20CF" w:rsidRPr="00405D86" w:rsidRDefault="00933515"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sidRPr="00405D86">
              <w:rPr>
                <w:rFonts w:asciiTheme="minorHAnsi" w:eastAsia="Times New Roman" w:hAnsiTheme="minorHAnsi" w:cstheme="minorHAnsi"/>
                <w:bCs/>
                <w:sz w:val="16"/>
                <w:szCs w:val="16"/>
                <w:lang w:eastAsia="en-AU"/>
              </w:rPr>
              <w:t>1.25 pm</w:t>
            </w:r>
          </w:p>
        </w:tc>
        <w:tc>
          <w:tcPr>
            <w:tcW w:w="1363" w:type="dxa"/>
            <w:vAlign w:val="center"/>
          </w:tcPr>
          <w:p w:rsidR="009A20CF" w:rsidRPr="00B83745" w:rsidRDefault="009A20CF"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Millmerran Energy Trader</w:t>
            </w:r>
          </w:p>
        </w:tc>
        <w:tc>
          <w:tcPr>
            <w:tcW w:w="1047" w:type="dxa"/>
            <w:vAlign w:val="center"/>
          </w:tcPr>
          <w:p w:rsidR="009A20CF" w:rsidRPr="00720A32" w:rsidRDefault="009A20CF"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Millmerran</w:t>
            </w:r>
          </w:p>
        </w:tc>
        <w:tc>
          <w:tcPr>
            <w:tcW w:w="992" w:type="dxa"/>
            <w:vAlign w:val="center"/>
          </w:tcPr>
          <w:p w:rsidR="009A20CF" w:rsidRPr="00720A32" w:rsidRDefault="009A20CF"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75</w:t>
            </w:r>
          </w:p>
        </w:tc>
        <w:tc>
          <w:tcPr>
            <w:tcW w:w="969" w:type="dxa"/>
            <w:vAlign w:val="center"/>
          </w:tcPr>
          <w:p w:rsidR="009A20CF" w:rsidRPr="00720A32" w:rsidRDefault="009A20CF"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7</w:t>
            </w:r>
          </w:p>
        </w:tc>
        <w:tc>
          <w:tcPr>
            <w:tcW w:w="971" w:type="dxa"/>
            <w:vAlign w:val="center"/>
          </w:tcPr>
          <w:p w:rsidR="009A20CF" w:rsidRPr="00720A32" w:rsidRDefault="009A20CF"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13 500</w:t>
            </w:r>
          </w:p>
        </w:tc>
        <w:tc>
          <w:tcPr>
            <w:tcW w:w="1887" w:type="dxa"/>
            <w:vAlign w:val="center"/>
          </w:tcPr>
          <w:p w:rsidR="009A20CF" w:rsidRPr="00720A32" w:rsidRDefault="009A20CF" w:rsidP="00510830">
            <w:pPr>
              <w:spacing w:before="100" w:beforeAutospacing="1" w:after="100" w:afterAutospacing="1" w:line="240" w:lineRule="auto"/>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13:14A RRP above PD</w:t>
            </w:r>
          </w:p>
        </w:tc>
      </w:tr>
    </w:tbl>
    <w:p w:rsidR="00C80D97" w:rsidRDefault="00567CEB" w:rsidP="00C80D97">
      <w:pPr>
        <w:jc w:val="both"/>
      </w:pPr>
      <w:r w:rsidRPr="00567CEB">
        <w:t xml:space="preserve">An increase in 5-minute demand of 98 MW from 4.10 pm to 4.15 pm </w:t>
      </w:r>
      <w:r w:rsidR="00B9227A">
        <w:t>caus</w:t>
      </w:r>
      <w:r w:rsidR="001536DC">
        <w:t>ed</w:t>
      </w:r>
      <w:r w:rsidR="00B9227A">
        <w:t xml:space="preserve"> the dispatch price to reach $10</w:t>
      </w:r>
      <w:r w:rsidR="002A702D">
        <w:t> </w:t>
      </w:r>
      <w:r w:rsidR="00B9227A">
        <w:t>899/MWh at 4.15 pm</w:t>
      </w:r>
      <w:r w:rsidRPr="00567CEB">
        <w:t xml:space="preserve">. </w:t>
      </w:r>
    </w:p>
    <w:p w:rsidR="00F77130" w:rsidRPr="00B9227A" w:rsidRDefault="003E144D" w:rsidP="00B9227A">
      <w:pPr>
        <w:keepNext/>
        <w:spacing w:before="240" w:after="120"/>
        <w:rPr>
          <w:b/>
          <w:bCs/>
          <w:color w:val="2272A3" w:themeColor="accent4" w:themeShade="80"/>
          <w:sz w:val="24"/>
          <w:szCs w:val="18"/>
        </w:rPr>
      </w:pPr>
      <w:r w:rsidRPr="00F33F2D">
        <w:rPr>
          <w:b/>
          <w:bCs/>
          <w:color w:val="2272A3" w:themeColor="accent4" w:themeShade="80"/>
          <w:sz w:val="24"/>
          <w:szCs w:val="18"/>
        </w:rPr>
        <w:t xml:space="preserve">Table </w:t>
      </w:r>
      <w:r w:rsidRPr="00F33F2D">
        <w:rPr>
          <w:b/>
          <w:bCs/>
          <w:color w:val="2272A3" w:themeColor="accent4" w:themeShade="80"/>
          <w:sz w:val="24"/>
          <w:szCs w:val="18"/>
        </w:rPr>
        <w:fldChar w:fldCharType="begin"/>
      </w:r>
      <w:r w:rsidRPr="00F33F2D">
        <w:rPr>
          <w:b/>
          <w:bCs/>
          <w:color w:val="2272A3" w:themeColor="accent4" w:themeShade="80"/>
          <w:sz w:val="24"/>
          <w:szCs w:val="18"/>
        </w:rPr>
        <w:instrText xml:space="preserve"> SEQ Table \* ARABIC </w:instrText>
      </w:r>
      <w:r w:rsidRPr="00F33F2D">
        <w:rPr>
          <w:b/>
          <w:bCs/>
          <w:color w:val="2272A3" w:themeColor="accent4" w:themeShade="80"/>
          <w:sz w:val="24"/>
          <w:szCs w:val="18"/>
        </w:rPr>
        <w:fldChar w:fldCharType="separate"/>
      </w:r>
      <w:r w:rsidR="00CF5BD9">
        <w:rPr>
          <w:b/>
          <w:bCs/>
          <w:noProof/>
          <w:color w:val="2272A3" w:themeColor="accent4" w:themeShade="80"/>
          <w:sz w:val="24"/>
          <w:szCs w:val="18"/>
        </w:rPr>
        <w:t>8</w:t>
      </w:r>
      <w:r w:rsidRPr="00F33F2D">
        <w:rPr>
          <w:b/>
          <w:bCs/>
          <w:noProof/>
          <w:color w:val="2272A3" w:themeColor="accent4" w:themeShade="80"/>
          <w:sz w:val="24"/>
          <w:szCs w:val="18"/>
        </w:rPr>
        <w:fldChar w:fldCharType="end"/>
      </w:r>
      <w:r w:rsidR="00F77130" w:rsidRPr="00B9227A">
        <w:rPr>
          <w:b/>
          <w:bCs/>
          <w:color w:val="2272A3" w:themeColor="accent4" w:themeShade="80"/>
          <w:sz w:val="24"/>
          <w:szCs w:val="18"/>
        </w:rPr>
        <w:t>: Rebids for 5 pm</w:t>
      </w:r>
    </w:p>
    <w:tbl>
      <w:tblPr>
        <w:tblStyle w:val="AERsummarytable"/>
        <w:tblW w:w="9180" w:type="dxa"/>
        <w:tblLayout w:type="fixed"/>
        <w:tblLook w:val="04A0" w:firstRow="1" w:lastRow="0" w:firstColumn="1" w:lastColumn="0" w:noHBand="0" w:noVBand="1"/>
      </w:tblPr>
      <w:tblGrid>
        <w:gridCol w:w="959"/>
        <w:gridCol w:w="992"/>
        <w:gridCol w:w="1363"/>
        <w:gridCol w:w="1047"/>
        <w:gridCol w:w="992"/>
        <w:gridCol w:w="969"/>
        <w:gridCol w:w="971"/>
        <w:gridCol w:w="1887"/>
      </w:tblGrid>
      <w:tr w:rsidR="00F77130" w:rsidRPr="00914A87" w:rsidTr="00993358">
        <w:trPr>
          <w:cnfStyle w:val="100000000000" w:firstRow="1" w:lastRow="0" w:firstColumn="0" w:lastColumn="0" w:oddVBand="0" w:evenVBand="0" w:oddHBand="0" w:evenHBand="0" w:firstRowFirstColumn="0" w:firstRowLastColumn="0" w:lastRowFirstColumn="0" w:lastRowLastColumn="0"/>
          <w:trHeight w:val="780"/>
        </w:trPr>
        <w:tc>
          <w:tcPr>
            <w:tcW w:w="959" w:type="dxa"/>
            <w:hideMark/>
          </w:tcPr>
          <w:p w:rsidR="00F77130" w:rsidRPr="00914A87" w:rsidRDefault="00F77130" w:rsidP="00993358">
            <w:pPr>
              <w:pStyle w:val="TableHeading"/>
            </w:pPr>
            <w:r w:rsidRPr="00914A87">
              <w:t xml:space="preserve">Time </w:t>
            </w:r>
            <w:r>
              <w:t>in</w:t>
            </w:r>
          </w:p>
        </w:tc>
        <w:tc>
          <w:tcPr>
            <w:tcW w:w="992" w:type="dxa"/>
            <w:hideMark/>
          </w:tcPr>
          <w:p w:rsidR="00F77130" w:rsidRPr="00914A87" w:rsidRDefault="00F77130" w:rsidP="00993358">
            <w:pPr>
              <w:pStyle w:val="TableHeading"/>
              <w:ind w:left="-108"/>
            </w:pPr>
            <w:r w:rsidRPr="00914A87">
              <w:t>Time effective</w:t>
            </w:r>
          </w:p>
        </w:tc>
        <w:tc>
          <w:tcPr>
            <w:tcW w:w="1363" w:type="dxa"/>
            <w:hideMark/>
          </w:tcPr>
          <w:p w:rsidR="00F77130" w:rsidRPr="00914A87" w:rsidRDefault="00F77130" w:rsidP="00993358">
            <w:pPr>
              <w:pStyle w:val="TableHeading"/>
            </w:pPr>
            <w:r w:rsidRPr="00914A87">
              <w:t>Participant</w:t>
            </w:r>
          </w:p>
        </w:tc>
        <w:tc>
          <w:tcPr>
            <w:tcW w:w="1047" w:type="dxa"/>
            <w:hideMark/>
          </w:tcPr>
          <w:p w:rsidR="00F77130" w:rsidRPr="00914A87" w:rsidRDefault="00F77130" w:rsidP="00993358">
            <w:pPr>
              <w:pStyle w:val="TableHeading"/>
            </w:pPr>
            <w:r w:rsidRPr="00914A87">
              <w:t>Station</w:t>
            </w:r>
          </w:p>
        </w:tc>
        <w:tc>
          <w:tcPr>
            <w:tcW w:w="992" w:type="dxa"/>
            <w:hideMark/>
          </w:tcPr>
          <w:p w:rsidR="00F77130" w:rsidRPr="00914A87" w:rsidRDefault="00F77130" w:rsidP="00993358">
            <w:pPr>
              <w:pStyle w:val="TableHeading"/>
            </w:pPr>
            <w:r w:rsidRPr="00914A87">
              <w:t>Capacity rebid (MW)</w:t>
            </w:r>
          </w:p>
        </w:tc>
        <w:tc>
          <w:tcPr>
            <w:tcW w:w="969" w:type="dxa"/>
            <w:hideMark/>
          </w:tcPr>
          <w:p w:rsidR="00F77130" w:rsidRPr="00914A87" w:rsidRDefault="00F77130" w:rsidP="00993358">
            <w:pPr>
              <w:pStyle w:val="TableHeading"/>
            </w:pPr>
            <w:r w:rsidRPr="00914A87">
              <w:t>Price from ($/MWh)</w:t>
            </w:r>
          </w:p>
        </w:tc>
        <w:tc>
          <w:tcPr>
            <w:tcW w:w="971" w:type="dxa"/>
            <w:hideMark/>
          </w:tcPr>
          <w:p w:rsidR="00F77130" w:rsidRPr="00914A87" w:rsidRDefault="00F77130" w:rsidP="00993358">
            <w:pPr>
              <w:pStyle w:val="TableHeading"/>
            </w:pPr>
            <w:r w:rsidRPr="00914A87">
              <w:t>Price to ($/MWh)</w:t>
            </w:r>
          </w:p>
        </w:tc>
        <w:tc>
          <w:tcPr>
            <w:tcW w:w="1887" w:type="dxa"/>
            <w:hideMark/>
          </w:tcPr>
          <w:p w:rsidR="00F77130" w:rsidRPr="00914A87" w:rsidRDefault="00F77130" w:rsidP="00993358">
            <w:pPr>
              <w:pStyle w:val="TableHeading"/>
            </w:pPr>
            <w:r w:rsidRPr="00914A87">
              <w:t>Rebid reason</w:t>
            </w:r>
          </w:p>
        </w:tc>
      </w:tr>
      <w:tr w:rsidR="00AE7799" w:rsidRPr="00720A32" w:rsidTr="00510830">
        <w:trPr>
          <w:cnfStyle w:val="000000100000" w:firstRow="0" w:lastRow="0" w:firstColumn="0" w:lastColumn="0" w:oddVBand="0" w:evenVBand="0" w:oddHBand="1" w:evenHBand="0" w:firstRowFirstColumn="0" w:firstRowLastColumn="0" w:lastRowFirstColumn="0" w:lastRowLastColumn="0"/>
          <w:trHeight w:val="606"/>
        </w:trPr>
        <w:tc>
          <w:tcPr>
            <w:tcW w:w="959" w:type="dxa"/>
            <w:vAlign w:val="center"/>
          </w:tcPr>
          <w:p w:rsidR="00AE7799" w:rsidRPr="00720A32" w:rsidRDefault="00AE7799" w:rsidP="00510830">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1.12 pm</w:t>
            </w:r>
          </w:p>
        </w:tc>
        <w:tc>
          <w:tcPr>
            <w:tcW w:w="992" w:type="dxa"/>
            <w:vAlign w:val="center"/>
          </w:tcPr>
          <w:p w:rsidR="00AE7799" w:rsidRPr="007C7EE9" w:rsidRDefault="00051160"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sidRPr="007C7EE9">
              <w:rPr>
                <w:rFonts w:asciiTheme="minorHAnsi" w:eastAsia="Times New Roman" w:hAnsiTheme="minorHAnsi" w:cstheme="minorHAnsi"/>
                <w:bCs/>
                <w:sz w:val="16"/>
                <w:szCs w:val="16"/>
                <w:lang w:eastAsia="en-AU"/>
              </w:rPr>
              <w:t>1.20 pm</w:t>
            </w:r>
          </w:p>
        </w:tc>
        <w:tc>
          <w:tcPr>
            <w:tcW w:w="1363" w:type="dxa"/>
            <w:vAlign w:val="center"/>
          </w:tcPr>
          <w:p w:rsidR="00AE7799" w:rsidRPr="00051160" w:rsidRDefault="00AE7799"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sidRPr="00051160">
              <w:rPr>
                <w:rFonts w:asciiTheme="minorHAnsi" w:eastAsia="Times New Roman" w:hAnsiTheme="minorHAnsi" w:cstheme="minorHAnsi"/>
                <w:bCs/>
                <w:sz w:val="16"/>
                <w:szCs w:val="16"/>
                <w:lang w:eastAsia="en-AU"/>
              </w:rPr>
              <w:t>Callide Power Trading</w:t>
            </w:r>
          </w:p>
        </w:tc>
        <w:tc>
          <w:tcPr>
            <w:tcW w:w="1047" w:type="dxa"/>
            <w:vAlign w:val="center"/>
          </w:tcPr>
          <w:p w:rsidR="00AE7799" w:rsidRPr="00720A32" w:rsidRDefault="00AE7799"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Callide</w:t>
            </w:r>
            <w:r w:rsidR="00A841A3">
              <w:rPr>
                <w:rFonts w:asciiTheme="minorHAnsi" w:eastAsia="Times New Roman" w:hAnsiTheme="minorHAnsi" w:cstheme="minorHAnsi"/>
                <w:bCs/>
                <w:sz w:val="16"/>
                <w:szCs w:val="16"/>
                <w:lang w:eastAsia="en-AU"/>
              </w:rPr>
              <w:t xml:space="preserve"> C</w:t>
            </w:r>
          </w:p>
        </w:tc>
        <w:tc>
          <w:tcPr>
            <w:tcW w:w="992" w:type="dxa"/>
            <w:vAlign w:val="center"/>
          </w:tcPr>
          <w:p w:rsidR="00AE7799" w:rsidRPr="00720A32" w:rsidRDefault="00AE7799"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28</w:t>
            </w:r>
          </w:p>
        </w:tc>
        <w:tc>
          <w:tcPr>
            <w:tcW w:w="969" w:type="dxa"/>
            <w:vAlign w:val="center"/>
          </w:tcPr>
          <w:p w:rsidR="00AE7799" w:rsidRPr="00720A32" w:rsidRDefault="001536DC"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19</w:t>
            </w:r>
          </w:p>
        </w:tc>
        <w:tc>
          <w:tcPr>
            <w:tcW w:w="971" w:type="dxa"/>
            <w:vAlign w:val="center"/>
          </w:tcPr>
          <w:p w:rsidR="00AE7799" w:rsidRPr="00720A32" w:rsidRDefault="00AE7799"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13 500</w:t>
            </w:r>
          </w:p>
        </w:tc>
        <w:tc>
          <w:tcPr>
            <w:tcW w:w="1887" w:type="dxa"/>
            <w:vAlign w:val="center"/>
          </w:tcPr>
          <w:p w:rsidR="00AE7799" w:rsidRPr="00720A32" w:rsidRDefault="00AE7799" w:rsidP="00510830">
            <w:pPr>
              <w:spacing w:before="100" w:beforeAutospacing="1" w:after="100" w:afterAutospacing="1" w:line="240" w:lineRule="auto"/>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1312A RRP above PD</w:t>
            </w:r>
          </w:p>
        </w:tc>
      </w:tr>
      <w:tr w:rsidR="00E6672F" w:rsidRPr="00720A32" w:rsidTr="00510830">
        <w:trPr>
          <w:cnfStyle w:val="000000010000" w:firstRow="0" w:lastRow="0" w:firstColumn="0" w:lastColumn="0" w:oddVBand="0" w:evenVBand="0" w:oddHBand="0" w:evenHBand="1" w:firstRowFirstColumn="0" w:firstRowLastColumn="0" w:lastRowFirstColumn="0" w:lastRowLastColumn="0"/>
          <w:trHeight w:val="673"/>
        </w:trPr>
        <w:tc>
          <w:tcPr>
            <w:tcW w:w="959" w:type="dxa"/>
            <w:vAlign w:val="center"/>
          </w:tcPr>
          <w:p w:rsidR="00E6672F" w:rsidRDefault="00E6672F" w:rsidP="00510830">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1.14 pm</w:t>
            </w:r>
          </w:p>
        </w:tc>
        <w:tc>
          <w:tcPr>
            <w:tcW w:w="992" w:type="dxa"/>
            <w:vAlign w:val="center"/>
          </w:tcPr>
          <w:p w:rsidR="00E6672F" w:rsidRPr="00932A69" w:rsidRDefault="00933515" w:rsidP="00510830">
            <w:pPr>
              <w:spacing w:before="100" w:beforeAutospacing="1" w:after="100" w:afterAutospacing="1" w:line="240" w:lineRule="auto"/>
              <w:jc w:val="center"/>
              <w:rPr>
                <w:rFonts w:asciiTheme="minorHAnsi" w:eastAsia="Times New Roman" w:hAnsiTheme="minorHAnsi" w:cstheme="minorHAnsi"/>
                <w:bCs/>
                <w:sz w:val="16"/>
                <w:szCs w:val="16"/>
                <w:highlight w:val="yellow"/>
                <w:lang w:eastAsia="en-AU"/>
              </w:rPr>
            </w:pPr>
            <w:r w:rsidRPr="00405D86">
              <w:rPr>
                <w:rFonts w:asciiTheme="minorHAnsi" w:eastAsia="Times New Roman" w:hAnsiTheme="minorHAnsi" w:cstheme="minorHAnsi"/>
                <w:bCs/>
                <w:sz w:val="16"/>
                <w:szCs w:val="16"/>
                <w:lang w:eastAsia="en-AU"/>
              </w:rPr>
              <w:t>1.25 pm</w:t>
            </w:r>
          </w:p>
        </w:tc>
        <w:tc>
          <w:tcPr>
            <w:tcW w:w="1363" w:type="dxa"/>
            <w:vAlign w:val="center"/>
          </w:tcPr>
          <w:p w:rsidR="00E6672F" w:rsidRPr="00B83745" w:rsidRDefault="00E6672F"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Millmerran Energy Trader</w:t>
            </w:r>
          </w:p>
        </w:tc>
        <w:tc>
          <w:tcPr>
            <w:tcW w:w="1047" w:type="dxa"/>
            <w:vAlign w:val="center"/>
          </w:tcPr>
          <w:p w:rsidR="00E6672F" w:rsidRPr="00720A32" w:rsidRDefault="00E6672F"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Millmerran</w:t>
            </w:r>
          </w:p>
        </w:tc>
        <w:tc>
          <w:tcPr>
            <w:tcW w:w="992" w:type="dxa"/>
            <w:vAlign w:val="center"/>
          </w:tcPr>
          <w:p w:rsidR="00E6672F" w:rsidRDefault="00E6672F"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75</w:t>
            </w:r>
          </w:p>
        </w:tc>
        <w:tc>
          <w:tcPr>
            <w:tcW w:w="969" w:type="dxa"/>
            <w:vAlign w:val="center"/>
          </w:tcPr>
          <w:p w:rsidR="00E6672F" w:rsidRDefault="00E6672F"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7</w:t>
            </w:r>
          </w:p>
        </w:tc>
        <w:tc>
          <w:tcPr>
            <w:tcW w:w="971" w:type="dxa"/>
            <w:vAlign w:val="center"/>
          </w:tcPr>
          <w:p w:rsidR="00E6672F" w:rsidRDefault="00E6672F"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13 500</w:t>
            </w:r>
          </w:p>
        </w:tc>
        <w:tc>
          <w:tcPr>
            <w:tcW w:w="1887" w:type="dxa"/>
            <w:vAlign w:val="center"/>
          </w:tcPr>
          <w:p w:rsidR="00E6672F" w:rsidRDefault="00E6672F" w:rsidP="00510830">
            <w:pPr>
              <w:spacing w:before="100" w:beforeAutospacing="1" w:after="100" w:afterAutospacing="1" w:line="240" w:lineRule="auto"/>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13:14 A RRP above PD</w:t>
            </w:r>
          </w:p>
        </w:tc>
      </w:tr>
      <w:tr w:rsidR="00B03723" w:rsidRPr="00720A32" w:rsidTr="00993358">
        <w:trPr>
          <w:cnfStyle w:val="000000100000" w:firstRow="0" w:lastRow="0" w:firstColumn="0" w:lastColumn="0" w:oddVBand="0" w:evenVBand="0" w:oddHBand="1" w:evenHBand="0" w:firstRowFirstColumn="0" w:firstRowLastColumn="0" w:lastRowFirstColumn="0" w:lastRowLastColumn="0"/>
          <w:trHeight w:val="673"/>
        </w:trPr>
        <w:tc>
          <w:tcPr>
            <w:tcW w:w="959" w:type="dxa"/>
            <w:vAlign w:val="center"/>
          </w:tcPr>
          <w:p w:rsidR="00B03723" w:rsidRDefault="00B03723" w:rsidP="00510830">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4.36 pm</w:t>
            </w:r>
          </w:p>
        </w:tc>
        <w:tc>
          <w:tcPr>
            <w:tcW w:w="992" w:type="dxa"/>
            <w:vAlign w:val="center"/>
          </w:tcPr>
          <w:p w:rsidR="00B03723" w:rsidRDefault="00B03723"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4.45 pm</w:t>
            </w:r>
          </w:p>
        </w:tc>
        <w:tc>
          <w:tcPr>
            <w:tcW w:w="1363" w:type="dxa"/>
            <w:vAlign w:val="center"/>
          </w:tcPr>
          <w:p w:rsidR="00B03723" w:rsidRDefault="00B03723"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Origin Energy</w:t>
            </w:r>
          </w:p>
        </w:tc>
        <w:tc>
          <w:tcPr>
            <w:tcW w:w="1047" w:type="dxa"/>
            <w:vAlign w:val="center"/>
          </w:tcPr>
          <w:p w:rsidR="00B03723" w:rsidRDefault="00B03723"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Mt Stuart</w:t>
            </w:r>
          </w:p>
        </w:tc>
        <w:tc>
          <w:tcPr>
            <w:tcW w:w="992" w:type="dxa"/>
            <w:vAlign w:val="center"/>
          </w:tcPr>
          <w:p w:rsidR="00B03723" w:rsidRDefault="00B03723"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265</w:t>
            </w:r>
          </w:p>
        </w:tc>
        <w:tc>
          <w:tcPr>
            <w:tcW w:w="969" w:type="dxa"/>
            <w:vAlign w:val="center"/>
          </w:tcPr>
          <w:p w:rsidR="00B03723" w:rsidRDefault="00B03723"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10 899</w:t>
            </w:r>
          </w:p>
        </w:tc>
        <w:tc>
          <w:tcPr>
            <w:tcW w:w="971" w:type="dxa"/>
            <w:vAlign w:val="center"/>
          </w:tcPr>
          <w:p w:rsidR="00B03723" w:rsidRDefault="00B03723"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20</w:t>
            </w:r>
          </w:p>
        </w:tc>
        <w:tc>
          <w:tcPr>
            <w:tcW w:w="1887" w:type="dxa"/>
            <w:vAlign w:val="center"/>
          </w:tcPr>
          <w:p w:rsidR="00B03723" w:rsidRDefault="00B03723" w:rsidP="00510830">
            <w:pPr>
              <w:spacing w:before="100" w:beforeAutospacing="1" w:after="100" w:afterAutospacing="1" w:line="240" w:lineRule="auto"/>
              <w:rPr>
                <w:rFonts w:asciiTheme="minorHAnsi" w:eastAsia="Times New Roman" w:hAnsiTheme="minorHAnsi" w:cstheme="minorHAnsi"/>
                <w:bCs/>
                <w:sz w:val="16"/>
                <w:szCs w:val="16"/>
                <w:lang w:eastAsia="en-AU"/>
              </w:rPr>
            </w:pPr>
            <w:r w:rsidRPr="00B03723">
              <w:rPr>
                <w:rFonts w:asciiTheme="minorHAnsi" w:eastAsia="Times New Roman" w:hAnsiTheme="minorHAnsi" w:cstheme="minorHAnsi"/>
                <w:bCs/>
                <w:sz w:val="16"/>
                <w:szCs w:val="16"/>
                <w:lang w:eastAsia="en-AU"/>
              </w:rPr>
              <w:t xml:space="preserve">1635A </w:t>
            </w:r>
            <w:r w:rsidR="00C41F44" w:rsidRPr="00B03723">
              <w:rPr>
                <w:rFonts w:asciiTheme="minorHAnsi" w:eastAsia="Times New Roman" w:hAnsiTheme="minorHAnsi" w:cstheme="minorHAnsi"/>
                <w:bCs/>
                <w:sz w:val="16"/>
                <w:szCs w:val="16"/>
                <w:lang w:eastAsia="en-AU"/>
              </w:rPr>
              <w:t xml:space="preserve">constraint management </w:t>
            </w:r>
            <w:r w:rsidRPr="00B03723">
              <w:rPr>
                <w:rFonts w:asciiTheme="minorHAnsi" w:eastAsia="Times New Roman" w:hAnsiTheme="minorHAnsi" w:cstheme="minorHAnsi"/>
                <w:bCs/>
                <w:sz w:val="16"/>
                <w:szCs w:val="16"/>
                <w:lang w:eastAsia="en-AU"/>
              </w:rPr>
              <w:t>- N^^Q_NIL_B1 SL</w:t>
            </w:r>
          </w:p>
        </w:tc>
      </w:tr>
    </w:tbl>
    <w:p w:rsidR="00F77130" w:rsidRPr="004D34AD" w:rsidRDefault="004D34AD" w:rsidP="00F77130">
      <w:pPr>
        <w:jc w:val="both"/>
      </w:pPr>
      <w:r>
        <w:t xml:space="preserve">Conditions at the time saw high priced (previously ramp rate limited) generators setting </w:t>
      </w:r>
      <w:r w:rsidR="00932A69">
        <w:t xml:space="preserve">the dispatch </w:t>
      </w:r>
      <w:r>
        <w:t>price</w:t>
      </w:r>
      <w:r w:rsidR="00932A69">
        <w:t xml:space="preserve"> at </w:t>
      </w:r>
      <w:r>
        <w:t>$10 899 at 4.40 pm.</w:t>
      </w:r>
      <w:r w:rsidR="00B03723">
        <w:t xml:space="preserve"> The dispatch price fell to </w:t>
      </w:r>
      <w:r w:rsidR="00B9227A">
        <w:t>$35/MWh</w:t>
      </w:r>
      <w:r w:rsidR="00B03723">
        <w:t xml:space="preserve"> at 4.45 pm when Origin’s </w:t>
      </w:r>
      <w:r w:rsidR="00932A69">
        <w:t xml:space="preserve">rebid at </w:t>
      </w:r>
      <w:r w:rsidR="00B03723">
        <w:t>Mt Stuart became effective.</w:t>
      </w:r>
    </w:p>
    <w:p w:rsidR="00F77130" w:rsidRPr="00B9227A" w:rsidRDefault="003E144D" w:rsidP="00B9227A">
      <w:pPr>
        <w:keepNext/>
        <w:spacing w:before="240" w:after="120"/>
        <w:rPr>
          <w:b/>
          <w:bCs/>
          <w:color w:val="2272A3" w:themeColor="accent4" w:themeShade="80"/>
          <w:sz w:val="24"/>
          <w:szCs w:val="18"/>
        </w:rPr>
      </w:pPr>
      <w:r w:rsidRPr="00F33F2D">
        <w:rPr>
          <w:b/>
          <w:bCs/>
          <w:color w:val="2272A3" w:themeColor="accent4" w:themeShade="80"/>
          <w:sz w:val="24"/>
          <w:szCs w:val="18"/>
        </w:rPr>
        <w:t xml:space="preserve">Table </w:t>
      </w:r>
      <w:r w:rsidRPr="00F33F2D">
        <w:rPr>
          <w:b/>
          <w:bCs/>
          <w:color w:val="2272A3" w:themeColor="accent4" w:themeShade="80"/>
          <w:sz w:val="24"/>
          <w:szCs w:val="18"/>
        </w:rPr>
        <w:fldChar w:fldCharType="begin"/>
      </w:r>
      <w:r w:rsidRPr="00F33F2D">
        <w:rPr>
          <w:b/>
          <w:bCs/>
          <w:color w:val="2272A3" w:themeColor="accent4" w:themeShade="80"/>
          <w:sz w:val="24"/>
          <w:szCs w:val="18"/>
        </w:rPr>
        <w:instrText xml:space="preserve"> SEQ Table \* ARABIC </w:instrText>
      </w:r>
      <w:r w:rsidRPr="00F33F2D">
        <w:rPr>
          <w:b/>
          <w:bCs/>
          <w:color w:val="2272A3" w:themeColor="accent4" w:themeShade="80"/>
          <w:sz w:val="24"/>
          <w:szCs w:val="18"/>
        </w:rPr>
        <w:fldChar w:fldCharType="separate"/>
      </w:r>
      <w:r w:rsidR="00CF5BD9">
        <w:rPr>
          <w:b/>
          <w:bCs/>
          <w:noProof/>
          <w:color w:val="2272A3" w:themeColor="accent4" w:themeShade="80"/>
          <w:sz w:val="24"/>
          <w:szCs w:val="18"/>
        </w:rPr>
        <w:t>9</w:t>
      </w:r>
      <w:r w:rsidRPr="00F33F2D">
        <w:rPr>
          <w:b/>
          <w:bCs/>
          <w:noProof/>
          <w:color w:val="2272A3" w:themeColor="accent4" w:themeShade="80"/>
          <w:sz w:val="24"/>
          <w:szCs w:val="18"/>
        </w:rPr>
        <w:fldChar w:fldCharType="end"/>
      </w:r>
      <w:r w:rsidR="00F77130" w:rsidRPr="00B9227A">
        <w:rPr>
          <w:b/>
          <w:bCs/>
          <w:color w:val="2272A3" w:themeColor="accent4" w:themeShade="80"/>
          <w:sz w:val="24"/>
          <w:szCs w:val="18"/>
        </w:rPr>
        <w:t>: Rebids for 5.30 pm</w:t>
      </w:r>
    </w:p>
    <w:tbl>
      <w:tblPr>
        <w:tblStyle w:val="AERsummarytable"/>
        <w:tblW w:w="9180" w:type="dxa"/>
        <w:tblLayout w:type="fixed"/>
        <w:tblLook w:val="04A0" w:firstRow="1" w:lastRow="0" w:firstColumn="1" w:lastColumn="0" w:noHBand="0" w:noVBand="1"/>
      </w:tblPr>
      <w:tblGrid>
        <w:gridCol w:w="959"/>
        <w:gridCol w:w="992"/>
        <w:gridCol w:w="1363"/>
        <w:gridCol w:w="1047"/>
        <w:gridCol w:w="992"/>
        <w:gridCol w:w="969"/>
        <w:gridCol w:w="971"/>
        <w:gridCol w:w="1887"/>
      </w:tblGrid>
      <w:tr w:rsidR="00F77130" w:rsidRPr="00914A87" w:rsidTr="00993358">
        <w:trPr>
          <w:cnfStyle w:val="100000000000" w:firstRow="1" w:lastRow="0" w:firstColumn="0" w:lastColumn="0" w:oddVBand="0" w:evenVBand="0" w:oddHBand="0" w:evenHBand="0" w:firstRowFirstColumn="0" w:firstRowLastColumn="0" w:lastRowFirstColumn="0" w:lastRowLastColumn="0"/>
          <w:trHeight w:val="780"/>
        </w:trPr>
        <w:tc>
          <w:tcPr>
            <w:tcW w:w="959" w:type="dxa"/>
            <w:hideMark/>
          </w:tcPr>
          <w:p w:rsidR="00F77130" w:rsidRPr="00914A87" w:rsidRDefault="00F77130" w:rsidP="007032F4">
            <w:pPr>
              <w:pStyle w:val="TableHeading"/>
              <w:jc w:val="center"/>
            </w:pPr>
            <w:r w:rsidRPr="00914A87">
              <w:t xml:space="preserve">Time </w:t>
            </w:r>
            <w:r>
              <w:t>in</w:t>
            </w:r>
          </w:p>
        </w:tc>
        <w:tc>
          <w:tcPr>
            <w:tcW w:w="992" w:type="dxa"/>
            <w:hideMark/>
          </w:tcPr>
          <w:p w:rsidR="00F77130" w:rsidRPr="00914A87" w:rsidRDefault="00F77130" w:rsidP="007032F4">
            <w:pPr>
              <w:pStyle w:val="TableHeading"/>
              <w:ind w:left="-108"/>
              <w:jc w:val="center"/>
            </w:pPr>
            <w:r w:rsidRPr="00914A87">
              <w:t>Time effective</w:t>
            </w:r>
          </w:p>
        </w:tc>
        <w:tc>
          <w:tcPr>
            <w:tcW w:w="1363" w:type="dxa"/>
            <w:hideMark/>
          </w:tcPr>
          <w:p w:rsidR="00F77130" w:rsidRPr="00914A87" w:rsidRDefault="00F77130" w:rsidP="007032F4">
            <w:pPr>
              <w:pStyle w:val="TableHeading"/>
              <w:jc w:val="center"/>
            </w:pPr>
            <w:r w:rsidRPr="00914A87">
              <w:t>Participant</w:t>
            </w:r>
          </w:p>
        </w:tc>
        <w:tc>
          <w:tcPr>
            <w:tcW w:w="1047" w:type="dxa"/>
            <w:hideMark/>
          </w:tcPr>
          <w:p w:rsidR="00F77130" w:rsidRPr="00914A87" w:rsidRDefault="00F77130" w:rsidP="007032F4">
            <w:pPr>
              <w:pStyle w:val="TableHeading"/>
              <w:jc w:val="center"/>
            </w:pPr>
            <w:r w:rsidRPr="00914A87">
              <w:t>Station</w:t>
            </w:r>
          </w:p>
        </w:tc>
        <w:tc>
          <w:tcPr>
            <w:tcW w:w="992" w:type="dxa"/>
            <w:hideMark/>
          </w:tcPr>
          <w:p w:rsidR="00F77130" w:rsidRPr="00914A87" w:rsidRDefault="00F77130" w:rsidP="007032F4">
            <w:pPr>
              <w:pStyle w:val="TableHeading"/>
              <w:jc w:val="center"/>
            </w:pPr>
            <w:r w:rsidRPr="00914A87">
              <w:t>Capacity rebid (MW)</w:t>
            </w:r>
          </w:p>
        </w:tc>
        <w:tc>
          <w:tcPr>
            <w:tcW w:w="969" w:type="dxa"/>
            <w:hideMark/>
          </w:tcPr>
          <w:p w:rsidR="00F77130" w:rsidRPr="00914A87" w:rsidRDefault="00F77130" w:rsidP="007032F4">
            <w:pPr>
              <w:pStyle w:val="TableHeading"/>
              <w:jc w:val="center"/>
            </w:pPr>
            <w:r w:rsidRPr="00914A87">
              <w:t>Price from ($/MWh)</w:t>
            </w:r>
          </w:p>
        </w:tc>
        <w:tc>
          <w:tcPr>
            <w:tcW w:w="971" w:type="dxa"/>
            <w:hideMark/>
          </w:tcPr>
          <w:p w:rsidR="00F77130" w:rsidRPr="00914A87" w:rsidRDefault="00F77130" w:rsidP="007032F4">
            <w:pPr>
              <w:pStyle w:val="TableHeading"/>
              <w:jc w:val="center"/>
            </w:pPr>
            <w:r w:rsidRPr="00914A87">
              <w:t>Price to ($/MWh)</w:t>
            </w:r>
          </w:p>
        </w:tc>
        <w:tc>
          <w:tcPr>
            <w:tcW w:w="1887" w:type="dxa"/>
            <w:hideMark/>
          </w:tcPr>
          <w:p w:rsidR="00F77130" w:rsidRPr="00914A87" w:rsidRDefault="00F77130" w:rsidP="007032F4">
            <w:pPr>
              <w:pStyle w:val="TableHeading"/>
              <w:jc w:val="center"/>
            </w:pPr>
            <w:r w:rsidRPr="00914A87">
              <w:t>Rebid reason</w:t>
            </w:r>
          </w:p>
        </w:tc>
      </w:tr>
      <w:tr w:rsidR="001A5CAD" w:rsidRPr="00720A32" w:rsidTr="00993358">
        <w:trPr>
          <w:cnfStyle w:val="000000100000" w:firstRow="0" w:lastRow="0" w:firstColumn="0" w:lastColumn="0" w:oddVBand="0" w:evenVBand="0" w:oddHBand="1" w:evenHBand="0" w:firstRowFirstColumn="0" w:firstRowLastColumn="0" w:lastRowFirstColumn="0" w:lastRowLastColumn="0"/>
          <w:trHeight w:val="606"/>
        </w:trPr>
        <w:tc>
          <w:tcPr>
            <w:tcW w:w="959" w:type="dxa"/>
            <w:vAlign w:val="center"/>
          </w:tcPr>
          <w:p w:rsidR="001A5CAD" w:rsidRPr="00720A32" w:rsidRDefault="001A5CAD" w:rsidP="00510830">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4.10 pm</w:t>
            </w:r>
          </w:p>
        </w:tc>
        <w:tc>
          <w:tcPr>
            <w:tcW w:w="992" w:type="dxa"/>
            <w:vAlign w:val="center"/>
          </w:tcPr>
          <w:p w:rsidR="001A5CAD" w:rsidRPr="00720A32" w:rsidRDefault="001A5CAD"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4.20 pm</w:t>
            </w:r>
          </w:p>
        </w:tc>
        <w:tc>
          <w:tcPr>
            <w:tcW w:w="1363" w:type="dxa"/>
            <w:vAlign w:val="center"/>
          </w:tcPr>
          <w:p w:rsidR="001A5CAD" w:rsidRPr="00B83745" w:rsidRDefault="001A5CAD"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sidRPr="00B83745">
              <w:rPr>
                <w:rFonts w:asciiTheme="minorHAnsi" w:eastAsia="Times New Roman" w:hAnsiTheme="minorHAnsi" w:cstheme="minorHAnsi"/>
                <w:bCs/>
                <w:sz w:val="16"/>
                <w:szCs w:val="16"/>
                <w:lang w:eastAsia="en-AU"/>
              </w:rPr>
              <w:t>ERM Power</w:t>
            </w:r>
          </w:p>
        </w:tc>
        <w:tc>
          <w:tcPr>
            <w:tcW w:w="1047" w:type="dxa"/>
            <w:vAlign w:val="center"/>
          </w:tcPr>
          <w:p w:rsidR="001A5CAD" w:rsidRPr="00720A32" w:rsidRDefault="001A5CAD"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Oakey</w:t>
            </w:r>
          </w:p>
        </w:tc>
        <w:tc>
          <w:tcPr>
            <w:tcW w:w="992" w:type="dxa"/>
            <w:vAlign w:val="center"/>
          </w:tcPr>
          <w:p w:rsidR="001A5CAD" w:rsidRPr="00720A32" w:rsidRDefault="001A5CAD"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-11</w:t>
            </w:r>
          </w:p>
        </w:tc>
        <w:tc>
          <w:tcPr>
            <w:tcW w:w="969" w:type="dxa"/>
            <w:vAlign w:val="center"/>
          </w:tcPr>
          <w:p w:rsidR="001A5CAD" w:rsidRPr="00720A32" w:rsidRDefault="001A5CAD"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&lt;458</w:t>
            </w:r>
          </w:p>
        </w:tc>
        <w:tc>
          <w:tcPr>
            <w:tcW w:w="971" w:type="dxa"/>
            <w:vAlign w:val="center"/>
          </w:tcPr>
          <w:p w:rsidR="001A5CAD" w:rsidRPr="00720A32" w:rsidRDefault="001A5CAD"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N/A</w:t>
            </w:r>
          </w:p>
        </w:tc>
        <w:tc>
          <w:tcPr>
            <w:tcW w:w="1887" w:type="dxa"/>
            <w:vAlign w:val="center"/>
          </w:tcPr>
          <w:p w:rsidR="001A5CAD" w:rsidRPr="00720A32" w:rsidRDefault="001A5CAD" w:rsidP="00510830">
            <w:pPr>
              <w:spacing w:before="100" w:beforeAutospacing="1" w:after="100" w:afterAutospacing="1" w:line="240" w:lineRule="auto"/>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 xml:space="preserve">1609P Ambient conditions::change MW </w:t>
            </w:r>
            <w:proofErr w:type="spellStart"/>
            <w:r>
              <w:rPr>
                <w:rFonts w:asciiTheme="minorHAnsi" w:eastAsia="Times New Roman" w:hAnsiTheme="minorHAnsi" w:cstheme="minorHAnsi"/>
                <w:bCs/>
                <w:sz w:val="16"/>
                <w:szCs w:val="16"/>
                <w:lang w:eastAsia="en-AU"/>
              </w:rPr>
              <w:t>distrib</w:t>
            </w:r>
            <w:proofErr w:type="spellEnd"/>
            <w:r>
              <w:rPr>
                <w:rFonts w:asciiTheme="minorHAnsi" w:eastAsia="Times New Roman" w:hAnsiTheme="minorHAnsi" w:cstheme="minorHAnsi"/>
                <w:bCs/>
                <w:sz w:val="16"/>
                <w:szCs w:val="16"/>
                <w:lang w:eastAsia="en-AU"/>
              </w:rPr>
              <w:t>.</w:t>
            </w:r>
          </w:p>
        </w:tc>
      </w:tr>
      <w:tr w:rsidR="001A5CAD" w:rsidRPr="00720A32" w:rsidTr="00993358">
        <w:trPr>
          <w:cnfStyle w:val="000000010000" w:firstRow="0" w:lastRow="0" w:firstColumn="0" w:lastColumn="0" w:oddVBand="0" w:evenVBand="0" w:oddHBand="0" w:evenHBand="1" w:firstRowFirstColumn="0" w:firstRowLastColumn="0" w:lastRowFirstColumn="0" w:lastRowLastColumn="0"/>
          <w:trHeight w:val="673"/>
        </w:trPr>
        <w:tc>
          <w:tcPr>
            <w:tcW w:w="959" w:type="dxa"/>
            <w:vAlign w:val="center"/>
          </w:tcPr>
          <w:p w:rsidR="001A5CAD" w:rsidRPr="00720A32" w:rsidRDefault="001A5CAD" w:rsidP="00510830">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4.18 pm</w:t>
            </w:r>
          </w:p>
        </w:tc>
        <w:tc>
          <w:tcPr>
            <w:tcW w:w="992" w:type="dxa"/>
            <w:vAlign w:val="center"/>
          </w:tcPr>
          <w:p w:rsidR="001A5CAD" w:rsidRPr="00720A32" w:rsidRDefault="001A5CAD"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4.25 pm</w:t>
            </w:r>
          </w:p>
        </w:tc>
        <w:tc>
          <w:tcPr>
            <w:tcW w:w="1363" w:type="dxa"/>
            <w:vAlign w:val="center"/>
          </w:tcPr>
          <w:p w:rsidR="001A5CAD" w:rsidRPr="00993358" w:rsidRDefault="001A5CAD"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sidRPr="00993358">
              <w:rPr>
                <w:rFonts w:asciiTheme="minorHAnsi" w:eastAsia="Times New Roman" w:hAnsiTheme="minorHAnsi" w:cstheme="minorHAnsi"/>
                <w:bCs/>
                <w:sz w:val="16"/>
                <w:szCs w:val="16"/>
                <w:lang w:eastAsia="en-AU"/>
              </w:rPr>
              <w:t>ERM Power</w:t>
            </w:r>
          </w:p>
        </w:tc>
        <w:tc>
          <w:tcPr>
            <w:tcW w:w="1047" w:type="dxa"/>
            <w:vAlign w:val="center"/>
          </w:tcPr>
          <w:p w:rsidR="001A5CAD" w:rsidRPr="00720A32" w:rsidRDefault="001A5CAD"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Oakey</w:t>
            </w:r>
          </w:p>
        </w:tc>
        <w:tc>
          <w:tcPr>
            <w:tcW w:w="992" w:type="dxa"/>
            <w:vAlign w:val="center"/>
          </w:tcPr>
          <w:p w:rsidR="001A5CAD" w:rsidRPr="00720A32" w:rsidRDefault="001A5CAD"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-5</w:t>
            </w:r>
          </w:p>
        </w:tc>
        <w:tc>
          <w:tcPr>
            <w:tcW w:w="969" w:type="dxa"/>
            <w:vAlign w:val="center"/>
          </w:tcPr>
          <w:p w:rsidR="001A5CAD" w:rsidRPr="00720A32" w:rsidRDefault="001A5CAD"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0</w:t>
            </w:r>
          </w:p>
        </w:tc>
        <w:tc>
          <w:tcPr>
            <w:tcW w:w="971" w:type="dxa"/>
            <w:vAlign w:val="center"/>
          </w:tcPr>
          <w:p w:rsidR="001A5CAD" w:rsidRPr="00720A32" w:rsidRDefault="001A5CAD"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N/A</w:t>
            </w:r>
          </w:p>
        </w:tc>
        <w:tc>
          <w:tcPr>
            <w:tcW w:w="1887" w:type="dxa"/>
            <w:vAlign w:val="center"/>
          </w:tcPr>
          <w:p w:rsidR="001A5CAD" w:rsidRPr="00720A32" w:rsidRDefault="001A5CAD" w:rsidP="00510830">
            <w:pPr>
              <w:spacing w:before="100" w:beforeAutospacing="1" w:after="100" w:afterAutospacing="1" w:line="240" w:lineRule="auto"/>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 xml:space="preserve">1617P Ambient conditions::change MW </w:t>
            </w:r>
            <w:proofErr w:type="spellStart"/>
            <w:r>
              <w:rPr>
                <w:rFonts w:asciiTheme="minorHAnsi" w:eastAsia="Times New Roman" w:hAnsiTheme="minorHAnsi" w:cstheme="minorHAnsi"/>
                <w:bCs/>
                <w:sz w:val="16"/>
                <w:szCs w:val="16"/>
                <w:lang w:eastAsia="en-AU"/>
              </w:rPr>
              <w:t>distrib</w:t>
            </w:r>
            <w:proofErr w:type="spellEnd"/>
            <w:r>
              <w:rPr>
                <w:rFonts w:asciiTheme="minorHAnsi" w:eastAsia="Times New Roman" w:hAnsiTheme="minorHAnsi" w:cstheme="minorHAnsi"/>
                <w:bCs/>
                <w:sz w:val="16"/>
                <w:szCs w:val="16"/>
                <w:lang w:eastAsia="en-AU"/>
              </w:rPr>
              <w:t>.</w:t>
            </w:r>
          </w:p>
        </w:tc>
      </w:tr>
      <w:tr w:rsidR="002374FD" w:rsidRPr="00720A32" w:rsidTr="00993358">
        <w:trPr>
          <w:cnfStyle w:val="000000100000" w:firstRow="0" w:lastRow="0" w:firstColumn="0" w:lastColumn="0" w:oddVBand="0" w:evenVBand="0" w:oddHBand="1" w:evenHBand="0" w:firstRowFirstColumn="0" w:firstRowLastColumn="0" w:lastRowFirstColumn="0" w:lastRowLastColumn="0"/>
          <w:trHeight w:val="673"/>
        </w:trPr>
        <w:tc>
          <w:tcPr>
            <w:tcW w:w="959" w:type="dxa"/>
            <w:vAlign w:val="center"/>
          </w:tcPr>
          <w:p w:rsidR="002374FD" w:rsidRPr="00720A32" w:rsidRDefault="002374FD" w:rsidP="00993358">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4.39 pm</w:t>
            </w:r>
          </w:p>
        </w:tc>
        <w:tc>
          <w:tcPr>
            <w:tcW w:w="992" w:type="dxa"/>
            <w:vAlign w:val="center"/>
          </w:tcPr>
          <w:p w:rsidR="002374FD" w:rsidRPr="00720A32" w:rsidRDefault="00051160"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4.50 pm</w:t>
            </w:r>
          </w:p>
        </w:tc>
        <w:tc>
          <w:tcPr>
            <w:tcW w:w="1363" w:type="dxa"/>
            <w:vAlign w:val="center"/>
          </w:tcPr>
          <w:p w:rsidR="002374FD" w:rsidRPr="00B83745" w:rsidRDefault="002374FD"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Millmerran Energy Trader</w:t>
            </w:r>
          </w:p>
        </w:tc>
        <w:tc>
          <w:tcPr>
            <w:tcW w:w="1047" w:type="dxa"/>
            <w:vAlign w:val="center"/>
          </w:tcPr>
          <w:p w:rsidR="002374FD" w:rsidRPr="00720A32" w:rsidRDefault="002374FD"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Millmerran</w:t>
            </w:r>
          </w:p>
        </w:tc>
        <w:tc>
          <w:tcPr>
            <w:tcW w:w="992" w:type="dxa"/>
            <w:vAlign w:val="center"/>
          </w:tcPr>
          <w:p w:rsidR="002374FD" w:rsidRPr="00720A32" w:rsidRDefault="002374FD"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10</w:t>
            </w:r>
          </w:p>
        </w:tc>
        <w:tc>
          <w:tcPr>
            <w:tcW w:w="969" w:type="dxa"/>
            <w:vAlign w:val="center"/>
          </w:tcPr>
          <w:p w:rsidR="002374FD" w:rsidRPr="00720A32" w:rsidRDefault="002374FD"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7</w:t>
            </w:r>
          </w:p>
        </w:tc>
        <w:tc>
          <w:tcPr>
            <w:tcW w:w="971" w:type="dxa"/>
            <w:vAlign w:val="center"/>
          </w:tcPr>
          <w:p w:rsidR="002374FD" w:rsidRPr="00720A32" w:rsidRDefault="002374FD"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13 500</w:t>
            </w:r>
          </w:p>
        </w:tc>
        <w:tc>
          <w:tcPr>
            <w:tcW w:w="1887" w:type="dxa"/>
            <w:vAlign w:val="center"/>
          </w:tcPr>
          <w:p w:rsidR="002374FD" w:rsidRPr="00720A32" w:rsidRDefault="002374FD" w:rsidP="002374FD">
            <w:pPr>
              <w:spacing w:before="100" w:beforeAutospacing="1" w:after="100" w:afterAutospacing="1" w:line="240" w:lineRule="auto"/>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16:37 A change in 5min PD dispatch gen-SL</w:t>
            </w:r>
          </w:p>
        </w:tc>
      </w:tr>
      <w:tr w:rsidR="00051160" w:rsidRPr="00720A32" w:rsidTr="00993358">
        <w:trPr>
          <w:cnfStyle w:val="000000010000" w:firstRow="0" w:lastRow="0" w:firstColumn="0" w:lastColumn="0" w:oddVBand="0" w:evenVBand="0" w:oddHBand="0" w:evenHBand="1" w:firstRowFirstColumn="0" w:firstRowLastColumn="0" w:lastRowFirstColumn="0" w:lastRowLastColumn="0"/>
          <w:trHeight w:val="673"/>
        </w:trPr>
        <w:tc>
          <w:tcPr>
            <w:tcW w:w="959" w:type="dxa"/>
            <w:vAlign w:val="center"/>
          </w:tcPr>
          <w:p w:rsidR="00051160" w:rsidRDefault="00051160" w:rsidP="00993358">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4.58 pm</w:t>
            </w:r>
          </w:p>
        </w:tc>
        <w:tc>
          <w:tcPr>
            <w:tcW w:w="992" w:type="dxa"/>
            <w:vAlign w:val="center"/>
          </w:tcPr>
          <w:p w:rsidR="00051160" w:rsidRDefault="00051160"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5.05 pm</w:t>
            </w:r>
          </w:p>
        </w:tc>
        <w:tc>
          <w:tcPr>
            <w:tcW w:w="1363" w:type="dxa"/>
            <w:vAlign w:val="center"/>
          </w:tcPr>
          <w:p w:rsidR="00051160" w:rsidRDefault="0005116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Callide Power Trading</w:t>
            </w:r>
          </w:p>
        </w:tc>
        <w:tc>
          <w:tcPr>
            <w:tcW w:w="1047" w:type="dxa"/>
            <w:vAlign w:val="center"/>
          </w:tcPr>
          <w:p w:rsidR="00051160" w:rsidRDefault="00051160"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Callide C</w:t>
            </w:r>
          </w:p>
        </w:tc>
        <w:tc>
          <w:tcPr>
            <w:tcW w:w="992" w:type="dxa"/>
            <w:vAlign w:val="center"/>
          </w:tcPr>
          <w:p w:rsidR="00051160" w:rsidRDefault="00051160"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30</w:t>
            </w:r>
          </w:p>
        </w:tc>
        <w:tc>
          <w:tcPr>
            <w:tcW w:w="969" w:type="dxa"/>
            <w:vAlign w:val="center"/>
          </w:tcPr>
          <w:p w:rsidR="00051160" w:rsidRDefault="00051160"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&lt;19</w:t>
            </w:r>
          </w:p>
        </w:tc>
        <w:tc>
          <w:tcPr>
            <w:tcW w:w="971" w:type="dxa"/>
            <w:vAlign w:val="center"/>
          </w:tcPr>
          <w:p w:rsidR="00051160" w:rsidRDefault="00051160"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13 500</w:t>
            </w:r>
          </w:p>
        </w:tc>
        <w:tc>
          <w:tcPr>
            <w:tcW w:w="1887" w:type="dxa"/>
            <w:vAlign w:val="center"/>
          </w:tcPr>
          <w:p w:rsidR="00051160" w:rsidRDefault="00051160" w:rsidP="00993358">
            <w:pPr>
              <w:spacing w:before="100" w:beforeAutospacing="1" w:after="100" w:afterAutospacing="1" w:line="240" w:lineRule="auto"/>
              <w:rPr>
                <w:rFonts w:asciiTheme="minorHAnsi" w:eastAsia="Times New Roman" w:hAnsiTheme="minorHAnsi" w:cstheme="minorHAnsi"/>
                <w:bCs/>
                <w:sz w:val="16"/>
                <w:szCs w:val="16"/>
                <w:lang w:eastAsia="en-AU"/>
              </w:rPr>
            </w:pPr>
            <w:r>
              <w:rPr>
                <w:rFonts w:cs="Arial"/>
                <w:sz w:val="16"/>
                <w:szCs w:val="16"/>
              </w:rPr>
              <w:t>1657A RRP below PD</w:t>
            </w:r>
          </w:p>
        </w:tc>
      </w:tr>
      <w:tr w:rsidR="002374FD" w:rsidRPr="00720A32" w:rsidTr="00993358">
        <w:trPr>
          <w:cnfStyle w:val="000000100000" w:firstRow="0" w:lastRow="0" w:firstColumn="0" w:lastColumn="0" w:oddVBand="0" w:evenVBand="0" w:oddHBand="1" w:evenHBand="0" w:firstRowFirstColumn="0" w:firstRowLastColumn="0" w:lastRowFirstColumn="0" w:lastRowLastColumn="0"/>
          <w:trHeight w:val="673"/>
        </w:trPr>
        <w:tc>
          <w:tcPr>
            <w:tcW w:w="959" w:type="dxa"/>
            <w:vAlign w:val="center"/>
          </w:tcPr>
          <w:p w:rsidR="002374FD" w:rsidRPr="00720A32" w:rsidRDefault="002374FD" w:rsidP="00993358">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4.58 pm</w:t>
            </w:r>
          </w:p>
        </w:tc>
        <w:tc>
          <w:tcPr>
            <w:tcW w:w="992" w:type="dxa"/>
            <w:vAlign w:val="center"/>
          </w:tcPr>
          <w:p w:rsidR="002374FD" w:rsidRPr="00720A32" w:rsidRDefault="002374FD"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5.05 pm</w:t>
            </w:r>
          </w:p>
        </w:tc>
        <w:tc>
          <w:tcPr>
            <w:tcW w:w="1363" w:type="dxa"/>
            <w:vAlign w:val="center"/>
          </w:tcPr>
          <w:p w:rsidR="002374FD" w:rsidRPr="00B83745" w:rsidRDefault="002374FD"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Millmerran Energy Trader</w:t>
            </w:r>
          </w:p>
        </w:tc>
        <w:tc>
          <w:tcPr>
            <w:tcW w:w="1047" w:type="dxa"/>
            <w:vAlign w:val="center"/>
          </w:tcPr>
          <w:p w:rsidR="002374FD" w:rsidRPr="00720A32" w:rsidRDefault="002374FD" w:rsidP="00510830">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Millmerran</w:t>
            </w:r>
          </w:p>
        </w:tc>
        <w:tc>
          <w:tcPr>
            <w:tcW w:w="992" w:type="dxa"/>
            <w:vAlign w:val="center"/>
          </w:tcPr>
          <w:p w:rsidR="002374FD" w:rsidRPr="00720A32" w:rsidRDefault="002374FD"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25</w:t>
            </w:r>
          </w:p>
        </w:tc>
        <w:tc>
          <w:tcPr>
            <w:tcW w:w="969" w:type="dxa"/>
            <w:vAlign w:val="center"/>
          </w:tcPr>
          <w:p w:rsidR="002374FD" w:rsidRPr="00720A32" w:rsidRDefault="002374FD"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7</w:t>
            </w:r>
          </w:p>
        </w:tc>
        <w:tc>
          <w:tcPr>
            <w:tcW w:w="971" w:type="dxa"/>
            <w:vAlign w:val="center"/>
          </w:tcPr>
          <w:p w:rsidR="002374FD" w:rsidRPr="00720A32" w:rsidRDefault="002374FD"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13 500</w:t>
            </w:r>
          </w:p>
        </w:tc>
        <w:tc>
          <w:tcPr>
            <w:tcW w:w="1887" w:type="dxa"/>
            <w:vAlign w:val="center"/>
          </w:tcPr>
          <w:p w:rsidR="002374FD" w:rsidRPr="00720A32" w:rsidRDefault="002374FD" w:rsidP="00993358">
            <w:pPr>
              <w:spacing w:before="100" w:beforeAutospacing="1" w:after="100" w:afterAutospacing="1" w:line="240" w:lineRule="auto"/>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16:57 A RRP below PD</w:t>
            </w:r>
          </w:p>
        </w:tc>
      </w:tr>
    </w:tbl>
    <w:p w:rsidR="00F77130" w:rsidRDefault="00B9227A" w:rsidP="00F77130">
      <w:pPr>
        <w:jc w:val="both"/>
      </w:pPr>
      <w:r>
        <w:t>The dispatch price reached $10 899/MWh at 5.05 pm when O</w:t>
      </w:r>
      <w:r w:rsidR="00B03723">
        <w:t>rigin</w:t>
      </w:r>
      <w:r>
        <w:t xml:space="preserve"> Energy’s </w:t>
      </w:r>
      <w:r w:rsidR="00B03723">
        <w:t>Mt Stua</w:t>
      </w:r>
      <w:r>
        <w:t>r</w:t>
      </w:r>
      <w:r w:rsidR="00B03723">
        <w:t>t 4.36</w:t>
      </w:r>
      <w:r>
        <w:t xml:space="preserve"> pm </w:t>
      </w:r>
      <w:r w:rsidR="00B03723">
        <w:t xml:space="preserve">rebid was </w:t>
      </w:r>
      <w:r>
        <w:t>no longer effective</w:t>
      </w:r>
      <w:r w:rsidR="00051160">
        <w:t xml:space="preserve"> and Callide Power and Millmerran’s rebids became effective</w:t>
      </w:r>
      <w:r>
        <w:t>.</w:t>
      </w:r>
    </w:p>
    <w:p w:rsidR="007032F4" w:rsidRDefault="007032F4" w:rsidP="00F77130">
      <w:pPr>
        <w:jc w:val="both"/>
      </w:pPr>
    </w:p>
    <w:p w:rsidR="00275002" w:rsidRPr="00F33F2D" w:rsidRDefault="00275002" w:rsidP="005F6ADE">
      <w:pPr>
        <w:pStyle w:val="Heading2"/>
      </w:pPr>
      <w:r w:rsidRPr="00F33F2D">
        <w:t>Financial markets</w:t>
      </w:r>
    </w:p>
    <w:p w:rsidR="00275002" w:rsidRPr="0031019A" w:rsidRDefault="00275002" w:rsidP="009A3D22">
      <w:pPr>
        <w:jc w:val="both"/>
      </w:pPr>
      <w:r w:rsidRPr="00F33F2D">
        <w:fldChar w:fldCharType="begin"/>
      </w:r>
      <w:r w:rsidRPr="00F33F2D">
        <w:instrText xml:space="preserve"> REF _Ref410386540 \h </w:instrText>
      </w:r>
      <w:r w:rsidR="009A3D22" w:rsidRPr="00F33F2D">
        <w:instrText xml:space="preserve"> \* MERGEFORMAT </w:instrText>
      </w:r>
      <w:r w:rsidRPr="00F33F2D">
        <w:fldChar w:fldCharType="separate"/>
      </w:r>
      <w:r w:rsidR="00CF5BD9">
        <w:t xml:space="preserve">Figure </w:t>
      </w:r>
      <w:r w:rsidR="00CF5BD9">
        <w:rPr>
          <w:noProof/>
        </w:rPr>
        <w:t>9</w:t>
      </w:r>
      <w:r w:rsidRPr="00F33F2D">
        <w:fldChar w:fldCharType="end"/>
      </w:r>
      <w:r w:rsidRPr="00F33F2D">
        <w:t xml:space="preserve"> shows for all mainland regions the prices for base contracts (and total traded quantities for the week) for each quarter for the next four financial years.</w:t>
      </w:r>
      <w:r w:rsidRPr="0031019A">
        <w:t xml:space="preserve"> </w:t>
      </w:r>
    </w:p>
    <w:p w:rsidR="004E13F5" w:rsidRDefault="00275002" w:rsidP="004E13F5">
      <w:pPr>
        <w:pStyle w:val="Caption"/>
        <w:rPr>
          <w:noProof/>
          <w:lang w:eastAsia="en-AU"/>
        </w:rPr>
      </w:pPr>
      <w:bookmarkStart w:id="18" w:name="_Ref410386540"/>
      <w:r>
        <w:t xml:space="preserve">Figure </w:t>
      </w:r>
      <w:fldSimple w:instr=" SEQ Figure \* ARABIC ">
        <w:r w:rsidR="00CF5BD9">
          <w:rPr>
            <w:noProof/>
          </w:rPr>
          <w:t>9</w:t>
        </w:r>
      </w:fldSimple>
      <w:bookmarkEnd w:id="18"/>
      <w:r>
        <w:t xml:space="preserve"> : </w:t>
      </w:r>
      <w:r w:rsidRPr="007A6ACB">
        <w:t>Quarterly base future prices Q1 2015 – Q4 2018</w:t>
      </w:r>
    </w:p>
    <w:p w:rsidR="004E13F5" w:rsidRPr="004E13F5" w:rsidRDefault="001805BB" w:rsidP="004E13F5">
      <w:pPr>
        <w:rPr>
          <w:lang w:eastAsia="en-AU"/>
        </w:rPr>
      </w:pPr>
      <w:r w:rsidRPr="001805BB">
        <w:rPr>
          <w:noProof/>
          <w:lang w:eastAsia="en-AU"/>
        </w:rPr>
        <w:drawing>
          <wp:inline distT="0" distB="0" distL="0" distR="0" wp14:anchorId="68C7D747" wp14:editId="559ABF25">
            <wp:extent cx="5731510" cy="2881618"/>
            <wp:effectExtent l="0" t="0" r="2540" b="0"/>
            <wp:docPr id="22" name="Picture 22" descr="Figure 9 shows for all mainland regions the prices for base contracts (and total traded quantities for the week) for each quarter for the next four financial years.     &#10;" title="Figure 9 : Quarterly base future prices Q1 2015 – Q4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1618"/>
                    </a:xfrm>
                    <a:prstGeom prst="rect">
                      <a:avLst/>
                    </a:prstGeom>
                    <a:noFill/>
                    <a:ln>
                      <a:noFill/>
                    </a:ln>
                  </pic:spPr>
                </pic:pic>
              </a:graphicData>
            </a:graphic>
          </wp:inline>
        </w:drawing>
      </w:r>
    </w:p>
    <w:p w:rsidR="00275002" w:rsidRPr="002A7439" w:rsidRDefault="00275002" w:rsidP="00275002">
      <w:pPr>
        <w:rPr>
          <w:rStyle w:val="SourceChar"/>
        </w:rPr>
      </w:pPr>
      <w:r w:rsidRPr="002A7439">
        <w:rPr>
          <w:rStyle w:val="SourceChar"/>
        </w:rPr>
        <w:t xml:space="preserve">Source: </w:t>
      </w:r>
      <w:hyperlink r:id="rId21" w:history="1">
        <w:r w:rsidRPr="002A7439">
          <w:rPr>
            <w:rStyle w:val="SourceChar"/>
          </w:rPr>
          <w:t>ASXEnergy.com.au</w:t>
        </w:r>
      </w:hyperlink>
    </w:p>
    <w:p w:rsidR="00275002" w:rsidRPr="0031019A" w:rsidRDefault="00275002" w:rsidP="009A3D22">
      <w:pPr>
        <w:jc w:val="both"/>
      </w:pPr>
      <w:r>
        <w:fldChar w:fldCharType="begin"/>
      </w:r>
      <w:r>
        <w:instrText xml:space="preserve"> REF _Ref410380382 \h </w:instrText>
      </w:r>
      <w:r w:rsidR="009A3D22">
        <w:instrText xml:space="preserve"> \* MERGEFORMAT </w:instrText>
      </w:r>
      <w:r>
        <w:fldChar w:fldCharType="separate"/>
      </w:r>
      <w:r w:rsidR="00CF5BD9">
        <w:t xml:space="preserve">Figure </w:t>
      </w:r>
      <w:r w:rsidR="00CF5BD9">
        <w:rPr>
          <w:noProof/>
        </w:rPr>
        <w:t>10</w:t>
      </w:r>
      <w:r>
        <w:fldChar w:fldCharType="end"/>
      </w:r>
      <w:r>
        <w:t xml:space="preserve"> </w:t>
      </w:r>
      <w:r w:rsidRPr="0031019A">
        <w:t xml:space="preserve">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w:t>
      </w:r>
    </w:p>
    <w:p w:rsidR="00275002" w:rsidRDefault="00275002" w:rsidP="000E2946">
      <w:pPr>
        <w:pStyle w:val="Caption"/>
      </w:pPr>
      <w:bookmarkStart w:id="19" w:name="_Ref410380382"/>
      <w:r>
        <w:t xml:space="preserve">Figure </w:t>
      </w:r>
      <w:fldSimple w:instr=" SEQ Figure \* ARABIC ">
        <w:r w:rsidR="00CF5BD9">
          <w:rPr>
            <w:noProof/>
          </w:rPr>
          <w:t>10</w:t>
        </w:r>
      </w:fldSimple>
      <w:bookmarkEnd w:id="19"/>
      <w:r>
        <w:t xml:space="preserve"> </w:t>
      </w:r>
      <w:r w:rsidRPr="00DF093A">
        <w:t>: Price of Q1 2015 base contracts over the past 10 weeks (and the past 2 years)</w:t>
      </w:r>
    </w:p>
    <w:p w:rsidR="00275002" w:rsidRPr="0031019A" w:rsidRDefault="001805BB" w:rsidP="00275002">
      <w:r w:rsidRPr="001805BB">
        <w:rPr>
          <w:noProof/>
          <w:lang w:eastAsia="en-AU"/>
        </w:rPr>
        <w:drawing>
          <wp:inline distT="0" distB="0" distL="0" distR="0" wp14:anchorId="2CA3CE0D" wp14:editId="232499DF">
            <wp:extent cx="5731510" cy="2897658"/>
            <wp:effectExtent l="0" t="0" r="2540" b="0"/>
            <wp:docPr id="23" name="Picture 23" descr="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10;" title="Figure 10 : Price of Q1 2015 base contracts over the past 10 weeks (and the past 2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897658"/>
                    </a:xfrm>
                    <a:prstGeom prst="rect">
                      <a:avLst/>
                    </a:prstGeom>
                    <a:noFill/>
                    <a:ln>
                      <a:noFill/>
                    </a:ln>
                  </pic:spPr>
                </pic:pic>
              </a:graphicData>
            </a:graphic>
          </wp:inline>
        </w:drawing>
      </w:r>
    </w:p>
    <w:p w:rsidR="00275002" w:rsidRPr="0031019A" w:rsidRDefault="00275002" w:rsidP="002A7439">
      <w:pPr>
        <w:pStyle w:val="Source"/>
      </w:pPr>
      <w:r w:rsidRPr="0031019A">
        <w:t>Note: Base contract prices are shown for each of the current week and the previous 9 weeks, with average prices shown for yearly periods 1 and 2 years prior to the current year</w:t>
      </w:r>
      <w:r w:rsidR="00D615F9">
        <w:t>.</w:t>
      </w:r>
    </w:p>
    <w:p w:rsidR="00275002" w:rsidRPr="002A7439" w:rsidRDefault="00275002" w:rsidP="002A7439">
      <w:pPr>
        <w:pStyle w:val="Source"/>
      </w:pPr>
      <w:r w:rsidRPr="002A7439">
        <w:t xml:space="preserve">Source: </w:t>
      </w:r>
      <w:hyperlink r:id="rId23" w:history="1">
        <w:r w:rsidRPr="002A7439">
          <w:rPr>
            <w:rStyle w:val="Hyperlink"/>
            <w:color w:val="auto"/>
            <w:sz w:val="16"/>
            <w:u w:val="none"/>
          </w:rPr>
          <w:t>ASXEnergy.com.au</w:t>
        </w:r>
      </w:hyperlink>
    </w:p>
    <w:p w:rsidR="00275002" w:rsidRPr="0031019A" w:rsidRDefault="00275002" w:rsidP="009A3D22">
      <w:pPr>
        <w:jc w:val="both"/>
      </w:pPr>
      <w:r w:rsidRPr="0031019A">
        <w:t xml:space="preserve">Prices of other financial products (including longer-term price trends) are available in the </w:t>
      </w:r>
      <w:hyperlink r:id="rId24" w:history="1">
        <w:r w:rsidR="001805BB">
          <w:rPr>
            <w:rStyle w:val="Hyperlink"/>
          </w:rPr>
          <w:t>Industry Statistics</w:t>
        </w:r>
      </w:hyperlink>
      <w:r w:rsidR="00D615F9">
        <w:t xml:space="preserve"> s</w:t>
      </w:r>
      <w:r w:rsidRPr="0031019A">
        <w:t>ection of our website.</w:t>
      </w:r>
    </w:p>
    <w:p w:rsidR="00275002" w:rsidRPr="0031019A" w:rsidRDefault="007032F4" w:rsidP="009A3D22">
      <w:pPr>
        <w:jc w:val="both"/>
      </w:pPr>
      <w:r>
        <w:fldChar w:fldCharType="begin"/>
      </w:r>
      <w:r>
        <w:instrText xml:space="preserve"> REF _Ref416272090 \h </w:instrText>
      </w:r>
      <w:r>
        <w:fldChar w:fldCharType="separate"/>
      </w:r>
      <w:r w:rsidR="00CF5BD9">
        <w:t xml:space="preserve">Figure </w:t>
      </w:r>
      <w:r w:rsidR="00CF5BD9">
        <w:rPr>
          <w:noProof/>
        </w:rPr>
        <w:t>11</w:t>
      </w:r>
      <w:r>
        <w:fldChar w:fldCharType="end"/>
      </w:r>
      <w:r>
        <w:t xml:space="preserve"> </w:t>
      </w:r>
      <w:r w:rsidR="00275002" w:rsidRPr="0031019A">
        <w:t xml:space="preserve">shows how the price for each regional Quarter 1 2015 cap contract has changed over the last 10 weeks (as well as the total number of trades each week). The closing quarter 1 2013 and quarter 1 2014 prices are also shown. </w:t>
      </w:r>
    </w:p>
    <w:p w:rsidR="00275002" w:rsidRDefault="00275002" w:rsidP="000E2946">
      <w:pPr>
        <w:pStyle w:val="Caption"/>
      </w:pPr>
      <w:bookmarkStart w:id="20" w:name="_Ref416272090"/>
      <w:bookmarkStart w:id="21" w:name="_Ref410744936"/>
      <w:r>
        <w:t xml:space="preserve">Figure </w:t>
      </w:r>
      <w:fldSimple w:instr=" SEQ Figure \* ARABIC ">
        <w:r w:rsidR="00CF5BD9">
          <w:rPr>
            <w:noProof/>
          </w:rPr>
          <w:t>11</w:t>
        </w:r>
      </w:fldSimple>
      <w:bookmarkEnd w:id="20"/>
      <w:r>
        <w:t xml:space="preserve"> </w:t>
      </w:r>
      <w:r w:rsidRPr="0074419D">
        <w:t>: Price of Q1 2015 cap contracts over the past 10 weeks (and the past 2 years)</w:t>
      </w:r>
      <w:bookmarkEnd w:id="21"/>
    </w:p>
    <w:p w:rsidR="00275002" w:rsidRPr="002A7439" w:rsidRDefault="003E144D" w:rsidP="007032F4">
      <w:r w:rsidRPr="003E144D">
        <w:rPr>
          <w:noProof/>
          <w:lang w:eastAsia="en-AU"/>
        </w:rPr>
        <w:drawing>
          <wp:inline distT="0" distB="0" distL="0" distR="0" wp14:anchorId="27C35F75" wp14:editId="0D31E32C">
            <wp:extent cx="6105238" cy="3062378"/>
            <wp:effectExtent l="0" t="0" r="0" b="5080"/>
            <wp:docPr id="1" name="Picture 1" descr="Figure 11 shows how the price for each regional Quarter 1 2015 cap contract has changed over the last 10 weeks (as well as the total number of trades each week). The closing quarter 1 2013 and quarter 1 2014 prices are also sh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05582" cy="3062550"/>
                    </a:xfrm>
                    <a:prstGeom prst="rect">
                      <a:avLst/>
                    </a:prstGeom>
                    <a:noFill/>
                    <a:ln>
                      <a:noFill/>
                    </a:ln>
                  </pic:spPr>
                </pic:pic>
              </a:graphicData>
            </a:graphic>
          </wp:inline>
        </w:drawing>
      </w:r>
      <w:r w:rsidR="00275002" w:rsidRPr="002A7439">
        <w:t xml:space="preserve">Source: </w:t>
      </w:r>
      <w:hyperlink r:id="rId26" w:history="1">
        <w:r w:rsidR="00275002" w:rsidRPr="002A7439">
          <w:rPr>
            <w:rStyle w:val="Hyperlink"/>
            <w:color w:val="auto"/>
            <w:sz w:val="16"/>
            <w:u w:val="none"/>
          </w:rPr>
          <w:t>ASXEnergy.com.au</w:t>
        </w:r>
      </w:hyperlink>
    </w:p>
    <w:p w:rsidR="00275002" w:rsidRPr="0031019A" w:rsidRDefault="00275002" w:rsidP="00275002">
      <w:pPr>
        <w:pStyle w:val="Heading4notnumbered"/>
      </w:pPr>
      <w:r w:rsidRPr="0031019A">
        <w:t>Australian Energy Regulator</w:t>
      </w:r>
    </w:p>
    <w:p w:rsidR="00275002" w:rsidRPr="0031019A" w:rsidRDefault="00B03723" w:rsidP="00275002">
      <w:pPr>
        <w:pStyle w:val="Heading4notnumbered"/>
      </w:pPr>
      <w:r>
        <w:t>April</w:t>
      </w:r>
      <w:r w:rsidR="00275002" w:rsidRPr="0031019A">
        <w:t xml:space="preserve"> 2015</w:t>
      </w:r>
    </w:p>
    <w:p w:rsidR="004E7D10" w:rsidRPr="0031019A" w:rsidRDefault="004E7D10">
      <w:pPr>
        <w:pStyle w:val="Heading4notnumbered"/>
      </w:pPr>
    </w:p>
    <w:sectPr w:rsidR="004E7D10" w:rsidRPr="0031019A" w:rsidSect="00EE347F">
      <w:footerReference w:type="even" r:id="rId27"/>
      <w:footerReference w:type="default" r:id="rId28"/>
      <w:footerReference w:type="first" r:id="rId29"/>
      <w:pgSz w:w="11906" w:h="16838"/>
      <w:pgMar w:top="1134" w:right="1440" w:bottom="1276"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0D3" w:rsidRDefault="00FF10D3" w:rsidP="004B4412">
      <w:pPr>
        <w:spacing w:before="0"/>
      </w:pPr>
      <w:r>
        <w:separator/>
      </w:r>
    </w:p>
  </w:endnote>
  <w:endnote w:type="continuationSeparator" w:id="0">
    <w:p w:rsidR="00FF10D3" w:rsidRDefault="00FF10D3"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0D3" w:rsidRPr="00A91A9E" w:rsidRDefault="00FF10D3"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FF10D3" w:rsidRDefault="00FF10D3"/>
  <w:p w:rsidR="00FF10D3" w:rsidRDefault="00FF10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0D3" w:rsidRDefault="00FF10D3"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CF5BD9">
      <w:rPr>
        <w:rFonts w:cs="Arial"/>
        <w:i/>
        <w:noProof/>
      </w:rPr>
      <w:t>11</w:t>
    </w:r>
    <w:r w:rsidRPr="001F1B78">
      <w:rPr>
        <w:rFonts w:cs="Arial"/>
        <w:i/>
        <w:noProof/>
      </w:rPr>
      <w:fldChar w:fldCharType="end"/>
    </w:r>
    <w:r w:rsidRPr="00F52F00">
      <w:rPr>
        <w:rFonts w:cs="Arial"/>
        <w:i/>
      </w:rPr>
      <w:tab/>
      <w:t>AER reference: 39220 – D1</w:t>
    </w:r>
    <w:r>
      <w:rPr>
        <w:rFonts w:cs="Arial"/>
        <w:i/>
      </w:rPr>
      <w:t>5</w:t>
    </w:r>
    <w:r w:rsidRPr="00F52F00">
      <w:rPr>
        <w:rFonts w:cs="Arial"/>
        <w:i/>
      </w:rPr>
      <w:t>/</w:t>
    </w:r>
    <w:r>
      <w:rPr>
        <w:rFonts w:cs="Arial"/>
        <w:i/>
      </w:rPr>
      <w:t>37471</w:t>
    </w:r>
  </w:p>
  <w:p w:rsidR="00FF10D3" w:rsidRPr="00A94D89" w:rsidRDefault="00FF10D3" w:rsidP="00A94D89">
    <w:pPr>
      <w:pStyle w:val="Footer"/>
      <w:pBdr>
        <w:top w:val="single" w:sz="4" w:space="1" w:color="auto"/>
      </w:pBdr>
      <w:rPr>
        <w:rFonts w:cs="Arial"/>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0D3" w:rsidRPr="00A94D89" w:rsidRDefault="00FF10D3"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CF5BD9">
      <w:rPr>
        <w:rFonts w:cs="Arial"/>
        <w:i/>
        <w:noProof/>
      </w:rPr>
      <w:t>1</w:t>
    </w:r>
    <w:r w:rsidRPr="001F1B78">
      <w:rPr>
        <w:rFonts w:cs="Arial"/>
        <w:i/>
        <w:noProof/>
      </w:rPr>
      <w:fldChar w:fldCharType="end"/>
    </w:r>
    <w:r w:rsidRPr="00F52F00">
      <w:rPr>
        <w:rFonts w:cs="Arial"/>
        <w:i/>
      </w:rPr>
      <w:tab/>
      <w:t>AER reference: 39220 – D1</w:t>
    </w:r>
    <w:r>
      <w:rPr>
        <w:rFonts w:cs="Arial"/>
        <w:i/>
      </w:rPr>
      <w:t>5</w:t>
    </w:r>
    <w:r w:rsidRPr="00F52F00">
      <w:rPr>
        <w:rFonts w:cs="Arial"/>
        <w:i/>
      </w:rPr>
      <w:t>/</w:t>
    </w:r>
    <w:r>
      <w:rPr>
        <w:rFonts w:cs="Arial"/>
        <w:i/>
      </w:rPr>
      <w:t>37471</w:t>
    </w:r>
  </w:p>
  <w:p w:rsidR="00FF10D3" w:rsidRDefault="00FF10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0D3" w:rsidRDefault="00FF10D3" w:rsidP="004B4412">
      <w:pPr>
        <w:spacing w:before="0"/>
      </w:pPr>
      <w:r>
        <w:separator/>
      </w:r>
    </w:p>
  </w:footnote>
  <w:footnote w:type="continuationSeparator" w:id="0">
    <w:p w:rsidR="00FF10D3" w:rsidRDefault="00FF10D3"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9">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0">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1">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4">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7">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29">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7">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9">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18"/>
  </w:num>
  <w:num w:numId="3">
    <w:abstractNumId w:val="15"/>
  </w:num>
  <w:num w:numId="4">
    <w:abstractNumId w:val="39"/>
  </w:num>
  <w:num w:numId="5">
    <w:abstractNumId w:val="14"/>
  </w:num>
  <w:num w:numId="6">
    <w:abstractNumId w:val="27"/>
  </w:num>
  <w:num w:numId="7">
    <w:abstractNumId w:val="42"/>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8"/>
  </w:num>
  <w:num w:numId="18">
    <w:abstractNumId w:val="28"/>
  </w:num>
  <w:num w:numId="19">
    <w:abstractNumId w:val="18"/>
    <w:lvlOverride w:ilvl="0">
      <w:startOverride w:val="1"/>
    </w:lvlOverride>
  </w:num>
  <w:num w:numId="20">
    <w:abstractNumId w:val="24"/>
  </w:num>
  <w:num w:numId="21">
    <w:abstractNumId w:val="26"/>
  </w:num>
  <w:num w:numId="22">
    <w:abstractNumId w:val="20"/>
  </w:num>
  <w:num w:numId="23">
    <w:abstractNumId w:val="37"/>
  </w:num>
  <w:num w:numId="24">
    <w:abstractNumId w:val="41"/>
  </w:num>
  <w:num w:numId="25">
    <w:abstractNumId w:val="35"/>
  </w:num>
  <w:num w:numId="26">
    <w:abstractNumId w:val="16"/>
  </w:num>
  <w:num w:numId="27">
    <w:abstractNumId w:val="11"/>
  </w:num>
  <w:num w:numId="28">
    <w:abstractNumId w:val="25"/>
  </w:num>
  <w:num w:numId="29">
    <w:abstractNumId w:val="13"/>
  </w:num>
  <w:num w:numId="30">
    <w:abstractNumId w:val="29"/>
  </w:num>
  <w:num w:numId="31">
    <w:abstractNumId w:val="10"/>
  </w:num>
  <w:num w:numId="32">
    <w:abstractNumId w:val="19"/>
  </w:num>
  <w:num w:numId="33">
    <w:abstractNumId w:val="33"/>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1"/>
  </w:num>
  <w:num w:numId="37">
    <w:abstractNumId w:val="30"/>
  </w:num>
  <w:num w:numId="38">
    <w:abstractNumId w:val="12"/>
  </w:num>
  <w:num w:numId="39">
    <w:abstractNumId w:val="23"/>
  </w:num>
  <w:num w:numId="40">
    <w:abstractNumId w:val="31"/>
  </w:num>
  <w:num w:numId="41">
    <w:abstractNumId w:val="40"/>
  </w:num>
  <w:num w:numId="42">
    <w:abstractNumId w:val="36"/>
  </w:num>
  <w:num w:numId="43">
    <w:abstractNumId w:val="17"/>
  </w:num>
  <w:num w:numId="44">
    <w:abstractNumId w:val="9"/>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552\20150315 - 20150321 Electricity Weekly Report.docx"/>
  </w:docVars>
  <w:rsids>
    <w:rsidRoot w:val="00275002"/>
    <w:rsid w:val="00003286"/>
    <w:rsid w:val="00021202"/>
    <w:rsid w:val="00022F09"/>
    <w:rsid w:val="000316E7"/>
    <w:rsid w:val="0003578C"/>
    <w:rsid w:val="00051160"/>
    <w:rsid w:val="00051880"/>
    <w:rsid w:val="00061CE2"/>
    <w:rsid w:val="00063247"/>
    <w:rsid w:val="00070F9F"/>
    <w:rsid w:val="0007137B"/>
    <w:rsid w:val="00085663"/>
    <w:rsid w:val="00085EBF"/>
    <w:rsid w:val="00094D20"/>
    <w:rsid w:val="0009584C"/>
    <w:rsid w:val="000A6FA6"/>
    <w:rsid w:val="000B22E7"/>
    <w:rsid w:val="000D122C"/>
    <w:rsid w:val="000D2751"/>
    <w:rsid w:val="000D6002"/>
    <w:rsid w:val="000E14E0"/>
    <w:rsid w:val="000E1819"/>
    <w:rsid w:val="000E2946"/>
    <w:rsid w:val="000E6C72"/>
    <w:rsid w:val="000E77BB"/>
    <w:rsid w:val="00116EB2"/>
    <w:rsid w:val="00124609"/>
    <w:rsid w:val="00127CAB"/>
    <w:rsid w:val="001373F1"/>
    <w:rsid w:val="00141541"/>
    <w:rsid w:val="001536DC"/>
    <w:rsid w:val="00155113"/>
    <w:rsid w:val="001573E4"/>
    <w:rsid w:val="00160756"/>
    <w:rsid w:val="00163B72"/>
    <w:rsid w:val="0017232E"/>
    <w:rsid w:val="00174102"/>
    <w:rsid w:val="00180157"/>
    <w:rsid w:val="001805BB"/>
    <w:rsid w:val="00186F77"/>
    <w:rsid w:val="001926A4"/>
    <w:rsid w:val="00194835"/>
    <w:rsid w:val="001A5CAD"/>
    <w:rsid w:val="001B45A0"/>
    <w:rsid w:val="001C1BC0"/>
    <w:rsid w:val="001C49F9"/>
    <w:rsid w:val="001D055E"/>
    <w:rsid w:val="001D0CE3"/>
    <w:rsid w:val="001D164D"/>
    <w:rsid w:val="001E01B4"/>
    <w:rsid w:val="001F1B78"/>
    <w:rsid w:val="001F492E"/>
    <w:rsid w:val="001F6DA3"/>
    <w:rsid w:val="001F772F"/>
    <w:rsid w:val="0020489F"/>
    <w:rsid w:val="00214FBA"/>
    <w:rsid w:val="00224DB9"/>
    <w:rsid w:val="00236284"/>
    <w:rsid w:val="002374FD"/>
    <w:rsid w:val="00251745"/>
    <w:rsid w:val="00253002"/>
    <w:rsid w:val="00262F65"/>
    <w:rsid w:val="00263AC0"/>
    <w:rsid w:val="002649D2"/>
    <w:rsid w:val="002649D8"/>
    <w:rsid w:val="0026772D"/>
    <w:rsid w:val="00275002"/>
    <w:rsid w:val="00286874"/>
    <w:rsid w:val="00296B65"/>
    <w:rsid w:val="002A702D"/>
    <w:rsid w:val="002A7439"/>
    <w:rsid w:val="002A7DEF"/>
    <w:rsid w:val="002B28AF"/>
    <w:rsid w:val="002E64A4"/>
    <w:rsid w:val="002F7986"/>
    <w:rsid w:val="003001F5"/>
    <w:rsid w:val="003040F3"/>
    <w:rsid w:val="00307F6D"/>
    <w:rsid w:val="003177A2"/>
    <w:rsid w:val="00321853"/>
    <w:rsid w:val="003271B5"/>
    <w:rsid w:val="00331264"/>
    <w:rsid w:val="00334C8D"/>
    <w:rsid w:val="003518B3"/>
    <w:rsid w:val="00371F3A"/>
    <w:rsid w:val="00373B41"/>
    <w:rsid w:val="003846F1"/>
    <w:rsid w:val="00384A55"/>
    <w:rsid w:val="003A2F7D"/>
    <w:rsid w:val="003A41E0"/>
    <w:rsid w:val="003B674F"/>
    <w:rsid w:val="003C2B22"/>
    <w:rsid w:val="003C7208"/>
    <w:rsid w:val="003D3646"/>
    <w:rsid w:val="003E144D"/>
    <w:rsid w:val="00403473"/>
    <w:rsid w:val="00405D86"/>
    <w:rsid w:val="00420080"/>
    <w:rsid w:val="0042477B"/>
    <w:rsid w:val="00461443"/>
    <w:rsid w:val="00480B4B"/>
    <w:rsid w:val="00485DC4"/>
    <w:rsid w:val="00493B02"/>
    <w:rsid w:val="004A1CE8"/>
    <w:rsid w:val="004B2ECC"/>
    <w:rsid w:val="004B4412"/>
    <w:rsid w:val="004C348C"/>
    <w:rsid w:val="004C63B9"/>
    <w:rsid w:val="004D34AD"/>
    <w:rsid w:val="004D55BA"/>
    <w:rsid w:val="004E13F5"/>
    <w:rsid w:val="004E34E7"/>
    <w:rsid w:val="004E7D10"/>
    <w:rsid w:val="00510830"/>
    <w:rsid w:val="00521502"/>
    <w:rsid w:val="00521657"/>
    <w:rsid w:val="00522668"/>
    <w:rsid w:val="00530128"/>
    <w:rsid w:val="00531E29"/>
    <w:rsid w:val="00532467"/>
    <w:rsid w:val="00535DCE"/>
    <w:rsid w:val="00556B64"/>
    <w:rsid w:val="00564A4D"/>
    <w:rsid w:val="00567CEB"/>
    <w:rsid w:val="00571680"/>
    <w:rsid w:val="00571B35"/>
    <w:rsid w:val="00575C43"/>
    <w:rsid w:val="00577A09"/>
    <w:rsid w:val="00584D8F"/>
    <w:rsid w:val="005967D7"/>
    <w:rsid w:val="005A404D"/>
    <w:rsid w:val="005B1E3C"/>
    <w:rsid w:val="005C26CC"/>
    <w:rsid w:val="005C4659"/>
    <w:rsid w:val="005D298D"/>
    <w:rsid w:val="005D69AF"/>
    <w:rsid w:val="005E065E"/>
    <w:rsid w:val="005F6ADE"/>
    <w:rsid w:val="00612006"/>
    <w:rsid w:val="00612B60"/>
    <w:rsid w:val="00615C6B"/>
    <w:rsid w:val="00621545"/>
    <w:rsid w:val="00626221"/>
    <w:rsid w:val="00630A15"/>
    <w:rsid w:val="00632D6D"/>
    <w:rsid w:val="00642C3E"/>
    <w:rsid w:val="00663DAD"/>
    <w:rsid w:val="00676679"/>
    <w:rsid w:val="00676AD2"/>
    <w:rsid w:val="006777D7"/>
    <w:rsid w:val="00694FD6"/>
    <w:rsid w:val="006B4CF9"/>
    <w:rsid w:val="006B7AC8"/>
    <w:rsid w:val="006D550F"/>
    <w:rsid w:val="006E1E7D"/>
    <w:rsid w:val="006F3750"/>
    <w:rsid w:val="006F3FCB"/>
    <w:rsid w:val="00701CAB"/>
    <w:rsid w:val="007032F4"/>
    <w:rsid w:val="00707563"/>
    <w:rsid w:val="007120DB"/>
    <w:rsid w:val="00720A32"/>
    <w:rsid w:val="0072348C"/>
    <w:rsid w:val="00724A37"/>
    <w:rsid w:val="007303C3"/>
    <w:rsid w:val="007358FB"/>
    <w:rsid w:val="00736390"/>
    <w:rsid w:val="00743223"/>
    <w:rsid w:val="00746E01"/>
    <w:rsid w:val="007532DD"/>
    <w:rsid w:val="00761A8F"/>
    <w:rsid w:val="00762D41"/>
    <w:rsid w:val="00763E5D"/>
    <w:rsid w:val="00767740"/>
    <w:rsid w:val="00777EE6"/>
    <w:rsid w:val="00782EEA"/>
    <w:rsid w:val="007A6726"/>
    <w:rsid w:val="007B1732"/>
    <w:rsid w:val="007B2C72"/>
    <w:rsid w:val="007C1C53"/>
    <w:rsid w:val="007C7EE9"/>
    <w:rsid w:val="007D4848"/>
    <w:rsid w:val="007D4FDD"/>
    <w:rsid w:val="007E1516"/>
    <w:rsid w:val="007E4904"/>
    <w:rsid w:val="007E4CB5"/>
    <w:rsid w:val="007E6A82"/>
    <w:rsid w:val="007F066B"/>
    <w:rsid w:val="007F0F77"/>
    <w:rsid w:val="007F475F"/>
    <w:rsid w:val="008033C4"/>
    <w:rsid w:val="00806C88"/>
    <w:rsid w:val="0081034E"/>
    <w:rsid w:val="00827B48"/>
    <w:rsid w:val="008344F6"/>
    <w:rsid w:val="0083510F"/>
    <w:rsid w:val="008366CD"/>
    <w:rsid w:val="00837FC9"/>
    <w:rsid w:val="00851209"/>
    <w:rsid w:val="0085409E"/>
    <w:rsid w:val="00861AED"/>
    <w:rsid w:val="0086231D"/>
    <w:rsid w:val="008837AC"/>
    <w:rsid w:val="00887EBF"/>
    <w:rsid w:val="0089283C"/>
    <w:rsid w:val="008A587D"/>
    <w:rsid w:val="008C1FE0"/>
    <w:rsid w:val="008C5486"/>
    <w:rsid w:val="008E3EEC"/>
    <w:rsid w:val="008E535A"/>
    <w:rsid w:val="008E6CAE"/>
    <w:rsid w:val="008E7031"/>
    <w:rsid w:val="0090239D"/>
    <w:rsid w:val="0090695B"/>
    <w:rsid w:val="00914A87"/>
    <w:rsid w:val="009233EE"/>
    <w:rsid w:val="00925FB1"/>
    <w:rsid w:val="00926380"/>
    <w:rsid w:val="00932A69"/>
    <w:rsid w:val="00933515"/>
    <w:rsid w:val="009377D8"/>
    <w:rsid w:val="00947323"/>
    <w:rsid w:val="00957591"/>
    <w:rsid w:val="009661DE"/>
    <w:rsid w:val="00982FEB"/>
    <w:rsid w:val="009837D1"/>
    <w:rsid w:val="009856B7"/>
    <w:rsid w:val="00993358"/>
    <w:rsid w:val="009A20CF"/>
    <w:rsid w:val="009A3D22"/>
    <w:rsid w:val="009B38EC"/>
    <w:rsid w:val="009B4E65"/>
    <w:rsid w:val="009B74B0"/>
    <w:rsid w:val="009B7EDA"/>
    <w:rsid w:val="009D6B46"/>
    <w:rsid w:val="009D6B6A"/>
    <w:rsid w:val="009E7749"/>
    <w:rsid w:val="009F4940"/>
    <w:rsid w:val="00A04332"/>
    <w:rsid w:val="00A21684"/>
    <w:rsid w:val="00A2356E"/>
    <w:rsid w:val="00A4478A"/>
    <w:rsid w:val="00A44852"/>
    <w:rsid w:val="00A51A53"/>
    <w:rsid w:val="00A57D04"/>
    <w:rsid w:val="00A60A26"/>
    <w:rsid w:val="00A61598"/>
    <w:rsid w:val="00A6307B"/>
    <w:rsid w:val="00A72EC8"/>
    <w:rsid w:val="00A81EF8"/>
    <w:rsid w:val="00A841A3"/>
    <w:rsid w:val="00A84F46"/>
    <w:rsid w:val="00A871F4"/>
    <w:rsid w:val="00A91746"/>
    <w:rsid w:val="00A92CD5"/>
    <w:rsid w:val="00A94D89"/>
    <w:rsid w:val="00AC1B2C"/>
    <w:rsid w:val="00AC29CA"/>
    <w:rsid w:val="00AC3264"/>
    <w:rsid w:val="00AC7F48"/>
    <w:rsid w:val="00AD13A2"/>
    <w:rsid w:val="00AD4310"/>
    <w:rsid w:val="00AE1BF1"/>
    <w:rsid w:val="00AE7799"/>
    <w:rsid w:val="00AF0DD2"/>
    <w:rsid w:val="00AF7058"/>
    <w:rsid w:val="00B03723"/>
    <w:rsid w:val="00B13048"/>
    <w:rsid w:val="00B1716D"/>
    <w:rsid w:val="00B17A1D"/>
    <w:rsid w:val="00B207A0"/>
    <w:rsid w:val="00B56E03"/>
    <w:rsid w:val="00B8080B"/>
    <w:rsid w:val="00B83745"/>
    <w:rsid w:val="00B84B40"/>
    <w:rsid w:val="00B87C39"/>
    <w:rsid w:val="00B87DD6"/>
    <w:rsid w:val="00B9227A"/>
    <w:rsid w:val="00BA390A"/>
    <w:rsid w:val="00BA4665"/>
    <w:rsid w:val="00BB18BB"/>
    <w:rsid w:val="00BB2FB2"/>
    <w:rsid w:val="00BB3304"/>
    <w:rsid w:val="00BC4ACD"/>
    <w:rsid w:val="00BD3446"/>
    <w:rsid w:val="00BE1F1B"/>
    <w:rsid w:val="00BE3C61"/>
    <w:rsid w:val="00BE47B5"/>
    <w:rsid w:val="00C16B2C"/>
    <w:rsid w:val="00C23A74"/>
    <w:rsid w:val="00C33A3E"/>
    <w:rsid w:val="00C41F44"/>
    <w:rsid w:val="00C457F3"/>
    <w:rsid w:val="00C538A9"/>
    <w:rsid w:val="00C53B5A"/>
    <w:rsid w:val="00C54F5A"/>
    <w:rsid w:val="00C73A47"/>
    <w:rsid w:val="00C73C83"/>
    <w:rsid w:val="00C74A11"/>
    <w:rsid w:val="00C764EB"/>
    <w:rsid w:val="00C80D97"/>
    <w:rsid w:val="00C86679"/>
    <w:rsid w:val="00C872DB"/>
    <w:rsid w:val="00C950AF"/>
    <w:rsid w:val="00CA6754"/>
    <w:rsid w:val="00CB666B"/>
    <w:rsid w:val="00CD7C9D"/>
    <w:rsid w:val="00CF5BD9"/>
    <w:rsid w:val="00D01CF0"/>
    <w:rsid w:val="00D0442A"/>
    <w:rsid w:val="00D32767"/>
    <w:rsid w:val="00D33A4A"/>
    <w:rsid w:val="00D4239E"/>
    <w:rsid w:val="00D56959"/>
    <w:rsid w:val="00D61388"/>
    <w:rsid w:val="00D615F9"/>
    <w:rsid w:val="00D61A54"/>
    <w:rsid w:val="00D64DEA"/>
    <w:rsid w:val="00D80893"/>
    <w:rsid w:val="00D92CF1"/>
    <w:rsid w:val="00D92D38"/>
    <w:rsid w:val="00D948DD"/>
    <w:rsid w:val="00D950F5"/>
    <w:rsid w:val="00DA3E42"/>
    <w:rsid w:val="00DB0C0B"/>
    <w:rsid w:val="00DB0F93"/>
    <w:rsid w:val="00DC153A"/>
    <w:rsid w:val="00DC5E54"/>
    <w:rsid w:val="00DC7981"/>
    <w:rsid w:val="00DD15C2"/>
    <w:rsid w:val="00DE4EFA"/>
    <w:rsid w:val="00DE5520"/>
    <w:rsid w:val="00DF6A0F"/>
    <w:rsid w:val="00E00EC9"/>
    <w:rsid w:val="00E04818"/>
    <w:rsid w:val="00E06442"/>
    <w:rsid w:val="00E1225C"/>
    <w:rsid w:val="00E135DB"/>
    <w:rsid w:val="00E23993"/>
    <w:rsid w:val="00E25B8C"/>
    <w:rsid w:val="00E577BB"/>
    <w:rsid w:val="00E577D7"/>
    <w:rsid w:val="00E65C85"/>
    <w:rsid w:val="00E66199"/>
    <w:rsid w:val="00E6672F"/>
    <w:rsid w:val="00E71459"/>
    <w:rsid w:val="00E74079"/>
    <w:rsid w:val="00E7472E"/>
    <w:rsid w:val="00E755EC"/>
    <w:rsid w:val="00E7624D"/>
    <w:rsid w:val="00E85C1E"/>
    <w:rsid w:val="00EA3D42"/>
    <w:rsid w:val="00EA6B1B"/>
    <w:rsid w:val="00EB049F"/>
    <w:rsid w:val="00EB7D7F"/>
    <w:rsid w:val="00EE28F3"/>
    <w:rsid w:val="00EE347F"/>
    <w:rsid w:val="00EF5110"/>
    <w:rsid w:val="00EF6AE4"/>
    <w:rsid w:val="00F02D9B"/>
    <w:rsid w:val="00F13EAA"/>
    <w:rsid w:val="00F15882"/>
    <w:rsid w:val="00F20BD3"/>
    <w:rsid w:val="00F33F2D"/>
    <w:rsid w:val="00F373A5"/>
    <w:rsid w:val="00F40401"/>
    <w:rsid w:val="00F47559"/>
    <w:rsid w:val="00F570A3"/>
    <w:rsid w:val="00F64C7B"/>
    <w:rsid w:val="00F662F1"/>
    <w:rsid w:val="00F676DD"/>
    <w:rsid w:val="00F70811"/>
    <w:rsid w:val="00F75A26"/>
    <w:rsid w:val="00F77130"/>
    <w:rsid w:val="00F83FAD"/>
    <w:rsid w:val="00F952A0"/>
    <w:rsid w:val="00FA3830"/>
    <w:rsid w:val="00FA3C7F"/>
    <w:rsid w:val="00FB74E2"/>
    <w:rsid w:val="00FD5614"/>
    <w:rsid w:val="00FD72DC"/>
    <w:rsid w:val="00FE0BE1"/>
    <w:rsid w:val="00FE1DE9"/>
    <w:rsid w:val="00FE39C2"/>
    <w:rsid w:val="00FE64AE"/>
    <w:rsid w:val="00FF10D3"/>
    <w:rsid w:val="00FF26D0"/>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character" w:customStyle="1" w:styleId="displayonly">
    <w:name w:val="display_only"/>
    <w:basedOn w:val="DefaultParagraphFont"/>
    <w:rsid w:val="004247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character" w:customStyle="1" w:styleId="displayonly">
    <w:name w:val="display_only"/>
    <w:basedOn w:val="DefaultParagraphFont"/>
    <w:rsid w:val="00424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487213">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australian-energy-industry/performance-of-the-energy-sector"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australian-energy-industry/performance-of-the-energy-sector"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60D392-A055-4510-B00C-B8C64552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6E398F71</Template>
  <TotalTime>0</TotalTime>
  <Pages>11</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2015-04-08T06:46:00Z</dcterms:created>
  <dcterms:modified xsi:type="dcterms:W3CDTF">2015-04-08T06:52:00Z</dcterms:modified>
</cp:coreProperties>
</file>