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3D73A2BC" wp14:editId="1836E78E">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72E" w:rsidRPr="000E2946" w:rsidRDefault="00E7472E" w:rsidP="000E2946">
                            <w:pPr>
                              <w:pStyle w:val="Title"/>
                            </w:pPr>
                            <w:r w:rsidRPr="000E2946">
                              <w:t>Electricity Report</w:t>
                            </w:r>
                          </w:p>
                          <w:p w:rsidR="00E7472E" w:rsidRPr="000E2946" w:rsidRDefault="00E7472E" w:rsidP="000E2946">
                            <w:pPr>
                              <w:pStyle w:val="Title"/>
                            </w:pPr>
                            <w:r w:rsidRPr="000E2946">
                              <w:t>1</w:t>
                            </w:r>
                            <w:r>
                              <w:t>8</w:t>
                            </w:r>
                            <w:r w:rsidRPr="000E2946">
                              <w:t xml:space="preserve"> – </w:t>
                            </w:r>
                            <w:r>
                              <w:t>24</w:t>
                            </w:r>
                            <w:r w:rsidRPr="000E2946">
                              <w:t xml:space="preserve"> January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E7472E" w:rsidRPr="000E2946" w:rsidRDefault="00E7472E" w:rsidP="000E2946">
                      <w:pPr>
                        <w:pStyle w:val="Title"/>
                      </w:pPr>
                      <w:r w:rsidRPr="000E2946">
                        <w:t>Electricity Report</w:t>
                      </w:r>
                    </w:p>
                    <w:p w:rsidR="00E7472E" w:rsidRPr="000E2946" w:rsidRDefault="00E7472E" w:rsidP="000E2946">
                      <w:pPr>
                        <w:pStyle w:val="Title"/>
                      </w:pPr>
                      <w:r w:rsidRPr="000E2946">
                        <w:t>1</w:t>
                      </w:r>
                      <w:r>
                        <w:t>8</w:t>
                      </w:r>
                      <w:r w:rsidRPr="000E2946">
                        <w:t xml:space="preserve"> – </w:t>
                      </w:r>
                      <w:r>
                        <w:t>24</w:t>
                      </w:r>
                      <w:r w:rsidRPr="000E2946">
                        <w:t xml:space="preserve"> January 2015 </w:t>
                      </w:r>
                    </w:p>
                  </w:txbxContent>
                </v:textbox>
              </v:shape>
            </w:pict>
          </mc:Fallback>
        </mc:AlternateContent>
      </w:r>
      <w:r w:rsidRPr="0031019A">
        <w:rPr>
          <w:noProof/>
          <w:lang w:eastAsia="en-AU"/>
        </w:rPr>
        <w:drawing>
          <wp:inline distT="0" distB="0" distL="0" distR="0" wp14:anchorId="0D5E0396" wp14:editId="6ABC5287">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275002" w:rsidP="009A3D22">
      <w:pPr>
        <w:jc w:val="both"/>
      </w:pPr>
      <w:r>
        <w:fldChar w:fldCharType="begin"/>
      </w:r>
      <w:r>
        <w:instrText xml:space="preserve"> REF _Ref410382491 \h </w:instrText>
      </w:r>
      <w:r w:rsidR="009A3D22">
        <w:instrText xml:space="preserve"> \* MERGEFORMAT </w:instrText>
      </w:r>
      <w:r>
        <w:fldChar w:fldCharType="separate"/>
      </w:r>
      <w:r w:rsidR="00384A55" w:rsidRPr="000E2946">
        <w:t xml:space="preserve">Figure </w:t>
      </w:r>
      <w:r w:rsidR="00384A55">
        <w:rPr>
          <w:noProof/>
        </w:rPr>
        <w:t>1</w:t>
      </w:r>
      <w:r>
        <w:fldChar w:fldCharType="end"/>
      </w:r>
      <w:r w:rsidRPr="0031019A">
        <w:t xml:space="preserve"> shows the spot prices that occurred in each region during the week 1</w:t>
      </w:r>
      <w:r w:rsidR="009A3D22">
        <w:t>8</w:t>
      </w:r>
      <w:r w:rsidRPr="0031019A">
        <w:t xml:space="preserve"> to </w:t>
      </w:r>
      <w:r w:rsidR="009A3D22">
        <w:t xml:space="preserve">24 </w:t>
      </w:r>
      <w:r w:rsidRPr="0031019A">
        <w:t xml:space="preserve">January 2015. </w:t>
      </w:r>
      <w:r w:rsidR="00F02D9B">
        <w:t>There was one spot price</w:t>
      </w:r>
      <w:r w:rsidR="004E7D10">
        <w:rPr>
          <w:rFonts w:cs="Arial"/>
        </w:rPr>
        <w:t xml:space="preserve"> above $5000/MWh on 1</w:t>
      </w:r>
      <w:r w:rsidR="00F02D9B">
        <w:rPr>
          <w:rFonts w:cs="Arial"/>
        </w:rPr>
        <w:t>8</w:t>
      </w:r>
      <w:r w:rsidR="004E7D10">
        <w:rPr>
          <w:rFonts w:cs="Arial"/>
        </w:rPr>
        <w:t> </w:t>
      </w:r>
      <w:r w:rsidR="00F02D9B">
        <w:rPr>
          <w:rFonts w:cs="Arial"/>
        </w:rPr>
        <w:t>January</w:t>
      </w:r>
      <w:r w:rsidR="004E7D10">
        <w:rPr>
          <w:rFonts w:cs="Arial"/>
        </w:rPr>
        <w:t>. As required under clause 3.8.17 of the National Electricity Rules, the AER will publish a separate report into the events on that day.</w:t>
      </w:r>
    </w:p>
    <w:p w:rsidR="00275002" w:rsidRPr="000E2946" w:rsidRDefault="00275002" w:rsidP="000E2946">
      <w:pPr>
        <w:pStyle w:val="Caption"/>
      </w:pPr>
      <w:bookmarkStart w:id="7" w:name="_Ref410382491"/>
      <w:bookmarkStart w:id="8" w:name="OLE_LINK28"/>
      <w:bookmarkStart w:id="9" w:name="OLE_LINK29"/>
      <w:r w:rsidRPr="000E2946">
        <w:t xml:space="preserve">Figure </w:t>
      </w:r>
      <w:r w:rsidR="003422A3">
        <w:fldChar w:fldCharType="begin"/>
      </w:r>
      <w:r w:rsidR="003422A3">
        <w:instrText xml:space="preserve"> SEQ Figure \* ARABIC </w:instrText>
      </w:r>
      <w:r w:rsidR="003422A3">
        <w:fldChar w:fldCharType="separate"/>
      </w:r>
      <w:r w:rsidR="00384A55">
        <w:rPr>
          <w:noProof/>
        </w:rPr>
        <w:t>1</w:t>
      </w:r>
      <w:r w:rsidR="003422A3">
        <w:rPr>
          <w:noProof/>
        </w:rPr>
        <w:fldChar w:fldCharType="end"/>
      </w:r>
      <w:bookmarkEnd w:id="7"/>
      <w:r w:rsidRPr="000E2946">
        <w:t xml:space="preserve"> : Spot price by region ($/MWh)</w:t>
      </w:r>
    </w:p>
    <w:p w:rsidR="00275002" w:rsidRPr="0031019A" w:rsidRDefault="009A3D22" w:rsidP="00275002">
      <w:r w:rsidRPr="009A3D22">
        <w:rPr>
          <w:noProof/>
          <w:lang w:eastAsia="en-AU"/>
        </w:rPr>
        <w:drawing>
          <wp:inline distT="0" distB="0" distL="0" distR="0" wp14:anchorId="55B6F85B" wp14:editId="6762A9CD">
            <wp:extent cx="5732329" cy="3181350"/>
            <wp:effectExtent l="0" t="0" r="1905" b="0"/>
            <wp:docPr id="2" name="Picture 2"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797"/>
                    <a:stretch/>
                  </pic:blipFill>
                  <pic:spPr bwMode="auto">
                    <a:xfrm>
                      <a:off x="0" y="0"/>
                      <a:ext cx="5731510" cy="3180896"/>
                    </a:xfrm>
                    <a:prstGeom prst="rect">
                      <a:avLst/>
                    </a:prstGeom>
                    <a:noFill/>
                    <a:ln>
                      <a:noFill/>
                    </a:ln>
                    <a:extLst>
                      <a:ext uri="{53640926-AAD7-44D8-BBD7-CCE9431645EC}">
                        <a14:shadowObscured xmlns:a14="http://schemas.microsoft.com/office/drawing/2010/main"/>
                      </a:ext>
                    </a:extLst>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384A55">
        <w:t xml:space="preserve">Figure </w:t>
      </w:r>
      <w:r w:rsidR="00384A55">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384A55">
        <w:t xml:space="preserve">Table </w:t>
      </w:r>
      <w:r w:rsidR="00384A55">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lastRenderedPageBreak/>
        <w:t xml:space="preserve">Figure </w:t>
      </w:r>
      <w:r w:rsidR="003422A3">
        <w:fldChar w:fldCharType="begin"/>
      </w:r>
      <w:r w:rsidR="003422A3">
        <w:instrText xml:space="preserve"> SEQ Figure \* ARABIC </w:instrText>
      </w:r>
      <w:r w:rsidR="003422A3">
        <w:fldChar w:fldCharType="separate"/>
      </w:r>
      <w:r w:rsidR="00384A55">
        <w:rPr>
          <w:noProof/>
        </w:rPr>
        <w:t>2</w:t>
      </w:r>
      <w:r w:rsidR="003422A3">
        <w:rPr>
          <w:noProof/>
        </w:rPr>
        <w:fldChar w:fldCharType="end"/>
      </w:r>
      <w:bookmarkEnd w:id="10"/>
      <w:r>
        <w:t xml:space="preserve"> :</w:t>
      </w:r>
      <w:r w:rsidRPr="00037176">
        <w:t xml:space="preserve"> Volume weighted average spot price by region ($/MWh)</w:t>
      </w:r>
    </w:p>
    <w:p w:rsidR="00275002" w:rsidRPr="0031019A" w:rsidRDefault="00762D41" w:rsidP="00275002">
      <w:r w:rsidRPr="00762D41">
        <w:rPr>
          <w:noProof/>
          <w:lang w:eastAsia="en-AU"/>
        </w:rPr>
        <w:drawing>
          <wp:inline distT="0" distB="0" distL="0" distR="0" wp14:anchorId="4F190925" wp14:editId="0E80AAF5">
            <wp:extent cx="5731510" cy="2858866"/>
            <wp:effectExtent l="0" t="0" r="2540" b="0"/>
            <wp:docPr id="19" name="Picture 19"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r w:rsidR="003422A3">
        <w:fldChar w:fldCharType="begin"/>
      </w:r>
      <w:r w:rsidR="003422A3">
        <w:instrText xml:space="preserve"> </w:instrText>
      </w:r>
      <w:r w:rsidR="003422A3">
        <w:instrText xml:space="preserve">SEQ Table \* ARABIC </w:instrText>
      </w:r>
      <w:r w:rsidR="003422A3">
        <w:fldChar w:fldCharType="separate"/>
      </w:r>
      <w:r w:rsidR="00384A55">
        <w:rPr>
          <w:noProof/>
        </w:rPr>
        <w:t>1</w:t>
      </w:r>
      <w:r w:rsidR="003422A3">
        <w:rPr>
          <w:noProof/>
        </w:rPr>
        <w:fldChar w:fldCharType="end"/>
      </w:r>
      <w:bookmarkEnd w:id="11"/>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275002" w:rsidRPr="000E2946" w:rsidTr="0027500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0E2946" w:rsidRDefault="00275002" w:rsidP="00957591">
            <w:pPr>
              <w:pStyle w:val="TableHeading"/>
            </w:pPr>
            <w:r w:rsidRPr="000E2946">
              <w:t>Region</w:t>
            </w:r>
          </w:p>
        </w:tc>
        <w:tc>
          <w:tcPr>
            <w:tcW w:w="518" w:type="pct"/>
            <w:noWrap/>
            <w:hideMark/>
          </w:tcPr>
          <w:p w:rsidR="00275002" w:rsidRPr="000E2946" w:rsidRDefault="00275002" w:rsidP="00E7472E">
            <w:pPr>
              <w:pStyle w:val="TableHeading"/>
              <w:jc w:val="center"/>
            </w:pPr>
            <w:r w:rsidRPr="000E2946">
              <w:t>Qld</w:t>
            </w:r>
          </w:p>
        </w:tc>
        <w:tc>
          <w:tcPr>
            <w:tcW w:w="781" w:type="pct"/>
            <w:noWrap/>
            <w:hideMark/>
          </w:tcPr>
          <w:p w:rsidR="00275002" w:rsidRPr="000E2946" w:rsidRDefault="00275002" w:rsidP="00E7472E">
            <w:pPr>
              <w:pStyle w:val="TableHeading"/>
              <w:jc w:val="center"/>
            </w:pPr>
            <w:r w:rsidRPr="000E2946">
              <w:t>NSW</w:t>
            </w:r>
          </w:p>
        </w:tc>
        <w:tc>
          <w:tcPr>
            <w:tcW w:w="781" w:type="pct"/>
            <w:noWrap/>
            <w:hideMark/>
          </w:tcPr>
          <w:p w:rsidR="00275002" w:rsidRPr="000E2946" w:rsidRDefault="00275002" w:rsidP="00E7472E">
            <w:pPr>
              <w:pStyle w:val="TableHeading"/>
              <w:jc w:val="center"/>
            </w:pPr>
            <w:r w:rsidRPr="000E2946">
              <w:t>Vic</w:t>
            </w:r>
          </w:p>
        </w:tc>
        <w:tc>
          <w:tcPr>
            <w:tcW w:w="781" w:type="pct"/>
            <w:noWrap/>
            <w:hideMark/>
          </w:tcPr>
          <w:p w:rsidR="00275002" w:rsidRPr="000E2946" w:rsidRDefault="00275002" w:rsidP="00E7472E">
            <w:pPr>
              <w:pStyle w:val="TableHeading"/>
              <w:jc w:val="center"/>
            </w:pPr>
            <w:r w:rsidRPr="000E2946">
              <w:t>SA</w:t>
            </w:r>
          </w:p>
        </w:tc>
        <w:tc>
          <w:tcPr>
            <w:tcW w:w="781" w:type="pct"/>
            <w:noWrap/>
            <w:hideMark/>
          </w:tcPr>
          <w:p w:rsidR="00275002" w:rsidRPr="000E2946" w:rsidRDefault="00275002" w:rsidP="00E7472E">
            <w:pPr>
              <w:pStyle w:val="TableHeading"/>
              <w:jc w:val="center"/>
            </w:pPr>
            <w:r w:rsidRPr="000E2946">
              <w:t>Tas</w:t>
            </w:r>
          </w:p>
        </w:tc>
      </w:tr>
      <w:tr w:rsidR="00762D41" w:rsidRPr="00F52F00" w:rsidTr="00262F65">
        <w:trPr>
          <w:trHeight w:hRule="exact" w:val="340"/>
        </w:trPr>
        <w:tc>
          <w:tcPr>
            <w:tcW w:w="1357" w:type="pct"/>
            <w:noWrap/>
            <w:vAlign w:val="center"/>
            <w:hideMark/>
          </w:tcPr>
          <w:p w:rsidR="00762D41" w:rsidRPr="00262F65" w:rsidRDefault="00762D41" w:rsidP="00262F65">
            <w:pPr>
              <w:spacing w:before="0" w:after="0" w:line="240" w:lineRule="auto"/>
              <w:rPr>
                <w:sz w:val="20"/>
                <w:szCs w:val="20"/>
              </w:rPr>
            </w:pPr>
            <w:r w:rsidRPr="00262F65">
              <w:rPr>
                <w:sz w:val="20"/>
                <w:szCs w:val="20"/>
              </w:rPr>
              <w:t>Current week</w:t>
            </w:r>
          </w:p>
        </w:tc>
        <w:tc>
          <w:tcPr>
            <w:tcW w:w="518"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118</w:t>
            </w:r>
          </w:p>
        </w:tc>
        <w:tc>
          <w:tcPr>
            <w:tcW w:w="781"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34</w:t>
            </w:r>
          </w:p>
        </w:tc>
        <w:tc>
          <w:tcPr>
            <w:tcW w:w="781"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30</w:t>
            </w:r>
          </w:p>
        </w:tc>
        <w:tc>
          <w:tcPr>
            <w:tcW w:w="781"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32</w:t>
            </w:r>
          </w:p>
        </w:tc>
        <w:tc>
          <w:tcPr>
            <w:tcW w:w="781"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36</w:t>
            </w:r>
          </w:p>
        </w:tc>
      </w:tr>
      <w:tr w:rsidR="00762D41" w:rsidRPr="00F52F00" w:rsidTr="00262F65">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762D41" w:rsidRPr="00262F65" w:rsidRDefault="00762D41" w:rsidP="00262F65">
            <w:pPr>
              <w:spacing w:before="0" w:after="0" w:line="240" w:lineRule="auto"/>
              <w:rPr>
                <w:szCs w:val="20"/>
              </w:rPr>
            </w:pPr>
            <w:r w:rsidRPr="00262F65">
              <w:rPr>
                <w:szCs w:val="20"/>
              </w:rPr>
              <w:t>13-14 financial YTD</w:t>
            </w:r>
          </w:p>
        </w:tc>
        <w:tc>
          <w:tcPr>
            <w:tcW w:w="518" w:type="pct"/>
            <w:noWrap/>
            <w:vAlign w:val="center"/>
          </w:tcPr>
          <w:p w:rsidR="00762D41" w:rsidRPr="00262F65" w:rsidRDefault="00762D41" w:rsidP="00262F65">
            <w:pPr>
              <w:spacing w:before="0" w:after="0"/>
              <w:jc w:val="center"/>
              <w:rPr>
                <w:rFonts w:cs="Arial"/>
                <w:szCs w:val="20"/>
              </w:rPr>
            </w:pPr>
            <w:r w:rsidRPr="00262F65">
              <w:rPr>
                <w:rFonts w:cs="Arial"/>
                <w:szCs w:val="20"/>
              </w:rPr>
              <w:t>61</w:t>
            </w:r>
          </w:p>
        </w:tc>
        <w:tc>
          <w:tcPr>
            <w:tcW w:w="781" w:type="pct"/>
            <w:noWrap/>
            <w:vAlign w:val="center"/>
          </w:tcPr>
          <w:p w:rsidR="00762D41" w:rsidRPr="00262F65" w:rsidRDefault="00762D41" w:rsidP="00262F65">
            <w:pPr>
              <w:spacing w:before="0" w:after="0"/>
              <w:jc w:val="center"/>
              <w:rPr>
                <w:rFonts w:cs="Arial"/>
                <w:szCs w:val="20"/>
              </w:rPr>
            </w:pPr>
            <w:r w:rsidRPr="00262F65">
              <w:rPr>
                <w:rFonts w:cs="Arial"/>
                <w:szCs w:val="20"/>
              </w:rPr>
              <w:t>53</w:t>
            </w:r>
          </w:p>
        </w:tc>
        <w:tc>
          <w:tcPr>
            <w:tcW w:w="781" w:type="pct"/>
            <w:noWrap/>
            <w:vAlign w:val="center"/>
          </w:tcPr>
          <w:p w:rsidR="00762D41" w:rsidRPr="00262F65" w:rsidRDefault="00762D41" w:rsidP="00262F65">
            <w:pPr>
              <w:spacing w:before="0" w:after="0"/>
              <w:jc w:val="center"/>
              <w:rPr>
                <w:rFonts w:cs="Arial"/>
                <w:szCs w:val="20"/>
              </w:rPr>
            </w:pPr>
            <w:r w:rsidRPr="00262F65">
              <w:rPr>
                <w:rFonts w:cs="Arial"/>
                <w:szCs w:val="20"/>
              </w:rPr>
              <w:t>54</w:t>
            </w:r>
          </w:p>
        </w:tc>
        <w:tc>
          <w:tcPr>
            <w:tcW w:w="781" w:type="pct"/>
            <w:noWrap/>
            <w:vAlign w:val="center"/>
          </w:tcPr>
          <w:p w:rsidR="00762D41" w:rsidRPr="00262F65" w:rsidRDefault="00762D41" w:rsidP="00262F65">
            <w:pPr>
              <w:spacing w:before="0" w:after="0"/>
              <w:jc w:val="center"/>
              <w:rPr>
                <w:rFonts w:cs="Arial"/>
                <w:szCs w:val="20"/>
              </w:rPr>
            </w:pPr>
            <w:r w:rsidRPr="00262F65">
              <w:rPr>
                <w:rFonts w:cs="Arial"/>
                <w:szCs w:val="20"/>
              </w:rPr>
              <w:t>68</w:t>
            </w:r>
          </w:p>
        </w:tc>
        <w:tc>
          <w:tcPr>
            <w:tcW w:w="781" w:type="pct"/>
            <w:noWrap/>
            <w:vAlign w:val="center"/>
          </w:tcPr>
          <w:p w:rsidR="00762D41" w:rsidRPr="00262F65" w:rsidRDefault="00762D41" w:rsidP="00262F65">
            <w:pPr>
              <w:spacing w:before="0" w:after="0"/>
              <w:jc w:val="center"/>
              <w:rPr>
                <w:rFonts w:cs="Arial"/>
                <w:szCs w:val="20"/>
              </w:rPr>
            </w:pPr>
            <w:r w:rsidRPr="00262F65">
              <w:rPr>
                <w:rFonts w:cs="Arial"/>
                <w:szCs w:val="20"/>
              </w:rPr>
              <w:t>42</w:t>
            </w:r>
          </w:p>
        </w:tc>
      </w:tr>
      <w:tr w:rsidR="00762D41" w:rsidRPr="00F52F00" w:rsidTr="00262F65">
        <w:trPr>
          <w:trHeight w:hRule="exact" w:val="340"/>
        </w:trPr>
        <w:tc>
          <w:tcPr>
            <w:tcW w:w="1357" w:type="pct"/>
            <w:noWrap/>
            <w:vAlign w:val="center"/>
            <w:hideMark/>
          </w:tcPr>
          <w:p w:rsidR="00762D41" w:rsidRPr="00262F65" w:rsidRDefault="00762D41" w:rsidP="00262F65">
            <w:pPr>
              <w:spacing w:before="0" w:after="0" w:line="240" w:lineRule="auto"/>
              <w:rPr>
                <w:sz w:val="20"/>
                <w:szCs w:val="20"/>
              </w:rPr>
            </w:pPr>
            <w:r w:rsidRPr="00262F65">
              <w:rPr>
                <w:sz w:val="20"/>
                <w:szCs w:val="20"/>
              </w:rPr>
              <w:t>14-15 financial YTD</w:t>
            </w:r>
          </w:p>
        </w:tc>
        <w:tc>
          <w:tcPr>
            <w:tcW w:w="518"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65</w:t>
            </w:r>
          </w:p>
        </w:tc>
        <w:tc>
          <w:tcPr>
            <w:tcW w:w="781"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37</w:t>
            </w:r>
          </w:p>
        </w:tc>
        <w:tc>
          <w:tcPr>
            <w:tcW w:w="781"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33</w:t>
            </w:r>
          </w:p>
        </w:tc>
        <w:tc>
          <w:tcPr>
            <w:tcW w:w="781"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41</w:t>
            </w:r>
          </w:p>
        </w:tc>
        <w:tc>
          <w:tcPr>
            <w:tcW w:w="781" w:type="pct"/>
            <w:noWrap/>
            <w:vAlign w:val="center"/>
          </w:tcPr>
          <w:p w:rsidR="00762D41" w:rsidRPr="00262F65" w:rsidRDefault="00762D41" w:rsidP="00262F65">
            <w:pPr>
              <w:spacing w:before="0" w:after="0"/>
              <w:jc w:val="center"/>
              <w:rPr>
                <w:rFonts w:cs="Arial"/>
                <w:sz w:val="20"/>
                <w:szCs w:val="20"/>
              </w:rPr>
            </w:pPr>
            <w:r w:rsidRPr="00262F65">
              <w:rPr>
                <w:rFonts w:cs="Arial"/>
                <w:sz w:val="20"/>
                <w:szCs w:val="20"/>
              </w:rPr>
              <w:t>38</w:t>
            </w:r>
          </w:p>
        </w:tc>
      </w:tr>
    </w:tbl>
    <w:p w:rsidR="00275002" w:rsidRPr="0031019A" w:rsidRDefault="00275002" w:rsidP="00275002">
      <w:r w:rsidRPr="0031019A">
        <w:t xml:space="preserve">Longer-term statistics tracking average spot market prices are available on the </w:t>
      </w:r>
      <w:hyperlink r:id="rId12" w:history="1">
        <w:r w:rsidRPr="0031019A">
          <w:rPr>
            <w:rStyle w:val="Hyperlink"/>
          </w:rPr>
          <w:t>AER website</w:t>
        </w:r>
      </w:hyperlink>
      <w:r w:rsidRPr="0031019A">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70811" w:rsidP="009A3D22">
      <w:pPr>
        <w:jc w:val="both"/>
      </w:pPr>
      <w:r w:rsidRPr="00F70811">
        <w:t>There were 143 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E7472E">
        <w:t xml:space="preserve">Table </w:t>
      </w:r>
      <w:r w:rsidR="00E7472E">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w:t>
      </w:r>
      <w:r w:rsidR="00275002" w:rsidRPr="0031019A">
        <w:lastRenderedPageBreak/>
        <w:t>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3422A3">
        <w:fldChar w:fldCharType="begin"/>
      </w:r>
      <w:r w:rsidR="003422A3">
        <w:instrText xml:space="preserve"> SEQ Table \* ARABIC </w:instrText>
      </w:r>
      <w:r w:rsidR="003422A3">
        <w:fldChar w:fldCharType="separate"/>
      </w:r>
      <w:r w:rsidR="00384A55">
        <w:rPr>
          <w:noProof/>
        </w:rPr>
        <w:t>2</w:t>
      </w:r>
      <w:r w:rsidR="003422A3">
        <w:rPr>
          <w:noProof/>
        </w:rPr>
        <w:fldChar w:fldCharType="end"/>
      </w:r>
      <w:bookmarkEnd w:id="12"/>
      <w:r>
        <w:t xml:space="preserve"> </w:t>
      </w:r>
      <w:r w:rsidRPr="00BC7912">
        <w:t>: Reasons for variations between forecast and actual prices</w:t>
      </w:r>
      <w:bookmarkEnd w:id="13"/>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275002" w:rsidRPr="00E7472E"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275002" w:rsidRPr="00E7472E" w:rsidRDefault="00275002" w:rsidP="00E7472E">
            <w:pPr>
              <w:pStyle w:val="TableHeading"/>
              <w:rPr>
                <w:sz w:val="20"/>
              </w:rPr>
            </w:pPr>
            <w:r w:rsidRPr="00E7472E">
              <w:rPr>
                <w:sz w:val="20"/>
              </w:rPr>
              <w:t> </w:t>
            </w:r>
          </w:p>
        </w:tc>
        <w:tc>
          <w:tcPr>
            <w:tcW w:w="1571" w:type="dxa"/>
            <w:noWrap/>
            <w:hideMark/>
          </w:tcPr>
          <w:p w:rsidR="00275002" w:rsidRPr="00E7472E" w:rsidRDefault="00275002" w:rsidP="00E7472E">
            <w:pPr>
              <w:pStyle w:val="TableHeading"/>
              <w:rPr>
                <w:sz w:val="20"/>
              </w:rPr>
            </w:pPr>
            <w:r w:rsidRPr="00E7472E">
              <w:rPr>
                <w:sz w:val="20"/>
              </w:rPr>
              <w:t>Availability</w:t>
            </w:r>
          </w:p>
        </w:tc>
        <w:tc>
          <w:tcPr>
            <w:tcW w:w="1572" w:type="dxa"/>
            <w:noWrap/>
            <w:hideMark/>
          </w:tcPr>
          <w:p w:rsidR="00275002" w:rsidRPr="00E7472E" w:rsidRDefault="00275002" w:rsidP="00E7472E">
            <w:pPr>
              <w:pStyle w:val="TableHeading"/>
              <w:rPr>
                <w:sz w:val="20"/>
              </w:rPr>
            </w:pPr>
            <w:r w:rsidRPr="00E7472E">
              <w:rPr>
                <w:sz w:val="20"/>
              </w:rPr>
              <w:t>Demand</w:t>
            </w:r>
          </w:p>
        </w:tc>
        <w:tc>
          <w:tcPr>
            <w:tcW w:w="1572" w:type="dxa"/>
            <w:noWrap/>
            <w:hideMark/>
          </w:tcPr>
          <w:p w:rsidR="00275002" w:rsidRPr="00E7472E" w:rsidRDefault="00275002" w:rsidP="00E7472E">
            <w:pPr>
              <w:pStyle w:val="TableHeading"/>
              <w:rPr>
                <w:sz w:val="20"/>
              </w:rPr>
            </w:pPr>
            <w:r w:rsidRPr="00E7472E">
              <w:rPr>
                <w:sz w:val="20"/>
              </w:rPr>
              <w:t>Network</w:t>
            </w:r>
          </w:p>
        </w:tc>
        <w:tc>
          <w:tcPr>
            <w:tcW w:w="1572" w:type="dxa"/>
            <w:hideMark/>
          </w:tcPr>
          <w:p w:rsidR="00275002" w:rsidRPr="00E7472E" w:rsidRDefault="00275002" w:rsidP="00E7472E">
            <w:pPr>
              <w:pStyle w:val="TableHeading"/>
              <w:rPr>
                <w:sz w:val="20"/>
              </w:rPr>
            </w:pPr>
            <w:r w:rsidRPr="00E7472E">
              <w:rPr>
                <w:sz w:val="20"/>
              </w:rPr>
              <w:t>Combination</w:t>
            </w:r>
          </w:p>
        </w:tc>
      </w:tr>
      <w:tr w:rsidR="00F70811" w:rsidRPr="00F52F00" w:rsidTr="00982FEB">
        <w:trPr>
          <w:trHeight w:hRule="exact" w:val="369"/>
        </w:trPr>
        <w:tc>
          <w:tcPr>
            <w:tcW w:w="2835" w:type="dxa"/>
            <w:noWrap/>
            <w:hideMark/>
          </w:tcPr>
          <w:p w:rsidR="00F70811" w:rsidRPr="0031019A" w:rsidRDefault="00F70811" w:rsidP="00275002">
            <w:r w:rsidRPr="0031019A">
              <w:t>% of total above forecast</w:t>
            </w:r>
          </w:p>
        </w:tc>
        <w:tc>
          <w:tcPr>
            <w:tcW w:w="1571" w:type="dxa"/>
            <w:noWrap/>
            <w:vAlign w:val="center"/>
          </w:tcPr>
          <w:p w:rsidR="00F70811" w:rsidRPr="00F70811" w:rsidRDefault="00F70811">
            <w:pPr>
              <w:jc w:val="center"/>
              <w:rPr>
                <w:rFonts w:cs="Arial"/>
                <w:szCs w:val="18"/>
              </w:rPr>
            </w:pPr>
            <w:r w:rsidRPr="00F70811">
              <w:rPr>
                <w:rFonts w:cs="Arial"/>
                <w:szCs w:val="18"/>
              </w:rPr>
              <w:t>6</w:t>
            </w:r>
          </w:p>
        </w:tc>
        <w:tc>
          <w:tcPr>
            <w:tcW w:w="1572" w:type="dxa"/>
            <w:noWrap/>
            <w:vAlign w:val="center"/>
          </w:tcPr>
          <w:p w:rsidR="00F70811" w:rsidRPr="00F70811" w:rsidRDefault="00F70811">
            <w:pPr>
              <w:jc w:val="center"/>
              <w:rPr>
                <w:rFonts w:cs="Arial"/>
                <w:szCs w:val="18"/>
              </w:rPr>
            </w:pPr>
            <w:r w:rsidRPr="00F70811">
              <w:rPr>
                <w:rFonts w:cs="Arial"/>
                <w:szCs w:val="18"/>
              </w:rPr>
              <w:t>42</w:t>
            </w:r>
          </w:p>
        </w:tc>
        <w:tc>
          <w:tcPr>
            <w:tcW w:w="1572" w:type="dxa"/>
            <w:noWrap/>
            <w:vAlign w:val="center"/>
          </w:tcPr>
          <w:p w:rsidR="00F70811" w:rsidRPr="00F70811" w:rsidRDefault="00F70811">
            <w:pPr>
              <w:jc w:val="center"/>
              <w:rPr>
                <w:rFonts w:cs="Arial"/>
                <w:szCs w:val="18"/>
              </w:rPr>
            </w:pPr>
            <w:r w:rsidRPr="00F70811">
              <w:rPr>
                <w:rFonts w:cs="Arial"/>
                <w:szCs w:val="18"/>
              </w:rPr>
              <w:t>0</w:t>
            </w:r>
          </w:p>
        </w:tc>
        <w:tc>
          <w:tcPr>
            <w:tcW w:w="1572" w:type="dxa"/>
            <w:vAlign w:val="center"/>
          </w:tcPr>
          <w:p w:rsidR="00F70811" w:rsidRPr="00F70811" w:rsidRDefault="00F70811">
            <w:pPr>
              <w:jc w:val="center"/>
              <w:rPr>
                <w:rFonts w:cs="Arial"/>
                <w:szCs w:val="18"/>
              </w:rPr>
            </w:pPr>
            <w:r w:rsidRPr="00F70811">
              <w:rPr>
                <w:rFonts w:cs="Arial"/>
                <w:szCs w:val="18"/>
              </w:rPr>
              <w:t>1</w:t>
            </w:r>
          </w:p>
        </w:tc>
      </w:tr>
      <w:tr w:rsidR="00F70811" w:rsidRPr="00F52F00" w:rsidTr="00982FE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hideMark/>
          </w:tcPr>
          <w:p w:rsidR="00F70811" w:rsidRPr="0031019A" w:rsidRDefault="00F70811" w:rsidP="00275002">
            <w:r w:rsidRPr="0031019A">
              <w:t>% of total below forecast</w:t>
            </w:r>
          </w:p>
        </w:tc>
        <w:tc>
          <w:tcPr>
            <w:tcW w:w="1571" w:type="dxa"/>
            <w:noWrap/>
            <w:vAlign w:val="center"/>
          </w:tcPr>
          <w:p w:rsidR="00F70811" w:rsidRPr="00F70811" w:rsidRDefault="00F70811">
            <w:pPr>
              <w:jc w:val="center"/>
              <w:rPr>
                <w:rFonts w:cs="Arial"/>
                <w:sz w:val="18"/>
                <w:szCs w:val="18"/>
              </w:rPr>
            </w:pPr>
            <w:r w:rsidRPr="00F70811">
              <w:rPr>
                <w:rFonts w:cs="Arial"/>
                <w:sz w:val="18"/>
                <w:szCs w:val="18"/>
              </w:rPr>
              <w:t>39</w:t>
            </w:r>
          </w:p>
        </w:tc>
        <w:tc>
          <w:tcPr>
            <w:tcW w:w="1572" w:type="dxa"/>
            <w:noWrap/>
            <w:vAlign w:val="center"/>
          </w:tcPr>
          <w:p w:rsidR="00F70811" w:rsidRPr="00F70811" w:rsidRDefault="00F70811">
            <w:pPr>
              <w:jc w:val="center"/>
              <w:rPr>
                <w:rFonts w:cs="Arial"/>
                <w:sz w:val="18"/>
                <w:szCs w:val="18"/>
              </w:rPr>
            </w:pPr>
            <w:r w:rsidRPr="00F70811">
              <w:rPr>
                <w:rFonts w:cs="Arial"/>
                <w:sz w:val="18"/>
                <w:szCs w:val="18"/>
              </w:rPr>
              <w:t>11</w:t>
            </w:r>
          </w:p>
        </w:tc>
        <w:tc>
          <w:tcPr>
            <w:tcW w:w="1572" w:type="dxa"/>
            <w:noWrap/>
            <w:vAlign w:val="center"/>
          </w:tcPr>
          <w:p w:rsidR="00F70811" w:rsidRPr="00F70811" w:rsidRDefault="00F70811">
            <w:pPr>
              <w:jc w:val="center"/>
              <w:rPr>
                <w:rFonts w:cs="Arial"/>
                <w:sz w:val="18"/>
                <w:szCs w:val="18"/>
              </w:rPr>
            </w:pPr>
            <w:r w:rsidRPr="00F70811">
              <w:rPr>
                <w:rFonts w:cs="Arial"/>
                <w:sz w:val="18"/>
                <w:szCs w:val="18"/>
              </w:rPr>
              <w:t>0</w:t>
            </w:r>
          </w:p>
        </w:tc>
        <w:tc>
          <w:tcPr>
            <w:tcW w:w="1572" w:type="dxa"/>
            <w:vAlign w:val="center"/>
          </w:tcPr>
          <w:p w:rsidR="00F70811" w:rsidRPr="00F70811" w:rsidRDefault="00F70811">
            <w:pPr>
              <w:jc w:val="center"/>
              <w:rPr>
                <w:rFonts w:cs="Arial"/>
                <w:sz w:val="18"/>
                <w:szCs w:val="18"/>
              </w:rPr>
            </w:pPr>
            <w:r w:rsidRPr="00F70811">
              <w:rPr>
                <w:rFonts w:cs="Arial"/>
                <w:sz w:val="18"/>
                <w:szCs w:val="18"/>
              </w:rPr>
              <w:t>1</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384A55">
        <w:t xml:space="preserve">Figure </w:t>
      </w:r>
      <w:r w:rsidR="00384A55">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384A55">
        <w:t xml:space="preserve">Figure </w:t>
      </w:r>
      <w:r w:rsidR="00384A55">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r w:rsidR="003422A3">
        <w:fldChar w:fldCharType="begin"/>
      </w:r>
      <w:r w:rsidR="003422A3">
        <w:instrText xml:space="preserve"> SEQ Figure \* ARABIC </w:instrText>
      </w:r>
      <w:r w:rsidR="003422A3">
        <w:fldChar w:fldCharType="separate"/>
      </w:r>
      <w:r w:rsidR="00384A55">
        <w:rPr>
          <w:noProof/>
        </w:rPr>
        <w:t>3</w:t>
      </w:r>
      <w:r w:rsidR="003422A3">
        <w:rPr>
          <w:noProof/>
        </w:rPr>
        <w:fldChar w:fldCharType="end"/>
      </w:r>
      <w:bookmarkEnd w:id="14"/>
      <w:r>
        <w:t xml:space="preserve"> : Queensland </w:t>
      </w:r>
      <w:r w:rsidRPr="00690328">
        <w:t>generation and bidding patterns</w:t>
      </w:r>
    </w:p>
    <w:p w:rsidR="00275002" w:rsidRPr="00EA4191" w:rsidRDefault="00982FEB" w:rsidP="00275002">
      <w:r>
        <w:rPr>
          <w:noProof/>
          <w:lang w:eastAsia="en-AU"/>
        </w:rPr>
        <mc:AlternateContent>
          <mc:Choice Requires="wps">
            <w:drawing>
              <wp:anchor distT="0" distB="0" distL="114300" distR="114300" simplePos="0" relativeHeight="251660288" behindDoc="0" locked="0" layoutInCell="1" allowOverlap="1" wp14:anchorId="77AB3E08" wp14:editId="7F77A83F">
                <wp:simplePos x="0" y="0"/>
                <wp:positionH relativeFrom="column">
                  <wp:posOffset>838200</wp:posOffset>
                </wp:positionH>
                <wp:positionV relativeFrom="paragraph">
                  <wp:posOffset>664210</wp:posOffset>
                </wp:positionV>
                <wp:extent cx="371475" cy="914400"/>
                <wp:effectExtent l="0" t="0" r="28575" b="19050"/>
                <wp:wrapNone/>
                <wp:docPr id="1" name="Oval 1"/>
                <wp:cNvGraphicFramePr/>
                <a:graphic xmlns:a="http://schemas.openxmlformats.org/drawingml/2006/main">
                  <a:graphicData uri="http://schemas.microsoft.com/office/word/2010/wordprocessingShape">
                    <wps:wsp>
                      <wps:cNvSpPr/>
                      <wps:spPr>
                        <a:xfrm>
                          <a:off x="0" y="0"/>
                          <a:ext cx="371475" cy="914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66pt;margin-top:52.3pt;width:29.25pt;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DpkgIAAIIFAAAOAAAAZHJzL2Uyb0RvYy54bWysVEtvGyEQvlfqf0Dc6127TtNaWUeWI1eV&#10;oiRqUuWMWfAiAUMBe+3++g7sI1YT9VDVhzXDzHzz4Ju5uj4aTQ7CBwW2otNJSYmwHGpldxX98bT5&#10;8JmSEJmtmQYrKnoSgV4v37+7at1CzKABXQtPEMSGResq2sToFkUReCMMCxNwwqJSgjcsouh3Re1Z&#10;i+hGF7Oy/FS04GvngYsQ8PamU9JlxpdS8HgvZRCR6IpibjF/ff5u07dYXrHFzjPXKN6nwf4hC8OU&#10;xaAj1A2LjOy9egVlFPcQQMYJB1OAlIqLXANWMy3/qOaxYU7kWrA5wY1tCv8Plt8dHjxRNb4dJZYZ&#10;fKL7A9NkmjrTurBAg0f34Hsp4DGVeZTepH8sgBxzN09jN8UxEo6XHy+n88sLSjiqvkzn8zJ3u3hx&#10;dj7ErwIMSYeKCq2VC6letmCH2xAxJloPVunawkZpnd9M23QRQKs63WXB77Zr7QnmX9HNpsRfqgIx&#10;zsxQSq5Fqq2rJp/iSYuEoe13IbEfmP8sZ5KZKEZYxrmwcdqpGlaLLtrFebDE3eSRQ2fAhCwxyxG7&#10;BxgsO5ABu8u5t0+uIhN5dC7/lljnPHrkyGDj6GyUBf8WgMaq+sid/dCkrjWpS1uoT8gWD90YBcc3&#10;Cp/uloX4wDzODU4Y7oJ4jx+poa0o9CdKGvC/3rpP9khn1FLS4hxWNPzcMy8o0d8sEj0zBwc3C/OL&#10;yxnG8Oea7bnG7s0a8PWRzJhdPib7qIej9GCecWWsUlRUMcsxdkV59IOwjt1+wKXDxWqVzXBYHYu3&#10;9tHxBJ66mnj5dHxm3vX8jUj8Oxhm9hWHO9vkaWG1jyBVJvhLX/t+46Bn4vRLKW2SczlbvazO5W8A&#10;AAD//wMAUEsDBBQABgAIAAAAIQCZqP753wAAAAsBAAAPAAAAZHJzL2Rvd25yZXYueG1sTI/NTsMw&#10;EITvSLyDtUjcqI1JojaNU9FKHIATBXHexm4S1T9R7LaBp2d7orcd7Wjmm2o1OctOZox98AoeZwKY&#10;8U3QvW8VfH2+PMyBxYReow3eKPgxEVb17U2FpQ5n/2FO29QyCvGxRAVdSkPJeWw64zDOwmA8/fZh&#10;dJhIji3XI54p3FkuhSi4w95TQ4eD2XSmOWyPjnrf15mU33KdH+zv5g33+aDDq1L3d9PzElgyU/o3&#10;wwWf0KEmpl04eh2ZJf0kaUuiQ2QFsItjIXJgOwUymxfA64pfb6j/AAAA//8DAFBLAQItABQABgAI&#10;AAAAIQC2gziS/gAAAOEBAAATAAAAAAAAAAAAAAAAAAAAAABbQ29udGVudF9UeXBlc10ueG1sUEsB&#10;Ai0AFAAGAAgAAAAhADj9If/WAAAAlAEAAAsAAAAAAAAAAAAAAAAALwEAAF9yZWxzLy5yZWxzUEsB&#10;Ai0AFAAGAAgAAAAhAHlIcOmSAgAAggUAAA4AAAAAAAAAAAAAAAAALgIAAGRycy9lMm9Eb2MueG1s&#10;UEsBAi0AFAAGAAgAAAAhAJmo/vnfAAAACwEAAA8AAAAAAAAAAAAAAAAA7AQAAGRycy9kb3ducmV2&#10;LnhtbFBLBQYAAAAABAAEAPMAAAD4BQAAAAA=&#10;" filled="f" strokecolor="red" strokeweight="2pt"/>
            </w:pict>
          </mc:Fallback>
        </mc:AlternateContent>
      </w:r>
      <w:r>
        <w:rPr>
          <w:noProof/>
          <w:lang w:eastAsia="en-AU"/>
        </w:rPr>
        <mc:AlternateContent>
          <mc:Choice Requires="wps">
            <w:drawing>
              <wp:anchor distT="0" distB="0" distL="114300" distR="114300" simplePos="0" relativeHeight="251662336" behindDoc="0" locked="0" layoutInCell="1" allowOverlap="1" wp14:anchorId="0DC7337D" wp14:editId="2E0F0865">
                <wp:simplePos x="0" y="0"/>
                <wp:positionH relativeFrom="column">
                  <wp:posOffset>1571625</wp:posOffset>
                </wp:positionH>
                <wp:positionV relativeFrom="paragraph">
                  <wp:posOffset>597535</wp:posOffset>
                </wp:positionV>
                <wp:extent cx="371475" cy="914400"/>
                <wp:effectExtent l="0" t="0" r="28575" b="19050"/>
                <wp:wrapNone/>
                <wp:docPr id="3" name="Oval 3"/>
                <wp:cNvGraphicFramePr/>
                <a:graphic xmlns:a="http://schemas.openxmlformats.org/drawingml/2006/main">
                  <a:graphicData uri="http://schemas.microsoft.com/office/word/2010/wordprocessingShape">
                    <wps:wsp>
                      <wps:cNvSpPr/>
                      <wps:spPr>
                        <a:xfrm>
                          <a:off x="0" y="0"/>
                          <a:ext cx="371475" cy="9144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23.75pt;margin-top:47.05pt;width:29.2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ix2WQIAAK4EAAAOAAAAZHJzL2Uyb0RvYy54bWysVFFvGjEMfp+0/xDlfRxQunaoR4VaMU2q&#10;WqR26rPJJVykJM6SwMF+/Zzc0XbrnqbxEOzY2Pk+f+bq+mAN28sQNbqaT0ZjzqQT2Gi3rfn3p9Wn&#10;S85iAteAQSdrfpSRXy8+frjq/FxOsUXTyMCoiIvzzte8TcnPqyqKVlqII/TSUVBhsJDIDduqCdBR&#10;dWuq6Xj8ueowND6gkDHS7W0f5ItSXykp0oNSUSZmak5vS+UM5dzks1pcwXwbwLdaDM+Af3iFBe2o&#10;6UupW0jAdkG/K2W1CBhRpZFAW6FSWsiCgdBMxn+geWzBy4KFyIn+hab4/8qK+/06MN3U/IwzB5ZG&#10;9LAHw84yM52Pc0p49OsweJHMDPOggs3fBIAdCpvHFzblITFBl2cXk9nFOWeCQl8ms9m4sF29/tiH&#10;mL5KtCwbNZfGaB8zXpjD/i4m6knZp6x87XCljSkzM451NZ+e57JMAElHGUhkWk9gottyBmZLmhQp&#10;lJIRjW7yz3OhGLabGxMYQa35ajWmTwZM7X5Ly71vIbZ9XgkNacblMrIobHhqZqvnJ1sbbI7EbMBe&#10;ctGLlaZqdxDTGgJpjJ5Ne5Me6FAGCQsOFmcthp9/u8/5NHqKctaRZgnnjx0EyZn55kgUhWUSeXFm&#10;5xdT6hHeRjZvI25nb5DgT2hDvShmzk/mZKqA9pnWa5m7UgicoN49o4Nzk/pdogUVcrksaSRsD+nO&#10;PXqRi2eeMo9Ph2cIfph1IpHc40nf7+bd5/YTX+4SKl3E8MorjSo7tBRlaMMC561765es17+ZxS8A&#10;AAD//wMAUEsDBBQABgAIAAAAIQAIOwpN3wAAAAoBAAAPAAAAZHJzL2Rvd25yZXYueG1sTI/BTsMw&#10;EETvSPyDtUjcqBM3KSXEqWglDtATBXF2420SNV5HsdsGvp7lBMfRjGbelKvJ9eKMY+g8aUhnCQik&#10;2tuOGg0f7893SxAhGrKm94QavjDAqrq+Kk1h/YXe8LyLjeASCoXR0MY4FFKGukVnwswPSOwd/OhM&#10;ZDk20o7mwuWulypJFtKZjnihNQNuWqyPu5Pj3e06U+pTrfNj/715NYd8sP5F69ub6ekRRMQp/oXh&#10;F5/RoWKmvT+RDaLXoLL7nKMaHrIUBAfmyYLP7dmZL1OQVSn/X6h+AAAA//8DAFBLAQItABQABgAI&#10;AAAAIQC2gziS/gAAAOEBAAATAAAAAAAAAAAAAAAAAAAAAABbQ29udGVudF9UeXBlc10ueG1sUEsB&#10;Ai0AFAAGAAgAAAAhADj9If/WAAAAlAEAAAsAAAAAAAAAAAAAAAAALwEAAF9yZWxzLy5yZWxzUEsB&#10;Ai0AFAAGAAgAAAAhADzWLHZZAgAArgQAAA4AAAAAAAAAAAAAAAAALgIAAGRycy9lMm9Eb2MueG1s&#10;UEsBAi0AFAAGAAgAAAAhAAg7Ck3fAAAACgEAAA8AAAAAAAAAAAAAAAAAswQAAGRycy9kb3ducmV2&#10;LnhtbFBLBQYAAAAABAAEAPMAAAC/BQAAAAA=&#10;" filled="f" strokecolor="red" strokeweight="2pt"/>
            </w:pict>
          </mc:Fallback>
        </mc:AlternateContent>
      </w:r>
      <w:r w:rsidR="00F70811" w:rsidRPr="00F70811">
        <w:rPr>
          <w:noProof/>
          <w:lang w:eastAsia="en-AU"/>
        </w:rPr>
        <w:drawing>
          <wp:inline distT="0" distB="0" distL="0" distR="0" wp14:anchorId="580ED3D1" wp14:editId="4BE0EAAB">
            <wp:extent cx="5731510" cy="4115457"/>
            <wp:effectExtent l="0" t="0" r="2540" b="0"/>
            <wp:docPr id="20" name="Picture 20"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31019A" w:rsidRDefault="00275002" w:rsidP="00275002"/>
    <w:p w:rsidR="00275002" w:rsidRPr="0031019A" w:rsidRDefault="00275002" w:rsidP="009A3D22">
      <w:pPr>
        <w:jc w:val="both"/>
      </w:pPr>
      <w:r w:rsidRPr="0031019A">
        <w:t xml:space="preserve">The red ellipses highlight the changes in capacity being offered at high prices which align with the high spot price periods. A detailed analysis of the events relating to these periods is in the </w:t>
      </w:r>
      <w:r w:rsidR="00914A87" w:rsidRPr="0031019A">
        <w:t xml:space="preserve">detailed </w:t>
      </w:r>
      <w:r w:rsidRPr="0031019A">
        <w:t>market analysis of significant price events section.</w:t>
      </w:r>
    </w:p>
    <w:p w:rsidR="00275002" w:rsidRDefault="00275002" w:rsidP="000E2946">
      <w:pPr>
        <w:pStyle w:val="Caption"/>
      </w:pPr>
      <w:r>
        <w:t xml:space="preserve">Figure </w:t>
      </w:r>
      <w:r w:rsidR="003422A3">
        <w:fldChar w:fldCharType="begin"/>
      </w:r>
      <w:r w:rsidR="003422A3">
        <w:instrText xml:space="preserve"> SEQ F</w:instrText>
      </w:r>
      <w:r w:rsidR="003422A3">
        <w:instrText xml:space="preserve">igure \* ARABIC </w:instrText>
      </w:r>
      <w:r w:rsidR="003422A3">
        <w:fldChar w:fldCharType="separate"/>
      </w:r>
      <w:r w:rsidR="00384A55">
        <w:rPr>
          <w:noProof/>
        </w:rPr>
        <w:t>4</w:t>
      </w:r>
      <w:r w:rsidR="003422A3">
        <w:rPr>
          <w:noProof/>
        </w:rPr>
        <w:fldChar w:fldCharType="end"/>
      </w:r>
      <w:r>
        <w:t xml:space="preserve"> : </w:t>
      </w:r>
      <w:r w:rsidRPr="00CC5077">
        <w:t>New South Wales generation and bidding patterns</w:t>
      </w:r>
    </w:p>
    <w:p w:rsidR="00275002" w:rsidRPr="0031019A" w:rsidRDefault="00F70811" w:rsidP="00275002">
      <w:r w:rsidRPr="00F70811">
        <w:rPr>
          <w:noProof/>
          <w:lang w:eastAsia="en-AU"/>
        </w:rPr>
        <w:drawing>
          <wp:inline distT="0" distB="0" distL="0" distR="0" wp14:anchorId="0E9771A0" wp14:editId="62EEAFE2">
            <wp:extent cx="5600700" cy="4028222"/>
            <wp:effectExtent l="0" t="0" r="0" b="0"/>
            <wp:docPr id="21" name="Picture 21"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3223" cy="4030037"/>
                    </a:xfrm>
                    <a:prstGeom prst="rect">
                      <a:avLst/>
                    </a:prstGeom>
                    <a:noFill/>
                    <a:ln>
                      <a:noFill/>
                    </a:ln>
                  </pic:spPr>
                </pic:pic>
              </a:graphicData>
            </a:graphic>
          </wp:inline>
        </w:drawing>
      </w:r>
    </w:p>
    <w:p w:rsidR="00275002" w:rsidRDefault="00275002" w:rsidP="000E2946">
      <w:pPr>
        <w:pStyle w:val="Caption"/>
      </w:pPr>
      <w:r>
        <w:t xml:space="preserve">Figure </w:t>
      </w:r>
      <w:r w:rsidR="003422A3">
        <w:fldChar w:fldCharType="begin"/>
      </w:r>
      <w:r w:rsidR="003422A3">
        <w:instrText xml:space="preserve"> SEQ Figure \* ARABIC </w:instrText>
      </w:r>
      <w:r w:rsidR="003422A3">
        <w:fldChar w:fldCharType="separate"/>
      </w:r>
      <w:r w:rsidR="00384A55">
        <w:rPr>
          <w:noProof/>
        </w:rPr>
        <w:t>5</w:t>
      </w:r>
      <w:r w:rsidR="003422A3">
        <w:rPr>
          <w:noProof/>
        </w:rPr>
        <w:fldChar w:fldCharType="end"/>
      </w:r>
      <w:r>
        <w:t xml:space="preserve"> </w:t>
      </w:r>
      <w:r w:rsidRPr="0003635A">
        <w:t>: Victoria generation and bidding patterns</w:t>
      </w:r>
    </w:p>
    <w:p w:rsidR="00275002" w:rsidRPr="0031019A" w:rsidRDefault="00F70811" w:rsidP="00275002">
      <w:r w:rsidRPr="00F70811">
        <w:rPr>
          <w:noProof/>
          <w:lang w:eastAsia="en-AU"/>
        </w:rPr>
        <w:drawing>
          <wp:inline distT="0" distB="0" distL="0" distR="0" wp14:anchorId="79DE6A1C" wp14:editId="64999B6C">
            <wp:extent cx="5610225" cy="4028370"/>
            <wp:effectExtent l="0" t="0" r="0" b="0"/>
            <wp:docPr id="22" name="Picture 22"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7919" cy="4033895"/>
                    </a:xfrm>
                    <a:prstGeom prst="rect">
                      <a:avLst/>
                    </a:prstGeom>
                    <a:noFill/>
                    <a:ln>
                      <a:noFill/>
                    </a:ln>
                  </pic:spPr>
                </pic:pic>
              </a:graphicData>
            </a:graphic>
          </wp:inline>
        </w:drawing>
      </w:r>
    </w:p>
    <w:p w:rsidR="00275002" w:rsidRDefault="00275002" w:rsidP="000E2946">
      <w:pPr>
        <w:pStyle w:val="Caption"/>
      </w:pPr>
      <w:r>
        <w:t xml:space="preserve">Figure </w:t>
      </w:r>
      <w:r w:rsidR="003422A3">
        <w:fldChar w:fldCharType="begin"/>
      </w:r>
      <w:r w:rsidR="003422A3">
        <w:instrText xml:space="preserve"> SEQ Figure \* ARABIC </w:instrText>
      </w:r>
      <w:r w:rsidR="003422A3">
        <w:fldChar w:fldCharType="separate"/>
      </w:r>
      <w:r w:rsidR="00384A55">
        <w:rPr>
          <w:noProof/>
        </w:rPr>
        <w:t>6</w:t>
      </w:r>
      <w:r w:rsidR="003422A3">
        <w:rPr>
          <w:noProof/>
        </w:rPr>
        <w:fldChar w:fldCharType="end"/>
      </w:r>
      <w:r>
        <w:t>:</w:t>
      </w:r>
      <w:r w:rsidRPr="00BD00EB">
        <w:t xml:space="preserve"> South Australia generation and bidding patterns</w:t>
      </w:r>
    </w:p>
    <w:p w:rsidR="00275002" w:rsidRPr="0031019A" w:rsidRDefault="00F70811" w:rsidP="00275002">
      <w:r w:rsidRPr="00F70811">
        <w:rPr>
          <w:noProof/>
          <w:lang w:eastAsia="en-AU"/>
        </w:rPr>
        <w:drawing>
          <wp:inline distT="0" distB="0" distL="0" distR="0" wp14:anchorId="73EC639C" wp14:editId="4EB64EA8">
            <wp:extent cx="5657850" cy="4062566"/>
            <wp:effectExtent l="0" t="0" r="0" b="0"/>
            <wp:docPr id="23" name="Picture 23"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8753" cy="4063215"/>
                    </a:xfrm>
                    <a:prstGeom prst="rect">
                      <a:avLst/>
                    </a:prstGeom>
                    <a:noFill/>
                    <a:ln>
                      <a:noFill/>
                    </a:ln>
                  </pic:spPr>
                </pic:pic>
              </a:graphicData>
            </a:graphic>
          </wp:inline>
        </w:drawing>
      </w:r>
    </w:p>
    <w:p w:rsidR="00275002" w:rsidRDefault="00275002" w:rsidP="000E2946">
      <w:pPr>
        <w:pStyle w:val="Caption"/>
      </w:pPr>
      <w:bookmarkStart w:id="15" w:name="_Ref410383520"/>
      <w:r>
        <w:t xml:space="preserve">Figure </w:t>
      </w:r>
      <w:r w:rsidR="003422A3">
        <w:fldChar w:fldCharType="begin"/>
      </w:r>
      <w:r w:rsidR="003422A3">
        <w:instrText xml:space="preserve"> SEQ Figure </w:instrText>
      </w:r>
      <w:r w:rsidR="003422A3">
        <w:instrText xml:space="preserve">\* ARABIC </w:instrText>
      </w:r>
      <w:r w:rsidR="003422A3">
        <w:fldChar w:fldCharType="separate"/>
      </w:r>
      <w:r w:rsidR="00384A55">
        <w:rPr>
          <w:noProof/>
        </w:rPr>
        <w:t>7</w:t>
      </w:r>
      <w:r w:rsidR="003422A3">
        <w:rPr>
          <w:noProof/>
        </w:rPr>
        <w:fldChar w:fldCharType="end"/>
      </w:r>
      <w:bookmarkEnd w:id="15"/>
      <w:r>
        <w:t xml:space="preserve">: </w:t>
      </w:r>
      <w:r w:rsidRPr="008837C4">
        <w:t>Tasmania generation and bidding patterns</w:t>
      </w:r>
    </w:p>
    <w:p w:rsidR="00275002" w:rsidRPr="0031019A" w:rsidRDefault="00F70811" w:rsidP="00275002">
      <w:r w:rsidRPr="00F70811">
        <w:rPr>
          <w:noProof/>
          <w:lang w:eastAsia="en-AU"/>
        </w:rPr>
        <w:drawing>
          <wp:inline distT="0" distB="0" distL="0" distR="0" wp14:anchorId="42F46DF4" wp14:editId="362B0B33">
            <wp:extent cx="5731510" cy="4115457"/>
            <wp:effectExtent l="0" t="0" r="2540" b="0"/>
            <wp:docPr id="24" name="Picture 24"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r w:rsidRPr="0031019A">
        <w:t>delayed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275002" w:rsidP="009A3D22">
      <w:pPr>
        <w:jc w:val="both"/>
      </w:pPr>
      <w:r w:rsidRPr="0031019A">
        <w:t>The total cost of FCAS on the mainland for the week was $5</w:t>
      </w:r>
      <w:r w:rsidR="00B87DD6">
        <w:t>16</w:t>
      </w:r>
      <w:r w:rsidRPr="0031019A">
        <w:t> 000 or less than 1 per cent of energy turnover on the mainland.</w:t>
      </w:r>
    </w:p>
    <w:p w:rsidR="00275002" w:rsidRPr="0031019A" w:rsidRDefault="00275002" w:rsidP="009A3D22">
      <w:pPr>
        <w:jc w:val="both"/>
      </w:pPr>
      <w:r w:rsidRPr="0031019A">
        <w:t>The total cost of FCAS in Tasmania for the week was $</w:t>
      </w:r>
      <w:r w:rsidR="00B87DD6">
        <w:t>494 500</w:t>
      </w:r>
      <w:r w:rsidRPr="0031019A">
        <w:t xml:space="preserve"> or </w:t>
      </w:r>
      <w:r w:rsidR="00B87DD6">
        <w:t>around 8 </w:t>
      </w:r>
      <w:r w:rsidRPr="0031019A">
        <w:t xml:space="preserve">per cent of energy turnover in Tasmania. The high FCAS cost in Tasmania was mainly driven by the lower 6 second service. </w:t>
      </w:r>
    </w:p>
    <w:p w:rsidR="00275002" w:rsidRDefault="00275002" w:rsidP="000E2946">
      <w:pPr>
        <w:pStyle w:val="Caption"/>
      </w:pPr>
      <w:bookmarkStart w:id="16" w:name="_Ref410383413"/>
      <w:r>
        <w:t xml:space="preserve">Figure </w:t>
      </w:r>
      <w:r w:rsidR="003422A3">
        <w:fldChar w:fldCharType="begin"/>
      </w:r>
      <w:r w:rsidR="003422A3">
        <w:instrText xml:space="preserve"> SEQ Figure \* ARABIC </w:instrText>
      </w:r>
      <w:r w:rsidR="003422A3">
        <w:fldChar w:fldCharType="separate"/>
      </w:r>
      <w:r w:rsidR="00384A55">
        <w:rPr>
          <w:noProof/>
        </w:rPr>
        <w:t>8</w:t>
      </w:r>
      <w:r w:rsidR="003422A3">
        <w:rPr>
          <w:noProof/>
        </w:rPr>
        <w:fldChar w:fldCharType="end"/>
      </w:r>
      <w:bookmarkEnd w:id="16"/>
      <w:r>
        <w:t xml:space="preserve"> </w:t>
      </w:r>
      <w:r w:rsidRPr="007707C6">
        <w:t>: Daily frequency control ancillary service cost</w:t>
      </w:r>
    </w:p>
    <w:p w:rsidR="00275002" w:rsidRPr="0031019A" w:rsidRDefault="00B87DD6" w:rsidP="00275002">
      <w:r w:rsidRPr="00B87DD6">
        <w:rPr>
          <w:noProof/>
          <w:lang w:eastAsia="en-AU"/>
        </w:rPr>
        <w:drawing>
          <wp:inline distT="0" distB="0" distL="0" distR="0" wp14:anchorId="2C596A09" wp14:editId="7D45B22F">
            <wp:extent cx="5731510" cy="2893377"/>
            <wp:effectExtent l="0" t="0" r="2540" b="2540"/>
            <wp:docPr id="25" name="Picture 25"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377"/>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_Ref410383413 \h </w:instrText>
      </w:r>
      <w:r w:rsidR="009A3D22">
        <w:instrText xml:space="preserve"> \* MERGEFORMAT </w:instrText>
      </w:r>
      <w:r>
        <w:fldChar w:fldCharType="separate"/>
      </w:r>
      <w:r w:rsidR="00384A55">
        <w:t xml:space="preserve">Figure </w:t>
      </w:r>
      <w:r w:rsidR="00384A55">
        <w:rPr>
          <w:noProof/>
        </w:rPr>
        <w:t>8</w:t>
      </w:r>
      <w:r>
        <w:fldChar w:fldCharType="end"/>
      </w:r>
      <w:r w:rsidRPr="0031019A">
        <w:t xml:space="preserve"> shows the daily breakdown of cost for each FCAS for the NEM, as well as the average cost since the beginning of the previ</w:t>
      </w:r>
      <w:r w:rsidRPr="008366CD">
        <w:t xml:space="preserve">ous financial year. During the week a system normal constraint managing the requirement for lower 6 second service for the loss of two </w:t>
      </w:r>
      <w:r w:rsidR="00982FEB">
        <w:t>Bell Bay Aluminium</w:t>
      </w:r>
      <w:r w:rsidRPr="008366CD">
        <w:t xml:space="preserve"> potlines was binding and Basslink was unable to transfer FCAS. This meant that all Tasmanian FCAS services had to be sourced locally. Over the week the cost of lower 6 second services was around $</w:t>
      </w:r>
      <w:r w:rsidR="008366CD" w:rsidRPr="008366CD">
        <w:t>440 </w:t>
      </w:r>
      <w:r w:rsidRPr="008366CD">
        <w:t>000.</w:t>
      </w:r>
      <w:r w:rsidR="008366CD" w:rsidRPr="008366CD">
        <w:t xml:space="preserve"> On</w:t>
      </w:r>
      <w:r w:rsidR="008366CD">
        <w:t xml:space="preserve"> 23 January at around 6 pm AEMO issued a market notice allowing contingency lower FCAS to be sourced globally which reduced the local requirement and the high cost of lower 6 second services reduced to average levels.</w:t>
      </w:r>
    </w:p>
    <w:bookmarkEnd w:id="0"/>
    <w:bookmarkEnd w:id="1"/>
    <w:bookmarkEnd w:id="2"/>
    <w:bookmarkEnd w:id="3"/>
    <w:bookmarkEnd w:id="4"/>
    <w:bookmarkEnd w:id="5"/>
    <w:p w:rsidR="00275002" w:rsidRPr="0031019A" w:rsidRDefault="00275002" w:rsidP="00914A87">
      <w:pPr>
        <w:pStyle w:val="AERHeading1"/>
      </w:pPr>
      <w:r w:rsidRPr="0031019A">
        <w:t>Detailed market analysis of significant price events</w:t>
      </w:r>
    </w:p>
    <w:p w:rsidR="00275002" w:rsidRPr="0031019A" w:rsidRDefault="00275002" w:rsidP="009A3D22">
      <w:pPr>
        <w:jc w:val="both"/>
      </w:pPr>
      <w:r w:rsidRPr="0031019A">
        <w:t xml:space="preserve">We provide more detailed analysis of events where the spot price was greater than three times the weekly average price in a region and above $250/MWh or was below </w:t>
      </w:r>
      <w:r w:rsidRPr="0031019A">
        <w:noBreakHyphen/>
        <w:t xml:space="preserve">$100/MWh. </w:t>
      </w:r>
    </w:p>
    <w:p w:rsidR="00275002" w:rsidRPr="0031019A" w:rsidRDefault="00275002" w:rsidP="00914A87">
      <w:pPr>
        <w:pStyle w:val="Heading2"/>
      </w:pPr>
      <w:r w:rsidRPr="0031019A">
        <w:t>Queensland</w:t>
      </w:r>
    </w:p>
    <w:p w:rsidR="00D32767" w:rsidRDefault="00275002" w:rsidP="009A3D22">
      <w:pPr>
        <w:jc w:val="both"/>
      </w:pPr>
      <w:r w:rsidRPr="0031019A">
        <w:t xml:space="preserve">There were </w:t>
      </w:r>
      <w:r w:rsidR="008366CD">
        <w:t>nine</w:t>
      </w:r>
      <w:r w:rsidRPr="0031019A">
        <w:t xml:space="preserve"> occasions where the spot price in Queensland was greater than three times the Queensland weekly average price of $</w:t>
      </w:r>
      <w:r w:rsidR="008366CD">
        <w:t>118</w:t>
      </w:r>
      <w:r w:rsidRPr="0031019A">
        <w:t>/MWh and above $250/MWh.</w:t>
      </w:r>
      <w:r w:rsidR="00D32767">
        <w:t xml:space="preserve"> </w:t>
      </w:r>
    </w:p>
    <w:p w:rsidR="00275002" w:rsidRPr="0031019A" w:rsidRDefault="00D32767" w:rsidP="009A3D22">
      <w:pPr>
        <w:jc w:val="both"/>
      </w:pPr>
      <w:r>
        <w:t xml:space="preserve">During the high prices on 18 and 19 January flow across both QNI and the </w:t>
      </w:r>
      <w:r w:rsidR="00EB7D7F">
        <w:t>Terranora</w:t>
      </w:r>
      <w:r>
        <w:t xml:space="preserve"> interconnectors into Queensland were being limit to a total of between 184 MW and 275 MW. This was slightly less than forecast four hours ahead.</w:t>
      </w:r>
    </w:p>
    <w:p w:rsidR="00275002" w:rsidRPr="0031019A" w:rsidRDefault="00275002" w:rsidP="00914A87">
      <w:pPr>
        <w:pStyle w:val="AERHeading3"/>
      </w:pPr>
      <w:r>
        <w:t xml:space="preserve">Queensland - </w:t>
      </w:r>
      <w:r w:rsidRPr="0031019A">
        <w:t>Sunday, 1</w:t>
      </w:r>
      <w:r w:rsidR="008366CD">
        <w:t>8</w:t>
      </w:r>
      <w:r w:rsidRPr="0031019A">
        <w:t xml:space="preserve"> January</w:t>
      </w:r>
    </w:p>
    <w:p w:rsidR="00275002" w:rsidRPr="0031019A" w:rsidRDefault="00275002" w:rsidP="000E2946">
      <w:pPr>
        <w:pStyle w:val="Caption"/>
      </w:pPr>
      <w:r>
        <w:t xml:space="preserve">Table </w:t>
      </w:r>
      <w:r w:rsidR="003422A3">
        <w:fldChar w:fldCharType="begin"/>
      </w:r>
      <w:r w:rsidR="003422A3">
        <w:instrText xml:space="preserve"> SEQ Table \* ARABIC </w:instrText>
      </w:r>
      <w:r w:rsidR="003422A3">
        <w:fldChar w:fldCharType="separate"/>
      </w:r>
      <w:r w:rsidR="00384A55">
        <w:rPr>
          <w:noProof/>
        </w:rPr>
        <w:t>3</w:t>
      </w:r>
      <w:r w:rsidR="003422A3">
        <w:rPr>
          <w:noProof/>
        </w:rPr>
        <w:fldChar w:fldCharType="end"/>
      </w:r>
      <w:r>
        <w:t xml:space="preserve"> </w:t>
      </w:r>
      <w:r w:rsidRPr="00530B11">
        <w:t>: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275002" w:rsidRPr="00E7472E" w:rsidTr="004E7D10">
        <w:trPr>
          <w:cnfStyle w:val="100000000000" w:firstRow="1" w:lastRow="0" w:firstColumn="0" w:lastColumn="0" w:oddVBand="0" w:evenVBand="0" w:oddHBand="0" w:evenHBand="0" w:firstRowFirstColumn="0" w:firstRowLastColumn="0" w:lastRowFirstColumn="0" w:lastRowLastColumn="0"/>
        </w:trPr>
        <w:tc>
          <w:tcPr>
            <w:tcW w:w="539" w:type="pct"/>
            <w:tcBorders>
              <w:bottom w:val="nil"/>
            </w:tcBorders>
            <w:hideMark/>
          </w:tcPr>
          <w:p w:rsidR="00275002" w:rsidRPr="0031019A" w:rsidRDefault="00275002" w:rsidP="00E7472E">
            <w:pPr>
              <w:pStyle w:val="TableHeading"/>
              <w:jc w:val="center"/>
            </w:pPr>
            <w:r w:rsidRPr="0031019A">
              <w:t>Time</w:t>
            </w:r>
          </w:p>
        </w:tc>
        <w:tc>
          <w:tcPr>
            <w:tcW w:w="1513" w:type="pct"/>
            <w:gridSpan w:val="3"/>
            <w:tcBorders>
              <w:bottom w:val="nil"/>
            </w:tcBorders>
            <w:hideMark/>
          </w:tcPr>
          <w:p w:rsidR="00275002" w:rsidRPr="0031019A" w:rsidRDefault="00275002" w:rsidP="00E7472E">
            <w:pPr>
              <w:pStyle w:val="TableHeading"/>
              <w:jc w:val="center"/>
            </w:pPr>
            <w:r w:rsidRPr="0031019A">
              <w:t>Price ($/MWh)</w:t>
            </w:r>
          </w:p>
        </w:tc>
        <w:tc>
          <w:tcPr>
            <w:tcW w:w="1474" w:type="pct"/>
            <w:gridSpan w:val="3"/>
            <w:tcBorders>
              <w:bottom w:val="nil"/>
            </w:tcBorders>
            <w:hideMark/>
          </w:tcPr>
          <w:p w:rsidR="00275002" w:rsidRPr="0031019A" w:rsidRDefault="00275002" w:rsidP="00E7472E">
            <w:pPr>
              <w:pStyle w:val="TableHeading"/>
              <w:jc w:val="center"/>
            </w:pPr>
            <w:r w:rsidRPr="0031019A">
              <w:t>Demand (MW)</w:t>
            </w:r>
          </w:p>
        </w:tc>
        <w:tc>
          <w:tcPr>
            <w:tcW w:w="1473" w:type="pct"/>
            <w:gridSpan w:val="3"/>
            <w:tcBorders>
              <w:bottom w:val="nil"/>
            </w:tcBorders>
            <w:hideMark/>
          </w:tcPr>
          <w:p w:rsidR="00275002" w:rsidRPr="0031019A" w:rsidRDefault="00275002" w:rsidP="00E7472E">
            <w:pPr>
              <w:pStyle w:val="TableHeading"/>
              <w:jc w:val="center"/>
            </w:pPr>
            <w:r w:rsidRPr="0031019A">
              <w:t>Availability (MW)</w:t>
            </w:r>
          </w:p>
        </w:tc>
      </w:tr>
      <w:tr w:rsidR="006777D7" w:rsidRPr="006777D7" w:rsidTr="004E7D10">
        <w:tc>
          <w:tcPr>
            <w:tcW w:w="539"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 </w:t>
            </w:r>
          </w:p>
        </w:tc>
        <w:tc>
          <w:tcPr>
            <w:tcW w:w="518"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Actual</w:t>
            </w:r>
          </w:p>
        </w:tc>
        <w:tc>
          <w:tcPr>
            <w:tcW w:w="497"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4 hr forecast</w:t>
            </w:r>
          </w:p>
        </w:tc>
        <w:tc>
          <w:tcPr>
            <w:tcW w:w="498"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12 hr forecast</w:t>
            </w:r>
          </w:p>
        </w:tc>
        <w:tc>
          <w:tcPr>
            <w:tcW w:w="480"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Actual</w:t>
            </w:r>
          </w:p>
        </w:tc>
        <w:tc>
          <w:tcPr>
            <w:tcW w:w="497"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4 hr forecast</w:t>
            </w:r>
          </w:p>
        </w:tc>
        <w:tc>
          <w:tcPr>
            <w:tcW w:w="497"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12 hr forecast</w:t>
            </w:r>
          </w:p>
        </w:tc>
        <w:tc>
          <w:tcPr>
            <w:tcW w:w="480"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Actual</w:t>
            </w:r>
          </w:p>
        </w:tc>
        <w:tc>
          <w:tcPr>
            <w:tcW w:w="497"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4 hr forecast</w:t>
            </w:r>
          </w:p>
        </w:tc>
        <w:tc>
          <w:tcPr>
            <w:tcW w:w="496"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12 hr forecast</w:t>
            </w:r>
          </w:p>
        </w:tc>
      </w:tr>
      <w:tr w:rsidR="008366CD" w:rsidRPr="00D44F71" w:rsidTr="004E7D10">
        <w:trPr>
          <w:cnfStyle w:val="000000010000" w:firstRow="0" w:lastRow="0" w:firstColumn="0" w:lastColumn="0" w:oddVBand="0" w:evenVBand="0" w:oddHBand="0" w:evenHBand="1" w:firstRowFirstColumn="0" w:firstRowLastColumn="0" w:lastRowFirstColumn="0" w:lastRowLastColumn="0"/>
          <w:trHeight w:val="510"/>
        </w:trPr>
        <w:tc>
          <w:tcPr>
            <w:tcW w:w="539" w:type="pct"/>
            <w:tcBorders>
              <w:top w:val="nil"/>
            </w:tcBorders>
            <w:vAlign w:val="center"/>
          </w:tcPr>
          <w:p w:rsidR="008366CD" w:rsidRPr="008366CD" w:rsidRDefault="008366CD">
            <w:pPr>
              <w:pStyle w:val="NormalWeb"/>
              <w:jc w:val="center"/>
              <w:rPr>
                <w:rFonts w:ascii="Arial" w:eastAsiaTheme="minorHAnsi" w:hAnsi="Arial" w:cstheme="minorBidi"/>
                <w:b/>
                <w:sz w:val="18"/>
                <w:szCs w:val="22"/>
                <w:lang w:eastAsia="en-US"/>
              </w:rPr>
            </w:pPr>
            <w:r w:rsidRPr="008366CD">
              <w:rPr>
                <w:rFonts w:ascii="Arial" w:eastAsiaTheme="minorHAnsi" w:hAnsi="Arial" w:cstheme="minorBidi"/>
                <w:b/>
                <w:sz w:val="18"/>
                <w:szCs w:val="22"/>
                <w:lang w:eastAsia="en-US"/>
              </w:rPr>
              <w:t>4:00 PM</w:t>
            </w:r>
          </w:p>
        </w:tc>
        <w:tc>
          <w:tcPr>
            <w:tcW w:w="518" w:type="pct"/>
            <w:tcBorders>
              <w:top w:val="nil"/>
            </w:tcBorders>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396.90</w:t>
            </w:r>
          </w:p>
        </w:tc>
        <w:tc>
          <w:tcPr>
            <w:tcW w:w="497" w:type="pct"/>
            <w:tcBorders>
              <w:top w:val="nil"/>
            </w:tcBorders>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34.69</w:t>
            </w:r>
          </w:p>
        </w:tc>
        <w:tc>
          <w:tcPr>
            <w:tcW w:w="498" w:type="pct"/>
            <w:tcBorders>
              <w:top w:val="nil"/>
            </w:tcBorders>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30.05</w:t>
            </w:r>
          </w:p>
        </w:tc>
        <w:tc>
          <w:tcPr>
            <w:tcW w:w="480" w:type="pct"/>
            <w:tcBorders>
              <w:top w:val="nil"/>
            </w:tcBorders>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8025</w:t>
            </w:r>
          </w:p>
        </w:tc>
        <w:tc>
          <w:tcPr>
            <w:tcW w:w="497" w:type="pct"/>
            <w:tcBorders>
              <w:top w:val="nil"/>
            </w:tcBorders>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7903</w:t>
            </w:r>
          </w:p>
        </w:tc>
        <w:tc>
          <w:tcPr>
            <w:tcW w:w="497" w:type="pct"/>
            <w:tcBorders>
              <w:top w:val="nil"/>
            </w:tcBorders>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7858</w:t>
            </w:r>
          </w:p>
        </w:tc>
        <w:tc>
          <w:tcPr>
            <w:tcW w:w="480" w:type="pct"/>
            <w:tcBorders>
              <w:top w:val="nil"/>
            </w:tcBorders>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10 078</w:t>
            </w:r>
          </w:p>
        </w:tc>
        <w:tc>
          <w:tcPr>
            <w:tcW w:w="497" w:type="pct"/>
            <w:tcBorders>
              <w:top w:val="nil"/>
            </w:tcBorders>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9995</w:t>
            </w:r>
          </w:p>
        </w:tc>
        <w:tc>
          <w:tcPr>
            <w:tcW w:w="496" w:type="pct"/>
            <w:tcBorders>
              <w:top w:val="nil"/>
            </w:tcBorders>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10 300</w:t>
            </w:r>
          </w:p>
        </w:tc>
      </w:tr>
      <w:tr w:rsidR="008366CD" w:rsidRPr="00D44F71" w:rsidTr="004E7D10">
        <w:trPr>
          <w:trHeight w:val="510"/>
        </w:trPr>
        <w:tc>
          <w:tcPr>
            <w:tcW w:w="539" w:type="pct"/>
            <w:vAlign w:val="center"/>
          </w:tcPr>
          <w:p w:rsidR="008366CD" w:rsidRPr="008366CD" w:rsidRDefault="008366CD">
            <w:pPr>
              <w:pStyle w:val="NormalWeb"/>
              <w:jc w:val="center"/>
              <w:rPr>
                <w:rFonts w:ascii="Arial" w:eastAsiaTheme="minorHAnsi" w:hAnsi="Arial" w:cstheme="minorBidi"/>
                <w:b/>
                <w:sz w:val="18"/>
                <w:szCs w:val="22"/>
                <w:lang w:eastAsia="en-US"/>
              </w:rPr>
            </w:pPr>
            <w:r w:rsidRPr="008366CD">
              <w:rPr>
                <w:rFonts w:ascii="Arial" w:eastAsiaTheme="minorHAnsi" w:hAnsi="Arial" w:cstheme="minorBidi"/>
                <w:b/>
                <w:sz w:val="18"/>
                <w:szCs w:val="22"/>
                <w:lang w:eastAsia="en-US"/>
              </w:rPr>
              <w:t>4:30 PM</w:t>
            </w:r>
          </w:p>
        </w:tc>
        <w:tc>
          <w:tcPr>
            <w:tcW w:w="518"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2262.28</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33.64</w:t>
            </w:r>
          </w:p>
        </w:tc>
        <w:tc>
          <w:tcPr>
            <w:tcW w:w="498"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30.82</w:t>
            </w:r>
          </w:p>
        </w:tc>
        <w:tc>
          <w:tcPr>
            <w:tcW w:w="480"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8082</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7978</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7953</w:t>
            </w:r>
          </w:p>
        </w:tc>
        <w:tc>
          <w:tcPr>
            <w:tcW w:w="480"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10 098</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9965</w:t>
            </w:r>
          </w:p>
        </w:tc>
        <w:tc>
          <w:tcPr>
            <w:tcW w:w="496"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10 300</w:t>
            </w:r>
          </w:p>
        </w:tc>
      </w:tr>
      <w:tr w:rsidR="008366CD" w:rsidRPr="00D44F71" w:rsidTr="004E7D10">
        <w:trPr>
          <w:cnfStyle w:val="000000010000" w:firstRow="0" w:lastRow="0" w:firstColumn="0" w:lastColumn="0" w:oddVBand="0" w:evenVBand="0" w:oddHBand="0" w:evenHBand="1" w:firstRowFirstColumn="0" w:firstRowLastColumn="0" w:lastRowFirstColumn="0" w:lastRowLastColumn="0"/>
          <w:trHeight w:val="510"/>
        </w:trPr>
        <w:tc>
          <w:tcPr>
            <w:tcW w:w="539" w:type="pct"/>
            <w:vAlign w:val="center"/>
          </w:tcPr>
          <w:p w:rsidR="008366CD" w:rsidRPr="008366CD" w:rsidRDefault="008366CD">
            <w:pPr>
              <w:pStyle w:val="NormalWeb"/>
              <w:jc w:val="center"/>
              <w:rPr>
                <w:rFonts w:ascii="Arial" w:eastAsiaTheme="minorHAnsi" w:hAnsi="Arial" w:cstheme="minorBidi"/>
                <w:b/>
                <w:sz w:val="18"/>
                <w:szCs w:val="22"/>
                <w:lang w:eastAsia="en-US"/>
              </w:rPr>
            </w:pPr>
            <w:r w:rsidRPr="008366CD">
              <w:rPr>
                <w:rFonts w:ascii="Arial" w:eastAsiaTheme="minorHAnsi" w:hAnsi="Arial" w:cstheme="minorBidi"/>
                <w:b/>
                <w:sz w:val="18"/>
                <w:szCs w:val="22"/>
                <w:lang w:eastAsia="en-US"/>
              </w:rPr>
              <w:t>5:00 PM</w:t>
            </w:r>
          </w:p>
        </w:tc>
        <w:tc>
          <w:tcPr>
            <w:tcW w:w="518"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6625.75</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34.98</w:t>
            </w:r>
          </w:p>
        </w:tc>
        <w:tc>
          <w:tcPr>
            <w:tcW w:w="498"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34.75</w:t>
            </w:r>
          </w:p>
        </w:tc>
        <w:tc>
          <w:tcPr>
            <w:tcW w:w="480"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8168</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8078</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8017</w:t>
            </w:r>
          </w:p>
        </w:tc>
        <w:tc>
          <w:tcPr>
            <w:tcW w:w="480"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10 089</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9977</w:t>
            </w:r>
          </w:p>
        </w:tc>
        <w:tc>
          <w:tcPr>
            <w:tcW w:w="496"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10 325</w:t>
            </w:r>
          </w:p>
        </w:tc>
      </w:tr>
      <w:tr w:rsidR="008366CD" w:rsidRPr="00D44F71" w:rsidTr="004E7D10">
        <w:trPr>
          <w:trHeight w:val="510"/>
        </w:trPr>
        <w:tc>
          <w:tcPr>
            <w:tcW w:w="539" w:type="pct"/>
            <w:vAlign w:val="center"/>
          </w:tcPr>
          <w:p w:rsidR="008366CD" w:rsidRPr="008366CD" w:rsidRDefault="008366CD">
            <w:pPr>
              <w:pStyle w:val="NormalWeb"/>
              <w:jc w:val="center"/>
              <w:rPr>
                <w:rFonts w:ascii="Arial" w:eastAsiaTheme="minorHAnsi" w:hAnsi="Arial" w:cstheme="minorBidi"/>
                <w:b/>
                <w:sz w:val="18"/>
                <w:szCs w:val="22"/>
                <w:lang w:eastAsia="en-US"/>
              </w:rPr>
            </w:pPr>
            <w:r w:rsidRPr="008366CD">
              <w:rPr>
                <w:rFonts w:ascii="Arial" w:eastAsiaTheme="minorHAnsi" w:hAnsi="Arial" w:cstheme="minorBidi"/>
                <w:b/>
                <w:sz w:val="18"/>
                <w:szCs w:val="22"/>
                <w:lang w:eastAsia="en-US"/>
              </w:rPr>
              <w:t>5:30 PM</w:t>
            </w:r>
          </w:p>
        </w:tc>
        <w:tc>
          <w:tcPr>
            <w:tcW w:w="518"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623.34</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34.22</w:t>
            </w:r>
          </w:p>
        </w:tc>
        <w:tc>
          <w:tcPr>
            <w:tcW w:w="498"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33.92</w:t>
            </w:r>
          </w:p>
        </w:tc>
        <w:tc>
          <w:tcPr>
            <w:tcW w:w="480"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8204</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8112</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7995</w:t>
            </w:r>
          </w:p>
        </w:tc>
        <w:tc>
          <w:tcPr>
            <w:tcW w:w="480"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10 094</w:t>
            </w:r>
          </w:p>
        </w:tc>
        <w:tc>
          <w:tcPr>
            <w:tcW w:w="497"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10 094</w:t>
            </w:r>
          </w:p>
        </w:tc>
        <w:tc>
          <w:tcPr>
            <w:tcW w:w="496" w:type="pct"/>
            <w:vAlign w:val="center"/>
          </w:tcPr>
          <w:p w:rsidR="008366CD" w:rsidRPr="008366CD" w:rsidRDefault="008366C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10 327</w:t>
            </w:r>
          </w:p>
        </w:tc>
      </w:tr>
    </w:tbl>
    <w:p w:rsidR="00275002" w:rsidRDefault="00F02D9B" w:rsidP="009A3D22">
      <w:pPr>
        <w:jc w:val="both"/>
      </w:pPr>
      <w:r>
        <w:rPr>
          <w:rFonts w:cs="Arial"/>
        </w:rPr>
        <w:t>The above prices</w:t>
      </w:r>
      <w:r w:rsidRPr="009371BF">
        <w:rPr>
          <w:rFonts w:cs="Arial"/>
        </w:rPr>
        <w:t xml:space="preserve"> will be discussed in the relevant </w:t>
      </w:r>
      <w:r w:rsidRPr="009371BF">
        <w:rPr>
          <w:rFonts w:cs="Arial"/>
          <w:i/>
        </w:rPr>
        <w:t>Spot prices above $5000/MWh</w:t>
      </w:r>
      <w:r w:rsidRPr="009371BF">
        <w:rPr>
          <w:rFonts w:cs="Arial"/>
        </w:rPr>
        <w:t xml:space="preserve"> report.</w:t>
      </w:r>
      <w:r w:rsidR="00275002" w:rsidRPr="0031019A">
        <w:t xml:space="preserve"> </w:t>
      </w:r>
    </w:p>
    <w:p w:rsidR="004E7D10" w:rsidRDefault="004E7D10" w:rsidP="004E7D10">
      <w:pPr>
        <w:pStyle w:val="Caption"/>
      </w:pPr>
      <w:r>
        <w:t xml:space="preserve">Table </w:t>
      </w:r>
      <w:r w:rsidR="003422A3">
        <w:fldChar w:fldCharType="begin"/>
      </w:r>
      <w:r w:rsidR="003422A3">
        <w:instrText xml:space="preserve"> SEQ Table \* ARABIC </w:instrText>
      </w:r>
      <w:r w:rsidR="003422A3">
        <w:fldChar w:fldCharType="separate"/>
      </w:r>
      <w:r w:rsidR="00384A55">
        <w:rPr>
          <w:noProof/>
        </w:rPr>
        <w:t>4</w:t>
      </w:r>
      <w:r w:rsidR="003422A3">
        <w:rPr>
          <w:noProof/>
        </w:rPr>
        <w:fldChar w:fldCharType="end"/>
      </w:r>
      <w:r w:rsidRPr="00D83188">
        <w:t>: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4E7D10" w:rsidRPr="00E7472E" w:rsidTr="004E7D10">
        <w:trPr>
          <w:cnfStyle w:val="100000000000" w:firstRow="1" w:lastRow="0" w:firstColumn="0" w:lastColumn="0" w:oddVBand="0" w:evenVBand="0" w:oddHBand="0" w:evenHBand="0" w:firstRowFirstColumn="0" w:firstRowLastColumn="0" w:lastRowFirstColumn="0" w:lastRowLastColumn="0"/>
        </w:trPr>
        <w:tc>
          <w:tcPr>
            <w:tcW w:w="539" w:type="pct"/>
            <w:tcBorders>
              <w:bottom w:val="nil"/>
            </w:tcBorders>
            <w:hideMark/>
          </w:tcPr>
          <w:p w:rsidR="004E7D10" w:rsidRPr="0031019A" w:rsidRDefault="004E7D10" w:rsidP="00E7472E">
            <w:pPr>
              <w:pStyle w:val="TableHeading"/>
              <w:jc w:val="center"/>
            </w:pPr>
            <w:r w:rsidRPr="0031019A">
              <w:t>Time</w:t>
            </w:r>
          </w:p>
        </w:tc>
        <w:tc>
          <w:tcPr>
            <w:tcW w:w="1513" w:type="pct"/>
            <w:gridSpan w:val="3"/>
            <w:tcBorders>
              <w:bottom w:val="nil"/>
            </w:tcBorders>
            <w:hideMark/>
          </w:tcPr>
          <w:p w:rsidR="004E7D10" w:rsidRPr="0031019A" w:rsidRDefault="004E7D10" w:rsidP="00E7472E">
            <w:pPr>
              <w:pStyle w:val="TableHeading"/>
              <w:jc w:val="center"/>
            </w:pPr>
            <w:r w:rsidRPr="0031019A">
              <w:t>Price ($/MWh)</w:t>
            </w:r>
          </w:p>
        </w:tc>
        <w:tc>
          <w:tcPr>
            <w:tcW w:w="1474" w:type="pct"/>
            <w:gridSpan w:val="3"/>
            <w:tcBorders>
              <w:bottom w:val="nil"/>
            </w:tcBorders>
            <w:hideMark/>
          </w:tcPr>
          <w:p w:rsidR="004E7D10" w:rsidRPr="0031019A" w:rsidRDefault="004E7D10" w:rsidP="00E7472E">
            <w:pPr>
              <w:pStyle w:val="TableHeading"/>
              <w:jc w:val="center"/>
            </w:pPr>
            <w:r w:rsidRPr="0031019A">
              <w:t>Demand (MW)</w:t>
            </w:r>
          </w:p>
        </w:tc>
        <w:tc>
          <w:tcPr>
            <w:tcW w:w="1473" w:type="pct"/>
            <w:gridSpan w:val="3"/>
            <w:tcBorders>
              <w:bottom w:val="nil"/>
            </w:tcBorders>
            <w:hideMark/>
          </w:tcPr>
          <w:p w:rsidR="004E7D10" w:rsidRPr="0031019A" w:rsidRDefault="004E7D10" w:rsidP="00E7472E">
            <w:pPr>
              <w:pStyle w:val="TableHeading"/>
              <w:jc w:val="center"/>
            </w:pPr>
            <w:r w:rsidRPr="0031019A">
              <w:t>Availability (MW)</w:t>
            </w:r>
          </w:p>
        </w:tc>
      </w:tr>
      <w:tr w:rsidR="004E7D10" w:rsidRPr="006777D7" w:rsidTr="004E7D10">
        <w:tc>
          <w:tcPr>
            <w:tcW w:w="539"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 </w:t>
            </w:r>
          </w:p>
        </w:tc>
        <w:tc>
          <w:tcPr>
            <w:tcW w:w="518"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Actual</w:t>
            </w:r>
          </w:p>
        </w:tc>
        <w:tc>
          <w:tcPr>
            <w:tcW w:w="497"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4 hr forecast</w:t>
            </w:r>
          </w:p>
        </w:tc>
        <w:tc>
          <w:tcPr>
            <w:tcW w:w="498"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12 hr forecast</w:t>
            </w:r>
          </w:p>
        </w:tc>
        <w:tc>
          <w:tcPr>
            <w:tcW w:w="480"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Actual</w:t>
            </w:r>
          </w:p>
        </w:tc>
        <w:tc>
          <w:tcPr>
            <w:tcW w:w="497"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4 hr forecast</w:t>
            </w:r>
          </w:p>
        </w:tc>
        <w:tc>
          <w:tcPr>
            <w:tcW w:w="497"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12 hr forecast</w:t>
            </w:r>
          </w:p>
        </w:tc>
        <w:tc>
          <w:tcPr>
            <w:tcW w:w="480"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Actual</w:t>
            </w:r>
          </w:p>
        </w:tc>
        <w:tc>
          <w:tcPr>
            <w:tcW w:w="497"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4 hr forecast</w:t>
            </w:r>
          </w:p>
        </w:tc>
        <w:tc>
          <w:tcPr>
            <w:tcW w:w="496" w:type="pct"/>
            <w:tcBorders>
              <w:bottom w:val="nil"/>
            </w:tcBorders>
            <w:shd w:val="clear" w:color="auto" w:fill="007192" w:themeFill="accent3" w:themeFillShade="BF"/>
            <w:hideMark/>
          </w:tcPr>
          <w:p w:rsidR="004E7D10" w:rsidRPr="006777D7" w:rsidRDefault="004E7D10" w:rsidP="00861AED">
            <w:pPr>
              <w:pStyle w:val="tableheadingline2"/>
              <w:rPr>
                <w:color w:val="FFFFFF" w:themeColor="background1"/>
              </w:rPr>
            </w:pPr>
            <w:r w:rsidRPr="006777D7">
              <w:rPr>
                <w:color w:val="FFFFFF" w:themeColor="background1"/>
              </w:rPr>
              <w:t>12 hr forecast</w:t>
            </w:r>
          </w:p>
        </w:tc>
      </w:tr>
      <w:tr w:rsidR="004E7D10" w:rsidRPr="00D44F71" w:rsidTr="004E7D10">
        <w:trPr>
          <w:cnfStyle w:val="000000010000" w:firstRow="0" w:lastRow="0" w:firstColumn="0" w:lastColumn="0" w:oddVBand="0" w:evenVBand="0" w:oddHBand="0" w:evenHBand="1" w:firstRowFirstColumn="0" w:firstRowLastColumn="0" w:lastRowFirstColumn="0" w:lastRowLastColumn="0"/>
          <w:trHeight w:val="510"/>
        </w:trPr>
        <w:tc>
          <w:tcPr>
            <w:tcW w:w="539" w:type="pct"/>
            <w:vAlign w:val="center"/>
          </w:tcPr>
          <w:p w:rsidR="004E7D10" w:rsidRPr="008366CD" w:rsidRDefault="004E7D10" w:rsidP="00861AED">
            <w:pPr>
              <w:pStyle w:val="NormalWeb"/>
              <w:jc w:val="center"/>
              <w:rPr>
                <w:rFonts w:ascii="Arial" w:eastAsiaTheme="minorHAnsi" w:hAnsi="Arial" w:cstheme="minorBidi"/>
                <w:b/>
                <w:sz w:val="18"/>
                <w:szCs w:val="22"/>
                <w:lang w:eastAsia="en-US"/>
              </w:rPr>
            </w:pPr>
            <w:r w:rsidRPr="008366CD">
              <w:rPr>
                <w:rFonts w:ascii="Arial" w:eastAsiaTheme="minorHAnsi" w:hAnsi="Arial" w:cstheme="minorBidi"/>
                <w:b/>
                <w:sz w:val="18"/>
                <w:szCs w:val="22"/>
                <w:lang w:eastAsia="en-US"/>
              </w:rPr>
              <w:t>8:00 PM</w:t>
            </w:r>
          </w:p>
        </w:tc>
        <w:tc>
          <w:tcPr>
            <w:tcW w:w="518"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2270.37</w:t>
            </w:r>
          </w:p>
        </w:tc>
        <w:tc>
          <w:tcPr>
            <w:tcW w:w="497"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33.84</w:t>
            </w:r>
          </w:p>
        </w:tc>
        <w:tc>
          <w:tcPr>
            <w:tcW w:w="498"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35.50</w:t>
            </w:r>
          </w:p>
        </w:tc>
        <w:tc>
          <w:tcPr>
            <w:tcW w:w="480"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8155</w:t>
            </w:r>
          </w:p>
        </w:tc>
        <w:tc>
          <w:tcPr>
            <w:tcW w:w="497"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7883</w:t>
            </w:r>
          </w:p>
        </w:tc>
        <w:tc>
          <w:tcPr>
            <w:tcW w:w="497"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7908</w:t>
            </w:r>
          </w:p>
        </w:tc>
        <w:tc>
          <w:tcPr>
            <w:tcW w:w="480"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10 119</w:t>
            </w:r>
          </w:p>
        </w:tc>
        <w:tc>
          <w:tcPr>
            <w:tcW w:w="497"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9986</w:t>
            </w:r>
          </w:p>
        </w:tc>
        <w:tc>
          <w:tcPr>
            <w:tcW w:w="496"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10 217</w:t>
            </w:r>
          </w:p>
        </w:tc>
      </w:tr>
      <w:tr w:rsidR="004E7D10" w:rsidRPr="00D44F71" w:rsidTr="004E7D10">
        <w:trPr>
          <w:trHeight w:val="510"/>
        </w:trPr>
        <w:tc>
          <w:tcPr>
            <w:tcW w:w="539" w:type="pct"/>
            <w:vAlign w:val="center"/>
          </w:tcPr>
          <w:p w:rsidR="004E7D10" w:rsidRPr="008366CD" w:rsidRDefault="004E7D10" w:rsidP="00861AED">
            <w:pPr>
              <w:pStyle w:val="NormalWeb"/>
              <w:jc w:val="center"/>
              <w:rPr>
                <w:rFonts w:ascii="Arial" w:eastAsiaTheme="minorHAnsi" w:hAnsi="Arial" w:cstheme="minorBidi"/>
                <w:b/>
                <w:sz w:val="18"/>
                <w:szCs w:val="22"/>
                <w:lang w:eastAsia="en-US"/>
              </w:rPr>
            </w:pPr>
            <w:r w:rsidRPr="008366CD">
              <w:rPr>
                <w:rFonts w:ascii="Arial" w:eastAsiaTheme="minorHAnsi" w:hAnsi="Arial" w:cstheme="minorBidi"/>
                <w:b/>
                <w:sz w:val="18"/>
                <w:szCs w:val="22"/>
                <w:lang w:eastAsia="en-US"/>
              </w:rPr>
              <w:t>9:00 PM</w:t>
            </w:r>
          </w:p>
        </w:tc>
        <w:tc>
          <w:tcPr>
            <w:tcW w:w="518"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2578.65</w:t>
            </w:r>
          </w:p>
        </w:tc>
        <w:tc>
          <w:tcPr>
            <w:tcW w:w="497"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35.14</w:t>
            </w:r>
          </w:p>
        </w:tc>
        <w:tc>
          <w:tcPr>
            <w:tcW w:w="498"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35.50</w:t>
            </w:r>
          </w:p>
        </w:tc>
        <w:tc>
          <w:tcPr>
            <w:tcW w:w="480"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7759</w:t>
            </w:r>
          </w:p>
        </w:tc>
        <w:tc>
          <w:tcPr>
            <w:tcW w:w="497"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7546</w:t>
            </w:r>
          </w:p>
        </w:tc>
        <w:tc>
          <w:tcPr>
            <w:tcW w:w="497"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7605</w:t>
            </w:r>
          </w:p>
        </w:tc>
        <w:tc>
          <w:tcPr>
            <w:tcW w:w="480"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9797</w:t>
            </w:r>
          </w:p>
        </w:tc>
        <w:tc>
          <w:tcPr>
            <w:tcW w:w="497"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9983</w:t>
            </w:r>
          </w:p>
        </w:tc>
        <w:tc>
          <w:tcPr>
            <w:tcW w:w="496" w:type="pct"/>
            <w:vAlign w:val="center"/>
          </w:tcPr>
          <w:p w:rsidR="004E7D10" w:rsidRPr="008366CD" w:rsidRDefault="004E7D10" w:rsidP="00861AED">
            <w:pPr>
              <w:pStyle w:val="NormalWeb"/>
              <w:jc w:val="center"/>
              <w:rPr>
                <w:rFonts w:ascii="Arial" w:eastAsiaTheme="minorHAnsi" w:hAnsi="Arial" w:cstheme="minorBidi"/>
                <w:sz w:val="18"/>
                <w:szCs w:val="22"/>
                <w:lang w:eastAsia="en-US"/>
              </w:rPr>
            </w:pPr>
            <w:r w:rsidRPr="008366CD">
              <w:rPr>
                <w:rFonts w:ascii="Arial" w:eastAsiaTheme="minorHAnsi" w:hAnsi="Arial" w:cstheme="minorBidi"/>
                <w:sz w:val="18"/>
                <w:szCs w:val="22"/>
                <w:lang w:eastAsia="en-US"/>
              </w:rPr>
              <w:t>10 158</w:t>
            </w:r>
          </w:p>
        </w:tc>
      </w:tr>
    </w:tbl>
    <w:p w:rsidR="00F02D9B" w:rsidRDefault="00F02D9B" w:rsidP="009A3D22">
      <w:pPr>
        <w:jc w:val="both"/>
      </w:pPr>
      <w:r>
        <w:t xml:space="preserve">Conditions at the time saw demand around 210 MW higher than forecast four hours ahead. </w:t>
      </w:r>
      <w:r w:rsidR="00571680">
        <w:t>Available capacity was higher than forecast for the 8 pm trading interval and lower than forecast for the 9 pm trading interval.</w:t>
      </w:r>
    </w:p>
    <w:p w:rsidR="00F02D9B" w:rsidRDefault="00F02D9B" w:rsidP="00F02D9B">
      <w:pPr>
        <w:pStyle w:val="Caption"/>
      </w:pPr>
      <w:r>
        <w:t xml:space="preserve">Table </w:t>
      </w:r>
      <w:r w:rsidR="003422A3">
        <w:fldChar w:fldCharType="begin"/>
      </w:r>
      <w:r w:rsidR="003422A3">
        <w:instrText xml:space="preserve"> SEQ Table \* ARABIC </w:instrText>
      </w:r>
      <w:r w:rsidR="003422A3">
        <w:fldChar w:fldCharType="separate"/>
      </w:r>
      <w:r w:rsidR="00384A55">
        <w:rPr>
          <w:noProof/>
        </w:rPr>
        <w:t>5</w:t>
      </w:r>
      <w:r w:rsidR="003422A3">
        <w:rPr>
          <w:noProof/>
        </w:rPr>
        <w:fldChar w:fldCharType="end"/>
      </w:r>
      <w:r>
        <w:t xml:space="preserve"> : Rebids for 8 pm</w:t>
      </w:r>
    </w:p>
    <w:tbl>
      <w:tblPr>
        <w:tblStyle w:val="AERsummarytable"/>
        <w:tblW w:w="9747" w:type="dxa"/>
        <w:tblLook w:val="04A0" w:firstRow="1" w:lastRow="0" w:firstColumn="1" w:lastColumn="0" w:noHBand="0" w:noVBand="1"/>
      </w:tblPr>
      <w:tblGrid>
        <w:gridCol w:w="814"/>
        <w:gridCol w:w="854"/>
        <w:gridCol w:w="1275"/>
        <w:gridCol w:w="1275"/>
        <w:gridCol w:w="1034"/>
        <w:gridCol w:w="952"/>
        <w:gridCol w:w="992"/>
        <w:gridCol w:w="2551"/>
      </w:tblGrid>
      <w:tr w:rsidR="00F02D9B" w:rsidRPr="00914A87" w:rsidTr="00571680">
        <w:trPr>
          <w:cnfStyle w:val="100000000000" w:firstRow="1" w:lastRow="0" w:firstColumn="0" w:lastColumn="0" w:oddVBand="0" w:evenVBand="0" w:oddHBand="0" w:evenHBand="0" w:firstRowFirstColumn="0" w:firstRowLastColumn="0" w:lastRowFirstColumn="0" w:lastRowLastColumn="0"/>
          <w:trHeight w:val="780"/>
        </w:trPr>
        <w:tc>
          <w:tcPr>
            <w:tcW w:w="814" w:type="dxa"/>
            <w:hideMark/>
          </w:tcPr>
          <w:p w:rsidR="00F02D9B" w:rsidRPr="00914A87" w:rsidRDefault="00F02D9B" w:rsidP="00861AED">
            <w:pPr>
              <w:pStyle w:val="TableHeading"/>
            </w:pPr>
            <w:r w:rsidRPr="00914A87">
              <w:t xml:space="preserve">Time </w:t>
            </w:r>
            <w:r>
              <w:t>in</w:t>
            </w:r>
          </w:p>
        </w:tc>
        <w:tc>
          <w:tcPr>
            <w:tcW w:w="854" w:type="dxa"/>
            <w:hideMark/>
          </w:tcPr>
          <w:p w:rsidR="00F02D9B" w:rsidRPr="00914A87" w:rsidRDefault="00F02D9B" w:rsidP="00861AED">
            <w:pPr>
              <w:pStyle w:val="TableHeading"/>
              <w:ind w:left="-108"/>
            </w:pPr>
            <w:r w:rsidRPr="00914A87">
              <w:t>Time effective</w:t>
            </w:r>
          </w:p>
        </w:tc>
        <w:tc>
          <w:tcPr>
            <w:tcW w:w="1275" w:type="dxa"/>
            <w:hideMark/>
          </w:tcPr>
          <w:p w:rsidR="00F02D9B" w:rsidRPr="00914A87" w:rsidRDefault="00F02D9B" w:rsidP="00861AED">
            <w:pPr>
              <w:pStyle w:val="TableHeading"/>
            </w:pPr>
            <w:r w:rsidRPr="00914A87">
              <w:t>Participant</w:t>
            </w:r>
          </w:p>
        </w:tc>
        <w:tc>
          <w:tcPr>
            <w:tcW w:w="1275" w:type="dxa"/>
            <w:hideMark/>
          </w:tcPr>
          <w:p w:rsidR="00F02D9B" w:rsidRPr="00914A87" w:rsidRDefault="00F02D9B" w:rsidP="00861AED">
            <w:pPr>
              <w:pStyle w:val="TableHeading"/>
            </w:pPr>
            <w:r w:rsidRPr="00914A87">
              <w:t>Station</w:t>
            </w:r>
          </w:p>
        </w:tc>
        <w:tc>
          <w:tcPr>
            <w:tcW w:w="1034" w:type="dxa"/>
            <w:hideMark/>
          </w:tcPr>
          <w:p w:rsidR="00F02D9B" w:rsidRPr="00914A87" w:rsidRDefault="00F02D9B" w:rsidP="00861AED">
            <w:pPr>
              <w:pStyle w:val="TableHeading"/>
            </w:pPr>
            <w:r w:rsidRPr="00914A87">
              <w:t>Capacity rebid (MW)</w:t>
            </w:r>
          </w:p>
        </w:tc>
        <w:tc>
          <w:tcPr>
            <w:tcW w:w="952" w:type="dxa"/>
            <w:hideMark/>
          </w:tcPr>
          <w:p w:rsidR="00F02D9B" w:rsidRPr="00914A87" w:rsidRDefault="00F02D9B" w:rsidP="00861AED">
            <w:pPr>
              <w:pStyle w:val="TableHeading"/>
            </w:pPr>
            <w:r w:rsidRPr="00914A87">
              <w:t>Price from ($/MWh)</w:t>
            </w:r>
          </w:p>
        </w:tc>
        <w:tc>
          <w:tcPr>
            <w:tcW w:w="992" w:type="dxa"/>
            <w:hideMark/>
          </w:tcPr>
          <w:p w:rsidR="00F02D9B" w:rsidRPr="00914A87" w:rsidRDefault="00F02D9B" w:rsidP="00861AED">
            <w:pPr>
              <w:pStyle w:val="TableHeading"/>
            </w:pPr>
            <w:r w:rsidRPr="00914A87">
              <w:t>Price to ($/MWh)</w:t>
            </w:r>
          </w:p>
        </w:tc>
        <w:tc>
          <w:tcPr>
            <w:tcW w:w="2551" w:type="dxa"/>
            <w:hideMark/>
          </w:tcPr>
          <w:p w:rsidR="00F02D9B" w:rsidRPr="00914A87" w:rsidRDefault="00F02D9B" w:rsidP="00861AED">
            <w:pPr>
              <w:pStyle w:val="TableHeading"/>
            </w:pPr>
            <w:r w:rsidRPr="00914A87">
              <w:t>Rebid reason</w:t>
            </w:r>
          </w:p>
        </w:tc>
      </w:tr>
      <w:tr w:rsidR="00571680" w:rsidRPr="00F729EF" w:rsidTr="00571680">
        <w:trPr>
          <w:cnfStyle w:val="000000100000" w:firstRow="0" w:lastRow="0" w:firstColumn="0" w:lastColumn="0" w:oddVBand="0" w:evenVBand="0" w:oddHBand="1" w:evenHBand="0" w:firstRowFirstColumn="0" w:firstRowLastColumn="0" w:lastRowFirstColumn="0" w:lastRowLastColumn="0"/>
          <w:trHeight w:val="606"/>
        </w:trPr>
        <w:tc>
          <w:tcPr>
            <w:tcW w:w="814" w:type="dxa"/>
            <w:vAlign w:val="center"/>
          </w:tcPr>
          <w:p w:rsidR="00F02D9B" w:rsidRPr="0031019A" w:rsidRDefault="000316E7" w:rsidP="00571680">
            <w:pPr>
              <w:pStyle w:val="Tabletext"/>
              <w:ind w:left="-84" w:right="-55"/>
              <w:jc w:val="center"/>
            </w:pPr>
            <w:r>
              <w:t>5.58 pm</w:t>
            </w:r>
          </w:p>
        </w:tc>
        <w:tc>
          <w:tcPr>
            <w:tcW w:w="854" w:type="dxa"/>
            <w:vAlign w:val="center"/>
          </w:tcPr>
          <w:p w:rsidR="00F02D9B" w:rsidRPr="0031019A" w:rsidRDefault="000E77BB" w:rsidP="00571680">
            <w:pPr>
              <w:pStyle w:val="Tabletext"/>
              <w:ind w:left="-84" w:right="-55"/>
              <w:jc w:val="center"/>
            </w:pPr>
            <w:r>
              <w:t>6.05 pm</w:t>
            </w:r>
          </w:p>
        </w:tc>
        <w:tc>
          <w:tcPr>
            <w:tcW w:w="1275" w:type="dxa"/>
            <w:vAlign w:val="center"/>
          </w:tcPr>
          <w:p w:rsidR="00F02D9B" w:rsidRPr="0031019A" w:rsidRDefault="000316E7" w:rsidP="00571680">
            <w:pPr>
              <w:pStyle w:val="Tabletext"/>
              <w:ind w:left="-84" w:right="-55"/>
              <w:jc w:val="center"/>
            </w:pPr>
            <w:r>
              <w:t>Millmerran Energy Trader</w:t>
            </w:r>
          </w:p>
        </w:tc>
        <w:tc>
          <w:tcPr>
            <w:tcW w:w="1275" w:type="dxa"/>
            <w:vAlign w:val="center"/>
          </w:tcPr>
          <w:p w:rsidR="00F02D9B" w:rsidRPr="0031019A" w:rsidRDefault="000316E7" w:rsidP="00571680">
            <w:pPr>
              <w:pStyle w:val="Tabletext"/>
              <w:ind w:left="-84" w:right="-55"/>
              <w:jc w:val="center"/>
            </w:pPr>
            <w:r>
              <w:t>Millmerran</w:t>
            </w:r>
          </w:p>
        </w:tc>
        <w:tc>
          <w:tcPr>
            <w:tcW w:w="1034" w:type="dxa"/>
            <w:vAlign w:val="center"/>
          </w:tcPr>
          <w:p w:rsidR="00F02D9B" w:rsidRPr="0031019A" w:rsidRDefault="000316E7" w:rsidP="00571680">
            <w:pPr>
              <w:pStyle w:val="Tabletext"/>
              <w:ind w:left="-84" w:right="-55"/>
              <w:jc w:val="center"/>
            </w:pPr>
            <w:r>
              <w:t>100</w:t>
            </w:r>
          </w:p>
        </w:tc>
        <w:tc>
          <w:tcPr>
            <w:tcW w:w="952" w:type="dxa"/>
            <w:vAlign w:val="center"/>
          </w:tcPr>
          <w:p w:rsidR="00F02D9B" w:rsidRPr="0031019A" w:rsidRDefault="000316E7" w:rsidP="00571680">
            <w:pPr>
              <w:pStyle w:val="Tabletext"/>
              <w:ind w:left="-84" w:right="-55"/>
              <w:jc w:val="center"/>
            </w:pPr>
            <w:r>
              <w:t>7</w:t>
            </w:r>
          </w:p>
        </w:tc>
        <w:tc>
          <w:tcPr>
            <w:tcW w:w="992" w:type="dxa"/>
            <w:vAlign w:val="center"/>
          </w:tcPr>
          <w:p w:rsidR="00F02D9B" w:rsidRPr="0031019A" w:rsidRDefault="000316E7" w:rsidP="00571680">
            <w:pPr>
              <w:pStyle w:val="Tabletext"/>
              <w:ind w:left="-84" w:right="-55"/>
              <w:jc w:val="center"/>
            </w:pPr>
            <w:r>
              <w:t>13 500</w:t>
            </w:r>
          </w:p>
        </w:tc>
        <w:tc>
          <w:tcPr>
            <w:tcW w:w="2551" w:type="dxa"/>
            <w:vAlign w:val="center"/>
          </w:tcPr>
          <w:p w:rsidR="00F02D9B" w:rsidRPr="000316E7" w:rsidRDefault="000316E7" w:rsidP="00571680">
            <w:pPr>
              <w:pStyle w:val="Tabletext"/>
              <w:ind w:left="-84" w:right="-55"/>
              <w:jc w:val="center"/>
            </w:pPr>
            <w:r w:rsidRPr="000316E7">
              <w:t xml:space="preserve">17:58 F </w:t>
            </w:r>
            <w:r w:rsidR="003C2B22" w:rsidRPr="000316E7">
              <w:t xml:space="preserve">portfoliop adjustment </w:t>
            </w:r>
            <w:r w:rsidRPr="000316E7">
              <w:t>- SL</w:t>
            </w:r>
          </w:p>
        </w:tc>
      </w:tr>
      <w:tr w:rsidR="00571680" w:rsidRPr="00F729EF" w:rsidTr="00571680">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F02D9B" w:rsidRPr="0031019A" w:rsidRDefault="000316E7" w:rsidP="00571680">
            <w:pPr>
              <w:pStyle w:val="Tabletext"/>
              <w:ind w:left="-84" w:right="-55"/>
              <w:jc w:val="center"/>
            </w:pPr>
            <w:r>
              <w:t>6.37 pm</w:t>
            </w:r>
          </w:p>
        </w:tc>
        <w:tc>
          <w:tcPr>
            <w:tcW w:w="854" w:type="dxa"/>
            <w:vAlign w:val="center"/>
          </w:tcPr>
          <w:p w:rsidR="00F02D9B" w:rsidRPr="0031019A" w:rsidRDefault="000E77BB" w:rsidP="00571680">
            <w:pPr>
              <w:pStyle w:val="Tabletext"/>
              <w:ind w:left="-84" w:right="-55"/>
              <w:jc w:val="center"/>
            </w:pPr>
            <w:r>
              <w:t>6.45 pm</w:t>
            </w:r>
          </w:p>
        </w:tc>
        <w:tc>
          <w:tcPr>
            <w:tcW w:w="1275" w:type="dxa"/>
            <w:vAlign w:val="center"/>
          </w:tcPr>
          <w:p w:rsidR="00F02D9B" w:rsidRPr="0031019A" w:rsidRDefault="00F02D9B" w:rsidP="00571680">
            <w:pPr>
              <w:pStyle w:val="Tabletext"/>
              <w:ind w:left="-84" w:right="-55"/>
              <w:jc w:val="center"/>
            </w:pPr>
            <w:r w:rsidRPr="0031019A">
              <w:t>Stanwell</w:t>
            </w:r>
          </w:p>
        </w:tc>
        <w:tc>
          <w:tcPr>
            <w:tcW w:w="1275" w:type="dxa"/>
            <w:vAlign w:val="center"/>
          </w:tcPr>
          <w:p w:rsidR="00F02D9B" w:rsidRPr="0031019A" w:rsidRDefault="00F02D9B" w:rsidP="00571680">
            <w:pPr>
              <w:pStyle w:val="Tabletext"/>
              <w:ind w:left="-84" w:right="-55"/>
              <w:jc w:val="center"/>
            </w:pPr>
            <w:r w:rsidRPr="0031019A">
              <w:t>Stanwell</w:t>
            </w:r>
          </w:p>
        </w:tc>
        <w:tc>
          <w:tcPr>
            <w:tcW w:w="1034" w:type="dxa"/>
            <w:vAlign w:val="center"/>
          </w:tcPr>
          <w:p w:rsidR="00F02D9B" w:rsidRPr="0031019A" w:rsidRDefault="00F02D9B" w:rsidP="00571680">
            <w:pPr>
              <w:pStyle w:val="Tabletext"/>
              <w:ind w:left="-84" w:right="-55"/>
              <w:jc w:val="center"/>
            </w:pPr>
            <w:r w:rsidRPr="0031019A">
              <w:t>1</w:t>
            </w:r>
            <w:r w:rsidR="000316E7">
              <w:t>7</w:t>
            </w:r>
            <w:r w:rsidRPr="0031019A">
              <w:t>5</w:t>
            </w:r>
          </w:p>
        </w:tc>
        <w:tc>
          <w:tcPr>
            <w:tcW w:w="952" w:type="dxa"/>
            <w:vAlign w:val="center"/>
          </w:tcPr>
          <w:p w:rsidR="00F02D9B" w:rsidRPr="0031019A" w:rsidRDefault="00F02D9B" w:rsidP="00571680">
            <w:pPr>
              <w:pStyle w:val="Tabletext"/>
              <w:ind w:left="-84" w:right="-55"/>
              <w:jc w:val="center"/>
            </w:pPr>
            <w:r w:rsidRPr="0031019A">
              <w:t>26</w:t>
            </w:r>
          </w:p>
        </w:tc>
        <w:tc>
          <w:tcPr>
            <w:tcW w:w="992" w:type="dxa"/>
            <w:vAlign w:val="center"/>
          </w:tcPr>
          <w:p w:rsidR="00F02D9B" w:rsidRPr="0031019A" w:rsidRDefault="00F02D9B" w:rsidP="00571680">
            <w:pPr>
              <w:pStyle w:val="Tabletext"/>
              <w:ind w:left="-84" w:right="-55"/>
              <w:jc w:val="center"/>
            </w:pPr>
            <w:r w:rsidRPr="0031019A">
              <w:t xml:space="preserve">13 </w:t>
            </w:r>
            <w:r w:rsidR="000316E7">
              <w:t>499</w:t>
            </w:r>
          </w:p>
        </w:tc>
        <w:tc>
          <w:tcPr>
            <w:tcW w:w="2551" w:type="dxa"/>
            <w:vAlign w:val="center"/>
          </w:tcPr>
          <w:p w:rsidR="00F02D9B" w:rsidRPr="000316E7" w:rsidRDefault="000316E7" w:rsidP="00571680">
            <w:pPr>
              <w:pStyle w:val="Tabletext"/>
              <w:ind w:left="-84" w:right="-55"/>
              <w:jc w:val="center"/>
            </w:pPr>
            <w:r w:rsidRPr="000316E7">
              <w:t xml:space="preserve">1836A </w:t>
            </w:r>
            <w:r w:rsidR="003C2B22" w:rsidRPr="000316E7">
              <w:t xml:space="preserve">change in </w:t>
            </w:r>
            <w:r w:rsidRPr="000316E7">
              <w:t>QNI 5</w:t>
            </w:r>
            <w:r w:rsidR="003C2B22" w:rsidRPr="000316E7">
              <w:t>min</w:t>
            </w:r>
            <w:r w:rsidRPr="000316E7">
              <w:t xml:space="preserve"> </w:t>
            </w:r>
            <w:r w:rsidR="003C2B22" w:rsidRPr="000316E7">
              <w:t xml:space="preserve">flow </w:t>
            </w:r>
            <w:r w:rsidRPr="000316E7">
              <w:t>VS. 30</w:t>
            </w:r>
            <w:r w:rsidR="003C2B22" w:rsidRPr="000316E7">
              <w:t>min</w:t>
            </w:r>
            <w:r w:rsidRPr="000316E7">
              <w:t xml:space="preserve"> PD @ 1835</w:t>
            </w:r>
            <w:r w:rsidR="003C2B22" w:rsidRPr="000316E7">
              <w:t>hrs</w:t>
            </w:r>
          </w:p>
        </w:tc>
      </w:tr>
      <w:tr w:rsidR="00571680" w:rsidRPr="00F729EF" w:rsidTr="00571680">
        <w:trPr>
          <w:cnfStyle w:val="000000100000" w:firstRow="0" w:lastRow="0" w:firstColumn="0" w:lastColumn="0" w:oddVBand="0" w:evenVBand="0" w:oddHBand="1" w:evenHBand="0" w:firstRowFirstColumn="0" w:firstRowLastColumn="0" w:lastRowFirstColumn="0" w:lastRowLastColumn="0"/>
          <w:trHeight w:val="673"/>
        </w:trPr>
        <w:tc>
          <w:tcPr>
            <w:tcW w:w="814" w:type="dxa"/>
            <w:vAlign w:val="center"/>
          </w:tcPr>
          <w:p w:rsidR="00F02D9B" w:rsidRPr="0031019A" w:rsidRDefault="000316E7" w:rsidP="00571680">
            <w:pPr>
              <w:pStyle w:val="Tabletext"/>
              <w:ind w:left="-84" w:right="-55"/>
              <w:jc w:val="center"/>
            </w:pPr>
            <w:r>
              <w:t>7.24 pm</w:t>
            </w:r>
          </w:p>
        </w:tc>
        <w:tc>
          <w:tcPr>
            <w:tcW w:w="854" w:type="dxa"/>
            <w:vAlign w:val="center"/>
          </w:tcPr>
          <w:p w:rsidR="00F02D9B" w:rsidRPr="0031019A" w:rsidRDefault="00575C43" w:rsidP="00571680">
            <w:pPr>
              <w:pStyle w:val="Tabletext"/>
              <w:ind w:left="-84" w:right="-55"/>
              <w:jc w:val="center"/>
            </w:pPr>
            <w:r>
              <w:t>7.35 pm</w:t>
            </w:r>
          </w:p>
        </w:tc>
        <w:tc>
          <w:tcPr>
            <w:tcW w:w="1275" w:type="dxa"/>
            <w:vAlign w:val="center"/>
          </w:tcPr>
          <w:p w:rsidR="00F02D9B" w:rsidRPr="0031019A" w:rsidRDefault="00575C43" w:rsidP="00571680">
            <w:pPr>
              <w:pStyle w:val="Tabletext"/>
              <w:ind w:left="-84" w:right="-55"/>
              <w:jc w:val="center"/>
            </w:pPr>
            <w:r>
              <w:t>AGL</w:t>
            </w:r>
          </w:p>
        </w:tc>
        <w:tc>
          <w:tcPr>
            <w:tcW w:w="1275" w:type="dxa"/>
            <w:vAlign w:val="center"/>
          </w:tcPr>
          <w:p w:rsidR="00F02D9B" w:rsidRPr="0031019A" w:rsidRDefault="00575C43" w:rsidP="00571680">
            <w:pPr>
              <w:pStyle w:val="Tabletext"/>
              <w:ind w:left="-84" w:right="-55"/>
              <w:jc w:val="center"/>
            </w:pPr>
            <w:r>
              <w:t>Yabulu</w:t>
            </w:r>
          </w:p>
        </w:tc>
        <w:tc>
          <w:tcPr>
            <w:tcW w:w="1034" w:type="dxa"/>
            <w:vAlign w:val="center"/>
          </w:tcPr>
          <w:p w:rsidR="00F02D9B" w:rsidRPr="0031019A" w:rsidRDefault="00575C43" w:rsidP="00571680">
            <w:pPr>
              <w:pStyle w:val="Tabletext"/>
              <w:ind w:left="-84" w:right="-55"/>
              <w:jc w:val="center"/>
            </w:pPr>
            <w:r>
              <w:t>86</w:t>
            </w:r>
          </w:p>
        </w:tc>
        <w:tc>
          <w:tcPr>
            <w:tcW w:w="952" w:type="dxa"/>
            <w:vAlign w:val="center"/>
          </w:tcPr>
          <w:p w:rsidR="00F02D9B" w:rsidRPr="0031019A" w:rsidRDefault="000316E7" w:rsidP="00571680">
            <w:pPr>
              <w:pStyle w:val="Tabletext"/>
              <w:ind w:left="-84" w:right="-55"/>
              <w:jc w:val="center"/>
            </w:pPr>
            <w:r>
              <w:t>150</w:t>
            </w:r>
          </w:p>
        </w:tc>
        <w:tc>
          <w:tcPr>
            <w:tcW w:w="992" w:type="dxa"/>
            <w:vAlign w:val="center"/>
          </w:tcPr>
          <w:p w:rsidR="00F02D9B" w:rsidRPr="0031019A" w:rsidRDefault="000316E7" w:rsidP="00571680">
            <w:pPr>
              <w:pStyle w:val="Tabletext"/>
              <w:ind w:left="-84" w:right="-55"/>
              <w:jc w:val="center"/>
            </w:pPr>
            <w:r>
              <w:t xml:space="preserve">13 </w:t>
            </w:r>
            <w:r w:rsidR="00575C43">
              <w:t>243</w:t>
            </w:r>
          </w:p>
        </w:tc>
        <w:tc>
          <w:tcPr>
            <w:tcW w:w="2551" w:type="dxa"/>
            <w:vAlign w:val="center"/>
          </w:tcPr>
          <w:p w:rsidR="00F02D9B" w:rsidRPr="00571680" w:rsidRDefault="00575C43" w:rsidP="00571680">
            <w:pPr>
              <w:pStyle w:val="Tabletext"/>
              <w:ind w:left="-84" w:right="-55"/>
              <w:jc w:val="center"/>
            </w:pPr>
            <w:r w:rsidRPr="00571680">
              <w:t xml:space="preserve">1920~F~080 CHG IN </w:t>
            </w:r>
            <w:r w:rsidR="003C2B22" w:rsidRPr="00571680">
              <w:t xml:space="preserve">pipeline cond~manage imbal position </w:t>
            </w:r>
            <w:r w:rsidRPr="00571680">
              <w:t>NQGP</w:t>
            </w:r>
          </w:p>
        </w:tc>
      </w:tr>
      <w:tr w:rsidR="00571680" w:rsidRPr="00F729EF" w:rsidTr="00571680">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575C43" w:rsidRPr="0031019A" w:rsidRDefault="00575C43" w:rsidP="00571680">
            <w:pPr>
              <w:pStyle w:val="Tabletext"/>
              <w:ind w:left="-84" w:right="-55"/>
              <w:jc w:val="center"/>
            </w:pPr>
            <w:r>
              <w:t>7.50 pm</w:t>
            </w:r>
          </w:p>
        </w:tc>
        <w:tc>
          <w:tcPr>
            <w:tcW w:w="854" w:type="dxa"/>
            <w:vAlign w:val="center"/>
          </w:tcPr>
          <w:p w:rsidR="00575C43" w:rsidRPr="0031019A" w:rsidRDefault="00575C43" w:rsidP="00571680">
            <w:pPr>
              <w:pStyle w:val="Tabletext"/>
              <w:ind w:left="-84" w:right="-55"/>
              <w:jc w:val="center"/>
            </w:pPr>
            <w:r>
              <w:t>8 pm</w:t>
            </w:r>
          </w:p>
        </w:tc>
        <w:tc>
          <w:tcPr>
            <w:tcW w:w="1275" w:type="dxa"/>
            <w:vAlign w:val="center"/>
          </w:tcPr>
          <w:p w:rsidR="00575C43" w:rsidRPr="0031019A" w:rsidRDefault="00575C43" w:rsidP="00571680">
            <w:pPr>
              <w:pStyle w:val="Tabletext"/>
              <w:ind w:left="-84" w:right="-55"/>
              <w:jc w:val="center"/>
            </w:pPr>
            <w:r w:rsidRPr="0031019A">
              <w:t>CS Energy</w:t>
            </w:r>
          </w:p>
        </w:tc>
        <w:tc>
          <w:tcPr>
            <w:tcW w:w="1275" w:type="dxa"/>
            <w:vAlign w:val="center"/>
          </w:tcPr>
          <w:p w:rsidR="00575C43" w:rsidRPr="0031019A" w:rsidRDefault="00575C43" w:rsidP="00571680">
            <w:pPr>
              <w:pStyle w:val="Tabletext"/>
              <w:ind w:left="-84" w:right="-55"/>
              <w:jc w:val="center"/>
            </w:pPr>
            <w:r w:rsidRPr="0031019A">
              <w:t>Gladstone and Callide</w:t>
            </w:r>
          </w:p>
        </w:tc>
        <w:tc>
          <w:tcPr>
            <w:tcW w:w="1034" w:type="dxa"/>
            <w:vAlign w:val="center"/>
          </w:tcPr>
          <w:p w:rsidR="00575C43" w:rsidRPr="0031019A" w:rsidRDefault="00575C43" w:rsidP="00571680">
            <w:pPr>
              <w:pStyle w:val="Tabletext"/>
              <w:ind w:left="-84" w:right="-55"/>
              <w:jc w:val="center"/>
            </w:pPr>
            <w:r>
              <w:t>140</w:t>
            </w:r>
          </w:p>
        </w:tc>
        <w:tc>
          <w:tcPr>
            <w:tcW w:w="952" w:type="dxa"/>
            <w:vAlign w:val="center"/>
          </w:tcPr>
          <w:p w:rsidR="00575C43" w:rsidRPr="0031019A" w:rsidRDefault="00575C43" w:rsidP="00571680">
            <w:pPr>
              <w:pStyle w:val="Tabletext"/>
              <w:ind w:left="-84" w:right="-55"/>
              <w:jc w:val="center"/>
            </w:pPr>
            <w:r>
              <w:t>35</w:t>
            </w:r>
          </w:p>
        </w:tc>
        <w:tc>
          <w:tcPr>
            <w:tcW w:w="992" w:type="dxa"/>
            <w:vAlign w:val="center"/>
          </w:tcPr>
          <w:p w:rsidR="00575C43" w:rsidRPr="0031019A" w:rsidRDefault="00575C43" w:rsidP="00571680">
            <w:pPr>
              <w:pStyle w:val="Tabletext"/>
              <w:ind w:left="-84" w:right="-55"/>
              <w:jc w:val="center"/>
            </w:pPr>
            <w:r>
              <w:t>13 500</w:t>
            </w:r>
          </w:p>
        </w:tc>
        <w:tc>
          <w:tcPr>
            <w:tcW w:w="2551" w:type="dxa"/>
            <w:vAlign w:val="center"/>
          </w:tcPr>
          <w:p w:rsidR="00575C43" w:rsidRPr="00571680" w:rsidRDefault="00575C43" w:rsidP="00571680">
            <w:pPr>
              <w:pStyle w:val="Tabletext"/>
              <w:ind w:left="-84" w:right="-55"/>
              <w:jc w:val="center"/>
            </w:pPr>
            <w:r w:rsidRPr="00571680">
              <w:t xml:space="preserve">1947A </w:t>
            </w:r>
            <w:r w:rsidR="003C2B22" w:rsidRPr="00571680">
              <w:t>interconnector constraint</w:t>
            </w:r>
            <w:r w:rsidRPr="00571680">
              <w:t xml:space="preserve">-QNI </w:t>
            </w:r>
            <w:r w:rsidR="003C2B22" w:rsidRPr="00571680">
              <w:t>binding</w:t>
            </w:r>
            <w:r w:rsidRPr="00571680">
              <w:t>-SL</w:t>
            </w:r>
          </w:p>
        </w:tc>
      </w:tr>
      <w:tr w:rsidR="00575C43" w:rsidRPr="00F729EF" w:rsidTr="00571680">
        <w:trPr>
          <w:cnfStyle w:val="000000100000" w:firstRow="0" w:lastRow="0" w:firstColumn="0" w:lastColumn="0" w:oddVBand="0" w:evenVBand="0" w:oddHBand="1" w:evenHBand="0" w:firstRowFirstColumn="0" w:firstRowLastColumn="0" w:lastRowFirstColumn="0" w:lastRowLastColumn="0"/>
          <w:trHeight w:val="673"/>
        </w:trPr>
        <w:tc>
          <w:tcPr>
            <w:tcW w:w="814" w:type="dxa"/>
            <w:vAlign w:val="center"/>
          </w:tcPr>
          <w:p w:rsidR="00575C43" w:rsidRPr="0031019A" w:rsidRDefault="00575C43" w:rsidP="00571680">
            <w:pPr>
              <w:pStyle w:val="Tabletext"/>
              <w:ind w:left="-84" w:right="-55"/>
              <w:jc w:val="center"/>
            </w:pPr>
            <w:r>
              <w:t>7.51 pm</w:t>
            </w:r>
          </w:p>
        </w:tc>
        <w:tc>
          <w:tcPr>
            <w:tcW w:w="854" w:type="dxa"/>
            <w:vAlign w:val="center"/>
          </w:tcPr>
          <w:p w:rsidR="00575C43" w:rsidRPr="0031019A" w:rsidRDefault="00575C43" w:rsidP="00571680">
            <w:pPr>
              <w:pStyle w:val="Tabletext"/>
              <w:ind w:left="-84" w:right="-55"/>
              <w:jc w:val="center"/>
            </w:pPr>
            <w:r>
              <w:t>8 pm</w:t>
            </w:r>
          </w:p>
        </w:tc>
        <w:tc>
          <w:tcPr>
            <w:tcW w:w="1275" w:type="dxa"/>
            <w:vAlign w:val="center"/>
          </w:tcPr>
          <w:p w:rsidR="00575C43" w:rsidRPr="0031019A" w:rsidRDefault="00575C43" w:rsidP="00571680">
            <w:pPr>
              <w:pStyle w:val="Tabletext"/>
              <w:ind w:left="-84" w:right="-55"/>
              <w:jc w:val="center"/>
            </w:pPr>
            <w:r>
              <w:t>Stanwell</w:t>
            </w:r>
          </w:p>
        </w:tc>
        <w:tc>
          <w:tcPr>
            <w:tcW w:w="1275" w:type="dxa"/>
            <w:vAlign w:val="center"/>
          </w:tcPr>
          <w:p w:rsidR="00575C43" w:rsidRPr="0031019A" w:rsidRDefault="00575C43" w:rsidP="00571680">
            <w:pPr>
              <w:pStyle w:val="Tabletext"/>
              <w:ind w:left="-84" w:right="-55"/>
              <w:jc w:val="center"/>
            </w:pPr>
            <w:r>
              <w:t>Tarong</w:t>
            </w:r>
          </w:p>
        </w:tc>
        <w:tc>
          <w:tcPr>
            <w:tcW w:w="1034" w:type="dxa"/>
            <w:vAlign w:val="center"/>
          </w:tcPr>
          <w:p w:rsidR="00575C43" w:rsidRPr="0031019A" w:rsidRDefault="00575C43" w:rsidP="00571680">
            <w:pPr>
              <w:pStyle w:val="Tabletext"/>
              <w:ind w:left="-84" w:right="-55"/>
              <w:jc w:val="center"/>
            </w:pPr>
            <w:r>
              <w:t>30</w:t>
            </w:r>
          </w:p>
        </w:tc>
        <w:tc>
          <w:tcPr>
            <w:tcW w:w="952" w:type="dxa"/>
            <w:vAlign w:val="center"/>
          </w:tcPr>
          <w:p w:rsidR="00575C43" w:rsidRPr="0031019A" w:rsidRDefault="00575C43" w:rsidP="00571680">
            <w:pPr>
              <w:pStyle w:val="Tabletext"/>
              <w:ind w:left="-84" w:right="-55"/>
              <w:jc w:val="center"/>
            </w:pPr>
            <w:r>
              <w:t>48</w:t>
            </w:r>
          </w:p>
        </w:tc>
        <w:tc>
          <w:tcPr>
            <w:tcW w:w="992" w:type="dxa"/>
            <w:vAlign w:val="center"/>
          </w:tcPr>
          <w:p w:rsidR="00575C43" w:rsidRPr="0031019A" w:rsidRDefault="00575C43" w:rsidP="00571680">
            <w:pPr>
              <w:pStyle w:val="Tabletext"/>
              <w:ind w:left="-84" w:right="-55"/>
              <w:jc w:val="center"/>
            </w:pPr>
            <w:r>
              <w:t>13 500</w:t>
            </w:r>
          </w:p>
        </w:tc>
        <w:tc>
          <w:tcPr>
            <w:tcW w:w="2551" w:type="dxa"/>
            <w:vAlign w:val="center"/>
          </w:tcPr>
          <w:p w:rsidR="00575C43" w:rsidRPr="00571680" w:rsidRDefault="00575C43" w:rsidP="00571680">
            <w:pPr>
              <w:pStyle w:val="Tabletext"/>
              <w:ind w:left="-84" w:right="-55"/>
              <w:jc w:val="center"/>
            </w:pPr>
            <w:r w:rsidRPr="00571680">
              <w:t xml:space="preserve">1930A </w:t>
            </w:r>
            <w:r w:rsidR="003C2B22" w:rsidRPr="00571680">
              <w:t xml:space="preserve">change in </w:t>
            </w:r>
            <w:r w:rsidRPr="00571680">
              <w:t xml:space="preserve">QLD </w:t>
            </w:r>
            <w:r w:rsidR="003C2B22" w:rsidRPr="00571680">
              <w:t xml:space="preserve">generation </w:t>
            </w:r>
            <w:r w:rsidRPr="00571680">
              <w:t>- O</w:t>
            </w:r>
            <w:r w:rsidR="003C2B22" w:rsidRPr="00571680">
              <w:t>akey</w:t>
            </w:r>
            <w:r w:rsidRPr="00571680">
              <w:t>1</w:t>
            </w:r>
          </w:p>
        </w:tc>
      </w:tr>
      <w:tr w:rsidR="00571680" w:rsidRPr="00F729EF" w:rsidTr="00571680">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575C43" w:rsidRPr="0031019A" w:rsidRDefault="00575C43" w:rsidP="00571680">
            <w:pPr>
              <w:pStyle w:val="Tabletext"/>
              <w:ind w:left="-84" w:right="-55"/>
              <w:jc w:val="center"/>
            </w:pPr>
            <w:r>
              <w:t>7.52 pm</w:t>
            </w:r>
          </w:p>
        </w:tc>
        <w:tc>
          <w:tcPr>
            <w:tcW w:w="854" w:type="dxa"/>
            <w:vAlign w:val="center"/>
          </w:tcPr>
          <w:p w:rsidR="00575C43" w:rsidRPr="0031019A" w:rsidRDefault="00575C43" w:rsidP="00571680">
            <w:pPr>
              <w:pStyle w:val="Tabletext"/>
              <w:ind w:left="-84" w:right="-55"/>
              <w:jc w:val="center"/>
            </w:pPr>
            <w:r>
              <w:t>8 pm</w:t>
            </w:r>
          </w:p>
        </w:tc>
        <w:tc>
          <w:tcPr>
            <w:tcW w:w="1275" w:type="dxa"/>
            <w:vAlign w:val="center"/>
          </w:tcPr>
          <w:p w:rsidR="00575C43" w:rsidRPr="0031019A" w:rsidRDefault="00575C43" w:rsidP="00571680">
            <w:pPr>
              <w:pStyle w:val="Tabletext"/>
              <w:ind w:left="-84" w:right="-55"/>
              <w:jc w:val="center"/>
            </w:pPr>
            <w:r>
              <w:t>Callide Power Trading</w:t>
            </w:r>
          </w:p>
        </w:tc>
        <w:tc>
          <w:tcPr>
            <w:tcW w:w="1275" w:type="dxa"/>
            <w:vAlign w:val="center"/>
          </w:tcPr>
          <w:p w:rsidR="00575C43" w:rsidRPr="0031019A" w:rsidRDefault="00575C43" w:rsidP="00571680">
            <w:pPr>
              <w:pStyle w:val="Tabletext"/>
              <w:ind w:left="-84" w:right="-55"/>
              <w:jc w:val="center"/>
            </w:pPr>
            <w:r w:rsidRPr="0031019A">
              <w:t xml:space="preserve">Callide </w:t>
            </w:r>
            <w:r>
              <w:t>C</w:t>
            </w:r>
          </w:p>
        </w:tc>
        <w:tc>
          <w:tcPr>
            <w:tcW w:w="1034" w:type="dxa"/>
            <w:vAlign w:val="center"/>
          </w:tcPr>
          <w:p w:rsidR="00575C43" w:rsidRPr="0031019A" w:rsidRDefault="00575C43" w:rsidP="00571680">
            <w:pPr>
              <w:pStyle w:val="Tabletext"/>
              <w:ind w:left="-84" w:right="-55"/>
              <w:jc w:val="center"/>
            </w:pPr>
            <w:r>
              <w:t>4</w:t>
            </w:r>
            <w:r w:rsidRPr="0031019A">
              <w:t>0</w:t>
            </w:r>
          </w:p>
        </w:tc>
        <w:tc>
          <w:tcPr>
            <w:tcW w:w="952" w:type="dxa"/>
            <w:vAlign w:val="center"/>
          </w:tcPr>
          <w:p w:rsidR="00575C43" w:rsidRPr="0031019A" w:rsidRDefault="00575C43" w:rsidP="00571680">
            <w:pPr>
              <w:pStyle w:val="Tabletext"/>
              <w:ind w:left="-84" w:right="-55"/>
              <w:jc w:val="center"/>
            </w:pPr>
            <w:r>
              <w:t>-1000</w:t>
            </w:r>
          </w:p>
        </w:tc>
        <w:tc>
          <w:tcPr>
            <w:tcW w:w="992" w:type="dxa"/>
            <w:vAlign w:val="center"/>
          </w:tcPr>
          <w:p w:rsidR="00575C43" w:rsidRDefault="00575C43" w:rsidP="00571680">
            <w:pPr>
              <w:jc w:val="center"/>
            </w:pPr>
            <w:r w:rsidRPr="00571680">
              <w:t>13 500</w:t>
            </w:r>
          </w:p>
        </w:tc>
        <w:tc>
          <w:tcPr>
            <w:tcW w:w="2551" w:type="dxa"/>
            <w:vAlign w:val="center"/>
          </w:tcPr>
          <w:p w:rsidR="00575C43" w:rsidRDefault="00575C43" w:rsidP="00571680">
            <w:pPr>
              <w:jc w:val="center"/>
            </w:pPr>
            <w:r w:rsidRPr="00571680">
              <w:t xml:space="preserve">1952A RRP </w:t>
            </w:r>
            <w:r w:rsidR="003C2B22" w:rsidRPr="00571680">
              <w:t xml:space="preserve">above </w:t>
            </w:r>
            <w:r w:rsidRPr="00571680">
              <w:t>PD</w:t>
            </w:r>
          </w:p>
        </w:tc>
      </w:tr>
      <w:tr w:rsidR="00F02D9B" w:rsidRPr="00F729EF" w:rsidTr="00571680">
        <w:trPr>
          <w:cnfStyle w:val="000000100000" w:firstRow="0" w:lastRow="0" w:firstColumn="0" w:lastColumn="0" w:oddVBand="0" w:evenVBand="0" w:oddHBand="1" w:evenHBand="0" w:firstRowFirstColumn="0" w:firstRowLastColumn="0" w:lastRowFirstColumn="0" w:lastRowLastColumn="0"/>
          <w:trHeight w:val="187"/>
        </w:trPr>
        <w:tc>
          <w:tcPr>
            <w:tcW w:w="4218" w:type="dxa"/>
            <w:gridSpan w:val="4"/>
          </w:tcPr>
          <w:p w:rsidR="00F02D9B" w:rsidRPr="0031019A" w:rsidRDefault="00F02D9B" w:rsidP="00861AED">
            <w:pPr>
              <w:pStyle w:val="Tablesumline"/>
            </w:pPr>
            <w:r w:rsidRPr="0031019A">
              <w:t>Total capacity rebid from low to high prices</w:t>
            </w:r>
          </w:p>
        </w:tc>
        <w:tc>
          <w:tcPr>
            <w:tcW w:w="1034" w:type="dxa"/>
          </w:tcPr>
          <w:p w:rsidR="00F02D9B" w:rsidRPr="0031019A" w:rsidRDefault="000E77BB" w:rsidP="00C73C83">
            <w:pPr>
              <w:pStyle w:val="Tablesumline"/>
            </w:pPr>
            <w:r>
              <w:t>571</w:t>
            </w:r>
          </w:p>
        </w:tc>
        <w:tc>
          <w:tcPr>
            <w:tcW w:w="952" w:type="dxa"/>
          </w:tcPr>
          <w:p w:rsidR="00F02D9B" w:rsidRPr="0031019A" w:rsidRDefault="00F02D9B" w:rsidP="00861AED">
            <w:pPr>
              <w:pStyle w:val="Tablesumline"/>
            </w:pPr>
          </w:p>
        </w:tc>
        <w:tc>
          <w:tcPr>
            <w:tcW w:w="992" w:type="dxa"/>
          </w:tcPr>
          <w:p w:rsidR="00F02D9B" w:rsidRPr="0031019A" w:rsidRDefault="00F02D9B" w:rsidP="00861AED">
            <w:pPr>
              <w:pStyle w:val="Tablesumline"/>
            </w:pPr>
          </w:p>
        </w:tc>
        <w:tc>
          <w:tcPr>
            <w:tcW w:w="2551" w:type="dxa"/>
          </w:tcPr>
          <w:p w:rsidR="00F02D9B" w:rsidRPr="0031019A" w:rsidRDefault="00F02D9B" w:rsidP="00861AED">
            <w:pPr>
              <w:pStyle w:val="Tablesumline"/>
              <w:rPr>
                <w:rFonts w:eastAsia="Calibri"/>
              </w:rPr>
            </w:pPr>
          </w:p>
        </w:tc>
      </w:tr>
    </w:tbl>
    <w:p w:rsidR="00275002" w:rsidRPr="0031019A" w:rsidRDefault="00275002" w:rsidP="009A3D22">
      <w:pPr>
        <w:jc w:val="both"/>
      </w:pPr>
      <w:r w:rsidRPr="0031019A">
        <w:t>With low-priced capacity either ramp rate limited or fully dispatched, the dispatch price increased from $</w:t>
      </w:r>
      <w:r w:rsidR="000E77BB">
        <w:t>50</w:t>
      </w:r>
      <w:r w:rsidRPr="0031019A">
        <w:t xml:space="preserve">/MWh at </w:t>
      </w:r>
      <w:r w:rsidR="000E77BB">
        <w:t>7.45 pm</w:t>
      </w:r>
      <w:r w:rsidRPr="0031019A">
        <w:t xml:space="preserve"> to </w:t>
      </w:r>
      <w:r w:rsidR="000E77BB">
        <w:t>around $210/MWh at 7.50 pm and 7.55 pm then to $12 950/MWh at 8 pm</w:t>
      </w:r>
      <w:r w:rsidRPr="0031019A">
        <w:t xml:space="preserve"> with Stanwell and Tarong units setting the price. </w:t>
      </w:r>
    </w:p>
    <w:p w:rsidR="00C73C83" w:rsidRDefault="00C73C83" w:rsidP="00C73C83">
      <w:pPr>
        <w:pStyle w:val="Caption"/>
      </w:pPr>
      <w:r>
        <w:t xml:space="preserve">Table </w:t>
      </w:r>
      <w:r w:rsidR="003422A3">
        <w:fldChar w:fldCharType="begin"/>
      </w:r>
      <w:r w:rsidR="003422A3">
        <w:instrText xml:space="preserve"> SEQ Table \* ARABIC </w:instrText>
      </w:r>
      <w:r w:rsidR="003422A3">
        <w:fldChar w:fldCharType="separate"/>
      </w:r>
      <w:r w:rsidR="00384A55">
        <w:rPr>
          <w:noProof/>
        </w:rPr>
        <w:t>6</w:t>
      </w:r>
      <w:r w:rsidR="003422A3">
        <w:rPr>
          <w:noProof/>
        </w:rPr>
        <w:fldChar w:fldCharType="end"/>
      </w:r>
      <w:r>
        <w:t xml:space="preserve"> : Rebids for 9 pm</w:t>
      </w:r>
    </w:p>
    <w:tbl>
      <w:tblPr>
        <w:tblStyle w:val="AERsummarytable"/>
        <w:tblW w:w="9705" w:type="dxa"/>
        <w:tblLook w:val="04A0" w:firstRow="1" w:lastRow="0" w:firstColumn="1" w:lastColumn="0" w:noHBand="0" w:noVBand="1"/>
      </w:tblPr>
      <w:tblGrid>
        <w:gridCol w:w="814"/>
        <w:gridCol w:w="854"/>
        <w:gridCol w:w="1404"/>
        <w:gridCol w:w="1146"/>
        <w:gridCol w:w="1034"/>
        <w:gridCol w:w="1093"/>
        <w:gridCol w:w="916"/>
        <w:gridCol w:w="2444"/>
      </w:tblGrid>
      <w:tr w:rsidR="00C73C83" w:rsidRPr="00914A87" w:rsidTr="003C2B22">
        <w:trPr>
          <w:cnfStyle w:val="100000000000" w:firstRow="1" w:lastRow="0" w:firstColumn="0" w:lastColumn="0" w:oddVBand="0" w:evenVBand="0" w:oddHBand="0" w:evenHBand="0" w:firstRowFirstColumn="0" w:firstRowLastColumn="0" w:lastRowFirstColumn="0" w:lastRowLastColumn="0"/>
          <w:trHeight w:val="780"/>
        </w:trPr>
        <w:tc>
          <w:tcPr>
            <w:tcW w:w="814" w:type="dxa"/>
            <w:hideMark/>
          </w:tcPr>
          <w:p w:rsidR="00C73C83" w:rsidRPr="00914A87" w:rsidRDefault="00C73C83" w:rsidP="00861AED">
            <w:pPr>
              <w:pStyle w:val="TableHeading"/>
            </w:pPr>
            <w:r w:rsidRPr="00914A87">
              <w:t xml:space="preserve">Time </w:t>
            </w:r>
            <w:r>
              <w:t>in</w:t>
            </w:r>
          </w:p>
        </w:tc>
        <w:tc>
          <w:tcPr>
            <w:tcW w:w="854" w:type="dxa"/>
            <w:hideMark/>
          </w:tcPr>
          <w:p w:rsidR="00C73C83" w:rsidRPr="00914A87" w:rsidRDefault="00C73C83" w:rsidP="00861AED">
            <w:pPr>
              <w:pStyle w:val="TableHeading"/>
              <w:ind w:left="-108"/>
            </w:pPr>
            <w:r w:rsidRPr="00914A87">
              <w:t>Time effective</w:t>
            </w:r>
          </w:p>
        </w:tc>
        <w:tc>
          <w:tcPr>
            <w:tcW w:w="1404" w:type="dxa"/>
            <w:hideMark/>
          </w:tcPr>
          <w:p w:rsidR="00C73C83" w:rsidRPr="00914A87" w:rsidRDefault="00C73C83" w:rsidP="00861AED">
            <w:pPr>
              <w:pStyle w:val="TableHeading"/>
            </w:pPr>
            <w:r w:rsidRPr="00914A87">
              <w:t>Participant</w:t>
            </w:r>
          </w:p>
        </w:tc>
        <w:tc>
          <w:tcPr>
            <w:tcW w:w="1146" w:type="dxa"/>
            <w:hideMark/>
          </w:tcPr>
          <w:p w:rsidR="00C73C83" w:rsidRPr="00914A87" w:rsidRDefault="00C73C83" w:rsidP="00861AED">
            <w:pPr>
              <w:pStyle w:val="TableHeading"/>
            </w:pPr>
            <w:r w:rsidRPr="00914A87">
              <w:t>Station</w:t>
            </w:r>
          </w:p>
        </w:tc>
        <w:tc>
          <w:tcPr>
            <w:tcW w:w="1034" w:type="dxa"/>
            <w:hideMark/>
          </w:tcPr>
          <w:p w:rsidR="00C73C83" w:rsidRPr="00914A87" w:rsidRDefault="00C73C83" w:rsidP="00861AED">
            <w:pPr>
              <w:pStyle w:val="TableHeading"/>
            </w:pPr>
            <w:r w:rsidRPr="00914A87">
              <w:t>Capacity rebid (MW)</w:t>
            </w:r>
          </w:p>
        </w:tc>
        <w:tc>
          <w:tcPr>
            <w:tcW w:w="1093" w:type="dxa"/>
            <w:hideMark/>
          </w:tcPr>
          <w:p w:rsidR="00C73C83" w:rsidRPr="00914A87" w:rsidRDefault="00C73C83" w:rsidP="00861AED">
            <w:pPr>
              <w:pStyle w:val="TableHeading"/>
            </w:pPr>
            <w:r w:rsidRPr="00914A87">
              <w:t>Price from ($/MWh)</w:t>
            </w:r>
          </w:p>
        </w:tc>
        <w:tc>
          <w:tcPr>
            <w:tcW w:w="916" w:type="dxa"/>
            <w:hideMark/>
          </w:tcPr>
          <w:p w:rsidR="00C73C83" w:rsidRPr="00914A87" w:rsidRDefault="00C73C83" w:rsidP="00861AED">
            <w:pPr>
              <w:pStyle w:val="TableHeading"/>
            </w:pPr>
            <w:r w:rsidRPr="00914A87">
              <w:t>Price to ($/MWh)</w:t>
            </w:r>
          </w:p>
        </w:tc>
        <w:tc>
          <w:tcPr>
            <w:tcW w:w="2444" w:type="dxa"/>
            <w:hideMark/>
          </w:tcPr>
          <w:p w:rsidR="00C73C83" w:rsidRPr="00914A87" w:rsidRDefault="00C73C83" w:rsidP="00861AED">
            <w:pPr>
              <w:pStyle w:val="TableHeading"/>
            </w:pPr>
            <w:r w:rsidRPr="00914A87">
              <w:t>Rebid reason</w:t>
            </w:r>
          </w:p>
        </w:tc>
      </w:tr>
      <w:tr w:rsidR="003C2B22" w:rsidRPr="00F729EF" w:rsidTr="003C2B22">
        <w:trPr>
          <w:cnfStyle w:val="000000100000" w:firstRow="0" w:lastRow="0" w:firstColumn="0" w:lastColumn="0" w:oddVBand="0" w:evenVBand="0" w:oddHBand="1" w:evenHBand="0" w:firstRowFirstColumn="0" w:firstRowLastColumn="0" w:lastRowFirstColumn="0" w:lastRowLastColumn="0"/>
          <w:trHeight w:val="606"/>
        </w:trPr>
        <w:tc>
          <w:tcPr>
            <w:tcW w:w="814" w:type="dxa"/>
            <w:vAlign w:val="center"/>
          </w:tcPr>
          <w:p w:rsidR="00C73C83" w:rsidRPr="0031019A" w:rsidRDefault="00C73C83" w:rsidP="00571680">
            <w:pPr>
              <w:pStyle w:val="Tabletext"/>
              <w:ind w:left="-84" w:right="-55"/>
              <w:jc w:val="center"/>
            </w:pPr>
            <w:r>
              <w:t>5.58 pm</w:t>
            </w:r>
          </w:p>
        </w:tc>
        <w:tc>
          <w:tcPr>
            <w:tcW w:w="854" w:type="dxa"/>
            <w:vAlign w:val="center"/>
          </w:tcPr>
          <w:p w:rsidR="00C73C83" w:rsidRPr="0031019A" w:rsidRDefault="00C73C83" w:rsidP="00571680">
            <w:pPr>
              <w:pStyle w:val="Tabletext"/>
              <w:ind w:left="-84" w:right="-55"/>
              <w:jc w:val="center"/>
            </w:pPr>
            <w:r>
              <w:t>6.05 pm</w:t>
            </w:r>
          </w:p>
        </w:tc>
        <w:tc>
          <w:tcPr>
            <w:tcW w:w="1404" w:type="dxa"/>
            <w:vAlign w:val="center"/>
          </w:tcPr>
          <w:p w:rsidR="00C73C83" w:rsidRPr="0031019A" w:rsidRDefault="00C73C83" w:rsidP="00571680">
            <w:pPr>
              <w:pStyle w:val="Tabletext"/>
              <w:ind w:left="-84" w:right="-55"/>
              <w:jc w:val="center"/>
            </w:pPr>
            <w:r>
              <w:t>Millmerran Energy Trad</w:t>
            </w:r>
            <w:r w:rsidR="00571680">
              <w:t>er</w:t>
            </w:r>
          </w:p>
        </w:tc>
        <w:tc>
          <w:tcPr>
            <w:tcW w:w="1146" w:type="dxa"/>
            <w:vAlign w:val="center"/>
          </w:tcPr>
          <w:p w:rsidR="00C73C83" w:rsidRPr="0031019A" w:rsidRDefault="00C73C83" w:rsidP="00571680">
            <w:pPr>
              <w:pStyle w:val="Tabletext"/>
              <w:ind w:left="-84" w:right="-55"/>
              <w:jc w:val="center"/>
            </w:pPr>
            <w:r>
              <w:t>Millmerran</w:t>
            </w:r>
          </w:p>
        </w:tc>
        <w:tc>
          <w:tcPr>
            <w:tcW w:w="1034" w:type="dxa"/>
            <w:vAlign w:val="center"/>
          </w:tcPr>
          <w:p w:rsidR="00C73C83" w:rsidRPr="0031019A" w:rsidRDefault="00C73C83" w:rsidP="00571680">
            <w:pPr>
              <w:pStyle w:val="Tabletext"/>
              <w:ind w:left="-84" w:right="-55"/>
              <w:jc w:val="center"/>
            </w:pPr>
            <w:r>
              <w:t>100</w:t>
            </w:r>
          </w:p>
        </w:tc>
        <w:tc>
          <w:tcPr>
            <w:tcW w:w="1093" w:type="dxa"/>
            <w:vAlign w:val="center"/>
          </w:tcPr>
          <w:p w:rsidR="00C73C83" w:rsidRPr="0031019A" w:rsidRDefault="00C73C83" w:rsidP="00571680">
            <w:pPr>
              <w:pStyle w:val="Tabletext"/>
              <w:ind w:left="-84" w:right="-55"/>
              <w:jc w:val="center"/>
            </w:pPr>
            <w:r>
              <w:t>7</w:t>
            </w:r>
          </w:p>
        </w:tc>
        <w:tc>
          <w:tcPr>
            <w:tcW w:w="916" w:type="dxa"/>
            <w:vAlign w:val="center"/>
          </w:tcPr>
          <w:p w:rsidR="00C73C83" w:rsidRPr="0031019A" w:rsidRDefault="00C73C83" w:rsidP="00571680">
            <w:pPr>
              <w:pStyle w:val="Tabletext"/>
              <w:ind w:left="-84" w:right="-55"/>
              <w:jc w:val="center"/>
            </w:pPr>
            <w:r>
              <w:t>13 500</w:t>
            </w:r>
          </w:p>
        </w:tc>
        <w:tc>
          <w:tcPr>
            <w:tcW w:w="2444" w:type="dxa"/>
            <w:vAlign w:val="center"/>
          </w:tcPr>
          <w:p w:rsidR="00C73C83" w:rsidRPr="000316E7" w:rsidRDefault="00C73C83" w:rsidP="00571680">
            <w:pPr>
              <w:pStyle w:val="Tabletext"/>
              <w:ind w:left="-84" w:right="-55"/>
              <w:jc w:val="center"/>
            </w:pPr>
            <w:r w:rsidRPr="000316E7">
              <w:t xml:space="preserve">17:58 F </w:t>
            </w:r>
            <w:r w:rsidR="003C2B22" w:rsidRPr="000316E7">
              <w:t>portfoliop adjustment</w:t>
            </w:r>
            <w:r w:rsidRPr="000316E7">
              <w:t xml:space="preserve"> - SL</w:t>
            </w:r>
          </w:p>
        </w:tc>
      </w:tr>
      <w:tr w:rsidR="003C2B22" w:rsidRPr="00F729EF" w:rsidTr="003C2B22">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C73C83" w:rsidRPr="0031019A" w:rsidRDefault="00C73C83" w:rsidP="00571680">
            <w:pPr>
              <w:pStyle w:val="Tabletext"/>
              <w:ind w:left="-84" w:right="-55"/>
              <w:jc w:val="center"/>
            </w:pPr>
            <w:r>
              <w:t>7.51 pm</w:t>
            </w:r>
          </w:p>
        </w:tc>
        <w:tc>
          <w:tcPr>
            <w:tcW w:w="854" w:type="dxa"/>
            <w:vAlign w:val="center"/>
          </w:tcPr>
          <w:p w:rsidR="00C73C83" w:rsidRPr="0031019A" w:rsidRDefault="00571680" w:rsidP="00571680">
            <w:pPr>
              <w:pStyle w:val="Tabletext"/>
              <w:ind w:left="-84" w:right="-55"/>
              <w:jc w:val="center"/>
            </w:pPr>
            <w:r>
              <w:t>8 pm</w:t>
            </w:r>
          </w:p>
        </w:tc>
        <w:tc>
          <w:tcPr>
            <w:tcW w:w="1404" w:type="dxa"/>
            <w:vAlign w:val="center"/>
          </w:tcPr>
          <w:p w:rsidR="00C73C83" w:rsidRPr="0031019A" w:rsidRDefault="00C73C83" w:rsidP="00571680">
            <w:pPr>
              <w:pStyle w:val="Tabletext"/>
              <w:ind w:left="-84" w:right="-55"/>
              <w:jc w:val="center"/>
            </w:pPr>
            <w:r w:rsidRPr="0031019A">
              <w:t>Stanwell</w:t>
            </w:r>
          </w:p>
        </w:tc>
        <w:tc>
          <w:tcPr>
            <w:tcW w:w="1146" w:type="dxa"/>
            <w:vAlign w:val="center"/>
          </w:tcPr>
          <w:p w:rsidR="00C73C83" w:rsidRPr="0031019A" w:rsidRDefault="00C73C83" w:rsidP="00571680">
            <w:pPr>
              <w:pStyle w:val="Tabletext"/>
              <w:ind w:left="-84" w:right="-55"/>
              <w:jc w:val="center"/>
            </w:pPr>
            <w:r>
              <w:t>Tarong</w:t>
            </w:r>
          </w:p>
        </w:tc>
        <w:tc>
          <w:tcPr>
            <w:tcW w:w="1034" w:type="dxa"/>
            <w:vAlign w:val="center"/>
          </w:tcPr>
          <w:p w:rsidR="00C73C83" w:rsidRPr="0031019A" w:rsidRDefault="00C73C83" w:rsidP="00571680">
            <w:pPr>
              <w:pStyle w:val="Tabletext"/>
              <w:ind w:left="-84" w:right="-55"/>
              <w:jc w:val="center"/>
            </w:pPr>
            <w:r>
              <w:t>30</w:t>
            </w:r>
          </w:p>
        </w:tc>
        <w:tc>
          <w:tcPr>
            <w:tcW w:w="1093" w:type="dxa"/>
            <w:vAlign w:val="center"/>
          </w:tcPr>
          <w:p w:rsidR="00C73C83" w:rsidRPr="0031019A" w:rsidRDefault="00C73C83" w:rsidP="00571680">
            <w:pPr>
              <w:pStyle w:val="Tabletext"/>
              <w:ind w:left="-84" w:right="-55"/>
              <w:jc w:val="center"/>
            </w:pPr>
            <w:r>
              <w:t>48</w:t>
            </w:r>
          </w:p>
        </w:tc>
        <w:tc>
          <w:tcPr>
            <w:tcW w:w="916" w:type="dxa"/>
            <w:vAlign w:val="center"/>
          </w:tcPr>
          <w:p w:rsidR="00C73C83" w:rsidRPr="0031019A" w:rsidRDefault="00C73C83" w:rsidP="00571680">
            <w:pPr>
              <w:pStyle w:val="Tabletext"/>
              <w:ind w:left="-84" w:right="-55"/>
              <w:jc w:val="center"/>
            </w:pPr>
            <w:r>
              <w:t>13 500</w:t>
            </w:r>
          </w:p>
        </w:tc>
        <w:tc>
          <w:tcPr>
            <w:tcW w:w="2444" w:type="dxa"/>
            <w:vAlign w:val="center"/>
          </w:tcPr>
          <w:p w:rsidR="00C73C83" w:rsidRPr="000316E7" w:rsidRDefault="00C73C83" w:rsidP="00571680">
            <w:pPr>
              <w:pStyle w:val="Tabletext"/>
              <w:ind w:left="-84" w:right="-55"/>
              <w:jc w:val="center"/>
            </w:pPr>
            <w:r w:rsidRPr="00571680">
              <w:t xml:space="preserve">1930A </w:t>
            </w:r>
            <w:r w:rsidR="00571680" w:rsidRPr="00571680">
              <w:t xml:space="preserve">change in </w:t>
            </w:r>
            <w:r w:rsidRPr="00571680">
              <w:t xml:space="preserve">QLD </w:t>
            </w:r>
            <w:r w:rsidR="00571680" w:rsidRPr="00571680">
              <w:t xml:space="preserve">generation </w:t>
            </w:r>
            <w:r w:rsidRPr="00571680">
              <w:t>- O</w:t>
            </w:r>
            <w:r w:rsidR="00571680" w:rsidRPr="00571680">
              <w:t>akey</w:t>
            </w:r>
            <w:r w:rsidRPr="00571680">
              <w:t>1</w:t>
            </w:r>
          </w:p>
        </w:tc>
      </w:tr>
      <w:tr w:rsidR="00C73C83" w:rsidRPr="00F729EF" w:rsidTr="003C2B22">
        <w:trPr>
          <w:cnfStyle w:val="000000100000" w:firstRow="0" w:lastRow="0" w:firstColumn="0" w:lastColumn="0" w:oddVBand="0" w:evenVBand="0" w:oddHBand="1" w:evenHBand="0" w:firstRowFirstColumn="0" w:firstRowLastColumn="0" w:lastRowFirstColumn="0" w:lastRowLastColumn="0"/>
          <w:trHeight w:val="673"/>
        </w:trPr>
        <w:tc>
          <w:tcPr>
            <w:tcW w:w="814" w:type="dxa"/>
            <w:vAlign w:val="center"/>
          </w:tcPr>
          <w:p w:rsidR="00C73C83" w:rsidRDefault="00C73C83" w:rsidP="00571680">
            <w:pPr>
              <w:pStyle w:val="Tabletext"/>
              <w:ind w:left="-84" w:right="-55"/>
              <w:jc w:val="center"/>
            </w:pPr>
            <w:r>
              <w:t>7.57 pm</w:t>
            </w:r>
          </w:p>
        </w:tc>
        <w:tc>
          <w:tcPr>
            <w:tcW w:w="854" w:type="dxa"/>
            <w:vAlign w:val="center"/>
          </w:tcPr>
          <w:p w:rsidR="00C73C83" w:rsidRDefault="00571680" w:rsidP="00571680">
            <w:pPr>
              <w:pStyle w:val="Tabletext"/>
              <w:ind w:left="-84" w:right="-55"/>
              <w:jc w:val="center"/>
            </w:pPr>
            <w:r>
              <w:t>8.05 pm</w:t>
            </w:r>
          </w:p>
        </w:tc>
        <w:tc>
          <w:tcPr>
            <w:tcW w:w="1404" w:type="dxa"/>
            <w:vAlign w:val="center"/>
          </w:tcPr>
          <w:p w:rsidR="00C73C83" w:rsidRDefault="00C73C83" w:rsidP="00571680">
            <w:pPr>
              <w:pStyle w:val="Tabletext"/>
              <w:ind w:left="-84" w:right="-55"/>
              <w:jc w:val="center"/>
            </w:pPr>
            <w:r>
              <w:t>Stanwell</w:t>
            </w:r>
          </w:p>
        </w:tc>
        <w:tc>
          <w:tcPr>
            <w:tcW w:w="1146" w:type="dxa"/>
            <w:vAlign w:val="center"/>
          </w:tcPr>
          <w:p w:rsidR="00C73C83" w:rsidRDefault="00C73C83" w:rsidP="00571680">
            <w:pPr>
              <w:pStyle w:val="Tabletext"/>
              <w:ind w:left="-84" w:right="-55"/>
              <w:jc w:val="center"/>
            </w:pPr>
            <w:r>
              <w:t>Stanwell</w:t>
            </w:r>
          </w:p>
        </w:tc>
        <w:tc>
          <w:tcPr>
            <w:tcW w:w="1034" w:type="dxa"/>
            <w:vAlign w:val="center"/>
          </w:tcPr>
          <w:p w:rsidR="00C73C83" w:rsidRDefault="00C73C83" w:rsidP="00571680">
            <w:pPr>
              <w:pStyle w:val="Tabletext"/>
              <w:ind w:left="-84" w:right="-55"/>
              <w:jc w:val="center"/>
            </w:pPr>
            <w:r>
              <w:t>175</w:t>
            </w:r>
          </w:p>
        </w:tc>
        <w:tc>
          <w:tcPr>
            <w:tcW w:w="1093" w:type="dxa"/>
            <w:vAlign w:val="center"/>
          </w:tcPr>
          <w:p w:rsidR="00C73C83" w:rsidRDefault="00571680" w:rsidP="00571680">
            <w:pPr>
              <w:pStyle w:val="Tabletext"/>
              <w:ind w:left="-84" w:right="-55"/>
              <w:jc w:val="center"/>
            </w:pPr>
            <w:r>
              <w:t>26</w:t>
            </w:r>
          </w:p>
        </w:tc>
        <w:tc>
          <w:tcPr>
            <w:tcW w:w="916" w:type="dxa"/>
            <w:vAlign w:val="center"/>
          </w:tcPr>
          <w:p w:rsidR="00C73C83" w:rsidRDefault="00571680" w:rsidP="00571680">
            <w:pPr>
              <w:pStyle w:val="Tabletext"/>
              <w:ind w:left="-84" w:right="-55"/>
              <w:jc w:val="center"/>
            </w:pPr>
            <w:r>
              <w:t>13 500</w:t>
            </w:r>
          </w:p>
        </w:tc>
        <w:tc>
          <w:tcPr>
            <w:tcW w:w="2444" w:type="dxa"/>
            <w:vAlign w:val="center"/>
          </w:tcPr>
          <w:p w:rsidR="00C73C83" w:rsidRPr="00571680" w:rsidRDefault="00571680" w:rsidP="00571680">
            <w:pPr>
              <w:pStyle w:val="Tabletext"/>
              <w:ind w:left="-84" w:right="-55"/>
              <w:jc w:val="center"/>
            </w:pPr>
            <w:r w:rsidRPr="00571680">
              <w:t>1956A manage QNI binding constraint</w:t>
            </w:r>
          </w:p>
        </w:tc>
      </w:tr>
      <w:tr w:rsidR="00C73C83" w:rsidRPr="00F729EF" w:rsidTr="003C2B22">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C73C83" w:rsidRPr="0031019A" w:rsidRDefault="00C73C83" w:rsidP="00571680">
            <w:pPr>
              <w:pStyle w:val="Tabletext"/>
              <w:ind w:left="-84" w:right="-55"/>
              <w:jc w:val="center"/>
            </w:pPr>
            <w:r>
              <w:t>8.16 pm</w:t>
            </w:r>
          </w:p>
        </w:tc>
        <w:tc>
          <w:tcPr>
            <w:tcW w:w="854" w:type="dxa"/>
            <w:vAlign w:val="center"/>
          </w:tcPr>
          <w:p w:rsidR="00C73C83" w:rsidRPr="0031019A" w:rsidRDefault="00571680" w:rsidP="00571680">
            <w:pPr>
              <w:pStyle w:val="Tabletext"/>
              <w:ind w:left="-84" w:right="-55"/>
              <w:jc w:val="center"/>
            </w:pPr>
            <w:r>
              <w:t>8.35</w:t>
            </w:r>
            <w:r w:rsidR="00C73C83">
              <w:t> pm</w:t>
            </w:r>
          </w:p>
        </w:tc>
        <w:tc>
          <w:tcPr>
            <w:tcW w:w="1404" w:type="dxa"/>
            <w:vAlign w:val="center"/>
          </w:tcPr>
          <w:p w:rsidR="00C73C83" w:rsidRPr="0031019A" w:rsidRDefault="00C73C83" w:rsidP="00571680">
            <w:pPr>
              <w:pStyle w:val="Tabletext"/>
              <w:ind w:left="-84" w:right="-55"/>
              <w:jc w:val="center"/>
            </w:pPr>
            <w:r>
              <w:t>AGL</w:t>
            </w:r>
          </w:p>
        </w:tc>
        <w:tc>
          <w:tcPr>
            <w:tcW w:w="1146" w:type="dxa"/>
            <w:vAlign w:val="center"/>
          </w:tcPr>
          <w:p w:rsidR="00C73C83" w:rsidRPr="0031019A" w:rsidRDefault="00C73C83" w:rsidP="00571680">
            <w:pPr>
              <w:pStyle w:val="Tabletext"/>
              <w:ind w:left="-84" w:right="-55"/>
              <w:jc w:val="center"/>
            </w:pPr>
            <w:r>
              <w:t>Yabulu</w:t>
            </w:r>
          </w:p>
        </w:tc>
        <w:tc>
          <w:tcPr>
            <w:tcW w:w="1034" w:type="dxa"/>
            <w:vAlign w:val="center"/>
          </w:tcPr>
          <w:p w:rsidR="00C73C83" w:rsidRPr="0031019A" w:rsidRDefault="00C73C83" w:rsidP="00571680">
            <w:pPr>
              <w:pStyle w:val="Tabletext"/>
              <w:ind w:left="-84" w:right="-55"/>
              <w:jc w:val="center"/>
            </w:pPr>
            <w:r>
              <w:t>-155</w:t>
            </w:r>
          </w:p>
        </w:tc>
        <w:tc>
          <w:tcPr>
            <w:tcW w:w="1093" w:type="dxa"/>
            <w:vAlign w:val="center"/>
          </w:tcPr>
          <w:p w:rsidR="00C73C83" w:rsidRPr="0031019A" w:rsidRDefault="00C73C83" w:rsidP="00571680">
            <w:pPr>
              <w:pStyle w:val="Tabletext"/>
              <w:ind w:left="-84" w:right="-55"/>
              <w:jc w:val="center"/>
            </w:pPr>
            <w:r>
              <w:t>2221</w:t>
            </w:r>
          </w:p>
        </w:tc>
        <w:tc>
          <w:tcPr>
            <w:tcW w:w="916" w:type="dxa"/>
            <w:vAlign w:val="center"/>
          </w:tcPr>
          <w:p w:rsidR="00C73C83" w:rsidRPr="0031019A" w:rsidRDefault="00C73C83" w:rsidP="00571680">
            <w:pPr>
              <w:pStyle w:val="Tabletext"/>
              <w:ind w:left="-84" w:right="-55"/>
              <w:jc w:val="center"/>
            </w:pPr>
            <w:r>
              <w:t>N/A</w:t>
            </w:r>
          </w:p>
        </w:tc>
        <w:tc>
          <w:tcPr>
            <w:tcW w:w="2444" w:type="dxa"/>
            <w:vAlign w:val="center"/>
          </w:tcPr>
          <w:p w:rsidR="00C73C83" w:rsidRPr="00571680" w:rsidRDefault="00C73C83" w:rsidP="00571680">
            <w:pPr>
              <w:pStyle w:val="Tabletext"/>
              <w:ind w:left="-84" w:right="-55"/>
              <w:jc w:val="center"/>
            </w:pPr>
            <w:r w:rsidRPr="00571680">
              <w:t xml:space="preserve">2010~P~010 </w:t>
            </w:r>
            <w:r w:rsidR="00571680" w:rsidRPr="00571680">
              <w:t>unexpected/plant limits~co-ordinated shutdown mode wi</w:t>
            </w:r>
          </w:p>
        </w:tc>
      </w:tr>
      <w:tr w:rsidR="00C73C83" w:rsidRPr="00F729EF" w:rsidTr="003C2B22">
        <w:trPr>
          <w:cnfStyle w:val="000000100000" w:firstRow="0" w:lastRow="0" w:firstColumn="0" w:lastColumn="0" w:oddVBand="0" w:evenVBand="0" w:oddHBand="1" w:evenHBand="0" w:firstRowFirstColumn="0" w:firstRowLastColumn="0" w:lastRowFirstColumn="0" w:lastRowLastColumn="0"/>
          <w:trHeight w:val="673"/>
        </w:trPr>
        <w:tc>
          <w:tcPr>
            <w:tcW w:w="814" w:type="dxa"/>
            <w:vAlign w:val="center"/>
          </w:tcPr>
          <w:p w:rsidR="00C73C83" w:rsidRPr="0031019A" w:rsidRDefault="00C73C83" w:rsidP="00571680">
            <w:pPr>
              <w:pStyle w:val="Tabletext"/>
              <w:ind w:left="-84" w:right="-55"/>
              <w:jc w:val="center"/>
            </w:pPr>
            <w:r>
              <w:t>8.51 pm</w:t>
            </w:r>
          </w:p>
        </w:tc>
        <w:tc>
          <w:tcPr>
            <w:tcW w:w="854" w:type="dxa"/>
            <w:vAlign w:val="center"/>
          </w:tcPr>
          <w:p w:rsidR="00C73C83" w:rsidRPr="0031019A" w:rsidRDefault="00C73C83" w:rsidP="00571680">
            <w:pPr>
              <w:pStyle w:val="Tabletext"/>
              <w:ind w:left="-84" w:right="-55"/>
              <w:jc w:val="center"/>
            </w:pPr>
            <w:r>
              <w:t>9 pm</w:t>
            </w:r>
          </w:p>
        </w:tc>
        <w:tc>
          <w:tcPr>
            <w:tcW w:w="1404" w:type="dxa"/>
            <w:vAlign w:val="center"/>
          </w:tcPr>
          <w:p w:rsidR="00C73C83" w:rsidRPr="0031019A" w:rsidRDefault="00C73C83" w:rsidP="00571680">
            <w:pPr>
              <w:pStyle w:val="Tabletext"/>
              <w:ind w:left="-84" w:right="-55"/>
              <w:jc w:val="center"/>
            </w:pPr>
            <w:r>
              <w:t>Callide Power Trading</w:t>
            </w:r>
          </w:p>
        </w:tc>
        <w:tc>
          <w:tcPr>
            <w:tcW w:w="1146" w:type="dxa"/>
            <w:vAlign w:val="center"/>
          </w:tcPr>
          <w:p w:rsidR="00C73C83" w:rsidRPr="0031019A" w:rsidRDefault="00C73C83" w:rsidP="00571680">
            <w:pPr>
              <w:pStyle w:val="Tabletext"/>
              <w:ind w:left="-84" w:right="-55"/>
              <w:jc w:val="center"/>
            </w:pPr>
            <w:r w:rsidRPr="0031019A">
              <w:t xml:space="preserve">Callide </w:t>
            </w:r>
            <w:r>
              <w:t>C</w:t>
            </w:r>
          </w:p>
        </w:tc>
        <w:tc>
          <w:tcPr>
            <w:tcW w:w="1034" w:type="dxa"/>
            <w:vAlign w:val="center"/>
          </w:tcPr>
          <w:p w:rsidR="00C73C83" w:rsidRPr="0031019A" w:rsidRDefault="00C73C83" w:rsidP="00571680">
            <w:pPr>
              <w:pStyle w:val="Tabletext"/>
              <w:ind w:left="-84" w:right="-55"/>
              <w:jc w:val="center"/>
            </w:pPr>
            <w:r>
              <w:t>4</w:t>
            </w:r>
            <w:r w:rsidRPr="0031019A">
              <w:t>0</w:t>
            </w:r>
          </w:p>
        </w:tc>
        <w:tc>
          <w:tcPr>
            <w:tcW w:w="1093" w:type="dxa"/>
            <w:vAlign w:val="center"/>
          </w:tcPr>
          <w:p w:rsidR="00C73C83" w:rsidRPr="0031019A" w:rsidRDefault="00C73C83" w:rsidP="00571680">
            <w:pPr>
              <w:pStyle w:val="Tabletext"/>
              <w:ind w:left="-84" w:right="-55"/>
              <w:jc w:val="center"/>
            </w:pPr>
            <w:r>
              <w:t>-1000</w:t>
            </w:r>
          </w:p>
        </w:tc>
        <w:tc>
          <w:tcPr>
            <w:tcW w:w="916" w:type="dxa"/>
            <w:vAlign w:val="center"/>
          </w:tcPr>
          <w:p w:rsidR="00C73C83" w:rsidRDefault="00C73C83" w:rsidP="00571680">
            <w:pPr>
              <w:jc w:val="center"/>
            </w:pPr>
            <w:r w:rsidRPr="006F3750">
              <w:rPr>
                <w:rFonts w:cs="Arial"/>
                <w:sz w:val="22"/>
                <w:szCs w:val="16"/>
              </w:rPr>
              <w:t>13 500</w:t>
            </w:r>
          </w:p>
        </w:tc>
        <w:tc>
          <w:tcPr>
            <w:tcW w:w="2444" w:type="dxa"/>
            <w:vAlign w:val="center"/>
          </w:tcPr>
          <w:p w:rsidR="00C73C83" w:rsidRDefault="00C73C83" w:rsidP="00571680">
            <w:pPr>
              <w:jc w:val="center"/>
            </w:pPr>
            <w:r w:rsidRPr="00571680">
              <w:t xml:space="preserve">2041A RRP </w:t>
            </w:r>
            <w:r w:rsidR="00571680" w:rsidRPr="00571680">
              <w:t xml:space="preserve">below </w:t>
            </w:r>
            <w:r w:rsidRPr="00571680">
              <w:t>PD</w:t>
            </w:r>
          </w:p>
        </w:tc>
      </w:tr>
      <w:tr w:rsidR="00C73C83" w:rsidRPr="00F729EF" w:rsidTr="003C2B22">
        <w:trPr>
          <w:cnfStyle w:val="000000010000" w:firstRow="0" w:lastRow="0" w:firstColumn="0" w:lastColumn="0" w:oddVBand="0" w:evenVBand="0" w:oddHBand="0" w:evenHBand="1" w:firstRowFirstColumn="0" w:firstRowLastColumn="0" w:lastRowFirstColumn="0" w:lastRowLastColumn="0"/>
          <w:trHeight w:val="673"/>
        </w:trPr>
        <w:tc>
          <w:tcPr>
            <w:tcW w:w="814" w:type="dxa"/>
            <w:vAlign w:val="center"/>
          </w:tcPr>
          <w:p w:rsidR="00C73C83" w:rsidRPr="0031019A" w:rsidRDefault="00C73C83" w:rsidP="00571680">
            <w:pPr>
              <w:pStyle w:val="Tabletext"/>
              <w:ind w:left="-84" w:right="-55"/>
              <w:jc w:val="center"/>
            </w:pPr>
            <w:r>
              <w:t>8.52 pm</w:t>
            </w:r>
          </w:p>
        </w:tc>
        <w:tc>
          <w:tcPr>
            <w:tcW w:w="854" w:type="dxa"/>
            <w:vAlign w:val="center"/>
          </w:tcPr>
          <w:p w:rsidR="00C73C83" w:rsidRPr="0031019A" w:rsidRDefault="00C73C83" w:rsidP="00571680">
            <w:pPr>
              <w:pStyle w:val="Tabletext"/>
              <w:ind w:left="-84" w:right="-55"/>
              <w:jc w:val="center"/>
            </w:pPr>
            <w:r>
              <w:t>9 pm</w:t>
            </w:r>
          </w:p>
        </w:tc>
        <w:tc>
          <w:tcPr>
            <w:tcW w:w="1404" w:type="dxa"/>
            <w:vAlign w:val="center"/>
          </w:tcPr>
          <w:p w:rsidR="00C73C83" w:rsidRPr="0031019A" w:rsidRDefault="00C73C83" w:rsidP="00571680">
            <w:pPr>
              <w:pStyle w:val="Tabletext"/>
              <w:ind w:left="-84" w:right="-55"/>
              <w:jc w:val="center"/>
            </w:pPr>
            <w:r w:rsidRPr="0031019A">
              <w:t>CS Energy</w:t>
            </w:r>
          </w:p>
        </w:tc>
        <w:tc>
          <w:tcPr>
            <w:tcW w:w="1146" w:type="dxa"/>
            <w:vAlign w:val="center"/>
          </w:tcPr>
          <w:p w:rsidR="00C73C83" w:rsidRPr="0031019A" w:rsidRDefault="00C73C83" w:rsidP="00571680">
            <w:pPr>
              <w:pStyle w:val="Tabletext"/>
              <w:ind w:left="-84" w:right="-55"/>
              <w:jc w:val="center"/>
            </w:pPr>
            <w:r w:rsidRPr="0031019A">
              <w:t>Gladstone and Callide</w:t>
            </w:r>
          </w:p>
        </w:tc>
        <w:tc>
          <w:tcPr>
            <w:tcW w:w="1034" w:type="dxa"/>
            <w:vAlign w:val="center"/>
          </w:tcPr>
          <w:p w:rsidR="00C73C83" w:rsidRPr="0031019A" w:rsidRDefault="00C73C83" w:rsidP="00571680">
            <w:pPr>
              <w:pStyle w:val="Tabletext"/>
              <w:ind w:left="-84" w:right="-55"/>
              <w:jc w:val="center"/>
            </w:pPr>
            <w:r>
              <w:t>140</w:t>
            </w:r>
          </w:p>
        </w:tc>
        <w:tc>
          <w:tcPr>
            <w:tcW w:w="1093" w:type="dxa"/>
            <w:vAlign w:val="center"/>
          </w:tcPr>
          <w:p w:rsidR="00C73C83" w:rsidRPr="0031019A" w:rsidRDefault="00C73C83" w:rsidP="00571680">
            <w:pPr>
              <w:pStyle w:val="Tabletext"/>
              <w:ind w:left="-84" w:right="-55"/>
              <w:jc w:val="center"/>
            </w:pPr>
            <w:r>
              <w:t>35</w:t>
            </w:r>
          </w:p>
        </w:tc>
        <w:tc>
          <w:tcPr>
            <w:tcW w:w="916" w:type="dxa"/>
            <w:vAlign w:val="center"/>
          </w:tcPr>
          <w:p w:rsidR="00C73C83" w:rsidRPr="0031019A" w:rsidRDefault="00C73C83" w:rsidP="00571680">
            <w:pPr>
              <w:pStyle w:val="Tabletext"/>
              <w:ind w:left="-84" w:right="-55"/>
              <w:jc w:val="center"/>
            </w:pPr>
            <w:r>
              <w:t>13 500</w:t>
            </w:r>
          </w:p>
        </w:tc>
        <w:tc>
          <w:tcPr>
            <w:tcW w:w="2444" w:type="dxa"/>
            <w:vAlign w:val="center"/>
          </w:tcPr>
          <w:p w:rsidR="00C73C83" w:rsidRPr="00571680" w:rsidRDefault="00C73C83" w:rsidP="00571680">
            <w:pPr>
              <w:pStyle w:val="Tabletext"/>
              <w:ind w:left="-84" w:right="-55"/>
              <w:jc w:val="center"/>
            </w:pPr>
            <w:r w:rsidRPr="00571680">
              <w:t xml:space="preserve">2040A </w:t>
            </w:r>
            <w:r w:rsidR="00571680" w:rsidRPr="00571680">
              <w:t>interconnector constraint-</w:t>
            </w:r>
            <w:r w:rsidR="00571680">
              <w:t>QNI</w:t>
            </w:r>
            <w:r w:rsidR="00571680" w:rsidRPr="00571680">
              <w:t xml:space="preserve"> binding</w:t>
            </w:r>
            <w:r w:rsidRPr="00571680">
              <w:t>-SL</w:t>
            </w:r>
          </w:p>
        </w:tc>
      </w:tr>
      <w:tr w:rsidR="00C73C83" w:rsidRPr="00F729EF" w:rsidTr="003C2B22">
        <w:trPr>
          <w:cnfStyle w:val="000000100000" w:firstRow="0" w:lastRow="0" w:firstColumn="0" w:lastColumn="0" w:oddVBand="0" w:evenVBand="0" w:oddHBand="1" w:evenHBand="0" w:firstRowFirstColumn="0" w:firstRowLastColumn="0" w:lastRowFirstColumn="0" w:lastRowLastColumn="0"/>
          <w:trHeight w:val="187"/>
        </w:trPr>
        <w:tc>
          <w:tcPr>
            <w:tcW w:w="4218" w:type="dxa"/>
            <w:gridSpan w:val="4"/>
          </w:tcPr>
          <w:p w:rsidR="00C73C83" w:rsidRPr="0031019A" w:rsidRDefault="00C73C83" w:rsidP="00861AED">
            <w:pPr>
              <w:pStyle w:val="Tablesumline"/>
            </w:pPr>
            <w:r w:rsidRPr="0031019A">
              <w:t>Total capacity rebid from low to high prices</w:t>
            </w:r>
          </w:p>
        </w:tc>
        <w:tc>
          <w:tcPr>
            <w:tcW w:w="1034" w:type="dxa"/>
          </w:tcPr>
          <w:p w:rsidR="00C73C83" w:rsidRPr="0031019A" w:rsidRDefault="00C73C83" w:rsidP="003C2B22">
            <w:pPr>
              <w:pStyle w:val="Tablesumline"/>
              <w:jc w:val="center"/>
            </w:pPr>
            <w:r>
              <w:t>485</w:t>
            </w:r>
          </w:p>
        </w:tc>
        <w:tc>
          <w:tcPr>
            <w:tcW w:w="1093" w:type="dxa"/>
          </w:tcPr>
          <w:p w:rsidR="00C73C83" w:rsidRPr="0031019A" w:rsidRDefault="00C73C83" w:rsidP="00861AED">
            <w:pPr>
              <w:pStyle w:val="Tablesumline"/>
            </w:pPr>
          </w:p>
        </w:tc>
        <w:tc>
          <w:tcPr>
            <w:tcW w:w="916" w:type="dxa"/>
          </w:tcPr>
          <w:p w:rsidR="00C73C83" w:rsidRPr="0031019A" w:rsidRDefault="00C73C83" w:rsidP="00861AED">
            <w:pPr>
              <w:pStyle w:val="Tablesumline"/>
            </w:pPr>
          </w:p>
        </w:tc>
        <w:tc>
          <w:tcPr>
            <w:tcW w:w="2444" w:type="dxa"/>
          </w:tcPr>
          <w:p w:rsidR="00C73C83" w:rsidRPr="0031019A" w:rsidRDefault="00C73C83" w:rsidP="00861AED">
            <w:pPr>
              <w:pStyle w:val="Tablesumline"/>
              <w:rPr>
                <w:rFonts w:eastAsia="Calibri"/>
              </w:rPr>
            </w:pPr>
          </w:p>
        </w:tc>
      </w:tr>
    </w:tbl>
    <w:p w:rsidR="00275002" w:rsidRDefault="007E1516" w:rsidP="009A3D22">
      <w:pPr>
        <w:jc w:val="both"/>
      </w:pPr>
      <w:r w:rsidRPr="0031019A">
        <w:t>With low-priced capacity either ramp rate limited or fully dispatched, the dispatch price increased from $</w:t>
      </w:r>
      <w:r>
        <w:t>210</w:t>
      </w:r>
      <w:r w:rsidRPr="0031019A">
        <w:t xml:space="preserve">/MWh at </w:t>
      </w:r>
      <w:r>
        <w:t>8.55 pm</w:t>
      </w:r>
      <w:r w:rsidRPr="0031019A">
        <w:t xml:space="preserve"> to </w:t>
      </w:r>
      <w:r>
        <w:t xml:space="preserve">$12 950/MWh 9 pm </w:t>
      </w:r>
      <w:r w:rsidRPr="0031019A">
        <w:t>with Stanwell and Tarong units setting the price</w:t>
      </w:r>
      <w:r>
        <w:t>.</w:t>
      </w:r>
    </w:p>
    <w:p w:rsidR="00275002" w:rsidRPr="0031019A" w:rsidRDefault="00275002" w:rsidP="00914A87">
      <w:pPr>
        <w:pStyle w:val="AERHeading3"/>
      </w:pPr>
      <w:r w:rsidRPr="005F3293">
        <w:t xml:space="preserve">Queensland </w:t>
      </w:r>
      <w:r>
        <w:t xml:space="preserve">- </w:t>
      </w:r>
      <w:r w:rsidRPr="0031019A">
        <w:t>Monday, 1</w:t>
      </w:r>
      <w:r w:rsidR="006777D7">
        <w:t>9</w:t>
      </w:r>
      <w:r w:rsidRPr="0031019A">
        <w:t xml:space="preserve"> January</w:t>
      </w:r>
    </w:p>
    <w:p w:rsidR="006777D7" w:rsidRPr="0031019A" w:rsidRDefault="006777D7" w:rsidP="006777D7">
      <w:pPr>
        <w:pStyle w:val="Caption"/>
      </w:pPr>
      <w:r>
        <w:t xml:space="preserve">Table </w:t>
      </w:r>
      <w:r w:rsidR="003422A3">
        <w:fldChar w:fldCharType="begin"/>
      </w:r>
      <w:r w:rsidR="003422A3">
        <w:instrText xml:space="preserve"> SEQ Table \* ARABIC </w:instrText>
      </w:r>
      <w:r w:rsidR="003422A3">
        <w:fldChar w:fldCharType="separate"/>
      </w:r>
      <w:r w:rsidR="00384A55">
        <w:rPr>
          <w:noProof/>
        </w:rPr>
        <w:t>7</w:t>
      </w:r>
      <w:r w:rsidR="003422A3">
        <w:rPr>
          <w:noProof/>
        </w:rPr>
        <w:fldChar w:fldCharType="end"/>
      </w:r>
      <w:r>
        <w:t>:</w:t>
      </w:r>
      <w:r w:rsidRPr="005F3293">
        <w:t xml:space="preserve"> Price, Demand and Availability </w:t>
      </w:r>
      <w:r>
        <w:t>between 7p</w:t>
      </w:r>
      <w:r w:rsidRPr="005F3293">
        <w:t xml:space="preserve">m </w:t>
      </w:r>
      <w:r>
        <w:t>and 8pm</w:t>
      </w:r>
    </w:p>
    <w:tbl>
      <w:tblPr>
        <w:tblStyle w:val="AERTable-Text"/>
        <w:tblW w:w="9090" w:type="dxa"/>
        <w:tblLayout w:type="fixed"/>
        <w:tblLook w:val="04A0" w:firstRow="1" w:lastRow="0" w:firstColumn="1" w:lastColumn="0" w:noHBand="0" w:noVBand="1"/>
      </w:tblPr>
      <w:tblGrid>
        <w:gridCol w:w="959"/>
        <w:gridCol w:w="992"/>
        <w:gridCol w:w="851"/>
        <w:gridCol w:w="852"/>
        <w:gridCol w:w="792"/>
        <w:gridCol w:w="963"/>
        <w:gridCol w:w="963"/>
        <w:gridCol w:w="792"/>
        <w:gridCol w:w="963"/>
        <w:gridCol w:w="963"/>
      </w:tblGrid>
      <w:tr w:rsidR="006777D7" w:rsidRPr="003878B2" w:rsidTr="006777D7">
        <w:trPr>
          <w:cnfStyle w:val="100000000000" w:firstRow="1" w:lastRow="0" w:firstColumn="0" w:lastColumn="0" w:oddVBand="0" w:evenVBand="0" w:oddHBand="0" w:evenHBand="0" w:firstRowFirstColumn="0" w:firstRowLastColumn="0" w:lastRowFirstColumn="0" w:lastRowLastColumn="0"/>
          <w:tblHeader/>
        </w:trPr>
        <w:tc>
          <w:tcPr>
            <w:tcW w:w="959" w:type="dxa"/>
            <w:hideMark/>
          </w:tcPr>
          <w:p w:rsidR="006777D7" w:rsidRPr="0031019A" w:rsidRDefault="006777D7" w:rsidP="00E7472E">
            <w:pPr>
              <w:pStyle w:val="TableHeading"/>
            </w:pPr>
            <w:r w:rsidRPr="0031019A">
              <w:t>Time</w:t>
            </w:r>
          </w:p>
        </w:tc>
        <w:tc>
          <w:tcPr>
            <w:tcW w:w="2695" w:type="dxa"/>
            <w:gridSpan w:val="3"/>
            <w:hideMark/>
          </w:tcPr>
          <w:p w:rsidR="006777D7" w:rsidRPr="0031019A" w:rsidRDefault="006777D7" w:rsidP="00E7472E">
            <w:pPr>
              <w:pStyle w:val="TableHeading"/>
            </w:pPr>
            <w:r w:rsidRPr="0031019A">
              <w:t>Price ($/MWh)</w:t>
            </w:r>
          </w:p>
        </w:tc>
        <w:tc>
          <w:tcPr>
            <w:tcW w:w="2718" w:type="dxa"/>
            <w:gridSpan w:val="3"/>
            <w:hideMark/>
          </w:tcPr>
          <w:p w:rsidR="006777D7" w:rsidRPr="0031019A" w:rsidRDefault="006777D7" w:rsidP="00E7472E">
            <w:pPr>
              <w:pStyle w:val="TableHeading"/>
            </w:pPr>
            <w:r w:rsidRPr="0031019A">
              <w:t>Demand (MW)</w:t>
            </w:r>
          </w:p>
        </w:tc>
        <w:tc>
          <w:tcPr>
            <w:tcW w:w="2718" w:type="dxa"/>
            <w:gridSpan w:val="3"/>
            <w:hideMark/>
          </w:tcPr>
          <w:p w:rsidR="006777D7" w:rsidRPr="0031019A" w:rsidRDefault="006777D7" w:rsidP="00E7472E">
            <w:pPr>
              <w:pStyle w:val="TableHeading"/>
            </w:pPr>
            <w:r w:rsidRPr="0031019A">
              <w:t>Availability (MW)</w:t>
            </w:r>
          </w:p>
        </w:tc>
      </w:tr>
      <w:tr w:rsidR="006777D7" w:rsidRPr="003878B2" w:rsidTr="006777D7">
        <w:trPr>
          <w:cnfStyle w:val="100000000000" w:firstRow="1" w:lastRow="0" w:firstColumn="0" w:lastColumn="0" w:oddVBand="0" w:evenVBand="0" w:oddHBand="0" w:evenHBand="0" w:firstRowFirstColumn="0" w:firstRowLastColumn="0" w:lastRowFirstColumn="0" w:lastRowLastColumn="0"/>
          <w:tblHeader/>
        </w:trPr>
        <w:tc>
          <w:tcPr>
            <w:tcW w:w="959" w:type="dxa"/>
            <w:hideMark/>
          </w:tcPr>
          <w:p w:rsidR="006777D7" w:rsidRPr="0031019A" w:rsidRDefault="006777D7" w:rsidP="00861AED">
            <w:pPr>
              <w:pStyle w:val="tableheadingline2"/>
            </w:pPr>
            <w:r w:rsidRPr="0031019A">
              <w:t> </w:t>
            </w:r>
          </w:p>
        </w:tc>
        <w:tc>
          <w:tcPr>
            <w:tcW w:w="992" w:type="dxa"/>
            <w:hideMark/>
          </w:tcPr>
          <w:p w:rsidR="006777D7" w:rsidRPr="0031019A" w:rsidRDefault="006777D7" w:rsidP="00861AED">
            <w:pPr>
              <w:pStyle w:val="tableheadingline2"/>
            </w:pPr>
            <w:r w:rsidRPr="0031019A">
              <w:t>Actual</w:t>
            </w:r>
          </w:p>
        </w:tc>
        <w:tc>
          <w:tcPr>
            <w:tcW w:w="851" w:type="dxa"/>
            <w:hideMark/>
          </w:tcPr>
          <w:p w:rsidR="006777D7" w:rsidRPr="0031019A" w:rsidRDefault="006777D7" w:rsidP="00861AED">
            <w:pPr>
              <w:pStyle w:val="tableheadingline2"/>
            </w:pPr>
            <w:r w:rsidRPr="0031019A">
              <w:t>4 hr forecast</w:t>
            </w:r>
          </w:p>
        </w:tc>
        <w:tc>
          <w:tcPr>
            <w:tcW w:w="852" w:type="dxa"/>
            <w:hideMark/>
          </w:tcPr>
          <w:p w:rsidR="006777D7" w:rsidRPr="0031019A" w:rsidRDefault="006777D7" w:rsidP="00861AED">
            <w:pPr>
              <w:pStyle w:val="tableheadingline2"/>
            </w:pPr>
            <w:r w:rsidRPr="0031019A">
              <w:t>12 hr forecast</w:t>
            </w:r>
          </w:p>
        </w:tc>
        <w:tc>
          <w:tcPr>
            <w:tcW w:w="792" w:type="dxa"/>
            <w:hideMark/>
          </w:tcPr>
          <w:p w:rsidR="006777D7" w:rsidRPr="0031019A" w:rsidRDefault="006777D7" w:rsidP="00861AED">
            <w:pPr>
              <w:pStyle w:val="tableheadingline2"/>
            </w:pPr>
            <w:r w:rsidRPr="0031019A">
              <w:t>Actual</w:t>
            </w:r>
          </w:p>
        </w:tc>
        <w:tc>
          <w:tcPr>
            <w:tcW w:w="963" w:type="dxa"/>
            <w:hideMark/>
          </w:tcPr>
          <w:p w:rsidR="006777D7" w:rsidRPr="0031019A" w:rsidRDefault="006777D7" w:rsidP="00861AED">
            <w:pPr>
              <w:pStyle w:val="tableheadingline2"/>
            </w:pPr>
            <w:r w:rsidRPr="0031019A">
              <w:t>4 hr forecast</w:t>
            </w:r>
          </w:p>
        </w:tc>
        <w:tc>
          <w:tcPr>
            <w:tcW w:w="963" w:type="dxa"/>
            <w:hideMark/>
          </w:tcPr>
          <w:p w:rsidR="006777D7" w:rsidRPr="0031019A" w:rsidRDefault="006777D7" w:rsidP="00861AED">
            <w:pPr>
              <w:pStyle w:val="tableheadingline2"/>
            </w:pPr>
            <w:r w:rsidRPr="0031019A">
              <w:t>12 hr forecast</w:t>
            </w:r>
          </w:p>
        </w:tc>
        <w:tc>
          <w:tcPr>
            <w:tcW w:w="792" w:type="dxa"/>
            <w:hideMark/>
          </w:tcPr>
          <w:p w:rsidR="006777D7" w:rsidRPr="0031019A" w:rsidRDefault="006777D7" w:rsidP="00861AED">
            <w:pPr>
              <w:pStyle w:val="tableheadingline2"/>
            </w:pPr>
            <w:r w:rsidRPr="0031019A">
              <w:t>Actual</w:t>
            </w:r>
          </w:p>
        </w:tc>
        <w:tc>
          <w:tcPr>
            <w:tcW w:w="963" w:type="dxa"/>
            <w:hideMark/>
          </w:tcPr>
          <w:p w:rsidR="006777D7" w:rsidRPr="0031019A" w:rsidRDefault="006777D7" w:rsidP="00861AED">
            <w:pPr>
              <w:pStyle w:val="tableheadingline2"/>
            </w:pPr>
            <w:r w:rsidRPr="0031019A">
              <w:t>4 hr forecast</w:t>
            </w:r>
          </w:p>
        </w:tc>
        <w:tc>
          <w:tcPr>
            <w:tcW w:w="963" w:type="dxa"/>
            <w:hideMark/>
          </w:tcPr>
          <w:p w:rsidR="006777D7" w:rsidRPr="0031019A" w:rsidRDefault="006777D7" w:rsidP="00861AED">
            <w:pPr>
              <w:pStyle w:val="tableheadingline2"/>
            </w:pPr>
            <w:r w:rsidRPr="0031019A">
              <w:t>12 hr forecast</w:t>
            </w:r>
          </w:p>
        </w:tc>
      </w:tr>
      <w:tr w:rsidR="006777D7" w:rsidRPr="003878B2" w:rsidTr="006777D7">
        <w:trPr>
          <w:trHeight w:val="510"/>
        </w:trPr>
        <w:tc>
          <w:tcPr>
            <w:tcW w:w="959"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b/>
                <w:bCs/>
                <w:sz w:val="18"/>
                <w:szCs w:val="18"/>
              </w:rPr>
              <w:t>8:30 AM</w:t>
            </w:r>
          </w:p>
        </w:tc>
        <w:tc>
          <w:tcPr>
            <w:tcW w:w="99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2367.16</w:t>
            </w:r>
          </w:p>
        </w:tc>
        <w:tc>
          <w:tcPr>
            <w:tcW w:w="851"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95.60</w:t>
            </w:r>
          </w:p>
        </w:tc>
        <w:tc>
          <w:tcPr>
            <w:tcW w:w="85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42.49</w:t>
            </w:r>
          </w:p>
        </w:tc>
        <w:tc>
          <w:tcPr>
            <w:tcW w:w="79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7498</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7361</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7281</w:t>
            </w:r>
          </w:p>
        </w:tc>
        <w:tc>
          <w:tcPr>
            <w:tcW w:w="79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9973</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10 099</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10 174</w:t>
            </w:r>
          </w:p>
        </w:tc>
      </w:tr>
      <w:tr w:rsidR="006777D7" w:rsidRPr="003878B2" w:rsidTr="006777D7">
        <w:trPr>
          <w:cnfStyle w:val="000000010000" w:firstRow="0" w:lastRow="0" w:firstColumn="0" w:lastColumn="0" w:oddVBand="0" w:evenVBand="0" w:oddHBand="0" w:evenHBand="1" w:firstRowFirstColumn="0" w:firstRowLastColumn="0" w:lastRowFirstColumn="0" w:lastRowLastColumn="0"/>
          <w:trHeight w:val="510"/>
        </w:trPr>
        <w:tc>
          <w:tcPr>
            <w:tcW w:w="959"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b/>
                <w:bCs/>
                <w:sz w:val="18"/>
                <w:szCs w:val="18"/>
              </w:rPr>
              <w:t>9:30 AM</w:t>
            </w:r>
          </w:p>
        </w:tc>
        <w:tc>
          <w:tcPr>
            <w:tcW w:w="99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553.25</w:t>
            </w:r>
          </w:p>
        </w:tc>
        <w:tc>
          <w:tcPr>
            <w:tcW w:w="851"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211.00</w:t>
            </w:r>
          </w:p>
        </w:tc>
        <w:tc>
          <w:tcPr>
            <w:tcW w:w="85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199.49</w:t>
            </w:r>
          </w:p>
        </w:tc>
        <w:tc>
          <w:tcPr>
            <w:tcW w:w="79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7638</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7624</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7498</w:t>
            </w:r>
          </w:p>
        </w:tc>
        <w:tc>
          <w:tcPr>
            <w:tcW w:w="79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9664</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9984</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10 060</w:t>
            </w:r>
          </w:p>
        </w:tc>
      </w:tr>
      <w:tr w:rsidR="006777D7" w:rsidRPr="003878B2" w:rsidTr="006777D7">
        <w:trPr>
          <w:trHeight w:val="510"/>
        </w:trPr>
        <w:tc>
          <w:tcPr>
            <w:tcW w:w="959"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b/>
                <w:bCs/>
                <w:sz w:val="18"/>
                <w:szCs w:val="18"/>
              </w:rPr>
              <w:t>1:00 PM</w:t>
            </w:r>
          </w:p>
        </w:tc>
        <w:tc>
          <w:tcPr>
            <w:tcW w:w="99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468.30</w:t>
            </w:r>
          </w:p>
        </w:tc>
        <w:tc>
          <w:tcPr>
            <w:tcW w:w="851"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300.45</w:t>
            </w:r>
          </w:p>
        </w:tc>
        <w:tc>
          <w:tcPr>
            <w:tcW w:w="85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300.45</w:t>
            </w:r>
          </w:p>
        </w:tc>
        <w:tc>
          <w:tcPr>
            <w:tcW w:w="79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8127</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8041</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8000</w:t>
            </w:r>
          </w:p>
        </w:tc>
        <w:tc>
          <w:tcPr>
            <w:tcW w:w="792"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9883</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10 133</w:t>
            </w:r>
          </w:p>
        </w:tc>
        <w:tc>
          <w:tcPr>
            <w:tcW w:w="963" w:type="dxa"/>
            <w:vAlign w:val="center"/>
            <w:hideMark/>
          </w:tcPr>
          <w:p w:rsidR="006777D7" w:rsidRPr="006777D7" w:rsidRDefault="006777D7">
            <w:pPr>
              <w:pStyle w:val="NormalWeb"/>
              <w:jc w:val="center"/>
              <w:rPr>
                <w:rFonts w:asciiTheme="minorHAnsi" w:hAnsiTheme="minorHAnsi" w:cstheme="minorHAnsi"/>
                <w:sz w:val="18"/>
                <w:szCs w:val="18"/>
              </w:rPr>
            </w:pPr>
            <w:r w:rsidRPr="006777D7">
              <w:rPr>
                <w:rFonts w:asciiTheme="minorHAnsi" w:hAnsiTheme="minorHAnsi" w:cstheme="minorHAnsi"/>
                <w:sz w:val="18"/>
                <w:szCs w:val="18"/>
              </w:rPr>
              <w:t>10 275</w:t>
            </w:r>
          </w:p>
        </w:tc>
      </w:tr>
    </w:tbl>
    <w:p w:rsidR="00E00EC9" w:rsidRDefault="00E00EC9" w:rsidP="00E00EC9">
      <w:r>
        <w:t>Conditions at the time saw demand close to that forecast. Available capacity was up to 320 MW below that forecast.</w:t>
      </w:r>
    </w:p>
    <w:p w:rsidR="00275002" w:rsidRDefault="00275002" w:rsidP="000E2946">
      <w:pPr>
        <w:pStyle w:val="Caption"/>
      </w:pPr>
      <w:r>
        <w:t xml:space="preserve">Table </w:t>
      </w:r>
      <w:r w:rsidR="003422A3">
        <w:fldChar w:fldCharType="begin"/>
      </w:r>
      <w:r w:rsidR="003422A3">
        <w:instrText xml:space="preserve"> SEQ Table \* ARABIC </w:instrText>
      </w:r>
      <w:r w:rsidR="003422A3">
        <w:fldChar w:fldCharType="separate"/>
      </w:r>
      <w:r w:rsidR="00384A55">
        <w:rPr>
          <w:noProof/>
        </w:rPr>
        <w:t>8</w:t>
      </w:r>
      <w:r w:rsidR="003422A3">
        <w:rPr>
          <w:noProof/>
        </w:rPr>
        <w:fldChar w:fldCharType="end"/>
      </w:r>
      <w:r>
        <w:t xml:space="preserve"> : Rebids for </w:t>
      </w:r>
      <w:r w:rsidR="00861AED">
        <w:t>8.30 </w:t>
      </w:r>
      <w:r>
        <w:t>am</w:t>
      </w:r>
    </w:p>
    <w:tbl>
      <w:tblPr>
        <w:tblStyle w:val="AERsummarytable"/>
        <w:tblW w:w="9705" w:type="dxa"/>
        <w:tblLook w:val="04A0" w:firstRow="1" w:lastRow="0" w:firstColumn="1" w:lastColumn="0" w:noHBand="0" w:noVBand="1"/>
      </w:tblPr>
      <w:tblGrid>
        <w:gridCol w:w="817"/>
        <w:gridCol w:w="851"/>
        <w:gridCol w:w="1275"/>
        <w:gridCol w:w="1134"/>
        <w:gridCol w:w="993"/>
        <w:gridCol w:w="1116"/>
        <w:gridCol w:w="1010"/>
        <w:gridCol w:w="2509"/>
      </w:tblGrid>
      <w:tr w:rsidR="005F6ADE" w:rsidRPr="00914A87" w:rsidTr="00384A55">
        <w:trPr>
          <w:cnfStyle w:val="100000000000" w:firstRow="1" w:lastRow="0" w:firstColumn="0" w:lastColumn="0" w:oddVBand="0" w:evenVBand="0" w:oddHBand="0" w:evenHBand="0" w:firstRowFirstColumn="0" w:firstRowLastColumn="0" w:lastRowFirstColumn="0" w:lastRowLastColumn="0"/>
          <w:trHeight w:val="780"/>
        </w:trPr>
        <w:tc>
          <w:tcPr>
            <w:tcW w:w="817" w:type="dxa"/>
            <w:hideMark/>
          </w:tcPr>
          <w:p w:rsidR="00275002" w:rsidRPr="00914A87" w:rsidRDefault="00275002" w:rsidP="005F6ADE">
            <w:pPr>
              <w:pStyle w:val="TableHeading"/>
            </w:pPr>
            <w:r w:rsidRPr="00914A87">
              <w:t xml:space="preserve">Time </w:t>
            </w:r>
            <w:r w:rsidR="005F6ADE">
              <w:t>in</w:t>
            </w:r>
          </w:p>
        </w:tc>
        <w:tc>
          <w:tcPr>
            <w:tcW w:w="851" w:type="dxa"/>
            <w:hideMark/>
          </w:tcPr>
          <w:p w:rsidR="00275002" w:rsidRPr="00914A87" w:rsidRDefault="00275002" w:rsidP="005F6ADE">
            <w:pPr>
              <w:pStyle w:val="TableHeading"/>
              <w:ind w:left="-108"/>
            </w:pPr>
            <w:r w:rsidRPr="00914A87">
              <w:t>Time effective</w:t>
            </w:r>
          </w:p>
        </w:tc>
        <w:tc>
          <w:tcPr>
            <w:tcW w:w="1275" w:type="dxa"/>
            <w:hideMark/>
          </w:tcPr>
          <w:p w:rsidR="00275002" w:rsidRPr="00914A87" w:rsidRDefault="00275002" w:rsidP="00957591">
            <w:pPr>
              <w:pStyle w:val="TableHeading"/>
            </w:pPr>
            <w:r w:rsidRPr="00914A87">
              <w:t>Participant</w:t>
            </w:r>
          </w:p>
        </w:tc>
        <w:tc>
          <w:tcPr>
            <w:tcW w:w="1134" w:type="dxa"/>
            <w:hideMark/>
          </w:tcPr>
          <w:p w:rsidR="00275002" w:rsidRPr="00914A87" w:rsidRDefault="00275002" w:rsidP="00957591">
            <w:pPr>
              <w:pStyle w:val="TableHeading"/>
            </w:pPr>
            <w:r w:rsidRPr="00914A87">
              <w:t>Station</w:t>
            </w:r>
          </w:p>
        </w:tc>
        <w:tc>
          <w:tcPr>
            <w:tcW w:w="993" w:type="dxa"/>
            <w:hideMark/>
          </w:tcPr>
          <w:p w:rsidR="00275002" w:rsidRPr="00914A87" w:rsidRDefault="00275002" w:rsidP="00957591">
            <w:pPr>
              <w:pStyle w:val="TableHeading"/>
            </w:pPr>
            <w:r w:rsidRPr="00914A87">
              <w:t>Capacity rebid (MW)</w:t>
            </w:r>
          </w:p>
        </w:tc>
        <w:tc>
          <w:tcPr>
            <w:tcW w:w="1116" w:type="dxa"/>
            <w:hideMark/>
          </w:tcPr>
          <w:p w:rsidR="00275002" w:rsidRPr="00914A87" w:rsidRDefault="00275002" w:rsidP="00957591">
            <w:pPr>
              <w:pStyle w:val="TableHeading"/>
            </w:pPr>
            <w:r w:rsidRPr="00914A87">
              <w:t>Price from ($/MWh)</w:t>
            </w:r>
          </w:p>
        </w:tc>
        <w:tc>
          <w:tcPr>
            <w:tcW w:w="1010" w:type="dxa"/>
            <w:hideMark/>
          </w:tcPr>
          <w:p w:rsidR="00275002" w:rsidRPr="00914A87" w:rsidRDefault="00275002" w:rsidP="00957591">
            <w:pPr>
              <w:pStyle w:val="TableHeading"/>
            </w:pPr>
            <w:r w:rsidRPr="00914A87">
              <w:t>Price to ($/MWh)</w:t>
            </w:r>
          </w:p>
        </w:tc>
        <w:tc>
          <w:tcPr>
            <w:tcW w:w="2509" w:type="dxa"/>
            <w:hideMark/>
          </w:tcPr>
          <w:p w:rsidR="00275002" w:rsidRPr="00914A87" w:rsidRDefault="00275002" w:rsidP="00957591">
            <w:pPr>
              <w:pStyle w:val="TableHeading"/>
            </w:pPr>
            <w:r w:rsidRPr="00914A87">
              <w:t>Rebid reason</w:t>
            </w:r>
          </w:p>
        </w:tc>
      </w:tr>
      <w:tr w:rsidR="00275002" w:rsidRPr="00F729EF" w:rsidTr="00384A55">
        <w:trPr>
          <w:cnfStyle w:val="000000100000" w:firstRow="0" w:lastRow="0" w:firstColumn="0" w:lastColumn="0" w:oddVBand="0" w:evenVBand="0" w:oddHBand="1" w:evenHBand="0" w:firstRowFirstColumn="0" w:firstRowLastColumn="0" w:lastRowFirstColumn="0" w:lastRowLastColumn="0"/>
          <w:trHeight w:val="606"/>
        </w:trPr>
        <w:tc>
          <w:tcPr>
            <w:tcW w:w="817" w:type="dxa"/>
          </w:tcPr>
          <w:p w:rsidR="00275002" w:rsidRPr="0031019A" w:rsidRDefault="00275002" w:rsidP="00384A55">
            <w:pPr>
              <w:pStyle w:val="Tabletext"/>
              <w:ind w:left="-84" w:right="-55"/>
            </w:pPr>
            <w:r w:rsidRPr="0031019A">
              <w:t>6.</w:t>
            </w:r>
            <w:r w:rsidR="00384A55">
              <w:t>58</w:t>
            </w:r>
            <w:r w:rsidRPr="0031019A">
              <w:t xml:space="preserve"> am </w:t>
            </w:r>
          </w:p>
        </w:tc>
        <w:tc>
          <w:tcPr>
            <w:tcW w:w="851" w:type="dxa"/>
          </w:tcPr>
          <w:p w:rsidR="00275002" w:rsidRPr="0031019A" w:rsidRDefault="001E01B4" w:rsidP="005F6ADE">
            <w:pPr>
              <w:pStyle w:val="Tabletext"/>
              <w:ind w:left="-84" w:right="-55"/>
            </w:pPr>
            <w:r>
              <w:t>7.05 am</w:t>
            </w:r>
          </w:p>
        </w:tc>
        <w:tc>
          <w:tcPr>
            <w:tcW w:w="1275" w:type="dxa"/>
          </w:tcPr>
          <w:p w:rsidR="00275002" w:rsidRPr="0031019A" w:rsidRDefault="00861AED" w:rsidP="005F6ADE">
            <w:pPr>
              <w:pStyle w:val="Tabletext"/>
              <w:ind w:left="-84" w:right="-55"/>
            </w:pPr>
            <w:r>
              <w:t>Millmerran Energy Trader</w:t>
            </w:r>
            <w:r w:rsidR="00275002" w:rsidRPr="0031019A">
              <w:t xml:space="preserve"> </w:t>
            </w:r>
          </w:p>
        </w:tc>
        <w:tc>
          <w:tcPr>
            <w:tcW w:w="1134" w:type="dxa"/>
          </w:tcPr>
          <w:p w:rsidR="00275002" w:rsidRPr="0031019A" w:rsidRDefault="00861AED" w:rsidP="005F6ADE">
            <w:pPr>
              <w:pStyle w:val="Tabletext"/>
              <w:ind w:left="-84" w:right="-55"/>
            </w:pPr>
            <w:r>
              <w:t>Millerran</w:t>
            </w:r>
          </w:p>
        </w:tc>
        <w:tc>
          <w:tcPr>
            <w:tcW w:w="993" w:type="dxa"/>
          </w:tcPr>
          <w:p w:rsidR="00275002" w:rsidRPr="0031019A" w:rsidRDefault="00861AED" w:rsidP="005F6ADE">
            <w:pPr>
              <w:pStyle w:val="Tabletext"/>
              <w:ind w:left="-84" w:right="-55"/>
            </w:pPr>
            <w:r>
              <w:t>55</w:t>
            </w:r>
          </w:p>
        </w:tc>
        <w:tc>
          <w:tcPr>
            <w:tcW w:w="1116" w:type="dxa"/>
          </w:tcPr>
          <w:p w:rsidR="00275002" w:rsidRPr="0031019A" w:rsidRDefault="00861AED" w:rsidP="005F6ADE">
            <w:pPr>
              <w:pStyle w:val="Tabletext"/>
              <w:ind w:left="-84" w:right="-55"/>
            </w:pPr>
            <w:r>
              <w:t>7</w:t>
            </w:r>
          </w:p>
        </w:tc>
        <w:tc>
          <w:tcPr>
            <w:tcW w:w="1010" w:type="dxa"/>
          </w:tcPr>
          <w:p w:rsidR="00275002" w:rsidRPr="0031019A" w:rsidRDefault="00861AED" w:rsidP="005F6ADE">
            <w:pPr>
              <w:pStyle w:val="Tabletext"/>
              <w:ind w:left="-84" w:right="-55"/>
            </w:pPr>
            <w:r>
              <w:t>13 500</w:t>
            </w:r>
          </w:p>
        </w:tc>
        <w:tc>
          <w:tcPr>
            <w:tcW w:w="2509" w:type="dxa"/>
          </w:tcPr>
          <w:p w:rsidR="00275002" w:rsidRPr="0031019A" w:rsidRDefault="00861AED" w:rsidP="005F6ADE">
            <w:pPr>
              <w:pStyle w:val="Tabletext"/>
              <w:ind w:left="-84" w:right="-55"/>
              <w:rPr>
                <w:rFonts w:eastAsia="Calibri"/>
              </w:rPr>
            </w:pPr>
            <w:r w:rsidRPr="00861AED">
              <w:t>06:55 A change in 5min PD QNI flow - SL</w:t>
            </w:r>
          </w:p>
        </w:tc>
      </w:tr>
      <w:tr w:rsidR="005F6ADE" w:rsidRPr="00F729EF" w:rsidTr="00384A55">
        <w:trPr>
          <w:cnfStyle w:val="000000010000" w:firstRow="0" w:lastRow="0" w:firstColumn="0" w:lastColumn="0" w:oddVBand="0" w:evenVBand="0" w:oddHBand="0" w:evenHBand="1" w:firstRowFirstColumn="0" w:firstRowLastColumn="0" w:lastRowFirstColumn="0" w:lastRowLastColumn="0"/>
          <w:trHeight w:val="673"/>
        </w:trPr>
        <w:tc>
          <w:tcPr>
            <w:tcW w:w="817" w:type="dxa"/>
          </w:tcPr>
          <w:p w:rsidR="00275002" w:rsidRPr="0031019A" w:rsidRDefault="00861AED" w:rsidP="00861AED">
            <w:pPr>
              <w:pStyle w:val="Tabletext"/>
              <w:ind w:left="-84" w:right="-55"/>
            </w:pPr>
            <w:r>
              <w:t>8.11</w:t>
            </w:r>
            <w:r w:rsidR="00275002" w:rsidRPr="0031019A">
              <w:t xml:space="preserve"> am</w:t>
            </w:r>
          </w:p>
        </w:tc>
        <w:tc>
          <w:tcPr>
            <w:tcW w:w="851" w:type="dxa"/>
          </w:tcPr>
          <w:p w:rsidR="00275002" w:rsidRPr="0031019A" w:rsidRDefault="00861AED" w:rsidP="005F6ADE">
            <w:pPr>
              <w:pStyle w:val="Tabletext"/>
              <w:ind w:left="-84" w:right="-55"/>
            </w:pPr>
            <w:r>
              <w:t>8.20 am</w:t>
            </w:r>
          </w:p>
        </w:tc>
        <w:tc>
          <w:tcPr>
            <w:tcW w:w="1275" w:type="dxa"/>
          </w:tcPr>
          <w:p w:rsidR="00275002" w:rsidRPr="0031019A" w:rsidRDefault="00861AED" w:rsidP="005F6ADE">
            <w:pPr>
              <w:pStyle w:val="Tabletext"/>
              <w:ind w:left="-84" w:right="-55"/>
            </w:pPr>
            <w:r>
              <w:t>CS Energy</w:t>
            </w:r>
            <w:r w:rsidR="00275002" w:rsidRPr="0031019A">
              <w:t xml:space="preserve"> </w:t>
            </w:r>
          </w:p>
        </w:tc>
        <w:tc>
          <w:tcPr>
            <w:tcW w:w="1134" w:type="dxa"/>
          </w:tcPr>
          <w:p w:rsidR="00275002" w:rsidRPr="0031019A" w:rsidRDefault="00861AED" w:rsidP="005F6ADE">
            <w:pPr>
              <w:pStyle w:val="Tabletext"/>
              <w:ind w:left="-84" w:right="-55"/>
            </w:pPr>
            <w:r>
              <w:t>Gladstone</w:t>
            </w:r>
          </w:p>
        </w:tc>
        <w:tc>
          <w:tcPr>
            <w:tcW w:w="993" w:type="dxa"/>
          </w:tcPr>
          <w:p w:rsidR="00275002" w:rsidRPr="0031019A" w:rsidRDefault="00861AED" w:rsidP="005F6ADE">
            <w:pPr>
              <w:pStyle w:val="Tabletext"/>
              <w:ind w:left="-84" w:right="-55"/>
            </w:pPr>
            <w:r>
              <w:t>120</w:t>
            </w:r>
          </w:p>
        </w:tc>
        <w:tc>
          <w:tcPr>
            <w:tcW w:w="1116" w:type="dxa"/>
          </w:tcPr>
          <w:p w:rsidR="00275002" w:rsidRPr="0031019A" w:rsidRDefault="00861AED" w:rsidP="005F6ADE">
            <w:pPr>
              <w:pStyle w:val="Tabletext"/>
              <w:ind w:left="-84" w:right="-55"/>
            </w:pPr>
            <w:r>
              <w:t>93</w:t>
            </w:r>
          </w:p>
        </w:tc>
        <w:tc>
          <w:tcPr>
            <w:tcW w:w="1010" w:type="dxa"/>
          </w:tcPr>
          <w:p w:rsidR="00275002" w:rsidRPr="0031019A" w:rsidRDefault="00861AED" w:rsidP="005F6ADE">
            <w:pPr>
              <w:pStyle w:val="Tabletext"/>
              <w:ind w:left="-84" w:right="-55"/>
            </w:pPr>
            <w:r>
              <w:t>13 500</w:t>
            </w:r>
          </w:p>
        </w:tc>
        <w:tc>
          <w:tcPr>
            <w:tcW w:w="2509" w:type="dxa"/>
          </w:tcPr>
          <w:p w:rsidR="00275002" w:rsidRPr="0031019A" w:rsidRDefault="00861AED" w:rsidP="005F6ADE">
            <w:pPr>
              <w:pStyle w:val="Tabletext"/>
              <w:ind w:left="-84" w:right="-55"/>
              <w:rPr>
                <w:rFonts w:eastAsia="Calibri"/>
              </w:rPr>
            </w:pPr>
            <w:r w:rsidRPr="00861AED">
              <w:t>0811A dispatch price higher than 30min forecast-SL</w:t>
            </w:r>
          </w:p>
        </w:tc>
      </w:tr>
      <w:tr w:rsidR="00275002" w:rsidRPr="00F729EF" w:rsidTr="00384A55">
        <w:trPr>
          <w:cnfStyle w:val="000000100000" w:firstRow="0" w:lastRow="0" w:firstColumn="0" w:lastColumn="0" w:oddVBand="0" w:evenVBand="0" w:oddHBand="1" w:evenHBand="0" w:firstRowFirstColumn="0" w:firstRowLastColumn="0" w:lastRowFirstColumn="0" w:lastRowLastColumn="0"/>
          <w:trHeight w:val="673"/>
        </w:trPr>
        <w:tc>
          <w:tcPr>
            <w:tcW w:w="817" w:type="dxa"/>
          </w:tcPr>
          <w:p w:rsidR="00275002" w:rsidRPr="0031019A" w:rsidRDefault="00861AED" w:rsidP="005F6ADE">
            <w:pPr>
              <w:pStyle w:val="Tabletext"/>
              <w:ind w:left="-84" w:right="-55"/>
            </w:pPr>
            <w:r>
              <w:t>8.15</w:t>
            </w:r>
            <w:r w:rsidR="00275002" w:rsidRPr="0031019A">
              <w:t xml:space="preserve"> am </w:t>
            </w:r>
          </w:p>
        </w:tc>
        <w:tc>
          <w:tcPr>
            <w:tcW w:w="851" w:type="dxa"/>
          </w:tcPr>
          <w:p w:rsidR="00275002" w:rsidRPr="0031019A" w:rsidRDefault="00861AED" w:rsidP="005F6ADE">
            <w:pPr>
              <w:pStyle w:val="Tabletext"/>
              <w:ind w:left="-84" w:right="-55"/>
            </w:pPr>
            <w:r>
              <w:t>8.25 am</w:t>
            </w:r>
          </w:p>
        </w:tc>
        <w:tc>
          <w:tcPr>
            <w:tcW w:w="1275" w:type="dxa"/>
          </w:tcPr>
          <w:p w:rsidR="00275002" w:rsidRPr="0031019A" w:rsidRDefault="00861AED" w:rsidP="005F6ADE">
            <w:pPr>
              <w:pStyle w:val="Tabletext"/>
              <w:ind w:left="-84" w:right="-55"/>
            </w:pPr>
            <w:r>
              <w:t>Stanwell</w:t>
            </w:r>
            <w:r w:rsidR="00275002" w:rsidRPr="0031019A">
              <w:t xml:space="preserve"> </w:t>
            </w:r>
          </w:p>
        </w:tc>
        <w:tc>
          <w:tcPr>
            <w:tcW w:w="1134" w:type="dxa"/>
          </w:tcPr>
          <w:p w:rsidR="00275002" w:rsidRPr="0031019A" w:rsidRDefault="00861AED" w:rsidP="005F6ADE">
            <w:pPr>
              <w:pStyle w:val="Tabletext"/>
              <w:ind w:left="-84" w:right="-55"/>
            </w:pPr>
            <w:r>
              <w:t>Stanwell</w:t>
            </w:r>
            <w:r w:rsidR="00275002" w:rsidRPr="0031019A">
              <w:t xml:space="preserve"> </w:t>
            </w:r>
          </w:p>
        </w:tc>
        <w:tc>
          <w:tcPr>
            <w:tcW w:w="993" w:type="dxa"/>
          </w:tcPr>
          <w:p w:rsidR="00275002" w:rsidRPr="0031019A" w:rsidRDefault="00861AED" w:rsidP="005F6ADE">
            <w:pPr>
              <w:pStyle w:val="Tabletext"/>
              <w:ind w:left="-84" w:right="-55"/>
            </w:pPr>
            <w:r>
              <w:t>70</w:t>
            </w:r>
          </w:p>
        </w:tc>
        <w:tc>
          <w:tcPr>
            <w:tcW w:w="1116" w:type="dxa"/>
          </w:tcPr>
          <w:p w:rsidR="00275002" w:rsidRPr="0031019A" w:rsidRDefault="00861AED" w:rsidP="005F6ADE">
            <w:pPr>
              <w:pStyle w:val="Tabletext"/>
              <w:ind w:left="-84" w:right="-55"/>
            </w:pPr>
            <w:r>
              <w:t>26</w:t>
            </w:r>
          </w:p>
        </w:tc>
        <w:tc>
          <w:tcPr>
            <w:tcW w:w="1010" w:type="dxa"/>
          </w:tcPr>
          <w:p w:rsidR="00275002" w:rsidRPr="0031019A" w:rsidRDefault="00861AED" w:rsidP="005F6ADE">
            <w:pPr>
              <w:pStyle w:val="Tabletext"/>
              <w:ind w:left="-84" w:right="-55"/>
            </w:pPr>
            <w:r>
              <w:t>13 500</w:t>
            </w:r>
          </w:p>
        </w:tc>
        <w:tc>
          <w:tcPr>
            <w:tcW w:w="2509" w:type="dxa"/>
          </w:tcPr>
          <w:p w:rsidR="00275002" w:rsidRPr="0031019A" w:rsidRDefault="00861AED" w:rsidP="005F6ADE">
            <w:pPr>
              <w:pStyle w:val="Tabletext"/>
              <w:ind w:left="-84" w:right="-55"/>
              <w:rPr>
                <w:rFonts w:eastAsia="Calibri"/>
              </w:rPr>
            </w:pPr>
            <w:r w:rsidRPr="00F662F1">
              <w:t>0813A QLD 5</w:t>
            </w:r>
            <w:r w:rsidR="00F662F1" w:rsidRPr="00F662F1">
              <w:t>min</w:t>
            </w:r>
            <w:r w:rsidRPr="00F662F1">
              <w:t xml:space="preserve"> </w:t>
            </w:r>
            <w:r w:rsidR="00F662F1" w:rsidRPr="00F662F1">
              <w:t>demand above</w:t>
            </w:r>
            <w:r w:rsidRPr="00F662F1">
              <w:t xml:space="preserve"> 30</w:t>
            </w:r>
            <w:r w:rsidR="00F662F1" w:rsidRPr="00F662F1">
              <w:t>min</w:t>
            </w:r>
            <w:r w:rsidRPr="00F662F1">
              <w:t xml:space="preserve"> PD @ 0815</w:t>
            </w:r>
            <w:r w:rsidR="00F662F1" w:rsidRPr="00F662F1">
              <w:t>hrs</w:t>
            </w:r>
          </w:p>
        </w:tc>
      </w:tr>
      <w:tr w:rsidR="005F6ADE" w:rsidRPr="00F729EF" w:rsidTr="00384A55">
        <w:trPr>
          <w:cnfStyle w:val="000000010000" w:firstRow="0" w:lastRow="0" w:firstColumn="0" w:lastColumn="0" w:oddVBand="0" w:evenVBand="0" w:oddHBand="0" w:evenHBand="1" w:firstRowFirstColumn="0" w:firstRowLastColumn="0" w:lastRowFirstColumn="0" w:lastRowLastColumn="0"/>
          <w:trHeight w:val="673"/>
        </w:trPr>
        <w:tc>
          <w:tcPr>
            <w:tcW w:w="817" w:type="dxa"/>
          </w:tcPr>
          <w:p w:rsidR="00275002" w:rsidRPr="0031019A" w:rsidRDefault="00621545" w:rsidP="005F6ADE">
            <w:pPr>
              <w:pStyle w:val="Tabletext"/>
              <w:ind w:left="-84" w:right="-55"/>
            </w:pPr>
            <w:r>
              <w:t>8.16</w:t>
            </w:r>
            <w:r w:rsidR="00275002" w:rsidRPr="0031019A">
              <w:t xml:space="preserve"> am</w:t>
            </w:r>
          </w:p>
        </w:tc>
        <w:tc>
          <w:tcPr>
            <w:tcW w:w="851" w:type="dxa"/>
          </w:tcPr>
          <w:p w:rsidR="00275002" w:rsidRPr="0031019A" w:rsidRDefault="00621545" w:rsidP="005F6ADE">
            <w:pPr>
              <w:pStyle w:val="Tabletext"/>
              <w:ind w:left="-84" w:right="-55"/>
            </w:pPr>
            <w:r>
              <w:t>8.25 am</w:t>
            </w:r>
          </w:p>
        </w:tc>
        <w:tc>
          <w:tcPr>
            <w:tcW w:w="1275" w:type="dxa"/>
          </w:tcPr>
          <w:p w:rsidR="00275002" w:rsidRPr="0031019A" w:rsidRDefault="00621545" w:rsidP="005F6ADE">
            <w:pPr>
              <w:pStyle w:val="Tabletext"/>
              <w:ind w:left="-84" w:right="-55"/>
            </w:pPr>
            <w:r>
              <w:t>AGL</w:t>
            </w:r>
          </w:p>
        </w:tc>
        <w:tc>
          <w:tcPr>
            <w:tcW w:w="1134" w:type="dxa"/>
          </w:tcPr>
          <w:p w:rsidR="00275002" w:rsidRPr="0031019A" w:rsidRDefault="00621545" w:rsidP="005F6ADE">
            <w:pPr>
              <w:pStyle w:val="Tabletext"/>
              <w:ind w:left="-84" w:right="-55"/>
            </w:pPr>
            <w:r>
              <w:t>Oakey</w:t>
            </w:r>
          </w:p>
        </w:tc>
        <w:tc>
          <w:tcPr>
            <w:tcW w:w="993" w:type="dxa"/>
          </w:tcPr>
          <w:p w:rsidR="00275002" w:rsidRPr="0031019A" w:rsidRDefault="00621545" w:rsidP="005F6ADE">
            <w:pPr>
              <w:pStyle w:val="Tabletext"/>
              <w:ind w:left="-84" w:right="-55"/>
            </w:pPr>
            <w:r>
              <w:t>-171</w:t>
            </w:r>
          </w:p>
        </w:tc>
        <w:tc>
          <w:tcPr>
            <w:tcW w:w="1116" w:type="dxa"/>
          </w:tcPr>
          <w:p w:rsidR="00275002" w:rsidRPr="0031019A" w:rsidRDefault="00621545" w:rsidP="005F6ADE">
            <w:pPr>
              <w:pStyle w:val="Tabletext"/>
              <w:ind w:left="-84" w:right="-55"/>
            </w:pPr>
            <w:r>
              <w:t>&lt;287</w:t>
            </w:r>
          </w:p>
        </w:tc>
        <w:tc>
          <w:tcPr>
            <w:tcW w:w="1010" w:type="dxa"/>
          </w:tcPr>
          <w:p w:rsidR="00275002" w:rsidRPr="0031019A" w:rsidRDefault="00621545" w:rsidP="005F6ADE">
            <w:pPr>
              <w:pStyle w:val="Tabletext"/>
              <w:ind w:left="-84" w:right="-55"/>
            </w:pPr>
            <w:r>
              <w:t>N/A</w:t>
            </w:r>
            <w:r w:rsidR="00275002" w:rsidRPr="0031019A">
              <w:t xml:space="preserve"> </w:t>
            </w:r>
          </w:p>
        </w:tc>
        <w:tc>
          <w:tcPr>
            <w:tcW w:w="2509" w:type="dxa"/>
          </w:tcPr>
          <w:p w:rsidR="00275002" w:rsidRPr="0031019A" w:rsidRDefault="00621545" w:rsidP="005F6ADE">
            <w:pPr>
              <w:pStyle w:val="Tabletext"/>
              <w:ind w:left="-84" w:right="-55"/>
              <w:rPr>
                <w:rFonts w:eastAsia="Calibri"/>
              </w:rPr>
            </w:pPr>
            <w:r w:rsidRPr="00621545">
              <w:t>0816F avoid uneconomic start::change avail/mw distrib.-</w:t>
            </w:r>
          </w:p>
        </w:tc>
      </w:tr>
      <w:tr w:rsidR="00275002" w:rsidRPr="00F729EF" w:rsidTr="00384A55">
        <w:trPr>
          <w:cnfStyle w:val="000000100000" w:firstRow="0" w:lastRow="0" w:firstColumn="0" w:lastColumn="0" w:oddVBand="0" w:evenVBand="0" w:oddHBand="1" w:evenHBand="0" w:firstRowFirstColumn="0" w:firstRowLastColumn="0" w:lastRowFirstColumn="0" w:lastRowLastColumn="0"/>
          <w:trHeight w:val="187"/>
        </w:trPr>
        <w:tc>
          <w:tcPr>
            <w:tcW w:w="4077" w:type="dxa"/>
            <w:gridSpan w:val="4"/>
          </w:tcPr>
          <w:p w:rsidR="00275002" w:rsidRPr="0031019A" w:rsidRDefault="00275002" w:rsidP="00887EBF">
            <w:pPr>
              <w:pStyle w:val="Tablesumline"/>
            </w:pPr>
            <w:r w:rsidRPr="0031019A">
              <w:t>Total capacity rebid from low to high prices</w:t>
            </w:r>
          </w:p>
        </w:tc>
        <w:tc>
          <w:tcPr>
            <w:tcW w:w="993" w:type="dxa"/>
          </w:tcPr>
          <w:p w:rsidR="00275002" w:rsidRPr="0031019A" w:rsidRDefault="008E6CAE" w:rsidP="008E6CAE">
            <w:pPr>
              <w:pStyle w:val="Tablesumline"/>
            </w:pPr>
            <w:r>
              <w:t>24</w:t>
            </w:r>
            <w:r w:rsidR="00887EBF" w:rsidRPr="0031019A">
              <w:t>5</w:t>
            </w:r>
          </w:p>
        </w:tc>
        <w:tc>
          <w:tcPr>
            <w:tcW w:w="1116" w:type="dxa"/>
          </w:tcPr>
          <w:p w:rsidR="00275002" w:rsidRPr="0031019A" w:rsidRDefault="00275002" w:rsidP="00887EBF">
            <w:pPr>
              <w:pStyle w:val="Tablesumline"/>
            </w:pPr>
          </w:p>
        </w:tc>
        <w:tc>
          <w:tcPr>
            <w:tcW w:w="1010" w:type="dxa"/>
          </w:tcPr>
          <w:p w:rsidR="00275002" w:rsidRPr="0031019A" w:rsidRDefault="00275002" w:rsidP="00887EBF">
            <w:pPr>
              <w:pStyle w:val="Tablesumline"/>
            </w:pPr>
          </w:p>
        </w:tc>
        <w:tc>
          <w:tcPr>
            <w:tcW w:w="2509" w:type="dxa"/>
          </w:tcPr>
          <w:p w:rsidR="00275002" w:rsidRPr="0031019A" w:rsidRDefault="00275002" w:rsidP="00887EBF">
            <w:pPr>
              <w:pStyle w:val="Tablesumline"/>
              <w:rPr>
                <w:rFonts w:eastAsia="Calibri"/>
              </w:rPr>
            </w:pPr>
          </w:p>
        </w:tc>
      </w:tr>
    </w:tbl>
    <w:p w:rsidR="00275002" w:rsidRDefault="00275002" w:rsidP="009A3D22">
      <w:pPr>
        <w:jc w:val="both"/>
      </w:pPr>
      <w:r w:rsidRPr="0031019A">
        <w:t>With demand increasing and low-priced capacity</w:t>
      </w:r>
      <w:r w:rsidR="00155113" w:rsidRPr="00155113">
        <w:t xml:space="preserve"> </w:t>
      </w:r>
      <w:r w:rsidR="00155113" w:rsidRPr="0031019A">
        <w:t>either ramp rate limited or fully dispatched</w:t>
      </w:r>
      <w:r w:rsidR="00155113">
        <w:t>, the dispatch price increased from $</w:t>
      </w:r>
      <w:r w:rsidR="008C1FE0">
        <w:t>150</w:t>
      </w:r>
      <w:r w:rsidR="00155113">
        <w:t>/MWh at</w:t>
      </w:r>
      <w:r w:rsidRPr="0031019A">
        <w:t xml:space="preserve"> </w:t>
      </w:r>
      <w:r w:rsidR="008E6CAE">
        <w:t>8.15 </w:t>
      </w:r>
      <w:r w:rsidRPr="0031019A">
        <w:t xml:space="preserve">am to </w:t>
      </w:r>
      <w:r w:rsidR="008E6CAE">
        <w:t xml:space="preserve">$301/MWh at 8.20 pm then to </w:t>
      </w:r>
      <w:r w:rsidRPr="0031019A">
        <w:t>$13</w:t>
      </w:r>
      <w:r w:rsidR="008E6CAE">
        <w:t> </w:t>
      </w:r>
      <w:r w:rsidRPr="0031019A">
        <w:t xml:space="preserve">499/MWh </w:t>
      </w:r>
      <w:r w:rsidR="008E6CAE">
        <w:t>at 8.25 am,</w:t>
      </w:r>
      <w:r w:rsidRPr="0031019A">
        <w:t xml:space="preserve"> set by Stanwell</w:t>
      </w:r>
      <w:r w:rsidR="008E6CAE">
        <w:t xml:space="preserve">, Kareeya </w:t>
      </w:r>
      <w:r w:rsidRPr="0031019A">
        <w:t xml:space="preserve">and Tarong units. </w:t>
      </w:r>
      <w:r w:rsidR="008E6CAE">
        <w:t>The price fell to $37/MWh at 8.30 am when the above rebid at Oakey was reversed.</w:t>
      </w:r>
    </w:p>
    <w:p w:rsidR="00FF6EE1" w:rsidRDefault="00FF6EE1" w:rsidP="00FF6EE1">
      <w:pPr>
        <w:pStyle w:val="Caption"/>
      </w:pPr>
      <w:r>
        <w:t xml:space="preserve">Table </w:t>
      </w:r>
      <w:r w:rsidR="003422A3">
        <w:fldChar w:fldCharType="begin"/>
      </w:r>
      <w:r w:rsidR="003422A3">
        <w:instrText xml:space="preserve"> SEQ Table \* ARABIC </w:instrText>
      </w:r>
      <w:r w:rsidR="003422A3">
        <w:fldChar w:fldCharType="separate"/>
      </w:r>
      <w:r>
        <w:rPr>
          <w:noProof/>
        </w:rPr>
        <w:t>8</w:t>
      </w:r>
      <w:r w:rsidR="003422A3">
        <w:rPr>
          <w:noProof/>
        </w:rPr>
        <w:fldChar w:fldCharType="end"/>
      </w:r>
      <w:r>
        <w:t xml:space="preserve"> : Rebids for 9.30 am</w:t>
      </w:r>
    </w:p>
    <w:tbl>
      <w:tblPr>
        <w:tblStyle w:val="AERsummarytable"/>
        <w:tblW w:w="9705" w:type="dxa"/>
        <w:tblLook w:val="04A0" w:firstRow="1" w:lastRow="0" w:firstColumn="1" w:lastColumn="0" w:noHBand="0" w:noVBand="1"/>
      </w:tblPr>
      <w:tblGrid>
        <w:gridCol w:w="817"/>
        <w:gridCol w:w="851"/>
        <w:gridCol w:w="1275"/>
        <w:gridCol w:w="1134"/>
        <w:gridCol w:w="993"/>
        <w:gridCol w:w="1116"/>
        <w:gridCol w:w="1010"/>
        <w:gridCol w:w="2509"/>
      </w:tblGrid>
      <w:tr w:rsidR="00FF6EE1" w:rsidRPr="00914A87" w:rsidTr="00E7472E">
        <w:trPr>
          <w:cnfStyle w:val="100000000000" w:firstRow="1" w:lastRow="0" w:firstColumn="0" w:lastColumn="0" w:oddVBand="0" w:evenVBand="0" w:oddHBand="0" w:evenHBand="0" w:firstRowFirstColumn="0" w:firstRowLastColumn="0" w:lastRowFirstColumn="0" w:lastRowLastColumn="0"/>
          <w:trHeight w:val="780"/>
          <w:tblHeader/>
        </w:trPr>
        <w:tc>
          <w:tcPr>
            <w:tcW w:w="817" w:type="dxa"/>
            <w:hideMark/>
          </w:tcPr>
          <w:p w:rsidR="00FF6EE1" w:rsidRPr="00914A87" w:rsidRDefault="00FF6EE1" w:rsidP="001F1B78">
            <w:pPr>
              <w:pStyle w:val="TableHeading"/>
            </w:pPr>
            <w:r w:rsidRPr="00914A87">
              <w:t xml:space="preserve">Time </w:t>
            </w:r>
            <w:r>
              <w:t>in</w:t>
            </w:r>
          </w:p>
        </w:tc>
        <w:tc>
          <w:tcPr>
            <w:tcW w:w="851" w:type="dxa"/>
            <w:hideMark/>
          </w:tcPr>
          <w:p w:rsidR="00FF6EE1" w:rsidRPr="00914A87" w:rsidRDefault="00FF6EE1" w:rsidP="001F1B78">
            <w:pPr>
              <w:pStyle w:val="TableHeading"/>
              <w:ind w:left="-108"/>
            </w:pPr>
            <w:r w:rsidRPr="00914A87">
              <w:t>Time effective</w:t>
            </w:r>
          </w:p>
        </w:tc>
        <w:tc>
          <w:tcPr>
            <w:tcW w:w="1275" w:type="dxa"/>
            <w:hideMark/>
          </w:tcPr>
          <w:p w:rsidR="00FF6EE1" w:rsidRPr="00914A87" w:rsidRDefault="00FF6EE1" w:rsidP="001F1B78">
            <w:pPr>
              <w:pStyle w:val="TableHeading"/>
            </w:pPr>
            <w:r w:rsidRPr="00914A87">
              <w:t>Participant</w:t>
            </w:r>
          </w:p>
        </w:tc>
        <w:tc>
          <w:tcPr>
            <w:tcW w:w="1134" w:type="dxa"/>
            <w:hideMark/>
          </w:tcPr>
          <w:p w:rsidR="00FF6EE1" w:rsidRPr="00914A87" w:rsidRDefault="00FF6EE1" w:rsidP="001F1B78">
            <w:pPr>
              <w:pStyle w:val="TableHeading"/>
            </w:pPr>
            <w:r w:rsidRPr="00914A87">
              <w:t>Station</w:t>
            </w:r>
          </w:p>
        </w:tc>
        <w:tc>
          <w:tcPr>
            <w:tcW w:w="993" w:type="dxa"/>
            <w:hideMark/>
          </w:tcPr>
          <w:p w:rsidR="00FF6EE1" w:rsidRPr="00914A87" w:rsidRDefault="00FF6EE1" w:rsidP="001F1B78">
            <w:pPr>
              <w:pStyle w:val="TableHeading"/>
            </w:pPr>
            <w:r w:rsidRPr="00914A87">
              <w:t>Capacity rebid (MW)</w:t>
            </w:r>
          </w:p>
        </w:tc>
        <w:tc>
          <w:tcPr>
            <w:tcW w:w="1116" w:type="dxa"/>
            <w:hideMark/>
          </w:tcPr>
          <w:p w:rsidR="00FF6EE1" w:rsidRPr="00914A87" w:rsidRDefault="00FF6EE1" w:rsidP="001F1B78">
            <w:pPr>
              <w:pStyle w:val="TableHeading"/>
            </w:pPr>
            <w:r w:rsidRPr="00914A87">
              <w:t>Price from ($/MWh)</w:t>
            </w:r>
          </w:p>
        </w:tc>
        <w:tc>
          <w:tcPr>
            <w:tcW w:w="1010" w:type="dxa"/>
            <w:hideMark/>
          </w:tcPr>
          <w:p w:rsidR="00FF6EE1" w:rsidRPr="00914A87" w:rsidRDefault="00FF6EE1" w:rsidP="001F1B78">
            <w:pPr>
              <w:pStyle w:val="TableHeading"/>
            </w:pPr>
            <w:r w:rsidRPr="00914A87">
              <w:t>Price to ($/MWh)</w:t>
            </w:r>
          </w:p>
        </w:tc>
        <w:tc>
          <w:tcPr>
            <w:tcW w:w="2509" w:type="dxa"/>
            <w:hideMark/>
          </w:tcPr>
          <w:p w:rsidR="00FF6EE1" w:rsidRPr="00914A87" w:rsidRDefault="00FF6EE1" w:rsidP="001F1B78">
            <w:pPr>
              <w:pStyle w:val="TableHeading"/>
            </w:pPr>
            <w:r w:rsidRPr="00914A87">
              <w:t>Rebid reason</w:t>
            </w:r>
          </w:p>
        </w:tc>
      </w:tr>
      <w:tr w:rsidR="00FF6EE1" w:rsidRPr="00F729EF" w:rsidTr="008C1FE0">
        <w:trPr>
          <w:cnfStyle w:val="000000100000" w:firstRow="0" w:lastRow="0" w:firstColumn="0" w:lastColumn="0" w:oddVBand="0" w:evenVBand="0" w:oddHBand="1" w:evenHBand="0" w:firstRowFirstColumn="0" w:firstRowLastColumn="0" w:lastRowFirstColumn="0" w:lastRowLastColumn="0"/>
          <w:trHeight w:val="606"/>
        </w:trPr>
        <w:tc>
          <w:tcPr>
            <w:tcW w:w="817" w:type="dxa"/>
            <w:vAlign w:val="center"/>
          </w:tcPr>
          <w:p w:rsidR="00FF6EE1" w:rsidRPr="0031019A" w:rsidRDefault="00FF6EE1" w:rsidP="008C1FE0">
            <w:pPr>
              <w:pStyle w:val="Tabletext"/>
              <w:ind w:left="-84" w:right="-55"/>
              <w:jc w:val="center"/>
            </w:pPr>
            <w:r w:rsidRPr="0031019A">
              <w:t>6.</w:t>
            </w:r>
            <w:r>
              <w:t>58</w:t>
            </w:r>
            <w:r w:rsidRPr="0031019A">
              <w:t xml:space="preserve"> am</w:t>
            </w:r>
          </w:p>
        </w:tc>
        <w:tc>
          <w:tcPr>
            <w:tcW w:w="851" w:type="dxa"/>
            <w:vAlign w:val="center"/>
          </w:tcPr>
          <w:p w:rsidR="00FF6EE1" w:rsidRPr="0031019A" w:rsidRDefault="00FF6EE1" w:rsidP="008C1FE0">
            <w:pPr>
              <w:pStyle w:val="Tabletext"/>
              <w:ind w:left="-84" w:right="-55"/>
              <w:jc w:val="center"/>
            </w:pPr>
            <w:r>
              <w:t>7.05 am</w:t>
            </w:r>
          </w:p>
        </w:tc>
        <w:tc>
          <w:tcPr>
            <w:tcW w:w="1275" w:type="dxa"/>
            <w:vAlign w:val="center"/>
          </w:tcPr>
          <w:p w:rsidR="00FF6EE1" w:rsidRPr="0031019A" w:rsidRDefault="00FF6EE1" w:rsidP="008C1FE0">
            <w:pPr>
              <w:pStyle w:val="Tabletext"/>
              <w:ind w:left="-84" w:right="-55"/>
              <w:jc w:val="center"/>
            </w:pPr>
            <w:r>
              <w:t>Millmerran Energy Trader</w:t>
            </w:r>
          </w:p>
        </w:tc>
        <w:tc>
          <w:tcPr>
            <w:tcW w:w="1134" w:type="dxa"/>
            <w:vAlign w:val="center"/>
          </w:tcPr>
          <w:p w:rsidR="00FF6EE1" w:rsidRPr="0031019A" w:rsidRDefault="00FF6EE1" w:rsidP="008C1FE0">
            <w:pPr>
              <w:pStyle w:val="Tabletext"/>
              <w:ind w:left="-84" w:right="-55"/>
              <w:jc w:val="center"/>
            </w:pPr>
            <w:r>
              <w:t>Millerran</w:t>
            </w:r>
          </w:p>
        </w:tc>
        <w:tc>
          <w:tcPr>
            <w:tcW w:w="993" w:type="dxa"/>
            <w:vAlign w:val="center"/>
          </w:tcPr>
          <w:p w:rsidR="00FF6EE1" w:rsidRPr="0031019A" w:rsidRDefault="00FF6EE1" w:rsidP="008C1FE0">
            <w:pPr>
              <w:pStyle w:val="Tabletext"/>
              <w:ind w:left="-84" w:right="-55"/>
              <w:jc w:val="center"/>
            </w:pPr>
            <w:r>
              <w:t>55</w:t>
            </w:r>
          </w:p>
        </w:tc>
        <w:tc>
          <w:tcPr>
            <w:tcW w:w="1116" w:type="dxa"/>
            <w:vAlign w:val="center"/>
          </w:tcPr>
          <w:p w:rsidR="00FF6EE1" w:rsidRPr="0031019A" w:rsidRDefault="00FF6EE1" w:rsidP="008C1FE0">
            <w:pPr>
              <w:pStyle w:val="Tabletext"/>
              <w:ind w:left="-84" w:right="-55"/>
              <w:jc w:val="center"/>
            </w:pPr>
            <w:r>
              <w:t>7</w:t>
            </w:r>
          </w:p>
        </w:tc>
        <w:tc>
          <w:tcPr>
            <w:tcW w:w="1010" w:type="dxa"/>
            <w:vAlign w:val="center"/>
          </w:tcPr>
          <w:p w:rsidR="00FF6EE1" w:rsidRPr="0031019A" w:rsidRDefault="00FF6EE1" w:rsidP="008C1FE0">
            <w:pPr>
              <w:pStyle w:val="Tabletext"/>
              <w:ind w:left="-84" w:right="-55"/>
              <w:jc w:val="center"/>
            </w:pPr>
            <w:r>
              <w:t>13 500</w:t>
            </w:r>
          </w:p>
        </w:tc>
        <w:tc>
          <w:tcPr>
            <w:tcW w:w="2509" w:type="dxa"/>
            <w:vAlign w:val="center"/>
          </w:tcPr>
          <w:p w:rsidR="00FF6EE1" w:rsidRPr="0031019A" w:rsidRDefault="00FF6EE1" w:rsidP="008C1FE0">
            <w:pPr>
              <w:pStyle w:val="Tabletext"/>
              <w:ind w:left="-84" w:right="-55"/>
              <w:jc w:val="center"/>
              <w:rPr>
                <w:rFonts w:eastAsia="Calibri"/>
              </w:rPr>
            </w:pPr>
            <w:r w:rsidRPr="00861AED">
              <w:t>06:55 A change in 5min PD QNI flow - SL</w:t>
            </w:r>
          </w:p>
        </w:tc>
      </w:tr>
      <w:tr w:rsidR="00FF6EE1" w:rsidRPr="00F729EF" w:rsidTr="008C1FE0">
        <w:trPr>
          <w:cnfStyle w:val="000000010000" w:firstRow="0" w:lastRow="0" w:firstColumn="0" w:lastColumn="0" w:oddVBand="0" w:evenVBand="0" w:oddHBand="0" w:evenHBand="1" w:firstRowFirstColumn="0" w:firstRowLastColumn="0" w:lastRowFirstColumn="0" w:lastRowLastColumn="0"/>
          <w:trHeight w:val="673"/>
        </w:trPr>
        <w:tc>
          <w:tcPr>
            <w:tcW w:w="817" w:type="dxa"/>
            <w:vAlign w:val="center"/>
          </w:tcPr>
          <w:p w:rsidR="00FF6EE1" w:rsidRPr="0031019A" w:rsidRDefault="00FF6EE1" w:rsidP="008C1FE0">
            <w:pPr>
              <w:pStyle w:val="Tabletext"/>
              <w:ind w:left="-84" w:right="-55"/>
              <w:jc w:val="center"/>
            </w:pPr>
            <w:r>
              <w:t>8.15</w:t>
            </w:r>
            <w:r w:rsidRPr="0031019A">
              <w:t xml:space="preserve"> am</w:t>
            </w:r>
          </w:p>
        </w:tc>
        <w:tc>
          <w:tcPr>
            <w:tcW w:w="851" w:type="dxa"/>
            <w:vAlign w:val="center"/>
          </w:tcPr>
          <w:p w:rsidR="00FF6EE1" w:rsidRPr="0031019A" w:rsidRDefault="00FF6EE1" w:rsidP="008C1FE0">
            <w:pPr>
              <w:pStyle w:val="Tabletext"/>
              <w:ind w:left="-84" w:right="-55"/>
              <w:jc w:val="center"/>
            </w:pPr>
            <w:r>
              <w:t>8.25 am</w:t>
            </w:r>
          </w:p>
        </w:tc>
        <w:tc>
          <w:tcPr>
            <w:tcW w:w="1275" w:type="dxa"/>
            <w:vAlign w:val="center"/>
          </w:tcPr>
          <w:p w:rsidR="00FF6EE1" w:rsidRPr="0031019A" w:rsidRDefault="00FF6EE1" w:rsidP="008C1FE0">
            <w:pPr>
              <w:pStyle w:val="Tabletext"/>
              <w:ind w:left="-84" w:right="-55"/>
              <w:jc w:val="center"/>
            </w:pPr>
            <w:r>
              <w:t>Stanwell</w:t>
            </w:r>
          </w:p>
        </w:tc>
        <w:tc>
          <w:tcPr>
            <w:tcW w:w="1134" w:type="dxa"/>
            <w:vAlign w:val="center"/>
          </w:tcPr>
          <w:p w:rsidR="00FF6EE1" w:rsidRPr="0031019A" w:rsidRDefault="00FF6EE1" w:rsidP="008C1FE0">
            <w:pPr>
              <w:pStyle w:val="Tabletext"/>
              <w:ind w:left="-84" w:right="-55"/>
              <w:jc w:val="center"/>
            </w:pPr>
            <w:r>
              <w:t>Stanwell</w:t>
            </w:r>
          </w:p>
        </w:tc>
        <w:tc>
          <w:tcPr>
            <w:tcW w:w="993" w:type="dxa"/>
            <w:vAlign w:val="center"/>
          </w:tcPr>
          <w:p w:rsidR="00FF6EE1" w:rsidRPr="0031019A" w:rsidRDefault="00FF6EE1" w:rsidP="008C1FE0">
            <w:pPr>
              <w:pStyle w:val="Tabletext"/>
              <w:ind w:left="-84" w:right="-55"/>
              <w:jc w:val="center"/>
            </w:pPr>
            <w:r>
              <w:t>70</w:t>
            </w:r>
          </w:p>
        </w:tc>
        <w:tc>
          <w:tcPr>
            <w:tcW w:w="1116" w:type="dxa"/>
            <w:vAlign w:val="center"/>
          </w:tcPr>
          <w:p w:rsidR="00FF6EE1" w:rsidRPr="0031019A" w:rsidRDefault="00FF6EE1" w:rsidP="008C1FE0">
            <w:pPr>
              <w:pStyle w:val="Tabletext"/>
              <w:ind w:left="-84" w:right="-55"/>
              <w:jc w:val="center"/>
            </w:pPr>
            <w:r>
              <w:t>26</w:t>
            </w:r>
          </w:p>
        </w:tc>
        <w:tc>
          <w:tcPr>
            <w:tcW w:w="1010" w:type="dxa"/>
            <w:vAlign w:val="center"/>
          </w:tcPr>
          <w:p w:rsidR="00FF6EE1" w:rsidRPr="0031019A" w:rsidRDefault="00FF6EE1" w:rsidP="008C1FE0">
            <w:pPr>
              <w:pStyle w:val="Tabletext"/>
              <w:ind w:left="-84" w:right="-55"/>
              <w:jc w:val="center"/>
            </w:pPr>
            <w:r>
              <w:t>13 500</w:t>
            </w:r>
          </w:p>
        </w:tc>
        <w:tc>
          <w:tcPr>
            <w:tcW w:w="2509" w:type="dxa"/>
            <w:vAlign w:val="center"/>
          </w:tcPr>
          <w:p w:rsidR="00FF6EE1" w:rsidRPr="0031019A" w:rsidRDefault="00FF6EE1" w:rsidP="008C1FE0">
            <w:pPr>
              <w:pStyle w:val="Tabletext"/>
              <w:ind w:left="-84" w:right="-55"/>
              <w:jc w:val="center"/>
              <w:rPr>
                <w:rFonts w:eastAsia="Calibri"/>
              </w:rPr>
            </w:pPr>
            <w:r w:rsidRPr="00F662F1">
              <w:t>0813A QLD 5min demand above 30min PD @ 0815hrs</w:t>
            </w:r>
          </w:p>
        </w:tc>
      </w:tr>
      <w:tr w:rsidR="00FF6EE1" w:rsidRPr="00F729EF" w:rsidTr="008C1FE0">
        <w:trPr>
          <w:cnfStyle w:val="000000100000" w:firstRow="0" w:lastRow="0" w:firstColumn="0" w:lastColumn="0" w:oddVBand="0" w:evenVBand="0" w:oddHBand="1" w:evenHBand="0" w:firstRowFirstColumn="0" w:firstRowLastColumn="0" w:lastRowFirstColumn="0" w:lastRowLastColumn="0"/>
          <w:trHeight w:val="673"/>
        </w:trPr>
        <w:tc>
          <w:tcPr>
            <w:tcW w:w="817" w:type="dxa"/>
            <w:vAlign w:val="center"/>
          </w:tcPr>
          <w:p w:rsidR="00FF6EE1" w:rsidRDefault="00FF6EE1" w:rsidP="008C1FE0">
            <w:pPr>
              <w:pStyle w:val="Tabletext"/>
              <w:ind w:left="-84" w:right="-55"/>
              <w:jc w:val="center"/>
            </w:pPr>
            <w:r>
              <w:t>8.20 am</w:t>
            </w:r>
          </w:p>
        </w:tc>
        <w:tc>
          <w:tcPr>
            <w:tcW w:w="851" w:type="dxa"/>
            <w:vAlign w:val="center"/>
          </w:tcPr>
          <w:p w:rsidR="00FF6EE1" w:rsidRDefault="00155113" w:rsidP="008C1FE0">
            <w:pPr>
              <w:pStyle w:val="Tabletext"/>
              <w:ind w:left="-84" w:right="-55"/>
              <w:jc w:val="center"/>
            </w:pPr>
            <w:r>
              <w:t>8.30 pm</w:t>
            </w:r>
          </w:p>
        </w:tc>
        <w:tc>
          <w:tcPr>
            <w:tcW w:w="1275" w:type="dxa"/>
            <w:vAlign w:val="center"/>
          </w:tcPr>
          <w:p w:rsidR="00FF6EE1" w:rsidRDefault="009E7749" w:rsidP="008C1FE0">
            <w:pPr>
              <w:pStyle w:val="Tabletext"/>
              <w:ind w:left="-84" w:right="-55"/>
              <w:jc w:val="center"/>
            </w:pPr>
            <w:r>
              <w:t>CS Energy</w:t>
            </w:r>
          </w:p>
        </w:tc>
        <w:tc>
          <w:tcPr>
            <w:tcW w:w="1134" w:type="dxa"/>
            <w:vAlign w:val="center"/>
          </w:tcPr>
          <w:p w:rsidR="00FF6EE1" w:rsidRDefault="009E7749" w:rsidP="008C1FE0">
            <w:pPr>
              <w:pStyle w:val="Tabletext"/>
              <w:ind w:left="-84" w:right="-55"/>
              <w:jc w:val="center"/>
            </w:pPr>
            <w:r>
              <w:t>Gladstone</w:t>
            </w:r>
          </w:p>
        </w:tc>
        <w:tc>
          <w:tcPr>
            <w:tcW w:w="993" w:type="dxa"/>
            <w:vAlign w:val="center"/>
          </w:tcPr>
          <w:p w:rsidR="00FF6EE1" w:rsidRDefault="009E7749" w:rsidP="008C1FE0">
            <w:pPr>
              <w:pStyle w:val="Tabletext"/>
              <w:ind w:left="-84" w:right="-55"/>
              <w:jc w:val="center"/>
            </w:pPr>
            <w:r>
              <w:t>-130</w:t>
            </w:r>
          </w:p>
        </w:tc>
        <w:tc>
          <w:tcPr>
            <w:tcW w:w="1116" w:type="dxa"/>
            <w:vAlign w:val="center"/>
          </w:tcPr>
          <w:p w:rsidR="00FF6EE1" w:rsidRDefault="009E7749" w:rsidP="008C1FE0">
            <w:pPr>
              <w:pStyle w:val="Tabletext"/>
              <w:ind w:left="-84" w:right="-55"/>
              <w:jc w:val="center"/>
            </w:pPr>
            <w:r>
              <w:t>&lt;13 500</w:t>
            </w:r>
          </w:p>
        </w:tc>
        <w:tc>
          <w:tcPr>
            <w:tcW w:w="1010" w:type="dxa"/>
            <w:vAlign w:val="center"/>
          </w:tcPr>
          <w:p w:rsidR="00FF6EE1" w:rsidRDefault="009E7749" w:rsidP="008C1FE0">
            <w:pPr>
              <w:pStyle w:val="Tabletext"/>
              <w:ind w:left="-84" w:right="-55"/>
              <w:jc w:val="center"/>
            </w:pPr>
            <w:r>
              <w:t>N/A</w:t>
            </w:r>
          </w:p>
        </w:tc>
        <w:tc>
          <w:tcPr>
            <w:tcW w:w="2509" w:type="dxa"/>
            <w:vAlign w:val="center"/>
          </w:tcPr>
          <w:p w:rsidR="00FF6EE1" w:rsidRPr="00621545" w:rsidRDefault="009E7749" w:rsidP="008C1FE0">
            <w:pPr>
              <w:pStyle w:val="Tabletext"/>
              <w:ind w:left="-84" w:right="-55"/>
              <w:jc w:val="center"/>
            </w:pPr>
            <w:r w:rsidRPr="009E7749">
              <w:t>0819P condenser backflush-SL</w:t>
            </w:r>
          </w:p>
        </w:tc>
      </w:tr>
      <w:tr w:rsidR="009E7749" w:rsidRPr="00F729EF" w:rsidTr="008C1FE0">
        <w:trPr>
          <w:cnfStyle w:val="000000010000" w:firstRow="0" w:lastRow="0" w:firstColumn="0" w:lastColumn="0" w:oddVBand="0" w:evenVBand="0" w:oddHBand="0" w:evenHBand="1" w:firstRowFirstColumn="0" w:firstRowLastColumn="0" w:lastRowFirstColumn="0" w:lastRowLastColumn="0"/>
          <w:trHeight w:val="673"/>
        </w:trPr>
        <w:tc>
          <w:tcPr>
            <w:tcW w:w="817" w:type="dxa"/>
            <w:vAlign w:val="center"/>
          </w:tcPr>
          <w:p w:rsidR="009E7749" w:rsidRDefault="009E7749" w:rsidP="008C1FE0">
            <w:pPr>
              <w:pStyle w:val="Tabletext"/>
              <w:ind w:left="-84" w:right="-55"/>
              <w:jc w:val="center"/>
            </w:pPr>
            <w:r>
              <w:t>8.53 pm</w:t>
            </w:r>
          </w:p>
        </w:tc>
        <w:tc>
          <w:tcPr>
            <w:tcW w:w="851" w:type="dxa"/>
            <w:vAlign w:val="center"/>
          </w:tcPr>
          <w:p w:rsidR="009E7749" w:rsidRDefault="00155113" w:rsidP="008C1FE0">
            <w:pPr>
              <w:pStyle w:val="Tabletext"/>
              <w:ind w:left="-84" w:right="-55"/>
              <w:jc w:val="center"/>
            </w:pPr>
            <w:r>
              <w:t>9 pm</w:t>
            </w:r>
          </w:p>
        </w:tc>
        <w:tc>
          <w:tcPr>
            <w:tcW w:w="1275" w:type="dxa"/>
            <w:vAlign w:val="center"/>
          </w:tcPr>
          <w:p w:rsidR="009E7749" w:rsidRDefault="009E7749" w:rsidP="008C1FE0">
            <w:pPr>
              <w:pStyle w:val="Tabletext"/>
              <w:ind w:left="-84" w:right="-55"/>
              <w:jc w:val="center"/>
            </w:pPr>
            <w:r>
              <w:t>Millmerran Energy Trader</w:t>
            </w:r>
          </w:p>
        </w:tc>
        <w:tc>
          <w:tcPr>
            <w:tcW w:w="1134" w:type="dxa"/>
            <w:vAlign w:val="center"/>
          </w:tcPr>
          <w:p w:rsidR="009E7749" w:rsidRDefault="009E7749" w:rsidP="008C1FE0">
            <w:pPr>
              <w:pStyle w:val="Tabletext"/>
              <w:ind w:left="-84" w:right="-55"/>
              <w:jc w:val="center"/>
            </w:pPr>
            <w:r>
              <w:t>Millmerran</w:t>
            </w:r>
          </w:p>
        </w:tc>
        <w:tc>
          <w:tcPr>
            <w:tcW w:w="993" w:type="dxa"/>
            <w:vAlign w:val="center"/>
          </w:tcPr>
          <w:p w:rsidR="009E7749" w:rsidRDefault="009E7749" w:rsidP="008C1FE0">
            <w:pPr>
              <w:pStyle w:val="Tabletext"/>
              <w:ind w:left="-84" w:right="-55"/>
              <w:jc w:val="center"/>
            </w:pPr>
            <w:r>
              <w:t>30</w:t>
            </w:r>
          </w:p>
        </w:tc>
        <w:tc>
          <w:tcPr>
            <w:tcW w:w="1116" w:type="dxa"/>
            <w:vAlign w:val="center"/>
          </w:tcPr>
          <w:p w:rsidR="009E7749" w:rsidRDefault="009E7749" w:rsidP="008C1FE0">
            <w:pPr>
              <w:pStyle w:val="Tabletext"/>
              <w:ind w:left="-84" w:right="-55"/>
              <w:jc w:val="center"/>
            </w:pPr>
            <w:r>
              <w:t>7</w:t>
            </w:r>
          </w:p>
        </w:tc>
        <w:tc>
          <w:tcPr>
            <w:tcW w:w="1010" w:type="dxa"/>
            <w:vAlign w:val="center"/>
          </w:tcPr>
          <w:p w:rsidR="009E7749" w:rsidRDefault="009E7749" w:rsidP="008C1FE0">
            <w:pPr>
              <w:pStyle w:val="Tabletext"/>
              <w:ind w:left="-84" w:right="-55"/>
              <w:jc w:val="center"/>
            </w:pPr>
            <w:r>
              <w:t>13 500</w:t>
            </w:r>
          </w:p>
        </w:tc>
        <w:tc>
          <w:tcPr>
            <w:tcW w:w="2509" w:type="dxa"/>
            <w:vAlign w:val="center"/>
          </w:tcPr>
          <w:p w:rsidR="009E7749" w:rsidRPr="00621545" w:rsidRDefault="009E7749" w:rsidP="008C1FE0">
            <w:pPr>
              <w:pStyle w:val="Tabletext"/>
              <w:ind w:left="-84" w:right="-55"/>
              <w:jc w:val="center"/>
            </w:pPr>
            <w:r w:rsidRPr="009E7749">
              <w:t>08:52 A RRP above PD</w:t>
            </w:r>
          </w:p>
        </w:tc>
      </w:tr>
      <w:tr w:rsidR="009E7749" w:rsidRPr="00F729EF" w:rsidTr="008C1FE0">
        <w:trPr>
          <w:cnfStyle w:val="000000100000" w:firstRow="0" w:lastRow="0" w:firstColumn="0" w:lastColumn="0" w:oddVBand="0" w:evenVBand="0" w:oddHBand="1" w:evenHBand="0" w:firstRowFirstColumn="0" w:firstRowLastColumn="0" w:lastRowFirstColumn="0" w:lastRowLastColumn="0"/>
          <w:trHeight w:val="673"/>
        </w:trPr>
        <w:tc>
          <w:tcPr>
            <w:tcW w:w="817" w:type="dxa"/>
            <w:vAlign w:val="center"/>
          </w:tcPr>
          <w:p w:rsidR="00FF6EE1" w:rsidRPr="0031019A" w:rsidRDefault="009E7749" w:rsidP="008C1FE0">
            <w:pPr>
              <w:pStyle w:val="Tabletext"/>
              <w:ind w:left="-84" w:right="-55"/>
              <w:jc w:val="center"/>
            </w:pPr>
            <w:r>
              <w:t>8.56</w:t>
            </w:r>
            <w:r w:rsidR="00FF6EE1" w:rsidRPr="0031019A">
              <w:t xml:space="preserve"> am</w:t>
            </w:r>
          </w:p>
        </w:tc>
        <w:tc>
          <w:tcPr>
            <w:tcW w:w="851" w:type="dxa"/>
            <w:vAlign w:val="center"/>
          </w:tcPr>
          <w:p w:rsidR="00FF6EE1" w:rsidRPr="0031019A" w:rsidRDefault="009E7749" w:rsidP="008C1FE0">
            <w:pPr>
              <w:pStyle w:val="Tabletext"/>
              <w:ind w:left="-84" w:right="-55"/>
              <w:jc w:val="center"/>
            </w:pPr>
            <w:r>
              <w:t>9.05</w:t>
            </w:r>
            <w:r w:rsidR="00FF6EE1">
              <w:t> am</w:t>
            </w:r>
          </w:p>
        </w:tc>
        <w:tc>
          <w:tcPr>
            <w:tcW w:w="1275" w:type="dxa"/>
            <w:vAlign w:val="center"/>
          </w:tcPr>
          <w:p w:rsidR="00FF6EE1" w:rsidRPr="0031019A" w:rsidRDefault="009E7749" w:rsidP="008C1FE0">
            <w:pPr>
              <w:pStyle w:val="Tabletext"/>
              <w:ind w:left="-84" w:right="-55"/>
              <w:jc w:val="center"/>
            </w:pPr>
            <w:r>
              <w:t>Arrow Energy</w:t>
            </w:r>
          </w:p>
        </w:tc>
        <w:tc>
          <w:tcPr>
            <w:tcW w:w="1134" w:type="dxa"/>
            <w:vAlign w:val="center"/>
          </w:tcPr>
          <w:p w:rsidR="00FF6EE1" w:rsidRPr="0031019A" w:rsidRDefault="009E7749" w:rsidP="008C1FE0">
            <w:pPr>
              <w:pStyle w:val="Tabletext"/>
              <w:ind w:left="-84" w:right="-55"/>
              <w:jc w:val="center"/>
            </w:pPr>
            <w:r>
              <w:t>Braemar</w:t>
            </w:r>
          </w:p>
        </w:tc>
        <w:tc>
          <w:tcPr>
            <w:tcW w:w="993" w:type="dxa"/>
            <w:vAlign w:val="center"/>
          </w:tcPr>
          <w:p w:rsidR="00FF6EE1" w:rsidRPr="0031019A" w:rsidRDefault="00FF6EE1" w:rsidP="008C1FE0">
            <w:pPr>
              <w:pStyle w:val="Tabletext"/>
              <w:ind w:left="-84" w:right="-55"/>
              <w:jc w:val="center"/>
            </w:pPr>
            <w:r>
              <w:t>-1</w:t>
            </w:r>
            <w:r w:rsidR="009E7749">
              <w:t>60</w:t>
            </w:r>
          </w:p>
        </w:tc>
        <w:tc>
          <w:tcPr>
            <w:tcW w:w="1116" w:type="dxa"/>
            <w:vAlign w:val="center"/>
          </w:tcPr>
          <w:p w:rsidR="00FF6EE1" w:rsidRPr="0031019A" w:rsidRDefault="00FF6EE1" w:rsidP="008C1FE0">
            <w:pPr>
              <w:pStyle w:val="Tabletext"/>
              <w:ind w:left="-84" w:right="-55"/>
              <w:jc w:val="center"/>
            </w:pPr>
            <w:r>
              <w:t>28</w:t>
            </w:r>
            <w:r w:rsidR="009E7749">
              <w:t>5</w:t>
            </w:r>
          </w:p>
        </w:tc>
        <w:tc>
          <w:tcPr>
            <w:tcW w:w="1010" w:type="dxa"/>
            <w:vAlign w:val="center"/>
          </w:tcPr>
          <w:p w:rsidR="00FF6EE1" w:rsidRPr="0031019A" w:rsidRDefault="00FF6EE1" w:rsidP="008C1FE0">
            <w:pPr>
              <w:pStyle w:val="Tabletext"/>
              <w:ind w:left="-84" w:right="-55"/>
              <w:jc w:val="center"/>
            </w:pPr>
            <w:r>
              <w:t>N/A</w:t>
            </w:r>
          </w:p>
        </w:tc>
        <w:tc>
          <w:tcPr>
            <w:tcW w:w="2509" w:type="dxa"/>
            <w:vAlign w:val="center"/>
          </w:tcPr>
          <w:p w:rsidR="00FF6EE1" w:rsidRPr="009E7749" w:rsidRDefault="009E7749" w:rsidP="008C1FE0">
            <w:pPr>
              <w:pStyle w:val="Tabletext"/>
              <w:ind w:left="-84" w:right="-55"/>
              <w:jc w:val="center"/>
            </w:pPr>
            <w:r w:rsidRPr="009E7749">
              <w:t>0855A QLD price higher than forecast: avoid uneconomic start SL</w:t>
            </w:r>
          </w:p>
        </w:tc>
      </w:tr>
      <w:tr w:rsidR="009E7749" w:rsidRPr="00F729EF" w:rsidTr="008C1FE0">
        <w:trPr>
          <w:cnfStyle w:val="000000010000" w:firstRow="0" w:lastRow="0" w:firstColumn="0" w:lastColumn="0" w:oddVBand="0" w:evenVBand="0" w:oddHBand="0" w:evenHBand="1" w:firstRowFirstColumn="0" w:firstRowLastColumn="0" w:lastRowFirstColumn="0" w:lastRowLastColumn="0"/>
          <w:trHeight w:val="673"/>
        </w:trPr>
        <w:tc>
          <w:tcPr>
            <w:tcW w:w="817" w:type="dxa"/>
            <w:vAlign w:val="center"/>
          </w:tcPr>
          <w:p w:rsidR="009E7749" w:rsidRDefault="009E7749" w:rsidP="008C1FE0">
            <w:pPr>
              <w:pStyle w:val="Tabletext"/>
              <w:ind w:left="-84" w:right="-55"/>
              <w:jc w:val="center"/>
            </w:pPr>
            <w:r>
              <w:t>9.07 am</w:t>
            </w:r>
          </w:p>
        </w:tc>
        <w:tc>
          <w:tcPr>
            <w:tcW w:w="851" w:type="dxa"/>
            <w:vAlign w:val="center"/>
          </w:tcPr>
          <w:p w:rsidR="009E7749" w:rsidRDefault="009E7749" w:rsidP="008C1FE0">
            <w:pPr>
              <w:pStyle w:val="Tabletext"/>
              <w:ind w:left="-84" w:right="-55"/>
              <w:jc w:val="center"/>
            </w:pPr>
            <w:r>
              <w:t>9.15 am</w:t>
            </w:r>
          </w:p>
        </w:tc>
        <w:tc>
          <w:tcPr>
            <w:tcW w:w="1275" w:type="dxa"/>
            <w:vAlign w:val="center"/>
          </w:tcPr>
          <w:p w:rsidR="009E7749" w:rsidRDefault="009E7749" w:rsidP="008C1FE0">
            <w:pPr>
              <w:pStyle w:val="Tabletext"/>
              <w:ind w:left="-84" w:right="-55"/>
              <w:jc w:val="center"/>
            </w:pPr>
            <w:r>
              <w:t>CS Energy</w:t>
            </w:r>
          </w:p>
        </w:tc>
        <w:tc>
          <w:tcPr>
            <w:tcW w:w="1134" w:type="dxa"/>
            <w:vAlign w:val="center"/>
          </w:tcPr>
          <w:p w:rsidR="009E7749" w:rsidRDefault="009E7749" w:rsidP="008C1FE0">
            <w:pPr>
              <w:pStyle w:val="Tabletext"/>
              <w:ind w:left="-84" w:right="-55"/>
              <w:jc w:val="center"/>
            </w:pPr>
            <w:r>
              <w:t>Gladstone</w:t>
            </w:r>
          </w:p>
        </w:tc>
        <w:tc>
          <w:tcPr>
            <w:tcW w:w="993" w:type="dxa"/>
            <w:vAlign w:val="center"/>
          </w:tcPr>
          <w:p w:rsidR="009E7749" w:rsidRDefault="007532DD" w:rsidP="008C1FE0">
            <w:pPr>
              <w:pStyle w:val="Tabletext"/>
              <w:ind w:left="-84" w:right="-55"/>
              <w:jc w:val="center"/>
            </w:pPr>
            <w:r>
              <w:t>70</w:t>
            </w:r>
          </w:p>
        </w:tc>
        <w:tc>
          <w:tcPr>
            <w:tcW w:w="1116" w:type="dxa"/>
            <w:vAlign w:val="center"/>
          </w:tcPr>
          <w:p w:rsidR="009E7749" w:rsidRDefault="009E7749" w:rsidP="008C1FE0">
            <w:pPr>
              <w:pStyle w:val="Tabletext"/>
              <w:ind w:left="-84" w:right="-55"/>
              <w:jc w:val="center"/>
            </w:pPr>
            <w:r>
              <w:t>93</w:t>
            </w:r>
          </w:p>
        </w:tc>
        <w:tc>
          <w:tcPr>
            <w:tcW w:w="1010" w:type="dxa"/>
            <w:vAlign w:val="center"/>
          </w:tcPr>
          <w:p w:rsidR="009E7749" w:rsidRDefault="009E7749" w:rsidP="008C1FE0">
            <w:pPr>
              <w:pStyle w:val="Tabletext"/>
              <w:ind w:left="-84" w:right="-55"/>
              <w:jc w:val="center"/>
            </w:pPr>
            <w:r>
              <w:t>13 500</w:t>
            </w:r>
          </w:p>
        </w:tc>
        <w:tc>
          <w:tcPr>
            <w:tcW w:w="2509" w:type="dxa"/>
            <w:vAlign w:val="center"/>
          </w:tcPr>
          <w:p w:rsidR="009E7749" w:rsidRPr="009E7749" w:rsidRDefault="009E7749" w:rsidP="008C1FE0">
            <w:pPr>
              <w:pStyle w:val="Tabletext"/>
              <w:ind w:left="-84" w:right="-55"/>
              <w:jc w:val="center"/>
            </w:pPr>
            <w:r w:rsidRPr="007532DD">
              <w:t xml:space="preserve">0906A </w:t>
            </w:r>
            <w:r w:rsidR="007532DD" w:rsidRPr="007532DD">
              <w:t xml:space="preserve">dispatch price lower than </w:t>
            </w:r>
            <w:r w:rsidRPr="007532DD">
              <w:t>30</w:t>
            </w:r>
            <w:r w:rsidR="007532DD" w:rsidRPr="007532DD">
              <w:t>min forecast</w:t>
            </w:r>
            <w:r w:rsidRPr="007532DD">
              <w:t>-SL</w:t>
            </w:r>
          </w:p>
        </w:tc>
      </w:tr>
      <w:tr w:rsidR="009E7749" w:rsidRPr="00F729EF" w:rsidTr="008C1FE0">
        <w:trPr>
          <w:cnfStyle w:val="000000100000" w:firstRow="0" w:lastRow="0" w:firstColumn="0" w:lastColumn="0" w:oddVBand="0" w:evenVBand="0" w:oddHBand="1" w:evenHBand="0" w:firstRowFirstColumn="0" w:firstRowLastColumn="0" w:lastRowFirstColumn="0" w:lastRowLastColumn="0"/>
          <w:trHeight w:val="187"/>
        </w:trPr>
        <w:tc>
          <w:tcPr>
            <w:tcW w:w="4077" w:type="dxa"/>
            <w:gridSpan w:val="4"/>
          </w:tcPr>
          <w:p w:rsidR="00FF6EE1" w:rsidRPr="0031019A" w:rsidRDefault="00FF6EE1" w:rsidP="001F1B78">
            <w:pPr>
              <w:pStyle w:val="Tablesumline"/>
            </w:pPr>
            <w:r w:rsidRPr="0031019A">
              <w:t>Total capacity rebid from low to high prices</w:t>
            </w:r>
          </w:p>
        </w:tc>
        <w:tc>
          <w:tcPr>
            <w:tcW w:w="993" w:type="dxa"/>
            <w:vAlign w:val="center"/>
          </w:tcPr>
          <w:p w:rsidR="00FF6EE1" w:rsidRPr="0031019A" w:rsidRDefault="00FF6EE1" w:rsidP="008C1FE0">
            <w:pPr>
              <w:pStyle w:val="Tablesumline"/>
              <w:jc w:val="center"/>
            </w:pPr>
            <w:r>
              <w:t>2</w:t>
            </w:r>
            <w:r w:rsidR="007532DD">
              <w:t>2</w:t>
            </w:r>
            <w:r w:rsidRPr="0031019A">
              <w:t>5</w:t>
            </w:r>
          </w:p>
        </w:tc>
        <w:tc>
          <w:tcPr>
            <w:tcW w:w="1116" w:type="dxa"/>
          </w:tcPr>
          <w:p w:rsidR="00FF6EE1" w:rsidRPr="0031019A" w:rsidRDefault="00FF6EE1" w:rsidP="001F1B78">
            <w:pPr>
              <w:pStyle w:val="Tablesumline"/>
            </w:pPr>
          </w:p>
        </w:tc>
        <w:tc>
          <w:tcPr>
            <w:tcW w:w="1010" w:type="dxa"/>
          </w:tcPr>
          <w:p w:rsidR="00FF6EE1" w:rsidRPr="0031019A" w:rsidRDefault="00FF6EE1" w:rsidP="001F1B78">
            <w:pPr>
              <w:pStyle w:val="Tablesumline"/>
            </w:pPr>
          </w:p>
        </w:tc>
        <w:tc>
          <w:tcPr>
            <w:tcW w:w="2509" w:type="dxa"/>
          </w:tcPr>
          <w:p w:rsidR="00FF6EE1" w:rsidRPr="0031019A" w:rsidRDefault="00FF6EE1" w:rsidP="001F1B78">
            <w:pPr>
              <w:pStyle w:val="Tablesumline"/>
              <w:rPr>
                <w:rFonts w:eastAsia="Calibri"/>
              </w:rPr>
            </w:pPr>
          </w:p>
        </w:tc>
      </w:tr>
    </w:tbl>
    <w:p w:rsidR="00FF6EE1" w:rsidRDefault="00155113" w:rsidP="009A3D22">
      <w:pPr>
        <w:jc w:val="both"/>
      </w:pPr>
      <w:r w:rsidRPr="0031019A">
        <w:t>With low-priced capacity either ramp rate limited</w:t>
      </w:r>
      <w:r>
        <w:t>,</w:t>
      </w:r>
      <w:r w:rsidRPr="0031019A">
        <w:t xml:space="preserve"> fully dispatched</w:t>
      </w:r>
      <w:r>
        <w:t xml:space="preserve"> or trapped in FCAS</w:t>
      </w:r>
      <w:r w:rsidRPr="0031019A">
        <w:t xml:space="preserve">, the dispatch price </w:t>
      </w:r>
      <w:r>
        <w:t xml:space="preserve">ranged from $119/MWh at 9.05 am to $1501/MWh at 9.25. </w:t>
      </w:r>
    </w:p>
    <w:p w:rsidR="0090239D" w:rsidRDefault="0090239D" w:rsidP="00E7472E">
      <w:pPr>
        <w:pStyle w:val="AERHeading3"/>
      </w:pPr>
      <w:r>
        <w:t>1 pm Trading Interval</w:t>
      </w:r>
    </w:p>
    <w:p w:rsidR="00275002" w:rsidRPr="0031019A" w:rsidRDefault="004E34E7" w:rsidP="009A3D22">
      <w:pPr>
        <w:jc w:val="both"/>
      </w:pPr>
      <w:r>
        <w:t>Demand was 86 MW higher than forecast four hours before. Available capacity was 250 MW lower than forecast four hours before. Despite this, actual p</w:t>
      </w:r>
      <w:r w:rsidR="0090239D">
        <w:t>rices were close to th</w:t>
      </w:r>
      <w:r>
        <w:t>e</w:t>
      </w:r>
      <w:r w:rsidR="0090239D">
        <w:t xml:space="preserve"> </w:t>
      </w:r>
      <w:r>
        <w:t>four hour forecast price</w:t>
      </w:r>
      <w:r w:rsidR="00DD15C2">
        <w:t>, around $300/</w:t>
      </w:r>
      <w:r>
        <w:t>MWh</w:t>
      </w:r>
      <w:r w:rsidR="00DD15C2">
        <w:t>,</w:t>
      </w:r>
      <w:r w:rsidR="0090239D">
        <w:t xml:space="preserve"> for all but one of the dispatch intervals at 12.40 pm which coincided with the tripped of the Yabulu power station. The available capacity of Yabulu was reduced by 125 MW all of which was priced below $90/MWh. This saw the dispatch price reach $1501/MWh at 12.40 pm.</w:t>
      </w:r>
      <w:r>
        <w:t xml:space="preserve"> </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384A55">
        <w:t xml:space="preserve">Figure </w:t>
      </w:r>
      <w:r w:rsidR="00384A55">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Default="00275002" w:rsidP="000E2946">
      <w:pPr>
        <w:pStyle w:val="Caption"/>
      </w:pPr>
      <w:bookmarkStart w:id="17" w:name="_Ref410386540"/>
      <w:r>
        <w:t xml:space="preserve">Figure </w:t>
      </w:r>
      <w:r w:rsidR="003422A3">
        <w:fldChar w:fldCharType="begin"/>
      </w:r>
      <w:r w:rsidR="003422A3">
        <w:instrText xml:space="preserve"> SEQ Figure \* ARABIC </w:instrText>
      </w:r>
      <w:r w:rsidR="003422A3">
        <w:fldChar w:fldCharType="separate"/>
      </w:r>
      <w:r w:rsidR="00384A55">
        <w:rPr>
          <w:noProof/>
        </w:rPr>
        <w:t>9</w:t>
      </w:r>
      <w:r w:rsidR="003422A3">
        <w:rPr>
          <w:noProof/>
        </w:rPr>
        <w:fldChar w:fldCharType="end"/>
      </w:r>
      <w:bookmarkEnd w:id="17"/>
      <w:r>
        <w:t xml:space="preserve"> : </w:t>
      </w:r>
      <w:r w:rsidRPr="007A6ACB">
        <w:t>Quarterly base future prices Q1 2015 – Q4 2018</w:t>
      </w:r>
    </w:p>
    <w:p w:rsidR="00275002" w:rsidRPr="0031019A" w:rsidRDefault="00F13EAA" w:rsidP="00275002">
      <w:r w:rsidRPr="00F13EAA">
        <w:rPr>
          <w:noProof/>
          <w:lang w:eastAsia="en-AU"/>
        </w:rPr>
        <w:drawing>
          <wp:inline distT="0" distB="0" distL="0" distR="0" wp14:anchorId="53EE0099" wp14:editId="6C99D7AE">
            <wp:extent cx="5731510" cy="2882998"/>
            <wp:effectExtent l="0" t="0" r="2540" b="0"/>
            <wp:docPr id="26" name="Picture 26"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2998"/>
                    </a:xfrm>
                    <a:prstGeom prst="rect">
                      <a:avLst/>
                    </a:prstGeom>
                    <a:noFill/>
                    <a:ln>
                      <a:noFill/>
                    </a:ln>
                  </pic:spPr>
                </pic:pic>
              </a:graphicData>
            </a:graphic>
          </wp:inline>
        </w:drawing>
      </w:r>
      <w:r w:rsidR="00275002" w:rsidRPr="0031019A">
        <w:t xml:space="preserve">Source: </w:t>
      </w:r>
      <w:hyperlink r:id="rId20" w:history="1">
        <w:r w:rsidR="00275002" w:rsidRPr="0031019A">
          <w:rPr>
            <w:rStyle w:val="Hyperlink"/>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384A55">
        <w:t xml:space="preserve">Figure </w:t>
      </w:r>
      <w:r w:rsidR="00384A55">
        <w:rPr>
          <w:noProof/>
        </w:rPr>
        <w:t>10</w:t>
      </w:r>
      <w:r>
        <w:fldChar w:fldCharType="end"/>
      </w:r>
      <w:r>
        <w:t xml:space="preserve"> </w:t>
      </w:r>
      <w:r w:rsidRPr="0031019A">
        <w:t xml:space="preserve">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The high volume of trades in </w:t>
      </w:r>
      <w:r>
        <w:fldChar w:fldCharType="begin"/>
      </w:r>
      <w:r>
        <w:instrText xml:space="preserve"> REF _Ref410380382 \h </w:instrText>
      </w:r>
      <w:r w:rsidR="009A3D22">
        <w:instrText xml:space="preserve"> \* MERGEFORMAT </w:instrText>
      </w:r>
      <w:r>
        <w:fldChar w:fldCharType="separate"/>
      </w:r>
      <w:r w:rsidR="00384A55">
        <w:t xml:space="preserve">Figure </w:t>
      </w:r>
      <w:r w:rsidR="00384A55">
        <w:rPr>
          <w:noProof/>
        </w:rPr>
        <w:t>10</w:t>
      </w:r>
      <w:r>
        <w:fldChar w:fldCharType="end"/>
      </w:r>
      <w:r>
        <w:t xml:space="preserve"> </w:t>
      </w:r>
      <w:r w:rsidRPr="0031019A">
        <w:t>is due to options on calendar year base load expiring on Wednesday 19 November.</w:t>
      </w:r>
    </w:p>
    <w:p w:rsidR="00275002" w:rsidRDefault="00275002" w:rsidP="000E2946">
      <w:pPr>
        <w:pStyle w:val="Caption"/>
      </w:pPr>
      <w:bookmarkStart w:id="18" w:name="_Ref410380382"/>
      <w:r>
        <w:t xml:space="preserve">Figure </w:t>
      </w:r>
      <w:r w:rsidR="003422A3">
        <w:fldChar w:fldCharType="begin"/>
      </w:r>
      <w:r w:rsidR="003422A3">
        <w:instrText xml:space="preserve"> SEQ Figure \* ARABIC </w:instrText>
      </w:r>
      <w:r w:rsidR="003422A3">
        <w:fldChar w:fldCharType="separate"/>
      </w:r>
      <w:r w:rsidR="00384A55">
        <w:rPr>
          <w:noProof/>
        </w:rPr>
        <w:t>10</w:t>
      </w:r>
      <w:r w:rsidR="003422A3">
        <w:rPr>
          <w:noProof/>
        </w:rPr>
        <w:fldChar w:fldCharType="end"/>
      </w:r>
      <w:bookmarkEnd w:id="18"/>
      <w:r>
        <w:t xml:space="preserve"> </w:t>
      </w:r>
      <w:r w:rsidRPr="00DF093A">
        <w:t>: Price of Q1 2015 base contracts over the past 10 weeks (and the past 2 years)</w:t>
      </w:r>
    </w:p>
    <w:p w:rsidR="00275002" w:rsidRPr="0031019A" w:rsidRDefault="00F13EAA" w:rsidP="00275002">
      <w:r w:rsidRPr="00F13EAA">
        <w:rPr>
          <w:noProof/>
          <w:lang w:eastAsia="en-AU"/>
        </w:rPr>
        <w:drawing>
          <wp:inline distT="0" distB="0" distL="0" distR="0" wp14:anchorId="1959ABAC" wp14:editId="201B99F0">
            <wp:extent cx="5483871" cy="2771775"/>
            <wp:effectExtent l="0" t="0" r="2540" b="0"/>
            <wp:docPr id="27" name="Picture 27"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3871" cy="2771775"/>
                    </a:xfrm>
                    <a:prstGeom prst="rect">
                      <a:avLst/>
                    </a:prstGeom>
                    <a:noFill/>
                    <a:ln>
                      <a:noFill/>
                    </a:ln>
                  </pic:spPr>
                </pic:pic>
              </a:graphicData>
            </a:graphic>
          </wp:inline>
        </w:drawing>
      </w:r>
    </w:p>
    <w:p w:rsidR="00275002" w:rsidRPr="0031019A" w:rsidRDefault="00275002" w:rsidP="009A3D22">
      <w:pPr>
        <w:jc w:val="both"/>
      </w:pPr>
      <w:r w:rsidRPr="0031019A">
        <w:t>Note: Base contract prices are shown for each of the current week and the previous 9 weeks, with average prices shown for yearly periods 1 and 2 years prior to the current year</w:t>
      </w:r>
    </w:p>
    <w:p w:rsidR="00275002" w:rsidRPr="0031019A" w:rsidRDefault="00275002" w:rsidP="009A3D22">
      <w:pPr>
        <w:jc w:val="both"/>
      </w:pPr>
      <w:r w:rsidRPr="0031019A">
        <w:t xml:space="preserve">Source: </w:t>
      </w:r>
      <w:hyperlink r:id="rId22" w:history="1">
        <w:r w:rsidRPr="0031019A">
          <w:rPr>
            <w:rStyle w:val="Hyperlink"/>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3" w:history="1">
        <w:r w:rsidRPr="0031019A">
          <w:rPr>
            <w:rStyle w:val="Hyperlink"/>
          </w:rPr>
          <w:t>Performance of the Energy Sector</w:t>
        </w:r>
      </w:hyperlink>
      <w:r w:rsidRPr="0031019A">
        <w:rPr>
          <w:rStyle w:val="Hyperlink"/>
        </w:rPr>
        <w:t xml:space="preserve"> </w:t>
      </w:r>
      <w:r w:rsidRPr="0031019A">
        <w:t>section of our website.</w:t>
      </w:r>
    </w:p>
    <w:p w:rsidR="00275002" w:rsidRPr="0031019A" w:rsidRDefault="007F475F" w:rsidP="009A3D22">
      <w:pPr>
        <w:jc w:val="both"/>
      </w:pPr>
      <w:r>
        <w:fldChar w:fldCharType="begin"/>
      </w:r>
      <w:r>
        <w:instrText xml:space="preserve"> REF _Ref410744936 \h </w:instrText>
      </w:r>
      <w:r>
        <w:fldChar w:fldCharType="separate"/>
      </w:r>
      <w:r>
        <w:t xml:space="preserve">Figure </w:t>
      </w:r>
      <w:r>
        <w:rPr>
          <w:noProof/>
        </w:rPr>
        <w:t>11</w:t>
      </w:r>
      <w:r>
        <w:fldChar w:fldCharType="end"/>
      </w:r>
      <w:r>
        <w:t xml:space="preserve"> </w:t>
      </w:r>
      <w:r w:rsidR="00275002" w:rsidRPr="0031019A">
        <w:t>shows how the price for each regional Quarter 1 2015 cap contract has changed over the last 10 weeks (as well as the total number of trades each week). The closing quarter 1 2013 and quarter 1 2014 prices are also shown. The Queensland Q1 2105 cap contract price has now reached levels that were experienced in Q1 2013 when network capacity in central Queensland was providing opportunities for generation portfolios to raise prices.</w:t>
      </w:r>
    </w:p>
    <w:p w:rsidR="00275002" w:rsidRDefault="00275002" w:rsidP="000E2946">
      <w:pPr>
        <w:pStyle w:val="Caption"/>
      </w:pPr>
      <w:bookmarkStart w:id="19" w:name="_Ref410744936"/>
      <w:r>
        <w:t xml:space="preserve">Figure </w:t>
      </w:r>
      <w:r w:rsidR="003422A3">
        <w:fldChar w:fldCharType="begin"/>
      </w:r>
      <w:r w:rsidR="003422A3">
        <w:instrText xml:space="preserve"> SEQ Figure \* ARABIC </w:instrText>
      </w:r>
      <w:r w:rsidR="003422A3">
        <w:fldChar w:fldCharType="separate"/>
      </w:r>
      <w:r w:rsidR="00384A55">
        <w:rPr>
          <w:noProof/>
        </w:rPr>
        <w:t>11</w:t>
      </w:r>
      <w:r w:rsidR="003422A3">
        <w:rPr>
          <w:noProof/>
        </w:rPr>
        <w:fldChar w:fldCharType="end"/>
      </w:r>
      <w:r>
        <w:t xml:space="preserve"> </w:t>
      </w:r>
      <w:r w:rsidRPr="0074419D">
        <w:t>: Price of Q1 2015 cap contracts over the past 10 weeks (and the past 2 years)</w:t>
      </w:r>
      <w:bookmarkEnd w:id="19"/>
    </w:p>
    <w:p w:rsidR="00275002" w:rsidRPr="0031019A" w:rsidRDefault="00EE347F" w:rsidP="00275002">
      <w:r w:rsidRPr="00EE347F">
        <w:rPr>
          <w:noProof/>
          <w:lang w:eastAsia="en-AU"/>
        </w:rPr>
        <w:drawing>
          <wp:inline distT="0" distB="0" distL="0" distR="0" wp14:anchorId="563523F0" wp14:editId="4FB0A22D">
            <wp:extent cx="5731510" cy="2872627"/>
            <wp:effectExtent l="0" t="0" r="2540" b="4445"/>
            <wp:docPr id="28" name="Picture 28" descr="Figure 11 shows how the price for each regional Quarter 1 2015 cap contract has changed over the last 10 weeks (as well as the total number of trades each week). The closing quarter 1 2013 and quarter 1 2014 prices are also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p>
    <w:p w:rsidR="00275002" w:rsidRPr="0031019A" w:rsidRDefault="00275002" w:rsidP="00275002">
      <w:r w:rsidRPr="0031019A">
        <w:t xml:space="preserve">Source: </w:t>
      </w:r>
      <w:hyperlink r:id="rId25" w:history="1">
        <w:r w:rsidRPr="0031019A">
          <w:rPr>
            <w:rStyle w:val="Hyperlink"/>
          </w:rPr>
          <w:t>ASXEnergy.com.au</w:t>
        </w:r>
      </w:hyperlink>
    </w:p>
    <w:p w:rsidR="00275002" w:rsidRPr="0031019A" w:rsidRDefault="00275002" w:rsidP="00275002">
      <w:pPr>
        <w:pStyle w:val="Heading4notnumbered"/>
      </w:pPr>
      <w:r w:rsidRPr="0031019A">
        <w:t>Australian Energy Regulator</w:t>
      </w:r>
    </w:p>
    <w:p w:rsidR="00275002" w:rsidRPr="0031019A" w:rsidRDefault="00EE347F" w:rsidP="00275002">
      <w:pPr>
        <w:pStyle w:val="Heading4notnumbered"/>
      </w:pPr>
      <w:r>
        <w:t>February</w:t>
      </w:r>
      <w:r w:rsidR="00275002" w:rsidRPr="0031019A">
        <w:t xml:space="preserve"> 2015</w:t>
      </w:r>
    </w:p>
    <w:p w:rsidR="004E7D10" w:rsidRPr="0031019A" w:rsidRDefault="004E7D10">
      <w:pPr>
        <w:pStyle w:val="Heading4notnumbered"/>
      </w:pPr>
    </w:p>
    <w:sectPr w:rsidR="004E7D10" w:rsidRPr="0031019A" w:rsidSect="00EE347F">
      <w:footerReference w:type="even" r:id="rId26"/>
      <w:footerReference w:type="default" r:id="rId27"/>
      <w:footerReference w:type="first" r:id="rId28"/>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2E" w:rsidRDefault="00E7472E" w:rsidP="004B4412">
      <w:pPr>
        <w:spacing w:before="0"/>
      </w:pPr>
      <w:r>
        <w:separator/>
      </w:r>
    </w:p>
  </w:endnote>
  <w:endnote w:type="continuationSeparator" w:id="0">
    <w:p w:rsidR="00E7472E" w:rsidRDefault="00E7472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2E" w:rsidRPr="00A91A9E" w:rsidRDefault="00E7472E"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7472E" w:rsidRDefault="00E7472E"/>
  <w:p w:rsidR="00E7472E" w:rsidRDefault="00E747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2E" w:rsidRDefault="00E7472E"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422A3">
      <w:rPr>
        <w:rFonts w:cs="Arial"/>
        <w:i/>
        <w:noProof/>
      </w:rPr>
      <w:t>2</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13326</w:t>
    </w:r>
  </w:p>
  <w:p w:rsidR="00E7472E" w:rsidRPr="00A94D89" w:rsidRDefault="00E7472E"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2E" w:rsidRPr="00A94D89" w:rsidRDefault="00E7472E"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422A3">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13326</w:t>
    </w:r>
  </w:p>
  <w:p w:rsidR="00E7472E" w:rsidRDefault="00E747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2E" w:rsidRDefault="00E7472E" w:rsidP="004B4412">
      <w:pPr>
        <w:spacing w:before="0"/>
      </w:pPr>
      <w:r>
        <w:separator/>
      </w:r>
    </w:p>
  </w:footnote>
  <w:footnote w:type="continuationSeparator" w:id="0">
    <w:p w:rsidR="00E7472E" w:rsidRDefault="00E7472E"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20150118 - 20150124 electricity weekly report.DOCX"/>
  </w:docVars>
  <w:rsids>
    <w:rsidRoot w:val="00275002"/>
    <w:rsid w:val="00021202"/>
    <w:rsid w:val="000316E7"/>
    <w:rsid w:val="0003578C"/>
    <w:rsid w:val="00063247"/>
    <w:rsid w:val="00070F9F"/>
    <w:rsid w:val="0007137B"/>
    <w:rsid w:val="00085663"/>
    <w:rsid w:val="00085EBF"/>
    <w:rsid w:val="000D122C"/>
    <w:rsid w:val="000E1819"/>
    <w:rsid w:val="000E2946"/>
    <w:rsid w:val="000E6C72"/>
    <w:rsid w:val="000E77BB"/>
    <w:rsid w:val="00116EB2"/>
    <w:rsid w:val="00124609"/>
    <w:rsid w:val="00155113"/>
    <w:rsid w:val="001573E4"/>
    <w:rsid w:val="00160756"/>
    <w:rsid w:val="0017232E"/>
    <w:rsid w:val="00174102"/>
    <w:rsid w:val="00180157"/>
    <w:rsid w:val="00186F77"/>
    <w:rsid w:val="001926A4"/>
    <w:rsid w:val="001B45A0"/>
    <w:rsid w:val="001D055E"/>
    <w:rsid w:val="001E01B4"/>
    <w:rsid w:val="001F1B78"/>
    <w:rsid w:val="001F492E"/>
    <w:rsid w:val="001F6DA3"/>
    <w:rsid w:val="00214FBA"/>
    <w:rsid w:val="00224DB9"/>
    <w:rsid w:val="00251745"/>
    <w:rsid w:val="00262F65"/>
    <w:rsid w:val="00263AC0"/>
    <w:rsid w:val="002649D8"/>
    <w:rsid w:val="0026772D"/>
    <w:rsid w:val="00275002"/>
    <w:rsid w:val="00286874"/>
    <w:rsid w:val="00296B65"/>
    <w:rsid w:val="002A7DEF"/>
    <w:rsid w:val="002F7986"/>
    <w:rsid w:val="00307F6D"/>
    <w:rsid w:val="003177A2"/>
    <w:rsid w:val="003271B5"/>
    <w:rsid w:val="00331264"/>
    <w:rsid w:val="00334C8D"/>
    <w:rsid w:val="003422A3"/>
    <w:rsid w:val="003518B3"/>
    <w:rsid w:val="00371F3A"/>
    <w:rsid w:val="003846F1"/>
    <w:rsid w:val="00384A55"/>
    <w:rsid w:val="003A41E0"/>
    <w:rsid w:val="003C2B22"/>
    <w:rsid w:val="00403473"/>
    <w:rsid w:val="00480B4B"/>
    <w:rsid w:val="00485DC4"/>
    <w:rsid w:val="00493B02"/>
    <w:rsid w:val="004B4412"/>
    <w:rsid w:val="004C348C"/>
    <w:rsid w:val="004D55BA"/>
    <w:rsid w:val="004E34E7"/>
    <w:rsid w:val="004E7D10"/>
    <w:rsid w:val="00522668"/>
    <w:rsid w:val="00530128"/>
    <w:rsid w:val="00532467"/>
    <w:rsid w:val="00556B64"/>
    <w:rsid w:val="00564A4D"/>
    <w:rsid w:val="00571680"/>
    <w:rsid w:val="00571B35"/>
    <w:rsid w:val="00575C43"/>
    <w:rsid w:val="00577A09"/>
    <w:rsid w:val="00584D8F"/>
    <w:rsid w:val="005A404D"/>
    <w:rsid w:val="005B1E3C"/>
    <w:rsid w:val="005C26CC"/>
    <w:rsid w:val="005F6ADE"/>
    <w:rsid w:val="00615C6B"/>
    <w:rsid w:val="00621545"/>
    <w:rsid w:val="00630A15"/>
    <w:rsid w:val="00632D6D"/>
    <w:rsid w:val="00642C3E"/>
    <w:rsid w:val="00663DAD"/>
    <w:rsid w:val="00676679"/>
    <w:rsid w:val="006777D7"/>
    <w:rsid w:val="006B4CF9"/>
    <w:rsid w:val="006B7AC8"/>
    <w:rsid w:val="006D550F"/>
    <w:rsid w:val="006F3750"/>
    <w:rsid w:val="00701CAB"/>
    <w:rsid w:val="00707563"/>
    <w:rsid w:val="0072348C"/>
    <w:rsid w:val="00724A37"/>
    <w:rsid w:val="007303C3"/>
    <w:rsid w:val="00743223"/>
    <w:rsid w:val="00746E01"/>
    <w:rsid w:val="007532DD"/>
    <w:rsid w:val="00762D41"/>
    <w:rsid w:val="00763E5D"/>
    <w:rsid w:val="00767740"/>
    <w:rsid w:val="00777EE6"/>
    <w:rsid w:val="00782EEA"/>
    <w:rsid w:val="007B2C72"/>
    <w:rsid w:val="007C1C53"/>
    <w:rsid w:val="007E1516"/>
    <w:rsid w:val="007E4904"/>
    <w:rsid w:val="007E4CB5"/>
    <w:rsid w:val="007F066B"/>
    <w:rsid w:val="007F0F77"/>
    <w:rsid w:val="007F475F"/>
    <w:rsid w:val="008033C4"/>
    <w:rsid w:val="00806C88"/>
    <w:rsid w:val="0081034E"/>
    <w:rsid w:val="008344F6"/>
    <w:rsid w:val="0083510F"/>
    <w:rsid w:val="008366CD"/>
    <w:rsid w:val="00851209"/>
    <w:rsid w:val="00861AED"/>
    <w:rsid w:val="008837AC"/>
    <w:rsid w:val="00887EBF"/>
    <w:rsid w:val="008A587D"/>
    <w:rsid w:val="008C1FE0"/>
    <w:rsid w:val="008C5486"/>
    <w:rsid w:val="008E6CAE"/>
    <w:rsid w:val="008E7031"/>
    <w:rsid w:val="0090239D"/>
    <w:rsid w:val="00914A87"/>
    <w:rsid w:val="009233EE"/>
    <w:rsid w:val="00957591"/>
    <w:rsid w:val="009661DE"/>
    <w:rsid w:val="00982FEB"/>
    <w:rsid w:val="009856B7"/>
    <w:rsid w:val="009A3D22"/>
    <w:rsid w:val="009B74B0"/>
    <w:rsid w:val="009D6B46"/>
    <w:rsid w:val="009E7749"/>
    <w:rsid w:val="009F4940"/>
    <w:rsid w:val="00A4478A"/>
    <w:rsid w:val="00A44852"/>
    <w:rsid w:val="00A57D04"/>
    <w:rsid w:val="00A60A26"/>
    <w:rsid w:val="00A61598"/>
    <w:rsid w:val="00A81EF8"/>
    <w:rsid w:val="00A84F46"/>
    <w:rsid w:val="00A871F4"/>
    <w:rsid w:val="00A94D89"/>
    <w:rsid w:val="00AC1B2C"/>
    <w:rsid w:val="00AC3264"/>
    <w:rsid w:val="00AE1BF1"/>
    <w:rsid w:val="00AF0DD2"/>
    <w:rsid w:val="00B13048"/>
    <w:rsid w:val="00B1716D"/>
    <w:rsid w:val="00B17A1D"/>
    <w:rsid w:val="00B207A0"/>
    <w:rsid w:val="00B56E03"/>
    <w:rsid w:val="00B8080B"/>
    <w:rsid w:val="00B87C39"/>
    <w:rsid w:val="00B87DD6"/>
    <w:rsid w:val="00BA4665"/>
    <w:rsid w:val="00BB2FB2"/>
    <w:rsid w:val="00BB3304"/>
    <w:rsid w:val="00BD3446"/>
    <w:rsid w:val="00BE1F1B"/>
    <w:rsid w:val="00BE47B5"/>
    <w:rsid w:val="00C538A9"/>
    <w:rsid w:val="00C53B5A"/>
    <w:rsid w:val="00C54F5A"/>
    <w:rsid w:val="00C73A47"/>
    <w:rsid w:val="00C73C83"/>
    <w:rsid w:val="00C86679"/>
    <w:rsid w:val="00CB666B"/>
    <w:rsid w:val="00D01CF0"/>
    <w:rsid w:val="00D0442A"/>
    <w:rsid w:val="00D32767"/>
    <w:rsid w:val="00D61388"/>
    <w:rsid w:val="00D61A54"/>
    <w:rsid w:val="00D64DEA"/>
    <w:rsid w:val="00D80893"/>
    <w:rsid w:val="00D92CF1"/>
    <w:rsid w:val="00D92D38"/>
    <w:rsid w:val="00D950F5"/>
    <w:rsid w:val="00DB0F93"/>
    <w:rsid w:val="00DC7981"/>
    <w:rsid w:val="00DD15C2"/>
    <w:rsid w:val="00DE4EFA"/>
    <w:rsid w:val="00DE5520"/>
    <w:rsid w:val="00E00EC9"/>
    <w:rsid w:val="00E04818"/>
    <w:rsid w:val="00E06442"/>
    <w:rsid w:val="00E23993"/>
    <w:rsid w:val="00E25B8C"/>
    <w:rsid w:val="00E65C85"/>
    <w:rsid w:val="00E66199"/>
    <w:rsid w:val="00E7472E"/>
    <w:rsid w:val="00E755EC"/>
    <w:rsid w:val="00E7624D"/>
    <w:rsid w:val="00EA3D42"/>
    <w:rsid w:val="00EA6B1B"/>
    <w:rsid w:val="00EB049F"/>
    <w:rsid w:val="00EB7D7F"/>
    <w:rsid w:val="00EE28F3"/>
    <w:rsid w:val="00EE347F"/>
    <w:rsid w:val="00EF5110"/>
    <w:rsid w:val="00F02D9B"/>
    <w:rsid w:val="00F13EAA"/>
    <w:rsid w:val="00F15882"/>
    <w:rsid w:val="00F20BD3"/>
    <w:rsid w:val="00F373A5"/>
    <w:rsid w:val="00F47559"/>
    <w:rsid w:val="00F64C7B"/>
    <w:rsid w:val="00F662F1"/>
    <w:rsid w:val="00F676DD"/>
    <w:rsid w:val="00F70811"/>
    <w:rsid w:val="00F75A26"/>
    <w:rsid w:val="00F83FAD"/>
    <w:rsid w:val="00F952A0"/>
    <w:rsid w:val="00FA3830"/>
    <w:rsid w:val="00FA3C7F"/>
    <w:rsid w:val="00FB74E2"/>
    <w:rsid w:val="00FD5614"/>
    <w:rsid w:val="00FD72DC"/>
    <w:rsid w:val="00FE0BE1"/>
    <w:rsid w:val="00FE1DE9"/>
    <w:rsid w:val="00FE39C2"/>
    <w:rsid w:val="00FE64AE"/>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7465CE43</Template>
  <TotalTime>0</TotalTime>
  <Pages>12</Pages>
  <Words>2400</Words>
  <Characters>13681</Characters>
  <Application>Microsoft Office Word</Application>
  <DocSecurity>4</DocSecurity>
  <Lines>114</Lines>
  <Paragraphs>32</Paragraphs>
  <ScaleCrop>false</ScaleCrop>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2015-02-06T03:42:00Z</dcterms:created>
  <dcterms:modified xsi:type="dcterms:W3CDTF">2015-02-06T03:42:00Z</dcterms:modified>
</cp:coreProperties>
</file>