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Pr="002124A8" w:rsidRDefault="00D47565" w:rsidP="003436ED">
      <w:pPr>
        <w:pStyle w:val="AERHeading1new"/>
        <w:keepNext w:val="0"/>
        <w:keepLines w:val="0"/>
        <w:pageBreakBefore w:val="0"/>
        <w:widowControl w:val="0"/>
        <w:numPr>
          <w:ilvl w:val="0"/>
          <w:numId w:val="0"/>
        </w:numPr>
        <w:spacing w:line="276" w:lineRule="auto"/>
        <w:rPr>
          <w:rFonts w:ascii="Arial" w:hAnsi="Arial" w:cs="Arial"/>
          <w:color w:val="auto"/>
          <w:sz w:val="22"/>
          <w:szCs w:val="22"/>
        </w:rPr>
      </w:pPr>
      <w:bookmarkStart w:id="0" w:name="_Toc305751931"/>
      <w:bookmarkStart w:id="1" w:name="_Toc308601044"/>
      <w:bookmarkStart w:id="2" w:name="_Toc316978870"/>
      <w:bookmarkStart w:id="3" w:name="_Toc317520246"/>
      <w:bookmarkStart w:id="4" w:name="OLE_LINK72"/>
      <w:bookmarkStart w:id="5" w:name="OLE_LINK73"/>
      <w:r>
        <w:rPr>
          <w:rFonts w:ascii="Arial" w:hAnsi="Arial" w:cs="Arial"/>
          <w:noProof/>
          <w:color w:val="auto"/>
          <w:lang w:eastAsia="en-AU"/>
        </w:rPr>
        <w:pict>
          <v:shapetype id="_x0000_t202" coordsize="21600,21600" o:spt="202" path="m,l,21600r21600,l21600,xe">
            <v:stroke joinstyle="miter"/>
            <v:path gradientshapeok="t" o:connecttype="rect"/>
          </v:shapetype>
          <v:shape id="_x0000_s1026" type="#_x0000_t202" style="position:absolute;left:0;text-align:left;margin-left:-6.7pt;margin-top:17.3pt;width:264.15pt;height:86.85pt;z-index:251658240" filled="f" stroked="f">
            <v:textbox style="mso-next-textbox:#_x0000_s1026">
              <w:txbxContent>
                <w:p w:rsidR="00360EF1" w:rsidRDefault="00360EF1" w:rsidP="003D082E">
                  <w:pPr>
                    <w:pStyle w:val="Title"/>
                    <w:spacing w:before="0"/>
                    <w:jc w:val="left"/>
                  </w:pPr>
                  <w:r w:rsidRPr="00F50D3A">
                    <w:t>Electricity</w:t>
                  </w:r>
                  <w:r>
                    <w:t xml:space="preserve"> Report</w:t>
                  </w:r>
                </w:p>
                <w:p w:rsidR="00360EF1" w:rsidRPr="00BD0BB1" w:rsidRDefault="00360EF1" w:rsidP="003D082E">
                  <w:pPr>
                    <w:pStyle w:val="Title"/>
                    <w:spacing w:before="0"/>
                    <w:jc w:val="left"/>
                    <w:rPr>
                      <w:i/>
                    </w:rPr>
                  </w:pPr>
                  <w:r>
                    <w:t>21 – 27 December</w:t>
                  </w:r>
                  <w:r w:rsidRPr="00BD0BB1">
                    <w:t xml:space="preserve"> 2014 </w:t>
                  </w:r>
                </w:p>
              </w:txbxContent>
            </v:textbox>
          </v:shape>
        </w:pict>
      </w:r>
      <w:r>
        <w:rPr>
          <w:rFonts w:ascii="Arial" w:hAnsi="Arial" w:cs="Arial"/>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15pt;height:98.9pt">
            <v:imagedata r:id="rId9" o:title="AER_Head1a" cropbottom="3785f"/>
          </v:shape>
        </w:pict>
      </w:r>
      <w:r w:rsidR="0052471C" w:rsidRPr="002124A8">
        <w:rPr>
          <w:rFonts w:ascii="Arial" w:hAnsi="Arial" w:cs="Arial"/>
          <w:color w:val="auto"/>
          <w:sz w:val="22"/>
          <w:szCs w:val="22"/>
        </w:rPr>
        <w:t xml:space="preserve"> </w:t>
      </w:r>
    </w:p>
    <w:p w:rsidR="00E74564" w:rsidRPr="002124A8" w:rsidRDefault="00E74564" w:rsidP="003436ED">
      <w:pPr>
        <w:pStyle w:val="Heading2"/>
        <w:spacing w:line="276" w:lineRule="auto"/>
        <w:rPr>
          <w:rFonts w:ascii="Arial" w:hAnsi="Arial"/>
          <w:color w:val="auto"/>
        </w:rPr>
      </w:pPr>
      <w:r w:rsidRPr="002124A8">
        <w:rPr>
          <w:rFonts w:ascii="Arial" w:hAnsi="Arial"/>
          <w:color w:val="auto"/>
        </w:rPr>
        <w:t>Introduction</w:t>
      </w:r>
    </w:p>
    <w:p w:rsidR="002F6FF5" w:rsidRPr="00F52F00" w:rsidRDefault="002F6FF5" w:rsidP="003436ED">
      <w:pPr>
        <w:spacing w:line="276" w:lineRule="auto"/>
        <w:rPr>
          <w:rFonts w:ascii="Arial" w:hAnsi="Arial" w:cs="Arial"/>
          <w:sz w:val="22"/>
          <w:szCs w:val="22"/>
          <w:lang w:eastAsia="en-US"/>
        </w:rPr>
      </w:pPr>
      <w:r w:rsidRPr="00F52F00">
        <w:rPr>
          <w:rFonts w:ascii="Arial" w:hAnsi="Arial" w:cs="Arial"/>
          <w:sz w:val="22"/>
          <w:szCs w:val="22"/>
          <w:lang w:eastAsia="en-US"/>
        </w:rPr>
        <w:t xml:space="preserve">The AER is required to publish the reasons for significant variations </w:t>
      </w:r>
      <w:r w:rsidR="005A5ACF" w:rsidRPr="00F52F00">
        <w:rPr>
          <w:rFonts w:ascii="Arial" w:hAnsi="Arial" w:cs="Arial"/>
          <w:sz w:val="22"/>
          <w:szCs w:val="22"/>
          <w:lang w:eastAsia="en-US"/>
        </w:rPr>
        <w:t xml:space="preserve">between forecast and actual price </w:t>
      </w:r>
      <w:r w:rsidRPr="00F52F00">
        <w:rPr>
          <w:rFonts w:ascii="Arial" w:hAnsi="Arial" w:cs="Arial"/>
          <w:sz w:val="22"/>
          <w:szCs w:val="22"/>
          <w:lang w:eastAsia="en-US"/>
        </w:rPr>
        <w:t>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F83806" w:rsidRPr="002124A8" w:rsidRDefault="00F50D3A" w:rsidP="003436ED">
      <w:pPr>
        <w:pStyle w:val="Heading2"/>
        <w:spacing w:line="276" w:lineRule="auto"/>
        <w:rPr>
          <w:rFonts w:ascii="Arial" w:hAnsi="Arial"/>
          <w:color w:val="auto"/>
        </w:rPr>
      </w:pPr>
      <w:r w:rsidRPr="002124A8">
        <w:rPr>
          <w:rFonts w:ascii="Arial" w:hAnsi="Arial"/>
          <w:color w:val="auto"/>
        </w:rPr>
        <w:t>S</w:t>
      </w:r>
      <w:r w:rsidR="00687B08" w:rsidRPr="002124A8">
        <w:rPr>
          <w:rFonts w:ascii="Arial" w:hAnsi="Arial"/>
          <w:color w:val="auto"/>
        </w:rPr>
        <w:t>pot market prices</w:t>
      </w:r>
    </w:p>
    <w:p w:rsidR="0078358A" w:rsidRDefault="0078358A" w:rsidP="003436ED">
      <w:pPr>
        <w:spacing w:line="276" w:lineRule="auto"/>
        <w:rPr>
          <w:rFonts w:ascii="Arial" w:hAnsi="Arial" w:cs="Arial"/>
          <w:sz w:val="22"/>
          <w:szCs w:val="22"/>
        </w:rPr>
      </w:pPr>
      <w:r w:rsidRPr="00F52F00">
        <w:rPr>
          <w:rFonts w:ascii="Arial" w:hAnsi="Arial" w:cs="Arial"/>
          <w:sz w:val="22"/>
          <w:szCs w:val="22"/>
        </w:rPr>
        <w:t xml:space="preserve">Figure 1 shows the spot prices that occurred in each region during the week </w:t>
      </w:r>
      <w:r w:rsidR="00D24C7E">
        <w:rPr>
          <w:rFonts w:ascii="Arial" w:hAnsi="Arial" w:cs="Arial"/>
          <w:sz w:val="22"/>
          <w:szCs w:val="22"/>
        </w:rPr>
        <w:t>21</w:t>
      </w:r>
      <w:r w:rsidR="003D082E">
        <w:rPr>
          <w:rFonts w:ascii="Arial" w:hAnsi="Arial" w:cs="Arial"/>
          <w:sz w:val="22"/>
          <w:szCs w:val="22"/>
        </w:rPr>
        <w:t xml:space="preserve"> </w:t>
      </w:r>
      <w:r w:rsidR="009F12EC" w:rsidRPr="00F52F00">
        <w:rPr>
          <w:rFonts w:ascii="Arial" w:hAnsi="Arial" w:cs="Arial"/>
          <w:sz w:val="22"/>
          <w:szCs w:val="22"/>
        </w:rPr>
        <w:t>t</w:t>
      </w:r>
      <w:r w:rsidR="00780239" w:rsidRPr="00F52F00">
        <w:rPr>
          <w:rFonts w:ascii="Arial" w:hAnsi="Arial" w:cs="Arial"/>
          <w:sz w:val="22"/>
          <w:szCs w:val="22"/>
        </w:rPr>
        <w:t>o</w:t>
      </w:r>
      <w:r w:rsidR="009F12EC" w:rsidRPr="00F52F00">
        <w:rPr>
          <w:rFonts w:ascii="Arial" w:hAnsi="Arial" w:cs="Arial"/>
          <w:sz w:val="22"/>
          <w:szCs w:val="22"/>
        </w:rPr>
        <w:t xml:space="preserve"> </w:t>
      </w:r>
      <w:r w:rsidR="00B907F1">
        <w:rPr>
          <w:rFonts w:ascii="Arial" w:hAnsi="Arial" w:cs="Arial"/>
          <w:sz w:val="22"/>
          <w:szCs w:val="22"/>
        </w:rPr>
        <w:t>2</w:t>
      </w:r>
      <w:r w:rsidR="00D24C7E">
        <w:rPr>
          <w:rFonts w:ascii="Arial" w:hAnsi="Arial" w:cs="Arial"/>
          <w:sz w:val="22"/>
          <w:szCs w:val="22"/>
        </w:rPr>
        <w:t>7</w:t>
      </w:r>
      <w:r w:rsidR="003D082E">
        <w:rPr>
          <w:rFonts w:ascii="Arial" w:hAnsi="Arial" w:cs="Arial"/>
          <w:sz w:val="22"/>
          <w:szCs w:val="22"/>
        </w:rPr>
        <w:t xml:space="preserve"> December</w:t>
      </w:r>
      <w:r w:rsidRPr="00F52F00">
        <w:rPr>
          <w:rFonts w:ascii="Arial" w:hAnsi="Arial" w:cs="Arial"/>
          <w:sz w:val="22"/>
          <w:szCs w:val="22"/>
        </w:rPr>
        <w:t xml:space="preserve"> 2014.</w:t>
      </w:r>
    </w:p>
    <w:p w:rsidR="0078358A" w:rsidRPr="00F52F00" w:rsidRDefault="0078358A" w:rsidP="003436ED">
      <w:pPr>
        <w:pStyle w:val="Figureheading"/>
        <w:numPr>
          <w:ilvl w:val="0"/>
          <w:numId w:val="0"/>
        </w:numPr>
        <w:spacing w:after="0" w:line="276" w:lineRule="auto"/>
        <w:ind w:left="357" w:hanging="357"/>
        <w:rPr>
          <w:rFonts w:ascii="Arial" w:hAnsi="Arial" w:cs="Arial"/>
          <w:sz w:val="22"/>
          <w:szCs w:val="22"/>
        </w:rPr>
      </w:pPr>
      <w:r w:rsidRPr="00F52F00">
        <w:rPr>
          <w:rFonts w:ascii="Arial" w:hAnsi="Arial" w:cs="Arial"/>
          <w:sz w:val="22"/>
          <w:szCs w:val="22"/>
        </w:rPr>
        <w:t xml:space="preserve">Figure 1: Spot price by region ($/MWh) </w:t>
      </w:r>
    </w:p>
    <w:p w:rsidR="00C23E24" w:rsidRPr="002124A8" w:rsidRDefault="00D47565" w:rsidP="003436ED">
      <w:pPr>
        <w:pStyle w:val="AERbodytext"/>
        <w:spacing w:after="0" w:line="276" w:lineRule="auto"/>
        <w:rPr>
          <w:rFonts w:ascii="Arial" w:hAnsi="Arial" w:cs="Arial"/>
          <w:sz w:val="14"/>
        </w:rPr>
      </w:pPr>
      <w:bookmarkStart w:id="6" w:name="OLE_LINK28"/>
      <w:bookmarkStart w:id="7" w:name="OLE_LINK29"/>
      <w:r>
        <w:pict>
          <v:shape id="_x0000_i1026" type="#_x0000_t75" alt="Figure 1 shows the spot prices for this week in each region. The markers indicate the daily maximum and minimum spot prices in each region." style="width:450.8pt;height:225.4pt">
            <v:imagedata r:id="rId10" o:title=""/>
          </v:shape>
        </w:pict>
      </w:r>
    </w:p>
    <w:p w:rsidR="004869A0" w:rsidRPr="00F52F00" w:rsidRDefault="00786E64" w:rsidP="003436ED">
      <w:pPr>
        <w:pStyle w:val="AERbodytext"/>
        <w:spacing w:line="276" w:lineRule="auto"/>
        <w:rPr>
          <w:rFonts w:ascii="Arial" w:hAnsi="Arial" w:cs="Arial"/>
          <w:sz w:val="22"/>
          <w:szCs w:val="22"/>
        </w:rPr>
      </w:pPr>
      <w:r w:rsidRPr="00F52F00">
        <w:rPr>
          <w:rFonts w:ascii="Arial" w:hAnsi="Arial" w:cs="Arial"/>
          <w:sz w:val="22"/>
          <w:szCs w:val="22"/>
        </w:rPr>
        <w:t>Figure 2</w:t>
      </w:r>
      <w:r w:rsidR="00687B08" w:rsidRPr="00F52F00">
        <w:rPr>
          <w:rFonts w:ascii="Arial" w:hAnsi="Arial" w:cs="Arial"/>
          <w:sz w:val="22"/>
          <w:szCs w:val="22"/>
        </w:rPr>
        <w:t xml:space="preserve"> </w:t>
      </w:r>
      <w:r w:rsidR="00953237" w:rsidRPr="00F52F00">
        <w:rPr>
          <w:rFonts w:ascii="Arial" w:hAnsi="Arial" w:cs="Arial"/>
          <w:sz w:val="22"/>
          <w:szCs w:val="22"/>
        </w:rPr>
        <w:t>shows</w:t>
      </w:r>
      <w:r w:rsidR="00687B08" w:rsidRPr="00F52F00">
        <w:rPr>
          <w:rFonts w:ascii="Arial" w:hAnsi="Arial" w:cs="Arial"/>
          <w:sz w:val="22"/>
          <w:szCs w:val="22"/>
        </w:rPr>
        <w:t xml:space="preserve"> the volume weighted average (VWA) prices for </w:t>
      </w:r>
      <w:r w:rsidR="00B032DD" w:rsidRPr="00F52F00">
        <w:rPr>
          <w:rFonts w:ascii="Arial" w:hAnsi="Arial" w:cs="Arial"/>
          <w:sz w:val="22"/>
          <w:szCs w:val="22"/>
        </w:rPr>
        <w:t xml:space="preserve">the current </w:t>
      </w:r>
      <w:r w:rsidR="00687B08" w:rsidRPr="00F52F00">
        <w:rPr>
          <w:rFonts w:ascii="Arial" w:hAnsi="Arial" w:cs="Arial"/>
          <w:sz w:val="22"/>
          <w:szCs w:val="22"/>
        </w:rPr>
        <w:t xml:space="preserve">week </w:t>
      </w:r>
      <w:r w:rsidR="008220CF" w:rsidRPr="00F52F00">
        <w:rPr>
          <w:rFonts w:ascii="Arial" w:hAnsi="Arial" w:cs="Arial"/>
          <w:sz w:val="22"/>
          <w:szCs w:val="22"/>
        </w:rPr>
        <w:t xml:space="preserve">(with prices shown in </w:t>
      </w:r>
      <w:r w:rsidR="00C42BF3" w:rsidRPr="00F52F00">
        <w:rPr>
          <w:rFonts w:ascii="Arial" w:hAnsi="Arial" w:cs="Arial"/>
          <w:sz w:val="22"/>
          <w:szCs w:val="22"/>
        </w:rPr>
        <w:t>T</w:t>
      </w:r>
      <w:r w:rsidR="008220CF" w:rsidRPr="00F52F00">
        <w:rPr>
          <w:rFonts w:ascii="Arial" w:hAnsi="Arial" w:cs="Arial"/>
          <w:sz w:val="22"/>
          <w:szCs w:val="22"/>
        </w:rPr>
        <w:t>able</w:t>
      </w:r>
      <w:r w:rsidR="00C42BF3" w:rsidRPr="00F52F00">
        <w:rPr>
          <w:rFonts w:ascii="Arial" w:hAnsi="Arial" w:cs="Arial"/>
          <w:sz w:val="22"/>
          <w:szCs w:val="22"/>
        </w:rPr>
        <w:t xml:space="preserve"> 1</w:t>
      </w:r>
      <w:r w:rsidR="008220CF" w:rsidRPr="00F52F00">
        <w:rPr>
          <w:rFonts w:ascii="Arial" w:hAnsi="Arial" w:cs="Arial"/>
          <w:sz w:val="22"/>
          <w:szCs w:val="22"/>
        </w:rPr>
        <w:t xml:space="preserve">) </w:t>
      </w:r>
      <w:r w:rsidR="00687B08" w:rsidRPr="00F52F00">
        <w:rPr>
          <w:rFonts w:ascii="Arial" w:hAnsi="Arial" w:cs="Arial"/>
          <w:sz w:val="22"/>
          <w:szCs w:val="22"/>
        </w:rPr>
        <w:t xml:space="preserve">and </w:t>
      </w:r>
      <w:r w:rsidR="00237FD8" w:rsidRPr="00F52F00">
        <w:rPr>
          <w:rFonts w:ascii="Arial" w:hAnsi="Arial" w:cs="Arial"/>
          <w:sz w:val="22"/>
          <w:szCs w:val="22"/>
        </w:rPr>
        <w:t xml:space="preserve">the </w:t>
      </w:r>
      <w:r w:rsidR="00687B08" w:rsidRPr="00F52F00">
        <w:rPr>
          <w:rFonts w:ascii="Arial" w:hAnsi="Arial" w:cs="Arial"/>
          <w:sz w:val="22"/>
          <w:szCs w:val="22"/>
        </w:rPr>
        <w:t xml:space="preserve">preceding </w:t>
      </w:r>
      <w:r w:rsidR="00237FD8" w:rsidRPr="00F52F00">
        <w:rPr>
          <w:rFonts w:ascii="Arial" w:hAnsi="Arial" w:cs="Arial"/>
          <w:sz w:val="22"/>
          <w:szCs w:val="22"/>
        </w:rPr>
        <w:t>12</w:t>
      </w:r>
      <w:r w:rsidR="004869A0" w:rsidRPr="00F52F00">
        <w:rPr>
          <w:rFonts w:ascii="Arial" w:hAnsi="Arial" w:cs="Arial"/>
          <w:sz w:val="22"/>
          <w:szCs w:val="22"/>
        </w:rPr>
        <w:t xml:space="preserve"> weeks, as well as the VWA price over the previous 3 financial years</w:t>
      </w:r>
    </w:p>
    <w:p w:rsidR="00B027E9" w:rsidRPr="00F52F00" w:rsidRDefault="00687B08" w:rsidP="003436ED">
      <w:pPr>
        <w:pStyle w:val="Figureheading"/>
        <w:numPr>
          <w:ilvl w:val="0"/>
          <w:numId w:val="0"/>
        </w:numPr>
        <w:spacing w:after="0" w:line="276" w:lineRule="auto"/>
        <w:ind w:left="357" w:hanging="357"/>
        <w:rPr>
          <w:rFonts w:ascii="Arial" w:hAnsi="Arial" w:cs="Arial"/>
          <w:sz w:val="22"/>
          <w:szCs w:val="22"/>
        </w:rPr>
      </w:pPr>
      <w:bookmarkStart w:id="8" w:name="_Ref307219594"/>
      <w:r w:rsidRPr="00F52F00">
        <w:rPr>
          <w:rFonts w:ascii="Arial" w:hAnsi="Arial" w:cs="Arial"/>
          <w:sz w:val="22"/>
          <w:szCs w:val="22"/>
        </w:rPr>
        <w:lastRenderedPageBreak/>
        <w:t xml:space="preserve">Figure </w:t>
      </w:r>
      <w:bookmarkEnd w:id="8"/>
      <w:r w:rsidR="00786E64" w:rsidRPr="00F52F00">
        <w:rPr>
          <w:rFonts w:ascii="Arial" w:hAnsi="Arial" w:cs="Arial"/>
          <w:sz w:val="22"/>
          <w:szCs w:val="22"/>
        </w:rPr>
        <w:t>2</w:t>
      </w:r>
      <w:r w:rsidRPr="00F52F00">
        <w:rPr>
          <w:rFonts w:ascii="Arial" w:hAnsi="Arial" w:cs="Arial"/>
          <w:sz w:val="22"/>
          <w:szCs w:val="22"/>
        </w:rPr>
        <w:t xml:space="preserve">: </w:t>
      </w:r>
      <w:r w:rsidR="00656C5F" w:rsidRPr="00F52F00">
        <w:rPr>
          <w:rFonts w:ascii="Arial" w:hAnsi="Arial" w:cs="Arial"/>
          <w:sz w:val="22"/>
          <w:szCs w:val="22"/>
        </w:rPr>
        <w:t>Volume weighted average spot price by region ($/MWh)</w:t>
      </w:r>
    </w:p>
    <w:p w:rsidR="00785F23" w:rsidRPr="002124A8" w:rsidRDefault="00F02B66" w:rsidP="003436ED">
      <w:pPr>
        <w:pStyle w:val="AERbodytext"/>
        <w:spacing w:line="276" w:lineRule="auto"/>
        <w:rPr>
          <w:rFonts w:ascii="Arial" w:hAnsi="Arial" w:cs="Arial"/>
        </w:rPr>
      </w:pPr>
      <w:r>
        <w:pict>
          <v:shape id="_x0000_i1027" type="#_x0000_t75" alt="Figure 2 shows the volume weighted average (VWA) prices for this week (with prices shown in Table 1) and the preceding 12 weeks, as well as the VWA price over the previous 3 financial years. " style="width:450.8pt;height:224.75pt">
            <v:imagedata r:id="rId11" o:title=""/>
          </v:shape>
        </w:pict>
      </w:r>
    </w:p>
    <w:p w:rsidR="00965EA9" w:rsidRPr="00F52F00" w:rsidRDefault="00965EA9" w:rsidP="003436ED">
      <w:pPr>
        <w:pStyle w:val="AERtabletitle"/>
        <w:spacing w:line="276" w:lineRule="auto"/>
        <w:rPr>
          <w:rFonts w:ascii="Arial" w:hAnsi="Arial" w:cs="Arial"/>
          <w:sz w:val="22"/>
          <w:szCs w:val="22"/>
        </w:rPr>
      </w:pPr>
      <w:r w:rsidRPr="00F52F00">
        <w:rPr>
          <w:rFonts w:ascii="Arial" w:hAnsi="Arial" w:cs="Arial"/>
          <w:sz w:val="22"/>
          <w:szCs w:val="22"/>
        </w:rPr>
        <w:t xml:space="preserve">Table 1: </w:t>
      </w:r>
      <w:r w:rsidR="008B0A6A" w:rsidRPr="00F52F00">
        <w:rPr>
          <w:rFonts w:ascii="Arial" w:hAnsi="Arial" w:cs="Arial"/>
          <w:sz w:val="22"/>
          <w:szCs w:val="22"/>
        </w:rPr>
        <w:t xml:space="preserve">Volume weighted </w:t>
      </w:r>
      <w:r w:rsidRPr="00F52F00">
        <w:rPr>
          <w:rFonts w:ascii="Arial" w:hAnsi="Arial" w:cs="Arial"/>
          <w:sz w:val="22"/>
          <w:szCs w:val="22"/>
        </w:rPr>
        <w:t>average spot price</w:t>
      </w:r>
      <w:r w:rsidR="00525D52" w:rsidRPr="00F52F00">
        <w:rPr>
          <w:rFonts w:ascii="Arial" w:hAnsi="Arial" w:cs="Arial"/>
          <w:sz w:val="22"/>
          <w:szCs w:val="22"/>
        </w:rPr>
        <w:t>s</w:t>
      </w:r>
      <w:r w:rsidRPr="00F52F00">
        <w:rPr>
          <w:rFonts w:ascii="Arial" w:hAnsi="Arial" w:cs="Arial"/>
          <w:sz w:val="22"/>
          <w:szCs w:val="22"/>
        </w:rPr>
        <w:t xml:space="preserve"> by region</w:t>
      </w:r>
      <w:r w:rsidR="008B0A6A" w:rsidRPr="00F52F00">
        <w:rPr>
          <w:rFonts w:ascii="Arial" w:hAnsi="Arial" w:cs="Arial"/>
          <w:sz w:val="22"/>
          <w:szCs w:val="22"/>
        </w:rPr>
        <w:t xml:space="preserve"> ($/MWh)</w:t>
      </w:r>
    </w:p>
    <w:tbl>
      <w:tblPr>
        <w:tblW w:w="5000" w:type="pct"/>
        <w:tblLook w:val="04A0" w:firstRow="1" w:lastRow="0" w:firstColumn="1" w:lastColumn="0" w:noHBand="0" w:noVBand="1"/>
      </w:tblPr>
      <w:tblGrid>
        <w:gridCol w:w="2509"/>
        <w:gridCol w:w="957"/>
        <w:gridCol w:w="1444"/>
        <w:gridCol w:w="1444"/>
        <w:gridCol w:w="1444"/>
        <w:gridCol w:w="1444"/>
      </w:tblGrid>
      <w:tr w:rsidR="009340BA" w:rsidRPr="00F52F00" w:rsidTr="007B781D">
        <w:trPr>
          <w:trHeight w:hRule="exact" w:val="340"/>
        </w:trPr>
        <w:tc>
          <w:tcPr>
            <w:tcW w:w="1357" w:type="pct"/>
            <w:tcBorders>
              <w:top w:val="single" w:sz="8" w:space="0" w:color="7BA0CD"/>
              <w:left w:val="nil"/>
              <w:bottom w:val="nil"/>
              <w:right w:val="nil"/>
            </w:tcBorders>
            <w:shd w:val="clear" w:color="000000" w:fill="4A442A"/>
            <w:noWrap/>
            <w:vAlign w:val="center"/>
            <w:hideMark/>
          </w:tcPr>
          <w:p w:rsidR="009340BA" w:rsidRPr="00F52F00" w:rsidRDefault="009340BA" w:rsidP="003436ED">
            <w:pPr>
              <w:spacing w:line="276" w:lineRule="auto"/>
              <w:jc w:val="center"/>
              <w:rPr>
                <w:rFonts w:ascii="Arial" w:hAnsi="Arial" w:cs="Arial"/>
                <w:b/>
                <w:bCs/>
                <w:color w:val="FFFFFF"/>
                <w:szCs w:val="20"/>
              </w:rPr>
            </w:pPr>
            <w:r w:rsidRPr="00F52F00">
              <w:rPr>
                <w:rFonts w:ascii="Arial" w:hAnsi="Arial" w:cs="Arial"/>
                <w:b/>
                <w:bCs/>
                <w:color w:val="FFFFFF"/>
                <w:szCs w:val="20"/>
              </w:rPr>
              <w:t>Region</w:t>
            </w:r>
          </w:p>
        </w:tc>
        <w:tc>
          <w:tcPr>
            <w:tcW w:w="518" w:type="pct"/>
            <w:tcBorders>
              <w:top w:val="single" w:sz="8" w:space="0" w:color="7BA0CD"/>
              <w:left w:val="nil"/>
              <w:bottom w:val="nil"/>
              <w:right w:val="nil"/>
            </w:tcBorders>
            <w:shd w:val="clear" w:color="000000" w:fill="4A442A"/>
            <w:noWrap/>
            <w:vAlign w:val="center"/>
            <w:hideMark/>
          </w:tcPr>
          <w:p w:rsidR="009340BA" w:rsidRPr="00F52F00" w:rsidRDefault="009340BA" w:rsidP="003436ED">
            <w:pPr>
              <w:spacing w:line="276" w:lineRule="auto"/>
              <w:jc w:val="center"/>
              <w:rPr>
                <w:rFonts w:ascii="Arial" w:hAnsi="Arial" w:cs="Arial"/>
                <w:b/>
                <w:bCs/>
                <w:color w:val="FFFFFF"/>
                <w:szCs w:val="20"/>
              </w:rPr>
            </w:pPr>
            <w:r w:rsidRPr="00F52F00">
              <w:rPr>
                <w:rFonts w:ascii="Arial" w:hAnsi="Arial" w:cs="Arial"/>
                <w:b/>
                <w:bCs/>
                <w:color w:val="FFFFFF"/>
                <w:szCs w:val="20"/>
              </w:rPr>
              <w:t>Qld</w:t>
            </w:r>
          </w:p>
        </w:tc>
        <w:tc>
          <w:tcPr>
            <w:tcW w:w="781" w:type="pct"/>
            <w:tcBorders>
              <w:top w:val="single" w:sz="8" w:space="0" w:color="7BA0CD"/>
              <w:left w:val="nil"/>
              <w:bottom w:val="nil"/>
              <w:right w:val="nil"/>
            </w:tcBorders>
            <w:shd w:val="clear" w:color="000000" w:fill="4A442A"/>
            <w:noWrap/>
            <w:vAlign w:val="center"/>
            <w:hideMark/>
          </w:tcPr>
          <w:p w:rsidR="009340BA" w:rsidRPr="00F52F00" w:rsidRDefault="009340BA" w:rsidP="003436ED">
            <w:pPr>
              <w:spacing w:line="276" w:lineRule="auto"/>
              <w:jc w:val="center"/>
              <w:rPr>
                <w:rFonts w:ascii="Arial" w:hAnsi="Arial" w:cs="Arial"/>
                <w:b/>
                <w:bCs/>
                <w:color w:val="FFFFFF"/>
                <w:szCs w:val="20"/>
              </w:rPr>
            </w:pPr>
            <w:r w:rsidRPr="00F52F00">
              <w:rPr>
                <w:rFonts w:ascii="Arial" w:hAnsi="Arial" w:cs="Arial"/>
                <w:b/>
                <w:bCs/>
                <w:color w:val="FFFFFF"/>
                <w:szCs w:val="20"/>
              </w:rPr>
              <w:t>NSW</w:t>
            </w:r>
          </w:p>
        </w:tc>
        <w:tc>
          <w:tcPr>
            <w:tcW w:w="781" w:type="pct"/>
            <w:tcBorders>
              <w:top w:val="single" w:sz="8" w:space="0" w:color="7BA0CD"/>
              <w:left w:val="nil"/>
              <w:bottom w:val="nil"/>
              <w:right w:val="nil"/>
            </w:tcBorders>
            <w:shd w:val="clear" w:color="000000" w:fill="4A442A"/>
            <w:noWrap/>
            <w:vAlign w:val="center"/>
            <w:hideMark/>
          </w:tcPr>
          <w:p w:rsidR="009340BA" w:rsidRPr="00F52F00" w:rsidRDefault="009340BA" w:rsidP="003436ED">
            <w:pPr>
              <w:spacing w:line="276" w:lineRule="auto"/>
              <w:jc w:val="center"/>
              <w:rPr>
                <w:rFonts w:ascii="Arial" w:hAnsi="Arial" w:cs="Arial"/>
                <w:b/>
                <w:bCs/>
                <w:color w:val="FFFFFF"/>
                <w:szCs w:val="20"/>
              </w:rPr>
            </w:pPr>
            <w:r w:rsidRPr="00F52F00">
              <w:rPr>
                <w:rFonts w:ascii="Arial" w:hAnsi="Arial" w:cs="Arial"/>
                <w:b/>
                <w:bCs/>
                <w:color w:val="FFFFFF"/>
                <w:szCs w:val="20"/>
              </w:rPr>
              <w:t>Vic</w:t>
            </w:r>
          </w:p>
        </w:tc>
        <w:tc>
          <w:tcPr>
            <w:tcW w:w="781" w:type="pct"/>
            <w:tcBorders>
              <w:top w:val="single" w:sz="8" w:space="0" w:color="7BA0CD"/>
              <w:left w:val="nil"/>
              <w:bottom w:val="nil"/>
              <w:right w:val="nil"/>
            </w:tcBorders>
            <w:shd w:val="clear" w:color="000000" w:fill="4A442A"/>
            <w:noWrap/>
            <w:vAlign w:val="center"/>
            <w:hideMark/>
          </w:tcPr>
          <w:p w:rsidR="009340BA" w:rsidRPr="00F52F00" w:rsidRDefault="009340BA" w:rsidP="003436ED">
            <w:pPr>
              <w:spacing w:line="276" w:lineRule="auto"/>
              <w:jc w:val="center"/>
              <w:rPr>
                <w:rFonts w:ascii="Arial" w:hAnsi="Arial" w:cs="Arial"/>
                <w:b/>
                <w:bCs/>
                <w:color w:val="FFFFFF"/>
                <w:szCs w:val="20"/>
              </w:rPr>
            </w:pPr>
            <w:r w:rsidRPr="00F52F00">
              <w:rPr>
                <w:rFonts w:ascii="Arial" w:hAnsi="Arial" w:cs="Arial"/>
                <w:b/>
                <w:bCs/>
                <w:color w:val="FFFFFF"/>
                <w:szCs w:val="20"/>
              </w:rPr>
              <w:t>SA</w:t>
            </w:r>
          </w:p>
        </w:tc>
        <w:tc>
          <w:tcPr>
            <w:tcW w:w="781" w:type="pct"/>
            <w:tcBorders>
              <w:top w:val="single" w:sz="8" w:space="0" w:color="7BA0CD"/>
              <w:left w:val="nil"/>
              <w:bottom w:val="nil"/>
              <w:right w:val="nil"/>
            </w:tcBorders>
            <w:shd w:val="clear" w:color="000000" w:fill="4A442A"/>
            <w:noWrap/>
            <w:vAlign w:val="center"/>
            <w:hideMark/>
          </w:tcPr>
          <w:p w:rsidR="009340BA" w:rsidRPr="00F52F00" w:rsidRDefault="009340BA" w:rsidP="003436ED">
            <w:pPr>
              <w:spacing w:line="276" w:lineRule="auto"/>
              <w:jc w:val="center"/>
              <w:rPr>
                <w:rFonts w:ascii="Arial" w:hAnsi="Arial" w:cs="Arial"/>
                <w:b/>
                <w:bCs/>
                <w:color w:val="FFFFFF"/>
                <w:szCs w:val="20"/>
              </w:rPr>
            </w:pPr>
            <w:r w:rsidRPr="00F52F00">
              <w:rPr>
                <w:rFonts w:ascii="Arial" w:hAnsi="Arial" w:cs="Arial"/>
                <w:b/>
                <w:bCs/>
                <w:color w:val="FFFFFF"/>
                <w:szCs w:val="20"/>
              </w:rPr>
              <w:t>Tas</w:t>
            </w:r>
          </w:p>
        </w:tc>
      </w:tr>
      <w:tr w:rsidR="00D24C7E" w:rsidRPr="00F52F00" w:rsidTr="009933CD">
        <w:trPr>
          <w:trHeight w:hRule="exact" w:val="340"/>
        </w:trPr>
        <w:tc>
          <w:tcPr>
            <w:tcW w:w="1357" w:type="pct"/>
            <w:tcBorders>
              <w:top w:val="nil"/>
              <w:left w:val="nil"/>
              <w:bottom w:val="nil"/>
              <w:right w:val="nil"/>
            </w:tcBorders>
            <w:shd w:val="clear" w:color="000000" w:fill="DDD9C3"/>
            <w:noWrap/>
            <w:vAlign w:val="center"/>
            <w:hideMark/>
          </w:tcPr>
          <w:p w:rsidR="00D24C7E" w:rsidRPr="00F52F00" w:rsidRDefault="00D24C7E" w:rsidP="003436ED">
            <w:pPr>
              <w:spacing w:line="276" w:lineRule="auto"/>
              <w:rPr>
                <w:rFonts w:ascii="Arial" w:hAnsi="Arial" w:cs="Arial"/>
                <w:b/>
                <w:bCs/>
                <w:szCs w:val="20"/>
              </w:rPr>
            </w:pPr>
            <w:r w:rsidRPr="00F52F00">
              <w:rPr>
                <w:rFonts w:ascii="Arial" w:hAnsi="Arial" w:cs="Arial"/>
                <w:b/>
                <w:bCs/>
                <w:szCs w:val="20"/>
              </w:rPr>
              <w:t>Current week</w:t>
            </w:r>
          </w:p>
        </w:tc>
        <w:tc>
          <w:tcPr>
            <w:tcW w:w="518" w:type="pct"/>
            <w:tcBorders>
              <w:top w:val="nil"/>
              <w:left w:val="nil"/>
              <w:bottom w:val="nil"/>
              <w:right w:val="nil"/>
            </w:tcBorders>
            <w:shd w:val="clear" w:color="000000" w:fill="DDD9C3"/>
            <w:noWrap/>
            <w:vAlign w:val="center"/>
          </w:tcPr>
          <w:p w:rsidR="00D24C7E" w:rsidRPr="00D24C7E" w:rsidRDefault="00D24C7E">
            <w:pPr>
              <w:jc w:val="center"/>
              <w:rPr>
                <w:rFonts w:ascii="Arial" w:hAnsi="Arial" w:cs="Arial"/>
                <w:szCs w:val="20"/>
              </w:rPr>
            </w:pPr>
            <w:r w:rsidRPr="00D24C7E">
              <w:rPr>
                <w:rFonts w:ascii="Arial" w:hAnsi="Arial" w:cs="Arial"/>
                <w:szCs w:val="20"/>
              </w:rPr>
              <w:t>24</w:t>
            </w:r>
          </w:p>
        </w:tc>
        <w:tc>
          <w:tcPr>
            <w:tcW w:w="781" w:type="pct"/>
            <w:tcBorders>
              <w:top w:val="nil"/>
              <w:left w:val="nil"/>
              <w:bottom w:val="nil"/>
              <w:right w:val="nil"/>
            </w:tcBorders>
            <w:shd w:val="clear" w:color="000000" w:fill="DDD9C3"/>
            <w:noWrap/>
            <w:vAlign w:val="center"/>
          </w:tcPr>
          <w:p w:rsidR="00D24C7E" w:rsidRPr="00D24C7E" w:rsidRDefault="00D24C7E">
            <w:pPr>
              <w:jc w:val="center"/>
              <w:rPr>
                <w:rFonts w:ascii="Arial" w:hAnsi="Arial" w:cs="Arial"/>
                <w:szCs w:val="20"/>
              </w:rPr>
            </w:pPr>
            <w:r w:rsidRPr="00D24C7E">
              <w:rPr>
                <w:rFonts w:ascii="Arial" w:hAnsi="Arial" w:cs="Arial"/>
                <w:szCs w:val="20"/>
              </w:rPr>
              <w:t>28</w:t>
            </w:r>
          </w:p>
        </w:tc>
        <w:tc>
          <w:tcPr>
            <w:tcW w:w="781" w:type="pct"/>
            <w:tcBorders>
              <w:top w:val="nil"/>
              <w:left w:val="nil"/>
              <w:bottom w:val="nil"/>
              <w:right w:val="nil"/>
            </w:tcBorders>
            <w:shd w:val="clear" w:color="000000" w:fill="DDD9C3"/>
            <w:noWrap/>
            <w:vAlign w:val="center"/>
          </w:tcPr>
          <w:p w:rsidR="00D24C7E" w:rsidRPr="00D24C7E" w:rsidRDefault="00D24C7E">
            <w:pPr>
              <w:jc w:val="center"/>
              <w:rPr>
                <w:rFonts w:ascii="Arial" w:hAnsi="Arial" w:cs="Arial"/>
                <w:szCs w:val="20"/>
              </w:rPr>
            </w:pPr>
            <w:r w:rsidRPr="00D24C7E">
              <w:rPr>
                <w:rFonts w:ascii="Arial" w:hAnsi="Arial" w:cs="Arial"/>
                <w:szCs w:val="20"/>
              </w:rPr>
              <w:t>24</w:t>
            </w:r>
          </w:p>
        </w:tc>
        <w:tc>
          <w:tcPr>
            <w:tcW w:w="781" w:type="pct"/>
            <w:tcBorders>
              <w:top w:val="nil"/>
              <w:left w:val="nil"/>
              <w:bottom w:val="nil"/>
              <w:right w:val="nil"/>
            </w:tcBorders>
            <w:shd w:val="clear" w:color="000000" w:fill="DDD9C3"/>
            <w:noWrap/>
            <w:vAlign w:val="center"/>
          </w:tcPr>
          <w:p w:rsidR="00D24C7E" w:rsidRPr="00D24C7E" w:rsidRDefault="00D24C7E">
            <w:pPr>
              <w:jc w:val="center"/>
              <w:rPr>
                <w:rFonts w:ascii="Arial" w:hAnsi="Arial" w:cs="Arial"/>
                <w:szCs w:val="20"/>
              </w:rPr>
            </w:pPr>
            <w:r w:rsidRPr="00D24C7E">
              <w:rPr>
                <w:rFonts w:ascii="Arial" w:hAnsi="Arial" w:cs="Arial"/>
                <w:szCs w:val="20"/>
              </w:rPr>
              <w:t>28</w:t>
            </w:r>
          </w:p>
        </w:tc>
        <w:tc>
          <w:tcPr>
            <w:tcW w:w="781" w:type="pct"/>
            <w:tcBorders>
              <w:top w:val="nil"/>
              <w:left w:val="nil"/>
              <w:bottom w:val="nil"/>
              <w:right w:val="nil"/>
            </w:tcBorders>
            <w:shd w:val="clear" w:color="000000" w:fill="DDD9C3"/>
            <w:noWrap/>
            <w:vAlign w:val="center"/>
          </w:tcPr>
          <w:p w:rsidR="00D24C7E" w:rsidRPr="00D24C7E" w:rsidRDefault="00D24C7E">
            <w:pPr>
              <w:jc w:val="center"/>
              <w:rPr>
                <w:rFonts w:ascii="Arial" w:hAnsi="Arial" w:cs="Arial"/>
                <w:szCs w:val="20"/>
              </w:rPr>
            </w:pPr>
            <w:r w:rsidRPr="00D24C7E">
              <w:rPr>
                <w:rFonts w:ascii="Arial" w:hAnsi="Arial" w:cs="Arial"/>
                <w:szCs w:val="20"/>
              </w:rPr>
              <w:t>41</w:t>
            </w:r>
          </w:p>
        </w:tc>
      </w:tr>
      <w:tr w:rsidR="00D24C7E" w:rsidRPr="00F52F00" w:rsidTr="009933CD">
        <w:trPr>
          <w:trHeight w:hRule="exact" w:val="340"/>
        </w:trPr>
        <w:tc>
          <w:tcPr>
            <w:tcW w:w="1357" w:type="pct"/>
            <w:tcBorders>
              <w:top w:val="nil"/>
              <w:left w:val="nil"/>
              <w:bottom w:val="nil"/>
              <w:right w:val="nil"/>
            </w:tcBorders>
            <w:shd w:val="clear" w:color="000000" w:fill="EEECE1"/>
            <w:noWrap/>
            <w:vAlign w:val="center"/>
            <w:hideMark/>
          </w:tcPr>
          <w:p w:rsidR="00D24C7E" w:rsidRPr="00F52F00" w:rsidRDefault="00D24C7E" w:rsidP="003436ED">
            <w:pPr>
              <w:spacing w:line="276" w:lineRule="auto"/>
              <w:rPr>
                <w:rFonts w:ascii="Arial" w:hAnsi="Arial" w:cs="Arial"/>
                <w:b/>
                <w:bCs/>
                <w:szCs w:val="20"/>
              </w:rPr>
            </w:pPr>
            <w:r w:rsidRPr="00F52F00">
              <w:rPr>
                <w:rFonts w:ascii="Arial" w:hAnsi="Arial" w:cs="Arial"/>
                <w:b/>
                <w:bCs/>
                <w:szCs w:val="20"/>
              </w:rPr>
              <w:t>13-14 financial YTD</w:t>
            </w:r>
          </w:p>
        </w:tc>
        <w:tc>
          <w:tcPr>
            <w:tcW w:w="518" w:type="pct"/>
            <w:tcBorders>
              <w:top w:val="nil"/>
              <w:left w:val="nil"/>
              <w:bottom w:val="nil"/>
              <w:right w:val="nil"/>
            </w:tcBorders>
            <w:shd w:val="clear" w:color="000000" w:fill="EEECE1"/>
            <w:noWrap/>
            <w:vAlign w:val="center"/>
          </w:tcPr>
          <w:p w:rsidR="00D24C7E" w:rsidRPr="00D24C7E" w:rsidRDefault="00D24C7E">
            <w:pPr>
              <w:jc w:val="center"/>
              <w:rPr>
                <w:rFonts w:ascii="Arial" w:hAnsi="Arial" w:cs="Arial"/>
                <w:szCs w:val="20"/>
              </w:rPr>
            </w:pPr>
            <w:r w:rsidRPr="00D24C7E">
              <w:rPr>
                <w:rFonts w:ascii="Arial" w:hAnsi="Arial" w:cs="Arial"/>
                <w:szCs w:val="20"/>
              </w:rPr>
              <w:t>59</w:t>
            </w:r>
          </w:p>
        </w:tc>
        <w:tc>
          <w:tcPr>
            <w:tcW w:w="781" w:type="pct"/>
            <w:tcBorders>
              <w:top w:val="nil"/>
              <w:left w:val="nil"/>
              <w:bottom w:val="nil"/>
              <w:right w:val="nil"/>
            </w:tcBorders>
            <w:shd w:val="clear" w:color="000000" w:fill="EEECE1"/>
            <w:noWrap/>
            <w:vAlign w:val="center"/>
          </w:tcPr>
          <w:p w:rsidR="00D24C7E" w:rsidRPr="00D24C7E" w:rsidRDefault="00D24C7E">
            <w:pPr>
              <w:jc w:val="center"/>
              <w:rPr>
                <w:rFonts w:ascii="Arial" w:hAnsi="Arial" w:cs="Arial"/>
                <w:szCs w:val="20"/>
              </w:rPr>
            </w:pPr>
            <w:r w:rsidRPr="00D24C7E">
              <w:rPr>
                <w:rFonts w:ascii="Arial" w:hAnsi="Arial" w:cs="Arial"/>
                <w:szCs w:val="20"/>
              </w:rPr>
              <w:t>56</w:t>
            </w:r>
          </w:p>
        </w:tc>
        <w:tc>
          <w:tcPr>
            <w:tcW w:w="781" w:type="pct"/>
            <w:tcBorders>
              <w:top w:val="nil"/>
              <w:left w:val="nil"/>
              <w:bottom w:val="nil"/>
              <w:right w:val="nil"/>
            </w:tcBorders>
            <w:shd w:val="clear" w:color="000000" w:fill="EEECE1"/>
            <w:noWrap/>
            <w:vAlign w:val="center"/>
          </w:tcPr>
          <w:p w:rsidR="00D24C7E" w:rsidRPr="00D24C7E" w:rsidRDefault="00D24C7E">
            <w:pPr>
              <w:jc w:val="center"/>
              <w:rPr>
                <w:rFonts w:ascii="Arial" w:hAnsi="Arial" w:cs="Arial"/>
                <w:szCs w:val="20"/>
              </w:rPr>
            </w:pPr>
            <w:r w:rsidRPr="00D24C7E">
              <w:rPr>
                <w:rFonts w:ascii="Arial" w:hAnsi="Arial" w:cs="Arial"/>
                <w:szCs w:val="20"/>
              </w:rPr>
              <w:t>53</w:t>
            </w:r>
          </w:p>
        </w:tc>
        <w:tc>
          <w:tcPr>
            <w:tcW w:w="781" w:type="pct"/>
            <w:tcBorders>
              <w:top w:val="nil"/>
              <w:left w:val="nil"/>
              <w:bottom w:val="nil"/>
              <w:right w:val="nil"/>
            </w:tcBorders>
            <w:shd w:val="clear" w:color="000000" w:fill="EEECE1"/>
            <w:noWrap/>
            <w:vAlign w:val="center"/>
          </w:tcPr>
          <w:p w:rsidR="00D24C7E" w:rsidRPr="00D24C7E" w:rsidRDefault="00D24C7E">
            <w:pPr>
              <w:jc w:val="center"/>
              <w:rPr>
                <w:rFonts w:ascii="Arial" w:hAnsi="Arial" w:cs="Arial"/>
                <w:szCs w:val="20"/>
              </w:rPr>
            </w:pPr>
            <w:r w:rsidRPr="00D24C7E">
              <w:rPr>
                <w:rFonts w:ascii="Arial" w:hAnsi="Arial" w:cs="Arial"/>
                <w:szCs w:val="20"/>
              </w:rPr>
              <w:t>71</w:t>
            </w:r>
          </w:p>
        </w:tc>
        <w:tc>
          <w:tcPr>
            <w:tcW w:w="781" w:type="pct"/>
            <w:tcBorders>
              <w:top w:val="nil"/>
              <w:left w:val="nil"/>
              <w:bottom w:val="nil"/>
              <w:right w:val="nil"/>
            </w:tcBorders>
            <w:shd w:val="clear" w:color="000000" w:fill="EEECE1"/>
            <w:noWrap/>
            <w:vAlign w:val="center"/>
          </w:tcPr>
          <w:p w:rsidR="00D24C7E" w:rsidRPr="00D24C7E" w:rsidRDefault="00D24C7E">
            <w:pPr>
              <w:jc w:val="center"/>
              <w:rPr>
                <w:rFonts w:ascii="Arial" w:hAnsi="Arial" w:cs="Arial"/>
                <w:szCs w:val="20"/>
              </w:rPr>
            </w:pPr>
            <w:r w:rsidRPr="00D24C7E">
              <w:rPr>
                <w:rFonts w:ascii="Arial" w:hAnsi="Arial" w:cs="Arial"/>
                <w:szCs w:val="20"/>
              </w:rPr>
              <w:t>44</w:t>
            </w:r>
          </w:p>
        </w:tc>
      </w:tr>
      <w:tr w:rsidR="00D24C7E" w:rsidRPr="00F52F00" w:rsidTr="009933CD">
        <w:trPr>
          <w:trHeight w:hRule="exact" w:val="340"/>
        </w:trPr>
        <w:tc>
          <w:tcPr>
            <w:tcW w:w="1357" w:type="pct"/>
            <w:tcBorders>
              <w:top w:val="nil"/>
              <w:left w:val="nil"/>
              <w:bottom w:val="single" w:sz="8" w:space="0" w:color="auto"/>
              <w:right w:val="nil"/>
            </w:tcBorders>
            <w:shd w:val="clear" w:color="000000" w:fill="DDD9C3"/>
            <w:noWrap/>
            <w:vAlign w:val="center"/>
            <w:hideMark/>
          </w:tcPr>
          <w:p w:rsidR="00D24C7E" w:rsidRPr="00F52F00" w:rsidRDefault="00D24C7E" w:rsidP="003436ED">
            <w:pPr>
              <w:spacing w:line="276" w:lineRule="auto"/>
              <w:rPr>
                <w:rFonts w:ascii="Arial" w:hAnsi="Arial" w:cs="Arial"/>
                <w:b/>
                <w:bCs/>
                <w:szCs w:val="20"/>
              </w:rPr>
            </w:pPr>
            <w:r w:rsidRPr="00F52F00">
              <w:rPr>
                <w:rFonts w:ascii="Arial" w:hAnsi="Arial" w:cs="Arial"/>
                <w:b/>
                <w:bCs/>
                <w:szCs w:val="20"/>
              </w:rPr>
              <w:t>14-15 financial YTD</w:t>
            </w:r>
          </w:p>
        </w:tc>
        <w:tc>
          <w:tcPr>
            <w:tcW w:w="518" w:type="pct"/>
            <w:tcBorders>
              <w:top w:val="nil"/>
              <w:left w:val="nil"/>
              <w:bottom w:val="single" w:sz="8" w:space="0" w:color="auto"/>
              <w:right w:val="nil"/>
            </w:tcBorders>
            <w:shd w:val="clear" w:color="000000" w:fill="DDD9C3"/>
            <w:noWrap/>
            <w:vAlign w:val="center"/>
          </w:tcPr>
          <w:p w:rsidR="00D24C7E" w:rsidRPr="00D24C7E" w:rsidRDefault="00D24C7E">
            <w:pPr>
              <w:jc w:val="center"/>
              <w:rPr>
                <w:rFonts w:ascii="Arial" w:hAnsi="Arial" w:cs="Arial"/>
                <w:szCs w:val="20"/>
              </w:rPr>
            </w:pPr>
            <w:r w:rsidRPr="00D24C7E">
              <w:rPr>
                <w:rFonts w:ascii="Arial" w:hAnsi="Arial" w:cs="Arial"/>
                <w:szCs w:val="20"/>
              </w:rPr>
              <w:t>51</w:t>
            </w:r>
          </w:p>
        </w:tc>
        <w:tc>
          <w:tcPr>
            <w:tcW w:w="781" w:type="pct"/>
            <w:tcBorders>
              <w:top w:val="nil"/>
              <w:left w:val="nil"/>
              <w:bottom w:val="single" w:sz="8" w:space="0" w:color="auto"/>
              <w:right w:val="nil"/>
            </w:tcBorders>
            <w:shd w:val="clear" w:color="000000" w:fill="DDD9C3"/>
            <w:noWrap/>
            <w:vAlign w:val="center"/>
          </w:tcPr>
          <w:p w:rsidR="00D24C7E" w:rsidRPr="00D24C7E" w:rsidRDefault="00D24C7E">
            <w:pPr>
              <w:jc w:val="center"/>
              <w:rPr>
                <w:rFonts w:ascii="Arial" w:hAnsi="Arial" w:cs="Arial"/>
                <w:szCs w:val="20"/>
              </w:rPr>
            </w:pPr>
            <w:r w:rsidRPr="00D24C7E">
              <w:rPr>
                <w:rFonts w:ascii="Arial" w:hAnsi="Arial" w:cs="Arial"/>
                <w:szCs w:val="20"/>
              </w:rPr>
              <w:t>37</w:t>
            </w:r>
          </w:p>
        </w:tc>
        <w:tc>
          <w:tcPr>
            <w:tcW w:w="781" w:type="pct"/>
            <w:tcBorders>
              <w:top w:val="nil"/>
              <w:left w:val="nil"/>
              <w:bottom w:val="single" w:sz="8" w:space="0" w:color="auto"/>
              <w:right w:val="nil"/>
            </w:tcBorders>
            <w:shd w:val="clear" w:color="000000" w:fill="DDD9C3"/>
            <w:noWrap/>
            <w:vAlign w:val="center"/>
          </w:tcPr>
          <w:p w:rsidR="00D24C7E" w:rsidRPr="00D24C7E" w:rsidRDefault="00D24C7E">
            <w:pPr>
              <w:jc w:val="center"/>
              <w:rPr>
                <w:rFonts w:ascii="Arial" w:hAnsi="Arial" w:cs="Arial"/>
                <w:szCs w:val="20"/>
              </w:rPr>
            </w:pPr>
            <w:r w:rsidRPr="00D24C7E">
              <w:rPr>
                <w:rFonts w:ascii="Arial" w:hAnsi="Arial" w:cs="Arial"/>
                <w:szCs w:val="20"/>
              </w:rPr>
              <w:t>33</w:t>
            </w:r>
          </w:p>
        </w:tc>
        <w:tc>
          <w:tcPr>
            <w:tcW w:w="781" w:type="pct"/>
            <w:tcBorders>
              <w:top w:val="nil"/>
              <w:left w:val="nil"/>
              <w:bottom w:val="single" w:sz="8" w:space="0" w:color="auto"/>
              <w:right w:val="nil"/>
            </w:tcBorders>
            <w:shd w:val="clear" w:color="000000" w:fill="DDD9C3"/>
            <w:noWrap/>
            <w:vAlign w:val="center"/>
          </w:tcPr>
          <w:p w:rsidR="00D24C7E" w:rsidRPr="00D24C7E" w:rsidRDefault="00D24C7E">
            <w:pPr>
              <w:jc w:val="center"/>
              <w:rPr>
                <w:rFonts w:ascii="Arial" w:hAnsi="Arial" w:cs="Arial"/>
                <w:szCs w:val="20"/>
              </w:rPr>
            </w:pPr>
            <w:r w:rsidRPr="00D24C7E">
              <w:rPr>
                <w:rFonts w:ascii="Arial" w:hAnsi="Arial" w:cs="Arial"/>
                <w:szCs w:val="20"/>
              </w:rPr>
              <w:t>41</w:t>
            </w:r>
          </w:p>
        </w:tc>
        <w:tc>
          <w:tcPr>
            <w:tcW w:w="781" w:type="pct"/>
            <w:tcBorders>
              <w:top w:val="nil"/>
              <w:left w:val="nil"/>
              <w:bottom w:val="single" w:sz="8" w:space="0" w:color="auto"/>
              <w:right w:val="nil"/>
            </w:tcBorders>
            <w:shd w:val="clear" w:color="000000" w:fill="DDD9C3"/>
            <w:noWrap/>
            <w:vAlign w:val="center"/>
          </w:tcPr>
          <w:p w:rsidR="00D24C7E" w:rsidRPr="00D24C7E" w:rsidRDefault="00D24C7E">
            <w:pPr>
              <w:jc w:val="center"/>
              <w:rPr>
                <w:rFonts w:ascii="Arial" w:hAnsi="Arial" w:cs="Arial"/>
                <w:szCs w:val="20"/>
              </w:rPr>
            </w:pPr>
            <w:r w:rsidRPr="00D24C7E">
              <w:rPr>
                <w:rFonts w:ascii="Arial" w:hAnsi="Arial" w:cs="Arial"/>
                <w:szCs w:val="20"/>
              </w:rPr>
              <w:t>38</w:t>
            </w:r>
          </w:p>
        </w:tc>
      </w:tr>
    </w:tbl>
    <w:p w:rsidR="00977DC4" w:rsidRPr="00F52F00" w:rsidRDefault="00B245E8" w:rsidP="003436ED">
      <w:pPr>
        <w:pStyle w:val="AERbodytext"/>
        <w:spacing w:before="240" w:line="276" w:lineRule="auto"/>
        <w:rPr>
          <w:rFonts w:ascii="Arial" w:hAnsi="Arial" w:cs="Arial"/>
          <w:sz w:val="16"/>
          <w:szCs w:val="16"/>
        </w:rPr>
      </w:pPr>
      <w:r w:rsidRPr="00F52F00">
        <w:rPr>
          <w:rFonts w:ascii="Arial" w:hAnsi="Arial" w:cs="Arial"/>
          <w:sz w:val="16"/>
          <w:szCs w:val="16"/>
        </w:rPr>
        <w:t xml:space="preserve">Longer-term statistics tracking average spot market prices are available </w:t>
      </w:r>
      <w:r w:rsidR="000F1E82" w:rsidRPr="00F52F00">
        <w:rPr>
          <w:rFonts w:ascii="Arial" w:hAnsi="Arial" w:cs="Arial"/>
          <w:sz w:val="16"/>
          <w:szCs w:val="16"/>
        </w:rPr>
        <w:t xml:space="preserve">on the </w:t>
      </w:r>
      <w:hyperlink r:id="rId12" w:history="1">
        <w:r w:rsidR="000F1E82" w:rsidRPr="00F52F00">
          <w:rPr>
            <w:rStyle w:val="Hyperlink"/>
            <w:rFonts w:ascii="Arial" w:hAnsi="Arial" w:cs="Arial"/>
            <w:color w:val="auto"/>
            <w:sz w:val="16"/>
            <w:szCs w:val="16"/>
          </w:rPr>
          <w:t>AER website</w:t>
        </w:r>
      </w:hyperlink>
      <w:r w:rsidRPr="00F52F00">
        <w:rPr>
          <w:rFonts w:ascii="Arial" w:hAnsi="Arial" w:cs="Arial"/>
          <w:sz w:val="16"/>
          <w:szCs w:val="16"/>
        </w:rPr>
        <w:t xml:space="preserve">. </w:t>
      </w:r>
    </w:p>
    <w:bookmarkEnd w:id="6"/>
    <w:bookmarkEnd w:id="7"/>
    <w:p w:rsidR="006E199B" w:rsidRPr="002124A8" w:rsidRDefault="007F5786" w:rsidP="003436ED">
      <w:pPr>
        <w:pStyle w:val="Heading2"/>
        <w:spacing w:line="276" w:lineRule="auto"/>
        <w:rPr>
          <w:rFonts w:ascii="Arial" w:hAnsi="Arial"/>
          <w:color w:val="auto"/>
        </w:rPr>
      </w:pPr>
      <w:r w:rsidRPr="002124A8">
        <w:rPr>
          <w:rFonts w:ascii="Arial" w:hAnsi="Arial"/>
          <w:color w:val="auto"/>
        </w:rPr>
        <w:t xml:space="preserve">Spot market </w:t>
      </w:r>
      <w:r w:rsidR="00D71DBA" w:rsidRPr="002124A8">
        <w:rPr>
          <w:rFonts w:ascii="Arial" w:hAnsi="Arial"/>
          <w:color w:val="auto"/>
        </w:rPr>
        <w:t xml:space="preserve">price </w:t>
      </w:r>
      <w:r w:rsidRPr="002124A8">
        <w:rPr>
          <w:rFonts w:ascii="Arial" w:hAnsi="Arial"/>
          <w:color w:val="auto"/>
        </w:rPr>
        <w:t>forecast variations</w:t>
      </w:r>
    </w:p>
    <w:p w:rsidR="00083C2C" w:rsidRPr="00F52F00" w:rsidRDefault="009559D6" w:rsidP="003436ED">
      <w:pPr>
        <w:pStyle w:val="AERbodytext"/>
        <w:spacing w:line="276" w:lineRule="auto"/>
        <w:rPr>
          <w:rFonts w:ascii="Arial" w:hAnsi="Arial" w:cs="Arial"/>
          <w:sz w:val="22"/>
          <w:szCs w:val="22"/>
        </w:rPr>
      </w:pPr>
      <w:r w:rsidRPr="00F52F00">
        <w:rPr>
          <w:rFonts w:ascii="Arial" w:hAnsi="Arial" w:cs="Arial"/>
          <w:sz w:val="22"/>
          <w:szCs w:val="22"/>
        </w:rPr>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w:t>
      </w:r>
      <w:r w:rsidR="00B71EC1" w:rsidRPr="00F52F00">
        <w:rPr>
          <w:rFonts w:ascii="Arial" w:hAnsi="Arial" w:cs="Arial"/>
          <w:sz w:val="22"/>
          <w:szCs w:val="22"/>
        </w:rPr>
        <w:t xml:space="preserve">A </w:t>
      </w:r>
      <w:r w:rsidR="00DC7C6B" w:rsidRPr="00F52F00">
        <w:rPr>
          <w:rFonts w:ascii="Arial" w:hAnsi="Arial" w:cs="Arial"/>
          <w:sz w:val="22"/>
          <w:szCs w:val="22"/>
        </w:rPr>
        <w:t xml:space="preserve">key focus is whether </w:t>
      </w:r>
      <w:r w:rsidR="00B71EC1" w:rsidRPr="00F52F00">
        <w:rPr>
          <w:rFonts w:ascii="Arial" w:hAnsi="Arial" w:cs="Arial"/>
          <w:sz w:val="22"/>
          <w:szCs w:val="22"/>
        </w:rPr>
        <w:t>the actual price differs significantly from the forecast price either four or 12 hours ahead.</w:t>
      </w:r>
      <w:r w:rsidR="008270D7" w:rsidRPr="00F52F00">
        <w:rPr>
          <w:rFonts w:ascii="Arial" w:hAnsi="Arial" w:cs="Arial"/>
          <w:sz w:val="22"/>
          <w:szCs w:val="22"/>
        </w:rPr>
        <w:t xml:space="preserve"> </w:t>
      </w:r>
      <w:r w:rsidR="00600BFB" w:rsidRPr="00F52F00">
        <w:rPr>
          <w:rFonts w:ascii="Arial" w:hAnsi="Arial" w:cs="Arial"/>
          <w:sz w:val="22"/>
          <w:szCs w:val="22"/>
        </w:rPr>
        <w:t xml:space="preserve">These timeframes have been chosen as indicative of the time frames within which different technology types may be able to commit (intermediate plant within four hours and slow start plant within 12 hours). </w:t>
      </w:r>
    </w:p>
    <w:p w:rsidR="00601EB7" w:rsidRPr="00F52F00" w:rsidRDefault="009F12EC" w:rsidP="003436ED">
      <w:pPr>
        <w:pStyle w:val="AERbodytext"/>
        <w:spacing w:line="276" w:lineRule="auto"/>
        <w:rPr>
          <w:rFonts w:ascii="Arial" w:hAnsi="Arial" w:cs="Arial"/>
          <w:sz w:val="22"/>
          <w:szCs w:val="22"/>
        </w:rPr>
      </w:pPr>
      <w:r w:rsidRPr="00F52F00">
        <w:rPr>
          <w:rFonts w:ascii="Arial" w:hAnsi="Arial" w:cs="Arial"/>
          <w:sz w:val="22"/>
          <w:szCs w:val="22"/>
        </w:rPr>
        <w:t>There were 1</w:t>
      </w:r>
      <w:r w:rsidR="00B907F1">
        <w:rPr>
          <w:rFonts w:ascii="Arial" w:hAnsi="Arial" w:cs="Arial"/>
          <w:sz w:val="22"/>
          <w:szCs w:val="22"/>
        </w:rPr>
        <w:t>9</w:t>
      </w:r>
      <w:r w:rsidR="003D082E">
        <w:rPr>
          <w:rFonts w:ascii="Arial" w:hAnsi="Arial" w:cs="Arial"/>
          <w:sz w:val="22"/>
          <w:szCs w:val="22"/>
        </w:rPr>
        <w:t>7</w:t>
      </w:r>
      <w:r w:rsidRPr="00F52F00">
        <w:rPr>
          <w:rFonts w:ascii="Arial" w:hAnsi="Arial" w:cs="Arial"/>
          <w:sz w:val="22"/>
          <w:szCs w:val="22"/>
        </w:rPr>
        <w:t xml:space="preserve"> trading intervals throughout the week where actual prices varied significantly from forecasts. This compares to the weekly average in 2013 of 97 counts and the average in 2012 of 60. </w:t>
      </w:r>
      <w:r w:rsidR="009559D6" w:rsidRPr="00F52F00">
        <w:rPr>
          <w:rFonts w:ascii="Arial" w:hAnsi="Arial" w:cs="Arial"/>
          <w:sz w:val="22"/>
          <w:szCs w:val="22"/>
        </w:rPr>
        <w:t>Reasons for the</w:t>
      </w:r>
      <w:r w:rsidR="00DF5554" w:rsidRPr="00F52F00">
        <w:rPr>
          <w:rFonts w:ascii="Arial" w:hAnsi="Arial" w:cs="Arial"/>
          <w:sz w:val="22"/>
          <w:szCs w:val="22"/>
        </w:rPr>
        <w:t xml:space="preserve"> variations for this week </w:t>
      </w:r>
      <w:r w:rsidR="009559D6" w:rsidRPr="00F52F00">
        <w:rPr>
          <w:rFonts w:ascii="Arial" w:hAnsi="Arial" w:cs="Arial"/>
          <w:sz w:val="22"/>
          <w:szCs w:val="22"/>
        </w:rPr>
        <w:t xml:space="preserve">are summarised in </w:t>
      </w:r>
      <w:r w:rsidR="000D5C60" w:rsidRPr="00F52F00">
        <w:rPr>
          <w:rFonts w:ascii="Arial" w:hAnsi="Arial" w:cs="Arial"/>
          <w:sz w:val="22"/>
          <w:szCs w:val="22"/>
        </w:rPr>
        <w:t xml:space="preserve">Table </w:t>
      </w:r>
      <w:r w:rsidR="00E27C7A" w:rsidRPr="00F52F00">
        <w:rPr>
          <w:rFonts w:ascii="Arial" w:hAnsi="Arial" w:cs="Arial"/>
          <w:sz w:val="22"/>
          <w:szCs w:val="22"/>
        </w:rPr>
        <w:t>2</w:t>
      </w:r>
      <w:r w:rsidR="009559D6" w:rsidRPr="00F52F00">
        <w:rPr>
          <w:rFonts w:ascii="Arial" w:hAnsi="Arial" w:cs="Arial"/>
          <w:sz w:val="22"/>
          <w:szCs w:val="22"/>
        </w:rPr>
        <w:t>.</w:t>
      </w:r>
      <w:r w:rsidR="00B71EC1" w:rsidRPr="00F52F00">
        <w:rPr>
          <w:rFonts w:ascii="Arial" w:hAnsi="Arial" w:cs="Arial"/>
          <w:sz w:val="22"/>
          <w:szCs w:val="22"/>
        </w:rPr>
        <w:t xml:space="preserve"> </w:t>
      </w:r>
      <w:r w:rsidR="000E6CF1" w:rsidRPr="00F52F00">
        <w:rPr>
          <w:rFonts w:ascii="Arial" w:hAnsi="Arial" w:cs="Arial"/>
          <w:sz w:val="22"/>
          <w:szCs w:val="22"/>
        </w:rPr>
        <w:t>Based on AER analysis, t</w:t>
      </w:r>
      <w:r w:rsidR="00B71EC1" w:rsidRPr="00F52F00">
        <w:rPr>
          <w:rFonts w:ascii="Arial" w:hAnsi="Arial" w:cs="Arial"/>
          <w:sz w:val="22"/>
          <w:szCs w:val="22"/>
        </w:rPr>
        <w:t xml:space="preserve">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w:t>
      </w:r>
      <w:r w:rsidR="00B71EC1" w:rsidRPr="00F52F00">
        <w:rPr>
          <w:rFonts w:ascii="Arial" w:hAnsi="Arial" w:cs="Arial"/>
          <w:sz w:val="22"/>
          <w:szCs w:val="22"/>
        </w:rPr>
        <w:lastRenderedPageBreak/>
        <w:t>dominant reason). An instance where both four and 12 hour ahead forecasts differ significantly from the actual price will be counted as two variations.</w:t>
      </w:r>
    </w:p>
    <w:p w:rsidR="00977DC4" w:rsidRPr="002124A8" w:rsidRDefault="00601EB7" w:rsidP="003436ED">
      <w:pPr>
        <w:pStyle w:val="AERbodytext"/>
        <w:spacing w:line="276" w:lineRule="auto"/>
        <w:rPr>
          <w:rFonts w:ascii="Arial" w:hAnsi="Arial" w:cs="Arial"/>
        </w:rPr>
      </w:pPr>
      <w:r w:rsidRPr="002124A8">
        <w:rPr>
          <w:rFonts w:ascii="Arial" w:hAnsi="Arial" w:cs="Arial"/>
        </w:rPr>
        <w:br w:type="page"/>
      </w:r>
    </w:p>
    <w:p w:rsidR="00977DC4" w:rsidRPr="00F52F00" w:rsidRDefault="008D0835" w:rsidP="003436ED">
      <w:pPr>
        <w:pStyle w:val="AERtabletitle"/>
        <w:spacing w:line="276" w:lineRule="auto"/>
        <w:rPr>
          <w:rFonts w:ascii="Arial" w:hAnsi="Arial" w:cs="Arial"/>
          <w:sz w:val="22"/>
          <w:szCs w:val="22"/>
        </w:rPr>
      </w:pPr>
      <w:r w:rsidRPr="00F52F00">
        <w:rPr>
          <w:rFonts w:ascii="Arial" w:hAnsi="Arial" w:cs="Arial"/>
          <w:sz w:val="22"/>
          <w:szCs w:val="22"/>
        </w:rPr>
        <w:t xml:space="preserve">Table </w:t>
      </w:r>
      <w:r w:rsidR="00965EA9" w:rsidRPr="00F52F00">
        <w:rPr>
          <w:rFonts w:ascii="Arial" w:hAnsi="Arial" w:cs="Arial"/>
          <w:sz w:val="22"/>
          <w:szCs w:val="22"/>
        </w:rPr>
        <w:t>2</w:t>
      </w:r>
      <w:r w:rsidR="00792C39" w:rsidRPr="00F52F00">
        <w:rPr>
          <w:rFonts w:ascii="Arial" w:hAnsi="Arial" w:cs="Arial"/>
          <w:sz w:val="22"/>
          <w:szCs w:val="22"/>
        </w:rPr>
        <w:t>: Reasons for variations between forecast and actual prices</w:t>
      </w:r>
    </w:p>
    <w:tbl>
      <w:tblPr>
        <w:tblW w:w="9122" w:type="dxa"/>
        <w:tblInd w:w="108" w:type="dxa"/>
        <w:tblLook w:val="04A0" w:firstRow="1" w:lastRow="0" w:firstColumn="1" w:lastColumn="0" w:noHBand="0" w:noVBand="1"/>
      </w:tblPr>
      <w:tblGrid>
        <w:gridCol w:w="2835"/>
        <w:gridCol w:w="1843"/>
        <w:gridCol w:w="1418"/>
        <w:gridCol w:w="1275"/>
        <w:gridCol w:w="1751"/>
      </w:tblGrid>
      <w:tr w:rsidR="009340BA" w:rsidRPr="00F52F00" w:rsidTr="00726FFA">
        <w:trPr>
          <w:trHeight w:hRule="exact" w:val="369"/>
        </w:trPr>
        <w:tc>
          <w:tcPr>
            <w:tcW w:w="2835" w:type="dxa"/>
            <w:tcBorders>
              <w:top w:val="single" w:sz="8" w:space="0" w:color="7BA0CD"/>
              <w:left w:val="nil"/>
              <w:bottom w:val="nil"/>
              <w:right w:val="nil"/>
            </w:tcBorders>
            <w:shd w:val="clear" w:color="000000" w:fill="4A442A"/>
            <w:noWrap/>
            <w:vAlign w:val="center"/>
            <w:hideMark/>
          </w:tcPr>
          <w:p w:rsidR="009340BA" w:rsidRPr="00F52F00" w:rsidRDefault="009340BA" w:rsidP="003436ED">
            <w:pPr>
              <w:spacing w:line="276" w:lineRule="auto"/>
              <w:jc w:val="center"/>
              <w:rPr>
                <w:rFonts w:ascii="Arial" w:hAnsi="Arial" w:cs="Arial"/>
                <w:b/>
                <w:color w:val="FFFFFF"/>
                <w:szCs w:val="20"/>
              </w:rPr>
            </w:pPr>
            <w:r w:rsidRPr="00F52F00">
              <w:rPr>
                <w:rFonts w:ascii="Arial" w:hAnsi="Arial" w:cs="Arial"/>
                <w:b/>
                <w:color w:val="FFFFFF"/>
                <w:szCs w:val="20"/>
              </w:rPr>
              <w:t> </w:t>
            </w:r>
          </w:p>
        </w:tc>
        <w:tc>
          <w:tcPr>
            <w:tcW w:w="1843" w:type="dxa"/>
            <w:tcBorders>
              <w:top w:val="single" w:sz="8" w:space="0" w:color="7BA0CD"/>
              <w:left w:val="nil"/>
              <w:bottom w:val="nil"/>
              <w:right w:val="nil"/>
            </w:tcBorders>
            <w:shd w:val="clear" w:color="000000" w:fill="4A442A"/>
            <w:noWrap/>
            <w:vAlign w:val="center"/>
            <w:hideMark/>
          </w:tcPr>
          <w:p w:rsidR="009340BA" w:rsidRPr="00F52F00" w:rsidRDefault="009340BA" w:rsidP="00F52F00">
            <w:pPr>
              <w:spacing w:line="276" w:lineRule="auto"/>
              <w:ind w:firstLineChars="200" w:firstLine="402"/>
              <w:jc w:val="left"/>
              <w:rPr>
                <w:rFonts w:ascii="Arial" w:hAnsi="Arial" w:cs="Arial"/>
                <w:b/>
                <w:color w:val="FFFFFF"/>
                <w:szCs w:val="20"/>
              </w:rPr>
            </w:pPr>
            <w:r w:rsidRPr="00F52F00">
              <w:rPr>
                <w:rFonts w:ascii="Arial" w:hAnsi="Arial" w:cs="Arial"/>
                <w:b/>
                <w:color w:val="FFFFFF"/>
                <w:szCs w:val="20"/>
              </w:rPr>
              <w:t>Availability</w:t>
            </w:r>
          </w:p>
        </w:tc>
        <w:tc>
          <w:tcPr>
            <w:tcW w:w="1418" w:type="dxa"/>
            <w:tcBorders>
              <w:top w:val="single" w:sz="8" w:space="0" w:color="7BA0CD"/>
              <w:left w:val="nil"/>
              <w:bottom w:val="nil"/>
              <w:right w:val="nil"/>
            </w:tcBorders>
            <w:shd w:val="clear" w:color="000000" w:fill="4A442A"/>
            <w:noWrap/>
            <w:vAlign w:val="center"/>
            <w:hideMark/>
          </w:tcPr>
          <w:p w:rsidR="009340BA" w:rsidRPr="00F52F00" w:rsidRDefault="009340BA" w:rsidP="003436ED">
            <w:pPr>
              <w:spacing w:line="276" w:lineRule="auto"/>
              <w:jc w:val="center"/>
              <w:rPr>
                <w:rFonts w:ascii="Arial" w:hAnsi="Arial" w:cs="Arial"/>
                <w:b/>
                <w:color w:val="FFFFFF"/>
                <w:szCs w:val="20"/>
              </w:rPr>
            </w:pPr>
            <w:r w:rsidRPr="00F52F00">
              <w:rPr>
                <w:rFonts w:ascii="Arial" w:hAnsi="Arial" w:cs="Arial"/>
                <w:b/>
                <w:color w:val="FFFFFF"/>
                <w:szCs w:val="20"/>
              </w:rPr>
              <w:t>Demand</w:t>
            </w:r>
          </w:p>
        </w:tc>
        <w:tc>
          <w:tcPr>
            <w:tcW w:w="1275" w:type="dxa"/>
            <w:tcBorders>
              <w:top w:val="single" w:sz="8" w:space="0" w:color="7BA0CD"/>
              <w:left w:val="nil"/>
              <w:bottom w:val="nil"/>
              <w:right w:val="nil"/>
            </w:tcBorders>
            <w:shd w:val="clear" w:color="000000" w:fill="4A442A"/>
            <w:noWrap/>
            <w:vAlign w:val="center"/>
            <w:hideMark/>
          </w:tcPr>
          <w:p w:rsidR="009340BA" w:rsidRPr="00F52F00" w:rsidRDefault="009340BA" w:rsidP="003436ED">
            <w:pPr>
              <w:spacing w:line="276" w:lineRule="auto"/>
              <w:jc w:val="center"/>
              <w:rPr>
                <w:rFonts w:ascii="Arial" w:hAnsi="Arial" w:cs="Arial"/>
                <w:b/>
                <w:color w:val="FFFFFF"/>
                <w:szCs w:val="20"/>
              </w:rPr>
            </w:pPr>
            <w:r w:rsidRPr="00F52F00">
              <w:rPr>
                <w:rFonts w:ascii="Arial" w:hAnsi="Arial" w:cs="Arial"/>
                <w:b/>
                <w:color w:val="FFFFFF"/>
                <w:szCs w:val="20"/>
              </w:rPr>
              <w:t>Network</w:t>
            </w:r>
          </w:p>
        </w:tc>
        <w:tc>
          <w:tcPr>
            <w:tcW w:w="1751" w:type="dxa"/>
            <w:tcBorders>
              <w:top w:val="single" w:sz="8" w:space="0" w:color="7BA0CD"/>
              <w:left w:val="nil"/>
              <w:bottom w:val="nil"/>
              <w:right w:val="nil"/>
            </w:tcBorders>
            <w:shd w:val="clear" w:color="000000" w:fill="4A442A"/>
            <w:vAlign w:val="center"/>
            <w:hideMark/>
          </w:tcPr>
          <w:p w:rsidR="009340BA" w:rsidRPr="00F52F00" w:rsidRDefault="009340BA" w:rsidP="00F52F00">
            <w:pPr>
              <w:spacing w:line="276" w:lineRule="auto"/>
              <w:ind w:firstLineChars="100" w:firstLine="201"/>
              <w:jc w:val="left"/>
              <w:rPr>
                <w:rFonts w:ascii="Arial" w:hAnsi="Arial" w:cs="Arial"/>
                <w:b/>
                <w:color w:val="FFFFFF"/>
                <w:szCs w:val="20"/>
              </w:rPr>
            </w:pPr>
            <w:r w:rsidRPr="00F52F00">
              <w:rPr>
                <w:rFonts w:ascii="Arial" w:hAnsi="Arial" w:cs="Arial"/>
                <w:b/>
                <w:color w:val="FFFFFF"/>
                <w:szCs w:val="20"/>
              </w:rPr>
              <w:t>Combination</w:t>
            </w:r>
          </w:p>
        </w:tc>
      </w:tr>
      <w:tr w:rsidR="00D24C7E" w:rsidRPr="00F52F00" w:rsidTr="00726FFA">
        <w:trPr>
          <w:trHeight w:hRule="exact" w:val="369"/>
        </w:trPr>
        <w:tc>
          <w:tcPr>
            <w:tcW w:w="2835" w:type="dxa"/>
            <w:tcBorders>
              <w:top w:val="nil"/>
              <w:left w:val="nil"/>
              <w:bottom w:val="nil"/>
              <w:right w:val="nil"/>
            </w:tcBorders>
            <w:shd w:val="clear" w:color="000000" w:fill="DDD9C3"/>
            <w:noWrap/>
            <w:vAlign w:val="center"/>
            <w:hideMark/>
          </w:tcPr>
          <w:p w:rsidR="00D24C7E" w:rsidRPr="00F52F00" w:rsidRDefault="00D24C7E" w:rsidP="003436ED">
            <w:pPr>
              <w:spacing w:line="276" w:lineRule="auto"/>
              <w:rPr>
                <w:rFonts w:ascii="Arial" w:hAnsi="Arial" w:cs="Arial"/>
                <w:b/>
                <w:bCs/>
                <w:szCs w:val="20"/>
              </w:rPr>
            </w:pPr>
            <w:r w:rsidRPr="00F52F00">
              <w:rPr>
                <w:rFonts w:ascii="Arial" w:hAnsi="Arial" w:cs="Arial"/>
                <w:b/>
                <w:bCs/>
                <w:szCs w:val="20"/>
              </w:rPr>
              <w:t>% of total above forecast</w:t>
            </w:r>
          </w:p>
        </w:tc>
        <w:tc>
          <w:tcPr>
            <w:tcW w:w="1843" w:type="dxa"/>
            <w:tcBorders>
              <w:top w:val="nil"/>
              <w:left w:val="nil"/>
              <w:bottom w:val="nil"/>
              <w:right w:val="nil"/>
            </w:tcBorders>
            <w:shd w:val="clear" w:color="000000" w:fill="DDD9C3"/>
            <w:noWrap/>
            <w:vAlign w:val="center"/>
          </w:tcPr>
          <w:p w:rsidR="00D24C7E" w:rsidRPr="00D24C7E" w:rsidRDefault="00D24C7E">
            <w:pPr>
              <w:jc w:val="center"/>
              <w:rPr>
                <w:rFonts w:ascii="Arial" w:hAnsi="Arial" w:cs="Arial"/>
                <w:szCs w:val="20"/>
              </w:rPr>
            </w:pPr>
            <w:r w:rsidRPr="00D24C7E">
              <w:rPr>
                <w:rFonts w:ascii="Arial" w:hAnsi="Arial" w:cs="Arial"/>
                <w:szCs w:val="20"/>
              </w:rPr>
              <w:t>1</w:t>
            </w:r>
          </w:p>
        </w:tc>
        <w:tc>
          <w:tcPr>
            <w:tcW w:w="1418" w:type="dxa"/>
            <w:tcBorders>
              <w:top w:val="nil"/>
              <w:left w:val="nil"/>
              <w:bottom w:val="nil"/>
              <w:right w:val="nil"/>
            </w:tcBorders>
            <w:shd w:val="clear" w:color="000000" w:fill="DDD9C3"/>
            <w:noWrap/>
            <w:vAlign w:val="center"/>
          </w:tcPr>
          <w:p w:rsidR="00D24C7E" w:rsidRPr="00D24C7E" w:rsidRDefault="00D24C7E">
            <w:pPr>
              <w:jc w:val="center"/>
              <w:rPr>
                <w:rFonts w:ascii="Arial" w:hAnsi="Arial" w:cs="Arial"/>
                <w:szCs w:val="20"/>
              </w:rPr>
            </w:pPr>
            <w:r w:rsidRPr="00D24C7E">
              <w:rPr>
                <w:rFonts w:ascii="Arial" w:hAnsi="Arial" w:cs="Arial"/>
                <w:szCs w:val="20"/>
              </w:rPr>
              <w:t>9</w:t>
            </w:r>
          </w:p>
        </w:tc>
        <w:tc>
          <w:tcPr>
            <w:tcW w:w="1275" w:type="dxa"/>
            <w:tcBorders>
              <w:top w:val="nil"/>
              <w:left w:val="nil"/>
              <w:bottom w:val="nil"/>
              <w:right w:val="nil"/>
            </w:tcBorders>
            <w:shd w:val="clear" w:color="000000" w:fill="DDD9C3"/>
            <w:noWrap/>
            <w:vAlign w:val="center"/>
          </w:tcPr>
          <w:p w:rsidR="00D24C7E" w:rsidRPr="00D24C7E" w:rsidRDefault="00D24C7E">
            <w:pPr>
              <w:jc w:val="center"/>
              <w:rPr>
                <w:rFonts w:ascii="Arial" w:hAnsi="Arial" w:cs="Arial"/>
                <w:szCs w:val="20"/>
              </w:rPr>
            </w:pPr>
            <w:r w:rsidRPr="00D24C7E">
              <w:rPr>
                <w:rFonts w:ascii="Arial" w:hAnsi="Arial" w:cs="Arial"/>
                <w:szCs w:val="20"/>
              </w:rPr>
              <w:t>0</w:t>
            </w:r>
          </w:p>
        </w:tc>
        <w:tc>
          <w:tcPr>
            <w:tcW w:w="1751" w:type="dxa"/>
            <w:tcBorders>
              <w:top w:val="nil"/>
              <w:left w:val="nil"/>
              <w:bottom w:val="nil"/>
              <w:right w:val="nil"/>
            </w:tcBorders>
            <w:shd w:val="clear" w:color="000000" w:fill="DDD9C3"/>
            <w:vAlign w:val="center"/>
          </w:tcPr>
          <w:p w:rsidR="00D24C7E" w:rsidRPr="00D24C7E" w:rsidRDefault="00D24C7E">
            <w:pPr>
              <w:jc w:val="center"/>
              <w:rPr>
                <w:rFonts w:ascii="Arial" w:hAnsi="Arial" w:cs="Arial"/>
                <w:szCs w:val="20"/>
              </w:rPr>
            </w:pPr>
            <w:r w:rsidRPr="00D24C7E">
              <w:rPr>
                <w:rFonts w:ascii="Arial" w:hAnsi="Arial" w:cs="Arial"/>
                <w:szCs w:val="20"/>
              </w:rPr>
              <w:t>0</w:t>
            </w:r>
          </w:p>
        </w:tc>
      </w:tr>
      <w:tr w:rsidR="00D24C7E" w:rsidRPr="00F52F00" w:rsidTr="00726FFA">
        <w:trPr>
          <w:trHeight w:hRule="exact" w:val="369"/>
        </w:trPr>
        <w:tc>
          <w:tcPr>
            <w:tcW w:w="2835" w:type="dxa"/>
            <w:tcBorders>
              <w:top w:val="nil"/>
              <w:left w:val="nil"/>
              <w:bottom w:val="single" w:sz="8" w:space="0" w:color="auto"/>
              <w:right w:val="nil"/>
            </w:tcBorders>
            <w:shd w:val="clear" w:color="000000" w:fill="EEECE1"/>
            <w:noWrap/>
            <w:vAlign w:val="center"/>
            <w:hideMark/>
          </w:tcPr>
          <w:p w:rsidR="00D24C7E" w:rsidRPr="00F52F00" w:rsidRDefault="00D24C7E" w:rsidP="003436ED">
            <w:pPr>
              <w:spacing w:line="276" w:lineRule="auto"/>
              <w:rPr>
                <w:rFonts w:ascii="Arial" w:hAnsi="Arial" w:cs="Arial"/>
                <w:b/>
                <w:bCs/>
                <w:szCs w:val="20"/>
              </w:rPr>
            </w:pPr>
            <w:r w:rsidRPr="00F52F00">
              <w:rPr>
                <w:rFonts w:ascii="Arial" w:hAnsi="Arial" w:cs="Arial"/>
                <w:b/>
                <w:bCs/>
                <w:szCs w:val="20"/>
              </w:rPr>
              <w:t>% of total below forecast</w:t>
            </w:r>
          </w:p>
        </w:tc>
        <w:tc>
          <w:tcPr>
            <w:tcW w:w="1843" w:type="dxa"/>
            <w:tcBorders>
              <w:top w:val="nil"/>
              <w:left w:val="nil"/>
              <w:bottom w:val="single" w:sz="8" w:space="0" w:color="auto"/>
              <w:right w:val="nil"/>
            </w:tcBorders>
            <w:shd w:val="clear" w:color="000000" w:fill="EEECE1"/>
            <w:noWrap/>
            <w:vAlign w:val="center"/>
          </w:tcPr>
          <w:p w:rsidR="00D24C7E" w:rsidRPr="00D24C7E" w:rsidRDefault="00D24C7E">
            <w:pPr>
              <w:jc w:val="center"/>
              <w:rPr>
                <w:rFonts w:ascii="Arial" w:hAnsi="Arial" w:cs="Arial"/>
                <w:szCs w:val="20"/>
              </w:rPr>
            </w:pPr>
            <w:r w:rsidRPr="00D24C7E">
              <w:rPr>
                <w:rFonts w:ascii="Arial" w:hAnsi="Arial" w:cs="Arial"/>
                <w:szCs w:val="20"/>
              </w:rPr>
              <w:t>87</w:t>
            </w:r>
          </w:p>
        </w:tc>
        <w:tc>
          <w:tcPr>
            <w:tcW w:w="1418" w:type="dxa"/>
            <w:tcBorders>
              <w:top w:val="nil"/>
              <w:left w:val="nil"/>
              <w:bottom w:val="single" w:sz="8" w:space="0" w:color="auto"/>
              <w:right w:val="nil"/>
            </w:tcBorders>
            <w:shd w:val="clear" w:color="000000" w:fill="EEECE1"/>
            <w:noWrap/>
            <w:vAlign w:val="center"/>
          </w:tcPr>
          <w:p w:rsidR="00D24C7E" w:rsidRPr="00D24C7E" w:rsidRDefault="00D24C7E">
            <w:pPr>
              <w:jc w:val="center"/>
              <w:rPr>
                <w:rFonts w:ascii="Arial" w:hAnsi="Arial" w:cs="Arial"/>
                <w:szCs w:val="20"/>
              </w:rPr>
            </w:pPr>
            <w:r w:rsidRPr="00D24C7E">
              <w:rPr>
                <w:rFonts w:ascii="Arial" w:hAnsi="Arial" w:cs="Arial"/>
                <w:szCs w:val="20"/>
              </w:rPr>
              <w:t>3</w:t>
            </w:r>
          </w:p>
        </w:tc>
        <w:tc>
          <w:tcPr>
            <w:tcW w:w="1275" w:type="dxa"/>
            <w:tcBorders>
              <w:top w:val="nil"/>
              <w:left w:val="nil"/>
              <w:bottom w:val="single" w:sz="8" w:space="0" w:color="auto"/>
              <w:right w:val="nil"/>
            </w:tcBorders>
            <w:shd w:val="clear" w:color="000000" w:fill="EEECE1"/>
            <w:noWrap/>
            <w:vAlign w:val="center"/>
          </w:tcPr>
          <w:p w:rsidR="00D24C7E" w:rsidRPr="00D24C7E" w:rsidRDefault="00D24C7E">
            <w:pPr>
              <w:jc w:val="center"/>
              <w:rPr>
                <w:rFonts w:ascii="Arial" w:hAnsi="Arial" w:cs="Arial"/>
                <w:szCs w:val="20"/>
              </w:rPr>
            </w:pPr>
            <w:r w:rsidRPr="00D24C7E">
              <w:rPr>
                <w:rFonts w:ascii="Arial" w:hAnsi="Arial" w:cs="Arial"/>
                <w:szCs w:val="20"/>
              </w:rPr>
              <w:t>0</w:t>
            </w:r>
          </w:p>
        </w:tc>
        <w:tc>
          <w:tcPr>
            <w:tcW w:w="1751" w:type="dxa"/>
            <w:tcBorders>
              <w:top w:val="nil"/>
              <w:left w:val="nil"/>
              <w:bottom w:val="single" w:sz="8" w:space="0" w:color="auto"/>
              <w:right w:val="nil"/>
            </w:tcBorders>
            <w:shd w:val="clear" w:color="000000" w:fill="EEECE1"/>
            <w:vAlign w:val="center"/>
          </w:tcPr>
          <w:p w:rsidR="00D24C7E" w:rsidRPr="00D24C7E" w:rsidRDefault="00D24C7E">
            <w:pPr>
              <w:jc w:val="center"/>
              <w:rPr>
                <w:rFonts w:ascii="Arial" w:hAnsi="Arial" w:cs="Arial"/>
                <w:szCs w:val="20"/>
              </w:rPr>
            </w:pPr>
            <w:r w:rsidRPr="00D24C7E">
              <w:rPr>
                <w:rFonts w:ascii="Arial" w:hAnsi="Arial" w:cs="Arial"/>
                <w:szCs w:val="20"/>
              </w:rPr>
              <w:t>1</w:t>
            </w:r>
          </w:p>
        </w:tc>
      </w:tr>
    </w:tbl>
    <w:p w:rsidR="009340BA" w:rsidRPr="002124A8" w:rsidRDefault="00601EB7" w:rsidP="003436ED">
      <w:pPr>
        <w:pStyle w:val="Heading2"/>
        <w:spacing w:line="276" w:lineRule="auto"/>
        <w:rPr>
          <w:rFonts w:ascii="Arial" w:hAnsi="Arial"/>
          <w:b w:val="0"/>
          <w:bCs w:val="0"/>
          <w:iCs w:val="0"/>
          <w:color w:val="auto"/>
          <w:sz w:val="16"/>
          <w:szCs w:val="16"/>
          <w:lang w:eastAsia="en-US"/>
        </w:rPr>
      </w:pPr>
      <w:r w:rsidRPr="002124A8">
        <w:rPr>
          <w:rFonts w:ascii="Arial" w:hAnsi="Arial"/>
          <w:b w:val="0"/>
          <w:bCs w:val="0"/>
          <w:iCs w:val="0"/>
          <w:color w:val="auto"/>
          <w:sz w:val="16"/>
          <w:szCs w:val="16"/>
          <w:lang w:eastAsia="en-US"/>
        </w:rPr>
        <w:t>Note: Due to rounding, the total may not be 100 per cent.</w:t>
      </w:r>
    </w:p>
    <w:p w:rsidR="00977DC4" w:rsidRPr="002124A8" w:rsidRDefault="00780239" w:rsidP="003436ED">
      <w:pPr>
        <w:pStyle w:val="Heading2"/>
        <w:spacing w:line="276" w:lineRule="auto"/>
        <w:rPr>
          <w:rFonts w:ascii="Arial" w:hAnsi="Arial"/>
          <w:color w:val="auto"/>
        </w:rPr>
      </w:pPr>
      <w:r w:rsidRPr="002124A8">
        <w:rPr>
          <w:rFonts w:ascii="Arial" w:hAnsi="Arial"/>
          <w:color w:val="auto"/>
        </w:rPr>
        <w:t>G</w:t>
      </w:r>
      <w:r w:rsidR="00D96C94" w:rsidRPr="002124A8">
        <w:rPr>
          <w:rFonts w:ascii="Arial" w:hAnsi="Arial"/>
          <w:color w:val="auto"/>
        </w:rPr>
        <w:t xml:space="preserve">eneration </w:t>
      </w:r>
      <w:r w:rsidR="00721BA4" w:rsidRPr="002124A8">
        <w:rPr>
          <w:rFonts w:ascii="Arial" w:hAnsi="Arial"/>
          <w:color w:val="auto"/>
        </w:rPr>
        <w:t>and bidding patterns</w:t>
      </w:r>
    </w:p>
    <w:p w:rsidR="00977DC4" w:rsidRPr="00F52F00" w:rsidRDefault="007E6DC8" w:rsidP="003436ED">
      <w:pPr>
        <w:pStyle w:val="AERbodytext"/>
        <w:spacing w:before="120" w:line="276" w:lineRule="auto"/>
        <w:rPr>
          <w:rFonts w:ascii="Arial" w:hAnsi="Arial" w:cs="Arial"/>
          <w:sz w:val="22"/>
          <w:szCs w:val="22"/>
        </w:rPr>
      </w:pPr>
      <w:r w:rsidRPr="00F52F00">
        <w:rPr>
          <w:rFonts w:ascii="Arial" w:hAnsi="Arial" w:cs="Arial"/>
          <w:sz w:val="22"/>
          <w:szCs w:val="22"/>
        </w:rPr>
        <w:t xml:space="preserve">The AER reviews generator bidding as part of its market monitoring to better understand the drivers behind price variations. </w:t>
      </w:r>
      <w:r w:rsidR="000D5C60" w:rsidRPr="00F52F00">
        <w:rPr>
          <w:rFonts w:ascii="Arial" w:hAnsi="Arial" w:cs="Arial"/>
          <w:sz w:val="22"/>
          <w:szCs w:val="22"/>
        </w:rPr>
        <w:t xml:space="preserve">Figures </w:t>
      </w:r>
      <w:r w:rsidR="00433273" w:rsidRPr="00F52F00">
        <w:rPr>
          <w:rFonts w:ascii="Arial" w:hAnsi="Arial" w:cs="Arial"/>
          <w:sz w:val="22"/>
          <w:szCs w:val="22"/>
        </w:rPr>
        <w:t>3</w:t>
      </w:r>
      <w:r w:rsidR="000D5C60" w:rsidRPr="00F52F00">
        <w:rPr>
          <w:rFonts w:ascii="Arial" w:hAnsi="Arial" w:cs="Arial"/>
          <w:sz w:val="22"/>
          <w:szCs w:val="22"/>
        </w:rPr>
        <w:t xml:space="preserve"> to </w:t>
      </w:r>
      <w:r w:rsidR="00433273" w:rsidRPr="00F52F00">
        <w:rPr>
          <w:rFonts w:ascii="Arial" w:hAnsi="Arial" w:cs="Arial"/>
          <w:sz w:val="22"/>
          <w:szCs w:val="22"/>
        </w:rPr>
        <w:t>7</w:t>
      </w:r>
      <w:r w:rsidR="0048688D" w:rsidRPr="00F52F00">
        <w:rPr>
          <w:rFonts w:ascii="Arial" w:hAnsi="Arial" w:cs="Arial"/>
          <w:sz w:val="22"/>
          <w:szCs w:val="22"/>
        </w:rPr>
        <w:t xml:space="preserve"> </w:t>
      </w:r>
      <w:r w:rsidR="000D5C60" w:rsidRPr="00F52F00">
        <w:rPr>
          <w:rFonts w:ascii="Arial" w:hAnsi="Arial" w:cs="Arial"/>
          <w:sz w:val="22"/>
          <w:szCs w:val="22"/>
        </w:rPr>
        <w:t xml:space="preserve">show, the </w:t>
      </w:r>
      <w:r w:rsidR="00A92F2B" w:rsidRPr="00F52F00">
        <w:rPr>
          <w:rFonts w:ascii="Arial" w:hAnsi="Arial" w:cs="Arial"/>
          <w:sz w:val="22"/>
          <w:szCs w:val="22"/>
        </w:rPr>
        <w:t xml:space="preserve">total generation </w:t>
      </w:r>
      <w:r w:rsidR="00D71DBA" w:rsidRPr="00F52F00">
        <w:rPr>
          <w:rFonts w:ascii="Arial" w:hAnsi="Arial" w:cs="Arial"/>
          <w:sz w:val="22"/>
          <w:szCs w:val="22"/>
        </w:rPr>
        <w:t xml:space="preserve">dispatched </w:t>
      </w:r>
      <w:r w:rsidR="000D5C60" w:rsidRPr="00F52F00">
        <w:rPr>
          <w:rFonts w:ascii="Arial" w:hAnsi="Arial" w:cs="Arial"/>
          <w:sz w:val="22"/>
          <w:szCs w:val="22"/>
        </w:rPr>
        <w:t xml:space="preserve">and the amounts of capacity </w:t>
      </w:r>
      <w:r w:rsidR="00E970B3" w:rsidRPr="00F52F00">
        <w:rPr>
          <w:rFonts w:ascii="Arial" w:hAnsi="Arial" w:cs="Arial"/>
          <w:sz w:val="22"/>
          <w:szCs w:val="22"/>
        </w:rPr>
        <w:t>offered</w:t>
      </w:r>
      <w:r w:rsidR="000D5C60" w:rsidRPr="00F52F00">
        <w:rPr>
          <w:rFonts w:ascii="Arial" w:hAnsi="Arial" w:cs="Arial"/>
          <w:sz w:val="22"/>
          <w:szCs w:val="22"/>
        </w:rPr>
        <w:t xml:space="preserve"> within certain price bands</w:t>
      </w:r>
      <w:r w:rsidR="00D71DBA" w:rsidRPr="00F52F00">
        <w:rPr>
          <w:rFonts w:ascii="Arial" w:hAnsi="Arial" w:cs="Arial"/>
          <w:sz w:val="22"/>
          <w:szCs w:val="22"/>
        </w:rPr>
        <w:t xml:space="preserve"> for each 30 minute trading interval</w:t>
      </w:r>
      <w:r w:rsidR="00E970B3" w:rsidRPr="00F52F00">
        <w:rPr>
          <w:rFonts w:ascii="Arial" w:hAnsi="Arial" w:cs="Arial"/>
          <w:sz w:val="22"/>
          <w:szCs w:val="22"/>
        </w:rPr>
        <w:t xml:space="preserve"> in each region</w:t>
      </w:r>
      <w:r w:rsidR="000D5C60" w:rsidRPr="00F52F00">
        <w:rPr>
          <w:rFonts w:ascii="Arial" w:hAnsi="Arial" w:cs="Arial"/>
          <w:sz w:val="22"/>
          <w:szCs w:val="22"/>
        </w:rPr>
        <w:t>.</w:t>
      </w:r>
      <w:r w:rsidR="00EB2877" w:rsidRPr="00F52F00">
        <w:rPr>
          <w:rFonts w:ascii="Arial" w:hAnsi="Arial" w:cs="Arial"/>
          <w:sz w:val="22"/>
          <w:szCs w:val="22"/>
        </w:rPr>
        <w:t xml:space="preserve"> </w:t>
      </w:r>
    </w:p>
    <w:p w:rsidR="00F4461C" w:rsidRPr="00F52F00" w:rsidRDefault="0078358A" w:rsidP="003436ED">
      <w:pPr>
        <w:pStyle w:val="Figureheading"/>
        <w:numPr>
          <w:ilvl w:val="0"/>
          <w:numId w:val="0"/>
        </w:numPr>
        <w:spacing w:line="276" w:lineRule="auto"/>
        <w:rPr>
          <w:rFonts w:ascii="Arial" w:hAnsi="Arial" w:cs="Arial"/>
          <w:sz w:val="22"/>
          <w:szCs w:val="22"/>
        </w:rPr>
      </w:pPr>
      <w:r w:rsidRPr="00F52F00">
        <w:rPr>
          <w:rFonts w:ascii="Arial" w:hAnsi="Arial" w:cs="Arial"/>
          <w:sz w:val="22"/>
          <w:szCs w:val="22"/>
        </w:rPr>
        <w:t>Figure 3</w:t>
      </w:r>
      <w:r w:rsidR="00F4461C" w:rsidRPr="00F52F00">
        <w:rPr>
          <w:rFonts w:ascii="Arial" w:hAnsi="Arial" w:cs="Arial"/>
          <w:sz w:val="22"/>
          <w:szCs w:val="22"/>
        </w:rPr>
        <w:t>: Queensland generation and bidding patterns</w:t>
      </w:r>
    </w:p>
    <w:p w:rsidR="00F4461C" w:rsidRDefault="00F02B66" w:rsidP="003436ED">
      <w:pPr>
        <w:pStyle w:val="AERbodytext"/>
        <w:spacing w:line="276" w:lineRule="auto"/>
      </w:pPr>
      <w:r>
        <w:pict>
          <v:shape id="_x0000_i1028" type="#_x0000_t75" alt="Figure 3 shows the total generation dispatched and the amounts of capacity bid in within certain price bands for each 30 minute trading interval in Queensland this week.&#10;Should you require a description of the data for the week under review, please email us at AERInquiry@aer.gov.au" style="width:451.4pt;height:324.3pt">
            <v:imagedata r:id="rId13" o:title=""/>
          </v:shape>
        </w:pict>
      </w:r>
    </w:p>
    <w:p w:rsidR="004D7759" w:rsidRPr="004D7759" w:rsidRDefault="004D7759" w:rsidP="003436ED">
      <w:pPr>
        <w:pStyle w:val="AERbodytext"/>
        <w:spacing w:line="276" w:lineRule="auto"/>
        <w:rPr>
          <w:rFonts w:ascii="Arial" w:hAnsi="Arial" w:cs="Arial"/>
          <w:sz w:val="22"/>
          <w:szCs w:val="22"/>
        </w:rPr>
      </w:pPr>
    </w:p>
    <w:p w:rsidR="00F4461C" w:rsidRPr="00F52F00" w:rsidRDefault="00F4461C" w:rsidP="003436ED">
      <w:pPr>
        <w:pStyle w:val="Figureheading"/>
        <w:numPr>
          <w:ilvl w:val="0"/>
          <w:numId w:val="0"/>
        </w:numPr>
        <w:spacing w:line="276" w:lineRule="auto"/>
        <w:ind w:left="357" w:hanging="357"/>
        <w:rPr>
          <w:rFonts w:ascii="Arial" w:hAnsi="Arial" w:cs="Arial"/>
          <w:sz w:val="22"/>
          <w:szCs w:val="22"/>
        </w:rPr>
      </w:pPr>
      <w:r w:rsidRPr="00F52F00">
        <w:rPr>
          <w:rFonts w:ascii="Arial" w:hAnsi="Arial" w:cs="Arial"/>
          <w:sz w:val="22"/>
          <w:szCs w:val="22"/>
        </w:rPr>
        <w:t xml:space="preserve">Figure </w:t>
      </w:r>
      <w:r w:rsidR="0078358A" w:rsidRPr="00F52F00">
        <w:rPr>
          <w:rFonts w:ascii="Arial" w:hAnsi="Arial" w:cs="Arial"/>
          <w:sz w:val="22"/>
          <w:szCs w:val="22"/>
        </w:rPr>
        <w:t>4</w:t>
      </w:r>
      <w:r w:rsidRPr="00F52F00">
        <w:rPr>
          <w:rFonts w:ascii="Arial" w:hAnsi="Arial" w:cs="Arial"/>
          <w:sz w:val="22"/>
          <w:szCs w:val="22"/>
        </w:rPr>
        <w:t>: New South Wales generation and bidding patterns</w:t>
      </w:r>
    </w:p>
    <w:p w:rsidR="002652CD" w:rsidRPr="002124A8" w:rsidRDefault="00F02B66" w:rsidP="003436ED">
      <w:pPr>
        <w:pStyle w:val="AERbodytext"/>
        <w:spacing w:line="276" w:lineRule="auto"/>
        <w:rPr>
          <w:rFonts w:ascii="Arial" w:hAnsi="Arial" w:cs="Arial"/>
        </w:rPr>
      </w:pPr>
      <w:r>
        <w:pict>
          <v:shape id="_x0000_i1029" type="#_x0000_t75" al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style="width:451.4pt;height:304.9pt">
            <v:imagedata r:id="rId14" o:title=""/>
          </v:shape>
        </w:pict>
      </w:r>
    </w:p>
    <w:p w:rsidR="00F4461C" w:rsidRPr="00F52F00" w:rsidRDefault="00F4461C" w:rsidP="003436ED">
      <w:pPr>
        <w:pStyle w:val="Figureheading"/>
        <w:numPr>
          <w:ilvl w:val="0"/>
          <w:numId w:val="0"/>
        </w:numPr>
        <w:spacing w:line="276" w:lineRule="auto"/>
        <w:ind w:left="357" w:hanging="357"/>
        <w:rPr>
          <w:rFonts w:ascii="Arial" w:hAnsi="Arial" w:cs="Arial"/>
          <w:sz w:val="22"/>
          <w:szCs w:val="22"/>
        </w:rPr>
      </w:pPr>
      <w:r w:rsidRPr="00F52F00">
        <w:rPr>
          <w:rFonts w:ascii="Arial" w:hAnsi="Arial" w:cs="Arial"/>
          <w:sz w:val="22"/>
          <w:szCs w:val="22"/>
        </w:rPr>
        <w:t xml:space="preserve">Figure </w:t>
      </w:r>
      <w:r w:rsidR="0078358A" w:rsidRPr="00F52F00">
        <w:rPr>
          <w:rFonts w:ascii="Arial" w:hAnsi="Arial" w:cs="Arial"/>
          <w:sz w:val="22"/>
          <w:szCs w:val="22"/>
        </w:rPr>
        <w:t>5</w:t>
      </w:r>
      <w:r w:rsidRPr="00F52F00">
        <w:rPr>
          <w:rFonts w:ascii="Arial" w:hAnsi="Arial" w:cs="Arial"/>
          <w:sz w:val="22"/>
          <w:szCs w:val="22"/>
        </w:rPr>
        <w:t>: Victoria generation and bidding patterns</w:t>
      </w:r>
    </w:p>
    <w:p w:rsidR="00785F23" w:rsidRPr="002124A8" w:rsidRDefault="00F02B66" w:rsidP="003436ED">
      <w:pPr>
        <w:pStyle w:val="AERbodytext"/>
        <w:spacing w:line="276" w:lineRule="auto"/>
        <w:rPr>
          <w:rFonts w:ascii="Arial" w:hAnsi="Arial" w:cs="Arial"/>
        </w:rPr>
      </w:pPr>
      <w:r>
        <w:pict>
          <v:shape id="_x0000_i1030" type="#_x0000_t75" alt="Figure 5 shows the total generation dispatched and the amounts of capacity bid in within certain price bands for each 30 minute trading interval in Victoria this week.&#10;Should you require a description of the data for the week under review, please email us at AERInquiry@aer.gov.au" style="width:451.4pt;height:304.3pt">
            <v:imagedata r:id="rId15" o:title=""/>
          </v:shape>
        </w:pict>
      </w:r>
    </w:p>
    <w:p w:rsidR="00C52BE5" w:rsidRPr="00F52F00" w:rsidRDefault="00780239" w:rsidP="003436ED">
      <w:pPr>
        <w:pStyle w:val="Figureheading"/>
        <w:numPr>
          <w:ilvl w:val="0"/>
          <w:numId w:val="0"/>
        </w:numPr>
        <w:spacing w:line="276" w:lineRule="auto"/>
        <w:ind w:left="357" w:hanging="357"/>
        <w:rPr>
          <w:rFonts w:ascii="Arial" w:hAnsi="Arial" w:cs="Arial"/>
          <w:sz w:val="22"/>
          <w:szCs w:val="22"/>
        </w:rPr>
      </w:pPr>
      <w:r w:rsidRPr="00F52F00">
        <w:rPr>
          <w:rFonts w:ascii="Arial" w:hAnsi="Arial" w:cs="Arial"/>
          <w:sz w:val="22"/>
          <w:szCs w:val="22"/>
        </w:rPr>
        <w:t>Fi</w:t>
      </w:r>
      <w:r w:rsidR="00C52BE5" w:rsidRPr="00F52F00">
        <w:rPr>
          <w:rFonts w:ascii="Arial" w:hAnsi="Arial" w:cs="Arial"/>
          <w:sz w:val="22"/>
          <w:szCs w:val="22"/>
        </w:rPr>
        <w:t xml:space="preserve">gure </w:t>
      </w:r>
      <w:r w:rsidR="0078358A" w:rsidRPr="00F52F00">
        <w:rPr>
          <w:rFonts w:ascii="Arial" w:hAnsi="Arial" w:cs="Arial"/>
          <w:sz w:val="22"/>
          <w:szCs w:val="22"/>
        </w:rPr>
        <w:t>6</w:t>
      </w:r>
      <w:r w:rsidR="00C52BE5" w:rsidRPr="00F52F00">
        <w:rPr>
          <w:rFonts w:ascii="Arial" w:hAnsi="Arial" w:cs="Arial"/>
          <w:sz w:val="22"/>
          <w:szCs w:val="22"/>
        </w:rPr>
        <w:t>: South Australia</w:t>
      </w:r>
      <w:r w:rsidR="00D96C94" w:rsidRPr="00F52F00">
        <w:rPr>
          <w:rFonts w:ascii="Arial" w:hAnsi="Arial" w:cs="Arial"/>
          <w:sz w:val="22"/>
          <w:szCs w:val="22"/>
        </w:rPr>
        <w:t xml:space="preserve"> generation and bidding patterns</w:t>
      </w:r>
    </w:p>
    <w:p w:rsidR="002652CD" w:rsidRPr="002124A8" w:rsidRDefault="00F02B66" w:rsidP="003436ED">
      <w:pPr>
        <w:pStyle w:val="AERbodytext"/>
        <w:spacing w:line="276" w:lineRule="auto"/>
        <w:rPr>
          <w:rFonts w:ascii="Arial" w:hAnsi="Arial" w:cs="Arial"/>
        </w:rPr>
      </w:pPr>
      <w:r>
        <w:pict>
          <v:shape id="_x0000_i1031" type="#_x0000_t75" alt="Figure 6 shows the total generation dispatched and the amounts of capacity bid in within certain price bands for each 30 minute trading interval in SouthAustralia this week.&#10;Should you require a description of the data for the week under review, please email us at AERInquiry@aer.gov.au" style="width:451.4pt;height:304.3pt">
            <v:imagedata r:id="rId16" o:title=""/>
          </v:shape>
        </w:pict>
      </w:r>
    </w:p>
    <w:p w:rsidR="0048688D" w:rsidRPr="00F52F00" w:rsidRDefault="0048688D" w:rsidP="003436ED">
      <w:pPr>
        <w:pStyle w:val="Figureheading"/>
        <w:numPr>
          <w:ilvl w:val="0"/>
          <w:numId w:val="0"/>
        </w:numPr>
        <w:spacing w:line="276" w:lineRule="auto"/>
        <w:ind w:left="357" w:hanging="357"/>
        <w:rPr>
          <w:rFonts w:ascii="Arial" w:hAnsi="Arial" w:cs="Arial"/>
          <w:sz w:val="22"/>
          <w:szCs w:val="22"/>
        </w:rPr>
      </w:pPr>
      <w:r w:rsidRPr="00F52F00">
        <w:rPr>
          <w:rFonts w:ascii="Arial" w:hAnsi="Arial" w:cs="Arial"/>
          <w:sz w:val="22"/>
          <w:szCs w:val="22"/>
        </w:rPr>
        <w:t xml:space="preserve">Figure </w:t>
      </w:r>
      <w:r w:rsidR="0078358A" w:rsidRPr="00F52F00">
        <w:rPr>
          <w:rFonts w:ascii="Arial" w:hAnsi="Arial" w:cs="Arial"/>
          <w:sz w:val="22"/>
          <w:szCs w:val="22"/>
        </w:rPr>
        <w:t>7</w:t>
      </w:r>
      <w:r w:rsidRPr="00F52F00">
        <w:rPr>
          <w:rFonts w:ascii="Arial" w:hAnsi="Arial" w:cs="Arial"/>
          <w:sz w:val="22"/>
          <w:szCs w:val="22"/>
        </w:rPr>
        <w:t>: Tasmania</w:t>
      </w:r>
      <w:r w:rsidR="00D96C94" w:rsidRPr="00F52F00">
        <w:rPr>
          <w:rFonts w:ascii="Arial" w:hAnsi="Arial" w:cs="Arial"/>
          <w:sz w:val="22"/>
          <w:szCs w:val="22"/>
        </w:rPr>
        <w:t xml:space="preserve"> generation and bidding patterns</w:t>
      </w:r>
    </w:p>
    <w:p w:rsidR="00B027E9" w:rsidRPr="002124A8" w:rsidRDefault="00F02B66" w:rsidP="003436ED">
      <w:pPr>
        <w:pStyle w:val="AERbodytext"/>
        <w:spacing w:line="276" w:lineRule="auto"/>
        <w:rPr>
          <w:rFonts w:ascii="Arial" w:hAnsi="Arial" w:cs="Arial"/>
        </w:rPr>
      </w:pPr>
      <w:r>
        <w:pict>
          <v:shape id="_x0000_i1032" type="#_x0000_t75" alt="Figure 7 shows the total generation dispatched and the amounts of capacity bid in within certain price bands for each 30 minute trading interval in Tasmania this week.&#10;Should you require a description of the data for the week under review, please email us at AERInquiry@aer.gov.au" style="width:451.4pt;height:304.9pt;mso-position-vertical:absolute">
            <v:imagedata r:id="rId17" o:title=""/>
          </v:shape>
        </w:pict>
      </w:r>
    </w:p>
    <w:p w:rsidR="00977DC4" w:rsidRPr="002124A8" w:rsidRDefault="000125FD" w:rsidP="003436ED">
      <w:pPr>
        <w:pStyle w:val="Heading2"/>
        <w:spacing w:line="276" w:lineRule="auto"/>
        <w:rPr>
          <w:rFonts w:ascii="Arial" w:hAnsi="Arial"/>
          <w:color w:val="auto"/>
        </w:rPr>
      </w:pPr>
      <w:r w:rsidRPr="002124A8">
        <w:rPr>
          <w:rFonts w:ascii="Arial" w:hAnsi="Arial"/>
          <w:color w:val="auto"/>
        </w:rPr>
        <w:t>Frequency control a</w:t>
      </w:r>
      <w:r w:rsidR="00221B68" w:rsidRPr="002124A8">
        <w:rPr>
          <w:rFonts w:ascii="Arial" w:hAnsi="Arial"/>
          <w:color w:val="auto"/>
        </w:rPr>
        <w:t>ncillary services market</w:t>
      </w:r>
      <w:r w:rsidRPr="002124A8">
        <w:rPr>
          <w:rFonts w:ascii="Arial" w:hAnsi="Arial"/>
          <w:color w:val="auto"/>
        </w:rPr>
        <w:t>s</w:t>
      </w:r>
    </w:p>
    <w:p w:rsidR="00733916" w:rsidRPr="00F52F00" w:rsidRDefault="0026403E" w:rsidP="00600E2C">
      <w:pPr>
        <w:pStyle w:val="AERbodytext"/>
        <w:spacing w:after="120" w:line="276" w:lineRule="auto"/>
        <w:rPr>
          <w:rFonts w:ascii="Arial" w:hAnsi="Arial" w:cs="Arial"/>
          <w:sz w:val="22"/>
          <w:szCs w:val="22"/>
        </w:rPr>
      </w:pPr>
      <w:r w:rsidRPr="00F52F00">
        <w:rPr>
          <w:rFonts w:ascii="Arial" w:hAnsi="Arial" w:cs="Arial"/>
          <w:sz w:val="22"/>
          <w:szCs w:val="22"/>
        </w:rPr>
        <w:t xml:space="preserve">Frequency control ancillary services (FCAS) are required to maintain the frequency of the power system within the frequency operating standards. </w:t>
      </w:r>
      <w:r w:rsidR="00733916" w:rsidRPr="00F52F00">
        <w:rPr>
          <w:rFonts w:ascii="Arial" w:hAnsi="Arial" w:cs="Arial"/>
          <w:sz w:val="22"/>
          <w:szCs w:val="22"/>
        </w:rPr>
        <w:t>Raise and lower r</w:t>
      </w:r>
      <w:r w:rsidRPr="00F52F00">
        <w:rPr>
          <w:rFonts w:ascii="Arial" w:hAnsi="Arial" w:cs="Arial"/>
          <w:sz w:val="22"/>
          <w:szCs w:val="22"/>
        </w:rPr>
        <w:t xml:space="preserve">egulation services are used to address small </w:t>
      </w:r>
      <w:r w:rsidR="000722C8" w:rsidRPr="00F52F00">
        <w:rPr>
          <w:rFonts w:ascii="Arial" w:hAnsi="Arial" w:cs="Arial"/>
          <w:sz w:val="22"/>
          <w:szCs w:val="22"/>
        </w:rPr>
        <w:t>fluctuations</w:t>
      </w:r>
      <w:r w:rsidRPr="00F52F00">
        <w:rPr>
          <w:rFonts w:ascii="Arial" w:hAnsi="Arial" w:cs="Arial"/>
          <w:sz w:val="22"/>
          <w:szCs w:val="22"/>
        </w:rPr>
        <w:t xml:space="preserve"> in frequency, </w:t>
      </w:r>
      <w:r w:rsidR="00E970B3" w:rsidRPr="00F52F00">
        <w:rPr>
          <w:rFonts w:ascii="Arial" w:hAnsi="Arial" w:cs="Arial"/>
          <w:sz w:val="22"/>
          <w:szCs w:val="22"/>
        </w:rPr>
        <w:t xml:space="preserve">while </w:t>
      </w:r>
      <w:r w:rsidR="00733916" w:rsidRPr="00F52F00">
        <w:rPr>
          <w:rFonts w:ascii="Arial" w:hAnsi="Arial" w:cs="Arial"/>
          <w:sz w:val="22"/>
          <w:szCs w:val="22"/>
        </w:rPr>
        <w:t xml:space="preserve">raise and lower </w:t>
      </w:r>
      <w:r w:rsidRPr="00F52F00">
        <w:rPr>
          <w:rFonts w:ascii="Arial" w:hAnsi="Arial" w:cs="Arial"/>
          <w:sz w:val="22"/>
          <w:szCs w:val="22"/>
        </w:rPr>
        <w:t xml:space="preserve">contingency services are used to address larger </w:t>
      </w:r>
      <w:r w:rsidR="00733916" w:rsidRPr="00F52F00">
        <w:rPr>
          <w:rFonts w:ascii="Arial" w:hAnsi="Arial" w:cs="Arial"/>
          <w:sz w:val="22"/>
          <w:szCs w:val="22"/>
        </w:rPr>
        <w:t xml:space="preserve">frequency deviations. There are six contingency services: </w:t>
      </w:r>
    </w:p>
    <w:p w:rsidR="00733916" w:rsidRPr="00F52F00" w:rsidRDefault="00733916" w:rsidP="00600E2C">
      <w:pPr>
        <w:pStyle w:val="Listbullet1"/>
        <w:spacing w:after="120" w:line="276" w:lineRule="auto"/>
        <w:ind w:left="357" w:hanging="357"/>
        <w:rPr>
          <w:rFonts w:ascii="Arial" w:hAnsi="Arial" w:cs="Arial"/>
          <w:sz w:val="22"/>
          <w:szCs w:val="22"/>
        </w:rPr>
      </w:pPr>
      <w:r w:rsidRPr="00F52F00">
        <w:rPr>
          <w:rFonts w:ascii="Arial" w:hAnsi="Arial" w:cs="Arial"/>
          <w:i/>
          <w:sz w:val="22"/>
          <w:szCs w:val="22"/>
        </w:rPr>
        <w:t>fast services</w:t>
      </w:r>
      <w:r w:rsidRPr="00F52F00">
        <w:rPr>
          <w:rFonts w:ascii="Arial" w:hAnsi="Arial" w:cs="Arial"/>
          <w:sz w:val="22"/>
          <w:szCs w:val="22"/>
        </w:rPr>
        <w:t>, which arrest a frequency deviation within the first 6 seconds of a contingent event (raise and lower 6</w:t>
      </w:r>
      <w:r w:rsidR="00715ED6" w:rsidRPr="00F52F00">
        <w:rPr>
          <w:rFonts w:ascii="Arial" w:hAnsi="Arial" w:cs="Arial"/>
          <w:sz w:val="22"/>
          <w:szCs w:val="22"/>
        </w:rPr>
        <w:t> </w:t>
      </w:r>
      <w:r w:rsidRPr="00F52F00">
        <w:rPr>
          <w:rFonts w:ascii="Arial" w:hAnsi="Arial" w:cs="Arial"/>
          <w:sz w:val="22"/>
          <w:szCs w:val="22"/>
        </w:rPr>
        <w:t>sec</w:t>
      </w:r>
      <w:r w:rsidR="00715ED6" w:rsidRPr="00F52F00">
        <w:rPr>
          <w:rFonts w:ascii="Arial" w:hAnsi="Arial" w:cs="Arial"/>
          <w:sz w:val="22"/>
          <w:szCs w:val="22"/>
        </w:rPr>
        <w:t>ond</w:t>
      </w:r>
      <w:r w:rsidRPr="00F52F00">
        <w:rPr>
          <w:rFonts w:ascii="Arial" w:hAnsi="Arial" w:cs="Arial"/>
          <w:sz w:val="22"/>
          <w:szCs w:val="22"/>
        </w:rPr>
        <w:t>)</w:t>
      </w:r>
    </w:p>
    <w:p w:rsidR="00733916" w:rsidRPr="00F52F00" w:rsidRDefault="00733916" w:rsidP="00600E2C">
      <w:pPr>
        <w:pStyle w:val="Listbullet1"/>
        <w:spacing w:after="120" w:line="276" w:lineRule="auto"/>
        <w:ind w:left="357" w:hanging="357"/>
        <w:rPr>
          <w:rFonts w:ascii="Arial" w:hAnsi="Arial" w:cs="Arial"/>
          <w:sz w:val="22"/>
          <w:szCs w:val="22"/>
        </w:rPr>
      </w:pPr>
      <w:r w:rsidRPr="00F52F00">
        <w:rPr>
          <w:rFonts w:ascii="Arial" w:hAnsi="Arial" w:cs="Arial"/>
          <w:i/>
          <w:sz w:val="22"/>
          <w:szCs w:val="22"/>
        </w:rPr>
        <w:t>slow services</w:t>
      </w:r>
      <w:r w:rsidRPr="00F52F00">
        <w:rPr>
          <w:rFonts w:ascii="Arial" w:hAnsi="Arial" w:cs="Arial"/>
          <w:sz w:val="22"/>
          <w:szCs w:val="22"/>
        </w:rPr>
        <w:t>, which stabilise frequency deviations within 60 seconds of the event (raise and lower 60</w:t>
      </w:r>
      <w:r w:rsidR="00715ED6" w:rsidRPr="00F52F00">
        <w:rPr>
          <w:rFonts w:ascii="Arial" w:hAnsi="Arial" w:cs="Arial"/>
          <w:sz w:val="22"/>
          <w:szCs w:val="22"/>
        </w:rPr>
        <w:t> </w:t>
      </w:r>
      <w:r w:rsidRPr="00F52F00">
        <w:rPr>
          <w:rFonts w:ascii="Arial" w:hAnsi="Arial" w:cs="Arial"/>
          <w:sz w:val="22"/>
          <w:szCs w:val="22"/>
        </w:rPr>
        <w:t>sec</w:t>
      </w:r>
      <w:r w:rsidR="00715ED6" w:rsidRPr="00F52F00">
        <w:rPr>
          <w:rFonts w:ascii="Arial" w:hAnsi="Arial" w:cs="Arial"/>
          <w:sz w:val="22"/>
          <w:szCs w:val="22"/>
        </w:rPr>
        <w:t>ond</w:t>
      </w:r>
      <w:r w:rsidRPr="00F52F00">
        <w:rPr>
          <w:rFonts w:ascii="Arial" w:hAnsi="Arial" w:cs="Arial"/>
          <w:sz w:val="22"/>
          <w:szCs w:val="22"/>
        </w:rPr>
        <w:t>)</w:t>
      </w:r>
    </w:p>
    <w:p w:rsidR="0026403E" w:rsidRPr="00F52F00" w:rsidRDefault="00733916" w:rsidP="00600E2C">
      <w:pPr>
        <w:pStyle w:val="Listbullet1"/>
        <w:spacing w:after="120" w:line="276" w:lineRule="auto"/>
        <w:ind w:left="357" w:hanging="357"/>
        <w:rPr>
          <w:rFonts w:ascii="Arial" w:hAnsi="Arial" w:cs="Arial"/>
          <w:sz w:val="22"/>
          <w:szCs w:val="22"/>
        </w:rPr>
      </w:pPr>
      <w:r w:rsidRPr="00F52F00">
        <w:rPr>
          <w:rFonts w:ascii="Arial" w:hAnsi="Arial" w:cs="Arial"/>
          <w:i/>
          <w:sz w:val="22"/>
          <w:szCs w:val="22"/>
        </w:rPr>
        <w:t>delayed services</w:t>
      </w:r>
      <w:r w:rsidRPr="00F52F00">
        <w:rPr>
          <w:rFonts w:ascii="Arial" w:hAnsi="Arial" w:cs="Arial"/>
          <w:sz w:val="22"/>
          <w:szCs w:val="22"/>
        </w:rPr>
        <w:t>, which return the frequency to the normal operating band within 5 minutes (raise and lower 5</w:t>
      </w:r>
      <w:r w:rsidR="00715ED6" w:rsidRPr="00F52F00">
        <w:rPr>
          <w:rFonts w:ascii="Arial" w:hAnsi="Arial" w:cs="Arial"/>
          <w:sz w:val="22"/>
          <w:szCs w:val="22"/>
        </w:rPr>
        <w:t xml:space="preserve"> </w:t>
      </w:r>
      <w:r w:rsidRPr="00F52F00">
        <w:rPr>
          <w:rFonts w:ascii="Arial" w:hAnsi="Arial" w:cs="Arial"/>
          <w:sz w:val="22"/>
          <w:szCs w:val="22"/>
        </w:rPr>
        <w:t>min</w:t>
      </w:r>
      <w:r w:rsidR="00715ED6" w:rsidRPr="00F52F00">
        <w:rPr>
          <w:rFonts w:ascii="Arial" w:hAnsi="Arial" w:cs="Arial"/>
          <w:sz w:val="22"/>
          <w:szCs w:val="22"/>
        </w:rPr>
        <w:t>ute</w:t>
      </w:r>
      <w:r w:rsidRPr="00F52F00">
        <w:rPr>
          <w:rFonts w:ascii="Arial" w:hAnsi="Arial" w:cs="Arial"/>
          <w:sz w:val="22"/>
          <w:szCs w:val="22"/>
        </w:rPr>
        <w:t>)</w:t>
      </w:r>
      <w:r w:rsidR="00B032DD" w:rsidRPr="00F52F00">
        <w:rPr>
          <w:rFonts w:ascii="Arial" w:hAnsi="Arial" w:cs="Arial"/>
          <w:sz w:val="22"/>
          <w:szCs w:val="22"/>
        </w:rPr>
        <w:t xml:space="preserve"> at which </w:t>
      </w:r>
      <w:r w:rsidR="00715ED6" w:rsidRPr="00F52F00">
        <w:rPr>
          <w:rFonts w:ascii="Arial" w:hAnsi="Arial" w:cs="Arial"/>
          <w:sz w:val="22"/>
          <w:szCs w:val="22"/>
        </w:rPr>
        <w:t xml:space="preserve">time the </w:t>
      </w:r>
      <w:r w:rsidR="00753DF7" w:rsidRPr="00F52F00">
        <w:rPr>
          <w:rFonts w:ascii="Arial" w:hAnsi="Arial" w:cs="Arial"/>
          <w:sz w:val="22"/>
          <w:szCs w:val="22"/>
        </w:rPr>
        <w:t xml:space="preserve">five minute </w:t>
      </w:r>
      <w:r w:rsidR="00715ED6" w:rsidRPr="00F52F00">
        <w:rPr>
          <w:rFonts w:ascii="Arial" w:hAnsi="Arial" w:cs="Arial"/>
          <w:sz w:val="22"/>
          <w:szCs w:val="22"/>
        </w:rPr>
        <w:t xml:space="preserve">dispatch process will take </w:t>
      </w:r>
      <w:r w:rsidR="00753DF7" w:rsidRPr="00F52F00">
        <w:rPr>
          <w:rFonts w:ascii="Arial" w:hAnsi="Arial" w:cs="Arial"/>
          <w:sz w:val="22"/>
          <w:szCs w:val="22"/>
        </w:rPr>
        <w:t>effect.</w:t>
      </w:r>
    </w:p>
    <w:p w:rsidR="00F11D5A" w:rsidRPr="00F52F00" w:rsidRDefault="00475DAA" w:rsidP="003436ED">
      <w:pPr>
        <w:pStyle w:val="AERbodytext"/>
        <w:spacing w:line="276" w:lineRule="auto"/>
        <w:rPr>
          <w:rFonts w:ascii="Arial" w:hAnsi="Arial" w:cs="Arial"/>
          <w:sz w:val="22"/>
          <w:szCs w:val="22"/>
        </w:rPr>
      </w:pPr>
      <w:r w:rsidRPr="00F52F00">
        <w:rPr>
          <w:rFonts w:ascii="Arial" w:hAnsi="Arial" w:cs="Arial"/>
          <w:sz w:val="22"/>
          <w:szCs w:val="22"/>
        </w:rPr>
        <w:t>T</w:t>
      </w:r>
      <w:r w:rsidR="00F11D5A" w:rsidRPr="00F52F00">
        <w:rPr>
          <w:rFonts w:ascii="Arial" w:hAnsi="Arial" w:cs="Arial"/>
          <w:sz w:val="22"/>
          <w:szCs w:val="22"/>
        </w:rPr>
        <w:t>he Electricity Rules stipulate that generators pay for raise contingency services</w:t>
      </w:r>
      <w:r w:rsidRPr="00F52F00">
        <w:rPr>
          <w:rFonts w:ascii="Arial" w:hAnsi="Arial" w:cs="Arial"/>
          <w:sz w:val="22"/>
          <w:szCs w:val="22"/>
        </w:rPr>
        <w:t xml:space="preserve"> and customers pay for lower contingency services.</w:t>
      </w:r>
      <w:r w:rsidR="00F13747" w:rsidRPr="00F52F00">
        <w:rPr>
          <w:rFonts w:ascii="Arial" w:hAnsi="Arial" w:cs="Arial"/>
          <w:sz w:val="22"/>
          <w:szCs w:val="22"/>
        </w:rPr>
        <w:t xml:space="preserve"> Regulation services are paid for on a “causer pays” basis determined </w:t>
      </w:r>
      <w:r w:rsidR="00E970B3" w:rsidRPr="00F52F00">
        <w:rPr>
          <w:rFonts w:ascii="Arial" w:hAnsi="Arial" w:cs="Arial"/>
          <w:sz w:val="22"/>
          <w:szCs w:val="22"/>
        </w:rPr>
        <w:t xml:space="preserve">every </w:t>
      </w:r>
      <w:r w:rsidR="00F13747" w:rsidRPr="00F52F00">
        <w:rPr>
          <w:rFonts w:ascii="Arial" w:hAnsi="Arial" w:cs="Arial"/>
          <w:sz w:val="22"/>
          <w:szCs w:val="22"/>
        </w:rPr>
        <w:t>four weeks by AEMO.</w:t>
      </w:r>
    </w:p>
    <w:p w:rsidR="00C64E11" w:rsidRPr="00F52F00" w:rsidRDefault="009F12EC" w:rsidP="003436ED">
      <w:pPr>
        <w:pStyle w:val="AERbodytext"/>
        <w:spacing w:line="276" w:lineRule="auto"/>
        <w:rPr>
          <w:rFonts w:ascii="Arial" w:hAnsi="Arial" w:cs="Arial"/>
          <w:sz w:val="22"/>
          <w:szCs w:val="22"/>
        </w:rPr>
      </w:pPr>
      <w:r w:rsidRPr="00F52F00">
        <w:rPr>
          <w:rFonts w:ascii="Arial" w:hAnsi="Arial" w:cs="Arial"/>
          <w:sz w:val="22"/>
          <w:szCs w:val="22"/>
        </w:rPr>
        <w:t>The total cost of FCAS on the mainland for the week was $</w:t>
      </w:r>
      <w:r w:rsidR="00726FFA">
        <w:rPr>
          <w:rFonts w:ascii="Arial" w:hAnsi="Arial" w:cs="Arial"/>
          <w:sz w:val="22"/>
          <w:szCs w:val="22"/>
        </w:rPr>
        <w:t>666</w:t>
      </w:r>
      <w:r w:rsidR="003D082E">
        <w:rPr>
          <w:rFonts w:ascii="Arial" w:hAnsi="Arial" w:cs="Arial"/>
          <w:sz w:val="22"/>
          <w:szCs w:val="22"/>
        </w:rPr>
        <w:t> </w:t>
      </w:r>
      <w:r w:rsidR="00726FFA">
        <w:rPr>
          <w:rFonts w:ascii="Arial" w:hAnsi="Arial" w:cs="Arial"/>
          <w:sz w:val="22"/>
          <w:szCs w:val="22"/>
        </w:rPr>
        <w:t>5</w:t>
      </w:r>
      <w:r w:rsidRPr="00F52F00">
        <w:rPr>
          <w:rFonts w:ascii="Arial" w:hAnsi="Arial" w:cs="Arial"/>
          <w:sz w:val="22"/>
          <w:szCs w:val="22"/>
        </w:rPr>
        <w:t>00 or less than 1 per cent of energy turnover on the mainland.</w:t>
      </w:r>
    </w:p>
    <w:p w:rsidR="00B85C47" w:rsidRDefault="009F12EC" w:rsidP="003436ED">
      <w:pPr>
        <w:pStyle w:val="AERbodytext"/>
        <w:spacing w:line="276" w:lineRule="auto"/>
        <w:rPr>
          <w:rFonts w:ascii="Arial" w:hAnsi="Arial" w:cs="Arial"/>
          <w:sz w:val="22"/>
          <w:szCs w:val="22"/>
        </w:rPr>
      </w:pPr>
      <w:r w:rsidRPr="00F52F00">
        <w:rPr>
          <w:rFonts w:ascii="Arial" w:hAnsi="Arial" w:cs="Arial"/>
          <w:sz w:val="22"/>
          <w:szCs w:val="22"/>
        </w:rPr>
        <w:t>The total cost of FCAS in Tasmania for the week was $</w:t>
      </w:r>
      <w:r w:rsidR="00BC4B87">
        <w:rPr>
          <w:rFonts w:ascii="Arial" w:hAnsi="Arial" w:cs="Arial"/>
          <w:sz w:val="22"/>
          <w:szCs w:val="22"/>
        </w:rPr>
        <w:t>9</w:t>
      </w:r>
      <w:r w:rsidR="00726FFA">
        <w:rPr>
          <w:rFonts w:ascii="Arial" w:hAnsi="Arial" w:cs="Arial"/>
          <w:sz w:val="22"/>
          <w:szCs w:val="22"/>
        </w:rPr>
        <w:t>01</w:t>
      </w:r>
      <w:r w:rsidR="003D082E">
        <w:rPr>
          <w:rFonts w:ascii="Arial" w:hAnsi="Arial" w:cs="Arial"/>
          <w:sz w:val="22"/>
          <w:szCs w:val="22"/>
        </w:rPr>
        <w:t> </w:t>
      </w:r>
      <w:r w:rsidRPr="00F52F00">
        <w:rPr>
          <w:rFonts w:ascii="Arial" w:hAnsi="Arial" w:cs="Arial"/>
          <w:sz w:val="22"/>
          <w:szCs w:val="22"/>
        </w:rPr>
        <w:t xml:space="preserve">000 </w:t>
      </w:r>
      <w:r w:rsidR="003D082E">
        <w:rPr>
          <w:rFonts w:ascii="Arial" w:hAnsi="Arial" w:cs="Arial"/>
          <w:sz w:val="22"/>
          <w:szCs w:val="22"/>
        </w:rPr>
        <w:t>or</w:t>
      </w:r>
      <w:r w:rsidR="00B013C8" w:rsidRPr="00F52F00">
        <w:rPr>
          <w:rFonts w:ascii="Arial" w:hAnsi="Arial" w:cs="Arial"/>
          <w:sz w:val="22"/>
          <w:szCs w:val="22"/>
        </w:rPr>
        <w:t xml:space="preserve"> </w:t>
      </w:r>
      <w:r w:rsidR="00BC4B87">
        <w:rPr>
          <w:rFonts w:ascii="Arial" w:hAnsi="Arial" w:cs="Arial"/>
          <w:sz w:val="22"/>
          <w:szCs w:val="22"/>
        </w:rPr>
        <w:t>around 1</w:t>
      </w:r>
      <w:r w:rsidR="00726FFA">
        <w:rPr>
          <w:rFonts w:ascii="Arial" w:hAnsi="Arial" w:cs="Arial"/>
          <w:sz w:val="22"/>
          <w:szCs w:val="22"/>
        </w:rPr>
        <w:t>3</w:t>
      </w:r>
      <w:r w:rsidRPr="00F52F00">
        <w:rPr>
          <w:rFonts w:ascii="Arial" w:hAnsi="Arial" w:cs="Arial"/>
          <w:sz w:val="22"/>
          <w:szCs w:val="22"/>
        </w:rPr>
        <w:t xml:space="preserve"> per cent of energy turnover in Tasmania.</w:t>
      </w:r>
      <w:r w:rsidR="008410D7">
        <w:rPr>
          <w:rFonts w:ascii="Arial" w:hAnsi="Arial" w:cs="Arial"/>
          <w:sz w:val="22"/>
          <w:szCs w:val="22"/>
        </w:rPr>
        <w:t xml:space="preserve"> </w:t>
      </w:r>
    </w:p>
    <w:p w:rsidR="009E7C64" w:rsidRPr="00F52F00" w:rsidRDefault="009E7C64" w:rsidP="00600E2C">
      <w:pPr>
        <w:pStyle w:val="Figureheading"/>
        <w:numPr>
          <w:ilvl w:val="0"/>
          <w:numId w:val="0"/>
        </w:numPr>
        <w:spacing w:before="120" w:line="276" w:lineRule="auto"/>
        <w:ind w:left="357" w:hanging="357"/>
        <w:rPr>
          <w:rFonts w:ascii="Arial" w:hAnsi="Arial" w:cs="Arial"/>
          <w:sz w:val="22"/>
          <w:szCs w:val="22"/>
        </w:rPr>
      </w:pPr>
      <w:r w:rsidRPr="00F52F00">
        <w:rPr>
          <w:rFonts w:ascii="Arial" w:hAnsi="Arial" w:cs="Arial"/>
          <w:sz w:val="22"/>
          <w:szCs w:val="22"/>
        </w:rPr>
        <w:t>Figure 8: Daily frequency control ancillary service cost</w:t>
      </w:r>
    </w:p>
    <w:p w:rsidR="009E7C64" w:rsidRPr="002124A8" w:rsidRDefault="00F02B66" w:rsidP="009E7C64">
      <w:pPr>
        <w:pStyle w:val="AERbodytext"/>
        <w:spacing w:line="276" w:lineRule="auto"/>
        <w:rPr>
          <w:rFonts w:ascii="Arial" w:hAnsi="Arial" w:cs="Arial"/>
        </w:rPr>
      </w:pPr>
      <w:r>
        <w:pict>
          <v:shape id="_x0000_i1033" type="#_x0000_t75" alt="Figure 8 shows the daily breakdown of cost for each FCAS for the NEM, as well as the average cost since the beginning of the previous financial year.&#10;Should you require a description of the data for the week under review, please email us at  AERInquiry@aer.gov.au        &#10;        &#10;        &#10;        &#10;" style="width:444.5pt;height:224.15pt">
            <v:imagedata r:id="rId18" o:title=""/>
          </v:shape>
        </w:pict>
      </w:r>
    </w:p>
    <w:p w:rsidR="000027C5" w:rsidRDefault="00A83C0D" w:rsidP="003436ED">
      <w:pPr>
        <w:pStyle w:val="AERbodytext"/>
        <w:spacing w:line="276" w:lineRule="auto"/>
        <w:rPr>
          <w:rFonts w:ascii="Arial" w:hAnsi="Arial" w:cs="Arial"/>
          <w:sz w:val="22"/>
          <w:szCs w:val="22"/>
        </w:rPr>
      </w:pPr>
      <w:r w:rsidRPr="00F52F00">
        <w:rPr>
          <w:rFonts w:ascii="Arial" w:hAnsi="Arial" w:cs="Arial"/>
          <w:sz w:val="22"/>
          <w:szCs w:val="22"/>
        </w:rPr>
        <w:t>Figure 8 shows the daily breakdown of cost for each FCAS for the NEM, as well as the average cost since the beginning of the previous financial year</w:t>
      </w:r>
      <w:r w:rsidR="004A698C">
        <w:rPr>
          <w:rFonts w:ascii="Arial" w:hAnsi="Arial" w:cs="Arial"/>
          <w:sz w:val="22"/>
          <w:szCs w:val="22"/>
        </w:rPr>
        <w:t xml:space="preserve">. On several occasions during the week a system normal constraint managing the requirement for lower 6 second service for the loss of two </w:t>
      </w:r>
      <w:proofErr w:type="spellStart"/>
      <w:r w:rsidR="004A698C">
        <w:rPr>
          <w:rFonts w:ascii="Arial" w:hAnsi="Arial" w:cs="Arial"/>
          <w:sz w:val="22"/>
          <w:szCs w:val="22"/>
        </w:rPr>
        <w:t>Comalco</w:t>
      </w:r>
      <w:proofErr w:type="spellEnd"/>
      <w:r w:rsidR="004A698C">
        <w:rPr>
          <w:rFonts w:ascii="Arial" w:hAnsi="Arial" w:cs="Arial"/>
          <w:sz w:val="22"/>
          <w:szCs w:val="22"/>
        </w:rPr>
        <w:t xml:space="preserve"> potlines violated and Basslink was unable to transfer FCAS</w:t>
      </w:r>
      <w:r w:rsidR="00853500">
        <w:rPr>
          <w:rFonts w:ascii="Arial" w:hAnsi="Arial" w:cs="Arial"/>
          <w:sz w:val="22"/>
          <w:szCs w:val="22"/>
        </w:rPr>
        <w:t xml:space="preserve">. This meant that all </w:t>
      </w:r>
      <w:r w:rsidR="0022045D">
        <w:rPr>
          <w:rFonts w:ascii="Arial" w:hAnsi="Arial" w:cs="Arial"/>
          <w:sz w:val="22"/>
          <w:szCs w:val="22"/>
        </w:rPr>
        <w:t xml:space="preserve">Tasmanian </w:t>
      </w:r>
      <w:r w:rsidR="00853500">
        <w:rPr>
          <w:rFonts w:ascii="Arial" w:hAnsi="Arial" w:cs="Arial"/>
          <w:sz w:val="22"/>
          <w:szCs w:val="22"/>
        </w:rPr>
        <w:t xml:space="preserve">FCAS services had to be sourced locally and </w:t>
      </w:r>
      <w:r w:rsidR="004A698C">
        <w:rPr>
          <w:rFonts w:ascii="Arial" w:hAnsi="Arial" w:cs="Arial"/>
          <w:sz w:val="22"/>
          <w:szCs w:val="22"/>
        </w:rPr>
        <w:t>the price for lower 6 second services exceeded $100/MW on 13 oc</w:t>
      </w:r>
      <w:bookmarkStart w:id="9" w:name="_GoBack"/>
      <w:bookmarkEnd w:id="9"/>
      <w:r w:rsidR="004A698C">
        <w:rPr>
          <w:rFonts w:ascii="Arial" w:hAnsi="Arial" w:cs="Arial"/>
          <w:sz w:val="22"/>
          <w:szCs w:val="22"/>
        </w:rPr>
        <w:t>casions when the requirement was around 230 MW</w:t>
      </w:r>
      <w:r w:rsidR="000027C5">
        <w:rPr>
          <w:rFonts w:ascii="Arial" w:hAnsi="Arial" w:cs="Arial"/>
          <w:sz w:val="22"/>
          <w:szCs w:val="22"/>
        </w:rPr>
        <w:t xml:space="preserve">. </w:t>
      </w:r>
      <w:r w:rsidR="0064616B">
        <w:rPr>
          <w:rFonts w:ascii="Arial" w:hAnsi="Arial" w:cs="Arial"/>
          <w:sz w:val="22"/>
          <w:szCs w:val="22"/>
        </w:rPr>
        <w:t>Over the week the cost of lower 6 seco</w:t>
      </w:r>
      <w:r w:rsidR="00F125B1">
        <w:rPr>
          <w:rFonts w:ascii="Arial" w:hAnsi="Arial" w:cs="Arial"/>
          <w:sz w:val="22"/>
          <w:szCs w:val="22"/>
        </w:rPr>
        <w:t>nd services was around $600 000</w:t>
      </w:r>
      <w:r w:rsidR="0064616B">
        <w:rPr>
          <w:rFonts w:ascii="Arial" w:hAnsi="Arial" w:cs="Arial"/>
          <w:sz w:val="22"/>
          <w:szCs w:val="22"/>
        </w:rPr>
        <w:t>.</w:t>
      </w:r>
    </w:p>
    <w:bookmarkEnd w:id="0"/>
    <w:bookmarkEnd w:id="1"/>
    <w:bookmarkEnd w:id="2"/>
    <w:bookmarkEnd w:id="3"/>
    <w:bookmarkEnd w:id="4"/>
    <w:bookmarkEnd w:id="5"/>
    <w:p w:rsidR="00E96C5A" w:rsidRPr="002124A8" w:rsidRDefault="00E96C5A" w:rsidP="003436ED">
      <w:pPr>
        <w:pStyle w:val="Heading2"/>
        <w:spacing w:line="276" w:lineRule="auto"/>
        <w:rPr>
          <w:rFonts w:ascii="Arial" w:hAnsi="Arial"/>
          <w:color w:val="auto"/>
        </w:rPr>
      </w:pPr>
      <w:r w:rsidRPr="002124A8">
        <w:rPr>
          <w:rFonts w:ascii="Arial" w:hAnsi="Arial"/>
          <w:color w:val="auto"/>
        </w:rPr>
        <w:t>Financial markets</w:t>
      </w:r>
    </w:p>
    <w:p w:rsidR="00E96C5A" w:rsidRPr="00F52F00" w:rsidRDefault="0078358A" w:rsidP="003436ED">
      <w:pPr>
        <w:pStyle w:val="AERbodytext"/>
        <w:spacing w:after="120" w:line="276" w:lineRule="auto"/>
        <w:rPr>
          <w:rFonts w:ascii="Arial" w:hAnsi="Arial" w:cs="Arial"/>
          <w:sz w:val="22"/>
          <w:szCs w:val="22"/>
        </w:rPr>
      </w:pPr>
      <w:r w:rsidRPr="00F52F00">
        <w:rPr>
          <w:rFonts w:ascii="Arial" w:hAnsi="Arial" w:cs="Arial"/>
          <w:sz w:val="22"/>
          <w:szCs w:val="22"/>
        </w:rPr>
        <w:t>Figure 9</w:t>
      </w:r>
      <w:r w:rsidR="00E96C5A" w:rsidRPr="00F52F00">
        <w:rPr>
          <w:rFonts w:ascii="Arial" w:hAnsi="Arial" w:cs="Arial"/>
          <w:sz w:val="22"/>
          <w:szCs w:val="22"/>
        </w:rPr>
        <w:t xml:space="preserve"> shows for all mainland regions the prices for base contracts (and total traded quantities for the week) for each quarter for the next four financial years. </w:t>
      </w:r>
    </w:p>
    <w:p w:rsidR="00E96C5A" w:rsidRPr="00F52F00" w:rsidRDefault="0078358A" w:rsidP="003436ED">
      <w:pPr>
        <w:pStyle w:val="Figureheading"/>
        <w:numPr>
          <w:ilvl w:val="0"/>
          <w:numId w:val="0"/>
        </w:numPr>
        <w:spacing w:before="180" w:line="276" w:lineRule="auto"/>
        <w:ind w:left="357" w:hanging="357"/>
        <w:rPr>
          <w:rFonts w:ascii="Arial" w:hAnsi="Arial" w:cs="Arial"/>
          <w:color w:val="000000" w:themeColor="text1"/>
          <w:sz w:val="22"/>
          <w:szCs w:val="22"/>
        </w:rPr>
      </w:pPr>
      <w:r w:rsidRPr="00F52F00">
        <w:rPr>
          <w:rFonts w:ascii="Arial" w:hAnsi="Arial" w:cs="Arial"/>
          <w:color w:val="000000" w:themeColor="text1"/>
          <w:sz w:val="22"/>
          <w:szCs w:val="22"/>
        </w:rPr>
        <w:t>Figure 9</w:t>
      </w:r>
      <w:r w:rsidR="00E96C5A" w:rsidRPr="00F52F00">
        <w:rPr>
          <w:rFonts w:ascii="Arial" w:hAnsi="Arial" w:cs="Arial"/>
          <w:color w:val="000000" w:themeColor="text1"/>
          <w:sz w:val="22"/>
          <w:szCs w:val="22"/>
        </w:rPr>
        <w:t xml:space="preserve">: Quarterly base future prices </w:t>
      </w:r>
      <w:r w:rsidR="009856E5" w:rsidRPr="00F52F00">
        <w:rPr>
          <w:rFonts w:ascii="Arial" w:hAnsi="Arial" w:cs="Arial"/>
          <w:color w:val="000000" w:themeColor="text1"/>
          <w:sz w:val="22"/>
          <w:szCs w:val="22"/>
        </w:rPr>
        <w:t>Q</w:t>
      </w:r>
      <w:r w:rsidR="00992695" w:rsidRPr="00F52F00">
        <w:rPr>
          <w:rFonts w:ascii="Arial" w:hAnsi="Arial" w:cs="Arial"/>
          <w:color w:val="000000" w:themeColor="text1"/>
          <w:sz w:val="22"/>
          <w:szCs w:val="22"/>
        </w:rPr>
        <w:t>4</w:t>
      </w:r>
      <w:r w:rsidR="00BB0611" w:rsidRPr="00F52F00">
        <w:rPr>
          <w:rFonts w:ascii="Arial" w:hAnsi="Arial" w:cs="Arial"/>
          <w:color w:val="000000" w:themeColor="text1"/>
          <w:sz w:val="22"/>
          <w:szCs w:val="22"/>
        </w:rPr>
        <w:t xml:space="preserve"> </w:t>
      </w:r>
      <w:r w:rsidR="00E96C5A" w:rsidRPr="00F52F00">
        <w:rPr>
          <w:rFonts w:ascii="Arial" w:hAnsi="Arial" w:cs="Arial"/>
          <w:color w:val="000000" w:themeColor="text1"/>
          <w:sz w:val="22"/>
          <w:szCs w:val="22"/>
        </w:rPr>
        <w:t>201</w:t>
      </w:r>
      <w:r w:rsidR="00CA7CF5" w:rsidRPr="00F52F00">
        <w:rPr>
          <w:rFonts w:ascii="Arial" w:hAnsi="Arial" w:cs="Arial"/>
          <w:color w:val="000000" w:themeColor="text1"/>
          <w:sz w:val="22"/>
          <w:szCs w:val="22"/>
        </w:rPr>
        <w:t>4</w:t>
      </w:r>
      <w:r w:rsidR="00E96C5A" w:rsidRPr="00F52F00">
        <w:rPr>
          <w:rFonts w:ascii="Arial" w:hAnsi="Arial" w:cs="Arial"/>
          <w:color w:val="000000" w:themeColor="text1"/>
          <w:sz w:val="22"/>
          <w:szCs w:val="22"/>
        </w:rPr>
        <w:t xml:space="preserve"> – </w:t>
      </w:r>
      <w:r w:rsidR="00BB0611" w:rsidRPr="00F52F00">
        <w:rPr>
          <w:rFonts w:ascii="Arial" w:hAnsi="Arial" w:cs="Arial"/>
          <w:color w:val="000000" w:themeColor="text1"/>
          <w:sz w:val="22"/>
          <w:szCs w:val="22"/>
        </w:rPr>
        <w:t>Q</w:t>
      </w:r>
      <w:r w:rsidR="00992695" w:rsidRPr="00F52F00">
        <w:rPr>
          <w:rFonts w:ascii="Arial" w:hAnsi="Arial" w:cs="Arial"/>
          <w:color w:val="000000" w:themeColor="text1"/>
          <w:sz w:val="22"/>
          <w:szCs w:val="22"/>
        </w:rPr>
        <w:t>3</w:t>
      </w:r>
      <w:r w:rsidR="00BB0611" w:rsidRPr="00F52F00">
        <w:rPr>
          <w:rFonts w:ascii="Arial" w:hAnsi="Arial" w:cs="Arial"/>
          <w:color w:val="000000" w:themeColor="text1"/>
          <w:sz w:val="22"/>
          <w:szCs w:val="22"/>
        </w:rPr>
        <w:t xml:space="preserve"> 2018</w:t>
      </w:r>
    </w:p>
    <w:p w:rsidR="00E96C5A" w:rsidRPr="002124A8" w:rsidRDefault="00F02B66" w:rsidP="003436ED">
      <w:pPr>
        <w:pStyle w:val="Sourceandnotes"/>
        <w:spacing w:line="276" w:lineRule="auto"/>
        <w:ind w:left="0" w:firstLine="0"/>
        <w:rPr>
          <w:rFonts w:ascii="Arial" w:hAnsi="Arial" w:cs="Arial"/>
        </w:rPr>
      </w:pPr>
      <w:r>
        <w:pict>
          <v:shape id="_x0000_i1034" type="#_x0000_t75" alt="Figure 9 shows for all mainland regions the prices for base contracts (and total traded quantities for the week) for each quarter for the next four financial years.     &#10;" style="width:441.4pt;height:222.9pt">
            <v:imagedata r:id="rId19" o:title=""/>
          </v:shape>
        </w:pict>
      </w:r>
      <w:r w:rsidR="00E96C5A" w:rsidRPr="002124A8">
        <w:rPr>
          <w:rFonts w:ascii="Arial" w:hAnsi="Arial" w:cs="Arial"/>
        </w:rPr>
        <w:t xml:space="preserve">Source: </w:t>
      </w:r>
      <w:hyperlink r:id="rId20" w:history="1">
        <w:r w:rsidR="00E96C5A" w:rsidRPr="002124A8">
          <w:rPr>
            <w:rStyle w:val="Hyperlink"/>
            <w:rFonts w:ascii="Arial" w:hAnsi="Arial" w:cs="Arial"/>
            <w:color w:val="auto"/>
          </w:rPr>
          <w:t>ASXEnergy.com.au</w:t>
        </w:r>
      </w:hyperlink>
    </w:p>
    <w:p w:rsidR="007354CE" w:rsidRPr="000F7721" w:rsidRDefault="0078358A" w:rsidP="003436ED">
      <w:pPr>
        <w:pStyle w:val="AERbodytext"/>
        <w:spacing w:after="120" w:line="276" w:lineRule="auto"/>
        <w:rPr>
          <w:rFonts w:ascii="Arial" w:hAnsi="Arial" w:cs="Arial"/>
          <w:sz w:val="22"/>
          <w:szCs w:val="22"/>
        </w:rPr>
      </w:pPr>
      <w:r w:rsidRPr="00F52F00">
        <w:rPr>
          <w:rFonts w:ascii="Arial" w:hAnsi="Arial" w:cs="Arial"/>
          <w:sz w:val="22"/>
          <w:szCs w:val="22"/>
        </w:rPr>
        <w:t>Figure 10</w:t>
      </w:r>
      <w:r w:rsidR="0097000C" w:rsidRPr="00F52F00">
        <w:rPr>
          <w:rFonts w:ascii="Arial" w:hAnsi="Arial" w:cs="Arial"/>
          <w:sz w:val="22"/>
          <w:szCs w:val="22"/>
        </w:rPr>
        <w:t xml:space="preserve"> shows how the price for each regional Quarter 1 201</w:t>
      </w:r>
      <w:r w:rsidR="00754FF0" w:rsidRPr="00F52F00">
        <w:rPr>
          <w:rFonts w:ascii="Arial" w:hAnsi="Arial" w:cs="Arial"/>
          <w:sz w:val="22"/>
          <w:szCs w:val="22"/>
        </w:rPr>
        <w:t>5</w:t>
      </w:r>
      <w:r w:rsidR="0097000C" w:rsidRPr="00F52F00">
        <w:rPr>
          <w:rFonts w:ascii="Arial" w:hAnsi="Arial" w:cs="Arial"/>
          <w:sz w:val="22"/>
          <w:szCs w:val="22"/>
        </w:rPr>
        <w:t xml:space="preserve"> base contract has changed over the last 10 weeks (as well as the total number of trades each week). The closing quarter 1 201</w:t>
      </w:r>
      <w:r w:rsidR="00754FF0" w:rsidRPr="00F52F00">
        <w:rPr>
          <w:rFonts w:ascii="Arial" w:hAnsi="Arial" w:cs="Arial"/>
          <w:sz w:val="22"/>
          <w:szCs w:val="22"/>
        </w:rPr>
        <w:t>3</w:t>
      </w:r>
      <w:r w:rsidR="0097000C" w:rsidRPr="00F52F00">
        <w:rPr>
          <w:rFonts w:ascii="Arial" w:hAnsi="Arial" w:cs="Arial"/>
          <w:sz w:val="22"/>
          <w:szCs w:val="22"/>
        </w:rPr>
        <w:t xml:space="preserve"> and quarter 1 201</w:t>
      </w:r>
      <w:r w:rsidR="00754FF0" w:rsidRPr="00F52F00">
        <w:rPr>
          <w:rFonts w:ascii="Arial" w:hAnsi="Arial" w:cs="Arial"/>
          <w:sz w:val="22"/>
          <w:szCs w:val="22"/>
        </w:rPr>
        <w:t>4</w:t>
      </w:r>
      <w:r w:rsidR="0097000C" w:rsidRPr="00F52F00">
        <w:rPr>
          <w:rFonts w:ascii="Arial" w:hAnsi="Arial" w:cs="Arial"/>
          <w:sz w:val="22"/>
          <w:szCs w:val="22"/>
        </w:rPr>
        <w:t xml:space="preserve"> prices are also shown. The AER notes that data for South Australia is less reliable due to very low numbers of trades.</w:t>
      </w:r>
      <w:r w:rsidR="00E22C04" w:rsidRPr="00F52F00">
        <w:rPr>
          <w:rFonts w:ascii="Arial" w:hAnsi="Arial" w:cs="Arial"/>
          <w:sz w:val="22"/>
          <w:szCs w:val="22"/>
        </w:rPr>
        <w:t xml:space="preserve"> </w:t>
      </w:r>
      <w:r w:rsidR="000F7721" w:rsidRPr="000F7721">
        <w:rPr>
          <w:rFonts w:ascii="Arial" w:hAnsi="Arial" w:cs="Arial"/>
          <w:sz w:val="22"/>
          <w:szCs w:val="22"/>
        </w:rPr>
        <w:t>The high volume of trades in figure 10 is due to options on calendar year base load expiring on Wednesday 19 November.</w:t>
      </w:r>
    </w:p>
    <w:p w:rsidR="00E96C5A" w:rsidRPr="00F52F00" w:rsidRDefault="00E96C5A" w:rsidP="00F125B1">
      <w:pPr>
        <w:pStyle w:val="Figureheading"/>
        <w:numPr>
          <w:ilvl w:val="0"/>
          <w:numId w:val="0"/>
        </w:numPr>
        <w:spacing w:before="180" w:line="276" w:lineRule="auto"/>
        <w:rPr>
          <w:rFonts w:ascii="Arial" w:hAnsi="Arial" w:cs="Arial"/>
          <w:color w:val="000000" w:themeColor="text1"/>
          <w:sz w:val="22"/>
          <w:szCs w:val="22"/>
        </w:rPr>
      </w:pPr>
      <w:r w:rsidRPr="00F52F00">
        <w:rPr>
          <w:rFonts w:ascii="Arial" w:hAnsi="Arial" w:cs="Arial"/>
          <w:color w:val="000000" w:themeColor="text1"/>
          <w:sz w:val="22"/>
          <w:szCs w:val="22"/>
        </w:rPr>
        <w:t xml:space="preserve">Figure </w:t>
      </w:r>
      <w:r w:rsidR="0078358A" w:rsidRPr="00F52F00">
        <w:rPr>
          <w:rFonts w:ascii="Arial" w:hAnsi="Arial" w:cs="Arial"/>
          <w:color w:val="000000" w:themeColor="text1"/>
          <w:sz w:val="22"/>
          <w:szCs w:val="22"/>
        </w:rPr>
        <w:t>10</w:t>
      </w:r>
      <w:r w:rsidRPr="00F52F00">
        <w:rPr>
          <w:rFonts w:ascii="Arial" w:hAnsi="Arial" w:cs="Arial"/>
          <w:color w:val="000000" w:themeColor="text1"/>
          <w:sz w:val="22"/>
          <w:szCs w:val="22"/>
        </w:rPr>
        <w:t>: Price of Q1 201</w:t>
      </w:r>
      <w:r w:rsidR="00754FF0" w:rsidRPr="00F52F00">
        <w:rPr>
          <w:rFonts w:ascii="Arial" w:hAnsi="Arial" w:cs="Arial"/>
          <w:color w:val="000000" w:themeColor="text1"/>
          <w:sz w:val="22"/>
          <w:szCs w:val="22"/>
        </w:rPr>
        <w:t>5</w:t>
      </w:r>
      <w:r w:rsidRPr="00F52F00">
        <w:rPr>
          <w:rFonts w:ascii="Arial" w:hAnsi="Arial" w:cs="Arial"/>
          <w:color w:val="000000" w:themeColor="text1"/>
          <w:sz w:val="22"/>
          <w:szCs w:val="22"/>
        </w:rPr>
        <w:t xml:space="preserve"> base contracts over the past 10 weeks (and the past 2 years)</w:t>
      </w:r>
    </w:p>
    <w:p w:rsidR="00E96C5A" w:rsidRPr="002124A8" w:rsidRDefault="00F02B66" w:rsidP="003436ED">
      <w:pPr>
        <w:pStyle w:val="AERbodytext"/>
        <w:spacing w:after="0" w:line="276" w:lineRule="auto"/>
        <w:rPr>
          <w:rFonts w:ascii="Arial" w:hAnsi="Arial" w:cs="Arial"/>
        </w:rPr>
      </w:pPr>
      <w:r>
        <w:pict>
          <v:shape id="_x0000_i1035" type="#_x0000_t75" alt="Figure 10 shows how the price for each regional Quarter 1 2015 base contract has changed over the last 10 weeks (as well as the total number of trades each week). The closing quarter 1 2013 and quarter 1 2014 prices are also shown. The AER notes that data for South Australia is less reliable due to very low numbers of trades. " style="width:426.35pt;height:216.65pt">
            <v:imagedata r:id="rId21" o:title=""/>
          </v:shape>
        </w:pict>
      </w:r>
    </w:p>
    <w:p w:rsidR="00E96C5A" w:rsidRPr="002124A8" w:rsidRDefault="00E96C5A" w:rsidP="003436ED">
      <w:pPr>
        <w:pStyle w:val="AERbodytext"/>
        <w:spacing w:before="120" w:after="60" w:line="276" w:lineRule="auto"/>
        <w:rPr>
          <w:rFonts w:ascii="Arial" w:hAnsi="Arial" w:cs="Arial"/>
          <w:sz w:val="16"/>
          <w:szCs w:val="16"/>
        </w:rPr>
      </w:pPr>
      <w:r w:rsidRPr="002124A8">
        <w:rPr>
          <w:rFonts w:ascii="Arial" w:hAnsi="Arial" w:cs="Arial"/>
          <w:sz w:val="16"/>
          <w:szCs w:val="16"/>
        </w:rPr>
        <w:t>Note: Base contract prices are shown for each of the current week and the previous 9 weeks, with average prices shown for yearly periods 1 and 2 years prior to the current year</w:t>
      </w:r>
    </w:p>
    <w:p w:rsidR="00E96C5A" w:rsidRPr="002124A8" w:rsidRDefault="00E96C5A" w:rsidP="003436ED">
      <w:pPr>
        <w:pStyle w:val="Sourceandnotes"/>
        <w:spacing w:after="200" w:line="276" w:lineRule="auto"/>
        <w:ind w:left="0" w:firstLine="0"/>
        <w:rPr>
          <w:rFonts w:ascii="Arial" w:hAnsi="Arial" w:cs="Arial"/>
        </w:rPr>
      </w:pPr>
      <w:r w:rsidRPr="002124A8">
        <w:rPr>
          <w:rFonts w:ascii="Arial" w:hAnsi="Arial" w:cs="Arial"/>
        </w:rPr>
        <w:t xml:space="preserve">Source: </w:t>
      </w:r>
      <w:hyperlink r:id="rId22" w:history="1">
        <w:r w:rsidRPr="002124A8">
          <w:rPr>
            <w:rStyle w:val="Hyperlink"/>
            <w:rFonts w:ascii="Arial" w:hAnsi="Arial" w:cs="Arial"/>
            <w:color w:val="auto"/>
          </w:rPr>
          <w:t>ASXEnergy.com.au</w:t>
        </w:r>
      </w:hyperlink>
    </w:p>
    <w:p w:rsidR="00E96C5A" w:rsidRPr="00F52F00" w:rsidRDefault="00E96C5A" w:rsidP="003436ED">
      <w:pPr>
        <w:pStyle w:val="AERbodytext"/>
        <w:spacing w:after="200" w:line="276" w:lineRule="auto"/>
        <w:rPr>
          <w:rFonts w:ascii="Arial" w:hAnsi="Arial" w:cs="Arial"/>
          <w:sz w:val="22"/>
          <w:szCs w:val="22"/>
        </w:rPr>
      </w:pPr>
      <w:r w:rsidRPr="00F52F00">
        <w:rPr>
          <w:rFonts w:ascii="Arial" w:hAnsi="Arial" w:cs="Arial"/>
          <w:sz w:val="22"/>
          <w:szCs w:val="22"/>
        </w:rPr>
        <w:t xml:space="preserve">Prices of other financial products (including longer-term price trends) are available in the </w:t>
      </w:r>
      <w:hyperlink r:id="rId23" w:history="1">
        <w:r w:rsidR="004A698C">
          <w:rPr>
            <w:rStyle w:val="Hyperlink"/>
            <w:rFonts w:ascii="Arial" w:hAnsi="Arial" w:cs="Arial"/>
            <w:color w:val="auto"/>
            <w:sz w:val="22"/>
            <w:szCs w:val="22"/>
          </w:rPr>
          <w:t>Industry statistics</w:t>
        </w:r>
      </w:hyperlink>
      <w:r w:rsidRPr="003563B7">
        <w:rPr>
          <w:rStyle w:val="Hyperlink"/>
          <w:rFonts w:ascii="Arial" w:hAnsi="Arial" w:cs="Arial"/>
          <w:color w:val="auto"/>
          <w:sz w:val="22"/>
          <w:szCs w:val="22"/>
        </w:rPr>
        <w:t xml:space="preserve"> </w:t>
      </w:r>
      <w:r w:rsidRPr="003563B7">
        <w:rPr>
          <w:rFonts w:ascii="Arial" w:hAnsi="Arial" w:cs="Arial"/>
          <w:sz w:val="22"/>
          <w:szCs w:val="22"/>
        </w:rPr>
        <w:t>section</w:t>
      </w:r>
      <w:r w:rsidRPr="00F52F00">
        <w:rPr>
          <w:rFonts w:ascii="Arial" w:hAnsi="Arial" w:cs="Arial"/>
          <w:sz w:val="22"/>
          <w:szCs w:val="22"/>
        </w:rPr>
        <w:t xml:space="preserve"> of our website.</w:t>
      </w:r>
    </w:p>
    <w:p w:rsidR="00E96C5A" w:rsidRPr="00F52F00" w:rsidRDefault="0097000C" w:rsidP="003436ED">
      <w:pPr>
        <w:pStyle w:val="AERbodytext"/>
        <w:spacing w:after="120" w:line="276" w:lineRule="auto"/>
        <w:rPr>
          <w:rFonts w:ascii="Arial" w:hAnsi="Arial" w:cs="Arial"/>
          <w:sz w:val="22"/>
          <w:szCs w:val="22"/>
        </w:rPr>
      </w:pPr>
      <w:r w:rsidRPr="00F52F00">
        <w:rPr>
          <w:rFonts w:ascii="Arial" w:hAnsi="Arial" w:cs="Arial"/>
          <w:sz w:val="22"/>
          <w:szCs w:val="22"/>
        </w:rPr>
        <w:t>Figure 1</w:t>
      </w:r>
      <w:r w:rsidR="0078358A" w:rsidRPr="00F52F00">
        <w:rPr>
          <w:rFonts w:ascii="Arial" w:hAnsi="Arial" w:cs="Arial"/>
          <w:sz w:val="22"/>
          <w:szCs w:val="22"/>
        </w:rPr>
        <w:t>1</w:t>
      </w:r>
      <w:r w:rsidRPr="00F52F00">
        <w:rPr>
          <w:rFonts w:ascii="Arial" w:hAnsi="Arial" w:cs="Arial"/>
          <w:sz w:val="22"/>
          <w:szCs w:val="22"/>
        </w:rPr>
        <w:t xml:space="preserve"> shows how the price for each regional Quarter 1 201</w:t>
      </w:r>
      <w:r w:rsidR="00754FF0" w:rsidRPr="00F52F00">
        <w:rPr>
          <w:rFonts w:ascii="Arial" w:hAnsi="Arial" w:cs="Arial"/>
          <w:sz w:val="22"/>
          <w:szCs w:val="22"/>
        </w:rPr>
        <w:t>5</w:t>
      </w:r>
      <w:r w:rsidRPr="00F52F00">
        <w:rPr>
          <w:rFonts w:ascii="Arial" w:hAnsi="Arial" w:cs="Arial"/>
          <w:sz w:val="22"/>
          <w:szCs w:val="22"/>
        </w:rPr>
        <w:t xml:space="preserve"> cap contract has changed over the last 10 weeks (as well as the total number of trades each week). The closing quarter 1 201</w:t>
      </w:r>
      <w:r w:rsidR="00754FF0" w:rsidRPr="00F52F00">
        <w:rPr>
          <w:rFonts w:ascii="Arial" w:hAnsi="Arial" w:cs="Arial"/>
          <w:sz w:val="22"/>
          <w:szCs w:val="22"/>
        </w:rPr>
        <w:t>3</w:t>
      </w:r>
      <w:r w:rsidRPr="00F52F00">
        <w:rPr>
          <w:rFonts w:ascii="Arial" w:hAnsi="Arial" w:cs="Arial"/>
          <w:sz w:val="22"/>
          <w:szCs w:val="22"/>
        </w:rPr>
        <w:t xml:space="preserve"> and quarter 1 201</w:t>
      </w:r>
      <w:r w:rsidR="00754FF0" w:rsidRPr="00F52F00">
        <w:rPr>
          <w:rFonts w:ascii="Arial" w:hAnsi="Arial" w:cs="Arial"/>
          <w:sz w:val="22"/>
          <w:szCs w:val="22"/>
        </w:rPr>
        <w:t>4</w:t>
      </w:r>
      <w:r w:rsidRPr="00F52F00">
        <w:rPr>
          <w:rFonts w:ascii="Arial" w:hAnsi="Arial" w:cs="Arial"/>
          <w:sz w:val="22"/>
          <w:szCs w:val="22"/>
        </w:rPr>
        <w:t xml:space="preserve"> prices are also shown.</w:t>
      </w:r>
      <w:r w:rsidR="000F7721">
        <w:rPr>
          <w:rFonts w:ascii="Arial" w:hAnsi="Arial" w:cs="Arial"/>
          <w:sz w:val="22"/>
          <w:szCs w:val="22"/>
        </w:rPr>
        <w:t xml:space="preserve"> The Queensland Q1 2105 cap contract price has now reached levels that were experienced in Q1 2013 when network capacity in central Queensland was providing opportunities for generation portfolios to raise prices.</w:t>
      </w:r>
    </w:p>
    <w:p w:rsidR="00E96C5A" w:rsidRPr="00F52F00" w:rsidRDefault="0078358A" w:rsidP="003436ED">
      <w:pPr>
        <w:pStyle w:val="Figureheading"/>
        <w:numPr>
          <w:ilvl w:val="0"/>
          <w:numId w:val="0"/>
        </w:numPr>
        <w:spacing w:before="180" w:line="276" w:lineRule="auto"/>
        <w:ind w:left="357" w:hanging="357"/>
        <w:rPr>
          <w:rFonts w:ascii="Arial" w:hAnsi="Arial" w:cs="Arial"/>
          <w:color w:val="000000" w:themeColor="text1"/>
          <w:sz w:val="22"/>
          <w:szCs w:val="22"/>
        </w:rPr>
      </w:pPr>
      <w:r w:rsidRPr="00F52F00">
        <w:rPr>
          <w:rFonts w:ascii="Arial" w:hAnsi="Arial" w:cs="Arial"/>
          <w:color w:val="000000" w:themeColor="text1"/>
          <w:sz w:val="22"/>
          <w:szCs w:val="22"/>
        </w:rPr>
        <w:t>Figure 11</w:t>
      </w:r>
      <w:r w:rsidR="00E96C5A" w:rsidRPr="00F52F00">
        <w:rPr>
          <w:rFonts w:ascii="Arial" w:hAnsi="Arial" w:cs="Arial"/>
          <w:color w:val="000000" w:themeColor="text1"/>
          <w:sz w:val="22"/>
          <w:szCs w:val="22"/>
        </w:rPr>
        <w:t>: Price of Q1 201</w:t>
      </w:r>
      <w:r w:rsidR="00754FF0" w:rsidRPr="00F52F00">
        <w:rPr>
          <w:rFonts w:ascii="Arial" w:hAnsi="Arial" w:cs="Arial"/>
          <w:color w:val="000000" w:themeColor="text1"/>
          <w:sz w:val="22"/>
          <w:szCs w:val="22"/>
        </w:rPr>
        <w:t>5</w:t>
      </w:r>
      <w:r w:rsidR="00E96C5A" w:rsidRPr="00F52F00">
        <w:rPr>
          <w:rFonts w:ascii="Arial" w:hAnsi="Arial" w:cs="Arial"/>
          <w:color w:val="000000" w:themeColor="text1"/>
          <w:sz w:val="22"/>
          <w:szCs w:val="22"/>
        </w:rPr>
        <w:t xml:space="preserve"> cap contracts over the past 10 weeks (and the past 2 years)</w:t>
      </w:r>
    </w:p>
    <w:p w:rsidR="00E96C5A" w:rsidRPr="002124A8" w:rsidRDefault="00F02B66" w:rsidP="003436ED">
      <w:pPr>
        <w:pStyle w:val="AERbodytext"/>
        <w:spacing w:after="20" w:line="276" w:lineRule="auto"/>
        <w:rPr>
          <w:rFonts w:ascii="Arial" w:hAnsi="Arial" w:cs="Arial"/>
        </w:rPr>
      </w:pPr>
      <w:r>
        <w:pict>
          <v:shape id="_x0000_i1036" type="#_x0000_t75" alt="Figure 11 shows how the price for each regional Quarter 1 2015 cap contract has changed over the last 10 weeks (as well as the total number of trades each week). The closing quarter 1 2013 and quarter 1 2014 prices are also shown." style="width:448.3pt;height:224.15pt">
            <v:imagedata r:id="rId24" o:title=""/>
          </v:shape>
        </w:pict>
      </w:r>
    </w:p>
    <w:p w:rsidR="00E96C5A" w:rsidRPr="002124A8" w:rsidRDefault="00E96C5A" w:rsidP="003436ED">
      <w:pPr>
        <w:pStyle w:val="Sourceandnotes"/>
        <w:spacing w:after="120" w:line="276" w:lineRule="auto"/>
        <w:rPr>
          <w:rFonts w:ascii="Arial" w:hAnsi="Arial" w:cs="Arial"/>
        </w:rPr>
      </w:pPr>
      <w:r w:rsidRPr="002124A8">
        <w:rPr>
          <w:rFonts w:ascii="Arial" w:hAnsi="Arial" w:cs="Arial"/>
        </w:rPr>
        <w:t xml:space="preserve">Source: </w:t>
      </w:r>
      <w:hyperlink r:id="rId25" w:history="1">
        <w:r w:rsidRPr="002124A8">
          <w:rPr>
            <w:rStyle w:val="Hyperlink"/>
            <w:rFonts w:ascii="Arial" w:hAnsi="Arial" w:cs="Arial"/>
            <w:color w:val="auto"/>
          </w:rPr>
          <w:t>ASXEnergy.com.au</w:t>
        </w:r>
      </w:hyperlink>
    </w:p>
    <w:p w:rsidR="00E96C5A" w:rsidRPr="00F125B1" w:rsidRDefault="00E96C5A" w:rsidP="003436ED">
      <w:pPr>
        <w:pStyle w:val="AERbodytext"/>
        <w:keepNext/>
        <w:spacing w:before="240" w:after="120" w:line="276" w:lineRule="auto"/>
        <w:jc w:val="left"/>
        <w:rPr>
          <w:rFonts w:ascii="Arial" w:hAnsi="Arial" w:cs="Arial"/>
          <w:b/>
          <w:szCs w:val="22"/>
        </w:rPr>
      </w:pPr>
      <w:r w:rsidRPr="00F125B1">
        <w:rPr>
          <w:rFonts w:ascii="Arial" w:hAnsi="Arial" w:cs="Arial"/>
          <w:b/>
          <w:szCs w:val="22"/>
        </w:rPr>
        <w:t>Australian Energy Regulator</w:t>
      </w:r>
    </w:p>
    <w:p w:rsidR="00E96C5A" w:rsidRPr="00F125B1" w:rsidRDefault="00155953" w:rsidP="003436ED">
      <w:pPr>
        <w:spacing w:line="276" w:lineRule="auto"/>
        <w:rPr>
          <w:rFonts w:ascii="Arial" w:hAnsi="Arial" w:cs="Arial"/>
          <w:b/>
          <w:color w:val="000000" w:themeColor="text1"/>
          <w:szCs w:val="22"/>
        </w:rPr>
      </w:pPr>
      <w:r w:rsidRPr="00F125B1">
        <w:rPr>
          <w:rFonts w:ascii="Arial" w:hAnsi="Arial" w:cs="Arial"/>
          <w:b/>
          <w:color w:val="000000" w:themeColor="text1"/>
          <w:szCs w:val="22"/>
        </w:rPr>
        <w:t>January</w:t>
      </w:r>
      <w:r w:rsidR="00B54368" w:rsidRPr="00F125B1">
        <w:rPr>
          <w:rFonts w:ascii="Arial" w:hAnsi="Arial" w:cs="Arial"/>
          <w:b/>
          <w:color w:val="000000" w:themeColor="text1"/>
          <w:szCs w:val="22"/>
        </w:rPr>
        <w:t xml:space="preserve"> </w:t>
      </w:r>
      <w:r w:rsidR="0097000C" w:rsidRPr="00F125B1">
        <w:rPr>
          <w:rFonts w:ascii="Arial" w:hAnsi="Arial" w:cs="Arial"/>
          <w:b/>
          <w:color w:val="000000" w:themeColor="text1"/>
          <w:szCs w:val="22"/>
        </w:rPr>
        <w:t>201</w:t>
      </w:r>
      <w:r w:rsidRPr="00F125B1">
        <w:rPr>
          <w:rFonts w:ascii="Arial" w:hAnsi="Arial" w:cs="Arial"/>
          <w:b/>
          <w:color w:val="000000" w:themeColor="text1"/>
          <w:szCs w:val="22"/>
        </w:rPr>
        <w:t>5</w:t>
      </w:r>
    </w:p>
    <w:p w:rsidR="00182F09" w:rsidRDefault="0087652E" w:rsidP="0087652E">
      <w:pPr>
        <w:pStyle w:val="AERbodytext"/>
        <w:spacing w:after="120" w:line="240" w:lineRule="auto"/>
        <w:rPr>
          <w:b/>
          <w:sz w:val="18"/>
        </w:rPr>
      </w:pPr>
      <w:r>
        <w:rPr>
          <w:b/>
          <w:sz w:val="18"/>
        </w:rPr>
        <w:t xml:space="preserve"> </w:t>
      </w:r>
    </w:p>
    <w:sectPr w:rsidR="00182F09" w:rsidSect="004A698C">
      <w:footerReference w:type="default" r:id="rId26"/>
      <w:footerReference w:type="first" r:id="rId27"/>
      <w:type w:val="continuous"/>
      <w:pgSz w:w="11906" w:h="16838" w:code="9"/>
      <w:pgMar w:top="851" w:right="1440" w:bottom="709"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EF1" w:rsidRDefault="00360EF1" w:rsidP="00BB640B">
      <w:r>
        <w:separator/>
      </w:r>
    </w:p>
    <w:p w:rsidR="00360EF1" w:rsidRDefault="00360EF1"/>
    <w:p w:rsidR="00360EF1" w:rsidRDefault="00360EF1"/>
  </w:endnote>
  <w:endnote w:type="continuationSeparator" w:id="0">
    <w:p w:rsidR="00360EF1" w:rsidRDefault="00360EF1" w:rsidP="00BB640B">
      <w:r>
        <w:continuationSeparator/>
      </w:r>
    </w:p>
    <w:p w:rsidR="00360EF1" w:rsidRDefault="00360EF1"/>
    <w:p w:rsidR="00360EF1" w:rsidRDefault="00360E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EF1" w:rsidRPr="00474107" w:rsidRDefault="00360EF1"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D47565">
      <w:rPr>
        <w:rStyle w:val="PageNumber"/>
        <w:noProof/>
      </w:rPr>
      <w:t>8</w:t>
    </w:r>
    <w:r>
      <w:rPr>
        <w:rStyle w:val="PageNumber"/>
      </w:rPr>
      <w:fldChar w:fldCharType="end"/>
    </w:r>
  </w:p>
  <w:p w:rsidR="00360EF1" w:rsidRPr="0097256D" w:rsidRDefault="00360EF1"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EF1" w:rsidRPr="00F52F00" w:rsidRDefault="00360EF1" w:rsidP="002633B4">
    <w:pPr>
      <w:pStyle w:val="Footer"/>
      <w:pBdr>
        <w:top w:val="single" w:sz="4" w:space="1" w:color="auto"/>
      </w:pBdr>
      <w:jc w:val="left"/>
      <w:rPr>
        <w:rFonts w:ascii="Arial" w:hAnsi="Arial" w:cs="Arial"/>
        <w:i/>
      </w:rPr>
    </w:pPr>
    <w:r w:rsidRPr="00F52F00">
      <w:rPr>
        <w:rFonts w:ascii="Arial" w:hAnsi="Arial" w:cs="Arial"/>
        <w:i/>
      </w:rPr>
      <w:t>© Commonwealth of Australia</w:t>
    </w:r>
    <w:r w:rsidRPr="00F52F00">
      <w:rPr>
        <w:rFonts w:ascii="Arial" w:hAnsi="Arial" w:cs="Arial"/>
        <w:i/>
      </w:rPr>
      <w:tab/>
    </w:r>
    <w:r w:rsidRPr="00F52F00">
      <w:rPr>
        <w:rFonts w:ascii="Arial" w:hAnsi="Arial" w:cs="Arial"/>
        <w:i/>
      </w:rPr>
      <w:tab/>
      <w:t>AER reference: 39220 – D1</w:t>
    </w:r>
    <w:r>
      <w:rPr>
        <w:rFonts w:ascii="Arial" w:hAnsi="Arial" w:cs="Arial"/>
        <w:i/>
      </w:rPr>
      <w:t>5</w:t>
    </w:r>
    <w:r w:rsidRPr="00F52F00">
      <w:rPr>
        <w:rFonts w:ascii="Arial" w:hAnsi="Arial" w:cs="Arial"/>
        <w:i/>
      </w:rPr>
      <w:t>/</w:t>
    </w:r>
    <w:r>
      <w:rPr>
        <w:rFonts w:ascii="Arial" w:hAnsi="Arial" w:cs="Arial"/>
        <w:i/>
      </w:rPr>
      <w:t>5891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EF1" w:rsidRDefault="00360EF1" w:rsidP="00BB640B">
      <w:r>
        <w:separator/>
      </w:r>
    </w:p>
    <w:p w:rsidR="00360EF1" w:rsidRPr="00DB6729" w:rsidRDefault="00360EF1">
      <w:pPr>
        <w:rPr>
          <w:b/>
          <w:sz w:val="2"/>
        </w:rPr>
      </w:pPr>
    </w:p>
  </w:footnote>
  <w:footnote w:type="continuationSeparator" w:id="0">
    <w:p w:rsidR="00360EF1" w:rsidRDefault="00360EF1" w:rsidP="00BB640B">
      <w:r>
        <w:continuationSeparator/>
      </w:r>
    </w:p>
    <w:p w:rsidR="00360EF1" w:rsidRDefault="00360EF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5EE"/>
    <w:multiLevelType w:val="hybridMultilevel"/>
    <w:tmpl w:val="42762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2">
    <w:nsid w:val="121E3F70"/>
    <w:multiLevelType w:val="multilevel"/>
    <w:tmpl w:val="C8C0264C"/>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1B455DBC"/>
    <w:multiLevelType w:val="hybridMultilevel"/>
    <w:tmpl w:val="6608A17C"/>
    <w:lvl w:ilvl="0" w:tplc="0C090001">
      <w:start w:val="2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DA63277"/>
    <w:multiLevelType w:val="hybridMultilevel"/>
    <w:tmpl w:val="70F850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DE935EA"/>
    <w:multiLevelType w:val="hybridMultilevel"/>
    <w:tmpl w:val="06D458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4F03AB9"/>
    <w:multiLevelType w:val="multilevel"/>
    <w:tmpl w:val="F706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10">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1">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35AB1B64"/>
    <w:multiLevelType w:val="hybridMultilevel"/>
    <w:tmpl w:val="F050C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C721288"/>
    <w:multiLevelType w:val="multilevel"/>
    <w:tmpl w:val="1492709C"/>
    <w:numStyleLink w:val="AERHeadings"/>
  </w:abstractNum>
  <w:abstractNum w:abstractNumId="14">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8C12F62"/>
    <w:multiLevelType w:val="hybridMultilevel"/>
    <w:tmpl w:val="41B8C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11C4751"/>
    <w:multiLevelType w:val="hybridMultilevel"/>
    <w:tmpl w:val="F6E67A34"/>
    <w:lvl w:ilvl="0" w:tplc="A7981D86">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1BA6FB5"/>
    <w:multiLevelType w:val="hybridMultilevel"/>
    <w:tmpl w:val="1C449CC6"/>
    <w:lvl w:ilvl="0" w:tplc="45BCA562">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9">
    <w:nsid w:val="6F59064E"/>
    <w:multiLevelType w:val="hybridMultilevel"/>
    <w:tmpl w:val="F5D2189C"/>
    <w:lvl w:ilvl="0" w:tplc="0C090001">
      <w:start w:val="1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7D1D16B9"/>
    <w:multiLevelType w:val="hybridMultilevel"/>
    <w:tmpl w:val="64F806A2"/>
    <w:lvl w:ilvl="0" w:tplc="1174F5BA">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1"/>
  </w:num>
  <w:num w:numId="4">
    <w:abstractNumId w:val="18"/>
  </w:num>
  <w:num w:numId="5">
    <w:abstractNumId w:val="20"/>
  </w:num>
  <w:num w:numId="6">
    <w:abstractNumId w:val="8"/>
  </w:num>
  <w:num w:numId="7">
    <w:abstractNumId w:val="10"/>
  </w:num>
  <w:num w:numId="8">
    <w:abstractNumId w:val="9"/>
  </w:num>
  <w:num w:numId="9">
    <w:abstractNumId w:val="14"/>
  </w:num>
  <w:num w:numId="10">
    <w:abstractNumId w:val="13"/>
  </w:num>
  <w:num w:numId="11">
    <w:abstractNumId w:val="4"/>
  </w:num>
  <w:num w:numId="12">
    <w:abstractNumId w:val="19"/>
  </w:num>
  <w:num w:numId="13">
    <w:abstractNumId w:val="2"/>
  </w:num>
  <w:num w:numId="14">
    <w:abstractNumId w:val="12"/>
  </w:num>
  <w:num w:numId="15">
    <w:abstractNumId w:val="0"/>
  </w:num>
  <w:num w:numId="16">
    <w:abstractNumId w:val="15"/>
  </w:num>
  <w:num w:numId="17">
    <w:abstractNumId w:val="20"/>
  </w:num>
  <w:num w:numId="18">
    <w:abstractNumId w:val="20"/>
  </w:num>
  <w:num w:numId="19">
    <w:abstractNumId w:val="5"/>
  </w:num>
  <w:num w:numId="20">
    <w:abstractNumId w:val="7"/>
  </w:num>
  <w:num w:numId="21">
    <w:abstractNumId w:val="6"/>
  </w:num>
  <w:num w:numId="22">
    <w:abstractNumId w:val="17"/>
  </w:num>
  <w:num w:numId="23">
    <w:abstractNumId w:val="21"/>
  </w:num>
  <w:num w:numId="24">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2498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H:\20141221 - 20141227 Electricity weekly report.docx"/>
  </w:docVars>
  <w:rsids>
    <w:rsidRoot w:val="00F75FBD"/>
    <w:rsid w:val="00000080"/>
    <w:rsid w:val="00000204"/>
    <w:rsid w:val="000008B3"/>
    <w:rsid w:val="00000E09"/>
    <w:rsid w:val="000014D2"/>
    <w:rsid w:val="000018CD"/>
    <w:rsid w:val="0000194E"/>
    <w:rsid w:val="00001E21"/>
    <w:rsid w:val="000020FB"/>
    <w:rsid w:val="00002445"/>
    <w:rsid w:val="0000263B"/>
    <w:rsid w:val="000027C5"/>
    <w:rsid w:val="00002829"/>
    <w:rsid w:val="00002A76"/>
    <w:rsid w:val="00002BAA"/>
    <w:rsid w:val="00003522"/>
    <w:rsid w:val="000037A5"/>
    <w:rsid w:val="00003B0A"/>
    <w:rsid w:val="00003B8C"/>
    <w:rsid w:val="00003E22"/>
    <w:rsid w:val="000042AC"/>
    <w:rsid w:val="000042BF"/>
    <w:rsid w:val="00004578"/>
    <w:rsid w:val="0000468D"/>
    <w:rsid w:val="00004C36"/>
    <w:rsid w:val="00004F2E"/>
    <w:rsid w:val="00005725"/>
    <w:rsid w:val="000059FF"/>
    <w:rsid w:val="000060ED"/>
    <w:rsid w:val="00006183"/>
    <w:rsid w:val="00006417"/>
    <w:rsid w:val="00006681"/>
    <w:rsid w:val="000066D8"/>
    <w:rsid w:val="000068EC"/>
    <w:rsid w:val="00006C08"/>
    <w:rsid w:val="00006CB5"/>
    <w:rsid w:val="00006E66"/>
    <w:rsid w:val="000070D2"/>
    <w:rsid w:val="000078B2"/>
    <w:rsid w:val="00007A05"/>
    <w:rsid w:val="00007A8F"/>
    <w:rsid w:val="00007DEC"/>
    <w:rsid w:val="000107D8"/>
    <w:rsid w:val="00010C72"/>
    <w:rsid w:val="000110D5"/>
    <w:rsid w:val="000110E1"/>
    <w:rsid w:val="00011751"/>
    <w:rsid w:val="00011913"/>
    <w:rsid w:val="00011D51"/>
    <w:rsid w:val="000125FD"/>
    <w:rsid w:val="0001277E"/>
    <w:rsid w:val="00012C8B"/>
    <w:rsid w:val="00012F07"/>
    <w:rsid w:val="0001307D"/>
    <w:rsid w:val="000139F3"/>
    <w:rsid w:val="000140DC"/>
    <w:rsid w:val="000145B9"/>
    <w:rsid w:val="00014B8F"/>
    <w:rsid w:val="00015040"/>
    <w:rsid w:val="00015050"/>
    <w:rsid w:val="000158C2"/>
    <w:rsid w:val="000161BF"/>
    <w:rsid w:val="000163E1"/>
    <w:rsid w:val="00016924"/>
    <w:rsid w:val="00016DEF"/>
    <w:rsid w:val="00016E96"/>
    <w:rsid w:val="00017634"/>
    <w:rsid w:val="0001765C"/>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B59"/>
    <w:rsid w:val="00024EC1"/>
    <w:rsid w:val="00025D45"/>
    <w:rsid w:val="00025E0E"/>
    <w:rsid w:val="00025FB3"/>
    <w:rsid w:val="0002602A"/>
    <w:rsid w:val="000260E2"/>
    <w:rsid w:val="000261A3"/>
    <w:rsid w:val="000261BD"/>
    <w:rsid w:val="0002626E"/>
    <w:rsid w:val="000267ED"/>
    <w:rsid w:val="00026C3A"/>
    <w:rsid w:val="00027020"/>
    <w:rsid w:val="0002765A"/>
    <w:rsid w:val="000277D9"/>
    <w:rsid w:val="0003080B"/>
    <w:rsid w:val="000308EE"/>
    <w:rsid w:val="0003098E"/>
    <w:rsid w:val="000318FE"/>
    <w:rsid w:val="00031D7C"/>
    <w:rsid w:val="000325DF"/>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5E6"/>
    <w:rsid w:val="00034DF0"/>
    <w:rsid w:val="0003512C"/>
    <w:rsid w:val="000356D8"/>
    <w:rsid w:val="0003586E"/>
    <w:rsid w:val="00035C9F"/>
    <w:rsid w:val="000360CE"/>
    <w:rsid w:val="0003617E"/>
    <w:rsid w:val="00036ABD"/>
    <w:rsid w:val="00037175"/>
    <w:rsid w:val="00037322"/>
    <w:rsid w:val="000373B0"/>
    <w:rsid w:val="00037541"/>
    <w:rsid w:val="000375EE"/>
    <w:rsid w:val="00037690"/>
    <w:rsid w:val="00037801"/>
    <w:rsid w:val="00040414"/>
    <w:rsid w:val="000407B3"/>
    <w:rsid w:val="00040C80"/>
    <w:rsid w:val="000413B3"/>
    <w:rsid w:val="000418D1"/>
    <w:rsid w:val="00041D07"/>
    <w:rsid w:val="00041E93"/>
    <w:rsid w:val="0004221D"/>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5EC8"/>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6EA"/>
    <w:rsid w:val="00051870"/>
    <w:rsid w:val="0005191C"/>
    <w:rsid w:val="00051B5E"/>
    <w:rsid w:val="00051BFF"/>
    <w:rsid w:val="00051CA2"/>
    <w:rsid w:val="00051EA8"/>
    <w:rsid w:val="00052936"/>
    <w:rsid w:val="00052C31"/>
    <w:rsid w:val="000534E9"/>
    <w:rsid w:val="000536D4"/>
    <w:rsid w:val="00053909"/>
    <w:rsid w:val="00053EF0"/>
    <w:rsid w:val="000542CA"/>
    <w:rsid w:val="0005475B"/>
    <w:rsid w:val="00054A64"/>
    <w:rsid w:val="00054A92"/>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148"/>
    <w:rsid w:val="00061B29"/>
    <w:rsid w:val="00061E11"/>
    <w:rsid w:val="00061EBD"/>
    <w:rsid w:val="00062054"/>
    <w:rsid w:val="00062147"/>
    <w:rsid w:val="000622F1"/>
    <w:rsid w:val="00062857"/>
    <w:rsid w:val="000629AD"/>
    <w:rsid w:val="00062A21"/>
    <w:rsid w:val="00062B23"/>
    <w:rsid w:val="00062B49"/>
    <w:rsid w:val="00062B82"/>
    <w:rsid w:val="00062F8C"/>
    <w:rsid w:val="0006305A"/>
    <w:rsid w:val="0006356C"/>
    <w:rsid w:val="0006376A"/>
    <w:rsid w:val="00063ACB"/>
    <w:rsid w:val="000647B2"/>
    <w:rsid w:val="00064CDD"/>
    <w:rsid w:val="00064E6D"/>
    <w:rsid w:val="00064F93"/>
    <w:rsid w:val="0006556C"/>
    <w:rsid w:val="00065B65"/>
    <w:rsid w:val="00066330"/>
    <w:rsid w:val="0006638F"/>
    <w:rsid w:val="0006649B"/>
    <w:rsid w:val="000665EF"/>
    <w:rsid w:val="0006683F"/>
    <w:rsid w:val="00067028"/>
    <w:rsid w:val="000673B3"/>
    <w:rsid w:val="00067C4A"/>
    <w:rsid w:val="00067D27"/>
    <w:rsid w:val="000702B7"/>
    <w:rsid w:val="000702BE"/>
    <w:rsid w:val="0007067D"/>
    <w:rsid w:val="00070B59"/>
    <w:rsid w:val="00070D16"/>
    <w:rsid w:val="00070F58"/>
    <w:rsid w:val="00071615"/>
    <w:rsid w:val="00071AB5"/>
    <w:rsid w:val="000722B1"/>
    <w:rsid w:val="000722C8"/>
    <w:rsid w:val="000727FF"/>
    <w:rsid w:val="00072A1F"/>
    <w:rsid w:val="00073174"/>
    <w:rsid w:val="000733BC"/>
    <w:rsid w:val="0007368B"/>
    <w:rsid w:val="00073A99"/>
    <w:rsid w:val="00073E73"/>
    <w:rsid w:val="00073EDA"/>
    <w:rsid w:val="00073F8A"/>
    <w:rsid w:val="0007469B"/>
    <w:rsid w:val="0007478A"/>
    <w:rsid w:val="00074F55"/>
    <w:rsid w:val="000751E3"/>
    <w:rsid w:val="0007589D"/>
    <w:rsid w:val="00075962"/>
    <w:rsid w:val="00075A85"/>
    <w:rsid w:val="00075BD0"/>
    <w:rsid w:val="00076198"/>
    <w:rsid w:val="00076423"/>
    <w:rsid w:val="000764FA"/>
    <w:rsid w:val="000766DD"/>
    <w:rsid w:val="00076BF4"/>
    <w:rsid w:val="00076D80"/>
    <w:rsid w:val="00076E5E"/>
    <w:rsid w:val="00077199"/>
    <w:rsid w:val="000773C3"/>
    <w:rsid w:val="00077915"/>
    <w:rsid w:val="00077F4C"/>
    <w:rsid w:val="00077FBB"/>
    <w:rsid w:val="000802F6"/>
    <w:rsid w:val="00080370"/>
    <w:rsid w:val="0008044E"/>
    <w:rsid w:val="0008060E"/>
    <w:rsid w:val="000815F6"/>
    <w:rsid w:val="00081C8E"/>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3F8B"/>
    <w:rsid w:val="00084126"/>
    <w:rsid w:val="000841E6"/>
    <w:rsid w:val="00084457"/>
    <w:rsid w:val="00084903"/>
    <w:rsid w:val="000849AF"/>
    <w:rsid w:val="000856BB"/>
    <w:rsid w:val="00085C27"/>
    <w:rsid w:val="00086527"/>
    <w:rsid w:val="00086713"/>
    <w:rsid w:val="0008677A"/>
    <w:rsid w:val="000869F3"/>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B34"/>
    <w:rsid w:val="00091D14"/>
    <w:rsid w:val="00091D9E"/>
    <w:rsid w:val="00091DAD"/>
    <w:rsid w:val="00091F5F"/>
    <w:rsid w:val="00092C23"/>
    <w:rsid w:val="0009345C"/>
    <w:rsid w:val="00093537"/>
    <w:rsid w:val="0009394B"/>
    <w:rsid w:val="00094268"/>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E5F"/>
    <w:rsid w:val="000A21B3"/>
    <w:rsid w:val="000A241E"/>
    <w:rsid w:val="000A242A"/>
    <w:rsid w:val="000A25BF"/>
    <w:rsid w:val="000A2744"/>
    <w:rsid w:val="000A2CFE"/>
    <w:rsid w:val="000A345C"/>
    <w:rsid w:val="000A3580"/>
    <w:rsid w:val="000A3673"/>
    <w:rsid w:val="000A36AD"/>
    <w:rsid w:val="000A37F9"/>
    <w:rsid w:val="000A3942"/>
    <w:rsid w:val="000A394D"/>
    <w:rsid w:val="000A5343"/>
    <w:rsid w:val="000A555E"/>
    <w:rsid w:val="000A5694"/>
    <w:rsid w:val="000A57A6"/>
    <w:rsid w:val="000A5B05"/>
    <w:rsid w:val="000A6309"/>
    <w:rsid w:val="000A6520"/>
    <w:rsid w:val="000A695F"/>
    <w:rsid w:val="000A6AF2"/>
    <w:rsid w:val="000A6B8D"/>
    <w:rsid w:val="000A7A40"/>
    <w:rsid w:val="000A7DCC"/>
    <w:rsid w:val="000A7E4B"/>
    <w:rsid w:val="000B006E"/>
    <w:rsid w:val="000B00AB"/>
    <w:rsid w:val="000B062A"/>
    <w:rsid w:val="000B0735"/>
    <w:rsid w:val="000B076A"/>
    <w:rsid w:val="000B0A17"/>
    <w:rsid w:val="000B11E9"/>
    <w:rsid w:val="000B186A"/>
    <w:rsid w:val="000B1D95"/>
    <w:rsid w:val="000B1D98"/>
    <w:rsid w:val="000B1F1D"/>
    <w:rsid w:val="000B21DF"/>
    <w:rsid w:val="000B2280"/>
    <w:rsid w:val="000B27B0"/>
    <w:rsid w:val="000B35D6"/>
    <w:rsid w:val="000B36CA"/>
    <w:rsid w:val="000B3C8B"/>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6F9C"/>
    <w:rsid w:val="000B76DA"/>
    <w:rsid w:val="000B7FD3"/>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3B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38D"/>
    <w:rsid w:val="000C7A04"/>
    <w:rsid w:val="000C7C7F"/>
    <w:rsid w:val="000D00E7"/>
    <w:rsid w:val="000D039C"/>
    <w:rsid w:val="000D03EF"/>
    <w:rsid w:val="000D08EF"/>
    <w:rsid w:val="000D0913"/>
    <w:rsid w:val="000D0CA1"/>
    <w:rsid w:val="000D133F"/>
    <w:rsid w:val="000D16BF"/>
    <w:rsid w:val="000D18F3"/>
    <w:rsid w:val="000D1AD4"/>
    <w:rsid w:val="000D1FAC"/>
    <w:rsid w:val="000D205E"/>
    <w:rsid w:val="000D28FF"/>
    <w:rsid w:val="000D2EC0"/>
    <w:rsid w:val="000D34DD"/>
    <w:rsid w:val="000D3510"/>
    <w:rsid w:val="000D3769"/>
    <w:rsid w:val="000D3D28"/>
    <w:rsid w:val="000D436F"/>
    <w:rsid w:val="000D4873"/>
    <w:rsid w:val="000D4BF2"/>
    <w:rsid w:val="000D50E4"/>
    <w:rsid w:val="000D556E"/>
    <w:rsid w:val="000D5859"/>
    <w:rsid w:val="000D59C5"/>
    <w:rsid w:val="000D5C60"/>
    <w:rsid w:val="000D5F4B"/>
    <w:rsid w:val="000D621F"/>
    <w:rsid w:val="000D6338"/>
    <w:rsid w:val="000D635D"/>
    <w:rsid w:val="000D6784"/>
    <w:rsid w:val="000D74DA"/>
    <w:rsid w:val="000D752A"/>
    <w:rsid w:val="000D756E"/>
    <w:rsid w:val="000E003F"/>
    <w:rsid w:val="000E0716"/>
    <w:rsid w:val="000E0840"/>
    <w:rsid w:val="000E0AF5"/>
    <w:rsid w:val="000E0BF3"/>
    <w:rsid w:val="000E0C64"/>
    <w:rsid w:val="000E1281"/>
    <w:rsid w:val="000E1820"/>
    <w:rsid w:val="000E1B63"/>
    <w:rsid w:val="000E1CFC"/>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16"/>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03C"/>
    <w:rsid w:val="000F1295"/>
    <w:rsid w:val="000F1E4C"/>
    <w:rsid w:val="000F1E82"/>
    <w:rsid w:val="000F2052"/>
    <w:rsid w:val="000F2366"/>
    <w:rsid w:val="000F23F1"/>
    <w:rsid w:val="000F2731"/>
    <w:rsid w:val="000F2EFE"/>
    <w:rsid w:val="000F2F96"/>
    <w:rsid w:val="000F3331"/>
    <w:rsid w:val="000F3533"/>
    <w:rsid w:val="000F3781"/>
    <w:rsid w:val="000F3B28"/>
    <w:rsid w:val="000F3D90"/>
    <w:rsid w:val="000F3F37"/>
    <w:rsid w:val="000F47A4"/>
    <w:rsid w:val="000F480F"/>
    <w:rsid w:val="000F4845"/>
    <w:rsid w:val="000F496D"/>
    <w:rsid w:val="000F4A6C"/>
    <w:rsid w:val="000F4AB7"/>
    <w:rsid w:val="000F51C8"/>
    <w:rsid w:val="000F524C"/>
    <w:rsid w:val="000F5692"/>
    <w:rsid w:val="000F5E10"/>
    <w:rsid w:val="000F5FCE"/>
    <w:rsid w:val="000F6848"/>
    <w:rsid w:val="000F6C9E"/>
    <w:rsid w:val="000F6F6F"/>
    <w:rsid w:val="000F7093"/>
    <w:rsid w:val="000F713F"/>
    <w:rsid w:val="000F720E"/>
    <w:rsid w:val="000F7721"/>
    <w:rsid w:val="000F790F"/>
    <w:rsid w:val="000F7CC6"/>
    <w:rsid w:val="000F7FFD"/>
    <w:rsid w:val="00100118"/>
    <w:rsid w:val="00100299"/>
    <w:rsid w:val="00100309"/>
    <w:rsid w:val="001005F2"/>
    <w:rsid w:val="00100D7C"/>
    <w:rsid w:val="00100E58"/>
    <w:rsid w:val="0010112B"/>
    <w:rsid w:val="0010147A"/>
    <w:rsid w:val="00101A76"/>
    <w:rsid w:val="00101FB4"/>
    <w:rsid w:val="00102195"/>
    <w:rsid w:val="001026C8"/>
    <w:rsid w:val="0010334F"/>
    <w:rsid w:val="001038E3"/>
    <w:rsid w:val="00103911"/>
    <w:rsid w:val="00103B70"/>
    <w:rsid w:val="00103CD7"/>
    <w:rsid w:val="00103E59"/>
    <w:rsid w:val="00103F58"/>
    <w:rsid w:val="0010434C"/>
    <w:rsid w:val="00104DC5"/>
    <w:rsid w:val="001051D2"/>
    <w:rsid w:val="00105559"/>
    <w:rsid w:val="001055D7"/>
    <w:rsid w:val="00105AD5"/>
    <w:rsid w:val="00105E53"/>
    <w:rsid w:val="00106BFC"/>
    <w:rsid w:val="00106ED7"/>
    <w:rsid w:val="00107208"/>
    <w:rsid w:val="00107771"/>
    <w:rsid w:val="001077A8"/>
    <w:rsid w:val="00107900"/>
    <w:rsid w:val="00107DAB"/>
    <w:rsid w:val="00110244"/>
    <w:rsid w:val="001102A2"/>
    <w:rsid w:val="00110AC8"/>
    <w:rsid w:val="00110AD8"/>
    <w:rsid w:val="00111345"/>
    <w:rsid w:val="00111A2C"/>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BB7"/>
    <w:rsid w:val="00116E85"/>
    <w:rsid w:val="00117401"/>
    <w:rsid w:val="001174B7"/>
    <w:rsid w:val="00117583"/>
    <w:rsid w:val="00117B58"/>
    <w:rsid w:val="00117E78"/>
    <w:rsid w:val="0012073E"/>
    <w:rsid w:val="001207F7"/>
    <w:rsid w:val="00120E01"/>
    <w:rsid w:val="00120E17"/>
    <w:rsid w:val="00120EF0"/>
    <w:rsid w:val="00120F4B"/>
    <w:rsid w:val="0012126C"/>
    <w:rsid w:val="00121727"/>
    <w:rsid w:val="00121AD5"/>
    <w:rsid w:val="00122036"/>
    <w:rsid w:val="001222FB"/>
    <w:rsid w:val="001224F5"/>
    <w:rsid w:val="001224F8"/>
    <w:rsid w:val="00122577"/>
    <w:rsid w:val="001225DF"/>
    <w:rsid w:val="001231FC"/>
    <w:rsid w:val="001232F5"/>
    <w:rsid w:val="00123318"/>
    <w:rsid w:val="0012429F"/>
    <w:rsid w:val="001242AF"/>
    <w:rsid w:val="001247CC"/>
    <w:rsid w:val="00124923"/>
    <w:rsid w:val="001249EE"/>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045"/>
    <w:rsid w:val="001336AB"/>
    <w:rsid w:val="0013388F"/>
    <w:rsid w:val="00133B9D"/>
    <w:rsid w:val="001346F6"/>
    <w:rsid w:val="001348EC"/>
    <w:rsid w:val="00134E55"/>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702"/>
    <w:rsid w:val="00145D00"/>
    <w:rsid w:val="00145D36"/>
    <w:rsid w:val="00145FB6"/>
    <w:rsid w:val="00145FE5"/>
    <w:rsid w:val="00146536"/>
    <w:rsid w:val="00146BC7"/>
    <w:rsid w:val="00146C40"/>
    <w:rsid w:val="001472F5"/>
    <w:rsid w:val="001472F9"/>
    <w:rsid w:val="00147350"/>
    <w:rsid w:val="0014743E"/>
    <w:rsid w:val="0014752D"/>
    <w:rsid w:val="00147563"/>
    <w:rsid w:val="00147D9F"/>
    <w:rsid w:val="0015008D"/>
    <w:rsid w:val="00150528"/>
    <w:rsid w:val="00150AEF"/>
    <w:rsid w:val="00150B92"/>
    <w:rsid w:val="00150C71"/>
    <w:rsid w:val="00150E23"/>
    <w:rsid w:val="00150F5E"/>
    <w:rsid w:val="00151442"/>
    <w:rsid w:val="00151513"/>
    <w:rsid w:val="001515C1"/>
    <w:rsid w:val="00151AD6"/>
    <w:rsid w:val="0015251C"/>
    <w:rsid w:val="00152708"/>
    <w:rsid w:val="001528C3"/>
    <w:rsid w:val="00152EEA"/>
    <w:rsid w:val="00152EFB"/>
    <w:rsid w:val="0015340F"/>
    <w:rsid w:val="00153655"/>
    <w:rsid w:val="00153EE5"/>
    <w:rsid w:val="00154192"/>
    <w:rsid w:val="00154FE1"/>
    <w:rsid w:val="00155953"/>
    <w:rsid w:val="0015597D"/>
    <w:rsid w:val="00155A20"/>
    <w:rsid w:val="00155B20"/>
    <w:rsid w:val="00155B70"/>
    <w:rsid w:val="00155CDE"/>
    <w:rsid w:val="00155D6E"/>
    <w:rsid w:val="00156276"/>
    <w:rsid w:val="0015629C"/>
    <w:rsid w:val="00156896"/>
    <w:rsid w:val="00156CF1"/>
    <w:rsid w:val="0015720F"/>
    <w:rsid w:val="00157225"/>
    <w:rsid w:val="00157860"/>
    <w:rsid w:val="001578EC"/>
    <w:rsid w:val="001579C8"/>
    <w:rsid w:val="00157A1B"/>
    <w:rsid w:val="00157B2C"/>
    <w:rsid w:val="00157CBF"/>
    <w:rsid w:val="00157D45"/>
    <w:rsid w:val="00160199"/>
    <w:rsid w:val="001601CF"/>
    <w:rsid w:val="00160330"/>
    <w:rsid w:val="001618FD"/>
    <w:rsid w:val="001619B0"/>
    <w:rsid w:val="00161BF4"/>
    <w:rsid w:val="00161CF0"/>
    <w:rsid w:val="00161DC9"/>
    <w:rsid w:val="00161F4E"/>
    <w:rsid w:val="00162156"/>
    <w:rsid w:val="00162981"/>
    <w:rsid w:val="00162A10"/>
    <w:rsid w:val="00162A5C"/>
    <w:rsid w:val="00162B31"/>
    <w:rsid w:val="00162BC3"/>
    <w:rsid w:val="001630F0"/>
    <w:rsid w:val="001631FB"/>
    <w:rsid w:val="001638E9"/>
    <w:rsid w:val="00163B60"/>
    <w:rsid w:val="0016419A"/>
    <w:rsid w:val="00164C9D"/>
    <w:rsid w:val="00164F22"/>
    <w:rsid w:val="0016502F"/>
    <w:rsid w:val="00165561"/>
    <w:rsid w:val="0016567F"/>
    <w:rsid w:val="001658FA"/>
    <w:rsid w:val="00165A57"/>
    <w:rsid w:val="0016653B"/>
    <w:rsid w:val="0016682A"/>
    <w:rsid w:val="001668A2"/>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50"/>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47D"/>
    <w:rsid w:val="001737E7"/>
    <w:rsid w:val="001743B2"/>
    <w:rsid w:val="001743B7"/>
    <w:rsid w:val="00174538"/>
    <w:rsid w:val="00174785"/>
    <w:rsid w:val="001747AE"/>
    <w:rsid w:val="001748F6"/>
    <w:rsid w:val="0017493D"/>
    <w:rsid w:val="00174BF8"/>
    <w:rsid w:val="00174E3A"/>
    <w:rsid w:val="001755E1"/>
    <w:rsid w:val="00175B89"/>
    <w:rsid w:val="00175B91"/>
    <w:rsid w:val="00175CC8"/>
    <w:rsid w:val="001762F5"/>
    <w:rsid w:val="001765B8"/>
    <w:rsid w:val="00176811"/>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2F09"/>
    <w:rsid w:val="001833F5"/>
    <w:rsid w:val="00183AF9"/>
    <w:rsid w:val="00183CE5"/>
    <w:rsid w:val="00183DE7"/>
    <w:rsid w:val="00183EA6"/>
    <w:rsid w:val="001842AC"/>
    <w:rsid w:val="00184507"/>
    <w:rsid w:val="001846D7"/>
    <w:rsid w:val="00184859"/>
    <w:rsid w:val="0018518B"/>
    <w:rsid w:val="001853DD"/>
    <w:rsid w:val="0018595D"/>
    <w:rsid w:val="00185A4B"/>
    <w:rsid w:val="00185A50"/>
    <w:rsid w:val="00185F60"/>
    <w:rsid w:val="0018617A"/>
    <w:rsid w:val="0018635A"/>
    <w:rsid w:val="00186513"/>
    <w:rsid w:val="0018678D"/>
    <w:rsid w:val="001869DB"/>
    <w:rsid w:val="00186B13"/>
    <w:rsid w:val="00187456"/>
    <w:rsid w:val="001877AC"/>
    <w:rsid w:val="00187982"/>
    <w:rsid w:val="00187A33"/>
    <w:rsid w:val="00187D86"/>
    <w:rsid w:val="0019026A"/>
    <w:rsid w:val="00190930"/>
    <w:rsid w:val="001911A0"/>
    <w:rsid w:val="00191462"/>
    <w:rsid w:val="00191FF4"/>
    <w:rsid w:val="00191FF9"/>
    <w:rsid w:val="00191FFB"/>
    <w:rsid w:val="00192163"/>
    <w:rsid w:val="00192BAF"/>
    <w:rsid w:val="00192CED"/>
    <w:rsid w:val="00192DCD"/>
    <w:rsid w:val="00192E4B"/>
    <w:rsid w:val="00192FC5"/>
    <w:rsid w:val="00193254"/>
    <w:rsid w:val="001932D9"/>
    <w:rsid w:val="00193504"/>
    <w:rsid w:val="00193652"/>
    <w:rsid w:val="001936A2"/>
    <w:rsid w:val="00193A59"/>
    <w:rsid w:val="00193ABA"/>
    <w:rsid w:val="00193F00"/>
    <w:rsid w:val="001940DF"/>
    <w:rsid w:val="001941EF"/>
    <w:rsid w:val="001941FE"/>
    <w:rsid w:val="0019426F"/>
    <w:rsid w:val="001945A9"/>
    <w:rsid w:val="001945D3"/>
    <w:rsid w:val="001947C7"/>
    <w:rsid w:val="00194842"/>
    <w:rsid w:val="00194961"/>
    <w:rsid w:val="00195331"/>
    <w:rsid w:val="001957E1"/>
    <w:rsid w:val="001958D7"/>
    <w:rsid w:val="00195A65"/>
    <w:rsid w:val="00195C42"/>
    <w:rsid w:val="00196026"/>
    <w:rsid w:val="00196346"/>
    <w:rsid w:val="00196513"/>
    <w:rsid w:val="00196AF5"/>
    <w:rsid w:val="00196BF3"/>
    <w:rsid w:val="00196E26"/>
    <w:rsid w:val="0019706E"/>
    <w:rsid w:val="00197199"/>
    <w:rsid w:val="001975E8"/>
    <w:rsid w:val="00197632"/>
    <w:rsid w:val="00197991"/>
    <w:rsid w:val="001A0284"/>
    <w:rsid w:val="001A0576"/>
    <w:rsid w:val="001A0B22"/>
    <w:rsid w:val="001A0B72"/>
    <w:rsid w:val="001A0F2D"/>
    <w:rsid w:val="001A0F7D"/>
    <w:rsid w:val="001A102E"/>
    <w:rsid w:val="001A10B2"/>
    <w:rsid w:val="001A13D7"/>
    <w:rsid w:val="001A1B18"/>
    <w:rsid w:val="001A1D2B"/>
    <w:rsid w:val="001A2303"/>
    <w:rsid w:val="001A254B"/>
    <w:rsid w:val="001A2B58"/>
    <w:rsid w:val="001A3753"/>
    <w:rsid w:val="001A3A7F"/>
    <w:rsid w:val="001A3D8C"/>
    <w:rsid w:val="001A3EF1"/>
    <w:rsid w:val="001A4422"/>
    <w:rsid w:val="001A52FF"/>
    <w:rsid w:val="001A5728"/>
    <w:rsid w:val="001A5786"/>
    <w:rsid w:val="001A58D8"/>
    <w:rsid w:val="001A5942"/>
    <w:rsid w:val="001A5C13"/>
    <w:rsid w:val="001A6378"/>
    <w:rsid w:val="001A644A"/>
    <w:rsid w:val="001A67C9"/>
    <w:rsid w:val="001A6867"/>
    <w:rsid w:val="001A6A96"/>
    <w:rsid w:val="001A7245"/>
    <w:rsid w:val="001A72F2"/>
    <w:rsid w:val="001A74C3"/>
    <w:rsid w:val="001A7598"/>
    <w:rsid w:val="001A75C2"/>
    <w:rsid w:val="001A7617"/>
    <w:rsid w:val="001A7ADD"/>
    <w:rsid w:val="001A7D48"/>
    <w:rsid w:val="001B0238"/>
    <w:rsid w:val="001B08F0"/>
    <w:rsid w:val="001B09ED"/>
    <w:rsid w:val="001B0B18"/>
    <w:rsid w:val="001B0F0D"/>
    <w:rsid w:val="001B0F2C"/>
    <w:rsid w:val="001B1087"/>
    <w:rsid w:val="001B10EE"/>
    <w:rsid w:val="001B13DC"/>
    <w:rsid w:val="001B14AD"/>
    <w:rsid w:val="001B174B"/>
    <w:rsid w:val="001B181E"/>
    <w:rsid w:val="001B1C02"/>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AF"/>
    <w:rsid w:val="001B42D7"/>
    <w:rsid w:val="001B435C"/>
    <w:rsid w:val="001B4536"/>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BEF"/>
    <w:rsid w:val="001C2D86"/>
    <w:rsid w:val="001C2ED3"/>
    <w:rsid w:val="001C32AF"/>
    <w:rsid w:val="001C3550"/>
    <w:rsid w:val="001C41EC"/>
    <w:rsid w:val="001C4876"/>
    <w:rsid w:val="001C4ECE"/>
    <w:rsid w:val="001C5302"/>
    <w:rsid w:val="001C53BD"/>
    <w:rsid w:val="001C54AF"/>
    <w:rsid w:val="001C5582"/>
    <w:rsid w:val="001C5A5A"/>
    <w:rsid w:val="001C5B0B"/>
    <w:rsid w:val="001C5C7A"/>
    <w:rsid w:val="001C6011"/>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67E"/>
    <w:rsid w:val="001D0FDA"/>
    <w:rsid w:val="001D12BD"/>
    <w:rsid w:val="001D159B"/>
    <w:rsid w:val="001D1C3C"/>
    <w:rsid w:val="001D1D07"/>
    <w:rsid w:val="001D1E64"/>
    <w:rsid w:val="001D1FC4"/>
    <w:rsid w:val="001D2239"/>
    <w:rsid w:val="001D22A3"/>
    <w:rsid w:val="001D282B"/>
    <w:rsid w:val="001D28CC"/>
    <w:rsid w:val="001D2930"/>
    <w:rsid w:val="001D3099"/>
    <w:rsid w:val="001D30C8"/>
    <w:rsid w:val="001D35EE"/>
    <w:rsid w:val="001D38CA"/>
    <w:rsid w:val="001D3F0D"/>
    <w:rsid w:val="001D401B"/>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0FE5"/>
    <w:rsid w:val="001E13D4"/>
    <w:rsid w:val="001E1779"/>
    <w:rsid w:val="001E1AD5"/>
    <w:rsid w:val="001E22C1"/>
    <w:rsid w:val="001E26E6"/>
    <w:rsid w:val="001E2F79"/>
    <w:rsid w:val="001E2FAA"/>
    <w:rsid w:val="001E3001"/>
    <w:rsid w:val="001E3272"/>
    <w:rsid w:val="001E3552"/>
    <w:rsid w:val="001E39E4"/>
    <w:rsid w:val="001E3AB9"/>
    <w:rsid w:val="001E4030"/>
    <w:rsid w:val="001E48D4"/>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3C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1D8"/>
    <w:rsid w:val="001F23DC"/>
    <w:rsid w:val="001F2485"/>
    <w:rsid w:val="001F2567"/>
    <w:rsid w:val="001F2576"/>
    <w:rsid w:val="001F2A91"/>
    <w:rsid w:val="001F2CA4"/>
    <w:rsid w:val="001F2DFB"/>
    <w:rsid w:val="001F3154"/>
    <w:rsid w:val="001F31DD"/>
    <w:rsid w:val="001F33E2"/>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13F"/>
    <w:rsid w:val="0020063C"/>
    <w:rsid w:val="002008B5"/>
    <w:rsid w:val="00200A59"/>
    <w:rsid w:val="00200D17"/>
    <w:rsid w:val="002011DB"/>
    <w:rsid w:val="002014EB"/>
    <w:rsid w:val="002015DA"/>
    <w:rsid w:val="00201789"/>
    <w:rsid w:val="00201886"/>
    <w:rsid w:val="002018B4"/>
    <w:rsid w:val="0020199C"/>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7F"/>
    <w:rsid w:val="002049B7"/>
    <w:rsid w:val="00204F71"/>
    <w:rsid w:val="002053BA"/>
    <w:rsid w:val="002054BB"/>
    <w:rsid w:val="002054FB"/>
    <w:rsid w:val="00205532"/>
    <w:rsid w:val="00205CB2"/>
    <w:rsid w:val="00206242"/>
    <w:rsid w:val="00206743"/>
    <w:rsid w:val="00206901"/>
    <w:rsid w:val="00206B26"/>
    <w:rsid w:val="00207360"/>
    <w:rsid w:val="002076A5"/>
    <w:rsid w:val="00207B67"/>
    <w:rsid w:val="00210403"/>
    <w:rsid w:val="00210588"/>
    <w:rsid w:val="00210A3D"/>
    <w:rsid w:val="00210FB5"/>
    <w:rsid w:val="002119A0"/>
    <w:rsid w:val="00211E13"/>
    <w:rsid w:val="002121B9"/>
    <w:rsid w:val="00212261"/>
    <w:rsid w:val="0021246E"/>
    <w:rsid w:val="002124A8"/>
    <w:rsid w:val="00212B63"/>
    <w:rsid w:val="00212C5F"/>
    <w:rsid w:val="00212D2F"/>
    <w:rsid w:val="00213289"/>
    <w:rsid w:val="002133F3"/>
    <w:rsid w:val="002137C5"/>
    <w:rsid w:val="00213B61"/>
    <w:rsid w:val="00213C21"/>
    <w:rsid w:val="00213CB7"/>
    <w:rsid w:val="00213E11"/>
    <w:rsid w:val="002147FF"/>
    <w:rsid w:val="0021494F"/>
    <w:rsid w:val="00214BF8"/>
    <w:rsid w:val="00214D47"/>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6EA5"/>
    <w:rsid w:val="002170FF"/>
    <w:rsid w:val="002175E0"/>
    <w:rsid w:val="00217840"/>
    <w:rsid w:val="00217940"/>
    <w:rsid w:val="00217980"/>
    <w:rsid w:val="00217D57"/>
    <w:rsid w:val="00217FE8"/>
    <w:rsid w:val="002201B0"/>
    <w:rsid w:val="0022045D"/>
    <w:rsid w:val="00220990"/>
    <w:rsid w:val="002211A4"/>
    <w:rsid w:val="00221960"/>
    <w:rsid w:val="00221B68"/>
    <w:rsid w:val="00222736"/>
    <w:rsid w:val="00222782"/>
    <w:rsid w:val="002227D7"/>
    <w:rsid w:val="00222A6E"/>
    <w:rsid w:val="00222F59"/>
    <w:rsid w:val="00223228"/>
    <w:rsid w:val="00223288"/>
    <w:rsid w:val="0022337C"/>
    <w:rsid w:val="00223426"/>
    <w:rsid w:val="0022372F"/>
    <w:rsid w:val="0022392F"/>
    <w:rsid w:val="002239B6"/>
    <w:rsid w:val="00223C5B"/>
    <w:rsid w:val="00223EBC"/>
    <w:rsid w:val="00224207"/>
    <w:rsid w:val="00224291"/>
    <w:rsid w:val="00224675"/>
    <w:rsid w:val="0022483C"/>
    <w:rsid w:val="00224852"/>
    <w:rsid w:val="002248B9"/>
    <w:rsid w:val="00224AA9"/>
    <w:rsid w:val="00225120"/>
    <w:rsid w:val="002251E0"/>
    <w:rsid w:val="002252C8"/>
    <w:rsid w:val="00225397"/>
    <w:rsid w:val="00225B19"/>
    <w:rsid w:val="0022604D"/>
    <w:rsid w:val="0022689C"/>
    <w:rsid w:val="00226947"/>
    <w:rsid w:val="00226C19"/>
    <w:rsid w:val="002275FE"/>
    <w:rsid w:val="00227BED"/>
    <w:rsid w:val="00227F82"/>
    <w:rsid w:val="0023060B"/>
    <w:rsid w:val="002309C5"/>
    <w:rsid w:val="0023101E"/>
    <w:rsid w:val="00231024"/>
    <w:rsid w:val="002315FA"/>
    <w:rsid w:val="002319B5"/>
    <w:rsid w:val="00231F74"/>
    <w:rsid w:val="00231F8C"/>
    <w:rsid w:val="0023234D"/>
    <w:rsid w:val="002324B5"/>
    <w:rsid w:val="002326C8"/>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5B6"/>
    <w:rsid w:val="00237FD8"/>
    <w:rsid w:val="00240251"/>
    <w:rsid w:val="0024029A"/>
    <w:rsid w:val="002403EA"/>
    <w:rsid w:val="00240431"/>
    <w:rsid w:val="00240A6C"/>
    <w:rsid w:val="00240E5C"/>
    <w:rsid w:val="00240FFE"/>
    <w:rsid w:val="00241160"/>
    <w:rsid w:val="00241649"/>
    <w:rsid w:val="002419A8"/>
    <w:rsid w:val="00241B1F"/>
    <w:rsid w:val="00241BB4"/>
    <w:rsid w:val="00241C07"/>
    <w:rsid w:val="00241E39"/>
    <w:rsid w:val="002420CD"/>
    <w:rsid w:val="00242138"/>
    <w:rsid w:val="002422F1"/>
    <w:rsid w:val="002427D4"/>
    <w:rsid w:val="002427E6"/>
    <w:rsid w:val="00242E6B"/>
    <w:rsid w:val="00243313"/>
    <w:rsid w:val="002437A1"/>
    <w:rsid w:val="002437FD"/>
    <w:rsid w:val="0024397E"/>
    <w:rsid w:val="002439DC"/>
    <w:rsid w:val="00243E0F"/>
    <w:rsid w:val="00243E90"/>
    <w:rsid w:val="002443A0"/>
    <w:rsid w:val="00244653"/>
    <w:rsid w:val="0024496B"/>
    <w:rsid w:val="00244A9F"/>
    <w:rsid w:val="00244BF9"/>
    <w:rsid w:val="00244C40"/>
    <w:rsid w:val="002450F9"/>
    <w:rsid w:val="00245198"/>
    <w:rsid w:val="00245A34"/>
    <w:rsid w:val="0024630E"/>
    <w:rsid w:val="002468B8"/>
    <w:rsid w:val="00246BC1"/>
    <w:rsid w:val="00247723"/>
    <w:rsid w:val="002477D1"/>
    <w:rsid w:val="002477F5"/>
    <w:rsid w:val="00247877"/>
    <w:rsid w:val="00250091"/>
    <w:rsid w:val="002500F7"/>
    <w:rsid w:val="00250792"/>
    <w:rsid w:val="00250B81"/>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A81"/>
    <w:rsid w:val="00254B6C"/>
    <w:rsid w:val="00254FBC"/>
    <w:rsid w:val="00255D14"/>
    <w:rsid w:val="00255D55"/>
    <w:rsid w:val="002568F5"/>
    <w:rsid w:val="002569F3"/>
    <w:rsid w:val="00256A2A"/>
    <w:rsid w:val="00256EE5"/>
    <w:rsid w:val="00256F9C"/>
    <w:rsid w:val="00256FAB"/>
    <w:rsid w:val="00257CE6"/>
    <w:rsid w:val="00257D0A"/>
    <w:rsid w:val="00257D2A"/>
    <w:rsid w:val="00260AF3"/>
    <w:rsid w:val="00260BA3"/>
    <w:rsid w:val="00261A37"/>
    <w:rsid w:val="00261A89"/>
    <w:rsid w:val="002624BC"/>
    <w:rsid w:val="002633B4"/>
    <w:rsid w:val="00263D22"/>
    <w:rsid w:val="00263E6C"/>
    <w:rsid w:val="0026403E"/>
    <w:rsid w:val="0026465E"/>
    <w:rsid w:val="00264BE3"/>
    <w:rsid w:val="00264C84"/>
    <w:rsid w:val="00264E53"/>
    <w:rsid w:val="00264F56"/>
    <w:rsid w:val="0026518C"/>
    <w:rsid w:val="002652CD"/>
    <w:rsid w:val="00265D33"/>
    <w:rsid w:val="00265F71"/>
    <w:rsid w:val="0026670E"/>
    <w:rsid w:val="00266768"/>
    <w:rsid w:val="002667E3"/>
    <w:rsid w:val="00266A39"/>
    <w:rsid w:val="00266B8B"/>
    <w:rsid w:val="00266CBB"/>
    <w:rsid w:val="00266E6C"/>
    <w:rsid w:val="00266F2A"/>
    <w:rsid w:val="00267995"/>
    <w:rsid w:val="00270123"/>
    <w:rsid w:val="00270A21"/>
    <w:rsid w:val="00270A56"/>
    <w:rsid w:val="00270CB2"/>
    <w:rsid w:val="00270E4F"/>
    <w:rsid w:val="00270F64"/>
    <w:rsid w:val="00270F6C"/>
    <w:rsid w:val="0027186D"/>
    <w:rsid w:val="00271A6E"/>
    <w:rsid w:val="002721F1"/>
    <w:rsid w:val="00272536"/>
    <w:rsid w:val="00272A20"/>
    <w:rsid w:val="00272D47"/>
    <w:rsid w:val="002735F7"/>
    <w:rsid w:val="002738A4"/>
    <w:rsid w:val="00273914"/>
    <w:rsid w:val="0027399A"/>
    <w:rsid w:val="00273AF7"/>
    <w:rsid w:val="0027404B"/>
    <w:rsid w:val="00274373"/>
    <w:rsid w:val="00274883"/>
    <w:rsid w:val="00274BCB"/>
    <w:rsid w:val="00274BE0"/>
    <w:rsid w:val="00274D3A"/>
    <w:rsid w:val="00275255"/>
    <w:rsid w:val="00275351"/>
    <w:rsid w:val="00275579"/>
    <w:rsid w:val="00275C98"/>
    <w:rsid w:val="002761E3"/>
    <w:rsid w:val="0027654C"/>
    <w:rsid w:val="002766A5"/>
    <w:rsid w:val="002768DF"/>
    <w:rsid w:val="00276916"/>
    <w:rsid w:val="00276C91"/>
    <w:rsid w:val="00276D8A"/>
    <w:rsid w:val="00276FD3"/>
    <w:rsid w:val="002770D0"/>
    <w:rsid w:val="0027727C"/>
    <w:rsid w:val="0027762B"/>
    <w:rsid w:val="0027787F"/>
    <w:rsid w:val="00277A6C"/>
    <w:rsid w:val="00277B17"/>
    <w:rsid w:val="00277E33"/>
    <w:rsid w:val="0028071D"/>
    <w:rsid w:val="0028077E"/>
    <w:rsid w:val="0028080B"/>
    <w:rsid w:val="00280A5C"/>
    <w:rsid w:val="00280C7A"/>
    <w:rsid w:val="00280D63"/>
    <w:rsid w:val="00280DC1"/>
    <w:rsid w:val="002816C6"/>
    <w:rsid w:val="002823CC"/>
    <w:rsid w:val="0028243F"/>
    <w:rsid w:val="00282651"/>
    <w:rsid w:val="002829CE"/>
    <w:rsid w:val="00282B0B"/>
    <w:rsid w:val="00283078"/>
    <w:rsid w:val="0028316F"/>
    <w:rsid w:val="0028333B"/>
    <w:rsid w:val="00283525"/>
    <w:rsid w:val="0028364C"/>
    <w:rsid w:val="00283674"/>
    <w:rsid w:val="00283A90"/>
    <w:rsid w:val="00283AD7"/>
    <w:rsid w:val="00283CB6"/>
    <w:rsid w:val="00284002"/>
    <w:rsid w:val="00284274"/>
    <w:rsid w:val="0028436E"/>
    <w:rsid w:val="002844B3"/>
    <w:rsid w:val="002846E4"/>
    <w:rsid w:val="002849C7"/>
    <w:rsid w:val="00284DD6"/>
    <w:rsid w:val="00284FD1"/>
    <w:rsid w:val="002851FE"/>
    <w:rsid w:val="00285320"/>
    <w:rsid w:val="002853D9"/>
    <w:rsid w:val="00285A47"/>
    <w:rsid w:val="00285BD6"/>
    <w:rsid w:val="0028634B"/>
    <w:rsid w:val="002866BC"/>
    <w:rsid w:val="00286F65"/>
    <w:rsid w:val="00287B12"/>
    <w:rsid w:val="00290AF1"/>
    <w:rsid w:val="00290C26"/>
    <w:rsid w:val="00291B17"/>
    <w:rsid w:val="00291E72"/>
    <w:rsid w:val="00292163"/>
    <w:rsid w:val="00292339"/>
    <w:rsid w:val="0029284D"/>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3C6B"/>
    <w:rsid w:val="002A424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15C"/>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AAF"/>
    <w:rsid w:val="002B6C4E"/>
    <w:rsid w:val="002B6CC8"/>
    <w:rsid w:val="002B6DF9"/>
    <w:rsid w:val="002B7160"/>
    <w:rsid w:val="002B75CA"/>
    <w:rsid w:val="002B7646"/>
    <w:rsid w:val="002B7CC1"/>
    <w:rsid w:val="002B7F40"/>
    <w:rsid w:val="002C0228"/>
    <w:rsid w:val="002C0690"/>
    <w:rsid w:val="002C073B"/>
    <w:rsid w:val="002C0BF1"/>
    <w:rsid w:val="002C130A"/>
    <w:rsid w:val="002C147F"/>
    <w:rsid w:val="002C1694"/>
    <w:rsid w:val="002C1B4D"/>
    <w:rsid w:val="002C1BD6"/>
    <w:rsid w:val="002C1E20"/>
    <w:rsid w:val="002C1E42"/>
    <w:rsid w:val="002C242A"/>
    <w:rsid w:val="002C2AEC"/>
    <w:rsid w:val="002C33FB"/>
    <w:rsid w:val="002C34B5"/>
    <w:rsid w:val="002C3511"/>
    <w:rsid w:val="002C3CD8"/>
    <w:rsid w:val="002C4196"/>
    <w:rsid w:val="002C4415"/>
    <w:rsid w:val="002C4A55"/>
    <w:rsid w:val="002C4E6D"/>
    <w:rsid w:val="002C4FFA"/>
    <w:rsid w:val="002C51EA"/>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9A"/>
    <w:rsid w:val="002C7EC2"/>
    <w:rsid w:val="002D0127"/>
    <w:rsid w:val="002D0251"/>
    <w:rsid w:val="002D069D"/>
    <w:rsid w:val="002D0FC1"/>
    <w:rsid w:val="002D13D1"/>
    <w:rsid w:val="002D1824"/>
    <w:rsid w:val="002D1B14"/>
    <w:rsid w:val="002D1F01"/>
    <w:rsid w:val="002D228F"/>
    <w:rsid w:val="002D23B9"/>
    <w:rsid w:val="002D2448"/>
    <w:rsid w:val="002D2709"/>
    <w:rsid w:val="002D2A35"/>
    <w:rsid w:val="002D30D5"/>
    <w:rsid w:val="002D3301"/>
    <w:rsid w:val="002D341F"/>
    <w:rsid w:val="002D3A00"/>
    <w:rsid w:val="002D3DFB"/>
    <w:rsid w:val="002D49C9"/>
    <w:rsid w:val="002D49E4"/>
    <w:rsid w:val="002D51DB"/>
    <w:rsid w:val="002D5760"/>
    <w:rsid w:val="002D5ED1"/>
    <w:rsid w:val="002D6D98"/>
    <w:rsid w:val="002D6EEF"/>
    <w:rsid w:val="002D6FDB"/>
    <w:rsid w:val="002D7091"/>
    <w:rsid w:val="002D7262"/>
    <w:rsid w:val="002D7620"/>
    <w:rsid w:val="002D7904"/>
    <w:rsid w:val="002D7954"/>
    <w:rsid w:val="002D7EEF"/>
    <w:rsid w:val="002E0464"/>
    <w:rsid w:val="002E0502"/>
    <w:rsid w:val="002E096B"/>
    <w:rsid w:val="002E10D9"/>
    <w:rsid w:val="002E11EC"/>
    <w:rsid w:val="002E135D"/>
    <w:rsid w:val="002E154D"/>
    <w:rsid w:val="002E15A6"/>
    <w:rsid w:val="002E1641"/>
    <w:rsid w:val="002E164C"/>
    <w:rsid w:val="002E16CA"/>
    <w:rsid w:val="002E1729"/>
    <w:rsid w:val="002E18AD"/>
    <w:rsid w:val="002E1BBD"/>
    <w:rsid w:val="002E1D3A"/>
    <w:rsid w:val="002E21B5"/>
    <w:rsid w:val="002E22A9"/>
    <w:rsid w:val="002E24F6"/>
    <w:rsid w:val="002E2C0E"/>
    <w:rsid w:val="002E2DB9"/>
    <w:rsid w:val="002E3024"/>
    <w:rsid w:val="002E3072"/>
    <w:rsid w:val="002E3127"/>
    <w:rsid w:val="002E3425"/>
    <w:rsid w:val="002E3565"/>
    <w:rsid w:val="002E37BD"/>
    <w:rsid w:val="002E3ABB"/>
    <w:rsid w:val="002E4263"/>
    <w:rsid w:val="002E42C7"/>
    <w:rsid w:val="002E44B1"/>
    <w:rsid w:val="002E46E5"/>
    <w:rsid w:val="002E4B52"/>
    <w:rsid w:val="002E4FCC"/>
    <w:rsid w:val="002E5878"/>
    <w:rsid w:val="002E593D"/>
    <w:rsid w:val="002E5B21"/>
    <w:rsid w:val="002E5E02"/>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64D"/>
    <w:rsid w:val="002F07CA"/>
    <w:rsid w:val="002F095A"/>
    <w:rsid w:val="002F0A0E"/>
    <w:rsid w:val="002F13F5"/>
    <w:rsid w:val="002F159B"/>
    <w:rsid w:val="002F1646"/>
    <w:rsid w:val="002F1CA2"/>
    <w:rsid w:val="002F1CE4"/>
    <w:rsid w:val="002F1CFC"/>
    <w:rsid w:val="002F1F90"/>
    <w:rsid w:val="002F2A44"/>
    <w:rsid w:val="002F317C"/>
    <w:rsid w:val="002F36C0"/>
    <w:rsid w:val="002F3A02"/>
    <w:rsid w:val="002F3EEA"/>
    <w:rsid w:val="002F3F99"/>
    <w:rsid w:val="002F42BE"/>
    <w:rsid w:val="002F459E"/>
    <w:rsid w:val="002F480E"/>
    <w:rsid w:val="002F4A9D"/>
    <w:rsid w:val="002F4D91"/>
    <w:rsid w:val="002F4EA1"/>
    <w:rsid w:val="002F5253"/>
    <w:rsid w:val="002F52B9"/>
    <w:rsid w:val="002F56BA"/>
    <w:rsid w:val="002F58D7"/>
    <w:rsid w:val="002F645C"/>
    <w:rsid w:val="002F655B"/>
    <w:rsid w:val="002F6574"/>
    <w:rsid w:val="002F6D09"/>
    <w:rsid w:val="002F6F7B"/>
    <w:rsid w:val="002F6FF5"/>
    <w:rsid w:val="002F749A"/>
    <w:rsid w:val="002F7744"/>
    <w:rsid w:val="002F787E"/>
    <w:rsid w:val="002F7E43"/>
    <w:rsid w:val="00300065"/>
    <w:rsid w:val="00300440"/>
    <w:rsid w:val="0030084A"/>
    <w:rsid w:val="00300D30"/>
    <w:rsid w:val="00300F5E"/>
    <w:rsid w:val="003016DF"/>
    <w:rsid w:val="00301854"/>
    <w:rsid w:val="003019C7"/>
    <w:rsid w:val="00301AB6"/>
    <w:rsid w:val="0030207B"/>
    <w:rsid w:val="00302472"/>
    <w:rsid w:val="00302619"/>
    <w:rsid w:val="003029BB"/>
    <w:rsid w:val="00302AE0"/>
    <w:rsid w:val="00302F08"/>
    <w:rsid w:val="00303958"/>
    <w:rsid w:val="00303B10"/>
    <w:rsid w:val="00303D63"/>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CE9"/>
    <w:rsid w:val="00305F23"/>
    <w:rsid w:val="00305F46"/>
    <w:rsid w:val="00306192"/>
    <w:rsid w:val="003066B3"/>
    <w:rsid w:val="003067A9"/>
    <w:rsid w:val="00306A4C"/>
    <w:rsid w:val="00306DDE"/>
    <w:rsid w:val="00307819"/>
    <w:rsid w:val="00307B80"/>
    <w:rsid w:val="00307CEA"/>
    <w:rsid w:val="00310009"/>
    <w:rsid w:val="0031009A"/>
    <w:rsid w:val="00310806"/>
    <w:rsid w:val="00310BF3"/>
    <w:rsid w:val="00310EAA"/>
    <w:rsid w:val="003115E3"/>
    <w:rsid w:val="003117EA"/>
    <w:rsid w:val="0031246D"/>
    <w:rsid w:val="003130BF"/>
    <w:rsid w:val="003130D7"/>
    <w:rsid w:val="003131A4"/>
    <w:rsid w:val="003131E3"/>
    <w:rsid w:val="003134C2"/>
    <w:rsid w:val="00313505"/>
    <w:rsid w:val="00313755"/>
    <w:rsid w:val="0031395F"/>
    <w:rsid w:val="00313A16"/>
    <w:rsid w:val="00313E7E"/>
    <w:rsid w:val="00314059"/>
    <w:rsid w:val="00314C4E"/>
    <w:rsid w:val="00314FA4"/>
    <w:rsid w:val="00314FA5"/>
    <w:rsid w:val="00315129"/>
    <w:rsid w:val="003152E6"/>
    <w:rsid w:val="0031556B"/>
    <w:rsid w:val="003155D5"/>
    <w:rsid w:val="00315635"/>
    <w:rsid w:val="003156E0"/>
    <w:rsid w:val="003157C3"/>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426"/>
    <w:rsid w:val="00322A53"/>
    <w:rsid w:val="00322E10"/>
    <w:rsid w:val="00322F3F"/>
    <w:rsid w:val="003234D5"/>
    <w:rsid w:val="0032352F"/>
    <w:rsid w:val="003236D8"/>
    <w:rsid w:val="00323B70"/>
    <w:rsid w:val="00323E67"/>
    <w:rsid w:val="00323E92"/>
    <w:rsid w:val="00323FE2"/>
    <w:rsid w:val="00324313"/>
    <w:rsid w:val="0032482C"/>
    <w:rsid w:val="0032483B"/>
    <w:rsid w:val="003250AA"/>
    <w:rsid w:val="003258B9"/>
    <w:rsid w:val="00325BB1"/>
    <w:rsid w:val="0032602B"/>
    <w:rsid w:val="0032628A"/>
    <w:rsid w:val="00326730"/>
    <w:rsid w:val="003268DC"/>
    <w:rsid w:val="00326B54"/>
    <w:rsid w:val="00326E56"/>
    <w:rsid w:val="00326E7F"/>
    <w:rsid w:val="0032756C"/>
    <w:rsid w:val="003303F8"/>
    <w:rsid w:val="0033053B"/>
    <w:rsid w:val="00330AD1"/>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CF"/>
    <w:rsid w:val="003422EA"/>
    <w:rsid w:val="0034238D"/>
    <w:rsid w:val="0034268D"/>
    <w:rsid w:val="00342A77"/>
    <w:rsid w:val="00342FC3"/>
    <w:rsid w:val="00342FE6"/>
    <w:rsid w:val="00343616"/>
    <w:rsid w:val="003436ED"/>
    <w:rsid w:val="00343A7A"/>
    <w:rsid w:val="00343BF8"/>
    <w:rsid w:val="00343EB8"/>
    <w:rsid w:val="003444BF"/>
    <w:rsid w:val="0034465D"/>
    <w:rsid w:val="00344FCC"/>
    <w:rsid w:val="0034504C"/>
    <w:rsid w:val="0034528E"/>
    <w:rsid w:val="0034559F"/>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84F"/>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8DD"/>
    <w:rsid w:val="00354964"/>
    <w:rsid w:val="00354AC5"/>
    <w:rsid w:val="00355828"/>
    <w:rsid w:val="003558BC"/>
    <w:rsid w:val="00355DA9"/>
    <w:rsid w:val="00356062"/>
    <w:rsid w:val="003560C9"/>
    <w:rsid w:val="0035621E"/>
    <w:rsid w:val="003563B7"/>
    <w:rsid w:val="00356546"/>
    <w:rsid w:val="00356758"/>
    <w:rsid w:val="0035692B"/>
    <w:rsid w:val="00357CFB"/>
    <w:rsid w:val="00357D7F"/>
    <w:rsid w:val="003600DB"/>
    <w:rsid w:val="003602B4"/>
    <w:rsid w:val="0036076C"/>
    <w:rsid w:val="003607A0"/>
    <w:rsid w:val="00360EC7"/>
    <w:rsid w:val="00360EF1"/>
    <w:rsid w:val="00361798"/>
    <w:rsid w:val="0036179C"/>
    <w:rsid w:val="003618A2"/>
    <w:rsid w:val="00361AD3"/>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55A9"/>
    <w:rsid w:val="003663D5"/>
    <w:rsid w:val="0036646E"/>
    <w:rsid w:val="00366478"/>
    <w:rsid w:val="00366684"/>
    <w:rsid w:val="00366AC3"/>
    <w:rsid w:val="00366C20"/>
    <w:rsid w:val="00367778"/>
    <w:rsid w:val="00367A35"/>
    <w:rsid w:val="00367D2A"/>
    <w:rsid w:val="00367E1D"/>
    <w:rsid w:val="00367E58"/>
    <w:rsid w:val="003704AF"/>
    <w:rsid w:val="00370841"/>
    <w:rsid w:val="00370A91"/>
    <w:rsid w:val="00370DEF"/>
    <w:rsid w:val="00371460"/>
    <w:rsid w:val="003715CE"/>
    <w:rsid w:val="003715FC"/>
    <w:rsid w:val="00371E17"/>
    <w:rsid w:val="00372431"/>
    <w:rsid w:val="003726AE"/>
    <w:rsid w:val="00372950"/>
    <w:rsid w:val="00372DDA"/>
    <w:rsid w:val="003733C1"/>
    <w:rsid w:val="003736B9"/>
    <w:rsid w:val="00373744"/>
    <w:rsid w:val="003740A7"/>
    <w:rsid w:val="003742AB"/>
    <w:rsid w:val="00374521"/>
    <w:rsid w:val="0037492E"/>
    <w:rsid w:val="00374947"/>
    <w:rsid w:val="00374C64"/>
    <w:rsid w:val="0037532B"/>
    <w:rsid w:val="0037551C"/>
    <w:rsid w:val="00375B8B"/>
    <w:rsid w:val="00375D3A"/>
    <w:rsid w:val="0037625E"/>
    <w:rsid w:val="003764BC"/>
    <w:rsid w:val="00376619"/>
    <w:rsid w:val="00376A35"/>
    <w:rsid w:val="00376E16"/>
    <w:rsid w:val="00377034"/>
    <w:rsid w:val="0037749C"/>
    <w:rsid w:val="003777A4"/>
    <w:rsid w:val="00377940"/>
    <w:rsid w:val="00380397"/>
    <w:rsid w:val="003803E1"/>
    <w:rsid w:val="0038090A"/>
    <w:rsid w:val="00381539"/>
    <w:rsid w:val="0038192D"/>
    <w:rsid w:val="00381950"/>
    <w:rsid w:val="00381B19"/>
    <w:rsid w:val="00381F48"/>
    <w:rsid w:val="00381FDB"/>
    <w:rsid w:val="003820AF"/>
    <w:rsid w:val="003826A1"/>
    <w:rsid w:val="00382D18"/>
    <w:rsid w:val="00383082"/>
    <w:rsid w:val="00383296"/>
    <w:rsid w:val="003836D9"/>
    <w:rsid w:val="0038370F"/>
    <w:rsid w:val="003837C1"/>
    <w:rsid w:val="00383A87"/>
    <w:rsid w:val="00383B12"/>
    <w:rsid w:val="00383D29"/>
    <w:rsid w:val="00383D81"/>
    <w:rsid w:val="00384133"/>
    <w:rsid w:val="003847DC"/>
    <w:rsid w:val="00384A12"/>
    <w:rsid w:val="00385A19"/>
    <w:rsid w:val="00385ADB"/>
    <w:rsid w:val="0038604D"/>
    <w:rsid w:val="00386072"/>
    <w:rsid w:val="003864C5"/>
    <w:rsid w:val="0038658D"/>
    <w:rsid w:val="003867F7"/>
    <w:rsid w:val="00386A90"/>
    <w:rsid w:val="00386AD9"/>
    <w:rsid w:val="00386E13"/>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0F8C"/>
    <w:rsid w:val="00391212"/>
    <w:rsid w:val="00391334"/>
    <w:rsid w:val="0039134A"/>
    <w:rsid w:val="003913DC"/>
    <w:rsid w:val="0039170C"/>
    <w:rsid w:val="0039199F"/>
    <w:rsid w:val="00391A00"/>
    <w:rsid w:val="00391AB6"/>
    <w:rsid w:val="00391D51"/>
    <w:rsid w:val="00392064"/>
    <w:rsid w:val="0039282A"/>
    <w:rsid w:val="00392B21"/>
    <w:rsid w:val="00393440"/>
    <w:rsid w:val="003937C5"/>
    <w:rsid w:val="00393B9D"/>
    <w:rsid w:val="00394397"/>
    <w:rsid w:val="003943DF"/>
    <w:rsid w:val="00394A8D"/>
    <w:rsid w:val="00394B89"/>
    <w:rsid w:val="00394E07"/>
    <w:rsid w:val="0039505C"/>
    <w:rsid w:val="00395556"/>
    <w:rsid w:val="00395D86"/>
    <w:rsid w:val="00395F2E"/>
    <w:rsid w:val="003960A2"/>
    <w:rsid w:val="003961C0"/>
    <w:rsid w:val="003962F2"/>
    <w:rsid w:val="003966BE"/>
    <w:rsid w:val="00396E7C"/>
    <w:rsid w:val="00396F87"/>
    <w:rsid w:val="003972AC"/>
    <w:rsid w:val="00397A00"/>
    <w:rsid w:val="00397A76"/>
    <w:rsid w:val="00397DA8"/>
    <w:rsid w:val="00397E3D"/>
    <w:rsid w:val="003A0B31"/>
    <w:rsid w:val="003A12D3"/>
    <w:rsid w:val="003A182D"/>
    <w:rsid w:val="003A19B7"/>
    <w:rsid w:val="003A1E6B"/>
    <w:rsid w:val="003A2108"/>
    <w:rsid w:val="003A2E14"/>
    <w:rsid w:val="003A309A"/>
    <w:rsid w:val="003A3778"/>
    <w:rsid w:val="003A407A"/>
    <w:rsid w:val="003A4158"/>
    <w:rsid w:val="003A424A"/>
    <w:rsid w:val="003A4B02"/>
    <w:rsid w:val="003A504F"/>
    <w:rsid w:val="003A54A3"/>
    <w:rsid w:val="003A5FA9"/>
    <w:rsid w:val="003A61BD"/>
    <w:rsid w:val="003A62C1"/>
    <w:rsid w:val="003A683A"/>
    <w:rsid w:val="003A686F"/>
    <w:rsid w:val="003A68B0"/>
    <w:rsid w:val="003A69F8"/>
    <w:rsid w:val="003A6A5A"/>
    <w:rsid w:val="003A6F72"/>
    <w:rsid w:val="003A778F"/>
    <w:rsid w:val="003B0411"/>
    <w:rsid w:val="003B07AF"/>
    <w:rsid w:val="003B083E"/>
    <w:rsid w:val="003B0AB0"/>
    <w:rsid w:val="003B0E52"/>
    <w:rsid w:val="003B103E"/>
    <w:rsid w:val="003B10D1"/>
    <w:rsid w:val="003B15EA"/>
    <w:rsid w:val="003B1869"/>
    <w:rsid w:val="003B1A4A"/>
    <w:rsid w:val="003B1E9B"/>
    <w:rsid w:val="003B22D8"/>
    <w:rsid w:val="003B22E5"/>
    <w:rsid w:val="003B2562"/>
    <w:rsid w:val="003B2A42"/>
    <w:rsid w:val="003B2B53"/>
    <w:rsid w:val="003B2E4A"/>
    <w:rsid w:val="003B35D5"/>
    <w:rsid w:val="003B35E8"/>
    <w:rsid w:val="003B3DBD"/>
    <w:rsid w:val="003B3E2D"/>
    <w:rsid w:val="003B3FB4"/>
    <w:rsid w:val="003B404D"/>
    <w:rsid w:val="003B49E6"/>
    <w:rsid w:val="003B4CB8"/>
    <w:rsid w:val="003B526A"/>
    <w:rsid w:val="003B53B8"/>
    <w:rsid w:val="003B5840"/>
    <w:rsid w:val="003B5AD5"/>
    <w:rsid w:val="003B5E45"/>
    <w:rsid w:val="003B64EB"/>
    <w:rsid w:val="003B67BD"/>
    <w:rsid w:val="003B6814"/>
    <w:rsid w:val="003B69F7"/>
    <w:rsid w:val="003B7158"/>
    <w:rsid w:val="003B7704"/>
    <w:rsid w:val="003B785F"/>
    <w:rsid w:val="003B790B"/>
    <w:rsid w:val="003B7C22"/>
    <w:rsid w:val="003C02E1"/>
    <w:rsid w:val="003C0478"/>
    <w:rsid w:val="003C0509"/>
    <w:rsid w:val="003C05E5"/>
    <w:rsid w:val="003C0AC3"/>
    <w:rsid w:val="003C0BBD"/>
    <w:rsid w:val="003C0DEC"/>
    <w:rsid w:val="003C11E9"/>
    <w:rsid w:val="003C137F"/>
    <w:rsid w:val="003C13C3"/>
    <w:rsid w:val="003C15BD"/>
    <w:rsid w:val="003C17BA"/>
    <w:rsid w:val="003C1968"/>
    <w:rsid w:val="003C19F6"/>
    <w:rsid w:val="003C21AB"/>
    <w:rsid w:val="003C237B"/>
    <w:rsid w:val="003C2556"/>
    <w:rsid w:val="003C26D9"/>
    <w:rsid w:val="003C2AA0"/>
    <w:rsid w:val="003C2B19"/>
    <w:rsid w:val="003C2C83"/>
    <w:rsid w:val="003C2D64"/>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6F"/>
    <w:rsid w:val="003C5D7B"/>
    <w:rsid w:val="003C5D95"/>
    <w:rsid w:val="003C6133"/>
    <w:rsid w:val="003C6D98"/>
    <w:rsid w:val="003C700A"/>
    <w:rsid w:val="003C70FF"/>
    <w:rsid w:val="003D03B6"/>
    <w:rsid w:val="003D0441"/>
    <w:rsid w:val="003D082E"/>
    <w:rsid w:val="003D0A8A"/>
    <w:rsid w:val="003D0B3A"/>
    <w:rsid w:val="003D0B72"/>
    <w:rsid w:val="003D0C60"/>
    <w:rsid w:val="003D0CD0"/>
    <w:rsid w:val="003D2147"/>
    <w:rsid w:val="003D28BC"/>
    <w:rsid w:val="003D2976"/>
    <w:rsid w:val="003D2B67"/>
    <w:rsid w:val="003D2CB4"/>
    <w:rsid w:val="003D2E1C"/>
    <w:rsid w:val="003D30B1"/>
    <w:rsid w:val="003D365D"/>
    <w:rsid w:val="003D3AB6"/>
    <w:rsid w:val="003D3BF2"/>
    <w:rsid w:val="003D3D9E"/>
    <w:rsid w:val="003D3E19"/>
    <w:rsid w:val="003D3E8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945"/>
    <w:rsid w:val="003D6AEC"/>
    <w:rsid w:val="003D728D"/>
    <w:rsid w:val="003D76C7"/>
    <w:rsid w:val="003D7D6E"/>
    <w:rsid w:val="003D7FE3"/>
    <w:rsid w:val="003E0363"/>
    <w:rsid w:val="003E0819"/>
    <w:rsid w:val="003E0F59"/>
    <w:rsid w:val="003E118B"/>
    <w:rsid w:val="003E12CD"/>
    <w:rsid w:val="003E159D"/>
    <w:rsid w:val="003E160A"/>
    <w:rsid w:val="003E1A13"/>
    <w:rsid w:val="003E1C91"/>
    <w:rsid w:val="003E1E57"/>
    <w:rsid w:val="003E21AE"/>
    <w:rsid w:val="003E2505"/>
    <w:rsid w:val="003E27C0"/>
    <w:rsid w:val="003E2C06"/>
    <w:rsid w:val="003E38E2"/>
    <w:rsid w:val="003E3D7B"/>
    <w:rsid w:val="003E4A9C"/>
    <w:rsid w:val="003E4B4E"/>
    <w:rsid w:val="003E4FA0"/>
    <w:rsid w:val="003E5E52"/>
    <w:rsid w:val="003E61F2"/>
    <w:rsid w:val="003E64AB"/>
    <w:rsid w:val="003E673A"/>
    <w:rsid w:val="003E6911"/>
    <w:rsid w:val="003E6A3D"/>
    <w:rsid w:val="003E6AF8"/>
    <w:rsid w:val="003E6B96"/>
    <w:rsid w:val="003E721C"/>
    <w:rsid w:val="003E76ED"/>
    <w:rsid w:val="003E779A"/>
    <w:rsid w:val="003E7F56"/>
    <w:rsid w:val="003E7FF0"/>
    <w:rsid w:val="003F03C8"/>
    <w:rsid w:val="003F0452"/>
    <w:rsid w:val="003F0A5C"/>
    <w:rsid w:val="003F0A67"/>
    <w:rsid w:val="003F0AC6"/>
    <w:rsid w:val="003F1056"/>
    <w:rsid w:val="003F1485"/>
    <w:rsid w:val="003F15FE"/>
    <w:rsid w:val="003F21ED"/>
    <w:rsid w:val="003F2650"/>
    <w:rsid w:val="003F33D9"/>
    <w:rsid w:val="003F34B8"/>
    <w:rsid w:val="003F3A03"/>
    <w:rsid w:val="003F3FFD"/>
    <w:rsid w:val="003F4158"/>
    <w:rsid w:val="003F4935"/>
    <w:rsid w:val="003F5141"/>
    <w:rsid w:val="003F5262"/>
    <w:rsid w:val="003F54BD"/>
    <w:rsid w:val="003F6B22"/>
    <w:rsid w:val="003F6DCC"/>
    <w:rsid w:val="003F6F89"/>
    <w:rsid w:val="003F7A98"/>
    <w:rsid w:val="00400033"/>
    <w:rsid w:val="004001E0"/>
    <w:rsid w:val="0040025D"/>
    <w:rsid w:val="00400674"/>
    <w:rsid w:val="004006DC"/>
    <w:rsid w:val="00400CD7"/>
    <w:rsid w:val="00400CDE"/>
    <w:rsid w:val="0040146A"/>
    <w:rsid w:val="0040158A"/>
    <w:rsid w:val="0040158F"/>
    <w:rsid w:val="004019AB"/>
    <w:rsid w:val="00401F2C"/>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8A2"/>
    <w:rsid w:val="00406B0B"/>
    <w:rsid w:val="00406C9F"/>
    <w:rsid w:val="004074A9"/>
    <w:rsid w:val="004077D3"/>
    <w:rsid w:val="00407C8E"/>
    <w:rsid w:val="00407DF7"/>
    <w:rsid w:val="00407F04"/>
    <w:rsid w:val="00407F79"/>
    <w:rsid w:val="00410203"/>
    <w:rsid w:val="004105FC"/>
    <w:rsid w:val="0041070B"/>
    <w:rsid w:val="00410775"/>
    <w:rsid w:val="00410BCF"/>
    <w:rsid w:val="00410BDB"/>
    <w:rsid w:val="00410E7D"/>
    <w:rsid w:val="00411249"/>
    <w:rsid w:val="00411403"/>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37B"/>
    <w:rsid w:val="0041643C"/>
    <w:rsid w:val="00416DE6"/>
    <w:rsid w:val="00416EE2"/>
    <w:rsid w:val="0041733B"/>
    <w:rsid w:val="00417411"/>
    <w:rsid w:val="00417814"/>
    <w:rsid w:val="00420273"/>
    <w:rsid w:val="00420675"/>
    <w:rsid w:val="00420862"/>
    <w:rsid w:val="004209B2"/>
    <w:rsid w:val="00420B78"/>
    <w:rsid w:val="00420BB7"/>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D50"/>
    <w:rsid w:val="00426E99"/>
    <w:rsid w:val="00426F74"/>
    <w:rsid w:val="00427131"/>
    <w:rsid w:val="00427377"/>
    <w:rsid w:val="00427C0C"/>
    <w:rsid w:val="00427D21"/>
    <w:rsid w:val="00430216"/>
    <w:rsid w:val="00430669"/>
    <w:rsid w:val="004306BA"/>
    <w:rsid w:val="00430AE4"/>
    <w:rsid w:val="00430D2A"/>
    <w:rsid w:val="00430FD9"/>
    <w:rsid w:val="00431031"/>
    <w:rsid w:val="00431594"/>
    <w:rsid w:val="004316DF"/>
    <w:rsid w:val="004318B3"/>
    <w:rsid w:val="00431A0D"/>
    <w:rsid w:val="00432029"/>
    <w:rsid w:val="00432052"/>
    <w:rsid w:val="0043217C"/>
    <w:rsid w:val="00432196"/>
    <w:rsid w:val="0043220E"/>
    <w:rsid w:val="0043278C"/>
    <w:rsid w:val="00432902"/>
    <w:rsid w:val="004329A8"/>
    <w:rsid w:val="00432E79"/>
    <w:rsid w:val="00432F24"/>
    <w:rsid w:val="00432F80"/>
    <w:rsid w:val="00433273"/>
    <w:rsid w:val="0043332F"/>
    <w:rsid w:val="004334ED"/>
    <w:rsid w:val="004339B7"/>
    <w:rsid w:val="0043406D"/>
    <w:rsid w:val="00434633"/>
    <w:rsid w:val="00434CA8"/>
    <w:rsid w:val="00434DE0"/>
    <w:rsid w:val="00434FFE"/>
    <w:rsid w:val="00435764"/>
    <w:rsid w:val="00435B02"/>
    <w:rsid w:val="00435CA8"/>
    <w:rsid w:val="00435F25"/>
    <w:rsid w:val="0043614D"/>
    <w:rsid w:val="00436186"/>
    <w:rsid w:val="0043670D"/>
    <w:rsid w:val="004367F4"/>
    <w:rsid w:val="004368B6"/>
    <w:rsid w:val="00436946"/>
    <w:rsid w:val="00436983"/>
    <w:rsid w:val="00436D85"/>
    <w:rsid w:val="00436EED"/>
    <w:rsid w:val="00436FFE"/>
    <w:rsid w:val="00437BD8"/>
    <w:rsid w:val="00437F80"/>
    <w:rsid w:val="00440625"/>
    <w:rsid w:val="00440E31"/>
    <w:rsid w:val="00441624"/>
    <w:rsid w:val="00441E65"/>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68"/>
    <w:rsid w:val="004463CD"/>
    <w:rsid w:val="00446DED"/>
    <w:rsid w:val="00446EDF"/>
    <w:rsid w:val="00447181"/>
    <w:rsid w:val="004473C3"/>
    <w:rsid w:val="00447888"/>
    <w:rsid w:val="004479BD"/>
    <w:rsid w:val="00447B19"/>
    <w:rsid w:val="00447CF1"/>
    <w:rsid w:val="00447EE1"/>
    <w:rsid w:val="00450325"/>
    <w:rsid w:val="004507C1"/>
    <w:rsid w:val="00450883"/>
    <w:rsid w:val="004508C6"/>
    <w:rsid w:val="00450C0D"/>
    <w:rsid w:val="00450CE0"/>
    <w:rsid w:val="0045140F"/>
    <w:rsid w:val="0045180A"/>
    <w:rsid w:val="0045190C"/>
    <w:rsid w:val="004523F8"/>
    <w:rsid w:val="00452828"/>
    <w:rsid w:val="00452B35"/>
    <w:rsid w:val="00453502"/>
    <w:rsid w:val="00453B8A"/>
    <w:rsid w:val="00453CD8"/>
    <w:rsid w:val="00453F94"/>
    <w:rsid w:val="00453F9C"/>
    <w:rsid w:val="0045437C"/>
    <w:rsid w:val="00454727"/>
    <w:rsid w:val="0045484F"/>
    <w:rsid w:val="00454980"/>
    <w:rsid w:val="00454C75"/>
    <w:rsid w:val="00455306"/>
    <w:rsid w:val="00455799"/>
    <w:rsid w:val="004557F1"/>
    <w:rsid w:val="00455DE2"/>
    <w:rsid w:val="00456142"/>
    <w:rsid w:val="0045626F"/>
    <w:rsid w:val="004563EF"/>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30"/>
    <w:rsid w:val="00460C74"/>
    <w:rsid w:val="00460CF6"/>
    <w:rsid w:val="00460DD2"/>
    <w:rsid w:val="00460DED"/>
    <w:rsid w:val="00461926"/>
    <w:rsid w:val="00461CC1"/>
    <w:rsid w:val="0046264E"/>
    <w:rsid w:val="004626A3"/>
    <w:rsid w:val="00462DA7"/>
    <w:rsid w:val="00463A1D"/>
    <w:rsid w:val="00463E69"/>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77A"/>
    <w:rsid w:val="004738B8"/>
    <w:rsid w:val="00473DE9"/>
    <w:rsid w:val="00473E4A"/>
    <w:rsid w:val="00473F06"/>
    <w:rsid w:val="004744D1"/>
    <w:rsid w:val="0047530D"/>
    <w:rsid w:val="0047532B"/>
    <w:rsid w:val="00475A86"/>
    <w:rsid w:val="00475A91"/>
    <w:rsid w:val="00475DAA"/>
    <w:rsid w:val="00475E6F"/>
    <w:rsid w:val="00475F77"/>
    <w:rsid w:val="00476232"/>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498"/>
    <w:rsid w:val="00482500"/>
    <w:rsid w:val="00482738"/>
    <w:rsid w:val="0048277A"/>
    <w:rsid w:val="00482C6C"/>
    <w:rsid w:val="00482DA3"/>
    <w:rsid w:val="004830A1"/>
    <w:rsid w:val="004837EC"/>
    <w:rsid w:val="004838B5"/>
    <w:rsid w:val="00483DA0"/>
    <w:rsid w:val="00483E36"/>
    <w:rsid w:val="004848E8"/>
    <w:rsid w:val="00484A10"/>
    <w:rsid w:val="00484C9D"/>
    <w:rsid w:val="00484D96"/>
    <w:rsid w:val="004859B9"/>
    <w:rsid w:val="00485A8B"/>
    <w:rsid w:val="00485C55"/>
    <w:rsid w:val="0048629D"/>
    <w:rsid w:val="00486553"/>
    <w:rsid w:val="0048688D"/>
    <w:rsid w:val="004868E3"/>
    <w:rsid w:val="004869A0"/>
    <w:rsid w:val="0048746C"/>
    <w:rsid w:val="00487582"/>
    <w:rsid w:val="00487788"/>
    <w:rsid w:val="00490068"/>
    <w:rsid w:val="00490080"/>
    <w:rsid w:val="004902EB"/>
    <w:rsid w:val="00490335"/>
    <w:rsid w:val="00490369"/>
    <w:rsid w:val="00490779"/>
    <w:rsid w:val="004909D7"/>
    <w:rsid w:val="004909DF"/>
    <w:rsid w:val="00490CF4"/>
    <w:rsid w:val="00491277"/>
    <w:rsid w:val="00491486"/>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49DE"/>
    <w:rsid w:val="00495278"/>
    <w:rsid w:val="004952FA"/>
    <w:rsid w:val="004961A2"/>
    <w:rsid w:val="00496957"/>
    <w:rsid w:val="00496AD3"/>
    <w:rsid w:val="00497392"/>
    <w:rsid w:val="004973E5"/>
    <w:rsid w:val="004974AE"/>
    <w:rsid w:val="00497F10"/>
    <w:rsid w:val="004A04FA"/>
    <w:rsid w:val="004A0708"/>
    <w:rsid w:val="004A0919"/>
    <w:rsid w:val="004A110D"/>
    <w:rsid w:val="004A172F"/>
    <w:rsid w:val="004A1AEB"/>
    <w:rsid w:val="004A1C0C"/>
    <w:rsid w:val="004A1C61"/>
    <w:rsid w:val="004A25A3"/>
    <w:rsid w:val="004A29E0"/>
    <w:rsid w:val="004A2C76"/>
    <w:rsid w:val="004A2F30"/>
    <w:rsid w:val="004A32D1"/>
    <w:rsid w:val="004A33F7"/>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98C"/>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59D"/>
    <w:rsid w:val="004B468F"/>
    <w:rsid w:val="004B4B03"/>
    <w:rsid w:val="004B4C90"/>
    <w:rsid w:val="004B4F98"/>
    <w:rsid w:val="004B4FE2"/>
    <w:rsid w:val="004B5215"/>
    <w:rsid w:val="004B522A"/>
    <w:rsid w:val="004B560C"/>
    <w:rsid w:val="004B5B15"/>
    <w:rsid w:val="004B6380"/>
    <w:rsid w:val="004B63F3"/>
    <w:rsid w:val="004B642C"/>
    <w:rsid w:val="004B6834"/>
    <w:rsid w:val="004B6BD7"/>
    <w:rsid w:val="004B6D16"/>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7D5"/>
    <w:rsid w:val="004C3A7A"/>
    <w:rsid w:val="004C3B26"/>
    <w:rsid w:val="004C3CB0"/>
    <w:rsid w:val="004C3DAE"/>
    <w:rsid w:val="004C3E18"/>
    <w:rsid w:val="004C4000"/>
    <w:rsid w:val="004C430C"/>
    <w:rsid w:val="004C4BC4"/>
    <w:rsid w:val="004C5450"/>
    <w:rsid w:val="004C5866"/>
    <w:rsid w:val="004C5D0D"/>
    <w:rsid w:val="004C5F3E"/>
    <w:rsid w:val="004C604F"/>
    <w:rsid w:val="004C6521"/>
    <w:rsid w:val="004C6629"/>
    <w:rsid w:val="004C6A57"/>
    <w:rsid w:val="004C6B41"/>
    <w:rsid w:val="004C6D2C"/>
    <w:rsid w:val="004C74EF"/>
    <w:rsid w:val="004C7733"/>
    <w:rsid w:val="004C7C2F"/>
    <w:rsid w:val="004C7C32"/>
    <w:rsid w:val="004D018C"/>
    <w:rsid w:val="004D032D"/>
    <w:rsid w:val="004D044A"/>
    <w:rsid w:val="004D0D22"/>
    <w:rsid w:val="004D0E95"/>
    <w:rsid w:val="004D17C3"/>
    <w:rsid w:val="004D1CED"/>
    <w:rsid w:val="004D1E28"/>
    <w:rsid w:val="004D1F6C"/>
    <w:rsid w:val="004D23E5"/>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37"/>
    <w:rsid w:val="004D5BD2"/>
    <w:rsid w:val="004D5C43"/>
    <w:rsid w:val="004D5D36"/>
    <w:rsid w:val="004D63FE"/>
    <w:rsid w:val="004D6AE1"/>
    <w:rsid w:val="004D7589"/>
    <w:rsid w:val="004D7759"/>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095"/>
    <w:rsid w:val="004E51E2"/>
    <w:rsid w:val="004E562B"/>
    <w:rsid w:val="004E58FB"/>
    <w:rsid w:val="004E596E"/>
    <w:rsid w:val="004E59A2"/>
    <w:rsid w:val="004E6040"/>
    <w:rsid w:val="004E64B6"/>
    <w:rsid w:val="004E65CD"/>
    <w:rsid w:val="004E6867"/>
    <w:rsid w:val="004E6A5A"/>
    <w:rsid w:val="004E6B8B"/>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BC4"/>
    <w:rsid w:val="004F733A"/>
    <w:rsid w:val="004F733E"/>
    <w:rsid w:val="004F751B"/>
    <w:rsid w:val="004F7880"/>
    <w:rsid w:val="004F79E6"/>
    <w:rsid w:val="00500010"/>
    <w:rsid w:val="0050010F"/>
    <w:rsid w:val="00500A95"/>
    <w:rsid w:val="00500F56"/>
    <w:rsid w:val="005013D1"/>
    <w:rsid w:val="00501659"/>
    <w:rsid w:val="0050188E"/>
    <w:rsid w:val="0050192D"/>
    <w:rsid w:val="005021A2"/>
    <w:rsid w:val="00502351"/>
    <w:rsid w:val="00502668"/>
    <w:rsid w:val="005028C7"/>
    <w:rsid w:val="00502C69"/>
    <w:rsid w:val="00502F86"/>
    <w:rsid w:val="00502FFB"/>
    <w:rsid w:val="00503179"/>
    <w:rsid w:val="005031F6"/>
    <w:rsid w:val="00503299"/>
    <w:rsid w:val="005033A1"/>
    <w:rsid w:val="00503BFE"/>
    <w:rsid w:val="00504616"/>
    <w:rsid w:val="00504895"/>
    <w:rsid w:val="005049BB"/>
    <w:rsid w:val="00504DE6"/>
    <w:rsid w:val="00504EB4"/>
    <w:rsid w:val="00504F33"/>
    <w:rsid w:val="00505225"/>
    <w:rsid w:val="00505333"/>
    <w:rsid w:val="00505466"/>
    <w:rsid w:val="0050570D"/>
    <w:rsid w:val="00505963"/>
    <w:rsid w:val="00505A7A"/>
    <w:rsid w:val="00506286"/>
    <w:rsid w:val="00506460"/>
    <w:rsid w:val="00506C23"/>
    <w:rsid w:val="00506DE1"/>
    <w:rsid w:val="00506E49"/>
    <w:rsid w:val="00506FE0"/>
    <w:rsid w:val="00507960"/>
    <w:rsid w:val="00507998"/>
    <w:rsid w:val="00507A48"/>
    <w:rsid w:val="00507A68"/>
    <w:rsid w:val="00507ED3"/>
    <w:rsid w:val="005109B1"/>
    <w:rsid w:val="00510A5B"/>
    <w:rsid w:val="00511495"/>
    <w:rsid w:val="005116AC"/>
    <w:rsid w:val="00511884"/>
    <w:rsid w:val="00511C5D"/>
    <w:rsid w:val="00511E85"/>
    <w:rsid w:val="005121C6"/>
    <w:rsid w:val="00512432"/>
    <w:rsid w:val="00512CBB"/>
    <w:rsid w:val="00512D5E"/>
    <w:rsid w:val="00512E98"/>
    <w:rsid w:val="00512F4F"/>
    <w:rsid w:val="00513014"/>
    <w:rsid w:val="00513180"/>
    <w:rsid w:val="00513691"/>
    <w:rsid w:val="00513E89"/>
    <w:rsid w:val="00514019"/>
    <w:rsid w:val="00514185"/>
    <w:rsid w:val="0051438D"/>
    <w:rsid w:val="005148AA"/>
    <w:rsid w:val="00514A1C"/>
    <w:rsid w:val="00514DD9"/>
    <w:rsid w:val="00514F6B"/>
    <w:rsid w:val="00515502"/>
    <w:rsid w:val="00515510"/>
    <w:rsid w:val="005157D7"/>
    <w:rsid w:val="005158B8"/>
    <w:rsid w:val="00515B16"/>
    <w:rsid w:val="00515B61"/>
    <w:rsid w:val="00515D0C"/>
    <w:rsid w:val="0051666F"/>
    <w:rsid w:val="00516B00"/>
    <w:rsid w:val="00516C44"/>
    <w:rsid w:val="00516CA1"/>
    <w:rsid w:val="00516CB2"/>
    <w:rsid w:val="00516E34"/>
    <w:rsid w:val="00517132"/>
    <w:rsid w:val="0051731E"/>
    <w:rsid w:val="005174EF"/>
    <w:rsid w:val="00517DC9"/>
    <w:rsid w:val="00517F51"/>
    <w:rsid w:val="00520170"/>
    <w:rsid w:val="0052039F"/>
    <w:rsid w:val="00520843"/>
    <w:rsid w:val="0052084C"/>
    <w:rsid w:val="00520FC3"/>
    <w:rsid w:val="005210E2"/>
    <w:rsid w:val="005211DB"/>
    <w:rsid w:val="00521608"/>
    <w:rsid w:val="005219C0"/>
    <w:rsid w:val="00521BB4"/>
    <w:rsid w:val="00521F7F"/>
    <w:rsid w:val="005220D5"/>
    <w:rsid w:val="00522875"/>
    <w:rsid w:val="00523040"/>
    <w:rsid w:val="00523393"/>
    <w:rsid w:val="00523745"/>
    <w:rsid w:val="00523C08"/>
    <w:rsid w:val="0052471C"/>
    <w:rsid w:val="005248BB"/>
    <w:rsid w:val="00524AC4"/>
    <w:rsid w:val="00524AD4"/>
    <w:rsid w:val="00524DF9"/>
    <w:rsid w:val="00524E8E"/>
    <w:rsid w:val="00524F79"/>
    <w:rsid w:val="00525297"/>
    <w:rsid w:val="0052545E"/>
    <w:rsid w:val="0052549C"/>
    <w:rsid w:val="005254A3"/>
    <w:rsid w:val="00525A72"/>
    <w:rsid w:val="00525ADE"/>
    <w:rsid w:val="00525D52"/>
    <w:rsid w:val="00525DA5"/>
    <w:rsid w:val="00525E99"/>
    <w:rsid w:val="005260D5"/>
    <w:rsid w:val="00526987"/>
    <w:rsid w:val="00526AFA"/>
    <w:rsid w:val="00526C91"/>
    <w:rsid w:val="00526F34"/>
    <w:rsid w:val="00526FFC"/>
    <w:rsid w:val="005270A6"/>
    <w:rsid w:val="005271C4"/>
    <w:rsid w:val="00527265"/>
    <w:rsid w:val="005279E2"/>
    <w:rsid w:val="00527BF3"/>
    <w:rsid w:val="00527D1D"/>
    <w:rsid w:val="00530318"/>
    <w:rsid w:val="005303FC"/>
    <w:rsid w:val="005304AC"/>
    <w:rsid w:val="00530573"/>
    <w:rsid w:val="00530590"/>
    <w:rsid w:val="005305FC"/>
    <w:rsid w:val="00530748"/>
    <w:rsid w:val="00531495"/>
    <w:rsid w:val="005315B2"/>
    <w:rsid w:val="00531A9D"/>
    <w:rsid w:val="00531D73"/>
    <w:rsid w:val="00532380"/>
    <w:rsid w:val="00532393"/>
    <w:rsid w:val="005323F7"/>
    <w:rsid w:val="0053257E"/>
    <w:rsid w:val="005327A5"/>
    <w:rsid w:val="00532C7E"/>
    <w:rsid w:val="00532E6B"/>
    <w:rsid w:val="005333D8"/>
    <w:rsid w:val="005334C7"/>
    <w:rsid w:val="0053396E"/>
    <w:rsid w:val="005340AA"/>
    <w:rsid w:val="005347EB"/>
    <w:rsid w:val="0053494D"/>
    <w:rsid w:val="00534A4A"/>
    <w:rsid w:val="00534E6C"/>
    <w:rsid w:val="00535202"/>
    <w:rsid w:val="00535377"/>
    <w:rsid w:val="005357E8"/>
    <w:rsid w:val="00535A4B"/>
    <w:rsid w:val="00535AFE"/>
    <w:rsid w:val="00535D55"/>
    <w:rsid w:val="00535F57"/>
    <w:rsid w:val="00535F84"/>
    <w:rsid w:val="0053647F"/>
    <w:rsid w:val="005364C2"/>
    <w:rsid w:val="00536559"/>
    <w:rsid w:val="0053663F"/>
    <w:rsid w:val="00537009"/>
    <w:rsid w:val="0053717C"/>
    <w:rsid w:val="00537407"/>
    <w:rsid w:val="005379F3"/>
    <w:rsid w:val="00537A64"/>
    <w:rsid w:val="0054014D"/>
    <w:rsid w:val="005408DE"/>
    <w:rsid w:val="00540A32"/>
    <w:rsid w:val="00540ABE"/>
    <w:rsid w:val="00540CF8"/>
    <w:rsid w:val="00541077"/>
    <w:rsid w:val="00541285"/>
    <w:rsid w:val="0054173A"/>
    <w:rsid w:val="00541CC2"/>
    <w:rsid w:val="00541DB8"/>
    <w:rsid w:val="005420D5"/>
    <w:rsid w:val="0054213D"/>
    <w:rsid w:val="00542160"/>
    <w:rsid w:val="005425E9"/>
    <w:rsid w:val="00542D33"/>
    <w:rsid w:val="00543297"/>
    <w:rsid w:val="0054349D"/>
    <w:rsid w:val="00545683"/>
    <w:rsid w:val="00545F4C"/>
    <w:rsid w:val="00546DF3"/>
    <w:rsid w:val="00546EFE"/>
    <w:rsid w:val="00546FA5"/>
    <w:rsid w:val="00546FB7"/>
    <w:rsid w:val="005471B8"/>
    <w:rsid w:val="0054783D"/>
    <w:rsid w:val="0054796E"/>
    <w:rsid w:val="00547A56"/>
    <w:rsid w:val="00547B78"/>
    <w:rsid w:val="00547FEA"/>
    <w:rsid w:val="005503AD"/>
    <w:rsid w:val="00550A50"/>
    <w:rsid w:val="00551309"/>
    <w:rsid w:val="0055187A"/>
    <w:rsid w:val="00552334"/>
    <w:rsid w:val="005523F2"/>
    <w:rsid w:val="00552623"/>
    <w:rsid w:val="00552680"/>
    <w:rsid w:val="00552700"/>
    <w:rsid w:val="0055274D"/>
    <w:rsid w:val="00552A51"/>
    <w:rsid w:val="00552FDC"/>
    <w:rsid w:val="00553181"/>
    <w:rsid w:val="0055334B"/>
    <w:rsid w:val="005534FE"/>
    <w:rsid w:val="00553CD3"/>
    <w:rsid w:val="00553D7F"/>
    <w:rsid w:val="00553EAB"/>
    <w:rsid w:val="00553F76"/>
    <w:rsid w:val="00554103"/>
    <w:rsid w:val="005542C9"/>
    <w:rsid w:val="005543BA"/>
    <w:rsid w:val="00554683"/>
    <w:rsid w:val="00554750"/>
    <w:rsid w:val="00554B9E"/>
    <w:rsid w:val="00554BA3"/>
    <w:rsid w:val="00554C24"/>
    <w:rsid w:val="00555D1A"/>
    <w:rsid w:val="005560F5"/>
    <w:rsid w:val="00556212"/>
    <w:rsid w:val="005563AC"/>
    <w:rsid w:val="00556481"/>
    <w:rsid w:val="005564B0"/>
    <w:rsid w:val="0055678D"/>
    <w:rsid w:val="005569FA"/>
    <w:rsid w:val="00556D17"/>
    <w:rsid w:val="005574C2"/>
    <w:rsid w:val="0055752C"/>
    <w:rsid w:val="00557653"/>
    <w:rsid w:val="00557693"/>
    <w:rsid w:val="00557D2F"/>
    <w:rsid w:val="00557FB9"/>
    <w:rsid w:val="0056027E"/>
    <w:rsid w:val="0056063B"/>
    <w:rsid w:val="0056077C"/>
    <w:rsid w:val="00560A7E"/>
    <w:rsid w:val="00560C4D"/>
    <w:rsid w:val="005613DA"/>
    <w:rsid w:val="00561A34"/>
    <w:rsid w:val="00561E7C"/>
    <w:rsid w:val="00561FCD"/>
    <w:rsid w:val="00562689"/>
    <w:rsid w:val="00562865"/>
    <w:rsid w:val="005633F0"/>
    <w:rsid w:val="00563633"/>
    <w:rsid w:val="00563821"/>
    <w:rsid w:val="005638A0"/>
    <w:rsid w:val="00563D2A"/>
    <w:rsid w:val="00564079"/>
    <w:rsid w:val="00564131"/>
    <w:rsid w:val="00564940"/>
    <w:rsid w:val="00564D91"/>
    <w:rsid w:val="00565874"/>
    <w:rsid w:val="00565F7C"/>
    <w:rsid w:val="0056600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1374"/>
    <w:rsid w:val="005717EA"/>
    <w:rsid w:val="00571850"/>
    <w:rsid w:val="005730EB"/>
    <w:rsid w:val="005732F3"/>
    <w:rsid w:val="0057374A"/>
    <w:rsid w:val="005737DD"/>
    <w:rsid w:val="00573A8D"/>
    <w:rsid w:val="00573B48"/>
    <w:rsid w:val="00573D77"/>
    <w:rsid w:val="00573EA6"/>
    <w:rsid w:val="00574225"/>
    <w:rsid w:val="00574620"/>
    <w:rsid w:val="005752A4"/>
    <w:rsid w:val="00575685"/>
    <w:rsid w:val="005760AC"/>
    <w:rsid w:val="00576516"/>
    <w:rsid w:val="005765FB"/>
    <w:rsid w:val="0057691E"/>
    <w:rsid w:val="00576EBE"/>
    <w:rsid w:val="00577234"/>
    <w:rsid w:val="00577789"/>
    <w:rsid w:val="005778CB"/>
    <w:rsid w:val="00577B6A"/>
    <w:rsid w:val="00577E49"/>
    <w:rsid w:val="00577E5B"/>
    <w:rsid w:val="00577E7F"/>
    <w:rsid w:val="005804A7"/>
    <w:rsid w:val="005806A7"/>
    <w:rsid w:val="00580968"/>
    <w:rsid w:val="00580AAB"/>
    <w:rsid w:val="00581BE2"/>
    <w:rsid w:val="00581E83"/>
    <w:rsid w:val="005822AF"/>
    <w:rsid w:val="00582380"/>
    <w:rsid w:val="00582403"/>
    <w:rsid w:val="005824B1"/>
    <w:rsid w:val="00582BED"/>
    <w:rsid w:val="00582CE8"/>
    <w:rsid w:val="00582DD7"/>
    <w:rsid w:val="00582DFA"/>
    <w:rsid w:val="00583369"/>
    <w:rsid w:val="0058362D"/>
    <w:rsid w:val="0058387D"/>
    <w:rsid w:val="00583E37"/>
    <w:rsid w:val="00584049"/>
    <w:rsid w:val="0058425C"/>
    <w:rsid w:val="00584C30"/>
    <w:rsid w:val="00584CA8"/>
    <w:rsid w:val="00584E42"/>
    <w:rsid w:val="00585190"/>
    <w:rsid w:val="005852F5"/>
    <w:rsid w:val="00585806"/>
    <w:rsid w:val="00585832"/>
    <w:rsid w:val="0058596B"/>
    <w:rsid w:val="00585D68"/>
    <w:rsid w:val="00586132"/>
    <w:rsid w:val="005861DC"/>
    <w:rsid w:val="00586344"/>
    <w:rsid w:val="005868E6"/>
    <w:rsid w:val="005869DA"/>
    <w:rsid w:val="005876A2"/>
    <w:rsid w:val="00587ADE"/>
    <w:rsid w:val="00587DF8"/>
    <w:rsid w:val="00590001"/>
    <w:rsid w:val="005903D8"/>
    <w:rsid w:val="00590E20"/>
    <w:rsid w:val="00591379"/>
    <w:rsid w:val="00591675"/>
    <w:rsid w:val="00591A9D"/>
    <w:rsid w:val="0059279F"/>
    <w:rsid w:val="00592A12"/>
    <w:rsid w:val="00592CD6"/>
    <w:rsid w:val="00592F49"/>
    <w:rsid w:val="005931A3"/>
    <w:rsid w:val="005936F5"/>
    <w:rsid w:val="00593B4C"/>
    <w:rsid w:val="005940C0"/>
    <w:rsid w:val="00594140"/>
    <w:rsid w:val="005941CF"/>
    <w:rsid w:val="005941FA"/>
    <w:rsid w:val="00594469"/>
    <w:rsid w:val="0059451E"/>
    <w:rsid w:val="00594574"/>
    <w:rsid w:val="00594DA0"/>
    <w:rsid w:val="00595C72"/>
    <w:rsid w:val="00595CA7"/>
    <w:rsid w:val="00595E8D"/>
    <w:rsid w:val="00596BF8"/>
    <w:rsid w:val="005972FD"/>
    <w:rsid w:val="00597EF9"/>
    <w:rsid w:val="00597FC8"/>
    <w:rsid w:val="005A03A4"/>
    <w:rsid w:val="005A0641"/>
    <w:rsid w:val="005A0642"/>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B7F"/>
    <w:rsid w:val="005A6C37"/>
    <w:rsid w:val="005A6D3C"/>
    <w:rsid w:val="005A6D7D"/>
    <w:rsid w:val="005A6EA4"/>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BEE"/>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3ED6"/>
    <w:rsid w:val="005C40CA"/>
    <w:rsid w:val="005C413D"/>
    <w:rsid w:val="005C4395"/>
    <w:rsid w:val="005C46D9"/>
    <w:rsid w:val="005C47A5"/>
    <w:rsid w:val="005C47B6"/>
    <w:rsid w:val="005C47BE"/>
    <w:rsid w:val="005C4BBB"/>
    <w:rsid w:val="005C4BF2"/>
    <w:rsid w:val="005C4D13"/>
    <w:rsid w:val="005C51BB"/>
    <w:rsid w:val="005C54E9"/>
    <w:rsid w:val="005C5EDA"/>
    <w:rsid w:val="005C7C8A"/>
    <w:rsid w:val="005C7EF0"/>
    <w:rsid w:val="005D01FD"/>
    <w:rsid w:val="005D05B8"/>
    <w:rsid w:val="005D0617"/>
    <w:rsid w:val="005D0691"/>
    <w:rsid w:val="005D097C"/>
    <w:rsid w:val="005D10FA"/>
    <w:rsid w:val="005D11BE"/>
    <w:rsid w:val="005D1597"/>
    <w:rsid w:val="005D19E0"/>
    <w:rsid w:val="005D1FBA"/>
    <w:rsid w:val="005D2011"/>
    <w:rsid w:val="005D20A7"/>
    <w:rsid w:val="005D272E"/>
    <w:rsid w:val="005D2E3B"/>
    <w:rsid w:val="005D2E90"/>
    <w:rsid w:val="005D3AE3"/>
    <w:rsid w:val="005D3BFD"/>
    <w:rsid w:val="005D3D2B"/>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B43"/>
    <w:rsid w:val="005E2F61"/>
    <w:rsid w:val="005E344B"/>
    <w:rsid w:val="005E377B"/>
    <w:rsid w:val="005E3F3C"/>
    <w:rsid w:val="005E3F85"/>
    <w:rsid w:val="005E479A"/>
    <w:rsid w:val="005E47BA"/>
    <w:rsid w:val="005E49F9"/>
    <w:rsid w:val="005E4B4C"/>
    <w:rsid w:val="005E4D3C"/>
    <w:rsid w:val="005E4DFC"/>
    <w:rsid w:val="005E4ECE"/>
    <w:rsid w:val="005E4F0B"/>
    <w:rsid w:val="005E55B8"/>
    <w:rsid w:val="005E560B"/>
    <w:rsid w:val="005E59B3"/>
    <w:rsid w:val="005E5EC6"/>
    <w:rsid w:val="005E6373"/>
    <w:rsid w:val="005E6734"/>
    <w:rsid w:val="005E689A"/>
    <w:rsid w:val="005E6E94"/>
    <w:rsid w:val="005E7374"/>
    <w:rsid w:val="005E76AF"/>
    <w:rsid w:val="005E78D0"/>
    <w:rsid w:val="005E7DC7"/>
    <w:rsid w:val="005F045B"/>
    <w:rsid w:val="005F0478"/>
    <w:rsid w:val="005F04CC"/>
    <w:rsid w:val="005F087F"/>
    <w:rsid w:val="005F08D9"/>
    <w:rsid w:val="005F0974"/>
    <w:rsid w:val="005F0FF8"/>
    <w:rsid w:val="005F1A5E"/>
    <w:rsid w:val="005F21A4"/>
    <w:rsid w:val="005F224B"/>
    <w:rsid w:val="005F24D0"/>
    <w:rsid w:val="005F2968"/>
    <w:rsid w:val="005F29B1"/>
    <w:rsid w:val="005F2FB7"/>
    <w:rsid w:val="005F3005"/>
    <w:rsid w:val="005F319E"/>
    <w:rsid w:val="005F3830"/>
    <w:rsid w:val="005F395C"/>
    <w:rsid w:val="005F3C99"/>
    <w:rsid w:val="005F417B"/>
    <w:rsid w:val="005F41D2"/>
    <w:rsid w:val="005F4449"/>
    <w:rsid w:val="005F492B"/>
    <w:rsid w:val="005F4D1E"/>
    <w:rsid w:val="005F4EC8"/>
    <w:rsid w:val="005F51D5"/>
    <w:rsid w:val="005F5352"/>
    <w:rsid w:val="005F5A06"/>
    <w:rsid w:val="005F5EC4"/>
    <w:rsid w:val="005F5ED9"/>
    <w:rsid w:val="005F6039"/>
    <w:rsid w:val="005F63E2"/>
    <w:rsid w:val="005F65B1"/>
    <w:rsid w:val="005F68AD"/>
    <w:rsid w:val="005F69EA"/>
    <w:rsid w:val="005F6B40"/>
    <w:rsid w:val="005F6C50"/>
    <w:rsid w:val="005F739F"/>
    <w:rsid w:val="005F745C"/>
    <w:rsid w:val="005F775F"/>
    <w:rsid w:val="005F7916"/>
    <w:rsid w:val="005F7B82"/>
    <w:rsid w:val="006000DE"/>
    <w:rsid w:val="0060074C"/>
    <w:rsid w:val="00600840"/>
    <w:rsid w:val="0060093C"/>
    <w:rsid w:val="00600BFB"/>
    <w:rsid w:val="00600E2C"/>
    <w:rsid w:val="0060103C"/>
    <w:rsid w:val="00601271"/>
    <w:rsid w:val="00601277"/>
    <w:rsid w:val="00601EB7"/>
    <w:rsid w:val="00601F52"/>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969"/>
    <w:rsid w:val="00604A51"/>
    <w:rsid w:val="006050A6"/>
    <w:rsid w:val="0060534B"/>
    <w:rsid w:val="0060548D"/>
    <w:rsid w:val="0060561C"/>
    <w:rsid w:val="0060567F"/>
    <w:rsid w:val="00605858"/>
    <w:rsid w:val="00605C8C"/>
    <w:rsid w:val="006064DB"/>
    <w:rsid w:val="006065E3"/>
    <w:rsid w:val="006066F3"/>
    <w:rsid w:val="00606CDD"/>
    <w:rsid w:val="00606D0B"/>
    <w:rsid w:val="00606E8D"/>
    <w:rsid w:val="0060751D"/>
    <w:rsid w:val="00607658"/>
    <w:rsid w:val="00607771"/>
    <w:rsid w:val="00607A12"/>
    <w:rsid w:val="00607B81"/>
    <w:rsid w:val="00610498"/>
    <w:rsid w:val="00610556"/>
    <w:rsid w:val="006106A6"/>
    <w:rsid w:val="0061118E"/>
    <w:rsid w:val="006115C2"/>
    <w:rsid w:val="0061176F"/>
    <w:rsid w:val="0061185F"/>
    <w:rsid w:val="00611B29"/>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592"/>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21D"/>
    <w:rsid w:val="00623469"/>
    <w:rsid w:val="0062348B"/>
    <w:rsid w:val="006235D5"/>
    <w:rsid w:val="00623657"/>
    <w:rsid w:val="00623BB1"/>
    <w:rsid w:val="00623E1C"/>
    <w:rsid w:val="00623FF0"/>
    <w:rsid w:val="006248F3"/>
    <w:rsid w:val="0062495D"/>
    <w:rsid w:val="00624F68"/>
    <w:rsid w:val="0062518A"/>
    <w:rsid w:val="00625289"/>
    <w:rsid w:val="0062544B"/>
    <w:rsid w:val="006255B1"/>
    <w:rsid w:val="0062568D"/>
    <w:rsid w:val="00625D78"/>
    <w:rsid w:val="0062626F"/>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2F49"/>
    <w:rsid w:val="00633139"/>
    <w:rsid w:val="0063317C"/>
    <w:rsid w:val="0063321F"/>
    <w:rsid w:val="0063348E"/>
    <w:rsid w:val="006338D1"/>
    <w:rsid w:val="00633A70"/>
    <w:rsid w:val="00633A93"/>
    <w:rsid w:val="00633BDD"/>
    <w:rsid w:val="0063414E"/>
    <w:rsid w:val="00634758"/>
    <w:rsid w:val="006349A8"/>
    <w:rsid w:val="006352C0"/>
    <w:rsid w:val="00635B70"/>
    <w:rsid w:val="00635C9F"/>
    <w:rsid w:val="00635FD1"/>
    <w:rsid w:val="0063617A"/>
    <w:rsid w:val="00636216"/>
    <w:rsid w:val="006366F3"/>
    <w:rsid w:val="00636B32"/>
    <w:rsid w:val="00636B96"/>
    <w:rsid w:val="00637109"/>
    <w:rsid w:val="006378A5"/>
    <w:rsid w:val="00637B2C"/>
    <w:rsid w:val="0064015F"/>
    <w:rsid w:val="006402EE"/>
    <w:rsid w:val="00640381"/>
    <w:rsid w:val="0064065F"/>
    <w:rsid w:val="006408E2"/>
    <w:rsid w:val="006409D2"/>
    <w:rsid w:val="00640D2F"/>
    <w:rsid w:val="00641238"/>
    <w:rsid w:val="0064166B"/>
    <w:rsid w:val="00641A5C"/>
    <w:rsid w:val="0064235C"/>
    <w:rsid w:val="006428EC"/>
    <w:rsid w:val="0064299A"/>
    <w:rsid w:val="00642DDD"/>
    <w:rsid w:val="00642EE8"/>
    <w:rsid w:val="00642FE5"/>
    <w:rsid w:val="00643105"/>
    <w:rsid w:val="0064310F"/>
    <w:rsid w:val="006435A0"/>
    <w:rsid w:val="006439D6"/>
    <w:rsid w:val="00643F62"/>
    <w:rsid w:val="00644659"/>
    <w:rsid w:val="00644B9F"/>
    <w:rsid w:val="00644D5A"/>
    <w:rsid w:val="00644E71"/>
    <w:rsid w:val="006453C2"/>
    <w:rsid w:val="0064562C"/>
    <w:rsid w:val="00645976"/>
    <w:rsid w:val="0064616B"/>
    <w:rsid w:val="00646604"/>
    <w:rsid w:val="006467B4"/>
    <w:rsid w:val="006467DF"/>
    <w:rsid w:val="00646A20"/>
    <w:rsid w:val="00646A6D"/>
    <w:rsid w:val="00646B23"/>
    <w:rsid w:val="00646EFB"/>
    <w:rsid w:val="00647213"/>
    <w:rsid w:val="00647839"/>
    <w:rsid w:val="00647F42"/>
    <w:rsid w:val="00647F66"/>
    <w:rsid w:val="00651771"/>
    <w:rsid w:val="00651857"/>
    <w:rsid w:val="00651933"/>
    <w:rsid w:val="00651A3A"/>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4DAC"/>
    <w:rsid w:val="00655601"/>
    <w:rsid w:val="00655C6A"/>
    <w:rsid w:val="00655CE1"/>
    <w:rsid w:val="0065615B"/>
    <w:rsid w:val="0065683B"/>
    <w:rsid w:val="0065692B"/>
    <w:rsid w:val="00656C5F"/>
    <w:rsid w:val="00656E2A"/>
    <w:rsid w:val="00656F94"/>
    <w:rsid w:val="006572A0"/>
    <w:rsid w:val="00657307"/>
    <w:rsid w:val="00657736"/>
    <w:rsid w:val="00657737"/>
    <w:rsid w:val="00657CCF"/>
    <w:rsid w:val="00660079"/>
    <w:rsid w:val="0066021E"/>
    <w:rsid w:val="0066027E"/>
    <w:rsid w:val="0066060A"/>
    <w:rsid w:val="00660813"/>
    <w:rsid w:val="0066120B"/>
    <w:rsid w:val="006613D4"/>
    <w:rsid w:val="0066144B"/>
    <w:rsid w:val="0066195C"/>
    <w:rsid w:val="006621DE"/>
    <w:rsid w:val="00662541"/>
    <w:rsid w:val="00662D42"/>
    <w:rsid w:val="00662EFC"/>
    <w:rsid w:val="00662F34"/>
    <w:rsid w:val="006632C9"/>
    <w:rsid w:val="0066343B"/>
    <w:rsid w:val="006634D8"/>
    <w:rsid w:val="00663563"/>
    <w:rsid w:val="00663B8D"/>
    <w:rsid w:val="00663C99"/>
    <w:rsid w:val="00664546"/>
    <w:rsid w:val="0066482B"/>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C66"/>
    <w:rsid w:val="00666E12"/>
    <w:rsid w:val="00666F14"/>
    <w:rsid w:val="00666FC5"/>
    <w:rsid w:val="006673DE"/>
    <w:rsid w:val="00667A10"/>
    <w:rsid w:val="00667F16"/>
    <w:rsid w:val="0067031F"/>
    <w:rsid w:val="006705CA"/>
    <w:rsid w:val="0067065F"/>
    <w:rsid w:val="00670774"/>
    <w:rsid w:val="006707F5"/>
    <w:rsid w:val="006709DE"/>
    <w:rsid w:val="00670C8A"/>
    <w:rsid w:val="00671054"/>
    <w:rsid w:val="006713DC"/>
    <w:rsid w:val="006715A6"/>
    <w:rsid w:val="00671941"/>
    <w:rsid w:val="00671A45"/>
    <w:rsid w:val="00671C7F"/>
    <w:rsid w:val="00671E75"/>
    <w:rsid w:val="0067209A"/>
    <w:rsid w:val="0067242C"/>
    <w:rsid w:val="006724AE"/>
    <w:rsid w:val="0067257F"/>
    <w:rsid w:val="00672CA7"/>
    <w:rsid w:val="00673D2D"/>
    <w:rsid w:val="0067442E"/>
    <w:rsid w:val="00674A55"/>
    <w:rsid w:val="00674BCB"/>
    <w:rsid w:val="00674DE7"/>
    <w:rsid w:val="00675110"/>
    <w:rsid w:val="006751E1"/>
    <w:rsid w:val="0067547B"/>
    <w:rsid w:val="00675876"/>
    <w:rsid w:val="00675AB6"/>
    <w:rsid w:val="00676350"/>
    <w:rsid w:val="00676455"/>
    <w:rsid w:val="00676857"/>
    <w:rsid w:val="006768AE"/>
    <w:rsid w:val="0067770F"/>
    <w:rsid w:val="0068048E"/>
    <w:rsid w:val="00680A7D"/>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7E9"/>
    <w:rsid w:val="00685F10"/>
    <w:rsid w:val="006861CD"/>
    <w:rsid w:val="00686AAA"/>
    <w:rsid w:val="00687AAA"/>
    <w:rsid w:val="00687B08"/>
    <w:rsid w:val="00687B6F"/>
    <w:rsid w:val="00687CCE"/>
    <w:rsid w:val="00687E52"/>
    <w:rsid w:val="00690451"/>
    <w:rsid w:val="00690628"/>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2B9"/>
    <w:rsid w:val="006A0835"/>
    <w:rsid w:val="006A0B86"/>
    <w:rsid w:val="006A0D68"/>
    <w:rsid w:val="006A0FB3"/>
    <w:rsid w:val="006A129B"/>
    <w:rsid w:val="006A17DB"/>
    <w:rsid w:val="006A2BC0"/>
    <w:rsid w:val="006A2C46"/>
    <w:rsid w:val="006A3073"/>
    <w:rsid w:val="006A4343"/>
    <w:rsid w:val="006A44D7"/>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A15"/>
    <w:rsid w:val="006B0DEF"/>
    <w:rsid w:val="006B11BE"/>
    <w:rsid w:val="006B145E"/>
    <w:rsid w:val="006B174A"/>
    <w:rsid w:val="006B1BAB"/>
    <w:rsid w:val="006B1E37"/>
    <w:rsid w:val="006B1E76"/>
    <w:rsid w:val="006B1F6A"/>
    <w:rsid w:val="006B2920"/>
    <w:rsid w:val="006B2C67"/>
    <w:rsid w:val="006B3551"/>
    <w:rsid w:val="006B3AE4"/>
    <w:rsid w:val="006B40EA"/>
    <w:rsid w:val="006B41B8"/>
    <w:rsid w:val="006B4544"/>
    <w:rsid w:val="006B4ACD"/>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19D"/>
    <w:rsid w:val="006C0441"/>
    <w:rsid w:val="006C070C"/>
    <w:rsid w:val="006C072A"/>
    <w:rsid w:val="006C0B58"/>
    <w:rsid w:val="006C0E2A"/>
    <w:rsid w:val="006C12CB"/>
    <w:rsid w:val="006C1535"/>
    <w:rsid w:val="006C19DD"/>
    <w:rsid w:val="006C1C96"/>
    <w:rsid w:val="006C1ED5"/>
    <w:rsid w:val="006C2050"/>
    <w:rsid w:val="006C22C8"/>
    <w:rsid w:val="006C2697"/>
    <w:rsid w:val="006C2873"/>
    <w:rsid w:val="006C28BE"/>
    <w:rsid w:val="006C2ACF"/>
    <w:rsid w:val="006C2BC5"/>
    <w:rsid w:val="006C31D5"/>
    <w:rsid w:val="006C3654"/>
    <w:rsid w:val="006C3F66"/>
    <w:rsid w:val="006C3F85"/>
    <w:rsid w:val="006C40BC"/>
    <w:rsid w:val="006C4985"/>
    <w:rsid w:val="006C50F9"/>
    <w:rsid w:val="006C55F3"/>
    <w:rsid w:val="006C560F"/>
    <w:rsid w:val="006C6329"/>
    <w:rsid w:val="006C64FC"/>
    <w:rsid w:val="006C68BD"/>
    <w:rsid w:val="006C6BCF"/>
    <w:rsid w:val="006C7BA2"/>
    <w:rsid w:val="006D030C"/>
    <w:rsid w:val="006D07DD"/>
    <w:rsid w:val="006D0839"/>
    <w:rsid w:val="006D099F"/>
    <w:rsid w:val="006D106C"/>
    <w:rsid w:val="006D124D"/>
    <w:rsid w:val="006D16A3"/>
    <w:rsid w:val="006D175A"/>
    <w:rsid w:val="006D1C74"/>
    <w:rsid w:val="006D1F1D"/>
    <w:rsid w:val="006D215B"/>
    <w:rsid w:val="006D2682"/>
    <w:rsid w:val="006D2A3E"/>
    <w:rsid w:val="006D2AE0"/>
    <w:rsid w:val="006D2D39"/>
    <w:rsid w:val="006D2E38"/>
    <w:rsid w:val="006D2F7E"/>
    <w:rsid w:val="006D35D3"/>
    <w:rsid w:val="006D38FC"/>
    <w:rsid w:val="006D393C"/>
    <w:rsid w:val="006D399D"/>
    <w:rsid w:val="006D39B0"/>
    <w:rsid w:val="006D3DF7"/>
    <w:rsid w:val="006D4167"/>
    <w:rsid w:val="006D42CC"/>
    <w:rsid w:val="006D467B"/>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9E9"/>
    <w:rsid w:val="006D7A4C"/>
    <w:rsid w:val="006E03A8"/>
    <w:rsid w:val="006E091D"/>
    <w:rsid w:val="006E0B17"/>
    <w:rsid w:val="006E0C3E"/>
    <w:rsid w:val="006E0FC3"/>
    <w:rsid w:val="006E104F"/>
    <w:rsid w:val="006E15EB"/>
    <w:rsid w:val="006E199B"/>
    <w:rsid w:val="006E1AC6"/>
    <w:rsid w:val="006E1B68"/>
    <w:rsid w:val="006E20D9"/>
    <w:rsid w:val="006E236C"/>
    <w:rsid w:val="006E27EB"/>
    <w:rsid w:val="006E28CE"/>
    <w:rsid w:val="006E3076"/>
    <w:rsid w:val="006E3289"/>
    <w:rsid w:val="006E32F7"/>
    <w:rsid w:val="006E458C"/>
    <w:rsid w:val="006E4BE4"/>
    <w:rsid w:val="006E4BFD"/>
    <w:rsid w:val="006E589D"/>
    <w:rsid w:val="006E5A8E"/>
    <w:rsid w:val="006E5C01"/>
    <w:rsid w:val="006E5C87"/>
    <w:rsid w:val="006E7704"/>
    <w:rsid w:val="006E7BAF"/>
    <w:rsid w:val="006E7BC8"/>
    <w:rsid w:val="006F0200"/>
    <w:rsid w:val="006F0473"/>
    <w:rsid w:val="006F0843"/>
    <w:rsid w:val="006F09D3"/>
    <w:rsid w:val="006F0DCC"/>
    <w:rsid w:val="006F0E03"/>
    <w:rsid w:val="006F1293"/>
    <w:rsid w:val="006F1611"/>
    <w:rsid w:val="006F16B5"/>
    <w:rsid w:val="006F170F"/>
    <w:rsid w:val="006F1AE4"/>
    <w:rsid w:val="006F22B6"/>
    <w:rsid w:val="006F22CA"/>
    <w:rsid w:val="006F230A"/>
    <w:rsid w:val="006F2861"/>
    <w:rsid w:val="006F2F16"/>
    <w:rsid w:val="006F3450"/>
    <w:rsid w:val="006F387B"/>
    <w:rsid w:val="006F38C2"/>
    <w:rsid w:val="006F3A0C"/>
    <w:rsid w:val="006F3A2F"/>
    <w:rsid w:val="006F3EC4"/>
    <w:rsid w:val="006F41DC"/>
    <w:rsid w:val="006F429C"/>
    <w:rsid w:val="006F44BB"/>
    <w:rsid w:val="006F496C"/>
    <w:rsid w:val="006F4BB7"/>
    <w:rsid w:val="006F4D17"/>
    <w:rsid w:val="006F4E1B"/>
    <w:rsid w:val="006F55FE"/>
    <w:rsid w:val="006F5653"/>
    <w:rsid w:val="006F58E0"/>
    <w:rsid w:val="006F5D24"/>
    <w:rsid w:val="006F5F52"/>
    <w:rsid w:val="006F669F"/>
    <w:rsid w:val="006F6C33"/>
    <w:rsid w:val="006F6DCE"/>
    <w:rsid w:val="006F6F9D"/>
    <w:rsid w:val="006F72E2"/>
    <w:rsid w:val="006F7359"/>
    <w:rsid w:val="006F7931"/>
    <w:rsid w:val="006F7DCE"/>
    <w:rsid w:val="00700155"/>
    <w:rsid w:val="007001F0"/>
    <w:rsid w:val="0070046E"/>
    <w:rsid w:val="00700AFF"/>
    <w:rsid w:val="00700B06"/>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1C86"/>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17FE5"/>
    <w:rsid w:val="00720844"/>
    <w:rsid w:val="00720D50"/>
    <w:rsid w:val="00721154"/>
    <w:rsid w:val="00721BA4"/>
    <w:rsid w:val="00722034"/>
    <w:rsid w:val="0072231E"/>
    <w:rsid w:val="00722826"/>
    <w:rsid w:val="00722E0A"/>
    <w:rsid w:val="00722E90"/>
    <w:rsid w:val="00722ED1"/>
    <w:rsid w:val="00723207"/>
    <w:rsid w:val="00723438"/>
    <w:rsid w:val="0072346F"/>
    <w:rsid w:val="0072355C"/>
    <w:rsid w:val="00723756"/>
    <w:rsid w:val="00723871"/>
    <w:rsid w:val="0072388F"/>
    <w:rsid w:val="00723979"/>
    <w:rsid w:val="00723B70"/>
    <w:rsid w:val="00723B88"/>
    <w:rsid w:val="00723F15"/>
    <w:rsid w:val="007248A0"/>
    <w:rsid w:val="00724D95"/>
    <w:rsid w:val="007250FE"/>
    <w:rsid w:val="00725131"/>
    <w:rsid w:val="00725197"/>
    <w:rsid w:val="0072521E"/>
    <w:rsid w:val="00725417"/>
    <w:rsid w:val="00725D42"/>
    <w:rsid w:val="00725E7F"/>
    <w:rsid w:val="007264A1"/>
    <w:rsid w:val="007265E5"/>
    <w:rsid w:val="00726645"/>
    <w:rsid w:val="007269FB"/>
    <w:rsid w:val="00726B30"/>
    <w:rsid w:val="00726FD0"/>
    <w:rsid w:val="00726FFA"/>
    <w:rsid w:val="007271D7"/>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7EB"/>
    <w:rsid w:val="00733838"/>
    <w:rsid w:val="00733916"/>
    <w:rsid w:val="00733A82"/>
    <w:rsid w:val="00733AA4"/>
    <w:rsid w:val="00733EA9"/>
    <w:rsid w:val="0073441E"/>
    <w:rsid w:val="00734583"/>
    <w:rsid w:val="00734695"/>
    <w:rsid w:val="0073524B"/>
    <w:rsid w:val="00735315"/>
    <w:rsid w:val="007354CE"/>
    <w:rsid w:val="007359D1"/>
    <w:rsid w:val="00735A94"/>
    <w:rsid w:val="00735FCF"/>
    <w:rsid w:val="007360C8"/>
    <w:rsid w:val="0073636E"/>
    <w:rsid w:val="00736F5B"/>
    <w:rsid w:val="00736F74"/>
    <w:rsid w:val="007377F3"/>
    <w:rsid w:val="00740253"/>
    <w:rsid w:val="00740705"/>
    <w:rsid w:val="007407A3"/>
    <w:rsid w:val="00740801"/>
    <w:rsid w:val="007408A9"/>
    <w:rsid w:val="00740979"/>
    <w:rsid w:val="00740BD4"/>
    <w:rsid w:val="00740EB4"/>
    <w:rsid w:val="007413D1"/>
    <w:rsid w:val="00741497"/>
    <w:rsid w:val="0074149E"/>
    <w:rsid w:val="00741C7E"/>
    <w:rsid w:val="00741CA2"/>
    <w:rsid w:val="00741DBF"/>
    <w:rsid w:val="00741EEA"/>
    <w:rsid w:val="00741FCD"/>
    <w:rsid w:val="007420C7"/>
    <w:rsid w:val="0074250B"/>
    <w:rsid w:val="00742600"/>
    <w:rsid w:val="0074266A"/>
    <w:rsid w:val="00742E40"/>
    <w:rsid w:val="00742F94"/>
    <w:rsid w:val="0074318C"/>
    <w:rsid w:val="00743275"/>
    <w:rsid w:val="007433CD"/>
    <w:rsid w:val="007437D5"/>
    <w:rsid w:val="00743C0B"/>
    <w:rsid w:val="00744017"/>
    <w:rsid w:val="00744082"/>
    <w:rsid w:val="00744186"/>
    <w:rsid w:val="007445B8"/>
    <w:rsid w:val="00744B9A"/>
    <w:rsid w:val="00744C67"/>
    <w:rsid w:val="00745590"/>
    <w:rsid w:val="00745D28"/>
    <w:rsid w:val="00746118"/>
    <w:rsid w:val="00746488"/>
    <w:rsid w:val="007464CF"/>
    <w:rsid w:val="0074712E"/>
    <w:rsid w:val="007502D0"/>
    <w:rsid w:val="00750878"/>
    <w:rsid w:val="00750A3C"/>
    <w:rsid w:val="00750ACE"/>
    <w:rsid w:val="00750E89"/>
    <w:rsid w:val="00751677"/>
    <w:rsid w:val="0075176C"/>
    <w:rsid w:val="00751985"/>
    <w:rsid w:val="00752041"/>
    <w:rsid w:val="007520C0"/>
    <w:rsid w:val="007523C1"/>
    <w:rsid w:val="0075243C"/>
    <w:rsid w:val="0075254C"/>
    <w:rsid w:val="00752BBE"/>
    <w:rsid w:val="007535E3"/>
    <w:rsid w:val="00753646"/>
    <w:rsid w:val="007538DD"/>
    <w:rsid w:val="0075394B"/>
    <w:rsid w:val="00753B94"/>
    <w:rsid w:val="00753C35"/>
    <w:rsid w:val="00753DF7"/>
    <w:rsid w:val="007541EB"/>
    <w:rsid w:val="0075430F"/>
    <w:rsid w:val="007545C4"/>
    <w:rsid w:val="00754838"/>
    <w:rsid w:val="00754FF0"/>
    <w:rsid w:val="007556DA"/>
    <w:rsid w:val="00755AF5"/>
    <w:rsid w:val="00755E44"/>
    <w:rsid w:val="00755FF8"/>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4ADF"/>
    <w:rsid w:val="00765655"/>
    <w:rsid w:val="007656D7"/>
    <w:rsid w:val="00765707"/>
    <w:rsid w:val="00765F28"/>
    <w:rsid w:val="007673B3"/>
    <w:rsid w:val="007675D2"/>
    <w:rsid w:val="007676DA"/>
    <w:rsid w:val="007676DF"/>
    <w:rsid w:val="007678BE"/>
    <w:rsid w:val="00767EAE"/>
    <w:rsid w:val="00767F6B"/>
    <w:rsid w:val="00767F82"/>
    <w:rsid w:val="007704E6"/>
    <w:rsid w:val="00770639"/>
    <w:rsid w:val="00770748"/>
    <w:rsid w:val="00770888"/>
    <w:rsid w:val="0077145F"/>
    <w:rsid w:val="007716CD"/>
    <w:rsid w:val="00771C1D"/>
    <w:rsid w:val="00771E8B"/>
    <w:rsid w:val="00771F46"/>
    <w:rsid w:val="0077201D"/>
    <w:rsid w:val="0077294E"/>
    <w:rsid w:val="007733A9"/>
    <w:rsid w:val="00773454"/>
    <w:rsid w:val="00773772"/>
    <w:rsid w:val="00773CEE"/>
    <w:rsid w:val="00774349"/>
    <w:rsid w:val="00774519"/>
    <w:rsid w:val="00774E30"/>
    <w:rsid w:val="00774F9F"/>
    <w:rsid w:val="00775103"/>
    <w:rsid w:val="0077560B"/>
    <w:rsid w:val="00775777"/>
    <w:rsid w:val="007759A6"/>
    <w:rsid w:val="00775F31"/>
    <w:rsid w:val="0077606A"/>
    <w:rsid w:val="00776399"/>
    <w:rsid w:val="00776753"/>
    <w:rsid w:val="00776BE0"/>
    <w:rsid w:val="00776C6B"/>
    <w:rsid w:val="00776D5A"/>
    <w:rsid w:val="0077718F"/>
    <w:rsid w:val="00777482"/>
    <w:rsid w:val="007778B6"/>
    <w:rsid w:val="00777A20"/>
    <w:rsid w:val="00777AEE"/>
    <w:rsid w:val="00777CD4"/>
    <w:rsid w:val="00777EC0"/>
    <w:rsid w:val="00780239"/>
    <w:rsid w:val="0078091A"/>
    <w:rsid w:val="00780E21"/>
    <w:rsid w:val="00781024"/>
    <w:rsid w:val="007813CE"/>
    <w:rsid w:val="007816EF"/>
    <w:rsid w:val="00781D7E"/>
    <w:rsid w:val="00781F08"/>
    <w:rsid w:val="00781FF3"/>
    <w:rsid w:val="00782451"/>
    <w:rsid w:val="00782728"/>
    <w:rsid w:val="00782AFB"/>
    <w:rsid w:val="00782D53"/>
    <w:rsid w:val="00783125"/>
    <w:rsid w:val="0078358A"/>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64"/>
    <w:rsid w:val="00786ED1"/>
    <w:rsid w:val="007872E5"/>
    <w:rsid w:val="007879EE"/>
    <w:rsid w:val="00787BAE"/>
    <w:rsid w:val="00787DE3"/>
    <w:rsid w:val="00787EE4"/>
    <w:rsid w:val="0079016D"/>
    <w:rsid w:val="00790324"/>
    <w:rsid w:val="00790DF0"/>
    <w:rsid w:val="007910DC"/>
    <w:rsid w:val="007912F7"/>
    <w:rsid w:val="00791307"/>
    <w:rsid w:val="00791514"/>
    <w:rsid w:val="00791BFA"/>
    <w:rsid w:val="00792676"/>
    <w:rsid w:val="00792855"/>
    <w:rsid w:val="00792A52"/>
    <w:rsid w:val="00792C39"/>
    <w:rsid w:val="00792C4A"/>
    <w:rsid w:val="00792DAF"/>
    <w:rsid w:val="00793629"/>
    <w:rsid w:val="007937F3"/>
    <w:rsid w:val="0079386D"/>
    <w:rsid w:val="00793A32"/>
    <w:rsid w:val="00793CDA"/>
    <w:rsid w:val="00793E6A"/>
    <w:rsid w:val="0079443A"/>
    <w:rsid w:val="0079467C"/>
    <w:rsid w:val="00794862"/>
    <w:rsid w:val="0079488C"/>
    <w:rsid w:val="00794A9A"/>
    <w:rsid w:val="00794B2C"/>
    <w:rsid w:val="00794DAB"/>
    <w:rsid w:val="007951F2"/>
    <w:rsid w:val="007952F1"/>
    <w:rsid w:val="00795DDE"/>
    <w:rsid w:val="00795E1B"/>
    <w:rsid w:val="007965A0"/>
    <w:rsid w:val="00796658"/>
    <w:rsid w:val="007966A9"/>
    <w:rsid w:val="00796BD8"/>
    <w:rsid w:val="00796F96"/>
    <w:rsid w:val="0079781C"/>
    <w:rsid w:val="007979F5"/>
    <w:rsid w:val="007A013E"/>
    <w:rsid w:val="007A026C"/>
    <w:rsid w:val="007A05DD"/>
    <w:rsid w:val="007A06B0"/>
    <w:rsid w:val="007A0A19"/>
    <w:rsid w:val="007A1273"/>
    <w:rsid w:val="007A12D6"/>
    <w:rsid w:val="007A1D5C"/>
    <w:rsid w:val="007A1DCA"/>
    <w:rsid w:val="007A23A9"/>
    <w:rsid w:val="007A254E"/>
    <w:rsid w:val="007A274B"/>
    <w:rsid w:val="007A2A3D"/>
    <w:rsid w:val="007A2BC9"/>
    <w:rsid w:val="007A2E27"/>
    <w:rsid w:val="007A3701"/>
    <w:rsid w:val="007A3AC7"/>
    <w:rsid w:val="007A3B9A"/>
    <w:rsid w:val="007A4A10"/>
    <w:rsid w:val="007A4ABE"/>
    <w:rsid w:val="007A4DD5"/>
    <w:rsid w:val="007A5017"/>
    <w:rsid w:val="007A5743"/>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9F9"/>
    <w:rsid w:val="007B0B9C"/>
    <w:rsid w:val="007B0C30"/>
    <w:rsid w:val="007B118A"/>
    <w:rsid w:val="007B12A6"/>
    <w:rsid w:val="007B1432"/>
    <w:rsid w:val="007B17DF"/>
    <w:rsid w:val="007B18E3"/>
    <w:rsid w:val="007B1B2F"/>
    <w:rsid w:val="007B1CFA"/>
    <w:rsid w:val="007B212F"/>
    <w:rsid w:val="007B313E"/>
    <w:rsid w:val="007B32A8"/>
    <w:rsid w:val="007B3415"/>
    <w:rsid w:val="007B3BA6"/>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C8D"/>
    <w:rsid w:val="007B6D55"/>
    <w:rsid w:val="007B70B8"/>
    <w:rsid w:val="007B7744"/>
    <w:rsid w:val="007B7779"/>
    <w:rsid w:val="007B781D"/>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51D"/>
    <w:rsid w:val="007C45A9"/>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2CC"/>
    <w:rsid w:val="007D0446"/>
    <w:rsid w:val="007D0732"/>
    <w:rsid w:val="007D0838"/>
    <w:rsid w:val="007D09C6"/>
    <w:rsid w:val="007D0D4F"/>
    <w:rsid w:val="007D10C1"/>
    <w:rsid w:val="007D149A"/>
    <w:rsid w:val="007D199C"/>
    <w:rsid w:val="007D1C4B"/>
    <w:rsid w:val="007D1C9B"/>
    <w:rsid w:val="007D1CBF"/>
    <w:rsid w:val="007D1E98"/>
    <w:rsid w:val="007D1EFF"/>
    <w:rsid w:val="007D22A1"/>
    <w:rsid w:val="007D22FB"/>
    <w:rsid w:val="007D269F"/>
    <w:rsid w:val="007D2B54"/>
    <w:rsid w:val="007D2C06"/>
    <w:rsid w:val="007D2D7F"/>
    <w:rsid w:val="007D36F5"/>
    <w:rsid w:val="007D3705"/>
    <w:rsid w:val="007D4266"/>
    <w:rsid w:val="007D4C5E"/>
    <w:rsid w:val="007D5166"/>
    <w:rsid w:val="007D532B"/>
    <w:rsid w:val="007D54C9"/>
    <w:rsid w:val="007D5878"/>
    <w:rsid w:val="007D643E"/>
    <w:rsid w:val="007D709F"/>
    <w:rsid w:val="007D7484"/>
    <w:rsid w:val="007D750A"/>
    <w:rsid w:val="007D768E"/>
    <w:rsid w:val="007D7713"/>
    <w:rsid w:val="007D792A"/>
    <w:rsid w:val="007D7B03"/>
    <w:rsid w:val="007E00F3"/>
    <w:rsid w:val="007E0166"/>
    <w:rsid w:val="007E018C"/>
    <w:rsid w:val="007E01E2"/>
    <w:rsid w:val="007E022D"/>
    <w:rsid w:val="007E05CC"/>
    <w:rsid w:val="007E09AF"/>
    <w:rsid w:val="007E0B2A"/>
    <w:rsid w:val="007E0B2E"/>
    <w:rsid w:val="007E0FEE"/>
    <w:rsid w:val="007E128E"/>
    <w:rsid w:val="007E18DE"/>
    <w:rsid w:val="007E2354"/>
    <w:rsid w:val="007E253C"/>
    <w:rsid w:val="007E25A1"/>
    <w:rsid w:val="007E2907"/>
    <w:rsid w:val="007E29A4"/>
    <w:rsid w:val="007E2AE4"/>
    <w:rsid w:val="007E2B78"/>
    <w:rsid w:val="007E2E78"/>
    <w:rsid w:val="007E2F3B"/>
    <w:rsid w:val="007E3699"/>
    <w:rsid w:val="007E369A"/>
    <w:rsid w:val="007E36A7"/>
    <w:rsid w:val="007E4678"/>
    <w:rsid w:val="007E46EB"/>
    <w:rsid w:val="007E4C05"/>
    <w:rsid w:val="007E4CFB"/>
    <w:rsid w:val="007E4EEB"/>
    <w:rsid w:val="007E51D9"/>
    <w:rsid w:val="007E52BE"/>
    <w:rsid w:val="007E5403"/>
    <w:rsid w:val="007E5C09"/>
    <w:rsid w:val="007E5F35"/>
    <w:rsid w:val="007E65DE"/>
    <w:rsid w:val="007E6DC8"/>
    <w:rsid w:val="007E7310"/>
    <w:rsid w:val="007E73D1"/>
    <w:rsid w:val="007E774C"/>
    <w:rsid w:val="007E7BB0"/>
    <w:rsid w:val="007E7E47"/>
    <w:rsid w:val="007F0009"/>
    <w:rsid w:val="007F02B6"/>
    <w:rsid w:val="007F05D6"/>
    <w:rsid w:val="007F0713"/>
    <w:rsid w:val="007F077B"/>
    <w:rsid w:val="007F08C5"/>
    <w:rsid w:val="007F0F13"/>
    <w:rsid w:val="007F122C"/>
    <w:rsid w:val="007F1488"/>
    <w:rsid w:val="007F15FC"/>
    <w:rsid w:val="007F1990"/>
    <w:rsid w:val="007F2800"/>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27"/>
    <w:rsid w:val="00801B4D"/>
    <w:rsid w:val="00801DDB"/>
    <w:rsid w:val="008026A2"/>
    <w:rsid w:val="00802CE8"/>
    <w:rsid w:val="00802D85"/>
    <w:rsid w:val="00802FE5"/>
    <w:rsid w:val="008034BB"/>
    <w:rsid w:val="0080365B"/>
    <w:rsid w:val="00803D64"/>
    <w:rsid w:val="00803D68"/>
    <w:rsid w:val="00803F03"/>
    <w:rsid w:val="008045E4"/>
    <w:rsid w:val="008047D8"/>
    <w:rsid w:val="00804BD6"/>
    <w:rsid w:val="00804D4A"/>
    <w:rsid w:val="00804DBC"/>
    <w:rsid w:val="00804F1D"/>
    <w:rsid w:val="0080514F"/>
    <w:rsid w:val="00805657"/>
    <w:rsid w:val="00805784"/>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92B"/>
    <w:rsid w:val="00812EAA"/>
    <w:rsid w:val="00812FA9"/>
    <w:rsid w:val="0081322C"/>
    <w:rsid w:val="008132D5"/>
    <w:rsid w:val="00813D92"/>
    <w:rsid w:val="00813EDA"/>
    <w:rsid w:val="00814764"/>
    <w:rsid w:val="008148A5"/>
    <w:rsid w:val="008149F5"/>
    <w:rsid w:val="00814AAF"/>
    <w:rsid w:val="00814E95"/>
    <w:rsid w:val="008152FD"/>
    <w:rsid w:val="008154A4"/>
    <w:rsid w:val="008157DE"/>
    <w:rsid w:val="008160C5"/>
    <w:rsid w:val="00816648"/>
    <w:rsid w:val="008166FF"/>
    <w:rsid w:val="00816CC5"/>
    <w:rsid w:val="008175DC"/>
    <w:rsid w:val="0081783F"/>
    <w:rsid w:val="00817CB4"/>
    <w:rsid w:val="008204E0"/>
    <w:rsid w:val="00820E60"/>
    <w:rsid w:val="00820F14"/>
    <w:rsid w:val="00820F5D"/>
    <w:rsid w:val="0082117B"/>
    <w:rsid w:val="0082140E"/>
    <w:rsid w:val="0082140F"/>
    <w:rsid w:val="00821624"/>
    <w:rsid w:val="00821724"/>
    <w:rsid w:val="00821F49"/>
    <w:rsid w:val="008220CF"/>
    <w:rsid w:val="00822571"/>
    <w:rsid w:val="008226D7"/>
    <w:rsid w:val="008229D8"/>
    <w:rsid w:val="00822A77"/>
    <w:rsid w:val="00822B6F"/>
    <w:rsid w:val="00822CCF"/>
    <w:rsid w:val="00822F7B"/>
    <w:rsid w:val="00823DA2"/>
    <w:rsid w:val="00823DCC"/>
    <w:rsid w:val="00823FDF"/>
    <w:rsid w:val="00824278"/>
    <w:rsid w:val="00824295"/>
    <w:rsid w:val="00824594"/>
    <w:rsid w:val="008245F0"/>
    <w:rsid w:val="00824856"/>
    <w:rsid w:val="0082494C"/>
    <w:rsid w:val="008251FA"/>
    <w:rsid w:val="00825200"/>
    <w:rsid w:val="008252D3"/>
    <w:rsid w:val="00825328"/>
    <w:rsid w:val="0082561A"/>
    <w:rsid w:val="008256CF"/>
    <w:rsid w:val="00825741"/>
    <w:rsid w:val="00825BFF"/>
    <w:rsid w:val="00826060"/>
    <w:rsid w:val="0082655A"/>
    <w:rsid w:val="008267F6"/>
    <w:rsid w:val="00826BAB"/>
    <w:rsid w:val="00826C8C"/>
    <w:rsid w:val="00826F3B"/>
    <w:rsid w:val="00827053"/>
    <w:rsid w:val="0082709A"/>
    <w:rsid w:val="008270D7"/>
    <w:rsid w:val="00827683"/>
    <w:rsid w:val="00827B91"/>
    <w:rsid w:val="00830601"/>
    <w:rsid w:val="0083077B"/>
    <w:rsid w:val="00830DF8"/>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121"/>
    <w:rsid w:val="00837470"/>
    <w:rsid w:val="00837811"/>
    <w:rsid w:val="00837973"/>
    <w:rsid w:val="00840242"/>
    <w:rsid w:val="0084043B"/>
    <w:rsid w:val="008407D5"/>
    <w:rsid w:val="00840822"/>
    <w:rsid w:val="00840C0D"/>
    <w:rsid w:val="00840DD2"/>
    <w:rsid w:val="00840E07"/>
    <w:rsid w:val="00840E20"/>
    <w:rsid w:val="00840F63"/>
    <w:rsid w:val="00840FCD"/>
    <w:rsid w:val="008410D7"/>
    <w:rsid w:val="00841252"/>
    <w:rsid w:val="00841438"/>
    <w:rsid w:val="008415C4"/>
    <w:rsid w:val="00841710"/>
    <w:rsid w:val="00841DC5"/>
    <w:rsid w:val="00841E75"/>
    <w:rsid w:val="008420D8"/>
    <w:rsid w:val="0084249D"/>
    <w:rsid w:val="00842FE5"/>
    <w:rsid w:val="008433F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6DC7"/>
    <w:rsid w:val="008472B0"/>
    <w:rsid w:val="00847B99"/>
    <w:rsid w:val="00847E0E"/>
    <w:rsid w:val="0085000C"/>
    <w:rsid w:val="008501B0"/>
    <w:rsid w:val="0085040C"/>
    <w:rsid w:val="00850FBF"/>
    <w:rsid w:val="0085101F"/>
    <w:rsid w:val="008513E8"/>
    <w:rsid w:val="00851B23"/>
    <w:rsid w:val="00851B3D"/>
    <w:rsid w:val="00851C32"/>
    <w:rsid w:val="00851E11"/>
    <w:rsid w:val="008525E0"/>
    <w:rsid w:val="0085269B"/>
    <w:rsid w:val="00852CD7"/>
    <w:rsid w:val="00853162"/>
    <w:rsid w:val="00853500"/>
    <w:rsid w:val="00853BF2"/>
    <w:rsid w:val="00853C53"/>
    <w:rsid w:val="00853D2E"/>
    <w:rsid w:val="00854292"/>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10F"/>
    <w:rsid w:val="00857336"/>
    <w:rsid w:val="008576D8"/>
    <w:rsid w:val="0085775B"/>
    <w:rsid w:val="00857A90"/>
    <w:rsid w:val="0086020E"/>
    <w:rsid w:val="0086082E"/>
    <w:rsid w:val="00860AC8"/>
    <w:rsid w:val="00860E8A"/>
    <w:rsid w:val="00860F50"/>
    <w:rsid w:val="00861592"/>
    <w:rsid w:val="00861D83"/>
    <w:rsid w:val="00861F64"/>
    <w:rsid w:val="008621E3"/>
    <w:rsid w:val="00862836"/>
    <w:rsid w:val="00862CEF"/>
    <w:rsid w:val="00862DCA"/>
    <w:rsid w:val="00863042"/>
    <w:rsid w:val="008630D0"/>
    <w:rsid w:val="00863293"/>
    <w:rsid w:val="0086356E"/>
    <w:rsid w:val="008639DD"/>
    <w:rsid w:val="00863BF1"/>
    <w:rsid w:val="0086418C"/>
    <w:rsid w:val="008641F5"/>
    <w:rsid w:val="00864266"/>
    <w:rsid w:val="008649ED"/>
    <w:rsid w:val="00864C00"/>
    <w:rsid w:val="008651BF"/>
    <w:rsid w:val="00865663"/>
    <w:rsid w:val="008657E5"/>
    <w:rsid w:val="00865850"/>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8C2"/>
    <w:rsid w:val="00871904"/>
    <w:rsid w:val="008719EC"/>
    <w:rsid w:val="00871BC7"/>
    <w:rsid w:val="00871EAF"/>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2E"/>
    <w:rsid w:val="0087658C"/>
    <w:rsid w:val="008765CA"/>
    <w:rsid w:val="0087670A"/>
    <w:rsid w:val="00876788"/>
    <w:rsid w:val="00876C59"/>
    <w:rsid w:val="00876DD0"/>
    <w:rsid w:val="00876F1D"/>
    <w:rsid w:val="00877470"/>
    <w:rsid w:val="00877CB0"/>
    <w:rsid w:val="008801A9"/>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5093"/>
    <w:rsid w:val="008853A7"/>
    <w:rsid w:val="0088558E"/>
    <w:rsid w:val="0088563B"/>
    <w:rsid w:val="00885C39"/>
    <w:rsid w:val="00885C6F"/>
    <w:rsid w:val="00885E5E"/>
    <w:rsid w:val="00885EAE"/>
    <w:rsid w:val="00885FEB"/>
    <w:rsid w:val="008860FF"/>
    <w:rsid w:val="00886148"/>
    <w:rsid w:val="00886296"/>
    <w:rsid w:val="0088691F"/>
    <w:rsid w:val="00886C4A"/>
    <w:rsid w:val="008870B7"/>
    <w:rsid w:val="008872EF"/>
    <w:rsid w:val="008872F5"/>
    <w:rsid w:val="0088766A"/>
    <w:rsid w:val="00887D64"/>
    <w:rsid w:val="008906C7"/>
    <w:rsid w:val="0089075F"/>
    <w:rsid w:val="00890AAC"/>
    <w:rsid w:val="00891ADA"/>
    <w:rsid w:val="00891CDE"/>
    <w:rsid w:val="00893720"/>
    <w:rsid w:val="00893AEA"/>
    <w:rsid w:val="00893DD7"/>
    <w:rsid w:val="00893F74"/>
    <w:rsid w:val="0089401B"/>
    <w:rsid w:val="00894045"/>
    <w:rsid w:val="008943AE"/>
    <w:rsid w:val="00894D3C"/>
    <w:rsid w:val="00894DA9"/>
    <w:rsid w:val="0089505B"/>
    <w:rsid w:val="008955F7"/>
    <w:rsid w:val="008956BF"/>
    <w:rsid w:val="00895A22"/>
    <w:rsid w:val="00895D25"/>
    <w:rsid w:val="00895E43"/>
    <w:rsid w:val="00896003"/>
    <w:rsid w:val="008963D8"/>
    <w:rsid w:val="0089645F"/>
    <w:rsid w:val="008973ED"/>
    <w:rsid w:val="008974A1"/>
    <w:rsid w:val="008979B1"/>
    <w:rsid w:val="008A0438"/>
    <w:rsid w:val="008A05B1"/>
    <w:rsid w:val="008A08A0"/>
    <w:rsid w:val="008A0C41"/>
    <w:rsid w:val="008A10CC"/>
    <w:rsid w:val="008A1432"/>
    <w:rsid w:val="008A173F"/>
    <w:rsid w:val="008A1986"/>
    <w:rsid w:val="008A1B7D"/>
    <w:rsid w:val="008A1DF3"/>
    <w:rsid w:val="008A207D"/>
    <w:rsid w:val="008A20B0"/>
    <w:rsid w:val="008A23E3"/>
    <w:rsid w:val="008A27E4"/>
    <w:rsid w:val="008A2A6F"/>
    <w:rsid w:val="008A2C00"/>
    <w:rsid w:val="008A3084"/>
    <w:rsid w:val="008A32AB"/>
    <w:rsid w:val="008A32D3"/>
    <w:rsid w:val="008A333A"/>
    <w:rsid w:val="008A34FF"/>
    <w:rsid w:val="008A350F"/>
    <w:rsid w:val="008A35ED"/>
    <w:rsid w:val="008A3C2A"/>
    <w:rsid w:val="008A3E4F"/>
    <w:rsid w:val="008A42DA"/>
    <w:rsid w:val="008A4818"/>
    <w:rsid w:val="008A4AF6"/>
    <w:rsid w:val="008A4C0D"/>
    <w:rsid w:val="008A4C2E"/>
    <w:rsid w:val="008A4EDB"/>
    <w:rsid w:val="008A5A94"/>
    <w:rsid w:val="008A5D42"/>
    <w:rsid w:val="008A5DEA"/>
    <w:rsid w:val="008A5F06"/>
    <w:rsid w:val="008A5F39"/>
    <w:rsid w:val="008A61A2"/>
    <w:rsid w:val="008A6462"/>
    <w:rsid w:val="008A6919"/>
    <w:rsid w:val="008A6B10"/>
    <w:rsid w:val="008A6CB0"/>
    <w:rsid w:val="008A6DE7"/>
    <w:rsid w:val="008A6EDE"/>
    <w:rsid w:val="008A708B"/>
    <w:rsid w:val="008A7A88"/>
    <w:rsid w:val="008A7BC9"/>
    <w:rsid w:val="008A7D84"/>
    <w:rsid w:val="008A7E5A"/>
    <w:rsid w:val="008B08A2"/>
    <w:rsid w:val="008B0A6A"/>
    <w:rsid w:val="008B0B81"/>
    <w:rsid w:val="008B0BEA"/>
    <w:rsid w:val="008B0C16"/>
    <w:rsid w:val="008B0DF3"/>
    <w:rsid w:val="008B167E"/>
    <w:rsid w:val="008B1939"/>
    <w:rsid w:val="008B1BBF"/>
    <w:rsid w:val="008B1E4B"/>
    <w:rsid w:val="008B1E66"/>
    <w:rsid w:val="008B271D"/>
    <w:rsid w:val="008B2786"/>
    <w:rsid w:val="008B27F7"/>
    <w:rsid w:val="008B297E"/>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47C"/>
    <w:rsid w:val="008B65AD"/>
    <w:rsid w:val="008B66D3"/>
    <w:rsid w:val="008B68AD"/>
    <w:rsid w:val="008B6B15"/>
    <w:rsid w:val="008B6F30"/>
    <w:rsid w:val="008B76D5"/>
    <w:rsid w:val="008B779F"/>
    <w:rsid w:val="008B7CE5"/>
    <w:rsid w:val="008B7E1F"/>
    <w:rsid w:val="008C00E0"/>
    <w:rsid w:val="008C02F2"/>
    <w:rsid w:val="008C02F6"/>
    <w:rsid w:val="008C0394"/>
    <w:rsid w:val="008C0530"/>
    <w:rsid w:val="008C0B2E"/>
    <w:rsid w:val="008C0B49"/>
    <w:rsid w:val="008C106D"/>
    <w:rsid w:val="008C10F9"/>
    <w:rsid w:val="008C1152"/>
    <w:rsid w:val="008C1184"/>
    <w:rsid w:val="008C1237"/>
    <w:rsid w:val="008C12B8"/>
    <w:rsid w:val="008C15DC"/>
    <w:rsid w:val="008C1677"/>
    <w:rsid w:val="008C188C"/>
    <w:rsid w:val="008C1F03"/>
    <w:rsid w:val="008C211F"/>
    <w:rsid w:val="008C223A"/>
    <w:rsid w:val="008C22D4"/>
    <w:rsid w:val="008C283E"/>
    <w:rsid w:val="008C3262"/>
    <w:rsid w:val="008C3429"/>
    <w:rsid w:val="008C343E"/>
    <w:rsid w:val="008C3557"/>
    <w:rsid w:val="008C3BFC"/>
    <w:rsid w:val="008C4419"/>
    <w:rsid w:val="008C44BE"/>
    <w:rsid w:val="008C4722"/>
    <w:rsid w:val="008C47F8"/>
    <w:rsid w:val="008C4CE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913"/>
    <w:rsid w:val="008D1AF0"/>
    <w:rsid w:val="008D1C1F"/>
    <w:rsid w:val="008D1D54"/>
    <w:rsid w:val="008D210E"/>
    <w:rsid w:val="008D2367"/>
    <w:rsid w:val="008D23E8"/>
    <w:rsid w:val="008D2E35"/>
    <w:rsid w:val="008D312A"/>
    <w:rsid w:val="008D3636"/>
    <w:rsid w:val="008D3838"/>
    <w:rsid w:val="008D3B86"/>
    <w:rsid w:val="008D3F92"/>
    <w:rsid w:val="008D408D"/>
    <w:rsid w:val="008D43B5"/>
    <w:rsid w:val="008D4414"/>
    <w:rsid w:val="008D4460"/>
    <w:rsid w:val="008D44DC"/>
    <w:rsid w:val="008D47DF"/>
    <w:rsid w:val="008D491F"/>
    <w:rsid w:val="008D4F1D"/>
    <w:rsid w:val="008D4F32"/>
    <w:rsid w:val="008D502A"/>
    <w:rsid w:val="008D5618"/>
    <w:rsid w:val="008D5D87"/>
    <w:rsid w:val="008D61DC"/>
    <w:rsid w:val="008D6690"/>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46C"/>
    <w:rsid w:val="008E38D6"/>
    <w:rsid w:val="008E3B83"/>
    <w:rsid w:val="008E3EE6"/>
    <w:rsid w:val="008E473E"/>
    <w:rsid w:val="008E4943"/>
    <w:rsid w:val="008E4A64"/>
    <w:rsid w:val="008E4D88"/>
    <w:rsid w:val="008E536B"/>
    <w:rsid w:val="008E545E"/>
    <w:rsid w:val="008E55E8"/>
    <w:rsid w:val="008E5B64"/>
    <w:rsid w:val="008E5FBA"/>
    <w:rsid w:val="008E6524"/>
    <w:rsid w:val="008E6657"/>
    <w:rsid w:val="008E6996"/>
    <w:rsid w:val="008E6BB1"/>
    <w:rsid w:val="008E76E6"/>
    <w:rsid w:val="008E7730"/>
    <w:rsid w:val="008E7B85"/>
    <w:rsid w:val="008E7D03"/>
    <w:rsid w:val="008E7FA6"/>
    <w:rsid w:val="008F02F6"/>
    <w:rsid w:val="008F041B"/>
    <w:rsid w:val="008F0557"/>
    <w:rsid w:val="008F05E6"/>
    <w:rsid w:val="008F08DC"/>
    <w:rsid w:val="008F0D9C"/>
    <w:rsid w:val="008F11CB"/>
    <w:rsid w:val="008F12C8"/>
    <w:rsid w:val="008F143C"/>
    <w:rsid w:val="008F1856"/>
    <w:rsid w:val="008F19F6"/>
    <w:rsid w:val="008F1A57"/>
    <w:rsid w:val="008F224C"/>
    <w:rsid w:val="008F25D9"/>
    <w:rsid w:val="008F272D"/>
    <w:rsid w:val="008F2953"/>
    <w:rsid w:val="008F2B3A"/>
    <w:rsid w:val="008F2F0F"/>
    <w:rsid w:val="008F318E"/>
    <w:rsid w:val="008F3210"/>
    <w:rsid w:val="008F33EC"/>
    <w:rsid w:val="008F3722"/>
    <w:rsid w:val="008F40E0"/>
    <w:rsid w:val="008F4282"/>
    <w:rsid w:val="008F4368"/>
    <w:rsid w:val="008F4A07"/>
    <w:rsid w:val="008F4EDB"/>
    <w:rsid w:val="008F5140"/>
    <w:rsid w:val="008F51EB"/>
    <w:rsid w:val="008F545E"/>
    <w:rsid w:val="008F565E"/>
    <w:rsid w:val="008F5748"/>
    <w:rsid w:val="008F594B"/>
    <w:rsid w:val="008F5953"/>
    <w:rsid w:val="008F5BE5"/>
    <w:rsid w:val="008F5D2C"/>
    <w:rsid w:val="008F5DA6"/>
    <w:rsid w:val="008F61FC"/>
    <w:rsid w:val="008F6221"/>
    <w:rsid w:val="008F642B"/>
    <w:rsid w:val="008F722C"/>
    <w:rsid w:val="008F73E0"/>
    <w:rsid w:val="008F7B30"/>
    <w:rsid w:val="008F7DB1"/>
    <w:rsid w:val="008F7FB9"/>
    <w:rsid w:val="0090001B"/>
    <w:rsid w:val="00900CF6"/>
    <w:rsid w:val="00900EF6"/>
    <w:rsid w:val="00901175"/>
    <w:rsid w:val="00901278"/>
    <w:rsid w:val="009013D9"/>
    <w:rsid w:val="009017CA"/>
    <w:rsid w:val="009017F7"/>
    <w:rsid w:val="009019F8"/>
    <w:rsid w:val="00901A66"/>
    <w:rsid w:val="00901EE3"/>
    <w:rsid w:val="00901FCB"/>
    <w:rsid w:val="00902195"/>
    <w:rsid w:val="0090228C"/>
    <w:rsid w:val="00902536"/>
    <w:rsid w:val="00903647"/>
    <w:rsid w:val="00903A5E"/>
    <w:rsid w:val="00903BC6"/>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1A1"/>
    <w:rsid w:val="0091266E"/>
    <w:rsid w:val="00912A5E"/>
    <w:rsid w:val="00912E11"/>
    <w:rsid w:val="00912FBA"/>
    <w:rsid w:val="009134DE"/>
    <w:rsid w:val="009136E9"/>
    <w:rsid w:val="00913BA3"/>
    <w:rsid w:val="00913CFF"/>
    <w:rsid w:val="00913F7F"/>
    <w:rsid w:val="0091421E"/>
    <w:rsid w:val="00914596"/>
    <w:rsid w:val="0091459B"/>
    <w:rsid w:val="009147FF"/>
    <w:rsid w:val="009148A8"/>
    <w:rsid w:val="0091498B"/>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C98"/>
    <w:rsid w:val="00920DED"/>
    <w:rsid w:val="00920EDD"/>
    <w:rsid w:val="00921588"/>
    <w:rsid w:val="00921644"/>
    <w:rsid w:val="00921955"/>
    <w:rsid w:val="00921A11"/>
    <w:rsid w:val="00921A3D"/>
    <w:rsid w:val="00921AAA"/>
    <w:rsid w:val="00921FB8"/>
    <w:rsid w:val="009220EA"/>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7D"/>
    <w:rsid w:val="009266DC"/>
    <w:rsid w:val="00926929"/>
    <w:rsid w:val="00926B3D"/>
    <w:rsid w:val="00926F78"/>
    <w:rsid w:val="00927080"/>
    <w:rsid w:val="00927791"/>
    <w:rsid w:val="00927940"/>
    <w:rsid w:val="00927FC8"/>
    <w:rsid w:val="00930B8F"/>
    <w:rsid w:val="00930C74"/>
    <w:rsid w:val="00930E68"/>
    <w:rsid w:val="00930EF9"/>
    <w:rsid w:val="009315CB"/>
    <w:rsid w:val="0093160E"/>
    <w:rsid w:val="00931620"/>
    <w:rsid w:val="00931A77"/>
    <w:rsid w:val="00931C44"/>
    <w:rsid w:val="00931FEA"/>
    <w:rsid w:val="00932031"/>
    <w:rsid w:val="009320FC"/>
    <w:rsid w:val="00932180"/>
    <w:rsid w:val="009323DA"/>
    <w:rsid w:val="0093255C"/>
    <w:rsid w:val="0093263D"/>
    <w:rsid w:val="0093290B"/>
    <w:rsid w:val="0093316F"/>
    <w:rsid w:val="0093338F"/>
    <w:rsid w:val="00933472"/>
    <w:rsid w:val="009334A3"/>
    <w:rsid w:val="00933520"/>
    <w:rsid w:val="009335AD"/>
    <w:rsid w:val="00933AD8"/>
    <w:rsid w:val="00934062"/>
    <w:rsid w:val="009340BA"/>
    <w:rsid w:val="00934347"/>
    <w:rsid w:val="00934640"/>
    <w:rsid w:val="0093496D"/>
    <w:rsid w:val="00934D53"/>
    <w:rsid w:val="009350BB"/>
    <w:rsid w:val="00935225"/>
    <w:rsid w:val="009354B1"/>
    <w:rsid w:val="00935751"/>
    <w:rsid w:val="00935829"/>
    <w:rsid w:val="00935BB0"/>
    <w:rsid w:val="00935C4D"/>
    <w:rsid w:val="00935D76"/>
    <w:rsid w:val="0093618F"/>
    <w:rsid w:val="00936B27"/>
    <w:rsid w:val="00936C4E"/>
    <w:rsid w:val="00936DDE"/>
    <w:rsid w:val="009371BF"/>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A9E"/>
    <w:rsid w:val="00942EDB"/>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494"/>
    <w:rsid w:val="00947544"/>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57C40"/>
    <w:rsid w:val="00960323"/>
    <w:rsid w:val="00960382"/>
    <w:rsid w:val="009609A1"/>
    <w:rsid w:val="00961386"/>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0C"/>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09"/>
    <w:rsid w:val="00973337"/>
    <w:rsid w:val="00973513"/>
    <w:rsid w:val="009736D9"/>
    <w:rsid w:val="00973C55"/>
    <w:rsid w:val="00974199"/>
    <w:rsid w:val="0097479D"/>
    <w:rsid w:val="009748A3"/>
    <w:rsid w:val="00974F05"/>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287"/>
    <w:rsid w:val="0098247E"/>
    <w:rsid w:val="009824D4"/>
    <w:rsid w:val="009835C8"/>
    <w:rsid w:val="00983A05"/>
    <w:rsid w:val="00983BA2"/>
    <w:rsid w:val="00983C4B"/>
    <w:rsid w:val="00983DA0"/>
    <w:rsid w:val="00983EC3"/>
    <w:rsid w:val="0098443B"/>
    <w:rsid w:val="0098465F"/>
    <w:rsid w:val="00984B60"/>
    <w:rsid w:val="00984F5C"/>
    <w:rsid w:val="009850D8"/>
    <w:rsid w:val="009856E5"/>
    <w:rsid w:val="0098579F"/>
    <w:rsid w:val="00985AD3"/>
    <w:rsid w:val="00985ADC"/>
    <w:rsid w:val="00985E05"/>
    <w:rsid w:val="00985F1F"/>
    <w:rsid w:val="00985F71"/>
    <w:rsid w:val="009862B5"/>
    <w:rsid w:val="009864C0"/>
    <w:rsid w:val="00986DAE"/>
    <w:rsid w:val="00986EAF"/>
    <w:rsid w:val="0098707E"/>
    <w:rsid w:val="009870FD"/>
    <w:rsid w:val="00987149"/>
    <w:rsid w:val="009871F0"/>
    <w:rsid w:val="00987384"/>
    <w:rsid w:val="00987A27"/>
    <w:rsid w:val="00987FBC"/>
    <w:rsid w:val="0099056D"/>
    <w:rsid w:val="0099073D"/>
    <w:rsid w:val="00990D95"/>
    <w:rsid w:val="00990F33"/>
    <w:rsid w:val="009917E9"/>
    <w:rsid w:val="00991FF5"/>
    <w:rsid w:val="0099233F"/>
    <w:rsid w:val="009925B2"/>
    <w:rsid w:val="00992650"/>
    <w:rsid w:val="0099266C"/>
    <w:rsid w:val="00992695"/>
    <w:rsid w:val="00992912"/>
    <w:rsid w:val="00992D0F"/>
    <w:rsid w:val="00992F84"/>
    <w:rsid w:val="00993021"/>
    <w:rsid w:val="009930C1"/>
    <w:rsid w:val="009933CD"/>
    <w:rsid w:val="009937A4"/>
    <w:rsid w:val="00993CE1"/>
    <w:rsid w:val="00993FA8"/>
    <w:rsid w:val="009942A4"/>
    <w:rsid w:val="0099432C"/>
    <w:rsid w:val="009944D9"/>
    <w:rsid w:val="009947F8"/>
    <w:rsid w:val="00994881"/>
    <w:rsid w:val="009948E7"/>
    <w:rsid w:val="00994D7A"/>
    <w:rsid w:val="00995013"/>
    <w:rsid w:val="00996419"/>
    <w:rsid w:val="0099674F"/>
    <w:rsid w:val="00996AB1"/>
    <w:rsid w:val="00996B19"/>
    <w:rsid w:val="00996E80"/>
    <w:rsid w:val="00997146"/>
    <w:rsid w:val="00997C1B"/>
    <w:rsid w:val="00997DC3"/>
    <w:rsid w:val="00997FDB"/>
    <w:rsid w:val="009A066E"/>
    <w:rsid w:val="009A0718"/>
    <w:rsid w:val="009A095E"/>
    <w:rsid w:val="009A0C87"/>
    <w:rsid w:val="009A0D7B"/>
    <w:rsid w:val="009A1266"/>
    <w:rsid w:val="009A1305"/>
    <w:rsid w:val="009A16B3"/>
    <w:rsid w:val="009A1AC6"/>
    <w:rsid w:val="009A1B27"/>
    <w:rsid w:val="009A1F1B"/>
    <w:rsid w:val="009A218D"/>
    <w:rsid w:val="009A22BB"/>
    <w:rsid w:val="009A24B8"/>
    <w:rsid w:val="009A275F"/>
    <w:rsid w:val="009A2B2C"/>
    <w:rsid w:val="009A2DFE"/>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4FEE"/>
    <w:rsid w:val="009A545F"/>
    <w:rsid w:val="009A5467"/>
    <w:rsid w:val="009A5CDF"/>
    <w:rsid w:val="009A70D9"/>
    <w:rsid w:val="009A71E3"/>
    <w:rsid w:val="009A71F5"/>
    <w:rsid w:val="009A7C33"/>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16"/>
    <w:rsid w:val="009B5461"/>
    <w:rsid w:val="009B5B93"/>
    <w:rsid w:val="009B5C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2DE"/>
    <w:rsid w:val="009C4508"/>
    <w:rsid w:val="009C4580"/>
    <w:rsid w:val="009C4A31"/>
    <w:rsid w:val="009C4DBF"/>
    <w:rsid w:val="009C4DDB"/>
    <w:rsid w:val="009C4DF7"/>
    <w:rsid w:val="009C52DC"/>
    <w:rsid w:val="009C5846"/>
    <w:rsid w:val="009C5C40"/>
    <w:rsid w:val="009C6024"/>
    <w:rsid w:val="009C66F8"/>
    <w:rsid w:val="009C6980"/>
    <w:rsid w:val="009C6E40"/>
    <w:rsid w:val="009C75F5"/>
    <w:rsid w:val="009C7EAF"/>
    <w:rsid w:val="009C7FB6"/>
    <w:rsid w:val="009D024B"/>
    <w:rsid w:val="009D0835"/>
    <w:rsid w:val="009D0ADB"/>
    <w:rsid w:val="009D0CF6"/>
    <w:rsid w:val="009D15B4"/>
    <w:rsid w:val="009D232C"/>
    <w:rsid w:val="009D2B80"/>
    <w:rsid w:val="009D301E"/>
    <w:rsid w:val="009D33EF"/>
    <w:rsid w:val="009D40E0"/>
    <w:rsid w:val="009D4122"/>
    <w:rsid w:val="009D4133"/>
    <w:rsid w:val="009D417D"/>
    <w:rsid w:val="009D58DF"/>
    <w:rsid w:val="009D5C07"/>
    <w:rsid w:val="009D5D4B"/>
    <w:rsid w:val="009D61D3"/>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2E9"/>
    <w:rsid w:val="009E18C4"/>
    <w:rsid w:val="009E1EAA"/>
    <w:rsid w:val="009E2293"/>
    <w:rsid w:val="009E252E"/>
    <w:rsid w:val="009E31B2"/>
    <w:rsid w:val="009E3BC4"/>
    <w:rsid w:val="009E4123"/>
    <w:rsid w:val="009E47E5"/>
    <w:rsid w:val="009E48F4"/>
    <w:rsid w:val="009E4CA1"/>
    <w:rsid w:val="009E4D67"/>
    <w:rsid w:val="009E4D97"/>
    <w:rsid w:val="009E4F28"/>
    <w:rsid w:val="009E52E5"/>
    <w:rsid w:val="009E5473"/>
    <w:rsid w:val="009E5775"/>
    <w:rsid w:val="009E593F"/>
    <w:rsid w:val="009E5B5F"/>
    <w:rsid w:val="009E5CF2"/>
    <w:rsid w:val="009E67B4"/>
    <w:rsid w:val="009E6BE1"/>
    <w:rsid w:val="009E6D17"/>
    <w:rsid w:val="009E726E"/>
    <w:rsid w:val="009E73FE"/>
    <w:rsid w:val="009E77AA"/>
    <w:rsid w:val="009E7AF8"/>
    <w:rsid w:val="009E7C41"/>
    <w:rsid w:val="009E7C64"/>
    <w:rsid w:val="009F042D"/>
    <w:rsid w:val="009F09DD"/>
    <w:rsid w:val="009F11B0"/>
    <w:rsid w:val="009F12CD"/>
    <w:rsid w:val="009F12EC"/>
    <w:rsid w:val="009F132E"/>
    <w:rsid w:val="009F139D"/>
    <w:rsid w:val="009F15EF"/>
    <w:rsid w:val="009F1C59"/>
    <w:rsid w:val="009F1D3A"/>
    <w:rsid w:val="009F1D91"/>
    <w:rsid w:val="009F249C"/>
    <w:rsid w:val="009F2875"/>
    <w:rsid w:val="009F2D17"/>
    <w:rsid w:val="009F335A"/>
    <w:rsid w:val="009F37B3"/>
    <w:rsid w:val="009F39DA"/>
    <w:rsid w:val="009F3AA4"/>
    <w:rsid w:val="009F46AF"/>
    <w:rsid w:val="009F4AC8"/>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2760"/>
    <w:rsid w:val="00A029D4"/>
    <w:rsid w:val="00A02CD7"/>
    <w:rsid w:val="00A02EBE"/>
    <w:rsid w:val="00A02EC0"/>
    <w:rsid w:val="00A0340B"/>
    <w:rsid w:val="00A03753"/>
    <w:rsid w:val="00A03881"/>
    <w:rsid w:val="00A038DD"/>
    <w:rsid w:val="00A039C4"/>
    <w:rsid w:val="00A03D83"/>
    <w:rsid w:val="00A04011"/>
    <w:rsid w:val="00A042CA"/>
    <w:rsid w:val="00A045D0"/>
    <w:rsid w:val="00A049EC"/>
    <w:rsid w:val="00A05013"/>
    <w:rsid w:val="00A05054"/>
    <w:rsid w:val="00A052AB"/>
    <w:rsid w:val="00A05950"/>
    <w:rsid w:val="00A05C8D"/>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40C"/>
    <w:rsid w:val="00A1153A"/>
    <w:rsid w:val="00A11906"/>
    <w:rsid w:val="00A11921"/>
    <w:rsid w:val="00A11CE8"/>
    <w:rsid w:val="00A11E84"/>
    <w:rsid w:val="00A1238D"/>
    <w:rsid w:val="00A12421"/>
    <w:rsid w:val="00A124C9"/>
    <w:rsid w:val="00A12E7C"/>
    <w:rsid w:val="00A13159"/>
    <w:rsid w:val="00A13917"/>
    <w:rsid w:val="00A1398D"/>
    <w:rsid w:val="00A13A44"/>
    <w:rsid w:val="00A13C92"/>
    <w:rsid w:val="00A13CD6"/>
    <w:rsid w:val="00A13E24"/>
    <w:rsid w:val="00A13F03"/>
    <w:rsid w:val="00A14095"/>
    <w:rsid w:val="00A147C0"/>
    <w:rsid w:val="00A14E87"/>
    <w:rsid w:val="00A14EA5"/>
    <w:rsid w:val="00A15004"/>
    <w:rsid w:val="00A153D2"/>
    <w:rsid w:val="00A15783"/>
    <w:rsid w:val="00A157BF"/>
    <w:rsid w:val="00A15C6C"/>
    <w:rsid w:val="00A15F03"/>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0FC6"/>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C18"/>
    <w:rsid w:val="00A24FCD"/>
    <w:rsid w:val="00A25251"/>
    <w:rsid w:val="00A2531B"/>
    <w:rsid w:val="00A255DD"/>
    <w:rsid w:val="00A25865"/>
    <w:rsid w:val="00A25B0E"/>
    <w:rsid w:val="00A25C09"/>
    <w:rsid w:val="00A25CAB"/>
    <w:rsid w:val="00A25FBA"/>
    <w:rsid w:val="00A26D21"/>
    <w:rsid w:val="00A26E95"/>
    <w:rsid w:val="00A277F5"/>
    <w:rsid w:val="00A27E95"/>
    <w:rsid w:val="00A30063"/>
    <w:rsid w:val="00A30BEA"/>
    <w:rsid w:val="00A31917"/>
    <w:rsid w:val="00A319F0"/>
    <w:rsid w:val="00A321C8"/>
    <w:rsid w:val="00A32539"/>
    <w:rsid w:val="00A32F5D"/>
    <w:rsid w:val="00A33A65"/>
    <w:rsid w:val="00A33CBA"/>
    <w:rsid w:val="00A342A9"/>
    <w:rsid w:val="00A34923"/>
    <w:rsid w:val="00A34CB1"/>
    <w:rsid w:val="00A34EAE"/>
    <w:rsid w:val="00A35342"/>
    <w:rsid w:val="00A355DD"/>
    <w:rsid w:val="00A3563F"/>
    <w:rsid w:val="00A357BF"/>
    <w:rsid w:val="00A359F0"/>
    <w:rsid w:val="00A35A06"/>
    <w:rsid w:val="00A35B3A"/>
    <w:rsid w:val="00A35CEE"/>
    <w:rsid w:val="00A35F17"/>
    <w:rsid w:val="00A3607A"/>
    <w:rsid w:val="00A36233"/>
    <w:rsid w:val="00A3627F"/>
    <w:rsid w:val="00A3672B"/>
    <w:rsid w:val="00A3679D"/>
    <w:rsid w:val="00A372E6"/>
    <w:rsid w:val="00A373EB"/>
    <w:rsid w:val="00A37670"/>
    <w:rsid w:val="00A4022E"/>
    <w:rsid w:val="00A40E40"/>
    <w:rsid w:val="00A40E98"/>
    <w:rsid w:val="00A40ECE"/>
    <w:rsid w:val="00A40FFE"/>
    <w:rsid w:val="00A411AA"/>
    <w:rsid w:val="00A4134C"/>
    <w:rsid w:val="00A414D9"/>
    <w:rsid w:val="00A416F3"/>
    <w:rsid w:val="00A4189D"/>
    <w:rsid w:val="00A41D2D"/>
    <w:rsid w:val="00A41F89"/>
    <w:rsid w:val="00A4210D"/>
    <w:rsid w:val="00A42346"/>
    <w:rsid w:val="00A4261B"/>
    <w:rsid w:val="00A43246"/>
    <w:rsid w:val="00A43C71"/>
    <w:rsid w:val="00A43CC0"/>
    <w:rsid w:val="00A4419A"/>
    <w:rsid w:val="00A44A49"/>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9"/>
    <w:rsid w:val="00A47ACF"/>
    <w:rsid w:val="00A47B51"/>
    <w:rsid w:val="00A500A3"/>
    <w:rsid w:val="00A500B9"/>
    <w:rsid w:val="00A50201"/>
    <w:rsid w:val="00A502AF"/>
    <w:rsid w:val="00A5091A"/>
    <w:rsid w:val="00A5094A"/>
    <w:rsid w:val="00A50A2B"/>
    <w:rsid w:val="00A51E3F"/>
    <w:rsid w:val="00A51F93"/>
    <w:rsid w:val="00A52594"/>
    <w:rsid w:val="00A53A48"/>
    <w:rsid w:val="00A53BFF"/>
    <w:rsid w:val="00A53EF4"/>
    <w:rsid w:val="00A54121"/>
    <w:rsid w:val="00A5439F"/>
    <w:rsid w:val="00A54AA5"/>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5EAA"/>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1F8"/>
    <w:rsid w:val="00A73376"/>
    <w:rsid w:val="00A73568"/>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39D"/>
    <w:rsid w:val="00A80718"/>
    <w:rsid w:val="00A80B46"/>
    <w:rsid w:val="00A80EAC"/>
    <w:rsid w:val="00A80EFB"/>
    <w:rsid w:val="00A8173F"/>
    <w:rsid w:val="00A81A6A"/>
    <w:rsid w:val="00A82597"/>
    <w:rsid w:val="00A82961"/>
    <w:rsid w:val="00A82AE4"/>
    <w:rsid w:val="00A82B8A"/>
    <w:rsid w:val="00A82C5C"/>
    <w:rsid w:val="00A830CC"/>
    <w:rsid w:val="00A831C5"/>
    <w:rsid w:val="00A831E0"/>
    <w:rsid w:val="00A83224"/>
    <w:rsid w:val="00A833D3"/>
    <w:rsid w:val="00A8341F"/>
    <w:rsid w:val="00A83C0D"/>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8B7"/>
    <w:rsid w:val="00A85A87"/>
    <w:rsid w:val="00A85DBE"/>
    <w:rsid w:val="00A85F5A"/>
    <w:rsid w:val="00A86067"/>
    <w:rsid w:val="00A860C6"/>
    <w:rsid w:val="00A863D8"/>
    <w:rsid w:val="00A867BF"/>
    <w:rsid w:val="00A867CD"/>
    <w:rsid w:val="00A86BC9"/>
    <w:rsid w:val="00A86C23"/>
    <w:rsid w:val="00A86E5F"/>
    <w:rsid w:val="00A8733E"/>
    <w:rsid w:val="00A873FE"/>
    <w:rsid w:val="00A87575"/>
    <w:rsid w:val="00A87D5D"/>
    <w:rsid w:val="00A9023C"/>
    <w:rsid w:val="00A9046F"/>
    <w:rsid w:val="00A90558"/>
    <w:rsid w:val="00A908D3"/>
    <w:rsid w:val="00A91188"/>
    <w:rsid w:val="00A91616"/>
    <w:rsid w:val="00A918E6"/>
    <w:rsid w:val="00A91BDA"/>
    <w:rsid w:val="00A9204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4CB7"/>
    <w:rsid w:val="00A954B3"/>
    <w:rsid w:val="00A958CC"/>
    <w:rsid w:val="00A95A88"/>
    <w:rsid w:val="00A95F20"/>
    <w:rsid w:val="00A96298"/>
    <w:rsid w:val="00A9683D"/>
    <w:rsid w:val="00A96B51"/>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A15"/>
    <w:rsid w:val="00AA2C3A"/>
    <w:rsid w:val="00AA308F"/>
    <w:rsid w:val="00AA31C2"/>
    <w:rsid w:val="00AA39A3"/>
    <w:rsid w:val="00AA3B2B"/>
    <w:rsid w:val="00AA3F1C"/>
    <w:rsid w:val="00AA453D"/>
    <w:rsid w:val="00AA4A16"/>
    <w:rsid w:val="00AA4ABD"/>
    <w:rsid w:val="00AA4D33"/>
    <w:rsid w:val="00AA4D8A"/>
    <w:rsid w:val="00AA4DB3"/>
    <w:rsid w:val="00AA5847"/>
    <w:rsid w:val="00AA5A77"/>
    <w:rsid w:val="00AA5D6F"/>
    <w:rsid w:val="00AA5FF9"/>
    <w:rsid w:val="00AA6275"/>
    <w:rsid w:val="00AA6394"/>
    <w:rsid w:val="00AA6451"/>
    <w:rsid w:val="00AA674E"/>
    <w:rsid w:val="00AA6BC1"/>
    <w:rsid w:val="00AA6E17"/>
    <w:rsid w:val="00AA7021"/>
    <w:rsid w:val="00AA73FA"/>
    <w:rsid w:val="00AA7573"/>
    <w:rsid w:val="00AA7910"/>
    <w:rsid w:val="00AA7A6F"/>
    <w:rsid w:val="00AA7B72"/>
    <w:rsid w:val="00AA7C10"/>
    <w:rsid w:val="00AA7C1B"/>
    <w:rsid w:val="00AA7DE6"/>
    <w:rsid w:val="00AA7E0F"/>
    <w:rsid w:val="00AA7F7A"/>
    <w:rsid w:val="00AB01EB"/>
    <w:rsid w:val="00AB0CEF"/>
    <w:rsid w:val="00AB0E4E"/>
    <w:rsid w:val="00AB0EC3"/>
    <w:rsid w:val="00AB1D19"/>
    <w:rsid w:val="00AB1DE9"/>
    <w:rsid w:val="00AB2555"/>
    <w:rsid w:val="00AB29C3"/>
    <w:rsid w:val="00AB2A50"/>
    <w:rsid w:val="00AB2AA9"/>
    <w:rsid w:val="00AB2C86"/>
    <w:rsid w:val="00AB2D03"/>
    <w:rsid w:val="00AB2EF2"/>
    <w:rsid w:val="00AB35E0"/>
    <w:rsid w:val="00AB364C"/>
    <w:rsid w:val="00AB36EA"/>
    <w:rsid w:val="00AB374E"/>
    <w:rsid w:val="00AB3C36"/>
    <w:rsid w:val="00AB3C4C"/>
    <w:rsid w:val="00AB3F3F"/>
    <w:rsid w:val="00AB3FA3"/>
    <w:rsid w:val="00AB41CB"/>
    <w:rsid w:val="00AB45DD"/>
    <w:rsid w:val="00AB4710"/>
    <w:rsid w:val="00AB489E"/>
    <w:rsid w:val="00AB4C0E"/>
    <w:rsid w:val="00AB4E2D"/>
    <w:rsid w:val="00AB639D"/>
    <w:rsid w:val="00AB6685"/>
    <w:rsid w:val="00AB6722"/>
    <w:rsid w:val="00AB67D4"/>
    <w:rsid w:val="00AB682A"/>
    <w:rsid w:val="00AB6BB0"/>
    <w:rsid w:val="00AB6CF3"/>
    <w:rsid w:val="00AB715F"/>
    <w:rsid w:val="00AB74D7"/>
    <w:rsid w:val="00AB7974"/>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A2C"/>
    <w:rsid w:val="00AC3AFF"/>
    <w:rsid w:val="00AC3CC0"/>
    <w:rsid w:val="00AC3E66"/>
    <w:rsid w:val="00AC4268"/>
    <w:rsid w:val="00AC431D"/>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BC2"/>
    <w:rsid w:val="00AD0CCC"/>
    <w:rsid w:val="00AD0F7F"/>
    <w:rsid w:val="00AD1677"/>
    <w:rsid w:val="00AD1757"/>
    <w:rsid w:val="00AD18DA"/>
    <w:rsid w:val="00AD18F6"/>
    <w:rsid w:val="00AD1AE6"/>
    <w:rsid w:val="00AD22DA"/>
    <w:rsid w:val="00AD22E2"/>
    <w:rsid w:val="00AD25A2"/>
    <w:rsid w:val="00AD35B9"/>
    <w:rsid w:val="00AD36BC"/>
    <w:rsid w:val="00AD3EC7"/>
    <w:rsid w:val="00AD4046"/>
    <w:rsid w:val="00AD456A"/>
    <w:rsid w:val="00AD49DC"/>
    <w:rsid w:val="00AD5062"/>
    <w:rsid w:val="00AD50B8"/>
    <w:rsid w:val="00AD54EB"/>
    <w:rsid w:val="00AD573D"/>
    <w:rsid w:val="00AD59BA"/>
    <w:rsid w:val="00AD5C5D"/>
    <w:rsid w:val="00AD5CFC"/>
    <w:rsid w:val="00AD60F4"/>
    <w:rsid w:val="00AD6993"/>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949"/>
    <w:rsid w:val="00AE3A46"/>
    <w:rsid w:val="00AE3BCD"/>
    <w:rsid w:val="00AE3C3D"/>
    <w:rsid w:val="00AE3D9F"/>
    <w:rsid w:val="00AE3FAA"/>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6E2F"/>
    <w:rsid w:val="00AE7B6B"/>
    <w:rsid w:val="00AE7D0E"/>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935"/>
    <w:rsid w:val="00AF6E42"/>
    <w:rsid w:val="00AF707B"/>
    <w:rsid w:val="00AF7A8D"/>
    <w:rsid w:val="00AF7BE2"/>
    <w:rsid w:val="00AF7C24"/>
    <w:rsid w:val="00AF7D3F"/>
    <w:rsid w:val="00AF7F28"/>
    <w:rsid w:val="00B001B6"/>
    <w:rsid w:val="00B00404"/>
    <w:rsid w:val="00B00729"/>
    <w:rsid w:val="00B0072B"/>
    <w:rsid w:val="00B00A07"/>
    <w:rsid w:val="00B00AF0"/>
    <w:rsid w:val="00B00B26"/>
    <w:rsid w:val="00B00CE4"/>
    <w:rsid w:val="00B00F9E"/>
    <w:rsid w:val="00B011D7"/>
    <w:rsid w:val="00B011F1"/>
    <w:rsid w:val="00B013C8"/>
    <w:rsid w:val="00B01B28"/>
    <w:rsid w:val="00B01C1D"/>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65"/>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282D"/>
    <w:rsid w:val="00B12A54"/>
    <w:rsid w:val="00B143EA"/>
    <w:rsid w:val="00B14585"/>
    <w:rsid w:val="00B145B0"/>
    <w:rsid w:val="00B14A66"/>
    <w:rsid w:val="00B14A7C"/>
    <w:rsid w:val="00B14AFD"/>
    <w:rsid w:val="00B14BAA"/>
    <w:rsid w:val="00B14BFD"/>
    <w:rsid w:val="00B14F21"/>
    <w:rsid w:val="00B1561A"/>
    <w:rsid w:val="00B1582A"/>
    <w:rsid w:val="00B15B7A"/>
    <w:rsid w:val="00B15CA3"/>
    <w:rsid w:val="00B16028"/>
    <w:rsid w:val="00B16141"/>
    <w:rsid w:val="00B162B2"/>
    <w:rsid w:val="00B16549"/>
    <w:rsid w:val="00B16730"/>
    <w:rsid w:val="00B1681B"/>
    <w:rsid w:val="00B168AF"/>
    <w:rsid w:val="00B168E7"/>
    <w:rsid w:val="00B16E84"/>
    <w:rsid w:val="00B1704E"/>
    <w:rsid w:val="00B170A2"/>
    <w:rsid w:val="00B17113"/>
    <w:rsid w:val="00B1766F"/>
    <w:rsid w:val="00B17A3A"/>
    <w:rsid w:val="00B17D20"/>
    <w:rsid w:val="00B2053D"/>
    <w:rsid w:val="00B20584"/>
    <w:rsid w:val="00B20928"/>
    <w:rsid w:val="00B20BF6"/>
    <w:rsid w:val="00B20C18"/>
    <w:rsid w:val="00B2138E"/>
    <w:rsid w:val="00B21DDA"/>
    <w:rsid w:val="00B226E3"/>
    <w:rsid w:val="00B227C3"/>
    <w:rsid w:val="00B234C4"/>
    <w:rsid w:val="00B2357E"/>
    <w:rsid w:val="00B235D1"/>
    <w:rsid w:val="00B236DE"/>
    <w:rsid w:val="00B23991"/>
    <w:rsid w:val="00B24468"/>
    <w:rsid w:val="00B245E8"/>
    <w:rsid w:val="00B24DF4"/>
    <w:rsid w:val="00B25006"/>
    <w:rsid w:val="00B250B2"/>
    <w:rsid w:val="00B25263"/>
    <w:rsid w:val="00B25570"/>
    <w:rsid w:val="00B25B1D"/>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B26"/>
    <w:rsid w:val="00B32C4B"/>
    <w:rsid w:val="00B32D0B"/>
    <w:rsid w:val="00B33795"/>
    <w:rsid w:val="00B33922"/>
    <w:rsid w:val="00B33AAC"/>
    <w:rsid w:val="00B33BD0"/>
    <w:rsid w:val="00B340C2"/>
    <w:rsid w:val="00B3430B"/>
    <w:rsid w:val="00B34471"/>
    <w:rsid w:val="00B34962"/>
    <w:rsid w:val="00B34BB6"/>
    <w:rsid w:val="00B3512C"/>
    <w:rsid w:val="00B353F0"/>
    <w:rsid w:val="00B357CC"/>
    <w:rsid w:val="00B361AA"/>
    <w:rsid w:val="00B36262"/>
    <w:rsid w:val="00B362CE"/>
    <w:rsid w:val="00B3631C"/>
    <w:rsid w:val="00B36BED"/>
    <w:rsid w:val="00B36E23"/>
    <w:rsid w:val="00B36F6C"/>
    <w:rsid w:val="00B3705B"/>
    <w:rsid w:val="00B3727C"/>
    <w:rsid w:val="00B372CC"/>
    <w:rsid w:val="00B4046B"/>
    <w:rsid w:val="00B40661"/>
    <w:rsid w:val="00B40AC2"/>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B39"/>
    <w:rsid w:val="00B43CBE"/>
    <w:rsid w:val="00B443FC"/>
    <w:rsid w:val="00B4448C"/>
    <w:rsid w:val="00B44576"/>
    <w:rsid w:val="00B4466F"/>
    <w:rsid w:val="00B44A9E"/>
    <w:rsid w:val="00B44E9F"/>
    <w:rsid w:val="00B44FCF"/>
    <w:rsid w:val="00B451DB"/>
    <w:rsid w:val="00B45D87"/>
    <w:rsid w:val="00B45FFC"/>
    <w:rsid w:val="00B462CF"/>
    <w:rsid w:val="00B4648A"/>
    <w:rsid w:val="00B46851"/>
    <w:rsid w:val="00B468A7"/>
    <w:rsid w:val="00B46BEE"/>
    <w:rsid w:val="00B46CAD"/>
    <w:rsid w:val="00B46EF4"/>
    <w:rsid w:val="00B4746D"/>
    <w:rsid w:val="00B47789"/>
    <w:rsid w:val="00B478D9"/>
    <w:rsid w:val="00B47A6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65"/>
    <w:rsid w:val="00B53FEF"/>
    <w:rsid w:val="00B540BC"/>
    <w:rsid w:val="00B5418E"/>
    <w:rsid w:val="00B54308"/>
    <w:rsid w:val="00B5436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4C9"/>
    <w:rsid w:val="00B575D9"/>
    <w:rsid w:val="00B576EB"/>
    <w:rsid w:val="00B57898"/>
    <w:rsid w:val="00B57D12"/>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792"/>
    <w:rsid w:val="00B669A2"/>
    <w:rsid w:val="00B66B33"/>
    <w:rsid w:val="00B67996"/>
    <w:rsid w:val="00B67A91"/>
    <w:rsid w:val="00B67DC0"/>
    <w:rsid w:val="00B67E8B"/>
    <w:rsid w:val="00B701E4"/>
    <w:rsid w:val="00B70475"/>
    <w:rsid w:val="00B70479"/>
    <w:rsid w:val="00B70915"/>
    <w:rsid w:val="00B70C81"/>
    <w:rsid w:val="00B70C9F"/>
    <w:rsid w:val="00B70CCE"/>
    <w:rsid w:val="00B712C2"/>
    <w:rsid w:val="00B7156A"/>
    <w:rsid w:val="00B7178D"/>
    <w:rsid w:val="00B71EC1"/>
    <w:rsid w:val="00B7238D"/>
    <w:rsid w:val="00B7245E"/>
    <w:rsid w:val="00B72743"/>
    <w:rsid w:val="00B72B25"/>
    <w:rsid w:val="00B72C6C"/>
    <w:rsid w:val="00B73D26"/>
    <w:rsid w:val="00B7465A"/>
    <w:rsid w:val="00B74858"/>
    <w:rsid w:val="00B75122"/>
    <w:rsid w:val="00B75729"/>
    <w:rsid w:val="00B75740"/>
    <w:rsid w:val="00B760AE"/>
    <w:rsid w:val="00B7678F"/>
    <w:rsid w:val="00B76D5A"/>
    <w:rsid w:val="00B776B0"/>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548"/>
    <w:rsid w:val="00B828A3"/>
    <w:rsid w:val="00B82CB6"/>
    <w:rsid w:val="00B82E2E"/>
    <w:rsid w:val="00B834AC"/>
    <w:rsid w:val="00B83661"/>
    <w:rsid w:val="00B83AD7"/>
    <w:rsid w:val="00B84055"/>
    <w:rsid w:val="00B84FCB"/>
    <w:rsid w:val="00B8513C"/>
    <w:rsid w:val="00B851CE"/>
    <w:rsid w:val="00B856CE"/>
    <w:rsid w:val="00B8598D"/>
    <w:rsid w:val="00B85C0E"/>
    <w:rsid w:val="00B85C47"/>
    <w:rsid w:val="00B86792"/>
    <w:rsid w:val="00B867D2"/>
    <w:rsid w:val="00B867F3"/>
    <w:rsid w:val="00B86A3E"/>
    <w:rsid w:val="00B86B0C"/>
    <w:rsid w:val="00B86E7A"/>
    <w:rsid w:val="00B87619"/>
    <w:rsid w:val="00B87665"/>
    <w:rsid w:val="00B876DD"/>
    <w:rsid w:val="00B8782C"/>
    <w:rsid w:val="00B87B59"/>
    <w:rsid w:val="00B87F85"/>
    <w:rsid w:val="00B90635"/>
    <w:rsid w:val="00B907F1"/>
    <w:rsid w:val="00B90801"/>
    <w:rsid w:val="00B90937"/>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3E5C"/>
    <w:rsid w:val="00B94244"/>
    <w:rsid w:val="00B9428B"/>
    <w:rsid w:val="00B9431C"/>
    <w:rsid w:val="00B94334"/>
    <w:rsid w:val="00B94BD6"/>
    <w:rsid w:val="00B951A3"/>
    <w:rsid w:val="00B958C1"/>
    <w:rsid w:val="00B964FB"/>
    <w:rsid w:val="00B966DA"/>
    <w:rsid w:val="00B970A4"/>
    <w:rsid w:val="00B97112"/>
    <w:rsid w:val="00B97925"/>
    <w:rsid w:val="00BA1002"/>
    <w:rsid w:val="00BA15D7"/>
    <w:rsid w:val="00BA1A7F"/>
    <w:rsid w:val="00BA1BB5"/>
    <w:rsid w:val="00BA1ECA"/>
    <w:rsid w:val="00BA273E"/>
    <w:rsid w:val="00BA2B93"/>
    <w:rsid w:val="00BA2C85"/>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80"/>
    <w:rsid w:val="00BB00F8"/>
    <w:rsid w:val="00BB01E5"/>
    <w:rsid w:val="00BB0611"/>
    <w:rsid w:val="00BB0FC6"/>
    <w:rsid w:val="00BB11D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061"/>
    <w:rsid w:val="00BC0759"/>
    <w:rsid w:val="00BC0B66"/>
    <w:rsid w:val="00BC12C6"/>
    <w:rsid w:val="00BC1651"/>
    <w:rsid w:val="00BC177E"/>
    <w:rsid w:val="00BC1CC0"/>
    <w:rsid w:val="00BC1E7B"/>
    <w:rsid w:val="00BC20A7"/>
    <w:rsid w:val="00BC260F"/>
    <w:rsid w:val="00BC2989"/>
    <w:rsid w:val="00BC2AB8"/>
    <w:rsid w:val="00BC2AF3"/>
    <w:rsid w:val="00BC2F41"/>
    <w:rsid w:val="00BC2FBB"/>
    <w:rsid w:val="00BC330E"/>
    <w:rsid w:val="00BC3319"/>
    <w:rsid w:val="00BC388E"/>
    <w:rsid w:val="00BC4045"/>
    <w:rsid w:val="00BC41B1"/>
    <w:rsid w:val="00BC4982"/>
    <w:rsid w:val="00BC4AA3"/>
    <w:rsid w:val="00BC4B87"/>
    <w:rsid w:val="00BC4C6C"/>
    <w:rsid w:val="00BC4E7A"/>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0BB1"/>
    <w:rsid w:val="00BD113C"/>
    <w:rsid w:val="00BD166B"/>
    <w:rsid w:val="00BD19D4"/>
    <w:rsid w:val="00BD2437"/>
    <w:rsid w:val="00BD2598"/>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607B"/>
    <w:rsid w:val="00BD64BD"/>
    <w:rsid w:val="00BD697D"/>
    <w:rsid w:val="00BD6B4E"/>
    <w:rsid w:val="00BD6D03"/>
    <w:rsid w:val="00BD6E79"/>
    <w:rsid w:val="00BD7392"/>
    <w:rsid w:val="00BD74C8"/>
    <w:rsid w:val="00BD7A69"/>
    <w:rsid w:val="00BD7BA7"/>
    <w:rsid w:val="00BD7BCC"/>
    <w:rsid w:val="00BE000B"/>
    <w:rsid w:val="00BE008E"/>
    <w:rsid w:val="00BE05B6"/>
    <w:rsid w:val="00BE06D2"/>
    <w:rsid w:val="00BE0965"/>
    <w:rsid w:val="00BE0A64"/>
    <w:rsid w:val="00BE0C9E"/>
    <w:rsid w:val="00BE0F2D"/>
    <w:rsid w:val="00BE13B3"/>
    <w:rsid w:val="00BE13B9"/>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E7D4D"/>
    <w:rsid w:val="00BF02D4"/>
    <w:rsid w:val="00BF0337"/>
    <w:rsid w:val="00BF046B"/>
    <w:rsid w:val="00BF0893"/>
    <w:rsid w:val="00BF08DD"/>
    <w:rsid w:val="00BF0E20"/>
    <w:rsid w:val="00BF12E8"/>
    <w:rsid w:val="00BF15BD"/>
    <w:rsid w:val="00BF1D03"/>
    <w:rsid w:val="00BF2113"/>
    <w:rsid w:val="00BF2233"/>
    <w:rsid w:val="00BF238F"/>
    <w:rsid w:val="00BF257E"/>
    <w:rsid w:val="00BF25D2"/>
    <w:rsid w:val="00BF2686"/>
    <w:rsid w:val="00BF2A2B"/>
    <w:rsid w:val="00BF2AD9"/>
    <w:rsid w:val="00BF2F97"/>
    <w:rsid w:val="00BF35BB"/>
    <w:rsid w:val="00BF3BBA"/>
    <w:rsid w:val="00BF3CE5"/>
    <w:rsid w:val="00BF4945"/>
    <w:rsid w:val="00BF4F53"/>
    <w:rsid w:val="00BF51AE"/>
    <w:rsid w:val="00BF52F6"/>
    <w:rsid w:val="00BF543F"/>
    <w:rsid w:val="00BF54FE"/>
    <w:rsid w:val="00BF5BA9"/>
    <w:rsid w:val="00BF5D1D"/>
    <w:rsid w:val="00BF5E78"/>
    <w:rsid w:val="00BF6447"/>
    <w:rsid w:val="00BF666C"/>
    <w:rsid w:val="00BF6781"/>
    <w:rsid w:val="00BF6A53"/>
    <w:rsid w:val="00BF6C16"/>
    <w:rsid w:val="00BF6C19"/>
    <w:rsid w:val="00BF6E6A"/>
    <w:rsid w:val="00BF6FB7"/>
    <w:rsid w:val="00BF7EA0"/>
    <w:rsid w:val="00C00409"/>
    <w:rsid w:val="00C0040F"/>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43D"/>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69F"/>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17E3D"/>
    <w:rsid w:val="00C2064A"/>
    <w:rsid w:val="00C2066E"/>
    <w:rsid w:val="00C20B50"/>
    <w:rsid w:val="00C20CF2"/>
    <w:rsid w:val="00C20FF2"/>
    <w:rsid w:val="00C21044"/>
    <w:rsid w:val="00C213D8"/>
    <w:rsid w:val="00C214DF"/>
    <w:rsid w:val="00C21926"/>
    <w:rsid w:val="00C21A0A"/>
    <w:rsid w:val="00C21AA4"/>
    <w:rsid w:val="00C22C0C"/>
    <w:rsid w:val="00C22CDD"/>
    <w:rsid w:val="00C22F2B"/>
    <w:rsid w:val="00C23A01"/>
    <w:rsid w:val="00C23B50"/>
    <w:rsid w:val="00C23B67"/>
    <w:rsid w:val="00C23E24"/>
    <w:rsid w:val="00C240F8"/>
    <w:rsid w:val="00C24295"/>
    <w:rsid w:val="00C247B0"/>
    <w:rsid w:val="00C24D60"/>
    <w:rsid w:val="00C24F2E"/>
    <w:rsid w:val="00C25B5B"/>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61A"/>
    <w:rsid w:val="00C30AD2"/>
    <w:rsid w:val="00C30AE1"/>
    <w:rsid w:val="00C30C5E"/>
    <w:rsid w:val="00C30DD2"/>
    <w:rsid w:val="00C31689"/>
    <w:rsid w:val="00C319D6"/>
    <w:rsid w:val="00C3204F"/>
    <w:rsid w:val="00C322C6"/>
    <w:rsid w:val="00C32471"/>
    <w:rsid w:val="00C32C0D"/>
    <w:rsid w:val="00C3305A"/>
    <w:rsid w:val="00C33353"/>
    <w:rsid w:val="00C33553"/>
    <w:rsid w:val="00C33BAB"/>
    <w:rsid w:val="00C33FBE"/>
    <w:rsid w:val="00C3440D"/>
    <w:rsid w:val="00C34489"/>
    <w:rsid w:val="00C3461E"/>
    <w:rsid w:val="00C348EC"/>
    <w:rsid w:val="00C34DB7"/>
    <w:rsid w:val="00C34DC5"/>
    <w:rsid w:val="00C34DCF"/>
    <w:rsid w:val="00C34EF9"/>
    <w:rsid w:val="00C34F7B"/>
    <w:rsid w:val="00C354FE"/>
    <w:rsid w:val="00C355B3"/>
    <w:rsid w:val="00C35866"/>
    <w:rsid w:val="00C358F8"/>
    <w:rsid w:val="00C3591C"/>
    <w:rsid w:val="00C35F77"/>
    <w:rsid w:val="00C36080"/>
    <w:rsid w:val="00C36D6D"/>
    <w:rsid w:val="00C36DD6"/>
    <w:rsid w:val="00C37026"/>
    <w:rsid w:val="00C3704F"/>
    <w:rsid w:val="00C37A49"/>
    <w:rsid w:val="00C37B1E"/>
    <w:rsid w:val="00C37C8C"/>
    <w:rsid w:val="00C37F96"/>
    <w:rsid w:val="00C40251"/>
    <w:rsid w:val="00C402DD"/>
    <w:rsid w:val="00C4044E"/>
    <w:rsid w:val="00C404A7"/>
    <w:rsid w:val="00C406F0"/>
    <w:rsid w:val="00C40815"/>
    <w:rsid w:val="00C40886"/>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3A6C"/>
    <w:rsid w:val="00C44244"/>
    <w:rsid w:val="00C44BAC"/>
    <w:rsid w:val="00C44D76"/>
    <w:rsid w:val="00C44F26"/>
    <w:rsid w:val="00C44FA1"/>
    <w:rsid w:val="00C45739"/>
    <w:rsid w:val="00C4585F"/>
    <w:rsid w:val="00C458C7"/>
    <w:rsid w:val="00C461E7"/>
    <w:rsid w:val="00C4627B"/>
    <w:rsid w:val="00C465DE"/>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8F2"/>
    <w:rsid w:val="00C53A6A"/>
    <w:rsid w:val="00C54140"/>
    <w:rsid w:val="00C54480"/>
    <w:rsid w:val="00C546C4"/>
    <w:rsid w:val="00C550A1"/>
    <w:rsid w:val="00C550BA"/>
    <w:rsid w:val="00C551FB"/>
    <w:rsid w:val="00C554D5"/>
    <w:rsid w:val="00C557FC"/>
    <w:rsid w:val="00C55A55"/>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A0C"/>
    <w:rsid w:val="00C62C9A"/>
    <w:rsid w:val="00C62CEE"/>
    <w:rsid w:val="00C62F82"/>
    <w:rsid w:val="00C63675"/>
    <w:rsid w:val="00C637B1"/>
    <w:rsid w:val="00C63D0C"/>
    <w:rsid w:val="00C64866"/>
    <w:rsid w:val="00C649E8"/>
    <w:rsid w:val="00C64B9F"/>
    <w:rsid w:val="00C64E11"/>
    <w:rsid w:val="00C64EB4"/>
    <w:rsid w:val="00C64FD1"/>
    <w:rsid w:val="00C65126"/>
    <w:rsid w:val="00C65339"/>
    <w:rsid w:val="00C65593"/>
    <w:rsid w:val="00C656C9"/>
    <w:rsid w:val="00C65705"/>
    <w:rsid w:val="00C65C3A"/>
    <w:rsid w:val="00C66161"/>
    <w:rsid w:val="00C66431"/>
    <w:rsid w:val="00C666DA"/>
    <w:rsid w:val="00C669A1"/>
    <w:rsid w:val="00C675E0"/>
    <w:rsid w:val="00C676C0"/>
    <w:rsid w:val="00C6775E"/>
    <w:rsid w:val="00C677F8"/>
    <w:rsid w:val="00C67851"/>
    <w:rsid w:val="00C67BAA"/>
    <w:rsid w:val="00C67D87"/>
    <w:rsid w:val="00C700FA"/>
    <w:rsid w:val="00C7046E"/>
    <w:rsid w:val="00C714A2"/>
    <w:rsid w:val="00C71622"/>
    <w:rsid w:val="00C71AAC"/>
    <w:rsid w:val="00C71EC0"/>
    <w:rsid w:val="00C71F27"/>
    <w:rsid w:val="00C72113"/>
    <w:rsid w:val="00C728F7"/>
    <w:rsid w:val="00C72AE6"/>
    <w:rsid w:val="00C73666"/>
    <w:rsid w:val="00C73FF9"/>
    <w:rsid w:val="00C740F9"/>
    <w:rsid w:val="00C741F9"/>
    <w:rsid w:val="00C742E3"/>
    <w:rsid w:val="00C744E5"/>
    <w:rsid w:val="00C746EB"/>
    <w:rsid w:val="00C7486F"/>
    <w:rsid w:val="00C76044"/>
    <w:rsid w:val="00C7664E"/>
    <w:rsid w:val="00C76B7A"/>
    <w:rsid w:val="00C76C3A"/>
    <w:rsid w:val="00C76E9E"/>
    <w:rsid w:val="00C77538"/>
    <w:rsid w:val="00C7761B"/>
    <w:rsid w:val="00C7770F"/>
    <w:rsid w:val="00C77B75"/>
    <w:rsid w:val="00C77C49"/>
    <w:rsid w:val="00C77DE6"/>
    <w:rsid w:val="00C77E42"/>
    <w:rsid w:val="00C77FD6"/>
    <w:rsid w:val="00C8013C"/>
    <w:rsid w:val="00C8044D"/>
    <w:rsid w:val="00C80981"/>
    <w:rsid w:val="00C80E75"/>
    <w:rsid w:val="00C8128D"/>
    <w:rsid w:val="00C81890"/>
    <w:rsid w:val="00C822DC"/>
    <w:rsid w:val="00C8240F"/>
    <w:rsid w:val="00C825E7"/>
    <w:rsid w:val="00C82B6B"/>
    <w:rsid w:val="00C82D56"/>
    <w:rsid w:val="00C83187"/>
    <w:rsid w:val="00C8319B"/>
    <w:rsid w:val="00C83697"/>
    <w:rsid w:val="00C83A1B"/>
    <w:rsid w:val="00C83AB3"/>
    <w:rsid w:val="00C840D6"/>
    <w:rsid w:val="00C84669"/>
    <w:rsid w:val="00C8471E"/>
    <w:rsid w:val="00C8473A"/>
    <w:rsid w:val="00C84918"/>
    <w:rsid w:val="00C84A42"/>
    <w:rsid w:val="00C853FD"/>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4C6"/>
    <w:rsid w:val="00C915AC"/>
    <w:rsid w:val="00C91865"/>
    <w:rsid w:val="00C91B67"/>
    <w:rsid w:val="00C91DA9"/>
    <w:rsid w:val="00C9231C"/>
    <w:rsid w:val="00C927F6"/>
    <w:rsid w:val="00C92C76"/>
    <w:rsid w:val="00C92FF2"/>
    <w:rsid w:val="00C93C01"/>
    <w:rsid w:val="00C93E5B"/>
    <w:rsid w:val="00C9403F"/>
    <w:rsid w:val="00C941ED"/>
    <w:rsid w:val="00C94677"/>
    <w:rsid w:val="00C94B54"/>
    <w:rsid w:val="00C94C69"/>
    <w:rsid w:val="00C94D27"/>
    <w:rsid w:val="00C94F21"/>
    <w:rsid w:val="00C956D5"/>
    <w:rsid w:val="00C9575F"/>
    <w:rsid w:val="00C95805"/>
    <w:rsid w:val="00C958C7"/>
    <w:rsid w:val="00C96344"/>
    <w:rsid w:val="00C96505"/>
    <w:rsid w:val="00C9711B"/>
    <w:rsid w:val="00C97213"/>
    <w:rsid w:val="00C97504"/>
    <w:rsid w:val="00C976CC"/>
    <w:rsid w:val="00C9779A"/>
    <w:rsid w:val="00C97933"/>
    <w:rsid w:val="00C97BCF"/>
    <w:rsid w:val="00C97C8C"/>
    <w:rsid w:val="00CA00DD"/>
    <w:rsid w:val="00CA0705"/>
    <w:rsid w:val="00CA0720"/>
    <w:rsid w:val="00CA09CA"/>
    <w:rsid w:val="00CA1237"/>
    <w:rsid w:val="00CA138B"/>
    <w:rsid w:val="00CA1907"/>
    <w:rsid w:val="00CA267C"/>
    <w:rsid w:val="00CA27F2"/>
    <w:rsid w:val="00CA2951"/>
    <w:rsid w:val="00CA2A01"/>
    <w:rsid w:val="00CA2B93"/>
    <w:rsid w:val="00CA2D31"/>
    <w:rsid w:val="00CA3491"/>
    <w:rsid w:val="00CA34AF"/>
    <w:rsid w:val="00CA351F"/>
    <w:rsid w:val="00CA35C4"/>
    <w:rsid w:val="00CA363F"/>
    <w:rsid w:val="00CA3683"/>
    <w:rsid w:val="00CA382C"/>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9C"/>
    <w:rsid w:val="00CA63DE"/>
    <w:rsid w:val="00CA63E8"/>
    <w:rsid w:val="00CA6A87"/>
    <w:rsid w:val="00CA6BD1"/>
    <w:rsid w:val="00CA74B4"/>
    <w:rsid w:val="00CA7714"/>
    <w:rsid w:val="00CA78C1"/>
    <w:rsid w:val="00CA7CF5"/>
    <w:rsid w:val="00CA7CFC"/>
    <w:rsid w:val="00CB07C9"/>
    <w:rsid w:val="00CB084A"/>
    <w:rsid w:val="00CB160E"/>
    <w:rsid w:val="00CB1A18"/>
    <w:rsid w:val="00CB1D30"/>
    <w:rsid w:val="00CB2A77"/>
    <w:rsid w:val="00CB2C43"/>
    <w:rsid w:val="00CB2CC2"/>
    <w:rsid w:val="00CB2CF9"/>
    <w:rsid w:val="00CB2F3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B7F6C"/>
    <w:rsid w:val="00CC1090"/>
    <w:rsid w:val="00CC10C3"/>
    <w:rsid w:val="00CC11DF"/>
    <w:rsid w:val="00CC1717"/>
    <w:rsid w:val="00CC179E"/>
    <w:rsid w:val="00CC1D16"/>
    <w:rsid w:val="00CC1EB3"/>
    <w:rsid w:val="00CC26B2"/>
    <w:rsid w:val="00CC292F"/>
    <w:rsid w:val="00CC2D71"/>
    <w:rsid w:val="00CC31BE"/>
    <w:rsid w:val="00CC3413"/>
    <w:rsid w:val="00CC36EB"/>
    <w:rsid w:val="00CC3737"/>
    <w:rsid w:val="00CC392D"/>
    <w:rsid w:val="00CC399B"/>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0F5"/>
    <w:rsid w:val="00CC64D5"/>
    <w:rsid w:val="00CC690A"/>
    <w:rsid w:val="00CC69D0"/>
    <w:rsid w:val="00CC6DAD"/>
    <w:rsid w:val="00CC70A1"/>
    <w:rsid w:val="00CC714F"/>
    <w:rsid w:val="00CC7347"/>
    <w:rsid w:val="00CC7511"/>
    <w:rsid w:val="00CC7A8B"/>
    <w:rsid w:val="00CC7C1E"/>
    <w:rsid w:val="00CC7C4D"/>
    <w:rsid w:val="00CD0033"/>
    <w:rsid w:val="00CD0E40"/>
    <w:rsid w:val="00CD15BE"/>
    <w:rsid w:val="00CD1A6A"/>
    <w:rsid w:val="00CD1E8F"/>
    <w:rsid w:val="00CD1FF5"/>
    <w:rsid w:val="00CD21B6"/>
    <w:rsid w:val="00CD258A"/>
    <w:rsid w:val="00CD281F"/>
    <w:rsid w:val="00CD28DF"/>
    <w:rsid w:val="00CD2BF8"/>
    <w:rsid w:val="00CD2CB0"/>
    <w:rsid w:val="00CD2D59"/>
    <w:rsid w:val="00CD2EB6"/>
    <w:rsid w:val="00CD3332"/>
    <w:rsid w:val="00CD4075"/>
    <w:rsid w:val="00CD4AF3"/>
    <w:rsid w:val="00CD4CEA"/>
    <w:rsid w:val="00CD5005"/>
    <w:rsid w:val="00CD514B"/>
    <w:rsid w:val="00CD5182"/>
    <w:rsid w:val="00CD5525"/>
    <w:rsid w:val="00CD59DE"/>
    <w:rsid w:val="00CD6B5A"/>
    <w:rsid w:val="00CD6FF8"/>
    <w:rsid w:val="00CD7065"/>
    <w:rsid w:val="00CD7246"/>
    <w:rsid w:val="00CD796E"/>
    <w:rsid w:val="00CD7B31"/>
    <w:rsid w:val="00CE03CC"/>
    <w:rsid w:val="00CE04C9"/>
    <w:rsid w:val="00CE0ED5"/>
    <w:rsid w:val="00CE0F79"/>
    <w:rsid w:val="00CE10A7"/>
    <w:rsid w:val="00CE11F6"/>
    <w:rsid w:val="00CE1475"/>
    <w:rsid w:val="00CE1BCD"/>
    <w:rsid w:val="00CE1D7D"/>
    <w:rsid w:val="00CE1E7C"/>
    <w:rsid w:val="00CE2762"/>
    <w:rsid w:val="00CE2A29"/>
    <w:rsid w:val="00CE2A45"/>
    <w:rsid w:val="00CE2DBB"/>
    <w:rsid w:val="00CE2E78"/>
    <w:rsid w:val="00CE2F51"/>
    <w:rsid w:val="00CE3492"/>
    <w:rsid w:val="00CE3605"/>
    <w:rsid w:val="00CE363E"/>
    <w:rsid w:val="00CE36BD"/>
    <w:rsid w:val="00CE36D5"/>
    <w:rsid w:val="00CE38DE"/>
    <w:rsid w:val="00CE3B17"/>
    <w:rsid w:val="00CE3D87"/>
    <w:rsid w:val="00CE44E4"/>
    <w:rsid w:val="00CE450E"/>
    <w:rsid w:val="00CE48E5"/>
    <w:rsid w:val="00CE4986"/>
    <w:rsid w:val="00CE5303"/>
    <w:rsid w:val="00CE5595"/>
    <w:rsid w:val="00CE560D"/>
    <w:rsid w:val="00CE592A"/>
    <w:rsid w:val="00CE63F6"/>
    <w:rsid w:val="00CE6730"/>
    <w:rsid w:val="00CE6769"/>
    <w:rsid w:val="00CE6910"/>
    <w:rsid w:val="00CE6AF1"/>
    <w:rsid w:val="00CE6DB0"/>
    <w:rsid w:val="00CE6DD8"/>
    <w:rsid w:val="00CE70C8"/>
    <w:rsid w:val="00CE722B"/>
    <w:rsid w:val="00CE726E"/>
    <w:rsid w:val="00CE72E3"/>
    <w:rsid w:val="00CE7388"/>
    <w:rsid w:val="00CE7482"/>
    <w:rsid w:val="00CE7827"/>
    <w:rsid w:val="00CE7863"/>
    <w:rsid w:val="00CE7A0C"/>
    <w:rsid w:val="00CE7E75"/>
    <w:rsid w:val="00CF00AE"/>
    <w:rsid w:val="00CF0E9C"/>
    <w:rsid w:val="00CF0EAE"/>
    <w:rsid w:val="00CF130E"/>
    <w:rsid w:val="00CF1339"/>
    <w:rsid w:val="00CF136F"/>
    <w:rsid w:val="00CF1747"/>
    <w:rsid w:val="00CF17E1"/>
    <w:rsid w:val="00CF1C41"/>
    <w:rsid w:val="00CF1EC9"/>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D51"/>
    <w:rsid w:val="00CF5E80"/>
    <w:rsid w:val="00CF638A"/>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028"/>
    <w:rsid w:val="00D041CD"/>
    <w:rsid w:val="00D045A9"/>
    <w:rsid w:val="00D04ADB"/>
    <w:rsid w:val="00D04B91"/>
    <w:rsid w:val="00D04D8E"/>
    <w:rsid w:val="00D04F9F"/>
    <w:rsid w:val="00D051F8"/>
    <w:rsid w:val="00D053DC"/>
    <w:rsid w:val="00D054A9"/>
    <w:rsid w:val="00D05573"/>
    <w:rsid w:val="00D055E8"/>
    <w:rsid w:val="00D05B06"/>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143"/>
    <w:rsid w:val="00D11222"/>
    <w:rsid w:val="00D11418"/>
    <w:rsid w:val="00D119EE"/>
    <w:rsid w:val="00D11C3E"/>
    <w:rsid w:val="00D121EA"/>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5A9"/>
    <w:rsid w:val="00D15CA1"/>
    <w:rsid w:val="00D15FE5"/>
    <w:rsid w:val="00D162E9"/>
    <w:rsid w:val="00D1671B"/>
    <w:rsid w:val="00D16A6D"/>
    <w:rsid w:val="00D172CD"/>
    <w:rsid w:val="00D1748A"/>
    <w:rsid w:val="00D179F9"/>
    <w:rsid w:val="00D17A5B"/>
    <w:rsid w:val="00D17A67"/>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7E"/>
    <w:rsid w:val="00D24CA8"/>
    <w:rsid w:val="00D24D26"/>
    <w:rsid w:val="00D2512F"/>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2A"/>
    <w:rsid w:val="00D30BED"/>
    <w:rsid w:val="00D30F72"/>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73"/>
    <w:rsid w:val="00D371F3"/>
    <w:rsid w:val="00D3720E"/>
    <w:rsid w:val="00D37371"/>
    <w:rsid w:val="00D374AD"/>
    <w:rsid w:val="00D403E6"/>
    <w:rsid w:val="00D404E2"/>
    <w:rsid w:val="00D40557"/>
    <w:rsid w:val="00D40BF7"/>
    <w:rsid w:val="00D40E0E"/>
    <w:rsid w:val="00D41200"/>
    <w:rsid w:val="00D4133E"/>
    <w:rsid w:val="00D41C63"/>
    <w:rsid w:val="00D41CCD"/>
    <w:rsid w:val="00D42BD6"/>
    <w:rsid w:val="00D42D49"/>
    <w:rsid w:val="00D43120"/>
    <w:rsid w:val="00D4324E"/>
    <w:rsid w:val="00D43560"/>
    <w:rsid w:val="00D43AD3"/>
    <w:rsid w:val="00D43AF5"/>
    <w:rsid w:val="00D43EAE"/>
    <w:rsid w:val="00D44975"/>
    <w:rsid w:val="00D45318"/>
    <w:rsid w:val="00D45660"/>
    <w:rsid w:val="00D45676"/>
    <w:rsid w:val="00D45693"/>
    <w:rsid w:val="00D45A2D"/>
    <w:rsid w:val="00D45E37"/>
    <w:rsid w:val="00D463BC"/>
    <w:rsid w:val="00D4663F"/>
    <w:rsid w:val="00D46724"/>
    <w:rsid w:val="00D46A0F"/>
    <w:rsid w:val="00D46A39"/>
    <w:rsid w:val="00D46B41"/>
    <w:rsid w:val="00D46EFA"/>
    <w:rsid w:val="00D46F34"/>
    <w:rsid w:val="00D4701C"/>
    <w:rsid w:val="00D473D8"/>
    <w:rsid w:val="00D47468"/>
    <w:rsid w:val="00D47538"/>
    <w:rsid w:val="00D47565"/>
    <w:rsid w:val="00D47587"/>
    <w:rsid w:val="00D47720"/>
    <w:rsid w:val="00D50182"/>
    <w:rsid w:val="00D50264"/>
    <w:rsid w:val="00D50299"/>
    <w:rsid w:val="00D50932"/>
    <w:rsid w:val="00D50D02"/>
    <w:rsid w:val="00D50E6F"/>
    <w:rsid w:val="00D511BB"/>
    <w:rsid w:val="00D5154D"/>
    <w:rsid w:val="00D515D3"/>
    <w:rsid w:val="00D51777"/>
    <w:rsid w:val="00D51812"/>
    <w:rsid w:val="00D529A0"/>
    <w:rsid w:val="00D52DBF"/>
    <w:rsid w:val="00D52EF1"/>
    <w:rsid w:val="00D53187"/>
    <w:rsid w:val="00D536FF"/>
    <w:rsid w:val="00D5379C"/>
    <w:rsid w:val="00D53B96"/>
    <w:rsid w:val="00D53F89"/>
    <w:rsid w:val="00D542B8"/>
    <w:rsid w:val="00D542EA"/>
    <w:rsid w:val="00D54609"/>
    <w:rsid w:val="00D54D3B"/>
    <w:rsid w:val="00D54DF8"/>
    <w:rsid w:val="00D54FAD"/>
    <w:rsid w:val="00D550B5"/>
    <w:rsid w:val="00D551EB"/>
    <w:rsid w:val="00D5528F"/>
    <w:rsid w:val="00D556AF"/>
    <w:rsid w:val="00D557CD"/>
    <w:rsid w:val="00D55821"/>
    <w:rsid w:val="00D55AD5"/>
    <w:rsid w:val="00D5603A"/>
    <w:rsid w:val="00D565BA"/>
    <w:rsid w:val="00D568B8"/>
    <w:rsid w:val="00D56AC0"/>
    <w:rsid w:val="00D56DE2"/>
    <w:rsid w:val="00D56E10"/>
    <w:rsid w:val="00D56E8E"/>
    <w:rsid w:val="00D56E96"/>
    <w:rsid w:val="00D56F18"/>
    <w:rsid w:val="00D5701A"/>
    <w:rsid w:val="00D575A2"/>
    <w:rsid w:val="00D5785A"/>
    <w:rsid w:val="00D601E4"/>
    <w:rsid w:val="00D606C9"/>
    <w:rsid w:val="00D60A86"/>
    <w:rsid w:val="00D60D9A"/>
    <w:rsid w:val="00D60F99"/>
    <w:rsid w:val="00D6127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1E1"/>
    <w:rsid w:val="00D65B06"/>
    <w:rsid w:val="00D6624E"/>
    <w:rsid w:val="00D66640"/>
    <w:rsid w:val="00D6670A"/>
    <w:rsid w:val="00D668D1"/>
    <w:rsid w:val="00D669C8"/>
    <w:rsid w:val="00D6704B"/>
    <w:rsid w:val="00D670FB"/>
    <w:rsid w:val="00D67210"/>
    <w:rsid w:val="00D700A4"/>
    <w:rsid w:val="00D70101"/>
    <w:rsid w:val="00D707D5"/>
    <w:rsid w:val="00D70E76"/>
    <w:rsid w:val="00D712CC"/>
    <w:rsid w:val="00D713A3"/>
    <w:rsid w:val="00D7140B"/>
    <w:rsid w:val="00D717F9"/>
    <w:rsid w:val="00D71907"/>
    <w:rsid w:val="00D71C57"/>
    <w:rsid w:val="00D71CE0"/>
    <w:rsid w:val="00D71DBA"/>
    <w:rsid w:val="00D72053"/>
    <w:rsid w:val="00D720EC"/>
    <w:rsid w:val="00D72125"/>
    <w:rsid w:val="00D72171"/>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105"/>
    <w:rsid w:val="00D77606"/>
    <w:rsid w:val="00D77B72"/>
    <w:rsid w:val="00D77BA5"/>
    <w:rsid w:val="00D77D3A"/>
    <w:rsid w:val="00D8041E"/>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E77"/>
    <w:rsid w:val="00D93F63"/>
    <w:rsid w:val="00D94025"/>
    <w:rsid w:val="00D9448B"/>
    <w:rsid w:val="00D9465A"/>
    <w:rsid w:val="00D94A18"/>
    <w:rsid w:val="00D94A9F"/>
    <w:rsid w:val="00D94DA6"/>
    <w:rsid w:val="00D952C2"/>
    <w:rsid w:val="00D95390"/>
    <w:rsid w:val="00D956D4"/>
    <w:rsid w:val="00D95791"/>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F46"/>
    <w:rsid w:val="00DA0FED"/>
    <w:rsid w:val="00DA11CD"/>
    <w:rsid w:val="00DA13C3"/>
    <w:rsid w:val="00DA1830"/>
    <w:rsid w:val="00DA2306"/>
    <w:rsid w:val="00DA2642"/>
    <w:rsid w:val="00DA28CE"/>
    <w:rsid w:val="00DA2AAB"/>
    <w:rsid w:val="00DA2D8C"/>
    <w:rsid w:val="00DA3096"/>
    <w:rsid w:val="00DA31EF"/>
    <w:rsid w:val="00DA33DF"/>
    <w:rsid w:val="00DA34EA"/>
    <w:rsid w:val="00DA3588"/>
    <w:rsid w:val="00DA3720"/>
    <w:rsid w:val="00DA3D21"/>
    <w:rsid w:val="00DA4107"/>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103"/>
    <w:rsid w:val="00DB01D8"/>
    <w:rsid w:val="00DB042E"/>
    <w:rsid w:val="00DB06F6"/>
    <w:rsid w:val="00DB07CB"/>
    <w:rsid w:val="00DB0C6C"/>
    <w:rsid w:val="00DB0CAE"/>
    <w:rsid w:val="00DB0E40"/>
    <w:rsid w:val="00DB114C"/>
    <w:rsid w:val="00DB1409"/>
    <w:rsid w:val="00DB172E"/>
    <w:rsid w:val="00DB1A5E"/>
    <w:rsid w:val="00DB1C34"/>
    <w:rsid w:val="00DB1E0F"/>
    <w:rsid w:val="00DB221C"/>
    <w:rsid w:val="00DB269F"/>
    <w:rsid w:val="00DB27F5"/>
    <w:rsid w:val="00DB2938"/>
    <w:rsid w:val="00DB357B"/>
    <w:rsid w:val="00DB3AB6"/>
    <w:rsid w:val="00DB3B09"/>
    <w:rsid w:val="00DB3D7D"/>
    <w:rsid w:val="00DB3FB2"/>
    <w:rsid w:val="00DB42A1"/>
    <w:rsid w:val="00DB42E5"/>
    <w:rsid w:val="00DB4ABE"/>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6FC3"/>
    <w:rsid w:val="00DB707C"/>
    <w:rsid w:val="00DB72FF"/>
    <w:rsid w:val="00DB753D"/>
    <w:rsid w:val="00DB78E4"/>
    <w:rsid w:val="00DB79DB"/>
    <w:rsid w:val="00DB7EFD"/>
    <w:rsid w:val="00DB7F4B"/>
    <w:rsid w:val="00DC0219"/>
    <w:rsid w:val="00DC04E9"/>
    <w:rsid w:val="00DC088E"/>
    <w:rsid w:val="00DC1083"/>
    <w:rsid w:val="00DC1392"/>
    <w:rsid w:val="00DC159D"/>
    <w:rsid w:val="00DC1BEE"/>
    <w:rsid w:val="00DC1CD2"/>
    <w:rsid w:val="00DC1EB0"/>
    <w:rsid w:val="00DC1EF7"/>
    <w:rsid w:val="00DC2258"/>
    <w:rsid w:val="00DC22AC"/>
    <w:rsid w:val="00DC244A"/>
    <w:rsid w:val="00DC2728"/>
    <w:rsid w:val="00DC28CF"/>
    <w:rsid w:val="00DC2D26"/>
    <w:rsid w:val="00DC2F0F"/>
    <w:rsid w:val="00DC3326"/>
    <w:rsid w:val="00DC34F8"/>
    <w:rsid w:val="00DC3712"/>
    <w:rsid w:val="00DC3724"/>
    <w:rsid w:val="00DC3B4A"/>
    <w:rsid w:val="00DC45A6"/>
    <w:rsid w:val="00DC46F1"/>
    <w:rsid w:val="00DC4732"/>
    <w:rsid w:val="00DC482A"/>
    <w:rsid w:val="00DC4B01"/>
    <w:rsid w:val="00DC4E35"/>
    <w:rsid w:val="00DC52D6"/>
    <w:rsid w:val="00DC58B0"/>
    <w:rsid w:val="00DC60BA"/>
    <w:rsid w:val="00DC62A2"/>
    <w:rsid w:val="00DC62DE"/>
    <w:rsid w:val="00DC65F4"/>
    <w:rsid w:val="00DC69D1"/>
    <w:rsid w:val="00DC6AEF"/>
    <w:rsid w:val="00DC6D0B"/>
    <w:rsid w:val="00DC6D1D"/>
    <w:rsid w:val="00DC6F1C"/>
    <w:rsid w:val="00DC70A0"/>
    <w:rsid w:val="00DC724B"/>
    <w:rsid w:val="00DC76BD"/>
    <w:rsid w:val="00DC7C6B"/>
    <w:rsid w:val="00DC7DC2"/>
    <w:rsid w:val="00DD05B9"/>
    <w:rsid w:val="00DD0A93"/>
    <w:rsid w:val="00DD1089"/>
    <w:rsid w:val="00DD11CE"/>
    <w:rsid w:val="00DD13C4"/>
    <w:rsid w:val="00DD1A6C"/>
    <w:rsid w:val="00DD1D89"/>
    <w:rsid w:val="00DD21A5"/>
    <w:rsid w:val="00DD2754"/>
    <w:rsid w:val="00DD2878"/>
    <w:rsid w:val="00DD2B52"/>
    <w:rsid w:val="00DD2F41"/>
    <w:rsid w:val="00DD32A6"/>
    <w:rsid w:val="00DD36AE"/>
    <w:rsid w:val="00DD387D"/>
    <w:rsid w:val="00DD3D2E"/>
    <w:rsid w:val="00DD4A19"/>
    <w:rsid w:val="00DD4DA2"/>
    <w:rsid w:val="00DD51A7"/>
    <w:rsid w:val="00DD56A4"/>
    <w:rsid w:val="00DD5DA2"/>
    <w:rsid w:val="00DD60BD"/>
    <w:rsid w:val="00DD617C"/>
    <w:rsid w:val="00DD658D"/>
    <w:rsid w:val="00DD6DA1"/>
    <w:rsid w:val="00DD73BF"/>
    <w:rsid w:val="00DD7812"/>
    <w:rsid w:val="00DD7CB4"/>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6DD3"/>
    <w:rsid w:val="00DE7299"/>
    <w:rsid w:val="00DE7387"/>
    <w:rsid w:val="00DE7499"/>
    <w:rsid w:val="00DE7665"/>
    <w:rsid w:val="00DE767B"/>
    <w:rsid w:val="00DE76CF"/>
    <w:rsid w:val="00DE7A5D"/>
    <w:rsid w:val="00DF07AF"/>
    <w:rsid w:val="00DF0808"/>
    <w:rsid w:val="00DF087B"/>
    <w:rsid w:val="00DF0971"/>
    <w:rsid w:val="00DF0D3D"/>
    <w:rsid w:val="00DF1423"/>
    <w:rsid w:val="00DF142C"/>
    <w:rsid w:val="00DF1897"/>
    <w:rsid w:val="00DF1A48"/>
    <w:rsid w:val="00DF1D71"/>
    <w:rsid w:val="00DF1FE9"/>
    <w:rsid w:val="00DF20CB"/>
    <w:rsid w:val="00DF2166"/>
    <w:rsid w:val="00DF23DB"/>
    <w:rsid w:val="00DF258A"/>
    <w:rsid w:val="00DF2641"/>
    <w:rsid w:val="00DF2677"/>
    <w:rsid w:val="00DF2AC9"/>
    <w:rsid w:val="00DF2E21"/>
    <w:rsid w:val="00DF3200"/>
    <w:rsid w:val="00DF33B9"/>
    <w:rsid w:val="00DF3DCF"/>
    <w:rsid w:val="00DF4300"/>
    <w:rsid w:val="00DF489F"/>
    <w:rsid w:val="00DF5554"/>
    <w:rsid w:val="00DF5B9F"/>
    <w:rsid w:val="00DF5E3B"/>
    <w:rsid w:val="00DF5F1D"/>
    <w:rsid w:val="00DF6C01"/>
    <w:rsid w:val="00DF7242"/>
    <w:rsid w:val="00DF73B9"/>
    <w:rsid w:val="00DF74EA"/>
    <w:rsid w:val="00DF7655"/>
    <w:rsid w:val="00DF7C4F"/>
    <w:rsid w:val="00DF7C83"/>
    <w:rsid w:val="00DF7CA1"/>
    <w:rsid w:val="00DF7E55"/>
    <w:rsid w:val="00E00697"/>
    <w:rsid w:val="00E00AD4"/>
    <w:rsid w:val="00E0129C"/>
    <w:rsid w:val="00E012C5"/>
    <w:rsid w:val="00E013DB"/>
    <w:rsid w:val="00E01418"/>
    <w:rsid w:val="00E016D7"/>
    <w:rsid w:val="00E01732"/>
    <w:rsid w:val="00E02007"/>
    <w:rsid w:val="00E027C4"/>
    <w:rsid w:val="00E0291F"/>
    <w:rsid w:val="00E02A64"/>
    <w:rsid w:val="00E02C9F"/>
    <w:rsid w:val="00E03021"/>
    <w:rsid w:val="00E03239"/>
    <w:rsid w:val="00E03668"/>
    <w:rsid w:val="00E037A9"/>
    <w:rsid w:val="00E03D6B"/>
    <w:rsid w:val="00E03F2D"/>
    <w:rsid w:val="00E053E2"/>
    <w:rsid w:val="00E055A9"/>
    <w:rsid w:val="00E056D7"/>
    <w:rsid w:val="00E056FC"/>
    <w:rsid w:val="00E05865"/>
    <w:rsid w:val="00E0594E"/>
    <w:rsid w:val="00E05E84"/>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3CDB"/>
    <w:rsid w:val="00E14384"/>
    <w:rsid w:val="00E14895"/>
    <w:rsid w:val="00E14F04"/>
    <w:rsid w:val="00E154C7"/>
    <w:rsid w:val="00E155F0"/>
    <w:rsid w:val="00E15839"/>
    <w:rsid w:val="00E15E57"/>
    <w:rsid w:val="00E15FCC"/>
    <w:rsid w:val="00E16547"/>
    <w:rsid w:val="00E167C2"/>
    <w:rsid w:val="00E167C7"/>
    <w:rsid w:val="00E1696D"/>
    <w:rsid w:val="00E174E0"/>
    <w:rsid w:val="00E17DFE"/>
    <w:rsid w:val="00E17EA9"/>
    <w:rsid w:val="00E20198"/>
    <w:rsid w:val="00E209CF"/>
    <w:rsid w:val="00E20B01"/>
    <w:rsid w:val="00E20CD6"/>
    <w:rsid w:val="00E20CF2"/>
    <w:rsid w:val="00E20E4C"/>
    <w:rsid w:val="00E20ECC"/>
    <w:rsid w:val="00E20F12"/>
    <w:rsid w:val="00E20F68"/>
    <w:rsid w:val="00E20FA1"/>
    <w:rsid w:val="00E211CC"/>
    <w:rsid w:val="00E213A0"/>
    <w:rsid w:val="00E21573"/>
    <w:rsid w:val="00E21F67"/>
    <w:rsid w:val="00E22880"/>
    <w:rsid w:val="00E229C9"/>
    <w:rsid w:val="00E22C04"/>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BC1"/>
    <w:rsid w:val="00E25C3E"/>
    <w:rsid w:val="00E25E22"/>
    <w:rsid w:val="00E25FF8"/>
    <w:rsid w:val="00E261FD"/>
    <w:rsid w:val="00E26476"/>
    <w:rsid w:val="00E266A9"/>
    <w:rsid w:val="00E267EA"/>
    <w:rsid w:val="00E26878"/>
    <w:rsid w:val="00E270D8"/>
    <w:rsid w:val="00E271AE"/>
    <w:rsid w:val="00E27356"/>
    <w:rsid w:val="00E27807"/>
    <w:rsid w:val="00E27907"/>
    <w:rsid w:val="00E27C7A"/>
    <w:rsid w:val="00E30555"/>
    <w:rsid w:val="00E3145F"/>
    <w:rsid w:val="00E31AAB"/>
    <w:rsid w:val="00E32074"/>
    <w:rsid w:val="00E32144"/>
    <w:rsid w:val="00E32659"/>
    <w:rsid w:val="00E32A19"/>
    <w:rsid w:val="00E334B5"/>
    <w:rsid w:val="00E33530"/>
    <w:rsid w:val="00E336F2"/>
    <w:rsid w:val="00E33773"/>
    <w:rsid w:val="00E337DC"/>
    <w:rsid w:val="00E33A40"/>
    <w:rsid w:val="00E33EBF"/>
    <w:rsid w:val="00E34A61"/>
    <w:rsid w:val="00E34AD1"/>
    <w:rsid w:val="00E34B70"/>
    <w:rsid w:val="00E34CB9"/>
    <w:rsid w:val="00E34E42"/>
    <w:rsid w:val="00E35687"/>
    <w:rsid w:val="00E3593D"/>
    <w:rsid w:val="00E3654C"/>
    <w:rsid w:val="00E36555"/>
    <w:rsid w:val="00E3663B"/>
    <w:rsid w:val="00E3719C"/>
    <w:rsid w:val="00E375C2"/>
    <w:rsid w:val="00E378A9"/>
    <w:rsid w:val="00E37A73"/>
    <w:rsid w:val="00E37D3A"/>
    <w:rsid w:val="00E37E2C"/>
    <w:rsid w:val="00E40C2F"/>
    <w:rsid w:val="00E418BB"/>
    <w:rsid w:val="00E41D4B"/>
    <w:rsid w:val="00E42530"/>
    <w:rsid w:val="00E4272A"/>
    <w:rsid w:val="00E42953"/>
    <w:rsid w:val="00E43216"/>
    <w:rsid w:val="00E432CD"/>
    <w:rsid w:val="00E4332B"/>
    <w:rsid w:val="00E43854"/>
    <w:rsid w:val="00E43882"/>
    <w:rsid w:val="00E439AD"/>
    <w:rsid w:val="00E442BE"/>
    <w:rsid w:val="00E4436A"/>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68C"/>
    <w:rsid w:val="00E5080D"/>
    <w:rsid w:val="00E5089D"/>
    <w:rsid w:val="00E50990"/>
    <w:rsid w:val="00E50BB5"/>
    <w:rsid w:val="00E50C1D"/>
    <w:rsid w:val="00E50C9B"/>
    <w:rsid w:val="00E50CAE"/>
    <w:rsid w:val="00E510FB"/>
    <w:rsid w:val="00E51384"/>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7B6"/>
    <w:rsid w:val="00E5789C"/>
    <w:rsid w:val="00E57B6B"/>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2C15"/>
    <w:rsid w:val="00E62C55"/>
    <w:rsid w:val="00E6303A"/>
    <w:rsid w:val="00E632FE"/>
    <w:rsid w:val="00E63443"/>
    <w:rsid w:val="00E63492"/>
    <w:rsid w:val="00E63797"/>
    <w:rsid w:val="00E63ADE"/>
    <w:rsid w:val="00E63ECB"/>
    <w:rsid w:val="00E642D8"/>
    <w:rsid w:val="00E64C2A"/>
    <w:rsid w:val="00E65020"/>
    <w:rsid w:val="00E65720"/>
    <w:rsid w:val="00E65A97"/>
    <w:rsid w:val="00E65F35"/>
    <w:rsid w:val="00E65F45"/>
    <w:rsid w:val="00E664EC"/>
    <w:rsid w:val="00E66600"/>
    <w:rsid w:val="00E66787"/>
    <w:rsid w:val="00E66B64"/>
    <w:rsid w:val="00E66D2D"/>
    <w:rsid w:val="00E66F35"/>
    <w:rsid w:val="00E66F94"/>
    <w:rsid w:val="00E674ED"/>
    <w:rsid w:val="00E67B32"/>
    <w:rsid w:val="00E67E1C"/>
    <w:rsid w:val="00E67EC5"/>
    <w:rsid w:val="00E707F1"/>
    <w:rsid w:val="00E70C38"/>
    <w:rsid w:val="00E71001"/>
    <w:rsid w:val="00E711C0"/>
    <w:rsid w:val="00E71848"/>
    <w:rsid w:val="00E71998"/>
    <w:rsid w:val="00E723B7"/>
    <w:rsid w:val="00E7299E"/>
    <w:rsid w:val="00E72A77"/>
    <w:rsid w:val="00E72AE4"/>
    <w:rsid w:val="00E72C3B"/>
    <w:rsid w:val="00E72DE9"/>
    <w:rsid w:val="00E72DF1"/>
    <w:rsid w:val="00E7308D"/>
    <w:rsid w:val="00E73DF8"/>
    <w:rsid w:val="00E7412C"/>
    <w:rsid w:val="00E74564"/>
    <w:rsid w:val="00E747CD"/>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894"/>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509"/>
    <w:rsid w:val="00E8580C"/>
    <w:rsid w:val="00E858D7"/>
    <w:rsid w:val="00E85B69"/>
    <w:rsid w:val="00E86435"/>
    <w:rsid w:val="00E86540"/>
    <w:rsid w:val="00E865E4"/>
    <w:rsid w:val="00E86A0D"/>
    <w:rsid w:val="00E86A98"/>
    <w:rsid w:val="00E86D73"/>
    <w:rsid w:val="00E86EEA"/>
    <w:rsid w:val="00E87131"/>
    <w:rsid w:val="00E9040D"/>
    <w:rsid w:val="00E90701"/>
    <w:rsid w:val="00E9072C"/>
    <w:rsid w:val="00E90871"/>
    <w:rsid w:val="00E90ABF"/>
    <w:rsid w:val="00E90BFE"/>
    <w:rsid w:val="00E9129C"/>
    <w:rsid w:val="00E91A6F"/>
    <w:rsid w:val="00E925F3"/>
    <w:rsid w:val="00E9268A"/>
    <w:rsid w:val="00E926F7"/>
    <w:rsid w:val="00E9283B"/>
    <w:rsid w:val="00E92980"/>
    <w:rsid w:val="00E92A25"/>
    <w:rsid w:val="00E92C4C"/>
    <w:rsid w:val="00E92D97"/>
    <w:rsid w:val="00E92FC4"/>
    <w:rsid w:val="00E93241"/>
    <w:rsid w:val="00E9355E"/>
    <w:rsid w:val="00E9420E"/>
    <w:rsid w:val="00E94361"/>
    <w:rsid w:val="00E94505"/>
    <w:rsid w:val="00E9452E"/>
    <w:rsid w:val="00E94BFD"/>
    <w:rsid w:val="00E94E29"/>
    <w:rsid w:val="00E955E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15C2"/>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4EF"/>
    <w:rsid w:val="00EB0C85"/>
    <w:rsid w:val="00EB0ED9"/>
    <w:rsid w:val="00EB10D6"/>
    <w:rsid w:val="00EB12EF"/>
    <w:rsid w:val="00EB174F"/>
    <w:rsid w:val="00EB1EE7"/>
    <w:rsid w:val="00EB200F"/>
    <w:rsid w:val="00EB2877"/>
    <w:rsid w:val="00EB2955"/>
    <w:rsid w:val="00EB2AB0"/>
    <w:rsid w:val="00EB2BD7"/>
    <w:rsid w:val="00EB3048"/>
    <w:rsid w:val="00EB320B"/>
    <w:rsid w:val="00EB3213"/>
    <w:rsid w:val="00EB3546"/>
    <w:rsid w:val="00EB3BE7"/>
    <w:rsid w:val="00EB411E"/>
    <w:rsid w:val="00EB4267"/>
    <w:rsid w:val="00EB4630"/>
    <w:rsid w:val="00EB463A"/>
    <w:rsid w:val="00EB4680"/>
    <w:rsid w:val="00EB4959"/>
    <w:rsid w:val="00EB4CB4"/>
    <w:rsid w:val="00EB59E3"/>
    <w:rsid w:val="00EB5AC0"/>
    <w:rsid w:val="00EB5B24"/>
    <w:rsid w:val="00EB5B7C"/>
    <w:rsid w:val="00EB5E86"/>
    <w:rsid w:val="00EB5F62"/>
    <w:rsid w:val="00EB6230"/>
    <w:rsid w:val="00EB67FA"/>
    <w:rsid w:val="00EB690D"/>
    <w:rsid w:val="00EB694D"/>
    <w:rsid w:val="00EB6C37"/>
    <w:rsid w:val="00EB6D58"/>
    <w:rsid w:val="00EB6F96"/>
    <w:rsid w:val="00EB7692"/>
    <w:rsid w:val="00EB77D7"/>
    <w:rsid w:val="00EB7A4A"/>
    <w:rsid w:val="00EB7BD3"/>
    <w:rsid w:val="00EB7C6F"/>
    <w:rsid w:val="00EB7D94"/>
    <w:rsid w:val="00EB7F29"/>
    <w:rsid w:val="00EB7F9B"/>
    <w:rsid w:val="00EC00DF"/>
    <w:rsid w:val="00EC00F3"/>
    <w:rsid w:val="00EC057A"/>
    <w:rsid w:val="00EC08AB"/>
    <w:rsid w:val="00EC0A06"/>
    <w:rsid w:val="00EC0A62"/>
    <w:rsid w:val="00EC0AE2"/>
    <w:rsid w:val="00EC10B2"/>
    <w:rsid w:val="00EC117F"/>
    <w:rsid w:val="00EC12F8"/>
    <w:rsid w:val="00EC13C2"/>
    <w:rsid w:val="00EC1727"/>
    <w:rsid w:val="00EC186C"/>
    <w:rsid w:val="00EC195E"/>
    <w:rsid w:val="00EC214B"/>
    <w:rsid w:val="00EC2299"/>
    <w:rsid w:val="00EC2820"/>
    <w:rsid w:val="00EC2840"/>
    <w:rsid w:val="00EC2DEA"/>
    <w:rsid w:val="00EC2F1F"/>
    <w:rsid w:val="00EC3040"/>
    <w:rsid w:val="00EC31D5"/>
    <w:rsid w:val="00EC3A59"/>
    <w:rsid w:val="00EC3B96"/>
    <w:rsid w:val="00EC3DBB"/>
    <w:rsid w:val="00EC3E00"/>
    <w:rsid w:val="00EC411D"/>
    <w:rsid w:val="00EC42B9"/>
    <w:rsid w:val="00EC44B1"/>
    <w:rsid w:val="00EC47F3"/>
    <w:rsid w:val="00EC4C2A"/>
    <w:rsid w:val="00EC4F7B"/>
    <w:rsid w:val="00EC57F6"/>
    <w:rsid w:val="00EC5928"/>
    <w:rsid w:val="00EC5A72"/>
    <w:rsid w:val="00EC5EEC"/>
    <w:rsid w:val="00EC5F8D"/>
    <w:rsid w:val="00EC6284"/>
    <w:rsid w:val="00EC6346"/>
    <w:rsid w:val="00EC6377"/>
    <w:rsid w:val="00EC6490"/>
    <w:rsid w:val="00EC68D1"/>
    <w:rsid w:val="00EC6D34"/>
    <w:rsid w:val="00EC70A4"/>
    <w:rsid w:val="00EC75AC"/>
    <w:rsid w:val="00EC7A30"/>
    <w:rsid w:val="00ED0056"/>
    <w:rsid w:val="00ED0474"/>
    <w:rsid w:val="00ED0AC3"/>
    <w:rsid w:val="00ED0D26"/>
    <w:rsid w:val="00ED137D"/>
    <w:rsid w:val="00ED1496"/>
    <w:rsid w:val="00ED178E"/>
    <w:rsid w:val="00ED1AA3"/>
    <w:rsid w:val="00ED2289"/>
    <w:rsid w:val="00ED2890"/>
    <w:rsid w:val="00ED2A8A"/>
    <w:rsid w:val="00ED380B"/>
    <w:rsid w:val="00ED3BD6"/>
    <w:rsid w:val="00ED44B9"/>
    <w:rsid w:val="00ED45A6"/>
    <w:rsid w:val="00ED492C"/>
    <w:rsid w:val="00ED49D6"/>
    <w:rsid w:val="00ED4F18"/>
    <w:rsid w:val="00ED51AA"/>
    <w:rsid w:val="00ED53F1"/>
    <w:rsid w:val="00ED53FF"/>
    <w:rsid w:val="00ED5636"/>
    <w:rsid w:val="00ED5C9F"/>
    <w:rsid w:val="00ED5E34"/>
    <w:rsid w:val="00ED64E1"/>
    <w:rsid w:val="00ED6976"/>
    <w:rsid w:val="00ED73DB"/>
    <w:rsid w:val="00ED766F"/>
    <w:rsid w:val="00ED785D"/>
    <w:rsid w:val="00ED7B5F"/>
    <w:rsid w:val="00ED7DDC"/>
    <w:rsid w:val="00ED7E3F"/>
    <w:rsid w:val="00EE02ED"/>
    <w:rsid w:val="00EE02FD"/>
    <w:rsid w:val="00EE059A"/>
    <w:rsid w:val="00EE0E0F"/>
    <w:rsid w:val="00EE12A2"/>
    <w:rsid w:val="00EE16DC"/>
    <w:rsid w:val="00EE1AD2"/>
    <w:rsid w:val="00EE1EEC"/>
    <w:rsid w:val="00EE1FE0"/>
    <w:rsid w:val="00EE26CD"/>
    <w:rsid w:val="00EE27A0"/>
    <w:rsid w:val="00EE2A9F"/>
    <w:rsid w:val="00EE2F18"/>
    <w:rsid w:val="00EE327B"/>
    <w:rsid w:val="00EE3406"/>
    <w:rsid w:val="00EE34C0"/>
    <w:rsid w:val="00EE3C10"/>
    <w:rsid w:val="00EE3E28"/>
    <w:rsid w:val="00EE3F04"/>
    <w:rsid w:val="00EE4021"/>
    <w:rsid w:val="00EE41F8"/>
    <w:rsid w:val="00EE4283"/>
    <w:rsid w:val="00EE4799"/>
    <w:rsid w:val="00EE48D8"/>
    <w:rsid w:val="00EE490B"/>
    <w:rsid w:val="00EE539F"/>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8F"/>
    <w:rsid w:val="00EF45D1"/>
    <w:rsid w:val="00EF4813"/>
    <w:rsid w:val="00EF5062"/>
    <w:rsid w:val="00EF58BE"/>
    <w:rsid w:val="00EF59AD"/>
    <w:rsid w:val="00EF5F55"/>
    <w:rsid w:val="00EF60AC"/>
    <w:rsid w:val="00EF6D10"/>
    <w:rsid w:val="00EF6E09"/>
    <w:rsid w:val="00EF702B"/>
    <w:rsid w:val="00EF7149"/>
    <w:rsid w:val="00EF737F"/>
    <w:rsid w:val="00EF7EE1"/>
    <w:rsid w:val="00F00122"/>
    <w:rsid w:val="00F00C25"/>
    <w:rsid w:val="00F00C62"/>
    <w:rsid w:val="00F00F6C"/>
    <w:rsid w:val="00F014A6"/>
    <w:rsid w:val="00F01B0F"/>
    <w:rsid w:val="00F01D9A"/>
    <w:rsid w:val="00F01E74"/>
    <w:rsid w:val="00F01EC8"/>
    <w:rsid w:val="00F02473"/>
    <w:rsid w:val="00F025BF"/>
    <w:rsid w:val="00F025DB"/>
    <w:rsid w:val="00F0260B"/>
    <w:rsid w:val="00F02688"/>
    <w:rsid w:val="00F02835"/>
    <w:rsid w:val="00F02B66"/>
    <w:rsid w:val="00F02C6D"/>
    <w:rsid w:val="00F02F8A"/>
    <w:rsid w:val="00F034A2"/>
    <w:rsid w:val="00F03570"/>
    <w:rsid w:val="00F03649"/>
    <w:rsid w:val="00F0374C"/>
    <w:rsid w:val="00F03762"/>
    <w:rsid w:val="00F03966"/>
    <w:rsid w:val="00F03CE2"/>
    <w:rsid w:val="00F03FDE"/>
    <w:rsid w:val="00F04019"/>
    <w:rsid w:val="00F040A0"/>
    <w:rsid w:val="00F04373"/>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258"/>
    <w:rsid w:val="00F073FF"/>
    <w:rsid w:val="00F07616"/>
    <w:rsid w:val="00F079E9"/>
    <w:rsid w:val="00F07B8D"/>
    <w:rsid w:val="00F1027D"/>
    <w:rsid w:val="00F1156A"/>
    <w:rsid w:val="00F11D5A"/>
    <w:rsid w:val="00F11E67"/>
    <w:rsid w:val="00F11F33"/>
    <w:rsid w:val="00F1240F"/>
    <w:rsid w:val="00F12519"/>
    <w:rsid w:val="00F125B1"/>
    <w:rsid w:val="00F12881"/>
    <w:rsid w:val="00F12CE1"/>
    <w:rsid w:val="00F135A2"/>
    <w:rsid w:val="00F136AC"/>
    <w:rsid w:val="00F13747"/>
    <w:rsid w:val="00F13B95"/>
    <w:rsid w:val="00F1425C"/>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4AB"/>
    <w:rsid w:val="00F176F4"/>
    <w:rsid w:val="00F17BF1"/>
    <w:rsid w:val="00F17E01"/>
    <w:rsid w:val="00F201C8"/>
    <w:rsid w:val="00F201D4"/>
    <w:rsid w:val="00F205C6"/>
    <w:rsid w:val="00F20E12"/>
    <w:rsid w:val="00F212AE"/>
    <w:rsid w:val="00F21329"/>
    <w:rsid w:val="00F21395"/>
    <w:rsid w:val="00F222D6"/>
    <w:rsid w:val="00F225FC"/>
    <w:rsid w:val="00F22A4A"/>
    <w:rsid w:val="00F230ED"/>
    <w:rsid w:val="00F23391"/>
    <w:rsid w:val="00F233FB"/>
    <w:rsid w:val="00F234F6"/>
    <w:rsid w:val="00F23CD8"/>
    <w:rsid w:val="00F241FE"/>
    <w:rsid w:val="00F24764"/>
    <w:rsid w:val="00F24A12"/>
    <w:rsid w:val="00F24E0A"/>
    <w:rsid w:val="00F2523A"/>
    <w:rsid w:val="00F2559C"/>
    <w:rsid w:val="00F2572A"/>
    <w:rsid w:val="00F259A2"/>
    <w:rsid w:val="00F25E23"/>
    <w:rsid w:val="00F26036"/>
    <w:rsid w:val="00F26094"/>
    <w:rsid w:val="00F26162"/>
    <w:rsid w:val="00F263EE"/>
    <w:rsid w:val="00F266A4"/>
    <w:rsid w:val="00F2694B"/>
    <w:rsid w:val="00F269E0"/>
    <w:rsid w:val="00F26ECE"/>
    <w:rsid w:val="00F271F3"/>
    <w:rsid w:val="00F27D69"/>
    <w:rsid w:val="00F27E47"/>
    <w:rsid w:val="00F27E92"/>
    <w:rsid w:val="00F30109"/>
    <w:rsid w:val="00F3016A"/>
    <w:rsid w:val="00F30A4B"/>
    <w:rsid w:val="00F30EF0"/>
    <w:rsid w:val="00F31527"/>
    <w:rsid w:val="00F316EA"/>
    <w:rsid w:val="00F31965"/>
    <w:rsid w:val="00F31C46"/>
    <w:rsid w:val="00F31E58"/>
    <w:rsid w:val="00F32101"/>
    <w:rsid w:val="00F32B9A"/>
    <w:rsid w:val="00F3384B"/>
    <w:rsid w:val="00F338FF"/>
    <w:rsid w:val="00F33B0E"/>
    <w:rsid w:val="00F3403A"/>
    <w:rsid w:val="00F3498D"/>
    <w:rsid w:val="00F35082"/>
    <w:rsid w:val="00F353BB"/>
    <w:rsid w:val="00F35619"/>
    <w:rsid w:val="00F35828"/>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0D5"/>
    <w:rsid w:val="00F415A5"/>
    <w:rsid w:val="00F41C85"/>
    <w:rsid w:val="00F41DFF"/>
    <w:rsid w:val="00F41ECA"/>
    <w:rsid w:val="00F421F5"/>
    <w:rsid w:val="00F42608"/>
    <w:rsid w:val="00F42AED"/>
    <w:rsid w:val="00F42E1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6F2"/>
    <w:rsid w:val="00F458FD"/>
    <w:rsid w:val="00F46B8E"/>
    <w:rsid w:val="00F46E69"/>
    <w:rsid w:val="00F4759A"/>
    <w:rsid w:val="00F47F80"/>
    <w:rsid w:val="00F50D3A"/>
    <w:rsid w:val="00F50F38"/>
    <w:rsid w:val="00F5146E"/>
    <w:rsid w:val="00F517ED"/>
    <w:rsid w:val="00F5195A"/>
    <w:rsid w:val="00F520AA"/>
    <w:rsid w:val="00F5210C"/>
    <w:rsid w:val="00F52781"/>
    <w:rsid w:val="00F5279D"/>
    <w:rsid w:val="00F52BD3"/>
    <w:rsid w:val="00F52E01"/>
    <w:rsid w:val="00F52E0A"/>
    <w:rsid w:val="00F52F00"/>
    <w:rsid w:val="00F530E9"/>
    <w:rsid w:val="00F535F5"/>
    <w:rsid w:val="00F536C6"/>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229A"/>
    <w:rsid w:val="00F62427"/>
    <w:rsid w:val="00F62491"/>
    <w:rsid w:val="00F624A9"/>
    <w:rsid w:val="00F62597"/>
    <w:rsid w:val="00F62CE8"/>
    <w:rsid w:val="00F630C4"/>
    <w:rsid w:val="00F6318C"/>
    <w:rsid w:val="00F631D5"/>
    <w:rsid w:val="00F63A4C"/>
    <w:rsid w:val="00F63CB7"/>
    <w:rsid w:val="00F645A9"/>
    <w:rsid w:val="00F64842"/>
    <w:rsid w:val="00F65032"/>
    <w:rsid w:val="00F65706"/>
    <w:rsid w:val="00F6584D"/>
    <w:rsid w:val="00F65FE4"/>
    <w:rsid w:val="00F6610F"/>
    <w:rsid w:val="00F6612B"/>
    <w:rsid w:val="00F662AF"/>
    <w:rsid w:val="00F66764"/>
    <w:rsid w:val="00F66889"/>
    <w:rsid w:val="00F66A28"/>
    <w:rsid w:val="00F66BAA"/>
    <w:rsid w:val="00F66BD7"/>
    <w:rsid w:val="00F6718E"/>
    <w:rsid w:val="00F6734A"/>
    <w:rsid w:val="00F6772C"/>
    <w:rsid w:val="00F679B3"/>
    <w:rsid w:val="00F67C50"/>
    <w:rsid w:val="00F67F38"/>
    <w:rsid w:val="00F70003"/>
    <w:rsid w:val="00F70631"/>
    <w:rsid w:val="00F70A15"/>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579"/>
    <w:rsid w:val="00F76BE4"/>
    <w:rsid w:val="00F7742C"/>
    <w:rsid w:val="00F774CE"/>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3AEF"/>
    <w:rsid w:val="00F84016"/>
    <w:rsid w:val="00F84735"/>
    <w:rsid w:val="00F84B2C"/>
    <w:rsid w:val="00F84C44"/>
    <w:rsid w:val="00F84C78"/>
    <w:rsid w:val="00F84F74"/>
    <w:rsid w:val="00F85046"/>
    <w:rsid w:val="00F857E5"/>
    <w:rsid w:val="00F86078"/>
    <w:rsid w:val="00F86231"/>
    <w:rsid w:val="00F863DB"/>
    <w:rsid w:val="00F86508"/>
    <w:rsid w:val="00F86595"/>
    <w:rsid w:val="00F86979"/>
    <w:rsid w:val="00F86BB1"/>
    <w:rsid w:val="00F8708F"/>
    <w:rsid w:val="00F87294"/>
    <w:rsid w:val="00F875BC"/>
    <w:rsid w:val="00F87742"/>
    <w:rsid w:val="00F877D1"/>
    <w:rsid w:val="00F87FCE"/>
    <w:rsid w:val="00F9020F"/>
    <w:rsid w:val="00F90582"/>
    <w:rsid w:val="00F906B1"/>
    <w:rsid w:val="00F90C8C"/>
    <w:rsid w:val="00F90F15"/>
    <w:rsid w:val="00F91121"/>
    <w:rsid w:val="00F91A6F"/>
    <w:rsid w:val="00F91A78"/>
    <w:rsid w:val="00F91B9A"/>
    <w:rsid w:val="00F91C79"/>
    <w:rsid w:val="00F91F65"/>
    <w:rsid w:val="00F92573"/>
    <w:rsid w:val="00F92866"/>
    <w:rsid w:val="00F92B1A"/>
    <w:rsid w:val="00F92C74"/>
    <w:rsid w:val="00F932A2"/>
    <w:rsid w:val="00F93638"/>
    <w:rsid w:val="00F937DC"/>
    <w:rsid w:val="00F93DA1"/>
    <w:rsid w:val="00F93DD3"/>
    <w:rsid w:val="00F94285"/>
    <w:rsid w:val="00F94677"/>
    <w:rsid w:val="00F948C9"/>
    <w:rsid w:val="00F949BD"/>
    <w:rsid w:val="00F949E4"/>
    <w:rsid w:val="00F94EB4"/>
    <w:rsid w:val="00F9558B"/>
    <w:rsid w:val="00F95647"/>
    <w:rsid w:val="00F95DB7"/>
    <w:rsid w:val="00F9633D"/>
    <w:rsid w:val="00F964AF"/>
    <w:rsid w:val="00F96514"/>
    <w:rsid w:val="00F9675A"/>
    <w:rsid w:val="00F96779"/>
    <w:rsid w:val="00F968D4"/>
    <w:rsid w:val="00F96ABE"/>
    <w:rsid w:val="00F96FC6"/>
    <w:rsid w:val="00F97663"/>
    <w:rsid w:val="00F97978"/>
    <w:rsid w:val="00F97D6C"/>
    <w:rsid w:val="00F97FFD"/>
    <w:rsid w:val="00FA008A"/>
    <w:rsid w:val="00FA0A28"/>
    <w:rsid w:val="00FA0B81"/>
    <w:rsid w:val="00FA186E"/>
    <w:rsid w:val="00FA2156"/>
    <w:rsid w:val="00FA2257"/>
    <w:rsid w:val="00FA24B6"/>
    <w:rsid w:val="00FA2A06"/>
    <w:rsid w:val="00FA2A1D"/>
    <w:rsid w:val="00FA2AF7"/>
    <w:rsid w:val="00FA31B8"/>
    <w:rsid w:val="00FA3457"/>
    <w:rsid w:val="00FA3730"/>
    <w:rsid w:val="00FA426B"/>
    <w:rsid w:val="00FA46BF"/>
    <w:rsid w:val="00FA47B9"/>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3087"/>
    <w:rsid w:val="00FB3155"/>
    <w:rsid w:val="00FB334D"/>
    <w:rsid w:val="00FB3FD6"/>
    <w:rsid w:val="00FB45D6"/>
    <w:rsid w:val="00FB472C"/>
    <w:rsid w:val="00FB4A49"/>
    <w:rsid w:val="00FB4D66"/>
    <w:rsid w:val="00FB4E87"/>
    <w:rsid w:val="00FB4FF5"/>
    <w:rsid w:val="00FB51C5"/>
    <w:rsid w:val="00FB52F3"/>
    <w:rsid w:val="00FB5EA1"/>
    <w:rsid w:val="00FB610B"/>
    <w:rsid w:val="00FB65EA"/>
    <w:rsid w:val="00FB67BD"/>
    <w:rsid w:val="00FB6903"/>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388"/>
    <w:rsid w:val="00FC3AB4"/>
    <w:rsid w:val="00FC3EB6"/>
    <w:rsid w:val="00FC44B4"/>
    <w:rsid w:val="00FC4923"/>
    <w:rsid w:val="00FC4950"/>
    <w:rsid w:val="00FC4F6C"/>
    <w:rsid w:val="00FC5A31"/>
    <w:rsid w:val="00FC6970"/>
    <w:rsid w:val="00FC6F72"/>
    <w:rsid w:val="00FC6FCF"/>
    <w:rsid w:val="00FC7251"/>
    <w:rsid w:val="00FC72EC"/>
    <w:rsid w:val="00FC7311"/>
    <w:rsid w:val="00FC7478"/>
    <w:rsid w:val="00FD03A9"/>
    <w:rsid w:val="00FD062C"/>
    <w:rsid w:val="00FD0713"/>
    <w:rsid w:val="00FD0838"/>
    <w:rsid w:val="00FD0DB1"/>
    <w:rsid w:val="00FD1263"/>
    <w:rsid w:val="00FD128B"/>
    <w:rsid w:val="00FD1645"/>
    <w:rsid w:val="00FD1AC8"/>
    <w:rsid w:val="00FD1E34"/>
    <w:rsid w:val="00FD1E46"/>
    <w:rsid w:val="00FD23EC"/>
    <w:rsid w:val="00FD2B17"/>
    <w:rsid w:val="00FD2CB9"/>
    <w:rsid w:val="00FD2F62"/>
    <w:rsid w:val="00FD2F9D"/>
    <w:rsid w:val="00FD2FC7"/>
    <w:rsid w:val="00FD305D"/>
    <w:rsid w:val="00FD32EE"/>
    <w:rsid w:val="00FD3366"/>
    <w:rsid w:val="00FD3831"/>
    <w:rsid w:val="00FD39B9"/>
    <w:rsid w:val="00FD3B0E"/>
    <w:rsid w:val="00FD3D5F"/>
    <w:rsid w:val="00FD3F25"/>
    <w:rsid w:val="00FD3F31"/>
    <w:rsid w:val="00FD444D"/>
    <w:rsid w:val="00FD44BF"/>
    <w:rsid w:val="00FD45F0"/>
    <w:rsid w:val="00FD4FBC"/>
    <w:rsid w:val="00FD516E"/>
    <w:rsid w:val="00FD54C4"/>
    <w:rsid w:val="00FD5AB3"/>
    <w:rsid w:val="00FD5AC0"/>
    <w:rsid w:val="00FD5B34"/>
    <w:rsid w:val="00FD608B"/>
    <w:rsid w:val="00FD635E"/>
    <w:rsid w:val="00FD6388"/>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25"/>
    <w:rsid w:val="00FE1EBD"/>
    <w:rsid w:val="00FE1F0A"/>
    <w:rsid w:val="00FE26D8"/>
    <w:rsid w:val="00FE2C31"/>
    <w:rsid w:val="00FE2E59"/>
    <w:rsid w:val="00FE2E71"/>
    <w:rsid w:val="00FE3A79"/>
    <w:rsid w:val="00FE47BB"/>
    <w:rsid w:val="00FE4AF1"/>
    <w:rsid w:val="00FE4B04"/>
    <w:rsid w:val="00FE5022"/>
    <w:rsid w:val="00FE5403"/>
    <w:rsid w:val="00FE542F"/>
    <w:rsid w:val="00FE5452"/>
    <w:rsid w:val="00FE547F"/>
    <w:rsid w:val="00FE5529"/>
    <w:rsid w:val="00FE5939"/>
    <w:rsid w:val="00FE59FE"/>
    <w:rsid w:val="00FE5F92"/>
    <w:rsid w:val="00FE5F9B"/>
    <w:rsid w:val="00FE6080"/>
    <w:rsid w:val="00FE6EF7"/>
    <w:rsid w:val="00FE72A1"/>
    <w:rsid w:val="00FE73E1"/>
    <w:rsid w:val="00FE74EA"/>
    <w:rsid w:val="00FE7B00"/>
    <w:rsid w:val="00FE7E2B"/>
    <w:rsid w:val="00FE7E3E"/>
    <w:rsid w:val="00FF0240"/>
    <w:rsid w:val="00FF06A1"/>
    <w:rsid w:val="00FF0766"/>
    <w:rsid w:val="00FF0DAD"/>
    <w:rsid w:val="00FF17B4"/>
    <w:rsid w:val="00FF1C20"/>
    <w:rsid w:val="00FF22FB"/>
    <w:rsid w:val="00FF23D5"/>
    <w:rsid w:val="00FF242C"/>
    <w:rsid w:val="00FF2BF3"/>
    <w:rsid w:val="00FF34E5"/>
    <w:rsid w:val="00FF3C33"/>
    <w:rsid w:val="00FF42B8"/>
    <w:rsid w:val="00FF444D"/>
    <w:rsid w:val="00FF45E9"/>
    <w:rsid w:val="00FF502E"/>
    <w:rsid w:val="00FF5210"/>
    <w:rsid w:val="00FF54B4"/>
    <w:rsid w:val="00FF56F6"/>
    <w:rsid w:val="00FF57FF"/>
    <w:rsid w:val="00FF5801"/>
    <w:rsid w:val="00FF5B8C"/>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582DD7"/>
    <w:pPr>
      <w:spacing w:line="288" w:lineRule="auto"/>
      <w:jc w:val="both"/>
    </w:pPr>
    <w:rPr>
      <w:rFonts w:ascii="Gautami" w:eastAsia="Times New Roman" w:hAnsi="Gautami"/>
      <w:szCs w:val="24"/>
    </w:rPr>
  </w:style>
  <w:style w:type="paragraph" w:styleId="Heading1">
    <w:name w:val="heading 1"/>
    <w:basedOn w:val="Normal"/>
    <w:next w:val="Normal"/>
    <w:link w:val="Heading1Char"/>
    <w:qFormat/>
    <w:locked/>
    <w:rsid w:val="009E0F39"/>
    <w:pPr>
      <w:keepNext/>
      <w:keepLines/>
      <w:numPr>
        <w:ilvl w:val="1"/>
        <w:numId w:val="10"/>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0"/>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5"/>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8"/>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3"/>
      </w:numPr>
      <w:spacing w:after="200" w:line="200" w:lineRule="atLeast"/>
    </w:pPr>
    <w:rPr>
      <w:lang w:eastAsia="en-US"/>
    </w:rPr>
  </w:style>
  <w:style w:type="paragraph" w:customStyle="1" w:styleId="Listnumbered3">
    <w:name w:val="List numbered 3"/>
    <w:basedOn w:val="AERbodytext"/>
    <w:qFormat/>
    <w:rsid w:val="009E0F39"/>
    <w:pPr>
      <w:numPr>
        <w:numId w:val="2"/>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cPr>
      <w:shd w:val="clear" w:color="auto" w:fill="auto"/>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4"/>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6"/>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4A442A" w:themeColor="background2" w:themeShade="40"/>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4A442A" w:themeColor="background2" w:themeShade="40"/>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4A442A" w:themeColor="background2" w:themeShade="40"/>
      <w:sz w:val="24"/>
      <w:lang w:eastAsia="en-US"/>
    </w:rPr>
  </w:style>
  <w:style w:type="numbering" w:customStyle="1" w:styleId="AERHeadings">
    <w:name w:val="AER Headings"/>
    <w:uiPriority w:val="99"/>
    <w:rsid w:val="00CF67B7"/>
    <w:pPr>
      <w:numPr>
        <w:numId w:val="7"/>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9"/>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line="240" w:lineRule="auto"/>
      <w:jc w:val="left"/>
    </w:pPr>
    <w:rPr>
      <w:rFonts w:ascii="Times New Roman" w:hAnsi="Times New Roman"/>
      <w:sz w:val="24"/>
    </w:rPr>
  </w:style>
  <w:style w:type="character" w:styleId="Strong">
    <w:name w:val="Strong"/>
    <w:uiPriority w:val="22"/>
    <w:qFormat/>
    <w:locked/>
    <w:rsid w:val="002422F1"/>
    <w:rPr>
      <w:b/>
      <w:bCs/>
    </w:rPr>
  </w:style>
  <w:style w:type="character" w:customStyle="1" w:styleId="displayonly">
    <w:name w:val="display_only"/>
    <w:rsid w:val="0092667D"/>
  </w:style>
  <w:style w:type="character" w:customStyle="1" w:styleId="Heading1Char">
    <w:name w:val="Heading 1 Char"/>
    <w:link w:val="Heading1"/>
    <w:rsid w:val="000856BB"/>
    <w:rPr>
      <w:rFonts w:ascii="Cambria" w:eastAsia="Times New Roman" w:hAnsi="Cambria"/>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6"/>
      </w:numPr>
    </w:pPr>
  </w:style>
  <w:style w:type="numbering" w:customStyle="1" w:styleId="AERtabletitle">
    <w:name w:val="AERHeadings"/>
    <w:pPr>
      <w:numPr>
        <w:numId w:val="7"/>
      </w:numPr>
    </w:pPr>
  </w:style>
  <w:style w:type="numbering" w:customStyle="1" w:styleId="Figureheading">
    <w:name w:val="AERnumbered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64643041">
      <w:bodyDiv w:val="1"/>
      <w:marLeft w:val="0"/>
      <w:marRight w:val="0"/>
      <w:marTop w:val="0"/>
      <w:marBottom w:val="0"/>
      <w:divBdr>
        <w:top w:val="none" w:sz="0" w:space="0" w:color="auto"/>
        <w:left w:val="none" w:sz="0" w:space="0" w:color="auto"/>
        <w:bottom w:val="none" w:sz="0" w:space="0" w:color="auto"/>
        <w:right w:val="none" w:sz="0" w:space="0" w:color="auto"/>
      </w:divBdr>
      <w:divsChild>
        <w:div w:id="1518348891">
          <w:marLeft w:val="0"/>
          <w:marRight w:val="0"/>
          <w:marTop w:val="0"/>
          <w:marBottom w:val="0"/>
          <w:divBdr>
            <w:top w:val="none" w:sz="0" w:space="0" w:color="auto"/>
            <w:left w:val="none" w:sz="0" w:space="0" w:color="auto"/>
            <w:bottom w:val="none" w:sz="0" w:space="0" w:color="auto"/>
            <w:right w:val="none" w:sz="0" w:space="0" w:color="auto"/>
          </w:divBdr>
          <w:divsChild>
            <w:div w:id="1076365298">
              <w:marLeft w:val="0"/>
              <w:marRight w:val="0"/>
              <w:marTop w:val="0"/>
              <w:marBottom w:val="0"/>
              <w:divBdr>
                <w:top w:val="none" w:sz="0" w:space="0" w:color="auto"/>
                <w:left w:val="single" w:sz="6" w:space="0" w:color="FFFFFF"/>
                <w:bottom w:val="none" w:sz="0" w:space="0" w:color="auto"/>
                <w:right w:val="none" w:sz="0" w:space="0" w:color="auto"/>
              </w:divBdr>
              <w:divsChild>
                <w:div w:id="1876389010">
                  <w:marLeft w:val="0"/>
                  <w:marRight w:val="0"/>
                  <w:marTop w:val="0"/>
                  <w:marBottom w:val="0"/>
                  <w:divBdr>
                    <w:top w:val="none" w:sz="0" w:space="0" w:color="auto"/>
                    <w:left w:val="none" w:sz="0" w:space="0" w:color="auto"/>
                    <w:bottom w:val="none" w:sz="0" w:space="0" w:color="auto"/>
                    <w:right w:val="none" w:sz="0" w:space="0" w:color="auto"/>
                  </w:divBdr>
                  <w:divsChild>
                    <w:div w:id="4241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326055317">
      <w:bodyDiv w:val="1"/>
      <w:marLeft w:val="0"/>
      <w:marRight w:val="0"/>
      <w:marTop w:val="0"/>
      <w:marBottom w:val="0"/>
      <w:divBdr>
        <w:top w:val="none" w:sz="0" w:space="0" w:color="auto"/>
        <w:left w:val="none" w:sz="0" w:space="0" w:color="auto"/>
        <w:bottom w:val="none" w:sz="0" w:space="0" w:color="auto"/>
        <w:right w:val="none" w:sz="0" w:space="0" w:color="auto"/>
      </w:divBdr>
      <w:divsChild>
        <w:div w:id="991643290">
          <w:marLeft w:val="0"/>
          <w:marRight w:val="0"/>
          <w:marTop w:val="0"/>
          <w:marBottom w:val="0"/>
          <w:divBdr>
            <w:top w:val="none" w:sz="0" w:space="0" w:color="auto"/>
            <w:left w:val="none" w:sz="0" w:space="0" w:color="auto"/>
            <w:bottom w:val="none" w:sz="0" w:space="0" w:color="auto"/>
            <w:right w:val="none" w:sz="0" w:space="0" w:color="auto"/>
          </w:divBdr>
          <w:divsChild>
            <w:div w:id="356927601">
              <w:marLeft w:val="0"/>
              <w:marRight w:val="0"/>
              <w:marTop w:val="0"/>
              <w:marBottom w:val="0"/>
              <w:divBdr>
                <w:top w:val="none" w:sz="0" w:space="0" w:color="auto"/>
                <w:left w:val="single" w:sz="6" w:space="0" w:color="FFFFFF"/>
                <w:bottom w:val="none" w:sz="0" w:space="0" w:color="auto"/>
                <w:right w:val="none" w:sz="0" w:space="0" w:color="auto"/>
              </w:divBdr>
              <w:divsChild>
                <w:div w:id="2009479413">
                  <w:marLeft w:val="0"/>
                  <w:marRight w:val="0"/>
                  <w:marTop w:val="0"/>
                  <w:marBottom w:val="0"/>
                  <w:divBdr>
                    <w:top w:val="none" w:sz="0" w:space="0" w:color="auto"/>
                    <w:left w:val="none" w:sz="0" w:space="0" w:color="auto"/>
                    <w:bottom w:val="none" w:sz="0" w:space="0" w:color="auto"/>
                    <w:right w:val="none" w:sz="0" w:space="0" w:color="auto"/>
                  </w:divBdr>
                  <w:divsChild>
                    <w:div w:id="11447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23983849">
      <w:bodyDiv w:val="1"/>
      <w:marLeft w:val="0"/>
      <w:marRight w:val="0"/>
      <w:marTop w:val="0"/>
      <w:marBottom w:val="0"/>
      <w:divBdr>
        <w:top w:val="none" w:sz="0" w:space="0" w:color="auto"/>
        <w:left w:val="none" w:sz="0" w:space="0" w:color="auto"/>
        <w:bottom w:val="none" w:sz="0" w:space="0" w:color="auto"/>
        <w:right w:val="none" w:sz="0" w:space="0" w:color="auto"/>
      </w:divBdr>
      <w:divsChild>
        <w:div w:id="2098942065">
          <w:marLeft w:val="0"/>
          <w:marRight w:val="0"/>
          <w:marTop w:val="0"/>
          <w:marBottom w:val="0"/>
          <w:divBdr>
            <w:top w:val="none" w:sz="0" w:space="0" w:color="auto"/>
            <w:left w:val="none" w:sz="0" w:space="0" w:color="auto"/>
            <w:bottom w:val="none" w:sz="0" w:space="0" w:color="auto"/>
            <w:right w:val="none" w:sz="0" w:space="0" w:color="auto"/>
          </w:divBdr>
          <w:divsChild>
            <w:div w:id="1073116945">
              <w:marLeft w:val="0"/>
              <w:marRight w:val="0"/>
              <w:marTop w:val="0"/>
              <w:marBottom w:val="0"/>
              <w:divBdr>
                <w:top w:val="none" w:sz="0" w:space="0" w:color="auto"/>
                <w:left w:val="single" w:sz="6" w:space="0" w:color="FFFFFF"/>
                <w:bottom w:val="none" w:sz="0" w:space="0" w:color="auto"/>
                <w:right w:val="none" w:sz="0" w:space="0" w:color="auto"/>
              </w:divBdr>
              <w:divsChild>
                <w:div w:id="2033262579">
                  <w:marLeft w:val="0"/>
                  <w:marRight w:val="0"/>
                  <w:marTop w:val="0"/>
                  <w:marBottom w:val="0"/>
                  <w:divBdr>
                    <w:top w:val="none" w:sz="0" w:space="0" w:color="auto"/>
                    <w:left w:val="none" w:sz="0" w:space="0" w:color="auto"/>
                    <w:bottom w:val="none" w:sz="0" w:space="0" w:color="auto"/>
                    <w:right w:val="none" w:sz="0" w:space="0" w:color="auto"/>
                  </w:divBdr>
                  <w:divsChild>
                    <w:div w:id="14926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576671492">
      <w:bodyDiv w:val="1"/>
      <w:marLeft w:val="0"/>
      <w:marRight w:val="0"/>
      <w:marTop w:val="0"/>
      <w:marBottom w:val="0"/>
      <w:divBdr>
        <w:top w:val="none" w:sz="0" w:space="0" w:color="auto"/>
        <w:left w:val="none" w:sz="0" w:space="0" w:color="auto"/>
        <w:bottom w:val="none" w:sz="0" w:space="0" w:color="auto"/>
        <w:right w:val="none" w:sz="0" w:space="0" w:color="auto"/>
      </w:divBdr>
    </w:div>
    <w:div w:id="591360620">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41665321">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76948457">
      <w:bodyDiv w:val="1"/>
      <w:marLeft w:val="0"/>
      <w:marRight w:val="0"/>
      <w:marTop w:val="0"/>
      <w:marBottom w:val="0"/>
      <w:divBdr>
        <w:top w:val="none" w:sz="0" w:space="0" w:color="auto"/>
        <w:left w:val="none" w:sz="0" w:space="0" w:color="auto"/>
        <w:bottom w:val="none" w:sz="0" w:space="0" w:color="auto"/>
        <w:right w:val="none" w:sz="0" w:space="0" w:color="auto"/>
      </w:divBdr>
      <w:divsChild>
        <w:div w:id="118231997">
          <w:marLeft w:val="0"/>
          <w:marRight w:val="0"/>
          <w:marTop w:val="0"/>
          <w:marBottom w:val="0"/>
          <w:divBdr>
            <w:top w:val="none" w:sz="0" w:space="0" w:color="auto"/>
            <w:left w:val="none" w:sz="0" w:space="0" w:color="auto"/>
            <w:bottom w:val="none" w:sz="0" w:space="0" w:color="auto"/>
            <w:right w:val="none" w:sz="0" w:space="0" w:color="auto"/>
          </w:divBdr>
          <w:divsChild>
            <w:div w:id="523061817">
              <w:marLeft w:val="0"/>
              <w:marRight w:val="0"/>
              <w:marTop w:val="0"/>
              <w:marBottom w:val="0"/>
              <w:divBdr>
                <w:top w:val="none" w:sz="0" w:space="0" w:color="auto"/>
                <w:left w:val="none" w:sz="0" w:space="0" w:color="auto"/>
                <w:bottom w:val="none" w:sz="0" w:space="0" w:color="auto"/>
                <w:right w:val="none" w:sz="0" w:space="0" w:color="auto"/>
              </w:divBdr>
            </w:div>
          </w:divsChild>
        </w:div>
        <w:div w:id="1099985976">
          <w:marLeft w:val="0"/>
          <w:marRight w:val="0"/>
          <w:marTop w:val="0"/>
          <w:marBottom w:val="0"/>
          <w:divBdr>
            <w:top w:val="none" w:sz="0" w:space="0" w:color="auto"/>
            <w:left w:val="none" w:sz="0" w:space="0" w:color="auto"/>
            <w:bottom w:val="none" w:sz="0" w:space="0" w:color="auto"/>
            <w:right w:val="none" w:sz="0" w:space="0" w:color="auto"/>
          </w:divBdr>
          <w:divsChild>
            <w:div w:id="93502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24786769">
      <w:bodyDiv w:val="1"/>
      <w:marLeft w:val="0"/>
      <w:marRight w:val="0"/>
      <w:marTop w:val="0"/>
      <w:marBottom w:val="0"/>
      <w:divBdr>
        <w:top w:val="none" w:sz="0" w:space="0" w:color="auto"/>
        <w:left w:val="none" w:sz="0" w:space="0" w:color="auto"/>
        <w:bottom w:val="none" w:sz="0" w:space="0" w:color="auto"/>
        <w:right w:val="none" w:sz="0" w:space="0" w:color="auto"/>
      </w:divBdr>
      <w:divsChild>
        <w:div w:id="767235822">
          <w:marLeft w:val="0"/>
          <w:marRight w:val="0"/>
          <w:marTop w:val="0"/>
          <w:marBottom w:val="0"/>
          <w:divBdr>
            <w:top w:val="none" w:sz="0" w:space="0" w:color="auto"/>
            <w:left w:val="none" w:sz="0" w:space="0" w:color="auto"/>
            <w:bottom w:val="none" w:sz="0" w:space="0" w:color="auto"/>
            <w:right w:val="none" w:sz="0" w:space="0" w:color="auto"/>
          </w:divBdr>
          <w:divsChild>
            <w:div w:id="400324784">
              <w:marLeft w:val="0"/>
              <w:marRight w:val="0"/>
              <w:marTop w:val="0"/>
              <w:marBottom w:val="0"/>
              <w:divBdr>
                <w:top w:val="none" w:sz="0" w:space="0" w:color="auto"/>
                <w:left w:val="single" w:sz="6" w:space="0" w:color="FFFFFF"/>
                <w:bottom w:val="none" w:sz="0" w:space="0" w:color="auto"/>
                <w:right w:val="none" w:sz="0" w:space="0" w:color="auto"/>
              </w:divBdr>
              <w:divsChild>
                <w:div w:id="608974712">
                  <w:marLeft w:val="0"/>
                  <w:marRight w:val="0"/>
                  <w:marTop w:val="0"/>
                  <w:marBottom w:val="0"/>
                  <w:divBdr>
                    <w:top w:val="none" w:sz="0" w:space="0" w:color="auto"/>
                    <w:left w:val="none" w:sz="0" w:space="0" w:color="auto"/>
                    <w:bottom w:val="none" w:sz="0" w:space="0" w:color="auto"/>
                    <w:right w:val="none" w:sz="0" w:space="0" w:color="auto"/>
                  </w:divBdr>
                  <w:divsChild>
                    <w:div w:id="9044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2232">
      <w:bodyDiv w:val="1"/>
      <w:marLeft w:val="0"/>
      <w:marRight w:val="0"/>
      <w:marTop w:val="0"/>
      <w:marBottom w:val="0"/>
      <w:divBdr>
        <w:top w:val="none" w:sz="0" w:space="0" w:color="auto"/>
        <w:left w:val="none" w:sz="0" w:space="0" w:color="auto"/>
        <w:bottom w:val="none" w:sz="0" w:space="0" w:color="auto"/>
        <w:right w:val="none" w:sz="0" w:space="0" w:color="auto"/>
      </w:divBdr>
      <w:divsChild>
        <w:div w:id="1706713690">
          <w:marLeft w:val="0"/>
          <w:marRight w:val="0"/>
          <w:marTop w:val="0"/>
          <w:marBottom w:val="0"/>
          <w:divBdr>
            <w:top w:val="none" w:sz="0" w:space="0" w:color="auto"/>
            <w:left w:val="none" w:sz="0" w:space="0" w:color="auto"/>
            <w:bottom w:val="none" w:sz="0" w:space="0" w:color="auto"/>
            <w:right w:val="none" w:sz="0" w:space="0" w:color="auto"/>
          </w:divBdr>
          <w:divsChild>
            <w:div w:id="2134054916">
              <w:marLeft w:val="0"/>
              <w:marRight w:val="0"/>
              <w:marTop w:val="0"/>
              <w:marBottom w:val="0"/>
              <w:divBdr>
                <w:top w:val="none" w:sz="0" w:space="0" w:color="auto"/>
                <w:left w:val="single" w:sz="6" w:space="0" w:color="FFFFFF"/>
                <w:bottom w:val="none" w:sz="0" w:space="0" w:color="auto"/>
                <w:right w:val="none" w:sz="0" w:space="0" w:color="auto"/>
              </w:divBdr>
              <w:divsChild>
                <w:div w:id="1899902526">
                  <w:marLeft w:val="0"/>
                  <w:marRight w:val="0"/>
                  <w:marTop w:val="0"/>
                  <w:marBottom w:val="0"/>
                  <w:divBdr>
                    <w:top w:val="none" w:sz="0" w:space="0" w:color="auto"/>
                    <w:left w:val="none" w:sz="0" w:space="0" w:color="auto"/>
                    <w:bottom w:val="none" w:sz="0" w:space="0" w:color="auto"/>
                    <w:right w:val="none" w:sz="0" w:space="0" w:color="auto"/>
                  </w:divBdr>
                  <w:divsChild>
                    <w:div w:id="14703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69358074">
      <w:bodyDiv w:val="1"/>
      <w:marLeft w:val="0"/>
      <w:marRight w:val="0"/>
      <w:marTop w:val="0"/>
      <w:marBottom w:val="0"/>
      <w:divBdr>
        <w:top w:val="none" w:sz="0" w:space="0" w:color="auto"/>
        <w:left w:val="none" w:sz="0" w:space="0" w:color="auto"/>
        <w:bottom w:val="none" w:sz="0" w:space="0" w:color="auto"/>
        <w:right w:val="none" w:sz="0" w:space="0" w:color="auto"/>
      </w:divBdr>
      <w:divsChild>
        <w:div w:id="899362320">
          <w:marLeft w:val="0"/>
          <w:marRight w:val="0"/>
          <w:marTop w:val="0"/>
          <w:marBottom w:val="0"/>
          <w:divBdr>
            <w:top w:val="none" w:sz="0" w:space="0" w:color="auto"/>
            <w:left w:val="none" w:sz="0" w:space="0" w:color="auto"/>
            <w:bottom w:val="none" w:sz="0" w:space="0" w:color="auto"/>
            <w:right w:val="none" w:sz="0" w:space="0" w:color="auto"/>
          </w:divBdr>
          <w:divsChild>
            <w:div w:id="949163801">
              <w:marLeft w:val="0"/>
              <w:marRight w:val="0"/>
              <w:marTop w:val="0"/>
              <w:marBottom w:val="0"/>
              <w:divBdr>
                <w:top w:val="none" w:sz="0" w:space="0" w:color="auto"/>
                <w:left w:val="single" w:sz="6" w:space="0" w:color="FFFFFF"/>
                <w:bottom w:val="none" w:sz="0" w:space="0" w:color="auto"/>
                <w:right w:val="none" w:sz="0" w:space="0" w:color="auto"/>
              </w:divBdr>
              <w:divsChild>
                <w:div w:id="1386641725">
                  <w:marLeft w:val="0"/>
                  <w:marRight w:val="0"/>
                  <w:marTop w:val="0"/>
                  <w:marBottom w:val="0"/>
                  <w:divBdr>
                    <w:top w:val="none" w:sz="0" w:space="0" w:color="auto"/>
                    <w:left w:val="none" w:sz="0" w:space="0" w:color="auto"/>
                    <w:bottom w:val="none" w:sz="0" w:space="0" w:color="auto"/>
                    <w:right w:val="none" w:sz="0" w:space="0" w:color="auto"/>
                  </w:divBdr>
                  <w:divsChild>
                    <w:div w:id="918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130112">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098213375">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52031983">
      <w:bodyDiv w:val="1"/>
      <w:marLeft w:val="0"/>
      <w:marRight w:val="0"/>
      <w:marTop w:val="0"/>
      <w:marBottom w:val="0"/>
      <w:divBdr>
        <w:top w:val="none" w:sz="0" w:space="0" w:color="auto"/>
        <w:left w:val="none" w:sz="0" w:space="0" w:color="auto"/>
        <w:bottom w:val="none" w:sz="0" w:space="0" w:color="auto"/>
        <w:right w:val="none" w:sz="0" w:space="0" w:color="auto"/>
      </w:divBdr>
    </w:div>
    <w:div w:id="1359966191">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571304454">
      <w:bodyDiv w:val="1"/>
      <w:marLeft w:val="0"/>
      <w:marRight w:val="0"/>
      <w:marTop w:val="0"/>
      <w:marBottom w:val="0"/>
      <w:divBdr>
        <w:top w:val="none" w:sz="0" w:space="0" w:color="auto"/>
        <w:left w:val="none" w:sz="0" w:space="0" w:color="auto"/>
        <w:bottom w:val="none" w:sz="0" w:space="0" w:color="auto"/>
        <w:right w:val="none" w:sz="0" w:space="0" w:color="auto"/>
      </w:divBdr>
      <w:divsChild>
        <w:div w:id="883756926">
          <w:marLeft w:val="0"/>
          <w:marRight w:val="0"/>
          <w:marTop w:val="0"/>
          <w:marBottom w:val="0"/>
          <w:divBdr>
            <w:top w:val="none" w:sz="0" w:space="0" w:color="auto"/>
            <w:left w:val="none" w:sz="0" w:space="0" w:color="auto"/>
            <w:bottom w:val="none" w:sz="0" w:space="0" w:color="auto"/>
            <w:right w:val="none" w:sz="0" w:space="0" w:color="auto"/>
          </w:divBdr>
          <w:divsChild>
            <w:div w:id="753015898">
              <w:marLeft w:val="0"/>
              <w:marRight w:val="0"/>
              <w:marTop w:val="0"/>
              <w:marBottom w:val="0"/>
              <w:divBdr>
                <w:top w:val="none" w:sz="0" w:space="0" w:color="auto"/>
                <w:left w:val="single" w:sz="6" w:space="0" w:color="FFFFFF"/>
                <w:bottom w:val="none" w:sz="0" w:space="0" w:color="auto"/>
                <w:right w:val="none" w:sz="0" w:space="0" w:color="auto"/>
              </w:divBdr>
              <w:divsChild>
                <w:div w:id="844632323">
                  <w:marLeft w:val="0"/>
                  <w:marRight w:val="0"/>
                  <w:marTop w:val="0"/>
                  <w:marBottom w:val="0"/>
                  <w:divBdr>
                    <w:top w:val="none" w:sz="0" w:space="0" w:color="auto"/>
                    <w:left w:val="none" w:sz="0" w:space="0" w:color="auto"/>
                    <w:bottom w:val="none" w:sz="0" w:space="0" w:color="auto"/>
                    <w:right w:val="none" w:sz="0" w:space="0" w:color="auto"/>
                  </w:divBdr>
                  <w:divsChild>
                    <w:div w:id="6051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503272">
      <w:bodyDiv w:val="1"/>
      <w:marLeft w:val="0"/>
      <w:marRight w:val="0"/>
      <w:marTop w:val="0"/>
      <w:marBottom w:val="0"/>
      <w:divBdr>
        <w:top w:val="none" w:sz="0" w:space="0" w:color="auto"/>
        <w:left w:val="none" w:sz="0" w:space="0" w:color="auto"/>
        <w:bottom w:val="none" w:sz="0" w:space="0" w:color="auto"/>
        <w:right w:val="none" w:sz="0" w:space="0" w:color="auto"/>
      </w:divBdr>
      <w:divsChild>
        <w:div w:id="1888028198">
          <w:marLeft w:val="0"/>
          <w:marRight w:val="0"/>
          <w:marTop w:val="0"/>
          <w:marBottom w:val="0"/>
          <w:divBdr>
            <w:top w:val="none" w:sz="0" w:space="0" w:color="auto"/>
            <w:left w:val="none" w:sz="0" w:space="0" w:color="auto"/>
            <w:bottom w:val="none" w:sz="0" w:space="0" w:color="auto"/>
            <w:right w:val="none" w:sz="0" w:space="0" w:color="auto"/>
          </w:divBdr>
          <w:divsChild>
            <w:div w:id="1299340104">
              <w:marLeft w:val="0"/>
              <w:marRight w:val="0"/>
              <w:marTop w:val="0"/>
              <w:marBottom w:val="0"/>
              <w:divBdr>
                <w:top w:val="none" w:sz="0" w:space="0" w:color="auto"/>
                <w:left w:val="single" w:sz="6" w:space="0" w:color="FFFFFF"/>
                <w:bottom w:val="none" w:sz="0" w:space="0" w:color="auto"/>
                <w:right w:val="none" w:sz="0" w:space="0" w:color="auto"/>
              </w:divBdr>
              <w:divsChild>
                <w:div w:id="1879703577">
                  <w:marLeft w:val="0"/>
                  <w:marRight w:val="0"/>
                  <w:marTop w:val="0"/>
                  <w:marBottom w:val="0"/>
                  <w:divBdr>
                    <w:top w:val="none" w:sz="0" w:space="0" w:color="auto"/>
                    <w:left w:val="none" w:sz="0" w:space="0" w:color="auto"/>
                    <w:bottom w:val="none" w:sz="0" w:space="0" w:color="auto"/>
                    <w:right w:val="none" w:sz="0" w:space="0" w:color="auto"/>
                  </w:divBdr>
                  <w:divsChild>
                    <w:div w:id="21054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55177598">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02903055">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 w:id="210437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australian-energy-industry/performance-of-the-energy-sector"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australian-energy-industry/performance-of-the-energy-sector" TargetMode="Externa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DE2B9-4A0A-4083-911C-20293BDC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C61ECC8C</Template>
  <TotalTime>0</TotalTime>
  <Pages>8</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7857</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2015-01-19T22:15:00Z</dcterms:created>
  <dcterms:modified xsi:type="dcterms:W3CDTF">2015-01-19T22:17:00Z</dcterms:modified>
</cp:coreProperties>
</file>