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5D1977"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C676C7" w:rsidP="00BD60AA">
                  <w:pPr>
                    <w:spacing w:before="140"/>
                    <w:rPr>
                      <w:b/>
                    </w:rPr>
                  </w:pPr>
                  <w:r>
                    <w:rPr>
                      <w:b/>
                    </w:rPr>
                    <w:t>7–13 December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1F2E35" w:rsidRPr="00B12FD9" w:rsidRDefault="006840DF" w:rsidP="00A30E49">
      <w:pPr>
        <w:pStyle w:val="AERunnumberedheading3"/>
        <w:jc w:val="both"/>
        <w:rPr>
          <w:rFonts w:ascii="Times New Roman" w:hAnsi="Times New Roman"/>
          <w:lang w:eastAsia="en-AU"/>
        </w:rPr>
      </w:pPr>
      <w:r w:rsidRPr="00B12FD9">
        <w:rPr>
          <w:rFonts w:ascii="Times New Roman" w:hAnsi="Times New Roman"/>
          <w:lang w:eastAsia="en-AU"/>
        </w:rPr>
        <w:t xml:space="preserve">Prices in all markets remained low relative to the previous financial year to date averages. However the percentage change from the previous week varied between each market significantly. </w:t>
      </w:r>
    </w:p>
    <w:p w:rsidR="001F2E35" w:rsidRPr="00B12FD9" w:rsidRDefault="006840DF" w:rsidP="00A30E49">
      <w:pPr>
        <w:pStyle w:val="AERunnumberedheading3"/>
        <w:jc w:val="both"/>
        <w:rPr>
          <w:rFonts w:ascii="Times New Roman" w:hAnsi="Times New Roman"/>
          <w:lang w:eastAsia="en-AU"/>
        </w:rPr>
      </w:pPr>
      <w:r w:rsidRPr="00B12FD9">
        <w:rPr>
          <w:rFonts w:ascii="Times New Roman" w:hAnsi="Times New Roman"/>
          <w:lang w:eastAsia="en-AU"/>
        </w:rPr>
        <w:t xml:space="preserve">The lowest average daily price for the week was in Brisbane, at $1.65/GJ. Despite this, the price </w:t>
      </w:r>
      <w:r w:rsidRPr="00A30E49">
        <w:rPr>
          <w:rFonts w:ascii="Times New Roman" w:hAnsi="Times New Roman"/>
          <w:lang w:eastAsia="en-AU"/>
        </w:rPr>
        <w:t>was 194 per cent higher than the previous week (0.56/GJ). Prices in Brisbane have been volatile</w:t>
      </w:r>
      <w:r w:rsidRPr="00B12FD9">
        <w:rPr>
          <w:rFonts w:ascii="Times New Roman" w:hAnsi="Times New Roman"/>
          <w:lang w:eastAsia="en-AU"/>
        </w:rPr>
        <w:t xml:space="preserve"> recently</w:t>
      </w:r>
      <w:r w:rsidR="001F2E35" w:rsidRPr="00B12FD9">
        <w:rPr>
          <w:rFonts w:ascii="Times New Roman" w:hAnsi="Times New Roman"/>
          <w:lang w:eastAsia="en-AU"/>
        </w:rPr>
        <w:t xml:space="preserve">. This may be </w:t>
      </w:r>
      <w:r w:rsidRPr="00B12FD9">
        <w:rPr>
          <w:rFonts w:ascii="Times New Roman" w:hAnsi="Times New Roman"/>
          <w:lang w:eastAsia="en-AU"/>
        </w:rPr>
        <w:t xml:space="preserve">due in part to the Queensland LNG projects coming on line </w:t>
      </w:r>
      <w:r w:rsidR="001F2E35" w:rsidRPr="00B12FD9">
        <w:rPr>
          <w:rFonts w:ascii="Times New Roman" w:hAnsi="Times New Roman"/>
          <w:lang w:eastAsia="en-AU"/>
        </w:rPr>
        <w:t xml:space="preserve">with impacts on </w:t>
      </w:r>
      <w:r w:rsidRPr="00B12FD9">
        <w:rPr>
          <w:rFonts w:ascii="Times New Roman" w:hAnsi="Times New Roman"/>
          <w:lang w:eastAsia="en-AU"/>
        </w:rPr>
        <w:t xml:space="preserve">ramp up </w:t>
      </w:r>
      <w:r w:rsidR="001F2E35" w:rsidRPr="00B12FD9">
        <w:rPr>
          <w:rFonts w:ascii="Times New Roman" w:hAnsi="Times New Roman"/>
          <w:lang w:eastAsia="en-AU"/>
        </w:rPr>
        <w:t xml:space="preserve">gas for </w:t>
      </w:r>
      <w:r w:rsidRPr="00B12FD9">
        <w:rPr>
          <w:rFonts w:ascii="Times New Roman" w:hAnsi="Times New Roman"/>
          <w:lang w:eastAsia="en-AU"/>
        </w:rPr>
        <w:t xml:space="preserve">the </w:t>
      </w:r>
      <w:r w:rsidR="001F2E35" w:rsidRPr="00B12FD9">
        <w:rPr>
          <w:rFonts w:ascii="Times New Roman" w:hAnsi="Times New Roman"/>
          <w:lang w:eastAsia="en-AU"/>
        </w:rPr>
        <w:t xml:space="preserve">domestic </w:t>
      </w:r>
      <w:r w:rsidRPr="00B12FD9">
        <w:rPr>
          <w:rFonts w:ascii="Times New Roman" w:hAnsi="Times New Roman"/>
          <w:lang w:eastAsia="en-AU"/>
        </w:rPr>
        <w:t xml:space="preserve">market. </w:t>
      </w:r>
    </w:p>
    <w:p w:rsidR="006840DF" w:rsidRPr="00B12FD9" w:rsidRDefault="001C72B2" w:rsidP="00A30E49">
      <w:pPr>
        <w:pStyle w:val="AERunnumberedheading3"/>
        <w:jc w:val="both"/>
        <w:rPr>
          <w:rFonts w:ascii="Times New Roman" w:hAnsi="Times New Roman"/>
          <w:lang w:eastAsia="en-AU"/>
        </w:rPr>
      </w:pPr>
      <w:r w:rsidRPr="00B12FD9">
        <w:rPr>
          <w:rFonts w:ascii="Times New Roman" w:hAnsi="Times New Roman"/>
          <w:lang w:eastAsia="en-AU"/>
        </w:rPr>
        <w:t>Trade at the Wallumbilla hub continued to increase, with around 238 TJ in overall gas volume traded.</w:t>
      </w:r>
      <w:r w:rsidR="001F2E35" w:rsidRPr="00B12FD9">
        <w:rPr>
          <w:rFonts w:ascii="Times New Roman" w:hAnsi="Times New Roman"/>
          <w:lang w:eastAsia="en-AU"/>
        </w:rPr>
        <w:t xml:space="preserve"> Average traded prices this week doubled from the previous week </w:t>
      </w:r>
      <w:r w:rsidR="00192CC6">
        <w:rPr>
          <w:rFonts w:ascii="Times New Roman" w:hAnsi="Times New Roman"/>
          <w:lang w:eastAsia="en-AU"/>
        </w:rPr>
        <w:t>to around</w:t>
      </w:r>
      <w:r w:rsidR="001F2E35" w:rsidRPr="00B12FD9">
        <w:rPr>
          <w:rFonts w:ascii="Times New Roman" w:hAnsi="Times New Roman"/>
          <w:lang w:eastAsia="en-AU"/>
        </w:rPr>
        <w:t xml:space="preserve"> $2/GJ.</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C676C7" w:rsidRPr="006376D7" w:rsidTr="002861A9">
        <w:trPr>
          <w:trHeight w:val="382"/>
        </w:trPr>
        <w:tc>
          <w:tcPr>
            <w:tcW w:w="371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07 Dec - 13 Dec 2014</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3.79</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2.28</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3.75</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1.65</w:t>
            </w:r>
          </w:p>
        </w:tc>
      </w:tr>
      <w:tr w:rsidR="00C676C7" w:rsidRPr="006376D7" w:rsidTr="002861A9">
        <w:trPr>
          <w:trHeight w:val="382"/>
        </w:trPr>
        <w:tc>
          <w:tcPr>
            <w:tcW w:w="371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11</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194</w:t>
            </w:r>
          </w:p>
        </w:tc>
      </w:tr>
      <w:tr w:rsidR="00C676C7" w:rsidRPr="006376D7" w:rsidTr="002861A9">
        <w:trPr>
          <w:trHeight w:val="382"/>
        </w:trPr>
        <w:tc>
          <w:tcPr>
            <w:tcW w:w="371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3.47</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3.12</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3.51</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1.76</w:t>
            </w:r>
          </w:p>
        </w:tc>
      </w:tr>
      <w:tr w:rsidR="00C676C7" w:rsidRPr="006376D7" w:rsidTr="002861A9">
        <w:trPr>
          <w:trHeight w:val="382"/>
        </w:trPr>
        <w:tc>
          <w:tcPr>
            <w:tcW w:w="371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-26</w:t>
            </w:r>
          </w:p>
        </w:tc>
        <w:tc>
          <w:tcPr>
            <w:tcW w:w="143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-23</w:t>
            </w:r>
          </w:p>
        </w:tc>
        <w:tc>
          <w:tcPr>
            <w:tcW w:w="144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-68</w:t>
            </w:r>
          </w:p>
        </w:tc>
      </w:tr>
    </w:tbl>
    <w:p w:rsidR="00B24A61"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EA360D" w:rsidRDefault="00EA360D" w:rsidP="00B24A61">
      <w:pPr>
        <w:pStyle w:val="AERbodytext"/>
        <w:spacing w:before="120" w:after="120"/>
        <w:jc w:val="both"/>
      </w:pPr>
    </w:p>
    <w:p w:rsidR="00EA360D" w:rsidRDefault="00EA360D" w:rsidP="00B24A61">
      <w:pPr>
        <w:pStyle w:val="AERbodytext"/>
        <w:spacing w:before="120" w:after="120"/>
        <w:jc w:val="both"/>
      </w:pPr>
    </w:p>
    <w:p w:rsidR="00EA360D" w:rsidRPr="008D4DAB" w:rsidRDefault="00EA360D" w:rsidP="00B24A61">
      <w:pPr>
        <w:pStyle w:val="AERbodytext"/>
        <w:spacing w:before="120" w:after="120"/>
        <w:jc w:val="both"/>
      </w:pP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lastRenderedPageBreak/>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3868C4" w:rsidRPr="006376D7" w:rsidTr="002861A9">
        <w:trPr>
          <w:trHeight w:val="382"/>
        </w:trPr>
        <w:tc>
          <w:tcPr>
            <w:tcW w:w="3708" w:type="dxa"/>
            <w:noWrap/>
            <w:tcMar>
              <w:top w:w="0" w:type="dxa"/>
              <w:bottom w:w="0" w:type="dxa"/>
            </w:tcMar>
            <w:vAlign w:val="center"/>
          </w:tcPr>
          <w:p w:rsidR="003868C4" w:rsidRDefault="003868C4">
            <w:pPr>
              <w:rPr>
                <w:rFonts w:ascii="Arial" w:hAnsi="Arial" w:cs="Arial"/>
                <w:sz w:val="20"/>
                <w:szCs w:val="20"/>
              </w:rPr>
            </w:pPr>
            <w:r>
              <w:rPr>
                <w:rFonts w:ascii="Arial" w:hAnsi="Arial" w:cs="Arial"/>
                <w:sz w:val="20"/>
                <w:szCs w:val="20"/>
              </w:rPr>
              <w:t>07 Dec - 13 Dec 2014</w:t>
            </w:r>
          </w:p>
        </w:tc>
        <w:tc>
          <w:tcPr>
            <w:tcW w:w="144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3.79</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339</w:t>
            </w:r>
          </w:p>
        </w:tc>
      </w:tr>
      <w:tr w:rsidR="003868C4" w:rsidRPr="006376D7" w:rsidTr="002861A9">
        <w:trPr>
          <w:trHeight w:val="382"/>
        </w:trPr>
        <w:tc>
          <w:tcPr>
            <w:tcW w:w="3708" w:type="dxa"/>
            <w:noWrap/>
            <w:tcMar>
              <w:top w:w="0" w:type="dxa"/>
              <w:bottom w:w="0" w:type="dxa"/>
            </w:tcMar>
            <w:vAlign w:val="center"/>
          </w:tcPr>
          <w:p w:rsidR="003868C4" w:rsidRDefault="003868C4">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4</w:t>
            </w:r>
          </w:p>
        </w:tc>
      </w:tr>
      <w:tr w:rsidR="003868C4" w:rsidRPr="006376D7" w:rsidTr="002861A9">
        <w:trPr>
          <w:trHeight w:val="382"/>
        </w:trPr>
        <w:tc>
          <w:tcPr>
            <w:tcW w:w="3708" w:type="dxa"/>
            <w:noWrap/>
            <w:tcMar>
              <w:top w:w="0" w:type="dxa"/>
              <w:bottom w:w="0" w:type="dxa"/>
            </w:tcMar>
            <w:vAlign w:val="center"/>
          </w:tcPr>
          <w:p w:rsidR="003868C4" w:rsidRDefault="003868C4">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3.47</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619</w:t>
            </w:r>
          </w:p>
        </w:tc>
      </w:tr>
      <w:tr w:rsidR="003868C4" w:rsidRPr="006376D7" w:rsidTr="002861A9">
        <w:trPr>
          <w:trHeight w:val="382"/>
        </w:trPr>
        <w:tc>
          <w:tcPr>
            <w:tcW w:w="3708" w:type="dxa"/>
            <w:noWrap/>
            <w:tcMar>
              <w:top w:w="0" w:type="dxa"/>
              <w:bottom w:w="0" w:type="dxa"/>
            </w:tcMar>
            <w:vAlign w:val="center"/>
          </w:tcPr>
          <w:p w:rsidR="003868C4" w:rsidRDefault="003868C4">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868C4" w:rsidRDefault="003868C4">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07 Dec - 13 Dec 2014</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2.28</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2.17</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13.85</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262</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257</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11</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30</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10</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3.12</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3.18</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14.57</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264</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267</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-22</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29</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07 Dec - 13 Dec 2014</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3.75</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3.69</w:t>
            </w:r>
          </w:p>
        </w:tc>
        <w:tc>
          <w:tcPr>
            <w:tcW w:w="137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2.99</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40</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40</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-5</w:t>
            </w:r>
          </w:p>
        </w:tc>
        <w:tc>
          <w:tcPr>
            <w:tcW w:w="137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-41</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-21</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-24</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3.51</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3.48</w:t>
            </w:r>
          </w:p>
        </w:tc>
        <w:tc>
          <w:tcPr>
            <w:tcW w:w="137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12.06</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69</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69</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-25</w:t>
            </w:r>
          </w:p>
        </w:tc>
        <w:tc>
          <w:tcPr>
            <w:tcW w:w="137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-23</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07 Dec - 13 Dec 2014</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1.65</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1.80</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2.08</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116</w:t>
            </w:r>
          </w:p>
        </w:tc>
        <w:tc>
          <w:tcPr>
            <w:tcW w:w="11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120</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194</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222</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82</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1.76</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1.55</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1.21</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157</w:t>
            </w:r>
          </w:p>
        </w:tc>
        <w:tc>
          <w:tcPr>
            <w:tcW w:w="11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156</w:t>
            </w:r>
          </w:p>
        </w:tc>
      </w:tr>
      <w:tr w:rsidR="00C676C7" w:rsidRPr="002861A9" w:rsidTr="002861A9">
        <w:trPr>
          <w:trHeight w:val="382"/>
        </w:trPr>
        <w:tc>
          <w:tcPr>
            <w:tcW w:w="2670" w:type="dxa"/>
            <w:noWrap/>
            <w:tcMar>
              <w:top w:w="0" w:type="dxa"/>
              <w:bottom w:w="0" w:type="dxa"/>
            </w:tcMar>
            <w:vAlign w:val="center"/>
          </w:tcPr>
          <w:p w:rsidR="00C676C7" w:rsidRDefault="00C676C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-68</w:t>
            </w:r>
          </w:p>
        </w:tc>
        <w:tc>
          <w:tcPr>
            <w:tcW w:w="136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-72</w:t>
            </w:r>
          </w:p>
        </w:tc>
        <w:tc>
          <w:tcPr>
            <w:tcW w:w="1359"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-23</w:t>
            </w:r>
          </w:p>
        </w:tc>
        <w:tc>
          <w:tcPr>
            <w:tcW w:w="12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C676C7" w:rsidRDefault="00C676C7">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lastRenderedPageBreak/>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963B63" w:rsidRDefault="00963B63" w:rsidP="003868C4">
      <w:pPr>
        <w:spacing w:before="120" w:after="120"/>
        <w:jc w:val="both"/>
      </w:pPr>
      <w:r>
        <w:t>A large proportion of gas priced at the floor in Sydney (relative to demand) saw the price set at $0.90/GJ on Sunday, much lower than the other prices</w:t>
      </w:r>
      <w:r w:rsidR="00192CC6">
        <w:t xml:space="preserve"> in Sydney</w:t>
      </w:r>
      <w:r>
        <w:t xml:space="preserve"> during the following days. </w:t>
      </w:r>
    </w:p>
    <w:p w:rsidR="003868C4" w:rsidRDefault="003868C4" w:rsidP="003868C4">
      <w:pPr>
        <w:spacing w:before="120" w:after="120"/>
        <w:jc w:val="both"/>
      </w:pPr>
      <w:r>
        <w:t>There were capacity constraint prices</w:t>
      </w:r>
      <w:r>
        <w:rPr>
          <w:rStyle w:val="FootnoteReference"/>
        </w:rPr>
        <w:footnoteReference w:id="2"/>
      </w:r>
      <w:r>
        <w:t xml:space="preserve"> on the Moomba to Sydney Pipeline (</w:t>
      </w:r>
      <w:r w:rsidR="00192CC6">
        <w:t>the MSP,</w:t>
      </w:r>
      <w:r>
        <w:t xml:space="preserve"> which services the Sydney hub</w:t>
      </w:r>
      <w:r w:rsidR="00192CC6">
        <w:t>)</w:t>
      </w:r>
      <w:r>
        <w:t xml:space="preserve"> on 8, 11, and 12 December. While there was no non-firm (as available) gas scheduled for the 8 December gas day, as available gas was cleared in the ex ante schedule on 11 and 12 December</w:t>
      </w:r>
      <w:r w:rsidR="001F2E35">
        <w:t xml:space="preserve"> leading to some capacity payments</w:t>
      </w:r>
      <w:r>
        <w:t xml:space="preserve">. The volumes and capacity prices for 11 and 12 December were around 13 TJ and 10.7 TJ priced at $1.11/GJ and $1.0487/GJ respectively. </w:t>
      </w:r>
    </w:p>
    <w:p w:rsidR="003868C4" w:rsidRDefault="003868C4" w:rsidP="003868C4">
      <w:pPr>
        <w:spacing w:before="120" w:after="120"/>
        <w:jc w:val="both"/>
      </w:pPr>
    </w:p>
    <w:p w:rsidR="003868C4" w:rsidRDefault="003868C4" w:rsidP="003868C4">
      <w:pPr>
        <w:spacing w:before="120" w:after="120"/>
        <w:jc w:val="both"/>
      </w:pPr>
    </w:p>
    <w:p w:rsidR="003868C4" w:rsidRDefault="003868C4" w:rsidP="003868C4">
      <w:pPr>
        <w:spacing w:before="120" w:after="120"/>
        <w:jc w:val="both"/>
      </w:pPr>
    </w:p>
    <w:p w:rsidR="00502181" w:rsidRPr="003A284F" w:rsidRDefault="005F18AD" w:rsidP="003868C4">
      <w:pPr>
        <w:spacing w:before="120" w:after="120"/>
        <w:jc w:val="both"/>
        <w:rPr>
          <w:b/>
          <w:sz w:val="22"/>
          <w:szCs w:val="22"/>
        </w:rPr>
      </w:pPr>
      <w:r w:rsidRPr="00A0223D">
        <w:br w:type="column"/>
      </w:r>
      <w:bookmarkStart w:id="2" w:name="OLE_LINK7"/>
      <w:bookmarkStart w:id="3" w:name="OLE_LINK8"/>
      <w:r w:rsidR="00A30E49">
        <w:lastRenderedPageBreak/>
        <w:pict>
          <v:shape id="_x0000_i1026" type="#_x0000_t75" style="width:503.25pt;height:1in" o:allowoverlap="f">
            <v:imagedata r:id="rId10" o:title="" cropbottom="17873f" cropright="30275f"/>
          </v:shape>
        </w:pict>
      </w:r>
      <w:bookmarkEnd w:id="2"/>
      <w:bookmarkEnd w:id="3"/>
    </w:p>
    <w:p w:rsidR="00502181" w:rsidRPr="00B66E50" w:rsidRDefault="005D1977" w:rsidP="00A30E49">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C676C7">
                    <w:rPr>
                      <w:b/>
                    </w:rPr>
                    <w:t>7-13 December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Pr="00C676C7" w:rsidRDefault="00E74D68" w:rsidP="00B24A61">
      <w:pPr>
        <w:pStyle w:val="AERbodytext"/>
        <w:spacing w:before="120" w:after="120"/>
        <w:jc w:val="both"/>
        <w:rPr>
          <w:color w:val="000000" w:themeColor="text1"/>
        </w:rPr>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xml:space="preserve">) when the first </w:t>
      </w:r>
      <w:r w:rsidRPr="00C676C7">
        <w:rPr>
          <w:color w:val="000000" w:themeColor="text1"/>
        </w:rPr>
        <w:t>schedule and four reschedules apply, while the last 8</w:t>
      </w:r>
      <w:r w:rsidRPr="00C676C7">
        <w:rPr>
          <w:color w:val="000000" w:themeColor="text1"/>
        </w:rPr>
        <w:noBreakHyphen/>
        <w:t>hour schedule has been separated into two 4</w:t>
      </w:r>
      <w:r w:rsidRPr="00C676C7">
        <w:rPr>
          <w:color w:val="000000" w:themeColor="text1"/>
        </w:rPr>
        <w:noBreakHyphen/>
        <w:t>hour blocks for a consistent comparison with other scheduled injection volumes.  The main drivers of price are demand forecasts and gas bids.</w:t>
      </w:r>
      <w:r w:rsidRPr="00C676C7">
        <w:rPr>
          <w:rStyle w:val="FootnoteReference"/>
          <w:color w:val="000000" w:themeColor="text1"/>
        </w:rPr>
        <w:footnoteReference w:id="5"/>
      </w:r>
      <w:r w:rsidR="00B24A61" w:rsidRPr="00C676C7">
        <w:rPr>
          <w:rStyle w:val="FootnoteReference"/>
          <w:color w:val="000000" w:themeColor="text1"/>
        </w:rPr>
        <w:t xml:space="preserve"> </w:t>
      </w:r>
    </w:p>
    <w:p w:rsidR="005F18AD" w:rsidRPr="00C676C7" w:rsidRDefault="005F18AD" w:rsidP="00A30E49">
      <w:pPr>
        <w:pStyle w:val="AERfigureheading"/>
        <w:numPr>
          <w:ilvl w:val="5"/>
          <w:numId w:val="13"/>
        </w:numPr>
        <w:rPr>
          <w:rFonts w:ascii="Arial" w:hAnsi="Arial" w:cs="Arial"/>
          <w:color w:val="000000" w:themeColor="text1"/>
          <w:sz w:val="20"/>
          <w:szCs w:val="20"/>
        </w:rPr>
      </w:pPr>
      <w:r w:rsidRPr="00C676C7">
        <w:rPr>
          <w:rFonts w:ascii="Arial" w:hAnsi="Arial" w:cs="Arial"/>
          <w:color w:val="000000" w:themeColor="text1"/>
          <w:sz w:val="20"/>
          <w:szCs w:val="20"/>
        </w:rPr>
        <w:t xml:space="preserve">Prices by schedule </w:t>
      </w:r>
    </w:p>
    <w:p w:rsidR="005F18AD" w:rsidRPr="00C676C7" w:rsidRDefault="00A30E49" w:rsidP="006C6D60">
      <w:pPr>
        <w:pStyle w:val="AERbodytext"/>
        <w:spacing w:before="120"/>
        <w:jc w:val="center"/>
        <w:rPr>
          <w:color w:val="000000" w:themeColor="text1"/>
        </w:rPr>
      </w:pPr>
      <w:r>
        <w:rPr>
          <w:color w:val="000000" w:themeColor="text1"/>
        </w:rPr>
        <w:pict>
          <v:shape id="_x0000_i1027" type="#_x0000_t75" style="width:476.25pt;height:137.25pt">
            <v:imagedata r:id="rId13" o:title=""/>
          </v:shape>
        </w:pict>
      </w:r>
    </w:p>
    <w:p w:rsidR="005F18AD" w:rsidRPr="00C676C7" w:rsidRDefault="005F18AD" w:rsidP="00DA3AAA">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t xml:space="preserve">Demand </w:t>
      </w:r>
      <w:r w:rsidR="001452B3" w:rsidRPr="00C676C7">
        <w:rPr>
          <w:rFonts w:ascii="Arial" w:hAnsi="Arial" w:cs="Arial"/>
          <w:color w:val="000000" w:themeColor="text1"/>
          <w:sz w:val="20"/>
          <w:szCs w:val="20"/>
        </w:rPr>
        <w:t>f</w:t>
      </w:r>
      <w:r w:rsidRPr="00C676C7">
        <w:rPr>
          <w:rFonts w:ascii="Arial" w:hAnsi="Arial" w:cs="Arial"/>
          <w:color w:val="000000" w:themeColor="text1"/>
          <w:sz w:val="20"/>
          <w:szCs w:val="20"/>
        </w:rPr>
        <w:t>orecasts</w:t>
      </w:r>
      <w:r w:rsidR="008133CF" w:rsidRPr="00C676C7">
        <w:rPr>
          <w:rFonts w:ascii="Arial" w:hAnsi="Arial" w:cs="Arial"/>
          <w:color w:val="000000" w:themeColor="text1"/>
          <w:sz w:val="20"/>
          <w:szCs w:val="20"/>
        </w:rPr>
        <w:t xml:space="preserve"> </w:t>
      </w:r>
    </w:p>
    <w:p w:rsidR="005F18AD" w:rsidRPr="00C676C7" w:rsidRDefault="00A30E49" w:rsidP="006C6D60">
      <w:pPr>
        <w:pStyle w:val="AERbodytext"/>
        <w:spacing w:before="120" w:after="0"/>
        <w:jc w:val="center"/>
        <w:rPr>
          <w:color w:val="000000" w:themeColor="text1"/>
        </w:rPr>
      </w:pPr>
      <w:r>
        <w:rPr>
          <w:color w:val="000000" w:themeColor="text1"/>
        </w:rPr>
        <w:pict>
          <v:shape id="_x0000_i1028" type="#_x0000_t75" style="width:475.5pt;height:177pt">
            <v:imagedata r:id="rId14" o:title=""/>
          </v:shape>
        </w:pict>
      </w:r>
    </w:p>
    <w:p w:rsidR="001A5C1A" w:rsidRPr="00C676C7" w:rsidRDefault="001A5C1A"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lastRenderedPageBreak/>
        <w:t>Injection bids by price bands</w:t>
      </w:r>
    </w:p>
    <w:p w:rsidR="00A26940" w:rsidRPr="00C676C7" w:rsidRDefault="00A30E49" w:rsidP="006C6D60">
      <w:pPr>
        <w:pStyle w:val="AERbodytext"/>
        <w:spacing w:before="120" w:after="0"/>
        <w:jc w:val="center"/>
        <w:rPr>
          <w:color w:val="000000" w:themeColor="text1"/>
        </w:rPr>
      </w:pPr>
      <w:r>
        <w:rPr>
          <w:color w:val="000000" w:themeColor="text1"/>
        </w:rPr>
        <w:pict>
          <v:shape id="_x0000_i1029" type="#_x0000_t75" style="width:476.25pt;height:218.25pt">
            <v:imagedata r:id="rId15" o:title=""/>
          </v:shape>
        </w:pict>
      </w:r>
    </w:p>
    <w:p w:rsidR="00372976" w:rsidRPr="00C676C7" w:rsidRDefault="00372976"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t>Withdrawal bids by price bands</w:t>
      </w:r>
    </w:p>
    <w:p w:rsidR="00BE4577" w:rsidRPr="00767397" w:rsidRDefault="00A30E49" w:rsidP="006C6D60">
      <w:pPr>
        <w:pStyle w:val="AERbodytext"/>
        <w:jc w:val="center"/>
      </w:pPr>
      <w:r>
        <w:rPr>
          <w:color w:val="000000" w:themeColor="text1"/>
        </w:rPr>
        <w:pict>
          <v:shape id="_x0000_i1030" type="#_x0000_t75" style="width:476.25pt;height:171pt">
            <v:imagedata r:id="rId16" o:title=""/>
          </v:shape>
        </w:pict>
      </w:r>
    </w:p>
    <w:p w:rsidR="00A26940" w:rsidRPr="00B12FD9" w:rsidRDefault="00B24A61" w:rsidP="00B12FD9">
      <w:pPr>
        <w:pStyle w:val="AERfigureheading"/>
        <w:tabs>
          <w:tab w:val="clear" w:pos="1361"/>
          <w:tab w:val="num" w:pos="1260"/>
        </w:tabs>
        <w:spacing w:before="120"/>
        <w:ind w:left="1260" w:hanging="1260"/>
        <w:rPr>
          <w:rFonts w:ascii="Arial" w:hAnsi="Arial" w:cs="Arial"/>
          <w:color w:val="000000" w:themeColor="text1"/>
          <w:sz w:val="20"/>
          <w:szCs w:val="20"/>
        </w:rPr>
      </w:pPr>
      <w:r w:rsidRPr="00B12FD9">
        <w:rPr>
          <w:rFonts w:ascii="Arial" w:hAnsi="Arial" w:cs="Arial"/>
          <w:color w:val="000000" w:themeColor="text1"/>
          <w:sz w:val="20"/>
          <w:szCs w:val="20"/>
        </w:rPr>
        <w:t xml:space="preserve">Metered </w:t>
      </w:r>
      <w:r w:rsidR="00652A42" w:rsidRPr="00B12FD9">
        <w:rPr>
          <w:rFonts w:ascii="Arial" w:hAnsi="Arial" w:cs="Arial"/>
          <w:color w:val="000000" w:themeColor="text1"/>
          <w:sz w:val="20"/>
          <w:szCs w:val="20"/>
        </w:rPr>
        <w:t>I</w:t>
      </w:r>
      <w:r w:rsidR="00A26940" w:rsidRPr="00B12FD9">
        <w:rPr>
          <w:rFonts w:ascii="Arial" w:hAnsi="Arial" w:cs="Arial"/>
          <w:color w:val="000000" w:themeColor="text1"/>
          <w:sz w:val="20"/>
          <w:szCs w:val="20"/>
        </w:rPr>
        <w:t xml:space="preserve">njections </w:t>
      </w:r>
      <w:r w:rsidR="008F4EAE" w:rsidRPr="00B12FD9">
        <w:rPr>
          <w:rFonts w:ascii="Arial" w:hAnsi="Arial" w:cs="Arial"/>
          <w:color w:val="000000" w:themeColor="text1"/>
          <w:sz w:val="20"/>
          <w:szCs w:val="20"/>
        </w:rPr>
        <w:t xml:space="preserve">by </w:t>
      </w:r>
      <w:r w:rsidRPr="00B12FD9">
        <w:rPr>
          <w:rFonts w:ascii="Arial" w:hAnsi="Arial" w:cs="Arial"/>
          <w:color w:val="000000" w:themeColor="text1"/>
          <w:sz w:val="20"/>
          <w:szCs w:val="20"/>
        </w:rPr>
        <w:t xml:space="preserve">System Injection Point </w:t>
      </w:r>
    </w:p>
    <w:p w:rsidR="0006609A" w:rsidRPr="00767397" w:rsidRDefault="00A30E49" w:rsidP="006C6D60">
      <w:pPr>
        <w:pStyle w:val="AERbodytext"/>
        <w:spacing w:before="120"/>
        <w:jc w:val="center"/>
        <w:sectPr w:rsidR="0006609A" w:rsidRPr="00767397" w:rsidSect="00FD7231">
          <w:headerReference w:type="even" r:id="rId17"/>
          <w:headerReference w:type="default" r:id="rId18"/>
          <w:footerReference w:type="even" r:id="rId19"/>
          <w:footerReference w:type="default" r:id="rId20"/>
          <w:headerReference w:type="first" r:id="rId21"/>
          <w:footerReference w:type="first" r:id="rId22"/>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6.25pt;height:181.5pt">
            <v:imagedata r:id="rId23" o:title=""/>
          </v:shape>
        </w:pict>
      </w:r>
    </w:p>
    <w:p w:rsidR="00A26940" w:rsidRPr="00C566BE" w:rsidRDefault="00A26940" w:rsidP="006C6D60">
      <w:pPr>
        <w:pStyle w:val="AERbodytext"/>
        <w:spacing w:before="120"/>
        <w:jc w:val="center"/>
        <w:rPr>
          <w:i/>
        </w:rPr>
      </w:pPr>
    </w:p>
    <w:p w:rsidR="005F18AD" w:rsidRPr="00C676C7" w:rsidRDefault="005F18AD" w:rsidP="00372976">
      <w:pPr>
        <w:pStyle w:val="AERheading1"/>
        <w:pageBreakBefore w:val="0"/>
        <w:spacing w:before="120"/>
        <w:rPr>
          <w:rFonts w:ascii="Times New Roman" w:hAnsi="Times New Roman" w:cs="Times New Roman"/>
          <w:color w:val="000000" w:themeColor="text1"/>
          <w:sz w:val="28"/>
          <w:szCs w:val="28"/>
        </w:rPr>
      </w:pPr>
      <w:r w:rsidRPr="00C676C7">
        <w:rPr>
          <w:rFonts w:ascii="Times New Roman" w:hAnsi="Times New Roman" w:cs="Times New Roman"/>
          <w:color w:val="000000" w:themeColor="text1"/>
          <w:sz w:val="28"/>
          <w:szCs w:val="28"/>
        </w:rPr>
        <w:t>Sydney STTM</w:t>
      </w:r>
    </w:p>
    <w:p w:rsidR="00B24A61" w:rsidRPr="00C676C7" w:rsidRDefault="00B24A61" w:rsidP="00B24A61">
      <w:pPr>
        <w:pStyle w:val="AERbodytext"/>
        <w:spacing w:before="120" w:after="120"/>
        <w:jc w:val="both"/>
        <w:rPr>
          <w:color w:val="000000" w:themeColor="text1"/>
        </w:rPr>
      </w:pPr>
      <w:r w:rsidRPr="00C676C7">
        <w:rPr>
          <w:color w:val="000000" w:themeColor="text1"/>
        </w:rPr>
        <w:t xml:space="preserve">In each STTM hub, gas is priced once before each gas day (the ex ante price) and once after the gas day (the ex post price). The main drivers of ex ante and ex post prices are demand forecasts, together with participant offers and </w:t>
      </w:r>
      <w:r w:rsidR="005157B0" w:rsidRPr="00C676C7">
        <w:rPr>
          <w:color w:val="000000" w:themeColor="text1"/>
        </w:rPr>
        <w:t xml:space="preserve">offers to inject or </w:t>
      </w:r>
      <w:r w:rsidRPr="00C676C7">
        <w:rPr>
          <w:color w:val="000000" w:themeColor="text1"/>
        </w:rPr>
        <w:t xml:space="preserve">bids to withdraw gas </w:t>
      </w:r>
      <w:r w:rsidR="003C5272" w:rsidRPr="00C676C7">
        <w:rPr>
          <w:color w:val="000000" w:themeColor="text1"/>
        </w:rPr>
        <w:t xml:space="preserve">traded through </w:t>
      </w:r>
      <w:r w:rsidRPr="00C676C7">
        <w:rPr>
          <w:color w:val="000000" w:themeColor="text1"/>
        </w:rPr>
        <w:t>the hub.</w:t>
      </w:r>
      <w:r w:rsidRPr="00C676C7">
        <w:rPr>
          <w:rStyle w:val="FootnoteReference"/>
          <w:color w:val="000000" w:themeColor="text1"/>
        </w:rPr>
        <w:footnoteReference w:id="6"/>
      </w:r>
      <w:r w:rsidRPr="00C676C7">
        <w:rPr>
          <w:color w:val="000000" w:themeColor="text1"/>
        </w:rPr>
        <w:t xml:space="preserve"> Prices before and after the gas day may also vary depending on how much gas is scheduled before the gas day (setting the ex ante price) and how much gas is consumed in the hub on a gas day (setting the ex post price). </w:t>
      </w:r>
    </w:p>
    <w:p w:rsidR="00B24A61" w:rsidRPr="00C676C7" w:rsidRDefault="00B24A61" w:rsidP="00B24A61">
      <w:pPr>
        <w:pStyle w:val="AERbodytext"/>
        <w:spacing w:before="120" w:after="120"/>
        <w:jc w:val="both"/>
        <w:rPr>
          <w:color w:val="000000" w:themeColor="text1"/>
        </w:rPr>
      </w:pPr>
      <w:r w:rsidRPr="00C676C7">
        <w:rPr>
          <w:color w:val="000000" w:themeColor="text1"/>
        </w:rPr>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C676C7">
        <w:rPr>
          <w:rStyle w:val="FootnoteReference"/>
          <w:color w:val="000000" w:themeColor="text1"/>
        </w:rPr>
        <w:footnoteReference w:id="7"/>
      </w:r>
      <w:r w:rsidRPr="00C676C7">
        <w:rPr>
          <w:color w:val="000000" w:themeColor="text1"/>
        </w:rPr>
        <w:t xml:space="preserve"> </w:t>
      </w:r>
    </w:p>
    <w:p w:rsidR="00B24A61" w:rsidRPr="00C676C7" w:rsidRDefault="00B24A61" w:rsidP="00B24A61">
      <w:pPr>
        <w:pStyle w:val="AERbodytext"/>
        <w:spacing w:before="120" w:after="120"/>
        <w:jc w:val="both"/>
        <w:rPr>
          <w:color w:val="000000" w:themeColor="text1"/>
        </w:rPr>
      </w:pPr>
      <w:r w:rsidRPr="00C676C7">
        <w:rPr>
          <w:color w:val="000000" w:themeColor="text1"/>
        </w:rPr>
        <w:t xml:space="preserve">Figures 2.1 </w:t>
      </w:r>
      <w:r w:rsidR="008936C5" w:rsidRPr="00C676C7">
        <w:rPr>
          <w:color w:val="000000" w:themeColor="text1"/>
        </w:rPr>
        <w:t>and</w:t>
      </w:r>
      <w:r w:rsidRPr="00C676C7">
        <w:rPr>
          <w:color w:val="000000" w:themeColor="text1"/>
        </w:rPr>
        <w:t xml:space="preserve"> 2.</w:t>
      </w:r>
      <w:r w:rsidR="008936C5" w:rsidRPr="00C676C7">
        <w:rPr>
          <w:color w:val="000000" w:themeColor="text1"/>
        </w:rPr>
        <w:t>2</w:t>
      </w:r>
      <w:r w:rsidRPr="00C676C7">
        <w:rPr>
          <w:color w:val="000000" w:themeColor="text1"/>
        </w:rPr>
        <w:t xml:space="preserve"> show daily prices, demand, offers and bids. Figures 2.</w:t>
      </w:r>
      <w:r w:rsidR="008936C5" w:rsidRPr="00C676C7">
        <w:rPr>
          <w:color w:val="000000" w:themeColor="text1"/>
        </w:rPr>
        <w:t>3</w:t>
      </w:r>
      <w:r w:rsidRPr="00C676C7">
        <w:rPr>
          <w:color w:val="000000" w:themeColor="text1"/>
        </w:rPr>
        <w:t xml:space="preserve"> and 2.</w:t>
      </w:r>
      <w:r w:rsidR="008936C5" w:rsidRPr="00C676C7">
        <w:rPr>
          <w:color w:val="000000" w:themeColor="text1"/>
        </w:rPr>
        <w:t>4</w:t>
      </w:r>
      <w:r w:rsidRPr="00C676C7">
        <w:rPr>
          <w:color w:val="000000" w:themeColor="text1"/>
        </w:rPr>
        <w:t xml:space="preserve"> show gas scheduled and allocated on pipelines, indicating the location and relative quantity of gas offers across pipelines and also the amount of MOS allocated for each pipeline.</w:t>
      </w:r>
    </w:p>
    <w:p w:rsidR="00B24A61" w:rsidRPr="00C676C7" w:rsidRDefault="00B24A61" w:rsidP="00B24A61">
      <w:pPr>
        <w:pStyle w:val="AERbodytext"/>
        <w:rPr>
          <w:color w:val="000000" w:themeColor="text1"/>
        </w:rPr>
      </w:pPr>
    </w:p>
    <w:p w:rsidR="008E2239" w:rsidRPr="00C676C7" w:rsidRDefault="003410C4" w:rsidP="00750C0F">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t xml:space="preserve">SYD </w:t>
      </w:r>
      <w:r w:rsidR="008936C5" w:rsidRPr="00C676C7">
        <w:rPr>
          <w:rFonts w:ascii="Arial" w:hAnsi="Arial" w:cs="Arial"/>
          <w:color w:val="000000" w:themeColor="text1"/>
          <w:sz w:val="20"/>
          <w:szCs w:val="20"/>
        </w:rPr>
        <w:t>STTM d</w:t>
      </w:r>
      <w:r w:rsidR="005E4C48" w:rsidRPr="00C676C7">
        <w:rPr>
          <w:rFonts w:ascii="Arial" w:hAnsi="Arial" w:cs="Arial"/>
          <w:color w:val="000000" w:themeColor="text1"/>
          <w:sz w:val="20"/>
          <w:szCs w:val="20"/>
        </w:rPr>
        <w:t>aily e</w:t>
      </w:r>
      <w:r w:rsidR="008E2239" w:rsidRPr="00C676C7">
        <w:rPr>
          <w:rFonts w:ascii="Arial" w:hAnsi="Arial" w:cs="Arial"/>
          <w:color w:val="000000" w:themeColor="text1"/>
          <w:sz w:val="20"/>
          <w:szCs w:val="20"/>
        </w:rPr>
        <w:t>x ante and ex post prices</w:t>
      </w:r>
      <w:r w:rsidR="005E4C48" w:rsidRPr="00C676C7">
        <w:rPr>
          <w:rFonts w:ascii="Arial" w:hAnsi="Arial" w:cs="Arial"/>
          <w:color w:val="000000" w:themeColor="text1"/>
          <w:sz w:val="20"/>
          <w:szCs w:val="20"/>
        </w:rPr>
        <w:t xml:space="preserve"> and quantities</w:t>
      </w:r>
      <w:r w:rsidR="008E2239" w:rsidRPr="00C676C7">
        <w:rPr>
          <w:rFonts w:ascii="Arial" w:hAnsi="Arial" w:cs="Arial"/>
          <w:color w:val="000000" w:themeColor="text1"/>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C676C7" w:rsidRPr="00C676C7"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rPr>
                <w:rFonts w:ascii="Arial" w:hAnsi="Arial" w:cs="Arial"/>
                <w:b/>
                <w:bCs/>
                <w:color w:val="000000" w:themeColor="text1"/>
                <w:sz w:val="20"/>
                <w:szCs w:val="20"/>
              </w:rPr>
            </w:pPr>
            <w:r w:rsidRPr="00C676C7">
              <w:rPr>
                <w:rFonts w:ascii="Arial" w:hAnsi="Arial" w:cs="Arial"/>
                <w:b/>
                <w:bCs/>
                <w:color w:val="000000" w:themeColor="text1"/>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Sat</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0.90</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1.93</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2.43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2.50</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2.85</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2.59</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258</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267</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276</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226</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0.10</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1.73</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2.43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2.50</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2.86</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2.79</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245</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274</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264</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265</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230</w:t>
            </w:r>
          </w:p>
        </w:tc>
      </w:tr>
    </w:tbl>
    <w:p w:rsidR="00055584" w:rsidRPr="00C676C7" w:rsidRDefault="0045204B" w:rsidP="00502181">
      <w:pPr>
        <w:pStyle w:val="AERtableheading-unnumbered"/>
        <w:numPr>
          <w:ilvl w:val="0"/>
          <w:numId w:val="0"/>
        </w:numPr>
        <w:spacing w:before="480"/>
        <w:rPr>
          <w:rFonts w:ascii="Arial" w:hAnsi="Arial" w:cs="Arial"/>
          <w:color w:val="000000" w:themeColor="text1"/>
          <w:sz w:val="19"/>
          <w:szCs w:val="19"/>
        </w:rPr>
      </w:pPr>
      <w:r w:rsidRPr="00C676C7">
        <w:rPr>
          <w:rFonts w:ascii="Arial" w:hAnsi="Arial" w:cs="Arial"/>
          <w:color w:val="000000" w:themeColor="text1"/>
          <w:sz w:val="19"/>
          <w:szCs w:val="19"/>
        </w:rPr>
        <w:t>Figure 2.2 (a)</w:t>
      </w:r>
      <w:r w:rsidR="002C0499" w:rsidRPr="00C676C7">
        <w:rPr>
          <w:rFonts w:ascii="Arial" w:hAnsi="Arial" w:cs="Arial"/>
          <w:color w:val="000000" w:themeColor="text1"/>
          <w:sz w:val="19"/>
          <w:szCs w:val="19"/>
        </w:rPr>
        <w:t>:</w:t>
      </w:r>
      <w:r w:rsidRPr="00C676C7">
        <w:rPr>
          <w:rFonts w:ascii="Arial" w:hAnsi="Arial" w:cs="Arial"/>
          <w:color w:val="000000" w:themeColor="text1"/>
          <w:sz w:val="19"/>
          <w:szCs w:val="19"/>
        </w:rPr>
        <w:t xml:space="preserve"> </w:t>
      </w:r>
      <w:r w:rsidR="00055584" w:rsidRPr="00C676C7">
        <w:rPr>
          <w:rFonts w:ascii="Arial" w:hAnsi="Arial" w:cs="Arial"/>
          <w:color w:val="000000" w:themeColor="text1"/>
          <w:sz w:val="19"/>
          <w:szCs w:val="19"/>
        </w:rPr>
        <w:t>Daily hub offers</w:t>
      </w:r>
      <w:r w:rsidR="00781A4A" w:rsidRPr="00C676C7">
        <w:rPr>
          <w:rFonts w:ascii="Arial" w:hAnsi="Arial" w:cs="Arial"/>
          <w:color w:val="000000" w:themeColor="text1"/>
          <w:sz w:val="19"/>
          <w:szCs w:val="19"/>
        </w:rPr>
        <w:t xml:space="preserve"> in price bands</w:t>
      </w:r>
      <w:r w:rsidR="00CD3544" w:rsidRPr="00C676C7">
        <w:rPr>
          <w:rFonts w:ascii="Arial" w:hAnsi="Arial" w:cs="Arial"/>
          <w:color w:val="000000" w:themeColor="text1"/>
          <w:sz w:val="19"/>
          <w:szCs w:val="19"/>
        </w:rPr>
        <w:t xml:space="preserve"> </w:t>
      </w:r>
      <w:r w:rsidR="00587CD1" w:rsidRPr="00C676C7">
        <w:rPr>
          <w:rFonts w:ascii="Arial" w:hAnsi="Arial" w:cs="Arial"/>
          <w:color w:val="000000" w:themeColor="text1"/>
          <w:sz w:val="19"/>
          <w:szCs w:val="19"/>
        </w:rPr>
        <w:t xml:space="preserve">($/GJ) </w:t>
      </w:r>
      <w:r w:rsidR="00781A4A" w:rsidRPr="00C676C7">
        <w:rPr>
          <w:rFonts w:ascii="Arial" w:hAnsi="Arial" w:cs="Arial"/>
          <w:color w:val="000000" w:themeColor="text1"/>
          <w:sz w:val="19"/>
          <w:szCs w:val="19"/>
        </w:rPr>
        <w:t xml:space="preserve"> </w:t>
      </w:r>
      <w:r w:rsidRPr="00C676C7">
        <w:rPr>
          <w:rFonts w:ascii="Arial" w:hAnsi="Arial" w:cs="Arial"/>
          <w:color w:val="000000" w:themeColor="text1"/>
          <w:sz w:val="19"/>
          <w:szCs w:val="19"/>
        </w:rPr>
        <w:t xml:space="preserve">   </w:t>
      </w:r>
      <w:r w:rsidR="00587CD1" w:rsidRPr="00C676C7">
        <w:rPr>
          <w:rFonts w:ascii="Arial" w:hAnsi="Arial" w:cs="Arial"/>
          <w:color w:val="000000" w:themeColor="text1"/>
          <w:sz w:val="19"/>
          <w:szCs w:val="19"/>
        </w:rPr>
        <w:t>Figure 2.2</w:t>
      </w:r>
      <w:r w:rsidR="00C80FD8" w:rsidRPr="00C676C7">
        <w:rPr>
          <w:rFonts w:ascii="Arial" w:hAnsi="Arial" w:cs="Arial"/>
          <w:color w:val="000000" w:themeColor="text1"/>
          <w:sz w:val="19"/>
          <w:szCs w:val="19"/>
        </w:rPr>
        <w:t xml:space="preserve"> </w:t>
      </w:r>
      <w:r w:rsidR="00781A4A" w:rsidRPr="00C676C7">
        <w:rPr>
          <w:rFonts w:ascii="Arial" w:hAnsi="Arial" w:cs="Arial"/>
          <w:color w:val="000000" w:themeColor="text1"/>
          <w:sz w:val="19"/>
          <w:szCs w:val="19"/>
        </w:rPr>
        <w:t>(b)</w:t>
      </w:r>
      <w:r w:rsidR="00587CD1" w:rsidRPr="00C676C7">
        <w:rPr>
          <w:rFonts w:ascii="Arial" w:hAnsi="Arial" w:cs="Arial"/>
          <w:color w:val="000000" w:themeColor="text1"/>
          <w:sz w:val="19"/>
          <w:szCs w:val="19"/>
        </w:rPr>
        <w:t>:</w:t>
      </w:r>
      <w:r w:rsidR="00781A4A" w:rsidRPr="00C676C7">
        <w:rPr>
          <w:rFonts w:ascii="Arial" w:hAnsi="Arial" w:cs="Arial"/>
          <w:color w:val="000000" w:themeColor="text1"/>
          <w:sz w:val="19"/>
          <w:szCs w:val="19"/>
        </w:rPr>
        <w:t xml:space="preserve"> Daily hub b</w:t>
      </w:r>
      <w:r w:rsidRPr="00C676C7">
        <w:rPr>
          <w:rFonts w:ascii="Arial" w:hAnsi="Arial" w:cs="Arial"/>
          <w:color w:val="000000" w:themeColor="text1"/>
          <w:sz w:val="19"/>
          <w:szCs w:val="19"/>
        </w:rPr>
        <w:t>i</w:t>
      </w:r>
      <w:r w:rsidR="00781A4A" w:rsidRPr="00C676C7">
        <w:rPr>
          <w:rFonts w:ascii="Arial" w:hAnsi="Arial" w:cs="Arial"/>
          <w:color w:val="000000" w:themeColor="text1"/>
          <w:sz w:val="19"/>
          <w:szCs w:val="19"/>
        </w:rPr>
        <w:t xml:space="preserve">ds </w:t>
      </w:r>
      <w:r w:rsidR="00CD3544" w:rsidRPr="00C676C7">
        <w:rPr>
          <w:rFonts w:ascii="Arial" w:hAnsi="Arial" w:cs="Arial"/>
          <w:color w:val="000000" w:themeColor="text1"/>
          <w:sz w:val="19"/>
          <w:szCs w:val="19"/>
        </w:rPr>
        <w:t>in</w:t>
      </w:r>
      <w:r w:rsidR="00055584" w:rsidRPr="00C676C7">
        <w:rPr>
          <w:rFonts w:ascii="Arial" w:hAnsi="Arial" w:cs="Arial"/>
          <w:color w:val="000000" w:themeColor="text1"/>
          <w:sz w:val="19"/>
          <w:szCs w:val="19"/>
        </w:rPr>
        <w:t xml:space="preserve"> price bands ($/GJ)</w:t>
      </w:r>
    </w:p>
    <w:p w:rsidR="00055584" w:rsidRPr="00C676C7" w:rsidRDefault="00A30E49" w:rsidP="006C6D60">
      <w:pPr>
        <w:pStyle w:val="FigheadingA"/>
        <w:numPr>
          <w:ilvl w:val="0"/>
          <w:numId w:val="0"/>
        </w:numPr>
        <w:spacing w:before="120" w:after="0"/>
        <w:ind w:left="1134" w:hanging="1134"/>
        <w:jc w:val="center"/>
        <w:rPr>
          <w:color w:val="000000" w:themeColor="text1"/>
        </w:rPr>
      </w:pPr>
      <w:r>
        <w:rPr>
          <w:color w:val="000000" w:themeColor="text1"/>
        </w:rPr>
        <w:pict>
          <v:shape id="_x0000_i1032" type="#_x0000_t75" style="width:475.5pt;height:177pt">
            <v:imagedata r:id="rId24" o:title=""/>
          </v:shape>
        </w:pict>
      </w:r>
      <w:r w:rsidR="00055584" w:rsidRPr="00C676C7" w:rsidDel="00452AAD">
        <w:rPr>
          <w:color w:val="000000" w:themeColor="text1"/>
        </w:rPr>
        <w:t xml:space="preserve"> </w:t>
      </w:r>
    </w:p>
    <w:p w:rsidR="008E2239" w:rsidRPr="00C676C7" w:rsidRDefault="003410C4" w:rsidP="00A30E49">
      <w:pPr>
        <w:pStyle w:val="AERfigureheading"/>
        <w:numPr>
          <w:ilvl w:val="5"/>
          <w:numId w:val="14"/>
        </w:numPr>
        <w:tabs>
          <w:tab w:val="clear" w:pos="1361"/>
          <w:tab w:val="num" w:pos="1260"/>
        </w:tabs>
        <w:rPr>
          <w:rFonts w:ascii="Arial" w:hAnsi="Arial" w:cs="Arial"/>
          <w:color w:val="000000" w:themeColor="text1"/>
          <w:sz w:val="20"/>
          <w:szCs w:val="20"/>
        </w:rPr>
      </w:pPr>
      <w:r w:rsidRPr="00C676C7">
        <w:rPr>
          <w:rFonts w:ascii="Arial" w:hAnsi="Arial" w:cs="Arial"/>
          <w:color w:val="000000" w:themeColor="text1"/>
          <w:sz w:val="20"/>
          <w:szCs w:val="20"/>
        </w:rPr>
        <w:lastRenderedPageBreak/>
        <w:t xml:space="preserve">SYD </w:t>
      </w:r>
      <w:r w:rsidR="00E52E2A" w:rsidRPr="00C676C7">
        <w:rPr>
          <w:rFonts w:ascii="Arial" w:hAnsi="Arial" w:cs="Arial"/>
          <w:color w:val="000000" w:themeColor="text1"/>
          <w:sz w:val="20"/>
          <w:szCs w:val="20"/>
        </w:rPr>
        <w:t>net</w:t>
      </w:r>
      <w:r w:rsidR="00BA65E6" w:rsidRPr="00C676C7">
        <w:rPr>
          <w:rFonts w:ascii="Arial" w:hAnsi="Arial" w:cs="Arial"/>
          <w:color w:val="000000" w:themeColor="text1"/>
          <w:sz w:val="20"/>
          <w:szCs w:val="20"/>
        </w:rPr>
        <w:t xml:space="preserve"> </w:t>
      </w:r>
      <w:r w:rsidR="005E4C48" w:rsidRPr="00C676C7">
        <w:rPr>
          <w:rFonts w:ascii="Arial" w:hAnsi="Arial" w:cs="Arial"/>
          <w:color w:val="000000" w:themeColor="text1"/>
          <w:sz w:val="20"/>
          <w:szCs w:val="20"/>
        </w:rPr>
        <w:t>s</w:t>
      </w:r>
      <w:r w:rsidR="008E2239" w:rsidRPr="00C676C7">
        <w:rPr>
          <w:rFonts w:ascii="Arial" w:hAnsi="Arial" w:cs="Arial"/>
          <w:color w:val="000000" w:themeColor="text1"/>
          <w:sz w:val="20"/>
          <w:szCs w:val="20"/>
        </w:rPr>
        <w:t xml:space="preserve">cheduled and </w:t>
      </w:r>
      <w:r w:rsidR="005E4C48" w:rsidRPr="00C676C7">
        <w:rPr>
          <w:rFonts w:ascii="Arial" w:hAnsi="Arial" w:cs="Arial"/>
          <w:color w:val="000000" w:themeColor="text1"/>
          <w:sz w:val="20"/>
          <w:szCs w:val="20"/>
        </w:rPr>
        <w:t>a</w:t>
      </w:r>
      <w:r w:rsidR="008E2239" w:rsidRPr="00C676C7">
        <w:rPr>
          <w:rFonts w:ascii="Arial" w:hAnsi="Arial" w:cs="Arial"/>
          <w:color w:val="000000" w:themeColor="text1"/>
          <w:sz w:val="20"/>
          <w:szCs w:val="20"/>
        </w:rPr>
        <w:t>llocated gas</w:t>
      </w:r>
      <w:r w:rsidR="005E4C48" w:rsidRPr="00C676C7">
        <w:rPr>
          <w:rFonts w:ascii="Arial" w:hAnsi="Arial" w:cs="Arial"/>
          <w:color w:val="000000" w:themeColor="text1"/>
          <w:sz w:val="20"/>
          <w:szCs w:val="20"/>
        </w:rPr>
        <w:t xml:space="preserve"> volumes</w:t>
      </w:r>
      <w:r w:rsidR="008E2239" w:rsidRPr="00C676C7">
        <w:rPr>
          <w:rFonts w:ascii="Arial" w:hAnsi="Arial" w:cs="Arial"/>
          <w:color w:val="000000" w:themeColor="text1"/>
          <w:sz w:val="20"/>
          <w:szCs w:val="20"/>
        </w:rPr>
        <w:t xml:space="preserve"> </w:t>
      </w:r>
      <w:r w:rsidR="00E52E2A" w:rsidRPr="00C676C7">
        <w:rPr>
          <w:rFonts w:ascii="Arial" w:hAnsi="Arial" w:cs="Arial"/>
          <w:color w:val="000000" w:themeColor="text1"/>
          <w:sz w:val="20"/>
          <w:szCs w:val="20"/>
        </w:rPr>
        <w:t xml:space="preserve">(excluding MOS) </w:t>
      </w:r>
      <w:r w:rsidR="008E2239" w:rsidRPr="00C676C7">
        <w:rPr>
          <w:rFonts w:ascii="Arial" w:hAnsi="Arial" w:cs="Arial"/>
          <w:color w:val="000000" w:themeColor="text1"/>
          <w:sz w:val="20"/>
          <w:szCs w:val="20"/>
        </w:rPr>
        <w:t xml:space="preserve">by </w:t>
      </w:r>
      <w:r w:rsidR="00BA65E6" w:rsidRPr="00C676C7">
        <w:rPr>
          <w:rFonts w:ascii="Arial" w:hAnsi="Arial" w:cs="Arial"/>
          <w:color w:val="000000" w:themeColor="text1"/>
          <w:sz w:val="20"/>
          <w:szCs w:val="20"/>
        </w:rPr>
        <w:t>STTM facility</w:t>
      </w:r>
    </w:p>
    <w:p w:rsidR="008E2239" w:rsidRPr="00C676C7" w:rsidRDefault="00A30E49" w:rsidP="006C6D60">
      <w:pPr>
        <w:pStyle w:val="BodyText"/>
        <w:spacing w:before="120" w:after="0"/>
        <w:jc w:val="center"/>
        <w:rPr>
          <w:color w:val="000000" w:themeColor="text1"/>
        </w:rPr>
      </w:pPr>
      <w:r>
        <w:rPr>
          <w:color w:val="000000" w:themeColor="text1"/>
        </w:rPr>
        <w:pict>
          <v:shape id="_x0000_i1033" type="#_x0000_t75" style="width:476.25pt;height:220.5pt">
            <v:imagedata r:id="rId25" o:title=""/>
          </v:shape>
        </w:pict>
      </w:r>
    </w:p>
    <w:p w:rsidR="0045204B" w:rsidRPr="00C676C7" w:rsidRDefault="0045204B" w:rsidP="002C0499">
      <w:pPr>
        <w:pStyle w:val="AERtableheading-unnumbered"/>
        <w:numPr>
          <w:ilvl w:val="0"/>
          <w:numId w:val="0"/>
        </w:numPr>
        <w:ind w:left="6379" w:right="-114" w:hanging="6379"/>
        <w:rPr>
          <w:rFonts w:ascii="Arial" w:hAnsi="Arial" w:cs="Arial"/>
          <w:color w:val="000000" w:themeColor="text1"/>
          <w:sz w:val="20"/>
          <w:szCs w:val="20"/>
        </w:rPr>
      </w:pPr>
      <w:r w:rsidRPr="00C676C7">
        <w:rPr>
          <w:rFonts w:ascii="Arial" w:hAnsi="Arial" w:cs="Arial"/>
          <w:color w:val="000000" w:themeColor="text1"/>
          <w:sz w:val="20"/>
          <w:szCs w:val="20"/>
        </w:rPr>
        <w:t>Figure 2.4 (a)</w:t>
      </w:r>
      <w:r w:rsidR="002C0499" w:rsidRPr="00C676C7">
        <w:rPr>
          <w:rFonts w:ascii="Arial" w:hAnsi="Arial" w:cs="Arial"/>
          <w:color w:val="000000" w:themeColor="text1"/>
          <w:sz w:val="20"/>
          <w:szCs w:val="20"/>
        </w:rPr>
        <w:t>:</w:t>
      </w:r>
      <w:r w:rsidRPr="00C676C7">
        <w:rPr>
          <w:rFonts w:ascii="Arial" w:hAnsi="Arial" w:cs="Arial"/>
          <w:color w:val="000000" w:themeColor="text1"/>
          <w:sz w:val="20"/>
          <w:szCs w:val="20"/>
        </w:rPr>
        <w:t xml:space="preserve"> SYD</w:t>
      </w:r>
      <w:r w:rsidR="008936C5" w:rsidRPr="00C676C7">
        <w:rPr>
          <w:rFonts w:ascii="Arial" w:hAnsi="Arial" w:cs="Arial"/>
          <w:color w:val="000000" w:themeColor="text1"/>
          <w:sz w:val="20"/>
          <w:szCs w:val="20"/>
        </w:rPr>
        <w:t xml:space="preserve"> STTM MOS allocations (TJ)         </w:t>
      </w:r>
      <w:r w:rsidRPr="00C676C7">
        <w:rPr>
          <w:rFonts w:ascii="Arial" w:hAnsi="Arial" w:cs="Arial"/>
          <w:color w:val="000000" w:themeColor="text1"/>
          <w:sz w:val="20"/>
          <w:szCs w:val="20"/>
        </w:rPr>
        <w:t xml:space="preserve"> Figure 2.4 (b): Service payments and commodity payments/charges ($000)</w:t>
      </w:r>
    </w:p>
    <w:p w:rsidR="009C30E2" w:rsidRPr="00C676C7" w:rsidRDefault="00A30E49" w:rsidP="006C6D60">
      <w:pPr>
        <w:jc w:val="center"/>
        <w:rPr>
          <w:color w:val="000000" w:themeColor="text1"/>
          <w:sz w:val="28"/>
          <w:szCs w:val="28"/>
        </w:rPr>
      </w:pPr>
      <w:r>
        <w:rPr>
          <w:color w:val="000000" w:themeColor="text1"/>
        </w:rPr>
        <w:pict>
          <v:shape id="_x0000_i1034" type="#_x0000_t75" style="width:475.5pt;height:180.75pt">
            <v:imagedata r:id="rId26" o:title=""/>
          </v:shape>
        </w:pict>
      </w:r>
    </w:p>
    <w:p w:rsidR="00601C18" w:rsidRPr="00C676C7" w:rsidRDefault="00502181" w:rsidP="00987973">
      <w:pPr>
        <w:pStyle w:val="AERheading1"/>
        <w:pageBreakBefore w:val="0"/>
        <w:spacing w:before="120"/>
        <w:rPr>
          <w:rFonts w:ascii="Times New Roman" w:hAnsi="Times New Roman" w:cs="Times New Roman"/>
          <w:color w:val="000000" w:themeColor="text1"/>
          <w:sz w:val="28"/>
          <w:szCs w:val="28"/>
        </w:rPr>
      </w:pPr>
      <w:r w:rsidRPr="00C676C7">
        <w:rPr>
          <w:rFonts w:ascii="Times New Roman" w:hAnsi="Times New Roman" w:cs="Times New Roman"/>
          <w:color w:val="000000" w:themeColor="text1"/>
          <w:sz w:val="28"/>
          <w:szCs w:val="28"/>
        </w:rPr>
        <w:br w:type="page"/>
      </w:r>
      <w:r w:rsidR="00601C18" w:rsidRPr="00C676C7">
        <w:rPr>
          <w:rFonts w:ascii="Times New Roman" w:hAnsi="Times New Roman" w:cs="Times New Roman"/>
          <w:color w:val="000000" w:themeColor="text1"/>
          <w:sz w:val="28"/>
          <w:szCs w:val="28"/>
        </w:rPr>
        <w:lastRenderedPageBreak/>
        <w:t>Adelaide STTM</w:t>
      </w:r>
    </w:p>
    <w:p w:rsidR="0006609A" w:rsidRPr="00C676C7" w:rsidRDefault="0006609A" w:rsidP="0006609A">
      <w:pPr>
        <w:pStyle w:val="AERbodytext"/>
        <w:rPr>
          <w:color w:val="000000" w:themeColor="text1"/>
        </w:rPr>
      </w:pPr>
      <w:r w:rsidRPr="00C676C7">
        <w:rPr>
          <w:color w:val="000000" w:themeColor="text1"/>
        </w:rPr>
        <w:t xml:space="preserve">The Adelaide STTM hub functions in the same way as the Sydney STTM hub.  The same data that was presented for the Sydney hub is presented for the Adelaide hub in the figures below. </w:t>
      </w:r>
    </w:p>
    <w:p w:rsidR="00B66BAB" w:rsidRPr="00C676C7" w:rsidRDefault="003410C4" w:rsidP="00B66BAB">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t xml:space="preserve">ADL </w:t>
      </w:r>
      <w:r w:rsidR="0006609A" w:rsidRPr="00C676C7">
        <w:rPr>
          <w:rFonts w:ascii="Arial" w:hAnsi="Arial" w:cs="Arial"/>
          <w:color w:val="000000" w:themeColor="text1"/>
          <w:sz w:val="20"/>
          <w:szCs w:val="20"/>
        </w:rPr>
        <w:t xml:space="preserve">STTM </w:t>
      </w:r>
      <w:r w:rsidR="00F77722" w:rsidRPr="00C676C7">
        <w:rPr>
          <w:rFonts w:ascii="Arial" w:hAnsi="Arial" w:cs="Arial"/>
          <w:color w:val="000000" w:themeColor="text1"/>
          <w:sz w:val="20"/>
          <w:szCs w:val="20"/>
        </w:rPr>
        <w:t>d</w:t>
      </w:r>
      <w:r w:rsidR="00B66BAB" w:rsidRPr="00C676C7">
        <w:rPr>
          <w:rFonts w:ascii="Arial" w:hAnsi="Arial" w:cs="Arial"/>
          <w:color w:val="000000" w:themeColor="text1"/>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C676C7" w:rsidRPr="00C676C7"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rPr>
                <w:rFonts w:ascii="Arial" w:hAnsi="Arial" w:cs="Arial"/>
                <w:b/>
                <w:bCs/>
                <w:color w:val="000000" w:themeColor="text1"/>
                <w:sz w:val="20"/>
                <w:szCs w:val="20"/>
              </w:rPr>
            </w:pPr>
            <w:r w:rsidRPr="00C676C7">
              <w:rPr>
                <w:rFonts w:ascii="Arial" w:hAnsi="Arial" w:cs="Arial"/>
                <w:b/>
                <w:bCs/>
                <w:color w:val="000000" w:themeColor="text1"/>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Sat</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3.47</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3.89</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3.91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3.47</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3.72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3.89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3.89</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46</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44</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39</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40</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24</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3.47</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3.71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3.91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3.71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3.72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3.45</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3.89</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40</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44</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42</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44</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39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26</w:t>
            </w:r>
          </w:p>
        </w:tc>
      </w:tr>
    </w:tbl>
    <w:p w:rsidR="00157AFD" w:rsidRPr="00C676C7" w:rsidRDefault="00157AFD" w:rsidP="00157AFD">
      <w:pPr>
        <w:pStyle w:val="AERtableheading-unnumbered"/>
        <w:numPr>
          <w:ilvl w:val="0"/>
          <w:numId w:val="0"/>
        </w:numPr>
        <w:rPr>
          <w:rFonts w:ascii="Arial" w:hAnsi="Arial" w:cs="Arial"/>
          <w:color w:val="000000" w:themeColor="text1"/>
          <w:sz w:val="19"/>
          <w:szCs w:val="19"/>
        </w:rPr>
      </w:pPr>
      <w:r w:rsidRPr="00C676C7">
        <w:rPr>
          <w:rFonts w:ascii="Arial" w:hAnsi="Arial" w:cs="Arial"/>
          <w:color w:val="000000" w:themeColor="text1"/>
          <w:sz w:val="19"/>
          <w:szCs w:val="19"/>
        </w:rPr>
        <w:t>Figure 3.2 (a)</w:t>
      </w:r>
      <w:r w:rsidR="002C0499" w:rsidRPr="00C676C7">
        <w:rPr>
          <w:rFonts w:ascii="Arial" w:hAnsi="Arial" w:cs="Arial"/>
          <w:color w:val="000000" w:themeColor="text1"/>
          <w:sz w:val="19"/>
          <w:szCs w:val="19"/>
        </w:rPr>
        <w:t>:</w:t>
      </w:r>
      <w:r w:rsidRPr="00C676C7">
        <w:rPr>
          <w:rFonts w:ascii="Arial" w:hAnsi="Arial" w:cs="Arial"/>
          <w:color w:val="000000" w:themeColor="text1"/>
          <w:sz w:val="19"/>
          <w:szCs w:val="19"/>
        </w:rPr>
        <w:t xml:space="preserve"> Daily hub offers in price bands ($/GJ)     Figure 3.2</w:t>
      </w:r>
      <w:r w:rsidR="00C80FD8" w:rsidRPr="00C676C7">
        <w:rPr>
          <w:rFonts w:ascii="Arial" w:hAnsi="Arial" w:cs="Arial"/>
          <w:color w:val="000000" w:themeColor="text1"/>
          <w:sz w:val="19"/>
          <w:szCs w:val="19"/>
        </w:rPr>
        <w:t xml:space="preserve"> </w:t>
      </w:r>
      <w:r w:rsidRPr="00C676C7">
        <w:rPr>
          <w:rFonts w:ascii="Arial" w:hAnsi="Arial" w:cs="Arial"/>
          <w:color w:val="000000" w:themeColor="text1"/>
          <w:sz w:val="19"/>
          <w:szCs w:val="19"/>
        </w:rPr>
        <w:t>(b): Daily hub bids in price bands ($/GJ)</w:t>
      </w:r>
    </w:p>
    <w:p w:rsidR="00B66BAB" w:rsidRPr="00C676C7" w:rsidRDefault="00A30E49" w:rsidP="00B66BAB">
      <w:pPr>
        <w:pStyle w:val="FigheadingA"/>
        <w:numPr>
          <w:ilvl w:val="0"/>
          <w:numId w:val="0"/>
        </w:numPr>
        <w:spacing w:before="120" w:after="0"/>
        <w:ind w:left="1134" w:hanging="1134"/>
        <w:jc w:val="center"/>
        <w:rPr>
          <w:color w:val="000000" w:themeColor="text1"/>
        </w:rPr>
      </w:pPr>
      <w:r>
        <w:rPr>
          <w:color w:val="000000" w:themeColor="text1"/>
        </w:rPr>
        <w:pict>
          <v:shape id="_x0000_i1035" type="#_x0000_t75" style="width:475.5pt;height:185.25pt">
            <v:imagedata r:id="rId27" o:title=""/>
          </v:shape>
        </w:pict>
      </w:r>
      <w:r w:rsidR="00B66BAB" w:rsidRPr="00C676C7" w:rsidDel="00452AAD">
        <w:rPr>
          <w:color w:val="000000" w:themeColor="text1"/>
        </w:rPr>
        <w:t xml:space="preserve"> </w:t>
      </w:r>
    </w:p>
    <w:p w:rsidR="00B66BAB" w:rsidRPr="00C676C7" w:rsidRDefault="00E52E2A" w:rsidP="00A30E49">
      <w:pPr>
        <w:pStyle w:val="AERfigureheading"/>
        <w:numPr>
          <w:ilvl w:val="5"/>
          <w:numId w:val="15"/>
        </w:numPr>
        <w:tabs>
          <w:tab w:val="clear" w:pos="1361"/>
          <w:tab w:val="num" w:pos="1260"/>
        </w:tabs>
        <w:rPr>
          <w:rFonts w:ascii="Arial" w:hAnsi="Arial" w:cs="Arial"/>
          <w:color w:val="000000" w:themeColor="text1"/>
          <w:sz w:val="20"/>
          <w:szCs w:val="20"/>
        </w:rPr>
      </w:pPr>
      <w:r w:rsidRPr="00C676C7">
        <w:rPr>
          <w:rFonts w:ascii="Arial" w:hAnsi="Arial" w:cs="Arial"/>
          <w:color w:val="000000" w:themeColor="text1"/>
          <w:sz w:val="20"/>
          <w:szCs w:val="20"/>
        </w:rPr>
        <w:t>ADL net scheduled and allocated gas volumes (excluding MOS) by STTM facility</w:t>
      </w:r>
    </w:p>
    <w:p w:rsidR="00B66BAB" w:rsidRPr="00C676C7" w:rsidRDefault="00A30E49" w:rsidP="00B66BAB">
      <w:pPr>
        <w:pStyle w:val="BodyText"/>
        <w:spacing w:before="120" w:after="0"/>
        <w:jc w:val="center"/>
        <w:rPr>
          <w:color w:val="000000" w:themeColor="text1"/>
        </w:rPr>
      </w:pPr>
      <w:r>
        <w:rPr>
          <w:color w:val="000000" w:themeColor="text1"/>
        </w:rPr>
        <w:pict>
          <v:shape id="_x0000_i1036" type="#_x0000_t75" style="width:475.5pt;height:140.25pt">
            <v:imagedata r:id="rId28" o:title=""/>
          </v:shape>
        </w:pict>
      </w:r>
    </w:p>
    <w:p w:rsidR="00157AFD" w:rsidRPr="00C676C7" w:rsidRDefault="00157AFD" w:rsidP="002C0499">
      <w:pPr>
        <w:pStyle w:val="AERtableheading-unnumbered"/>
        <w:numPr>
          <w:ilvl w:val="0"/>
          <w:numId w:val="0"/>
        </w:numPr>
        <w:spacing w:before="120"/>
        <w:ind w:left="6379" w:right="-114" w:hanging="6379"/>
        <w:rPr>
          <w:rFonts w:ascii="Arial" w:hAnsi="Arial" w:cs="Arial"/>
          <w:color w:val="000000" w:themeColor="text1"/>
          <w:sz w:val="20"/>
          <w:szCs w:val="20"/>
        </w:rPr>
      </w:pPr>
      <w:r w:rsidRPr="00C676C7">
        <w:rPr>
          <w:rFonts w:ascii="Arial" w:hAnsi="Arial" w:cs="Arial"/>
          <w:color w:val="000000" w:themeColor="text1"/>
          <w:sz w:val="20"/>
          <w:szCs w:val="20"/>
        </w:rPr>
        <w:t>Figure 3.4 (a)</w:t>
      </w:r>
      <w:r w:rsidR="002C0499" w:rsidRPr="00C676C7">
        <w:rPr>
          <w:rFonts w:ascii="Arial" w:hAnsi="Arial" w:cs="Arial"/>
          <w:color w:val="000000" w:themeColor="text1"/>
          <w:sz w:val="20"/>
          <w:szCs w:val="20"/>
        </w:rPr>
        <w:t>:</w:t>
      </w:r>
      <w:r w:rsidRPr="00C676C7">
        <w:rPr>
          <w:rFonts w:ascii="Arial" w:hAnsi="Arial" w:cs="Arial"/>
          <w:color w:val="000000" w:themeColor="text1"/>
          <w:sz w:val="20"/>
          <w:szCs w:val="20"/>
        </w:rPr>
        <w:t xml:space="preserve"> ADL </w:t>
      </w:r>
      <w:r w:rsidR="005C68CE" w:rsidRPr="00C676C7">
        <w:rPr>
          <w:rFonts w:ascii="Arial" w:hAnsi="Arial" w:cs="Arial"/>
          <w:color w:val="000000" w:themeColor="text1"/>
          <w:sz w:val="20"/>
          <w:szCs w:val="20"/>
        </w:rPr>
        <w:t xml:space="preserve">STTM </w:t>
      </w:r>
      <w:r w:rsidRPr="00C676C7">
        <w:rPr>
          <w:rFonts w:ascii="Arial" w:hAnsi="Arial" w:cs="Arial"/>
          <w:color w:val="000000" w:themeColor="text1"/>
          <w:sz w:val="20"/>
          <w:szCs w:val="20"/>
        </w:rPr>
        <w:t>MOS allocations (TJ)          Figure 3.4 (b): Service payments and commodity payments/charges ($000)</w:t>
      </w:r>
    </w:p>
    <w:p w:rsidR="00B66BAB" w:rsidRPr="00C676C7" w:rsidRDefault="00A30E49" w:rsidP="00B66BAB">
      <w:pPr>
        <w:jc w:val="center"/>
        <w:rPr>
          <w:color w:val="000000" w:themeColor="text1"/>
        </w:rPr>
      </w:pPr>
      <w:r>
        <w:rPr>
          <w:color w:val="000000" w:themeColor="text1"/>
        </w:rPr>
        <w:pict>
          <v:shape id="_x0000_i1037" type="#_x0000_t75" style="width:475.5pt;height:161.25pt">
            <v:imagedata r:id="rId29" o:title=""/>
          </v:shape>
        </w:pict>
      </w:r>
    </w:p>
    <w:p w:rsidR="0006609A" w:rsidRPr="00C676C7" w:rsidRDefault="0006609A" w:rsidP="00B66BAB">
      <w:pPr>
        <w:pStyle w:val="AERheading1"/>
        <w:pageBreakBefore w:val="0"/>
        <w:numPr>
          <w:ilvl w:val="0"/>
          <w:numId w:val="0"/>
        </w:numPr>
        <w:spacing w:before="120"/>
        <w:rPr>
          <w:rFonts w:ascii="Times New Roman" w:hAnsi="Times New Roman" w:cs="Times New Roman"/>
          <w:color w:val="000000" w:themeColor="text1"/>
          <w:sz w:val="28"/>
          <w:szCs w:val="28"/>
        </w:rPr>
        <w:sectPr w:rsidR="0006609A" w:rsidRPr="00C676C7"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C676C7" w:rsidRDefault="00EF6B0C" w:rsidP="00B66BAB">
      <w:pPr>
        <w:pStyle w:val="AERheading1"/>
        <w:pageBreakBefore w:val="0"/>
        <w:spacing w:before="120"/>
        <w:rPr>
          <w:rFonts w:ascii="Times New Roman" w:hAnsi="Times New Roman" w:cs="Times New Roman"/>
          <w:color w:val="000000" w:themeColor="text1"/>
          <w:sz w:val="28"/>
          <w:szCs w:val="28"/>
        </w:rPr>
      </w:pPr>
      <w:r w:rsidRPr="00C676C7">
        <w:rPr>
          <w:rFonts w:ascii="Times New Roman" w:hAnsi="Times New Roman" w:cs="Times New Roman"/>
          <w:color w:val="000000" w:themeColor="text1"/>
          <w:sz w:val="28"/>
          <w:szCs w:val="28"/>
        </w:rPr>
        <w:lastRenderedPageBreak/>
        <w:t xml:space="preserve"> </w:t>
      </w:r>
      <w:r w:rsidR="00601C18" w:rsidRPr="00C676C7">
        <w:rPr>
          <w:rFonts w:ascii="Times New Roman" w:hAnsi="Times New Roman" w:cs="Times New Roman"/>
          <w:color w:val="000000" w:themeColor="text1"/>
          <w:sz w:val="28"/>
          <w:szCs w:val="28"/>
        </w:rPr>
        <w:t>Brisbane STTM</w:t>
      </w:r>
    </w:p>
    <w:p w:rsidR="0006609A" w:rsidRPr="00C676C7" w:rsidRDefault="0006609A" w:rsidP="0006609A">
      <w:pPr>
        <w:pStyle w:val="AERbodytext"/>
        <w:rPr>
          <w:color w:val="000000" w:themeColor="text1"/>
        </w:rPr>
      </w:pPr>
      <w:r w:rsidRPr="00C676C7">
        <w:rPr>
          <w:color w:val="000000" w:themeColor="text1"/>
        </w:rPr>
        <w:t xml:space="preserve">The </w:t>
      </w:r>
      <w:r w:rsidR="000F59F8" w:rsidRPr="00C676C7">
        <w:rPr>
          <w:color w:val="000000" w:themeColor="text1"/>
        </w:rPr>
        <w:t>Brisbane</w:t>
      </w:r>
      <w:r w:rsidRPr="00C676C7">
        <w:rPr>
          <w:color w:val="000000" w:themeColor="text1"/>
        </w:rPr>
        <w:t xml:space="preserve"> STTM hub functions in the same way as the Sydney STTM hub.  The same data that was presented for the Sydney hub is presented for the</w:t>
      </w:r>
      <w:r w:rsidR="000F59F8" w:rsidRPr="00C676C7">
        <w:rPr>
          <w:color w:val="000000" w:themeColor="text1"/>
        </w:rPr>
        <w:t xml:space="preserve"> Brisbane</w:t>
      </w:r>
      <w:r w:rsidRPr="00C676C7">
        <w:rPr>
          <w:color w:val="000000" w:themeColor="text1"/>
        </w:rPr>
        <w:t xml:space="preserve"> hub in the figures below. </w:t>
      </w:r>
    </w:p>
    <w:p w:rsidR="00B66BAB" w:rsidRPr="00C676C7" w:rsidRDefault="003410C4" w:rsidP="00B66BAB">
      <w:pPr>
        <w:pStyle w:val="AERfigureheading"/>
        <w:tabs>
          <w:tab w:val="clear" w:pos="1361"/>
          <w:tab w:val="num" w:pos="1260"/>
        </w:tabs>
        <w:spacing w:before="120"/>
        <w:ind w:left="1260" w:hanging="1260"/>
        <w:rPr>
          <w:rFonts w:ascii="Arial" w:hAnsi="Arial" w:cs="Arial"/>
          <w:color w:val="000000" w:themeColor="text1"/>
          <w:sz w:val="20"/>
          <w:szCs w:val="20"/>
        </w:rPr>
      </w:pPr>
      <w:r w:rsidRPr="00C676C7">
        <w:rPr>
          <w:rFonts w:ascii="Arial" w:hAnsi="Arial" w:cs="Arial"/>
          <w:color w:val="000000" w:themeColor="text1"/>
          <w:sz w:val="20"/>
          <w:szCs w:val="20"/>
        </w:rPr>
        <w:t xml:space="preserve">BRI </w:t>
      </w:r>
      <w:r w:rsidR="005C68CE" w:rsidRPr="00C676C7">
        <w:rPr>
          <w:rFonts w:ascii="Arial" w:hAnsi="Arial" w:cs="Arial"/>
          <w:color w:val="000000" w:themeColor="text1"/>
          <w:sz w:val="20"/>
          <w:szCs w:val="20"/>
        </w:rPr>
        <w:t>STTM d</w:t>
      </w:r>
      <w:r w:rsidR="00B66BAB" w:rsidRPr="00C676C7">
        <w:rPr>
          <w:rFonts w:ascii="Arial" w:hAnsi="Arial" w:cs="Arial"/>
          <w:color w:val="000000" w:themeColor="text1"/>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C676C7" w:rsidRPr="00C676C7"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C676C7" w:rsidRDefault="003410C4" w:rsidP="002861A9">
            <w:pPr>
              <w:keepNext/>
              <w:spacing w:before="40" w:after="40"/>
              <w:jc w:val="center"/>
              <w:rPr>
                <w:rFonts w:ascii="Arial" w:hAnsi="Arial" w:cs="Arial"/>
                <w:b/>
                <w:bCs/>
                <w:color w:val="000000" w:themeColor="text1"/>
                <w:sz w:val="20"/>
                <w:szCs w:val="20"/>
              </w:rPr>
            </w:pPr>
            <w:r w:rsidRPr="00C676C7">
              <w:rPr>
                <w:rFonts w:ascii="Arial" w:hAnsi="Arial" w:cs="Arial"/>
                <w:b/>
                <w:bCs/>
                <w:color w:val="000000" w:themeColor="text1"/>
                <w:sz w:val="20"/>
                <w:szCs w:val="20"/>
              </w:rPr>
              <w:t>Sat</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0.71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1.01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2.99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2.07</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1.50</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1.63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1.63</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ante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118</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118</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122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114</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113</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price ($/GJ)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0.71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1.10</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2.99</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2.07</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1.93</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2.18</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1.63</w:t>
            </w:r>
          </w:p>
        </w:tc>
      </w:tr>
      <w:tr w:rsidR="00C676C7" w:rsidRPr="00C676C7" w:rsidTr="002861A9">
        <w:trPr>
          <w:trHeight w:val="255"/>
        </w:trPr>
        <w:tc>
          <w:tcPr>
            <w:tcW w:w="2160" w:type="dxa"/>
            <w:noWrap/>
            <w:tcMar>
              <w:top w:w="0" w:type="dxa"/>
              <w:bottom w:w="0" w:type="dxa"/>
            </w:tcMar>
            <w:vAlign w:val="center"/>
          </w:tcPr>
          <w:p w:rsidR="00C676C7" w:rsidRPr="00C676C7" w:rsidRDefault="00C676C7">
            <w:pPr>
              <w:rPr>
                <w:rFonts w:ascii="Arial" w:hAnsi="Arial" w:cs="Arial"/>
                <w:color w:val="000000" w:themeColor="text1"/>
                <w:sz w:val="20"/>
                <w:szCs w:val="20"/>
              </w:rPr>
            </w:pPr>
            <w:r w:rsidRPr="00C676C7">
              <w:rPr>
                <w:rFonts w:ascii="Arial" w:hAnsi="Arial" w:cs="Arial"/>
                <w:color w:val="000000" w:themeColor="text1"/>
                <w:sz w:val="20"/>
                <w:szCs w:val="20"/>
              </w:rPr>
              <w:t>Ex Post quantity (TJ)</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112</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125</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115</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121</w:t>
            </w:r>
          </w:p>
        </w:tc>
        <w:tc>
          <w:tcPr>
            <w:tcW w:w="1028"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127</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121</w:t>
            </w:r>
          </w:p>
        </w:tc>
        <w:tc>
          <w:tcPr>
            <w:tcW w:w="1029" w:type="dxa"/>
            <w:noWrap/>
            <w:tcMar>
              <w:top w:w="0" w:type="dxa"/>
              <w:bottom w:w="0" w:type="dxa"/>
            </w:tcMar>
            <w:vAlign w:val="center"/>
          </w:tcPr>
          <w:p w:rsidR="00C676C7" w:rsidRPr="00C676C7" w:rsidRDefault="00C676C7">
            <w:pPr>
              <w:jc w:val="center"/>
              <w:rPr>
                <w:rFonts w:ascii="Arial" w:hAnsi="Arial" w:cs="Arial"/>
                <w:color w:val="000000" w:themeColor="text1"/>
                <w:sz w:val="20"/>
                <w:szCs w:val="20"/>
              </w:rPr>
            </w:pPr>
            <w:r w:rsidRPr="00C676C7">
              <w:rPr>
                <w:rFonts w:ascii="Arial" w:hAnsi="Arial" w:cs="Arial"/>
                <w:color w:val="000000" w:themeColor="text1"/>
                <w:sz w:val="20"/>
                <w:szCs w:val="20"/>
              </w:rPr>
              <w:t>117</w:t>
            </w:r>
          </w:p>
        </w:tc>
      </w:tr>
    </w:tbl>
    <w:p w:rsidR="00157AFD" w:rsidRPr="00C676C7" w:rsidRDefault="00157AFD" w:rsidP="00157AFD">
      <w:pPr>
        <w:pStyle w:val="AERtableheading-unnumbered"/>
        <w:numPr>
          <w:ilvl w:val="0"/>
          <w:numId w:val="0"/>
        </w:numPr>
        <w:rPr>
          <w:rFonts w:ascii="Arial" w:hAnsi="Arial" w:cs="Arial"/>
          <w:color w:val="000000" w:themeColor="text1"/>
          <w:sz w:val="19"/>
          <w:szCs w:val="19"/>
        </w:rPr>
      </w:pPr>
      <w:r w:rsidRPr="00C676C7">
        <w:rPr>
          <w:rFonts w:ascii="Arial" w:hAnsi="Arial" w:cs="Arial"/>
          <w:color w:val="000000" w:themeColor="text1"/>
          <w:sz w:val="19"/>
          <w:szCs w:val="19"/>
        </w:rPr>
        <w:t>Figure 4.2 (a)</w:t>
      </w:r>
      <w:r w:rsidR="002C0499" w:rsidRPr="00C676C7">
        <w:rPr>
          <w:rFonts w:ascii="Arial" w:hAnsi="Arial" w:cs="Arial"/>
          <w:color w:val="000000" w:themeColor="text1"/>
          <w:sz w:val="19"/>
          <w:szCs w:val="19"/>
        </w:rPr>
        <w:t>:</w:t>
      </w:r>
      <w:r w:rsidRPr="00C676C7">
        <w:rPr>
          <w:rFonts w:ascii="Arial" w:hAnsi="Arial" w:cs="Arial"/>
          <w:color w:val="000000" w:themeColor="text1"/>
          <w:sz w:val="19"/>
          <w:szCs w:val="19"/>
        </w:rPr>
        <w:t xml:space="preserve"> Daily hub offers in price bands ($/GJ)     Figure 4.2</w:t>
      </w:r>
      <w:r w:rsidR="00C80FD8" w:rsidRPr="00C676C7">
        <w:rPr>
          <w:rFonts w:ascii="Arial" w:hAnsi="Arial" w:cs="Arial"/>
          <w:color w:val="000000" w:themeColor="text1"/>
          <w:sz w:val="19"/>
          <w:szCs w:val="19"/>
        </w:rPr>
        <w:t xml:space="preserve"> </w:t>
      </w:r>
      <w:r w:rsidRPr="00C676C7">
        <w:rPr>
          <w:rFonts w:ascii="Arial" w:hAnsi="Arial" w:cs="Arial"/>
          <w:color w:val="000000" w:themeColor="text1"/>
          <w:sz w:val="19"/>
          <w:szCs w:val="19"/>
        </w:rPr>
        <w:t>(b): Daily hub bids in price bands ($/GJ)</w:t>
      </w:r>
    </w:p>
    <w:p w:rsidR="00B66BAB" w:rsidRPr="00C676C7" w:rsidRDefault="00A30E49" w:rsidP="00B66BAB">
      <w:pPr>
        <w:pStyle w:val="FigheadingA"/>
        <w:numPr>
          <w:ilvl w:val="0"/>
          <w:numId w:val="0"/>
        </w:numPr>
        <w:spacing w:before="120" w:after="0"/>
        <w:ind w:left="1134" w:hanging="1134"/>
        <w:jc w:val="center"/>
        <w:rPr>
          <w:color w:val="000000" w:themeColor="text1"/>
        </w:rPr>
      </w:pPr>
      <w:r>
        <w:rPr>
          <w:color w:val="000000" w:themeColor="text1"/>
        </w:rPr>
        <w:pict>
          <v:shape id="_x0000_i1038" type="#_x0000_t75" style="width:475.5pt;height:180pt">
            <v:imagedata r:id="rId30" o:title=""/>
          </v:shape>
        </w:pict>
      </w:r>
      <w:r w:rsidR="00B66BAB" w:rsidRPr="00C676C7" w:rsidDel="00452AAD">
        <w:rPr>
          <w:color w:val="000000" w:themeColor="text1"/>
        </w:rPr>
        <w:t xml:space="preserve"> </w:t>
      </w:r>
    </w:p>
    <w:p w:rsidR="00B66BAB" w:rsidRPr="00C676C7" w:rsidRDefault="00E52E2A" w:rsidP="00A30E49">
      <w:pPr>
        <w:pStyle w:val="AERfigureheading"/>
        <w:numPr>
          <w:ilvl w:val="5"/>
          <w:numId w:val="16"/>
        </w:numPr>
        <w:tabs>
          <w:tab w:val="clear" w:pos="1361"/>
          <w:tab w:val="num" w:pos="1260"/>
        </w:tabs>
        <w:rPr>
          <w:rFonts w:ascii="Arial" w:hAnsi="Arial" w:cs="Arial"/>
          <w:color w:val="000000" w:themeColor="text1"/>
          <w:sz w:val="20"/>
          <w:szCs w:val="20"/>
        </w:rPr>
      </w:pPr>
      <w:r w:rsidRPr="00C676C7">
        <w:rPr>
          <w:rFonts w:ascii="Arial" w:hAnsi="Arial" w:cs="Arial"/>
          <w:color w:val="000000" w:themeColor="text1"/>
          <w:sz w:val="20"/>
          <w:szCs w:val="20"/>
        </w:rPr>
        <w:t>BRI net scheduled and allocated gas volumes (excluding MOS) by STTM facility</w:t>
      </w:r>
    </w:p>
    <w:p w:rsidR="00B66BAB" w:rsidRPr="00C676C7" w:rsidRDefault="00A30E49" w:rsidP="00B66BAB">
      <w:pPr>
        <w:pStyle w:val="BodyText"/>
        <w:spacing w:before="120" w:after="0"/>
        <w:jc w:val="center"/>
        <w:rPr>
          <w:color w:val="000000" w:themeColor="text1"/>
        </w:rPr>
      </w:pPr>
      <w:r>
        <w:rPr>
          <w:color w:val="000000" w:themeColor="text1"/>
        </w:rPr>
        <w:pict>
          <v:shape id="_x0000_i1039" type="#_x0000_t75" style="width:476.25pt;height:150.75pt">
            <v:imagedata r:id="rId31" o:title=""/>
          </v:shape>
        </w:pict>
      </w:r>
    </w:p>
    <w:p w:rsidR="00157AFD" w:rsidRPr="00C676C7" w:rsidRDefault="00157AFD" w:rsidP="002C0499">
      <w:pPr>
        <w:pStyle w:val="AERtableheading-unnumbered"/>
        <w:numPr>
          <w:ilvl w:val="0"/>
          <w:numId w:val="0"/>
        </w:numPr>
        <w:spacing w:before="120"/>
        <w:ind w:left="6379" w:right="-114" w:hanging="6379"/>
        <w:rPr>
          <w:rFonts w:ascii="Arial" w:hAnsi="Arial" w:cs="Arial"/>
          <w:color w:val="000000" w:themeColor="text1"/>
          <w:sz w:val="20"/>
          <w:szCs w:val="20"/>
        </w:rPr>
      </w:pPr>
      <w:r w:rsidRPr="00C676C7">
        <w:rPr>
          <w:rFonts w:ascii="Arial" w:hAnsi="Arial" w:cs="Arial"/>
          <w:color w:val="000000" w:themeColor="text1"/>
          <w:sz w:val="20"/>
          <w:szCs w:val="20"/>
        </w:rPr>
        <w:t>Figure 4.4 (a)</w:t>
      </w:r>
      <w:r w:rsidR="002C0499" w:rsidRPr="00C676C7">
        <w:rPr>
          <w:rFonts w:ascii="Arial" w:hAnsi="Arial" w:cs="Arial"/>
          <w:color w:val="000000" w:themeColor="text1"/>
          <w:sz w:val="20"/>
          <w:szCs w:val="20"/>
        </w:rPr>
        <w:t>:</w:t>
      </w:r>
      <w:r w:rsidRPr="00C676C7">
        <w:rPr>
          <w:rFonts w:ascii="Arial" w:hAnsi="Arial" w:cs="Arial"/>
          <w:color w:val="000000" w:themeColor="text1"/>
          <w:sz w:val="20"/>
          <w:szCs w:val="20"/>
        </w:rPr>
        <w:t xml:space="preserve"> BRI </w:t>
      </w:r>
      <w:r w:rsidR="005C68CE" w:rsidRPr="00C676C7">
        <w:rPr>
          <w:rFonts w:ascii="Arial" w:hAnsi="Arial" w:cs="Arial"/>
          <w:color w:val="000000" w:themeColor="text1"/>
          <w:sz w:val="20"/>
          <w:szCs w:val="20"/>
        </w:rPr>
        <w:t xml:space="preserve">STTM </w:t>
      </w:r>
      <w:r w:rsidRPr="00C676C7">
        <w:rPr>
          <w:rFonts w:ascii="Arial" w:hAnsi="Arial" w:cs="Arial"/>
          <w:color w:val="000000" w:themeColor="text1"/>
          <w:sz w:val="20"/>
          <w:szCs w:val="20"/>
        </w:rPr>
        <w:t>MOS allocations (TJ)           Figure 4.4 (b): Service payments and commodity payments/charges ($000)</w:t>
      </w:r>
    </w:p>
    <w:p w:rsidR="002A5634" w:rsidRPr="002E2E46" w:rsidRDefault="00A30E49" w:rsidP="00452149">
      <w:pPr>
        <w:jc w:val="center"/>
      </w:pPr>
      <w:r>
        <w:pict>
          <v:shape id="_x0000_i1040" type="#_x0000_t75" style="width:476.25pt;height:165.75pt">
            <v:imagedata r:id="rId32"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1C72B2" w:rsidRDefault="005F18AD" w:rsidP="00750C0F">
      <w:pPr>
        <w:pStyle w:val="AERfigureheading"/>
        <w:tabs>
          <w:tab w:val="clear" w:pos="1361"/>
          <w:tab w:val="num" w:pos="1260"/>
        </w:tabs>
        <w:spacing w:before="120"/>
        <w:ind w:left="1260" w:hanging="1260"/>
        <w:rPr>
          <w:rFonts w:ascii="Arial" w:hAnsi="Arial" w:cs="Arial"/>
          <w:color w:val="000000" w:themeColor="text1"/>
          <w:sz w:val="16"/>
          <w:szCs w:val="16"/>
        </w:rPr>
      </w:pPr>
      <w:r w:rsidRPr="001C72B2">
        <w:rPr>
          <w:rFonts w:ascii="Arial" w:hAnsi="Arial" w:cs="Arial"/>
          <w:color w:val="000000" w:themeColor="text1"/>
          <w:sz w:val="20"/>
          <w:szCs w:val="20"/>
        </w:rPr>
        <w:t xml:space="preserve">Gas </w:t>
      </w:r>
      <w:r w:rsidR="001B294E" w:rsidRPr="001C72B2">
        <w:rPr>
          <w:rFonts w:ascii="Arial" w:hAnsi="Arial" w:cs="Arial"/>
          <w:color w:val="000000" w:themeColor="text1"/>
          <w:sz w:val="20"/>
          <w:szCs w:val="20"/>
        </w:rPr>
        <w:t>market data ($/GJ, TJ); Production, Consumption and Pipeline flows (TJ)</w:t>
      </w:r>
    </w:p>
    <w:bookmarkEnd w:id="0"/>
    <w:bookmarkEnd w:id="1"/>
    <w:p w:rsidR="005A6687" w:rsidRDefault="00EA360D" w:rsidP="003C5272">
      <w:r>
        <w:pict>
          <v:shape id="Picture 1" o:spid="_x0000_i1041" type="#_x0000_t75" style="width:440.25pt;height:570pt;visibility:visible;mso-wrap-style:square">
            <v:imagedata r:id="rId33"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12FD9" w:rsidRDefault="003868C4" w:rsidP="002052B6">
      <w:pPr>
        <w:spacing w:before="120" w:after="120"/>
        <w:jc w:val="both"/>
      </w:pPr>
      <w:r w:rsidRPr="00B12FD9">
        <w:t xml:space="preserve">Trade at the Wallumbilla hub </w:t>
      </w:r>
      <w:r w:rsidR="001C72B2" w:rsidRPr="00B12FD9">
        <w:t>increased again this week. Overall the volume traded was 238 TJ (an increase of 56 TJ from the previous week</w:t>
      </w:r>
      <w:r w:rsidR="00963B63">
        <w:t xml:space="preserve"> and a new record high volume traded in the hub</w:t>
      </w:r>
      <w:r w:rsidR="00963B63">
        <w:rPr>
          <w:rStyle w:val="FootnoteReference"/>
        </w:rPr>
        <w:footnoteReference w:id="11"/>
      </w:r>
      <w:r w:rsidR="001C72B2" w:rsidRPr="00B12FD9">
        <w:t xml:space="preserve">). Volume weighted prices on both the Roma to Brisbane pipeline and the South West Queensland pipeline (SWQP) were just under $2/GJ. Over 80 per cent of volume traded </w:t>
      </w:r>
      <w:r w:rsidR="002679C7" w:rsidRPr="00B12FD9">
        <w:t xml:space="preserve">was on </w:t>
      </w:r>
      <w:r w:rsidR="001C72B2" w:rsidRPr="00B12FD9">
        <w:t>the SWQP</w:t>
      </w:r>
      <w:r w:rsidR="00963B63">
        <w:t xml:space="preserve"> and there were no weekly product trades</w:t>
      </w:r>
      <w:r w:rsidR="001C72B2" w:rsidRPr="00B12FD9">
        <w:t>.</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2"/>
      </w:r>
      <w:r>
        <w:rPr>
          <w:rFonts w:ascii="Times New Roman" w:eastAsia="Times New Roman" w:hAnsi="Times New Roman"/>
          <w:sz w:val="24"/>
          <w:szCs w:val="24"/>
        </w:rPr>
        <w:t xml:space="preserve"> on each gas day and trading day </w:t>
      </w:r>
      <w:r w:rsidRPr="00C676C7">
        <w:rPr>
          <w:rFonts w:ascii="Times New Roman" w:eastAsia="Times New Roman" w:hAnsi="Times New Roman"/>
          <w:color w:val="000000" w:themeColor="text1"/>
          <w:sz w:val="24"/>
          <w:szCs w:val="24"/>
        </w:rPr>
        <w:t xml:space="preserve">from </w:t>
      </w:r>
      <w:r w:rsidR="00C676C7" w:rsidRPr="00C676C7">
        <w:rPr>
          <w:rFonts w:ascii="Times New Roman" w:eastAsia="Times New Roman" w:hAnsi="Times New Roman"/>
          <w:color w:val="000000" w:themeColor="text1"/>
          <w:sz w:val="24"/>
          <w:szCs w:val="24"/>
        </w:rPr>
        <w:t>7 to 13 December</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A30E49" w:rsidP="002052B6">
      <w:pPr>
        <w:spacing w:before="120" w:after="120"/>
        <w:jc w:val="both"/>
        <w:rPr>
          <w:rFonts w:eastAsia="MS Mincho"/>
          <w:color w:val="FF0000"/>
        </w:rPr>
      </w:pPr>
      <w:r>
        <w:rPr>
          <w:rFonts w:eastAsia="MS Mincho"/>
        </w:rPr>
        <w:pict>
          <v:shape id="_x0000_i1042" type="#_x0000_t75" style="width:475.5pt;height:186.75pt">
            <v:imagedata r:id="rId34"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60D" w:rsidRDefault="00EA3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Pr="00EA360D" w:rsidRDefault="00564C71" w:rsidP="00EA36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60D" w:rsidRDefault="00EA3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3868C4" w:rsidRDefault="003868C4">
      <w:pPr>
        <w:pStyle w:val="FootnoteText"/>
      </w:pPr>
      <w:r>
        <w:rPr>
          <w:rStyle w:val="FootnoteReference"/>
        </w:rPr>
        <w:footnoteRef/>
      </w:r>
      <w:r>
        <w:t xml:space="preserve"> </w:t>
      </w:r>
      <w:r>
        <w:tab/>
      </w:r>
      <w:r w:rsidRPr="003868C4">
        <w:t>Capacity prices occur due to a capacity restriction on a pipeline which results in more expensive gas needing to be sourced from a different pipeline out of merit order. The Capacity Constraint Price forms part of a mechanism used to compensate shippers with firm transportation rights when as available (non-firm) gas is scheduled (with the volume of displaced gas charged at the capacity price). Routine maintenance has led to reduced capacity on the MSP since the end of September and is expected to be complete in April 2015.</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w:t>
      </w:r>
      <w:bookmarkStart w:id="4" w:name="_GoBack"/>
      <w:bookmarkEnd w:id="4"/>
      <w:r w:rsidRPr="00651341">
        <w:rPr>
          <w:sz w:val="18"/>
        </w:rPr>
        <w:t>ded’, while price is a volume weighted average.</w:t>
      </w:r>
    </w:p>
  </w:footnote>
  <w:footnote w:id="10">
    <w:p w:rsidR="005A6687" w:rsidRPr="00192CC6"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 xml:space="preserve">Market trade is facilitated through an electronic trading platform, with standardised terms and conditions and a market settlement facility for the short-term trading of physical gas and related products. The market is designed to </w:t>
      </w:r>
      <w:r w:rsidRPr="00192CC6">
        <w:rPr>
          <w:sz w:val="18"/>
          <w:szCs w:val="18"/>
        </w:rPr>
        <w:t>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963B63" w:rsidRPr="00192CC6" w:rsidRDefault="00963B63" w:rsidP="00A30E49">
      <w:pPr>
        <w:pStyle w:val="FootnoteText"/>
        <w:ind w:left="284" w:hanging="284"/>
        <w:rPr>
          <w:sz w:val="18"/>
          <w:szCs w:val="18"/>
        </w:rPr>
      </w:pPr>
      <w:r w:rsidRPr="00192CC6">
        <w:rPr>
          <w:rStyle w:val="FootnoteReference"/>
          <w:sz w:val="18"/>
          <w:szCs w:val="18"/>
        </w:rPr>
        <w:footnoteRef/>
      </w:r>
      <w:r w:rsidRPr="00192CC6">
        <w:rPr>
          <w:sz w:val="18"/>
          <w:szCs w:val="18"/>
        </w:rPr>
        <w:t xml:space="preserve">   The previous record volume traded over a week was just over 186.7 TJ for the week ending 6 September 2014.</w:t>
      </w:r>
    </w:p>
  </w:footnote>
  <w:footnote w:id="12">
    <w:p w:rsidR="002052B6" w:rsidRPr="007300C3" w:rsidRDefault="002052B6" w:rsidP="002052B6">
      <w:pPr>
        <w:pStyle w:val="FootnoteText"/>
        <w:ind w:left="284" w:hanging="284"/>
        <w:rPr>
          <w:sz w:val="18"/>
          <w:szCs w:val="18"/>
        </w:rPr>
      </w:pPr>
      <w:r w:rsidRPr="00192CC6">
        <w:rPr>
          <w:rStyle w:val="FootnoteReference"/>
          <w:sz w:val="18"/>
          <w:szCs w:val="18"/>
        </w:rPr>
        <w:footnoteRef/>
      </w:r>
      <w:r w:rsidRPr="00192CC6">
        <w:rPr>
          <w:sz w:val="18"/>
          <w:szCs w:val="18"/>
        </w:rPr>
        <w:t xml:space="preserve"> </w:t>
      </w:r>
      <w:r w:rsidRPr="00192CC6">
        <w:rPr>
          <w:sz w:val="18"/>
          <w:szCs w:val="18"/>
        </w:rPr>
        <w:tab/>
        <w:t>Volumes shown for weekly products include the ‘daily’ volume for each relevant ‘gas day’, and the ‘weekly’ volume for each</w:t>
      </w:r>
      <w:r>
        <w:rPr>
          <w:sz w:val="18"/>
          <w:szCs w:val="18"/>
        </w:rPr>
        <w:t xml:space="preserve"> relevant ‘trading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60D" w:rsidRDefault="00EA36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60D" w:rsidRDefault="00EA36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60D" w:rsidRDefault="00EA36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C65A84"/>
    <w:multiLevelType w:val="multilevel"/>
    <w:tmpl w:val="8F6EF6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2"/>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41207-20141213 gas weekly r (D2014-00197684).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E28B5"/>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2CC6"/>
    <w:rsid w:val="00193ECC"/>
    <w:rsid w:val="001A41B4"/>
    <w:rsid w:val="001A5893"/>
    <w:rsid w:val="001A5B94"/>
    <w:rsid w:val="001A5C1A"/>
    <w:rsid w:val="001A765F"/>
    <w:rsid w:val="001B294E"/>
    <w:rsid w:val="001B2ADA"/>
    <w:rsid w:val="001C006C"/>
    <w:rsid w:val="001C5A74"/>
    <w:rsid w:val="001C72B2"/>
    <w:rsid w:val="001E79FF"/>
    <w:rsid w:val="001F0F9B"/>
    <w:rsid w:val="001F2E35"/>
    <w:rsid w:val="002052B6"/>
    <w:rsid w:val="00206559"/>
    <w:rsid w:val="002168D4"/>
    <w:rsid w:val="002312F5"/>
    <w:rsid w:val="00233988"/>
    <w:rsid w:val="00234764"/>
    <w:rsid w:val="00252A22"/>
    <w:rsid w:val="00254746"/>
    <w:rsid w:val="00266CA5"/>
    <w:rsid w:val="0026725A"/>
    <w:rsid w:val="0026764C"/>
    <w:rsid w:val="002679C7"/>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68C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197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40DF"/>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26E3"/>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63B63"/>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0E49"/>
    <w:rsid w:val="00A324A8"/>
    <w:rsid w:val="00A349B0"/>
    <w:rsid w:val="00A475A2"/>
    <w:rsid w:val="00A51DDD"/>
    <w:rsid w:val="00A55660"/>
    <w:rsid w:val="00A55C96"/>
    <w:rsid w:val="00A642B8"/>
    <w:rsid w:val="00A66FD2"/>
    <w:rsid w:val="00A677D8"/>
    <w:rsid w:val="00A834DF"/>
    <w:rsid w:val="00A936AE"/>
    <w:rsid w:val="00AA1D87"/>
    <w:rsid w:val="00AC1CBC"/>
    <w:rsid w:val="00AD3EBD"/>
    <w:rsid w:val="00AE4633"/>
    <w:rsid w:val="00AE748C"/>
    <w:rsid w:val="00AF2281"/>
    <w:rsid w:val="00B00058"/>
    <w:rsid w:val="00B1081E"/>
    <w:rsid w:val="00B12FD9"/>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676C7"/>
    <w:rsid w:val="00C70A5B"/>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F73AF"/>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360D"/>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6630">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4446B-BF94-4E98-9489-79B68401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CBCF1B09.dotm</Template>
  <TotalTime>0</TotalTime>
  <Pages>11</Pages>
  <Words>1922</Words>
  <Characters>8956</Characters>
  <Application>Microsoft Office Word</Application>
  <DocSecurity>0</DocSecurity>
  <Lines>439</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2014-12-18T06:15:00Z</dcterms:created>
  <dcterms:modified xsi:type="dcterms:W3CDTF">2014-12-18T06:15:00Z</dcterms:modified>
</cp:coreProperties>
</file>