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675024"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81.75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BD0BB1" w:rsidRDefault="00C3061A" w:rsidP="00780239">
                  <w:pPr>
                    <w:pStyle w:val="Title"/>
                    <w:jc w:val="left"/>
                    <w:rPr>
                      <w:i/>
                    </w:rPr>
                  </w:pPr>
                  <w:r>
                    <w:t>5</w:t>
                  </w:r>
                  <w:r w:rsidR="005270A6" w:rsidRPr="00BD0BB1">
                    <w:t xml:space="preserve"> </w:t>
                  </w:r>
                  <w:r w:rsidR="00D463BC">
                    <w:t xml:space="preserve">to </w:t>
                  </w:r>
                  <w:r>
                    <w:t>11</w:t>
                  </w:r>
                  <w:r w:rsidR="002053BA">
                    <w:t xml:space="preserve"> </w:t>
                  </w:r>
                  <w:r w:rsidR="00A20FC6">
                    <w:t>October</w:t>
                  </w:r>
                  <w:r w:rsidR="00EC411D" w:rsidRPr="00BD0BB1">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8.9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5270A6" w:rsidRDefault="0078358A" w:rsidP="0078358A">
      <w:r>
        <w:t xml:space="preserve">Figure 1 shows the spot prices </w:t>
      </w:r>
      <w:r w:rsidRPr="005270A6">
        <w:t xml:space="preserve">that occurred in each region during the week </w:t>
      </w:r>
      <w:r w:rsidR="00C3061A">
        <w:t>5</w:t>
      </w:r>
      <w:r w:rsidR="00BB0611" w:rsidRPr="005270A6">
        <w:t xml:space="preserve"> </w:t>
      </w:r>
      <w:r w:rsidR="00780239" w:rsidRPr="005270A6">
        <w:t xml:space="preserve">to </w:t>
      </w:r>
      <w:r w:rsidR="00C3061A">
        <w:t>11</w:t>
      </w:r>
      <w:r w:rsidR="00A20FC6">
        <w:t> October</w:t>
      </w:r>
      <w:r w:rsidRPr="005270A6">
        <w:t xml:space="preserve"> 2014.</w:t>
      </w:r>
      <w:r w:rsidR="00827053" w:rsidRPr="005270A6">
        <w:t xml:space="preserve"> </w:t>
      </w:r>
    </w:p>
    <w:p w:rsidR="0078358A" w:rsidRPr="005270A6" w:rsidRDefault="0078358A" w:rsidP="0078358A">
      <w:pPr>
        <w:pStyle w:val="Figureheading"/>
        <w:numPr>
          <w:ilvl w:val="0"/>
          <w:numId w:val="0"/>
        </w:numPr>
        <w:spacing w:after="0"/>
        <w:ind w:left="357" w:hanging="357"/>
      </w:pPr>
      <w:r w:rsidRPr="005270A6">
        <w:t>Figure 1: Spot price by region ($/</w:t>
      </w:r>
      <w:proofErr w:type="spellStart"/>
      <w:r w:rsidRPr="005270A6">
        <w:t>MWh</w:t>
      </w:r>
      <w:proofErr w:type="spellEnd"/>
      <w:r w:rsidRPr="005270A6">
        <w:t xml:space="preserve">) </w:t>
      </w:r>
    </w:p>
    <w:p w:rsidR="00786E64" w:rsidRDefault="00675024" w:rsidP="00FE59FE">
      <w:pPr>
        <w:pStyle w:val="AERbodytext"/>
        <w:spacing w:after="0"/>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6.15pt">
            <v:imagedata r:id="rId9" o:title=""/>
          </v:shape>
        </w:pict>
      </w:r>
    </w:p>
    <w:p w:rsidR="00FE59FE" w:rsidRPr="00FE59FE" w:rsidRDefault="00FE59FE" w:rsidP="00FE59FE">
      <w:pPr>
        <w:pStyle w:val="AERbodytext"/>
        <w:spacing w:after="0"/>
        <w:rPr>
          <w:sz w:val="14"/>
        </w:rPr>
      </w:pPr>
      <w:r>
        <w:rPr>
          <w:sz w:val="14"/>
        </w:rPr>
        <w:t xml:space="preserve">^ </w:t>
      </w:r>
      <w:r w:rsidRPr="00FE59FE">
        <w:rPr>
          <w:sz w:val="14"/>
        </w:rPr>
        <w:t>The $153/</w:t>
      </w:r>
      <w:proofErr w:type="spellStart"/>
      <w:r w:rsidRPr="00FE59FE">
        <w:rPr>
          <w:sz w:val="14"/>
        </w:rPr>
        <w:t>MWh</w:t>
      </w:r>
      <w:proofErr w:type="spellEnd"/>
      <w:r w:rsidRPr="00FE59FE">
        <w:rPr>
          <w:sz w:val="14"/>
        </w:rPr>
        <w:t xml:space="preserve"> s</w:t>
      </w:r>
      <w:r>
        <w:rPr>
          <w:sz w:val="14"/>
        </w:rPr>
        <w:t xml:space="preserve">pot price in SA </w:t>
      </w:r>
      <w:r w:rsidRPr="00FE59FE">
        <w:rPr>
          <w:sz w:val="14"/>
        </w:rPr>
        <w:t xml:space="preserve">was due to </w:t>
      </w:r>
      <w:r w:rsidR="00C23E24">
        <w:rPr>
          <w:sz w:val="14"/>
        </w:rPr>
        <w:t>a combination of reduced</w:t>
      </w:r>
      <w:r w:rsidR="00120E01">
        <w:rPr>
          <w:sz w:val="14"/>
        </w:rPr>
        <w:t xml:space="preserve"> </w:t>
      </w:r>
      <w:r w:rsidR="009017CA">
        <w:rPr>
          <w:sz w:val="14"/>
        </w:rPr>
        <w:t xml:space="preserve">regional </w:t>
      </w:r>
      <w:r w:rsidR="00120E01">
        <w:rPr>
          <w:sz w:val="14"/>
        </w:rPr>
        <w:t xml:space="preserve">available capacity </w:t>
      </w:r>
      <w:r w:rsidR="00C23E24">
        <w:rPr>
          <w:sz w:val="14"/>
        </w:rPr>
        <w:t xml:space="preserve">following the trip of </w:t>
      </w:r>
      <w:r w:rsidRPr="00FE59FE">
        <w:rPr>
          <w:sz w:val="14"/>
        </w:rPr>
        <w:t xml:space="preserve">Northern unit one </w:t>
      </w:r>
      <w:r w:rsidR="00C23E24">
        <w:rPr>
          <w:sz w:val="14"/>
        </w:rPr>
        <w:t>at around 8.30 </w:t>
      </w:r>
      <w:r w:rsidRPr="00FE59FE">
        <w:rPr>
          <w:sz w:val="14"/>
        </w:rPr>
        <w:t>pm</w:t>
      </w:r>
      <w:r w:rsidR="00C33553">
        <w:rPr>
          <w:sz w:val="14"/>
        </w:rPr>
        <w:t>,</w:t>
      </w:r>
      <w:r w:rsidRPr="00FE59FE">
        <w:rPr>
          <w:sz w:val="14"/>
        </w:rPr>
        <w:t xml:space="preserve"> </w:t>
      </w:r>
      <w:r w:rsidR="00C23E24">
        <w:rPr>
          <w:sz w:val="14"/>
        </w:rPr>
        <w:t>an</w:t>
      </w:r>
      <w:r w:rsidRPr="00FE59FE">
        <w:rPr>
          <w:sz w:val="14"/>
        </w:rPr>
        <w:t xml:space="preserve"> increase in demand </w:t>
      </w:r>
      <w:r w:rsidR="00C23E24">
        <w:rPr>
          <w:sz w:val="14"/>
        </w:rPr>
        <w:t xml:space="preserve">to service </w:t>
      </w:r>
      <w:r w:rsidRPr="00FE59FE">
        <w:rPr>
          <w:sz w:val="14"/>
        </w:rPr>
        <w:t>hot water load at around 11.30 pm</w:t>
      </w:r>
      <w:r w:rsidR="00C33553">
        <w:rPr>
          <w:sz w:val="14"/>
        </w:rPr>
        <w:t xml:space="preserve"> and some rebidding by participants</w:t>
      </w:r>
      <w:r w:rsidRPr="00FE59FE">
        <w:rPr>
          <w:sz w:val="14"/>
        </w:rPr>
        <w:t xml:space="preserve">.  </w:t>
      </w:r>
    </w:p>
    <w:p w:rsidR="00C23E24" w:rsidRDefault="00C23E24" w:rsidP="00F50D3A">
      <w:pPr>
        <w:pStyle w:val="AERbodytext"/>
      </w:pP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w:t>
      </w:r>
      <w:proofErr w:type="spellStart"/>
      <w:r w:rsidR="00656C5F" w:rsidRPr="005270A6">
        <w:t>MWh</w:t>
      </w:r>
      <w:proofErr w:type="spellEnd"/>
      <w:r w:rsidR="00656C5F" w:rsidRPr="005270A6">
        <w:t>)</w:t>
      </w:r>
    </w:p>
    <w:p w:rsidR="00785F23" w:rsidRPr="002D23B9" w:rsidRDefault="00675024"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51.45pt;height:225.7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w:t>
      </w:r>
      <w:proofErr w:type="spellStart"/>
      <w:r w:rsidR="008B0A6A" w:rsidRPr="00671C7F">
        <w:t>MWh</w:t>
      </w:r>
      <w:proofErr w:type="spellEnd"/>
      <w:r w:rsidR="008B0A6A" w:rsidRPr="00671C7F">
        <w:t>)</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C3061A" w:rsidRPr="009340BA" w:rsidTr="003109ED">
        <w:trPr>
          <w:trHeight w:hRule="exact" w:val="340"/>
        </w:trPr>
        <w:tc>
          <w:tcPr>
            <w:tcW w:w="1357" w:type="pct"/>
            <w:tcBorders>
              <w:top w:val="nil"/>
              <w:left w:val="nil"/>
              <w:bottom w:val="nil"/>
              <w:right w:val="nil"/>
            </w:tcBorders>
            <w:shd w:val="clear" w:color="000000" w:fill="DDD9C3"/>
            <w:noWrap/>
            <w:vAlign w:val="center"/>
            <w:hideMark/>
          </w:tcPr>
          <w:p w:rsidR="00C3061A" w:rsidRDefault="00C3061A">
            <w:pPr>
              <w:rPr>
                <w:rFonts w:cs="Gautami"/>
                <w:b/>
                <w:bCs/>
                <w:sz w:val="16"/>
                <w:szCs w:val="16"/>
              </w:rPr>
            </w:pPr>
            <w:r>
              <w:rPr>
                <w:rFonts w:cs="Gautami"/>
                <w:b/>
                <w:bCs/>
                <w:sz w:val="16"/>
                <w:szCs w:val="16"/>
              </w:rPr>
              <w:t>Current week</w:t>
            </w:r>
          </w:p>
        </w:tc>
        <w:tc>
          <w:tcPr>
            <w:tcW w:w="518" w:type="pct"/>
            <w:tcBorders>
              <w:top w:val="nil"/>
              <w:left w:val="nil"/>
              <w:bottom w:val="nil"/>
              <w:right w:val="nil"/>
            </w:tcBorders>
            <w:shd w:val="clear" w:color="000000" w:fill="DDD9C3"/>
            <w:noWrap/>
            <w:vAlign w:val="center"/>
          </w:tcPr>
          <w:p w:rsidR="00C3061A" w:rsidRDefault="00C3061A">
            <w:pPr>
              <w:jc w:val="center"/>
              <w:rPr>
                <w:rFonts w:cs="Gautami"/>
                <w:sz w:val="16"/>
                <w:szCs w:val="16"/>
              </w:rPr>
            </w:pPr>
            <w:r>
              <w:rPr>
                <w:rFonts w:cs="Gautami"/>
                <w:sz w:val="16"/>
                <w:szCs w:val="16"/>
              </w:rPr>
              <w:t>21</w:t>
            </w:r>
          </w:p>
        </w:tc>
        <w:tc>
          <w:tcPr>
            <w:tcW w:w="781" w:type="pct"/>
            <w:tcBorders>
              <w:top w:val="nil"/>
              <w:left w:val="nil"/>
              <w:bottom w:val="nil"/>
              <w:right w:val="nil"/>
            </w:tcBorders>
            <w:shd w:val="clear" w:color="000000" w:fill="DDD9C3"/>
            <w:noWrap/>
            <w:vAlign w:val="center"/>
          </w:tcPr>
          <w:p w:rsidR="00C3061A" w:rsidRDefault="00C3061A">
            <w:pPr>
              <w:jc w:val="center"/>
              <w:rPr>
                <w:rFonts w:cs="Gautami"/>
                <w:sz w:val="16"/>
                <w:szCs w:val="16"/>
              </w:rPr>
            </w:pPr>
            <w:r>
              <w:rPr>
                <w:rFonts w:cs="Gautami"/>
                <w:sz w:val="16"/>
                <w:szCs w:val="16"/>
              </w:rPr>
              <w:t>32</w:t>
            </w:r>
          </w:p>
        </w:tc>
        <w:tc>
          <w:tcPr>
            <w:tcW w:w="781" w:type="pct"/>
            <w:tcBorders>
              <w:top w:val="nil"/>
              <w:left w:val="nil"/>
              <w:bottom w:val="nil"/>
              <w:right w:val="nil"/>
            </w:tcBorders>
            <w:shd w:val="clear" w:color="000000" w:fill="DDD9C3"/>
            <w:noWrap/>
            <w:vAlign w:val="center"/>
          </w:tcPr>
          <w:p w:rsidR="00C3061A" w:rsidRDefault="00C3061A">
            <w:pPr>
              <w:jc w:val="center"/>
              <w:rPr>
                <w:rFonts w:cs="Gautami"/>
                <w:sz w:val="16"/>
                <w:szCs w:val="16"/>
              </w:rPr>
            </w:pPr>
            <w:r>
              <w:rPr>
                <w:rFonts w:cs="Gautami"/>
                <w:sz w:val="16"/>
                <w:szCs w:val="16"/>
              </w:rPr>
              <w:t>29</w:t>
            </w:r>
          </w:p>
        </w:tc>
        <w:tc>
          <w:tcPr>
            <w:tcW w:w="781" w:type="pct"/>
            <w:tcBorders>
              <w:top w:val="nil"/>
              <w:left w:val="nil"/>
              <w:bottom w:val="nil"/>
              <w:right w:val="nil"/>
            </w:tcBorders>
            <w:shd w:val="clear" w:color="000000" w:fill="DDD9C3"/>
            <w:noWrap/>
            <w:vAlign w:val="center"/>
          </w:tcPr>
          <w:p w:rsidR="00C3061A" w:rsidRDefault="00C3061A">
            <w:pPr>
              <w:jc w:val="center"/>
              <w:rPr>
                <w:rFonts w:cs="Gautami"/>
                <w:sz w:val="16"/>
                <w:szCs w:val="16"/>
              </w:rPr>
            </w:pPr>
            <w:r>
              <w:rPr>
                <w:rFonts w:cs="Gautami"/>
                <w:sz w:val="16"/>
                <w:szCs w:val="16"/>
              </w:rPr>
              <w:t>32</w:t>
            </w:r>
          </w:p>
        </w:tc>
        <w:tc>
          <w:tcPr>
            <w:tcW w:w="781" w:type="pct"/>
            <w:tcBorders>
              <w:top w:val="nil"/>
              <w:left w:val="nil"/>
              <w:bottom w:val="nil"/>
              <w:right w:val="nil"/>
            </w:tcBorders>
            <w:shd w:val="clear" w:color="000000" w:fill="DDD9C3"/>
            <w:noWrap/>
            <w:vAlign w:val="center"/>
          </w:tcPr>
          <w:p w:rsidR="00C3061A" w:rsidRDefault="00C3061A">
            <w:pPr>
              <w:jc w:val="center"/>
              <w:rPr>
                <w:rFonts w:cs="Gautami"/>
                <w:sz w:val="16"/>
                <w:szCs w:val="16"/>
              </w:rPr>
            </w:pPr>
            <w:r>
              <w:rPr>
                <w:rFonts w:cs="Gautami"/>
                <w:sz w:val="16"/>
                <w:szCs w:val="16"/>
              </w:rPr>
              <w:t>28</w:t>
            </w:r>
          </w:p>
        </w:tc>
      </w:tr>
      <w:tr w:rsidR="00C3061A" w:rsidRPr="009340BA" w:rsidTr="003109ED">
        <w:trPr>
          <w:trHeight w:hRule="exact" w:val="340"/>
        </w:trPr>
        <w:tc>
          <w:tcPr>
            <w:tcW w:w="1357" w:type="pct"/>
            <w:tcBorders>
              <w:top w:val="nil"/>
              <w:left w:val="nil"/>
              <w:bottom w:val="nil"/>
              <w:right w:val="nil"/>
            </w:tcBorders>
            <w:shd w:val="clear" w:color="000000" w:fill="EEECE1"/>
            <w:noWrap/>
            <w:vAlign w:val="center"/>
            <w:hideMark/>
          </w:tcPr>
          <w:p w:rsidR="00C3061A" w:rsidRDefault="00C3061A">
            <w:pPr>
              <w:rPr>
                <w:rFonts w:cs="Gautami"/>
                <w:b/>
                <w:bCs/>
                <w:sz w:val="16"/>
                <w:szCs w:val="16"/>
              </w:rPr>
            </w:pPr>
            <w:r>
              <w:rPr>
                <w:rFonts w:cs="Gautami"/>
                <w:b/>
                <w:bCs/>
                <w:sz w:val="16"/>
                <w:szCs w:val="16"/>
              </w:rPr>
              <w:t>13-14 financial YTD</w:t>
            </w:r>
          </w:p>
        </w:tc>
        <w:tc>
          <w:tcPr>
            <w:tcW w:w="518" w:type="pct"/>
            <w:tcBorders>
              <w:top w:val="nil"/>
              <w:left w:val="nil"/>
              <w:bottom w:val="nil"/>
              <w:right w:val="nil"/>
            </w:tcBorders>
            <w:shd w:val="clear" w:color="000000" w:fill="EEECE1"/>
            <w:noWrap/>
            <w:vAlign w:val="center"/>
          </w:tcPr>
          <w:p w:rsidR="00C3061A" w:rsidRDefault="00C3061A">
            <w:pPr>
              <w:jc w:val="center"/>
              <w:rPr>
                <w:rFonts w:cs="Gautami"/>
                <w:sz w:val="16"/>
                <w:szCs w:val="16"/>
              </w:rPr>
            </w:pPr>
            <w:r>
              <w:rPr>
                <w:rFonts w:cs="Gautami"/>
                <w:sz w:val="16"/>
                <w:szCs w:val="16"/>
              </w:rPr>
              <w:t>60</w:t>
            </w:r>
          </w:p>
        </w:tc>
        <w:tc>
          <w:tcPr>
            <w:tcW w:w="781" w:type="pct"/>
            <w:tcBorders>
              <w:top w:val="nil"/>
              <w:left w:val="nil"/>
              <w:bottom w:val="nil"/>
              <w:right w:val="nil"/>
            </w:tcBorders>
            <w:shd w:val="clear" w:color="000000" w:fill="EEECE1"/>
            <w:noWrap/>
            <w:vAlign w:val="center"/>
          </w:tcPr>
          <w:p w:rsidR="00C3061A" w:rsidRDefault="00C3061A">
            <w:pPr>
              <w:jc w:val="center"/>
              <w:rPr>
                <w:rFonts w:cs="Gautami"/>
                <w:sz w:val="16"/>
                <w:szCs w:val="16"/>
              </w:rPr>
            </w:pPr>
            <w:r>
              <w:rPr>
                <w:rFonts w:cs="Gautami"/>
                <w:sz w:val="16"/>
                <w:szCs w:val="16"/>
              </w:rPr>
              <w:t>55</w:t>
            </w:r>
          </w:p>
        </w:tc>
        <w:tc>
          <w:tcPr>
            <w:tcW w:w="781" w:type="pct"/>
            <w:tcBorders>
              <w:top w:val="nil"/>
              <w:left w:val="nil"/>
              <w:bottom w:val="nil"/>
              <w:right w:val="nil"/>
            </w:tcBorders>
            <w:shd w:val="clear" w:color="000000" w:fill="EEECE1"/>
            <w:noWrap/>
            <w:vAlign w:val="center"/>
          </w:tcPr>
          <w:p w:rsidR="00C3061A" w:rsidRDefault="00C3061A">
            <w:pPr>
              <w:jc w:val="center"/>
              <w:rPr>
                <w:rFonts w:cs="Gautami"/>
                <w:sz w:val="16"/>
                <w:szCs w:val="16"/>
              </w:rPr>
            </w:pPr>
            <w:r>
              <w:rPr>
                <w:rFonts w:cs="Gautami"/>
                <w:sz w:val="16"/>
                <w:szCs w:val="16"/>
              </w:rPr>
              <w:t>55</w:t>
            </w:r>
          </w:p>
        </w:tc>
        <w:tc>
          <w:tcPr>
            <w:tcW w:w="781" w:type="pct"/>
            <w:tcBorders>
              <w:top w:val="nil"/>
              <w:left w:val="nil"/>
              <w:bottom w:val="nil"/>
              <w:right w:val="nil"/>
            </w:tcBorders>
            <w:shd w:val="clear" w:color="000000" w:fill="EEECE1"/>
            <w:noWrap/>
            <w:vAlign w:val="center"/>
          </w:tcPr>
          <w:p w:rsidR="00C3061A" w:rsidRDefault="00C3061A">
            <w:pPr>
              <w:jc w:val="center"/>
              <w:rPr>
                <w:rFonts w:cs="Gautami"/>
                <w:sz w:val="16"/>
                <w:szCs w:val="16"/>
              </w:rPr>
            </w:pPr>
            <w:r>
              <w:rPr>
                <w:rFonts w:cs="Gautami"/>
                <w:sz w:val="16"/>
                <w:szCs w:val="16"/>
              </w:rPr>
              <w:t>69</w:t>
            </w:r>
          </w:p>
        </w:tc>
        <w:tc>
          <w:tcPr>
            <w:tcW w:w="781" w:type="pct"/>
            <w:tcBorders>
              <w:top w:val="nil"/>
              <w:left w:val="nil"/>
              <w:bottom w:val="nil"/>
              <w:right w:val="nil"/>
            </w:tcBorders>
            <w:shd w:val="clear" w:color="000000" w:fill="EEECE1"/>
            <w:noWrap/>
            <w:vAlign w:val="center"/>
          </w:tcPr>
          <w:p w:rsidR="00C3061A" w:rsidRDefault="00C3061A">
            <w:pPr>
              <w:jc w:val="center"/>
              <w:rPr>
                <w:rFonts w:cs="Gautami"/>
                <w:sz w:val="16"/>
                <w:szCs w:val="16"/>
              </w:rPr>
            </w:pPr>
            <w:r>
              <w:rPr>
                <w:rFonts w:cs="Gautami"/>
                <w:sz w:val="16"/>
                <w:szCs w:val="16"/>
              </w:rPr>
              <w:t>46</w:t>
            </w:r>
          </w:p>
        </w:tc>
      </w:tr>
      <w:tr w:rsidR="00C3061A" w:rsidRPr="009340BA" w:rsidTr="003109ED">
        <w:trPr>
          <w:trHeight w:hRule="exact" w:val="340"/>
        </w:trPr>
        <w:tc>
          <w:tcPr>
            <w:tcW w:w="1357" w:type="pct"/>
            <w:tcBorders>
              <w:top w:val="nil"/>
              <w:left w:val="nil"/>
              <w:bottom w:val="single" w:sz="8" w:space="0" w:color="auto"/>
              <w:right w:val="nil"/>
            </w:tcBorders>
            <w:shd w:val="clear" w:color="000000" w:fill="DDD9C3"/>
            <w:noWrap/>
            <w:vAlign w:val="center"/>
            <w:hideMark/>
          </w:tcPr>
          <w:p w:rsidR="00C3061A" w:rsidRDefault="00C3061A">
            <w:pPr>
              <w:rPr>
                <w:rFonts w:cs="Gautami"/>
                <w:b/>
                <w:bCs/>
                <w:sz w:val="16"/>
                <w:szCs w:val="16"/>
              </w:rPr>
            </w:pPr>
            <w:r>
              <w:rPr>
                <w:rFonts w:cs="Gautami"/>
                <w:b/>
                <w:bCs/>
                <w:sz w:val="16"/>
                <w:szCs w:val="16"/>
              </w:rPr>
              <w:t>14-15 financial YTD</w:t>
            </w:r>
          </w:p>
        </w:tc>
        <w:tc>
          <w:tcPr>
            <w:tcW w:w="518" w:type="pct"/>
            <w:tcBorders>
              <w:top w:val="nil"/>
              <w:left w:val="nil"/>
              <w:bottom w:val="single" w:sz="8" w:space="0" w:color="auto"/>
              <w:right w:val="nil"/>
            </w:tcBorders>
            <w:shd w:val="clear" w:color="000000" w:fill="DDD9C3"/>
            <w:noWrap/>
            <w:vAlign w:val="center"/>
          </w:tcPr>
          <w:p w:rsidR="00C3061A" w:rsidRDefault="00C3061A">
            <w:pPr>
              <w:jc w:val="center"/>
              <w:rPr>
                <w:rFonts w:cs="Gautami"/>
                <w:sz w:val="16"/>
                <w:szCs w:val="16"/>
              </w:rPr>
            </w:pPr>
            <w:r>
              <w:rPr>
                <w:rFonts w:cs="Gautami"/>
                <w:sz w:val="16"/>
                <w:szCs w:val="16"/>
              </w:rPr>
              <w:t>31</w:t>
            </w:r>
          </w:p>
        </w:tc>
        <w:tc>
          <w:tcPr>
            <w:tcW w:w="781" w:type="pct"/>
            <w:tcBorders>
              <w:top w:val="nil"/>
              <w:left w:val="nil"/>
              <w:bottom w:val="single" w:sz="8" w:space="0" w:color="auto"/>
              <w:right w:val="nil"/>
            </w:tcBorders>
            <w:shd w:val="clear" w:color="000000" w:fill="DDD9C3"/>
            <w:noWrap/>
            <w:vAlign w:val="center"/>
          </w:tcPr>
          <w:p w:rsidR="00C3061A" w:rsidRDefault="00C3061A">
            <w:pPr>
              <w:jc w:val="center"/>
              <w:rPr>
                <w:rFonts w:cs="Gautami"/>
                <w:sz w:val="16"/>
                <w:szCs w:val="16"/>
              </w:rPr>
            </w:pPr>
            <w:r>
              <w:rPr>
                <w:rFonts w:cs="Gautami"/>
                <w:sz w:val="16"/>
                <w:szCs w:val="16"/>
              </w:rPr>
              <w:t>39</w:t>
            </w:r>
          </w:p>
        </w:tc>
        <w:tc>
          <w:tcPr>
            <w:tcW w:w="781" w:type="pct"/>
            <w:tcBorders>
              <w:top w:val="nil"/>
              <w:left w:val="nil"/>
              <w:bottom w:val="single" w:sz="8" w:space="0" w:color="auto"/>
              <w:right w:val="nil"/>
            </w:tcBorders>
            <w:shd w:val="clear" w:color="000000" w:fill="DDD9C3"/>
            <w:noWrap/>
            <w:vAlign w:val="center"/>
          </w:tcPr>
          <w:p w:rsidR="00C3061A" w:rsidRDefault="00C3061A">
            <w:pPr>
              <w:jc w:val="center"/>
              <w:rPr>
                <w:rFonts w:cs="Gautami"/>
                <w:sz w:val="16"/>
                <w:szCs w:val="16"/>
              </w:rPr>
            </w:pPr>
            <w:r>
              <w:rPr>
                <w:rFonts w:cs="Gautami"/>
                <w:sz w:val="16"/>
                <w:szCs w:val="16"/>
              </w:rPr>
              <w:t>37</w:t>
            </w:r>
          </w:p>
        </w:tc>
        <w:tc>
          <w:tcPr>
            <w:tcW w:w="781" w:type="pct"/>
            <w:tcBorders>
              <w:top w:val="nil"/>
              <w:left w:val="nil"/>
              <w:bottom w:val="single" w:sz="8" w:space="0" w:color="auto"/>
              <w:right w:val="nil"/>
            </w:tcBorders>
            <w:shd w:val="clear" w:color="000000" w:fill="DDD9C3"/>
            <w:noWrap/>
            <w:vAlign w:val="center"/>
          </w:tcPr>
          <w:p w:rsidR="00C3061A" w:rsidRDefault="00C3061A">
            <w:pPr>
              <w:jc w:val="center"/>
              <w:rPr>
                <w:rFonts w:cs="Gautami"/>
                <w:sz w:val="16"/>
                <w:szCs w:val="16"/>
              </w:rPr>
            </w:pPr>
            <w:r>
              <w:rPr>
                <w:rFonts w:cs="Gautami"/>
                <w:sz w:val="16"/>
                <w:szCs w:val="16"/>
              </w:rPr>
              <w:t>46</w:t>
            </w:r>
          </w:p>
        </w:tc>
        <w:tc>
          <w:tcPr>
            <w:tcW w:w="781" w:type="pct"/>
            <w:tcBorders>
              <w:top w:val="nil"/>
              <w:left w:val="nil"/>
              <w:bottom w:val="single" w:sz="8" w:space="0" w:color="auto"/>
              <w:right w:val="nil"/>
            </w:tcBorders>
            <w:shd w:val="clear" w:color="000000" w:fill="DDD9C3"/>
            <w:noWrap/>
            <w:vAlign w:val="center"/>
          </w:tcPr>
          <w:p w:rsidR="00C3061A" w:rsidRDefault="00C3061A">
            <w:pPr>
              <w:jc w:val="center"/>
              <w:rPr>
                <w:rFonts w:cs="Gautami"/>
                <w:sz w:val="16"/>
                <w:szCs w:val="16"/>
              </w:rPr>
            </w:pPr>
            <w:r>
              <w:rPr>
                <w:rFonts w:cs="Gautami"/>
                <w:sz w:val="16"/>
                <w:szCs w:val="16"/>
              </w:rPr>
              <w:t>36</w:t>
            </w:r>
          </w:p>
        </w:tc>
      </w:tr>
    </w:tbl>
    <w:p w:rsidR="00977DC4" w:rsidRPr="002D23B9" w:rsidRDefault="00B245E8" w:rsidP="00432196">
      <w:pPr>
        <w:pStyle w:val="AERbodytext"/>
        <w:spacing w:before="24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987FBC" w:rsidP="00987FBC">
      <w:pPr>
        <w:pStyle w:val="AERbodytext"/>
      </w:pPr>
      <w:r>
        <w:t xml:space="preserve">There were </w:t>
      </w:r>
      <w:r w:rsidR="00C3061A">
        <w:t>42</w:t>
      </w:r>
      <w:r>
        <w:t xml:space="preserve"> 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C3061A" w:rsidRPr="00711C86" w:rsidTr="00A20FC6">
        <w:trPr>
          <w:trHeight w:hRule="exact" w:val="369"/>
        </w:trPr>
        <w:tc>
          <w:tcPr>
            <w:tcW w:w="3636" w:type="dxa"/>
            <w:tcBorders>
              <w:top w:val="nil"/>
              <w:left w:val="nil"/>
              <w:bottom w:val="nil"/>
              <w:right w:val="nil"/>
            </w:tcBorders>
            <w:shd w:val="clear" w:color="000000" w:fill="DDD9C3"/>
            <w:noWrap/>
            <w:vAlign w:val="center"/>
            <w:hideMark/>
          </w:tcPr>
          <w:p w:rsidR="00C3061A" w:rsidRDefault="00C3061A">
            <w:pPr>
              <w:rPr>
                <w:rFonts w:cs="Gautami"/>
                <w:b/>
                <w:bCs/>
                <w:sz w:val="16"/>
                <w:szCs w:val="16"/>
              </w:rPr>
            </w:pPr>
            <w:r>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tcPr>
          <w:p w:rsidR="00C3061A" w:rsidRDefault="00C3061A">
            <w:pPr>
              <w:jc w:val="center"/>
              <w:rPr>
                <w:rFonts w:cs="Gautami"/>
                <w:sz w:val="16"/>
                <w:szCs w:val="16"/>
              </w:rPr>
            </w:pPr>
            <w:r>
              <w:rPr>
                <w:rFonts w:cs="Gautami"/>
                <w:sz w:val="16"/>
                <w:szCs w:val="16"/>
              </w:rPr>
              <w:t>0</w:t>
            </w:r>
          </w:p>
        </w:tc>
        <w:tc>
          <w:tcPr>
            <w:tcW w:w="1436" w:type="dxa"/>
            <w:tcBorders>
              <w:top w:val="nil"/>
              <w:left w:val="nil"/>
              <w:bottom w:val="nil"/>
              <w:right w:val="nil"/>
            </w:tcBorders>
            <w:shd w:val="clear" w:color="000000" w:fill="DDD9C3"/>
            <w:noWrap/>
            <w:vAlign w:val="center"/>
          </w:tcPr>
          <w:p w:rsidR="00C3061A" w:rsidRDefault="00C3061A">
            <w:pPr>
              <w:jc w:val="center"/>
              <w:rPr>
                <w:rFonts w:cs="Gautami"/>
                <w:sz w:val="16"/>
                <w:szCs w:val="16"/>
              </w:rPr>
            </w:pPr>
            <w:r>
              <w:rPr>
                <w:rFonts w:cs="Gautami"/>
                <w:sz w:val="16"/>
                <w:szCs w:val="16"/>
              </w:rPr>
              <w:t>27</w:t>
            </w:r>
          </w:p>
        </w:tc>
        <w:tc>
          <w:tcPr>
            <w:tcW w:w="1297" w:type="dxa"/>
            <w:tcBorders>
              <w:top w:val="nil"/>
              <w:left w:val="nil"/>
              <w:bottom w:val="nil"/>
              <w:right w:val="nil"/>
            </w:tcBorders>
            <w:shd w:val="clear" w:color="000000" w:fill="DDD9C3"/>
            <w:noWrap/>
            <w:vAlign w:val="center"/>
          </w:tcPr>
          <w:p w:rsidR="00C3061A" w:rsidRDefault="00C3061A">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tcPr>
          <w:p w:rsidR="00C3061A" w:rsidRDefault="00C3061A">
            <w:pPr>
              <w:jc w:val="center"/>
              <w:rPr>
                <w:rFonts w:cs="Gautami"/>
                <w:sz w:val="16"/>
                <w:szCs w:val="16"/>
              </w:rPr>
            </w:pPr>
            <w:r>
              <w:rPr>
                <w:rFonts w:cs="Gautami"/>
                <w:sz w:val="16"/>
                <w:szCs w:val="16"/>
              </w:rPr>
              <w:t>0</w:t>
            </w:r>
          </w:p>
        </w:tc>
      </w:tr>
      <w:tr w:rsidR="00C3061A" w:rsidRPr="00711C86" w:rsidTr="00A20FC6">
        <w:trPr>
          <w:trHeight w:hRule="exact" w:val="369"/>
        </w:trPr>
        <w:tc>
          <w:tcPr>
            <w:tcW w:w="3636" w:type="dxa"/>
            <w:tcBorders>
              <w:top w:val="nil"/>
              <w:left w:val="nil"/>
              <w:bottom w:val="single" w:sz="8" w:space="0" w:color="auto"/>
              <w:right w:val="nil"/>
            </w:tcBorders>
            <w:shd w:val="clear" w:color="000000" w:fill="EEECE1"/>
            <w:noWrap/>
            <w:vAlign w:val="center"/>
            <w:hideMark/>
          </w:tcPr>
          <w:p w:rsidR="00C3061A" w:rsidRDefault="00C3061A">
            <w:pPr>
              <w:rPr>
                <w:rFonts w:cs="Gautami"/>
                <w:b/>
                <w:bCs/>
                <w:sz w:val="16"/>
                <w:szCs w:val="16"/>
              </w:rPr>
            </w:pPr>
            <w:r>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tcPr>
          <w:p w:rsidR="00C3061A" w:rsidRDefault="00C3061A">
            <w:pPr>
              <w:jc w:val="center"/>
              <w:rPr>
                <w:rFonts w:cs="Gautami"/>
                <w:sz w:val="16"/>
                <w:szCs w:val="16"/>
              </w:rPr>
            </w:pPr>
            <w:r>
              <w:rPr>
                <w:rFonts w:cs="Gautami"/>
                <w:sz w:val="16"/>
                <w:szCs w:val="16"/>
              </w:rPr>
              <w:t>69</w:t>
            </w:r>
          </w:p>
        </w:tc>
        <w:tc>
          <w:tcPr>
            <w:tcW w:w="1436" w:type="dxa"/>
            <w:tcBorders>
              <w:top w:val="nil"/>
              <w:left w:val="nil"/>
              <w:bottom w:val="single" w:sz="8" w:space="0" w:color="auto"/>
              <w:right w:val="nil"/>
            </w:tcBorders>
            <w:shd w:val="clear" w:color="000000" w:fill="EEECE1"/>
            <w:noWrap/>
            <w:vAlign w:val="center"/>
          </w:tcPr>
          <w:p w:rsidR="00C3061A" w:rsidRDefault="00C3061A">
            <w:pPr>
              <w:jc w:val="center"/>
              <w:rPr>
                <w:rFonts w:cs="Gautami"/>
                <w:sz w:val="16"/>
                <w:szCs w:val="16"/>
              </w:rPr>
            </w:pPr>
            <w:r>
              <w:rPr>
                <w:rFonts w:cs="Gautami"/>
                <w:sz w:val="16"/>
                <w:szCs w:val="16"/>
              </w:rPr>
              <w:t>3</w:t>
            </w:r>
          </w:p>
        </w:tc>
        <w:tc>
          <w:tcPr>
            <w:tcW w:w="1297" w:type="dxa"/>
            <w:tcBorders>
              <w:top w:val="nil"/>
              <w:left w:val="nil"/>
              <w:bottom w:val="single" w:sz="8" w:space="0" w:color="auto"/>
              <w:right w:val="nil"/>
            </w:tcBorders>
            <w:shd w:val="clear" w:color="000000" w:fill="EEECE1"/>
            <w:noWrap/>
            <w:vAlign w:val="center"/>
          </w:tcPr>
          <w:p w:rsidR="00C3061A" w:rsidRDefault="00C3061A">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tcPr>
          <w:p w:rsidR="00C3061A" w:rsidRDefault="00C3061A">
            <w:pPr>
              <w:jc w:val="center"/>
              <w:rPr>
                <w:rFonts w:cs="Gautami"/>
                <w:sz w:val="16"/>
                <w:szCs w:val="16"/>
              </w:rPr>
            </w:pPr>
            <w:r>
              <w:rPr>
                <w:rFonts w:cs="Gautami"/>
                <w:sz w:val="16"/>
                <w:szCs w:val="16"/>
              </w:rPr>
              <w:t>0</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675024" w:rsidP="002652CD">
      <w:pPr>
        <w:pStyle w:val="AERbodytext"/>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24.65pt">
            <v:imagedata r:id="rId12" o:title=""/>
          </v:shape>
        </w:pict>
      </w:r>
    </w:p>
    <w:p w:rsidR="00F4461C" w:rsidRPr="005270A6" w:rsidRDefault="00F4461C" w:rsidP="00F4461C">
      <w:pPr>
        <w:pStyle w:val="Figureheading"/>
        <w:numPr>
          <w:ilvl w:val="0"/>
          <w:numId w:val="0"/>
        </w:numPr>
        <w:ind w:left="357" w:hanging="357"/>
      </w:pPr>
      <w:r w:rsidRPr="005270A6">
        <w:lastRenderedPageBreak/>
        <w:t xml:space="preserve">Figure </w:t>
      </w:r>
      <w:r w:rsidR="0078358A" w:rsidRPr="005270A6">
        <w:t>4</w:t>
      </w:r>
      <w:r w:rsidRPr="005270A6">
        <w:t>: New South Wales generation and bidding patterns</w:t>
      </w:r>
    </w:p>
    <w:p w:rsidR="002652CD" w:rsidRPr="002D23B9" w:rsidRDefault="00675024"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1pt;height:324.65pt">
            <v:imagedata r:id="rId13"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675024" w:rsidP="00785F23">
      <w:pPr>
        <w:pStyle w:val="AERbodytext"/>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1pt;height:324.65pt">
            <v:imagedata r:id="rId14" o:title=""/>
          </v:shape>
        </w:pict>
      </w:r>
    </w:p>
    <w:p w:rsidR="00C52BE5" w:rsidRPr="006768AE" w:rsidRDefault="00780239" w:rsidP="00C52BE5">
      <w:pPr>
        <w:pStyle w:val="Figureheading"/>
        <w:numPr>
          <w:ilvl w:val="0"/>
          <w:numId w:val="0"/>
        </w:numPr>
        <w:ind w:left="357" w:hanging="357"/>
      </w:pPr>
      <w:r w:rsidRPr="006768AE">
        <w:lastRenderedPageBreak/>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675024"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1pt;height:324.65pt">
            <v:imagedata r:id="rId15" o:title=""/>
          </v:shape>
        </w:pict>
      </w: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675024" w:rsidP="002652CD">
      <w:pPr>
        <w:pStyle w:val="AERbodytext"/>
      </w:pPr>
      <w:r>
        <w:rPr>
          <w:noProof/>
          <w:lang w:eastAsia="en-AU"/>
        </w:rPr>
        <w:pict>
          <v:oval id="_x0000_s1040" style="position:absolute;left:0;text-align:left;margin-left:61.15pt;margin-top:15.1pt;width:37.35pt;height:82.15pt;z-index:251659264" filled="f" strokecolor="red" strokeweight="1.5pt"/>
        </w:pict>
      </w: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1pt;height:324.65pt">
            <v:imagedata r:id="rId16" o:title=""/>
          </v:shape>
        </w:pict>
      </w:r>
    </w:p>
    <w:p w:rsidR="00CC7347" w:rsidRDefault="00CC7347" w:rsidP="002652CD">
      <w:pPr>
        <w:pStyle w:val="AERbodytext"/>
      </w:pPr>
      <w:r>
        <w:t>The red circle shows when Gordon was taken out of service for a planned outage.</w:t>
      </w:r>
    </w:p>
    <w:p w:rsidR="00977DC4" w:rsidRPr="002D23B9" w:rsidRDefault="000125FD" w:rsidP="00BD4E2C">
      <w:pPr>
        <w:pStyle w:val="Heading2"/>
        <w:rPr>
          <w:color w:val="auto"/>
        </w:rPr>
      </w:pPr>
      <w:r w:rsidRPr="002D23B9">
        <w:rPr>
          <w:color w:val="auto"/>
        </w:rPr>
        <w:lastRenderedPageBreak/>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C64E11" w:rsidRDefault="00007A8F" w:rsidP="00C64E11">
      <w:pPr>
        <w:pStyle w:val="AERbodytext"/>
      </w:pPr>
      <w:r w:rsidRPr="00007A8F">
        <w:t>The total cost of FCAS on the mainland for the week was $</w:t>
      </w:r>
      <w:r w:rsidR="00C3061A">
        <w:t>289 000</w:t>
      </w:r>
      <w:r w:rsidRPr="00007A8F">
        <w:t xml:space="preserve"> or less than 1 per cent of energy turnover on the mainland.</w:t>
      </w:r>
    </w:p>
    <w:p w:rsidR="005E4D3C" w:rsidRPr="006768AE" w:rsidRDefault="00007A8F" w:rsidP="00C64E11">
      <w:pPr>
        <w:pStyle w:val="AERbodytext"/>
      </w:pPr>
      <w:r w:rsidRPr="00007A8F">
        <w:t>The total cost of FCAS in Tasmania for the week was $</w:t>
      </w:r>
      <w:r w:rsidR="00C3061A">
        <w:t>216 </w:t>
      </w:r>
      <w:r w:rsidRPr="00007A8F">
        <w:t xml:space="preserve">000 or </w:t>
      </w:r>
      <w:r w:rsidR="005F68AD">
        <w:t>around</w:t>
      </w:r>
      <w:r w:rsidRPr="00007A8F">
        <w:t xml:space="preserve"> </w:t>
      </w:r>
      <w:r w:rsidR="005F68AD">
        <w:t>4.5</w:t>
      </w:r>
      <w:r w:rsidRPr="00007A8F">
        <w:t xml:space="preserve"> per cent of energy turnover in Tasmania.</w:t>
      </w:r>
      <w:r w:rsidR="00C64E11">
        <w:tab/>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675024"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style="width:450.55pt;height:227.95pt">
            <v:imagedata r:id="rId17" o:title=""/>
          </v:shape>
        </w:pict>
      </w:r>
    </w:p>
    <w:bookmarkEnd w:id="0"/>
    <w:bookmarkEnd w:id="1"/>
    <w:bookmarkEnd w:id="2"/>
    <w:bookmarkEnd w:id="3"/>
    <w:bookmarkEnd w:id="4"/>
    <w:bookmarkEnd w:id="5"/>
    <w:p w:rsidR="003736B9" w:rsidRPr="003736B9" w:rsidRDefault="005F68AD" w:rsidP="003736B9">
      <w:r>
        <w:br w:type="page"/>
      </w:r>
    </w:p>
    <w:p w:rsidR="00E96C5A" w:rsidRPr="002D23B9" w:rsidRDefault="00E96C5A" w:rsidP="00C81890">
      <w:pPr>
        <w:pStyle w:val="Heading2"/>
        <w:rPr>
          <w:color w:val="auto"/>
        </w:rPr>
      </w:pPr>
      <w:r w:rsidRPr="002D23B9">
        <w:rPr>
          <w:color w:val="auto"/>
        </w:rPr>
        <w:t>Financial markets</w:t>
      </w:r>
    </w:p>
    <w:p w:rsidR="00E96C5A" w:rsidRPr="002D23B9" w:rsidRDefault="0078358A" w:rsidP="000B36CA">
      <w:pPr>
        <w:pStyle w:val="AERbodytext"/>
        <w:spacing w:after="120"/>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0B36CA">
      <w:pPr>
        <w:pStyle w:val="Figureheading"/>
        <w:numPr>
          <w:ilvl w:val="0"/>
          <w:numId w:val="0"/>
        </w:numPr>
        <w:spacing w:before="180"/>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9856E5">
        <w:rPr>
          <w:color w:val="000000" w:themeColor="text1"/>
        </w:rPr>
        <w:t>Q</w:t>
      </w:r>
      <w:r w:rsidR="00992695">
        <w:rPr>
          <w:color w:val="000000" w:themeColor="text1"/>
        </w:rPr>
        <w:t>4</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992695">
        <w:rPr>
          <w:color w:val="000000" w:themeColor="text1"/>
        </w:rPr>
        <w:t>3</w:t>
      </w:r>
      <w:r w:rsidR="00BB0611" w:rsidRPr="00AA6275">
        <w:rPr>
          <w:color w:val="000000" w:themeColor="text1"/>
        </w:rPr>
        <w:t xml:space="preserve"> 2018</w:t>
      </w:r>
    </w:p>
    <w:p w:rsidR="00E96C5A" w:rsidRPr="002D23B9" w:rsidRDefault="00675024"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0.55pt;height:227.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0B36CA">
      <w:pPr>
        <w:pStyle w:val="AERbodytext"/>
        <w:spacing w:after="120"/>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E22C04">
        <w:t xml:space="preserve"> The increase in trade for the Q1 2015 in NSW is dominated by trades that occurred on 9 October 2014 when more than 250 contracts were traded.</w:t>
      </w:r>
      <w:r w:rsidR="005E5EC6">
        <w:t xml:space="preserve">  We note too that many of the trades made in NSW were matched, </w:t>
      </w:r>
      <w:r w:rsidR="00EB3048">
        <w:t>at the same</w:t>
      </w:r>
      <w:r w:rsidR="005E5EC6">
        <w:t xml:space="preserve"> time, by trades in Victoria.</w:t>
      </w:r>
    </w:p>
    <w:p w:rsidR="00E96C5A" w:rsidRPr="00AA6275" w:rsidRDefault="00E96C5A" w:rsidP="000B36CA">
      <w:pPr>
        <w:pStyle w:val="Figureheading"/>
        <w:numPr>
          <w:ilvl w:val="0"/>
          <w:numId w:val="0"/>
        </w:numPr>
        <w:spacing w:before="180"/>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675024" w:rsidP="000B36CA">
      <w:pPr>
        <w:pStyle w:val="AERbodytext"/>
        <w:spacing w:after="0"/>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 style="width:451pt;height:228.35pt">
            <v:imagedata r:id="rId20" o:title=""/>
          </v:shape>
        </w:pict>
      </w:r>
    </w:p>
    <w:p w:rsidR="00E96C5A" w:rsidRPr="002D23B9" w:rsidRDefault="00E96C5A" w:rsidP="000B36CA">
      <w:pPr>
        <w:pStyle w:val="AERbodytext"/>
        <w:spacing w:before="120" w:after="6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0B36CA">
      <w:pPr>
        <w:pStyle w:val="Sourceandnotes"/>
        <w:spacing w:after="200"/>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0B36CA">
      <w:pPr>
        <w:pStyle w:val="AERbodytext"/>
        <w:spacing w:after="200"/>
      </w:pPr>
      <w:r w:rsidRPr="002D23B9">
        <w:lastRenderedPageBreak/>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0B36CA">
      <w:pPr>
        <w:pStyle w:val="AERbodytext"/>
        <w:spacing w:after="120"/>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0B36CA">
      <w:pPr>
        <w:pStyle w:val="Figureheading"/>
        <w:numPr>
          <w:ilvl w:val="0"/>
          <w:numId w:val="0"/>
        </w:numPr>
        <w:spacing w:before="180"/>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675024" w:rsidP="000B36CA">
      <w:pPr>
        <w:pStyle w:val="AERbodytext"/>
        <w:spacing w:after="20"/>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 style="width:450.55pt;height:226.15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0B36CA">
      <w:pPr>
        <w:pStyle w:val="AERbodytext"/>
        <w:keepNext/>
        <w:spacing w:before="240" w:after="120" w:line="240" w:lineRule="auto"/>
        <w:jc w:val="left"/>
        <w:rPr>
          <w:b/>
        </w:rPr>
      </w:pPr>
      <w:r w:rsidRPr="002D23B9">
        <w:rPr>
          <w:b/>
        </w:rPr>
        <w:t>Australian Energy Regulator</w:t>
      </w:r>
    </w:p>
    <w:p w:rsidR="00E96C5A" w:rsidRPr="00AA6275" w:rsidRDefault="0088766A" w:rsidP="003157C3">
      <w:pPr>
        <w:rPr>
          <w:color w:val="000000" w:themeColor="text1"/>
        </w:rPr>
      </w:pPr>
      <w:r>
        <w:rPr>
          <w:b/>
          <w:color w:val="000000" w:themeColor="text1"/>
        </w:rPr>
        <w:t>October</w:t>
      </w:r>
      <w:r w:rsidR="00B54368" w:rsidRPr="00AA6275">
        <w:rPr>
          <w:b/>
          <w:color w:val="000000" w:themeColor="text1"/>
        </w:rPr>
        <w:t xml:space="preserve"> </w:t>
      </w:r>
      <w:r w:rsidR="0097000C" w:rsidRPr="00AA6275">
        <w:rPr>
          <w:b/>
          <w:color w:val="000000" w:themeColor="text1"/>
        </w:rPr>
        <w:t>2014</w:t>
      </w:r>
    </w:p>
    <w:sectPr w:rsidR="00E96C5A" w:rsidRPr="00AA6275"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675024">
      <w:rPr>
        <w:rStyle w:val="PageNumber"/>
        <w:noProof/>
      </w:rPr>
      <w:t>8</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9D61D3" w:rsidRPr="009D61D3">
      <w:rPr>
        <w:i/>
      </w:rPr>
      <w:t>D14/139470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A63277"/>
    <w:multiLevelType w:val="hybridMultilevel"/>
    <w:tmpl w:val="70F85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C721288"/>
    <w:multiLevelType w:val="multilevel"/>
    <w:tmpl w:val="1492709C"/>
    <w:numStyleLink w:val="AERHeadings"/>
  </w:abstractNum>
  <w:abstractNum w:abstractNumId="12">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9"/>
  </w:num>
  <w:num w:numId="4">
    <w:abstractNumId w:val="14"/>
  </w:num>
  <w:num w:numId="5">
    <w:abstractNumId w:val="16"/>
  </w:num>
  <w:num w:numId="6">
    <w:abstractNumId w:val="6"/>
  </w:num>
  <w:num w:numId="7">
    <w:abstractNumId w:val="8"/>
  </w:num>
  <w:num w:numId="8">
    <w:abstractNumId w:val="7"/>
  </w:num>
  <w:num w:numId="9">
    <w:abstractNumId w:val="12"/>
  </w:num>
  <w:num w:numId="10">
    <w:abstractNumId w:val="11"/>
  </w:num>
  <w:num w:numId="11">
    <w:abstractNumId w:val="4"/>
  </w:num>
  <w:num w:numId="12">
    <w:abstractNumId w:val="15"/>
  </w:num>
  <w:num w:numId="13">
    <w:abstractNumId w:val="2"/>
  </w:num>
  <w:num w:numId="14">
    <w:abstractNumId w:val="10"/>
  </w:num>
  <w:num w:numId="15">
    <w:abstractNumId w:val="0"/>
  </w:num>
  <w:num w:numId="16">
    <w:abstractNumId w:val="13"/>
  </w:num>
  <w:num w:numId="17">
    <w:abstractNumId w:val="16"/>
  </w:num>
  <w:num w:numId="18">
    <w:abstractNumId w:val="16"/>
  </w:num>
  <w:num w:numId="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51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mduon\20141005 - 20141011 Electricity weekly report.DOCX"/>
  </w:docVars>
  <w:rsids>
    <w:rsidRoot w:val="00F75FBD"/>
    <w:rsid w:val="00000080"/>
    <w:rsid w:val="00000204"/>
    <w:rsid w:val="000008B3"/>
    <w:rsid w:val="00000E09"/>
    <w:rsid w:val="000014D2"/>
    <w:rsid w:val="000018CD"/>
    <w:rsid w:val="0000194E"/>
    <w:rsid w:val="00001E21"/>
    <w:rsid w:val="000020FB"/>
    <w:rsid w:val="00002445"/>
    <w:rsid w:val="0000263B"/>
    <w:rsid w:val="00002829"/>
    <w:rsid w:val="00002A76"/>
    <w:rsid w:val="00002BAA"/>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08"/>
    <w:rsid w:val="00006CB5"/>
    <w:rsid w:val="00006E66"/>
    <w:rsid w:val="000070D2"/>
    <w:rsid w:val="000078B2"/>
    <w:rsid w:val="00007A05"/>
    <w:rsid w:val="00007A8F"/>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BFF"/>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6CA"/>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33F"/>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859"/>
    <w:rsid w:val="000D59C5"/>
    <w:rsid w:val="000D5C60"/>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66"/>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01"/>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99"/>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8F6"/>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5F6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3BA"/>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5E0"/>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20"/>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D1"/>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43F"/>
    <w:rsid w:val="00282651"/>
    <w:rsid w:val="002829CE"/>
    <w:rsid w:val="00282B0B"/>
    <w:rsid w:val="00283078"/>
    <w:rsid w:val="0028316F"/>
    <w:rsid w:val="0028333B"/>
    <w:rsid w:val="00283525"/>
    <w:rsid w:val="0028364C"/>
    <w:rsid w:val="00283674"/>
    <w:rsid w:val="00283A90"/>
    <w:rsid w:val="00283AD7"/>
    <w:rsid w:val="00283CB6"/>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5ED1"/>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6B9"/>
    <w:rsid w:val="00373744"/>
    <w:rsid w:val="003740A7"/>
    <w:rsid w:val="003742AB"/>
    <w:rsid w:val="00374521"/>
    <w:rsid w:val="0037492E"/>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7DC"/>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945"/>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29"/>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192D"/>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A1"/>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5E99"/>
    <w:rsid w:val="005260D5"/>
    <w:rsid w:val="00526987"/>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7DD"/>
    <w:rsid w:val="00573A8D"/>
    <w:rsid w:val="00573B48"/>
    <w:rsid w:val="00573D77"/>
    <w:rsid w:val="00573EA6"/>
    <w:rsid w:val="00574620"/>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5EC6"/>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449"/>
    <w:rsid w:val="005F492B"/>
    <w:rsid w:val="005F4D1E"/>
    <w:rsid w:val="005F4EC8"/>
    <w:rsid w:val="005F51D5"/>
    <w:rsid w:val="005F5352"/>
    <w:rsid w:val="005F5A06"/>
    <w:rsid w:val="005F5EC4"/>
    <w:rsid w:val="005F5ED9"/>
    <w:rsid w:val="005F6039"/>
    <w:rsid w:val="005F63E2"/>
    <w:rsid w:val="005F65B1"/>
    <w:rsid w:val="005F68AD"/>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34B"/>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024"/>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682"/>
    <w:rsid w:val="006D2A3E"/>
    <w:rsid w:val="006D2AE0"/>
    <w:rsid w:val="006D2D39"/>
    <w:rsid w:val="006D2E38"/>
    <w:rsid w:val="006D2F7E"/>
    <w:rsid w:val="006D35D3"/>
    <w:rsid w:val="006D38FC"/>
    <w:rsid w:val="006D393C"/>
    <w:rsid w:val="006D399D"/>
    <w:rsid w:val="006D39B0"/>
    <w:rsid w:val="006D3DF7"/>
    <w:rsid w:val="006D4167"/>
    <w:rsid w:val="006D42CC"/>
    <w:rsid w:val="006D467B"/>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3A8"/>
    <w:rsid w:val="006E091D"/>
    <w:rsid w:val="006E0B17"/>
    <w:rsid w:val="006E0C3E"/>
    <w:rsid w:val="006E0FC3"/>
    <w:rsid w:val="006E104F"/>
    <w:rsid w:val="006E15EB"/>
    <w:rsid w:val="006E199B"/>
    <w:rsid w:val="006E1AC6"/>
    <w:rsid w:val="006E1B68"/>
    <w:rsid w:val="006E20D9"/>
    <w:rsid w:val="006E236C"/>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84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4BB"/>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979"/>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88"/>
    <w:rsid w:val="007464CF"/>
    <w:rsid w:val="0074712E"/>
    <w:rsid w:val="007502D0"/>
    <w:rsid w:val="00750878"/>
    <w:rsid w:val="00750A3C"/>
    <w:rsid w:val="00750ACE"/>
    <w:rsid w:val="00750E89"/>
    <w:rsid w:val="00751677"/>
    <w:rsid w:val="0075176C"/>
    <w:rsid w:val="00751985"/>
    <w:rsid w:val="00752041"/>
    <w:rsid w:val="007520C0"/>
    <w:rsid w:val="007523C1"/>
    <w:rsid w:val="0075243C"/>
    <w:rsid w:val="0075254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103"/>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5D6"/>
    <w:rsid w:val="007F0713"/>
    <w:rsid w:val="007F077B"/>
    <w:rsid w:val="007F08C5"/>
    <w:rsid w:val="007F0F13"/>
    <w:rsid w:val="007F122C"/>
    <w:rsid w:val="007F1488"/>
    <w:rsid w:val="007F15FC"/>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75DC"/>
    <w:rsid w:val="0081783F"/>
    <w:rsid w:val="00817CB4"/>
    <w:rsid w:val="008204E0"/>
    <w:rsid w:val="00820E6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1B0"/>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66A"/>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39"/>
    <w:rsid w:val="008A61A2"/>
    <w:rsid w:val="008A6462"/>
    <w:rsid w:val="008A6919"/>
    <w:rsid w:val="008A6B10"/>
    <w:rsid w:val="008A6DE7"/>
    <w:rsid w:val="008A6EDE"/>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CA"/>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55C"/>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87FBC"/>
    <w:rsid w:val="0099056D"/>
    <w:rsid w:val="0099073D"/>
    <w:rsid w:val="00990D95"/>
    <w:rsid w:val="00990F33"/>
    <w:rsid w:val="009917E9"/>
    <w:rsid w:val="00991FF5"/>
    <w:rsid w:val="0099233F"/>
    <w:rsid w:val="009925B2"/>
    <w:rsid w:val="00992650"/>
    <w:rsid w:val="0099266C"/>
    <w:rsid w:val="00992695"/>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DFE"/>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1D3"/>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3D2"/>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0FC6"/>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672B"/>
    <w:rsid w:val="00A3679D"/>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A15"/>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66"/>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0A2"/>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78F"/>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937"/>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8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2C0C"/>
    <w:rsid w:val="00C22CDD"/>
    <w:rsid w:val="00C22F2B"/>
    <w:rsid w:val="00C23A01"/>
    <w:rsid w:val="00C23B06"/>
    <w:rsid w:val="00C23B50"/>
    <w:rsid w:val="00C23B67"/>
    <w:rsid w:val="00C23E24"/>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61A"/>
    <w:rsid w:val="00C30AD2"/>
    <w:rsid w:val="00C30AE1"/>
    <w:rsid w:val="00C30C5E"/>
    <w:rsid w:val="00C30DD2"/>
    <w:rsid w:val="00C31689"/>
    <w:rsid w:val="00C319D6"/>
    <w:rsid w:val="00C3204F"/>
    <w:rsid w:val="00C322C6"/>
    <w:rsid w:val="00C32471"/>
    <w:rsid w:val="00C32C0D"/>
    <w:rsid w:val="00C3305A"/>
    <w:rsid w:val="00C33353"/>
    <w:rsid w:val="00C335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A6C"/>
    <w:rsid w:val="00C44244"/>
    <w:rsid w:val="00C44BAC"/>
    <w:rsid w:val="00C44D76"/>
    <w:rsid w:val="00C44F26"/>
    <w:rsid w:val="00C44FA1"/>
    <w:rsid w:val="00C45739"/>
    <w:rsid w:val="00C4585F"/>
    <w:rsid w:val="00C458C7"/>
    <w:rsid w:val="00C461E7"/>
    <w:rsid w:val="00C4627B"/>
    <w:rsid w:val="00C465DE"/>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11"/>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918"/>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31C"/>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347"/>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9C"/>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028"/>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5A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3BC"/>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01A"/>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6C01"/>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239"/>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D6"/>
    <w:rsid w:val="00E20CF2"/>
    <w:rsid w:val="00E20E4C"/>
    <w:rsid w:val="00E20ECC"/>
    <w:rsid w:val="00E20F12"/>
    <w:rsid w:val="00E20F68"/>
    <w:rsid w:val="00E20FA1"/>
    <w:rsid w:val="00E211CC"/>
    <w:rsid w:val="00E213A0"/>
    <w:rsid w:val="00E21573"/>
    <w:rsid w:val="00E21F67"/>
    <w:rsid w:val="00E22880"/>
    <w:rsid w:val="00E229C9"/>
    <w:rsid w:val="00E22C04"/>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4E29"/>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0D6"/>
    <w:rsid w:val="00EB12EF"/>
    <w:rsid w:val="00EB174F"/>
    <w:rsid w:val="00EB1EE7"/>
    <w:rsid w:val="00EB200F"/>
    <w:rsid w:val="00EB2877"/>
    <w:rsid w:val="00EB2955"/>
    <w:rsid w:val="00EB2AB0"/>
    <w:rsid w:val="00EB3048"/>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284"/>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D5"/>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2E0A"/>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9FE"/>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A858B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69358074">
      <w:bodyDiv w:val="1"/>
      <w:marLeft w:val="0"/>
      <w:marRight w:val="0"/>
      <w:marTop w:val="0"/>
      <w:marBottom w:val="0"/>
      <w:divBdr>
        <w:top w:val="none" w:sz="0" w:space="0" w:color="auto"/>
        <w:left w:val="none" w:sz="0" w:space="0" w:color="auto"/>
        <w:bottom w:val="none" w:sz="0" w:space="0" w:color="auto"/>
        <w:right w:val="none" w:sz="0" w:space="0" w:color="auto"/>
      </w:divBdr>
      <w:divsChild>
        <w:div w:id="899362320">
          <w:marLeft w:val="0"/>
          <w:marRight w:val="0"/>
          <w:marTop w:val="0"/>
          <w:marBottom w:val="0"/>
          <w:divBdr>
            <w:top w:val="none" w:sz="0" w:space="0" w:color="auto"/>
            <w:left w:val="none" w:sz="0" w:space="0" w:color="auto"/>
            <w:bottom w:val="none" w:sz="0" w:space="0" w:color="auto"/>
            <w:right w:val="none" w:sz="0" w:space="0" w:color="auto"/>
          </w:divBdr>
          <w:divsChild>
            <w:div w:id="949163801">
              <w:marLeft w:val="0"/>
              <w:marRight w:val="0"/>
              <w:marTop w:val="0"/>
              <w:marBottom w:val="0"/>
              <w:divBdr>
                <w:top w:val="none" w:sz="0" w:space="0" w:color="auto"/>
                <w:left w:val="single" w:sz="6" w:space="0" w:color="FFFFFF"/>
                <w:bottom w:val="none" w:sz="0" w:space="0" w:color="auto"/>
                <w:right w:val="none" w:sz="0" w:space="0" w:color="auto"/>
              </w:divBdr>
              <w:divsChild>
                <w:div w:id="1386641725">
                  <w:marLeft w:val="0"/>
                  <w:marRight w:val="0"/>
                  <w:marTop w:val="0"/>
                  <w:marBottom w:val="0"/>
                  <w:divBdr>
                    <w:top w:val="none" w:sz="0" w:space="0" w:color="auto"/>
                    <w:left w:val="none" w:sz="0" w:space="0" w:color="auto"/>
                    <w:bottom w:val="none" w:sz="0" w:space="0" w:color="auto"/>
                    <w:right w:val="none" w:sz="0" w:space="0" w:color="auto"/>
                  </w:divBdr>
                  <w:divsChild>
                    <w:div w:id="91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81DAC967.dotm</Template>
  <TotalTime>0</TotalTime>
  <Pages>8</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2014-10-20T04:35:00Z</dcterms:created>
  <dcterms:modified xsi:type="dcterms:W3CDTF">2014-10-20T04:38:00Z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\\SCBRFS001.accc.local\home$\mduon\20141005 - 20141011 Electricity weekly report.DOCX</vt:lpwstr>
  </property>
  <property fmtid="{D5CDD505-2E9C-101B-9397-08002B2CF9AE}" pid="3" name="URI">
    <vt:lpwstr>8285277</vt:lpwstr>
  </property>
</Properties>
</file>