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922C0A"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911D4F" w:rsidP="00BD60AA">
                  <w:pPr>
                    <w:spacing w:before="140"/>
                    <w:rPr>
                      <w:b/>
                    </w:rPr>
                  </w:pPr>
                  <w:r>
                    <w:rPr>
                      <w:b/>
                    </w:rPr>
                    <w:t>21 – 27 September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AB65BC" w:rsidRDefault="00FB56EC" w:rsidP="00FF2760">
      <w:pPr>
        <w:pStyle w:val="AERunnumberedheading3"/>
        <w:jc w:val="both"/>
        <w:rPr>
          <w:rFonts w:ascii="Times New Roman" w:hAnsi="Times New Roman"/>
        </w:rPr>
      </w:pPr>
      <w:r w:rsidRPr="00AB65BC">
        <w:rPr>
          <w:rFonts w:ascii="Times New Roman" w:hAnsi="Times New Roman"/>
        </w:rPr>
        <w:t xml:space="preserve">The </w:t>
      </w:r>
      <w:bookmarkStart w:id="2" w:name="_GoBack"/>
      <w:r w:rsidRPr="00AB65BC">
        <w:rPr>
          <w:rFonts w:ascii="Times New Roman" w:hAnsi="Times New Roman"/>
        </w:rPr>
        <w:t xml:space="preserve">average price in Brisbane decreased significantly </w:t>
      </w:r>
      <w:bookmarkEnd w:id="2"/>
      <w:r w:rsidRPr="00AB65BC">
        <w:rPr>
          <w:rFonts w:ascii="Times New Roman" w:hAnsi="Times New Roman"/>
        </w:rPr>
        <w:t>this week to $1.74/GJ, the 3</w:t>
      </w:r>
      <w:r w:rsidRPr="00AB65BC">
        <w:rPr>
          <w:rFonts w:ascii="Times New Roman" w:hAnsi="Times New Roman"/>
          <w:vertAlign w:val="superscript"/>
        </w:rPr>
        <w:t>rd</w:t>
      </w:r>
      <w:r w:rsidRPr="00AB65BC">
        <w:rPr>
          <w:rFonts w:ascii="Times New Roman" w:hAnsi="Times New Roman"/>
        </w:rPr>
        <w:t xml:space="preserve"> lo</w:t>
      </w:r>
      <w:r w:rsidR="00BA4A8D" w:rsidRPr="00AB65BC">
        <w:rPr>
          <w:rFonts w:ascii="Times New Roman" w:hAnsi="Times New Roman"/>
        </w:rPr>
        <w:t>west weekly average price since market start. Average prices also decreased in Adelaide and Victoria.</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896DF6" w:rsidRPr="006376D7" w:rsidTr="002861A9">
        <w:trPr>
          <w:trHeight w:val="382"/>
        </w:trPr>
        <w:tc>
          <w:tcPr>
            <w:tcW w:w="371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21 Sep - 27 Sep 2014</w:t>
            </w:r>
          </w:p>
        </w:tc>
        <w:tc>
          <w:tcPr>
            <w:tcW w:w="143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3.40</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3.91</w:t>
            </w:r>
          </w:p>
        </w:tc>
        <w:tc>
          <w:tcPr>
            <w:tcW w:w="143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3.51</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1.74</w:t>
            </w:r>
          </w:p>
        </w:tc>
      </w:tr>
      <w:tr w:rsidR="00896DF6" w:rsidRPr="006376D7" w:rsidTr="002861A9">
        <w:trPr>
          <w:trHeight w:val="382"/>
        </w:trPr>
        <w:tc>
          <w:tcPr>
            <w:tcW w:w="371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-26</w:t>
            </w:r>
          </w:p>
        </w:tc>
      </w:tr>
      <w:tr w:rsidR="00896DF6" w:rsidRPr="006376D7" w:rsidTr="002861A9">
        <w:trPr>
          <w:trHeight w:val="382"/>
        </w:trPr>
        <w:tc>
          <w:tcPr>
            <w:tcW w:w="371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3.67</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3.89</w:t>
            </w:r>
          </w:p>
        </w:tc>
        <w:tc>
          <w:tcPr>
            <w:tcW w:w="143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3.86</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2.38</w:t>
            </w:r>
          </w:p>
        </w:tc>
      </w:tr>
      <w:tr w:rsidR="00896DF6" w:rsidRPr="006376D7" w:rsidTr="002861A9">
        <w:trPr>
          <w:trHeight w:val="382"/>
        </w:trPr>
        <w:tc>
          <w:tcPr>
            <w:tcW w:w="371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-13</w:t>
            </w:r>
          </w:p>
        </w:tc>
        <w:tc>
          <w:tcPr>
            <w:tcW w:w="143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-23</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-59</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896DF6" w:rsidRPr="006376D7" w:rsidTr="002861A9">
        <w:trPr>
          <w:trHeight w:val="382"/>
        </w:trPr>
        <w:tc>
          <w:tcPr>
            <w:tcW w:w="3708"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21 Sep - 27 Sep 2014</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3.40</w:t>
            </w:r>
          </w:p>
        </w:tc>
        <w:tc>
          <w:tcPr>
            <w:tcW w:w="21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511</w:t>
            </w:r>
          </w:p>
        </w:tc>
      </w:tr>
      <w:tr w:rsidR="00896DF6" w:rsidRPr="006376D7" w:rsidTr="002861A9">
        <w:trPr>
          <w:trHeight w:val="382"/>
        </w:trPr>
        <w:tc>
          <w:tcPr>
            <w:tcW w:w="3708"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-29</w:t>
            </w:r>
          </w:p>
        </w:tc>
      </w:tr>
      <w:tr w:rsidR="00896DF6" w:rsidRPr="006376D7" w:rsidTr="002861A9">
        <w:trPr>
          <w:trHeight w:val="382"/>
        </w:trPr>
        <w:tc>
          <w:tcPr>
            <w:tcW w:w="3708"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3.67</w:t>
            </w:r>
          </w:p>
        </w:tc>
        <w:tc>
          <w:tcPr>
            <w:tcW w:w="21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806</w:t>
            </w:r>
          </w:p>
        </w:tc>
      </w:tr>
      <w:tr w:rsidR="00896DF6" w:rsidRPr="006376D7" w:rsidTr="002861A9">
        <w:trPr>
          <w:trHeight w:val="382"/>
        </w:trPr>
        <w:tc>
          <w:tcPr>
            <w:tcW w:w="3708"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-10</w:t>
            </w:r>
          </w:p>
        </w:tc>
        <w:tc>
          <w:tcPr>
            <w:tcW w:w="21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21 Sep - 27 Sep 2014</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3.91</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4.00</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19.56</w:t>
            </w:r>
          </w:p>
        </w:tc>
        <w:tc>
          <w:tcPr>
            <w:tcW w:w="12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244</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244</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4</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216</w:t>
            </w:r>
          </w:p>
        </w:tc>
        <w:tc>
          <w:tcPr>
            <w:tcW w:w="12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3.89</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4.01</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18.88</w:t>
            </w:r>
          </w:p>
        </w:tc>
        <w:tc>
          <w:tcPr>
            <w:tcW w:w="12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285</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289</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-13</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-7</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60</w:t>
            </w:r>
          </w:p>
        </w:tc>
        <w:tc>
          <w:tcPr>
            <w:tcW w:w="12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21 Sep - 27 Sep 2014</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3.51</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3.47</w:t>
            </w:r>
          </w:p>
        </w:tc>
        <w:tc>
          <w:tcPr>
            <w:tcW w:w="137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25.55</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63</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-10</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-8</w:t>
            </w:r>
          </w:p>
        </w:tc>
        <w:tc>
          <w:tcPr>
            <w:tcW w:w="137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51</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-20</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-15</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3.86</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3.80</w:t>
            </w:r>
          </w:p>
        </w:tc>
        <w:tc>
          <w:tcPr>
            <w:tcW w:w="137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15.28</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85</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84</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-26</w:t>
            </w:r>
          </w:p>
        </w:tc>
        <w:tc>
          <w:tcPr>
            <w:tcW w:w="137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21 Sep - 27 Sep 2014</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1.74</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1.88</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0.90</w:t>
            </w:r>
          </w:p>
        </w:tc>
        <w:tc>
          <w:tcPr>
            <w:tcW w:w="12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167</w:t>
            </w:r>
          </w:p>
        </w:tc>
        <w:tc>
          <w:tcPr>
            <w:tcW w:w="11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170</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-26</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-9</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-33</w:t>
            </w:r>
          </w:p>
        </w:tc>
        <w:tc>
          <w:tcPr>
            <w:tcW w:w="12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8</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2.38</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2.37</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1.10</w:t>
            </w:r>
          </w:p>
        </w:tc>
        <w:tc>
          <w:tcPr>
            <w:tcW w:w="12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163</w:t>
            </w:r>
          </w:p>
        </w:tc>
        <w:tc>
          <w:tcPr>
            <w:tcW w:w="11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163</w:t>
            </w:r>
          </w:p>
        </w:tc>
      </w:tr>
      <w:tr w:rsidR="00896DF6" w:rsidRPr="002861A9" w:rsidTr="002861A9">
        <w:trPr>
          <w:trHeight w:val="382"/>
        </w:trPr>
        <w:tc>
          <w:tcPr>
            <w:tcW w:w="2670" w:type="dxa"/>
            <w:noWrap/>
            <w:tcMar>
              <w:top w:w="0" w:type="dxa"/>
              <w:bottom w:w="0" w:type="dxa"/>
            </w:tcMar>
            <w:vAlign w:val="center"/>
          </w:tcPr>
          <w:p w:rsidR="00896DF6" w:rsidRDefault="00896DF6">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-59</w:t>
            </w:r>
          </w:p>
        </w:tc>
        <w:tc>
          <w:tcPr>
            <w:tcW w:w="136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-59</w:t>
            </w:r>
          </w:p>
        </w:tc>
        <w:tc>
          <w:tcPr>
            <w:tcW w:w="135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-32</w:t>
            </w:r>
          </w:p>
        </w:tc>
        <w:tc>
          <w:tcPr>
            <w:tcW w:w="12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13</w:t>
            </w:r>
          </w:p>
        </w:tc>
        <w:tc>
          <w:tcPr>
            <w:tcW w:w="1180"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13</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AD458C" w:rsidRPr="00AD458C" w:rsidRDefault="00AD458C" w:rsidP="00B66E50">
      <w:pPr>
        <w:spacing w:before="120" w:after="120"/>
        <w:jc w:val="both"/>
        <w:rPr>
          <w:i/>
        </w:rPr>
      </w:pPr>
      <w:r w:rsidRPr="00AD458C">
        <w:rPr>
          <w:b/>
          <w:i/>
        </w:rPr>
        <w:t>M</w:t>
      </w:r>
      <w:r>
        <w:rPr>
          <w:b/>
          <w:i/>
        </w:rPr>
        <w:t xml:space="preserve">oomba to Sydney Pipeline </w:t>
      </w:r>
      <w:r w:rsidR="00972689">
        <w:rPr>
          <w:b/>
          <w:i/>
        </w:rPr>
        <w:t xml:space="preserve">(MSP) </w:t>
      </w:r>
      <w:r w:rsidRPr="00AD458C">
        <w:rPr>
          <w:b/>
          <w:i/>
        </w:rPr>
        <w:t>maintenance and capacity prices</w:t>
      </w:r>
    </w:p>
    <w:p w:rsidR="00AD458C" w:rsidRDefault="00AD458C" w:rsidP="00B66E50">
      <w:pPr>
        <w:spacing w:before="120" w:after="120"/>
        <w:jc w:val="both"/>
      </w:pPr>
      <w:r>
        <w:t>From 25 September,</w:t>
      </w:r>
      <w:r w:rsidR="00972689">
        <w:t xml:space="preserve"> routine maintenance saw the capacity for delivery to the Sydney hub on the MSP significantly reduced.</w:t>
      </w:r>
      <w:r w:rsidR="00972689">
        <w:rPr>
          <w:rStyle w:val="FootnoteReference"/>
        </w:rPr>
        <w:footnoteReference w:id="2"/>
      </w:r>
      <w:r w:rsidR="00972689">
        <w:t xml:space="preserve"> Capacity on the pipeline </w:t>
      </w:r>
      <w:r w:rsidR="00E07578">
        <w:t>decreased</w:t>
      </w:r>
      <w:r w:rsidR="00972689">
        <w:t xml:space="preserve"> </w:t>
      </w:r>
      <w:r w:rsidR="00E07578">
        <w:t>by over 155 </w:t>
      </w:r>
      <w:r w:rsidR="00972689">
        <w:t>TJ</w:t>
      </w:r>
      <w:r w:rsidR="00E07578">
        <w:t xml:space="preserve"> to 129.6 TJ on 25 September, and 135 TJ on 26 September</w:t>
      </w:r>
      <w:r w:rsidR="001F5B11">
        <w:t xml:space="preserve"> (see figure 6). There was an abundance of low priced MSP gas which could not be scheduled to supply the hub</w:t>
      </w:r>
      <w:r w:rsidR="00E07578">
        <w:t xml:space="preserve"> resulting in</w:t>
      </w:r>
      <w:r w:rsidR="00D60AA7">
        <w:t xml:space="preserve"> higher ex ante prices and also equivalent</w:t>
      </w:r>
      <w:r w:rsidR="00E07578">
        <w:t xml:space="preserve"> capacity prices on both days, which is the mechanism used to compensate shippers with firm transportation rights.</w:t>
      </w:r>
      <w:r w:rsidR="00E07578" w:rsidRPr="00E03741">
        <w:rPr>
          <w:rStyle w:val="FootnoteReference"/>
        </w:rPr>
        <w:footnoteReference w:id="3"/>
      </w:r>
      <w:r w:rsidR="001F5B11">
        <w:t xml:space="preserve"> </w:t>
      </w:r>
    </w:p>
    <w:p w:rsidR="001F5B11" w:rsidRPr="00AD458C" w:rsidRDefault="001F5B11" w:rsidP="00B66E50">
      <w:pPr>
        <w:spacing w:before="120" w:after="120"/>
        <w:jc w:val="both"/>
      </w:pPr>
      <w:r>
        <w:lastRenderedPageBreak/>
        <w:t>On these days, all offers scheduled on the MSP were priced at the floor</w:t>
      </w:r>
      <w:r w:rsidR="002C5370">
        <w:t xml:space="preserve"> leading to capacity prices being set at the ex ante price.</w:t>
      </w:r>
      <w:r w:rsidR="007A0EFD">
        <w:t xml:space="preserve"> With around 72 TJ of gas offered on MSP not able to be scheduled, the price on 25 September was high at $6.33/GJ, increasing to $7.99/GJ in the ex post schedule due to the requirement for higher priced Eastern Gas Pipeline (EGP) supply</w:t>
      </w:r>
      <w:r w:rsidR="0016313B">
        <w:t xml:space="preserve"> (see figure 7)</w:t>
      </w:r>
      <w:r w:rsidR="007A0EFD">
        <w:t xml:space="preserve">. </w:t>
      </w:r>
      <w:r w:rsidR="004802E5">
        <w:t>Similarly, the ex ante/capacity prices for the following day were $4.16/GJ</w:t>
      </w:r>
      <w:r w:rsidR="00BB3937">
        <w:t>, with the lower price influenced by around 13 TJ more gas available below $5/GJ on EGP</w:t>
      </w:r>
      <w:r w:rsidR="004802E5">
        <w:t>.</w:t>
      </w:r>
    </w:p>
    <w:p w:rsidR="00AD458C" w:rsidRPr="00900CEB" w:rsidRDefault="00AD458C" w:rsidP="00AD458C">
      <w:pPr>
        <w:pStyle w:val="AERfigureheading-unnumbered"/>
        <w:tabs>
          <w:tab w:val="num" w:pos="1080"/>
        </w:tabs>
        <w:spacing w:before="480"/>
        <w:rPr>
          <w:rFonts w:ascii="Arial" w:hAnsi="Arial" w:cs="Arial"/>
          <w:sz w:val="20"/>
          <w:szCs w:val="20"/>
        </w:rPr>
      </w:pPr>
      <w:r>
        <w:rPr>
          <w:rFonts w:ascii="Arial" w:hAnsi="Arial" w:cs="Arial"/>
          <w:sz w:val="20"/>
          <w:szCs w:val="20"/>
        </w:rPr>
        <w:t>Capacity and scheduled quantity on the Moomba to Sydney Pipeline (MSP)</w:t>
      </w:r>
      <w:r w:rsidRPr="00900CEB">
        <w:rPr>
          <w:rFonts w:ascii="Arial" w:hAnsi="Arial" w:cs="Arial"/>
          <w:sz w:val="20"/>
          <w:szCs w:val="20"/>
        </w:rPr>
        <w:t xml:space="preserve"> </w:t>
      </w:r>
    </w:p>
    <w:p w:rsidR="00F55524" w:rsidRDefault="00922C0A" w:rsidP="00B66E50">
      <w:pPr>
        <w:spacing w:before="120" w:after="120"/>
        <w:jc w:val="both"/>
      </w:pPr>
      <w:r>
        <w:pict>
          <v:shape id="_x0000_i1026" type="#_x0000_t75" style="width:476.25pt;height:198.75pt">
            <v:imagedata r:id="rId12" o:title=""/>
          </v:shape>
        </w:pict>
      </w:r>
      <w:r w:rsidR="00AD458C" w:rsidRPr="00AD458C">
        <w:t xml:space="preserve"> </w:t>
      </w:r>
    </w:p>
    <w:p w:rsidR="00F55524" w:rsidRPr="00900CEB" w:rsidRDefault="00F55524" w:rsidP="00F55524">
      <w:pPr>
        <w:pStyle w:val="AERfigureheading-unnumbered"/>
        <w:tabs>
          <w:tab w:val="num" w:pos="1080"/>
        </w:tabs>
        <w:spacing w:before="480"/>
        <w:rPr>
          <w:rFonts w:ascii="Arial" w:hAnsi="Arial" w:cs="Arial"/>
          <w:sz w:val="20"/>
          <w:szCs w:val="20"/>
        </w:rPr>
      </w:pPr>
      <w:r>
        <w:rPr>
          <w:rFonts w:ascii="Arial" w:hAnsi="Arial" w:cs="Arial"/>
          <w:sz w:val="20"/>
          <w:szCs w:val="20"/>
        </w:rPr>
        <w:t>Sydney hub offers in price bands</w:t>
      </w:r>
      <w:r w:rsidR="00535DDF">
        <w:rPr>
          <w:rFonts w:ascii="Arial" w:hAnsi="Arial" w:cs="Arial"/>
          <w:sz w:val="20"/>
          <w:szCs w:val="20"/>
        </w:rPr>
        <w:t xml:space="preserve"> ($/GJ)</w:t>
      </w:r>
      <w:r>
        <w:rPr>
          <w:rFonts w:ascii="Arial" w:hAnsi="Arial" w:cs="Arial"/>
          <w:sz w:val="20"/>
          <w:szCs w:val="20"/>
        </w:rPr>
        <w:t xml:space="preserve"> </w:t>
      </w:r>
      <w:r w:rsidR="00535DDF">
        <w:rPr>
          <w:rFonts w:ascii="Arial" w:hAnsi="Arial" w:cs="Arial"/>
          <w:sz w:val="20"/>
          <w:szCs w:val="20"/>
        </w:rPr>
        <w:t xml:space="preserve">by pipeline </w:t>
      </w:r>
      <w:r>
        <w:rPr>
          <w:rFonts w:ascii="Arial" w:hAnsi="Arial" w:cs="Arial"/>
          <w:sz w:val="20"/>
          <w:szCs w:val="20"/>
        </w:rPr>
        <w:t>for 25 September 2014</w:t>
      </w:r>
      <w:r w:rsidRPr="00900CEB">
        <w:rPr>
          <w:rFonts w:ascii="Arial" w:hAnsi="Arial" w:cs="Arial"/>
          <w:sz w:val="20"/>
          <w:szCs w:val="20"/>
        </w:rPr>
        <w:t xml:space="preserve"> </w:t>
      </w:r>
    </w:p>
    <w:p w:rsidR="00502181" w:rsidRPr="003A284F" w:rsidRDefault="00922C0A" w:rsidP="00B66E50">
      <w:pPr>
        <w:spacing w:before="120" w:after="120"/>
        <w:jc w:val="both"/>
        <w:rPr>
          <w:b/>
          <w:sz w:val="22"/>
          <w:szCs w:val="22"/>
        </w:rPr>
      </w:pPr>
      <w:r>
        <w:pict>
          <v:shape id="_x0000_i1027" type="#_x0000_t75" style="width:475.5pt;height:201.75pt">
            <v:imagedata r:id="rId13" o:title=""/>
          </v:shape>
        </w:pict>
      </w:r>
      <w:r w:rsidR="005F18AD" w:rsidRPr="00A0223D">
        <w:br w:type="column"/>
      </w:r>
      <w:bookmarkStart w:id="3" w:name="OLE_LINK7"/>
      <w:bookmarkStart w:id="4" w:name="OLE_LINK8"/>
      <w:r>
        <w:lastRenderedPageBreak/>
        <w:pict>
          <v:shape id="_x0000_i1028" type="#_x0000_t75" style="width:503.25pt;height:1in" o:allowoverlap="f">
            <v:imagedata r:id="rId9" o:title="" cropbottom="17873f" cropright="30275f"/>
          </v:shape>
        </w:pict>
      </w:r>
      <w:bookmarkEnd w:id="3"/>
      <w:bookmarkEnd w:id="4"/>
    </w:p>
    <w:p w:rsidR="00502181" w:rsidRPr="00B66E50" w:rsidRDefault="00922C0A"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911D4F">
                    <w:rPr>
                      <w:b/>
                    </w:rPr>
                    <w:t>21 – 27 September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4"/>
      </w:r>
      <w:r w:rsidRPr="00DB727F">
        <w:t>, and injection/withdrawal bids</w:t>
      </w:r>
      <w:r w:rsidR="00C80FD8">
        <w:t>.</w:t>
      </w:r>
      <w:r w:rsidRPr="00DB727F">
        <w:rPr>
          <w:rStyle w:val="FootnoteReference"/>
        </w:rPr>
        <w:footnoteReference w:id="5"/>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6"/>
      </w:r>
      <w:r w:rsidR="00B24A61" w:rsidRPr="00CC4A35">
        <w:rPr>
          <w:rStyle w:val="FootnoteReference"/>
        </w:rPr>
        <w:t xml:space="preserve"> </w:t>
      </w:r>
    </w:p>
    <w:p w:rsidR="005F18AD" w:rsidRPr="00896DF6" w:rsidRDefault="005F18AD" w:rsidP="009B2F99">
      <w:pPr>
        <w:pStyle w:val="AERfigureheading"/>
        <w:numPr>
          <w:ilvl w:val="5"/>
          <w:numId w:val="16"/>
        </w:numPr>
        <w:rPr>
          <w:rFonts w:ascii="Arial" w:hAnsi="Arial" w:cs="Arial"/>
          <w:sz w:val="20"/>
          <w:szCs w:val="20"/>
        </w:rPr>
      </w:pPr>
      <w:r w:rsidRPr="00896DF6">
        <w:rPr>
          <w:rFonts w:ascii="Arial" w:hAnsi="Arial" w:cs="Arial"/>
          <w:sz w:val="20"/>
          <w:szCs w:val="20"/>
        </w:rPr>
        <w:t xml:space="preserve">Prices by schedule </w:t>
      </w:r>
    </w:p>
    <w:p w:rsidR="005F18AD" w:rsidRPr="00767397" w:rsidRDefault="00922C0A" w:rsidP="006C6D60">
      <w:pPr>
        <w:pStyle w:val="AERbodytext"/>
        <w:spacing w:before="120"/>
        <w:jc w:val="center"/>
      </w:pPr>
      <w:r>
        <w:pict>
          <v:shape id="_x0000_i1029" type="#_x0000_t75" style="width:476.25pt;height:137.25pt">
            <v:imagedata r:id="rId14" o:title=""/>
          </v:shape>
        </w:pict>
      </w:r>
    </w:p>
    <w:p w:rsidR="005F18AD" w:rsidRPr="00896DF6" w:rsidRDefault="005F18AD" w:rsidP="00DA3AAA">
      <w:pPr>
        <w:pStyle w:val="AERfigureheading"/>
        <w:tabs>
          <w:tab w:val="clear" w:pos="1361"/>
          <w:tab w:val="num" w:pos="1260"/>
        </w:tabs>
        <w:spacing w:before="120"/>
        <w:ind w:left="1260" w:hanging="1260"/>
        <w:rPr>
          <w:rFonts w:ascii="Arial" w:hAnsi="Arial" w:cs="Arial"/>
          <w:sz w:val="20"/>
          <w:szCs w:val="20"/>
        </w:rPr>
      </w:pPr>
      <w:r w:rsidRPr="00896DF6">
        <w:rPr>
          <w:rFonts w:ascii="Arial" w:hAnsi="Arial" w:cs="Arial"/>
          <w:sz w:val="20"/>
          <w:szCs w:val="20"/>
        </w:rPr>
        <w:t xml:space="preserve">Demand </w:t>
      </w:r>
      <w:r w:rsidR="001452B3" w:rsidRPr="00896DF6">
        <w:rPr>
          <w:rFonts w:ascii="Arial" w:hAnsi="Arial" w:cs="Arial"/>
          <w:sz w:val="20"/>
          <w:szCs w:val="20"/>
        </w:rPr>
        <w:t>f</w:t>
      </w:r>
      <w:r w:rsidRPr="00896DF6">
        <w:rPr>
          <w:rFonts w:ascii="Arial" w:hAnsi="Arial" w:cs="Arial"/>
          <w:sz w:val="20"/>
          <w:szCs w:val="20"/>
        </w:rPr>
        <w:t>orecasts</w:t>
      </w:r>
      <w:r w:rsidR="008133CF" w:rsidRPr="00896DF6">
        <w:rPr>
          <w:rFonts w:ascii="Arial" w:hAnsi="Arial" w:cs="Arial"/>
          <w:sz w:val="20"/>
          <w:szCs w:val="20"/>
        </w:rPr>
        <w:t xml:space="preserve"> </w:t>
      </w:r>
    </w:p>
    <w:p w:rsidR="005F18AD" w:rsidRPr="00767397" w:rsidRDefault="00922C0A" w:rsidP="006C6D60">
      <w:pPr>
        <w:pStyle w:val="AERbodytext"/>
        <w:spacing w:before="120" w:after="0"/>
        <w:jc w:val="center"/>
      </w:pPr>
      <w:r>
        <w:pict>
          <v:shape id="_x0000_i1030" type="#_x0000_t75" style="width:475.5pt;height:177pt">
            <v:imagedata r:id="rId15" o:title=""/>
          </v:shape>
        </w:pict>
      </w:r>
    </w:p>
    <w:p w:rsidR="001A5C1A" w:rsidRPr="00896DF6" w:rsidRDefault="001A5C1A" w:rsidP="00B24A61">
      <w:pPr>
        <w:pStyle w:val="AERfigureheading"/>
        <w:tabs>
          <w:tab w:val="clear" w:pos="1361"/>
          <w:tab w:val="num" w:pos="1260"/>
        </w:tabs>
        <w:spacing w:before="120"/>
        <w:ind w:left="1260" w:hanging="1260"/>
        <w:rPr>
          <w:rFonts w:ascii="Arial" w:hAnsi="Arial" w:cs="Arial"/>
          <w:sz w:val="20"/>
          <w:szCs w:val="20"/>
        </w:rPr>
      </w:pPr>
      <w:r w:rsidRPr="00896DF6">
        <w:rPr>
          <w:rFonts w:ascii="Arial" w:hAnsi="Arial" w:cs="Arial"/>
          <w:sz w:val="20"/>
          <w:szCs w:val="20"/>
        </w:rPr>
        <w:lastRenderedPageBreak/>
        <w:t>Injection bids by price bands</w:t>
      </w:r>
    </w:p>
    <w:p w:rsidR="00A26940" w:rsidRPr="00767397" w:rsidRDefault="00922C0A" w:rsidP="006C6D60">
      <w:pPr>
        <w:pStyle w:val="AERbodytext"/>
        <w:spacing w:before="120" w:after="0"/>
        <w:jc w:val="center"/>
      </w:pPr>
      <w:r>
        <w:pict>
          <v:shape id="_x0000_i1031" type="#_x0000_t75" style="width:476.25pt;height:219.75pt">
            <v:imagedata r:id="rId16" o:title=""/>
          </v:shape>
        </w:pict>
      </w:r>
    </w:p>
    <w:p w:rsidR="00372976" w:rsidRPr="00896DF6" w:rsidRDefault="00372976" w:rsidP="00B24A61">
      <w:pPr>
        <w:pStyle w:val="AERfigureheading"/>
        <w:tabs>
          <w:tab w:val="clear" w:pos="1361"/>
          <w:tab w:val="num" w:pos="1260"/>
        </w:tabs>
        <w:spacing w:before="120"/>
        <w:ind w:left="1260" w:hanging="1260"/>
        <w:rPr>
          <w:rFonts w:ascii="Arial" w:hAnsi="Arial" w:cs="Arial"/>
          <w:sz w:val="20"/>
          <w:szCs w:val="20"/>
        </w:rPr>
      </w:pPr>
      <w:r w:rsidRPr="00896DF6">
        <w:rPr>
          <w:rFonts w:ascii="Arial" w:hAnsi="Arial" w:cs="Arial"/>
          <w:sz w:val="20"/>
          <w:szCs w:val="20"/>
        </w:rPr>
        <w:t>Withdrawal bids by price bands</w:t>
      </w:r>
    </w:p>
    <w:p w:rsidR="00BE4577" w:rsidRPr="00767397" w:rsidRDefault="00922C0A" w:rsidP="006C6D60">
      <w:pPr>
        <w:pStyle w:val="AERbodytext"/>
        <w:jc w:val="center"/>
      </w:pPr>
      <w:r>
        <w:pict>
          <v:shape id="_x0000_i1032" type="#_x0000_t75" style="width:476.25pt;height:172.5pt">
            <v:imagedata r:id="rId17" o:title=""/>
          </v:shape>
        </w:pict>
      </w:r>
    </w:p>
    <w:p w:rsidR="00A26940" w:rsidRPr="00911D4F" w:rsidRDefault="00B24A61" w:rsidP="00BE4577">
      <w:pPr>
        <w:pStyle w:val="AERfigureheading"/>
        <w:rPr>
          <w:rFonts w:ascii="Arial" w:hAnsi="Arial" w:cs="Arial"/>
          <w:sz w:val="20"/>
          <w:szCs w:val="20"/>
        </w:rPr>
      </w:pPr>
      <w:r w:rsidRPr="00911D4F">
        <w:rPr>
          <w:rFonts w:ascii="Arial" w:hAnsi="Arial" w:cs="Arial"/>
          <w:sz w:val="20"/>
          <w:szCs w:val="20"/>
        </w:rPr>
        <w:t xml:space="preserve">Metered </w:t>
      </w:r>
      <w:r w:rsidR="00652A42" w:rsidRPr="00911D4F">
        <w:rPr>
          <w:rFonts w:ascii="Arial" w:hAnsi="Arial" w:cs="Arial"/>
          <w:sz w:val="20"/>
          <w:szCs w:val="20"/>
        </w:rPr>
        <w:t>I</w:t>
      </w:r>
      <w:r w:rsidR="00A26940" w:rsidRPr="00911D4F">
        <w:rPr>
          <w:rFonts w:ascii="Arial" w:hAnsi="Arial" w:cs="Arial"/>
          <w:sz w:val="20"/>
          <w:szCs w:val="20"/>
        </w:rPr>
        <w:t xml:space="preserve">njections </w:t>
      </w:r>
      <w:r w:rsidR="008F4EAE" w:rsidRPr="00911D4F">
        <w:rPr>
          <w:rFonts w:ascii="Arial" w:hAnsi="Arial" w:cs="Arial"/>
          <w:sz w:val="20"/>
          <w:szCs w:val="20"/>
        </w:rPr>
        <w:t xml:space="preserve">by </w:t>
      </w:r>
      <w:r w:rsidRPr="00911D4F">
        <w:rPr>
          <w:rFonts w:ascii="Arial" w:hAnsi="Arial" w:cs="Arial"/>
          <w:sz w:val="20"/>
          <w:szCs w:val="20"/>
        </w:rPr>
        <w:t xml:space="preserve">System Injection Point </w:t>
      </w:r>
    </w:p>
    <w:p w:rsidR="0006609A" w:rsidRPr="00767397" w:rsidRDefault="00922C0A" w:rsidP="006C6D60">
      <w:pPr>
        <w:pStyle w:val="AERbodytext"/>
        <w:spacing w:before="120"/>
        <w:jc w:val="center"/>
        <w:sectPr w:rsidR="0006609A" w:rsidRPr="00767397" w:rsidSect="00FD7231">
          <w:footerReference w:type="defaul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3" type="#_x0000_t75" style="width:475.5pt;height:177.75pt">
            <v:imagedata r:id="rId19"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7"/>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8"/>
      </w:r>
      <w:r w:rsidRPr="003F73B0">
        <w:t xml:space="preserve"> </w:t>
      </w:r>
    </w:p>
    <w:p w:rsidR="00B24A61" w:rsidRDefault="00B24A61" w:rsidP="00896DF6">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w:t>
      </w:r>
      <w:r w:rsidR="00896DF6">
        <w:t>OS allocated for each pipeline.</w:t>
      </w:r>
    </w:p>
    <w:p w:rsidR="00896DF6" w:rsidRPr="00B24A61" w:rsidRDefault="00896DF6" w:rsidP="00896DF6">
      <w:pPr>
        <w:pStyle w:val="AERbodytext"/>
        <w:spacing w:before="120" w:after="120"/>
        <w:jc w:val="both"/>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3.25</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3.21</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3.18</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6.33</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4.16</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3.43</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232</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262</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262</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243</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245</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249</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215</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3.17</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2.88</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3.16</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7.99</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3.00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3.33</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230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257</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247</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240</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239</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211</w:t>
            </w:r>
          </w:p>
        </w:tc>
      </w:tr>
    </w:tbl>
    <w:p w:rsidR="00055584" w:rsidRPr="00896DF6" w:rsidRDefault="0045204B" w:rsidP="00502181">
      <w:pPr>
        <w:pStyle w:val="AERtableheading-unnumbered"/>
        <w:numPr>
          <w:ilvl w:val="0"/>
          <w:numId w:val="0"/>
        </w:numPr>
        <w:spacing w:before="480"/>
        <w:rPr>
          <w:rFonts w:ascii="Arial" w:hAnsi="Arial" w:cs="Arial"/>
          <w:sz w:val="19"/>
          <w:szCs w:val="19"/>
        </w:rPr>
      </w:pPr>
      <w:r w:rsidRPr="00896DF6">
        <w:rPr>
          <w:rFonts w:ascii="Arial" w:hAnsi="Arial" w:cs="Arial"/>
          <w:sz w:val="19"/>
          <w:szCs w:val="19"/>
        </w:rPr>
        <w:t>Figure 2.2 (a)</w:t>
      </w:r>
      <w:r w:rsidR="002C0499" w:rsidRPr="00896DF6">
        <w:rPr>
          <w:rFonts w:ascii="Arial" w:hAnsi="Arial" w:cs="Arial"/>
          <w:sz w:val="19"/>
          <w:szCs w:val="19"/>
        </w:rPr>
        <w:t>:</w:t>
      </w:r>
      <w:r w:rsidRPr="00896DF6">
        <w:rPr>
          <w:rFonts w:ascii="Arial" w:hAnsi="Arial" w:cs="Arial"/>
          <w:sz w:val="19"/>
          <w:szCs w:val="19"/>
        </w:rPr>
        <w:t xml:space="preserve"> </w:t>
      </w:r>
      <w:r w:rsidR="00055584" w:rsidRPr="00896DF6">
        <w:rPr>
          <w:rFonts w:ascii="Arial" w:hAnsi="Arial" w:cs="Arial"/>
          <w:sz w:val="19"/>
          <w:szCs w:val="19"/>
        </w:rPr>
        <w:t>Daily hub offers</w:t>
      </w:r>
      <w:r w:rsidR="00781A4A" w:rsidRPr="00896DF6">
        <w:rPr>
          <w:rFonts w:ascii="Arial" w:hAnsi="Arial" w:cs="Arial"/>
          <w:sz w:val="19"/>
          <w:szCs w:val="19"/>
        </w:rPr>
        <w:t xml:space="preserve"> in price bands</w:t>
      </w:r>
      <w:r w:rsidR="00CD3544" w:rsidRPr="00896DF6">
        <w:rPr>
          <w:rFonts w:ascii="Arial" w:hAnsi="Arial" w:cs="Arial"/>
          <w:sz w:val="19"/>
          <w:szCs w:val="19"/>
        </w:rPr>
        <w:t xml:space="preserve"> </w:t>
      </w:r>
      <w:r w:rsidR="00587CD1" w:rsidRPr="00896DF6">
        <w:rPr>
          <w:rFonts w:ascii="Arial" w:hAnsi="Arial" w:cs="Arial"/>
          <w:sz w:val="19"/>
          <w:szCs w:val="19"/>
        </w:rPr>
        <w:t xml:space="preserve">($/GJ) </w:t>
      </w:r>
      <w:r w:rsidR="00781A4A" w:rsidRPr="00896DF6">
        <w:rPr>
          <w:rFonts w:ascii="Arial" w:hAnsi="Arial" w:cs="Arial"/>
          <w:sz w:val="19"/>
          <w:szCs w:val="19"/>
        </w:rPr>
        <w:t xml:space="preserve"> </w:t>
      </w:r>
      <w:r w:rsidRPr="00896DF6">
        <w:rPr>
          <w:rFonts w:ascii="Arial" w:hAnsi="Arial" w:cs="Arial"/>
          <w:sz w:val="19"/>
          <w:szCs w:val="19"/>
        </w:rPr>
        <w:t xml:space="preserve">   </w:t>
      </w:r>
      <w:r w:rsidR="00587CD1" w:rsidRPr="00896DF6">
        <w:rPr>
          <w:rFonts w:ascii="Arial" w:hAnsi="Arial" w:cs="Arial"/>
          <w:sz w:val="19"/>
          <w:szCs w:val="19"/>
        </w:rPr>
        <w:t>Figure 2.2</w:t>
      </w:r>
      <w:r w:rsidR="00C80FD8" w:rsidRPr="00896DF6">
        <w:rPr>
          <w:rFonts w:ascii="Arial" w:hAnsi="Arial" w:cs="Arial"/>
          <w:sz w:val="19"/>
          <w:szCs w:val="19"/>
        </w:rPr>
        <w:t xml:space="preserve"> </w:t>
      </w:r>
      <w:r w:rsidR="00781A4A" w:rsidRPr="00896DF6">
        <w:rPr>
          <w:rFonts w:ascii="Arial" w:hAnsi="Arial" w:cs="Arial"/>
          <w:sz w:val="19"/>
          <w:szCs w:val="19"/>
        </w:rPr>
        <w:t>(b)</w:t>
      </w:r>
      <w:r w:rsidR="00587CD1" w:rsidRPr="00896DF6">
        <w:rPr>
          <w:rFonts w:ascii="Arial" w:hAnsi="Arial" w:cs="Arial"/>
          <w:sz w:val="19"/>
          <w:szCs w:val="19"/>
        </w:rPr>
        <w:t>:</w:t>
      </w:r>
      <w:r w:rsidR="00781A4A" w:rsidRPr="00896DF6">
        <w:rPr>
          <w:rFonts w:ascii="Arial" w:hAnsi="Arial" w:cs="Arial"/>
          <w:sz w:val="19"/>
          <w:szCs w:val="19"/>
        </w:rPr>
        <w:t xml:space="preserve"> Daily hub b</w:t>
      </w:r>
      <w:r w:rsidRPr="00896DF6">
        <w:rPr>
          <w:rFonts w:ascii="Arial" w:hAnsi="Arial" w:cs="Arial"/>
          <w:sz w:val="19"/>
          <w:szCs w:val="19"/>
        </w:rPr>
        <w:t>i</w:t>
      </w:r>
      <w:r w:rsidR="00781A4A" w:rsidRPr="00896DF6">
        <w:rPr>
          <w:rFonts w:ascii="Arial" w:hAnsi="Arial" w:cs="Arial"/>
          <w:sz w:val="19"/>
          <w:szCs w:val="19"/>
        </w:rPr>
        <w:t xml:space="preserve">ds </w:t>
      </w:r>
      <w:r w:rsidR="00CD3544" w:rsidRPr="00896DF6">
        <w:rPr>
          <w:rFonts w:ascii="Arial" w:hAnsi="Arial" w:cs="Arial"/>
          <w:sz w:val="19"/>
          <w:szCs w:val="19"/>
        </w:rPr>
        <w:t>in</w:t>
      </w:r>
      <w:r w:rsidR="00055584" w:rsidRPr="00896DF6">
        <w:rPr>
          <w:rFonts w:ascii="Arial" w:hAnsi="Arial" w:cs="Arial"/>
          <w:sz w:val="19"/>
          <w:szCs w:val="19"/>
        </w:rPr>
        <w:t xml:space="preserve"> price bands ($/GJ)</w:t>
      </w:r>
    </w:p>
    <w:p w:rsidR="00055584" w:rsidRPr="00FC426D" w:rsidRDefault="00922C0A" w:rsidP="006C6D60">
      <w:pPr>
        <w:pStyle w:val="FigheadingA"/>
        <w:numPr>
          <w:ilvl w:val="0"/>
          <w:numId w:val="0"/>
        </w:numPr>
        <w:spacing w:before="120" w:after="0"/>
        <w:ind w:left="1134" w:hanging="1134"/>
        <w:jc w:val="center"/>
      </w:pPr>
      <w:r>
        <w:pict>
          <v:shape id="_x0000_i1034" type="#_x0000_t75" style="width:475.5pt;height:181.5pt">
            <v:imagedata r:id="rId20" o:title=""/>
          </v:shape>
        </w:pict>
      </w:r>
    </w:p>
    <w:p w:rsidR="008E2239" w:rsidRPr="00896DF6" w:rsidRDefault="003410C4" w:rsidP="00157AFD">
      <w:pPr>
        <w:pStyle w:val="AERfigureheading"/>
        <w:numPr>
          <w:ilvl w:val="5"/>
          <w:numId w:val="42"/>
        </w:numPr>
        <w:tabs>
          <w:tab w:val="clear" w:pos="1361"/>
          <w:tab w:val="num" w:pos="1260"/>
        </w:tabs>
        <w:rPr>
          <w:rFonts w:ascii="Arial" w:hAnsi="Arial" w:cs="Arial"/>
          <w:sz w:val="20"/>
          <w:szCs w:val="20"/>
        </w:rPr>
      </w:pPr>
      <w:r w:rsidRPr="00896DF6">
        <w:rPr>
          <w:rFonts w:ascii="Arial" w:hAnsi="Arial" w:cs="Arial"/>
          <w:sz w:val="20"/>
          <w:szCs w:val="20"/>
        </w:rPr>
        <w:lastRenderedPageBreak/>
        <w:t xml:space="preserve">SYD </w:t>
      </w:r>
      <w:r w:rsidR="00E52E2A" w:rsidRPr="00896DF6">
        <w:rPr>
          <w:rFonts w:ascii="Arial" w:hAnsi="Arial" w:cs="Arial"/>
          <w:sz w:val="20"/>
          <w:szCs w:val="20"/>
        </w:rPr>
        <w:t>net</w:t>
      </w:r>
      <w:r w:rsidR="00BA65E6" w:rsidRPr="00896DF6">
        <w:rPr>
          <w:rFonts w:ascii="Arial" w:hAnsi="Arial" w:cs="Arial"/>
          <w:sz w:val="20"/>
          <w:szCs w:val="20"/>
        </w:rPr>
        <w:t xml:space="preserve"> </w:t>
      </w:r>
      <w:r w:rsidR="005E4C48" w:rsidRPr="00896DF6">
        <w:rPr>
          <w:rFonts w:ascii="Arial" w:hAnsi="Arial" w:cs="Arial"/>
          <w:sz w:val="20"/>
          <w:szCs w:val="20"/>
        </w:rPr>
        <w:t>s</w:t>
      </w:r>
      <w:r w:rsidR="008E2239" w:rsidRPr="00896DF6">
        <w:rPr>
          <w:rFonts w:ascii="Arial" w:hAnsi="Arial" w:cs="Arial"/>
          <w:sz w:val="20"/>
          <w:szCs w:val="20"/>
        </w:rPr>
        <w:t xml:space="preserve">cheduled and </w:t>
      </w:r>
      <w:r w:rsidR="005E4C48" w:rsidRPr="00896DF6">
        <w:rPr>
          <w:rFonts w:ascii="Arial" w:hAnsi="Arial" w:cs="Arial"/>
          <w:sz w:val="20"/>
          <w:szCs w:val="20"/>
        </w:rPr>
        <w:t>a</w:t>
      </w:r>
      <w:r w:rsidR="008E2239" w:rsidRPr="00896DF6">
        <w:rPr>
          <w:rFonts w:ascii="Arial" w:hAnsi="Arial" w:cs="Arial"/>
          <w:sz w:val="20"/>
          <w:szCs w:val="20"/>
        </w:rPr>
        <w:t>llocated gas</w:t>
      </w:r>
      <w:r w:rsidR="005E4C48" w:rsidRPr="00896DF6">
        <w:rPr>
          <w:rFonts w:ascii="Arial" w:hAnsi="Arial" w:cs="Arial"/>
          <w:sz w:val="20"/>
          <w:szCs w:val="20"/>
        </w:rPr>
        <w:t xml:space="preserve"> volumes</w:t>
      </w:r>
      <w:r w:rsidR="008E2239" w:rsidRPr="00896DF6">
        <w:rPr>
          <w:rFonts w:ascii="Arial" w:hAnsi="Arial" w:cs="Arial"/>
          <w:sz w:val="20"/>
          <w:szCs w:val="20"/>
        </w:rPr>
        <w:t xml:space="preserve"> </w:t>
      </w:r>
      <w:r w:rsidR="00E52E2A" w:rsidRPr="00896DF6">
        <w:rPr>
          <w:rFonts w:ascii="Arial" w:hAnsi="Arial" w:cs="Arial"/>
          <w:sz w:val="20"/>
          <w:szCs w:val="20"/>
        </w:rPr>
        <w:t xml:space="preserve">(excluding MOS) </w:t>
      </w:r>
      <w:r w:rsidR="008E2239" w:rsidRPr="00896DF6">
        <w:rPr>
          <w:rFonts w:ascii="Arial" w:hAnsi="Arial" w:cs="Arial"/>
          <w:sz w:val="20"/>
          <w:szCs w:val="20"/>
        </w:rPr>
        <w:t xml:space="preserve">by </w:t>
      </w:r>
      <w:r w:rsidR="00BA65E6" w:rsidRPr="00896DF6">
        <w:rPr>
          <w:rFonts w:ascii="Arial" w:hAnsi="Arial" w:cs="Arial"/>
          <w:sz w:val="20"/>
          <w:szCs w:val="20"/>
        </w:rPr>
        <w:t>STTM facility</w:t>
      </w:r>
    </w:p>
    <w:p w:rsidR="008E2239" w:rsidRPr="002E2E46" w:rsidRDefault="00922C0A" w:rsidP="006C6D60">
      <w:pPr>
        <w:pStyle w:val="BodyText"/>
        <w:spacing w:before="120" w:after="0"/>
        <w:jc w:val="center"/>
      </w:pPr>
      <w:r>
        <w:pict>
          <v:shape id="_x0000_i1035" type="#_x0000_t75" style="width:476.25pt;height:220.5pt">
            <v:imagedata r:id="rId21" o:title=""/>
          </v:shape>
        </w:pict>
      </w:r>
    </w:p>
    <w:p w:rsidR="0045204B" w:rsidRPr="00CF285E" w:rsidRDefault="0045204B" w:rsidP="002C0499">
      <w:pPr>
        <w:pStyle w:val="AERtableheading-unnumbered"/>
        <w:numPr>
          <w:ilvl w:val="0"/>
          <w:numId w:val="0"/>
        </w:numPr>
        <w:ind w:left="6379" w:right="-114" w:hanging="6379"/>
        <w:rPr>
          <w:rFonts w:ascii="Arial" w:hAnsi="Arial" w:cs="Arial"/>
          <w:sz w:val="20"/>
          <w:szCs w:val="20"/>
        </w:rPr>
      </w:pPr>
      <w:r w:rsidRPr="00CF285E">
        <w:rPr>
          <w:rFonts w:ascii="Arial" w:hAnsi="Arial" w:cs="Arial"/>
          <w:sz w:val="20"/>
          <w:szCs w:val="20"/>
        </w:rPr>
        <w:t>Figure 2.4 (a)</w:t>
      </w:r>
      <w:r w:rsidR="002C0499" w:rsidRPr="00CF285E">
        <w:rPr>
          <w:rFonts w:ascii="Arial" w:hAnsi="Arial" w:cs="Arial"/>
          <w:sz w:val="20"/>
          <w:szCs w:val="20"/>
        </w:rPr>
        <w:t>:</w:t>
      </w:r>
      <w:r w:rsidRPr="00CF285E">
        <w:rPr>
          <w:rFonts w:ascii="Arial" w:hAnsi="Arial" w:cs="Arial"/>
          <w:sz w:val="20"/>
          <w:szCs w:val="20"/>
        </w:rPr>
        <w:t xml:space="preserve"> SYD</w:t>
      </w:r>
      <w:r w:rsidR="008936C5" w:rsidRPr="00CF285E">
        <w:rPr>
          <w:rFonts w:ascii="Arial" w:hAnsi="Arial" w:cs="Arial"/>
          <w:sz w:val="20"/>
          <w:szCs w:val="20"/>
        </w:rPr>
        <w:t xml:space="preserve"> STTM MOS allocations (TJ)         </w:t>
      </w:r>
      <w:r w:rsidRPr="00CF285E">
        <w:rPr>
          <w:rFonts w:ascii="Arial" w:hAnsi="Arial" w:cs="Arial"/>
          <w:sz w:val="20"/>
          <w:szCs w:val="20"/>
        </w:rPr>
        <w:t xml:space="preserve"> Figure 2.4 (b): Service payments and commodity payments/charges ($000)</w:t>
      </w:r>
    </w:p>
    <w:p w:rsidR="009C30E2" w:rsidRPr="002E2E46" w:rsidRDefault="00922C0A" w:rsidP="006C6D60">
      <w:pPr>
        <w:jc w:val="center"/>
        <w:rPr>
          <w:color w:val="C0C0C0"/>
          <w:sz w:val="28"/>
          <w:szCs w:val="28"/>
        </w:rPr>
      </w:pPr>
      <w:r>
        <w:pict>
          <v:shape id="_x0000_i1036" type="#_x0000_t75" style="width:475.5pt;height:180.75pt">
            <v:imagedata r:id="rId22"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3.59</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3.55</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3.43</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3.32</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3.43</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3.42</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61</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68</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67</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62</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67</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61</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43</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3.59</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3.59</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3.46</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3.43</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3.19</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3.57</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3.22</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55</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66</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65</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59</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62</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70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39</w:t>
            </w:r>
          </w:p>
        </w:tc>
      </w:tr>
    </w:tbl>
    <w:p w:rsidR="00157AFD" w:rsidRPr="00896DF6" w:rsidRDefault="00157AFD" w:rsidP="00157AFD">
      <w:pPr>
        <w:pStyle w:val="AERtableheading-unnumbered"/>
        <w:numPr>
          <w:ilvl w:val="0"/>
          <w:numId w:val="0"/>
        </w:numPr>
        <w:rPr>
          <w:rFonts w:ascii="Arial" w:hAnsi="Arial" w:cs="Arial"/>
          <w:sz w:val="19"/>
          <w:szCs w:val="19"/>
        </w:rPr>
      </w:pPr>
      <w:r w:rsidRPr="00896DF6">
        <w:rPr>
          <w:rFonts w:ascii="Arial" w:hAnsi="Arial" w:cs="Arial"/>
          <w:sz w:val="19"/>
          <w:szCs w:val="19"/>
        </w:rPr>
        <w:t>Figure 3.2 (a)</w:t>
      </w:r>
      <w:r w:rsidR="002C0499" w:rsidRPr="00896DF6">
        <w:rPr>
          <w:rFonts w:ascii="Arial" w:hAnsi="Arial" w:cs="Arial"/>
          <w:sz w:val="19"/>
          <w:szCs w:val="19"/>
        </w:rPr>
        <w:t>:</w:t>
      </w:r>
      <w:r w:rsidRPr="00896DF6">
        <w:rPr>
          <w:rFonts w:ascii="Arial" w:hAnsi="Arial" w:cs="Arial"/>
          <w:sz w:val="19"/>
          <w:szCs w:val="19"/>
        </w:rPr>
        <w:t xml:space="preserve"> Daily hub offers in price bands ($/GJ)     Figure 3.2</w:t>
      </w:r>
      <w:r w:rsidR="00C80FD8" w:rsidRPr="00896DF6">
        <w:rPr>
          <w:rFonts w:ascii="Arial" w:hAnsi="Arial" w:cs="Arial"/>
          <w:sz w:val="19"/>
          <w:szCs w:val="19"/>
        </w:rPr>
        <w:t xml:space="preserve"> </w:t>
      </w:r>
      <w:r w:rsidRPr="00896DF6">
        <w:rPr>
          <w:rFonts w:ascii="Arial" w:hAnsi="Arial" w:cs="Arial"/>
          <w:sz w:val="19"/>
          <w:szCs w:val="19"/>
        </w:rPr>
        <w:t>(b): Daily hub bids in price bands ($/GJ)</w:t>
      </w:r>
    </w:p>
    <w:p w:rsidR="00B66BAB" w:rsidRPr="00FC426D" w:rsidRDefault="00922C0A" w:rsidP="00B66BAB">
      <w:pPr>
        <w:pStyle w:val="FigheadingA"/>
        <w:numPr>
          <w:ilvl w:val="0"/>
          <w:numId w:val="0"/>
        </w:numPr>
        <w:spacing w:before="120" w:after="0"/>
        <w:ind w:left="1134" w:hanging="1134"/>
        <w:jc w:val="center"/>
      </w:pPr>
      <w:r>
        <w:pict>
          <v:shape id="_x0000_i1037" type="#_x0000_t75" style="width:475.5pt;height:191.25pt">
            <v:imagedata r:id="rId23" o:title=""/>
          </v:shape>
        </w:pict>
      </w:r>
    </w:p>
    <w:p w:rsidR="00B66BAB" w:rsidRPr="00896DF6" w:rsidRDefault="00E52E2A" w:rsidP="00BE18D0">
      <w:pPr>
        <w:pStyle w:val="AERfigureheading"/>
        <w:numPr>
          <w:ilvl w:val="5"/>
          <w:numId w:val="47"/>
        </w:numPr>
        <w:tabs>
          <w:tab w:val="clear" w:pos="1361"/>
          <w:tab w:val="num" w:pos="1260"/>
        </w:tabs>
        <w:rPr>
          <w:rFonts w:ascii="Arial" w:hAnsi="Arial" w:cs="Arial"/>
          <w:sz w:val="20"/>
          <w:szCs w:val="20"/>
        </w:rPr>
      </w:pPr>
      <w:r w:rsidRPr="00896DF6">
        <w:rPr>
          <w:rFonts w:ascii="Arial" w:hAnsi="Arial" w:cs="Arial"/>
          <w:sz w:val="20"/>
          <w:szCs w:val="20"/>
        </w:rPr>
        <w:t>ADL net scheduled and allocated gas volumes (excluding MOS) by STTM facility</w:t>
      </w:r>
    </w:p>
    <w:p w:rsidR="00B66BAB" w:rsidRPr="002E2E46" w:rsidRDefault="00922C0A" w:rsidP="00B66BAB">
      <w:pPr>
        <w:pStyle w:val="BodyText"/>
        <w:spacing w:before="120" w:after="0"/>
        <w:jc w:val="center"/>
      </w:pPr>
      <w:r>
        <w:pict>
          <v:shape id="_x0000_i1038" type="#_x0000_t75" style="width:475.5pt;height:140.25pt">
            <v:imagedata r:id="rId24" o:title=""/>
          </v:shape>
        </w:pict>
      </w:r>
    </w:p>
    <w:p w:rsidR="00157AFD" w:rsidRPr="00CF285E" w:rsidRDefault="00157AFD" w:rsidP="002C0499">
      <w:pPr>
        <w:pStyle w:val="AERtableheading-unnumbered"/>
        <w:numPr>
          <w:ilvl w:val="0"/>
          <w:numId w:val="0"/>
        </w:numPr>
        <w:spacing w:before="120"/>
        <w:ind w:left="6379" w:right="-114" w:hanging="6379"/>
        <w:rPr>
          <w:rFonts w:ascii="Arial" w:hAnsi="Arial" w:cs="Arial"/>
          <w:sz w:val="20"/>
          <w:szCs w:val="20"/>
        </w:rPr>
      </w:pPr>
      <w:r w:rsidRPr="00CF285E">
        <w:rPr>
          <w:rFonts w:ascii="Arial" w:hAnsi="Arial" w:cs="Arial"/>
          <w:sz w:val="20"/>
          <w:szCs w:val="20"/>
        </w:rPr>
        <w:t>Figure 3.4 (a)</w:t>
      </w:r>
      <w:r w:rsidR="002C0499" w:rsidRPr="00CF285E">
        <w:rPr>
          <w:rFonts w:ascii="Arial" w:hAnsi="Arial" w:cs="Arial"/>
          <w:sz w:val="20"/>
          <w:szCs w:val="20"/>
        </w:rPr>
        <w:t>:</w:t>
      </w:r>
      <w:r w:rsidRPr="00CF285E">
        <w:rPr>
          <w:rFonts w:ascii="Arial" w:hAnsi="Arial" w:cs="Arial"/>
          <w:sz w:val="20"/>
          <w:szCs w:val="20"/>
        </w:rPr>
        <w:t xml:space="preserve"> ADL </w:t>
      </w:r>
      <w:r w:rsidR="005C68CE" w:rsidRPr="00CF285E">
        <w:rPr>
          <w:rFonts w:ascii="Arial" w:hAnsi="Arial" w:cs="Arial"/>
          <w:sz w:val="20"/>
          <w:szCs w:val="20"/>
        </w:rPr>
        <w:t xml:space="preserve">STTM </w:t>
      </w:r>
      <w:r w:rsidRPr="00CF285E">
        <w:rPr>
          <w:rFonts w:ascii="Arial" w:hAnsi="Arial" w:cs="Arial"/>
          <w:sz w:val="20"/>
          <w:szCs w:val="20"/>
        </w:rPr>
        <w:t>MOS allocations (TJ)          Figure 3.4 (b): Service payments and commodity payments/charges ($000)</w:t>
      </w:r>
    </w:p>
    <w:p w:rsidR="00B66BAB" w:rsidRPr="002E2E46" w:rsidRDefault="00922C0A" w:rsidP="00B66BAB">
      <w:pPr>
        <w:jc w:val="center"/>
      </w:pPr>
      <w:r>
        <w:pict>
          <v:shape id="_x0000_i1039" type="#_x0000_t75" style="width:475.5pt;height:161.25pt">
            <v:imagedata r:id="rId25"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1.51</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2.95</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1.50</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1.15</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2.20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1.18</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149</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178</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177</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176</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171</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140</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2.95</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1.29</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1.15</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1.08</w:t>
            </w:r>
          </w:p>
        </w:tc>
      </w:tr>
      <w:tr w:rsidR="00896DF6" w:rsidRPr="00B76529" w:rsidTr="002861A9">
        <w:trPr>
          <w:trHeight w:val="255"/>
        </w:trPr>
        <w:tc>
          <w:tcPr>
            <w:tcW w:w="2160" w:type="dxa"/>
            <w:noWrap/>
            <w:tcMar>
              <w:top w:w="0" w:type="dxa"/>
              <w:bottom w:w="0" w:type="dxa"/>
            </w:tcMar>
            <w:vAlign w:val="center"/>
          </w:tcPr>
          <w:p w:rsidR="00896DF6" w:rsidRPr="002861A9" w:rsidRDefault="00896DF6"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154</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176</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174</w:t>
            </w:r>
          </w:p>
        </w:tc>
        <w:tc>
          <w:tcPr>
            <w:tcW w:w="1028"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175</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896DF6" w:rsidRDefault="00896DF6">
            <w:pPr>
              <w:jc w:val="center"/>
              <w:rPr>
                <w:rFonts w:ascii="Arial" w:hAnsi="Arial" w:cs="Arial"/>
                <w:sz w:val="20"/>
                <w:szCs w:val="20"/>
              </w:rPr>
            </w:pPr>
            <w:r>
              <w:rPr>
                <w:rFonts w:ascii="Arial" w:hAnsi="Arial" w:cs="Arial"/>
                <w:sz w:val="20"/>
                <w:szCs w:val="20"/>
              </w:rPr>
              <w:t>137</w:t>
            </w:r>
          </w:p>
        </w:tc>
      </w:tr>
    </w:tbl>
    <w:p w:rsidR="00157AFD" w:rsidRPr="00896DF6" w:rsidRDefault="00157AFD" w:rsidP="00157AFD">
      <w:pPr>
        <w:pStyle w:val="AERtableheading-unnumbered"/>
        <w:numPr>
          <w:ilvl w:val="0"/>
          <w:numId w:val="0"/>
        </w:numPr>
        <w:rPr>
          <w:rFonts w:ascii="Arial" w:hAnsi="Arial" w:cs="Arial"/>
          <w:sz w:val="19"/>
          <w:szCs w:val="19"/>
        </w:rPr>
      </w:pPr>
      <w:r w:rsidRPr="00896DF6">
        <w:rPr>
          <w:rFonts w:ascii="Arial" w:hAnsi="Arial" w:cs="Arial"/>
          <w:sz w:val="19"/>
          <w:szCs w:val="19"/>
        </w:rPr>
        <w:t>Figure 4.2 (a)</w:t>
      </w:r>
      <w:r w:rsidR="002C0499" w:rsidRPr="00896DF6">
        <w:rPr>
          <w:rFonts w:ascii="Arial" w:hAnsi="Arial" w:cs="Arial"/>
          <w:sz w:val="19"/>
          <w:szCs w:val="19"/>
        </w:rPr>
        <w:t>:</w:t>
      </w:r>
      <w:r w:rsidRPr="00896DF6">
        <w:rPr>
          <w:rFonts w:ascii="Arial" w:hAnsi="Arial" w:cs="Arial"/>
          <w:sz w:val="19"/>
          <w:szCs w:val="19"/>
        </w:rPr>
        <w:t xml:space="preserve"> Daily hub offers in price bands ($/GJ)     Figure 4.2</w:t>
      </w:r>
      <w:r w:rsidR="00C80FD8" w:rsidRPr="00896DF6">
        <w:rPr>
          <w:rFonts w:ascii="Arial" w:hAnsi="Arial" w:cs="Arial"/>
          <w:sz w:val="19"/>
          <w:szCs w:val="19"/>
        </w:rPr>
        <w:t xml:space="preserve"> </w:t>
      </w:r>
      <w:r w:rsidRPr="00896DF6">
        <w:rPr>
          <w:rFonts w:ascii="Arial" w:hAnsi="Arial" w:cs="Arial"/>
          <w:sz w:val="19"/>
          <w:szCs w:val="19"/>
        </w:rPr>
        <w:t>(b): Daily hub bids in price bands ($/GJ)</w:t>
      </w:r>
    </w:p>
    <w:p w:rsidR="00B66BAB" w:rsidRPr="00FC426D" w:rsidRDefault="00922C0A" w:rsidP="00B66BAB">
      <w:pPr>
        <w:pStyle w:val="FigheadingA"/>
        <w:numPr>
          <w:ilvl w:val="0"/>
          <w:numId w:val="0"/>
        </w:numPr>
        <w:spacing w:before="120" w:after="0"/>
        <w:ind w:left="1134" w:hanging="1134"/>
        <w:jc w:val="center"/>
      </w:pPr>
      <w:r>
        <w:pict>
          <v:shape id="_x0000_i1040" type="#_x0000_t75" style="width:476.25pt;height:185.25pt">
            <v:imagedata r:id="rId26" o:title=""/>
          </v:shape>
        </w:pict>
      </w:r>
    </w:p>
    <w:p w:rsidR="00B66BAB" w:rsidRPr="00896DF6" w:rsidRDefault="00E52E2A" w:rsidP="00BE18D0">
      <w:pPr>
        <w:pStyle w:val="AERfigureheading"/>
        <w:numPr>
          <w:ilvl w:val="5"/>
          <w:numId w:val="49"/>
        </w:numPr>
        <w:tabs>
          <w:tab w:val="clear" w:pos="1361"/>
          <w:tab w:val="num" w:pos="1260"/>
        </w:tabs>
        <w:rPr>
          <w:rFonts w:ascii="Arial" w:hAnsi="Arial" w:cs="Arial"/>
          <w:sz w:val="20"/>
          <w:szCs w:val="20"/>
        </w:rPr>
      </w:pPr>
      <w:r w:rsidRPr="00896DF6">
        <w:rPr>
          <w:rFonts w:ascii="Arial" w:hAnsi="Arial" w:cs="Arial"/>
          <w:sz w:val="20"/>
          <w:szCs w:val="20"/>
        </w:rPr>
        <w:t>BRI net scheduled and allocated gas volumes (excluding MOS) by STTM facility</w:t>
      </w:r>
    </w:p>
    <w:p w:rsidR="00B66BAB" w:rsidRPr="002E2E46" w:rsidRDefault="00922C0A" w:rsidP="00B66BAB">
      <w:pPr>
        <w:pStyle w:val="BodyText"/>
        <w:spacing w:before="120" w:after="0"/>
        <w:jc w:val="center"/>
      </w:pPr>
      <w:r>
        <w:pict>
          <v:shape id="_x0000_i1041" type="#_x0000_t75" style="width:476.25pt;height:150.75pt">
            <v:imagedata r:id="rId27" o:title=""/>
          </v:shape>
        </w:pict>
      </w:r>
    </w:p>
    <w:p w:rsidR="00157AFD" w:rsidRPr="00CF285E" w:rsidRDefault="00157AFD" w:rsidP="002C0499">
      <w:pPr>
        <w:pStyle w:val="AERtableheading-unnumbered"/>
        <w:numPr>
          <w:ilvl w:val="0"/>
          <w:numId w:val="0"/>
        </w:numPr>
        <w:spacing w:before="120"/>
        <w:ind w:left="6379" w:right="-114" w:hanging="6379"/>
        <w:rPr>
          <w:rFonts w:ascii="Arial" w:hAnsi="Arial" w:cs="Arial"/>
          <w:sz w:val="20"/>
          <w:szCs w:val="20"/>
        </w:rPr>
      </w:pPr>
      <w:r w:rsidRPr="00CF285E">
        <w:rPr>
          <w:rFonts w:ascii="Arial" w:hAnsi="Arial" w:cs="Arial"/>
          <w:sz w:val="20"/>
          <w:szCs w:val="20"/>
        </w:rPr>
        <w:t>Figure 4.4 (a)</w:t>
      </w:r>
      <w:r w:rsidR="002C0499" w:rsidRPr="00CF285E">
        <w:rPr>
          <w:rFonts w:ascii="Arial" w:hAnsi="Arial" w:cs="Arial"/>
          <w:sz w:val="20"/>
          <w:szCs w:val="20"/>
        </w:rPr>
        <w:t>:</w:t>
      </w:r>
      <w:r w:rsidRPr="00CF285E">
        <w:rPr>
          <w:rFonts w:ascii="Arial" w:hAnsi="Arial" w:cs="Arial"/>
          <w:sz w:val="20"/>
          <w:szCs w:val="20"/>
        </w:rPr>
        <w:t xml:space="preserve"> BRI </w:t>
      </w:r>
      <w:r w:rsidR="005C68CE" w:rsidRPr="00CF285E">
        <w:rPr>
          <w:rFonts w:ascii="Arial" w:hAnsi="Arial" w:cs="Arial"/>
          <w:sz w:val="20"/>
          <w:szCs w:val="20"/>
        </w:rPr>
        <w:t xml:space="preserve">STTM </w:t>
      </w:r>
      <w:r w:rsidRPr="00CF285E">
        <w:rPr>
          <w:rFonts w:ascii="Arial" w:hAnsi="Arial" w:cs="Arial"/>
          <w:sz w:val="20"/>
          <w:szCs w:val="20"/>
        </w:rPr>
        <w:t>MOS allocations (TJ)           Figure 4.4 (b): Service payments and commodity payments/charges ($000)</w:t>
      </w:r>
    </w:p>
    <w:p w:rsidR="002A5634" w:rsidRPr="002E2E46" w:rsidRDefault="00922C0A" w:rsidP="00452149">
      <w:pPr>
        <w:jc w:val="center"/>
      </w:pPr>
      <w:r>
        <w:pict>
          <v:shape id="_x0000_i1042" type="#_x0000_t75" style="width:476.25pt;height:165.75pt">
            <v:imagedata r:id="rId28"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3144C3" w:rsidRDefault="005F18AD" w:rsidP="00750C0F">
      <w:pPr>
        <w:pStyle w:val="AERfigureheading"/>
        <w:tabs>
          <w:tab w:val="clear" w:pos="1361"/>
          <w:tab w:val="num" w:pos="1260"/>
        </w:tabs>
        <w:spacing w:before="120"/>
        <w:ind w:left="1260" w:hanging="1260"/>
        <w:rPr>
          <w:rFonts w:ascii="Arial" w:hAnsi="Arial" w:cs="Arial"/>
          <w:sz w:val="16"/>
          <w:szCs w:val="16"/>
        </w:rPr>
      </w:pPr>
      <w:r w:rsidRPr="003144C3">
        <w:rPr>
          <w:rFonts w:ascii="Arial" w:hAnsi="Arial" w:cs="Arial"/>
          <w:sz w:val="20"/>
          <w:szCs w:val="20"/>
        </w:rPr>
        <w:t xml:space="preserve">Gas </w:t>
      </w:r>
      <w:r w:rsidR="001B294E" w:rsidRPr="003144C3">
        <w:rPr>
          <w:rFonts w:ascii="Arial" w:hAnsi="Arial" w:cs="Arial"/>
          <w:sz w:val="20"/>
          <w:szCs w:val="20"/>
        </w:rPr>
        <w:t>market data ($/GJ, TJ); Production, Consumption and Pipeline flows (TJ)</w:t>
      </w:r>
    </w:p>
    <w:bookmarkEnd w:id="0"/>
    <w:bookmarkEnd w:id="1"/>
    <w:p w:rsidR="005A6687" w:rsidRDefault="00922C0A" w:rsidP="003C5272">
      <w:r>
        <w:pict>
          <v:shape id="Picture 1" o:spid="_x0000_i1043" type="#_x0000_t75" style="width:468pt;height:606pt;visibility:visible;mso-wrap-style:square">
            <v:imagedata r:id="rId29"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9E74E3" w:rsidRPr="00E10E38" w:rsidRDefault="00E10E38" w:rsidP="005A6687">
      <w:pPr>
        <w:jc w:val="both"/>
      </w:pPr>
      <w:r>
        <w:rPr>
          <w:rFonts w:eastAsia="MS Mincho"/>
        </w:rPr>
        <w:t>O</w:t>
      </w:r>
      <w:r w:rsidRPr="00E10E38">
        <w:rPr>
          <w:rFonts w:eastAsia="MS Mincho"/>
        </w:rPr>
        <w:t>n 25 September</w:t>
      </w:r>
      <w:r>
        <w:rPr>
          <w:rFonts w:eastAsia="MS Mincho"/>
        </w:rPr>
        <w:t>,</w:t>
      </w:r>
      <w:r w:rsidRPr="00E10E38">
        <w:rPr>
          <w:rFonts w:eastAsia="MS Mincho"/>
        </w:rPr>
        <w:t xml:space="preserve"> </w:t>
      </w:r>
      <w:r>
        <w:rPr>
          <w:rFonts w:eastAsia="MS Mincho"/>
        </w:rPr>
        <w:t>t</w:t>
      </w:r>
      <w:r w:rsidR="007A6935" w:rsidRPr="00E10E38">
        <w:rPr>
          <w:rFonts w:eastAsia="MS Mincho"/>
        </w:rPr>
        <w:t xml:space="preserve">here were three </w:t>
      </w:r>
      <w:r>
        <w:rPr>
          <w:rFonts w:eastAsia="MS Mincho"/>
        </w:rPr>
        <w:t>day</w:t>
      </w:r>
      <w:r>
        <w:rPr>
          <w:rFonts w:eastAsia="MS Mincho"/>
        </w:rPr>
        <w:noBreakHyphen/>
        <w:t xml:space="preserve">ahead </w:t>
      </w:r>
      <w:r w:rsidR="007A6935" w:rsidRPr="00E10E38">
        <w:rPr>
          <w:rFonts w:eastAsia="MS Mincho"/>
        </w:rPr>
        <w:t xml:space="preserve">trades </w:t>
      </w:r>
      <w:r>
        <w:rPr>
          <w:rFonts w:eastAsia="MS Mincho"/>
        </w:rPr>
        <w:t>for</w:t>
      </w:r>
      <w:r w:rsidR="007A6935" w:rsidRPr="00E10E38">
        <w:rPr>
          <w:rFonts w:eastAsia="MS Mincho"/>
        </w:rPr>
        <w:t xml:space="preserve"> a combined 14 TJ of gas on the RBP at an average price of $1.72/GJ.</w:t>
      </w:r>
    </w:p>
    <w:sectPr w:rsidR="009E74E3" w:rsidRPr="00E10E38"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98F" w:rsidRDefault="0058198F">
      <w:r>
        <w:separator/>
      </w:r>
    </w:p>
  </w:endnote>
  <w:endnote w:type="continuationSeparator" w:id="0">
    <w:p w:rsidR="0058198F" w:rsidRDefault="0058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922C0A">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98F" w:rsidRDefault="0058198F">
      <w:r>
        <w:separator/>
      </w:r>
    </w:p>
  </w:footnote>
  <w:footnote w:type="continuationSeparator" w:id="0">
    <w:p w:rsidR="0058198F" w:rsidRDefault="0058198F">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972689" w:rsidRDefault="00972689">
      <w:pPr>
        <w:pStyle w:val="FootnoteText"/>
      </w:pPr>
      <w:r>
        <w:rPr>
          <w:rStyle w:val="FootnoteReference"/>
        </w:rPr>
        <w:footnoteRef/>
      </w:r>
      <w:r>
        <w:t xml:space="preserve"> </w:t>
      </w:r>
      <w:r w:rsidR="00E07578">
        <w:tab/>
      </w:r>
      <w:r>
        <w:t>Maintenance on the MSP is expected to be complete in April 2015.</w:t>
      </w:r>
    </w:p>
  </w:footnote>
  <w:footnote w:id="3">
    <w:p w:rsidR="00E07578" w:rsidRDefault="00E07578" w:rsidP="00E07578">
      <w:pPr>
        <w:pStyle w:val="FootnoteText"/>
        <w:jc w:val="both"/>
      </w:pPr>
      <w:r>
        <w:rPr>
          <w:rStyle w:val="FootnoteReference"/>
        </w:rPr>
        <w:footnoteRef/>
      </w:r>
      <w:r>
        <w:t xml:space="preserve"> </w:t>
      </w:r>
      <w:r>
        <w:tab/>
        <w:t>Firm shippers are compensated by non-firm shippers whose gas was scheduled (with the volume of displaced gas charged at the capacity price).</w:t>
      </w:r>
    </w:p>
  </w:footnote>
  <w:footnote w:id="4">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6">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7">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8">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9">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10">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921-20140927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6313B"/>
    <w:rsid w:val="00171BD5"/>
    <w:rsid w:val="00181F4A"/>
    <w:rsid w:val="00183D85"/>
    <w:rsid w:val="00193ECC"/>
    <w:rsid w:val="001A41B4"/>
    <w:rsid w:val="001A5893"/>
    <w:rsid w:val="001A5B94"/>
    <w:rsid w:val="001A5C1A"/>
    <w:rsid w:val="001A765F"/>
    <w:rsid w:val="001B294E"/>
    <w:rsid w:val="001B2ADA"/>
    <w:rsid w:val="001C006C"/>
    <w:rsid w:val="001C5A74"/>
    <w:rsid w:val="001C6C60"/>
    <w:rsid w:val="001E79FF"/>
    <w:rsid w:val="001F0F9B"/>
    <w:rsid w:val="001F5B11"/>
    <w:rsid w:val="002052B6"/>
    <w:rsid w:val="00206559"/>
    <w:rsid w:val="002168D4"/>
    <w:rsid w:val="002312F5"/>
    <w:rsid w:val="00233988"/>
    <w:rsid w:val="00234764"/>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C5370"/>
    <w:rsid w:val="002D0C16"/>
    <w:rsid w:val="002D59B3"/>
    <w:rsid w:val="002D5CEC"/>
    <w:rsid w:val="002E0688"/>
    <w:rsid w:val="002E2C96"/>
    <w:rsid w:val="002E2E46"/>
    <w:rsid w:val="002E7E9E"/>
    <w:rsid w:val="002F0AE7"/>
    <w:rsid w:val="002F4250"/>
    <w:rsid w:val="0030240F"/>
    <w:rsid w:val="00311A09"/>
    <w:rsid w:val="003144C3"/>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02E5"/>
    <w:rsid w:val="00483EDA"/>
    <w:rsid w:val="00492501"/>
    <w:rsid w:val="00496CEF"/>
    <w:rsid w:val="004A09D6"/>
    <w:rsid w:val="004A10A7"/>
    <w:rsid w:val="004B068E"/>
    <w:rsid w:val="004B18D8"/>
    <w:rsid w:val="004B2256"/>
    <w:rsid w:val="004B2A1A"/>
    <w:rsid w:val="004D09C9"/>
    <w:rsid w:val="004D1EBF"/>
    <w:rsid w:val="004D3B99"/>
    <w:rsid w:val="004D3E78"/>
    <w:rsid w:val="004F3D13"/>
    <w:rsid w:val="00502181"/>
    <w:rsid w:val="00505139"/>
    <w:rsid w:val="00514A82"/>
    <w:rsid w:val="005157B0"/>
    <w:rsid w:val="00522E00"/>
    <w:rsid w:val="00535DDF"/>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0EFD"/>
    <w:rsid w:val="007A12DE"/>
    <w:rsid w:val="007A24B5"/>
    <w:rsid w:val="007A693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96DF6"/>
    <w:rsid w:val="008A6DB5"/>
    <w:rsid w:val="008B7161"/>
    <w:rsid w:val="008C0EC8"/>
    <w:rsid w:val="008C7F3A"/>
    <w:rsid w:val="008D4DAB"/>
    <w:rsid w:val="008D70A4"/>
    <w:rsid w:val="008E2239"/>
    <w:rsid w:val="008E24DA"/>
    <w:rsid w:val="008F4BF5"/>
    <w:rsid w:val="008F4EAE"/>
    <w:rsid w:val="008F5409"/>
    <w:rsid w:val="00900CEB"/>
    <w:rsid w:val="00911D4F"/>
    <w:rsid w:val="009136B3"/>
    <w:rsid w:val="009143E0"/>
    <w:rsid w:val="00922C0A"/>
    <w:rsid w:val="00937543"/>
    <w:rsid w:val="00942622"/>
    <w:rsid w:val="00950C55"/>
    <w:rsid w:val="00951926"/>
    <w:rsid w:val="00956CE9"/>
    <w:rsid w:val="009629B5"/>
    <w:rsid w:val="00972689"/>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B65BC"/>
    <w:rsid w:val="00AD3EBD"/>
    <w:rsid w:val="00AD458C"/>
    <w:rsid w:val="00AE4633"/>
    <w:rsid w:val="00AE748C"/>
    <w:rsid w:val="00AF2281"/>
    <w:rsid w:val="00B00058"/>
    <w:rsid w:val="00B1081E"/>
    <w:rsid w:val="00B16118"/>
    <w:rsid w:val="00B17A8A"/>
    <w:rsid w:val="00B20E45"/>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4A8D"/>
    <w:rsid w:val="00BA65E6"/>
    <w:rsid w:val="00BA6C2E"/>
    <w:rsid w:val="00BB2FF6"/>
    <w:rsid w:val="00BB3937"/>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285E"/>
    <w:rsid w:val="00CF32A8"/>
    <w:rsid w:val="00CF53CA"/>
    <w:rsid w:val="00CF5471"/>
    <w:rsid w:val="00D10FA6"/>
    <w:rsid w:val="00D161D7"/>
    <w:rsid w:val="00D16FE8"/>
    <w:rsid w:val="00D22793"/>
    <w:rsid w:val="00D329E0"/>
    <w:rsid w:val="00D40430"/>
    <w:rsid w:val="00D41D64"/>
    <w:rsid w:val="00D60AA7"/>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07578"/>
    <w:rsid w:val="00E10E38"/>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524"/>
    <w:rsid w:val="00F5594F"/>
    <w:rsid w:val="00F55D61"/>
    <w:rsid w:val="00F63042"/>
    <w:rsid w:val="00F67559"/>
    <w:rsid w:val="00F71200"/>
    <w:rsid w:val="00F73DCA"/>
    <w:rsid w:val="00F76C75"/>
    <w:rsid w:val="00F77722"/>
    <w:rsid w:val="00F803DE"/>
    <w:rsid w:val="00F96C04"/>
    <w:rsid w:val="00FB56EC"/>
    <w:rsid w:val="00FB594A"/>
    <w:rsid w:val="00FB7DD0"/>
    <w:rsid w:val="00FC4B88"/>
    <w:rsid w:val="00FD08B1"/>
    <w:rsid w:val="00FD53BB"/>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uiPriority w:val="99"/>
    <w:semiHidden/>
    <w:rsid w:val="005F18AD"/>
    <w:rPr>
      <w:vertAlign w:val="superscript"/>
    </w:rPr>
  </w:style>
  <w:style w:type="paragraph" w:styleId="FootnoteText">
    <w:name w:val="footnote text"/>
    <w:basedOn w:val="Normal"/>
    <w:link w:val="FootnoteTextChar"/>
    <w:uiPriority w:val="99"/>
    <w:qFormat/>
    <w:rsid w:val="005F18AD"/>
    <w:pPr>
      <w:ind w:left="340" w:hanging="340"/>
    </w:pPr>
    <w:rPr>
      <w:sz w:val="20"/>
      <w:szCs w:val="20"/>
      <w:lang w:eastAsia="en-US"/>
    </w:rPr>
  </w:style>
  <w:style w:type="character" w:customStyle="1" w:styleId="FootnoteTextChar">
    <w:name w:val="Footnote Text Char"/>
    <w:link w:val="FootnoteText"/>
    <w:uiPriority w:val="99"/>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36310771">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 w:id="203870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492CE2A7.dotm</Template>
  <TotalTime>0</TotalTime>
  <Pages>11</Pages>
  <Words>1861</Words>
  <Characters>8749</Characters>
  <Application>Microsoft Office Word</Application>
  <DocSecurity>0</DocSecurity>
  <Lines>72</Lines>
  <Paragraphs>21</Paragraphs>
  <ScaleCrop>false</ScaleCrop>
  <Company/>
  <LinksUpToDate>false</LinksUpToDate>
  <CharactersWithSpaces>10589</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2014-10-03T04:21:00Z</dcterms:created>
  <dcterms:modified xsi:type="dcterms:W3CDTF">2014-10-03T04:21:00Z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8277247</vt:lpwstr>
  </property>
</Properties>
</file>