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F549DE"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B66ED1" w:rsidP="00BD60AA">
                  <w:pPr>
                    <w:spacing w:before="140"/>
                    <w:rPr>
                      <w:b/>
                    </w:rPr>
                  </w:pPr>
                  <w:r>
                    <w:rPr>
                      <w:b/>
                    </w:rPr>
                    <w:t>31 August – 6 September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15pt;height:99.05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622BE0" w:rsidRDefault="00622BE0" w:rsidP="00FF2760">
      <w:pPr>
        <w:pStyle w:val="AERunnumberedheading3"/>
        <w:jc w:val="both"/>
        <w:rPr>
          <w:rFonts w:ascii="Times New Roman" w:hAnsi="Times New Roman"/>
        </w:rPr>
      </w:pPr>
      <w:r w:rsidRPr="00622BE0">
        <w:rPr>
          <w:rFonts w:ascii="Times New Roman" w:hAnsi="Times New Roman"/>
        </w:rPr>
        <w:t>Average prices ranged from $2.82/GJ in Brisbane to $4.03/GJ in Victoria this week.</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622BE0" w:rsidRPr="006376D7" w:rsidTr="002861A9">
        <w:trPr>
          <w:trHeight w:val="382"/>
        </w:trPr>
        <w:tc>
          <w:tcPr>
            <w:tcW w:w="371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31 Aug - 06 Sep 2014</w:t>
            </w:r>
          </w:p>
        </w:tc>
        <w:tc>
          <w:tcPr>
            <w:tcW w:w="143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3.62</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4.03</w:t>
            </w:r>
          </w:p>
        </w:tc>
        <w:tc>
          <w:tcPr>
            <w:tcW w:w="143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3.78</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2.82</w:t>
            </w:r>
          </w:p>
        </w:tc>
      </w:tr>
      <w:tr w:rsidR="00622BE0" w:rsidRPr="006376D7" w:rsidTr="002861A9">
        <w:trPr>
          <w:trHeight w:val="382"/>
        </w:trPr>
        <w:tc>
          <w:tcPr>
            <w:tcW w:w="371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11</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0</w:t>
            </w:r>
          </w:p>
        </w:tc>
        <w:tc>
          <w:tcPr>
            <w:tcW w:w="143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5</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w:t>
            </w:r>
          </w:p>
        </w:tc>
      </w:tr>
      <w:tr w:rsidR="00622BE0" w:rsidRPr="006376D7" w:rsidTr="002861A9">
        <w:trPr>
          <w:trHeight w:val="382"/>
        </w:trPr>
        <w:tc>
          <w:tcPr>
            <w:tcW w:w="371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3.69</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3.90</w:t>
            </w:r>
          </w:p>
        </w:tc>
        <w:tc>
          <w:tcPr>
            <w:tcW w:w="143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3.93</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2.39</w:t>
            </w:r>
          </w:p>
        </w:tc>
      </w:tr>
      <w:tr w:rsidR="00622BE0" w:rsidRPr="006376D7" w:rsidTr="002861A9">
        <w:trPr>
          <w:trHeight w:val="382"/>
        </w:trPr>
        <w:tc>
          <w:tcPr>
            <w:tcW w:w="371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w:t>
            </w:r>
          </w:p>
        </w:tc>
        <w:tc>
          <w:tcPr>
            <w:tcW w:w="143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-25</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-59</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ED3A60" w:rsidRDefault="003410C4" w:rsidP="002861A9">
            <w:pPr>
              <w:keepNext/>
              <w:spacing w:before="40" w:after="40"/>
              <w:jc w:val="center"/>
              <w:rPr>
                <w:rFonts w:ascii="Arial" w:hAnsi="Arial" w:cs="Arial"/>
                <w:b/>
                <w:bCs/>
                <w:sz w:val="20"/>
                <w:szCs w:val="20"/>
              </w:rPr>
            </w:pPr>
            <w:r w:rsidRPr="00ED3A60">
              <w:rPr>
                <w:rFonts w:ascii="Arial" w:hAnsi="Arial" w:cs="Arial"/>
                <w:b/>
                <w:bCs/>
                <w:sz w:val="20"/>
                <w:szCs w:val="20"/>
              </w:rPr>
              <w:t>Ancillary payments ($000)</w:t>
            </w:r>
            <w:r w:rsidR="001420EB" w:rsidRPr="00ED3A60">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622BE0" w:rsidRPr="006376D7" w:rsidTr="002861A9">
        <w:trPr>
          <w:trHeight w:val="382"/>
        </w:trPr>
        <w:tc>
          <w:tcPr>
            <w:tcW w:w="3708"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31 Aug - 06 Sep 2014</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3.62</w:t>
            </w:r>
          </w:p>
        </w:tc>
        <w:tc>
          <w:tcPr>
            <w:tcW w:w="2160" w:type="dxa"/>
            <w:noWrap/>
            <w:tcMar>
              <w:top w:w="0" w:type="dxa"/>
              <w:bottom w:w="0" w:type="dxa"/>
            </w:tcMar>
            <w:vAlign w:val="center"/>
          </w:tcPr>
          <w:p w:rsidR="00622BE0" w:rsidRPr="00ED3A60" w:rsidRDefault="00622BE0">
            <w:pPr>
              <w:jc w:val="center"/>
              <w:rPr>
                <w:rFonts w:ascii="Arial" w:hAnsi="Arial" w:cs="Arial"/>
                <w:sz w:val="20"/>
                <w:szCs w:val="20"/>
              </w:rPr>
            </w:pPr>
            <w:r w:rsidRPr="00ED3A60">
              <w:rPr>
                <w:rFonts w:ascii="Arial" w:hAnsi="Arial" w:cs="Arial"/>
                <w:sz w:val="20"/>
                <w:szCs w:val="20"/>
              </w:rPr>
              <w:t>-</w:t>
            </w:r>
          </w:p>
        </w:tc>
        <w:tc>
          <w:tcPr>
            <w:tcW w:w="21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749</w:t>
            </w:r>
          </w:p>
        </w:tc>
      </w:tr>
      <w:tr w:rsidR="00622BE0" w:rsidRPr="006376D7" w:rsidTr="002861A9">
        <w:trPr>
          <w:trHeight w:val="382"/>
        </w:trPr>
        <w:tc>
          <w:tcPr>
            <w:tcW w:w="3708"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11</w:t>
            </w:r>
          </w:p>
        </w:tc>
        <w:tc>
          <w:tcPr>
            <w:tcW w:w="2160" w:type="dxa"/>
            <w:noWrap/>
            <w:tcMar>
              <w:top w:w="0" w:type="dxa"/>
              <w:bottom w:w="0" w:type="dxa"/>
            </w:tcMar>
            <w:vAlign w:val="center"/>
          </w:tcPr>
          <w:p w:rsidR="00622BE0" w:rsidRPr="00ED3A60" w:rsidRDefault="00622BE0">
            <w:pPr>
              <w:jc w:val="center"/>
              <w:rPr>
                <w:rFonts w:ascii="Arial" w:hAnsi="Arial" w:cs="Arial"/>
                <w:sz w:val="20"/>
                <w:szCs w:val="20"/>
              </w:rPr>
            </w:pPr>
            <w:r w:rsidRPr="00ED3A60">
              <w:rPr>
                <w:rFonts w:ascii="Arial" w:hAnsi="Arial" w:cs="Arial"/>
                <w:sz w:val="20"/>
                <w:szCs w:val="20"/>
              </w:rPr>
              <w:t>-</w:t>
            </w:r>
          </w:p>
        </w:tc>
        <w:tc>
          <w:tcPr>
            <w:tcW w:w="21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10</w:t>
            </w:r>
          </w:p>
        </w:tc>
      </w:tr>
      <w:tr w:rsidR="00622BE0" w:rsidRPr="006376D7" w:rsidTr="002861A9">
        <w:trPr>
          <w:trHeight w:val="382"/>
        </w:trPr>
        <w:tc>
          <w:tcPr>
            <w:tcW w:w="3708"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3.69</w:t>
            </w:r>
          </w:p>
        </w:tc>
        <w:tc>
          <w:tcPr>
            <w:tcW w:w="2160" w:type="dxa"/>
            <w:noWrap/>
            <w:tcMar>
              <w:top w:w="0" w:type="dxa"/>
              <w:bottom w:w="0" w:type="dxa"/>
            </w:tcMar>
            <w:vAlign w:val="center"/>
          </w:tcPr>
          <w:p w:rsidR="00622BE0" w:rsidRPr="00ED3A60" w:rsidRDefault="00622BE0">
            <w:pPr>
              <w:jc w:val="center"/>
              <w:rPr>
                <w:rFonts w:ascii="Arial" w:hAnsi="Arial" w:cs="Arial"/>
                <w:sz w:val="20"/>
                <w:szCs w:val="20"/>
              </w:rPr>
            </w:pPr>
            <w:r w:rsidRPr="00ED3A60">
              <w:rPr>
                <w:rFonts w:ascii="Arial" w:hAnsi="Arial" w:cs="Arial"/>
                <w:sz w:val="20"/>
                <w:szCs w:val="20"/>
              </w:rPr>
              <w:t>-</w:t>
            </w:r>
          </w:p>
        </w:tc>
        <w:tc>
          <w:tcPr>
            <w:tcW w:w="21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869</w:t>
            </w:r>
          </w:p>
        </w:tc>
      </w:tr>
      <w:tr w:rsidR="00622BE0" w:rsidRPr="006376D7" w:rsidTr="002861A9">
        <w:trPr>
          <w:trHeight w:val="382"/>
        </w:trPr>
        <w:tc>
          <w:tcPr>
            <w:tcW w:w="3708"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622BE0" w:rsidRPr="00ED3A60" w:rsidRDefault="00622BE0">
            <w:pPr>
              <w:jc w:val="center"/>
              <w:rPr>
                <w:rFonts w:ascii="Arial" w:hAnsi="Arial" w:cs="Arial"/>
                <w:sz w:val="20"/>
                <w:szCs w:val="20"/>
              </w:rPr>
            </w:pPr>
            <w:r w:rsidRPr="00ED3A60">
              <w:rPr>
                <w:rFonts w:ascii="Arial" w:hAnsi="Arial" w:cs="Arial"/>
                <w:sz w:val="20"/>
                <w:szCs w:val="20"/>
              </w:rPr>
              <w:t>-</w:t>
            </w:r>
          </w:p>
        </w:tc>
        <w:tc>
          <w:tcPr>
            <w:tcW w:w="21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7</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lastRenderedPageBreak/>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31 Aug - 06 Sep 2014</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4.03</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3.99</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26.39</w:t>
            </w:r>
          </w:p>
        </w:tc>
        <w:tc>
          <w:tcPr>
            <w:tcW w:w="12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307</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309</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0</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62</w:t>
            </w:r>
          </w:p>
        </w:tc>
        <w:tc>
          <w:tcPr>
            <w:tcW w:w="12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3.90</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4.05</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19.87</w:t>
            </w:r>
          </w:p>
        </w:tc>
        <w:tc>
          <w:tcPr>
            <w:tcW w:w="12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293</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297</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-12</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72</w:t>
            </w:r>
          </w:p>
        </w:tc>
        <w:tc>
          <w:tcPr>
            <w:tcW w:w="12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31 Aug - 06 Sep 2014</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3.78</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3.77</w:t>
            </w:r>
          </w:p>
        </w:tc>
        <w:tc>
          <w:tcPr>
            <w:tcW w:w="137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6.23</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85</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86</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5</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21</w:t>
            </w:r>
          </w:p>
        </w:tc>
        <w:tc>
          <w:tcPr>
            <w:tcW w:w="137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-54</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13</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3.93</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3.87</w:t>
            </w:r>
          </w:p>
        </w:tc>
        <w:tc>
          <w:tcPr>
            <w:tcW w:w="137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15.04</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89</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88</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-28</w:t>
            </w:r>
          </w:p>
        </w:tc>
        <w:tc>
          <w:tcPr>
            <w:tcW w:w="137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-21</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31 Aug - 06 Sep 2014</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2.82</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2.80</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1.69</w:t>
            </w:r>
          </w:p>
        </w:tc>
        <w:tc>
          <w:tcPr>
            <w:tcW w:w="12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169</w:t>
            </w:r>
          </w:p>
        </w:tc>
        <w:tc>
          <w:tcPr>
            <w:tcW w:w="11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169</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w:t>
            </w:r>
          </w:p>
        </w:tc>
        <w:tc>
          <w:tcPr>
            <w:tcW w:w="12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w:t>
            </w:r>
          </w:p>
        </w:tc>
        <w:tc>
          <w:tcPr>
            <w:tcW w:w="11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2.39</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2.38</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1.02</w:t>
            </w:r>
          </w:p>
        </w:tc>
        <w:tc>
          <w:tcPr>
            <w:tcW w:w="12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163</w:t>
            </w:r>
          </w:p>
        </w:tc>
        <w:tc>
          <w:tcPr>
            <w:tcW w:w="11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162</w:t>
            </w:r>
          </w:p>
        </w:tc>
      </w:tr>
      <w:tr w:rsidR="00622BE0" w:rsidRPr="002861A9" w:rsidTr="002861A9">
        <w:trPr>
          <w:trHeight w:val="382"/>
        </w:trPr>
        <w:tc>
          <w:tcPr>
            <w:tcW w:w="2670" w:type="dxa"/>
            <w:noWrap/>
            <w:tcMar>
              <w:top w:w="0" w:type="dxa"/>
              <w:bottom w:w="0" w:type="dxa"/>
            </w:tcMar>
            <w:vAlign w:val="center"/>
          </w:tcPr>
          <w:p w:rsidR="00622BE0" w:rsidRDefault="00622BE0">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-59</w:t>
            </w:r>
          </w:p>
        </w:tc>
        <w:tc>
          <w:tcPr>
            <w:tcW w:w="136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-59</w:t>
            </w:r>
          </w:p>
        </w:tc>
        <w:tc>
          <w:tcPr>
            <w:tcW w:w="135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-35</w:t>
            </w:r>
          </w:p>
        </w:tc>
        <w:tc>
          <w:tcPr>
            <w:tcW w:w="12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9</w:t>
            </w:r>
          </w:p>
        </w:tc>
        <w:tc>
          <w:tcPr>
            <w:tcW w:w="1180"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9</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793BD7" w:rsidRPr="00793BD7" w:rsidRDefault="00793BD7" w:rsidP="00793BD7">
      <w:pPr>
        <w:spacing w:before="120" w:after="120"/>
        <w:jc w:val="both"/>
        <w:rPr>
          <w:i/>
        </w:rPr>
      </w:pPr>
      <w:r w:rsidRPr="00793BD7">
        <w:rPr>
          <w:i/>
        </w:rPr>
        <w:t>Pipeline Flow Direction Constraint Prices in Adelaide</w:t>
      </w:r>
      <w:r w:rsidR="00BA0525">
        <w:rPr>
          <w:i/>
        </w:rPr>
        <w:t xml:space="preserve"> - </w:t>
      </w:r>
      <w:proofErr w:type="spellStart"/>
      <w:r w:rsidR="00BA0525">
        <w:rPr>
          <w:i/>
        </w:rPr>
        <w:t>SEAGas</w:t>
      </w:r>
      <w:proofErr w:type="spellEnd"/>
    </w:p>
    <w:p w:rsidR="00063201" w:rsidRDefault="00793BD7" w:rsidP="00793BD7">
      <w:pPr>
        <w:spacing w:before="120" w:after="120"/>
        <w:jc w:val="both"/>
        <w:rPr>
          <w:color w:val="FF0000"/>
        </w:rPr>
      </w:pPr>
      <w:r w:rsidRPr="00793BD7">
        <w:t xml:space="preserve">On 31 August and 6 September in Adelaide, there were Pipeline Flow Direction Constraint </w:t>
      </w:r>
      <w:r w:rsidRPr="00793BD7">
        <w:rPr>
          <w:b/>
        </w:rPr>
        <w:t>(PFDC)</w:t>
      </w:r>
      <w:r w:rsidRPr="00793BD7">
        <w:t xml:space="preserve"> prices</w:t>
      </w:r>
      <w:r>
        <w:t xml:space="preserve"> of 55 cents and 3 cents</w:t>
      </w:r>
      <w:r w:rsidR="00934911">
        <w:t xml:space="preserve"> respectively</w:t>
      </w:r>
      <w:r w:rsidRPr="00793BD7">
        <w:t>. The PFDC mechanism works to facilitate more ec</w:t>
      </w:r>
      <w:r w:rsidR="00934911">
        <w:t>onom</w:t>
      </w:r>
      <w:r w:rsidR="004F27A8">
        <w:t>ic trade on a pipeline</w:t>
      </w:r>
      <w:r w:rsidR="00BA0525">
        <w:t xml:space="preserve">, in this case </w:t>
      </w:r>
      <w:proofErr w:type="spellStart"/>
      <w:r w:rsidR="00BA0525">
        <w:t>SEAGas</w:t>
      </w:r>
      <w:proofErr w:type="spellEnd"/>
      <w:r w:rsidR="00BA0525">
        <w:t xml:space="preserve">, </w:t>
      </w:r>
      <w:r w:rsidR="00934911">
        <w:t>when</w:t>
      </w:r>
      <w:r w:rsidRPr="00793BD7">
        <w:t xml:space="preserve"> normal scheduling in merit order would </w:t>
      </w:r>
      <w:r w:rsidR="00967186">
        <w:t xml:space="preserve">involve </w:t>
      </w:r>
      <w:proofErr w:type="spellStart"/>
      <w:r w:rsidR="00967186" w:rsidRPr="00793BD7">
        <w:t>infeasibl</w:t>
      </w:r>
      <w:r w:rsidR="00967186">
        <w:t>y</w:t>
      </w:r>
      <w:proofErr w:type="spellEnd"/>
      <w:r w:rsidR="00967186" w:rsidRPr="00793BD7">
        <w:t xml:space="preserve"> </w:t>
      </w:r>
      <w:r w:rsidR="00BA0525">
        <w:t>scheduling a negative pipeline flow</w:t>
      </w:r>
      <w:r w:rsidR="004F27A8">
        <w:t xml:space="preserve">. </w:t>
      </w:r>
      <w:r w:rsidR="00BA0525">
        <w:t>O</w:t>
      </w:r>
      <w:r w:rsidR="004F27A8">
        <w:t xml:space="preserve">n these two </w:t>
      </w:r>
      <w:r w:rsidR="00BA0525">
        <w:t xml:space="preserve">days, </w:t>
      </w:r>
      <w:r w:rsidR="004F27A8">
        <w:t xml:space="preserve">normal scheduling would imply </w:t>
      </w:r>
      <w:r w:rsidR="00F42396">
        <w:t xml:space="preserve">the </w:t>
      </w:r>
      <w:r w:rsidR="00934911">
        <w:t>M</w:t>
      </w:r>
      <w:r w:rsidR="00F42396">
        <w:t xml:space="preserve">oomba Adelaide </w:t>
      </w:r>
      <w:r w:rsidR="00934911">
        <w:t>P</w:t>
      </w:r>
      <w:r w:rsidR="00F42396">
        <w:t xml:space="preserve">ipeline </w:t>
      </w:r>
      <w:r w:rsidR="00F42396">
        <w:rPr>
          <w:b/>
        </w:rPr>
        <w:t>(MAP)</w:t>
      </w:r>
      <w:r w:rsidR="00934911">
        <w:t xml:space="preserve"> supplying </w:t>
      </w:r>
      <w:r w:rsidR="00063201">
        <w:t xml:space="preserve">all </w:t>
      </w:r>
      <w:r w:rsidR="00934911">
        <w:t xml:space="preserve">Adelaide hub demand </w:t>
      </w:r>
      <w:r w:rsidR="00BA0525">
        <w:t xml:space="preserve">and backhaul on </w:t>
      </w:r>
      <w:proofErr w:type="spellStart"/>
      <w:r w:rsidR="00934911">
        <w:t>SEAGas</w:t>
      </w:r>
      <w:proofErr w:type="spellEnd"/>
      <w:r w:rsidRPr="00793BD7">
        <w:t>.</w:t>
      </w:r>
      <w:r>
        <w:rPr>
          <w:color w:val="FF0000"/>
        </w:rPr>
        <w:t xml:space="preserve"> </w:t>
      </w:r>
    </w:p>
    <w:p w:rsidR="00934911" w:rsidRDefault="004F27A8" w:rsidP="00793BD7">
      <w:pPr>
        <w:spacing w:before="120" w:after="120"/>
        <w:jc w:val="both"/>
      </w:pPr>
      <w:r>
        <w:t>T</w:t>
      </w:r>
      <w:r w:rsidR="00934911">
        <w:t xml:space="preserve">he PFDC mechanism allowed extra trade on </w:t>
      </w:r>
      <w:proofErr w:type="spellStart"/>
      <w:r w:rsidR="00934911">
        <w:t>SEAGas</w:t>
      </w:r>
      <w:proofErr w:type="spellEnd"/>
      <w:r w:rsidR="00934911">
        <w:t xml:space="preserve"> </w:t>
      </w:r>
      <w:r w:rsidR="003A204F">
        <w:t xml:space="preserve">for </w:t>
      </w:r>
      <w:r w:rsidR="00934911">
        <w:t xml:space="preserve">parties </w:t>
      </w:r>
      <w:r w:rsidR="003A204F">
        <w:t xml:space="preserve">with offers and bids to </w:t>
      </w:r>
      <w:r w:rsidR="00934911">
        <w:t xml:space="preserve">trade gas </w:t>
      </w:r>
      <w:r w:rsidR="003A204F">
        <w:t>which could be matched</w:t>
      </w:r>
      <w:r w:rsidR="00934911">
        <w:t>.</w:t>
      </w:r>
      <w:r w:rsidR="00063201">
        <w:t xml:space="preserve"> </w:t>
      </w:r>
      <w:r>
        <w:t xml:space="preserve">In addition to the ex ante price, the buyer and seller </w:t>
      </w:r>
      <w:r w:rsidR="00063201">
        <w:t xml:space="preserve">paid and received </w:t>
      </w:r>
      <w:r>
        <w:t xml:space="preserve">the </w:t>
      </w:r>
      <w:r w:rsidR="003A204F">
        <w:t xml:space="preserve">PFDC amount for the </w:t>
      </w:r>
      <w:r w:rsidR="00063201">
        <w:t>extra quantities of gas scheduled</w:t>
      </w:r>
      <w:r>
        <w:t xml:space="preserve">. </w:t>
      </w:r>
      <w:r w:rsidR="003A204F">
        <w:t>O</w:t>
      </w:r>
      <w:r>
        <w:t>n 31 August the PFDC price was determined by reference to a $3.80/GJ offer match</w:t>
      </w:r>
      <w:r w:rsidR="003A204F">
        <w:t>ed</w:t>
      </w:r>
      <w:r>
        <w:t xml:space="preserve"> </w:t>
      </w:r>
      <w:r w:rsidR="003A204F">
        <w:t>to a $5.62/GJ bid</w:t>
      </w:r>
      <w:r>
        <w:t xml:space="preserve">. This generated a 55 cent PFDC </w:t>
      </w:r>
      <w:r w:rsidR="003A204F">
        <w:t xml:space="preserve">payment </w:t>
      </w:r>
      <w:r>
        <w:t xml:space="preserve">based on the </w:t>
      </w:r>
      <w:r w:rsidR="003A204F">
        <w:t xml:space="preserve">difference between the offer price and the </w:t>
      </w:r>
      <w:r>
        <w:t xml:space="preserve">$3.26/GJ </w:t>
      </w:r>
      <w:r w:rsidR="003A204F">
        <w:t xml:space="preserve">hub </w:t>
      </w:r>
      <w:r>
        <w:t xml:space="preserve">ex ante price. </w:t>
      </w:r>
    </w:p>
    <w:p w:rsidR="00FA3C71" w:rsidRDefault="00967186" w:rsidP="00FF2760">
      <w:pPr>
        <w:spacing w:before="120" w:after="120"/>
        <w:jc w:val="both"/>
      </w:pPr>
      <w:r>
        <w:lastRenderedPageBreak/>
        <w:t xml:space="preserve">Similarly, the PFDC price on 6 September was set using a $3.90/GJ offer scheduled out of merit order (only marginally higher than the ex ante price on the day). </w:t>
      </w:r>
      <w:r w:rsidR="003A204F">
        <w:t xml:space="preserve">The </w:t>
      </w:r>
      <w:r w:rsidR="00063201">
        <w:t xml:space="preserve">PFDC outcomes occurred because of </w:t>
      </w:r>
      <w:r w:rsidR="00FA3C71">
        <w:t xml:space="preserve">continued </w:t>
      </w:r>
      <w:r w:rsidR="00063201" w:rsidRPr="00793BD7">
        <w:t xml:space="preserve">high scheduled flows of gas to the </w:t>
      </w:r>
      <w:r w:rsidR="00063201">
        <w:t xml:space="preserve">Adelaide </w:t>
      </w:r>
      <w:r w:rsidR="00063201" w:rsidRPr="00793BD7">
        <w:t>hub on MAP</w:t>
      </w:r>
      <w:r w:rsidR="00063201">
        <w:t xml:space="preserve"> in comparison to </w:t>
      </w:r>
      <w:proofErr w:type="spellStart"/>
      <w:r w:rsidR="00063201">
        <w:t>SEAGas</w:t>
      </w:r>
      <w:proofErr w:type="spellEnd"/>
      <w:r w:rsidR="00063201">
        <w:t xml:space="preserve"> as shown in Figure 6 below (left hand axis). </w:t>
      </w:r>
    </w:p>
    <w:p w:rsidR="00342645" w:rsidRPr="003A204F" w:rsidRDefault="003A204F" w:rsidP="00FF2760">
      <w:pPr>
        <w:spacing w:before="120" w:after="120"/>
        <w:jc w:val="both"/>
      </w:pPr>
      <w:r>
        <w:t xml:space="preserve">The high flow of gas on MAP appears to be influenced by the significant increase in gas </w:t>
      </w:r>
      <w:r w:rsidR="00BA0525">
        <w:t xml:space="preserve">flows south on </w:t>
      </w:r>
      <w:r>
        <w:t xml:space="preserve">the QSN (right hand axis) from Queensland into southern states.  </w:t>
      </w:r>
      <w:r w:rsidR="00BA0525">
        <w:t xml:space="preserve">The QSN links to </w:t>
      </w:r>
      <w:r w:rsidR="00F42396">
        <w:t xml:space="preserve">the MAP to Adelaide </w:t>
      </w:r>
      <w:r w:rsidR="00BA0525">
        <w:t>a</w:t>
      </w:r>
      <w:r w:rsidR="00F42396">
        <w:t xml:space="preserve">s well as </w:t>
      </w:r>
      <w:r w:rsidR="00BA0525">
        <w:t xml:space="preserve">the Moomba </w:t>
      </w:r>
      <w:r w:rsidR="00FA3C71">
        <w:t>Sydney P</w:t>
      </w:r>
      <w:r w:rsidR="00BA0525">
        <w:t>ipeline</w:t>
      </w:r>
      <w:r w:rsidR="00F42396">
        <w:t xml:space="preserve"> to Sydney</w:t>
      </w:r>
      <w:r w:rsidR="00BA0525">
        <w:t>.</w:t>
      </w:r>
    </w:p>
    <w:p w:rsidR="00342645" w:rsidRPr="00900CEB" w:rsidRDefault="00342645" w:rsidP="00342645">
      <w:pPr>
        <w:pStyle w:val="AERfigureheading-unnumbered"/>
        <w:tabs>
          <w:tab w:val="num" w:pos="1080"/>
        </w:tabs>
        <w:spacing w:before="480"/>
        <w:rPr>
          <w:rFonts w:ascii="Arial" w:hAnsi="Arial" w:cs="Arial"/>
          <w:sz w:val="20"/>
          <w:szCs w:val="20"/>
        </w:rPr>
      </w:pPr>
      <w:r>
        <w:rPr>
          <w:rFonts w:ascii="Arial" w:hAnsi="Arial" w:cs="Arial"/>
          <w:sz w:val="20"/>
          <w:szCs w:val="20"/>
        </w:rPr>
        <w:t>Adelaide hub scheduled supply (by pipeline)</w:t>
      </w:r>
      <w:r w:rsidRPr="00900CEB">
        <w:rPr>
          <w:rFonts w:ascii="Arial" w:hAnsi="Arial" w:cs="Arial"/>
          <w:sz w:val="20"/>
          <w:szCs w:val="20"/>
        </w:rPr>
        <w:t xml:space="preserve"> </w:t>
      </w:r>
      <w:r>
        <w:rPr>
          <w:rFonts w:ascii="Arial" w:hAnsi="Arial" w:cs="Arial"/>
          <w:sz w:val="20"/>
          <w:szCs w:val="20"/>
        </w:rPr>
        <w:t>and QSN link flows</w:t>
      </w:r>
    </w:p>
    <w:p w:rsidR="00502181" w:rsidRPr="003A284F" w:rsidRDefault="00F549DE" w:rsidP="00B66E50">
      <w:pPr>
        <w:spacing w:before="120" w:after="120"/>
        <w:jc w:val="both"/>
        <w:rPr>
          <w:b/>
          <w:sz w:val="22"/>
          <w:szCs w:val="22"/>
        </w:rPr>
      </w:pPr>
      <w:r>
        <w:pict>
          <v:shape id="_x0000_i1026" type="#_x0000_t75" style="width:475.8pt;height:176.25pt">
            <v:imagedata r:id="rId12" o:title=""/>
          </v:shape>
        </w:pict>
      </w:r>
      <w:r w:rsidR="00342645" w:rsidRPr="00342645">
        <w:t xml:space="preserve"> </w:t>
      </w:r>
      <w:r w:rsidR="005F18AD" w:rsidRPr="00A0223D">
        <w:br w:type="column"/>
      </w:r>
      <w:bookmarkStart w:id="3" w:name="OLE_LINK7"/>
      <w:bookmarkStart w:id="4" w:name="OLE_LINK8"/>
      <w:r>
        <w:lastRenderedPageBreak/>
        <w:pict>
          <v:shape id="_x0000_i1027" type="#_x0000_t75" style="width:502.85pt;height:1in" o:allowoverlap="f">
            <v:imagedata r:id="rId9" o:title="" cropbottom="17873f" cropright="30275f"/>
          </v:shape>
        </w:pict>
      </w:r>
      <w:bookmarkEnd w:id="3"/>
      <w:bookmarkEnd w:id="4"/>
    </w:p>
    <w:p w:rsidR="00502181" w:rsidRPr="00B66E50" w:rsidRDefault="00F549DE"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8F2C54">
                    <w:rPr>
                      <w:b/>
                    </w:rPr>
                    <w:t>31 August – 6 September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622BE0" w:rsidRDefault="005F18AD" w:rsidP="009B2F99">
      <w:pPr>
        <w:pStyle w:val="AERfigureheading"/>
        <w:numPr>
          <w:ilvl w:val="5"/>
          <w:numId w:val="16"/>
        </w:numPr>
        <w:rPr>
          <w:rFonts w:ascii="Arial" w:hAnsi="Arial" w:cs="Arial"/>
          <w:sz w:val="20"/>
          <w:szCs w:val="20"/>
        </w:rPr>
      </w:pPr>
      <w:r w:rsidRPr="00622BE0">
        <w:rPr>
          <w:rFonts w:ascii="Arial" w:hAnsi="Arial" w:cs="Arial"/>
          <w:sz w:val="20"/>
          <w:szCs w:val="20"/>
        </w:rPr>
        <w:t xml:space="preserve">Prices by schedule </w:t>
      </w:r>
    </w:p>
    <w:p w:rsidR="005F18AD" w:rsidRPr="00767397" w:rsidRDefault="00F549DE" w:rsidP="006C6D60">
      <w:pPr>
        <w:pStyle w:val="AERbodytext"/>
        <w:spacing w:before="120"/>
        <w:jc w:val="center"/>
      </w:pPr>
      <w:r>
        <w:pict>
          <v:shape id="_x0000_i1028" type="#_x0000_t75" style="width:476.35pt;height:137.1pt">
            <v:imagedata r:id="rId13" o:title=""/>
          </v:shape>
        </w:pict>
      </w:r>
    </w:p>
    <w:p w:rsidR="005F18AD" w:rsidRPr="00622BE0" w:rsidRDefault="005F18AD" w:rsidP="00DA3AAA">
      <w:pPr>
        <w:pStyle w:val="AERfigureheading"/>
        <w:tabs>
          <w:tab w:val="clear" w:pos="1361"/>
          <w:tab w:val="num" w:pos="1260"/>
        </w:tabs>
        <w:spacing w:before="120"/>
        <w:ind w:left="1260" w:hanging="1260"/>
        <w:rPr>
          <w:rFonts w:ascii="Arial" w:hAnsi="Arial" w:cs="Arial"/>
          <w:sz w:val="20"/>
          <w:szCs w:val="20"/>
        </w:rPr>
      </w:pPr>
      <w:r w:rsidRPr="00622BE0">
        <w:rPr>
          <w:rFonts w:ascii="Arial" w:hAnsi="Arial" w:cs="Arial"/>
          <w:sz w:val="20"/>
          <w:szCs w:val="20"/>
        </w:rPr>
        <w:t xml:space="preserve">Demand </w:t>
      </w:r>
      <w:r w:rsidR="001452B3" w:rsidRPr="00622BE0">
        <w:rPr>
          <w:rFonts w:ascii="Arial" w:hAnsi="Arial" w:cs="Arial"/>
          <w:sz w:val="20"/>
          <w:szCs w:val="20"/>
        </w:rPr>
        <w:t>f</w:t>
      </w:r>
      <w:r w:rsidRPr="00622BE0">
        <w:rPr>
          <w:rFonts w:ascii="Arial" w:hAnsi="Arial" w:cs="Arial"/>
          <w:sz w:val="20"/>
          <w:szCs w:val="20"/>
        </w:rPr>
        <w:t>orecasts</w:t>
      </w:r>
      <w:r w:rsidR="008133CF" w:rsidRPr="00622BE0">
        <w:rPr>
          <w:rFonts w:ascii="Arial" w:hAnsi="Arial" w:cs="Arial"/>
          <w:sz w:val="20"/>
          <w:szCs w:val="20"/>
        </w:rPr>
        <w:t xml:space="preserve"> </w:t>
      </w:r>
    </w:p>
    <w:p w:rsidR="005F18AD" w:rsidRPr="00767397" w:rsidRDefault="00F549DE" w:rsidP="006C6D60">
      <w:pPr>
        <w:pStyle w:val="AERbodytext"/>
        <w:spacing w:before="120" w:after="0"/>
        <w:jc w:val="center"/>
      </w:pPr>
      <w:r>
        <w:pict>
          <v:shape id="_x0000_i1029" type="#_x0000_t75" style="width:475.8pt;height:176.85pt">
            <v:imagedata r:id="rId14" o:title=""/>
          </v:shape>
        </w:pict>
      </w:r>
    </w:p>
    <w:p w:rsidR="001A5C1A" w:rsidRPr="00622BE0" w:rsidRDefault="001A5C1A" w:rsidP="00B24A61">
      <w:pPr>
        <w:pStyle w:val="AERfigureheading"/>
        <w:tabs>
          <w:tab w:val="clear" w:pos="1361"/>
          <w:tab w:val="num" w:pos="1260"/>
        </w:tabs>
        <w:spacing w:before="120"/>
        <w:ind w:left="1260" w:hanging="1260"/>
        <w:rPr>
          <w:rFonts w:ascii="Arial" w:hAnsi="Arial" w:cs="Arial"/>
          <w:sz w:val="20"/>
          <w:szCs w:val="20"/>
        </w:rPr>
      </w:pPr>
      <w:r w:rsidRPr="00622BE0">
        <w:rPr>
          <w:rFonts w:ascii="Arial" w:hAnsi="Arial" w:cs="Arial"/>
          <w:sz w:val="20"/>
          <w:szCs w:val="20"/>
        </w:rPr>
        <w:lastRenderedPageBreak/>
        <w:t>Injection bids by price bands</w:t>
      </w:r>
    </w:p>
    <w:p w:rsidR="00A26940" w:rsidRPr="00767397" w:rsidRDefault="00F549DE" w:rsidP="006C6D60">
      <w:pPr>
        <w:pStyle w:val="AERbodytext"/>
        <w:spacing w:before="120" w:after="0"/>
        <w:jc w:val="center"/>
      </w:pPr>
      <w:r>
        <w:pict>
          <v:shape id="_x0000_i1030" type="#_x0000_t75" style="width:476.35pt;height:220.05pt">
            <v:imagedata r:id="rId15" o:title=""/>
          </v:shape>
        </w:pict>
      </w:r>
    </w:p>
    <w:p w:rsidR="00372976" w:rsidRPr="00622BE0" w:rsidRDefault="00372976" w:rsidP="00B24A61">
      <w:pPr>
        <w:pStyle w:val="AERfigureheading"/>
        <w:tabs>
          <w:tab w:val="clear" w:pos="1361"/>
          <w:tab w:val="num" w:pos="1260"/>
        </w:tabs>
        <w:spacing w:before="120"/>
        <w:ind w:left="1260" w:hanging="1260"/>
        <w:rPr>
          <w:rFonts w:ascii="Arial" w:hAnsi="Arial" w:cs="Arial"/>
          <w:sz w:val="20"/>
          <w:szCs w:val="20"/>
        </w:rPr>
      </w:pPr>
      <w:r w:rsidRPr="00622BE0">
        <w:rPr>
          <w:rFonts w:ascii="Arial" w:hAnsi="Arial" w:cs="Arial"/>
          <w:sz w:val="20"/>
          <w:szCs w:val="20"/>
        </w:rPr>
        <w:t>Withdrawal bids by price bands</w:t>
      </w:r>
    </w:p>
    <w:p w:rsidR="00BE4577" w:rsidRPr="00767397" w:rsidRDefault="00F549DE" w:rsidP="006C6D60">
      <w:pPr>
        <w:pStyle w:val="AERbodytext"/>
        <w:jc w:val="center"/>
      </w:pPr>
      <w:r>
        <w:pict>
          <v:shape id="_x0000_i1031" type="#_x0000_t75" style="width:476.35pt;height:172.2pt">
            <v:imagedata r:id="rId16" o:title=""/>
          </v:shape>
        </w:pict>
      </w:r>
    </w:p>
    <w:p w:rsidR="00A26940" w:rsidRPr="00BC6236" w:rsidRDefault="00B24A61" w:rsidP="00BE4577">
      <w:pPr>
        <w:pStyle w:val="AERfigureheading"/>
        <w:rPr>
          <w:rFonts w:ascii="Arial" w:hAnsi="Arial" w:cs="Arial"/>
          <w:sz w:val="20"/>
          <w:szCs w:val="20"/>
        </w:rPr>
      </w:pPr>
      <w:r w:rsidRPr="00BC6236">
        <w:rPr>
          <w:rFonts w:ascii="Arial" w:hAnsi="Arial" w:cs="Arial"/>
          <w:sz w:val="20"/>
          <w:szCs w:val="20"/>
        </w:rPr>
        <w:t xml:space="preserve">Metered </w:t>
      </w:r>
      <w:r w:rsidR="00652A42" w:rsidRPr="00BC6236">
        <w:rPr>
          <w:rFonts w:ascii="Arial" w:hAnsi="Arial" w:cs="Arial"/>
          <w:sz w:val="20"/>
          <w:szCs w:val="20"/>
        </w:rPr>
        <w:t>I</w:t>
      </w:r>
      <w:r w:rsidR="00A26940" w:rsidRPr="00BC6236">
        <w:rPr>
          <w:rFonts w:ascii="Arial" w:hAnsi="Arial" w:cs="Arial"/>
          <w:sz w:val="20"/>
          <w:szCs w:val="20"/>
        </w:rPr>
        <w:t xml:space="preserve">njections </w:t>
      </w:r>
      <w:r w:rsidR="008F4EAE" w:rsidRPr="00BC6236">
        <w:rPr>
          <w:rFonts w:ascii="Arial" w:hAnsi="Arial" w:cs="Arial"/>
          <w:sz w:val="20"/>
          <w:szCs w:val="20"/>
        </w:rPr>
        <w:t xml:space="preserve">by </w:t>
      </w:r>
      <w:r w:rsidRPr="00BC6236">
        <w:rPr>
          <w:rFonts w:ascii="Arial" w:hAnsi="Arial" w:cs="Arial"/>
          <w:sz w:val="20"/>
          <w:szCs w:val="20"/>
        </w:rPr>
        <w:t xml:space="preserve">System Injection Point </w:t>
      </w:r>
    </w:p>
    <w:p w:rsidR="0006609A" w:rsidRDefault="00F549DE" w:rsidP="006C6D60">
      <w:pPr>
        <w:pStyle w:val="AERbodytext"/>
        <w:spacing w:before="120"/>
        <w:jc w:val="center"/>
      </w:pPr>
      <w:r>
        <w:pict>
          <v:shape id="_x0000_i1032" type="#_x0000_t75" style="width:475.8pt;height:177.4pt">
            <v:imagedata r:id="rId17" o:title=""/>
          </v:shape>
        </w:pict>
      </w:r>
    </w:p>
    <w:p w:rsidR="00BC6236" w:rsidRPr="00767397" w:rsidRDefault="00BC6236" w:rsidP="006C6D60">
      <w:pPr>
        <w:pStyle w:val="AERbodytext"/>
        <w:spacing w:before="120"/>
        <w:jc w:val="center"/>
        <w:sectPr w:rsidR="00BC6236" w:rsidRPr="00767397" w:rsidSect="00FD7231">
          <w:footerReference w:type="default" r:id="rId18"/>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4.36</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3.99</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4.00</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252</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283</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345</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324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318</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293</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3.80</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4.17</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4.17</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4.18</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234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262</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334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355</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340</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306</w:t>
            </w:r>
          </w:p>
        </w:tc>
      </w:tr>
    </w:tbl>
    <w:p w:rsidR="00055584" w:rsidRPr="00622BE0" w:rsidRDefault="0045204B" w:rsidP="00502181">
      <w:pPr>
        <w:pStyle w:val="AERtableheading-unnumbered"/>
        <w:numPr>
          <w:ilvl w:val="0"/>
          <w:numId w:val="0"/>
        </w:numPr>
        <w:spacing w:before="480"/>
        <w:rPr>
          <w:rFonts w:ascii="Arial" w:hAnsi="Arial" w:cs="Arial"/>
          <w:sz w:val="19"/>
          <w:szCs w:val="19"/>
        </w:rPr>
      </w:pPr>
      <w:r w:rsidRPr="00622BE0">
        <w:rPr>
          <w:rFonts w:ascii="Arial" w:hAnsi="Arial" w:cs="Arial"/>
          <w:sz w:val="19"/>
          <w:szCs w:val="19"/>
        </w:rPr>
        <w:t>Figure 2.2 (a)</w:t>
      </w:r>
      <w:r w:rsidR="002C0499" w:rsidRPr="00622BE0">
        <w:rPr>
          <w:rFonts w:ascii="Arial" w:hAnsi="Arial" w:cs="Arial"/>
          <w:sz w:val="19"/>
          <w:szCs w:val="19"/>
        </w:rPr>
        <w:t>:</w:t>
      </w:r>
      <w:r w:rsidRPr="00622BE0">
        <w:rPr>
          <w:rFonts w:ascii="Arial" w:hAnsi="Arial" w:cs="Arial"/>
          <w:sz w:val="19"/>
          <w:szCs w:val="19"/>
        </w:rPr>
        <w:t xml:space="preserve"> </w:t>
      </w:r>
      <w:r w:rsidR="00055584" w:rsidRPr="00622BE0">
        <w:rPr>
          <w:rFonts w:ascii="Arial" w:hAnsi="Arial" w:cs="Arial"/>
          <w:sz w:val="19"/>
          <w:szCs w:val="19"/>
        </w:rPr>
        <w:t>Daily hub offers</w:t>
      </w:r>
      <w:r w:rsidR="00781A4A" w:rsidRPr="00622BE0">
        <w:rPr>
          <w:rFonts w:ascii="Arial" w:hAnsi="Arial" w:cs="Arial"/>
          <w:sz w:val="19"/>
          <w:szCs w:val="19"/>
        </w:rPr>
        <w:t xml:space="preserve"> in price bands</w:t>
      </w:r>
      <w:r w:rsidR="00CD3544" w:rsidRPr="00622BE0">
        <w:rPr>
          <w:rFonts w:ascii="Arial" w:hAnsi="Arial" w:cs="Arial"/>
          <w:sz w:val="19"/>
          <w:szCs w:val="19"/>
        </w:rPr>
        <w:t xml:space="preserve"> </w:t>
      </w:r>
      <w:r w:rsidR="00587CD1" w:rsidRPr="00622BE0">
        <w:rPr>
          <w:rFonts w:ascii="Arial" w:hAnsi="Arial" w:cs="Arial"/>
          <w:sz w:val="19"/>
          <w:szCs w:val="19"/>
        </w:rPr>
        <w:t xml:space="preserve">($/GJ) </w:t>
      </w:r>
      <w:r w:rsidR="00781A4A" w:rsidRPr="00622BE0">
        <w:rPr>
          <w:rFonts w:ascii="Arial" w:hAnsi="Arial" w:cs="Arial"/>
          <w:sz w:val="19"/>
          <w:szCs w:val="19"/>
        </w:rPr>
        <w:t xml:space="preserve"> </w:t>
      </w:r>
      <w:r w:rsidRPr="00622BE0">
        <w:rPr>
          <w:rFonts w:ascii="Arial" w:hAnsi="Arial" w:cs="Arial"/>
          <w:sz w:val="19"/>
          <w:szCs w:val="19"/>
        </w:rPr>
        <w:t xml:space="preserve">   </w:t>
      </w:r>
      <w:r w:rsidR="00587CD1" w:rsidRPr="00622BE0">
        <w:rPr>
          <w:rFonts w:ascii="Arial" w:hAnsi="Arial" w:cs="Arial"/>
          <w:sz w:val="19"/>
          <w:szCs w:val="19"/>
        </w:rPr>
        <w:t>Figure 2.2</w:t>
      </w:r>
      <w:r w:rsidR="00C80FD8" w:rsidRPr="00622BE0">
        <w:rPr>
          <w:rFonts w:ascii="Arial" w:hAnsi="Arial" w:cs="Arial"/>
          <w:sz w:val="19"/>
          <w:szCs w:val="19"/>
        </w:rPr>
        <w:t xml:space="preserve"> </w:t>
      </w:r>
      <w:r w:rsidR="00781A4A" w:rsidRPr="00622BE0">
        <w:rPr>
          <w:rFonts w:ascii="Arial" w:hAnsi="Arial" w:cs="Arial"/>
          <w:sz w:val="19"/>
          <w:szCs w:val="19"/>
        </w:rPr>
        <w:t>(b)</w:t>
      </w:r>
      <w:r w:rsidR="00587CD1" w:rsidRPr="00622BE0">
        <w:rPr>
          <w:rFonts w:ascii="Arial" w:hAnsi="Arial" w:cs="Arial"/>
          <w:sz w:val="19"/>
          <w:szCs w:val="19"/>
        </w:rPr>
        <w:t>:</w:t>
      </w:r>
      <w:r w:rsidR="00781A4A" w:rsidRPr="00622BE0">
        <w:rPr>
          <w:rFonts w:ascii="Arial" w:hAnsi="Arial" w:cs="Arial"/>
          <w:sz w:val="19"/>
          <w:szCs w:val="19"/>
        </w:rPr>
        <w:t xml:space="preserve"> Daily hub b</w:t>
      </w:r>
      <w:r w:rsidRPr="00622BE0">
        <w:rPr>
          <w:rFonts w:ascii="Arial" w:hAnsi="Arial" w:cs="Arial"/>
          <w:sz w:val="19"/>
          <w:szCs w:val="19"/>
        </w:rPr>
        <w:t>i</w:t>
      </w:r>
      <w:r w:rsidR="00781A4A" w:rsidRPr="00622BE0">
        <w:rPr>
          <w:rFonts w:ascii="Arial" w:hAnsi="Arial" w:cs="Arial"/>
          <w:sz w:val="19"/>
          <w:szCs w:val="19"/>
        </w:rPr>
        <w:t xml:space="preserve">ds </w:t>
      </w:r>
      <w:r w:rsidR="00CD3544" w:rsidRPr="00622BE0">
        <w:rPr>
          <w:rFonts w:ascii="Arial" w:hAnsi="Arial" w:cs="Arial"/>
          <w:sz w:val="19"/>
          <w:szCs w:val="19"/>
        </w:rPr>
        <w:t>in</w:t>
      </w:r>
      <w:r w:rsidR="00055584" w:rsidRPr="00622BE0">
        <w:rPr>
          <w:rFonts w:ascii="Arial" w:hAnsi="Arial" w:cs="Arial"/>
          <w:sz w:val="19"/>
          <w:szCs w:val="19"/>
        </w:rPr>
        <w:t xml:space="preserve"> price bands ($/GJ)</w:t>
      </w:r>
    </w:p>
    <w:p w:rsidR="00055584" w:rsidRPr="00FC426D" w:rsidRDefault="00F549DE" w:rsidP="006C6D60">
      <w:pPr>
        <w:pStyle w:val="FigheadingA"/>
        <w:numPr>
          <w:ilvl w:val="0"/>
          <w:numId w:val="0"/>
        </w:numPr>
        <w:spacing w:before="120" w:after="0"/>
        <w:ind w:left="1134" w:hanging="1134"/>
        <w:jc w:val="center"/>
      </w:pPr>
      <w:r>
        <w:pict>
          <v:shape id="_x0000_i1033" type="#_x0000_t75" style="width:475.8pt;height:181.45pt">
            <v:imagedata r:id="rId19" o:title=""/>
          </v:shape>
        </w:pict>
      </w:r>
      <w:r w:rsidR="00055584" w:rsidRPr="00452AAD" w:rsidDel="00452AAD">
        <w:t xml:space="preserve"> </w:t>
      </w:r>
    </w:p>
    <w:p w:rsidR="008E2239" w:rsidRPr="00622BE0" w:rsidRDefault="003410C4" w:rsidP="00157AFD">
      <w:pPr>
        <w:pStyle w:val="AERfigureheading"/>
        <w:numPr>
          <w:ilvl w:val="5"/>
          <w:numId w:val="42"/>
        </w:numPr>
        <w:tabs>
          <w:tab w:val="clear" w:pos="1361"/>
          <w:tab w:val="num" w:pos="1260"/>
        </w:tabs>
        <w:rPr>
          <w:rFonts w:ascii="Arial" w:hAnsi="Arial" w:cs="Arial"/>
          <w:sz w:val="20"/>
          <w:szCs w:val="20"/>
        </w:rPr>
      </w:pPr>
      <w:r w:rsidRPr="00622BE0">
        <w:rPr>
          <w:rFonts w:ascii="Arial" w:hAnsi="Arial" w:cs="Arial"/>
          <w:sz w:val="20"/>
          <w:szCs w:val="20"/>
        </w:rPr>
        <w:lastRenderedPageBreak/>
        <w:t xml:space="preserve">SYD </w:t>
      </w:r>
      <w:r w:rsidR="00E52E2A" w:rsidRPr="00622BE0">
        <w:rPr>
          <w:rFonts w:ascii="Arial" w:hAnsi="Arial" w:cs="Arial"/>
          <w:sz w:val="20"/>
          <w:szCs w:val="20"/>
        </w:rPr>
        <w:t>net</w:t>
      </w:r>
      <w:r w:rsidR="00BA65E6" w:rsidRPr="00622BE0">
        <w:rPr>
          <w:rFonts w:ascii="Arial" w:hAnsi="Arial" w:cs="Arial"/>
          <w:sz w:val="20"/>
          <w:szCs w:val="20"/>
        </w:rPr>
        <w:t xml:space="preserve"> </w:t>
      </w:r>
      <w:r w:rsidR="005E4C48" w:rsidRPr="00622BE0">
        <w:rPr>
          <w:rFonts w:ascii="Arial" w:hAnsi="Arial" w:cs="Arial"/>
          <w:sz w:val="20"/>
          <w:szCs w:val="20"/>
        </w:rPr>
        <w:t>s</w:t>
      </w:r>
      <w:r w:rsidR="008E2239" w:rsidRPr="00622BE0">
        <w:rPr>
          <w:rFonts w:ascii="Arial" w:hAnsi="Arial" w:cs="Arial"/>
          <w:sz w:val="20"/>
          <w:szCs w:val="20"/>
        </w:rPr>
        <w:t xml:space="preserve">cheduled and </w:t>
      </w:r>
      <w:r w:rsidR="005E4C48" w:rsidRPr="00622BE0">
        <w:rPr>
          <w:rFonts w:ascii="Arial" w:hAnsi="Arial" w:cs="Arial"/>
          <w:sz w:val="20"/>
          <w:szCs w:val="20"/>
        </w:rPr>
        <w:t>a</w:t>
      </w:r>
      <w:r w:rsidR="008E2239" w:rsidRPr="00622BE0">
        <w:rPr>
          <w:rFonts w:ascii="Arial" w:hAnsi="Arial" w:cs="Arial"/>
          <w:sz w:val="20"/>
          <w:szCs w:val="20"/>
        </w:rPr>
        <w:t>llocated gas</w:t>
      </w:r>
      <w:r w:rsidR="005E4C48" w:rsidRPr="00622BE0">
        <w:rPr>
          <w:rFonts w:ascii="Arial" w:hAnsi="Arial" w:cs="Arial"/>
          <w:sz w:val="20"/>
          <w:szCs w:val="20"/>
        </w:rPr>
        <w:t xml:space="preserve"> volumes</w:t>
      </w:r>
      <w:r w:rsidR="008E2239" w:rsidRPr="00622BE0">
        <w:rPr>
          <w:rFonts w:ascii="Arial" w:hAnsi="Arial" w:cs="Arial"/>
          <w:sz w:val="20"/>
          <w:szCs w:val="20"/>
        </w:rPr>
        <w:t xml:space="preserve"> </w:t>
      </w:r>
      <w:r w:rsidR="00E52E2A" w:rsidRPr="00622BE0">
        <w:rPr>
          <w:rFonts w:ascii="Arial" w:hAnsi="Arial" w:cs="Arial"/>
          <w:sz w:val="20"/>
          <w:szCs w:val="20"/>
        </w:rPr>
        <w:t xml:space="preserve">(excluding MOS) </w:t>
      </w:r>
      <w:r w:rsidR="008E2239" w:rsidRPr="00622BE0">
        <w:rPr>
          <w:rFonts w:ascii="Arial" w:hAnsi="Arial" w:cs="Arial"/>
          <w:sz w:val="20"/>
          <w:szCs w:val="20"/>
        </w:rPr>
        <w:t xml:space="preserve">by </w:t>
      </w:r>
      <w:r w:rsidR="00BA65E6" w:rsidRPr="00622BE0">
        <w:rPr>
          <w:rFonts w:ascii="Arial" w:hAnsi="Arial" w:cs="Arial"/>
          <w:sz w:val="20"/>
          <w:szCs w:val="20"/>
        </w:rPr>
        <w:t>STTM facility</w:t>
      </w:r>
    </w:p>
    <w:p w:rsidR="008E2239" w:rsidRPr="002E2E46" w:rsidRDefault="00F549DE" w:rsidP="006C6D60">
      <w:pPr>
        <w:pStyle w:val="BodyText"/>
        <w:spacing w:before="120" w:after="0"/>
        <w:jc w:val="center"/>
      </w:pPr>
      <w:r>
        <w:pict>
          <v:shape id="_x0000_i1034" type="#_x0000_t75" style="width:475.8pt;height:220.6pt">
            <v:imagedata r:id="rId20" o:title=""/>
          </v:shape>
        </w:pict>
      </w:r>
    </w:p>
    <w:p w:rsidR="0045204B" w:rsidRPr="00BC6236" w:rsidRDefault="0045204B" w:rsidP="002C0499">
      <w:pPr>
        <w:pStyle w:val="AERtableheading-unnumbered"/>
        <w:numPr>
          <w:ilvl w:val="0"/>
          <w:numId w:val="0"/>
        </w:numPr>
        <w:ind w:left="6379" w:right="-114" w:hanging="6379"/>
        <w:rPr>
          <w:rFonts w:ascii="Arial" w:hAnsi="Arial" w:cs="Arial"/>
          <w:sz w:val="19"/>
          <w:szCs w:val="19"/>
        </w:rPr>
      </w:pPr>
      <w:r w:rsidRPr="00BC6236">
        <w:rPr>
          <w:rFonts w:ascii="Arial" w:hAnsi="Arial" w:cs="Arial"/>
          <w:sz w:val="19"/>
          <w:szCs w:val="19"/>
        </w:rPr>
        <w:t>Figure 2.4 (a)</w:t>
      </w:r>
      <w:r w:rsidR="002C0499" w:rsidRPr="00BC6236">
        <w:rPr>
          <w:rFonts w:ascii="Arial" w:hAnsi="Arial" w:cs="Arial"/>
          <w:sz w:val="19"/>
          <w:szCs w:val="19"/>
        </w:rPr>
        <w:t>:</w:t>
      </w:r>
      <w:r w:rsidRPr="00BC6236">
        <w:rPr>
          <w:rFonts w:ascii="Arial" w:hAnsi="Arial" w:cs="Arial"/>
          <w:sz w:val="19"/>
          <w:szCs w:val="19"/>
        </w:rPr>
        <w:t xml:space="preserve"> SYD</w:t>
      </w:r>
      <w:r w:rsidR="008936C5" w:rsidRPr="00BC6236">
        <w:rPr>
          <w:rFonts w:ascii="Arial" w:hAnsi="Arial" w:cs="Arial"/>
          <w:sz w:val="19"/>
          <w:szCs w:val="19"/>
        </w:rPr>
        <w:t xml:space="preserve"> STTM MOS allocations (TJ)         </w:t>
      </w:r>
      <w:r w:rsidRPr="00BC6236">
        <w:rPr>
          <w:rFonts w:ascii="Arial" w:hAnsi="Arial" w:cs="Arial"/>
          <w:sz w:val="19"/>
          <w:szCs w:val="19"/>
        </w:rPr>
        <w:t xml:space="preserve"> Figure 2.4 (b): Service payments and commodity</w:t>
      </w:r>
      <w:r w:rsidR="00BC6236">
        <w:rPr>
          <w:rFonts w:ascii="Arial" w:hAnsi="Arial" w:cs="Arial"/>
          <w:sz w:val="19"/>
          <w:szCs w:val="19"/>
        </w:rPr>
        <w:t xml:space="preserve"> </w:t>
      </w:r>
      <w:r w:rsidRPr="00BC6236">
        <w:rPr>
          <w:rFonts w:ascii="Arial" w:hAnsi="Arial" w:cs="Arial"/>
          <w:sz w:val="19"/>
          <w:szCs w:val="19"/>
        </w:rPr>
        <w:t>payments/charges ($000)</w:t>
      </w:r>
    </w:p>
    <w:p w:rsidR="009C30E2" w:rsidRPr="002E2E46" w:rsidRDefault="00F549DE" w:rsidP="006C6D60">
      <w:pPr>
        <w:jc w:val="center"/>
        <w:rPr>
          <w:color w:val="C0C0C0"/>
          <w:sz w:val="28"/>
          <w:szCs w:val="28"/>
        </w:rPr>
      </w:pPr>
      <w:r>
        <w:pict>
          <v:shape id="_x0000_i1035" type="#_x0000_t75" style="width:475.8pt;height:180.8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3.26</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3.67</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3.83</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3.83</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3.87</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68</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87</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91</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93</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92</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90</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74</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3.83</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3.45</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3.25</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3.83</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4.47</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3.81</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3.87</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74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84</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84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93</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97</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83</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69</w:t>
            </w:r>
          </w:p>
        </w:tc>
      </w:tr>
    </w:tbl>
    <w:p w:rsidR="00157AFD" w:rsidRPr="00622BE0" w:rsidRDefault="00157AFD" w:rsidP="00157AFD">
      <w:pPr>
        <w:pStyle w:val="AERtableheading-unnumbered"/>
        <w:numPr>
          <w:ilvl w:val="0"/>
          <w:numId w:val="0"/>
        </w:numPr>
        <w:rPr>
          <w:rFonts w:ascii="Arial" w:hAnsi="Arial" w:cs="Arial"/>
          <w:sz w:val="19"/>
          <w:szCs w:val="19"/>
        </w:rPr>
      </w:pPr>
      <w:r w:rsidRPr="00622BE0">
        <w:rPr>
          <w:rFonts w:ascii="Arial" w:hAnsi="Arial" w:cs="Arial"/>
          <w:sz w:val="19"/>
          <w:szCs w:val="19"/>
        </w:rPr>
        <w:t>Figure 3.2 (a)</w:t>
      </w:r>
      <w:r w:rsidR="002C0499" w:rsidRPr="00622BE0">
        <w:rPr>
          <w:rFonts w:ascii="Arial" w:hAnsi="Arial" w:cs="Arial"/>
          <w:sz w:val="19"/>
          <w:szCs w:val="19"/>
        </w:rPr>
        <w:t>:</w:t>
      </w:r>
      <w:r w:rsidRPr="00622BE0">
        <w:rPr>
          <w:rFonts w:ascii="Arial" w:hAnsi="Arial" w:cs="Arial"/>
          <w:sz w:val="19"/>
          <w:szCs w:val="19"/>
        </w:rPr>
        <w:t xml:space="preserve"> Daily hub offers in price bands ($/GJ)     Figure 3.2</w:t>
      </w:r>
      <w:r w:rsidR="00C80FD8" w:rsidRPr="00622BE0">
        <w:rPr>
          <w:rFonts w:ascii="Arial" w:hAnsi="Arial" w:cs="Arial"/>
          <w:sz w:val="19"/>
          <w:szCs w:val="19"/>
        </w:rPr>
        <w:t xml:space="preserve"> </w:t>
      </w:r>
      <w:r w:rsidRPr="00622BE0">
        <w:rPr>
          <w:rFonts w:ascii="Arial" w:hAnsi="Arial" w:cs="Arial"/>
          <w:sz w:val="19"/>
          <w:szCs w:val="19"/>
        </w:rPr>
        <w:t>(b): Daily hub bids in price bands ($/GJ)</w:t>
      </w:r>
    </w:p>
    <w:p w:rsidR="00B66BAB" w:rsidRPr="00FC426D" w:rsidRDefault="00F549DE" w:rsidP="00B66BAB">
      <w:pPr>
        <w:pStyle w:val="FigheadingA"/>
        <w:numPr>
          <w:ilvl w:val="0"/>
          <w:numId w:val="0"/>
        </w:numPr>
        <w:spacing w:before="120" w:after="0"/>
        <w:ind w:left="1134" w:hanging="1134"/>
        <w:jc w:val="center"/>
      </w:pPr>
      <w:r>
        <w:pict>
          <v:shape id="_x0000_i1036" type="#_x0000_t75" style="width:475.8pt;height:183.75pt">
            <v:imagedata r:id="rId22" o:title=""/>
          </v:shape>
        </w:pict>
      </w:r>
      <w:r w:rsidR="00B66BAB" w:rsidRPr="00452AAD" w:rsidDel="00452AAD">
        <w:t xml:space="preserve"> </w:t>
      </w:r>
    </w:p>
    <w:p w:rsidR="00B66BAB" w:rsidRPr="00622BE0" w:rsidRDefault="00E52E2A" w:rsidP="00BE18D0">
      <w:pPr>
        <w:pStyle w:val="AERfigureheading"/>
        <w:numPr>
          <w:ilvl w:val="5"/>
          <w:numId w:val="47"/>
        </w:numPr>
        <w:tabs>
          <w:tab w:val="clear" w:pos="1361"/>
          <w:tab w:val="num" w:pos="1260"/>
        </w:tabs>
        <w:rPr>
          <w:rFonts w:ascii="Arial" w:hAnsi="Arial" w:cs="Arial"/>
          <w:sz w:val="20"/>
          <w:szCs w:val="20"/>
        </w:rPr>
      </w:pPr>
      <w:r w:rsidRPr="00622BE0">
        <w:rPr>
          <w:rFonts w:ascii="Arial" w:hAnsi="Arial" w:cs="Arial"/>
          <w:sz w:val="20"/>
          <w:szCs w:val="20"/>
        </w:rPr>
        <w:t>ADL net scheduled and allocated gas volumes (excluding MOS) by STTM facility</w:t>
      </w:r>
    </w:p>
    <w:p w:rsidR="00B66BAB" w:rsidRPr="002E2E46" w:rsidRDefault="00F549DE" w:rsidP="00B66BAB">
      <w:pPr>
        <w:pStyle w:val="BodyText"/>
        <w:spacing w:before="120" w:after="0"/>
        <w:jc w:val="center"/>
      </w:pPr>
      <w:r>
        <w:pict>
          <v:shape id="_x0000_i1037" type="#_x0000_t75" style="width:475.2pt;height:140.5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BC6236">
        <w:rPr>
          <w:rFonts w:ascii="Arial" w:hAnsi="Arial" w:cs="Arial"/>
          <w:sz w:val="20"/>
          <w:szCs w:val="20"/>
        </w:rPr>
        <w:t>Figure 3.4 (a)</w:t>
      </w:r>
      <w:r w:rsidR="002C0499" w:rsidRPr="00BC6236">
        <w:rPr>
          <w:rFonts w:ascii="Arial" w:hAnsi="Arial" w:cs="Arial"/>
          <w:sz w:val="20"/>
          <w:szCs w:val="20"/>
        </w:rPr>
        <w:t>:</w:t>
      </w:r>
      <w:r w:rsidRPr="00BC6236">
        <w:rPr>
          <w:rFonts w:ascii="Arial" w:hAnsi="Arial" w:cs="Arial"/>
          <w:sz w:val="20"/>
          <w:szCs w:val="20"/>
        </w:rPr>
        <w:t xml:space="preserve"> ADL </w:t>
      </w:r>
      <w:r w:rsidR="005C68CE" w:rsidRPr="00BC6236">
        <w:rPr>
          <w:rFonts w:ascii="Arial" w:hAnsi="Arial" w:cs="Arial"/>
          <w:sz w:val="20"/>
          <w:szCs w:val="20"/>
        </w:rPr>
        <w:t xml:space="preserve">STTM </w:t>
      </w:r>
      <w:r w:rsidRPr="00BC6236">
        <w:rPr>
          <w:rFonts w:ascii="Arial" w:hAnsi="Arial" w:cs="Arial"/>
          <w:sz w:val="20"/>
          <w:szCs w:val="20"/>
        </w:rPr>
        <w:t xml:space="preserve">MOS allocations (TJ)          Figure 3.4 (b): Service payments and commodity </w:t>
      </w:r>
      <w:r w:rsidRPr="00582F1C">
        <w:rPr>
          <w:rFonts w:ascii="Arial" w:hAnsi="Arial" w:cs="Arial"/>
          <w:sz w:val="20"/>
          <w:szCs w:val="20"/>
        </w:rPr>
        <w:t>payments/charges ($000)</w:t>
      </w:r>
    </w:p>
    <w:p w:rsidR="00B66BAB" w:rsidRPr="002E2E46" w:rsidRDefault="00F549DE" w:rsidP="00B66BAB">
      <w:pPr>
        <w:jc w:val="center"/>
      </w:pPr>
      <w:r>
        <w:pict>
          <v:shape id="_x0000_i1038" type="#_x0000_t75" style="width:475.2pt;height:161.3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2.73</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2.73</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2.76</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2.69</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3.15</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2.69</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2.97</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179</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175</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171</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167</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151</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2.70</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2.70</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2.76</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2.50</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3.15</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2.97</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3.50</w:t>
            </w:r>
          </w:p>
        </w:tc>
      </w:tr>
      <w:tr w:rsidR="00622BE0" w:rsidRPr="00B76529" w:rsidTr="002861A9">
        <w:trPr>
          <w:trHeight w:val="255"/>
        </w:trPr>
        <w:tc>
          <w:tcPr>
            <w:tcW w:w="2160" w:type="dxa"/>
            <w:noWrap/>
            <w:tcMar>
              <w:top w:w="0" w:type="dxa"/>
              <w:bottom w:w="0" w:type="dxa"/>
            </w:tcMar>
            <w:vAlign w:val="center"/>
          </w:tcPr>
          <w:p w:rsidR="00622BE0" w:rsidRPr="002861A9" w:rsidRDefault="00622BE0"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157</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173</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172</w:t>
            </w:r>
          </w:p>
        </w:tc>
        <w:tc>
          <w:tcPr>
            <w:tcW w:w="1028"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172</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622BE0" w:rsidRDefault="00622BE0">
            <w:pPr>
              <w:jc w:val="center"/>
              <w:rPr>
                <w:rFonts w:ascii="Arial" w:hAnsi="Arial" w:cs="Arial"/>
                <w:sz w:val="20"/>
                <w:szCs w:val="20"/>
              </w:rPr>
            </w:pPr>
            <w:r>
              <w:rPr>
                <w:rFonts w:ascii="Arial" w:hAnsi="Arial" w:cs="Arial"/>
                <w:sz w:val="20"/>
                <w:szCs w:val="20"/>
              </w:rPr>
              <w:t>158</w:t>
            </w:r>
          </w:p>
        </w:tc>
      </w:tr>
    </w:tbl>
    <w:p w:rsidR="00157AFD" w:rsidRPr="00622BE0" w:rsidRDefault="00157AFD" w:rsidP="00157AFD">
      <w:pPr>
        <w:pStyle w:val="AERtableheading-unnumbered"/>
        <w:numPr>
          <w:ilvl w:val="0"/>
          <w:numId w:val="0"/>
        </w:numPr>
        <w:rPr>
          <w:rFonts w:ascii="Arial" w:hAnsi="Arial" w:cs="Arial"/>
          <w:sz w:val="19"/>
          <w:szCs w:val="19"/>
        </w:rPr>
      </w:pPr>
      <w:r w:rsidRPr="00622BE0">
        <w:rPr>
          <w:rFonts w:ascii="Arial" w:hAnsi="Arial" w:cs="Arial"/>
          <w:sz w:val="19"/>
          <w:szCs w:val="19"/>
        </w:rPr>
        <w:t>Figure 4.2 (a)</w:t>
      </w:r>
      <w:r w:rsidR="002C0499" w:rsidRPr="00622BE0">
        <w:rPr>
          <w:rFonts w:ascii="Arial" w:hAnsi="Arial" w:cs="Arial"/>
          <w:sz w:val="19"/>
          <w:szCs w:val="19"/>
        </w:rPr>
        <w:t>:</w:t>
      </w:r>
      <w:r w:rsidRPr="00622BE0">
        <w:rPr>
          <w:rFonts w:ascii="Arial" w:hAnsi="Arial" w:cs="Arial"/>
          <w:sz w:val="19"/>
          <w:szCs w:val="19"/>
        </w:rPr>
        <w:t xml:space="preserve"> Daily hub offers in price bands ($/GJ)     Figure 4.2</w:t>
      </w:r>
      <w:r w:rsidR="00C80FD8" w:rsidRPr="00622BE0">
        <w:rPr>
          <w:rFonts w:ascii="Arial" w:hAnsi="Arial" w:cs="Arial"/>
          <w:sz w:val="19"/>
          <w:szCs w:val="19"/>
        </w:rPr>
        <w:t xml:space="preserve"> </w:t>
      </w:r>
      <w:r w:rsidRPr="00622BE0">
        <w:rPr>
          <w:rFonts w:ascii="Arial" w:hAnsi="Arial" w:cs="Arial"/>
          <w:sz w:val="19"/>
          <w:szCs w:val="19"/>
        </w:rPr>
        <w:t>(b): Daily hub bids in price bands ($/GJ)</w:t>
      </w:r>
    </w:p>
    <w:p w:rsidR="00B66BAB" w:rsidRPr="00FC426D" w:rsidRDefault="00F549DE" w:rsidP="00B66BAB">
      <w:pPr>
        <w:pStyle w:val="FigheadingA"/>
        <w:numPr>
          <w:ilvl w:val="0"/>
          <w:numId w:val="0"/>
        </w:numPr>
        <w:spacing w:before="120" w:after="0"/>
        <w:ind w:left="1134" w:hanging="1134"/>
        <w:jc w:val="center"/>
      </w:pPr>
      <w:r>
        <w:pict>
          <v:shape id="_x0000_i1039" type="#_x0000_t75" style="width:475.8pt;height:177.4pt">
            <v:imagedata r:id="rId25" o:title=""/>
          </v:shape>
        </w:pict>
      </w:r>
      <w:r w:rsidR="00B66BAB" w:rsidRPr="00452AAD" w:rsidDel="00452AAD">
        <w:t xml:space="preserve"> </w:t>
      </w:r>
    </w:p>
    <w:p w:rsidR="00B66BAB" w:rsidRPr="00622BE0" w:rsidRDefault="00E52E2A" w:rsidP="00BE18D0">
      <w:pPr>
        <w:pStyle w:val="AERfigureheading"/>
        <w:numPr>
          <w:ilvl w:val="5"/>
          <w:numId w:val="49"/>
        </w:numPr>
        <w:tabs>
          <w:tab w:val="clear" w:pos="1361"/>
          <w:tab w:val="num" w:pos="1260"/>
        </w:tabs>
        <w:rPr>
          <w:rFonts w:ascii="Arial" w:hAnsi="Arial" w:cs="Arial"/>
          <w:sz w:val="20"/>
          <w:szCs w:val="20"/>
        </w:rPr>
      </w:pPr>
      <w:r w:rsidRPr="00622BE0">
        <w:rPr>
          <w:rFonts w:ascii="Arial" w:hAnsi="Arial" w:cs="Arial"/>
          <w:sz w:val="20"/>
          <w:szCs w:val="20"/>
        </w:rPr>
        <w:t>BRI net scheduled and allocated gas volumes (excluding MOS) by STTM facility</w:t>
      </w:r>
    </w:p>
    <w:p w:rsidR="00B66BAB" w:rsidRPr="002E2E46" w:rsidRDefault="00F549DE" w:rsidP="00B66BAB">
      <w:pPr>
        <w:pStyle w:val="BodyText"/>
        <w:spacing w:before="120" w:after="0"/>
        <w:jc w:val="center"/>
      </w:pPr>
      <w:r>
        <w:pict>
          <v:shape id="_x0000_i1040" type="#_x0000_t75" style="width:475.8pt;height:150.9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376991">
        <w:rPr>
          <w:rFonts w:ascii="Arial" w:hAnsi="Arial" w:cs="Arial"/>
          <w:sz w:val="20"/>
          <w:szCs w:val="20"/>
        </w:rPr>
        <w:t>Figure 4.4 (a)</w:t>
      </w:r>
      <w:r w:rsidR="002C0499" w:rsidRPr="00376991">
        <w:rPr>
          <w:rFonts w:ascii="Arial" w:hAnsi="Arial" w:cs="Arial"/>
          <w:sz w:val="20"/>
          <w:szCs w:val="20"/>
        </w:rPr>
        <w:t>:</w:t>
      </w:r>
      <w:r w:rsidRPr="00376991">
        <w:rPr>
          <w:rFonts w:ascii="Arial" w:hAnsi="Arial" w:cs="Arial"/>
          <w:sz w:val="20"/>
          <w:szCs w:val="20"/>
        </w:rPr>
        <w:t xml:space="preserve"> BRI </w:t>
      </w:r>
      <w:r w:rsidR="005C68CE" w:rsidRPr="00376991">
        <w:rPr>
          <w:rFonts w:ascii="Arial" w:hAnsi="Arial" w:cs="Arial"/>
          <w:sz w:val="20"/>
          <w:szCs w:val="20"/>
        </w:rPr>
        <w:t xml:space="preserve">STTM </w:t>
      </w:r>
      <w:r w:rsidRPr="00376991">
        <w:rPr>
          <w:rFonts w:ascii="Arial" w:hAnsi="Arial" w:cs="Arial"/>
          <w:sz w:val="20"/>
          <w:szCs w:val="20"/>
        </w:rPr>
        <w:t xml:space="preserve">MOS allocations (TJ)           Figure 4.4 (b): Service payments and commodity </w:t>
      </w:r>
      <w:r w:rsidRPr="00582F1C">
        <w:rPr>
          <w:rFonts w:ascii="Arial" w:hAnsi="Arial" w:cs="Arial"/>
          <w:sz w:val="20"/>
          <w:szCs w:val="20"/>
        </w:rPr>
        <w:t>payments/charges ($000)</w:t>
      </w:r>
    </w:p>
    <w:p w:rsidR="002A5634" w:rsidRPr="002E2E46" w:rsidRDefault="00F549DE" w:rsidP="00452149">
      <w:pPr>
        <w:jc w:val="center"/>
      </w:pPr>
      <w:r>
        <w:pict>
          <v:shape id="_x0000_i1041" type="#_x0000_t75" style="width:476.35pt;height:165.9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ED3A60" w:rsidRDefault="005F18AD" w:rsidP="00750C0F">
      <w:pPr>
        <w:pStyle w:val="AERfigureheading"/>
        <w:tabs>
          <w:tab w:val="clear" w:pos="1361"/>
          <w:tab w:val="num" w:pos="1260"/>
        </w:tabs>
        <w:spacing w:before="120"/>
        <w:ind w:left="1260" w:hanging="1260"/>
        <w:rPr>
          <w:rFonts w:ascii="Arial" w:hAnsi="Arial" w:cs="Arial"/>
          <w:sz w:val="16"/>
          <w:szCs w:val="16"/>
        </w:rPr>
      </w:pPr>
      <w:r w:rsidRPr="00ED3A60">
        <w:rPr>
          <w:rFonts w:ascii="Arial" w:hAnsi="Arial" w:cs="Arial"/>
          <w:sz w:val="20"/>
          <w:szCs w:val="20"/>
        </w:rPr>
        <w:t xml:space="preserve">Gas </w:t>
      </w:r>
      <w:r w:rsidR="001B294E" w:rsidRPr="00ED3A60">
        <w:rPr>
          <w:rFonts w:ascii="Arial" w:hAnsi="Arial" w:cs="Arial"/>
          <w:sz w:val="20"/>
          <w:szCs w:val="20"/>
        </w:rPr>
        <w:t>market data ($/GJ, TJ); Production, Consumption and Pipeline flows (TJ)</w:t>
      </w:r>
    </w:p>
    <w:bookmarkEnd w:id="0"/>
    <w:bookmarkEnd w:id="1"/>
    <w:p w:rsidR="005A6687" w:rsidRDefault="00F549DE" w:rsidP="003C5272">
      <w:r>
        <w:pict>
          <v:shape id="Picture 1" o:spid="_x0000_i1042" type="#_x0000_t75" style="width:467.7pt;height:605.9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565131" w:rsidRDefault="00622BE0" w:rsidP="002052B6">
      <w:pPr>
        <w:spacing w:before="120" w:after="120"/>
        <w:jc w:val="both"/>
        <w:rPr>
          <w:rFonts w:eastAsia="MS Mincho"/>
        </w:rPr>
      </w:pPr>
      <w:r w:rsidRPr="00565131">
        <w:rPr>
          <w:rFonts w:eastAsia="MS Mincho"/>
        </w:rPr>
        <w:t xml:space="preserve">The number of trades increased on both pipelines this week, with 22 trades split evenly </w:t>
      </w:r>
      <w:r w:rsidR="00565131" w:rsidRPr="00565131">
        <w:rPr>
          <w:rFonts w:eastAsia="MS Mincho"/>
        </w:rPr>
        <w:t>on</w:t>
      </w:r>
      <w:r w:rsidRPr="00565131">
        <w:rPr>
          <w:rFonts w:eastAsia="MS Mincho"/>
        </w:rPr>
        <w:t xml:space="preserve"> the SWQP </w:t>
      </w:r>
      <w:r w:rsidR="00565131" w:rsidRPr="00565131">
        <w:rPr>
          <w:rFonts w:eastAsia="MS Mincho"/>
        </w:rPr>
        <w:t xml:space="preserve">(145 TJ traded at a volume weighted price of $1.90/GJ) </w:t>
      </w:r>
      <w:r w:rsidRPr="00565131">
        <w:rPr>
          <w:rFonts w:eastAsia="MS Mincho"/>
        </w:rPr>
        <w:t>and the RBP</w:t>
      </w:r>
      <w:r w:rsidR="00565131" w:rsidRPr="00565131">
        <w:rPr>
          <w:rFonts w:eastAsia="MS Mincho"/>
        </w:rPr>
        <w:t xml:space="preserve"> (41.7 TJ traded at a volume weighted price of $2.39/GJ)</w:t>
      </w:r>
      <w:r w:rsidRPr="00565131">
        <w:rPr>
          <w:rFonts w:eastAsia="MS Mincho"/>
        </w:rPr>
        <w:t xml:space="preserve">. </w:t>
      </w:r>
      <w:r w:rsidR="00565131">
        <w:rPr>
          <w:rFonts w:eastAsia="MS Mincho"/>
        </w:rPr>
        <w:t>There were no weekly products traded on the RBP and no intra-day trades on the SWQP.</w:t>
      </w:r>
    </w:p>
    <w:p w:rsidR="002052B6" w:rsidRPr="00565131"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w:t>
      </w:r>
      <w:r w:rsidRPr="00565131">
        <w:rPr>
          <w:rFonts w:ascii="Times New Roman" w:eastAsia="Times New Roman" w:hAnsi="Times New Roman"/>
          <w:sz w:val="24"/>
          <w:szCs w:val="24"/>
        </w:rPr>
        <w:t xml:space="preserve">trading day from </w:t>
      </w:r>
      <w:r w:rsidR="00622BE0" w:rsidRPr="00565131">
        <w:rPr>
          <w:rFonts w:ascii="Times New Roman" w:eastAsia="Times New Roman" w:hAnsi="Times New Roman"/>
          <w:sz w:val="24"/>
          <w:szCs w:val="24"/>
        </w:rPr>
        <w:t>31 August</w:t>
      </w:r>
      <w:r w:rsidRPr="00565131">
        <w:rPr>
          <w:rFonts w:ascii="Times New Roman" w:eastAsia="Times New Roman" w:hAnsi="Times New Roman"/>
          <w:sz w:val="24"/>
          <w:szCs w:val="24"/>
        </w:rPr>
        <w:t xml:space="preserve"> to </w:t>
      </w:r>
      <w:r w:rsidR="00622BE0" w:rsidRPr="00565131">
        <w:rPr>
          <w:rFonts w:ascii="Times New Roman" w:eastAsia="Times New Roman" w:hAnsi="Times New Roman"/>
          <w:sz w:val="24"/>
          <w:szCs w:val="24"/>
        </w:rPr>
        <w:t>6 September</w:t>
      </w:r>
      <w:r w:rsidRPr="00565131">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F549DE" w:rsidP="002052B6">
      <w:pPr>
        <w:spacing w:before="120" w:after="120"/>
        <w:jc w:val="both"/>
        <w:rPr>
          <w:rFonts w:eastAsia="MS Mincho"/>
          <w:color w:val="FF0000"/>
        </w:rPr>
      </w:pPr>
      <w:r>
        <w:rPr>
          <w:rFonts w:eastAsia="MS Mincho"/>
        </w:rPr>
        <w:pict>
          <v:shape id="_x0000_i1043" type="#_x0000_t75" style="width:475.8pt;height:201.6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32B" w:rsidRDefault="00B6132B">
      <w:r>
        <w:separator/>
      </w:r>
    </w:p>
  </w:endnote>
  <w:endnote w:type="continuationSeparator" w:id="0">
    <w:p w:rsidR="00B6132B" w:rsidRDefault="00B6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F549DE">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32B" w:rsidRDefault="00B6132B">
      <w:r>
        <w:separator/>
      </w:r>
    </w:p>
  </w:footnote>
  <w:footnote w:type="continuationSeparator" w:id="0">
    <w:p w:rsidR="00B6132B" w:rsidRDefault="00B6132B">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831-20140906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3201"/>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41B17"/>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2645"/>
    <w:rsid w:val="00347FBB"/>
    <w:rsid w:val="003548AA"/>
    <w:rsid w:val="00357C72"/>
    <w:rsid w:val="003632A4"/>
    <w:rsid w:val="003664D0"/>
    <w:rsid w:val="00366BDF"/>
    <w:rsid w:val="00372976"/>
    <w:rsid w:val="00374CF9"/>
    <w:rsid w:val="00376991"/>
    <w:rsid w:val="003800B4"/>
    <w:rsid w:val="00387B66"/>
    <w:rsid w:val="003A204F"/>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27A8"/>
    <w:rsid w:val="004F3D13"/>
    <w:rsid w:val="00502181"/>
    <w:rsid w:val="00505139"/>
    <w:rsid w:val="00514A82"/>
    <w:rsid w:val="005157B0"/>
    <w:rsid w:val="00522E00"/>
    <w:rsid w:val="00547827"/>
    <w:rsid w:val="00563C94"/>
    <w:rsid w:val="00564C71"/>
    <w:rsid w:val="00565131"/>
    <w:rsid w:val="0056618C"/>
    <w:rsid w:val="0058198F"/>
    <w:rsid w:val="00582F1C"/>
    <w:rsid w:val="005859CC"/>
    <w:rsid w:val="00587CD1"/>
    <w:rsid w:val="005A1650"/>
    <w:rsid w:val="005A4569"/>
    <w:rsid w:val="005A585A"/>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22BE0"/>
    <w:rsid w:val="00645036"/>
    <w:rsid w:val="00647DD2"/>
    <w:rsid w:val="006520EE"/>
    <w:rsid w:val="00652A42"/>
    <w:rsid w:val="006705A4"/>
    <w:rsid w:val="00686F6E"/>
    <w:rsid w:val="00697E41"/>
    <w:rsid w:val="006A5317"/>
    <w:rsid w:val="006A7FDF"/>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3BD7"/>
    <w:rsid w:val="007941C2"/>
    <w:rsid w:val="00795966"/>
    <w:rsid w:val="007966A5"/>
    <w:rsid w:val="007A12DE"/>
    <w:rsid w:val="007A24B5"/>
    <w:rsid w:val="007A7E7A"/>
    <w:rsid w:val="007B7771"/>
    <w:rsid w:val="007C7DDD"/>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2C54"/>
    <w:rsid w:val="008F4BF5"/>
    <w:rsid w:val="008F4EAE"/>
    <w:rsid w:val="008F5409"/>
    <w:rsid w:val="00900CEB"/>
    <w:rsid w:val="009136B3"/>
    <w:rsid w:val="009143E0"/>
    <w:rsid w:val="00934911"/>
    <w:rsid w:val="00937543"/>
    <w:rsid w:val="00942622"/>
    <w:rsid w:val="00950C55"/>
    <w:rsid w:val="00951926"/>
    <w:rsid w:val="00956CE9"/>
    <w:rsid w:val="009629B5"/>
    <w:rsid w:val="00967186"/>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02DFF"/>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32B"/>
    <w:rsid w:val="00B61751"/>
    <w:rsid w:val="00B659EE"/>
    <w:rsid w:val="00B66BAB"/>
    <w:rsid w:val="00B66E50"/>
    <w:rsid w:val="00B66ED1"/>
    <w:rsid w:val="00B70A9F"/>
    <w:rsid w:val="00B71A5E"/>
    <w:rsid w:val="00B76529"/>
    <w:rsid w:val="00B82478"/>
    <w:rsid w:val="00B8698C"/>
    <w:rsid w:val="00BA0525"/>
    <w:rsid w:val="00BA16E2"/>
    <w:rsid w:val="00BA31C3"/>
    <w:rsid w:val="00BA65E6"/>
    <w:rsid w:val="00BA6C2E"/>
    <w:rsid w:val="00BB2FF6"/>
    <w:rsid w:val="00BC21AB"/>
    <w:rsid w:val="00BC254C"/>
    <w:rsid w:val="00BC4C5B"/>
    <w:rsid w:val="00BC6236"/>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034AD"/>
    <w:rsid w:val="00D10FA6"/>
    <w:rsid w:val="00D161D7"/>
    <w:rsid w:val="00D16FE8"/>
    <w:rsid w:val="00D22793"/>
    <w:rsid w:val="00D329E0"/>
    <w:rsid w:val="00D40430"/>
    <w:rsid w:val="00D41D64"/>
    <w:rsid w:val="00D62227"/>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3A60"/>
    <w:rsid w:val="00ED5E08"/>
    <w:rsid w:val="00EE2B5F"/>
    <w:rsid w:val="00EE51D2"/>
    <w:rsid w:val="00EE6F2C"/>
    <w:rsid w:val="00EF4E45"/>
    <w:rsid w:val="00EF6B0C"/>
    <w:rsid w:val="00F01843"/>
    <w:rsid w:val="00F02D8D"/>
    <w:rsid w:val="00F16C55"/>
    <w:rsid w:val="00F261B2"/>
    <w:rsid w:val="00F415E2"/>
    <w:rsid w:val="00F42396"/>
    <w:rsid w:val="00F427B4"/>
    <w:rsid w:val="00F45735"/>
    <w:rsid w:val="00F50297"/>
    <w:rsid w:val="00F51FA1"/>
    <w:rsid w:val="00F549DE"/>
    <w:rsid w:val="00F5594F"/>
    <w:rsid w:val="00F55D61"/>
    <w:rsid w:val="00F63042"/>
    <w:rsid w:val="00F67559"/>
    <w:rsid w:val="00F71200"/>
    <w:rsid w:val="00F73DCA"/>
    <w:rsid w:val="00F76C75"/>
    <w:rsid w:val="00F77722"/>
    <w:rsid w:val="00F803DE"/>
    <w:rsid w:val="00F96C04"/>
    <w:rsid w:val="00FA3C71"/>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 w:id="211847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A105D62A.dotm</Template>
  <TotalTime>0</TotalTime>
  <Pages>11</Pages>
  <Words>1975</Words>
  <Characters>9253</Characters>
  <Application>Microsoft Office Word</Application>
  <DocSecurity>0</DocSecurity>
  <Lines>77</Lines>
  <Paragraphs>22</Paragraphs>
  <ScaleCrop>false</ScaleCrop>
  <Company/>
  <LinksUpToDate>false</LinksUpToDate>
  <CharactersWithSpaces>11206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2014-09-17T06:13:00Z</dcterms:created>
  <dcterms:modified xsi:type="dcterms:W3CDTF">2014-09-17T06:16:00Z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8261693</vt:lpwstr>
  </property>
</Properties>
</file>