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005EFF"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81.75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BD0BB1" w:rsidRDefault="00BD0BB1" w:rsidP="00780239">
                  <w:pPr>
                    <w:pStyle w:val="Title"/>
                    <w:jc w:val="left"/>
                    <w:rPr>
                      <w:i/>
                    </w:rPr>
                  </w:pPr>
                  <w:r w:rsidRPr="00BD0BB1">
                    <w:t>31</w:t>
                  </w:r>
                  <w:r w:rsidR="00F9020F">
                    <w:t xml:space="preserve"> </w:t>
                  </w:r>
                  <w:r w:rsidRPr="00BD0BB1">
                    <w:t>August to 6</w:t>
                  </w:r>
                  <w:r w:rsidR="005270A6" w:rsidRPr="00BD0BB1">
                    <w:t xml:space="preserve"> </w:t>
                  </w:r>
                  <w:r w:rsidRPr="00BD0BB1">
                    <w:t>September</w:t>
                  </w:r>
                  <w:r w:rsidR="00EC411D" w:rsidRPr="00BD0BB1">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99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BD0BB1">
        <w:t>31 August</w:t>
      </w:r>
      <w:r w:rsidR="00BB0611" w:rsidRPr="005270A6">
        <w:t xml:space="preserve"> </w:t>
      </w:r>
      <w:r w:rsidR="00780239" w:rsidRPr="005270A6">
        <w:t xml:space="preserve">to </w:t>
      </w:r>
      <w:r w:rsidR="00BD0BB1">
        <w:t>6 September</w:t>
      </w:r>
      <w:r w:rsidRPr="005270A6">
        <w:t xml:space="preserve"> 2014.</w:t>
      </w:r>
      <w:r w:rsidR="00827053" w:rsidRPr="005270A6">
        <w:t xml:space="preserve"> </w:t>
      </w:r>
      <w:r w:rsidR="00206242" w:rsidRPr="00206242">
        <w:t xml:space="preserve">The </w:t>
      </w:r>
      <w:r w:rsidR="00BD0BB1">
        <w:t>South Australia</w:t>
      </w:r>
      <w:r w:rsidR="00206242" w:rsidRPr="00206242">
        <w:t xml:space="preserve"> price spike on </w:t>
      </w:r>
      <w:r w:rsidR="00BD0BB1">
        <w:t>Thursday</w:t>
      </w:r>
      <w:r w:rsidR="00854292">
        <w:t xml:space="preserve"> </w:t>
      </w:r>
      <w:r w:rsidR="00BD0BB1">
        <w:t>4</w:t>
      </w:r>
      <w:r w:rsidR="00206242">
        <w:t xml:space="preserve"> </w:t>
      </w:r>
      <w:r w:rsidR="00BD0BB1">
        <w:t>September</w:t>
      </w:r>
      <w:r w:rsidR="00504F33">
        <w:t xml:space="preserve"> </w:t>
      </w:r>
      <w:r w:rsidR="00206242" w:rsidRPr="00206242">
        <w:t>reached $</w:t>
      </w:r>
      <w:r w:rsidR="00BD0BB1">
        <w:t>2282</w:t>
      </w:r>
      <w:r w:rsidR="00206242" w:rsidRPr="00206242">
        <w:t>/</w:t>
      </w:r>
      <w:proofErr w:type="spellStart"/>
      <w:r w:rsidR="00206242" w:rsidRPr="00206242">
        <w:t>MWh</w:t>
      </w:r>
      <w:proofErr w:type="spellEnd"/>
      <w:r w:rsidR="00504F33">
        <w:t>.</w:t>
      </w:r>
      <w:r w:rsidR="00DC1083" w:rsidRPr="00DC1083">
        <w:t xml:space="preserve"> </w:t>
      </w:r>
      <w:r w:rsidR="00DC1083">
        <w:t xml:space="preserve">The reasons behind the price spike are explained below in </w:t>
      </w:r>
      <w:proofErr w:type="gramStart"/>
      <w:r w:rsidR="00DC1083" w:rsidRPr="0088451C">
        <w:rPr>
          <w:i/>
        </w:rPr>
        <w:t>Detailed</w:t>
      </w:r>
      <w:proofErr w:type="gramEnd"/>
      <w:r w:rsidR="00DC1083" w:rsidRPr="0088451C">
        <w:rPr>
          <w:i/>
        </w:rPr>
        <w:t xml:space="preserve"> market analysis</w:t>
      </w:r>
      <w:r w:rsidR="00DC1083">
        <w:t>.</w:t>
      </w:r>
    </w:p>
    <w:p w:rsidR="0078358A" w:rsidRPr="005270A6" w:rsidRDefault="0078358A" w:rsidP="0078358A">
      <w:pPr>
        <w:pStyle w:val="Figureheading"/>
        <w:numPr>
          <w:ilvl w:val="0"/>
          <w:numId w:val="0"/>
        </w:numPr>
        <w:spacing w:after="0"/>
        <w:ind w:left="357" w:hanging="357"/>
      </w:pPr>
      <w:r w:rsidRPr="005270A6">
        <w:t>Figure 1: Spot price by region ($/</w:t>
      </w:r>
      <w:proofErr w:type="spellStart"/>
      <w:r w:rsidRPr="005270A6">
        <w:t>MWh</w:t>
      </w:r>
      <w:proofErr w:type="spellEnd"/>
      <w:r w:rsidRPr="005270A6">
        <w:t xml:space="preserve">) </w:t>
      </w:r>
    </w:p>
    <w:p w:rsidR="00786E64" w:rsidRDefault="00005EFF" w:rsidP="00F50D3A">
      <w:pPr>
        <w:pStyle w:val="AERbodytext"/>
      </w:pPr>
      <w:bookmarkStart w:id="6" w:name="OLE_LINK28"/>
      <w:bookmarkStart w:id="7" w:name="OLE_LINK29"/>
      <w:r>
        <w:pict>
          <v:shape id="_x0000_i1026" type="#_x0000_t75" alt="Figure 1 shows the spot prices for this week in each region. The markers indicate the daily maximum and minimum spot prices in each region." style="width:451pt;height:226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8" w:name="_Ref307219594"/>
      <w:r w:rsidRPr="005270A6">
        <w:lastRenderedPageBreak/>
        <w:t xml:space="preserve">Figure </w:t>
      </w:r>
      <w:bookmarkEnd w:id="8"/>
      <w:r w:rsidR="00786E64" w:rsidRPr="005270A6">
        <w:t>2</w:t>
      </w:r>
      <w:r w:rsidRPr="005270A6">
        <w:t xml:space="preserve">: </w:t>
      </w:r>
      <w:r w:rsidR="00656C5F" w:rsidRPr="005270A6">
        <w:t>Volume weighted average spot price by region ($/</w:t>
      </w:r>
      <w:proofErr w:type="spellStart"/>
      <w:r w:rsidR="00656C5F" w:rsidRPr="005270A6">
        <w:t>MWh</w:t>
      </w:r>
      <w:proofErr w:type="spellEnd"/>
      <w:r w:rsidR="00656C5F" w:rsidRPr="005270A6">
        <w:t>)</w:t>
      </w:r>
    </w:p>
    <w:p w:rsidR="00785F23" w:rsidRPr="002D23B9" w:rsidRDefault="00DB2CBC"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 style="width:451.5pt;height:226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w:t>
      </w:r>
      <w:proofErr w:type="spellStart"/>
      <w:r w:rsidR="008B0A6A" w:rsidRPr="00671C7F">
        <w:t>MWh</w:t>
      </w:r>
      <w:proofErr w:type="spellEnd"/>
      <w:r w:rsidR="008B0A6A" w:rsidRPr="00671C7F">
        <w:t>)</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BD0BB1"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BD0BB1" w:rsidRDefault="00BD0BB1">
            <w:pPr>
              <w:rPr>
                <w:rFonts w:cs="Gautami"/>
                <w:b/>
                <w:bCs/>
                <w:sz w:val="16"/>
                <w:szCs w:val="16"/>
              </w:rPr>
            </w:pPr>
            <w:r>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41</w:t>
            </w:r>
          </w:p>
        </w:tc>
        <w:tc>
          <w:tcPr>
            <w:tcW w:w="781" w:type="pct"/>
            <w:tcBorders>
              <w:top w:val="nil"/>
              <w:left w:val="nil"/>
              <w:bottom w:val="nil"/>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48</w:t>
            </w:r>
          </w:p>
        </w:tc>
        <w:tc>
          <w:tcPr>
            <w:tcW w:w="781" w:type="pct"/>
            <w:tcBorders>
              <w:top w:val="nil"/>
              <w:left w:val="nil"/>
              <w:bottom w:val="nil"/>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45</w:t>
            </w:r>
          </w:p>
        </w:tc>
        <w:tc>
          <w:tcPr>
            <w:tcW w:w="781" w:type="pct"/>
            <w:tcBorders>
              <w:top w:val="nil"/>
              <w:left w:val="nil"/>
              <w:bottom w:val="nil"/>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44</w:t>
            </w:r>
          </w:p>
        </w:tc>
      </w:tr>
      <w:tr w:rsidR="00BD0BB1"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BD0BB1" w:rsidRDefault="00BD0BB1">
            <w:pPr>
              <w:rPr>
                <w:rFonts w:cs="Gautami"/>
                <w:b/>
                <w:bCs/>
                <w:sz w:val="16"/>
                <w:szCs w:val="16"/>
              </w:rPr>
            </w:pPr>
            <w:r>
              <w:rPr>
                <w:rFonts w:cs="Gautami"/>
                <w:b/>
                <w:bCs/>
                <w:sz w:val="16"/>
                <w:szCs w:val="16"/>
              </w:rPr>
              <w:t>13-14 financial YTD</w:t>
            </w:r>
          </w:p>
        </w:tc>
        <w:tc>
          <w:tcPr>
            <w:tcW w:w="518" w:type="pct"/>
            <w:tcBorders>
              <w:top w:val="nil"/>
              <w:left w:val="nil"/>
              <w:bottom w:val="nil"/>
              <w:right w:val="nil"/>
            </w:tcBorders>
            <w:shd w:val="clear" w:color="000000" w:fill="EEECE1"/>
            <w:noWrap/>
            <w:vAlign w:val="center"/>
            <w:hideMark/>
          </w:tcPr>
          <w:p w:rsidR="00BD0BB1" w:rsidRDefault="00BD0BB1">
            <w:pPr>
              <w:jc w:val="center"/>
              <w:rPr>
                <w:rFonts w:cs="Gautami"/>
                <w:sz w:val="16"/>
                <w:szCs w:val="16"/>
              </w:rPr>
            </w:pPr>
            <w:r>
              <w:rPr>
                <w:rFonts w:cs="Gautami"/>
                <w:sz w:val="16"/>
                <w:szCs w:val="16"/>
              </w:rPr>
              <w:t>62</w:t>
            </w:r>
          </w:p>
        </w:tc>
        <w:tc>
          <w:tcPr>
            <w:tcW w:w="781" w:type="pct"/>
            <w:tcBorders>
              <w:top w:val="nil"/>
              <w:left w:val="nil"/>
              <w:bottom w:val="nil"/>
              <w:right w:val="nil"/>
            </w:tcBorders>
            <w:shd w:val="clear" w:color="000000" w:fill="EEECE1"/>
            <w:noWrap/>
            <w:vAlign w:val="center"/>
            <w:hideMark/>
          </w:tcPr>
          <w:p w:rsidR="00BD0BB1" w:rsidRDefault="00BD0BB1">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BD0BB1" w:rsidRDefault="00BD0BB1">
            <w:pPr>
              <w:jc w:val="center"/>
              <w:rPr>
                <w:rFonts w:cs="Gautami"/>
                <w:sz w:val="16"/>
                <w:szCs w:val="16"/>
              </w:rPr>
            </w:pPr>
            <w:r>
              <w:rPr>
                <w:rFonts w:cs="Gautami"/>
                <w:sz w:val="16"/>
                <w:szCs w:val="16"/>
              </w:rPr>
              <w:t>57</w:t>
            </w:r>
          </w:p>
        </w:tc>
        <w:tc>
          <w:tcPr>
            <w:tcW w:w="781" w:type="pct"/>
            <w:tcBorders>
              <w:top w:val="nil"/>
              <w:left w:val="nil"/>
              <w:bottom w:val="nil"/>
              <w:right w:val="nil"/>
            </w:tcBorders>
            <w:shd w:val="clear" w:color="000000" w:fill="EEECE1"/>
            <w:noWrap/>
            <w:vAlign w:val="center"/>
            <w:hideMark/>
          </w:tcPr>
          <w:p w:rsidR="00BD0BB1" w:rsidRDefault="00BD0BB1">
            <w:pPr>
              <w:jc w:val="center"/>
              <w:rPr>
                <w:rFonts w:cs="Gautami"/>
                <w:sz w:val="16"/>
                <w:szCs w:val="16"/>
              </w:rPr>
            </w:pPr>
            <w:r>
              <w:rPr>
                <w:rFonts w:cs="Gautami"/>
                <w:sz w:val="16"/>
                <w:szCs w:val="16"/>
              </w:rPr>
              <w:t>72</w:t>
            </w:r>
          </w:p>
        </w:tc>
        <w:tc>
          <w:tcPr>
            <w:tcW w:w="781" w:type="pct"/>
            <w:tcBorders>
              <w:top w:val="nil"/>
              <w:left w:val="nil"/>
              <w:bottom w:val="nil"/>
              <w:right w:val="nil"/>
            </w:tcBorders>
            <w:shd w:val="clear" w:color="000000" w:fill="EEECE1"/>
            <w:noWrap/>
            <w:vAlign w:val="center"/>
            <w:hideMark/>
          </w:tcPr>
          <w:p w:rsidR="00BD0BB1" w:rsidRDefault="00BD0BB1">
            <w:pPr>
              <w:jc w:val="center"/>
              <w:rPr>
                <w:rFonts w:cs="Gautami"/>
                <w:sz w:val="16"/>
                <w:szCs w:val="16"/>
              </w:rPr>
            </w:pPr>
            <w:r>
              <w:rPr>
                <w:rFonts w:cs="Gautami"/>
                <w:sz w:val="16"/>
                <w:szCs w:val="16"/>
              </w:rPr>
              <w:t>48</w:t>
            </w:r>
          </w:p>
        </w:tc>
      </w:tr>
      <w:tr w:rsidR="00BD0BB1"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BD0BB1" w:rsidRDefault="00BD0BB1">
            <w:pPr>
              <w:rPr>
                <w:rFonts w:cs="Gautami"/>
                <w:b/>
                <w:bCs/>
                <w:sz w:val="16"/>
                <w:szCs w:val="16"/>
              </w:rPr>
            </w:pPr>
            <w:r>
              <w:rPr>
                <w:rFonts w:cs="Gautami"/>
                <w:b/>
                <w:bCs/>
                <w:sz w:val="16"/>
                <w:szCs w:val="16"/>
              </w:rPr>
              <w:t>14-15 financial YTD</w:t>
            </w:r>
          </w:p>
        </w:tc>
        <w:tc>
          <w:tcPr>
            <w:tcW w:w="518" w:type="pct"/>
            <w:tcBorders>
              <w:top w:val="nil"/>
              <w:left w:val="nil"/>
              <w:bottom w:val="single" w:sz="8" w:space="0" w:color="auto"/>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31</w:t>
            </w:r>
          </w:p>
        </w:tc>
        <w:tc>
          <w:tcPr>
            <w:tcW w:w="781" w:type="pct"/>
            <w:tcBorders>
              <w:top w:val="nil"/>
              <w:left w:val="nil"/>
              <w:bottom w:val="single" w:sz="8" w:space="0" w:color="auto"/>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40</w:t>
            </w:r>
          </w:p>
        </w:tc>
        <w:tc>
          <w:tcPr>
            <w:tcW w:w="781" w:type="pct"/>
            <w:tcBorders>
              <w:top w:val="nil"/>
              <w:left w:val="nil"/>
              <w:bottom w:val="single" w:sz="8" w:space="0" w:color="auto"/>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51</w:t>
            </w:r>
          </w:p>
        </w:tc>
        <w:tc>
          <w:tcPr>
            <w:tcW w:w="781" w:type="pct"/>
            <w:tcBorders>
              <w:top w:val="nil"/>
              <w:left w:val="nil"/>
              <w:bottom w:val="single" w:sz="8" w:space="0" w:color="auto"/>
              <w:right w:val="nil"/>
            </w:tcBorders>
            <w:shd w:val="clear" w:color="000000" w:fill="DDD9C3"/>
            <w:noWrap/>
            <w:vAlign w:val="center"/>
            <w:hideMark/>
          </w:tcPr>
          <w:p w:rsidR="00BD0BB1" w:rsidRDefault="00BD0BB1">
            <w:pPr>
              <w:jc w:val="center"/>
              <w:rPr>
                <w:rFonts w:cs="Gautami"/>
                <w:sz w:val="16"/>
                <w:szCs w:val="16"/>
              </w:rPr>
            </w:pPr>
            <w:r>
              <w:rPr>
                <w:rFonts w:cs="Gautami"/>
                <w:sz w:val="16"/>
                <w:szCs w:val="16"/>
              </w:rPr>
              <w:t>37</w:t>
            </w:r>
          </w:p>
        </w:tc>
      </w:tr>
    </w:tbl>
    <w:p w:rsidR="00977DC4" w:rsidRPr="002D23B9" w:rsidRDefault="00B245E8" w:rsidP="00432196">
      <w:pPr>
        <w:pStyle w:val="AERbodytext"/>
        <w:spacing w:before="24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6"/>
    <w:bookmarkEnd w:id="7"/>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6F44BB">
        <w:t>131</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0D4BF2" w:rsidRPr="00711C86" w:rsidTr="005677AE">
        <w:trPr>
          <w:trHeight w:hRule="exact" w:val="369"/>
        </w:trPr>
        <w:tc>
          <w:tcPr>
            <w:tcW w:w="3636" w:type="dxa"/>
            <w:tcBorders>
              <w:top w:val="nil"/>
              <w:left w:val="nil"/>
              <w:bottom w:val="nil"/>
              <w:right w:val="nil"/>
            </w:tcBorders>
            <w:shd w:val="clear" w:color="000000" w:fill="DDD9C3"/>
            <w:noWrap/>
            <w:vAlign w:val="center"/>
            <w:hideMark/>
          </w:tcPr>
          <w:p w:rsidR="000D4BF2" w:rsidRDefault="000D4BF2">
            <w:pPr>
              <w:rPr>
                <w:rFonts w:cs="Gautami"/>
                <w:b/>
                <w:bCs/>
                <w:sz w:val="16"/>
                <w:szCs w:val="16"/>
              </w:rPr>
            </w:pPr>
            <w:r>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0D4BF2" w:rsidRDefault="000D4BF2">
            <w:pPr>
              <w:jc w:val="center"/>
              <w:rPr>
                <w:rFonts w:cs="Gautami"/>
                <w:sz w:val="16"/>
                <w:szCs w:val="16"/>
              </w:rPr>
            </w:pPr>
            <w:r>
              <w:rPr>
                <w:rFonts w:cs="Gautami"/>
                <w:sz w:val="16"/>
                <w:szCs w:val="16"/>
              </w:rPr>
              <w:t>1</w:t>
            </w:r>
          </w:p>
        </w:tc>
        <w:tc>
          <w:tcPr>
            <w:tcW w:w="1436" w:type="dxa"/>
            <w:tcBorders>
              <w:top w:val="nil"/>
              <w:left w:val="nil"/>
              <w:bottom w:val="nil"/>
              <w:right w:val="nil"/>
            </w:tcBorders>
            <w:shd w:val="clear" w:color="000000" w:fill="DDD9C3"/>
            <w:noWrap/>
            <w:vAlign w:val="center"/>
            <w:hideMark/>
          </w:tcPr>
          <w:p w:rsidR="000D4BF2" w:rsidRDefault="000D4BF2">
            <w:pPr>
              <w:jc w:val="center"/>
              <w:rPr>
                <w:rFonts w:cs="Gautami"/>
                <w:sz w:val="16"/>
                <w:szCs w:val="16"/>
              </w:rPr>
            </w:pPr>
            <w:r>
              <w:rPr>
                <w:rFonts w:cs="Gautami"/>
                <w:sz w:val="16"/>
                <w:szCs w:val="16"/>
              </w:rPr>
              <w:t>22</w:t>
            </w:r>
          </w:p>
        </w:tc>
        <w:tc>
          <w:tcPr>
            <w:tcW w:w="1297" w:type="dxa"/>
            <w:tcBorders>
              <w:top w:val="nil"/>
              <w:left w:val="nil"/>
              <w:bottom w:val="nil"/>
              <w:right w:val="nil"/>
            </w:tcBorders>
            <w:shd w:val="clear" w:color="000000" w:fill="DDD9C3"/>
            <w:noWrap/>
            <w:vAlign w:val="center"/>
            <w:hideMark/>
          </w:tcPr>
          <w:p w:rsidR="000D4BF2" w:rsidRDefault="000D4BF2">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0D4BF2" w:rsidRDefault="000D4BF2">
            <w:pPr>
              <w:jc w:val="center"/>
              <w:rPr>
                <w:rFonts w:cs="Gautami"/>
                <w:sz w:val="16"/>
                <w:szCs w:val="16"/>
              </w:rPr>
            </w:pPr>
            <w:r>
              <w:rPr>
                <w:rFonts w:cs="Gautami"/>
                <w:sz w:val="16"/>
                <w:szCs w:val="16"/>
              </w:rPr>
              <w:t>4</w:t>
            </w:r>
          </w:p>
        </w:tc>
      </w:tr>
      <w:tr w:rsidR="000D4BF2" w:rsidRPr="00711C86" w:rsidTr="005677AE">
        <w:trPr>
          <w:trHeight w:hRule="exact" w:val="369"/>
        </w:trPr>
        <w:tc>
          <w:tcPr>
            <w:tcW w:w="3636" w:type="dxa"/>
            <w:tcBorders>
              <w:top w:val="nil"/>
              <w:left w:val="nil"/>
              <w:bottom w:val="single" w:sz="8" w:space="0" w:color="auto"/>
              <w:right w:val="nil"/>
            </w:tcBorders>
            <w:shd w:val="clear" w:color="000000" w:fill="EEECE1"/>
            <w:noWrap/>
            <w:vAlign w:val="center"/>
            <w:hideMark/>
          </w:tcPr>
          <w:p w:rsidR="000D4BF2" w:rsidRDefault="000D4BF2">
            <w:pPr>
              <w:rPr>
                <w:rFonts w:cs="Gautami"/>
                <w:b/>
                <w:bCs/>
                <w:sz w:val="16"/>
                <w:szCs w:val="16"/>
              </w:rPr>
            </w:pPr>
            <w:r>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0D4BF2" w:rsidRDefault="000D4BF2">
            <w:pPr>
              <w:jc w:val="center"/>
              <w:rPr>
                <w:rFonts w:cs="Gautami"/>
                <w:sz w:val="16"/>
                <w:szCs w:val="16"/>
              </w:rPr>
            </w:pPr>
            <w:r>
              <w:rPr>
                <w:rFonts w:cs="Gautami"/>
                <w:sz w:val="16"/>
                <w:szCs w:val="16"/>
              </w:rPr>
              <w:t>68</w:t>
            </w:r>
          </w:p>
        </w:tc>
        <w:tc>
          <w:tcPr>
            <w:tcW w:w="1436" w:type="dxa"/>
            <w:tcBorders>
              <w:top w:val="nil"/>
              <w:left w:val="nil"/>
              <w:bottom w:val="single" w:sz="8" w:space="0" w:color="auto"/>
              <w:right w:val="nil"/>
            </w:tcBorders>
            <w:shd w:val="clear" w:color="000000" w:fill="EEECE1"/>
            <w:noWrap/>
            <w:vAlign w:val="center"/>
            <w:hideMark/>
          </w:tcPr>
          <w:p w:rsidR="000D4BF2" w:rsidRDefault="000D4BF2">
            <w:pPr>
              <w:jc w:val="center"/>
              <w:rPr>
                <w:rFonts w:cs="Gautami"/>
                <w:sz w:val="16"/>
                <w:szCs w:val="16"/>
              </w:rPr>
            </w:pPr>
            <w:r>
              <w:rPr>
                <w:rFonts w:cs="Gautami"/>
                <w:sz w:val="16"/>
                <w:szCs w:val="16"/>
              </w:rPr>
              <w:t>4</w:t>
            </w:r>
          </w:p>
        </w:tc>
        <w:tc>
          <w:tcPr>
            <w:tcW w:w="1297" w:type="dxa"/>
            <w:tcBorders>
              <w:top w:val="nil"/>
              <w:left w:val="nil"/>
              <w:bottom w:val="single" w:sz="8" w:space="0" w:color="auto"/>
              <w:right w:val="nil"/>
            </w:tcBorders>
            <w:shd w:val="clear" w:color="000000" w:fill="EEECE1"/>
            <w:noWrap/>
            <w:vAlign w:val="center"/>
            <w:hideMark/>
          </w:tcPr>
          <w:p w:rsidR="000D4BF2" w:rsidRDefault="000D4BF2">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0D4BF2" w:rsidRDefault="000D4BF2">
            <w:pPr>
              <w:jc w:val="center"/>
              <w:rPr>
                <w:rFonts w:cs="Gautami"/>
                <w:sz w:val="16"/>
                <w:szCs w:val="16"/>
              </w:rPr>
            </w:pPr>
            <w:r>
              <w:rPr>
                <w:rFonts w:cs="Gautami"/>
                <w:sz w:val="16"/>
                <w:szCs w:val="16"/>
              </w:rPr>
              <w:t>1</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DB2CBC" w:rsidP="002652CD">
      <w:pPr>
        <w:pStyle w:val="AERbodytext"/>
      </w:pPr>
      <w:r>
        <w:pict>
          <v:shape id="_x0000_i1028" type="#_x0000_t75" alt="Figure 3 shows the total generation dispatched and the amounts of capacity bid in within certain price bands for each 30 minute trading interval in Queensland this week. Should you require a description of the data for the week under review, please email us at AERInquiry@aer.gov.au.   &#10;" style="width:451pt;height:324pt">
            <v:imagedata r:id="rId12" o:title=""/>
          </v:shape>
        </w:pict>
      </w:r>
    </w:p>
    <w:p w:rsidR="00F4461C" w:rsidRPr="005270A6" w:rsidRDefault="00F4461C" w:rsidP="00F4461C">
      <w:pPr>
        <w:pStyle w:val="Figureheading"/>
        <w:numPr>
          <w:ilvl w:val="0"/>
          <w:numId w:val="0"/>
        </w:numPr>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DB2CBC" w:rsidP="002652CD">
      <w:pPr>
        <w:pStyle w:val="AERbodytext"/>
      </w:pPr>
      <w:r>
        <w:pict>
          <v:shape id="_x0000_i1029" type="#_x0000_t75" alt="Figure 4 shows the total generation dispatched and the amounts of capacity bid in within certain price bands for each 30 minute trading interval in New South Wales this week. Should you require a description of the data for the week under review, please email us at AERInquiry@aer.gov.au.   &#10;" style="width:451pt;height:325pt">
            <v:imagedata r:id="rId13"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DB2CBC" w:rsidP="00785F23">
      <w:pPr>
        <w:pStyle w:val="AERbodytext"/>
      </w:pPr>
      <w:r>
        <w:pict>
          <v:shape id="_x0000_i1030" type="#_x0000_t75" alt="Figure 5 shows the total generation dispatched and the amounts of capacity bid in within certain price bands for each 30 minute trading interval in Victoria this week. Should you require a description of the data for the week under review, please email us at AERInquiry@aer.gov.au.   &#10;" style="width:451pt;height:325pt">
            <v:imagedata r:id="rId14" o:title=""/>
          </v:shape>
        </w:pict>
      </w:r>
    </w:p>
    <w:p w:rsidR="00C52BE5" w:rsidRPr="006768AE" w:rsidRDefault="00780239" w:rsidP="00C52BE5">
      <w:pPr>
        <w:pStyle w:val="Figureheading"/>
        <w:numPr>
          <w:ilvl w:val="0"/>
          <w:numId w:val="0"/>
        </w:numPr>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005EFF" w:rsidP="002652CD">
      <w:pPr>
        <w:pStyle w:val="AERbodytext"/>
      </w:pPr>
      <w:r>
        <w:rPr>
          <w:noProof/>
          <w:lang w:eastAsia="en-AU"/>
        </w:rPr>
        <w:pict>
          <v:oval id="_x0000_s1040" style="position:absolute;left:0;text-align:left;margin-left:103.8pt;margin-top:40.65pt;width:39.35pt;height:157.35pt;z-index:251659264" fillcolor="white [3201]" strokecolor="#c0504d [3205]" strokeweight="2.5pt">
            <v:fill opacity="0"/>
            <v:shadow color="#868686"/>
          </v:oval>
        </w:pict>
      </w:r>
      <w:r w:rsidR="00DB2CBC">
        <w:pict>
          <v:shape id="_x0000_i1031" type="#_x0000_t75" alt="Figure 6 shows the total generation dispatched and the amounts of capacity bid in within certain price bands for each 30 minute trading interval in South Australia this week. Should you require a description of the data for the week under review, please email us at AERInquiry@aer.gov.au.   &#10;" style="width:451pt;height:324pt">
            <v:imagedata r:id="rId15" o:title=""/>
          </v:shape>
        </w:pict>
      </w:r>
    </w:p>
    <w:p w:rsidR="00F86508" w:rsidRPr="0075254C" w:rsidRDefault="00F86508" w:rsidP="0048688D">
      <w:pPr>
        <w:pStyle w:val="Figureheading"/>
        <w:numPr>
          <w:ilvl w:val="0"/>
          <w:numId w:val="0"/>
        </w:numPr>
        <w:ind w:left="357" w:hanging="357"/>
        <w:rPr>
          <w:b w:val="0"/>
        </w:rPr>
      </w:pPr>
      <w:r w:rsidRPr="0075254C">
        <w:rPr>
          <w:b w:val="0"/>
        </w:rPr>
        <w:t>The highlighted period was when wind generation</w:t>
      </w:r>
      <w:r w:rsidR="0075254C" w:rsidRPr="0075254C">
        <w:rPr>
          <w:b w:val="0"/>
        </w:rPr>
        <w:t xml:space="preserve"> available capacity decrease</w:t>
      </w:r>
      <w:r w:rsidR="007E18DE">
        <w:rPr>
          <w:b w:val="0"/>
        </w:rPr>
        <w:t>d</w:t>
      </w:r>
      <w:r w:rsidR="0075254C" w:rsidRPr="0075254C">
        <w:rPr>
          <w:b w:val="0"/>
        </w:rPr>
        <w:t xml:space="preserve"> to as low as 39</w:t>
      </w:r>
      <w:r w:rsidR="007E18DE">
        <w:rPr>
          <w:b w:val="0"/>
        </w:rPr>
        <w:t> </w:t>
      </w:r>
      <w:r w:rsidR="0075254C" w:rsidRPr="0075254C">
        <w:rPr>
          <w:b w:val="0"/>
        </w:rPr>
        <w:t>MW.</w: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DB2CBC"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pt">
            <v:imagedata r:id="rId16" o:title=""/>
          </v:shape>
        </w:pict>
      </w:r>
    </w:p>
    <w:p w:rsidR="00977DC4" w:rsidRPr="002D23B9" w:rsidRDefault="000125FD" w:rsidP="00BD4E2C">
      <w:pPr>
        <w:pStyle w:val="Heading2"/>
        <w:rPr>
          <w:color w:val="auto"/>
        </w:rPr>
      </w:pPr>
      <w:r w:rsidRPr="002D23B9">
        <w:rPr>
          <w:color w:val="auto"/>
        </w:rPr>
        <w:lastRenderedPageBreak/>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6F44BB">
        <w:t>443 500</w:t>
      </w:r>
      <w:r w:rsidRPr="006768AE">
        <w:t xml:space="preserve"> or less than 1 per cent of energy turnover on the mainland.</w:t>
      </w:r>
      <w:r w:rsidR="003422CF" w:rsidRPr="006768AE">
        <w:t xml:space="preserve"> </w:t>
      </w:r>
    </w:p>
    <w:p w:rsidR="005E4D3C" w:rsidRPr="006768AE" w:rsidRDefault="005E4D3C" w:rsidP="005E4D3C">
      <w:pPr>
        <w:pStyle w:val="AERbodytext"/>
      </w:pPr>
      <w:r w:rsidRPr="006768AE">
        <w:t>The total cost of FCAS in Tasmania for the week was $</w:t>
      </w:r>
      <w:r w:rsidR="006F44BB">
        <w:t>206 5</w:t>
      </w:r>
      <w:r w:rsidR="008979B1" w:rsidRPr="006768AE">
        <w:t xml:space="preserve">00 </w:t>
      </w:r>
      <w:r w:rsidR="00F30A4B">
        <w:t xml:space="preserve">or </w:t>
      </w:r>
      <w:r w:rsidR="006F44BB">
        <w:t>less than 3</w:t>
      </w:r>
      <w:r w:rsidRPr="006768AE">
        <w:t xml:space="preserve">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DB2CBC"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8pt">
            <v:imagedata r:id="rId17" o:title=""/>
          </v:shape>
        </w:pict>
      </w:r>
    </w:p>
    <w:bookmarkEnd w:id="0"/>
    <w:bookmarkEnd w:id="1"/>
    <w:bookmarkEnd w:id="2"/>
    <w:bookmarkEnd w:id="3"/>
    <w:bookmarkEnd w:id="4"/>
    <w:bookmarkEnd w:id="5"/>
    <w:p w:rsidR="00DD7CB4" w:rsidRPr="009121A1" w:rsidRDefault="00DD7CB4" w:rsidP="00DD7CB4">
      <w:pPr>
        <w:pStyle w:val="Heading2"/>
        <w:rPr>
          <w:color w:val="auto"/>
        </w:rPr>
      </w:pPr>
      <w:r w:rsidRPr="009121A1">
        <w:rPr>
          <w:color w:val="auto"/>
        </w:rPr>
        <w:t>Detailed market analysis of significant price events</w:t>
      </w:r>
    </w:p>
    <w:p w:rsidR="009121A1" w:rsidRDefault="00DD7CB4" w:rsidP="00DD7CB4">
      <w:pPr>
        <w:pStyle w:val="AERbodytext"/>
      </w:pPr>
      <w:r w:rsidRPr="009121A1">
        <w:t>We provide more detailed analysis of events where the spot price was greater than three times the weekly average price in a region and above $250/</w:t>
      </w:r>
      <w:proofErr w:type="spellStart"/>
      <w:r w:rsidRPr="009121A1">
        <w:t>MWh</w:t>
      </w:r>
      <w:proofErr w:type="spellEnd"/>
      <w:r w:rsidRPr="009121A1">
        <w:t xml:space="preserve"> or was below </w:t>
      </w:r>
      <w:r w:rsidRPr="009121A1">
        <w:noBreakHyphen/>
        <w:t>$100/</w:t>
      </w:r>
      <w:proofErr w:type="spellStart"/>
      <w:r w:rsidRPr="009121A1">
        <w:t>MWh</w:t>
      </w:r>
      <w:proofErr w:type="spellEnd"/>
      <w:r w:rsidRPr="009121A1">
        <w:t xml:space="preserve">. </w:t>
      </w:r>
      <w:r w:rsidR="009121A1">
        <w:t xml:space="preserve"> </w:t>
      </w:r>
    </w:p>
    <w:p w:rsidR="00EC6284" w:rsidRPr="00EC6284" w:rsidRDefault="00EC6284" w:rsidP="00EC6284">
      <w:pPr>
        <w:rPr>
          <w:lang w:eastAsia="en-US"/>
        </w:rPr>
      </w:pPr>
      <w:r w:rsidRPr="00EC6284">
        <w:rPr>
          <w:lang w:eastAsia="en-US"/>
        </w:rPr>
        <w:t xml:space="preserve">There was one occasion where the spot price in </w:t>
      </w:r>
      <w:r w:rsidR="006F44BB">
        <w:rPr>
          <w:lang w:eastAsia="en-US"/>
        </w:rPr>
        <w:t>South Australia</w:t>
      </w:r>
      <w:r w:rsidRPr="00EC6284">
        <w:rPr>
          <w:lang w:eastAsia="en-US"/>
        </w:rPr>
        <w:t xml:space="preserve"> was greater than three times the </w:t>
      </w:r>
      <w:r w:rsidR="006F44BB">
        <w:rPr>
          <w:lang w:eastAsia="en-US"/>
        </w:rPr>
        <w:t>weekly average price of $56</w:t>
      </w:r>
      <w:r w:rsidRPr="00EC6284">
        <w:rPr>
          <w:lang w:eastAsia="en-US"/>
        </w:rPr>
        <w:t>/</w:t>
      </w:r>
      <w:proofErr w:type="spellStart"/>
      <w:r w:rsidRPr="00EC6284">
        <w:rPr>
          <w:lang w:eastAsia="en-US"/>
        </w:rPr>
        <w:t>MWh</w:t>
      </w:r>
      <w:proofErr w:type="spellEnd"/>
      <w:r w:rsidRPr="00EC6284">
        <w:rPr>
          <w:lang w:eastAsia="en-US"/>
        </w:rPr>
        <w:t xml:space="preserve"> and above $250/</w:t>
      </w:r>
      <w:proofErr w:type="spellStart"/>
      <w:r w:rsidRPr="00EC6284">
        <w:rPr>
          <w:lang w:eastAsia="en-US"/>
        </w:rPr>
        <w:t>MWh</w:t>
      </w:r>
      <w:proofErr w:type="spellEnd"/>
      <w:r w:rsidRPr="00EC6284">
        <w:rPr>
          <w:lang w:eastAsia="en-US"/>
        </w:rPr>
        <w:t>.</w:t>
      </w:r>
    </w:p>
    <w:p w:rsidR="009121A1" w:rsidRPr="009121A1" w:rsidRDefault="009121A1" w:rsidP="000B36CA">
      <w:pPr>
        <w:pStyle w:val="AERbodytext"/>
        <w:spacing w:after="120"/>
        <w:rPr>
          <w:b/>
        </w:rPr>
      </w:pPr>
      <w:r>
        <w:rPr>
          <w:b/>
        </w:rPr>
        <w:lastRenderedPageBreak/>
        <w:t xml:space="preserve">Table </w:t>
      </w:r>
      <w:r w:rsidR="00AB2D03">
        <w:rPr>
          <w:b/>
        </w:rPr>
        <w:t>3</w:t>
      </w:r>
      <w:r>
        <w:rPr>
          <w:b/>
        </w:rPr>
        <w:t xml:space="preserve">: </w:t>
      </w:r>
      <w:r w:rsidR="00865850">
        <w:rPr>
          <w:b/>
        </w:rPr>
        <w:t>South Australia</w:t>
      </w:r>
      <w:r>
        <w:rPr>
          <w:b/>
        </w:rPr>
        <w:t xml:space="preserve">, </w:t>
      </w:r>
      <w:r w:rsidR="00865850">
        <w:rPr>
          <w:b/>
        </w:rPr>
        <w:t>Thursday</w:t>
      </w:r>
      <w:r w:rsidR="00EC6284">
        <w:rPr>
          <w:b/>
        </w:rPr>
        <w:t xml:space="preserve"> </w:t>
      </w:r>
      <w:r w:rsidR="00865850">
        <w:rPr>
          <w:b/>
        </w:rPr>
        <w:t>4 September</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979"/>
        <w:gridCol w:w="827"/>
        <w:gridCol w:w="993"/>
        <w:gridCol w:w="1137"/>
        <w:gridCol w:w="1113"/>
        <w:gridCol w:w="867"/>
        <w:gridCol w:w="867"/>
        <w:gridCol w:w="725"/>
        <w:gridCol w:w="867"/>
        <w:gridCol w:w="867"/>
      </w:tblGrid>
      <w:tr w:rsidR="00711C86" w:rsidRPr="00711C86" w:rsidTr="00EB690D">
        <w:tc>
          <w:tcPr>
            <w:tcW w:w="530" w:type="pct"/>
            <w:tcBorders>
              <w:top w:val="single" w:sz="4" w:space="0" w:color="auto"/>
              <w:left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rPr>
                <w:b/>
                <w:bCs/>
                <w:color w:val="FFFFFF"/>
                <w:sz w:val="16"/>
                <w:szCs w:val="16"/>
              </w:rPr>
            </w:pPr>
            <w:r w:rsidRPr="00711C86">
              <w:rPr>
                <w:b/>
                <w:bCs/>
                <w:color w:val="FFFFFF"/>
                <w:sz w:val="16"/>
                <w:szCs w:val="16"/>
              </w:rPr>
              <w:t>Time</w:t>
            </w:r>
          </w:p>
        </w:tc>
        <w:tc>
          <w:tcPr>
            <w:tcW w:w="1600" w:type="pct"/>
            <w:gridSpan w:val="3"/>
            <w:tcBorders>
              <w:top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Price ($/</w:t>
            </w:r>
            <w:proofErr w:type="spellStart"/>
            <w:r w:rsidRPr="00711C86">
              <w:rPr>
                <w:b/>
                <w:bCs/>
                <w:color w:val="FFFFFF"/>
                <w:sz w:val="16"/>
                <w:szCs w:val="16"/>
              </w:rPr>
              <w:t>MWh</w:t>
            </w:r>
            <w:proofErr w:type="spellEnd"/>
            <w:r w:rsidRPr="00711C86">
              <w:rPr>
                <w:b/>
                <w:bCs/>
                <w:color w:val="FFFFFF"/>
                <w:sz w:val="16"/>
                <w:szCs w:val="16"/>
              </w:rPr>
              <w:t>)</w:t>
            </w:r>
          </w:p>
        </w:tc>
        <w:tc>
          <w:tcPr>
            <w:tcW w:w="1540" w:type="pct"/>
            <w:gridSpan w:val="3"/>
            <w:tcBorders>
              <w:top w:val="single" w:sz="4" w:space="0" w:color="auto"/>
              <w:bottom w:val="nil"/>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330" w:type="pct"/>
            <w:gridSpan w:val="3"/>
            <w:tcBorders>
              <w:top w:val="single" w:sz="4" w:space="0" w:color="auto"/>
              <w:bottom w:val="nil"/>
              <w:right w:val="single" w:sz="4" w:space="0" w:color="auto"/>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711C86" w:rsidRPr="003D3E89" w:rsidTr="00EB690D">
        <w:tc>
          <w:tcPr>
            <w:tcW w:w="530" w:type="pct"/>
            <w:tcBorders>
              <w:top w:val="nil"/>
              <w:left w:val="single" w:sz="4" w:space="0" w:color="auto"/>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rPr>
                <w:b/>
                <w:bCs/>
                <w:sz w:val="16"/>
                <w:szCs w:val="16"/>
              </w:rPr>
            </w:pPr>
          </w:p>
        </w:tc>
        <w:tc>
          <w:tcPr>
            <w:tcW w:w="448" w:type="pct"/>
            <w:tcBorders>
              <w:top w:val="nil"/>
              <w:left w:val="single" w:sz="6" w:space="0" w:color="auto"/>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537" w:type="pct"/>
            <w:tcBorders>
              <w:top w:val="nil"/>
              <w:left w:val="nil"/>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615" w:type="pct"/>
            <w:tcBorders>
              <w:top w:val="nil"/>
              <w:left w:val="nil"/>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60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6"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39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4"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r>
      <w:tr w:rsidR="00711C86" w:rsidRPr="003D3E89" w:rsidTr="00EB690D">
        <w:tc>
          <w:tcPr>
            <w:tcW w:w="530" w:type="pct"/>
            <w:tcBorders>
              <w:top w:val="nil"/>
              <w:left w:val="single" w:sz="4" w:space="0" w:color="auto"/>
              <w:bottom w:val="single" w:sz="4" w:space="0" w:color="auto"/>
              <w:right w:val="single" w:sz="6" w:space="0" w:color="auto"/>
            </w:tcBorders>
            <w:shd w:val="clear" w:color="auto" w:fill="EEECE1"/>
            <w:noWrap/>
          </w:tcPr>
          <w:p w:rsidR="00711C86" w:rsidRPr="003D3E89" w:rsidRDefault="00865850" w:rsidP="00EC6284">
            <w:pPr>
              <w:autoSpaceDE w:val="0"/>
              <w:autoSpaceDN w:val="0"/>
              <w:adjustRightInd w:val="0"/>
              <w:spacing w:before="100" w:after="100"/>
              <w:rPr>
                <w:b/>
                <w:bCs/>
                <w:sz w:val="16"/>
                <w:szCs w:val="16"/>
              </w:rPr>
            </w:pPr>
            <w:r>
              <w:rPr>
                <w:b/>
                <w:bCs/>
                <w:sz w:val="16"/>
                <w:szCs w:val="16"/>
              </w:rPr>
              <w:t>5.30</w:t>
            </w:r>
            <w:r w:rsidR="00EC6284">
              <w:rPr>
                <w:b/>
                <w:bCs/>
                <w:sz w:val="16"/>
                <w:szCs w:val="16"/>
              </w:rPr>
              <w:t> P</w:t>
            </w:r>
            <w:r w:rsidR="00711C86" w:rsidRPr="003D3E89">
              <w:rPr>
                <w:b/>
                <w:bCs/>
                <w:sz w:val="16"/>
                <w:szCs w:val="16"/>
              </w:rPr>
              <w:t>M</w:t>
            </w:r>
          </w:p>
        </w:tc>
        <w:tc>
          <w:tcPr>
            <w:tcW w:w="448" w:type="pct"/>
            <w:tcBorders>
              <w:top w:val="nil"/>
              <w:left w:val="single" w:sz="6" w:space="0" w:color="auto"/>
              <w:bottom w:val="single" w:sz="4" w:space="0" w:color="auto"/>
              <w:right w:val="nil"/>
            </w:tcBorders>
            <w:shd w:val="clear" w:color="auto" w:fill="EEECE1"/>
            <w:noWrap/>
            <w:vAlign w:val="center"/>
          </w:tcPr>
          <w:p w:rsidR="00711C86" w:rsidRPr="003D3E89" w:rsidRDefault="009856E5" w:rsidP="008552D7">
            <w:pPr>
              <w:jc w:val="center"/>
              <w:rPr>
                <w:sz w:val="16"/>
                <w:szCs w:val="16"/>
              </w:rPr>
            </w:pPr>
            <w:r w:rsidRPr="009856E5">
              <w:rPr>
                <w:sz w:val="16"/>
                <w:szCs w:val="16"/>
              </w:rPr>
              <w:t>2</w:t>
            </w:r>
            <w:r w:rsidR="00865850">
              <w:rPr>
                <w:sz w:val="16"/>
                <w:szCs w:val="16"/>
              </w:rPr>
              <w:t>281.98</w:t>
            </w:r>
          </w:p>
        </w:tc>
        <w:tc>
          <w:tcPr>
            <w:tcW w:w="537" w:type="pct"/>
            <w:tcBorders>
              <w:top w:val="nil"/>
              <w:left w:val="nil"/>
              <w:bottom w:val="single" w:sz="4" w:space="0" w:color="auto"/>
              <w:right w:val="nil"/>
            </w:tcBorders>
            <w:shd w:val="clear" w:color="auto" w:fill="EEECE1"/>
            <w:noWrap/>
            <w:vAlign w:val="center"/>
          </w:tcPr>
          <w:p w:rsidR="00711C86" w:rsidRPr="003D3E89" w:rsidRDefault="00865850" w:rsidP="008552D7">
            <w:pPr>
              <w:jc w:val="center"/>
              <w:rPr>
                <w:sz w:val="16"/>
                <w:szCs w:val="16"/>
              </w:rPr>
            </w:pPr>
            <w:r>
              <w:rPr>
                <w:sz w:val="16"/>
                <w:szCs w:val="16"/>
              </w:rPr>
              <w:t>52.99</w:t>
            </w:r>
          </w:p>
        </w:tc>
        <w:tc>
          <w:tcPr>
            <w:tcW w:w="615" w:type="pct"/>
            <w:tcBorders>
              <w:top w:val="nil"/>
              <w:left w:val="nil"/>
              <w:bottom w:val="single" w:sz="4" w:space="0" w:color="auto"/>
              <w:right w:val="single" w:sz="6" w:space="0" w:color="auto"/>
            </w:tcBorders>
            <w:shd w:val="clear" w:color="auto" w:fill="EEECE1"/>
            <w:noWrap/>
            <w:vAlign w:val="center"/>
          </w:tcPr>
          <w:p w:rsidR="00711C86" w:rsidRPr="003D3E89" w:rsidRDefault="00865850" w:rsidP="008552D7">
            <w:pPr>
              <w:jc w:val="center"/>
              <w:rPr>
                <w:sz w:val="16"/>
                <w:szCs w:val="16"/>
              </w:rPr>
            </w:pPr>
            <w:r>
              <w:rPr>
                <w:sz w:val="16"/>
                <w:szCs w:val="16"/>
              </w:rPr>
              <w:t>52.99</w:t>
            </w:r>
          </w:p>
        </w:tc>
        <w:tc>
          <w:tcPr>
            <w:tcW w:w="602" w:type="pct"/>
            <w:tcBorders>
              <w:top w:val="nil"/>
              <w:left w:val="single" w:sz="6" w:space="0" w:color="auto"/>
              <w:bottom w:val="single" w:sz="4" w:space="0" w:color="auto"/>
              <w:right w:val="nil"/>
            </w:tcBorders>
            <w:shd w:val="clear" w:color="auto" w:fill="EEECE1"/>
            <w:vAlign w:val="center"/>
          </w:tcPr>
          <w:p w:rsidR="00711C86" w:rsidRPr="003D3E89" w:rsidRDefault="00865850" w:rsidP="008552D7">
            <w:pPr>
              <w:jc w:val="center"/>
              <w:rPr>
                <w:sz w:val="16"/>
                <w:szCs w:val="16"/>
              </w:rPr>
            </w:pPr>
            <w:r>
              <w:rPr>
                <w:sz w:val="16"/>
                <w:szCs w:val="16"/>
              </w:rPr>
              <w:t>1599</w:t>
            </w:r>
          </w:p>
        </w:tc>
        <w:tc>
          <w:tcPr>
            <w:tcW w:w="469" w:type="pct"/>
            <w:tcBorders>
              <w:top w:val="nil"/>
              <w:left w:val="nil"/>
              <w:bottom w:val="single" w:sz="4" w:space="0" w:color="auto"/>
              <w:right w:val="nil"/>
            </w:tcBorders>
            <w:shd w:val="clear" w:color="auto" w:fill="EEECE1"/>
            <w:vAlign w:val="center"/>
          </w:tcPr>
          <w:p w:rsidR="00711C86" w:rsidRPr="003D3E89" w:rsidRDefault="00865850" w:rsidP="008552D7">
            <w:pPr>
              <w:jc w:val="center"/>
              <w:rPr>
                <w:sz w:val="16"/>
                <w:szCs w:val="16"/>
              </w:rPr>
            </w:pPr>
            <w:r>
              <w:rPr>
                <w:sz w:val="16"/>
                <w:szCs w:val="16"/>
              </w:rPr>
              <w:t>1652</w:t>
            </w:r>
          </w:p>
        </w:tc>
        <w:tc>
          <w:tcPr>
            <w:tcW w:w="469" w:type="pct"/>
            <w:tcBorders>
              <w:top w:val="nil"/>
              <w:left w:val="nil"/>
              <w:bottom w:val="single" w:sz="4" w:space="0" w:color="auto"/>
              <w:right w:val="single" w:sz="6" w:space="0" w:color="auto"/>
            </w:tcBorders>
            <w:shd w:val="clear" w:color="auto" w:fill="EEECE1"/>
            <w:vAlign w:val="center"/>
          </w:tcPr>
          <w:p w:rsidR="00711C86" w:rsidRPr="003D3E89" w:rsidRDefault="00865850" w:rsidP="008552D7">
            <w:pPr>
              <w:jc w:val="center"/>
              <w:rPr>
                <w:sz w:val="16"/>
                <w:szCs w:val="16"/>
              </w:rPr>
            </w:pPr>
            <w:r>
              <w:rPr>
                <w:sz w:val="16"/>
                <w:szCs w:val="16"/>
              </w:rPr>
              <w:t>1580</w:t>
            </w:r>
          </w:p>
        </w:tc>
        <w:tc>
          <w:tcPr>
            <w:tcW w:w="392" w:type="pct"/>
            <w:tcBorders>
              <w:top w:val="nil"/>
              <w:left w:val="single" w:sz="6" w:space="0" w:color="auto"/>
              <w:bottom w:val="single" w:sz="4" w:space="0" w:color="auto"/>
              <w:right w:val="nil"/>
            </w:tcBorders>
            <w:shd w:val="clear" w:color="auto" w:fill="EEECE1"/>
            <w:vAlign w:val="center"/>
          </w:tcPr>
          <w:p w:rsidR="00711C86" w:rsidRPr="003D3E89" w:rsidRDefault="00865850" w:rsidP="008552D7">
            <w:pPr>
              <w:jc w:val="center"/>
              <w:rPr>
                <w:sz w:val="16"/>
                <w:szCs w:val="16"/>
              </w:rPr>
            </w:pPr>
            <w:r>
              <w:rPr>
                <w:sz w:val="16"/>
                <w:szCs w:val="16"/>
              </w:rPr>
              <w:t>2192</w:t>
            </w:r>
          </w:p>
        </w:tc>
        <w:tc>
          <w:tcPr>
            <w:tcW w:w="469" w:type="pct"/>
            <w:tcBorders>
              <w:top w:val="nil"/>
              <w:left w:val="nil"/>
              <w:bottom w:val="single" w:sz="4" w:space="0" w:color="auto"/>
              <w:right w:val="nil"/>
            </w:tcBorders>
            <w:shd w:val="clear" w:color="auto" w:fill="EEECE1"/>
            <w:vAlign w:val="center"/>
          </w:tcPr>
          <w:p w:rsidR="00711C86" w:rsidRPr="003D3E89" w:rsidRDefault="00865850" w:rsidP="008552D7">
            <w:pPr>
              <w:jc w:val="center"/>
              <w:rPr>
                <w:sz w:val="16"/>
                <w:szCs w:val="16"/>
              </w:rPr>
            </w:pPr>
            <w:r>
              <w:rPr>
                <w:sz w:val="16"/>
                <w:szCs w:val="16"/>
              </w:rPr>
              <w:t>2122</w:t>
            </w:r>
          </w:p>
        </w:tc>
        <w:tc>
          <w:tcPr>
            <w:tcW w:w="469" w:type="pct"/>
            <w:tcBorders>
              <w:top w:val="nil"/>
              <w:left w:val="nil"/>
              <w:bottom w:val="single" w:sz="4" w:space="0" w:color="auto"/>
              <w:right w:val="single" w:sz="4" w:space="0" w:color="auto"/>
            </w:tcBorders>
            <w:shd w:val="clear" w:color="auto" w:fill="EEECE1"/>
            <w:vAlign w:val="center"/>
          </w:tcPr>
          <w:p w:rsidR="00711C86" w:rsidRPr="003D3E89" w:rsidRDefault="00865850" w:rsidP="009856E5">
            <w:pPr>
              <w:jc w:val="center"/>
              <w:rPr>
                <w:sz w:val="16"/>
                <w:szCs w:val="16"/>
              </w:rPr>
            </w:pPr>
            <w:r>
              <w:rPr>
                <w:sz w:val="16"/>
                <w:szCs w:val="16"/>
              </w:rPr>
              <w:t>2081</w:t>
            </w:r>
          </w:p>
        </w:tc>
      </w:tr>
    </w:tbl>
    <w:p w:rsidR="00460C30" w:rsidRPr="000B36CA" w:rsidRDefault="00460C30" w:rsidP="00460C30">
      <w:pPr>
        <w:pStyle w:val="AERbodytext"/>
        <w:spacing w:after="120"/>
        <w:rPr>
          <w:sz w:val="6"/>
          <w:szCs w:val="16"/>
        </w:rPr>
      </w:pPr>
    </w:p>
    <w:p w:rsidR="000D4873" w:rsidRDefault="00067028" w:rsidP="000B36CA">
      <w:pPr>
        <w:pStyle w:val="AERbodytext"/>
        <w:spacing w:after="200"/>
      </w:pPr>
      <w:r w:rsidRPr="00330E6E">
        <w:t>Conditions at the time saw demand</w:t>
      </w:r>
      <w:r w:rsidR="00F93638">
        <w:t xml:space="preserve"> 53</w:t>
      </w:r>
      <w:r w:rsidR="000A345C">
        <w:t> </w:t>
      </w:r>
      <w:r w:rsidR="00F93638">
        <w:t xml:space="preserve">MW less than </w:t>
      </w:r>
      <w:r w:rsidR="000A345C">
        <w:t xml:space="preserve">that </w:t>
      </w:r>
      <w:r w:rsidR="00F93638">
        <w:t xml:space="preserve">forecast 4 hours ahead </w:t>
      </w:r>
      <w:r w:rsidR="00854292" w:rsidRPr="00330E6E">
        <w:t xml:space="preserve">and available capacity </w:t>
      </w:r>
      <w:r w:rsidR="003E7F56">
        <w:t>70</w:t>
      </w:r>
      <w:r w:rsidR="000A345C">
        <w:t> </w:t>
      </w:r>
      <w:r w:rsidR="003E7F56">
        <w:t xml:space="preserve">MW </w:t>
      </w:r>
      <w:r w:rsidR="004D23E5">
        <w:t>more</w:t>
      </w:r>
      <w:r w:rsidR="003E7F56">
        <w:t xml:space="preserve"> than</w:t>
      </w:r>
      <w:r w:rsidRPr="00330E6E">
        <w:t xml:space="preserve"> that forecast 4 hours ahead.</w:t>
      </w:r>
      <w:r w:rsidR="003E7F56">
        <w:t xml:space="preserve"> </w:t>
      </w:r>
    </w:p>
    <w:p w:rsidR="000D4873" w:rsidRPr="000D4873" w:rsidRDefault="003E7F56" w:rsidP="000B36CA">
      <w:pPr>
        <w:pStyle w:val="AERbodytext"/>
        <w:spacing w:after="200"/>
      </w:pPr>
      <w:r>
        <w:t xml:space="preserve">At </w:t>
      </w:r>
      <w:r w:rsidR="000A345C">
        <w:t>5</w:t>
      </w:r>
      <w:r>
        <w:t>.07</w:t>
      </w:r>
      <w:r w:rsidR="000A345C">
        <w:t xml:space="preserve"> pm, effective from </w:t>
      </w:r>
      <w:r w:rsidR="00F174AB">
        <w:t xml:space="preserve">the </w:t>
      </w:r>
      <w:r w:rsidR="000A345C">
        <w:t>5.15 pm dispatch interval,</w:t>
      </w:r>
      <w:r>
        <w:t xml:space="preserve"> Origin rebid 147</w:t>
      </w:r>
      <w:r w:rsidR="000A345C">
        <w:t> </w:t>
      </w:r>
      <w:r>
        <w:t xml:space="preserve">MW </w:t>
      </w:r>
      <w:proofErr w:type="gramStart"/>
      <w:r w:rsidRPr="000D4873">
        <w:t>capacity</w:t>
      </w:r>
      <w:proofErr w:type="gramEnd"/>
      <w:r w:rsidRPr="000D4873">
        <w:t xml:space="preserve"> from its Ladbroke Grove and Quarantine units, from bands priced at below $42/</w:t>
      </w:r>
      <w:proofErr w:type="spellStart"/>
      <w:r w:rsidRPr="000D4873">
        <w:t>MWh</w:t>
      </w:r>
      <w:proofErr w:type="spellEnd"/>
      <w:r w:rsidRPr="000D4873">
        <w:t xml:space="preserve"> to</w:t>
      </w:r>
      <w:r w:rsidR="004D23E5">
        <w:t xml:space="preserve"> the market cap price,</w:t>
      </w:r>
      <w:r w:rsidRPr="000D4873">
        <w:t xml:space="preserve"> $13</w:t>
      </w:r>
      <w:r w:rsidR="004D23E5">
        <w:t> </w:t>
      </w:r>
      <w:r w:rsidRPr="000D4873">
        <w:t>500/</w:t>
      </w:r>
      <w:proofErr w:type="spellStart"/>
      <w:r w:rsidRPr="000D4873">
        <w:t>MWh</w:t>
      </w:r>
      <w:proofErr w:type="spellEnd"/>
      <w:r w:rsidRPr="000D4873">
        <w:t>. The reason for the rebid</w:t>
      </w:r>
      <w:r w:rsidR="004D23E5">
        <w:t xml:space="preserve"> was</w:t>
      </w:r>
      <w:r w:rsidRPr="000D4873">
        <w:t xml:space="preserve"> “CHGE IN FCAST-INC SA DEM-5PD 1752MW&gt;30PD 1657MW</w:t>
      </w:r>
      <w:r w:rsidR="000D4873" w:rsidRPr="000D4873">
        <w:t xml:space="preserve">”. </w:t>
      </w:r>
      <w:r w:rsidR="00561FCD" w:rsidRPr="000D4873">
        <w:t xml:space="preserve">That is, the </w:t>
      </w:r>
      <w:r w:rsidR="004D23E5">
        <w:t xml:space="preserve">demand </w:t>
      </w:r>
      <w:r w:rsidR="00561FCD" w:rsidRPr="000D4873">
        <w:t xml:space="preserve">forecast </w:t>
      </w:r>
      <w:r w:rsidR="004D23E5">
        <w:t xml:space="preserve">5 minutes </w:t>
      </w:r>
      <w:r w:rsidR="00561FCD" w:rsidRPr="000D4873">
        <w:t xml:space="preserve">before dispatch </w:t>
      </w:r>
      <w:r w:rsidR="004D23E5">
        <w:t xml:space="preserve">was </w:t>
      </w:r>
      <w:r w:rsidR="00561FCD" w:rsidRPr="000D4873">
        <w:t>95</w:t>
      </w:r>
      <w:r w:rsidR="000A345C">
        <w:t> </w:t>
      </w:r>
      <w:r w:rsidR="00561FCD" w:rsidRPr="000D4873">
        <w:t xml:space="preserve">MW </w:t>
      </w:r>
      <w:r w:rsidR="0009345C" w:rsidRPr="000D4873">
        <w:t>g</w:t>
      </w:r>
      <w:r w:rsidR="000D4873" w:rsidRPr="000D4873">
        <w:t>reater than 30-min pre</w:t>
      </w:r>
      <w:r w:rsidR="000D4873">
        <w:t>-</w:t>
      </w:r>
      <w:r w:rsidR="000D4873" w:rsidRPr="000D4873">
        <w:t xml:space="preserve">dispatch </w:t>
      </w:r>
      <w:r w:rsidR="004D23E5">
        <w:t xml:space="preserve">demand forecast </w:t>
      </w:r>
      <w:r w:rsidR="000D4873" w:rsidRPr="000D4873">
        <w:t>(</w:t>
      </w:r>
      <w:r w:rsidR="000A345C" w:rsidRPr="000D4873">
        <w:t>1657</w:t>
      </w:r>
      <w:r w:rsidR="000A345C">
        <w:t> </w:t>
      </w:r>
      <w:r w:rsidR="0009345C" w:rsidRPr="000D4873">
        <w:t>MW</w:t>
      </w:r>
      <w:r w:rsidR="000D4873" w:rsidRPr="000D4873">
        <w:t>)</w:t>
      </w:r>
      <w:r w:rsidR="0009345C" w:rsidRPr="000D4873">
        <w:t>.</w:t>
      </w:r>
      <w:r w:rsidR="000D4873" w:rsidRPr="000D4873">
        <w:t xml:space="preserve"> </w:t>
      </w:r>
    </w:p>
    <w:p w:rsidR="000D4873" w:rsidRDefault="004D23E5" w:rsidP="000B36CA">
      <w:pPr>
        <w:pStyle w:val="AERbodytext"/>
        <w:spacing w:after="200"/>
      </w:pPr>
      <w:r>
        <w:t xml:space="preserve">At </w:t>
      </w:r>
      <w:r w:rsidR="000A345C">
        <w:t>5.15 pm,</w:t>
      </w:r>
      <w:r>
        <w:t xml:space="preserve"> t</w:t>
      </w:r>
      <w:r w:rsidR="000D4873" w:rsidRPr="000D4873">
        <w:t xml:space="preserve">he 5-minute dispatch price reached </w:t>
      </w:r>
      <w:r>
        <w:t>the Market Price Cap of $</w:t>
      </w:r>
      <w:r w:rsidR="000A345C">
        <w:t>13 </w:t>
      </w:r>
      <w:r>
        <w:t>500.</w:t>
      </w:r>
      <w:r w:rsidR="000A345C">
        <w:t xml:space="preserve"> </w:t>
      </w:r>
      <w:r>
        <w:t>T</w:t>
      </w:r>
      <w:r w:rsidR="000D4873" w:rsidRPr="000D4873">
        <w:t>he Heywood interconnector target flow increased by 13 MW to its upper limit</w:t>
      </w:r>
      <w:r w:rsidR="000D4873">
        <w:t xml:space="preserve"> of 460 MW </w:t>
      </w:r>
      <w:r w:rsidR="00820E60">
        <w:t xml:space="preserve">(V&gt;S_NIL_HYTX_HYTX was binding) </w:t>
      </w:r>
      <w:r w:rsidR="000D4873">
        <w:t xml:space="preserve">and the </w:t>
      </w:r>
      <w:proofErr w:type="spellStart"/>
      <w:r w:rsidR="000D4873">
        <w:t>Murraylink</w:t>
      </w:r>
      <w:proofErr w:type="spellEnd"/>
      <w:r w:rsidR="000D4873">
        <w:t xml:space="preserve"> interconnector was out of service</w:t>
      </w:r>
      <w:r w:rsidR="00F174AB">
        <w:t xml:space="preserve"> after tripping in the morning</w:t>
      </w:r>
      <w:r w:rsidR="000D4873">
        <w:t>. Online generators were at maximum availability or ramp rate constrained.</w:t>
      </w:r>
      <w:r w:rsidR="000D4873" w:rsidRPr="000D4873">
        <w:t xml:space="preserve"> </w:t>
      </w:r>
      <w:r w:rsidR="000D4873">
        <w:t>Wind generation was moderately low for the trading interval.</w:t>
      </w:r>
      <w:r w:rsidR="000A345C" w:rsidRPr="000A345C">
        <w:t xml:space="preserve"> </w:t>
      </w:r>
      <w:r w:rsidR="000A345C">
        <w:t xml:space="preserve">The 5-minute price was set by Origin’s </w:t>
      </w:r>
      <w:r w:rsidR="000A345C" w:rsidRPr="000D4873">
        <w:t>Ladbroke Grove and Quarantine units</w:t>
      </w:r>
      <w:r w:rsidR="000A345C">
        <w:t>.</w:t>
      </w:r>
    </w:p>
    <w:p w:rsidR="000D4873" w:rsidRDefault="004D23E5" w:rsidP="000B36CA">
      <w:pPr>
        <w:pStyle w:val="AERbodytext"/>
        <w:spacing w:after="200"/>
      </w:pPr>
      <w:r>
        <w:t xml:space="preserve">In the next </w:t>
      </w:r>
      <w:r w:rsidR="000A345C">
        <w:t xml:space="preserve">dispatch interval </w:t>
      </w:r>
      <w:r>
        <w:t xml:space="preserve">(at </w:t>
      </w:r>
      <w:r w:rsidR="000A345C">
        <w:t>5.20 pm</w:t>
      </w:r>
      <w:r>
        <w:t>) t</w:t>
      </w:r>
      <w:r w:rsidR="003E7F56" w:rsidRPr="00865850">
        <w:t xml:space="preserve">he </w:t>
      </w:r>
      <w:r w:rsidR="00F174AB">
        <w:t xml:space="preserve">5 minute </w:t>
      </w:r>
      <w:r w:rsidR="003E7F56" w:rsidRPr="00865850">
        <w:t>price reduced to $29/</w:t>
      </w:r>
      <w:proofErr w:type="spellStart"/>
      <w:r w:rsidR="003E7F56" w:rsidRPr="00865850">
        <w:t>MWh</w:t>
      </w:r>
      <w:proofErr w:type="spellEnd"/>
      <w:r w:rsidR="003E7F56" w:rsidRPr="00865850">
        <w:t xml:space="preserve"> </w:t>
      </w:r>
      <w:r w:rsidR="007E18DE">
        <w:t>as</w:t>
      </w:r>
      <w:r w:rsidR="007E18DE" w:rsidRPr="00865850">
        <w:t xml:space="preserve"> </w:t>
      </w:r>
      <w:r w:rsidR="003E7F56" w:rsidRPr="00865850">
        <w:t>655 MW of generation capacity was shifted to bands priced at -$1,000/</w:t>
      </w:r>
      <w:proofErr w:type="spellStart"/>
      <w:r w:rsidR="003E7F56" w:rsidRPr="00865850">
        <w:t>MWh</w:t>
      </w:r>
      <w:proofErr w:type="spellEnd"/>
      <w:r w:rsidR="003E7F56" w:rsidRPr="00865850">
        <w:t>.</w:t>
      </w:r>
      <w:r w:rsidR="000D4873">
        <w:t xml:space="preserve"> </w:t>
      </w:r>
      <w:r w:rsidR="003E7F56" w:rsidRPr="00865850">
        <w:t xml:space="preserve">Approximately 86 MW of non-scheduled generation at Angaston and Port </w:t>
      </w:r>
      <w:proofErr w:type="spellStart"/>
      <w:r w:rsidR="003E7F56" w:rsidRPr="00865850">
        <w:t>Stanvac</w:t>
      </w:r>
      <w:proofErr w:type="spellEnd"/>
      <w:r w:rsidR="003E7F56" w:rsidRPr="00865850">
        <w:t xml:space="preserve"> came on-line in response to the high dispatch prices. </w:t>
      </w:r>
    </w:p>
    <w:p w:rsidR="00E96C5A" w:rsidRPr="002D23B9" w:rsidRDefault="00E96C5A" w:rsidP="00C81890">
      <w:pPr>
        <w:pStyle w:val="Heading2"/>
        <w:rPr>
          <w:color w:val="auto"/>
        </w:rPr>
      </w:pPr>
      <w:r w:rsidRPr="002D23B9">
        <w:rPr>
          <w:color w:val="auto"/>
        </w:rPr>
        <w:t>Financial markets</w:t>
      </w:r>
    </w:p>
    <w:p w:rsidR="00E96C5A" w:rsidRPr="002D23B9" w:rsidRDefault="0078358A" w:rsidP="000B36CA">
      <w:pPr>
        <w:pStyle w:val="AERbodytext"/>
        <w:spacing w:after="120"/>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9856E5">
        <w:rPr>
          <w:color w:val="000000" w:themeColor="text1"/>
        </w:rPr>
        <w:t>Q3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9856E5">
        <w:rPr>
          <w:color w:val="000000" w:themeColor="text1"/>
        </w:rPr>
        <w:t>2</w:t>
      </w:r>
      <w:r w:rsidR="00BB0611" w:rsidRPr="00AA6275">
        <w:rPr>
          <w:color w:val="000000" w:themeColor="text1"/>
        </w:rPr>
        <w:t xml:space="preserve"> 2018</w:t>
      </w:r>
    </w:p>
    <w:p w:rsidR="00E96C5A" w:rsidRPr="002D23B9" w:rsidRDefault="00DB2CBC"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6.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0B36CA">
      <w:pPr>
        <w:pStyle w:val="AERbodytext"/>
        <w:spacing w:after="120"/>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w:t>
      </w:r>
      <w:r w:rsidR="0097000C" w:rsidRPr="0097000C">
        <w:lastRenderedPageBreak/>
        <w:t>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96C5A" w:rsidP="000B36CA">
      <w:pPr>
        <w:pStyle w:val="Figureheading"/>
        <w:numPr>
          <w:ilvl w:val="0"/>
          <w:numId w:val="0"/>
        </w:numPr>
        <w:spacing w:before="180"/>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DB2CBC" w:rsidP="000B36CA">
      <w:pPr>
        <w:pStyle w:val="AERbodytext"/>
        <w:spacing w:after="0"/>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style="width:451pt;height:227.5pt">
            <v:imagedata r:id="rId20" o:title=""/>
          </v:shape>
        </w:pict>
      </w:r>
    </w:p>
    <w:p w:rsidR="00E96C5A" w:rsidRPr="002D23B9" w:rsidRDefault="00E96C5A" w:rsidP="000B36CA">
      <w:pPr>
        <w:pStyle w:val="AERbodytext"/>
        <w:spacing w:before="120" w:after="6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0B36CA">
      <w:pPr>
        <w:pStyle w:val="Sourceandnotes"/>
        <w:spacing w:after="200"/>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0B36CA">
      <w:pPr>
        <w:pStyle w:val="AERbodytext"/>
        <w:spacing w:after="200"/>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0B36CA">
      <w:pPr>
        <w:pStyle w:val="AERbodytext"/>
        <w:spacing w:after="12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726014" w:rsidP="000B36CA">
      <w:pPr>
        <w:pStyle w:val="AERbodytext"/>
        <w:spacing w:after="20"/>
      </w:pPr>
      <w:r w:rsidRPr="00726014">
        <w:pict>
          <v:shape id="_x0000_i1039" type="#_x0000_t75" style="width:451pt;height:226.5pt">
            <v:imagedata r:id="rId23" o:title=""/>
          </v:shape>
        </w:pict>
      </w:r>
      <w:bookmarkStart w:id="9" w:name="_GoBack"/>
      <w:bookmarkEnd w:id="9"/>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0B36CA">
      <w:pPr>
        <w:pStyle w:val="AERbodytext"/>
        <w:keepNext/>
        <w:spacing w:before="240" w:after="120" w:line="240" w:lineRule="auto"/>
        <w:jc w:val="left"/>
        <w:rPr>
          <w:b/>
        </w:rPr>
      </w:pPr>
      <w:r w:rsidRPr="002D23B9">
        <w:rPr>
          <w:b/>
        </w:rPr>
        <w:t>Australian Energy Regulator</w:t>
      </w:r>
    </w:p>
    <w:p w:rsidR="00E96C5A" w:rsidRPr="00AA6275" w:rsidRDefault="00F04373" w:rsidP="003157C3">
      <w:pPr>
        <w:rPr>
          <w:color w:val="000000" w:themeColor="text1"/>
        </w:rPr>
      </w:pPr>
      <w:r>
        <w:rPr>
          <w:b/>
          <w:color w:val="000000" w:themeColor="text1"/>
        </w:rPr>
        <w:t>September</w:t>
      </w:r>
      <w:r w:rsidR="00B54368"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005EFF">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66764" w:rsidRPr="00F66764">
      <w:rPr>
        <w:i/>
      </w:rPr>
      <w:t>D14/</w:t>
    </w:r>
    <w:r w:rsidR="0056600C">
      <w:rPr>
        <w:i/>
      </w:rPr>
      <w:t>126278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 w:numId="17">
    <w:abstractNumId w:val="15"/>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fkost\20140831 - 20140906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5E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6CA"/>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078"/>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2E"/>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014"/>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54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679D"/>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5C"/>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3F6B"/>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2CBC"/>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284"/>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A858B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91EA07F6.dotm</Template>
  <TotalTime>0</TotalTime>
  <Pages>8</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2014-09-22T04:44:00Z</dcterms:created>
  <dcterms:modified xsi:type="dcterms:W3CDTF">2014-09-22T04:45:00Z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8269648</vt:lpwstr>
  </property>
</Properties>
</file>