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A853E2"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5600B6" w:rsidP="00BD60AA">
                  <w:pPr>
                    <w:spacing w:before="140"/>
                    <w:rPr>
                      <w:b/>
                    </w:rPr>
                  </w:pPr>
                  <w:r>
                    <w:rPr>
                      <w:b/>
                    </w:rPr>
                    <w:t>24 – 30 August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5600B6" w:rsidRDefault="005600B6" w:rsidP="00FF2760">
      <w:pPr>
        <w:pStyle w:val="AERunnumberedheading3"/>
        <w:jc w:val="both"/>
        <w:rPr>
          <w:rFonts w:ascii="Times New Roman" w:hAnsi="Times New Roman"/>
          <w:lang w:eastAsia="en-AU"/>
        </w:rPr>
      </w:pPr>
      <w:r>
        <w:rPr>
          <w:rFonts w:ascii="Times New Roman" w:hAnsi="Times New Roman"/>
          <w:lang w:eastAsia="en-AU"/>
        </w:rPr>
        <w:t>For the last week of</w:t>
      </w:r>
      <w:bookmarkStart w:id="2" w:name="_GoBack"/>
      <w:bookmarkEnd w:id="2"/>
      <w:r>
        <w:rPr>
          <w:rFonts w:ascii="Times New Roman" w:hAnsi="Times New Roman"/>
          <w:lang w:eastAsia="en-AU"/>
        </w:rPr>
        <w:t xml:space="preserve"> the Australian winter average gas prices </w:t>
      </w:r>
      <w:r w:rsidR="00B7323D">
        <w:rPr>
          <w:rFonts w:ascii="Times New Roman" w:hAnsi="Times New Roman"/>
          <w:lang w:eastAsia="en-AU"/>
        </w:rPr>
        <w:t>for all markets remained relatively low, ranging between $2.87/GJ and $4.03/GJ</w:t>
      </w:r>
      <w:r>
        <w:rPr>
          <w:rFonts w:ascii="Times New Roman" w:hAnsi="Times New Roman"/>
          <w:lang w:eastAsia="en-AU"/>
        </w:rPr>
        <w:t>.</w:t>
      </w:r>
      <w:r w:rsidR="00B7323D">
        <w:rPr>
          <w:rStyle w:val="FootnoteReference"/>
          <w:rFonts w:ascii="Times New Roman" w:hAnsi="Times New Roman"/>
          <w:lang w:eastAsia="en-AU"/>
        </w:rPr>
        <w:footnoteReference w:id="1"/>
      </w:r>
      <w:r>
        <w:rPr>
          <w:rFonts w:ascii="Times New Roman" w:hAnsi="Times New Roman"/>
          <w:lang w:eastAsia="en-AU"/>
        </w:rPr>
        <w:t xml:space="preserve">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2"/>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142310" w:rsidRPr="006376D7" w:rsidTr="002861A9">
        <w:trPr>
          <w:trHeight w:val="382"/>
        </w:trPr>
        <w:tc>
          <w:tcPr>
            <w:tcW w:w="371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24 Aug - 30 Aug 2014</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3.28</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4.03</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3.60</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2.87</w:t>
            </w:r>
          </w:p>
        </w:tc>
      </w:tr>
      <w:tr w:rsidR="00142310" w:rsidRPr="006376D7" w:rsidTr="002861A9">
        <w:trPr>
          <w:trHeight w:val="382"/>
        </w:trPr>
        <w:tc>
          <w:tcPr>
            <w:tcW w:w="371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10</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22</w:t>
            </w:r>
          </w:p>
        </w:tc>
      </w:tr>
      <w:tr w:rsidR="00142310" w:rsidRPr="006376D7" w:rsidTr="002861A9">
        <w:trPr>
          <w:trHeight w:val="382"/>
        </w:trPr>
        <w:tc>
          <w:tcPr>
            <w:tcW w:w="371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3.70</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3.89</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3.95</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2.34</w:t>
            </w:r>
          </w:p>
        </w:tc>
      </w:tr>
      <w:tr w:rsidR="00142310" w:rsidRPr="006376D7" w:rsidTr="002861A9">
        <w:trPr>
          <w:trHeight w:val="382"/>
        </w:trPr>
        <w:tc>
          <w:tcPr>
            <w:tcW w:w="371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-20</w:t>
            </w:r>
          </w:p>
        </w:tc>
        <w:tc>
          <w:tcPr>
            <w:tcW w:w="143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-60</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142310" w:rsidRPr="006376D7" w:rsidTr="002861A9">
        <w:trPr>
          <w:trHeight w:val="382"/>
        </w:trPr>
        <w:tc>
          <w:tcPr>
            <w:tcW w:w="3708"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24 Aug - 30 Aug 2014</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3.28</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683</w:t>
            </w:r>
          </w:p>
        </w:tc>
      </w:tr>
      <w:tr w:rsidR="00142310" w:rsidRPr="006376D7" w:rsidTr="002861A9">
        <w:trPr>
          <w:trHeight w:val="382"/>
        </w:trPr>
        <w:tc>
          <w:tcPr>
            <w:tcW w:w="3708"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-14</w:t>
            </w:r>
          </w:p>
        </w:tc>
      </w:tr>
      <w:tr w:rsidR="00142310" w:rsidRPr="006376D7" w:rsidTr="002861A9">
        <w:trPr>
          <w:trHeight w:val="382"/>
        </w:trPr>
        <w:tc>
          <w:tcPr>
            <w:tcW w:w="3708"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3.70</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882</w:t>
            </w:r>
          </w:p>
        </w:tc>
      </w:tr>
      <w:tr w:rsidR="00142310" w:rsidRPr="006376D7" w:rsidTr="002861A9">
        <w:trPr>
          <w:trHeight w:val="382"/>
        </w:trPr>
        <w:tc>
          <w:tcPr>
            <w:tcW w:w="3708"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24 Aug - 30 Aug 2014</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4.03</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4.14</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9.77</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290</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297</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10</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-5</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-63</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0</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3.89</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4.05</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18.88</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291</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296</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-14</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73</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24 Aug - 30 Aug 2014</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3.60</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3.13</w:t>
            </w:r>
          </w:p>
        </w:tc>
        <w:tc>
          <w:tcPr>
            <w:tcW w:w="137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14.76</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80</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76</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-9</w:t>
            </w:r>
          </w:p>
        </w:tc>
        <w:tc>
          <w:tcPr>
            <w:tcW w:w="137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-72</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-7</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3.95</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3.88</w:t>
            </w:r>
          </w:p>
        </w:tc>
        <w:tc>
          <w:tcPr>
            <w:tcW w:w="137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15.93</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89</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89</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-29</w:t>
            </w:r>
          </w:p>
        </w:tc>
        <w:tc>
          <w:tcPr>
            <w:tcW w:w="137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-24</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24 Aug - 30 Aug 2014</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2.87</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2.89</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1.91</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174</w:t>
            </w:r>
          </w:p>
        </w:tc>
        <w:tc>
          <w:tcPr>
            <w:tcW w:w="11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175</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22</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27</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86</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10</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2.34</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2.34</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0.96</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162</w:t>
            </w:r>
          </w:p>
        </w:tc>
        <w:tc>
          <w:tcPr>
            <w:tcW w:w="11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161</w:t>
            </w:r>
          </w:p>
        </w:tc>
      </w:tr>
      <w:tr w:rsidR="00142310" w:rsidRPr="002861A9" w:rsidTr="002861A9">
        <w:trPr>
          <w:trHeight w:val="382"/>
        </w:trPr>
        <w:tc>
          <w:tcPr>
            <w:tcW w:w="2670" w:type="dxa"/>
            <w:noWrap/>
            <w:tcMar>
              <w:top w:w="0" w:type="dxa"/>
              <w:bottom w:w="0" w:type="dxa"/>
            </w:tcMar>
            <w:vAlign w:val="center"/>
          </w:tcPr>
          <w:p w:rsidR="00142310" w:rsidRDefault="00142310">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-60</w:t>
            </w:r>
          </w:p>
        </w:tc>
        <w:tc>
          <w:tcPr>
            <w:tcW w:w="136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-60</w:t>
            </w:r>
          </w:p>
        </w:tc>
        <w:tc>
          <w:tcPr>
            <w:tcW w:w="1359"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-42</w:t>
            </w:r>
          </w:p>
        </w:tc>
        <w:tc>
          <w:tcPr>
            <w:tcW w:w="12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142310" w:rsidRDefault="00142310">
            <w:pPr>
              <w:jc w:val="center"/>
              <w:rPr>
                <w:rFonts w:ascii="Arial" w:hAnsi="Arial" w:cs="Arial"/>
                <w:sz w:val="20"/>
                <w:szCs w:val="20"/>
              </w:rPr>
            </w:pPr>
            <w:r>
              <w:rPr>
                <w:rFonts w:ascii="Arial" w:hAnsi="Arial" w:cs="Arial"/>
                <w:sz w:val="20"/>
                <w:szCs w:val="20"/>
              </w:rPr>
              <w:t>5</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DF5FA0" w:rsidRDefault="000D6207" w:rsidP="00AC43F0">
      <w:pPr>
        <w:spacing w:before="120" w:after="120"/>
        <w:jc w:val="both"/>
      </w:pPr>
      <w:r>
        <w:t>For Victoria,</w:t>
      </w:r>
      <w:r w:rsidR="00DF5FA0">
        <w:t xml:space="preserve"> a high pre dispatch price </w:t>
      </w:r>
      <w:r w:rsidR="00CD495D">
        <w:t xml:space="preserve">on 26 August 2014 </w:t>
      </w:r>
      <w:r>
        <w:t>in</w:t>
      </w:r>
      <w:r w:rsidR="00DF5FA0">
        <w:t xml:space="preserve"> the National Electricity Market </w:t>
      </w:r>
      <w:r w:rsidR="00DF5FA0" w:rsidRPr="0085368B">
        <w:rPr>
          <w:b/>
        </w:rPr>
        <w:t>(NEM)</w:t>
      </w:r>
      <w:r w:rsidR="00DF5FA0">
        <w:t xml:space="preserve"> influenced an increase</w:t>
      </w:r>
      <w:r w:rsidR="00AC43F0">
        <w:t xml:space="preserve"> in</w:t>
      </w:r>
      <w:r w:rsidR="00DF5FA0">
        <w:t xml:space="preserve"> GPG </w:t>
      </w:r>
      <w:r w:rsidR="00AC43F0">
        <w:t xml:space="preserve">gas </w:t>
      </w:r>
      <w:r w:rsidR="00DF5FA0">
        <w:t>usage</w:t>
      </w:r>
      <w:r>
        <w:t xml:space="preserve"> – primarily from the Newport Power Station</w:t>
      </w:r>
      <w:r w:rsidR="00DF5FA0">
        <w:t>.</w:t>
      </w:r>
      <w:bookmarkStart w:id="3" w:name="OLE_LINK7"/>
      <w:bookmarkStart w:id="4" w:name="OLE_LINK8"/>
      <w:r>
        <w:t xml:space="preserve"> However, the increase in demand did not appear to materially impact prices on the day.</w:t>
      </w:r>
    </w:p>
    <w:p w:rsidR="000D6207" w:rsidRDefault="000D6207" w:rsidP="00AC43F0">
      <w:pPr>
        <w:spacing w:before="120" w:after="120"/>
        <w:jc w:val="both"/>
      </w:pPr>
      <w:r>
        <w:t xml:space="preserve">In the STTM, inaccuracies in demand forecasts led to a variation between ex ante and ex post prices on some occasions during the week.  In the Adelaide </w:t>
      </w:r>
      <w:r w:rsidR="003D0F7C">
        <w:t>hub</w:t>
      </w:r>
      <w:r>
        <w:t>, for example, over</w:t>
      </w:r>
      <w:r w:rsidR="00CD495D">
        <w:t>-</w:t>
      </w:r>
      <w:r>
        <w:t>forecast demand (combined with a steep offer curve) led to a $1/GJ difference in the ex ante and ex post prices for gas day 28 August 2014.</w:t>
      </w:r>
    </w:p>
    <w:p w:rsidR="003D0F7C" w:rsidRDefault="003D0F7C" w:rsidP="00AC43F0">
      <w:pPr>
        <w:spacing w:before="120" w:after="120"/>
        <w:jc w:val="both"/>
      </w:pPr>
    </w:p>
    <w:p w:rsidR="00DF5FA0" w:rsidRDefault="00DF5FA0" w:rsidP="00DF5FA0">
      <w:pPr>
        <w:spacing w:before="120" w:after="120"/>
      </w:pPr>
    </w:p>
    <w:p w:rsidR="00DF5FA0" w:rsidRDefault="00DF5FA0" w:rsidP="00DF5FA0">
      <w:pPr>
        <w:spacing w:before="120" w:after="120"/>
      </w:pPr>
    </w:p>
    <w:p w:rsidR="00502181" w:rsidRPr="003A284F" w:rsidRDefault="00DF5FA0" w:rsidP="00DF5FA0">
      <w:pPr>
        <w:spacing w:before="120" w:after="120"/>
        <w:rPr>
          <w:b/>
          <w:sz w:val="22"/>
          <w:szCs w:val="22"/>
        </w:rPr>
      </w:pPr>
      <w:r>
        <w:lastRenderedPageBreak/>
        <w:t xml:space="preserve"> </w:t>
      </w:r>
      <w:r w:rsidR="00A853E2">
        <w:pict>
          <v:shape id="_x0000_i1026" type="#_x0000_t75" style="width:503.25pt;height:1in" o:allowoverlap="f">
            <v:imagedata r:id="rId9" o:title="" cropbottom="17873f" cropright="30275f"/>
          </v:shape>
        </w:pict>
      </w:r>
      <w:bookmarkEnd w:id="3"/>
      <w:bookmarkEnd w:id="4"/>
    </w:p>
    <w:p w:rsidR="00502181" w:rsidRPr="00B66E50" w:rsidRDefault="00A853E2"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CD495D" w:rsidRPr="00A65EC8" w:rsidRDefault="00CD495D" w:rsidP="00CD495D">
                  <w:pPr>
                    <w:spacing w:before="140"/>
                    <w:rPr>
                      <w:b/>
                    </w:rPr>
                  </w:pPr>
                  <w:r>
                    <w:rPr>
                      <w:b/>
                    </w:rPr>
                    <w:t>24 – 30 August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BC31C1" w:rsidRDefault="005F18AD" w:rsidP="009B2F99">
      <w:pPr>
        <w:pStyle w:val="AERfigureheading"/>
        <w:numPr>
          <w:ilvl w:val="5"/>
          <w:numId w:val="16"/>
        </w:numPr>
        <w:rPr>
          <w:rFonts w:ascii="Arial" w:hAnsi="Arial" w:cs="Arial"/>
          <w:sz w:val="20"/>
          <w:szCs w:val="20"/>
        </w:rPr>
      </w:pPr>
      <w:r w:rsidRPr="00BC31C1">
        <w:rPr>
          <w:rFonts w:ascii="Arial" w:hAnsi="Arial" w:cs="Arial"/>
          <w:sz w:val="20"/>
          <w:szCs w:val="20"/>
        </w:rPr>
        <w:t xml:space="preserve">Prices by schedule </w:t>
      </w:r>
    </w:p>
    <w:p w:rsidR="005F18AD" w:rsidRPr="00767397" w:rsidRDefault="00A853E2" w:rsidP="006C6D60">
      <w:pPr>
        <w:pStyle w:val="AERbodytext"/>
        <w:spacing w:before="120"/>
        <w:jc w:val="center"/>
      </w:pPr>
      <w:r>
        <w:pict>
          <v:shape id="_x0000_i1027" type="#_x0000_t75" style="width:476.25pt;height:137.25pt">
            <v:imagedata r:id="rId12" o:title=""/>
          </v:shape>
        </w:pict>
      </w:r>
    </w:p>
    <w:p w:rsidR="005F18AD" w:rsidRPr="00BC31C1" w:rsidRDefault="005F18AD" w:rsidP="00DA3AAA">
      <w:pPr>
        <w:pStyle w:val="AERfigureheading"/>
        <w:tabs>
          <w:tab w:val="clear" w:pos="1361"/>
          <w:tab w:val="num" w:pos="1260"/>
        </w:tabs>
        <w:spacing w:before="120"/>
        <w:ind w:left="1260" w:hanging="1260"/>
        <w:rPr>
          <w:rFonts w:ascii="Arial" w:hAnsi="Arial" w:cs="Arial"/>
          <w:sz w:val="20"/>
          <w:szCs w:val="20"/>
        </w:rPr>
      </w:pPr>
      <w:r w:rsidRPr="00BC31C1">
        <w:rPr>
          <w:rFonts w:ascii="Arial" w:hAnsi="Arial" w:cs="Arial"/>
          <w:sz w:val="20"/>
          <w:szCs w:val="20"/>
        </w:rPr>
        <w:t xml:space="preserve">Demand </w:t>
      </w:r>
      <w:r w:rsidR="001452B3" w:rsidRPr="00BC31C1">
        <w:rPr>
          <w:rFonts w:ascii="Arial" w:hAnsi="Arial" w:cs="Arial"/>
          <w:sz w:val="20"/>
          <w:szCs w:val="20"/>
        </w:rPr>
        <w:t>f</w:t>
      </w:r>
      <w:r w:rsidRPr="00BC31C1">
        <w:rPr>
          <w:rFonts w:ascii="Arial" w:hAnsi="Arial" w:cs="Arial"/>
          <w:sz w:val="20"/>
          <w:szCs w:val="20"/>
        </w:rPr>
        <w:t>orecasts</w:t>
      </w:r>
      <w:r w:rsidR="008133CF" w:rsidRPr="00BC31C1">
        <w:rPr>
          <w:rFonts w:ascii="Arial" w:hAnsi="Arial" w:cs="Arial"/>
          <w:sz w:val="20"/>
          <w:szCs w:val="20"/>
        </w:rPr>
        <w:t xml:space="preserve"> </w:t>
      </w:r>
    </w:p>
    <w:p w:rsidR="005F18AD" w:rsidRPr="00767397" w:rsidRDefault="00A853E2" w:rsidP="006C6D60">
      <w:pPr>
        <w:pStyle w:val="AERbodytext"/>
        <w:spacing w:before="120" w:after="0"/>
        <w:jc w:val="center"/>
      </w:pPr>
      <w:r>
        <w:pict>
          <v:shape id="_x0000_i1028" type="#_x0000_t75" style="width:475.5pt;height:177pt">
            <v:imagedata r:id="rId13" o:title=""/>
          </v:shape>
        </w:pict>
      </w:r>
    </w:p>
    <w:p w:rsidR="001A5C1A" w:rsidRPr="00BC31C1" w:rsidRDefault="001A5C1A" w:rsidP="00B24A61">
      <w:pPr>
        <w:pStyle w:val="AERfigureheading"/>
        <w:tabs>
          <w:tab w:val="clear" w:pos="1361"/>
          <w:tab w:val="num" w:pos="1260"/>
        </w:tabs>
        <w:spacing w:before="120"/>
        <w:ind w:left="1260" w:hanging="1260"/>
        <w:rPr>
          <w:rFonts w:ascii="Arial" w:hAnsi="Arial" w:cs="Arial"/>
          <w:sz w:val="20"/>
          <w:szCs w:val="20"/>
        </w:rPr>
      </w:pPr>
      <w:r w:rsidRPr="00BC31C1">
        <w:rPr>
          <w:rFonts w:ascii="Arial" w:hAnsi="Arial" w:cs="Arial"/>
          <w:sz w:val="20"/>
          <w:szCs w:val="20"/>
        </w:rPr>
        <w:lastRenderedPageBreak/>
        <w:t>Injection bids by price bands</w:t>
      </w:r>
    </w:p>
    <w:p w:rsidR="00A26940" w:rsidRPr="00767397" w:rsidRDefault="00A853E2" w:rsidP="006C6D60">
      <w:pPr>
        <w:pStyle w:val="AERbodytext"/>
        <w:spacing w:before="120" w:after="0"/>
        <w:jc w:val="center"/>
      </w:pPr>
      <w:r>
        <w:pict>
          <v:shape id="_x0000_i1029" type="#_x0000_t75" style="width:476.25pt;height:219.75pt">
            <v:imagedata r:id="rId14" o:title=""/>
          </v:shape>
        </w:pict>
      </w:r>
    </w:p>
    <w:p w:rsidR="00372976" w:rsidRPr="00BC31C1" w:rsidRDefault="00372976" w:rsidP="00B24A61">
      <w:pPr>
        <w:pStyle w:val="AERfigureheading"/>
        <w:tabs>
          <w:tab w:val="clear" w:pos="1361"/>
          <w:tab w:val="num" w:pos="1260"/>
        </w:tabs>
        <w:spacing w:before="120"/>
        <w:ind w:left="1260" w:hanging="1260"/>
        <w:rPr>
          <w:rFonts w:ascii="Arial" w:hAnsi="Arial" w:cs="Arial"/>
          <w:sz w:val="20"/>
          <w:szCs w:val="20"/>
        </w:rPr>
      </w:pPr>
      <w:r w:rsidRPr="00BC31C1">
        <w:rPr>
          <w:rFonts w:ascii="Arial" w:hAnsi="Arial" w:cs="Arial"/>
          <w:sz w:val="20"/>
          <w:szCs w:val="20"/>
        </w:rPr>
        <w:t>Withdrawal bids by price bands</w:t>
      </w:r>
    </w:p>
    <w:p w:rsidR="00BE4577" w:rsidRPr="00767397" w:rsidRDefault="00A853E2" w:rsidP="006C6D60">
      <w:pPr>
        <w:pStyle w:val="AERbodytext"/>
        <w:jc w:val="center"/>
      </w:pPr>
      <w:r>
        <w:pict>
          <v:shape id="_x0000_i1030" type="#_x0000_t75" style="width:476.25pt;height:171.75pt">
            <v:imagedata r:id="rId15" o:title=""/>
          </v:shape>
        </w:pict>
      </w:r>
    </w:p>
    <w:p w:rsidR="00A26940" w:rsidRPr="00BC31C1" w:rsidRDefault="00B24A61" w:rsidP="00BE4577">
      <w:pPr>
        <w:pStyle w:val="AERfigureheading"/>
        <w:rPr>
          <w:rFonts w:ascii="Arial" w:hAnsi="Arial" w:cs="Arial"/>
          <w:sz w:val="20"/>
          <w:szCs w:val="20"/>
        </w:rPr>
      </w:pPr>
      <w:r w:rsidRPr="00BC31C1">
        <w:rPr>
          <w:rFonts w:ascii="Arial" w:hAnsi="Arial" w:cs="Arial"/>
          <w:sz w:val="20"/>
          <w:szCs w:val="20"/>
        </w:rPr>
        <w:t xml:space="preserve">Metered </w:t>
      </w:r>
      <w:r w:rsidR="00652A42" w:rsidRPr="00BC31C1">
        <w:rPr>
          <w:rFonts w:ascii="Arial" w:hAnsi="Arial" w:cs="Arial"/>
          <w:sz w:val="20"/>
          <w:szCs w:val="20"/>
        </w:rPr>
        <w:t>I</w:t>
      </w:r>
      <w:r w:rsidR="00A26940" w:rsidRPr="00BC31C1">
        <w:rPr>
          <w:rFonts w:ascii="Arial" w:hAnsi="Arial" w:cs="Arial"/>
          <w:sz w:val="20"/>
          <w:szCs w:val="20"/>
        </w:rPr>
        <w:t xml:space="preserve">njections </w:t>
      </w:r>
      <w:r w:rsidR="008F4EAE" w:rsidRPr="00BC31C1">
        <w:rPr>
          <w:rFonts w:ascii="Arial" w:hAnsi="Arial" w:cs="Arial"/>
          <w:sz w:val="20"/>
          <w:szCs w:val="20"/>
        </w:rPr>
        <w:t xml:space="preserve">by </w:t>
      </w:r>
      <w:r w:rsidRPr="00BC31C1">
        <w:rPr>
          <w:rFonts w:ascii="Arial" w:hAnsi="Arial" w:cs="Arial"/>
          <w:sz w:val="20"/>
          <w:szCs w:val="20"/>
        </w:rPr>
        <w:t xml:space="preserve">System Injection Point </w:t>
      </w:r>
    </w:p>
    <w:p w:rsidR="0006609A" w:rsidRPr="00767397" w:rsidRDefault="00A853E2"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Pr="00B24A61" w:rsidRDefault="00B24A61" w:rsidP="00C0480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w:t>
      </w:r>
      <w:r w:rsidR="00C04801">
        <w:t>OS allocated for each pipeline.</w:t>
      </w: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4.10</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4.13</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4.36</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242</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291</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305</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309</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305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279</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4.14</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4.13</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4.50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4.50</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255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288</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306</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309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313</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290</w:t>
            </w:r>
          </w:p>
        </w:tc>
      </w:tr>
    </w:tbl>
    <w:p w:rsidR="00055584" w:rsidRPr="00BC31C1" w:rsidRDefault="0045204B" w:rsidP="00502181">
      <w:pPr>
        <w:pStyle w:val="AERtableheading-unnumbered"/>
        <w:numPr>
          <w:ilvl w:val="0"/>
          <w:numId w:val="0"/>
        </w:numPr>
        <w:spacing w:before="480"/>
        <w:rPr>
          <w:rFonts w:ascii="Arial" w:hAnsi="Arial" w:cs="Arial"/>
          <w:sz w:val="19"/>
          <w:szCs w:val="19"/>
        </w:rPr>
      </w:pPr>
      <w:r w:rsidRPr="00BC31C1">
        <w:rPr>
          <w:rFonts w:ascii="Arial" w:hAnsi="Arial" w:cs="Arial"/>
          <w:sz w:val="19"/>
          <w:szCs w:val="19"/>
        </w:rPr>
        <w:t>Figure 2.2 (a)</w:t>
      </w:r>
      <w:r w:rsidR="002C0499" w:rsidRPr="00BC31C1">
        <w:rPr>
          <w:rFonts w:ascii="Arial" w:hAnsi="Arial" w:cs="Arial"/>
          <w:sz w:val="19"/>
          <w:szCs w:val="19"/>
        </w:rPr>
        <w:t>:</w:t>
      </w:r>
      <w:r w:rsidRPr="00BC31C1">
        <w:rPr>
          <w:rFonts w:ascii="Arial" w:hAnsi="Arial" w:cs="Arial"/>
          <w:sz w:val="19"/>
          <w:szCs w:val="19"/>
        </w:rPr>
        <w:t xml:space="preserve"> </w:t>
      </w:r>
      <w:r w:rsidR="00055584" w:rsidRPr="00BC31C1">
        <w:rPr>
          <w:rFonts w:ascii="Arial" w:hAnsi="Arial" w:cs="Arial"/>
          <w:sz w:val="19"/>
          <w:szCs w:val="19"/>
        </w:rPr>
        <w:t>Daily hub offers</w:t>
      </w:r>
      <w:r w:rsidR="00781A4A" w:rsidRPr="00BC31C1">
        <w:rPr>
          <w:rFonts w:ascii="Arial" w:hAnsi="Arial" w:cs="Arial"/>
          <w:sz w:val="19"/>
          <w:szCs w:val="19"/>
        </w:rPr>
        <w:t xml:space="preserve"> in price bands</w:t>
      </w:r>
      <w:r w:rsidR="00CD3544" w:rsidRPr="00BC31C1">
        <w:rPr>
          <w:rFonts w:ascii="Arial" w:hAnsi="Arial" w:cs="Arial"/>
          <w:sz w:val="19"/>
          <w:szCs w:val="19"/>
        </w:rPr>
        <w:t xml:space="preserve"> </w:t>
      </w:r>
      <w:r w:rsidR="00587CD1" w:rsidRPr="00BC31C1">
        <w:rPr>
          <w:rFonts w:ascii="Arial" w:hAnsi="Arial" w:cs="Arial"/>
          <w:sz w:val="19"/>
          <w:szCs w:val="19"/>
        </w:rPr>
        <w:t xml:space="preserve">($/GJ) </w:t>
      </w:r>
      <w:r w:rsidR="00781A4A" w:rsidRPr="00BC31C1">
        <w:rPr>
          <w:rFonts w:ascii="Arial" w:hAnsi="Arial" w:cs="Arial"/>
          <w:sz w:val="19"/>
          <w:szCs w:val="19"/>
        </w:rPr>
        <w:t xml:space="preserve"> </w:t>
      </w:r>
      <w:r w:rsidRPr="00BC31C1">
        <w:rPr>
          <w:rFonts w:ascii="Arial" w:hAnsi="Arial" w:cs="Arial"/>
          <w:sz w:val="19"/>
          <w:szCs w:val="19"/>
        </w:rPr>
        <w:t xml:space="preserve">   </w:t>
      </w:r>
      <w:r w:rsidR="00587CD1" w:rsidRPr="00BC31C1">
        <w:rPr>
          <w:rFonts w:ascii="Arial" w:hAnsi="Arial" w:cs="Arial"/>
          <w:sz w:val="19"/>
          <w:szCs w:val="19"/>
        </w:rPr>
        <w:t>Figure 2.2</w:t>
      </w:r>
      <w:r w:rsidR="00C80FD8" w:rsidRPr="00BC31C1">
        <w:rPr>
          <w:rFonts w:ascii="Arial" w:hAnsi="Arial" w:cs="Arial"/>
          <w:sz w:val="19"/>
          <w:szCs w:val="19"/>
        </w:rPr>
        <w:t xml:space="preserve"> </w:t>
      </w:r>
      <w:r w:rsidR="00781A4A" w:rsidRPr="00BC31C1">
        <w:rPr>
          <w:rFonts w:ascii="Arial" w:hAnsi="Arial" w:cs="Arial"/>
          <w:sz w:val="19"/>
          <w:szCs w:val="19"/>
        </w:rPr>
        <w:t>(b)</w:t>
      </w:r>
      <w:r w:rsidR="00587CD1" w:rsidRPr="00BC31C1">
        <w:rPr>
          <w:rFonts w:ascii="Arial" w:hAnsi="Arial" w:cs="Arial"/>
          <w:sz w:val="19"/>
          <w:szCs w:val="19"/>
        </w:rPr>
        <w:t>:</w:t>
      </w:r>
      <w:r w:rsidR="00781A4A" w:rsidRPr="00BC31C1">
        <w:rPr>
          <w:rFonts w:ascii="Arial" w:hAnsi="Arial" w:cs="Arial"/>
          <w:sz w:val="19"/>
          <w:szCs w:val="19"/>
        </w:rPr>
        <w:t xml:space="preserve"> Daily hub b</w:t>
      </w:r>
      <w:r w:rsidRPr="00BC31C1">
        <w:rPr>
          <w:rFonts w:ascii="Arial" w:hAnsi="Arial" w:cs="Arial"/>
          <w:sz w:val="19"/>
          <w:szCs w:val="19"/>
        </w:rPr>
        <w:t>i</w:t>
      </w:r>
      <w:r w:rsidR="00781A4A" w:rsidRPr="00BC31C1">
        <w:rPr>
          <w:rFonts w:ascii="Arial" w:hAnsi="Arial" w:cs="Arial"/>
          <w:sz w:val="19"/>
          <w:szCs w:val="19"/>
        </w:rPr>
        <w:t xml:space="preserve">ds </w:t>
      </w:r>
      <w:r w:rsidR="00CD3544" w:rsidRPr="00BC31C1">
        <w:rPr>
          <w:rFonts w:ascii="Arial" w:hAnsi="Arial" w:cs="Arial"/>
          <w:sz w:val="19"/>
          <w:szCs w:val="19"/>
        </w:rPr>
        <w:t>in</w:t>
      </w:r>
      <w:r w:rsidR="00055584" w:rsidRPr="00BC31C1">
        <w:rPr>
          <w:rFonts w:ascii="Arial" w:hAnsi="Arial" w:cs="Arial"/>
          <w:sz w:val="19"/>
          <w:szCs w:val="19"/>
        </w:rPr>
        <w:t xml:space="preserve"> price bands ($/GJ)</w:t>
      </w:r>
    </w:p>
    <w:p w:rsidR="00055584" w:rsidRPr="00FC426D" w:rsidRDefault="00A853E2" w:rsidP="006C6D60">
      <w:pPr>
        <w:pStyle w:val="FigheadingA"/>
        <w:numPr>
          <w:ilvl w:val="0"/>
          <w:numId w:val="0"/>
        </w:numPr>
        <w:spacing w:before="120" w:after="0"/>
        <w:ind w:left="1134" w:hanging="1134"/>
        <w:jc w:val="center"/>
      </w:pPr>
      <w:r>
        <w:pict>
          <v:shape id="_x0000_i1032" type="#_x0000_t75" style="width:475.5pt;height:181.5pt">
            <v:imagedata r:id="rId18" o:title=""/>
          </v:shape>
        </w:pict>
      </w:r>
      <w:r w:rsidR="00055584" w:rsidRPr="00452AAD" w:rsidDel="00452AAD">
        <w:t xml:space="preserve"> </w:t>
      </w:r>
    </w:p>
    <w:p w:rsidR="008E2239" w:rsidRPr="00BC31C1" w:rsidRDefault="003410C4" w:rsidP="00157AFD">
      <w:pPr>
        <w:pStyle w:val="AERfigureheading"/>
        <w:numPr>
          <w:ilvl w:val="5"/>
          <w:numId w:val="42"/>
        </w:numPr>
        <w:tabs>
          <w:tab w:val="clear" w:pos="1361"/>
          <w:tab w:val="num" w:pos="1260"/>
        </w:tabs>
        <w:rPr>
          <w:rFonts w:ascii="Arial" w:hAnsi="Arial" w:cs="Arial"/>
          <w:sz w:val="20"/>
          <w:szCs w:val="20"/>
        </w:rPr>
      </w:pPr>
      <w:r w:rsidRPr="00BC31C1">
        <w:rPr>
          <w:rFonts w:ascii="Arial" w:hAnsi="Arial" w:cs="Arial"/>
          <w:sz w:val="20"/>
          <w:szCs w:val="20"/>
        </w:rPr>
        <w:lastRenderedPageBreak/>
        <w:t xml:space="preserve">SYD </w:t>
      </w:r>
      <w:r w:rsidR="00E52E2A" w:rsidRPr="00BC31C1">
        <w:rPr>
          <w:rFonts w:ascii="Arial" w:hAnsi="Arial" w:cs="Arial"/>
          <w:sz w:val="20"/>
          <w:szCs w:val="20"/>
        </w:rPr>
        <w:t>net</w:t>
      </w:r>
      <w:r w:rsidR="00BA65E6" w:rsidRPr="00BC31C1">
        <w:rPr>
          <w:rFonts w:ascii="Arial" w:hAnsi="Arial" w:cs="Arial"/>
          <w:sz w:val="20"/>
          <w:szCs w:val="20"/>
        </w:rPr>
        <w:t xml:space="preserve"> </w:t>
      </w:r>
      <w:r w:rsidR="005E4C48" w:rsidRPr="00BC31C1">
        <w:rPr>
          <w:rFonts w:ascii="Arial" w:hAnsi="Arial" w:cs="Arial"/>
          <w:sz w:val="20"/>
          <w:szCs w:val="20"/>
        </w:rPr>
        <w:t>s</w:t>
      </w:r>
      <w:r w:rsidR="008E2239" w:rsidRPr="00BC31C1">
        <w:rPr>
          <w:rFonts w:ascii="Arial" w:hAnsi="Arial" w:cs="Arial"/>
          <w:sz w:val="20"/>
          <w:szCs w:val="20"/>
        </w:rPr>
        <w:t xml:space="preserve">cheduled and </w:t>
      </w:r>
      <w:r w:rsidR="005E4C48" w:rsidRPr="00BC31C1">
        <w:rPr>
          <w:rFonts w:ascii="Arial" w:hAnsi="Arial" w:cs="Arial"/>
          <w:sz w:val="20"/>
          <w:szCs w:val="20"/>
        </w:rPr>
        <w:t>a</w:t>
      </w:r>
      <w:r w:rsidR="008E2239" w:rsidRPr="00BC31C1">
        <w:rPr>
          <w:rFonts w:ascii="Arial" w:hAnsi="Arial" w:cs="Arial"/>
          <w:sz w:val="20"/>
          <w:szCs w:val="20"/>
        </w:rPr>
        <w:t>llocated gas</w:t>
      </w:r>
      <w:r w:rsidR="005E4C48" w:rsidRPr="00BC31C1">
        <w:rPr>
          <w:rFonts w:ascii="Arial" w:hAnsi="Arial" w:cs="Arial"/>
          <w:sz w:val="20"/>
          <w:szCs w:val="20"/>
        </w:rPr>
        <w:t xml:space="preserve"> volumes</w:t>
      </w:r>
      <w:r w:rsidR="008E2239" w:rsidRPr="00BC31C1">
        <w:rPr>
          <w:rFonts w:ascii="Arial" w:hAnsi="Arial" w:cs="Arial"/>
          <w:sz w:val="20"/>
          <w:szCs w:val="20"/>
        </w:rPr>
        <w:t xml:space="preserve"> </w:t>
      </w:r>
      <w:r w:rsidR="00E52E2A" w:rsidRPr="00BC31C1">
        <w:rPr>
          <w:rFonts w:ascii="Arial" w:hAnsi="Arial" w:cs="Arial"/>
          <w:sz w:val="20"/>
          <w:szCs w:val="20"/>
        </w:rPr>
        <w:t xml:space="preserve">(excluding MOS) </w:t>
      </w:r>
      <w:r w:rsidR="008E2239" w:rsidRPr="00BC31C1">
        <w:rPr>
          <w:rFonts w:ascii="Arial" w:hAnsi="Arial" w:cs="Arial"/>
          <w:sz w:val="20"/>
          <w:szCs w:val="20"/>
        </w:rPr>
        <w:t xml:space="preserve">by </w:t>
      </w:r>
      <w:r w:rsidR="00BA65E6" w:rsidRPr="00BC31C1">
        <w:rPr>
          <w:rFonts w:ascii="Arial" w:hAnsi="Arial" w:cs="Arial"/>
          <w:sz w:val="20"/>
          <w:szCs w:val="20"/>
        </w:rPr>
        <w:t>STTM facility</w:t>
      </w:r>
    </w:p>
    <w:p w:rsidR="008E2239" w:rsidRPr="002E2E46" w:rsidRDefault="00A853E2" w:rsidP="006C6D60">
      <w:pPr>
        <w:pStyle w:val="BodyText"/>
        <w:spacing w:before="120" w:after="0"/>
        <w:jc w:val="center"/>
      </w:pPr>
      <w:r>
        <w:pict>
          <v:shape id="_x0000_i1033" type="#_x0000_t75" style="width:476.25pt;height:220.5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BC31C1">
        <w:rPr>
          <w:rFonts w:ascii="Arial" w:hAnsi="Arial" w:cs="Arial"/>
          <w:sz w:val="20"/>
          <w:szCs w:val="20"/>
        </w:rPr>
        <w:t>Figure 2.4 (a)</w:t>
      </w:r>
      <w:r w:rsidR="002C0499" w:rsidRPr="00BC31C1">
        <w:rPr>
          <w:rFonts w:ascii="Arial" w:hAnsi="Arial" w:cs="Arial"/>
          <w:sz w:val="20"/>
          <w:szCs w:val="20"/>
        </w:rPr>
        <w:t>:</w:t>
      </w:r>
      <w:r w:rsidRPr="00BC31C1">
        <w:rPr>
          <w:rFonts w:ascii="Arial" w:hAnsi="Arial" w:cs="Arial"/>
          <w:sz w:val="20"/>
          <w:szCs w:val="20"/>
        </w:rPr>
        <w:t xml:space="preserve"> SYD</w:t>
      </w:r>
      <w:r w:rsidR="008936C5" w:rsidRPr="00BC31C1">
        <w:rPr>
          <w:rFonts w:ascii="Arial" w:hAnsi="Arial" w:cs="Arial"/>
          <w:sz w:val="20"/>
          <w:szCs w:val="20"/>
        </w:rPr>
        <w:t xml:space="preserve"> STTM MOS allocations (TJ)         </w:t>
      </w:r>
      <w:r w:rsidRPr="00BC31C1">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A853E2" w:rsidP="006C6D60">
      <w:pPr>
        <w:jc w:val="center"/>
        <w:rPr>
          <w:color w:val="C0C0C0"/>
          <w:sz w:val="28"/>
          <w:szCs w:val="28"/>
        </w:rPr>
      </w:pPr>
      <w:r>
        <w:pict>
          <v:shape id="_x0000_i1034" type="#_x0000_t75" style="width:475.5pt;height:180.7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3.86</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3.69</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3.69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3.45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3.68</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76</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86</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82</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78</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72</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3.69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3.02</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2.58</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3.26</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74</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84</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81</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75</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73</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81</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66</w:t>
            </w:r>
          </w:p>
        </w:tc>
      </w:tr>
    </w:tbl>
    <w:p w:rsidR="00157AFD" w:rsidRPr="00BC31C1" w:rsidRDefault="00157AFD" w:rsidP="00157AFD">
      <w:pPr>
        <w:pStyle w:val="AERtableheading-unnumbered"/>
        <w:numPr>
          <w:ilvl w:val="0"/>
          <w:numId w:val="0"/>
        </w:numPr>
        <w:rPr>
          <w:rFonts w:ascii="Arial" w:hAnsi="Arial" w:cs="Arial"/>
          <w:sz w:val="19"/>
          <w:szCs w:val="19"/>
        </w:rPr>
      </w:pPr>
      <w:r w:rsidRPr="00BC31C1">
        <w:rPr>
          <w:rFonts w:ascii="Arial" w:hAnsi="Arial" w:cs="Arial"/>
          <w:sz w:val="19"/>
          <w:szCs w:val="19"/>
        </w:rPr>
        <w:t>Figure 3.2 (a)</w:t>
      </w:r>
      <w:r w:rsidR="002C0499" w:rsidRPr="00BC31C1">
        <w:rPr>
          <w:rFonts w:ascii="Arial" w:hAnsi="Arial" w:cs="Arial"/>
          <w:sz w:val="19"/>
          <w:szCs w:val="19"/>
        </w:rPr>
        <w:t>:</w:t>
      </w:r>
      <w:r w:rsidRPr="00BC31C1">
        <w:rPr>
          <w:rFonts w:ascii="Arial" w:hAnsi="Arial" w:cs="Arial"/>
          <w:sz w:val="19"/>
          <w:szCs w:val="19"/>
        </w:rPr>
        <w:t xml:space="preserve"> Daily hub offers in price bands ($/GJ)     Figure 3.2</w:t>
      </w:r>
      <w:r w:rsidR="00C80FD8" w:rsidRPr="00BC31C1">
        <w:rPr>
          <w:rFonts w:ascii="Arial" w:hAnsi="Arial" w:cs="Arial"/>
          <w:sz w:val="19"/>
          <w:szCs w:val="19"/>
        </w:rPr>
        <w:t xml:space="preserve"> </w:t>
      </w:r>
      <w:r w:rsidRPr="00BC31C1">
        <w:rPr>
          <w:rFonts w:ascii="Arial" w:hAnsi="Arial" w:cs="Arial"/>
          <w:sz w:val="19"/>
          <w:szCs w:val="19"/>
        </w:rPr>
        <w:t>(b): Daily hub bids in price bands ($/GJ)</w:t>
      </w:r>
    </w:p>
    <w:p w:rsidR="00B66BAB" w:rsidRPr="00FC426D" w:rsidRDefault="00A853E2" w:rsidP="00B66BAB">
      <w:pPr>
        <w:pStyle w:val="FigheadingA"/>
        <w:numPr>
          <w:ilvl w:val="0"/>
          <w:numId w:val="0"/>
        </w:numPr>
        <w:spacing w:before="120" w:after="0"/>
        <w:ind w:left="1134" w:hanging="1134"/>
        <w:jc w:val="center"/>
      </w:pPr>
      <w:r>
        <w:pict>
          <v:shape id="_x0000_i1035" type="#_x0000_t75" style="width:475.5pt;height:191.25pt">
            <v:imagedata r:id="rId21" o:title=""/>
          </v:shape>
        </w:pict>
      </w:r>
      <w:r w:rsidR="00B66BAB" w:rsidRPr="00452AAD" w:rsidDel="00452AAD">
        <w:t xml:space="preserve"> </w:t>
      </w:r>
    </w:p>
    <w:p w:rsidR="00B66BAB" w:rsidRPr="00BC31C1" w:rsidRDefault="00E52E2A" w:rsidP="00BE18D0">
      <w:pPr>
        <w:pStyle w:val="AERfigureheading"/>
        <w:numPr>
          <w:ilvl w:val="5"/>
          <w:numId w:val="47"/>
        </w:numPr>
        <w:tabs>
          <w:tab w:val="clear" w:pos="1361"/>
          <w:tab w:val="num" w:pos="1260"/>
        </w:tabs>
        <w:rPr>
          <w:rFonts w:ascii="Arial" w:hAnsi="Arial" w:cs="Arial"/>
          <w:sz w:val="20"/>
          <w:szCs w:val="20"/>
        </w:rPr>
      </w:pPr>
      <w:r w:rsidRPr="00BC31C1">
        <w:rPr>
          <w:rFonts w:ascii="Arial" w:hAnsi="Arial" w:cs="Arial"/>
          <w:sz w:val="20"/>
          <w:szCs w:val="20"/>
        </w:rPr>
        <w:t>ADL net scheduled and allocated gas volumes (excluding MOS) by STTM facility</w:t>
      </w:r>
    </w:p>
    <w:p w:rsidR="00B66BAB" w:rsidRPr="002E2E46" w:rsidRDefault="00A853E2" w:rsidP="00B66BAB">
      <w:pPr>
        <w:pStyle w:val="BodyText"/>
        <w:spacing w:before="120" w:after="0"/>
        <w:jc w:val="center"/>
      </w:pPr>
      <w:r>
        <w:pict>
          <v:shape id="_x0000_i1036" type="#_x0000_t75" style="width:475.5pt;height:140.25pt">
            <v:imagedata r:id="rId22" o:title=""/>
          </v:shape>
        </w:pict>
      </w:r>
    </w:p>
    <w:p w:rsidR="00157AFD" w:rsidRPr="00BC31C1" w:rsidRDefault="00157AFD" w:rsidP="002C0499">
      <w:pPr>
        <w:pStyle w:val="AERtableheading-unnumbered"/>
        <w:numPr>
          <w:ilvl w:val="0"/>
          <w:numId w:val="0"/>
        </w:numPr>
        <w:spacing w:before="120"/>
        <w:ind w:left="6379" w:right="-114" w:hanging="6379"/>
        <w:rPr>
          <w:rFonts w:ascii="Arial" w:hAnsi="Arial" w:cs="Arial"/>
          <w:sz w:val="20"/>
          <w:szCs w:val="20"/>
        </w:rPr>
      </w:pPr>
      <w:r w:rsidRPr="00BC31C1">
        <w:rPr>
          <w:rFonts w:ascii="Arial" w:hAnsi="Arial" w:cs="Arial"/>
          <w:sz w:val="20"/>
          <w:szCs w:val="20"/>
        </w:rPr>
        <w:t>Figure 3.4 (a)</w:t>
      </w:r>
      <w:r w:rsidR="002C0499" w:rsidRPr="00BC31C1">
        <w:rPr>
          <w:rFonts w:ascii="Arial" w:hAnsi="Arial" w:cs="Arial"/>
          <w:sz w:val="20"/>
          <w:szCs w:val="20"/>
        </w:rPr>
        <w:t>:</w:t>
      </w:r>
      <w:r w:rsidRPr="00BC31C1">
        <w:rPr>
          <w:rFonts w:ascii="Arial" w:hAnsi="Arial" w:cs="Arial"/>
          <w:sz w:val="20"/>
          <w:szCs w:val="20"/>
        </w:rPr>
        <w:t xml:space="preserve"> ADL </w:t>
      </w:r>
      <w:r w:rsidR="005C68CE" w:rsidRPr="00BC31C1">
        <w:rPr>
          <w:rFonts w:ascii="Arial" w:hAnsi="Arial" w:cs="Arial"/>
          <w:sz w:val="20"/>
          <w:szCs w:val="20"/>
        </w:rPr>
        <w:t xml:space="preserve">STTM </w:t>
      </w:r>
      <w:r w:rsidRPr="00BC31C1">
        <w:rPr>
          <w:rFonts w:ascii="Arial" w:hAnsi="Arial" w:cs="Arial"/>
          <w:sz w:val="20"/>
          <w:szCs w:val="20"/>
        </w:rPr>
        <w:t>MOS allocations (TJ)          Figure 3.4 (b): Service payments and commodity payments/charges ($000)</w:t>
      </w:r>
    </w:p>
    <w:p w:rsidR="00B66BAB" w:rsidRPr="002E2E46" w:rsidRDefault="00A853E2" w:rsidP="001C2C84">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2.85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2.97</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2.92</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2.82</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2.80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2.75</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169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183</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164</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2.99</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2.92</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2.85</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2.80</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2.74</w:t>
            </w:r>
          </w:p>
        </w:tc>
      </w:tr>
      <w:tr w:rsidR="00C04801" w:rsidRPr="00B76529" w:rsidTr="002861A9">
        <w:trPr>
          <w:trHeight w:val="255"/>
        </w:trPr>
        <w:tc>
          <w:tcPr>
            <w:tcW w:w="2160" w:type="dxa"/>
            <w:noWrap/>
            <w:tcMar>
              <w:top w:w="0" w:type="dxa"/>
              <w:bottom w:w="0" w:type="dxa"/>
            </w:tcMar>
            <w:vAlign w:val="center"/>
          </w:tcPr>
          <w:p w:rsidR="00C04801" w:rsidRPr="002861A9" w:rsidRDefault="00C04801"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168</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177</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178</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184</w:t>
            </w:r>
          </w:p>
        </w:tc>
        <w:tc>
          <w:tcPr>
            <w:tcW w:w="1028"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186</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C04801" w:rsidRDefault="00C04801">
            <w:pPr>
              <w:jc w:val="center"/>
              <w:rPr>
                <w:rFonts w:ascii="Arial" w:hAnsi="Arial" w:cs="Arial"/>
                <w:sz w:val="20"/>
                <w:szCs w:val="20"/>
              </w:rPr>
            </w:pPr>
            <w:r>
              <w:rPr>
                <w:rFonts w:ascii="Arial" w:hAnsi="Arial" w:cs="Arial"/>
                <w:sz w:val="20"/>
                <w:szCs w:val="20"/>
              </w:rPr>
              <w:t>162</w:t>
            </w:r>
          </w:p>
        </w:tc>
      </w:tr>
    </w:tbl>
    <w:p w:rsidR="00157AFD" w:rsidRPr="00BC31C1" w:rsidRDefault="00157AFD" w:rsidP="00157AFD">
      <w:pPr>
        <w:pStyle w:val="AERtableheading-unnumbered"/>
        <w:numPr>
          <w:ilvl w:val="0"/>
          <w:numId w:val="0"/>
        </w:numPr>
        <w:rPr>
          <w:rFonts w:ascii="Arial" w:hAnsi="Arial" w:cs="Arial"/>
          <w:sz w:val="19"/>
          <w:szCs w:val="19"/>
        </w:rPr>
      </w:pPr>
      <w:r w:rsidRPr="00BC31C1">
        <w:rPr>
          <w:rFonts w:ascii="Arial" w:hAnsi="Arial" w:cs="Arial"/>
          <w:sz w:val="19"/>
          <w:szCs w:val="19"/>
        </w:rPr>
        <w:t>Figure 4.2 (a)</w:t>
      </w:r>
      <w:r w:rsidR="002C0499" w:rsidRPr="00BC31C1">
        <w:rPr>
          <w:rFonts w:ascii="Arial" w:hAnsi="Arial" w:cs="Arial"/>
          <w:sz w:val="19"/>
          <w:szCs w:val="19"/>
        </w:rPr>
        <w:t>:</w:t>
      </w:r>
      <w:r w:rsidRPr="00BC31C1">
        <w:rPr>
          <w:rFonts w:ascii="Arial" w:hAnsi="Arial" w:cs="Arial"/>
          <w:sz w:val="19"/>
          <w:szCs w:val="19"/>
        </w:rPr>
        <w:t xml:space="preserve"> Daily hub offers in price bands ($/GJ)     Figure 4.2</w:t>
      </w:r>
      <w:r w:rsidR="00C80FD8" w:rsidRPr="00BC31C1">
        <w:rPr>
          <w:rFonts w:ascii="Arial" w:hAnsi="Arial" w:cs="Arial"/>
          <w:sz w:val="19"/>
          <w:szCs w:val="19"/>
        </w:rPr>
        <w:t xml:space="preserve"> </w:t>
      </w:r>
      <w:r w:rsidRPr="00BC31C1">
        <w:rPr>
          <w:rFonts w:ascii="Arial" w:hAnsi="Arial" w:cs="Arial"/>
          <w:sz w:val="19"/>
          <w:szCs w:val="19"/>
        </w:rPr>
        <w:t>(b): Daily hub bids in price bands ($/GJ)</w:t>
      </w:r>
    </w:p>
    <w:p w:rsidR="00B66BAB" w:rsidRPr="00FC426D" w:rsidRDefault="00A853E2" w:rsidP="00B66BAB">
      <w:pPr>
        <w:pStyle w:val="FigheadingA"/>
        <w:numPr>
          <w:ilvl w:val="0"/>
          <w:numId w:val="0"/>
        </w:numPr>
        <w:spacing w:before="120" w:after="0"/>
        <w:ind w:left="1134" w:hanging="1134"/>
        <w:jc w:val="center"/>
      </w:pPr>
      <w:r>
        <w:pict>
          <v:shape id="_x0000_i1038" type="#_x0000_t75" style="width:476.25pt;height:185.25pt">
            <v:imagedata r:id="rId24" o:title=""/>
          </v:shape>
        </w:pict>
      </w:r>
      <w:r w:rsidR="00B66BAB" w:rsidRPr="00452AAD" w:rsidDel="00452AAD">
        <w:t xml:space="preserve"> </w:t>
      </w:r>
    </w:p>
    <w:p w:rsidR="00B66BAB" w:rsidRPr="00BC31C1" w:rsidRDefault="00E52E2A" w:rsidP="00BE18D0">
      <w:pPr>
        <w:pStyle w:val="AERfigureheading"/>
        <w:numPr>
          <w:ilvl w:val="5"/>
          <w:numId w:val="49"/>
        </w:numPr>
        <w:tabs>
          <w:tab w:val="clear" w:pos="1361"/>
          <w:tab w:val="num" w:pos="1260"/>
        </w:tabs>
        <w:rPr>
          <w:rFonts w:ascii="Arial" w:hAnsi="Arial" w:cs="Arial"/>
          <w:sz w:val="20"/>
          <w:szCs w:val="20"/>
        </w:rPr>
      </w:pPr>
      <w:r w:rsidRPr="00BC31C1">
        <w:rPr>
          <w:rFonts w:ascii="Arial" w:hAnsi="Arial" w:cs="Arial"/>
          <w:sz w:val="20"/>
          <w:szCs w:val="20"/>
        </w:rPr>
        <w:t>BRI net scheduled and allocated gas volumes (excluding MOS) by STTM facility</w:t>
      </w:r>
    </w:p>
    <w:p w:rsidR="00B66BAB" w:rsidRPr="002E2E46" w:rsidRDefault="00A853E2" w:rsidP="00B66BAB">
      <w:pPr>
        <w:pStyle w:val="BodyText"/>
        <w:spacing w:before="120" w:after="0"/>
        <w:jc w:val="center"/>
      </w:pPr>
      <w:r>
        <w:pict>
          <v:shape id="_x0000_i1039" type="#_x0000_t75" style="width:476.25pt;height:150.75pt">
            <v:imagedata r:id="rId25" o:title=""/>
          </v:shape>
        </w:pict>
      </w:r>
    </w:p>
    <w:p w:rsidR="00157AFD" w:rsidRPr="00BC31C1" w:rsidRDefault="00157AFD" w:rsidP="002C0499">
      <w:pPr>
        <w:pStyle w:val="AERtableheading-unnumbered"/>
        <w:numPr>
          <w:ilvl w:val="0"/>
          <w:numId w:val="0"/>
        </w:numPr>
        <w:spacing w:before="120"/>
        <w:ind w:left="6379" w:right="-114" w:hanging="6379"/>
        <w:rPr>
          <w:rFonts w:ascii="Arial" w:hAnsi="Arial" w:cs="Arial"/>
          <w:sz w:val="20"/>
          <w:szCs w:val="20"/>
        </w:rPr>
      </w:pPr>
      <w:r w:rsidRPr="00BC31C1">
        <w:rPr>
          <w:rFonts w:ascii="Arial" w:hAnsi="Arial" w:cs="Arial"/>
          <w:sz w:val="20"/>
          <w:szCs w:val="20"/>
        </w:rPr>
        <w:t>Figure 4.4 (a)</w:t>
      </w:r>
      <w:r w:rsidR="002C0499" w:rsidRPr="00BC31C1">
        <w:rPr>
          <w:rFonts w:ascii="Arial" w:hAnsi="Arial" w:cs="Arial"/>
          <w:sz w:val="20"/>
          <w:szCs w:val="20"/>
        </w:rPr>
        <w:t>:</w:t>
      </w:r>
      <w:r w:rsidRPr="00BC31C1">
        <w:rPr>
          <w:rFonts w:ascii="Arial" w:hAnsi="Arial" w:cs="Arial"/>
          <w:sz w:val="20"/>
          <w:szCs w:val="20"/>
        </w:rPr>
        <w:t xml:space="preserve"> BRI </w:t>
      </w:r>
      <w:r w:rsidR="005C68CE" w:rsidRPr="00BC31C1">
        <w:rPr>
          <w:rFonts w:ascii="Arial" w:hAnsi="Arial" w:cs="Arial"/>
          <w:sz w:val="20"/>
          <w:szCs w:val="20"/>
        </w:rPr>
        <w:t xml:space="preserve">STTM </w:t>
      </w:r>
      <w:r w:rsidRPr="00BC31C1">
        <w:rPr>
          <w:rFonts w:ascii="Arial" w:hAnsi="Arial" w:cs="Arial"/>
          <w:sz w:val="20"/>
          <w:szCs w:val="20"/>
        </w:rPr>
        <w:t>MOS allocations (TJ)           Figure 4.4 (b): Service payments and commodity payments/charges ($000)</w:t>
      </w:r>
    </w:p>
    <w:p w:rsidR="002A5634" w:rsidRPr="002E2E46" w:rsidRDefault="00A853E2" w:rsidP="009A6B44">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7803C8" w:rsidRDefault="005F18AD" w:rsidP="00750C0F">
      <w:pPr>
        <w:pStyle w:val="AERfigureheading"/>
        <w:tabs>
          <w:tab w:val="clear" w:pos="1361"/>
          <w:tab w:val="num" w:pos="1260"/>
        </w:tabs>
        <w:spacing w:before="120"/>
        <w:ind w:left="1260" w:hanging="1260"/>
        <w:rPr>
          <w:rFonts w:ascii="Arial" w:hAnsi="Arial" w:cs="Arial"/>
          <w:sz w:val="16"/>
          <w:szCs w:val="16"/>
        </w:rPr>
      </w:pPr>
      <w:r w:rsidRPr="007803C8">
        <w:rPr>
          <w:rFonts w:ascii="Arial" w:hAnsi="Arial" w:cs="Arial"/>
          <w:sz w:val="20"/>
          <w:szCs w:val="20"/>
        </w:rPr>
        <w:t xml:space="preserve">Gas </w:t>
      </w:r>
      <w:r w:rsidR="001B294E" w:rsidRPr="007803C8">
        <w:rPr>
          <w:rFonts w:ascii="Arial" w:hAnsi="Arial" w:cs="Arial"/>
          <w:sz w:val="20"/>
          <w:szCs w:val="20"/>
        </w:rPr>
        <w:t>market data ($/GJ, TJ); Production, Consumption and Pipeline flows (TJ)</w:t>
      </w:r>
    </w:p>
    <w:bookmarkEnd w:id="0"/>
    <w:bookmarkEnd w:id="1"/>
    <w:p w:rsidR="005A6687" w:rsidRDefault="00A853E2" w:rsidP="003C5272">
      <w:r>
        <w:pict>
          <v:shape id="Picture 1" o:spid="_x0000_i1041" type="#_x0000_t75" style="width:468pt;height:606pt;visibility:visibl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85368B" w:rsidRDefault="0085368B" w:rsidP="002F7462">
      <w:pPr>
        <w:spacing w:before="120" w:after="120"/>
        <w:jc w:val="both"/>
      </w:pPr>
      <w:r>
        <w:t xml:space="preserve">During last week, trade activity continued along the SWQP, with two daily forward products being traded at a volume weighted price of $2/GJ. Four products were traded on the RBP, including </w:t>
      </w:r>
      <w:r w:rsidR="00BB5D61">
        <w:t xml:space="preserve">two </w:t>
      </w:r>
      <w:r>
        <w:t>weekly product</w:t>
      </w:r>
      <w:r w:rsidR="00BB5D61">
        <w:t>s</w:t>
      </w:r>
      <w:r>
        <w:t xml:space="preserve"> </w:t>
      </w:r>
      <w:r w:rsidR="002F7462">
        <w:t xml:space="preserve">for </w:t>
      </w:r>
      <w:r w:rsidR="00BB5D61">
        <w:t xml:space="preserve">70 TJ of gas </w:t>
      </w:r>
      <w:r>
        <w:t>valued at $133</w:t>
      </w:r>
      <w:r w:rsidR="002F7462">
        <w:t> </w:t>
      </w:r>
      <w:r>
        <w:t>000.</w:t>
      </w:r>
    </w:p>
    <w:p w:rsidR="000E395D"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on each gas day and trading day from </w:t>
      </w:r>
      <w:r w:rsidR="00BC31C1">
        <w:rPr>
          <w:rFonts w:ascii="Times New Roman" w:eastAsia="Times New Roman" w:hAnsi="Times New Roman"/>
          <w:sz w:val="24"/>
          <w:szCs w:val="24"/>
        </w:rPr>
        <w:t>24 August to 30 August</w:t>
      </w:r>
      <w:r>
        <w:rPr>
          <w:rFonts w:ascii="Times New Roman" w:eastAsia="Times New Roman" w:hAnsi="Times New Roman"/>
          <w:sz w:val="24"/>
          <w:szCs w:val="24"/>
        </w:rPr>
        <w:t>.</w:t>
      </w:r>
    </w:p>
    <w:p w:rsidR="002052B6" w:rsidRDefault="002052B6" w:rsidP="002052B6">
      <w:pPr>
        <w:pStyle w:val="ListParagraph"/>
        <w:ind w:left="0"/>
        <w:jc w:val="both"/>
        <w:rPr>
          <w:rFonts w:ascii="Times New Roman" w:eastAsia="Times New Roman" w:hAnsi="Times New Roman"/>
          <w:sz w:val="24"/>
          <w:szCs w:val="24"/>
        </w:rPr>
      </w:pP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2052B6" w:rsidP="002052B6">
      <w:pPr>
        <w:spacing w:before="120" w:after="120"/>
        <w:jc w:val="both"/>
        <w:rPr>
          <w:rFonts w:eastAsia="MS Mincho"/>
          <w:color w:val="FF0000"/>
        </w:rPr>
      </w:pPr>
    </w:p>
    <w:p w:rsidR="009E74E3" w:rsidRPr="006520EE" w:rsidRDefault="00A853E2" w:rsidP="005A6687">
      <w:pPr>
        <w:jc w:val="both"/>
      </w:pPr>
      <w:r>
        <w:pict>
          <v:shape id="_x0000_i1042" type="#_x0000_t75" style="width:475.5pt;height:201.75pt">
            <v:imagedata r:id="rId28" o:title=""/>
          </v:shape>
        </w:pict>
      </w: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E49" w:rsidRDefault="005A3E49">
      <w:r>
        <w:separator/>
      </w:r>
    </w:p>
  </w:endnote>
  <w:endnote w:type="continuationSeparator" w:id="0">
    <w:p w:rsidR="005A3E49" w:rsidRDefault="005A3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A853E2">
      <w:rPr>
        <w:noProof/>
      </w:rPr>
      <w:t>2</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E49" w:rsidRDefault="005A3E49">
      <w:r>
        <w:separator/>
      </w:r>
    </w:p>
  </w:footnote>
  <w:footnote w:type="continuationSeparator" w:id="0">
    <w:p w:rsidR="005A3E49" w:rsidRDefault="005A3E49">
      <w:r>
        <w:continuationSeparator/>
      </w:r>
    </w:p>
  </w:footnote>
  <w:footnote w:id="1">
    <w:p w:rsidR="00B7323D" w:rsidRDefault="00B7323D">
      <w:pPr>
        <w:pStyle w:val="FootnoteText"/>
      </w:pPr>
      <w:r>
        <w:rPr>
          <w:rStyle w:val="FootnoteReference"/>
        </w:rPr>
        <w:footnoteRef/>
      </w:r>
      <w:r>
        <w:t xml:space="preserve"> </w:t>
      </w:r>
      <w:r>
        <w:tab/>
        <w:t>Average daily prices, with the weighted average daily imbalance price applying for Victoria</w:t>
      </w:r>
    </w:p>
  </w:footnote>
  <w:footnote w:id="2">
    <w:p w:rsidR="00564C71" w:rsidRDefault="00564C71">
      <w:pPr>
        <w:pStyle w:val="FootnoteText"/>
      </w:pPr>
      <w:r>
        <w:rPr>
          <w:rStyle w:val="FootnoteReference"/>
        </w:rPr>
        <w:footnoteRef/>
      </w:r>
      <w:r>
        <w:t xml:space="preserve"> </w:t>
      </w:r>
      <w:r>
        <w:tab/>
        <w:t>The weighted average daily imbalance price applies for Victoria.</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3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824 - 20140830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A248F"/>
    <w:rsid w:val="000B4A1F"/>
    <w:rsid w:val="000B6397"/>
    <w:rsid w:val="000B69E0"/>
    <w:rsid w:val="000D1FEB"/>
    <w:rsid w:val="000D6207"/>
    <w:rsid w:val="000E1F9A"/>
    <w:rsid w:val="000E395D"/>
    <w:rsid w:val="000F0BBB"/>
    <w:rsid w:val="000F3B46"/>
    <w:rsid w:val="000F59F8"/>
    <w:rsid w:val="000F5F5E"/>
    <w:rsid w:val="000F6D05"/>
    <w:rsid w:val="00115CA5"/>
    <w:rsid w:val="00117C98"/>
    <w:rsid w:val="00125818"/>
    <w:rsid w:val="001420EB"/>
    <w:rsid w:val="00142310"/>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2C84"/>
    <w:rsid w:val="001C5A74"/>
    <w:rsid w:val="001E79FF"/>
    <w:rsid w:val="001F0F9B"/>
    <w:rsid w:val="002052B6"/>
    <w:rsid w:val="00206559"/>
    <w:rsid w:val="002168D4"/>
    <w:rsid w:val="002312F5"/>
    <w:rsid w:val="00233988"/>
    <w:rsid w:val="00234764"/>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0AB3"/>
    <w:rsid w:val="002B3D3C"/>
    <w:rsid w:val="002B4D21"/>
    <w:rsid w:val="002C0499"/>
    <w:rsid w:val="002C2576"/>
    <w:rsid w:val="002D0C16"/>
    <w:rsid w:val="002D59B3"/>
    <w:rsid w:val="002D5CEC"/>
    <w:rsid w:val="002E0688"/>
    <w:rsid w:val="002E2C96"/>
    <w:rsid w:val="002E2E46"/>
    <w:rsid w:val="002E7E9E"/>
    <w:rsid w:val="002F0AE7"/>
    <w:rsid w:val="002F4250"/>
    <w:rsid w:val="002F7462"/>
    <w:rsid w:val="0030240F"/>
    <w:rsid w:val="003038D4"/>
    <w:rsid w:val="00311A09"/>
    <w:rsid w:val="00314A8B"/>
    <w:rsid w:val="00323327"/>
    <w:rsid w:val="003348F7"/>
    <w:rsid w:val="00336E8E"/>
    <w:rsid w:val="003410C4"/>
    <w:rsid w:val="00342372"/>
    <w:rsid w:val="00346C04"/>
    <w:rsid w:val="00347FBB"/>
    <w:rsid w:val="003548AA"/>
    <w:rsid w:val="00357C72"/>
    <w:rsid w:val="003632A4"/>
    <w:rsid w:val="003664D0"/>
    <w:rsid w:val="00366BDF"/>
    <w:rsid w:val="00372976"/>
    <w:rsid w:val="00374CF9"/>
    <w:rsid w:val="003800B4"/>
    <w:rsid w:val="003853AA"/>
    <w:rsid w:val="00387B66"/>
    <w:rsid w:val="003B0AAD"/>
    <w:rsid w:val="003B65E0"/>
    <w:rsid w:val="003C5272"/>
    <w:rsid w:val="003C5482"/>
    <w:rsid w:val="003D0F7C"/>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C7164"/>
    <w:rsid w:val="004D09C9"/>
    <w:rsid w:val="004D1EBF"/>
    <w:rsid w:val="004D3B99"/>
    <w:rsid w:val="004D3E78"/>
    <w:rsid w:val="004F3D13"/>
    <w:rsid w:val="00502181"/>
    <w:rsid w:val="00505139"/>
    <w:rsid w:val="00514A82"/>
    <w:rsid w:val="005157B0"/>
    <w:rsid w:val="00522E00"/>
    <w:rsid w:val="00547827"/>
    <w:rsid w:val="005600B6"/>
    <w:rsid w:val="00563C94"/>
    <w:rsid w:val="00564C71"/>
    <w:rsid w:val="0056618C"/>
    <w:rsid w:val="0058198F"/>
    <w:rsid w:val="00582F1C"/>
    <w:rsid w:val="005859CC"/>
    <w:rsid w:val="00587CD1"/>
    <w:rsid w:val="005A1650"/>
    <w:rsid w:val="005A3E49"/>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03C8"/>
    <w:rsid w:val="00781A4A"/>
    <w:rsid w:val="00791198"/>
    <w:rsid w:val="007941C2"/>
    <w:rsid w:val="00795966"/>
    <w:rsid w:val="007966A5"/>
    <w:rsid w:val="007A12DE"/>
    <w:rsid w:val="007A24B5"/>
    <w:rsid w:val="007A7E7A"/>
    <w:rsid w:val="007B3B7B"/>
    <w:rsid w:val="007B7771"/>
    <w:rsid w:val="007D4B14"/>
    <w:rsid w:val="007D4F53"/>
    <w:rsid w:val="007E52F7"/>
    <w:rsid w:val="007E5F68"/>
    <w:rsid w:val="007F51F9"/>
    <w:rsid w:val="007F7B0D"/>
    <w:rsid w:val="0080456D"/>
    <w:rsid w:val="00811D1C"/>
    <w:rsid w:val="008133CF"/>
    <w:rsid w:val="008170C0"/>
    <w:rsid w:val="008344A6"/>
    <w:rsid w:val="0085368B"/>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02B9F"/>
    <w:rsid w:val="009136B3"/>
    <w:rsid w:val="009143E0"/>
    <w:rsid w:val="00937543"/>
    <w:rsid w:val="00942622"/>
    <w:rsid w:val="00950C55"/>
    <w:rsid w:val="00951926"/>
    <w:rsid w:val="00956CE9"/>
    <w:rsid w:val="009629B5"/>
    <w:rsid w:val="00976584"/>
    <w:rsid w:val="00987973"/>
    <w:rsid w:val="009A04DD"/>
    <w:rsid w:val="009A6B44"/>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1EF4"/>
    <w:rsid w:val="00A26940"/>
    <w:rsid w:val="00A324A8"/>
    <w:rsid w:val="00A349B0"/>
    <w:rsid w:val="00A475A2"/>
    <w:rsid w:val="00A51DDD"/>
    <w:rsid w:val="00A55660"/>
    <w:rsid w:val="00A55C96"/>
    <w:rsid w:val="00A642B8"/>
    <w:rsid w:val="00A66FD2"/>
    <w:rsid w:val="00A677D8"/>
    <w:rsid w:val="00A834DF"/>
    <w:rsid w:val="00A853E2"/>
    <w:rsid w:val="00A936AE"/>
    <w:rsid w:val="00AA1D87"/>
    <w:rsid w:val="00AC43F0"/>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47A27"/>
    <w:rsid w:val="00B507D2"/>
    <w:rsid w:val="00B529D0"/>
    <w:rsid w:val="00B60F88"/>
    <w:rsid w:val="00B61751"/>
    <w:rsid w:val="00B659EE"/>
    <w:rsid w:val="00B66BAB"/>
    <w:rsid w:val="00B66E50"/>
    <w:rsid w:val="00B70A9F"/>
    <w:rsid w:val="00B71A5E"/>
    <w:rsid w:val="00B7323D"/>
    <w:rsid w:val="00B76529"/>
    <w:rsid w:val="00B82478"/>
    <w:rsid w:val="00B8698C"/>
    <w:rsid w:val="00BA16E2"/>
    <w:rsid w:val="00BA31C3"/>
    <w:rsid w:val="00BA65E6"/>
    <w:rsid w:val="00BA6C2E"/>
    <w:rsid w:val="00BB2FF6"/>
    <w:rsid w:val="00BB5D61"/>
    <w:rsid w:val="00BC21AB"/>
    <w:rsid w:val="00BC254C"/>
    <w:rsid w:val="00BC31C1"/>
    <w:rsid w:val="00BC4C5B"/>
    <w:rsid w:val="00BC77F9"/>
    <w:rsid w:val="00BD3A40"/>
    <w:rsid w:val="00BD60AA"/>
    <w:rsid w:val="00BE18D0"/>
    <w:rsid w:val="00BE4577"/>
    <w:rsid w:val="00BF1D01"/>
    <w:rsid w:val="00BF3080"/>
    <w:rsid w:val="00C04801"/>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D495D"/>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DF5FA0"/>
    <w:rsid w:val="00E01475"/>
    <w:rsid w:val="00E032F3"/>
    <w:rsid w:val="00E057A3"/>
    <w:rsid w:val="00E16C03"/>
    <w:rsid w:val="00E2256B"/>
    <w:rsid w:val="00E27037"/>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4E82"/>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95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paragraph" w:styleId="EndnoteText">
    <w:name w:val="endnote text"/>
    <w:basedOn w:val="Normal"/>
    <w:link w:val="EndnoteTextChar"/>
    <w:rsid w:val="001C2C84"/>
    <w:rPr>
      <w:sz w:val="20"/>
      <w:szCs w:val="20"/>
    </w:rPr>
  </w:style>
  <w:style w:type="character" w:customStyle="1" w:styleId="EndnoteTextChar">
    <w:name w:val="Endnote Text Char"/>
    <w:basedOn w:val="DefaultParagraphFont"/>
    <w:link w:val="EndnoteText"/>
    <w:rsid w:val="001C2C84"/>
  </w:style>
  <w:style w:type="character" w:styleId="EndnoteReference">
    <w:name w:val="endnote reference"/>
    <w:rsid w:val="001C2C8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14400911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1364E5A2.dotm</Template>
  <TotalTime>0</TotalTime>
  <Pages>10</Pages>
  <Words>1783</Words>
  <Characters>8362</Characters>
  <Application>Microsoft Office Word</Application>
  <DocSecurity>0</DocSecurity>
  <Lines>69</Lines>
  <Paragraphs>20</Paragraphs>
  <ScaleCrop>false</ScaleCrop>
  <Company/>
  <LinksUpToDate>false</LinksUpToDate>
  <CharactersWithSpaces>10125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2014-09-08T07:08:00Z</dcterms:created>
  <dcterms:modified xsi:type="dcterms:W3CDTF">2014-09-08T07:09:00Z</dcterms:modified>
</cp:coreProperties>
</file>