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CD2A1A"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5B4BC3" w:rsidP="00780239">
                  <w:pPr>
                    <w:pStyle w:val="Title"/>
                    <w:jc w:val="left"/>
                    <w:rPr>
                      <w:i/>
                    </w:rPr>
                  </w:pPr>
                  <w:r>
                    <w:t>13</w:t>
                  </w:r>
                  <w:r w:rsidR="0022337C">
                    <w:t xml:space="preserve"> to </w:t>
                  </w:r>
                  <w:r w:rsidR="006C6C01">
                    <w:t>1</w:t>
                  </w:r>
                  <w:r>
                    <w:t>9</w:t>
                  </w:r>
                  <w:r w:rsidR="005270A6" w:rsidRPr="005270A6">
                    <w:t xml:space="preserve"> Ju</w:t>
                  </w:r>
                  <w:r w:rsidR="006C6C01">
                    <w:t>ly</w:t>
                  </w:r>
                  <w:r w:rsidR="00EC411D" w:rsidRPr="005270A6">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9pt">
            <v:imagedata r:id="rId8" o:title="AER_Head1a" cropbottom="3785f"/>
          </v:shape>
        </w:pict>
      </w:r>
      <w:r w:rsidR="0052471C" w:rsidRPr="002D23B9">
        <w:rPr>
          <w:color w:val="auto"/>
          <w:sz w:val="22"/>
          <w:szCs w:val="22"/>
        </w:rPr>
        <w:t xml:space="preserve"> </w:t>
      </w:r>
    </w:p>
    <w:p w:rsidR="002B33CB" w:rsidRPr="002D23B9" w:rsidRDefault="002B33CB" w:rsidP="002B33CB">
      <w:pPr>
        <w:pStyle w:val="Heading2"/>
        <w:rPr>
          <w:color w:val="auto"/>
        </w:rPr>
      </w:pPr>
      <w:r w:rsidRPr="002D23B9">
        <w:rPr>
          <w:color w:val="auto"/>
        </w:rPr>
        <w:t>Introduction</w:t>
      </w:r>
    </w:p>
    <w:p w:rsidR="002B33CB" w:rsidRDefault="002B33CB" w:rsidP="002B33CB">
      <w:pPr>
        <w:rPr>
          <w:lang w:eastAsia="en-US"/>
        </w:rPr>
      </w:pPr>
      <w:r w:rsidRPr="002D23B9">
        <w:rPr>
          <w:lang w:eastAsia="en-US"/>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B33CB" w:rsidRPr="0016239D" w:rsidRDefault="002B33CB" w:rsidP="002B33CB">
      <w:pPr>
        <w:pStyle w:val="Heading2"/>
        <w:rPr>
          <w:color w:val="auto"/>
        </w:rPr>
      </w:pPr>
      <w:r w:rsidRPr="0016239D">
        <w:rPr>
          <w:color w:val="auto"/>
        </w:rPr>
        <w:t>Spot market prices</w:t>
      </w:r>
    </w:p>
    <w:p w:rsidR="002B33CB" w:rsidRPr="005270A6" w:rsidRDefault="002B33CB" w:rsidP="002B33CB">
      <w:r>
        <w:t xml:space="preserve">Figure 1 shows the spot prices </w:t>
      </w:r>
      <w:r w:rsidRPr="005270A6">
        <w:t xml:space="preserve">that occurred in each region during the week </w:t>
      </w:r>
      <w:r>
        <w:t>13</w:t>
      </w:r>
      <w:r w:rsidRPr="005270A6">
        <w:t xml:space="preserve"> to </w:t>
      </w:r>
      <w:r>
        <w:t>19</w:t>
      </w:r>
      <w:r w:rsidRPr="005270A6">
        <w:t xml:space="preserve"> Ju</w:t>
      </w:r>
      <w:r>
        <w:t>ly</w:t>
      </w:r>
      <w:r w:rsidRPr="005270A6">
        <w:t xml:space="preserve"> 2014. </w:t>
      </w:r>
      <w:r>
        <w:t>The South Australian spot price reached $1884/MWh and $1588/MWh on 14 July and $2108</w:t>
      </w:r>
      <w:r w:rsidR="00487597">
        <w:t>/MWh</w:t>
      </w:r>
      <w:bookmarkStart w:id="6" w:name="_GoBack"/>
      <w:bookmarkEnd w:id="6"/>
      <w:r>
        <w:t xml:space="preserve"> on 18 July.</w:t>
      </w:r>
    </w:p>
    <w:p w:rsidR="002B33CB" w:rsidRPr="005270A6" w:rsidRDefault="002B33CB" w:rsidP="002B33CB">
      <w:pPr>
        <w:pStyle w:val="Figureheading"/>
        <w:numPr>
          <w:ilvl w:val="0"/>
          <w:numId w:val="0"/>
        </w:numPr>
        <w:spacing w:after="0"/>
        <w:ind w:left="357" w:hanging="357"/>
      </w:pPr>
      <w:r w:rsidRPr="005270A6">
        <w:t xml:space="preserve">Figure 1: Spot price by region ($/MWh) </w:t>
      </w:r>
    </w:p>
    <w:p w:rsidR="002B33CB" w:rsidRDefault="00CD2A1A" w:rsidP="002B33CB">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pt">
            <v:imagedata r:id="rId9" o:title=""/>
          </v:shape>
        </w:pict>
      </w:r>
    </w:p>
    <w:p w:rsidR="002B33CB" w:rsidRDefault="002B33CB" w:rsidP="002B33CB">
      <w:pPr>
        <w:pStyle w:val="AERbodytext"/>
      </w:pPr>
      <w:r>
        <w:t>Figure 2</w:t>
      </w:r>
      <w:r w:rsidRPr="002D23B9">
        <w:t xml:space="preserve"> shows the volume weighted average (VWA) prices for the current week (with prices shown in Table 1) and the preceding 12</w:t>
      </w:r>
      <w:r w:rsidRPr="004869A0">
        <w:t xml:space="preserve"> </w:t>
      </w:r>
      <w:r w:rsidRPr="002D23B9">
        <w:t>weeks, as well as the VWA price over the previous 3 financial years.</w:t>
      </w:r>
      <w:r>
        <w:t xml:space="preserve">  Table 1 and Figure 2 also show that prices are down in all regions from the previous financial year and with the exception of South Australia are down from those in June 2014.</w:t>
      </w:r>
    </w:p>
    <w:p w:rsidR="002B33CB" w:rsidRPr="005270A6" w:rsidRDefault="002B33CB" w:rsidP="002B33CB">
      <w:pPr>
        <w:pStyle w:val="Figureheading"/>
        <w:numPr>
          <w:ilvl w:val="0"/>
          <w:numId w:val="0"/>
        </w:numPr>
        <w:spacing w:after="0"/>
        <w:ind w:left="357" w:hanging="357"/>
      </w:pPr>
      <w:bookmarkStart w:id="9" w:name="_Ref307219594"/>
      <w:r w:rsidRPr="005270A6">
        <w:lastRenderedPageBreak/>
        <w:t xml:space="preserve">Figure </w:t>
      </w:r>
      <w:bookmarkEnd w:id="9"/>
      <w:r w:rsidRPr="005270A6">
        <w:t>2: Volume weighted average spot price by region ($/MWh)</w:t>
      </w:r>
    </w:p>
    <w:p w:rsidR="002B33CB" w:rsidRPr="002D23B9" w:rsidRDefault="00570E5D" w:rsidP="002B33CB">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6pt;mso-position-vertical:absolute">
            <v:imagedata r:id="rId10" o:title=""/>
          </v:shape>
        </w:pict>
      </w:r>
    </w:p>
    <w:p w:rsidR="002B33CB" w:rsidRPr="002D23B9" w:rsidRDefault="002B33CB" w:rsidP="002B33CB">
      <w:pPr>
        <w:pStyle w:val="AERtabletitle"/>
      </w:pPr>
      <w:r w:rsidRPr="00671C7F">
        <w:t>Table 1: Volume weighted average spot prices by region ($/MWh)</w:t>
      </w:r>
    </w:p>
    <w:tbl>
      <w:tblPr>
        <w:tblW w:w="5000" w:type="pct"/>
        <w:tblLook w:val="04A0" w:firstRow="1" w:lastRow="0" w:firstColumn="1" w:lastColumn="0" w:noHBand="0" w:noVBand="1"/>
      </w:tblPr>
      <w:tblGrid>
        <w:gridCol w:w="2509"/>
        <w:gridCol w:w="957"/>
        <w:gridCol w:w="1444"/>
        <w:gridCol w:w="1444"/>
        <w:gridCol w:w="1444"/>
        <w:gridCol w:w="1444"/>
      </w:tblGrid>
      <w:tr w:rsidR="002B33CB" w:rsidRPr="009340BA" w:rsidTr="00DA48A3">
        <w:trPr>
          <w:trHeight w:hRule="exact" w:val="340"/>
        </w:trPr>
        <w:tc>
          <w:tcPr>
            <w:tcW w:w="1357" w:type="pct"/>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2B33CB" w:rsidRPr="009340BA" w:rsidTr="00DA48A3">
        <w:trPr>
          <w:trHeight w:hRule="exact" w:val="340"/>
        </w:trPr>
        <w:tc>
          <w:tcPr>
            <w:tcW w:w="1357" w:type="pct"/>
            <w:tcBorders>
              <w:top w:val="nil"/>
              <w:left w:val="nil"/>
              <w:bottom w:val="nil"/>
              <w:right w:val="nil"/>
            </w:tcBorders>
            <w:shd w:val="clear" w:color="000000" w:fill="DDD9C3"/>
            <w:noWrap/>
            <w:vAlign w:val="center"/>
            <w:hideMark/>
          </w:tcPr>
          <w:p w:rsidR="002B33CB" w:rsidRPr="009340BA" w:rsidRDefault="002B33CB" w:rsidP="00DA48A3">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38</w:t>
            </w:r>
          </w:p>
        </w:tc>
        <w:tc>
          <w:tcPr>
            <w:tcW w:w="781" w:type="pct"/>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44</w:t>
            </w:r>
          </w:p>
        </w:tc>
        <w:tc>
          <w:tcPr>
            <w:tcW w:w="781" w:type="pct"/>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40</w:t>
            </w:r>
          </w:p>
        </w:tc>
        <w:tc>
          <w:tcPr>
            <w:tcW w:w="781" w:type="pct"/>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64</w:t>
            </w:r>
          </w:p>
        </w:tc>
        <w:tc>
          <w:tcPr>
            <w:tcW w:w="781" w:type="pct"/>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34</w:t>
            </w:r>
          </w:p>
        </w:tc>
      </w:tr>
      <w:tr w:rsidR="002B33CB" w:rsidRPr="009340BA" w:rsidTr="00DA48A3">
        <w:trPr>
          <w:trHeight w:hRule="exact" w:val="340"/>
        </w:trPr>
        <w:tc>
          <w:tcPr>
            <w:tcW w:w="1357" w:type="pct"/>
            <w:tcBorders>
              <w:top w:val="nil"/>
              <w:left w:val="nil"/>
              <w:bottom w:val="nil"/>
              <w:right w:val="nil"/>
            </w:tcBorders>
            <w:shd w:val="clear" w:color="000000" w:fill="EEECE1"/>
            <w:noWrap/>
            <w:vAlign w:val="center"/>
            <w:hideMark/>
          </w:tcPr>
          <w:p w:rsidR="002B33CB" w:rsidRPr="009340BA" w:rsidRDefault="002B33CB" w:rsidP="00DA48A3">
            <w:pPr>
              <w:spacing w:line="240" w:lineRule="auto"/>
              <w:jc w:val="left"/>
              <w:rPr>
                <w:rFonts w:cs="Gautami"/>
                <w:b/>
                <w:bCs/>
                <w:sz w:val="16"/>
                <w:szCs w:val="16"/>
              </w:rPr>
            </w:pPr>
            <w:r w:rsidRPr="009340BA">
              <w:rPr>
                <w:rFonts w:cs="Gautami"/>
                <w:b/>
                <w:bCs/>
                <w:sz w:val="16"/>
                <w:szCs w:val="16"/>
              </w:rPr>
              <w:t>1</w:t>
            </w:r>
            <w:r>
              <w:rPr>
                <w:rFonts w:cs="Gautami"/>
                <w:b/>
                <w:bCs/>
                <w:sz w:val="16"/>
                <w:szCs w:val="16"/>
              </w:rPr>
              <w:t>3</w:t>
            </w:r>
            <w:r w:rsidRPr="009340BA">
              <w:rPr>
                <w:rFonts w:cs="Gautami"/>
                <w:b/>
                <w:bCs/>
                <w:sz w:val="16"/>
                <w:szCs w:val="16"/>
              </w:rPr>
              <w:t>-1</w:t>
            </w:r>
            <w:r>
              <w:rPr>
                <w:rFonts w:cs="Gautami"/>
                <w:b/>
                <w:bCs/>
                <w:sz w:val="16"/>
                <w:szCs w:val="16"/>
              </w:rPr>
              <w:t>4</w:t>
            </w:r>
            <w:r w:rsidRPr="009340BA">
              <w:rPr>
                <w:rFonts w:cs="Gautami"/>
                <w:b/>
                <w:bCs/>
                <w:sz w:val="16"/>
                <w:szCs w:val="16"/>
              </w:rPr>
              <w:t xml:space="preserve"> financial YTD</w:t>
            </w:r>
          </w:p>
        </w:tc>
        <w:tc>
          <w:tcPr>
            <w:tcW w:w="518" w:type="pct"/>
            <w:tcBorders>
              <w:top w:val="nil"/>
              <w:left w:val="nil"/>
              <w:bottom w:val="nil"/>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60</w:t>
            </w:r>
          </w:p>
        </w:tc>
        <w:tc>
          <w:tcPr>
            <w:tcW w:w="781" w:type="pct"/>
            <w:tcBorders>
              <w:top w:val="nil"/>
              <w:left w:val="nil"/>
              <w:bottom w:val="nil"/>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58</w:t>
            </w:r>
          </w:p>
        </w:tc>
        <w:tc>
          <w:tcPr>
            <w:tcW w:w="781" w:type="pct"/>
            <w:tcBorders>
              <w:top w:val="nil"/>
              <w:left w:val="nil"/>
              <w:bottom w:val="nil"/>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59</w:t>
            </w:r>
          </w:p>
        </w:tc>
        <w:tc>
          <w:tcPr>
            <w:tcW w:w="781" w:type="pct"/>
            <w:tcBorders>
              <w:top w:val="nil"/>
              <w:left w:val="nil"/>
              <w:bottom w:val="nil"/>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53</w:t>
            </w:r>
          </w:p>
        </w:tc>
      </w:tr>
      <w:tr w:rsidR="002B33CB" w:rsidRPr="009340BA" w:rsidTr="00DA48A3">
        <w:trPr>
          <w:trHeight w:hRule="exact" w:val="340"/>
        </w:trPr>
        <w:tc>
          <w:tcPr>
            <w:tcW w:w="1357" w:type="pct"/>
            <w:tcBorders>
              <w:top w:val="nil"/>
              <w:left w:val="nil"/>
              <w:bottom w:val="single" w:sz="8" w:space="0" w:color="auto"/>
              <w:right w:val="nil"/>
            </w:tcBorders>
            <w:shd w:val="clear" w:color="000000" w:fill="DDD9C3"/>
            <w:noWrap/>
            <w:vAlign w:val="center"/>
            <w:hideMark/>
          </w:tcPr>
          <w:p w:rsidR="002B33CB" w:rsidRPr="009340BA" w:rsidRDefault="002B33CB" w:rsidP="00DA48A3">
            <w:pPr>
              <w:spacing w:line="240" w:lineRule="auto"/>
              <w:jc w:val="left"/>
              <w:rPr>
                <w:rFonts w:cs="Gautami"/>
                <w:b/>
                <w:bCs/>
                <w:sz w:val="16"/>
                <w:szCs w:val="16"/>
              </w:rPr>
            </w:pPr>
            <w:r w:rsidRPr="009340BA">
              <w:rPr>
                <w:rFonts w:cs="Gautami"/>
                <w:b/>
                <w:bCs/>
                <w:sz w:val="16"/>
                <w:szCs w:val="16"/>
              </w:rPr>
              <w:t>1</w:t>
            </w:r>
            <w:r>
              <w:rPr>
                <w:rFonts w:cs="Gautami"/>
                <w:b/>
                <w:bCs/>
                <w:sz w:val="16"/>
                <w:szCs w:val="16"/>
              </w:rPr>
              <w:t>4</w:t>
            </w:r>
            <w:r w:rsidRPr="009340BA">
              <w:rPr>
                <w:rFonts w:cs="Gautami"/>
                <w:b/>
                <w:bCs/>
                <w:sz w:val="16"/>
                <w:szCs w:val="16"/>
              </w:rPr>
              <w:t>-1</w:t>
            </w:r>
            <w:r>
              <w:rPr>
                <w:rFonts w:cs="Gautami"/>
                <w:b/>
                <w:bCs/>
                <w:sz w:val="16"/>
                <w:szCs w:val="16"/>
              </w:rPr>
              <w:t>5</w:t>
            </w:r>
            <w:r w:rsidRPr="009340BA">
              <w:rPr>
                <w:rFonts w:cs="Gautami"/>
                <w:b/>
                <w:bCs/>
                <w:sz w:val="16"/>
                <w:szCs w:val="16"/>
              </w:rPr>
              <w:t xml:space="preserve"> financial YTD</w:t>
            </w:r>
          </w:p>
        </w:tc>
        <w:tc>
          <w:tcPr>
            <w:tcW w:w="518" w:type="pct"/>
            <w:tcBorders>
              <w:top w:val="nil"/>
              <w:left w:val="nil"/>
              <w:bottom w:val="single" w:sz="8" w:space="0" w:color="auto"/>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37</w:t>
            </w:r>
          </w:p>
        </w:tc>
        <w:tc>
          <w:tcPr>
            <w:tcW w:w="781" w:type="pct"/>
            <w:tcBorders>
              <w:top w:val="nil"/>
              <w:left w:val="nil"/>
              <w:bottom w:val="single" w:sz="8" w:space="0" w:color="auto"/>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47</w:t>
            </w:r>
          </w:p>
        </w:tc>
        <w:tc>
          <w:tcPr>
            <w:tcW w:w="781" w:type="pct"/>
            <w:tcBorders>
              <w:top w:val="nil"/>
              <w:left w:val="nil"/>
              <w:bottom w:val="single" w:sz="8" w:space="0" w:color="auto"/>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42</w:t>
            </w:r>
          </w:p>
        </w:tc>
        <w:tc>
          <w:tcPr>
            <w:tcW w:w="781" w:type="pct"/>
            <w:tcBorders>
              <w:top w:val="nil"/>
              <w:left w:val="nil"/>
              <w:bottom w:val="single" w:sz="8" w:space="0" w:color="auto"/>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58</w:t>
            </w:r>
          </w:p>
        </w:tc>
        <w:tc>
          <w:tcPr>
            <w:tcW w:w="781" w:type="pct"/>
            <w:tcBorders>
              <w:top w:val="nil"/>
              <w:left w:val="nil"/>
              <w:bottom w:val="single" w:sz="8" w:space="0" w:color="auto"/>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35</w:t>
            </w:r>
          </w:p>
        </w:tc>
      </w:tr>
    </w:tbl>
    <w:p w:rsidR="002B33CB" w:rsidRPr="002D23B9" w:rsidRDefault="002B33CB" w:rsidP="002B33CB">
      <w:pPr>
        <w:pStyle w:val="AERbodytext"/>
        <w:spacing w:before="120"/>
      </w:pPr>
      <w:r w:rsidRPr="002D23B9">
        <w:t xml:space="preserve">Longer-term statistics tracking average spot market prices are available on the </w:t>
      </w:r>
      <w:hyperlink r:id="rId11" w:history="1">
        <w:r w:rsidRPr="002D23B9">
          <w:rPr>
            <w:rStyle w:val="Hyperlink"/>
            <w:color w:val="auto"/>
          </w:rPr>
          <w:t>AER website</w:t>
        </w:r>
      </w:hyperlink>
      <w:r w:rsidRPr="002D23B9">
        <w:t xml:space="preserve">. </w:t>
      </w:r>
    </w:p>
    <w:bookmarkEnd w:id="7"/>
    <w:bookmarkEnd w:id="8"/>
    <w:p w:rsidR="002B33CB" w:rsidRPr="002D23B9" w:rsidRDefault="002B33CB" w:rsidP="002B33CB">
      <w:pPr>
        <w:pStyle w:val="Heading2"/>
        <w:rPr>
          <w:color w:val="auto"/>
        </w:rPr>
      </w:pPr>
      <w:r w:rsidRPr="002D23B9">
        <w:rPr>
          <w:color w:val="auto"/>
        </w:rPr>
        <w:t>Spot market price forecast variations</w:t>
      </w:r>
    </w:p>
    <w:p w:rsidR="002B33CB" w:rsidRPr="002D23B9" w:rsidRDefault="002B33CB" w:rsidP="002B33CB">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B33CB" w:rsidRDefault="002B33CB" w:rsidP="002B33CB">
      <w:pPr>
        <w:pStyle w:val="AERbodytext"/>
      </w:pPr>
      <w:r>
        <w:t xml:space="preserve">There were 56 trading intervals throughout the week where actual prices varied significantly from forecasts. This compares to the weekly average in 2013 of 97 counts and the average in 2012 of 60. </w:t>
      </w:r>
      <w:r w:rsidRPr="002D23B9">
        <w:t xml:space="preserve">Reasons for the variations for this week are summarised in Table 2.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Pr="002D23B9">
        <w:t>ahead</w:t>
      </w:r>
      <w:proofErr w:type="gramEnd"/>
      <w:r w:rsidRPr="002D23B9">
        <w:t xml:space="preserve"> forecasts differ significantly from the actual price will be counted as two variations.</w:t>
      </w:r>
    </w:p>
    <w:p w:rsidR="002B33CB" w:rsidRPr="002D23B9" w:rsidRDefault="002B33CB" w:rsidP="002B33CB">
      <w:pPr>
        <w:pStyle w:val="AERbodytext"/>
      </w:pPr>
      <w:r>
        <w:br w:type="page"/>
      </w:r>
    </w:p>
    <w:p w:rsidR="002B33CB" w:rsidRPr="002D23B9" w:rsidRDefault="002B33CB" w:rsidP="002B33CB">
      <w:pPr>
        <w:pStyle w:val="AERtabletitle"/>
      </w:pPr>
      <w:r w:rsidRPr="002D23B9">
        <w:t>Table 2: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2B33CB" w:rsidRPr="009340BA" w:rsidTr="00DA48A3">
        <w:trPr>
          <w:trHeight w:hRule="exact" w:val="369"/>
        </w:trPr>
        <w:tc>
          <w:tcPr>
            <w:tcW w:w="3636" w:type="dxa"/>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2B33CB" w:rsidRPr="009340BA" w:rsidRDefault="002B33CB" w:rsidP="00DA48A3">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2B33CB" w:rsidRPr="009340BA" w:rsidRDefault="002B33CB" w:rsidP="00DA48A3">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2B33CB" w:rsidRPr="00711C86" w:rsidTr="00DA48A3">
        <w:trPr>
          <w:trHeight w:hRule="exact" w:val="369"/>
        </w:trPr>
        <w:tc>
          <w:tcPr>
            <w:tcW w:w="3636" w:type="dxa"/>
            <w:tcBorders>
              <w:top w:val="nil"/>
              <w:left w:val="nil"/>
              <w:bottom w:val="nil"/>
              <w:right w:val="nil"/>
            </w:tcBorders>
            <w:shd w:val="clear" w:color="000000" w:fill="DDD9C3"/>
            <w:noWrap/>
            <w:vAlign w:val="center"/>
            <w:hideMark/>
          </w:tcPr>
          <w:p w:rsidR="002B33CB" w:rsidRPr="00EB690D" w:rsidRDefault="002B33CB" w:rsidP="00DA48A3">
            <w:pPr>
              <w:spacing w:line="240" w:lineRule="auto"/>
              <w:jc w:val="left"/>
              <w:rPr>
                <w:rFonts w:cs="Gautami"/>
                <w:b/>
                <w:bCs/>
                <w:sz w:val="16"/>
                <w:szCs w:val="16"/>
              </w:rPr>
            </w:pPr>
            <w:r w:rsidRPr="00EB690D">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9</w:t>
            </w:r>
          </w:p>
        </w:tc>
        <w:tc>
          <w:tcPr>
            <w:tcW w:w="1436" w:type="dxa"/>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29</w:t>
            </w:r>
          </w:p>
        </w:tc>
        <w:tc>
          <w:tcPr>
            <w:tcW w:w="1297" w:type="dxa"/>
            <w:tcBorders>
              <w:top w:val="nil"/>
              <w:left w:val="nil"/>
              <w:bottom w:val="nil"/>
              <w:right w:val="nil"/>
            </w:tcBorders>
            <w:shd w:val="clear" w:color="000000" w:fill="DDD9C3"/>
            <w:noWrap/>
            <w:vAlign w:val="center"/>
            <w:hideMark/>
          </w:tcPr>
          <w:p w:rsidR="002B33CB" w:rsidRDefault="002B33CB" w:rsidP="00DA48A3">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2B33CB" w:rsidRDefault="002B33CB" w:rsidP="00DA48A3">
            <w:pPr>
              <w:jc w:val="center"/>
              <w:rPr>
                <w:rFonts w:cs="Gautami"/>
                <w:sz w:val="16"/>
                <w:szCs w:val="16"/>
              </w:rPr>
            </w:pPr>
            <w:r>
              <w:rPr>
                <w:rFonts w:cs="Gautami"/>
                <w:sz w:val="16"/>
                <w:szCs w:val="16"/>
              </w:rPr>
              <w:t>1</w:t>
            </w:r>
          </w:p>
        </w:tc>
      </w:tr>
      <w:tr w:rsidR="002B33CB" w:rsidRPr="00711C86" w:rsidTr="00DA48A3">
        <w:trPr>
          <w:trHeight w:hRule="exact" w:val="369"/>
        </w:trPr>
        <w:tc>
          <w:tcPr>
            <w:tcW w:w="3636" w:type="dxa"/>
            <w:tcBorders>
              <w:top w:val="nil"/>
              <w:left w:val="nil"/>
              <w:bottom w:val="single" w:sz="8" w:space="0" w:color="auto"/>
              <w:right w:val="nil"/>
            </w:tcBorders>
            <w:shd w:val="clear" w:color="000000" w:fill="EEECE1"/>
            <w:noWrap/>
            <w:vAlign w:val="center"/>
            <w:hideMark/>
          </w:tcPr>
          <w:p w:rsidR="002B33CB" w:rsidRPr="00EB690D" w:rsidRDefault="002B33CB" w:rsidP="00DA48A3">
            <w:pPr>
              <w:spacing w:line="240" w:lineRule="auto"/>
              <w:jc w:val="left"/>
              <w:rPr>
                <w:rFonts w:cs="Gautami"/>
                <w:b/>
                <w:bCs/>
                <w:sz w:val="16"/>
                <w:szCs w:val="16"/>
              </w:rPr>
            </w:pPr>
            <w:r w:rsidRPr="00EB690D">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36</w:t>
            </w:r>
          </w:p>
        </w:tc>
        <w:tc>
          <w:tcPr>
            <w:tcW w:w="1436" w:type="dxa"/>
            <w:tcBorders>
              <w:top w:val="nil"/>
              <w:left w:val="nil"/>
              <w:bottom w:val="single" w:sz="8" w:space="0" w:color="auto"/>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24</w:t>
            </w:r>
          </w:p>
        </w:tc>
        <w:tc>
          <w:tcPr>
            <w:tcW w:w="1297" w:type="dxa"/>
            <w:tcBorders>
              <w:top w:val="nil"/>
              <w:left w:val="nil"/>
              <w:bottom w:val="single" w:sz="8" w:space="0" w:color="auto"/>
              <w:right w:val="nil"/>
            </w:tcBorders>
            <w:shd w:val="clear" w:color="000000" w:fill="EEECE1"/>
            <w:noWrap/>
            <w:vAlign w:val="center"/>
            <w:hideMark/>
          </w:tcPr>
          <w:p w:rsidR="002B33CB" w:rsidRDefault="002B33CB" w:rsidP="00DA48A3">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2B33CB" w:rsidRDefault="002B33CB" w:rsidP="00DA48A3">
            <w:pPr>
              <w:jc w:val="center"/>
              <w:rPr>
                <w:rFonts w:cs="Gautami"/>
                <w:sz w:val="16"/>
                <w:szCs w:val="16"/>
              </w:rPr>
            </w:pPr>
            <w:r>
              <w:rPr>
                <w:rFonts w:cs="Gautami"/>
                <w:sz w:val="16"/>
                <w:szCs w:val="16"/>
              </w:rPr>
              <w:t>1</w:t>
            </w:r>
          </w:p>
        </w:tc>
      </w:tr>
    </w:tbl>
    <w:p w:rsidR="002B33CB" w:rsidRPr="00601EB7" w:rsidRDefault="002B33CB" w:rsidP="002B33CB">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2B33CB" w:rsidRPr="002D23B9" w:rsidRDefault="002B33CB" w:rsidP="002B33CB">
      <w:pPr>
        <w:pStyle w:val="Heading2"/>
        <w:rPr>
          <w:color w:val="auto"/>
        </w:rPr>
      </w:pPr>
      <w:r>
        <w:rPr>
          <w:color w:val="auto"/>
        </w:rPr>
        <w:t>G</w:t>
      </w:r>
      <w:r w:rsidRPr="002D23B9">
        <w:rPr>
          <w:color w:val="auto"/>
        </w:rPr>
        <w:t>eneration and bidding patterns</w:t>
      </w:r>
    </w:p>
    <w:p w:rsidR="002B33CB" w:rsidRDefault="00CD2A1A" w:rsidP="002B33CB">
      <w:pPr>
        <w:pStyle w:val="AERbodytext"/>
        <w:spacing w:before="120"/>
      </w:pPr>
      <w:r>
        <w:rPr>
          <w:noProof/>
          <w:lang w:eastAsia="en-AU"/>
        </w:rPr>
        <w:pict>
          <v:group id="_x0000_s1072" style="position:absolute;left:0;text-align:left;margin-left:59.65pt;margin-top:111.45pt;width:342.75pt;height:53.85pt;z-index:251664384" coordorigin="2633,12946" coordsize="6855,1077">
            <v:shapetype id="_x0000_t32" coordsize="21600,21600" o:spt="32" o:oned="t" path="m,l21600,21600e" filled="f">
              <v:path arrowok="t" fillok="f" o:connecttype="none"/>
              <o:lock v:ext="edit" shapetype="t"/>
            </v:shapetype>
            <v:shape id="_x0000_s1049" type="#_x0000_t32" style="position:absolute;left:2633;top:12946;width:4097;height:732;flip:x" o:connectortype="straight" strokecolor="red">
              <v:stroke endarrow="block"/>
            </v:shape>
            <v:shape id="_x0000_s1050" type="#_x0000_t32" style="position:absolute;left:3763;top:12946;width:2967;height:927;flip:x;mso-position-horizontal-relative:text;mso-position-vertical-relative:text" o:connectortype="straight" strokecolor="red">
              <v:stroke endarrow="block"/>
            </v:shape>
            <v:shape id="_x0000_s1051" type="#_x0000_t32" style="position:absolute;left:4991;top:12946;width:1739;height:927;flip:x;mso-position-horizontal-relative:text;mso-position-vertical-relative:text" o:connectortype="straight" strokecolor="red">
              <v:stroke endarrow="block"/>
            </v:shape>
            <v:shape id="_x0000_s1052" type="#_x0000_t32" style="position:absolute;left:6113;top:12946;width:617;height:971;flip:x;mso-position-horizontal-relative:text;mso-position-vertical-relative:text" o:connectortype="straight" strokecolor="red">
              <v:stroke endarrow="block"/>
            </v:shape>
            <v:shape id="_x0000_s1053" type="#_x0000_t32" style="position:absolute;left:6730;top:12946;width:1716;height:1024;mso-position-horizontal-relative:text;mso-position-vertical-relative:text" o:connectortype="straight" strokecolor="red">
              <v:stroke endarrow="block"/>
            </v:shape>
            <v:shape id="_x0000_s1054" type="#_x0000_t32" style="position:absolute;left:6730;top:12946;width:2758;height:1077;mso-position-horizontal-relative:text;mso-position-vertical-relative:text" o:connectortype="straight" strokecolor="red">
              <v:stroke endarrow="block"/>
            </v:shape>
          </v:group>
        </w:pict>
      </w:r>
      <w:r w:rsidR="002B33CB" w:rsidRPr="002D23B9">
        <w:t xml:space="preserve">The AER reviews generator bidding as part of its market monitoring to better understand the drivers behind price variations. Figures </w:t>
      </w:r>
      <w:r w:rsidR="002B33CB">
        <w:t>3</w:t>
      </w:r>
      <w:r w:rsidR="002B33CB" w:rsidRPr="002D23B9">
        <w:t xml:space="preserve"> to </w:t>
      </w:r>
      <w:r w:rsidR="002B33CB">
        <w:t>7</w:t>
      </w:r>
      <w:r w:rsidR="002B33CB" w:rsidRPr="002D23B9">
        <w:t xml:space="preserve"> show, the total generation dispatched and the amounts of capacity offered within certain price bands for each 30 minute trading interval in each region. </w:t>
      </w:r>
    </w:p>
    <w:p w:rsidR="002B33CB" w:rsidRPr="005270A6" w:rsidRDefault="00CD2A1A" w:rsidP="002B33CB">
      <w:pPr>
        <w:pStyle w:val="Figureheading"/>
        <w:numPr>
          <w:ilvl w:val="0"/>
          <w:numId w:val="0"/>
        </w:numPr>
      </w:pPr>
      <w:r>
        <w:rPr>
          <w:noProof/>
        </w:rPr>
        <w:pict>
          <v:shape id="Text Box 2" o:spid="_x0000_s1073" type="#_x0000_t202" style="position:absolute;left:0;text-align:left;margin-left:166.05pt;margin-top:38.55pt;width:207.45pt;height:19.5pt;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p w:rsidR="00394A52" w:rsidRDefault="00394A52">
                  <w:r>
                    <w:t>The change in offers were made day ahead</w:t>
                  </w:r>
                </w:p>
              </w:txbxContent>
            </v:textbox>
          </v:shape>
        </w:pict>
      </w:r>
      <w:r>
        <w:rPr>
          <w:noProof/>
        </w:rPr>
        <w:pict>
          <v:shape id="_x0000_s1071"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position:absolute;left:0;text-align:left;margin-left:0;margin-top:21.25pt;width:451pt;height:324pt;z-index:251657215;mso-position-horizontal-relative:text;mso-position-vertical-relative:text">
            <v:imagedata r:id="rId12" o:title=""/>
            <w10:wrap type="topAndBottom"/>
          </v:shape>
        </w:pict>
      </w:r>
      <w:r w:rsidR="002B33CB" w:rsidRPr="005270A6">
        <w:t>Figure 3: Queensland generation and bidding patterns</w:t>
      </w:r>
    </w:p>
    <w:p w:rsidR="002B33CB" w:rsidRDefault="002B33CB" w:rsidP="002B33CB">
      <w:pPr>
        <w:pStyle w:val="AERbodytext"/>
      </w:pPr>
    </w:p>
    <w:p w:rsidR="002B33CB" w:rsidRPr="005270A6" w:rsidRDefault="002B33CB" w:rsidP="00D677C3">
      <w:pPr>
        <w:pStyle w:val="Figureheading"/>
        <w:numPr>
          <w:ilvl w:val="0"/>
          <w:numId w:val="0"/>
        </w:numPr>
        <w:spacing w:before="120" w:line="240" w:lineRule="auto"/>
        <w:ind w:left="357" w:hanging="357"/>
      </w:pPr>
      <w:r w:rsidRPr="005270A6">
        <w:t>Figure 4: New South Wales generation and bidding patterns</w:t>
      </w:r>
    </w:p>
    <w:p w:rsidR="002B33CB" w:rsidRPr="00D677C3" w:rsidRDefault="00570E5D" w:rsidP="00D677C3">
      <w:pPr>
        <w:pStyle w:val="AERbodytext"/>
        <w:spacing w:after="120" w:line="240" w:lineRule="auto"/>
        <w:rPr>
          <w:b/>
        </w:rPr>
      </w:pPr>
      <w:r>
        <w:rPr>
          <w:b/>
        </w:rPr>
        <w:pict>
          <v:shape id="_x0000_i1028"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pt;height:324.5pt">
            <v:imagedata r:id="rId13" o:title=""/>
          </v:shape>
        </w:pict>
      </w:r>
    </w:p>
    <w:p w:rsidR="002B33CB" w:rsidRPr="005270A6" w:rsidRDefault="002B33CB" w:rsidP="002B33CB">
      <w:pPr>
        <w:pStyle w:val="Figureheading"/>
        <w:numPr>
          <w:ilvl w:val="0"/>
          <w:numId w:val="0"/>
        </w:numPr>
        <w:ind w:left="357" w:hanging="357"/>
      </w:pPr>
      <w:r w:rsidRPr="005270A6">
        <w:t>Figure 5: Victoria generation and bidding patterns</w:t>
      </w:r>
    </w:p>
    <w:p w:rsidR="002B33CB" w:rsidRDefault="00CD2A1A" w:rsidP="002B33CB">
      <w:pPr>
        <w:pStyle w:val="AERbodytext"/>
      </w:pPr>
      <w:r>
        <w:rPr>
          <w:noProof/>
          <w:lang w:eastAsia="en-AU"/>
        </w:rPr>
        <w:pict>
          <v:oval id="_x0000_s1048" style="position:absolute;left:0;text-align:left;margin-left:151.5pt;margin-top:50.2pt;width:58.15pt;height:89.3pt;z-index:251660288;mso-position-vertical:absolute" filled="f" strokecolor="red" strokeweight="1.5pt"/>
        </w:pict>
      </w:r>
      <w:r w:rsidR="00570E5D">
        <w:pict>
          <v:shape id="_x0000_i1029"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pt;height:324.5pt">
            <v:imagedata r:id="rId14" o:title=""/>
          </v:shape>
        </w:pict>
      </w:r>
    </w:p>
    <w:p w:rsidR="008D0C1A" w:rsidRDefault="008D0C1A" w:rsidP="002B33CB">
      <w:pPr>
        <w:pStyle w:val="AERbodytext"/>
      </w:pPr>
      <w:r>
        <w:t xml:space="preserve">Red circle shows rebidding by </w:t>
      </w:r>
      <w:r w:rsidR="008124DA">
        <w:t xml:space="preserve">AGL at </w:t>
      </w:r>
      <w:r>
        <w:t>L</w:t>
      </w:r>
      <w:r w:rsidR="008124DA">
        <w:t>o</w:t>
      </w:r>
      <w:r>
        <w:t xml:space="preserve">y Yang </w:t>
      </w:r>
      <w:proofErr w:type="gramStart"/>
      <w:r>
        <w:t>A</w:t>
      </w:r>
      <w:proofErr w:type="gramEnd"/>
      <w:r>
        <w:t xml:space="preserve"> </w:t>
      </w:r>
      <w:r w:rsidR="008124DA">
        <w:t>that shifted around 800 MW of capacity from prices below $30/MWh to above $580/MWh due to unexpected plant limitation</w:t>
      </w:r>
      <w:r>
        <w:t>.</w:t>
      </w:r>
    </w:p>
    <w:p w:rsidR="002B33CB" w:rsidRPr="006768AE" w:rsidRDefault="002B33CB" w:rsidP="002B33CB">
      <w:pPr>
        <w:pStyle w:val="Figureheading"/>
        <w:numPr>
          <w:ilvl w:val="0"/>
          <w:numId w:val="0"/>
        </w:numPr>
        <w:ind w:left="357" w:hanging="357"/>
      </w:pPr>
      <w:r w:rsidRPr="006768AE">
        <w:t>Figure 6: South Australia generation and bidding patterns</w:t>
      </w:r>
    </w:p>
    <w:p w:rsidR="002B33CB" w:rsidRPr="002D23B9" w:rsidRDefault="00570E5D" w:rsidP="002B33CB">
      <w:pPr>
        <w:pStyle w:val="AERbodytext"/>
      </w:pPr>
      <w:r>
        <w:pict>
          <v:shape id="_x0000_i1030"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pt;height:324pt">
            <v:imagedata r:id="rId15" o:title=""/>
          </v:shape>
        </w:pict>
      </w:r>
    </w:p>
    <w:p w:rsidR="002B33CB" w:rsidRPr="006768AE" w:rsidRDefault="002B33CB" w:rsidP="002B33CB">
      <w:pPr>
        <w:pStyle w:val="Figureheading"/>
        <w:numPr>
          <w:ilvl w:val="0"/>
          <w:numId w:val="0"/>
        </w:numPr>
        <w:ind w:left="357" w:hanging="357"/>
      </w:pPr>
      <w:r w:rsidRPr="006768AE">
        <w:t>Figure 7: Tasmania generation and bidding patterns</w:t>
      </w:r>
    </w:p>
    <w:p w:rsidR="00B027E9" w:rsidRDefault="00570E5D" w:rsidP="002B33CB">
      <w:pPr>
        <w:pStyle w:val="AERbodytext"/>
      </w:pPr>
      <w:r>
        <w:pict>
          <v:shape id="_x0000_i1031"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5B4BC3">
        <w:t>416</w:t>
      </w:r>
      <w:r w:rsidR="00827053" w:rsidRPr="006768AE">
        <w:t> </w:t>
      </w:r>
      <w:r w:rsidR="008979B1" w:rsidRPr="006768AE">
        <w:t>0</w:t>
      </w:r>
      <w:r w:rsidR="0027186D" w:rsidRPr="006768AE">
        <w:t>00</w:t>
      </w:r>
      <w:r w:rsidRPr="006768AE">
        <w:t xml:space="preserve"> or less than 1 per</w:t>
      </w:r>
      <w:r w:rsidR="00AF7A08">
        <w:t> </w:t>
      </w:r>
      <w:r w:rsidRPr="006768AE">
        <w:t>cent of energy turnover on the mainland.</w:t>
      </w:r>
      <w:r w:rsidR="003422CF" w:rsidRPr="006768AE">
        <w:t xml:space="preserve"> </w:t>
      </w:r>
    </w:p>
    <w:p w:rsidR="009F7277" w:rsidRPr="006768AE" w:rsidRDefault="005E4D3C" w:rsidP="009F7277">
      <w:pPr>
        <w:pStyle w:val="AERbodytext"/>
      </w:pPr>
      <w:r w:rsidRPr="006768AE">
        <w:t>The total cost of FCAS in Tasmania for the week was $</w:t>
      </w:r>
      <w:r w:rsidR="00F30A4B">
        <w:t>1</w:t>
      </w:r>
      <w:r w:rsidR="005B4BC3">
        <w:t>02</w:t>
      </w:r>
      <w:r w:rsidR="00F30A4B">
        <w:t> </w:t>
      </w:r>
      <w:r w:rsidR="00B72454">
        <w:t>0</w:t>
      </w:r>
      <w:r w:rsidR="008979B1" w:rsidRPr="006768AE">
        <w:t xml:space="preserve">00 </w:t>
      </w:r>
      <w:r w:rsidR="00F30A4B">
        <w:t xml:space="preserve">or </w:t>
      </w:r>
      <w:r w:rsidR="005B4BC3">
        <w:t>around 1.5</w:t>
      </w:r>
      <w:r w:rsidRPr="006768AE">
        <w:t xml:space="preserve"> per</w:t>
      </w:r>
      <w:r w:rsidR="00AF7A08">
        <w:t> </w:t>
      </w:r>
      <w:r w:rsidRPr="006768AE">
        <w:t>cent of energy turnover in Tasmania</w:t>
      </w:r>
      <w:r w:rsidR="00AF7A08">
        <w:t xml:space="preserve">. </w:t>
      </w:r>
      <w:r w:rsidR="009F7277">
        <w:t>A majority of this cost, $60 000, was accrued on 18 July in lower 6 second services. On 18 July at 2.55 am a constraint used to set the local requirement for lower 6 second services in Tasmania violated after Basslink entered the no-go zone.</w:t>
      </w:r>
      <w:r w:rsidR="009F7277" w:rsidRPr="0065159A">
        <w:t xml:space="preserve"> </w:t>
      </w:r>
      <w:r w:rsidR="009F7277">
        <w:t>The requirement for lower 6 second services increased from zero at 2.50 am to 188 MW at 2.55 am.</w:t>
      </w:r>
      <w:r w:rsidR="009F7277" w:rsidRPr="007A0A9D">
        <w:rPr>
          <w:rFonts w:ascii="Arial" w:hAnsi="Arial" w:cs="Arial"/>
          <w:sz w:val="18"/>
          <w:szCs w:val="18"/>
        </w:rPr>
        <w:t xml:space="preserve"> </w:t>
      </w:r>
      <w:r w:rsidR="009F7277">
        <w:rPr>
          <w:rFonts w:ascii="Arial" w:hAnsi="Arial" w:cs="Arial"/>
          <w:sz w:val="18"/>
          <w:szCs w:val="18"/>
        </w:rPr>
        <w:t xml:space="preserve">The co-optimisation between energy and FCAS markets resulted in the </w:t>
      </w:r>
      <w:r w:rsidR="009F7277" w:rsidRPr="009F7277">
        <w:rPr>
          <w:rFonts w:ascii="Arial" w:hAnsi="Arial" w:cs="Arial"/>
          <w:sz w:val="18"/>
          <w:szCs w:val="18"/>
        </w:rPr>
        <w:t xml:space="preserve">price reaching </w:t>
      </w:r>
      <w:r w:rsidR="009F7277" w:rsidRPr="009F7277">
        <w:t>$3502/MW at 2.55 am.</w:t>
      </w:r>
      <w:r w:rsidR="009F7277">
        <w:rPr>
          <w:rFonts w:ascii="Arial" w:hAnsi="Arial" w:cs="Arial"/>
          <w:sz w:val="18"/>
          <w:szCs w:val="18"/>
        </w:rPr>
        <w:t xml:space="preserve"> </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570E5D" w:rsidP="002652CD">
      <w:pPr>
        <w:pStyle w:val="AERbodytext"/>
      </w:pPr>
      <w:r>
        <w:pict>
          <v:shape id="_x0000_i1032" type="#_x0000_t75" style="width:451pt;height:228pt">
            <v:imagedata r:id="rId17"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9121A1">
        <w:rPr>
          <w:color w:val="auto"/>
        </w:rPr>
        <w:t>Detailed market analysis of significant price events</w:t>
      </w:r>
    </w:p>
    <w:p w:rsidR="008B371E" w:rsidRDefault="008B371E" w:rsidP="008B371E">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t xml:space="preserve"> </w:t>
      </w:r>
    </w:p>
    <w:p w:rsidR="008B371E" w:rsidRPr="00AF7A08" w:rsidRDefault="008B371E" w:rsidP="008B371E">
      <w:pPr>
        <w:pStyle w:val="AERbodytext"/>
      </w:pPr>
      <w:r w:rsidRPr="00AF7A08">
        <w:t>There w</w:t>
      </w:r>
      <w:r w:rsidR="00AF7A08" w:rsidRPr="00AF7A08">
        <w:t>ere</w:t>
      </w:r>
      <w:r w:rsidRPr="00AF7A08">
        <w:t xml:space="preserve"> </w:t>
      </w:r>
      <w:r w:rsidR="00AF7A08" w:rsidRPr="00AF7A08">
        <w:t>three</w:t>
      </w:r>
      <w:r w:rsidRPr="00AF7A08">
        <w:t xml:space="preserve"> occasion</w:t>
      </w:r>
      <w:r w:rsidR="00AF7A08" w:rsidRPr="00AF7A08">
        <w:t>s</w:t>
      </w:r>
      <w:r w:rsidRPr="00AF7A08">
        <w:t xml:space="preserve"> where the spot price in South Australia was greater than three times the </w:t>
      </w:r>
      <w:r w:rsidR="00AF7A08" w:rsidRPr="00AF7A08">
        <w:t>South Australia</w:t>
      </w:r>
      <w:r w:rsidRPr="00AF7A08">
        <w:t xml:space="preserve"> weekly average price of $</w:t>
      </w:r>
      <w:r w:rsidR="00AF7A08" w:rsidRPr="00AF7A08">
        <w:t>64</w:t>
      </w:r>
      <w:r w:rsidRPr="00AF7A08">
        <w:t>/MWh and above $250/MWh.</w:t>
      </w:r>
    </w:p>
    <w:p w:rsidR="008B371E" w:rsidRPr="00AF7A08" w:rsidRDefault="008B371E" w:rsidP="008B371E">
      <w:pPr>
        <w:pStyle w:val="AERbodytext"/>
        <w:rPr>
          <w:b/>
        </w:rPr>
      </w:pPr>
      <w:r w:rsidRPr="00AF7A08">
        <w:rPr>
          <w:b/>
        </w:rPr>
        <w:t xml:space="preserve">Table 3: South Australia, </w:t>
      </w:r>
      <w:r w:rsidR="00AF7A08" w:rsidRPr="00AF7A08">
        <w:rPr>
          <w:b/>
        </w:rPr>
        <w:t>Mo</w:t>
      </w:r>
      <w:r w:rsidRPr="00AF7A08">
        <w:rPr>
          <w:b/>
        </w:rPr>
        <w:t xml:space="preserve">nday </w:t>
      </w:r>
      <w:r w:rsidR="00AF7A08" w:rsidRPr="00AF7A08">
        <w:rPr>
          <w:b/>
        </w:rPr>
        <w:t>14</w:t>
      </w:r>
      <w:r w:rsidRPr="00AF7A08">
        <w:rPr>
          <w:b/>
        </w:rPr>
        <w:t xml:space="preserve"> July</w:t>
      </w: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77"/>
        <w:gridCol w:w="825"/>
        <w:gridCol w:w="991"/>
        <w:gridCol w:w="1143"/>
        <w:gridCol w:w="1113"/>
        <w:gridCol w:w="867"/>
        <w:gridCol w:w="869"/>
        <w:gridCol w:w="727"/>
        <w:gridCol w:w="867"/>
        <w:gridCol w:w="867"/>
      </w:tblGrid>
      <w:tr w:rsidR="00AF7A08" w:rsidRPr="00AF7A08" w:rsidTr="00AF7A08">
        <w:tc>
          <w:tcPr>
            <w:tcW w:w="528" w:type="pct"/>
            <w:tcBorders>
              <w:top w:val="single" w:sz="4" w:space="0" w:color="auto"/>
              <w:left w:val="single" w:sz="4" w:space="0" w:color="auto"/>
              <w:bottom w:val="nil"/>
            </w:tcBorders>
            <w:shd w:val="clear" w:color="auto" w:fill="4A442A"/>
            <w:noWrap/>
          </w:tcPr>
          <w:p w:rsidR="008B371E" w:rsidRPr="00394A52" w:rsidRDefault="008B371E" w:rsidP="009A20AA">
            <w:pPr>
              <w:autoSpaceDE w:val="0"/>
              <w:autoSpaceDN w:val="0"/>
              <w:adjustRightInd w:val="0"/>
              <w:spacing w:before="100" w:after="100"/>
              <w:rPr>
                <w:b/>
                <w:bCs/>
                <w:color w:val="FFFFFF"/>
                <w:sz w:val="16"/>
                <w:szCs w:val="16"/>
              </w:rPr>
            </w:pPr>
            <w:r w:rsidRPr="00394A52">
              <w:rPr>
                <w:b/>
                <w:bCs/>
                <w:color w:val="FFFFFF"/>
                <w:sz w:val="16"/>
                <w:szCs w:val="16"/>
              </w:rPr>
              <w:t>Time</w:t>
            </w:r>
          </w:p>
        </w:tc>
        <w:tc>
          <w:tcPr>
            <w:tcW w:w="1600" w:type="pct"/>
            <w:gridSpan w:val="3"/>
            <w:tcBorders>
              <w:top w:val="single" w:sz="4" w:space="0" w:color="auto"/>
              <w:bottom w:val="nil"/>
            </w:tcBorders>
            <w:shd w:val="clear" w:color="auto" w:fill="4A442A"/>
            <w:noWrap/>
          </w:tcPr>
          <w:p w:rsidR="008B371E" w:rsidRPr="00394A52" w:rsidRDefault="008B371E" w:rsidP="009A20AA">
            <w:pPr>
              <w:autoSpaceDE w:val="0"/>
              <w:autoSpaceDN w:val="0"/>
              <w:adjustRightInd w:val="0"/>
              <w:spacing w:before="100" w:after="100"/>
              <w:jc w:val="center"/>
              <w:rPr>
                <w:b/>
                <w:bCs/>
                <w:color w:val="FFFFFF"/>
                <w:sz w:val="16"/>
                <w:szCs w:val="16"/>
              </w:rPr>
            </w:pPr>
            <w:r w:rsidRPr="00394A52">
              <w:rPr>
                <w:b/>
                <w:bCs/>
                <w:color w:val="FFFFFF"/>
                <w:sz w:val="16"/>
                <w:szCs w:val="16"/>
              </w:rPr>
              <w:t>Price ($/MWh)</w:t>
            </w:r>
          </w:p>
        </w:tc>
        <w:tc>
          <w:tcPr>
            <w:tcW w:w="1541" w:type="pct"/>
            <w:gridSpan w:val="3"/>
            <w:tcBorders>
              <w:top w:val="single" w:sz="4" w:space="0" w:color="auto"/>
              <w:bottom w:val="nil"/>
            </w:tcBorders>
            <w:shd w:val="clear" w:color="auto" w:fill="4A442A"/>
          </w:tcPr>
          <w:p w:rsidR="008B371E" w:rsidRPr="00394A52" w:rsidRDefault="008B371E" w:rsidP="009A20AA">
            <w:pPr>
              <w:autoSpaceDE w:val="0"/>
              <w:autoSpaceDN w:val="0"/>
              <w:adjustRightInd w:val="0"/>
              <w:spacing w:before="100" w:after="100"/>
              <w:jc w:val="center"/>
              <w:rPr>
                <w:b/>
                <w:bCs/>
                <w:color w:val="FFFFFF"/>
                <w:sz w:val="16"/>
                <w:szCs w:val="16"/>
              </w:rPr>
            </w:pPr>
            <w:r w:rsidRPr="00394A52">
              <w:rPr>
                <w:b/>
                <w:bCs/>
                <w:color w:val="FFFFFF"/>
                <w:sz w:val="16"/>
                <w:szCs w:val="16"/>
              </w:rPr>
              <w:t>Demand (MW)</w:t>
            </w:r>
          </w:p>
        </w:tc>
        <w:tc>
          <w:tcPr>
            <w:tcW w:w="1331" w:type="pct"/>
            <w:gridSpan w:val="3"/>
            <w:tcBorders>
              <w:top w:val="single" w:sz="4" w:space="0" w:color="auto"/>
              <w:bottom w:val="nil"/>
              <w:right w:val="single" w:sz="4" w:space="0" w:color="auto"/>
            </w:tcBorders>
            <w:shd w:val="clear" w:color="auto" w:fill="4A442A"/>
          </w:tcPr>
          <w:p w:rsidR="008B371E" w:rsidRPr="00394A52" w:rsidRDefault="008B371E" w:rsidP="009A20AA">
            <w:pPr>
              <w:autoSpaceDE w:val="0"/>
              <w:autoSpaceDN w:val="0"/>
              <w:adjustRightInd w:val="0"/>
              <w:spacing w:before="100" w:after="100"/>
              <w:jc w:val="center"/>
              <w:rPr>
                <w:b/>
                <w:bCs/>
                <w:color w:val="FFFFFF"/>
                <w:sz w:val="16"/>
                <w:szCs w:val="16"/>
              </w:rPr>
            </w:pPr>
            <w:r w:rsidRPr="00394A52">
              <w:rPr>
                <w:b/>
                <w:bCs/>
                <w:color w:val="FFFFFF"/>
                <w:sz w:val="16"/>
                <w:szCs w:val="16"/>
              </w:rPr>
              <w:t>Availability (MW)</w:t>
            </w:r>
          </w:p>
        </w:tc>
      </w:tr>
      <w:tr w:rsidR="00AF7A08" w:rsidRPr="00AF7A08" w:rsidTr="00AF7A08">
        <w:tc>
          <w:tcPr>
            <w:tcW w:w="528" w:type="pct"/>
            <w:tcBorders>
              <w:top w:val="nil"/>
              <w:left w:val="single" w:sz="4" w:space="0" w:color="auto"/>
              <w:bottom w:val="nil"/>
              <w:right w:val="single" w:sz="6" w:space="0" w:color="auto"/>
            </w:tcBorders>
            <w:shd w:val="clear" w:color="auto" w:fill="DDD9C3"/>
            <w:noWrap/>
          </w:tcPr>
          <w:p w:rsidR="008B371E" w:rsidRPr="00AF7A08" w:rsidRDefault="008B371E" w:rsidP="009A20AA">
            <w:pPr>
              <w:autoSpaceDE w:val="0"/>
              <w:autoSpaceDN w:val="0"/>
              <w:adjustRightInd w:val="0"/>
              <w:spacing w:before="100" w:after="100"/>
              <w:rPr>
                <w:b/>
                <w:bCs/>
                <w:sz w:val="16"/>
                <w:szCs w:val="16"/>
              </w:rPr>
            </w:pPr>
          </w:p>
        </w:tc>
        <w:tc>
          <w:tcPr>
            <w:tcW w:w="446" w:type="pct"/>
            <w:tcBorders>
              <w:top w:val="nil"/>
              <w:left w:val="single" w:sz="6" w:space="0" w:color="auto"/>
              <w:bottom w:val="nil"/>
              <w:right w:val="nil"/>
            </w:tcBorders>
            <w:shd w:val="clear" w:color="auto" w:fill="DDD9C3"/>
            <w:noWrap/>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Actual</w:t>
            </w:r>
          </w:p>
        </w:tc>
        <w:tc>
          <w:tcPr>
            <w:tcW w:w="536" w:type="pct"/>
            <w:tcBorders>
              <w:top w:val="nil"/>
              <w:left w:val="nil"/>
              <w:bottom w:val="nil"/>
              <w:right w:val="nil"/>
            </w:tcBorders>
            <w:shd w:val="clear" w:color="auto" w:fill="DDD9C3"/>
            <w:noWrap/>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 xml:space="preserve">4 </w:t>
            </w:r>
            <w:proofErr w:type="spellStart"/>
            <w:r w:rsidRPr="00AF7A08">
              <w:rPr>
                <w:b/>
                <w:bCs/>
                <w:sz w:val="16"/>
                <w:szCs w:val="16"/>
              </w:rPr>
              <w:t>hr</w:t>
            </w:r>
            <w:proofErr w:type="spellEnd"/>
            <w:r w:rsidRPr="00AF7A08">
              <w:rPr>
                <w:b/>
                <w:bCs/>
                <w:sz w:val="16"/>
                <w:szCs w:val="16"/>
              </w:rPr>
              <w:t xml:space="preserve"> forecast</w:t>
            </w:r>
          </w:p>
        </w:tc>
        <w:tc>
          <w:tcPr>
            <w:tcW w:w="618" w:type="pct"/>
            <w:tcBorders>
              <w:top w:val="nil"/>
              <w:left w:val="nil"/>
              <w:bottom w:val="nil"/>
              <w:right w:val="single" w:sz="6" w:space="0" w:color="auto"/>
            </w:tcBorders>
            <w:shd w:val="clear" w:color="auto" w:fill="DDD9C3"/>
            <w:noWrap/>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 xml:space="preserve">12 </w:t>
            </w:r>
            <w:proofErr w:type="spellStart"/>
            <w:r w:rsidRPr="00AF7A08">
              <w:rPr>
                <w:b/>
                <w:bCs/>
                <w:sz w:val="16"/>
                <w:szCs w:val="16"/>
              </w:rPr>
              <w:t>hr</w:t>
            </w:r>
            <w:proofErr w:type="spellEnd"/>
            <w:r w:rsidRPr="00AF7A08">
              <w:rPr>
                <w:b/>
                <w:bCs/>
                <w:sz w:val="16"/>
                <w:szCs w:val="16"/>
              </w:rPr>
              <w:t xml:space="preserve"> forecast</w:t>
            </w:r>
          </w:p>
        </w:tc>
        <w:tc>
          <w:tcPr>
            <w:tcW w:w="602" w:type="pct"/>
            <w:tcBorders>
              <w:top w:val="nil"/>
              <w:left w:val="single" w:sz="6" w:space="0" w:color="auto"/>
              <w:bottom w:val="nil"/>
              <w:right w:val="nil"/>
            </w:tcBorders>
            <w:shd w:val="clear" w:color="auto" w:fill="DDD9C3"/>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Actual</w:t>
            </w:r>
          </w:p>
        </w:tc>
        <w:tc>
          <w:tcPr>
            <w:tcW w:w="469" w:type="pct"/>
            <w:tcBorders>
              <w:top w:val="nil"/>
              <w:left w:val="nil"/>
              <w:bottom w:val="nil"/>
              <w:right w:val="nil"/>
            </w:tcBorders>
            <w:shd w:val="clear" w:color="auto" w:fill="DDD9C3"/>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 xml:space="preserve">4 </w:t>
            </w:r>
            <w:proofErr w:type="spellStart"/>
            <w:r w:rsidRPr="00AF7A08">
              <w:rPr>
                <w:b/>
                <w:bCs/>
                <w:sz w:val="16"/>
                <w:szCs w:val="16"/>
              </w:rPr>
              <w:t>hr</w:t>
            </w:r>
            <w:proofErr w:type="spellEnd"/>
            <w:r w:rsidRPr="00AF7A08">
              <w:rPr>
                <w:b/>
                <w:bCs/>
                <w:sz w:val="16"/>
                <w:szCs w:val="16"/>
              </w:rPr>
              <w:t xml:space="preserve"> forecast</w:t>
            </w:r>
          </w:p>
        </w:tc>
        <w:tc>
          <w:tcPr>
            <w:tcW w:w="470" w:type="pct"/>
            <w:tcBorders>
              <w:top w:val="nil"/>
              <w:left w:val="nil"/>
              <w:bottom w:val="nil"/>
              <w:right w:val="single" w:sz="6" w:space="0" w:color="auto"/>
            </w:tcBorders>
            <w:shd w:val="clear" w:color="auto" w:fill="DDD9C3"/>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 xml:space="preserve">12 </w:t>
            </w:r>
            <w:proofErr w:type="spellStart"/>
            <w:r w:rsidRPr="00AF7A08">
              <w:rPr>
                <w:b/>
                <w:bCs/>
                <w:sz w:val="16"/>
                <w:szCs w:val="16"/>
              </w:rPr>
              <w:t>hr</w:t>
            </w:r>
            <w:proofErr w:type="spellEnd"/>
            <w:r w:rsidRPr="00AF7A08">
              <w:rPr>
                <w:b/>
                <w:bCs/>
                <w:sz w:val="16"/>
                <w:szCs w:val="16"/>
              </w:rPr>
              <w:t xml:space="preserve"> forecast</w:t>
            </w:r>
          </w:p>
        </w:tc>
        <w:tc>
          <w:tcPr>
            <w:tcW w:w="393" w:type="pct"/>
            <w:tcBorders>
              <w:top w:val="nil"/>
              <w:left w:val="single" w:sz="6" w:space="0" w:color="auto"/>
              <w:bottom w:val="nil"/>
              <w:right w:val="nil"/>
            </w:tcBorders>
            <w:shd w:val="clear" w:color="auto" w:fill="DDD9C3"/>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Actual</w:t>
            </w:r>
          </w:p>
        </w:tc>
        <w:tc>
          <w:tcPr>
            <w:tcW w:w="469" w:type="pct"/>
            <w:tcBorders>
              <w:top w:val="nil"/>
              <w:left w:val="nil"/>
              <w:bottom w:val="nil"/>
              <w:right w:val="nil"/>
            </w:tcBorders>
            <w:shd w:val="clear" w:color="auto" w:fill="DDD9C3"/>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 xml:space="preserve">4 </w:t>
            </w:r>
            <w:proofErr w:type="spellStart"/>
            <w:r w:rsidRPr="00AF7A08">
              <w:rPr>
                <w:b/>
                <w:bCs/>
                <w:sz w:val="16"/>
                <w:szCs w:val="16"/>
              </w:rPr>
              <w:t>hr</w:t>
            </w:r>
            <w:proofErr w:type="spellEnd"/>
            <w:r w:rsidRPr="00AF7A08">
              <w:rPr>
                <w:b/>
                <w:bCs/>
                <w:sz w:val="16"/>
                <w:szCs w:val="16"/>
              </w:rPr>
              <w:t xml:space="preserve"> forecast</w:t>
            </w:r>
          </w:p>
        </w:tc>
        <w:tc>
          <w:tcPr>
            <w:tcW w:w="469" w:type="pct"/>
            <w:tcBorders>
              <w:top w:val="nil"/>
              <w:left w:val="nil"/>
              <w:bottom w:val="nil"/>
              <w:right w:val="single" w:sz="4" w:space="0" w:color="auto"/>
            </w:tcBorders>
            <w:shd w:val="clear" w:color="auto" w:fill="DDD9C3"/>
          </w:tcPr>
          <w:p w:rsidR="008B371E" w:rsidRPr="00AF7A08" w:rsidRDefault="008B371E" w:rsidP="009A20AA">
            <w:pPr>
              <w:autoSpaceDE w:val="0"/>
              <w:autoSpaceDN w:val="0"/>
              <w:adjustRightInd w:val="0"/>
              <w:spacing w:before="100" w:after="100"/>
              <w:jc w:val="center"/>
              <w:rPr>
                <w:b/>
                <w:bCs/>
                <w:sz w:val="16"/>
                <w:szCs w:val="16"/>
              </w:rPr>
            </w:pPr>
            <w:r w:rsidRPr="00AF7A08">
              <w:rPr>
                <w:b/>
                <w:bCs/>
                <w:sz w:val="16"/>
                <w:szCs w:val="16"/>
              </w:rPr>
              <w:t xml:space="preserve">12 </w:t>
            </w:r>
            <w:proofErr w:type="spellStart"/>
            <w:r w:rsidRPr="00AF7A08">
              <w:rPr>
                <w:b/>
                <w:bCs/>
                <w:sz w:val="16"/>
                <w:szCs w:val="16"/>
              </w:rPr>
              <w:t>hr</w:t>
            </w:r>
            <w:proofErr w:type="spellEnd"/>
            <w:r w:rsidRPr="00AF7A08">
              <w:rPr>
                <w:b/>
                <w:bCs/>
                <w:sz w:val="16"/>
                <w:szCs w:val="16"/>
              </w:rPr>
              <w:t xml:space="preserve"> forecast</w:t>
            </w:r>
          </w:p>
        </w:tc>
      </w:tr>
      <w:tr w:rsidR="00AF7A08" w:rsidRPr="00AF7A08" w:rsidTr="00AF7A08">
        <w:tc>
          <w:tcPr>
            <w:tcW w:w="528" w:type="pct"/>
            <w:tcBorders>
              <w:top w:val="nil"/>
              <w:left w:val="single" w:sz="4" w:space="0" w:color="auto"/>
              <w:bottom w:val="nil"/>
              <w:right w:val="single" w:sz="6" w:space="0" w:color="auto"/>
            </w:tcBorders>
            <w:shd w:val="clear" w:color="auto" w:fill="EEECE1"/>
            <w:noWrap/>
            <w:vAlign w:val="center"/>
          </w:tcPr>
          <w:p w:rsidR="00AF7A08" w:rsidRPr="00AF7A08" w:rsidRDefault="00AF7A08" w:rsidP="00AF7A08">
            <w:pPr>
              <w:autoSpaceDE w:val="0"/>
              <w:autoSpaceDN w:val="0"/>
              <w:adjustRightInd w:val="0"/>
              <w:spacing w:before="100" w:after="100"/>
              <w:jc w:val="center"/>
              <w:rPr>
                <w:b/>
                <w:bCs/>
                <w:sz w:val="16"/>
                <w:szCs w:val="16"/>
              </w:rPr>
            </w:pPr>
            <w:r w:rsidRPr="00AF7A08">
              <w:rPr>
                <w:b/>
                <w:bCs/>
                <w:sz w:val="16"/>
                <w:szCs w:val="16"/>
              </w:rPr>
              <w:t>8.00 PM</w:t>
            </w:r>
          </w:p>
        </w:tc>
        <w:tc>
          <w:tcPr>
            <w:tcW w:w="446" w:type="pct"/>
            <w:tcBorders>
              <w:top w:val="nil"/>
              <w:left w:val="single" w:sz="6" w:space="0" w:color="auto"/>
              <w:bottom w:val="nil"/>
              <w:right w:val="nil"/>
            </w:tcBorders>
            <w:shd w:val="clear" w:color="auto" w:fill="EEECE1"/>
            <w:noWrap/>
            <w:vAlign w:val="center"/>
          </w:tcPr>
          <w:p w:rsidR="00AF7A08" w:rsidRPr="00AF7A08" w:rsidRDefault="00AF7A08" w:rsidP="00AF7A08">
            <w:pPr>
              <w:jc w:val="center"/>
              <w:rPr>
                <w:sz w:val="16"/>
                <w:szCs w:val="16"/>
              </w:rPr>
            </w:pPr>
            <w:r w:rsidRPr="00AF7A08">
              <w:rPr>
                <w:sz w:val="16"/>
                <w:szCs w:val="16"/>
              </w:rPr>
              <w:t>1884.35</w:t>
            </w:r>
          </w:p>
        </w:tc>
        <w:tc>
          <w:tcPr>
            <w:tcW w:w="536" w:type="pct"/>
            <w:tcBorders>
              <w:top w:val="nil"/>
              <w:left w:val="nil"/>
              <w:bottom w:val="nil"/>
              <w:right w:val="nil"/>
            </w:tcBorders>
            <w:shd w:val="clear" w:color="auto" w:fill="EEECE1"/>
            <w:noWrap/>
            <w:vAlign w:val="center"/>
          </w:tcPr>
          <w:p w:rsidR="00AF7A08" w:rsidRPr="00AF7A08" w:rsidRDefault="00AF7A08" w:rsidP="00AF7A08">
            <w:pPr>
              <w:jc w:val="center"/>
              <w:rPr>
                <w:sz w:val="16"/>
                <w:szCs w:val="16"/>
              </w:rPr>
            </w:pPr>
            <w:r w:rsidRPr="00AF7A08">
              <w:rPr>
                <w:sz w:val="16"/>
                <w:szCs w:val="16"/>
              </w:rPr>
              <w:t>300.07</w:t>
            </w:r>
          </w:p>
        </w:tc>
        <w:tc>
          <w:tcPr>
            <w:tcW w:w="618" w:type="pct"/>
            <w:tcBorders>
              <w:top w:val="nil"/>
              <w:left w:val="nil"/>
              <w:bottom w:val="nil"/>
              <w:right w:val="single" w:sz="6" w:space="0" w:color="auto"/>
            </w:tcBorders>
            <w:shd w:val="clear" w:color="auto" w:fill="EEECE1"/>
            <w:noWrap/>
            <w:vAlign w:val="center"/>
          </w:tcPr>
          <w:p w:rsidR="00AF7A08" w:rsidRPr="00AF7A08" w:rsidRDefault="00AF7A08" w:rsidP="00AF7A08">
            <w:pPr>
              <w:jc w:val="center"/>
              <w:rPr>
                <w:sz w:val="16"/>
                <w:szCs w:val="16"/>
              </w:rPr>
            </w:pPr>
            <w:r w:rsidRPr="00AF7A08">
              <w:rPr>
                <w:sz w:val="16"/>
                <w:szCs w:val="16"/>
              </w:rPr>
              <w:t>80.76</w:t>
            </w:r>
          </w:p>
        </w:tc>
        <w:tc>
          <w:tcPr>
            <w:tcW w:w="602" w:type="pct"/>
            <w:tcBorders>
              <w:top w:val="nil"/>
              <w:left w:val="single" w:sz="6" w:space="0" w:color="auto"/>
              <w:bottom w:val="nil"/>
              <w:right w:val="nil"/>
            </w:tcBorders>
            <w:shd w:val="clear" w:color="auto" w:fill="EEECE1"/>
            <w:vAlign w:val="center"/>
          </w:tcPr>
          <w:p w:rsidR="00AF7A08" w:rsidRPr="00AF7A08" w:rsidRDefault="00AF7A08" w:rsidP="00AF7A08">
            <w:pPr>
              <w:jc w:val="center"/>
              <w:rPr>
                <w:sz w:val="16"/>
                <w:szCs w:val="16"/>
              </w:rPr>
            </w:pPr>
            <w:r w:rsidRPr="00AF7A08">
              <w:rPr>
                <w:sz w:val="16"/>
                <w:szCs w:val="16"/>
              </w:rPr>
              <w:t>2138</w:t>
            </w:r>
          </w:p>
        </w:tc>
        <w:tc>
          <w:tcPr>
            <w:tcW w:w="469" w:type="pct"/>
            <w:tcBorders>
              <w:top w:val="nil"/>
              <w:left w:val="nil"/>
              <w:bottom w:val="nil"/>
              <w:right w:val="nil"/>
            </w:tcBorders>
            <w:shd w:val="clear" w:color="auto" w:fill="EEECE1"/>
            <w:vAlign w:val="center"/>
          </w:tcPr>
          <w:p w:rsidR="00AF7A08" w:rsidRPr="00AF7A08" w:rsidRDefault="00AF7A08" w:rsidP="00AF7A08">
            <w:pPr>
              <w:jc w:val="center"/>
              <w:rPr>
                <w:sz w:val="16"/>
                <w:szCs w:val="16"/>
              </w:rPr>
            </w:pPr>
            <w:r w:rsidRPr="00AF7A08">
              <w:rPr>
                <w:sz w:val="16"/>
                <w:szCs w:val="16"/>
              </w:rPr>
              <w:t>2368</w:t>
            </w:r>
          </w:p>
        </w:tc>
        <w:tc>
          <w:tcPr>
            <w:tcW w:w="470" w:type="pct"/>
            <w:tcBorders>
              <w:top w:val="nil"/>
              <w:left w:val="nil"/>
              <w:bottom w:val="nil"/>
              <w:right w:val="single" w:sz="6" w:space="0" w:color="auto"/>
            </w:tcBorders>
            <w:shd w:val="clear" w:color="auto" w:fill="EEECE1"/>
            <w:vAlign w:val="center"/>
          </w:tcPr>
          <w:p w:rsidR="00AF7A08" w:rsidRPr="00AF7A08" w:rsidRDefault="00AF7A08" w:rsidP="00AF7A08">
            <w:pPr>
              <w:jc w:val="center"/>
              <w:rPr>
                <w:sz w:val="16"/>
                <w:szCs w:val="16"/>
              </w:rPr>
            </w:pPr>
            <w:r w:rsidRPr="00AF7A08">
              <w:rPr>
                <w:sz w:val="16"/>
                <w:szCs w:val="16"/>
              </w:rPr>
              <w:t>2207</w:t>
            </w:r>
          </w:p>
        </w:tc>
        <w:tc>
          <w:tcPr>
            <w:tcW w:w="393" w:type="pct"/>
            <w:tcBorders>
              <w:top w:val="nil"/>
              <w:left w:val="single" w:sz="6" w:space="0" w:color="auto"/>
              <w:bottom w:val="nil"/>
              <w:right w:val="nil"/>
            </w:tcBorders>
            <w:shd w:val="clear" w:color="auto" w:fill="EEECE1"/>
            <w:vAlign w:val="center"/>
          </w:tcPr>
          <w:p w:rsidR="00AF7A08" w:rsidRPr="00AF7A08" w:rsidRDefault="00AF7A08" w:rsidP="00AF7A08">
            <w:pPr>
              <w:jc w:val="center"/>
              <w:rPr>
                <w:sz w:val="16"/>
                <w:szCs w:val="16"/>
              </w:rPr>
            </w:pPr>
            <w:r w:rsidRPr="00AF7A08">
              <w:rPr>
                <w:sz w:val="16"/>
                <w:szCs w:val="16"/>
              </w:rPr>
              <w:t>2352</w:t>
            </w:r>
          </w:p>
        </w:tc>
        <w:tc>
          <w:tcPr>
            <w:tcW w:w="469" w:type="pct"/>
            <w:tcBorders>
              <w:top w:val="nil"/>
              <w:left w:val="nil"/>
              <w:bottom w:val="nil"/>
              <w:right w:val="nil"/>
            </w:tcBorders>
            <w:shd w:val="clear" w:color="auto" w:fill="EEECE1"/>
            <w:vAlign w:val="center"/>
          </w:tcPr>
          <w:p w:rsidR="00AF7A08" w:rsidRPr="00AF7A08" w:rsidRDefault="00AF7A08" w:rsidP="00AF7A08">
            <w:pPr>
              <w:jc w:val="center"/>
              <w:rPr>
                <w:sz w:val="16"/>
                <w:szCs w:val="16"/>
              </w:rPr>
            </w:pPr>
            <w:r w:rsidRPr="00AF7A08">
              <w:rPr>
                <w:sz w:val="16"/>
                <w:szCs w:val="16"/>
              </w:rPr>
              <w:t>2460</w:t>
            </w:r>
          </w:p>
        </w:tc>
        <w:tc>
          <w:tcPr>
            <w:tcW w:w="469" w:type="pct"/>
            <w:tcBorders>
              <w:top w:val="nil"/>
              <w:left w:val="nil"/>
              <w:bottom w:val="nil"/>
              <w:right w:val="single" w:sz="4" w:space="0" w:color="auto"/>
            </w:tcBorders>
            <w:shd w:val="clear" w:color="auto" w:fill="EEECE1"/>
            <w:vAlign w:val="center"/>
          </w:tcPr>
          <w:p w:rsidR="00AF7A08" w:rsidRPr="00AF7A08" w:rsidRDefault="00AF7A08" w:rsidP="00AF7A08">
            <w:pPr>
              <w:jc w:val="center"/>
              <w:rPr>
                <w:sz w:val="16"/>
                <w:szCs w:val="16"/>
              </w:rPr>
            </w:pPr>
            <w:r w:rsidRPr="00AF7A08">
              <w:rPr>
                <w:sz w:val="16"/>
                <w:szCs w:val="16"/>
              </w:rPr>
              <w:t>2534</w:t>
            </w:r>
          </w:p>
        </w:tc>
      </w:tr>
      <w:tr w:rsidR="00AF7A08" w:rsidRPr="00AF7A08" w:rsidTr="00AF7A08">
        <w:tc>
          <w:tcPr>
            <w:tcW w:w="528" w:type="pct"/>
            <w:tcBorders>
              <w:top w:val="nil"/>
              <w:left w:val="single" w:sz="4" w:space="0" w:color="auto"/>
              <w:bottom w:val="single" w:sz="4" w:space="0" w:color="auto"/>
              <w:right w:val="single" w:sz="6" w:space="0" w:color="auto"/>
            </w:tcBorders>
            <w:shd w:val="clear" w:color="auto" w:fill="EEECE1"/>
            <w:noWrap/>
            <w:vAlign w:val="center"/>
          </w:tcPr>
          <w:p w:rsidR="00AF7A08" w:rsidRPr="00AF7A08" w:rsidRDefault="00AF7A08" w:rsidP="00AF7A08">
            <w:pPr>
              <w:autoSpaceDE w:val="0"/>
              <w:autoSpaceDN w:val="0"/>
              <w:adjustRightInd w:val="0"/>
              <w:spacing w:before="100" w:after="100"/>
              <w:jc w:val="center"/>
              <w:rPr>
                <w:b/>
                <w:bCs/>
                <w:sz w:val="16"/>
                <w:szCs w:val="16"/>
              </w:rPr>
            </w:pPr>
            <w:r w:rsidRPr="00AF7A08">
              <w:rPr>
                <w:b/>
                <w:bCs/>
                <w:sz w:val="16"/>
                <w:szCs w:val="16"/>
              </w:rPr>
              <w:t>8.30 PM</w:t>
            </w:r>
          </w:p>
        </w:tc>
        <w:tc>
          <w:tcPr>
            <w:tcW w:w="446" w:type="pct"/>
            <w:tcBorders>
              <w:top w:val="nil"/>
              <w:left w:val="single" w:sz="6" w:space="0" w:color="auto"/>
              <w:bottom w:val="single" w:sz="4" w:space="0" w:color="auto"/>
              <w:right w:val="nil"/>
            </w:tcBorders>
            <w:shd w:val="clear" w:color="auto" w:fill="EEECE1"/>
            <w:noWrap/>
            <w:vAlign w:val="center"/>
          </w:tcPr>
          <w:p w:rsidR="00AF7A08" w:rsidRPr="00AF7A08" w:rsidRDefault="00AF7A08" w:rsidP="00AF7A08">
            <w:pPr>
              <w:jc w:val="center"/>
              <w:rPr>
                <w:sz w:val="16"/>
                <w:szCs w:val="16"/>
              </w:rPr>
            </w:pPr>
            <w:r w:rsidRPr="00AF7A08">
              <w:rPr>
                <w:sz w:val="16"/>
                <w:szCs w:val="16"/>
              </w:rPr>
              <w:t>1587.98</w:t>
            </w:r>
          </w:p>
        </w:tc>
        <w:tc>
          <w:tcPr>
            <w:tcW w:w="536" w:type="pct"/>
            <w:tcBorders>
              <w:top w:val="nil"/>
              <w:left w:val="nil"/>
              <w:bottom w:val="single" w:sz="4" w:space="0" w:color="auto"/>
              <w:right w:val="nil"/>
            </w:tcBorders>
            <w:shd w:val="clear" w:color="auto" w:fill="EEECE1"/>
            <w:noWrap/>
            <w:vAlign w:val="center"/>
          </w:tcPr>
          <w:p w:rsidR="00AF7A08" w:rsidRPr="00AF7A08" w:rsidRDefault="00AF7A08" w:rsidP="00AF7A08">
            <w:pPr>
              <w:jc w:val="center"/>
              <w:rPr>
                <w:sz w:val="16"/>
                <w:szCs w:val="16"/>
              </w:rPr>
            </w:pPr>
            <w:r w:rsidRPr="00AF7A08">
              <w:rPr>
                <w:sz w:val="16"/>
                <w:szCs w:val="16"/>
              </w:rPr>
              <w:t>70.50</w:t>
            </w:r>
          </w:p>
        </w:tc>
        <w:tc>
          <w:tcPr>
            <w:tcW w:w="618" w:type="pct"/>
            <w:tcBorders>
              <w:top w:val="nil"/>
              <w:left w:val="nil"/>
              <w:bottom w:val="single" w:sz="4" w:space="0" w:color="auto"/>
              <w:right w:val="single" w:sz="6" w:space="0" w:color="auto"/>
            </w:tcBorders>
            <w:shd w:val="clear" w:color="auto" w:fill="EEECE1"/>
            <w:noWrap/>
            <w:vAlign w:val="center"/>
          </w:tcPr>
          <w:p w:rsidR="00AF7A08" w:rsidRPr="00AF7A08" w:rsidRDefault="00AF7A08" w:rsidP="00AF7A08">
            <w:pPr>
              <w:jc w:val="center"/>
              <w:rPr>
                <w:sz w:val="16"/>
                <w:szCs w:val="16"/>
              </w:rPr>
            </w:pPr>
            <w:r w:rsidRPr="00AF7A08">
              <w:rPr>
                <w:sz w:val="16"/>
                <w:szCs w:val="16"/>
              </w:rPr>
              <w:t>75.76</w:t>
            </w:r>
          </w:p>
        </w:tc>
        <w:tc>
          <w:tcPr>
            <w:tcW w:w="602" w:type="pct"/>
            <w:tcBorders>
              <w:top w:val="nil"/>
              <w:left w:val="single" w:sz="6" w:space="0" w:color="auto"/>
              <w:bottom w:val="single" w:sz="4" w:space="0" w:color="auto"/>
              <w:right w:val="nil"/>
            </w:tcBorders>
            <w:shd w:val="clear" w:color="auto" w:fill="EEECE1"/>
            <w:vAlign w:val="center"/>
          </w:tcPr>
          <w:p w:rsidR="00AF7A08" w:rsidRPr="00AF7A08" w:rsidRDefault="00AF7A08" w:rsidP="00AF7A08">
            <w:pPr>
              <w:jc w:val="center"/>
              <w:rPr>
                <w:sz w:val="16"/>
                <w:szCs w:val="16"/>
              </w:rPr>
            </w:pPr>
            <w:r w:rsidRPr="00AF7A08">
              <w:rPr>
                <w:sz w:val="16"/>
                <w:szCs w:val="16"/>
              </w:rPr>
              <w:t>2067</w:t>
            </w:r>
          </w:p>
        </w:tc>
        <w:tc>
          <w:tcPr>
            <w:tcW w:w="469" w:type="pct"/>
            <w:tcBorders>
              <w:top w:val="nil"/>
              <w:left w:val="nil"/>
              <w:bottom w:val="single" w:sz="4" w:space="0" w:color="auto"/>
              <w:right w:val="nil"/>
            </w:tcBorders>
            <w:shd w:val="clear" w:color="auto" w:fill="EEECE1"/>
            <w:vAlign w:val="center"/>
          </w:tcPr>
          <w:p w:rsidR="00AF7A08" w:rsidRPr="00AF7A08" w:rsidRDefault="00AF7A08" w:rsidP="00AF7A08">
            <w:pPr>
              <w:jc w:val="center"/>
              <w:rPr>
                <w:sz w:val="16"/>
                <w:szCs w:val="16"/>
              </w:rPr>
            </w:pPr>
            <w:r w:rsidRPr="00AF7A08">
              <w:rPr>
                <w:sz w:val="16"/>
                <w:szCs w:val="16"/>
              </w:rPr>
              <w:t>2295</w:t>
            </w:r>
          </w:p>
        </w:tc>
        <w:tc>
          <w:tcPr>
            <w:tcW w:w="470" w:type="pct"/>
            <w:tcBorders>
              <w:top w:val="nil"/>
              <w:left w:val="nil"/>
              <w:bottom w:val="single" w:sz="4" w:space="0" w:color="auto"/>
              <w:right w:val="single" w:sz="6" w:space="0" w:color="auto"/>
            </w:tcBorders>
            <w:shd w:val="clear" w:color="auto" w:fill="EEECE1"/>
            <w:vAlign w:val="center"/>
          </w:tcPr>
          <w:p w:rsidR="00AF7A08" w:rsidRPr="00AF7A08" w:rsidRDefault="00AF7A08" w:rsidP="00AF7A08">
            <w:pPr>
              <w:jc w:val="center"/>
              <w:rPr>
                <w:sz w:val="16"/>
                <w:szCs w:val="16"/>
              </w:rPr>
            </w:pPr>
            <w:r w:rsidRPr="00AF7A08">
              <w:rPr>
                <w:sz w:val="16"/>
                <w:szCs w:val="16"/>
              </w:rPr>
              <w:t>2116</w:t>
            </w:r>
          </w:p>
        </w:tc>
        <w:tc>
          <w:tcPr>
            <w:tcW w:w="393" w:type="pct"/>
            <w:tcBorders>
              <w:top w:val="nil"/>
              <w:left w:val="single" w:sz="6" w:space="0" w:color="auto"/>
              <w:bottom w:val="single" w:sz="4" w:space="0" w:color="auto"/>
              <w:right w:val="nil"/>
            </w:tcBorders>
            <w:shd w:val="clear" w:color="auto" w:fill="EEECE1"/>
            <w:vAlign w:val="center"/>
          </w:tcPr>
          <w:p w:rsidR="00AF7A08" w:rsidRPr="00AF7A08" w:rsidRDefault="00AF7A08" w:rsidP="00AF7A08">
            <w:pPr>
              <w:jc w:val="center"/>
              <w:rPr>
                <w:sz w:val="16"/>
                <w:szCs w:val="16"/>
              </w:rPr>
            </w:pPr>
            <w:r w:rsidRPr="00AF7A08">
              <w:rPr>
                <w:sz w:val="16"/>
                <w:szCs w:val="16"/>
              </w:rPr>
              <w:t>2152</w:t>
            </w:r>
          </w:p>
        </w:tc>
        <w:tc>
          <w:tcPr>
            <w:tcW w:w="469" w:type="pct"/>
            <w:tcBorders>
              <w:top w:val="nil"/>
              <w:left w:val="nil"/>
              <w:bottom w:val="single" w:sz="4" w:space="0" w:color="auto"/>
              <w:right w:val="nil"/>
            </w:tcBorders>
            <w:shd w:val="clear" w:color="auto" w:fill="EEECE1"/>
            <w:vAlign w:val="center"/>
          </w:tcPr>
          <w:p w:rsidR="00AF7A08" w:rsidRPr="00AF7A08" w:rsidRDefault="00AF7A08" w:rsidP="00AF7A08">
            <w:pPr>
              <w:jc w:val="center"/>
              <w:rPr>
                <w:sz w:val="16"/>
                <w:szCs w:val="16"/>
              </w:rPr>
            </w:pPr>
            <w:r w:rsidRPr="00AF7A08">
              <w:rPr>
                <w:sz w:val="16"/>
                <w:szCs w:val="16"/>
              </w:rPr>
              <w:t>2508</w:t>
            </w:r>
          </w:p>
        </w:tc>
        <w:tc>
          <w:tcPr>
            <w:tcW w:w="469" w:type="pct"/>
            <w:tcBorders>
              <w:top w:val="nil"/>
              <w:left w:val="nil"/>
              <w:bottom w:val="single" w:sz="4" w:space="0" w:color="auto"/>
              <w:right w:val="single" w:sz="4" w:space="0" w:color="auto"/>
            </w:tcBorders>
            <w:shd w:val="clear" w:color="auto" w:fill="EEECE1"/>
            <w:vAlign w:val="center"/>
          </w:tcPr>
          <w:p w:rsidR="00AF7A08" w:rsidRPr="00AF7A08" w:rsidRDefault="00AF7A08" w:rsidP="00AF7A08">
            <w:pPr>
              <w:jc w:val="center"/>
              <w:rPr>
                <w:sz w:val="16"/>
                <w:szCs w:val="16"/>
              </w:rPr>
            </w:pPr>
            <w:r w:rsidRPr="00AF7A08">
              <w:rPr>
                <w:sz w:val="16"/>
                <w:szCs w:val="16"/>
              </w:rPr>
              <w:t>2558</w:t>
            </w:r>
          </w:p>
        </w:tc>
      </w:tr>
    </w:tbl>
    <w:p w:rsidR="00505654" w:rsidRDefault="00505654" w:rsidP="008B371E">
      <w:pPr>
        <w:rPr>
          <w:lang w:eastAsia="en-US"/>
        </w:rPr>
      </w:pPr>
    </w:p>
    <w:p w:rsidR="00FD70C4" w:rsidRPr="00BC6FFF" w:rsidRDefault="008B371E" w:rsidP="008B371E">
      <w:pPr>
        <w:rPr>
          <w:lang w:eastAsia="en-US"/>
        </w:rPr>
      </w:pPr>
      <w:r w:rsidRPr="00BC6FFF">
        <w:rPr>
          <w:lang w:eastAsia="en-US"/>
        </w:rPr>
        <w:t xml:space="preserve">Conditions at the time saw demand and available capacity </w:t>
      </w:r>
      <w:r w:rsidR="00BC6FFF" w:rsidRPr="00BC6FFF">
        <w:rPr>
          <w:lang w:eastAsia="en-US"/>
        </w:rPr>
        <w:t>lower than</w:t>
      </w:r>
      <w:r w:rsidRPr="00BC6FFF">
        <w:rPr>
          <w:lang w:eastAsia="en-US"/>
        </w:rPr>
        <w:t xml:space="preserve"> that forecast.</w:t>
      </w:r>
    </w:p>
    <w:p w:rsidR="00AD2C76" w:rsidRDefault="00AD2C76" w:rsidP="008B371E">
      <w:pPr>
        <w:rPr>
          <w:lang w:eastAsia="en-US"/>
        </w:rPr>
      </w:pPr>
    </w:p>
    <w:p w:rsidR="00AD2C76" w:rsidRDefault="00AD2C76" w:rsidP="008B371E">
      <w:pPr>
        <w:rPr>
          <w:lang w:eastAsia="en-US"/>
        </w:rPr>
      </w:pPr>
      <w:r>
        <w:rPr>
          <w:lang w:eastAsia="en-US"/>
        </w:rPr>
        <w:t xml:space="preserve">At 7.45 pm a system normal constraint used to avoid the overload of the Heywood M2 transformer bound when flows on the transformer increased. This resulted in imports in to South Australia being reduced from </w:t>
      </w:r>
      <w:r w:rsidR="00505654">
        <w:rPr>
          <w:lang w:eastAsia="en-US"/>
        </w:rPr>
        <w:t>452</w:t>
      </w:r>
      <w:r>
        <w:rPr>
          <w:lang w:eastAsia="en-US"/>
        </w:rPr>
        <w:t xml:space="preserve"> MW at 7.40 pm to </w:t>
      </w:r>
      <w:r w:rsidR="00505654">
        <w:rPr>
          <w:lang w:eastAsia="en-US"/>
        </w:rPr>
        <w:t>250</w:t>
      </w:r>
      <w:r>
        <w:rPr>
          <w:lang w:eastAsia="en-US"/>
        </w:rPr>
        <w:t> MW at 7.45 pm</w:t>
      </w:r>
      <w:r w:rsidR="00505654">
        <w:rPr>
          <w:lang w:eastAsia="en-US"/>
        </w:rPr>
        <w:t xml:space="preserve"> across </w:t>
      </w:r>
      <w:r w:rsidR="00A35E4C">
        <w:rPr>
          <w:lang w:eastAsia="en-US"/>
        </w:rPr>
        <w:t xml:space="preserve">the </w:t>
      </w:r>
      <w:r w:rsidR="00505654">
        <w:rPr>
          <w:lang w:eastAsia="en-US"/>
        </w:rPr>
        <w:t>Heywood</w:t>
      </w:r>
      <w:r w:rsidR="00A35E4C">
        <w:rPr>
          <w:lang w:eastAsia="en-US"/>
        </w:rPr>
        <w:t xml:space="preserve"> interconnector</w:t>
      </w:r>
      <w:r w:rsidR="00505654">
        <w:rPr>
          <w:lang w:eastAsia="en-US"/>
        </w:rPr>
        <w:t>. With generation in South Australia ramp up limited the five minute price reached $11 003/MWh at 7.45 pm. At 7.50 pm the Heywood interconnector returned to previous levels and the five minute price fell to $62/MWh.</w:t>
      </w:r>
    </w:p>
    <w:p w:rsidR="00505654" w:rsidRDefault="00505654" w:rsidP="008B371E">
      <w:pPr>
        <w:rPr>
          <w:lang w:eastAsia="en-US"/>
        </w:rPr>
      </w:pPr>
    </w:p>
    <w:p w:rsidR="00505654" w:rsidRDefault="00505654" w:rsidP="00505654">
      <w:pPr>
        <w:rPr>
          <w:lang w:eastAsia="en-US"/>
        </w:rPr>
      </w:pPr>
      <w:r>
        <w:rPr>
          <w:lang w:eastAsia="en-US"/>
        </w:rPr>
        <w:t xml:space="preserve">At around 7.40 pm (effective in dispatch at 7.50 pm) AGL’s Torrens Island units B3 and B4 tripped reducing available capacity by a total of 400 MW, all of which was priced at the market floor. </w:t>
      </w:r>
    </w:p>
    <w:p w:rsidR="00AD2C76" w:rsidRPr="00BC6FFF" w:rsidRDefault="00AD2C76" w:rsidP="008B371E">
      <w:pPr>
        <w:rPr>
          <w:lang w:eastAsia="en-US"/>
        </w:rPr>
      </w:pPr>
    </w:p>
    <w:p w:rsidR="008B371E" w:rsidRPr="00A35E4C" w:rsidRDefault="008B371E" w:rsidP="008B371E">
      <w:r w:rsidRPr="00BC6FFF">
        <w:t xml:space="preserve">At </w:t>
      </w:r>
      <w:r w:rsidR="00505654">
        <w:t>8.07</w:t>
      </w:r>
      <w:r w:rsidRPr="00BC6FFF">
        <w:t xml:space="preserve"> pm, effective from </w:t>
      </w:r>
      <w:r w:rsidR="00505654">
        <w:t>8</w:t>
      </w:r>
      <w:r w:rsidRPr="00BC6FFF">
        <w:t>.</w:t>
      </w:r>
      <w:r w:rsidR="00505654">
        <w:t>15</w:t>
      </w:r>
      <w:r w:rsidRPr="00BC6FFF">
        <w:t xml:space="preserve"> pm, </w:t>
      </w:r>
      <w:proofErr w:type="spellStart"/>
      <w:r w:rsidR="00BC6FFF" w:rsidRPr="00BC6FFF">
        <w:t>Alinta</w:t>
      </w:r>
      <w:proofErr w:type="spellEnd"/>
      <w:r w:rsidR="00BC6FFF" w:rsidRPr="00BC6FFF">
        <w:t xml:space="preserve"> Energy</w:t>
      </w:r>
      <w:r w:rsidRPr="00BC6FFF">
        <w:t xml:space="preserve"> rebid </w:t>
      </w:r>
      <w:r w:rsidR="00061024" w:rsidRPr="00BC6FFF">
        <w:t xml:space="preserve">a total of </w:t>
      </w:r>
      <w:r w:rsidR="00BC6FFF" w:rsidRPr="00BC6FFF">
        <w:t>228</w:t>
      </w:r>
      <w:r w:rsidR="00061024" w:rsidRPr="00BC6FFF">
        <w:t xml:space="preserve"> MW of available capacity at </w:t>
      </w:r>
      <w:r w:rsidR="00BC6FFF" w:rsidRPr="00BC6FFF">
        <w:t>Northern Power Station</w:t>
      </w:r>
      <w:r w:rsidR="00061024" w:rsidRPr="00BC6FFF">
        <w:t xml:space="preserve"> from price</w:t>
      </w:r>
      <w:r w:rsidR="00BC6FFF" w:rsidRPr="00BC6FFF">
        <w:t>s below $</w:t>
      </w:r>
      <w:r w:rsidR="00A35E4C">
        <w:t>6</w:t>
      </w:r>
      <w:r w:rsidR="00BC6FFF" w:rsidRPr="00BC6FFF">
        <w:t xml:space="preserve">0/MWh </w:t>
      </w:r>
      <w:r w:rsidR="00061024" w:rsidRPr="00BC6FFF">
        <w:t xml:space="preserve">to </w:t>
      </w:r>
      <w:r w:rsidR="00BC6FFF" w:rsidRPr="00BC6FFF">
        <w:t>above $</w:t>
      </w:r>
      <w:r w:rsidR="00A35E4C">
        <w:t>87</w:t>
      </w:r>
      <w:r w:rsidR="00BC6FFF" w:rsidRPr="00BC6FFF">
        <w:t>00/MWh.</w:t>
      </w:r>
      <w:r w:rsidR="00061024" w:rsidRPr="00BC6FFF">
        <w:t xml:space="preserve"> The reason given was </w:t>
      </w:r>
      <w:r w:rsidR="00061024" w:rsidRPr="00A35E4C">
        <w:t>“</w:t>
      </w:r>
      <w:r w:rsidR="00A35E4C" w:rsidRPr="00A35E4C">
        <w:t>2005A constraint management - V^SML_NSWRB_2@20:07</w:t>
      </w:r>
      <w:r w:rsidR="00061024" w:rsidRPr="00A35E4C">
        <w:t>”.</w:t>
      </w:r>
      <w:r w:rsidR="00A35E4C" w:rsidRPr="00A35E4C">
        <w:t xml:space="preserve"> As a result the five minute price at 8.15 pm reached $8900/MWh set by Northern unit 1.</w:t>
      </w:r>
    </w:p>
    <w:p w:rsidR="00061024" w:rsidRPr="00A35E4C" w:rsidRDefault="00061024" w:rsidP="008B371E"/>
    <w:p w:rsidR="00061024" w:rsidRPr="00A35E4C" w:rsidRDefault="00DE4EBE" w:rsidP="008B371E">
      <w:r w:rsidRPr="00A35E4C">
        <w:t xml:space="preserve">At </w:t>
      </w:r>
      <w:r w:rsidR="00A35E4C" w:rsidRPr="00A35E4C">
        <w:t>8</w:t>
      </w:r>
      <w:r w:rsidRPr="00A35E4C">
        <w:t>.2</w:t>
      </w:r>
      <w:r w:rsidR="00A35E4C" w:rsidRPr="00A35E4C">
        <w:t>0</w:t>
      </w:r>
      <w:r w:rsidRPr="00A35E4C">
        <w:t> pm there was a 1</w:t>
      </w:r>
      <w:r w:rsidR="00A35E4C" w:rsidRPr="00A35E4C">
        <w:t>39</w:t>
      </w:r>
      <w:r w:rsidRPr="00A35E4C">
        <w:t xml:space="preserve"> MW decrease in demand </w:t>
      </w:r>
      <w:r w:rsidR="007B30CC" w:rsidRPr="00A35E4C">
        <w:t xml:space="preserve">(mainly due to </w:t>
      </w:r>
      <w:proofErr w:type="spellStart"/>
      <w:r w:rsidR="007B30CC" w:rsidRPr="00A35E4C">
        <w:t>Anagston</w:t>
      </w:r>
      <w:proofErr w:type="spellEnd"/>
      <w:r w:rsidR="007B30CC" w:rsidRPr="00A35E4C">
        <w:t xml:space="preserve"> and </w:t>
      </w:r>
      <w:proofErr w:type="spellStart"/>
      <w:r w:rsidR="007B30CC" w:rsidRPr="00A35E4C">
        <w:t>Pt</w:t>
      </w:r>
      <w:proofErr w:type="spellEnd"/>
      <w:r w:rsidR="007B30CC" w:rsidRPr="00A35E4C">
        <w:t xml:space="preserve"> </w:t>
      </w:r>
      <w:proofErr w:type="spellStart"/>
      <w:r w:rsidR="007B30CC" w:rsidRPr="00A35E4C">
        <w:t>Stanvac</w:t>
      </w:r>
      <w:proofErr w:type="spellEnd"/>
      <w:r w:rsidR="007B30CC" w:rsidRPr="00A35E4C">
        <w:t xml:space="preserve"> increasing their output) </w:t>
      </w:r>
      <w:r w:rsidRPr="00A35E4C">
        <w:t>which saw the five minute price return to previous levels.</w:t>
      </w:r>
    </w:p>
    <w:p w:rsidR="00AF7A08" w:rsidRPr="00A35E4C" w:rsidRDefault="00AF7A08" w:rsidP="008B371E"/>
    <w:p w:rsidR="00AF7A08" w:rsidRPr="00AF7A08" w:rsidRDefault="00AF7A08" w:rsidP="00AF7A08">
      <w:pPr>
        <w:pStyle w:val="AERbodytext"/>
        <w:rPr>
          <w:b/>
        </w:rPr>
      </w:pPr>
      <w:r w:rsidRPr="00AF7A08">
        <w:rPr>
          <w:b/>
        </w:rPr>
        <w:t xml:space="preserve">Table </w:t>
      </w:r>
      <w:r>
        <w:rPr>
          <w:b/>
        </w:rPr>
        <w:t>4</w:t>
      </w:r>
      <w:r w:rsidRPr="00AF7A08">
        <w:rPr>
          <w:b/>
        </w:rPr>
        <w:t xml:space="preserve">: South Australia, </w:t>
      </w:r>
      <w:r>
        <w:rPr>
          <w:b/>
        </w:rPr>
        <w:t>Fri</w:t>
      </w:r>
      <w:r w:rsidRPr="00AF7A08">
        <w:rPr>
          <w:b/>
        </w:rPr>
        <w:t>day 1</w:t>
      </w:r>
      <w:r>
        <w:rPr>
          <w:b/>
        </w:rPr>
        <w:t>8</w:t>
      </w:r>
      <w:r w:rsidRPr="00AF7A08">
        <w:rPr>
          <w:b/>
        </w:rPr>
        <w:t xml:space="preserve"> July</w:t>
      </w: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77"/>
        <w:gridCol w:w="825"/>
        <w:gridCol w:w="991"/>
        <w:gridCol w:w="1143"/>
        <w:gridCol w:w="1113"/>
        <w:gridCol w:w="867"/>
        <w:gridCol w:w="869"/>
        <w:gridCol w:w="727"/>
        <w:gridCol w:w="867"/>
        <w:gridCol w:w="867"/>
      </w:tblGrid>
      <w:tr w:rsidR="00AF7A08" w:rsidRPr="00AF7A08" w:rsidTr="009531AF">
        <w:tc>
          <w:tcPr>
            <w:tcW w:w="528" w:type="pct"/>
            <w:tcBorders>
              <w:top w:val="single" w:sz="4" w:space="0" w:color="auto"/>
              <w:left w:val="single" w:sz="4" w:space="0" w:color="auto"/>
              <w:bottom w:val="nil"/>
            </w:tcBorders>
            <w:shd w:val="clear" w:color="auto" w:fill="4A442A"/>
            <w:noWrap/>
          </w:tcPr>
          <w:p w:rsidR="00AF7A08" w:rsidRPr="00AF7A08" w:rsidRDefault="00AF7A08" w:rsidP="009531AF">
            <w:pPr>
              <w:autoSpaceDE w:val="0"/>
              <w:autoSpaceDN w:val="0"/>
              <w:adjustRightInd w:val="0"/>
              <w:spacing w:before="100" w:after="100"/>
              <w:rPr>
                <w:b/>
                <w:bCs/>
                <w:color w:val="FFFFFF"/>
                <w:sz w:val="16"/>
                <w:szCs w:val="16"/>
              </w:rPr>
            </w:pPr>
            <w:r w:rsidRPr="00AF7A08">
              <w:rPr>
                <w:b/>
                <w:bCs/>
                <w:color w:val="FFFFFF"/>
                <w:sz w:val="16"/>
                <w:szCs w:val="16"/>
              </w:rPr>
              <w:t>Time</w:t>
            </w:r>
          </w:p>
        </w:tc>
        <w:tc>
          <w:tcPr>
            <w:tcW w:w="1600" w:type="pct"/>
            <w:gridSpan w:val="3"/>
            <w:tcBorders>
              <w:top w:val="single" w:sz="4" w:space="0" w:color="auto"/>
              <w:bottom w:val="nil"/>
            </w:tcBorders>
            <w:shd w:val="clear" w:color="auto" w:fill="4A442A"/>
            <w:noWrap/>
          </w:tcPr>
          <w:p w:rsidR="00AF7A08" w:rsidRPr="00AF7A08" w:rsidRDefault="00AF7A08" w:rsidP="009531AF">
            <w:pPr>
              <w:autoSpaceDE w:val="0"/>
              <w:autoSpaceDN w:val="0"/>
              <w:adjustRightInd w:val="0"/>
              <w:spacing w:before="100" w:after="100"/>
              <w:jc w:val="center"/>
              <w:rPr>
                <w:b/>
                <w:bCs/>
                <w:color w:val="FFFFFF"/>
                <w:sz w:val="16"/>
                <w:szCs w:val="16"/>
              </w:rPr>
            </w:pPr>
            <w:r w:rsidRPr="00AF7A08">
              <w:rPr>
                <w:b/>
                <w:bCs/>
                <w:color w:val="FFFFFF"/>
                <w:sz w:val="16"/>
                <w:szCs w:val="16"/>
              </w:rPr>
              <w:t>Price ($/MWh)</w:t>
            </w:r>
          </w:p>
        </w:tc>
        <w:tc>
          <w:tcPr>
            <w:tcW w:w="1541" w:type="pct"/>
            <w:gridSpan w:val="3"/>
            <w:tcBorders>
              <w:top w:val="single" w:sz="4" w:space="0" w:color="auto"/>
              <w:bottom w:val="nil"/>
            </w:tcBorders>
            <w:shd w:val="clear" w:color="auto" w:fill="4A442A"/>
          </w:tcPr>
          <w:p w:rsidR="00AF7A08" w:rsidRPr="00AF7A08" w:rsidRDefault="00AF7A08" w:rsidP="009531AF">
            <w:pPr>
              <w:autoSpaceDE w:val="0"/>
              <w:autoSpaceDN w:val="0"/>
              <w:adjustRightInd w:val="0"/>
              <w:spacing w:before="100" w:after="100"/>
              <w:jc w:val="center"/>
              <w:rPr>
                <w:b/>
                <w:bCs/>
                <w:color w:val="FFFFFF"/>
                <w:sz w:val="16"/>
                <w:szCs w:val="16"/>
              </w:rPr>
            </w:pPr>
            <w:r w:rsidRPr="00AF7A08">
              <w:rPr>
                <w:b/>
                <w:bCs/>
                <w:color w:val="FFFFFF"/>
                <w:sz w:val="16"/>
                <w:szCs w:val="16"/>
              </w:rPr>
              <w:t>Demand (MW)</w:t>
            </w:r>
          </w:p>
        </w:tc>
        <w:tc>
          <w:tcPr>
            <w:tcW w:w="1331" w:type="pct"/>
            <w:gridSpan w:val="3"/>
            <w:tcBorders>
              <w:top w:val="single" w:sz="4" w:space="0" w:color="auto"/>
              <w:bottom w:val="nil"/>
              <w:right w:val="single" w:sz="4" w:space="0" w:color="auto"/>
            </w:tcBorders>
            <w:shd w:val="clear" w:color="auto" w:fill="4A442A"/>
          </w:tcPr>
          <w:p w:rsidR="00AF7A08" w:rsidRPr="00AF7A08" w:rsidRDefault="00AF7A08" w:rsidP="009531AF">
            <w:pPr>
              <w:autoSpaceDE w:val="0"/>
              <w:autoSpaceDN w:val="0"/>
              <w:adjustRightInd w:val="0"/>
              <w:spacing w:before="100" w:after="100"/>
              <w:jc w:val="center"/>
              <w:rPr>
                <w:b/>
                <w:bCs/>
                <w:color w:val="FFFFFF"/>
                <w:sz w:val="16"/>
                <w:szCs w:val="16"/>
              </w:rPr>
            </w:pPr>
            <w:r w:rsidRPr="00AF7A08">
              <w:rPr>
                <w:b/>
                <w:bCs/>
                <w:color w:val="FFFFFF"/>
                <w:sz w:val="16"/>
                <w:szCs w:val="16"/>
              </w:rPr>
              <w:t>Availability (MW)</w:t>
            </w:r>
          </w:p>
        </w:tc>
      </w:tr>
      <w:tr w:rsidR="00AF7A08" w:rsidRPr="00AF7A08" w:rsidTr="00BC6FFF">
        <w:tc>
          <w:tcPr>
            <w:tcW w:w="528" w:type="pct"/>
            <w:tcBorders>
              <w:top w:val="nil"/>
              <w:left w:val="single" w:sz="4" w:space="0" w:color="auto"/>
              <w:bottom w:val="nil"/>
              <w:right w:val="single" w:sz="6" w:space="0" w:color="auto"/>
            </w:tcBorders>
            <w:shd w:val="clear" w:color="auto" w:fill="DDD9C3"/>
            <w:noWrap/>
          </w:tcPr>
          <w:p w:rsidR="00AF7A08" w:rsidRPr="00AF7A08" w:rsidRDefault="00AF7A08" w:rsidP="009531AF">
            <w:pPr>
              <w:autoSpaceDE w:val="0"/>
              <w:autoSpaceDN w:val="0"/>
              <w:adjustRightInd w:val="0"/>
              <w:spacing w:before="100" w:after="100"/>
              <w:rPr>
                <w:b/>
                <w:bCs/>
                <w:sz w:val="16"/>
                <w:szCs w:val="16"/>
              </w:rPr>
            </w:pPr>
          </w:p>
        </w:tc>
        <w:tc>
          <w:tcPr>
            <w:tcW w:w="446" w:type="pct"/>
            <w:tcBorders>
              <w:top w:val="nil"/>
              <w:left w:val="single" w:sz="6" w:space="0" w:color="auto"/>
              <w:bottom w:val="nil"/>
              <w:right w:val="nil"/>
            </w:tcBorders>
            <w:shd w:val="clear" w:color="auto" w:fill="DDD9C3"/>
            <w:noWrap/>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Actual</w:t>
            </w:r>
          </w:p>
        </w:tc>
        <w:tc>
          <w:tcPr>
            <w:tcW w:w="536" w:type="pct"/>
            <w:tcBorders>
              <w:top w:val="nil"/>
              <w:left w:val="nil"/>
              <w:bottom w:val="nil"/>
              <w:right w:val="nil"/>
            </w:tcBorders>
            <w:shd w:val="clear" w:color="auto" w:fill="DDD9C3"/>
            <w:noWrap/>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 xml:space="preserve">4 </w:t>
            </w:r>
            <w:proofErr w:type="spellStart"/>
            <w:r w:rsidRPr="00AF7A08">
              <w:rPr>
                <w:b/>
                <w:bCs/>
                <w:sz w:val="16"/>
                <w:szCs w:val="16"/>
              </w:rPr>
              <w:t>hr</w:t>
            </w:r>
            <w:proofErr w:type="spellEnd"/>
            <w:r w:rsidRPr="00AF7A08">
              <w:rPr>
                <w:b/>
                <w:bCs/>
                <w:sz w:val="16"/>
                <w:szCs w:val="16"/>
              </w:rPr>
              <w:t xml:space="preserve"> forecast</w:t>
            </w:r>
          </w:p>
        </w:tc>
        <w:tc>
          <w:tcPr>
            <w:tcW w:w="618" w:type="pct"/>
            <w:tcBorders>
              <w:top w:val="nil"/>
              <w:left w:val="nil"/>
              <w:bottom w:val="nil"/>
              <w:right w:val="single" w:sz="6" w:space="0" w:color="auto"/>
            </w:tcBorders>
            <w:shd w:val="clear" w:color="auto" w:fill="DDD9C3"/>
            <w:noWrap/>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 xml:space="preserve">12 </w:t>
            </w:r>
            <w:proofErr w:type="spellStart"/>
            <w:r w:rsidRPr="00AF7A08">
              <w:rPr>
                <w:b/>
                <w:bCs/>
                <w:sz w:val="16"/>
                <w:szCs w:val="16"/>
              </w:rPr>
              <w:t>hr</w:t>
            </w:r>
            <w:proofErr w:type="spellEnd"/>
            <w:r w:rsidRPr="00AF7A08">
              <w:rPr>
                <w:b/>
                <w:bCs/>
                <w:sz w:val="16"/>
                <w:szCs w:val="16"/>
              </w:rPr>
              <w:t xml:space="preserve"> forecast</w:t>
            </w:r>
          </w:p>
        </w:tc>
        <w:tc>
          <w:tcPr>
            <w:tcW w:w="602" w:type="pct"/>
            <w:tcBorders>
              <w:top w:val="nil"/>
              <w:left w:val="single" w:sz="6" w:space="0" w:color="auto"/>
              <w:bottom w:val="nil"/>
              <w:right w:val="nil"/>
            </w:tcBorders>
            <w:shd w:val="clear" w:color="auto" w:fill="DDD9C3"/>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Actual</w:t>
            </w:r>
          </w:p>
        </w:tc>
        <w:tc>
          <w:tcPr>
            <w:tcW w:w="469" w:type="pct"/>
            <w:tcBorders>
              <w:top w:val="nil"/>
              <w:left w:val="nil"/>
              <w:bottom w:val="nil"/>
              <w:right w:val="nil"/>
            </w:tcBorders>
            <w:shd w:val="clear" w:color="auto" w:fill="DDD9C3"/>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 xml:space="preserve">4 </w:t>
            </w:r>
            <w:proofErr w:type="spellStart"/>
            <w:r w:rsidRPr="00AF7A08">
              <w:rPr>
                <w:b/>
                <w:bCs/>
                <w:sz w:val="16"/>
                <w:szCs w:val="16"/>
              </w:rPr>
              <w:t>hr</w:t>
            </w:r>
            <w:proofErr w:type="spellEnd"/>
            <w:r w:rsidRPr="00AF7A08">
              <w:rPr>
                <w:b/>
                <w:bCs/>
                <w:sz w:val="16"/>
                <w:szCs w:val="16"/>
              </w:rPr>
              <w:t xml:space="preserve"> forecast</w:t>
            </w:r>
          </w:p>
        </w:tc>
        <w:tc>
          <w:tcPr>
            <w:tcW w:w="470" w:type="pct"/>
            <w:tcBorders>
              <w:top w:val="nil"/>
              <w:left w:val="nil"/>
              <w:bottom w:val="nil"/>
              <w:right w:val="single" w:sz="6" w:space="0" w:color="auto"/>
            </w:tcBorders>
            <w:shd w:val="clear" w:color="auto" w:fill="DDD9C3"/>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 xml:space="preserve">12 </w:t>
            </w:r>
            <w:proofErr w:type="spellStart"/>
            <w:r w:rsidRPr="00AF7A08">
              <w:rPr>
                <w:b/>
                <w:bCs/>
                <w:sz w:val="16"/>
                <w:szCs w:val="16"/>
              </w:rPr>
              <w:t>hr</w:t>
            </w:r>
            <w:proofErr w:type="spellEnd"/>
            <w:r w:rsidRPr="00AF7A08">
              <w:rPr>
                <w:b/>
                <w:bCs/>
                <w:sz w:val="16"/>
                <w:szCs w:val="16"/>
              </w:rPr>
              <w:t xml:space="preserve"> forecast</w:t>
            </w:r>
          </w:p>
        </w:tc>
        <w:tc>
          <w:tcPr>
            <w:tcW w:w="393" w:type="pct"/>
            <w:tcBorders>
              <w:top w:val="nil"/>
              <w:left w:val="single" w:sz="6" w:space="0" w:color="auto"/>
              <w:bottom w:val="nil"/>
              <w:right w:val="nil"/>
            </w:tcBorders>
            <w:shd w:val="clear" w:color="auto" w:fill="DDD9C3"/>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Actual</w:t>
            </w:r>
          </w:p>
        </w:tc>
        <w:tc>
          <w:tcPr>
            <w:tcW w:w="469" w:type="pct"/>
            <w:tcBorders>
              <w:top w:val="nil"/>
              <w:left w:val="nil"/>
              <w:bottom w:val="nil"/>
              <w:right w:val="nil"/>
            </w:tcBorders>
            <w:shd w:val="clear" w:color="auto" w:fill="DDD9C3"/>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 xml:space="preserve">4 </w:t>
            </w:r>
            <w:proofErr w:type="spellStart"/>
            <w:r w:rsidRPr="00AF7A08">
              <w:rPr>
                <w:b/>
                <w:bCs/>
                <w:sz w:val="16"/>
                <w:szCs w:val="16"/>
              </w:rPr>
              <w:t>hr</w:t>
            </w:r>
            <w:proofErr w:type="spellEnd"/>
            <w:r w:rsidRPr="00AF7A08">
              <w:rPr>
                <w:b/>
                <w:bCs/>
                <w:sz w:val="16"/>
                <w:szCs w:val="16"/>
              </w:rPr>
              <w:t xml:space="preserve"> forecast</w:t>
            </w:r>
          </w:p>
        </w:tc>
        <w:tc>
          <w:tcPr>
            <w:tcW w:w="469" w:type="pct"/>
            <w:tcBorders>
              <w:top w:val="nil"/>
              <w:left w:val="nil"/>
              <w:bottom w:val="nil"/>
              <w:right w:val="single" w:sz="4" w:space="0" w:color="auto"/>
            </w:tcBorders>
            <w:shd w:val="clear" w:color="auto" w:fill="DDD9C3"/>
          </w:tcPr>
          <w:p w:rsidR="00AF7A08" w:rsidRPr="00AF7A08" w:rsidRDefault="00AF7A08" w:rsidP="009531AF">
            <w:pPr>
              <w:autoSpaceDE w:val="0"/>
              <w:autoSpaceDN w:val="0"/>
              <w:adjustRightInd w:val="0"/>
              <w:spacing w:before="100" w:after="100"/>
              <w:jc w:val="center"/>
              <w:rPr>
                <w:b/>
                <w:bCs/>
                <w:sz w:val="16"/>
                <w:szCs w:val="16"/>
              </w:rPr>
            </w:pPr>
            <w:r w:rsidRPr="00AF7A08">
              <w:rPr>
                <w:b/>
                <w:bCs/>
                <w:sz w:val="16"/>
                <w:szCs w:val="16"/>
              </w:rPr>
              <w:t xml:space="preserve">12 </w:t>
            </w:r>
            <w:proofErr w:type="spellStart"/>
            <w:r w:rsidRPr="00AF7A08">
              <w:rPr>
                <w:b/>
                <w:bCs/>
                <w:sz w:val="16"/>
                <w:szCs w:val="16"/>
              </w:rPr>
              <w:t>hr</w:t>
            </w:r>
            <w:proofErr w:type="spellEnd"/>
            <w:r w:rsidRPr="00AF7A08">
              <w:rPr>
                <w:b/>
                <w:bCs/>
                <w:sz w:val="16"/>
                <w:szCs w:val="16"/>
              </w:rPr>
              <w:t xml:space="preserve"> forecast</w:t>
            </w:r>
          </w:p>
        </w:tc>
      </w:tr>
      <w:tr w:rsidR="00BC6FFF" w:rsidRPr="00BC6FFF" w:rsidTr="00BC6FFF">
        <w:tc>
          <w:tcPr>
            <w:tcW w:w="528" w:type="pct"/>
            <w:tcBorders>
              <w:top w:val="nil"/>
              <w:left w:val="single" w:sz="4" w:space="0" w:color="auto"/>
              <w:bottom w:val="single" w:sz="4" w:space="0" w:color="auto"/>
              <w:right w:val="single" w:sz="6" w:space="0" w:color="auto"/>
            </w:tcBorders>
            <w:shd w:val="clear" w:color="auto" w:fill="EEECE1"/>
            <w:noWrap/>
            <w:vAlign w:val="center"/>
          </w:tcPr>
          <w:p w:rsidR="00BC6FFF" w:rsidRPr="00AF7A08" w:rsidRDefault="00BC6FFF" w:rsidP="00BC6FFF">
            <w:pPr>
              <w:autoSpaceDE w:val="0"/>
              <w:autoSpaceDN w:val="0"/>
              <w:adjustRightInd w:val="0"/>
              <w:spacing w:before="100" w:after="100"/>
              <w:jc w:val="center"/>
              <w:rPr>
                <w:b/>
                <w:bCs/>
                <w:sz w:val="16"/>
                <w:szCs w:val="16"/>
              </w:rPr>
            </w:pPr>
            <w:r>
              <w:rPr>
                <w:b/>
                <w:bCs/>
                <w:sz w:val="16"/>
                <w:szCs w:val="16"/>
              </w:rPr>
              <w:t>7</w:t>
            </w:r>
            <w:r w:rsidRPr="00AF7A08">
              <w:rPr>
                <w:b/>
                <w:bCs/>
                <w:sz w:val="16"/>
                <w:szCs w:val="16"/>
              </w:rPr>
              <w:t>.00 PM</w:t>
            </w:r>
          </w:p>
        </w:tc>
        <w:tc>
          <w:tcPr>
            <w:tcW w:w="446" w:type="pct"/>
            <w:tcBorders>
              <w:top w:val="nil"/>
              <w:left w:val="single" w:sz="6" w:space="0" w:color="auto"/>
              <w:bottom w:val="single" w:sz="4" w:space="0" w:color="auto"/>
              <w:right w:val="nil"/>
            </w:tcBorders>
            <w:shd w:val="clear" w:color="auto" w:fill="EEECE1"/>
            <w:noWrap/>
            <w:vAlign w:val="center"/>
          </w:tcPr>
          <w:p w:rsidR="00BC6FFF" w:rsidRPr="00BC6FFF" w:rsidRDefault="00BC6FFF" w:rsidP="00BC6FFF">
            <w:pPr>
              <w:jc w:val="center"/>
              <w:rPr>
                <w:sz w:val="16"/>
                <w:szCs w:val="16"/>
              </w:rPr>
            </w:pPr>
            <w:r w:rsidRPr="00BC6FFF">
              <w:rPr>
                <w:sz w:val="16"/>
                <w:szCs w:val="16"/>
              </w:rPr>
              <w:t>2107.93</w:t>
            </w:r>
          </w:p>
        </w:tc>
        <w:tc>
          <w:tcPr>
            <w:tcW w:w="536" w:type="pct"/>
            <w:tcBorders>
              <w:top w:val="nil"/>
              <w:left w:val="nil"/>
              <w:bottom w:val="single" w:sz="4" w:space="0" w:color="auto"/>
              <w:right w:val="nil"/>
            </w:tcBorders>
            <w:shd w:val="clear" w:color="auto" w:fill="EEECE1"/>
            <w:noWrap/>
            <w:vAlign w:val="center"/>
          </w:tcPr>
          <w:p w:rsidR="00BC6FFF" w:rsidRPr="00BC6FFF" w:rsidRDefault="00BC6FFF" w:rsidP="00BC6FFF">
            <w:pPr>
              <w:jc w:val="center"/>
              <w:rPr>
                <w:sz w:val="16"/>
                <w:szCs w:val="16"/>
              </w:rPr>
            </w:pPr>
            <w:r w:rsidRPr="00BC6FFF">
              <w:rPr>
                <w:sz w:val="16"/>
                <w:szCs w:val="16"/>
              </w:rPr>
              <w:t>66.18</w:t>
            </w:r>
          </w:p>
        </w:tc>
        <w:tc>
          <w:tcPr>
            <w:tcW w:w="618" w:type="pct"/>
            <w:tcBorders>
              <w:top w:val="nil"/>
              <w:left w:val="nil"/>
              <w:bottom w:val="single" w:sz="4" w:space="0" w:color="auto"/>
              <w:right w:val="single" w:sz="6" w:space="0" w:color="auto"/>
            </w:tcBorders>
            <w:shd w:val="clear" w:color="auto" w:fill="EEECE1"/>
            <w:noWrap/>
            <w:vAlign w:val="center"/>
          </w:tcPr>
          <w:p w:rsidR="00BC6FFF" w:rsidRPr="00BC6FFF" w:rsidRDefault="00BC6FFF" w:rsidP="00BC6FFF">
            <w:pPr>
              <w:jc w:val="center"/>
              <w:rPr>
                <w:sz w:val="16"/>
                <w:szCs w:val="16"/>
              </w:rPr>
            </w:pPr>
            <w:r w:rsidRPr="00BC6FFF">
              <w:rPr>
                <w:sz w:val="16"/>
                <w:szCs w:val="16"/>
              </w:rPr>
              <w:t>63.00</w:t>
            </w:r>
          </w:p>
        </w:tc>
        <w:tc>
          <w:tcPr>
            <w:tcW w:w="602" w:type="pct"/>
            <w:tcBorders>
              <w:top w:val="nil"/>
              <w:left w:val="single" w:sz="6" w:space="0" w:color="auto"/>
              <w:bottom w:val="single" w:sz="4" w:space="0" w:color="auto"/>
              <w:right w:val="nil"/>
            </w:tcBorders>
            <w:shd w:val="clear" w:color="auto" w:fill="EEECE1"/>
            <w:vAlign w:val="center"/>
          </w:tcPr>
          <w:p w:rsidR="00BC6FFF" w:rsidRPr="00BC6FFF" w:rsidRDefault="00BC6FFF" w:rsidP="00BC6FFF">
            <w:pPr>
              <w:jc w:val="center"/>
              <w:rPr>
                <w:sz w:val="16"/>
                <w:szCs w:val="16"/>
              </w:rPr>
            </w:pPr>
            <w:r w:rsidRPr="00BC6FFF">
              <w:rPr>
                <w:sz w:val="16"/>
                <w:szCs w:val="16"/>
              </w:rPr>
              <w:t>2171</w:t>
            </w:r>
          </w:p>
        </w:tc>
        <w:tc>
          <w:tcPr>
            <w:tcW w:w="469" w:type="pct"/>
            <w:tcBorders>
              <w:top w:val="nil"/>
              <w:left w:val="nil"/>
              <w:bottom w:val="single" w:sz="4" w:space="0" w:color="auto"/>
              <w:right w:val="nil"/>
            </w:tcBorders>
            <w:shd w:val="clear" w:color="auto" w:fill="EEECE1"/>
            <w:vAlign w:val="center"/>
          </w:tcPr>
          <w:p w:rsidR="00BC6FFF" w:rsidRPr="00BC6FFF" w:rsidRDefault="00BC6FFF" w:rsidP="00BC6FFF">
            <w:pPr>
              <w:jc w:val="center"/>
              <w:rPr>
                <w:sz w:val="16"/>
                <w:szCs w:val="16"/>
              </w:rPr>
            </w:pPr>
            <w:r w:rsidRPr="00BC6FFF">
              <w:rPr>
                <w:sz w:val="16"/>
                <w:szCs w:val="16"/>
              </w:rPr>
              <w:t>2323</w:t>
            </w:r>
          </w:p>
        </w:tc>
        <w:tc>
          <w:tcPr>
            <w:tcW w:w="470" w:type="pct"/>
            <w:tcBorders>
              <w:top w:val="nil"/>
              <w:left w:val="nil"/>
              <w:bottom w:val="single" w:sz="4" w:space="0" w:color="auto"/>
              <w:right w:val="single" w:sz="6" w:space="0" w:color="auto"/>
            </w:tcBorders>
            <w:shd w:val="clear" w:color="auto" w:fill="EEECE1"/>
            <w:vAlign w:val="center"/>
          </w:tcPr>
          <w:p w:rsidR="00BC6FFF" w:rsidRPr="00BC6FFF" w:rsidRDefault="00BC6FFF" w:rsidP="00BC6FFF">
            <w:pPr>
              <w:jc w:val="center"/>
              <w:rPr>
                <w:sz w:val="16"/>
                <w:szCs w:val="16"/>
              </w:rPr>
            </w:pPr>
            <w:r w:rsidRPr="00BC6FFF">
              <w:rPr>
                <w:sz w:val="16"/>
                <w:szCs w:val="16"/>
              </w:rPr>
              <w:t>2176</w:t>
            </w:r>
          </w:p>
        </w:tc>
        <w:tc>
          <w:tcPr>
            <w:tcW w:w="393" w:type="pct"/>
            <w:tcBorders>
              <w:top w:val="nil"/>
              <w:left w:val="single" w:sz="6" w:space="0" w:color="auto"/>
              <w:bottom w:val="single" w:sz="4" w:space="0" w:color="auto"/>
              <w:right w:val="nil"/>
            </w:tcBorders>
            <w:shd w:val="clear" w:color="auto" w:fill="EEECE1"/>
            <w:vAlign w:val="center"/>
          </w:tcPr>
          <w:p w:rsidR="00BC6FFF" w:rsidRPr="00BC6FFF" w:rsidRDefault="00BC6FFF" w:rsidP="00BC6FFF">
            <w:pPr>
              <w:jc w:val="center"/>
              <w:rPr>
                <w:sz w:val="16"/>
                <w:szCs w:val="16"/>
              </w:rPr>
            </w:pPr>
            <w:r w:rsidRPr="00BC6FFF">
              <w:rPr>
                <w:sz w:val="16"/>
                <w:szCs w:val="16"/>
              </w:rPr>
              <w:t>2356</w:t>
            </w:r>
          </w:p>
        </w:tc>
        <w:tc>
          <w:tcPr>
            <w:tcW w:w="469" w:type="pct"/>
            <w:tcBorders>
              <w:top w:val="nil"/>
              <w:left w:val="nil"/>
              <w:bottom w:val="single" w:sz="4" w:space="0" w:color="auto"/>
              <w:right w:val="nil"/>
            </w:tcBorders>
            <w:shd w:val="clear" w:color="auto" w:fill="EEECE1"/>
            <w:vAlign w:val="center"/>
          </w:tcPr>
          <w:p w:rsidR="00BC6FFF" w:rsidRPr="00BC6FFF" w:rsidRDefault="00BC6FFF" w:rsidP="00BC6FFF">
            <w:pPr>
              <w:jc w:val="center"/>
              <w:rPr>
                <w:sz w:val="16"/>
                <w:szCs w:val="16"/>
              </w:rPr>
            </w:pPr>
            <w:r w:rsidRPr="00BC6FFF">
              <w:rPr>
                <w:sz w:val="16"/>
                <w:szCs w:val="16"/>
              </w:rPr>
              <w:t>2453</w:t>
            </w:r>
          </w:p>
        </w:tc>
        <w:tc>
          <w:tcPr>
            <w:tcW w:w="469" w:type="pct"/>
            <w:tcBorders>
              <w:top w:val="nil"/>
              <w:left w:val="nil"/>
              <w:bottom w:val="single" w:sz="4" w:space="0" w:color="auto"/>
              <w:right w:val="single" w:sz="4" w:space="0" w:color="auto"/>
            </w:tcBorders>
            <w:shd w:val="clear" w:color="auto" w:fill="EEECE1"/>
            <w:vAlign w:val="center"/>
          </w:tcPr>
          <w:p w:rsidR="00BC6FFF" w:rsidRPr="00BC6FFF" w:rsidRDefault="00BC6FFF" w:rsidP="00BC6FFF">
            <w:pPr>
              <w:jc w:val="center"/>
              <w:rPr>
                <w:sz w:val="16"/>
                <w:szCs w:val="16"/>
              </w:rPr>
            </w:pPr>
            <w:r w:rsidRPr="00BC6FFF">
              <w:rPr>
                <w:sz w:val="16"/>
                <w:szCs w:val="16"/>
              </w:rPr>
              <w:t>2529</w:t>
            </w:r>
          </w:p>
        </w:tc>
      </w:tr>
    </w:tbl>
    <w:p w:rsidR="00AF7A08" w:rsidRDefault="00AF7A08" w:rsidP="008B371E">
      <w:pPr>
        <w:rPr>
          <w:color w:val="FF0000"/>
        </w:rPr>
      </w:pPr>
    </w:p>
    <w:p w:rsidR="00C00561" w:rsidRDefault="00C00561" w:rsidP="00C00561">
      <w:pPr>
        <w:rPr>
          <w:lang w:eastAsia="en-US"/>
        </w:rPr>
      </w:pPr>
      <w:r w:rsidRPr="00BC6FFF">
        <w:rPr>
          <w:lang w:eastAsia="en-US"/>
        </w:rPr>
        <w:t>Conditions at the time saw demand and available capacity lower than that forecast.</w:t>
      </w:r>
      <w:r w:rsidR="009F7277">
        <w:rPr>
          <w:lang w:eastAsia="en-US"/>
        </w:rPr>
        <w:t xml:space="preserve"> Wind generation at the time was around 80 MW.</w:t>
      </w:r>
    </w:p>
    <w:p w:rsidR="00C00561" w:rsidRDefault="00C00561" w:rsidP="00C00561">
      <w:pPr>
        <w:rPr>
          <w:lang w:eastAsia="en-US"/>
        </w:rPr>
      </w:pPr>
    </w:p>
    <w:p w:rsidR="00C9130A" w:rsidRDefault="00C9130A" w:rsidP="00C00561">
      <w:pPr>
        <w:rPr>
          <w:lang w:eastAsia="en-US"/>
        </w:rPr>
      </w:pPr>
      <w:r>
        <w:rPr>
          <w:lang w:eastAsia="en-US"/>
        </w:rPr>
        <w:t xml:space="preserve">At 6.38 pm, effective from 6.45 pm, </w:t>
      </w:r>
      <w:proofErr w:type="spellStart"/>
      <w:r w:rsidRPr="00BC6FFF">
        <w:t>Alinta</w:t>
      </w:r>
      <w:proofErr w:type="spellEnd"/>
      <w:r w:rsidRPr="00BC6FFF">
        <w:t xml:space="preserve"> Energy rebid a total of </w:t>
      </w:r>
      <w:r>
        <w:t>150</w:t>
      </w:r>
      <w:r w:rsidRPr="00BC6FFF">
        <w:t> MW of available capacity at Northern Power Station from prices below $</w:t>
      </w:r>
      <w:r>
        <w:t>70</w:t>
      </w:r>
      <w:r w:rsidRPr="00BC6FFF">
        <w:t>/MWh to above $</w:t>
      </w:r>
      <w:r>
        <w:t>12 5</w:t>
      </w:r>
      <w:r w:rsidRPr="00BC6FFF">
        <w:t xml:space="preserve">00/MWh. The reason given was </w:t>
      </w:r>
      <w:r w:rsidRPr="00A35E4C">
        <w:t>“</w:t>
      </w:r>
      <w:r w:rsidRPr="00C9130A">
        <w:t>1835A $110.34 V 5PD $64.14@18:38</w:t>
      </w:r>
      <w:r w:rsidRPr="00A35E4C">
        <w:t>”.</w:t>
      </w:r>
    </w:p>
    <w:p w:rsidR="00C9130A" w:rsidRDefault="00C9130A" w:rsidP="00C00561">
      <w:pPr>
        <w:rPr>
          <w:lang w:eastAsia="en-US"/>
        </w:rPr>
      </w:pPr>
    </w:p>
    <w:p w:rsidR="00C00561" w:rsidRDefault="00C00561" w:rsidP="00C00561">
      <w:r>
        <w:rPr>
          <w:lang w:eastAsia="en-US"/>
        </w:rPr>
        <w:t xml:space="preserve">At 6.43 pm, effective from 6.50 pm, </w:t>
      </w:r>
      <w:r w:rsidR="00D5347F">
        <w:rPr>
          <w:lang w:eastAsia="en-US"/>
        </w:rPr>
        <w:t>Origin Energy rebid a total of 145 MW of available capacity across its Ladbroke and Quarantine power stations from prices below $50/MWh to above $12 000/MWh. The reason given was “</w:t>
      </w:r>
      <w:r w:rsidR="00D5347F" w:rsidRPr="00D5347F">
        <w:rPr>
          <w:lang w:eastAsia="en-US"/>
        </w:rPr>
        <w:t>1841A constraint management - V&gt;S_460 SL”</w:t>
      </w:r>
      <w:r w:rsidR="00C9130A" w:rsidRPr="00A35E4C">
        <w:t xml:space="preserve">. As a result the five minute price at </w:t>
      </w:r>
      <w:r w:rsidR="00C9130A">
        <w:t>6</w:t>
      </w:r>
      <w:r w:rsidR="00C9130A" w:rsidRPr="00A35E4C">
        <w:t>.</w:t>
      </w:r>
      <w:r w:rsidR="00C9130A">
        <w:t>50</w:t>
      </w:r>
      <w:r w:rsidR="00C9130A" w:rsidRPr="00A35E4C">
        <w:t> pm reached $</w:t>
      </w:r>
      <w:r w:rsidR="00C9130A">
        <w:t>12 195</w:t>
      </w:r>
      <w:r w:rsidR="00C9130A" w:rsidRPr="00A35E4C">
        <w:t xml:space="preserve">0/MWh set by </w:t>
      </w:r>
      <w:r w:rsidR="00C9130A">
        <w:t>Quarantine</w:t>
      </w:r>
      <w:r w:rsidR="00C9130A" w:rsidRPr="00A35E4C">
        <w:t>.</w:t>
      </w:r>
    </w:p>
    <w:p w:rsidR="00C9130A" w:rsidRDefault="00C9130A" w:rsidP="00C00561"/>
    <w:p w:rsidR="00C9130A" w:rsidRPr="00A35E4C" w:rsidRDefault="00C9130A" w:rsidP="00C9130A">
      <w:r w:rsidRPr="00A35E4C">
        <w:t>At 8.2</w:t>
      </w:r>
      <w:r>
        <w:t>5</w:t>
      </w:r>
      <w:r w:rsidRPr="00A35E4C">
        <w:t> pm there was a 13</w:t>
      </w:r>
      <w:r>
        <w:t>2</w:t>
      </w:r>
      <w:r w:rsidRPr="00A35E4C">
        <w:t xml:space="preserve"> MW decrease in demand (mainly due to </w:t>
      </w:r>
      <w:proofErr w:type="spellStart"/>
      <w:r w:rsidRPr="00A35E4C">
        <w:t>Anagston</w:t>
      </w:r>
      <w:proofErr w:type="spellEnd"/>
      <w:r w:rsidRPr="00A35E4C">
        <w:t xml:space="preserve"> and </w:t>
      </w:r>
      <w:proofErr w:type="spellStart"/>
      <w:r w:rsidRPr="00A35E4C">
        <w:t>Pt</w:t>
      </w:r>
      <w:proofErr w:type="spellEnd"/>
      <w:r w:rsidRPr="00A35E4C">
        <w:t xml:space="preserve"> </w:t>
      </w:r>
      <w:proofErr w:type="spellStart"/>
      <w:r w:rsidRPr="00A35E4C">
        <w:t>Stanvac</w:t>
      </w:r>
      <w:proofErr w:type="spellEnd"/>
      <w:r w:rsidRPr="00A35E4C">
        <w:t xml:space="preserve"> increasing their output) which saw the five minute price return to previous levels.</w:t>
      </w:r>
    </w:p>
    <w:p w:rsidR="00C9130A" w:rsidRPr="00BC6FFF" w:rsidRDefault="00C9130A" w:rsidP="00C00561">
      <w:pPr>
        <w:rPr>
          <w:lang w:eastAsia="en-US"/>
        </w:rPr>
      </w:pP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394A52" w:rsidRDefault="0078358A" w:rsidP="00E96C5A">
      <w:pPr>
        <w:pStyle w:val="Figureheading"/>
        <w:numPr>
          <w:ilvl w:val="0"/>
          <w:numId w:val="0"/>
        </w:numPr>
        <w:ind w:left="357" w:hanging="357"/>
        <w:rPr>
          <w:color w:val="000000"/>
        </w:rPr>
      </w:pPr>
      <w:r w:rsidRPr="00394A52">
        <w:rPr>
          <w:color w:val="000000"/>
        </w:rPr>
        <w:t>Figure 9</w:t>
      </w:r>
      <w:r w:rsidR="00E96C5A" w:rsidRPr="00394A52">
        <w:rPr>
          <w:color w:val="000000"/>
        </w:rPr>
        <w:t xml:space="preserve">: Quarterly base future prices </w:t>
      </w:r>
      <w:r w:rsidR="00BB0611" w:rsidRPr="00394A52">
        <w:rPr>
          <w:color w:val="000000"/>
        </w:rPr>
        <w:t>Q</w:t>
      </w:r>
      <w:r w:rsidR="00B72454" w:rsidRPr="00394A52">
        <w:rPr>
          <w:color w:val="000000"/>
        </w:rPr>
        <w:t>3</w:t>
      </w:r>
      <w:r w:rsidR="00BB0611" w:rsidRPr="00394A52">
        <w:rPr>
          <w:color w:val="000000"/>
        </w:rPr>
        <w:t xml:space="preserve"> </w:t>
      </w:r>
      <w:r w:rsidR="00E96C5A" w:rsidRPr="00394A52">
        <w:rPr>
          <w:color w:val="000000"/>
        </w:rPr>
        <w:t>201</w:t>
      </w:r>
      <w:r w:rsidR="00CA7CF5" w:rsidRPr="00394A52">
        <w:rPr>
          <w:color w:val="000000"/>
        </w:rPr>
        <w:t>4</w:t>
      </w:r>
      <w:r w:rsidR="00E96C5A" w:rsidRPr="00394A52">
        <w:rPr>
          <w:color w:val="000000"/>
        </w:rPr>
        <w:t xml:space="preserve"> – </w:t>
      </w:r>
      <w:r w:rsidR="00BB0611" w:rsidRPr="00394A52">
        <w:rPr>
          <w:color w:val="000000"/>
        </w:rPr>
        <w:t>Q</w:t>
      </w:r>
      <w:r w:rsidR="00B72454" w:rsidRPr="00394A52">
        <w:rPr>
          <w:color w:val="000000"/>
        </w:rPr>
        <w:t>2</w:t>
      </w:r>
      <w:r w:rsidR="00BB0611" w:rsidRPr="00394A52">
        <w:rPr>
          <w:color w:val="000000"/>
        </w:rPr>
        <w:t xml:space="preserve"> 2018</w:t>
      </w:r>
    </w:p>
    <w:p w:rsidR="00E96C5A" w:rsidRPr="002D23B9" w:rsidRDefault="00570E5D" w:rsidP="00170E47">
      <w:pPr>
        <w:pStyle w:val="Sourceandnotes"/>
        <w:ind w:left="0" w:firstLine="0"/>
      </w:pPr>
      <w:r>
        <w:pict>
          <v:shape id="_x0000_i1033" type="#_x0000_t75" alt="Figure 9 shows for all mainland regions the prices for base contracts (and total traded quantities for the week) for each quarter for the next four financial years.     &#10;" style="width:451pt;height:227.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394A52" w:rsidRDefault="00E96C5A" w:rsidP="00E96C5A">
      <w:pPr>
        <w:pStyle w:val="Figureheading"/>
        <w:numPr>
          <w:ilvl w:val="0"/>
          <w:numId w:val="0"/>
        </w:numPr>
        <w:ind w:left="357" w:hanging="357"/>
        <w:rPr>
          <w:color w:val="000000"/>
        </w:rPr>
      </w:pPr>
      <w:r w:rsidRPr="00394A52">
        <w:rPr>
          <w:color w:val="000000"/>
        </w:rPr>
        <w:t xml:space="preserve">Figure </w:t>
      </w:r>
      <w:r w:rsidR="0078358A" w:rsidRPr="00394A52">
        <w:rPr>
          <w:color w:val="000000"/>
        </w:rPr>
        <w:t>10</w:t>
      </w:r>
      <w:r w:rsidRPr="00394A52">
        <w:rPr>
          <w:color w:val="000000"/>
        </w:rPr>
        <w:t>: Price of Q1 201</w:t>
      </w:r>
      <w:r w:rsidR="00754FF0" w:rsidRPr="00394A52">
        <w:rPr>
          <w:color w:val="000000"/>
        </w:rPr>
        <w:t>5</w:t>
      </w:r>
      <w:r w:rsidRPr="00394A52">
        <w:rPr>
          <w:color w:val="000000"/>
        </w:rPr>
        <w:t xml:space="preserve"> base contracts over the past 10 weeks (and the past 2 years)</w:t>
      </w:r>
    </w:p>
    <w:p w:rsidR="00E96C5A" w:rsidRPr="002D23B9" w:rsidRDefault="00570E5D" w:rsidP="00942195">
      <w:pPr>
        <w:pStyle w:val="AERbodytext"/>
      </w:pPr>
      <w:r>
        <w:pict>
          <v:shape id="_x0000_i1034"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51pt;height:228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394A52" w:rsidRDefault="0078358A" w:rsidP="00E96C5A">
      <w:pPr>
        <w:pStyle w:val="Figureheading"/>
        <w:numPr>
          <w:ilvl w:val="0"/>
          <w:numId w:val="0"/>
        </w:numPr>
        <w:ind w:left="357" w:hanging="357"/>
        <w:rPr>
          <w:color w:val="000000"/>
        </w:rPr>
      </w:pPr>
      <w:r w:rsidRPr="00394A52">
        <w:rPr>
          <w:color w:val="000000"/>
        </w:rPr>
        <w:t>Figure 11</w:t>
      </w:r>
      <w:r w:rsidR="00E96C5A" w:rsidRPr="00394A52">
        <w:rPr>
          <w:color w:val="000000"/>
        </w:rPr>
        <w:t>: Price of Q1 201</w:t>
      </w:r>
      <w:r w:rsidR="00754FF0" w:rsidRPr="00394A52">
        <w:rPr>
          <w:color w:val="000000"/>
        </w:rPr>
        <w:t>5</w:t>
      </w:r>
      <w:r w:rsidR="00E96C5A" w:rsidRPr="00394A52">
        <w:rPr>
          <w:color w:val="000000"/>
        </w:rPr>
        <w:t xml:space="preserve"> cap contracts over the past 10 weeks (and the past 2 years)</w:t>
      </w:r>
    </w:p>
    <w:p w:rsidR="00E96C5A" w:rsidRPr="002D23B9" w:rsidRDefault="00570E5D" w:rsidP="00942195">
      <w:pPr>
        <w:pStyle w:val="AERbodytext"/>
      </w:pPr>
      <w:r>
        <w:pict>
          <v:shape id="_x0000_i1035" type="#_x0000_t75" alt="Figure 11 shows how the price for each regional Quarter 1 2015 cap contract has changed over the last 10 weeks (as well as the total number of trades each week). The closing quarter 1 2013 and quarter 1 2014 prices are also shown. " style="width:451pt;height:226.5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394A52" w:rsidRDefault="005F2CBA" w:rsidP="003157C3">
      <w:pPr>
        <w:rPr>
          <w:color w:val="000000"/>
        </w:rPr>
      </w:pPr>
      <w:r w:rsidRPr="00394A52">
        <w:rPr>
          <w:b/>
          <w:color w:val="000000"/>
        </w:rPr>
        <w:t>August</w:t>
      </w:r>
      <w:r w:rsidR="00B54368" w:rsidRPr="00394A52">
        <w:rPr>
          <w:b/>
          <w:color w:val="000000"/>
        </w:rPr>
        <w:t xml:space="preserve"> </w:t>
      </w:r>
      <w:r w:rsidR="0097000C" w:rsidRPr="00394A52">
        <w:rPr>
          <w:b/>
          <w:color w:val="000000"/>
        </w:rPr>
        <w:t>2014</w:t>
      </w:r>
    </w:p>
    <w:sectPr w:rsidR="00E96C5A" w:rsidRPr="00394A52" w:rsidSect="00D677C3">
      <w:footerReference w:type="default" r:id="rId25"/>
      <w:footerReference w:type="first" r:id="rId26"/>
      <w:type w:val="continuous"/>
      <w:pgSz w:w="11906" w:h="16838" w:code="9"/>
      <w:pgMar w:top="709" w:right="1440"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CD2A1A">
      <w:rPr>
        <w:rStyle w:val="PageNumber"/>
        <w:noProof/>
      </w:rPr>
      <w:t>9</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DA0DEE" w:rsidRPr="00DA0DEE">
      <w:rPr>
        <w:i/>
      </w:rPr>
      <w:t>D14/</w:t>
    </w:r>
    <w:r w:rsidR="002E189D">
      <w:rPr>
        <w:i/>
      </w:rPr>
      <w:t>9</w:t>
    </w:r>
    <w:r w:rsidR="000840A7">
      <w:rPr>
        <w:i/>
      </w:rPr>
      <w:t>7293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269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713 - 20140719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D77"/>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2C9A"/>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0A7"/>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7C2"/>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C70"/>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2C"/>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9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4F"/>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3CB"/>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695"/>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5D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38A"/>
    <w:rsid w:val="0032482C"/>
    <w:rsid w:val="0032483B"/>
    <w:rsid w:val="003250AA"/>
    <w:rsid w:val="003258B9"/>
    <w:rsid w:val="00325BB1"/>
    <w:rsid w:val="0032602B"/>
    <w:rsid w:val="0032628A"/>
    <w:rsid w:val="00326730"/>
    <w:rsid w:val="003268DC"/>
    <w:rsid w:val="00326B54"/>
    <w:rsid w:val="00326E56"/>
    <w:rsid w:val="00326E7F"/>
    <w:rsid w:val="0032756C"/>
    <w:rsid w:val="00330225"/>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52"/>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90A"/>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B87"/>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8E2"/>
    <w:rsid w:val="003E3D7B"/>
    <w:rsid w:val="003E4A9C"/>
    <w:rsid w:val="003E4B4E"/>
    <w:rsid w:val="003E4FA0"/>
    <w:rsid w:val="003E5189"/>
    <w:rsid w:val="003E5E52"/>
    <w:rsid w:val="003E5F2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00D"/>
    <w:rsid w:val="003F21ED"/>
    <w:rsid w:val="003F2650"/>
    <w:rsid w:val="003F33D9"/>
    <w:rsid w:val="003F34B8"/>
    <w:rsid w:val="003F3A03"/>
    <w:rsid w:val="003F3FFD"/>
    <w:rsid w:val="003F4158"/>
    <w:rsid w:val="003F4935"/>
    <w:rsid w:val="003F5141"/>
    <w:rsid w:val="003F54BD"/>
    <w:rsid w:val="003F56DA"/>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3A"/>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597"/>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652"/>
    <w:rsid w:val="00496957"/>
    <w:rsid w:val="00496AD3"/>
    <w:rsid w:val="00497392"/>
    <w:rsid w:val="004973E5"/>
    <w:rsid w:val="00497F10"/>
    <w:rsid w:val="004A04FA"/>
    <w:rsid w:val="004A0708"/>
    <w:rsid w:val="004A0919"/>
    <w:rsid w:val="004A104B"/>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1AF"/>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654"/>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824"/>
    <w:rsid w:val="00541CC2"/>
    <w:rsid w:val="00541DB8"/>
    <w:rsid w:val="005420D5"/>
    <w:rsid w:val="0054213D"/>
    <w:rsid w:val="00542160"/>
    <w:rsid w:val="00542D33"/>
    <w:rsid w:val="00543297"/>
    <w:rsid w:val="0054349D"/>
    <w:rsid w:val="00545683"/>
    <w:rsid w:val="00545C64"/>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5D"/>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BC3"/>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CBA"/>
    <w:rsid w:val="005F2E93"/>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1A9E"/>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6A84"/>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4A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6FA"/>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7FF"/>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8BE"/>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0A9D"/>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781"/>
    <w:rsid w:val="00811B85"/>
    <w:rsid w:val="0081230D"/>
    <w:rsid w:val="00812325"/>
    <w:rsid w:val="008124DA"/>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7CE"/>
    <w:rsid w:val="00857A90"/>
    <w:rsid w:val="0086020E"/>
    <w:rsid w:val="00860AC8"/>
    <w:rsid w:val="00860E8A"/>
    <w:rsid w:val="00860F50"/>
    <w:rsid w:val="00861592"/>
    <w:rsid w:val="008616CC"/>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71E"/>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0C1A"/>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DC1"/>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10"/>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A9"/>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4BD"/>
    <w:rsid w:val="009C5C40"/>
    <w:rsid w:val="009C6024"/>
    <w:rsid w:val="009C6336"/>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3EA1"/>
    <w:rsid w:val="009F46AF"/>
    <w:rsid w:val="009F4AC8"/>
    <w:rsid w:val="009F4EAC"/>
    <w:rsid w:val="009F4F62"/>
    <w:rsid w:val="009F5112"/>
    <w:rsid w:val="009F5EFF"/>
    <w:rsid w:val="009F6871"/>
    <w:rsid w:val="009F6CF6"/>
    <w:rsid w:val="009F6E1E"/>
    <w:rsid w:val="009F7030"/>
    <w:rsid w:val="009F712F"/>
    <w:rsid w:val="009F7277"/>
    <w:rsid w:val="009F7431"/>
    <w:rsid w:val="009F762D"/>
    <w:rsid w:val="009F76BA"/>
    <w:rsid w:val="009F7A18"/>
    <w:rsid w:val="009F7B99"/>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1B"/>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25F"/>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7CF"/>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E4C"/>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3B1"/>
    <w:rsid w:val="00A9683D"/>
    <w:rsid w:val="00A96B51"/>
    <w:rsid w:val="00A9715E"/>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2C76"/>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08"/>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57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454"/>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6FFF"/>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2B"/>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561"/>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2D3"/>
    <w:rsid w:val="00C728F7"/>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0A"/>
    <w:rsid w:val="00C914C6"/>
    <w:rsid w:val="00C915AC"/>
    <w:rsid w:val="00C91865"/>
    <w:rsid w:val="00C91B67"/>
    <w:rsid w:val="00C91DA9"/>
    <w:rsid w:val="00C927F6"/>
    <w:rsid w:val="00C92C76"/>
    <w:rsid w:val="00C92FF2"/>
    <w:rsid w:val="00C93C01"/>
    <w:rsid w:val="00C93E5B"/>
    <w:rsid w:val="00C9403F"/>
    <w:rsid w:val="00C941ED"/>
    <w:rsid w:val="00C94677"/>
    <w:rsid w:val="00C9470B"/>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A1A"/>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908"/>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2EB7"/>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47F"/>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677C3"/>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4EBE"/>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C44"/>
    <w:rsid w:val="00DF3DCF"/>
    <w:rsid w:val="00DF41C5"/>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2E7"/>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98F"/>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0FB"/>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4FC3"/>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821"/>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36BB"/>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0AE7"/>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6E92"/>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2AE"/>
    <w:rsid w:val="00F21300"/>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8F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0C77"/>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44B4"/>
    <w:rsid w:val="00FC4923"/>
    <w:rsid w:val="00FC4950"/>
    <w:rsid w:val="00FC5A31"/>
    <w:rsid w:val="00FC6970"/>
    <w:rsid w:val="00FC6EB8"/>
    <w:rsid w:val="00FC6F72"/>
    <w:rsid w:val="00FC6FCF"/>
    <w:rsid w:val="00FC7251"/>
    <w:rsid w:val="00FC72EC"/>
    <w:rsid w:val="00FC7311"/>
    <w:rsid w:val="00FC7478"/>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rules v:ext="edit">
        <o:r id="V:Rule7" type="connector" idref="#_x0000_s1049"/>
        <o:r id="V:Rule8" type="connector" idref="#_x0000_s1051"/>
        <o:r id="V:Rule9" type="connector" idref="#_x0000_s1052"/>
        <o:r id="V:Rule10" type="connector" idref="#_x0000_s1053"/>
        <o:r id="V:Rule11" type="connector" idref="#_x0000_s1054"/>
        <o:r id="V:Rule12"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C9130A"/>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link w:val="AERbodytext"/>
    <w:rsid w:val="00FA426B"/>
    <w:rPr>
      <w:rFonts w:ascii="Gautami" w:eastAsia="Times New Roman" w:hAnsi="Gautami"/>
      <w:szCs w:val="24"/>
      <w:lang w:val="en-AU" w:eastAsia="en-US" w:bidi="ar-SA"/>
    </w:rPr>
  </w:style>
  <w:style w:type="character" w:customStyle="1" w:styleId="Listbullet1Char">
    <w:name w:val="List bullet 1 Char"/>
    <w:link w:val="Listbullet1"/>
    <w:rsid w:val="00E5080D"/>
    <w:rPr>
      <w:rFonts w:ascii="Gautami" w:eastAsia="Times New Roman" w:hAnsi="Gautami"/>
      <w:szCs w:val="16"/>
      <w:lang w:eastAsia="en-US"/>
    </w:rPr>
  </w:style>
  <w:style w:type="character" w:customStyle="1" w:styleId="AERtabletextChar">
    <w:name w:val="AER table text Char"/>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link w:val="Heading7"/>
    <w:uiPriority w:val="9"/>
    <w:rsid w:val="00CF67B7"/>
    <w:rPr>
      <w:rFonts w:ascii="Gautami" w:eastAsia="Times New Roman" w:hAnsi="Gautami"/>
      <w:b/>
      <w:bCs/>
      <w:iCs/>
      <w:color w:val="4A442A"/>
      <w:sz w:val="36"/>
      <w:szCs w:val="24"/>
      <w:lang w:eastAsia="en-US"/>
    </w:rPr>
  </w:style>
  <w:style w:type="character" w:customStyle="1" w:styleId="Heading8Char">
    <w:name w:val="Heading 8 Char"/>
    <w:link w:val="Heading8"/>
    <w:rsid w:val="00CF67B7"/>
    <w:rPr>
      <w:rFonts w:ascii="Gautami" w:eastAsia="Times New Roman" w:hAnsi="Gautami"/>
      <w:b/>
      <w:bCs/>
      <w:iCs/>
      <w:color w:val="4A442A"/>
      <w:sz w:val="28"/>
      <w:lang w:eastAsia="en-US"/>
    </w:rPr>
  </w:style>
  <w:style w:type="character" w:customStyle="1" w:styleId="Heading9Char">
    <w:name w:val="Heading 9 Char"/>
    <w:link w:val="Heading9"/>
    <w:uiPriority w:val="9"/>
    <w:rsid w:val="00CF67B7"/>
    <w:rPr>
      <w:rFonts w:ascii="Gautami" w:eastAsia="Times New Roman" w:hAnsi="Gautami"/>
      <w:b/>
      <w:bCs/>
      <w:color w:val="4A442A"/>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sz w:val="36"/>
      <w:lang w:eastAsia="en-US"/>
    </w:rPr>
  </w:style>
  <w:style w:type="character" w:customStyle="1" w:styleId="FooterChar">
    <w:name w:val="Footer Char"/>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link w:val="AERHeading1new"/>
    <w:rsid w:val="005F739F"/>
    <w:rPr>
      <w:rFonts w:ascii="Gautami" w:eastAsia="Times New Roman" w:hAnsi="Gautami"/>
      <w:b/>
      <w:bCs/>
      <w:color w:val="4A442A"/>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link w:val="Heading2"/>
    <w:rsid w:val="00BD4E2C"/>
    <w:rPr>
      <w:rFonts w:ascii="Gautami" w:eastAsia="Times New Roman" w:hAnsi="Gautami" w:cs="Arial"/>
      <w:b/>
      <w:bCs/>
      <w:iCs/>
      <w:color w:val="4A442A"/>
      <w:sz w:val="28"/>
      <w:szCs w:val="28"/>
    </w:rPr>
  </w:style>
  <w:style w:type="character" w:customStyle="1" w:styleId="HeaderChar">
    <w:name w:val="Header Char"/>
    <w:link w:val="Header"/>
    <w:uiPriority w:val="99"/>
    <w:rsid w:val="00F83806"/>
    <w:rPr>
      <w:rFonts w:ascii="Gautami" w:eastAsia="Times New Roman" w:hAnsi="Gautami"/>
      <w:szCs w:val="24"/>
    </w:rPr>
  </w:style>
  <w:style w:type="character" w:customStyle="1" w:styleId="TitleChar">
    <w:name w:val="Title Char"/>
    <w:link w:val="Title"/>
    <w:rsid w:val="00F83806"/>
    <w:rPr>
      <w:rFonts w:ascii="Arial" w:eastAsia="Times New Roman" w:hAnsi="Arial" w:cs="Arial"/>
      <w:b/>
      <w:bCs/>
      <w:kern w:val="28"/>
      <w:sz w:val="32"/>
      <w:szCs w:val="32"/>
    </w:rPr>
  </w:style>
  <w:style w:type="character" w:styleId="Emphasis">
    <w:name w:val="Emphasis"/>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uiPriority w:val="32"/>
    <w:rsid w:val="005F739F"/>
    <w:rPr>
      <w:b/>
      <w:bCs/>
      <w:smallCaps/>
      <w:color w:val="C0504D"/>
      <w:spacing w:val="5"/>
      <w:u w:val="single"/>
    </w:rPr>
  </w:style>
  <w:style w:type="character" w:styleId="SubtleReference">
    <w:name w:val="Subtle Reference"/>
    <w:uiPriority w:val="31"/>
    <w:rsid w:val="005F739F"/>
    <w:rPr>
      <w:smallCaps/>
      <w:color w:val="C0504D"/>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link w:val="CommentText"/>
    <w:uiPriority w:val="99"/>
    <w:rsid w:val="005D0691"/>
    <w:rPr>
      <w:rFonts w:ascii="Gautami" w:eastAsia="Times New Roman" w:hAnsi="Gautami"/>
    </w:rPr>
  </w:style>
  <w:style w:type="character" w:styleId="FollowedHyperlink">
    <w:name w:val="FollowedHyperlink"/>
    <w:semiHidden/>
    <w:unhideWhenUsed/>
    <w:locked/>
    <w:rsid w:val="00D87E09"/>
    <w:rPr>
      <w:color w:val="800080"/>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link w:val="FootnoteText"/>
    <w:semiHidden/>
    <w:rsid w:val="00170E47"/>
    <w:rPr>
      <w:rFonts w:ascii="Gautami" w:eastAsia="Times New Roman" w:hAnsi="Gautami"/>
    </w:rPr>
  </w:style>
  <w:style w:type="character" w:styleId="FootnoteReference">
    <w:name w:val="footnote reference"/>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669A1F1C.dotm</Template>
  <TotalTime>0</TotalTime>
  <Pages>9</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2014-08-04T01:33:00Z</dcterms:created>
  <dcterms:modified xsi:type="dcterms:W3CDTF">2014-08-04T01:47:00Z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8232828</vt:lpwstr>
  </property>
</Properties>
</file>