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466FD3" w:rsidP="00F16C55">
      <w:pPr>
        <w:pStyle w:val="Heading1"/>
        <w:spacing w:before="120" w:after="0"/>
      </w:pPr>
      <w:bookmarkStart w:id="0" w:name="OLE_LINK66"/>
      <w:bookmarkStart w:id="1" w:name="OLE_LINK67"/>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A30F8E" w:rsidP="00BD60AA">
                  <w:pPr>
                    <w:spacing w:before="140"/>
                    <w:rPr>
                      <w:b/>
                    </w:rPr>
                  </w:pPr>
                  <w:r>
                    <w:rPr>
                      <w:b/>
                    </w:rPr>
                    <w:t>6 – 12 July 2014</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9" o:title=""/>
            <o:lock v:ext="edit" rotation="t"/>
          </v:shape>
        </w:pict>
      </w:r>
      <w:r>
        <w:pict>
          <v:shape id="_x0000_i1025" type="#_x0000_t75" style="width:467.25pt;height:99pt" o:allowoverlap="f">
            <v:imagedata r:id="rId10"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Pr="00E23526" w:rsidRDefault="00864CEC" w:rsidP="00864CEC">
      <w:pPr>
        <w:pStyle w:val="AERunnumberedheading3"/>
        <w:jc w:val="both"/>
        <w:rPr>
          <w:rFonts w:ascii="Times New Roman" w:hAnsi="Times New Roman"/>
        </w:rPr>
      </w:pPr>
      <w:r>
        <w:rPr>
          <w:rFonts w:ascii="Times New Roman" w:hAnsi="Times New Roman"/>
        </w:rPr>
        <w:t>The average price in Brisbane reached a new record low at $2.23/GJ, decreasing 26 per cent from the previous week.</w:t>
      </w:r>
      <w:r w:rsidRPr="00E23526">
        <w:rPr>
          <w:rFonts w:ascii="Times New Roman" w:hAnsi="Times New Roman"/>
        </w:rPr>
        <w:t xml:space="preserve"> Average prices in other regions ranged from $3.89/GJ in Victoria to $4.09/GJ in Adelaide.</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CC3906" w:rsidRPr="006376D7" w:rsidTr="002861A9">
        <w:trPr>
          <w:trHeight w:val="382"/>
        </w:trPr>
        <w:tc>
          <w:tcPr>
            <w:tcW w:w="3710" w:type="dxa"/>
            <w:noWrap/>
            <w:tcMar>
              <w:top w:w="0" w:type="dxa"/>
              <w:bottom w:w="0" w:type="dxa"/>
            </w:tcMar>
            <w:vAlign w:val="center"/>
          </w:tcPr>
          <w:p w:rsidR="00CC3906" w:rsidRDefault="00CC3906">
            <w:pPr>
              <w:rPr>
                <w:rFonts w:ascii="Arial" w:hAnsi="Arial" w:cs="Arial"/>
                <w:sz w:val="20"/>
                <w:szCs w:val="20"/>
              </w:rPr>
            </w:pPr>
            <w:r>
              <w:rPr>
                <w:rFonts w:ascii="Arial" w:hAnsi="Arial" w:cs="Arial"/>
                <w:sz w:val="20"/>
                <w:szCs w:val="20"/>
              </w:rPr>
              <w:t>06 Jul - 12 Jul 2014</w:t>
            </w:r>
          </w:p>
        </w:tc>
        <w:tc>
          <w:tcPr>
            <w:tcW w:w="1439"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3.89</w:t>
            </w:r>
          </w:p>
        </w:tc>
        <w:tc>
          <w:tcPr>
            <w:tcW w:w="1440"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4.01</w:t>
            </w:r>
          </w:p>
        </w:tc>
        <w:tc>
          <w:tcPr>
            <w:tcW w:w="1439"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4.09</w:t>
            </w:r>
          </w:p>
        </w:tc>
        <w:tc>
          <w:tcPr>
            <w:tcW w:w="1440"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2.23</w:t>
            </w:r>
          </w:p>
        </w:tc>
      </w:tr>
      <w:tr w:rsidR="00CC3906" w:rsidRPr="006376D7" w:rsidTr="002861A9">
        <w:trPr>
          <w:trHeight w:val="382"/>
        </w:trPr>
        <w:tc>
          <w:tcPr>
            <w:tcW w:w="3710" w:type="dxa"/>
            <w:noWrap/>
            <w:tcMar>
              <w:top w:w="0" w:type="dxa"/>
              <w:bottom w:w="0" w:type="dxa"/>
            </w:tcMar>
            <w:vAlign w:val="center"/>
          </w:tcPr>
          <w:p w:rsidR="00CC3906" w:rsidRDefault="00CC3906">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5</w:t>
            </w:r>
          </w:p>
        </w:tc>
        <w:tc>
          <w:tcPr>
            <w:tcW w:w="1440"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-2</w:t>
            </w:r>
          </w:p>
        </w:tc>
        <w:tc>
          <w:tcPr>
            <w:tcW w:w="1439"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-2</w:t>
            </w:r>
          </w:p>
        </w:tc>
        <w:tc>
          <w:tcPr>
            <w:tcW w:w="1440"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-26</w:t>
            </w:r>
          </w:p>
        </w:tc>
      </w:tr>
      <w:tr w:rsidR="00864CEC" w:rsidRPr="006376D7" w:rsidTr="002861A9">
        <w:trPr>
          <w:trHeight w:val="382"/>
        </w:trPr>
        <w:tc>
          <w:tcPr>
            <w:tcW w:w="3710" w:type="dxa"/>
            <w:noWrap/>
            <w:tcMar>
              <w:top w:w="0" w:type="dxa"/>
              <w:bottom w:w="0" w:type="dxa"/>
            </w:tcMar>
            <w:vAlign w:val="center"/>
          </w:tcPr>
          <w:p w:rsidR="00864CEC" w:rsidRDefault="00864CEC">
            <w:pPr>
              <w:rPr>
                <w:rFonts w:ascii="Arial" w:hAnsi="Arial" w:cs="Arial"/>
                <w:sz w:val="20"/>
                <w:szCs w:val="20"/>
              </w:rPr>
            </w:pPr>
            <w:r>
              <w:rPr>
                <w:rFonts w:ascii="Arial" w:hAnsi="Arial" w:cs="Arial"/>
                <w:sz w:val="20"/>
                <w:szCs w:val="20"/>
              </w:rPr>
              <w:t>13-14 financial year</w:t>
            </w:r>
          </w:p>
        </w:tc>
        <w:tc>
          <w:tcPr>
            <w:tcW w:w="1439" w:type="dxa"/>
            <w:noWrap/>
            <w:tcMar>
              <w:top w:w="0" w:type="dxa"/>
              <w:bottom w:w="0" w:type="dxa"/>
            </w:tcMar>
            <w:vAlign w:val="center"/>
          </w:tcPr>
          <w:p w:rsidR="00864CEC" w:rsidRDefault="00864CEC">
            <w:pPr>
              <w:jc w:val="center"/>
              <w:rPr>
                <w:rFonts w:ascii="Arial" w:hAnsi="Arial" w:cs="Arial"/>
                <w:sz w:val="20"/>
                <w:szCs w:val="20"/>
              </w:rPr>
            </w:pPr>
            <w:r>
              <w:rPr>
                <w:rFonts w:ascii="Arial" w:hAnsi="Arial" w:cs="Arial"/>
                <w:sz w:val="20"/>
                <w:szCs w:val="20"/>
              </w:rPr>
              <w:t>3.87</w:t>
            </w:r>
          </w:p>
        </w:tc>
        <w:tc>
          <w:tcPr>
            <w:tcW w:w="1440" w:type="dxa"/>
            <w:noWrap/>
            <w:tcMar>
              <w:top w:w="0" w:type="dxa"/>
              <w:bottom w:w="0" w:type="dxa"/>
            </w:tcMar>
            <w:vAlign w:val="center"/>
          </w:tcPr>
          <w:p w:rsidR="00864CEC" w:rsidRDefault="00864CEC">
            <w:pPr>
              <w:jc w:val="center"/>
              <w:rPr>
                <w:rFonts w:ascii="Arial" w:hAnsi="Arial" w:cs="Arial"/>
                <w:sz w:val="20"/>
                <w:szCs w:val="20"/>
              </w:rPr>
            </w:pPr>
            <w:r>
              <w:rPr>
                <w:rFonts w:ascii="Arial" w:hAnsi="Arial" w:cs="Arial"/>
                <w:sz w:val="20"/>
                <w:szCs w:val="20"/>
              </w:rPr>
              <w:t>4.03</w:t>
            </w:r>
          </w:p>
        </w:tc>
        <w:tc>
          <w:tcPr>
            <w:tcW w:w="1439" w:type="dxa"/>
            <w:noWrap/>
            <w:tcMar>
              <w:top w:w="0" w:type="dxa"/>
              <w:bottom w:w="0" w:type="dxa"/>
            </w:tcMar>
            <w:vAlign w:val="center"/>
          </w:tcPr>
          <w:p w:rsidR="00864CEC" w:rsidRDefault="00864CEC">
            <w:pPr>
              <w:jc w:val="center"/>
              <w:rPr>
                <w:rFonts w:ascii="Arial" w:hAnsi="Arial" w:cs="Arial"/>
                <w:sz w:val="20"/>
                <w:szCs w:val="20"/>
              </w:rPr>
            </w:pPr>
            <w:r>
              <w:rPr>
                <w:rFonts w:ascii="Arial" w:hAnsi="Arial" w:cs="Arial"/>
                <w:sz w:val="20"/>
                <w:szCs w:val="20"/>
              </w:rPr>
              <w:t>4.31</w:t>
            </w:r>
          </w:p>
        </w:tc>
        <w:tc>
          <w:tcPr>
            <w:tcW w:w="1440" w:type="dxa"/>
            <w:noWrap/>
            <w:tcMar>
              <w:top w:w="0" w:type="dxa"/>
              <w:bottom w:w="0" w:type="dxa"/>
            </w:tcMar>
            <w:vAlign w:val="center"/>
          </w:tcPr>
          <w:p w:rsidR="00864CEC" w:rsidRDefault="00864CEC">
            <w:pPr>
              <w:jc w:val="center"/>
              <w:rPr>
                <w:rFonts w:ascii="Arial" w:hAnsi="Arial" w:cs="Arial"/>
                <w:sz w:val="20"/>
                <w:szCs w:val="20"/>
              </w:rPr>
            </w:pPr>
            <w:r>
              <w:rPr>
                <w:rFonts w:ascii="Arial" w:hAnsi="Arial" w:cs="Arial"/>
                <w:sz w:val="20"/>
                <w:szCs w:val="20"/>
              </w:rPr>
              <w:t>4.55</w:t>
            </w:r>
          </w:p>
        </w:tc>
      </w:tr>
      <w:tr w:rsidR="00864CEC" w:rsidRPr="006376D7" w:rsidTr="002861A9">
        <w:trPr>
          <w:trHeight w:val="382"/>
        </w:trPr>
        <w:tc>
          <w:tcPr>
            <w:tcW w:w="3710" w:type="dxa"/>
            <w:noWrap/>
            <w:tcMar>
              <w:top w:w="0" w:type="dxa"/>
              <w:bottom w:w="0" w:type="dxa"/>
            </w:tcMar>
            <w:vAlign w:val="center"/>
          </w:tcPr>
          <w:p w:rsidR="00864CEC" w:rsidRDefault="00864CEC">
            <w:pPr>
              <w:rPr>
                <w:rFonts w:ascii="Arial" w:hAnsi="Arial" w:cs="Arial"/>
                <w:sz w:val="20"/>
                <w:szCs w:val="20"/>
              </w:rPr>
            </w:pPr>
            <w:r>
              <w:rPr>
                <w:rFonts w:ascii="Arial" w:hAnsi="Arial" w:cs="Arial"/>
                <w:sz w:val="20"/>
                <w:szCs w:val="20"/>
              </w:rPr>
              <w:t>% change from previous financial year</w:t>
            </w:r>
          </w:p>
        </w:tc>
        <w:tc>
          <w:tcPr>
            <w:tcW w:w="1439" w:type="dxa"/>
            <w:noWrap/>
            <w:tcMar>
              <w:top w:w="0" w:type="dxa"/>
              <w:bottom w:w="0" w:type="dxa"/>
            </w:tcMar>
            <w:vAlign w:val="center"/>
          </w:tcPr>
          <w:p w:rsidR="00864CEC" w:rsidRDefault="00864CEC">
            <w:pPr>
              <w:jc w:val="center"/>
              <w:rPr>
                <w:rFonts w:ascii="Arial" w:hAnsi="Arial" w:cs="Arial"/>
                <w:sz w:val="20"/>
                <w:szCs w:val="20"/>
              </w:rPr>
            </w:pPr>
            <w:r>
              <w:rPr>
                <w:rFonts w:ascii="Arial" w:hAnsi="Arial" w:cs="Arial"/>
                <w:sz w:val="20"/>
                <w:szCs w:val="20"/>
              </w:rPr>
              <w:t>-14</w:t>
            </w:r>
          </w:p>
        </w:tc>
        <w:tc>
          <w:tcPr>
            <w:tcW w:w="1440" w:type="dxa"/>
            <w:noWrap/>
            <w:tcMar>
              <w:top w:w="0" w:type="dxa"/>
              <w:bottom w:w="0" w:type="dxa"/>
            </w:tcMar>
            <w:vAlign w:val="center"/>
          </w:tcPr>
          <w:p w:rsidR="00864CEC" w:rsidRDefault="00864CEC">
            <w:pPr>
              <w:jc w:val="center"/>
              <w:rPr>
                <w:rFonts w:ascii="Arial" w:hAnsi="Arial" w:cs="Arial"/>
                <w:sz w:val="20"/>
                <w:szCs w:val="20"/>
              </w:rPr>
            </w:pPr>
            <w:r>
              <w:rPr>
                <w:rFonts w:ascii="Arial" w:hAnsi="Arial" w:cs="Arial"/>
                <w:sz w:val="20"/>
                <w:szCs w:val="20"/>
              </w:rPr>
              <w:t>-23</w:t>
            </w:r>
          </w:p>
        </w:tc>
        <w:tc>
          <w:tcPr>
            <w:tcW w:w="1439" w:type="dxa"/>
            <w:noWrap/>
            <w:tcMar>
              <w:top w:w="0" w:type="dxa"/>
              <w:bottom w:w="0" w:type="dxa"/>
            </w:tcMar>
            <w:vAlign w:val="center"/>
          </w:tcPr>
          <w:p w:rsidR="00864CEC" w:rsidRDefault="00864CEC">
            <w:pPr>
              <w:jc w:val="center"/>
              <w:rPr>
                <w:rFonts w:ascii="Arial" w:hAnsi="Arial" w:cs="Arial"/>
                <w:sz w:val="20"/>
                <w:szCs w:val="20"/>
              </w:rPr>
            </w:pPr>
            <w:r>
              <w:rPr>
                <w:rFonts w:ascii="Arial" w:hAnsi="Arial" w:cs="Arial"/>
                <w:sz w:val="20"/>
                <w:szCs w:val="20"/>
              </w:rPr>
              <w:t>-15</w:t>
            </w:r>
          </w:p>
        </w:tc>
        <w:tc>
          <w:tcPr>
            <w:tcW w:w="1440" w:type="dxa"/>
            <w:noWrap/>
            <w:tcMar>
              <w:top w:w="0" w:type="dxa"/>
              <w:bottom w:w="0" w:type="dxa"/>
            </w:tcMar>
            <w:vAlign w:val="center"/>
          </w:tcPr>
          <w:p w:rsidR="00864CEC" w:rsidRDefault="00864CEC">
            <w:pPr>
              <w:jc w:val="center"/>
              <w:rPr>
                <w:rFonts w:ascii="Arial" w:hAnsi="Arial" w:cs="Arial"/>
                <w:sz w:val="20"/>
                <w:szCs w:val="20"/>
              </w:rPr>
            </w:pPr>
            <w:r>
              <w:rPr>
                <w:rFonts w:ascii="Arial" w:hAnsi="Arial" w:cs="Arial"/>
                <w:sz w:val="20"/>
                <w:szCs w:val="20"/>
              </w:rPr>
              <w:t>-23</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CC3906" w:rsidRPr="006376D7" w:rsidTr="002861A9">
        <w:trPr>
          <w:trHeight w:val="382"/>
        </w:trPr>
        <w:tc>
          <w:tcPr>
            <w:tcW w:w="3708" w:type="dxa"/>
            <w:noWrap/>
            <w:tcMar>
              <w:top w:w="0" w:type="dxa"/>
              <w:bottom w:w="0" w:type="dxa"/>
            </w:tcMar>
            <w:vAlign w:val="center"/>
          </w:tcPr>
          <w:p w:rsidR="00CC3906" w:rsidRDefault="00CC3906">
            <w:pPr>
              <w:rPr>
                <w:rFonts w:ascii="Arial" w:hAnsi="Arial" w:cs="Arial"/>
                <w:sz w:val="20"/>
                <w:szCs w:val="20"/>
              </w:rPr>
            </w:pPr>
            <w:r>
              <w:rPr>
                <w:rFonts w:ascii="Arial" w:hAnsi="Arial" w:cs="Arial"/>
                <w:sz w:val="20"/>
                <w:szCs w:val="20"/>
              </w:rPr>
              <w:t>06 Jul - 12 Jul 2014</w:t>
            </w:r>
          </w:p>
        </w:tc>
        <w:tc>
          <w:tcPr>
            <w:tcW w:w="1440"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3.89</w:t>
            </w:r>
          </w:p>
        </w:tc>
        <w:tc>
          <w:tcPr>
            <w:tcW w:w="2160"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954</w:t>
            </w:r>
          </w:p>
        </w:tc>
      </w:tr>
      <w:tr w:rsidR="00CC3906" w:rsidRPr="006376D7" w:rsidTr="002861A9">
        <w:trPr>
          <w:trHeight w:val="382"/>
        </w:trPr>
        <w:tc>
          <w:tcPr>
            <w:tcW w:w="3708" w:type="dxa"/>
            <w:noWrap/>
            <w:tcMar>
              <w:top w:w="0" w:type="dxa"/>
              <w:bottom w:w="0" w:type="dxa"/>
            </w:tcMar>
            <w:vAlign w:val="center"/>
          </w:tcPr>
          <w:p w:rsidR="00CC3906" w:rsidRDefault="00CC3906">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5</w:t>
            </w:r>
          </w:p>
        </w:tc>
        <w:tc>
          <w:tcPr>
            <w:tcW w:w="2160"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3</w:t>
            </w:r>
          </w:p>
        </w:tc>
      </w:tr>
      <w:tr w:rsidR="00864CEC" w:rsidRPr="006376D7" w:rsidTr="002861A9">
        <w:trPr>
          <w:trHeight w:val="382"/>
        </w:trPr>
        <w:tc>
          <w:tcPr>
            <w:tcW w:w="3708" w:type="dxa"/>
            <w:noWrap/>
            <w:tcMar>
              <w:top w:w="0" w:type="dxa"/>
              <w:bottom w:w="0" w:type="dxa"/>
            </w:tcMar>
            <w:vAlign w:val="center"/>
          </w:tcPr>
          <w:p w:rsidR="00864CEC" w:rsidRDefault="00864CEC">
            <w:pPr>
              <w:rPr>
                <w:rFonts w:ascii="Arial" w:hAnsi="Arial" w:cs="Arial"/>
                <w:sz w:val="20"/>
                <w:szCs w:val="20"/>
              </w:rPr>
            </w:pPr>
            <w:r>
              <w:rPr>
                <w:rFonts w:ascii="Arial" w:hAnsi="Arial" w:cs="Arial"/>
                <w:sz w:val="20"/>
                <w:szCs w:val="20"/>
              </w:rPr>
              <w:t>13-14 financial year</w:t>
            </w:r>
          </w:p>
        </w:tc>
        <w:tc>
          <w:tcPr>
            <w:tcW w:w="1440" w:type="dxa"/>
            <w:noWrap/>
            <w:tcMar>
              <w:top w:w="0" w:type="dxa"/>
              <w:bottom w:w="0" w:type="dxa"/>
            </w:tcMar>
            <w:vAlign w:val="center"/>
          </w:tcPr>
          <w:p w:rsidR="00864CEC" w:rsidRDefault="00864CEC">
            <w:pPr>
              <w:jc w:val="center"/>
              <w:rPr>
                <w:rFonts w:ascii="Arial" w:hAnsi="Arial" w:cs="Arial"/>
                <w:sz w:val="20"/>
                <w:szCs w:val="20"/>
              </w:rPr>
            </w:pPr>
            <w:r>
              <w:rPr>
                <w:rFonts w:ascii="Arial" w:hAnsi="Arial" w:cs="Arial"/>
                <w:sz w:val="20"/>
                <w:szCs w:val="20"/>
              </w:rPr>
              <w:t>3.87</w:t>
            </w:r>
          </w:p>
        </w:tc>
        <w:tc>
          <w:tcPr>
            <w:tcW w:w="2160" w:type="dxa"/>
            <w:noWrap/>
            <w:tcMar>
              <w:top w:w="0" w:type="dxa"/>
              <w:bottom w:w="0" w:type="dxa"/>
            </w:tcMar>
            <w:vAlign w:val="center"/>
          </w:tcPr>
          <w:p w:rsidR="00864CEC" w:rsidRDefault="00864CEC">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864CEC" w:rsidRDefault="00864CEC">
            <w:pPr>
              <w:jc w:val="center"/>
              <w:rPr>
                <w:rFonts w:ascii="Arial" w:hAnsi="Arial" w:cs="Arial"/>
                <w:sz w:val="20"/>
                <w:szCs w:val="20"/>
              </w:rPr>
            </w:pPr>
            <w:r>
              <w:rPr>
                <w:rFonts w:ascii="Arial" w:hAnsi="Arial" w:cs="Arial"/>
                <w:sz w:val="20"/>
                <w:szCs w:val="20"/>
              </w:rPr>
              <w:t>536</w:t>
            </w:r>
          </w:p>
        </w:tc>
      </w:tr>
      <w:tr w:rsidR="00864CEC" w:rsidRPr="006376D7" w:rsidTr="002861A9">
        <w:trPr>
          <w:trHeight w:val="382"/>
        </w:trPr>
        <w:tc>
          <w:tcPr>
            <w:tcW w:w="3708" w:type="dxa"/>
            <w:noWrap/>
            <w:tcMar>
              <w:top w:w="0" w:type="dxa"/>
              <w:bottom w:w="0" w:type="dxa"/>
            </w:tcMar>
            <w:vAlign w:val="center"/>
          </w:tcPr>
          <w:p w:rsidR="00864CEC" w:rsidRDefault="00864CEC">
            <w:pPr>
              <w:rPr>
                <w:rFonts w:ascii="Arial" w:hAnsi="Arial" w:cs="Arial"/>
                <w:sz w:val="20"/>
                <w:szCs w:val="20"/>
              </w:rPr>
            </w:pPr>
            <w:r>
              <w:rPr>
                <w:rFonts w:ascii="Arial" w:hAnsi="Arial" w:cs="Arial"/>
                <w:sz w:val="20"/>
                <w:szCs w:val="20"/>
              </w:rPr>
              <w:t>% change from previous financial year</w:t>
            </w:r>
          </w:p>
        </w:tc>
        <w:tc>
          <w:tcPr>
            <w:tcW w:w="1440" w:type="dxa"/>
            <w:noWrap/>
            <w:tcMar>
              <w:top w:w="0" w:type="dxa"/>
              <w:bottom w:w="0" w:type="dxa"/>
            </w:tcMar>
            <w:vAlign w:val="center"/>
          </w:tcPr>
          <w:p w:rsidR="00864CEC" w:rsidRDefault="00864CEC">
            <w:pPr>
              <w:jc w:val="center"/>
              <w:rPr>
                <w:rFonts w:ascii="Arial" w:hAnsi="Arial" w:cs="Arial"/>
                <w:sz w:val="20"/>
                <w:szCs w:val="20"/>
              </w:rPr>
            </w:pPr>
            <w:r>
              <w:rPr>
                <w:rFonts w:ascii="Arial" w:hAnsi="Arial" w:cs="Arial"/>
                <w:sz w:val="20"/>
                <w:szCs w:val="20"/>
              </w:rPr>
              <w:t>-14</w:t>
            </w:r>
          </w:p>
        </w:tc>
        <w:tc>
          <w:tcPr>
            <w:tcW w:w="2160" w:type="dxa"/>
            <w:noWrap/>
            <w:tcMar>
              <w:top w:w="0" w:type="dxa"/>
              <w:bottom w:w="0" w:type="dxa"/>
            </w:tcMar>
            <w:vAlign w:val="center"/>
          </w:tcPr>
          <w:p w:rsidR="00864CEC" w:rsidRDefault="00864CEC">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864CEC" w:rsidRDefault="00864CEC">
            <w:pPr>
              <w:jc w:val="center"/>
              <w:rPr>
                <w:rFonts w:ascii="Arial" w:hAnsi="Arial" w:cs="Arial"/>
                <w:sz w:val="20"/>
                <w:szCs w:val="20"/>
              </w:rPr>
            </w:pPr>
            <w:r>
              <w:rPr>
                <w:rFonts w:ascii="Arial" w:hAnsi="Arial" w:cs="Arial"/>
                <w:sz w:val="20"/>
                <w:szCs w:val="20"/>
              </w:rPr>
              <w:t>-6</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CC3906" w:rsidRPr="002861A9" w:rsidTr="002861A9">
        <w:trPr>
          <w:trHeight w:val="382"/>
        </w:trPr>
        <w:tc>
          <w:tcPr>
            <w:tcW w:w="2670" w:type="dxa"/>
            <w:noWrap/>
            <w:tcMar>
              <w:top w:w="0" w:type="dxa"/>
              <w:bottom w:w="0" w:type="dxa"/>
            </w:tcMar>
            <w:vAlign w:val="center"/>
          </w:tcPr>
          <w:p w:rsidR="00CC3906" w:rsidRDefault="00CC3906">
            <w:pPr>
              <w:rPr>
                <w:rFonts w:ascii="Arial" w:hAnsi="Arial" w:cs="Arial"/>
                <w:sz w:val="20"/>
                <w:szCs w:val="20"/>
              </w:rPr>
            </w:pPr>
            <w:r>
              <w:rPr>
                <w:rFonts w:ascii="Arial" w:hAnsi="Arial" w:cs="Arial"/>
                <w:sz w:val="20"/>
                <w:szCs w:val="20"/>
              </w:rPr>
              <w:t>06 Jul - 12 Jul 2014</w:t>
            </w:r>
          </w:p>
        </w:tc>
        <w:tc>
          <w:tcPr>
            <w:tcW w:w="1359"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4.01</w:t>
            </w:r>
          </w:p>
        </w:tc>
        <w:tc>
          <w:tcPr>
            <w:tcW w:w="1360"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3.97</w:t>
            </w:r>
          </w:p>
        </w:tc>
        <w:tc>
          <w:tcPr>
            <w:tcW w:w="1359"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15.98</w:t>
            </w:r>
          </w:p>
        </w:tc>
        <w:tc>
          <w:tcPr>
            <w:tcW w:w="1280"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306</w:t>
            </w:r>
          </w:p>
        </w:tc>
        <w:tc>
          <w:tcPr>
            <w:tcW w:w="1260"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303</w:t>
            </w:r>
          </w:p>
        </w:tc>
      </w:tr>
      <w:tr w:rsidR="00CC3906" w:rsidRPr="002861A9" w:rsidTr="002861A9">
        <w:trPr>
          <w:trHeight w:val="382"/>
        </w:trPr>
        <w:tc>
          <w:tcPr>
            <w:tcW w:w="2670" w:type="dxa"/>
            <w:noWrap/>
            <w:tcMar>
              <w:top w:w="0" w:type="dxa"/>
              <w:bottom w:w="0" w:type="dxa"/>
            </w:tcMar>
            <w:vAlign w:val="center"/>
          </w:tcPr>
          <w:p w:rsidR="00CC3906" w:rsidRDefault="00CC3906">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-2</w:t>
            </w:r>
          </w:p>
        </w:tc>
        <w:tc>
          <w:tcPr>
            <w:tcW w:w="1360"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4</w:t>
            </w:r>
          </w:p>
        </w:tc>
        <w:tc>
          <w:tcPr>
            <w:tcW w:w="1359"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-36</w:t>
            </w:r>
          </w:p>
        </w:tc>
        <w:tc>
          <w:tcPr>
            <w:tcW w:w="1280"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-1</w:t>
            </w:r>
          </w:p>
        </w:tc>
        <w:tc>
          <w:tcPr>
            <w:tcW w:w="1260"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0</w:t>
            </w:r>
          </w:p>
        </w:tc>
      </w:tr>
      <w:tr w:rsidR="00864CEC" w:rsidRPr="002861A9" w:rsidTr="002861A9">
        <w:trPr>
          <w:trHeight w:val="382"/>
        </w:trPr>
        <w:tc>
          <w:tcPr>
            <w:tcW w:w="2670" w:type="dxa"/>
            <w:noWrap/>
            <w:tcMar>
              <w:top w:w="0" w:type="dxa"/>
              <w:bottom w:w="0" w:type="dxa"/>
            </w:tcMar>
            <w:vAlign w:val="center"/>
          </w:tcPr>
          <w:p w:rsidR="00864CEC" w:rsidRDefault="00864CEC">
            <w:pPr>
              <w:rPr>
                <w:rFonts w:ascii="Arial" w:hAnsi="Arial" w:cs="Arial"/>
                <w:sz w:val="20"/>
                <w:szCs w:val="20"/>
              </w:rPr>
            </w:pPr>
            <w:r>
              <w:rPr>
                <w:rFonts w:ascii="Arial" w:hAnsi="Arial" w:cs="Arial"/>
                <w:sz w:val="20"/>
                <w:szCs w:val="20"/>
              </w:rPr>
              <w:t>13-14 financial year</w:t>
            </w:r>
          </w:p>
        </w:tc>
        <w:tc>
          <w:tcPr>
            <w:tcW w:w="1359" w:type="dxa"/>
            <w:noWrap/>
            <w:tcMar>
              <w:top w:w="0" w:type="dxa"/>
              <w:bottom w:w="0" w:type="dxa"/>
            </w:tcMar>
            <w:vAlign w:val="center"/>
          </w:tcPr>
          <w:p w:rsidR="00864CEC" w:rsidRDefault="00864CEC">
            <w:pPr>
              <w:jc w:val="center"/>
              <w:rPr>
                <w:rFonts w:ascii="Arial" w:hAnsi="Arial" w:cs="Arial"/>
                <w:sz w:val="20"/>
                <w:szCs w:val="20"/>
              </w:rPr>
            </w:pPr>
            <w:r>
              <w:rPr>
                <w:rFonts w:ascii="Arial" w:hAnsi="Arial" w:cs="Arial"/>
                <w:sz w:val="20"/>
                <w:szCs w:val="20"/>
              </w:rPr>
              <w:t>4.03</w:t>
            </w:r>
          </w:p>
        </w:tc>
        <w:tc>
          <w:tcPr>
            <w:tcW w:w="1360" w:type="dxa"/>
            <w:noWrap/>
            <w:tcMar>
              <w:top w:w="0" w:type="dxa"/>
              <w:bottom w:w="0" w:type="dxa"/>
            </w:tcMar>
            <w:vAlign w:val="center"/>
          </w:tcPr>
          <w:p w:rsidR="00864CEC" w:rsidRDefault="00864CEC">
            <w:pPr>
              <w:jc w:val="center"/>
              <w:rPr>
                <w:rFonts w:ascii="Arial" w:hAnsi="Arial" w:cs="Arial"/>
                <w:sz w:val="20"/>
                <w:szCs w:val="20"/>
              </w:rPr>
            </w:pPr>
            <w:r>
              <w:rPr>
                <w:rFonts w:ascii="Arial" w:hAnsi="Arial" w:cs="Arial"/>
                <w:sz w:val="20"/>
                <w:szCs w:val="20"/>
              </w:rPr>
              <w:t>3.91</w:t>
            </w:r>
          </w:p>
        </w:tc>
        <w:tc>
          <w:tcPr>
            <w:tcW w:w="1359" w:type="dxa"/>
            <w:noWrap/>
            <w:tcMar>
              <w:top w:w="0" w:type="dxa"/>
              <w:bottom w:w="0" w:type="dxa"/>
            </w:tcMar>
            <w:vAlign w:val="center"/>
          </w:tcPr>
          <w:p w:rsidR="00864CEC" w:rsidRDefault="00864CEC">
            <w:pPr>
              <w:jc w:val="center"/>
              <w:rPr>
                <w:rFonts w:ascii="Arial" w:hAnsi="Arial" w:cs="Arial"/>
                <w:sz w:val="20"/>
                <w:szCs w:val="20"/>
              </w:rPr>
            </w:pPr>
            <w:r>
              <w:rPr>
                <w:rFonts w:ascii="Arial" w:hAnsi="Arial" w:cs="Arial"/>
                <w:sz w:val="20"/>
                <w:szCs w:val="20"/>
              </w:rPr>
              <w:t>9.83</w:t>
            </w:r>
          </w:p>
        </w:tc>
        <w:tc>
          <w:tcPr>
            <w:tcW w:w="1280" w:type="dxa"/>
            <w:noWrap/>
            <w:tcMar>
              <w:top w:w="0" w:type="dxa"/>
              <w:bottom w:w="0" w:type="dxa"/>
            </w:tcMar>
            <w:vAlign w:val="center"/>
          </w:tcPr>
          <w:p w:rsidR="00864CEC" w:rsidRDefault="00864CEC" w:rsidP="00864CEC">
            <w:pPr>
              <w:jc w:val="center"/>
              <w:rPr>
                <w:rFonts w:ascii="Arial" w:hAnsi="Arial" w:cs="Arial"/>
                <w:sz w:val="20"/>
                <w:szCs w:val="20"/>
              </w:rPr>
            </w:pPr>
            <w:r>
              <w:rPr>
                <w:rFonts w:ascii="Arial" w:hAnsi="Arial" w:cs="Arial"/>
                <w:sz w:val="20"/>
                <w:szCs w:val="20"/>
              </w:rPr>
              <w:t>238</w:t>
            </w:r>
          </w:p>
        </w:tc>
        <w:tc>
          <w:tcPr>
            <w:tcW w:w="1260" w:type="dxa"/>
            <w:noWrap/>
            <w:tcMar>
              <w:top w:w="0" w:type="dxa"/>
              <w:bottom w:w="0" w:type="dxa"/>
            </w:tcMar>
            <w:vAlign w:val="center"/>
          </w:tcPr>
          <w:p w:rsidR="00864CEC" w:rsidRDefault="00864CEC" w:rsidP="00864CEC">
            <w:pPr>
              <w:jc w:val="center"/>
              <w:rPr>
                <w:rFonts w:ascii="Arial" w:hAnsi="Arial" w:cs="Arial"/>
                <w:sz w:val="20"/>
                <w:szCs w:val="20"/>
              </w:rPr>
            </w:pPr>
            <w:r>
              <w:rPr>
                <w:rFonts w:ascii="Arial" w:hAnsi="Arial" w:cs="Arial"/>
                <w:sz w:val="20"/>
                <w:szCs w:val="20"/>
              </w:rPr>
              <w:t>234</w:t>
            </w:r>
          </w:p>
        </w:tc>
      </w:tr>
      <w:tr w:rsidR="00864CEC" w:rsidRPr="002861A9" w:rsidTr="002861A9">
        <w:trPr>
          <w:trHeight w:val="382"/>
        </w:trPr>
        <w:tc>
          <w:tcPr>
            <w:tcW w:w="2670" w:type="dxa"/>
            <w:noWrap/>
            <w:tcMar>
              <w:top w:w="0" w:type="dxa"/>
              <w:bottom w:w="0" w:type="dxa"/>
            </w:tcMar>
            <w:vAlign w:val="center"/>
          </w:tcPr>
          <w:p w:rsidR="00864CEC" w:rsidRDefault="00864CEC">
            <w:pPr>
              <w:rPr>
                <w:rFonts w:ascii="Arial" w:hAnsi="Arial" w:cs="Arial"/>
                <w:sz w:val="20"/>
                <w:szCs w:val="20"/>
              </w:rPr>
            </w:pPr>
            <w:r>
              <w:rPr>
                <w:rFonts w:ascii="Arial" w:hAnsi="Arial" w:cs="Arial"/>
                <w:sz w:val="20"/>
                <w:szCs w:val="20"/>
              </w:rPr>
              <w:t>% change from previous financial year</w:t>
            </w:r>
          </w:p>
        </w:tc>
        <w:tc>
          <w:tcPr>
            <w:tcW w:w="1359" w:type="dxa"/>
            <w:noWrap/>
            <w:tcMar>
              <w:top w:w="0" w:type="dxa"/>
              <w:bottom w:w="0" w:type="dxa"/>
            </w:tcMar>
            <w:vAlign w:val="center"/>
          </w:tcPr>
          <w:p w:rsidR="00864CEC" w:rsidRDefault="00864CEC">
            <w:pPr>
              <w:jc w:val="center"/>
              <w:rPr>
                <w:rFonts w:ascii="Arial" w:hAnsi="Arial" w:cs="Arial"/>
                <w:sz w:val="20"/>
                <w:szCs w:val="20"/>
              </w:rPr>
            </w:pPr>
            <w:r>
              <w:rPr>
                <w:rFonts w:ascii="Arial" w:hAnsi="Arial" w:cs="Arial"/>
                <w:sz w:val="20"/>
                <w:szCs w:val="20"/>
              </w:rPr>
              <w:t>-23</w:t>
            </w:r>
          </w:p>
        </w:tc>
        <w:tc>
          <w:tcPr>
            <w:tcW w:w="1360" w:type="dxa"/>
            <w:noWrap/>
            <w:tcMar>
              <w:top w:w="0" w:type="dxa"/>
              <w:bottom w:w="0" w:type="dxa"/>
            </w:tcMar>
            <w:vAlign w:val="center"/>
          </w:tcPr>
          <w:p w:rsidR="00864CEC" w:rsidRDefault="00864CEC">
            <w:pPr>
              <w:jc w:val="center"/>
              <w:rPr>
                <w:rFonts w:ascii="Arial" w:hAnsi="Arial" w:cs="Arial"/>
                <w:sz w:val="20"/>
                <w:szCs w:val="20"/>
              </w:rPr>
            </w:pPr>
            <w:r>
              <w:rPr>
                <w:rFonts w:ascii="Arial" w:hAnsi="Arial" w:cs="Arial"/>
                <w:sz w:val="20"/>
                <w:szCs w:val="20"/>
              </w:rPr>
              <w:t>-27</w:t>
            </w:r>
          </w:p>
        </w:tc>
        <w:tc>
          <w:tcPr>
            <w:tcW w:w="1359" w:type="dxa"/>
            <w:noWrap/>
            <w:tcMar>
              <w:top w:w="0" w:type="dxa"/>
              <w:bottom w:w="0" w:type="dxa"/>
            </w:tcMar>
            <w:vAlign w:val="center"/>
          </w:tcPr>
          <w:p w:rsidR="00864CEC" w:rsidRDefault="00864CEC">
            <w:pPr>
              <w:jc w:val="center"/>
              <w:rPr>
                <w:rFonts w:ascii="Arial" w:hAnsi="Arial" w:cs="Arial"/>
                <w:sz w:val="20"/>
                <w:szCs w:val="20"/>
              </w:rPr>
            </w:pPr>
            <w:r>
              <w:rPr>
                <w:rFonts w:ascii="Arial" w:hAnsi="Arial" w:cs="Arial"/>
                <w:sz w:val="20"/>
                <w:szCs w:val="20"/>
              </w:rPr>
              <w:t>-9</w:t>
            </w:r>
          </w:p>
        </w:tc>
        <w:tc>
          <w:tcPr>
            <w:tcW w:w="1280" w:type="dxa"/>
            <w:noWrap/>
            <w:tcMar>
              <w:top w:w="0" w:type="dxa"/>
              <w:bottom w:w="0" w:type="dxa"/>
            </w:tcMar>
            <w:vAlign w:val="center"/>
          </w:tcPr>
          <w:p w:rsidR="00864CEC" w:rsidRDefault="00864CEC">
            <w:pPr>
              <w:jc w:val="center"/>
              <w:rPr>
                <w:rFonts w:ascii="Arial" w:hAnsi="Arial" w:cs="Arial"/>
                <w:sz w:val="20"/>
                <w:szCs w:val="20"/>
              </w:rPr>
            </w:pPr>
            <w:r>
              <w:rPr>
                <w:rFonts w:ascii="Arial" w:hAnsi="Arial" w:cs="Arial"/>
                <w:sz w:val="20"/>
                <w:szCs w:val="20"/>
              </w:rPr>
              <w:t>-1</w:t>
            </w:r>
          </w:p>
        </w:tc>
        <w:tc>
          <w:tcPr>
            <w:tcW w:w="1260" w:type="dxa"/>
            <w:noWrap/>
            <w:tcMar>
              <w:top w:w="0" w:type="dxa"/>
              <w:bottom w:w="0" w:type="dxa"/>
            </w:tcMar>
            <w:vAlign w:val="center"/>
          </w:tcPr>
          <w:p w:rsidR="00864CEC" w:rsidRDefault="00864CEC">
            <w:pPr>
              <w:jc w:val="center"/>
              <w:rPr>
                <w:rFonts w:ascii="Arial" w:hAnsi="Arial" w:cs="Arial"/>
                <w:sz w:val="20"/>
                <w:szCs w:val="20"/>
              </w:rPr>
            </w:pPr>
            <w:r>
              <w:rPr>
                <w:rFonts w:ascii="Arial" w:hAnsi="Arial" w:cs="Arial"/>
                <w:sz w:val="20"/>
                <w:szCs w:val="20"/>
              </w:rPr>
              <w:t>-3</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CC3906" w:rsidRPr="002861A9" w:rsidTr="002861A9">
        <w:trPr>
          <w:trHeight w:val="382"/>
        </w:trPr>
        <w:tc>
          <w:tcPr>
            <w:tcW w:w="2670" w:type="dxa"/>
            <w:noWrap/>
            <w:tcMar>
              <w:top w:w="0" w:type="dxa"/>
              <w:bottom w:w="0" w:type="dxa"/>
            </w:tcMar>
            <w:vAlign w:val="center"/>
          </w:tcPr>
          <w:p w:rsidR="00CC3906" w:rsidRDefault="00CC3906">
            <w:pPr>
              <w:rPr>
                <w:rFonts w:ascii="Arial" w:hAnsi="Arial" w:cs="Arial"/>
                <w:sz w:val="20"/>
                <w:szCs w:val="20"/>
              </w:rPr>
            </w:pPr>
            <w:r>
              <w:rPr>
                <w:rFonts w:ascii="Arial" w:hAnsi="Arial" w:cs="Arial"/>
                <w:sz w:val="20"/>
                <w:szCs w:val="20"/>
              </w:rPr>
              <w:t>06 Jul - 12 Jul 2014</w:t>
            </w:r>
          </w:p>
        </w:tc>
        <w:tc>
          <w:tcPr>
            <w:tcW w:w="1359"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4.09</w:t>
            </w:r>
          </w:p>
        </w:tc>
        <w:tc>
          <w:tcPr>
            <w:tcW w:w="1360"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4.20</w:t>
            </w:r>
          </w:p>
        </w:tc>
        <w:tc>
          <w:tcPr>
            <w:tcW w:w="1379"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6.08</w:t>
            </w:r>
          </w:p>
        </w:tc>
        <w:tc>
          <w:tcPr>
            <w:tcW w:w="1260"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85</w:t>
            </w:r>
          </w:p>
        </w:tc>
        <w:tc>
          <w:tcPr>
            <w:tcW w:w="1260"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89</w:t>
            </w:r>
          </w:p>
        </w:tc>
      </w:tr>
      <w:tr w:rsidR="00CC3906" w:rsidRPr="002861A9" w:rsidTr="002861A9">
        <w:trPr>
          <w:trHeight w:val="382"/>
        </w:trPr>
        <w:tc>
          <w:tcPr>
            <w:tcW w:w="2670" w:type="dxa"/>
            <w:noWrap/>
            <w:tcMar>
              <w:top w:w="0" w:type="dxa"/>
              <w:bottom w:w="0" w:type="dxa"/>
            </w:tcMar>
            <w:vAlign w:val="center"/>
          </w:tcPr>
          <w:p w:rsidR="00CC3906" w:rsidRDefault="00CC3906">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-2</w:t>
            </w:r>
          </w:p>
        </w:tc>
        <w:tc>
          <w:tcPr>
            <w:tcW w:w="1360"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0</w:t>
            </w:r>
          </w:p>
        </w:tc>
        <w:tc>
          <w:tcPr>
            <w:tcW w:w="1379"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87</w:t>
            </w:r>
          </w:p>
        </w:tc>
        <w:tc>
          <w:tcPr>
            <w:tcW w:w="1260"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2</w:t>
            </w:r>
          </w:p>
        </w:tc>
        <w:tc>
          <w:tcPr>
            <w:tcW w:w="1260"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6</w:t>
            </w:r>
          </w:p>
        </w:tc>
      </w:tr>
      <w:tr w:rsidR="00864CEC" w:rsidRPr="002861A9" w:rsidTr="002861A9">
        <w:trPr>
          <w:trHeight w:val="382"/>
        </w:trPr>
        <w:tc>
          <w:tcPr>
            <w:tcW w:w="2670" w:type="dxa"/>
            <w:noWrap/>
            <w:tcMar>
              <w:top w:w="0" w:type="dxa"/>
              <w:bottom w:w="0" w:type="dxa"/>
            </w:tcMar>
            <w:vAlign w:val="center"/>
          </w:tcPr>
          <w:p w:rsidR="00864CEC" w:rsidRDefault="00864CEC" w:rsidP="00864CEC">
            <w:pPr>
              <w:rPr>
                <w:rFonts w:ascii="Arial" w:hAnsi="Arial" w:cs="Arial"/>
                <w:sz w:val="20"/>
                <w:szCs w:val="20"/>
              </w:rPr>
            </w:pPr>
            <w:r>
              <w:rPr>
                <w:rFonts w:ascii="Arial" w:hAnsi="Arial" w:cs="Arial"/>
                <w:sz w:val="20"/>
                <w:szCs w:val="20"/>
              </w:rPr>
              <w:t>13-14 financial year</w:t>
            </w:r>
          </w:p>
        </w:tc>
        <w:tc>
          <w:tcPr>
            <w:tcW w:w="1359" w:type="dxa"/>
            <w:noWrap/>
            <w:tcMar>
              <w:top w:w="0" w:type="dxa"/>
              <w:bottom w:w="0" w:type="dxa"/>
            </w:tcMar>
            <w:vAlign w:val="center"/>
          </w:tcPr>
          <w:p w:rsidR="00864CEC" w:rsidRDefault="00864CEC" w:rsidP="00864CEC">
            <w:pPr>
              <w:jc w:val="center"/>
              <w:rPr>
                <w:rFonts w:ascii="Arial" w:hAnsi="Arial" w:cs="Arial"/>
                <w:sz w:val="20"/>
                <w:szCs w:val="20"/>
              </w:rPr>
            </w:pPr>
            <w:r>
              <w:rPr>
                <w:rFonts w:ascii="Arial" w:hAnsi="Arial" w:cs="Arial"/>
                <w:sz w:val="20"/>
                <w:szCs w:val="20"/>
              </w:rPr>
              <w:t>4.31</w:t>
            </w:r>
          </w:p>
        </w:tc>
        <w:tc>
          <w:tcPr>
            <w:tcW w:w="1360" w:type="dxa"/>
            <w:noWrap/>
            <w:tcMar>
              <w:top w:w="0" w:type="dxa"/>
              <w:bottom w:w="0" w:type="dxa"/>
            </w:tcMar>
            <w:vAlign w:val="center"/>
          </w:tcPr>
          <w:p w:rsidR="00864CEC" w:rsidRDefault="00864CEC" w:rsidP="00864CEC">
            <w:pPr>
              <w:jc w:val="center"/>
              <w:rPr>
                <w:rFonts w:ascii="Arial" w:hAnsi="Arial" w:cs="Arial"/>
                <w:sz w:val="20"/>
                <w:szCs w:val="20"/>
              </w:rPr>
            </w:pPr>
            <w:r>
              <w:rPr>
                <w:rFonts w:ascii="Arial" w:hAnsi="Arial" w:cs="Arial"/>
                <w:sz w:val="20"/>
                <w:szCs w:val="20"/>
              </w:rPr>
              <w:t>4.29</w:t>
            </w:r>
          </w:p>
        </w:tc>
        <w:tc>
          <w:tcPr>
            <w:tcW w:w="1379" w:type="dxa"/>
            <w:noWrap/>
            <w:tcMar>
              <w:top w:w="0" w:type="dxa"/>
              <w:bottom w:w="0" w:type="dxa"/>
            </w:tcMar>
            <w:vAlign w:val="center"/>
          </w:tcPr>
          <w:p w:rsidR="00864CEC" w:rsidRDefault="00864CEC" w:rsidP="00864CEC">
            <w:pPr>
              <w:jc w:val="center"/>
              <w:rPr>
                <w:rFonts w:ascii="Arial" w:hAnsi="Arial" w:cs="Arial"/>
                <w:sz w:val="20"/>
                <w:szCs w:val="20"/>
              </w:rPr>
            </w:pPr>
            <w:r>
              <w:rPr>
                <w:rFonts w:ascii="Arial" w:hAnsi="Arial" w:cs="Arial"/>
                <w:sz w:val="20"/>
                <w:szCs w:val="20"/>
              </w:rPr>
              <w:t>14.44</w:t>
            </w:r>
          </w:p>
        </w:tc>
        <w:tc>
          <w:tcPr>
            <w:tcW w:w="1260" w:type="dxa"/>
            <w:noWrap/>
            <w:tcMar>
              <w:top w:w="0" w:type="dxa"/>
              <w:bottom w:w="0" w:type="dxa"/>
            </w:tcMar>
            <w:vAlign w:val="center"/>
          </w:tcPr>
          <w:p w:rsidR="00864CEC" w:rsidRDefault="00864CEC" w:rsidP="00864CEC">
            <w:pPr>
              <w:jc w:val="center"/>
              <w:rPr>
                <w:rFonts w:ascii="Arial" w:hAnsi="Arial" w:cs="Arial"/>
                <w:sz w:val="20"/>
                <w:szCs w:val="20"/>
              </w:rPr>
            </w:pPr>
            <w:r>
              <w:rPr>
                <w:rFonts w:ascii="Arial" w:hAnsi="Arial" w:cs="Arial"/>
                <w:sz w:val="20"/>
                <w:szCs w:val="20"/>
              </w:rPr>
              <w:t>65</w:t>
            </w:r>
          </w:p>
        </w:tc>
        <w:tc>
          <w:tcPr>
            <w:tcW w:w="1260" w:type="dxa"/>
            <w:noWrap/>
            <w:tcMar>
              <w:top w:w="0" w:type="dxa"/>
              <w:bottom w:w="0" w:type="dxa"/>
            </w:tcMar>
            <w:vAlign w:val="center"/>
          </w:tcPr>
          <w:p w:rsidR="00864CEC" w:rsidRDefault="00864CEC" w:rsidP="00864CEC">
            <w:pPr>
              <w:jc w:val="center"/>
              <w:rPr>
                <w:rFonts w:ascii="Arial" w:hAnsi="Arial" w:cs="Arial"/>
                <w:sz w:val="20"/>
                <w:szCs w:val="20"/>
              </w:rPr>
            </w:pPr>
            <w:r>
              <w:rPr>
                <w:rFonts w:ascii="Arial" w:hAnsi="Arial" w:cs="Arial"/>
                <w:sz w:val="20"/>
                <w:szCs w:val="20"/>
              </w:rPr>
              <w:t>65</w:t>
            </w:r>
          </w:p>
        </w:tc>
      </w:tr>
      <w:tr w:rsidR="00864CEC" w:rsidRPr="002861A9" w:rsidTr="002861A9">
        <w:trPr>
          <w:trHeight w:val="382"/>
        </w:trPr>
        <w:tc>
          <w:tcPr>
            <w:tcW w:w="2670" w:type="dxa"/>
            <w:noWrap/>
            <w:tcMar>
              <w:top w:w="0" w:type="dxa"/>
              <w:bottom w:w="0" w:type="dxa"/>
            </w:tcMar>
            <w:vAlign w:val="center"/>
          </w:tcPr>
          <w:p w:rsidR="00864CEC" w:rsidRDefault="00864CEC" w:rsidP="00864CEC">
            <w:pPr>
              <w:rPr>
                <w:rFonts w:ascii="Arial" w:hAnsi="Arial" w:cs="Arial"/>
                <w:sz w:val="20"/>
                <w:szCs w:val="20"/>
              </w:rPr>
            </w:pPr>
            <w:r>
              <w:rPr>
                <w:rFonts w:ascii="Arial" w:hAnsi="Arial" w:cs="Arial"/>
                <w:sz w:val="20"/>
                <w:szCs w:val="20"/>
              </w:rPr>
              <w:t>% change fro</w:t>
            </w:r>
            <w:bookmarkStart w:id="2" w:name="_GoBack"/>
            <w:bookmarkEnd w:id="2"/>
            <w:r>
              <w:rPr>
                <w:rFonts w:ascii="Arial" w:hAnsi="Arial" w:cs="Arial"/>
                <w:sz w:val="20"/>
                <w:szCs w:val="20"/>
              </w:rPr>
              <w:t>m previous financial year</w:t>
            </w:r>
          </w:p>
        </w:tc>
        <w:tc>
          <w:tcPr>
            <w:tcW w:w="1359" w:type="dxa"/>
            <w:noWrap/>
            <w:tcMar>
              <w:top w:w="0" w:type="dxa"/>
              <w:bottom w:w="0" w:type="dxa"/>
            </w:tcMar>
            <w:vAlign w:val="center"/>
          </w:tcPr>
          <w:p w:rsidR="00864CEC" w:rsidRDefault="00864CEC" w:rsidP="00864CEC">
            <w:pPr>
              <w:jc w:val="center"/>
              <w:rPr>
                <w:rFonts w:ascii="Arial" w:hAnsi="Arial" w:cs="Arial"/>
                <w:sz w:val="20"/>
                <w:szCs w:val="20"/>
              </w:rPr>
            </w:pPr>
            <w:r>
              <w:rPr>
                <w:rFonts w:ascii="Arial" w:hAnsi="Arial" w:cs="Arial"/>
                <w:sz w:val="20"/>
                <w:szCs w:val="20"/>
              </w:rPr>
              <w:t>-15</w:t>
            </w:r>
          </w:p>
        </w:tc>
        <w:tc>
          <w:tcPr>
            <w:tcW w:w="1360" w:type="dxa"/>
            <w:noWrap/>
            <w:tcMar>
              <w:top w:w="0" w:type="dxa"/>
              <w:bottom w:w="0" w:type="dxa"/>
            </w:tcMar>
            <w:vAlign w:val="center"/>
          </w:tcPr>
          <w:p w:rsidR="00864CEC" w:rsidRDefault="00864CEC" w:rsidP="00864CEC">
            <w:pPr>
              <w:jc w:val="center"/>
              <w:rPr>
                <w:rFonts w:ascii="Arial" w:hAnsi="Arial" w:cs="Arial"/>
                <w:sz w:val="20"/>
                <w:szCs w:val="20"/>
              </w:rPr>
            </w:pPr>
            <w:r>
              <w:rPr>
                <w:rFonts w:ascii="Arial" w:hAnsi="Arial" w:cs="Arial"/>
                <w:sz w:val="20"/>
                <w:szCs w:val="20"/>
              </w:rPr>
              <w:t>-15</w:t>
            </w:r>
          </w:p>
        </w:tc>
        <w:tc>
          <w:tcPr>
            <w:tcW w:w="1379" w:type="dxa"/>
            <w:noWrap/>
            <w:tcMar>
              <w:top w:w="0" w:type="dxa"/>
              <w:bottom w:w="0" w:type="dxa"/>
            </w:tcMar>
            <w:vAlign w:val="center"/>
          </w:tcPr>
          <w:p w:rsidR="00864CEC" w:rsidRDefault="00864CEC" w:rsidP="00864CEC">
            <w:pPr>
              <w:jc w:val="center"/>
              <w:rPr>
                <w:rFonts w:ascii="Arial" w:hAnsi="Arial" w:cs="Arial"/>
                <w:sz w:val="20"/>
                <w:szCs w:val="20"/>
              </w:rPr>
            </w:pPr>
            <w:r>
              <w:rPr>
                <w:rFonts w:ascii="Arial" w:hAnsi="Arial" w:cs="Arial"/>
                <w:sz w:val="20"/>
                <w:szCs w:val="20"/>
              </w:rPr>
              <w:t>24</w:t>
            </w:r>
          </w:p>
        </w:tc>
        <w:tc>
          <w:tcPr>
            <w:tcW w:w="1260" w:type="dxa"/>
            <w:noWrap/>
            <w:tcMar>
              <w:top w:w="0" w:type="dxa"/>
              <w:bottom w:w="0" w:type="dxa"/>
            </w:tcMar>
            <w:vAlign w:val="center"/>
          </w:tcPr>
          <w:p w:rsidR="00864CEC" w:rsidRDefault="00864CEC" w:rsidP="00864CEC">
            <w:pPr>
              <w:jc w:val="center"/>
              <w:rPr>
                <w:rFonts w:ascii="Arial" w:hAnsi="Arial" w:cs="Arial"/>
                <w:sz w:val="20"/>
                <w:szCs w:val="20"/>
              </w:rPr>
            </w:pPr>
            <w:r>
              <w:rPr>
                <w:rFonts w:ascii="Arial" w:hAnsi="Arial" w:cs="Arial"/>
                <w:sz w:val="20"/>
                <w:szCs w:val="20"/>
              </w:rPr>
              <w:t>-6</w:t>
            </w:r>
          </w:p>
        </w:tc>
        <w:tc>
          <w:tcPr>
            <w:tcW w:w="1260" w:type="dxa"/>
            <w:noWrap/>
            <w:tcMar>
              <w:top w:w="0" w:type="dxa"/>
              <w:bottom w:w="0" w:type="dxa"/>
            </w:tcMar>
            <w:vAlign w:val="center"/>
          </w:tcPr>
          <w:p w:rsidR="00864CEC" w:rsidRDefault="00864CEC" w:rsidP="00864CEC">
            <w:pPr>
              <w:jc w:val="center"/>
              <w:rPr>
                <w:rFonts w:ascii="Arial" w:hAnsi="Arial" w:cs="Arial"/>
                <w:sz w:val="20"/>
                <w:szCs w:val="20"/>
              </w:rPr>
            </w:pPr>
            <w:r>
              <w:rPr>
                <w:rFonts w:ascii="Arial" w:hAnsi="Arial" w:cs="Arial"/>
                <w:sz w:val="20"/>
                <w:szCs w:val="20"/>
              </w:rPr>
              <w:t>-3</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CC3906" w:rsidRPr="002861A9" w:rsidTr="002861A9">
        <w:trPr>
          <w:trHeight w:val="382"/>
        </w:trPr>
        <w:tc>
          <w:tcPr>
            <w:tcW w:w="2670" w:type="dxa"/>
            <w:noWrap/>
            <w:tcMar>
              <w:top w:w="0" w:type="dxa"/>
              <w:bottom w:w="0" w:type="dxa"/>
            </w:tcMar>
            <w:vAlign w:val="center"/>
          </w:tcPr>
          <w:p w:rsidR="00CC3906" w:rsidRDefault="00CC3906">
            <w:pPr>
              <w:rPr>
                <w:rFonts w:ascii="Arial" w:hAnsi="Arial" w:cs="Arial"/>
                <w:sz w:val="20"/>
                <w:szCs w:val="20"/>
              </w:rPr>
            </w:pPr>
            <w:r>
              <w:rPr>
                <w:rFonts w:ascii="Arial" w:hAnsi="Arial" w:cs="Arial"/>
                <w:sz w:val="20"/>
                <w:szCs w:val="20"/>
              </w:rPr>
              <w:t>06 Jul - 12 Jul 2014</w:t>
            </w:r>
          </w:p>
        </w:tc>
        <w:tc>
          <w:tcPr>
            <w:tcW w:w="1359"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2.23</w:t>
            </w:r>
          </w:p>
        </w:tc>
        <w:tc>
          <w:tcPr>
            <w:tcW w:w="1360"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2.18</w:t>
            </w:r>
          </w:p>
        </w:tc>
        <w:tc>
          <w:tcPr>
            <w:tcW w:w="1359"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1.10</w:t>
            </w:r>
          </w:p>
        </w:tc>
        <w:tc>
          <w:tcPr>
            <w:tcW w:w="1280"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178</w:t>
            </w:r>
          </w:p>
        </w:tc>
        <w:tc>
          <w:tcPr>
            <w:tcW w:w="1180"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176</w:t>
            </w:r>
          </w:p>
        </w:tc>
      </w:tr>
      <w:tr w:rsidR="00CC3906" w:rsidRPr="002861A9" w:rsidTr="002861A9">
        <w:trPr>
          <w:trHeight w:val="382"/>
        </w:trPr>
        <w:tc>
          <w:tcPr>
            <w:tcW w:w="2670" w:type="dxa"/>
            <w:noWrap/>
            <w:tcMar>
              <w:top w:w="0" w:type="dxa"/>
              <w:bottom w:w="0" w:type="dxa"/>
            </w:tcMar>
            <w:vAlign w:val="center"/>
          </w:tcPr>
          <w:p w:rsidR="00CC3906" w:rsidRDefault="00CC3906">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-26</w:t>
            </w:r>
          </w:p>
        </w:tc>
        <w:tc>
          <w:tcPr>
            <w:tcW w:w="1360"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-20</w:t>
            </w:r>
          </w:p>
        </w:tc>
        <w:tc>
          <w:tcPr>
            <w:tcW w:w="1359"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-16</w:t>
            </w:r>
          </w:p>
        </w:tc>
        <w:tc>
          <w:tcPr>
            <w:tcW w:w="1280"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-2</w:t>
            </w:r>
          </w:p>
        </w:tc>
        <w:tc>
          <w:tcPr>
            <w:tcW w:w="1180" w:type="dxa"/>
            <w:noWrap/>
            <w:tcMar>
              <w:top w:w="0" w:type="dxa"/>
              <w:bottom w:w="0" w:type="dxa"/>
            </w:tcMar>
            <w:vAlign w:val="center"/>
          </w:tcPr>
          <w:p w:rsidR="00CC3906" w:rsidRDefault="00CC3906">
            <w:pPr>
              <w:jc w:val="center"/>
              <w:rPr>
                <w:rFonts w:ascii="Arial" w:hAnsi="Arial" w:cs="Arial"/>
                <w:sz w:val="20"/>
                <w:szCs w:val="20"/>
              </w:rPr>
            </w:pPr>
            <w:r>
              <w:rPr>
                <w:rFonts w:ascii="Arial" w:hAnsi="Arial" w:cs="Arial"/>
                <w:sz w:val="20"/>
                <w:szCs w:val="20"/>
              </w:rPr>
              <w:t>-1</w:t>
            </w:r>
          </w:p>
        </w:tc>
      </w:tr>
      <w:tr w:rsidR="00864CEC" w:rsidRPr="002861A9" w:rsidTr="002861A9">
        <w:trPr>
          <w:trHeight w:val="382"/>
        </w:trPr>
        <w:tc>
          <w:tcPr>
            <w:tcW w:w="2670" w:type="dxa"/>
            <w:noWrap/>
            <w:tcMar>
              <w:top w:w="0" w:type="dxa"/>
              <w:bottom w:w="0" w:type="dxa"/>
            </w:tcMar>
            <w:vAlign w:val="center"/>
          </w:tcPr>
          <w:p w:rsidR="00864CEC" w:rsidRDefault="00864CEC">
            <w:pPr>
              <w:rPr>
                <w:rFonts w:ascii="Arial" w:hAnsi="Arial" w:cs="Arial"/>
                <w:sz w:val="20"/>
                <w:szCs w:val="20"/>
              </w:rPr>
            </w:pPr>
            <w:r>
              <w:rPr>
                <w:rFonts w:ascii="Arial" w:hAnsi="Arial" w:cs="Arial"/>
                <w:sz w:val="20"/>
                <w:szCs w:val="20"/>
              </w:rPr>
              <w:t>13-14 financial year</w:t>
            </w:r>
          </w:p>
        </w:tc>
        <w:tc>
          <w:tcPr>
            <w:tcW w:w="1359" w:type="dxa"/>
            <w:noWrap/>
            <w:tcMar>
              <w:top w:w="0" w:type="dxa"/>
              <w:bottom w:w="0" w:type="dxa"/>
            </w:tcMar>
            <w:vAlign w:val="center"/>
          </w:tcPr>
          <w:p w:rsidR="00864CEC" w:rsidRDefault="00864CEC">
            <w:pPr>
              <w:jc w:val="center"/>
              <w:rPr>
                <w:rFonts w:ascii="Arial" w:hAnsi="Arial" w:cs="Arial"/>
                <w:sz w:val="20"/>
                <w:szCs w:val="20"/>
              </w:rPr>
            </w:pPr>
            <w:r>
              <w:rPr>
                <w:rFonts w:ascii="Arial" w:hAnsi="Arial" w:cs="Arial"/>
                <w:sz w:val="20"/>
                <w:szCs w:val="20"/>
              </w:rPr>
              <w:t>3.26</w:t>
            </w:r>
          </w:p>
        </w:tc>
        <w:tc>
          <w:tcPr>
            <w:tcW w:w="1360" w:type="dxa"/>
            <w:noWrap/>
            <w:tcMar>
              <w:top w:w="0" w:type="dxa"/>
              <w:bottom w:w="0" w:type="dxa"/>
            </w:tcMar>
            <w:vAlign w:val="center"/>
          </w:tcPr>
          <w:p w:rsidR="00864CEC" w:rsidRDefault="00864CEC">
            <w:pPr>
              <w:jc w:val="center"/>
              <w:rPr>
                <w:rFonts w:ascii="Arial" w:hAnsi="Arial" w:cs="Arial"/>
                <w:sz w:val="20"/>
                <w:szCs w:val="20"/>
              </w:rPr>
            </w:pPr>
            <w:r>
              <w:rPr>
                <w:rFonts w:ascii="Arial" w:hAnsi="Arial" w:cs="Arial"/>
                <w:sz w:val="20"/>
                <w:szCs w:val="20"/>
              </w:rPr>
              <w:t>2.80</w:t>
            </w:r>
          </w:p>
        </w:tc>
        <w:tc>
          <w:tcPr>
            <w:tcW w:w="1359" w:type="dxa"/>
            <w:noWrap/>
            <w:tcMar>
              <w:top w:w="0" w:type="dxa"/>
              <w:bottom w:w="0" w:type="dxa"/>
            </w:tcMar>
            <w:vAlign w:val="center"/>
          </w:tcPr>
          <w:p w:rsidR="00864CEC" w:rsidRDefault="00864CEC">
            <w:pPr>
              <w:jc w:val="center"/>
              <w:rPr>
                <w:rFonts w:ascii="Arial" w:hAnsi="Arial" w:cs="Arial"/>
                <w:sz w:val="20"/>
                <w:szCs w:val="20"/>
              </w:rPr>
            </w:pPr>
            <w:r>
              <w:rPr>
                <w:rFonts w:ascii="Arial" w:hAnsi="Arial" w:cs="Arial"/>
                <w:sz w:val="20"/>
                <w:szCs w:val="20"/>
              </w:rPr>
              <w:t>1.51</w:t>
            </w:r>
          </w:p>
        </w:tc>
        <w:tc>
          <w:tcPr>
            <w:tcW w:w="1280" w:type="dxa"/>
            <w:noWrap/>
            <w:tcMar>
              <w:top w:w="0" w:type="dxa"/>
              <w:bottom w:w="0" w:type="dxa"/>
            </w:tcMar>
            <w:vAlign w:val="center"/>
          </w:tcPr>
          <w:p w:rsidR="00864CEC" w:rsidRDefault="00864CEC">
            <w:pPr>
              <w:jc w:val="center"/>
              <w:rPr>
                <w:rFonts w:ascii="Arial" w:hAnsi="Arial" w:cs="Arial"/>
                <w:sz w:val="20"/>
                <w:szCs w:val="20"/>
              </w:rPr>
            </w:pPr>
            <w:r>
              <w:rPr>
                <w:rFonts w:ascii="Arial" w:hAnsi="Arial" w:cs="Arial"/>
                <w:sz w:val="20"/>
                <w:szCs w:val="20"/>
              </w:rPr>
              <w:t>183</w:t>
            </w:r>
          </w:p>
        </w:tc>
        <w:tc>
          <w:tcPr>
            <w:tcW w:w="1180" w:type="dxa"/>
            <w:noWrap/>
            <w:tcMar>
              <w:top w:w="0" w:type="dxa"/>
              <w:bottom w:w="0" w:type="dxa"/>
            </w:tcMar>
            <w:vAlign w:val="center"/>
          </w:tcPr>
          <w:p w:rsidR="00864CEC" w:rsidRDefault="00864CEC">
            <w:pPr>
              <w:jc w:val="center"/>
              <w:rPr>
                <w:rFonts w:ascii="Arial" w:hAnsi="Arial" w:cs="Arial"/>
                <w:sz w:val="20"/>
                <w:szCs w:val="20"/>
              </w:rPr>
            </w:pPr>
            <w:r>
              <w:rPr>
                <w:rFonts w:ascii="Arial" w:hAnsi="Arial" w:cs="Arial"/>
                <w:sz w:val="20"/>
                <w:szCs w:val="20"/>
              </w:rPr>
              <w:t>177</w:t>
            </w:r>
          </w:p>
        </w:tc>
      </w:tr>
      <w:tr w:rsidR="00864CEC" w:rsidRPr="002861A9" w:rsidTr="002861A9">
        <w:trPr>
          <w:trHeight w:val="382"/>
        </w:trPr>
        <w:tc>
          <w:tcPr>
            <w:tcW w:w="2670" w:type="dxa"/>
            <w:noWrap/>
            <w:tcMar>
              <w:top w:w="0" w:type="dxa"/>
              <w:bottom w:w="0" w:type="dxa"/>
            </w:tcMar>
            <w:vAlign w:val="center"/>
          </w:tcPr>
          <w:p w:rsidR="00864CEC" w:rsidRDefault="00864CEC">
            <w:pPr>
              <w:rPr>
                <w:rFonts w:ascii="Arial" w:hAnsi="Arial" w:cs="Arial"/>
                <w:sz w:val="20"/>
                <w:szCs w:val="20"/>
              </w:rPr>
            </w:pPr>
            <w:r>
              <w:rPr>
                <w:rFonts w:ascii="Arial" w:hAnsi="Arial" w:cs="Arial"/>
                <w:sz w:val="20"/>
                <w:szCs w:val="20"/>
              </w:rPr>
              <w:t>% change from previous financial year</w:t>
            </w:r>
          </w:p>
        </w:tc>
        <w:tc>
          <w:tcPr>
            <w:tcW w:w="1359" w:type="dxa"/>
            <w:noWrap/>
            <w:tcMar>
              <w:top w:w="0" w:type="dxa"/>
              <w:bottom w:w="0" w:type="dxa"/>
            </w:tcMar>
            <w:vAlign w:val="center"/>
          </w:tcPr>
          <w:p w:rsidR="00864CEC" w:rsidRDefault="00864CEC">
            <w:pPr>
              <w:jc w:val="center"/>
              <w:rPr>
                <w:rFonts w:ascii="Arial" w:hAnsi="Arial" w:cs="Arial"/>
                <w:sz w:val="20"/>
                <w:szCs w:val="20"/>
              </w:rPr>
            </w:pPr>
            <w:r>
              <w:rPr>
                <w:rFonts w:ascii="Arial" w:hAnsi="Arial" w:cs="Arial"/>
                <w:sz w:val="20"/>
                <w:szCs w:val="20"/>
              </w:rPr>
              <w:t>-23</w:t>
            </w:r>
          </w:p>
        </w:tc>
        <w:tc>
          <w:tcPr>
            <w:tcW w:w="1360" w:type="dxa"/>
            <w:noWrap/>
            <w:tcMar>
              <w:top w:w="0" w:type="dxa"/>
              <w:bottom w:w="0" w:type="dxa"/>
            </w:tcMar>
            <w:vAlign w:val="center"/>
          </w:tcPr>
          <w:p w:rsidR="00864CEC" w:rsidRDefault="00864CEC">
            <w:pPr>
              <w:jc w:val="center"/>
              <w:rPr>
                <w:rFonts w:ascii="Arial" w:hAnsi="Arial" w:cs="Arial"/>
                <w:sz w:val="20"/>
                <w:szCs w:val="20"/>
              </w:rPr>
            </w:pPr>
            <w:r>
              <w:rPr>
                <w:rFonts w:ascii="Arial" w:hAnsi="Arial" w:cs="Arial"/>
                <w:sz w:val="20"/>
                <w:szCs w:val="20"/>
              </w:rPr>
              <w:t>-23</w:t>
            </w:r>
          </w:p>
        </w:tc>
        <w:tc>
          <w:tcPr>
            <w:tcW w:w="1359" w:type="dxa"/>
            <w:noWrap/>
            <w:tcMar>
              <w:top w:w="0" w:type="dxa"/>
              <w:bottom w:w="0" w:type="dxa"/>
            </w:tcMar>
            <w:vAlign w:val="center"/>
          </w:tcPr>
          <w:p w:rsidR="00864CEC" w:rsidRDefault="00864CEC">
            <w:pPr>
              <w:jc w:val="center"/>
              <w:rPr>
                <w:rFonts w:ascii="Arial" w:hAnsi="Arial" w:cs="Arial"/>
                <w:sz w:val="20"/>
                <w:szCs w:val="20"/>
              </w:rPr>
            </w:pPr>
            <w:r>
              <w:rPr>
                <w:rFonts w:ascii="Arial" w:hAnsi="Arial" w:cs="Arial"/>
                <w:sz w:val="20"/>
                <w:szCs w:val="20"/>
              </w:rPr>
              <w:t>-37</w:t>
            </w:r>
          </w:p>
        </w:tc>
        <w:tc>
          <w:tcPr>
            <w:tcW w:w="1280" w:type="dxa"/>
            <w:noWrap/>
            <w:tcMar>
              <w:top w:w="0" w:type="dxa"/>
              <w:bottom w:w="0" w:type="dxa"/>
            </w:tcMar>
            <w:vAlign w:val="center"/>
          </w:tcPr>
          <w:p w:rsidR="00864CEC" w:rsidRDefault="00864CEC">
            <w:pPr>
              <w:jc w:val="center"/>
              <w:rPr>
                <w:rFonts w:ascii="Arial" w:hAnsi="Arial" w:cs="Arial"/>
                <w:sz w:val="20"/>
                <w:szCs w:val="20"/>
              </w:rPr>
            </w:pPr>
            <w:r>
              <w:rPr>
                <w:rFonts w:ascii="Arial" w:hAnsi="Arial" w:cs="Arial"/>
                <w:sz w:val="20"/>
                <w:szCs w:val="20"/>
              </w:rPr>
              <w:t>8</w:t>
            </w:r>
          </w:p>
        </w:tc>
        <w:tc>
          <w:tcPr>
            <w:tcW w:w="1180" w:type="dxa"/>
            <w:noWrap/>
            <w:tcMar>
              <w:top w:w="0" w:type="dxa"/>
              <w:bottom w:w="0" w:type="dxa"/>
            </w:tcMar>
            <w:vAlign w:val="center"/>
          </w:tcPr>
          <w:p w:rsidR="00864CEC" w:rsidRDefault="00864CEC">
            <w:pPr>
              <w:jc w:val="center"/>
              <w:rPr>
                <w:rFonts w:ascii="Arial" w:hAnsi="Arial" w:cs="Arial"/>
                <w:sz w:val="20"/>
                <w:szCs w:val="20"/>
              </w:rPr>
            </w:pPr>
            <w:r>
              <w:rPr>
                <w:rFonts w:ascii="Arial" w:hAnsi="Arial" w:cs="Arial"/>
                <w:sz w:val="20"/>
                <w:szCs w:val="20"/>
              </w:rPr>
              <w:t>8</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D821E7" w:rsidRPr="00D821E7" w:rsidRDefault="0006609A" w:rsidP="00D821E7">
      <w:pPr>
        <w:pStyle w:val="AERunnumberedheading3"/>
        <w:rPr>
          <w:rFonts w:eastAsia="MS Mincho"/>
        </w:rPr>
      </w:pPr>
      <w:r w:rsidRPr="002A5634">
        <w:rPr>
          <w:rFonts w:eastAsia="MS Mincho"/>
        </w:rPr>
        <w:t>Significant Ma</w:t>
      </w:r>
      <w:r w:rsidR="00FF2760">
        <w:rPr>
          <w:rFonts w:eastAsia="MS Mincho"/>
        </w:rPr>
        <w:t>rket Events or Issues this week</w:t>
      </w:r>
    </w:p>
    <w:p w:rsidR="00BB6A83" w:rsidRDefault="00BB6A83" w:rsidP="00BB6A83">
      <w:pPr>
        <w:pStyle w:val="AERnumberedlistfirststyle"/>
        <w:numPr>
          <w:ilvl w:val="0"/>
          <w:numId w:val="0"/>
        </w:numPr>
        <w:spacing w:after="0" w:line="240" w:lineRule="auto"/>
        <w:jc w:val="both"/>
        <w:rPr>
          <w:b/>
          <w:i/>
        </w:rPr>
      </w:pPr>
      <w:r>
        <w:rPr>
          <w:b/>
          <w:i/>
        </w:rPr>
        <w:t xml:space="preserve">Significant Price Event - </w:t>
      </w:r>
      <w:r w:rsidR="00D821E7">
        <w:rPr>
          <w:b/>
          <w:i/>
        </w:rPr>
        <w:t>Brisbane STTM hub 7 July 2014</w:t>
      </w:r>
    </w:p>
    <w:p w:rsidR="00BB6A83" w:rsidRPr="00FC33D0" w:rsidRDefault="00BB6A83" w:rsidP="00BB6A83">
      <w:pPr>
        <w:pStyle w:val="AERbodytext"/>
        <w:spacing w:before="120" w:after="0"/>
        <w:jc w:val="both"/>
      </w:pPr>
      <w:r>
        <w:t>Under Rule 498 of the National Gas Rules (</w:t>
      </w:r>
      <w:r w:rsidRPr="00FC33D0">
        <w:rPr>
          <w:b/>
          <w:bCs/>
        </w:rPr>
        <w:t>Gas Rules</w:t>
      </w:r>
      <w:r>
        <w:t>), the AER is required to identify and report on any significant price variations (</w:t>
      </w:r>
      <w:r w:rsidRPr="00800402">
        <w:rPr>
          <w:b/>
        </w:rPr>
        <w:t>SPV</w:t>
      </w:r>
      <w:r>
        <w:t>s) in the Short Term Trading Market (</w:t>
      </w:r>
      <w:r w:rsidRPr="00FC33D0">
        <w:rPr>
          <w:b/>
          <w:bCs/>
        </w:rPr>
        <w:t>STTM</w:t>
      </w:r>
      <w:r>
        <w:t>)</w:t>
      </w:r>
      <w:r w:rsidRPr="00FC33D0">
        <w:t>.  </w:t>
      </w:r>
    </w:p>
    <w:p w:rsidR="00BB6A83" w:rsidRDefault="00BB6A83" w:rsidP="00BB6A83">
      <w:pPr>
        <w:spacing w:before="120"/>
        <w:jc w:val="both"/>
        <w:rPr>
          <w:lang w:eastAsia="en-US"/>
        </w:rPr>
      </w:pPr>
      <w:r>
        <w:rPr>
          <w:lang w:eastAsia="en-US"/>
        </w:rPr>
        <w:t xml:space="preserve">On </w:t>
      </w:r>
      <w:r w:rsidRPr="00FC33D0">
        <w:rPr>
          <w:lang w:eastAsia="en-US"/>
        </w:rPr>
        <w:t>Mon</w:t>
      </w:r>
      <w:r>
        <w:rPr>
          <w:lang w:eastAsia="en-US"/>
        </w:rPr>
        <w:t xml:space="preserve">day </w:t>
      </w:r>
      <w:r w:rsidRPr="00FC33D0">
        <w:rPr>
          <w:lang w:eastAsia="en-US"/>
        </w:rPr>
        <w:t>7 July 2014</w:t>
      </w:r>
      <w:r>
        <w:rPr>
          <w:lang w:eastAsia="en-US"/>
        </w:rPr>
        <w:t xml:space="preserve">, </w:t>
      </w:r>
      <w:r w:rsidRPr="00FC33D0">
        <w:rPr>
          <w:lang w:eastAsia="en-US"/>
        </w:rPr>
        <w:t xml:space="preserve">the difference between the D-2 provisional price and the </w:t>
      </w:r>
      <w:proofErr w:type="spellStart"/>
      <w:r w:rsidRPr="00FC33D0">
        <w:rPr>
          <w:lang w:eastAsia="en-US"/>
        </w:rPr>
        <w:t>ex</w:t>
      </w:r>
      <w:r>
        <w:rPr>
          <w:lang w:eastAsia="en-US"/>
        </w:rPr>
        <w:t> </w:t>
      </w:r>
      <w:r w:rsidRPr="00FC33D0">
        <w:rPr>
          <w:lang w:eastAsia="en-US"/>
        </w:rPr>
        <w:t>ante</w:t>
      </w:r>
      <w:proofErr w:type="spellEnd"/>
      <w:r w:rsidRPr="00FC33D0">
        <w:rPr>
          <w:lang w:eastAsia="en-US"/>
        </w:rPr>
        <w:t xml:space="preserve"> price was $7.15/GJ</w:t>
      </w:r>
      <w:r>
        <w:rPr>
          <w:lang w:eastAsia="en-US"/>
        </w:rPr>
        <w:t xml:space="preserve">. Since </w:t>
      </w:r>
      <w:r w:rsidRPr="00FC33D0">
        <w:rPr>
          <w:lang w:eastAsia="en-US"/>
        </w:rPr>
        <w:t>the price difference was greater than the $7/GJ threshold</w:t>
      </w:r>
      <w:r>
        <w:rPr>
          <w:lang w:eastAsia="en-US"/>
        </w:rPr>
        <w:t>, this constitutes a SPV event in</w:t>
      </w:r>
      <w:r>
        <w:t xml:space="preserve"> accordance with the</w:t>
      </w:r>
      <w:r>
        <w:rPr>
          <w:color w:val="1F497D"/>
        </w:rPr>
        <w:t xml:space="preserve"> </w:t>
      </w:r>
      <w:hyperlink r:id="rId13" w:history="1">
        <w:r>
          <w:rPr>
            <w:rStyle w:val="Hyperlink"/>
          </w:rPr>
          <w:t>Significant Price Variation Guideline</w:t>
        </w:r>
      </w:hyperlink>
      <w:r>
        <w:t xml:space="preserve"> </w:t>
      </w:r>
      <w:r>
        <w:rPr>
          <w:lang w:eastAsia="en-US"/>
        </w:rPr>
        <w:t>published by the AER under rule 498(2) of the Gas Rules.</w:t>
      </w:r>
      <w:r w:rsidR="00D821E7">
        <w:rPr>
          <w:lang w:eastAsia="en-US"/>
        </w:rPr>
        <w:t xml:space="preserve"> </w:t>
      </w:r>
    </w:p>
    <w:p w:rsidR="00D821E7" w:rsidRPr="00FC33D0" w:rsidRDefault="00D821E7" w:rsidP="00BB6A83">
      <w:pPr>
        <w:spacing w:before="120"/>
        <w:jc w:val="both"/>
        <w:rPr>
          <w:lang w:eastAsia="en-US"/>
        </w:rPr>
      </w:pPr>
      <w:r>
        <w:rPr>
          <w:lang w:eastAsia="en-US"/>
        </w:rPr>
        <w:t>The AER will publish a separate report on this event.</w:t>
      </w:r>
    </w:p>
    <w:p w:rsidR="00502181" w:rsidRPr="003A284F" w:rsidRDefault="005F18AD" w:rsidP="00B66E50">
      <w:pPr>
        <w:spacing w:before="120" w:after="120"/>
        <w:jc w:val="both"/>
        <w:rPr>
          <w:b/>
          <w:sz w:val="22"/>
          <w:szCs w:val="22"/>
        </w:rPr>
      </w:pPr>
      <w:r w:rsidRPr="00A0223D">
        <w:br w:type="column"/>
      </w:r>
      <w:bookmarkStart w:id="3" w:name="OLE_LINK7"/>
      <w:bookmarkStart w:id="4" w:name="OLE_LINK8"/>
      <w:r w:rsidR="00132E1A">
        <w:lastRenderedPageBreak/>
        <w:pict>
          <v:shape id="_x0000_i1026" type="#_x0000_t75" style="width:503.25pt;height:1in" o:allowoverlap="f">
            <v:imagedata r:id="rId10" o:title="" cropbottom="17873f" cropright="30275f"/>
          </v:shape>
        </w:pict>
      </w:r>
      <w:bookmarkEnd w:id="3"/>
      <w:bookmarkEnd w:id="4"/>
    </w:p>
    <w:p w:rsidR="00502181" w:rsidRPr="00B66E50" w:rsidRDefault="00466FD3" w:rsidP="00B66E50">
      <w:pPr>
        <w:pStyle w:val="AERheading1"/>
        <w:pageBreakBefore w:val="0"/>
        <w:numPr>
          <w:ilvl w:val="0"/>
          <w:numId w:val="50"/>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564C71" w:rsidRPr="00A65EC8" w:rsidRDefault="00564C71" w:rsidP="00502181">
                  <w:pPr>
                    <w:spacing w:before="140"/>
                    <w:rPr>
                      <w:b/>
                    </w:rPr>
                  </w:pPr>
                  <w:r>
                    <w:rPr>
                      <w:b/>
                    </w:rPr>
                    <w:t xml:space="preserve"> </w:t>
                  </w:r>
                  <w:r w:rsidR="00A30F8E">
                    <w:rPr>
                      <w:b/>
                    </w:rPr>
                    <w:t>6 – 12 July 2014</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2"/>
      </w:r>
      <w:r w:rsidRPr="00DB727F">
        <w:t>, and injection/withdrawal bids</w:t>
      </w:r>
      <w:r w:rsidR="00C80FD8">
        <w:t>.</w:t>
      </w:r>
      <w:r w:rsidRPr="00DB727F">
        <w:rPr>
          <w:rStyle w:val="FootnoteReference"/>
        </w:rPr>
        <w:footnoteReference w:id="3"/>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4"/>
      </w:r>
      <w:r w:rsidR="00B24A61" w:rsidRPr="00CC4A35">
        <w:rPr>
          <w:rStyle w:val="FootnoteReference"/>
        </w:rPr>
        <w:t xml:space="preserve"> </w:t>
      </w:r>
    </w:p>
    <w:p w:rsidR="005F18AD" w:rsidRPr="00A34F23" w:rsidRDefault="005F18AD" w:rsidP="009B2F99">
      <w:pPr>
        <w:pStyle w:val="AERfigureheading"/>
        <w:numPr>
          <w:ilvl w:val="5"/>
          <w:numId w:val="16"/>
        </w:numPr>
        <w:rPr>
          <w:rFonts w:ascii="Arial" w:hAnsi="Arial" w:cs="Arial"/>
          <w:sz w:val="20"/>
          <w:szCs w:val="20"/>
        </w:rPr>
      </w:pPr>
      <w:r w:rsidRPr="00A34F23">
        <w:rPr>
          <w:rFonts w:ascii="Arial" w:hAnsi="Arial" w:cs="Arial"/>
          <w:sz w:val="20"/>
          <w:szCs w:val="20"/>
        </w:rPr>
        <w:t xml:space="preserve">Prices by schedule </w:t>
      </w:r>
    </w:p>
    <w:p w:rsidR="005F18AD" w:rsidRPr="00767397" w:rsidRDefault="00132E1A" w:rsidP="006C6D60">
      <w:pPr>
        <w:pStyle w:val="AERbodytext"/>
        <w:spacing w:before="120"/>
        <w:jc w:val="center"/>
      </w:pPr>
      <w:r>
        <w:pict>
          <v:shape id="_x0000_i1027" type="#_x0000_t75" style="width:476.25pt;height:137.25pt">
            <v:imagedata r:id="rId14" o:title=""/>
          </v:shape>
        </w:pict>
      </w:r>
    </w:p>
    <w:p w:rsidR="005F18AD" w:rsidRPr="00A34F23" w:rsidRDefault="005F18AD" w:rsidP="00DA3AAA">
      <w:pPr>
        <w:pStyle w:val="AERfigureheading"/>
        <w:tabs>
          <w:tab w:val="clear" w:pos="1361"/>
          <w:tab w:val="num" w:pos="1260"/>
        </w:tabs>
        <w:spacing w:before="120"/>
        <w:ind w:left="1260" w:hanging="1260"/>
        <w:rPr>
          <w:rFonts w:ascii="Arial" w:hAnsi="Arial" w:cs="Arial"/>
          <w:sz w:val="20"/>
          <w:szCs w:val="20"/>
        </w:rPr>
      </w:pPr>
      <w:r w:rsidRPr="00A34F23">
        <w:rPr>
          <w:rFonts w:ascii="Arial" w:hAnsi="Arial" w:cs="Arial"/>
          <w:sz w:val="20"/>
          <w:szCs w:val="20"/>
        </w:rPr>
        <w:t xml:space="preserve">Demand </w:t>
      </w:r>
      <w:r w:rsidR="001452B3" w:rsidRPr="00A34F23">
        <w:rPr>
          <w:rFonts w:ascii="Arial" w:hAnsi="Arial" w:cs="Arial"/>
          <w:sz w:val="20"/>
          <w:szCs w:val="20"/>
        </w:rPr>
        <w:t>f</w:t>
      </w:r>
      <w:r w:rsidRPr="00A34F23">
        <w:rPr>
          <w:rFonts w:ascii="Arial" w:hAnsi="Arial" w:cs="Arial"/>
          <w:sz w:val="20"/>
          <w:szCs w:val="20"/>
        </w:rPr>
        <w:t>orecasts</w:t>
      </w:r>
      <w:r w:rsidR="008133CF" w:rsidRPr="00A34F23">
        <w:rPr>
          <w:rFonts w:ascii="Arial" w:hAnsi="Arial" w:cs="Arial"/>
          <w:sz w:val="20"/>
          <w:szCs w:val="20"/>
        </w:rPr>
        <w:t xml:space="preserve"> </w:t>
      </w:r>
    </w:p>
    <w:p w:rsidR="005F18AD" w:rsidRPr="00767397" w:rsidRDefault="00132E1A" w:rsidP="006C6D60">
      <w:pPr>
        <w:pStyle w:val="AERbodytext"/>
        <w:spacing w:before="120" w:after="0"/>
        <w:jc w:val="center"/>
      </w:pPr>
      <w:r>
        <w:pict>
          <v:shape id="_x0000_i1028" type="#_x0000_t75" style="width:475.5pt;height:177pt">
            <v:imagedata r:id="rId15" o:title=""/>
          </v:shape>
        </w:pict>
      </w:r>
    </w:p>
    <w:p w:rsidR="001A5C1A" w:rsidRPr="00A34F23" w:rsidRDefault="001A5C1A" w:rsidP="00B24A61">
      <w:pPr>
        <w:pStyle w:val="AERfigureheading"/>
        <w:tabs>
          <w:tab w:val="clear" w:pos="1361"/>
          <w:tab w:val="num" w:pos="1260"/>
        </w:tabs>
        <w:spacing w:before="120"/>
        <w:ind w:left="1260" w:hanging="1260"/>
        <w:rPr>
          <w:rFonts w:ascii="Arial" w:hAnsi="Arial" w:cs="Arial"/>
          <w:sz w:val="20"/>
          <w:szCs w:val="20"/>
        </w:rPr>
      </w:pPr>
      <w:r w:rsidRPr="00A34F23">
        <w:rPr>
          <w:rFonts w:ascii="Arial" w:hAnsi="Arial" w:cs="Arial"/>
          <w:sz w:val="20"/>
          <w:szCs w:val="20"/>
        </w:rPr>
        <w:lastRenderedPageBreak/>
        <w:t>Injection bids by price bands</w:t>
      </w:r>
    </w:p>
    <w:p w:rsidR="00A26940" w:rsidRPr="00767397" w:rsidRDefault="00132E1A" w:rsidP="006C6D60">
      <w:pPr>
        <w:pStyle w:val="AERbodytext"/>
        <w:spacing w:before="120" w:after="0"/>
        <w:jc w:val="center"/>
      </w:pPr>
      <w:r>
        <w:pict>
          <v:shape id="_x0000_i1029" type="#_x0000_t75" style="width:476.25pt;height:219.75pt">
            <v:imagedata r:id="rId16" o:title=""/>
          </v:shape>
        </w:pict>
      </w:r>
    </w:p>
    <w:p w:rsidR="00372976" w:rsidRPr="00A34F23" w:rsidRDefault="00372976" w:rsidP="00B24A61">
      <w:pPr>
        <w:pStyle w:val="AERfigureheading"/>
        <w:tabs>
          <w:tab w:val="clear" w:pos="1361"/>
          <w:tab w:val="num" w:pos="1260"/>
        </w:tabs>
        <w:spacing w:before="120"/>
        <w:ind w:left="1260" w:hanging="1260"/>
        <w:rPr>
          <w:rFonts w:ascii="Arial" w:hAnsi="Arial" w:cs="Arial"/>
          <w:sz w:val="20"/>
          <w:szCs w:val="20"/>
        </w:rPr>
      </w:pPr>
      <w:r w:rsidRPr="00A34F23">
        <w:rPr>
          <w:rFonts w:ascii="Arial" w:hAnsi="Arial" w:cs="Arial"/>
          <w:sz w:val="20"/>
          <w:szCs w:val="20"/>
        </w:rPr>
        <w:t>Withdrawal bids by price bands</w:t>
      </w:r>
    </w:p>
    <w:p w:rsidR="00BE4577" w:rsidRPr="00767397" w:rsidRDefault="00132E1A" w:rsidP="006C6D60">
      <w:pPr>
        <w:pStyle w:val="AERbodytext"/>
        <w:jc w:val="center"/>
      </w:pPr>
      <w:r>
        <w:pict>
          <v:shape id="_x0000_i1030" type="#_x0000_t75" style="width:476.25pt;height:172.5pt">
            <v:imagedata r:id="rId17" o:title=""/>
          </v:shape>
        </w:pict>
      </w:r>
    </w:p>
    <w:p w:rsidR="00A26940" w:rsidRPr="00A34F23" w:rsidRDefault="00B24A61" w:rsidP="00BE4577">
      <w:pPr>
        <w:pStyle w:val="AERfigureheading"/>
        <w:rPr>
          <w:rFonts w:ascii="Arial" w:hAnsi="Arial" w:cs="Arial"/>
          <w:sz w:val="20"/>
          <w:szCs w:val="20"/>
        </w:rPr>
      </w:pPr>
      <w:r w:rsidRPr="00A34F23">
        <w:rPr>
          <w:rFonts w:ascii="Arial" w:hAnsi="Arial" w:cs="Arial"/>
          <w:sz w:val="20"/>
          <w:szCs w:val="20"/>
        </w:rPr>
        <w:t xml:space="preserve">Metered </w:t>
      </w:r>
      <w:r w:rsidR="00652A42" w:rsidRPr="00A34F23">
        <w:rPr>
          <w:rFonts w:ascii="Arial" w:hAnsi="Arial" w:cs="Arial"/>
          <w:sz w:val="20"/>
          <w:szCs w:val="20"/>
        </w:rPr>
        <w:t>I</w:t>
      </w:r>
      <w:r w:rsidR="00A26940" w:rsidRPr="00A34F23">
        <w:rPr>
          <w:rFonts w:ascii="Arial" w:hAnsi="Arial" w:cs="Arial"/>
          <w:sz w:val="20"/>
          <w:szCs w:val="20"/>
        </w:rPr>
        <w:t xml:space="preserve">njections </w:t>
      </w:r>
      <w:r w:rsidR="008F4EAE" w:rsidRPr="00A34F23">
        <w:rPr>
          <w:rFonts w:ascii="Arial" w:hAnsi="Arial" w:cs="Arial"/>
          <w:sz w:val="20"/>
          <w:szCs w:val="20"/>
        </w:rPr>
        <w:t xml:space="preserve">by </w:t>
      </w:r>
      <w:r w:rsidRPr="00A34F23">
        <w:rPr>
          <w:rFonts w:ascii="Arial" w:hAnsi="Arial" w:cs="Arial"/>
          <w:sz w:val="20"/>
          <w:szCs w:val="20"/>
        </w:rPr>
        <w:t xml:space="preserve">System Injection Point </w:t>
      </w:r>
    </w:p>
    <w:p w:rsidR="0006609A" w:rsidRPr="00767397" w:rsidRDefault="00132E1A" w:rsidP="006C6D60">
      <w:pPr>
        <w:pStyle w:val="AERbodytext"/>
        <w:spacing w:before="120"/>
        <w:jc w:val="center"/>
        <w:sectPr w:rsidR="0006609A" w:rsidRPr="00767397" w:rsidSect="00FD7231">
          <w:footerReference w:type="default" r:id="rId18"/>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5.5pt;height:177.75pt">
            <v:imagedata r:id="rId19"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w:t>
      </w:r>
      <w:proofErr w:type="spellStart"/>
      <w:r>
        <w:t>ex ante</w:t>
      </w:r>
      <w:proofErr w:type="spellEnd"/>
      <w:r>
        <w:t xml:space="preserv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5"/>
      </w:r>
      <w:r>
        <w:t xml:space="preserve"> P</w:t>
      </w:r>
      <w:r w:rsidRPr="003F73B0">
        <w:t>rice</w:t>
      </w:r>
      <w:r>
        <w:t>s before and after the gas day may also vary</w:t>
      </w:r>
      <w:r w:rsidRPr="003F73B0">
        <w:t xml:space="preserve"> depending on how much gas is sche</w:t>
      </w:r>
      <w:r>
        <w:t xml:space="preserve">duled before the gas day (setting the </w:t>
      </w:r>
      <w:proofErr w:type="spellStart"/>
      <w:r>
        <w:t>ex ante</w:t>
      </w:r>
      <w:proofErr w:type="spellEnd"/>
      <w:r>
        <w:t xml:space="preserv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6"/>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D108B1" w:rsidRPr="00B76529" w:rsidTr="002861A9">
        <w:trPr>
          <w:trHeight w:val="255"/>
        </w:trPr>
        <w:tc>
          <w:tcPr>
            <w:tcW w:w="2160" w:type="dxa"/>
            <w:noWrap/>
            <w:tcMar>
              <w:top w:w="0" w:type="dxa"/>
              <w:bottom w:w="0" w:type="dxa"/>
            </w:tcMar>
            <w:vAlign w:val="center"/>
          </w:tcPr>
          <w:p w:rsidR="00D108B1" w:rsidRPr="002861A9" w:rsidRDefault="00D108B1"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4.01</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4.30</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4.02</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4.30</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4.02</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3.55</w:t>
            </w:r>
          </w:p>
        </w:tc>
      </w:tr>
      <w:tr w:rsidR="00D108B1" w:rsidRPr="00B76529" w:rsidTr="002861A9">
        <w:trPr>
          <w:trHeight w:val="255"/>
        </w:trPr>
        <w:tc>
          <w:tcPr>
            <w:tcW w:w="2160" w:type="dxa"/>
            <w:noWrap/>
            <w:tcMar>
              <w:top w:w="0" w:type="dxa"/>
              <w:bottom w:w="0" w:type="dxa"/>
            </w:tcMar>
            <w:vAlign w:val="center"/>
          </w:tcPr>
          <w:p w:rsidR="00D108B1" w:rsidRPr="002861A9" w:rsidRDefault="00D108B1"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275</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306</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337</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313</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331</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308</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272</w:t>
            </w:r>
          </w:p>
        </w:tc>
      </w:tr>
      <w:tr w:rsidR="00D108B1" w:rsidRPr="00B76529" w:rsidTr="002861A9">
        <w:trPr>
          <w:trHeight w:val="255"/>
        </w:trPr>
        <w:tc>
          <w:tcPr>
            <w:tcW w:w="2160" w:type="dxa"/>
            <w:noWrap/>
            <w:tcMar>
              <w:top w:w="0" w:type="dxa"/>
              <w:bottom w:w="0" w:type="dxa"/>
            </w:tcMar>
            <w:vAlign w:val="center"/>
          </w:tcPr>
          <w:p w:rsidR="00D108B1" w:rsidRPr="002861A9" w:rsidRDefault="00D108B1"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4.01</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4.26</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4.02</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4.02</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4.02</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3.55</w:t>
            </w:r>
          </w:p>
        </w:tc>
      </w:tr>
      <w:tr w:rsidR="00D108B1" w:rsidRPr="00B76529" w:rsidTr="002861A9">
        <w:trPr>
          <w:trHeight w:val="255"/>
        </w:trPr>
        <w:tc>
          <w:tcPr>
            <w:tcW w:w="2160" w:type="dxa"/>
            <w:noWrap/>
            <w:tcMar>
              <w:top w:w="0" w:type="dxa"/>
              <w:bottom w:w="0" w:type="dxa"/>
            </w:tcMar>
            <w:vAlign w:val="center"/>
          </w:tcPr>
          <w:p w:rsidR="00D108B1" w:rsidRPr="002861A9" w:rsidRDefault="00D108B1"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275</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307</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334</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303</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325</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304</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270</w:t>
            </w:r>
          </w:p>
        </w:tc>
      </w:tr>
    </w:tbl>
    <w:p w:rsidR="00055584" w:rsidRPr="00D108B1" w:rsidRDefault="0045204B" w:rsidP="00502181">
      <w:pPr>
        <w:pStyle w:val="AERtableheading-unnumbered"/>
        <w:numPr>
          <w:ilvl w:val="0"/>
          <w:numId w:val="0"/>
        </w:numPr>
        <w:spacing w:before="480"/>
        <w:rPr>
          <w:rFonts w:ascii="Arial" w:hAnsi="Arial" w:cs="Arial"/>
          <w:sz w:val="19"/>
          <w:szCs w:val="19"/>
        </w:rPr>
      </w:pPr>
      <w:r w:rsidRPr="00D108B1">
        <w:rPr>
          <w:rFonts w:ascii="Arial" w:hAnsi="Arial" w:cs="Arial"/>
          <w:sz w:val="19"/>
          <w:szCs w:val="19"/>
        </w:rPr>
        <w:t>Figure 2.2 (a)</w:t>
      </w:r>
      <w:r w:rsidR="002C0499" w:rsidRPr="00D108B1">
        <w:rPr>
          <w:rFonts w:ascii="Arial" w:hAnsi="Arial" w:cs="Arial"/>
          <w:sz w:val="19"/>
          <w:szCs w:val="19"/>
        </w:rPr>
        <w:t>:</w:t>
      </w:r>
      <w:r w:rsidRPr="00D108B1">
        <w:rPr>
          <w:rFonts w:ascii="Arial" w:hAnsi="Arial" w:cs="Arial"/>
          <w:sz w:val="19"/>
          <w:szCs w:val="19"/>
        </w:rPr>
        <w:t xml:space="preserve"> </w:t>
      </w:r>
      <w:r w:rsidR="00055584" w:rsidRPr="00D108B1">
        <w:rPr>
          <w:rFonts w:ascii="Arial" w:hAnsi="Arial" w:cs="Arial"/>
          <w:sz w:val="19"/>
          <w:szCs w:val="19"/>
        </w:rPr>
        <w:t>Daily hub offers</w:t>
      </w:r>
      <w:r w:rsidR="00781A4A" w:rsidRPr="00D108B1">
        <w:rPr>
          <w:rFonts w:ascii="Arial" w:hAnsi="Arial" w:cs="Arial"/>
          <w:sz w:val="19"/>
          <w:szCs w:val="19"/>
        </w:rPr>
        <w:t xml:space="preserve"> in price bands</w:t>
      </w:r>
      <w:r w:rsidR="00CD3544" w:rsidRPr="00D108B1">
        <w:rPr>
          <w:rFonts w:ascii="Arial" w:hAnsi="Arial" w:cs="Arial"/>
          <w:sz w:val="19"/>
          <w:szCs w:val="19"/>
        </w:rPr>
        <w:t xml:space="preserve"> </w:t>
      </w:r>
      <w:r w:rsidR="00587CD1" w:rsidRPr="00D108B1">
        <w:rPr>
          <w:rFonts w:ascii="Arial" w:hAnsi="Arial" w:cs="Arial"/>
          <w:sz w:val="19"/>
          <w:szCs w:val="19"/>
        </w:rPr>
        <w:t xml:space="preserve">($/GJ) </w:t>
      </w:r>
      <w:r w:rsidR="00781A4A" w:rsidRPr="00D108B1">
        <w:rPr>
          <w:rFonts w:ascii="Arial" w:hAnsi="Arial" w:cs="Arial"/>
          <w:sz w:val="19"/>
          <w:szCs w:val="19"/>
        </w:rPr>
        <w:t xml:space="preserve"> </w:t>
      </w:r>
      <w:r w:rsidRPr="00D108B1">
        <w:rPr>
          <w:rFonts w:ascii="Arial" w:hAnsi="Arial" w:cs="Arial"/>
          <w:sz w:val="19"/>
          <w:szCs w:val="19"/>
        </w:rPr>
        <w:t xml:space="preserve">   </w:t>
      </w:r>
      <w:r w:rsidR="00587CD1" w:rsidRPr="00D108B1">
        <w:rPr>
          <w:rFonts w:ascii="Arial" w:hAnsi="Arial" w:cs="Arial"/>
          <w:sz w:val="19"/>
          <w:szCs w:val="19"/>
        </w:rPr>
        <w:t>Figure 2.2</w:t>
      </w:r>
      <w:r w:rsidR="00C80FD8" w:rsidRPr="00D108B1">
        <w:rPr>
          <w:rFonts w:ascii="Arial" w:hAnsi="Arial" w:cs="Arial"/>
          <w:sz w:val="19"/>
          <w:szCs w:val="19"/>
        </w:rPr>
        <w:t xml:space="preserve"> </w:t>
      </w:r>
      <w:r w:rsidR="00781A4A" w:rsidRPr="00D108B1">
        <w:rPr>
          <w:rFonts w:ascii="Arial" w:hAnsi="Arial" w:cs="Arial"/>
          <w:sz w:val="19"/>
          <w:szCs w:val="19"/>
        </w:rPr>
        <w:t>(b)</w:t>
      </w:r>
      <w:r w:rsidR="00587CD1" w:rsidRPr="00D108B1">
        <w:rPr>
          <w:rFonts w:ascii="Arial" w:hAnsi="Arial" w:cs="Arial"/>
          <w:sz w:val="19"/>
          <w:szCs w:val="19"/>
        </w:rPr>
        <w:t>:</w:t>
      </w:r>
      <w:r w:rsidR="00781A4A" w:rsidRPr="00D108B1">
        <w:rPr>
          <w:rFonts w:ascii="Arial" w:hAnsi="Arial" w:cs="Arial"/>
          <w:sz w:val="19"/>
          <w:szCs w:val="19"/>
        </w:rPr>
        <w:t xml:space="preserve"> Daily hub b</w:t>
      </w:r>
      <w:r w:rsidRPr="00D108B1">
        <w:rPr>
          <w:rFonts w:ascii="Arial" w:hAnsi="Arial" w:cs="Arial"/>
          <w:sz w:val="19"/>
          <w:szCs w:val="19"/>
        </w:rPr>
        <w:t>i</w:t>
      </w:r>
      <w:r w:rsidR="00781A4A" w:rsidRPr="00D108B1">
        <w:rPr>
          <w:rFonts w:ascii="Arial" w:hAnsi="Arial" w:cs="Arial"/>
          <w:sz w:val="19"/>
          <w:szCs w:val="19"/>
        </w:rPr>
        <w:t xml:space="preserve">ds </w:t>
      </w:r>
      <w:r w:rsidR="00CD3544" w:rsidRPr="00D108B1">
        <w:rPr>
          <w:rFonts w:ascii="Arial" w:hAnsi="Arial" w:cs="Arial"/>
          <w:sz w:val="19"/>
          <w:szCs w:val="19"/>
        </w:rPr>
        <w:t>in</w:t>
      </w:r>
      <w:r w:rsidR="00055584" w:rsidRPr="00D108B1">
        <w:rPr>
          <w:rFonts w:ascii="Arial" w:hAnsi="Arial" w:cs="Arial"/>
          <w:sz w:val="19"/>
          <w:szCs w:val="19"/>
        </w:rPr>
        <w:t xml:space="preserve"> price bands ($/GJ)</w:t>
      </w:r>
    </w:p>
    <w:p w:rsidR="00055584" w:rsidRPr="00FC426D" w:rsidRDefault="00132E1A" w:rsidP="006C6D60">
      <w:pPr>
        <w:pStyle w:val="FigheadingA"/>
        <w:numPr>
          <w:ilvl w:val="0"/>
          <w:numId w:val="0"/>
        </w:numPr>
        <w:spacing w:before="120" w:after="0"/>
        <w:ind w:left="1134" w:hanging="1134"/>
        <w:jc w:val="center"/>
      </w:pPr>
      <w:r>
        <w:pict>
          <v:shape id="_x0000_i1032" type="#_x0000_t75" style="width:475.5pt;height:181.5pt">
            <v:imagedata r:id="rId20" o:title=""/>
          </v:shape>
        </w:pict>
      </w:r>
    </w:p>
    <w:p w:rsidR="008E2239" w:rsidRPr="00BF4F55" w:rsidRDefault="003410C4" w:rsidP="00157AFD">
      <w:pPr>
        <w:pStyle w:val="AERfigureheading"/>
        <w:numPr>
          <w:ilvl w:val="5"/>
          <w:numId w:val="42"/>
        </w:numPr>
        <w:tabs>
          <w:tab w:val="clear" w:pos="1361"/>
          <w:tab w:val="num" w:pos="1260"/>
        </w:tabs>
        <w:rPr>
          <w:rFonts w:ascii="Arial" w:hAnsi="Arial" w:cs="Arial"/>
          <w:sz w:val="20"/>
          <w:szCs w:val="20"/>
        </w:rPr>
      </w:pPr>
      <w:r w:rsidRPr="00BF4F55">
        <w:rPr>
          <w:rFonts w:ascii="Arial" w:hAnsi="Arial" w:cs="Arial"/>
          <w:sz w:val="20"/>
          <w:szCs w:val="20"/>
        </w:rPr>
        <w:lastRenderedPageBreak/>
        <w:t xml:space="preserve">SYD </w:t>
      </w:r>
      <w:r w:rsidR="00E52E2A" w:rsidRPr="00BF4F55">
        <w:rPr>
          <w:rFonts w:ascii="Arial" w:hAnsi="Arial" w:cs="Arial"/>
          <w:sz w:val="20"/>
          <w:szCs w:val="20"/>
        </w:rPr>
        <w:t>net</w:t>
      </w:r>
      <w:r w:rsidR="00BA65E6" w:rsidRPr="00BF4F55">
        <w:rPr>
          <w:rFonts w:ascii="Arial" w:hAnsi="Arial" w:cs="Arial"/>
          <w:sz w:val="20"/>
          <w:szCs w:val="20"/>
        </w:rPr>
        <w:t xml:space="preserve"> </w:t>
      </w:r>
      <w:r w:rsidR="005E4C48" w:rsidRPr="00BF4F55">
        <w:rPr>
          <w:rFonts w:ascii="Arial" w:hAnsi="Arial" w:cs="Arial"/>
          <w:sz w:val="20"/>
          <w:szCs w:val="20"/>
        </w:rPr>
        <w:t>s</w:t>
      </w:r>
      <w:r w:rsidR="008E2239" w:rsidRPr="00BF4F55">
        <w:rPr>
          <w:rFonts w:ascii="Arial" w:hAnsi="Arial" w:cs="Arial"/>
          <w:sz w:val="20"/>
          <w:szCs w:val="20"/>
        </w:rPr>
        <w:t xml:space="preserve">cheduled and </w:t>
      </w:r>
      <w:r w:rsidR="005E4C48" w:rsidRPr="00BF4F55">
        <w:rPr>
          <w:rFonts w:ascii="Arial" w:hAnsi="Arial" w:cs="Arial"/>
          <w:sz w:val="20"/>
          <w:szCs w:val="20"/>
        </w:rPr>
        <w:t>a</w:t>
      </w:r>
      <w:r w:rsidR="008E2239" w:rsidRPr="00BF4F55">
        <w:rPr>
          <w:rFonts w:ascii="Arial" w:hAnsi="Arial" w:cs="Arial"/>
          <w:sz w:val="20"/>
          <w:szCs w:val="20"/>
        </w:rPr>
        <w:t>llocated gas</w:t>
      </w:r>
      <w:r w:rsidR="005E4C48" w:rsidRPr="00BF4F55">
        <w:rPr>
          <w:rFonts w:ascii="Arial" w:hAnsi="Arial" w:cs="Arial"/>
          <w:sz w:val="20"/>
          <w:szCs w:val="20"/>
        </w:rPr>
        <w:t xml:space="preserve"> volumes</w:t>
      </w:r>
      <w:r w:rsidR="008E2239" w:rsidRPr="00BF4F55">
        <w:rPr>
          <w:rFonts w:ascii="Arial" w:hAnsi="Arial" w:cs="Arial"/>
          <w:sz w:val="20"/>
          <w:szCs w:val="20"/>
        </w:rPr>
        <w:t xml:space="preserve"> </w:t>
      </w:r>
      <w:r w:rsidR="00E52E2A" w:rsidRPr="00BF4F55">
        <w:rPr>
          <w:rFonts w:ascii="Arial" w:hAnsi="Arial" w:cs="Arial"/>
          <w:sz w:val="20"/>
          <w:szCs w:val="20"/>
        </w:rPr>
        <w:t xml:space="preserve">(excluding MOS) </w:t>
      </w:r>
      <w:r w:rsidR="008E2239" w:rsidRPr="00BF4F55">
        <w:rPr>
          <w:rFonts w:ascii="Arial" w:hAnsi="Arial" w:cs="Arial"/>
          <w:sz w:val="20"/>
          <w:szCs w:val="20"/>
        </w:rPr>
        <w:t xml:space="preserve">by </w:t>
      </w:r>
      <w:r w:rsidR="00BA65E6" w:rsidRPr="00BF4F55">
        <w:rPr>
          <w:rFonts w:ascii="Arial" w:hAnsi="Arial" w:cs="Arial"/>
          <w:sz w:val="20"/>
          <w:szCs w:val="20"/>
        </w:rPr>
        <w:t>STTM facility</w:t>
      </w:r>
    </w:p>
    <w:p w:rsidR="008E2239" w:rsidRPr="002E2E46" w:rsidRDefault="00132E1A" w:rsidP="006C6D60">
      <w:pPr>
        <w:pStyle w:val="BodyText"/>
        <w:spacing w:before="120" w:after="0"/>
        <w:jc w:val="center"/>
      </w:pPr>
      <w:r>
        <w:pict>
          <v:shape id="_x0000_i1033" type="#_x0000_t75" style="width:476.25pt;height:220.5pt">
            <v:imagedata r:id="rId21" o:title=""/>
          </v:shape>
        </w:pict>
      </w:r>
    </w:p>
    <w:p w:rsidR="0045204B" w:rsidRPr="00582F1C" w:rsidRDefault="0045204B" w:rsidP="002C0499">
      <w:pPr>
        <w:pStyle w:val="AERtableheading-unnumbered"/>
        <w:numPr>
          <w:ilvl w:val="0"/>
          <w:numId w:val="0"/>
        </w:numPr>
        <w:ind w:left="6379" w:right="-114" w:hanging="6379"/>
        <w:rPr>
          <w:rFonts w:ascii="Arial" w:hAnsi="Arial" w:cs="Arial"/>
          <w:sz w:val="20"/>
          <w:szCs w:val="20"/>
        </w:rPr>
      </w:pPr>
      <w:r w:rsidRPr="00BF4F55">
        <w:rPr>
          <w:rFonts w:ascii="Arial" w:hAnsi="Arial" w:cs="Arial"/>
          <w:sz w:val="20"/>
          <w:szCs w:val="20"/>
        </w:rPr>
        <w:t>Figure 2.4 (a)</w:t>
      </w:r>
      <w:r w:rsidR="002C0499" w:rsidRPr="00BF4F55">
        <w:rPr>
          <w:rFonts w:ascii="Arial" w:hAnsi="Arial" w:cs="Arial"/>
          <w:sz w:val="20"/>
          <w:szCs w:val="20"/>
        </w:rPr>
        <w:t>:</w:t>
      </w:r>
      <w:r w:rsidRPr="00BF4F55">
        <w:rPr>
          <w:rFonts w:ascii="Arial" w:hAnsi="Arial" w:cs="Arial"/>
          <w:sz w:val="20"/>
          <w:szCs w:val="20"/>
        </w:rPr>
        <w:t xml:space="preserve"> SYD</w:t>
      </w:r>
      <w:r w:rsidR="008936C5" w:rsidRPr="00BF4F55">
        <w:rPr>
          <w:rFonts w:ascii="Arial" w:hAnsi="Arial" w:cs="Arial"/>
          <w:sz w:val="20"/>
          <w:szCs w:val="20"/>
        </w:rPr>
        <w:t xml:space="preserve"> STTM MOS allocations (TJ)         </w:t>
      </w:r>
      <w:r w:rsidRPr="00BF4F55">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9C30E2" w:rsidRPr="002E2E46" w:rsidRDefault="00132E1A" w:rsidP="006C6D60">
      <w:pPr>
        <w:jc w:val="center"/>
        <w:rPr>
          <w:color w:val="C0C0C0"/>
          <w:sz w:val="28"/>
          <w:szCs w:val="28"/>
        </w:rPr>
      </w:pPr>
      <w:r>
        <w:pict>
          <v:shape id="_x0000_i1034" type="#_x0000_t75" style="width:475.5pt;height:180.75pt">
            <v:imagedata r:id="rId22"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lastRenderedPageBreak/>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D108B1" w:rsidRPr="00B76529" w:rsidTr="002861A9">
        <w:trPr>
          <w:trHeight w:val="255"/>
        </w:trPr>
        <w:tc>
          <w:tcPr>
            <w:tcW w:w="2160" w:type="dxa"/>
            <w:noWrap/>
            <w:tcMar>
              <w:top w:w="0" w:type="dxa"/>
              <w:bottom w:w="0" w:type="dxa"/>
            </w:tcMar>
            <w:vAlign w:val="center"/>
          </w:tcPr>
          <w:p w:rsidR="00D108B1" w:rsidRPr="002861A9" w:rsidRDefault="00D108B1"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3.98</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3.99</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4.06</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4.72</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3.86</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4.01</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3.99</w:t>
            </w:r>
          </w:p>
        </w:tc>
      </w:tr>
      <w:tr w:rsidR="00D108B1" w:rsidRPr="00B76529" w:rsidTr="002861A9">
        <w:trPr>
          <w:trHeight w:val="255"/>
        </w:trPr>
        <w:tc>
          <w:tcPr>
            <w:tcW w:w="2160" w:type="dxa"/>
            <w:noWrap/>
            <w:tcMar>
              <w:top w:w="0" w:type="dxa"/>
              <w:bottom w:w="0" w:type="dxa"/>
            </w:tcMar>
            <w:vAlign w:val="center"/>
          </w:tcPr>
          <w:p w:rsidR="00D108B1" w:rsidRPr="002861A9" w:rsidRDefault="00D108B1"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67</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81</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79</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87</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89</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97</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98</w:t>
            </w:r>
          </w:p>
        </w:tc>
      </w:tr>
      <w:tr w:rsidR="00D108B1" w:rsidRPr="00B76529" w:rsidTr="002861A9">
        <w:trPr>
          <w:trHeight w:val="255"/>
        </w:trPr>
        <w:tc>
          <w:tcPr>
            <w:tcW w:w="2160" w:type="dxa"/>
            <w:noWrap/>
            <w:tcMar>
              <w:top w:w="0" w:type="dxa"/>
              <w:bottom w:w="0" w:type="dxa"/>
            </w:tcMar>
            <w:vAlign w:val="center"/>
          </w:tcPr>
          <w:p w:rsidR="00D108B1" w:rsidRPr="002861A9" w:rsidRDefault="00D108B1"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4.07</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4.13</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4.07</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5.12</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4.05</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4.05</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3.90</w:t>
            </w:r>
          </w:p>
        </w:tc>
      </w:tr>
      <w:tr w:rsidR="00D108B1" w:rsidRPr="00B76529" w:rsidTr="002861A9">
        <w:trPr>
          <w:trHeight w:val="255"/>
        </w:trPr>
        <w:tc>
          <w:tcPr>
            <w:tcW w:w="2160" w:type="dxa"/>
            <w:noWrap/>
            <w:tcMar>
              <w:top w:w="0" w:type="dxa"/>
              <w:bottom w:w="0" w:type="dxa"/>
            </w:tcMar>
            <w:vAlign w:val="center"/>
          </w:tcPr>
          <w:p w:rsidR="00D108B1" w:rsidRPr="002861A9" w:rsidRDefault="00D108B1"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72</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81</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83</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91</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97</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103</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95</w:t>
            </w:r>
          </w:p>
        </w:tc>
      </w:tr>
    </w:tbl>
    <w:p w:rsidR="00157AFD" w:rsidRPr="008806B0" w:rsidRDefault="00157AFD" w:rsidP="00157AFD">
      <w:pPr>
        <w:pStyle w:val="AERtableheading-unnumbered"/>
        <w:numPr>
          <w:ilvl w:val="0"/>
          <w:numId w:val="0"/>
        </w:numPr>
        <w:rPr>
          <w:rFonts w:ascii="Arial" w:hAnsi="Arial" w:cs="Arial"/>
          <w:sz w:val="19"/>
          <w:szCs w:val="19"/>
        </w:rPr>
      </w:pPr>
      <w:r w:rsidRPr="008806B0">
        <w:rPr>
          <w:rFonts w:ascii="Arial" w:hAnsi="Arial" w:cs="Arial"/>
          <w:sz w:val="19"/>
          <w:szCs w:val="19"/>
        </w:rPr>
        <w:t>Figure 3.2 (a)</w:t>
      </w:r>
      <w:r w:rsidR="002C0499" w:rsidRPr="008806B0">
        <w:rPr>
          <w:rFonts w:ascii="Arial" w:hAnsi="Arial" w:cs="Arial"/>
          <w:sz w:val="19"/>
          <w:szCs w:val="19"/>
        </w:rPr>
        <w:t>:</w:t>
      </w:r>
      <w:r w:rsidRPr="008806B0">
        <w:rPr>
          <w:rFonts w:ascii="Arial" w:hAnsi="Arial" w:cs="Arial"/>
          <w:sz w:val="19"/>
          <w:szCs w:val="19"/>
        </w:rPr>
        <w:t xml:space="preserve"> Daily hub offers in price bands ($/GJ)     Figure 3.2</w:t>
      </w:r>
      <w:r w:rsidR="00C80FD8" w:rsidRPr="008806B0">
        <w:rPr>
          <w:rFonts w:ascii="Arial" w:hAnsi="Arial" w:cs="Arial"/>
          <w:sz w:val="19"/>
          <w:szCs w:val="19"/>
        </w:rPr>
        <w:t xml:space="preserve"> </w:t>
      </w:r>
      <w:r w:rsidRPr="008806B0">
        <w:rPr>
          <w:rFonts w:ascii="Arial" w:hAnsi="Arial" w:cs="Arial"/>
          <w:sz w:val="19"/>
          <w:szCs w:val="19"/>
        </w:rPr>
        <w:t>(b): Daily hub bids in price bands ($/GJ)</w:t>
      </w:r>
    </w:p>
    <w:p w:rsidR="00B66BAB" w:rsidRPr="00FC426D" w:rsidRDefault="00132E1A" w:rsidP="00B66BAB">
      <w:pPr>
        <w:pStyle w:val="FigheadingA"/>
        <w:numPr>
          <w:ilvl w:val="0"/>
          <w:numId w:val="0"/>
        </w:numPr>
        <w:spacing w:before="120" w:after="0"/>
        <w:ind w:left="1134" w:hanging="1134"/>
        <w:jc w:val="center"/>
      </w:pPr>
      <w:r>
        <w:pict>
          <v:shape id="_x0000_i1035" type="#_x0000_t75" style="width:475.5pt;height:191.25pt">
            <v:imagedata r:id="rId23" o:title=""/>
          </v:shape>
        </w:pict>
      </w:r>
    </w:p>
    <w:p w:rsidR="00B66BAB" w:rsidRPr="007E3D81" w:rsidRDefault="00E52E2A" w:rsidP="00BE18D0">
      <w:pPr>
        <w:pStyle w:val="AERfigureheading"/>
        <w:numPr>
          <w:ilvl w:val="5"/>
          <w:numId w:val="47"/>
        </w:numPr>
        <w:tabs>
          <w:tab w:val="clear" w:pos="1361"/>
          <w:tab w:val="num" w:pos="1260"/>
        </w:tabs>
        <w:rPr>
          <w:rFonts w:ascii="Arial" w:hAnsi="Arial" w:cs="Arial"/>
          <w:sz w:val="20"/>
          <w:szCs w:val="20"/>
        </w:rPr>
      </w:pPr>
      <w:r w:rsidRPr="007E3D81">
        <w:rPr>
          <w:rFonts w:ascii="Arial" w:hAnsi="Arial" w:cs="Arial"/>
          <w:sz w:val="20"/>
          <w:szCs w:val="20"/>
        </w:rPr>
        <w:t>ADL net scheduled and allocated gas volumes (excluding MOS) by STTM facility</w:t>
      </w:r>
    </w:p>
    <w:p w:rsidR="00B66BAB" w:rsidRPr="002E2E46" w:rsidRDefault="00132E1A" w:rsidP="00B66BAB">
      <w:pPr>
        <w:pStyle w:val="BodyText"/>
        <w:spacing w:before="120" w:after="0"/>
        <w:jc w:val="center"/>
      </w:pPr>
      <w:r>
        <w:pict>
          <v:shape id="_x0000_i1036" type="#_x0000_t75" style="width:475.5pt;height:140.25pt">
            <v:imagedata r:id="rId24"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BF4F55">
        <w:rPr>
          <w:rFonts w:ascii="Arial" w:hAnsi="Arial" w:cs="Arial"/>
          <w:sz w:val="20"/>
          <w:szCs w:val="20"/>
        </w:rPr>
        <w:t>Figure 3.4 (a)</w:t>
      </w:r>
      <w:r w:rsidR="002C0499" w:rsidRPr="00BF4F55">
        <w:rPr>
          <w:rFonts w:ascii="Arial" w:hAnsi="Arial" w:cs="Arial"/>
          <w:sz w:val="20"/>
          <w:szCs w:val="20"/>
        </w:rPr>
        <w:t>:</w:t>
      </w:r>
      <w:r w:rsidRPr="00BF4F55">
        <w:rPr>
          <w:rFonts w:ascii="Arial" w:hAnsi="Arial" w:cs="Arial"/>
          <w:sz w:val="20"/>
          <w:szCs w:val="20"/>
        </w:rPr>
        <w:t xml:space="preserve"> ADL </w:t>
      </w:r>
      <w:r w:rsidR="005C68CE" w:rsidRPr="00BF4F55">
        <w:rPr>
          <w:rFonts w:ascii="Arial" w:hAnsi="Arial" w:cs="Arial"/>
          <w:sz w:val="20"/>
          <w:szCs w:val="20"/>
        </w:rPr>
        <w:t xml:space="preserve">STTM </w:t>
      </w:r>
      <w:r w:rsidRPr="00BF4F55">
        <w:rPr>
          <w:rFonts w:ascii="Arial" w:hAnsi="Arial" w:cs="Arial"/>
          <w:sz w:val="20"/>
          <w:szCs w:val="20"/>
        </w:rPr>
        <w:t>MOS allocations (TJ)          Figure 3.4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B66BAB" w:rsidRPr="002E2E46" w:rsidRDefault="00132E1A" w:rsidP="00B66BAB">
      <w:pPr>
        <w:jc w:val="center"/>
      </w:pPr>
      <w:r>
        <w:pict>
          <v:shape id="_x0000_i1037" type="#_x0000_t75" style="width:475.5pt;height:161.25pt">
            <v:imagedata r:id="rId25"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lastRenderedPageBreak/>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D108B1" w:rsidRPr="00B76529" w:rsidTr="002861A9">
        <w:trPr>
          <w:trHeight w:val="255"/>
        </w:trPr>
        <w:tc>
          <w:tcPr>
            <w:tcW w:w="2160" w:type="dxa"/>
            <w:noWrap/>
            <w:tcMar>
              <w:top w:w="0" w:type="dxa"/>
              <w:bottom w:w="0" w:type="dxa"/>
            </w:tcMar>
            <w:vAlign w:val="center"/>
          </w:tcPr>
          <w:p w:rsidR="00D108B1" w:rsidRPr="002861A9" w:rsidRDefault="00D108B1"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2.02</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2.70</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2.05</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2.43</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2.29</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2.05</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2.05</w:t>
            </w:r>
          </w:p>
        </w:tc>
      </w:tr>
      <w:tr w:rsidR="00D108B1" w:rsidRPr="00B76529" w:rsidTr="002861A9">
        <w:trPr>
          <w:trHeight w:val="255"/>
        </w:trPr>
        <w:tc>
          <w:tcPr>
            <w:tcW w:w="2160" w:type="dxa"/>
            <w:noWrap/>
            <w:tcMar>
              <w:top w:w="0" w:type="dxa"/>
              <w:bottom w:w="0" w:type="dxa"/>
            </w:tcMar>
            <w:vAlign w:val="center"/>
          </w:tcPr>
          <w:p w:rsidR="00D108B1" w:rsidRPr="002861A9" w:rsidRDefault="00D108B1"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176</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186</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184</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184</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181</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175</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162</w:t>
            </w:r>
          </w:p>
        </w:tc>
      </w:tr>
      <w:tr w:rsidR="00D108B1" w:rsidRPr="00B76529" w:rsidTr="002861A9">
        <w:trPr>
          <w:trHeight w:val="255"/>
        </w:trPr>
        <w:tc>
          <w:tcPr>
            <w:tcW w:w="2160" w:type="dxa"/>
            <w:noWrap/>
            <w:tcMar>
              <w:top w:w="0" w:type="dxa"/>
              <w:bottom w:w="0" w:type="dxa"/>
            </w:tcMar>
            <w:vAlign w:val="center"/>
          </w:tcPr>
          <w:p w:rsidR="00D108B1" w:rsidRPr="002861A9" w:rsidRDefault="00D108B1"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1.77</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2.70</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2.01</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2.05</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2.29</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2.05</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2.41</w:t>
            </w:r>
          </w:p>
        </w:tc>
      </w:tr>
      <w:tr w:rsidR="00D108B1" w:rsidRPr="00B76529" w:rsidTr="002861A9">
        <w:trPr>
          <w:trHeight w:val="255"/>
        </w:trPr>
        <w:tc>
          <w:tcPr>
            <w:tcW w:w="2160" w:type="dxa"/>
            <w:noWrap/>
            <w:tcMar>
              <w:top w:w="0" w:type="dxa"/>
              <w:bottom w:w="0" w:type="dxa"/>
            </w:tcMar>
            <w:vAlign w:val="center"/>
          </w:tcPr>
          <w:p w:rsidR="00D108B1" w:rsidRPr="002861A9" w:rsidRDefault="00D108B1" w:rsidP="00C80FD8">
            <w:pPr>
              <w:keepNext/>
              <w:spacing w:before="40" w:after="40"/>
              <w:jc w:val="center"/>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172</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180</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182</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177</w:t>
            </w:r>
          </w:p>
        </w:tc>
        <w:tc>
          <w:tcPr>
            <w:tcW w:w="1028"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180</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176</w:t>
            </w:r>
          </w:p>
        </w:tc>
        <w:tc>
          <w:tcPr>
            <w:tcW w:w="1029" w:type="dxa"/>
            <w:noWrap/>
            <w:tcMar>
              <w:top w:w="0" w:type="dxa"/>
              <w:bottom w:w="0" w:type="dxa"/>
            </w:tcMar>
            <w:vAlign w:val="center"/>
          </w:tcPr>
          <w:p w:rsidR="00D108B1" w:rsidRDefault="00D108B1">
            <w:pPr>
              <w:jc w:val="center"/>
              <w:rPr>
                <w:rFonts w:ascii="Arial" w:hAnsi="Arial" w:cs="Arial"/>
                <w:sz w:val="20"/>
                <w:szCs w:val="20"/>
              </w:rPr>
            </w:pPr>
            <w:r>
              <w:rPr>
                <w:rFonts w:ascii="Arial" w:hAnsi="Arial" w:cs="Arial"/>
                <w:sz w:val="20"/>
                <w:szCs w:val="20"/>
              </w:rPr>
              <w:t>166</w:t>
            </w:r>
          </w:p>
        </w:tc>
      </w:tr>
    </w:tbl>
    <w:p w:rsidR="00157AFD" w:rsidRPr="008806B0" w:rsidRDefault="00157AFD" w:rsidP="00157AFD">
      <w:pPr>
        <w:pStyle w:val="AERtableheading-unnumbered"/>
        <w:numPr>
          <w:ilvl w:val="0"/>
          <w:numId w:val="0"/>
        </w:numPr>
        <w:rPr>
          <w:rFonts w:ascii="Arial" w:hAnsi="Arial" w:cs="Arial"/>
          <w:sz w:val="19"/>
          <w:szCs w:val="19"/>
        </w:rPr>
      </w:pPr>
      <w:r w:rsidRPr="008806B0">
        <w:rPr>
          <w:rFonts w:ascii="Arial" w:hAnsi="Arial" w:cs="Arial"/>
          <w:sz w:val="19"/>
          <w:szCs w:val="19"/>
        </w:rPr>
        <w:t>Figure 4.2 (a)</w:t>
      </w:r>
      <w:r w:rsidR="002C0499" w:rsidRPr="008806B0">
        <w:rPr>
          <w:rFonts w:ascii="Arial" w:hAnsi="Arial" w:cs="Arial"/>
          <w:sz w:val="19"/>
          <w:szCs w:val="19"/>
        </w:rPr>
        <w:t>:</w:t>
      </w:r>
      <w:r w:rsidRPr="008806B0">
        <w:rPr>
          <w:rFonts w:ascii="Arial" w:hAnsi="Arial" w:cs="Arial"/>
          <w:sz w:val="19"/>
          <w:szCs w:val="19"/>
        </w:rPr>
        <w:t xml:space="preserve"> Daily hub offers in price bands ($/GJ)     Figure 4.2</w:t>
      </w:r>
      <w:r w:rsidR="00C80FD8" w:rsidRPr="008806B0">
        <w:rPr>
          <w:rFonts w:ascii="Arial" w:hAnsi="Arial" w:cs="Arial"/>
          <w:sz w:val="19"/>
          <w:szCs w:val="19"/>
        </w:rPr>
        <w:t xml:space="preserve"> </w:t>
      </w:r>
      <w:r w:rsidRPr="008806B0">
        <w:rPr>
          <w:rFonts w:ascii="Arial" w:hAnsi="Arial" w:cs="Arial"/>
          <w:sz w:val="19"/>
          <w:szCs w:val="19"/>
        </w:rPr>
        <w:t>(b): Daily hub bids in price bands ($/GJ)</w:t>
      </w:r>
    </w:p>
    <w:p w:rsidR="00B66BAB" w:rsidRPr="00FC426D" w:rsidRDefault="00132E1A" w:rsidP="00B66BAB">
      <w:pPr>
        <w:pStyle w:val="FigheadingA"/>
        <w:numPr>
          <w:ilvl w:val="0"/>
          <w:numId w:val="0"/>
        </w:numPr>
        <w:spacing w:before="120" w:after="0"/>
        <w:ind w:left="1134" w:hanging="1134"/>
        <w:jc w:val="center"/>
      </w:pPr>
      <w:r>
        <w:pict>
          <v:shape id="_x0000_i1038" type="#_x0000_t75" style="width:476.25pt;height:185.25pt">
            <v:imagedata r:id="rId26" o:title=""/>
          </v:shape>
        </w:pict>
      </w:r>
    </w:p>
    <w:p w:rsidR="00B66BAB" w:rsidRPr="007E3D81" w:rsidRDefault="00E52E2A" w:rsidP="00BE18D0">
      <w:pPr>
        <w:pStyle w:val="AERfigureheading"/>
        <w:numPr>
          <w:ilvl w:val="5"/>
          <w:numId w:val="49"/>
        </w:numPr>
        <w:tabs>
          <w:tab w:val="clear" w:pos="1361"/>
          <w:tab w:val="num" w:pos="1260"/>
        </w:tabs>
        <w:rPr>
          <w:rFonts w:ascii="Arial" w:hAnsi="Arial" w:cs="Arial"/>
          <w:sz w:val="20"/>
          <w:szCs w:val="20"/>
        </w:rPr>
      </w:pPr>
      <w:r w:rsidRPr="007E3D81">
        <w:rPr>
          <w:rFonts w:ascii="Arial" w:hAnsi="Arial" w:cs="Arial"/>
          <w:sz w:val="20"/>
          <w:szCs w:val="20"/>
        </w:rPr>
        <w:t>BRI net scheduled and allocated gas volumes (excluding MOS) by STTM facility</w:t>
      </w:r>
    </w:p>
    <w:p w:rsidR="00B66BAB" w:rsidRPr="002E2E46" w:rsidRDefault="00132E1A" w:rsidP="00B66BAB">
      <w:pPr>
        <w:pStyle w:val="BodyText"/>
        <w:spacing w:before="120" w:after="0"/>
        <w:jc w:val="center"/>
      </w:pPr>
      <w:r>
        <w:pict>
          <v:shape id="_x0000_i1039" type="#_x0000_t75" style="width:476.25pt;height:157.5pt">
            <v:imagedata r:id="rId27"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782BE6">
        <w:rPr>
          <w:rFonts w:ascii="Arial" w:hAnsi="Arial" w:cs="Arial"/>
          <w:sz w:val="20"/>
          <w:szCs w:val="20"/>
        </w:rPr>
        <w:t>Figure 4.4 (a)</w:t>
      </w:r>
      <w:r w:rsidR="002C0499" w:rsidRPr="00782BE6">
        <w:rPr>
          <w:rFonts w:ascii="Arial" w:hAnsi="Arial" w:cs="Arial"/>
          <w:sz w:val="20"/>
          <w:szCs w:val="20"/>
        </w:rPr>
        <w:t>:</w:t>
      </w:r>
      <w:r w:rsidRPr="00782BE6">
        <w:rPr>
          <w:rFonts w:ascii="Arial" w:hAnsi="Arial" w:cs="Arial"/>
          <w:sz w:val="20"/>
          <w:szCs w:val="20"/>
        </w:rPr>
        <w:t xml:space="preserve"> BRI </w:t>
      </w:r>
      <w:r w:rsidR="005C68CE" w:rsidRPr="00782BE6">
        <w:rPr>
          <w:rFonts w:ascii="Arial" w:hAnsi="Arial" w:cs="Arial"/>
          <w:sz w:val="20"/>
          <w:szCs w:val="20"/>
        </w:rPr>
        <w:t xml:space="preserve">STTM </w:t>
      </w:r>
      <w:r w:rsidRPr="00782BE6">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2A5634" w:rsidRPr="002E2E46" w:rsidRDefault="00132E1A" w:rsidP="00452149">
      <w:pPr>
        <w:jc w:val="center"/>
      </w:pPr>
      <w:r>
        <w:pict>
          <v:shape id="_x0000_i1040" type="#_x0000_t75" style="width:476.25pt;height:165.75pt">
            <v:imagedata r:id="rId28"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lastRenderedPageBreak/>
        <w:t xml:space="preserve">National Gas Bulletin Board </w:t>
      </w:r>
    </w:p>
    <w:p w:rsidR="00FB7DD0" w:rsidRPr="00F3320F" w:rsidRDefault="00F415E2" w:rsidP="003F51E6">
      <w:pPr>
        <w:pStyle w:val="AERbodytext"/>
        <w:spacing w:before="120" w:after="120"/>
        <w:jc w:val="both"/>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 for each gas market are provided.</w:t>
      </w:r>
      <w:r w:rsidR="005F18AD">
        <w:t xml:space="preserve"> </w:t>
      </w:r>
    </w:p>
    <w:p w:rsidR="005F18AD" w:rsidRPr="00F3320F" w:rsidRDefault="005F18AD" w:rsidP="00750C0F">
      <w:pPr>
        <w:pStyle w:val="AERfigureheading"/>
        <w:tabs>
          <w:tab w:val="clear" w:pos="1361"/>
          <w:tab w:val="num" w:pos="1260"/>
        </w:tabs>
        <w:spacing w:before="120"/>
        <w:ind w:left="1260" w:hanging="1260"/>
        <w:rPr>
          <w:rFonts w:ascii="Arial" w:hAnsi="Arial" w:cs="Arial"/>
          <w:sz w:val="16"/>
          <w:szCs w:val="16"/>
        </w:rPr>
      </w:pPr>
      <w:r w:rsidRPr="00F3320F">
        <w:rPr>
          <w:rFonts w:ascii="Arial" w:hAnsi="Arial" w:cs="Arial"/>
          <w:sz w:val="20"/>
          <w:szCs w:val="20"/>
        </w:rPr>
        <w:t xml:space="preserve">Gas </w:t>
      </w:r>
      <w:r w:rsidR="001B294E" w:rsidRPr="00F3320F">
        <w:rPr>
          <w:rFonts w:ascii="Arial" w:hAnsi="Arial" w:cs="Arial"/>
          <w:sz w:val="20"/>
          <w:szCs w:val="20"/>
        </w:rPr>
        <w:t>market data ($/GJ, TJ); Production, Consumption and Pipeline flows (TJ)</w:t>
      </w:r>
    </w:p>
    <w:bookmarkEnd w:id="0"/>
    <w:bookmarkEnd w:id="1"/>
    <w:p w:rsidR="005A6687" w:rsidRDefault="00132E1A" w:rsidP="003C5272">
      <w:r>
        <w:pict>
          <v:shape id="Picture 1" o:spid="_x0000_i1041" type="#_x0000_t75" style="width:468pt;height:606pt;visibility:visible;mso-wrap-style:square">
            <v:imagedata r:id="rId29"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lastRenderedPageBreak/>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8"/>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2052B6" w:rsidRPr="00E47A81" w:rsidRDefault="002052B6" w:rsidP="002052B6">
      <w:pPr>
        <w:spacing w:before="120" w:after="120"/>
        <w:jc w:val="both"/>
      </w:pPr>
      <w:r w:rsidRPr="00E47A81">
        <w:t xml:space="preserve">Trades on the RBP </w:t>
      </w:r>
      <w:r w:rsidR="004F1CFF" w:rsidRPr="00E47A81">
        <w:t xml:space="preserve">were higher than the previous week, </w:t>
      </w:r>
      <w:r w:rsidRPr="00E47A81">
        <w:t xml:space="preserve">with </w:t>
      </w:r>
      <w:r w:rsidR="000A6152" w:rsidRPr="00E47A81">
        <w:t xml:space="preserve">100 TJ traded </w:t>
      </w:r>
      <w:r w:rsidR="00E47A81" w:rsidRPr="00E47A81">
        <w:t>(</w:t>
      </w:r>
      <w:r w:rsidR="000A6152" w:rsidRPr="00E47A81">
        <w:t>90</w:t>
      </w:r>
      <w:r w:rsidR="00E47A81" w:rsidRPr="00E47A81">
        <w:t xml:space="preserve"> TJ </w:t>
      </w:r>
      <w:r w:rsidR="000A6152" w:rsidRPr="00E47A81">
        <w:t>the week</w:t>
      </w:r>
      <w:r w:rsidR="00E47A81" w:rsidRPr="00E47A81">
        <w:t xml:space="preserve"> before</w:t>
      </w:r>
      <w:r w:rsidR="000A6152" w:rsidRPr="00E47A81">
        <w:t xml:space="preserve">) </w:t>
      </w:r>
      <w:r w:rsidRPr="00E47A81">
        <w:t xml:space="preserve">over </w:t>
      </w:r>
      <w:r w:rsidR="000A6152" w:rsidRPr="00E47A81">
        <w:t xml:space="preserve">20 </w:t>
      </w:r>
      <w:r w:rsidRPr="00E47A81">
        <w:t>trades. The volume weighted price was $2.3</w:t>
      </w:r>
      <w:r w:rsidR="000A6152" w:rsidRPr="00E47A81">
        <w:t>3</w:t>
      </w:r>
      <w:r w:rsidRPr="00E47A81">
        <w:t>/GJ</w:t>
      </w:r>
      <w:r w:rsidR="00E47A81" w:rsidRPr="00E47A81">
        <w:t xml:space="preserve">. </w:t>
      </w:r>
      <w:r w:rsidR="000D708F">
        <w:t>The majority of trades were daily products and 42 TJ of gas was traded through weekly products. U</w:t>
      </w:r>
      <w:r w:rsidR="00E47A81" w:rsidRPr="00E47A81">
        <w:t xml:space="preserve">nlike previous weeks, there were no </w:t>
      </w:r>
      <w:r w:rsidRPr="00E47A81">
        <w:t>intra-day trades.</w:t>
      </w:r>
      <w:r w:rsidR="00CB3756" w:rsidRPr="00E47A81">
        <w:t xml:space="preserve"> </w:t>
      </w:r>
    </w:p>
    <w:p w:rsidR="002052B6" w:rsidRDefault="002052B6" w:rsidP="002052B6">
      <w:pPr>
        <w:pStyle w:val="ListParagraph"/>
        <w:ind w:left="0"/>
        <w:jc w:val="both"/>
        <w:rPr>
          <w:rFonts w:ascii="Times New Roman" w:eastAsia="Times New Roman" w:hAnsi="Times New Roman"/>
          <w:sz w:val="24"/>
          <w:szCs w:val="24"/>
        </w:rPr>
      </w:pPr>
      <w:r w:rsidRPr="00223487">
        <w:rPr>
          <w:rFonts w:ascii="Times New Roman" w:eastAsia="Times New Roman" w:hAnsi="Times New Roman"/>
          <w:sz w:val="24"/>
          <w:szCs w:val="24"/>
        </w:rPr>
        <w:t>Figure</w:t>
      </w:r>
      <w:r>
        <w:rPr>
          <w:rFonts w:ascii="Times New Roman" w:eastAsia="Times New Roman" w:hAnsi="Times New Roman"/>
          <w:sz w:val="24"/>
          <w:szCs w:val="24"/>
        </w:rPr>
        <w:t xml:space="preserve"> 6.1 shows volumes traded</w:t>
      </w:r>
      <w:r>
        <w:rPr>
          <w:rStyle w:val="FootnoteReference"/>
          <w:rFonts w:ascii="Times New Roman" w:eastAsia="Times New Roman" w:hAnsi="Times New Roman"/>
          <w:sz w:val="24"/>
          <w:szCs w:val="24"/>
        </w:rPr>
        <w:footnoteReference w:id="9"/>
      </w:r>
      <w:r>
        <w:rPr>
          <w:rFonts w:ascii="Times New Roman" w:eastAsia="Times New Roman" w:hAnsi="Times New Roman"/>
          <w:sz w:val="24"/>
          <w:szCs w:val="24"/>
        </w:rPr>
        <w:t xml:space="preserve"> on each gas day and trading day from </w:t>
      </w:r>
      <w:r w:rsidR="000A6152" w:rsidRPr="000A6152">
        <w:rPr>
          <w:rFonts w:ascii="Times New Roman" w:eastAsia="Times New Roman" w:hAnsi="Times New Roman"/>
          <w:sz w:val="24"/>
          <w:szCs w:val="24"/>
        </w:rPr>
        <w:t>6</w:t>
      </w:r>
      <w:r w:rsidRPr="000A6152">
        <w:rPr>
          <w:rFonts w:ascii="Times New Roman" w:eastAsia="Times New Roman" w:hAnsi="Times New Roman"/>
          <w:sz w:val="24"/>
          <w:szCs w:val="24"/>
        </w:rPr>
        <w:t xml:space="preserve"> to </w:t>
      </w:r>
      <w:r w:rsidR="000A6152" w:rsidRPr="000A6152">
        <w:rPr>
          <w:rFonts w:ascii="Times New Roman" w:eastAsia="Times New Roman" w:hAnsi="Times New Roman"/>
          <w:sz w:val="24"/>
          <w:szCs w:val="24"/>
        </w:rPr>
        <w:t>12</w:t>
      </w:r>
      <w:r w:rsidRPr="000A6152">
        <w:rPr>
          <w:rFonts w:ascii="Times New Roman" w:eastAsia="Times New Roman" w:hAnsi="Times New Roman"/>
          <w:sz w:val="24"/>
          <w:szCs w:val="24"/>
        </w:rPr>
        <w:t> </w:t>
      </w:r>
      <w:r w:rsidR="000A6152" w:rsidRPr="000A6152">
        <w:rPr>
          <w:rFonts w:ascii="Times New Roman" w:eastAsia="Times New Roman" w:hAnsi="Times New Roman"/>
          <w:sz w:val="24"/>
          <w:szCs w:val="24"/>
        </w:rPr>
        <w:t>July</w:t>
      </w:r>
      <w:r>
        <w:rPr>
          <w:rFonts w:ascii="Times New Roman" w:eastAsia="Times New Roman" w:hAnsi="Times New Roman"/>
          <w:sz w:val="24"/>
          <w:szCs w:val="24"/>
        </w:rPr>
        <w:t xml:space="preserve">. </w:t>
      </w: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132E1A" w:rsidP="002052B6">
      <w:pPr>
        <w:spacing w:before="120" w:after="120"/>
        <w:jc w:val="both"/>
        <w:rPr>
          <w:rFonts w:eastAsia="MS Mincho"/>
          <w:color w:val="FF0000"/>
        </w:rPr>
      </w:pPr>
      <w:r>
        <w:rPr>
          <w:rFonts w:eastAsia="MS Mincho"/>
        </w:rPr>
        <w:pict>
          <v:shape id="_x0000_i1042" type="#_x0000_t75" style="width:475.5pt;height:172.5pt">
            <v:imagedata r:id="rId30"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98F" w:rsidRDefault="0058198F">
      <w:r>
        <w:separator/>
      </w:r>
    </w:p>
  </w:endnote>
  <w:endnote w:type="continuationSeparator" w:id="0">
    <w:p w:rsidR="0058198F" w:rsidRDefault="00581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panose1 w:val="020B07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466FD3">
      <w:rPr>
        <w:noProof/>
      </w:rPr>
      <w:t>10</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98F" w:rsidRDefault="0058198F">
      <w:r>
        <w:separator/>
      </w:r>
    </w:p>
  </w:footnote>
  <w:footnote w:type="continuationSeparator" w:id="0">
    <w:p w:rsidR="0058198F" w:rsidRDefault="0058198F">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3">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4">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5">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6">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7">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Pr="002E7E9E" w:rsidRDefault="00514A82" w:rsidP="00514A82">
      <w:pPr>
        <w:pStyle w:val="FootnoteText"/>
        <w:ind w:firstLine="0"/>
        <w:rPr>
          <w:sz w:val="18"/>
          <w:szCs w:val="18"/>
        </w:rPr>
      </w:pPr>
      <w:r w:rsidRPr="002E7E9E">
        <w:rPr>
          <w:sz w:val="18"/>
          <w:szCs w:val="18"/>
        </w:rPr>
        <w:t>GPG volumes include gas usage that may not show up on Bulletin Board pipeline flows.</w:t>
      </w:r>
    </w:p>
  </w:footnote>
  <w:footnote w:id="8">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9">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SCBRFS001.accc.local\home$\adrae\20140706-20140712 gas weekly report.DOCX"/>
  </w:docVars>
  <w:rsids>
    <w:rsidRoot w:val="005F18AD"/>
    <w:rsid w:val="00000142"/>
    <w:rsid w:val="000013C1"/>
    <w:rsid w:val="00001BFB"/>
    <w:rsid w:val="00002313"/>
    <w:rsid w:val="00010025"/>
    <w:rsid w:val="000123CA"/>
    <w:rsid w:val="00020978"/>
    <w:rsid w:val="0002268D"/>
    <w:rsid w:val="000323BA"/>
    <w:rsid w:val="00033456"/>
    <w:rsid w:val="00040F6B"/>
    <w:rsid w:val="00055584"/>
    <w:rsid w:val="00061656"/>
    <w:rsid w:val="0006609A"/>
    <w:rsid w:val="00073D01"/>
    <w:rsid w:val="00076046"/>
    <w:rsid w:val="000813BF"/>
    <w:rsid w:val="00087698"/>
    <w:rsid w:val="000876E7"/>
    <w:rsid w:val="000974A2"/>
    <w:rsid w:val="00097D40"/>
    <w:rsid w:val="000A6152"/>
    <w:rsid w:val="000B4A1F"/>
    <w:rsid w:val="000B6397"/>
    <w:rsid w:val="000B69E0"/>
    <w:rsid w:val="000D1FEB"/>
    <w:rsid w:val="000D708F"/>
    <w:rsid w:val="000E1F9A"/>
    <w:rsid w:val="000F0BBB"/>
    <w:rsid w:val="000F3B46"/>
    <w:rsid w:val="000F59F8"/>
    <w:rsid w:val="000F5F5E"/>
    <w:rsid w:val="000F6D05"/>
    <w:rsid w:val="00117C98"/>
    <w:rsid w:val="00125818"/>
    <w:rsid w:val="00132E1A"/>
    <w:rsid w:val="001420EB"/>
    <w:rsid w:val="001452B3"/>
    <w:rsid w:val="00150A19"/>
    <w:rsid w:val="00153729"/>
    <w:rsid w:val="00157AFD"/>
    <w:rsid w:val="00171BD5"/>
    <w:rsid w:val="00181F4A"/>
    <w:rsid w:val="00183D85"/>
    <w:rsid w:val="00193ECC"/>
    <w:rsid w:val="001A41B4"/>
    <w:rsid w:val="001A5893"/>
    <w:rsid w:val="001A5B94"/>
    <w:rsid w:val="001A5C1A"/>
    <w:rsid w:val="001A765F"/>
    <w:rsid w:val="001B294E"/>
    <w:rsid w:val="001B2ADA"/>
    <w:rsid w:val="001C006C"/>
    <w:rsid w:val="001C5506"/>
    <w:rsid w:val="001C5A74"/>
    <w:rsid w:val="001E79FF"/>
    <w:rsid w:val="001F0F9B"/>
    <w:rsid w:val="002052B6"/>
    <w:rsid w:val="00206559"/>
    <w:rsid w:val="002168D4"/>
    <w:rsid w:val="002312F5"/>
    <w:rsid w:val="0023238E"/>
    <w:rsid w:val="00233988"/>
    <w:rsid w:val="00234764"/>
    <w:rsid w:val="00252A22"/>
    <w:rsid w:val="00254746"/>
    <w:rsid w:val="0026405D"/>
    <w:rsid w:val="00266CA5"/>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C7AF1"/>
    <w:rsid w:val="002D0C16"/>
    <w:rsid w:val="002D59B3"/>
    <w:rsid w:val="002D5CEC"/>
    <w:rsid w:val="002E0688"/>
    <w:rsid w:val="002E2C96"/>
    <w:rsid w:val="002E2E46"/>
    <w:rsid w:val="002E7E9E"/>
    <w:rsid w:val="002F0AE7"/>
    <w:rsid w:val="002F4250"/>
    <w:rsid w:val="0030240F"/>
    <w:rsid w:val="00311A09"/>
    <w:rsid w:val="00314A8B"/>
    <w:rsid w:val="00322C33"/>
    <w:rsid w:val="00323327"/>
    <w:rsid w:val="003348F7"/>
    <w:rsid w:val="00336E8E"/>
    <w:rsid w:val="003410C4"/>
    <w:rsid w:val="00347FBB"/>
    <w:rsid w:val="003548AA"/>
    <w:rsid w:val="00357C72"/>
    <w:rsid w:val="003632A4"/>
    <w:rsid w:val="003664D0"/>
    <w:rsid w:val="00366BDF"/>
    <w:rsid w:val="00372976"/>
    <w:rsid w:val="00374CF9"/>
    <w:rsid w:val="003800B4"/>
    <w:rsid w:val="00387B66"/>
    <w:rsid w:val="003B0AAD"/>
    <w:rsid w:val="003B65E0"/>
    <w:rsid w:val="003C5272"/>
    <w:rsid w:val="003C5482"/>
    <w:rsid w:val="003E313D"/>
    <w:rsid w:val="003F3391"/>
    <w:rsid w:val="003F44AD"/>
    <w:rsid w:val="003F51E6"/>
    <w:rsid w:val="003F7FD2"/>
    <w:rsid w:val="0040076C"/>
    <w:rsid w:val="004055AC"/>
    <w:rsid w:val="00411C3F"/>
    <w:rsid w:val="00421FFF"/>
    <w:rsid w:val="00433231"/>
    <w:rsid w:val="00434FC1"/>
    <w:rsid w:val="00442EB3"/>
    <w:rsid w:val="00445D38"/>
    <w:rsid w:val="00447C09"/>
    <w:rsid w:val="0045204B"/>
    <w:rsid w:val="00452149"/>
    <w:rsid w:val="00452AAD"/>
    <w:rsid w:val="00460629"/>
    <w:rsid w:val="00463EFA"/>
    <w:rsid w:val="00466FD3"/>
    <w:rsid w:val="004777B8"/>
    <w:rsid w:val="00483EDA"/>
    <w:rsid w:val="00492501"/>
    <w:rsid w:val="00496CEF"/>
    <w:rsid w:val="004A09D6"/>
    <w:rsid w:val="004A10A7"/>
    <w:rsid w:val="004B068E"/>
    <w:rsid w:val="004B18D8"/>
    <w:rsid w:val="004B2256"/>
    <w:rsid w:val="004B2A1A"/>
    <w:rsid w:val="004D09C9"/>
    <w:rsid w:val="004D12BE"/>
    <w:rsid w:val="004D1EBF"/>
    <w:rsid w:val="004D3B99"/>
    <w:rsid w:val="004D3E78"/>
    <w:rsid w:val="004F1CFF"/>
    <w:rsid w:val="004F3D13"/>
    <w:rsid w:val="00502181"/>
    <w:rsid w:val="00505139"/>
    <w:rsid w:val="00514A82"/>
    <w:rsid w:val="005157B0"/>
    <w:rsid w:val="00520BB3"/>
    <w:rsid w:val="00522E00"/>
    <w:rsid w:val="00547827"/>
    <w:rsid w:val="00563C94"/>
    <w:rsid w:val="00564C71"/>
    <w:rsid w:val="0056618C"/>
    <w:rsid w:val="0058198F"/>
    <w:rsid w:val="00582F1C"/>
    <w:rsid w:val="005859CC"/>
    <w:rsid w:val="00587CD1"/>
    <w:rsid w:val="005A1650"/>
    <w:rsid w:val="005A4569"/>
    <w:rsid w:val="005A6687"/>
    <w:rsid w:val="005A77AC"/>
    <w:rsid w:val="005C4B8B"/>
    <w:rsid w:val="005C68CE"/>
    <w:rsid w:val="005D1037"/>
    <w:rsid w:val="005D4097"/>
    <w:rsid w:val="005D6652"/>
    <w:rsid w:val="005E4C48"/>
    <w:rsid w:val="005F18AD"/>
    <w:rsid w:val="005F31D0"/>
    <w:rsid w:val="00601A25"/>
    <w:rsid w:val="00601C18"/>
    <w:rsid w:val="00601E71"/>
    <w:rsid w:val="0060661E"/>
    <w:rsid w:val="00612663"/>
    <w:rsid w:val="00645036"/>
    <w:rsid w:val="00647DD2"/>
    <w:rsid w:val="006520EE"/>
    <w:rsid w:val="00652A42"/>
    <w:rsid w:val="006705A4"/>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1F8"/>
    <w:rsid w:val="007209C0"/>
    <w:rsid w:val="0072650E"/>
    <w:rsid w:val="007306EC"/>
    <w:rsid w:val="00740EE4"/>
    <w:rsid w:val="00750C0F"/>
    <w:rsid w:val="00763150"/>
    <w:rsid w:val="0076429B"/>
    <w:rsid w:val="00767397"/>
    <w:rsid w:val="00773AE0"/>
    <w:rsid w:val="00776BBA"/>
    <w:rsid w:val="00781A4A"/>
    <w:rsid w:val="00782BE6"/>
    <w:rsid w:val="007831D7"/>
    <w:rsid w:val="00791198"/>
    <w:rsid w:val="007941C2"/>
    <w:rsid w:val="00795966"/>
    <w:rsid w:val="007966A5"/>
    <w:rsid w:val="007A12DE"/>
    <w:rsid w:val="007A24B5"/>
    <w:rsid w:val="007A7E7A"/>
    <w:rsid w:val="007B7771"/>
    <w:rsid w:val="007D4B14"/>
    <w:rsid w:val="007D4F53"/>
    <w:rsid w:val="007E3D81"/>
    <w:rsid w:val="007E52F7"/>
    <w:rsid w:val="007E5F68"/>
    <w:rsid w:val="00800402"/>
    <w:rsid w:val="0080456D"/>
    <w:rsid w:val="00811D1C"/>
    <w:rsid w:val="008133CF"/>
    <w:rsid w:val="008170C0"/>
    <w:rsid w:val="008344A6"/>
    <w:rsid w:val="00864CEC"/>
    <w:rsid w:val="00875D0C"/>
    <w:rsid w:val="008776EF"/>
    <w:rsid w:val="008806B0"/>
    <w:rsid w:val="00882958"/>
    <w:rsid w:val="008936C5"/>
    <w:rsid w:val="00895965"/>
    <w:rsid w:val="008A6BAF"/>
    <w:rsid w:val="008A6DB5"/>
    <w:rsid w:val="008B7161"/>
    <w:rsid w:val="008C0EC8"/>
    <w:rsid w:val="008C7F3A"/>
    <w:rsid w:val="008D4DAB"/>
    <w:rsid w:val="008D70A4"/>
    <w:rsid w:val="008E2239"/>
    <w:rsid w:val="008E24DA"/>
    <w:rsid w:val="008F4BF5"/>
    <w:rsid w:val="008F4EAE"/>
    <w:rsid w:val="008F5409"/>
    <w:rsid w:val="00900CEB"/>
    <w:rsid w:val="009136B3"/>
    <w:rsid w:val="009143E0"/>
    <w:rsid w:val="00937543"/>
    <w:rsid w:val="00942622"/>
    <w:rsid w:val="00950C55"/>
    <w:rsid w:val="00951926"/>
    <w:rsid w:val="00956CE9"/>
    <w:rsid w:val="009629B5"/>
    <w:rsid w:val="00976584"/>
    <w:rsid w:val="00987973"/>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B63"/>
    <w:rsid w:val="009F4DF7"/>
    <w:rsid w:val="009F6FA3"/>
    <w:rsid w:val="00A0223D"/>
    <w:rsid w:val="00A10B7E"/>
    <w:rsid w:val="00A13F97"/>
    <w:rsid w:val="00A156EE"/>
    <w:rsid w:val="00A200D0"/>
    <w:rsid w:val="00A26940"/>
    <w:rsid w:val="00A30F8E"/>
    <w:rsid w:val="00A324A8"/>
    <w:rsid w:val="00A349B0"/>
    <w:rsid w:val="00A34F23"/>
    <w:rsid w:val="00A475A2"/>
    <w:rsid w:val="00A51DDD"/>
    <w:rsid w:val="00A55660"/>
    <w:rsid w:val="00A55C96"/>
    <w:rsid w:val="00A642B8"/>
    <w:rsid w:val="00A66FD2"/>
    <w:rsid w:val="00A677D8"/>
    <w:rsid w:val="00A834DF"/>
    <w:rsid w:val="00A936AE"/>
    <w:rsid w:val="00AA1D87"/>
    <w:rsid w:val="00AD3EBD"/>
    <w:rsid w:val="00AE4633"/>
    <w:rsid w:val="00AE748C"/>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43C4"/>
    <w:rsid w:val="00B8698C"/>
    <w:rsid w:val="00BA16E2"/>
    <w:rsid w:val="00BA31C3"/>
    <w:rsid w:val="00BA65E6"/>
    <w:rsid w:val="00BA6C2E"/>
    <w:rsid w:val="00BB2FF6"/>
    <w:rsid w:val="00BB6A83"/>
    <w:rsid w:val="00BC21AB"/>
    <w:rsid w:val="00BC254C"/>
    <w:rsid w:val="00BC4C5B"/>
    <w:rsid w:val="00BC77F9"/>
    <w:rsid w:val="00BD3A40"/>
    <w:rsid w:val="00BD60AA"/>
    <w:rsid w:val="00BE18D0"/>
    <w:rsid w:val="00BE4577"/>
    <w:rsid w:val="00BE4E73"/>
    <w:rsid w:val="00BF1D01"/>
    <w:rsid w:val="00BF3080"/>
    <w:rsid w:val="00BF4F55"/>
    <w:rsid w:val="00C146C3"/>
    <w:rsid w:val="00C21D81"/>
    <w:rsid w:val="00C26B1D"/>
    <w:rsid w:val="00C26E38"/>
    <w:rsid w:val="00C362B8"/>
    <w:rsid w:val="00C41304"/>
    <w:rsid w:val="00C42AE8"/>
    <w:rsid w:val="00C560C2"/>
    <w:rsid w:val="00C60857"/>
    <w:rsid w:val="00C75920"/>
    <w:rsid w:val="00C80FD8"/>
    <w:rsid w:val="00C83657"/>
    <w:rsid w:val="00C859CC"/>
    <w:rsid w:val="00C94431"/>
    <w:rsid w:val="00C948AA"/>
    <w:rsid w:val="00C9498F"/>
    <w:rsid w:val="00CA0EE1"/>
    <w:rsid w:val="00CB0C0E"/>
    <w:rsid w:val="00CB3756"/>
    <w:rsid w:val="00CC300D"/>
    <w:rsid w:val="00CC385B"/>
    <w:rsid w:val="00CC3906"/>
    <w:rsid w:val="00CC4A35"/>
    <w:rsid w:val="00CD3544"/>
    <w:rsid w:val="00CE48FC"/>
    <w:rsid w:val="00CE5DB6"/>
    <w:rsid w:val="00CE75EF"/>
    <w:rsid w:val="00CF32A8"/>
    <w:rsid w:val="00CF53CA"/>
    <w:rsid w:val="00CF5471"/>
    <w:rsid w:val="00D108B1"/>
    <w:rsid w:val="00D10FA6"/>
    <w:rsid w:val="00D161D7"/>
    <w:rsid w:val="00D16FE8"/>
    <w:rsid w:val="00D172DD"/>
    <w:rsid w:val="00D22793"/>
    <w:rsid w:val="00D329E0"/>
    <w:rsid w:val="00D40430"/>
    <w:rsid w:val="00D41D64"/>
    <w:rsid w:val="00D67440"/>
    <w:rsid w:val="00D71951"/>
    <w:rsid w:val="00D76436"/>
    <w:rsid w:val="00D821E7"/>
    <w:rsid w:val="00D84A8C"/>
    <w:rsid w:val="00DA37EC"/>
    <w:rsid w:val="00DA38A8"/>
    <w:rsid w:val="00DA3AAA"/>
    <w:rsid w:val="00DB0182"/>
    <w:rsid w:val="00DB12E4"/>
    <w:rsid w:val="00DB3B79"/>
    <w:rsid w:val="00DC0A52"/>
    <w:rsid w:val="00DC12FF"/>
    <w:rsid w:val="00DC154F"/>
    <w:rsid w:val="00DC158D"/>
    <w:rsid w:val="00DD5ACD"/>
    <w:rsid w:val="00E01475"/>
    <w:rsid w:val="00E032F3"/>
    <w:rsid w:val="00E16C03"/>
    <w:rsid w:val="00E2256B"/>
    <w:rsid w:val="00E23526"/>
    <w:rsid w:val="00E27FEA"/>
    <w:rsid w:val="00E40361"/>
    <w:rsid w:val="00E41452"/>
    <w:rsid w:val="00E47A81"/>
    <w:rsid w:val="00E524B2"/>
    <w:rsid w:val="00E52E2A"/>
    <w:rsid w:val="00E74D68"/>
    <w:rsid w:val="00E7639D"/>
    <w:rsid w:val="00E77449"/>
    <w:rsid w:val="00E86AAA"/>
    <w:rsid w:val="00E92E1D"/>
    <w:rsid w:val="00E93C7C"/>
    <w:rsid w:val="00E94C7D"/>
    <w:rsid w:val="00EA2F65"/>
    <w:rsid w:val="00EA4813"/>
    <w:rsid w:val="00EA6E29"/>
    <w:rsid w:val="00ED5E08"/>
    <w:rsid w:val="00EE2B5F"/>
    <w:rsid w:val="00EE51D2"/>
    <w:rsid w:val="00EE6F2C"/>
    <w:rsid w:val="00EF4E45"/>
    <w:rsid w:val="00EF6B0C"/>
    <w:rsid w:val="00F01843"/>
    <w:rsid w:val="00F02D8D"/>
    <w:rsid w:val="00F16C55"/>
    <w:rsid w:val="00F3320F"/>
    <w:rsid w:val="00F415E2"/>
    <w:rsid w:val="00F427B4"/>
    <w:rsid w:val="00F45735"/>
    <w:rsid w:val="00F50297"/>
    <w:rsid w:val="00F51FA1"/>
    <w:rsid w:val="00F5594F"/>
    <w:rsid w:val="00F55D61"/>
    <w:rsid w:val="00F63042"/>
    <w:rsid w:val="00F67559"/>
    <w:rsid w:val="00F71200"/>
    <w:rsid w:val="00F73DCA"/>
    <w:rsid w:val="00F76C75"/>
    <w:rsid w:val="00F77722"/>
    <w:rsid w:val="00F803DE"/>
    <w:rsid w:val="00F96C04"/>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note text" w:uiPriority="99" w:qFormat="1"/>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qForma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uiPriority w:val="99"/>
    <w:semiHidden/>
    <w:rsid w:val="005F18AD"/>
    <w:rPr>
      <w:vertAlign w:val="superscript"/>
    </w:rPr>
  </w:style>
  <w:style w:type="paragraph" w:styleId="FootnoteText">
    <w:name w:val="footnote text"/>
    <w:basedOn w:val="Normal"/>
    <w:link w:val="FootnoteTextChar"/>
    <w:uiPriority w:val="99"/>
    <w:qFormat/>
    <w:rsid w:val="005F18AD"/>
    <w:pPr>
      <w:ind w:left="340" w:hanging="340"/>
    </w:pPr>
    <w:rPr>
      <w:sz w:val="20"/>
      <w:szCs w:val="20"/>
      <w:lang w:eastAsia="en-US"/>
    </w:rPr>
  </w:style>
  <w:style w:type="character" w:customStyle="1" w:styleId="FootnoteTextChar">
    <w:name w:val="Footnote Text Char"/>
    <w:link w:val="FootnoteText"/>
    <w:uiPriority w:val="99"/>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qFormat/>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er.gov.au/node/18400" TargetMode="External"/><Relationship Id="rId18" Type="http://schemas.openxmlformats.org/officeDocument/2006/relationships/footer" Target="footer1.xml"/><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image" Target="media/image6.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2.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BEFFF7-915C-4046-83BD-E7FD4FB8E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798891D9.dotm</Template>
  <TotalTime>0</TotalTime>
  <Pages>10</Pages>
  <Words>1806</Words>
  <Characters>8531</Characters>
  <Application>Microsoft Office Word</Application>
  <DocSecurity>0</DocSecurity>
  <Lines>71</Lines>
  <Paragraphs>20</Paragraphs>
  <ScaleCrop>false</ScaleCrop>
  <Company/>
  <LinksUpToDate>false</LinksUpToDate>
  <CharactersWithSpaces>10317</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2014-07-28T03:12:00Z</dcterms:created>
  <dcterms:modified xsi:type="dcterms:W3CDTF">2014-07-28T03:12:00Z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8234491</vt:lpwstr>
  </property>
</Properties>
</file>