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31BAF"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037F5F" w:rsidP="00780239">
                  <w:pPr>
                    <w:pStyle w:val="Title"/>
                    <w:jc w:val="left"/>
                    <w:rPr>
                      <w:i/>
                    </w:rPr>
                  </w:pPr>
                  <w:r>
                    <w:t>2</w:t>
                  </w:r>
                  <w:r w:rsidR="004D351F">
                    <w:t>9 June</w:t>
                  </w:r>
                  <w:r w:rsidR="0022337C">
                    <w:t xml:space="preserve"> to </w:t>
                  </w:r>
                  <w:r w:rsidR="004D351F">
                    <w:t>5</w:t>
                  </w:r>
                  <w:r w:rsidR="005270A6" w:rsidRPr="005270A6">
                    <w:t xml:space="preserve"> Ju</w:t>
                  </w:r>
                  <w:r w:rsidR="004D351F">
                    <w:t>ly</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3E1F4F" w:rsidRPr="001D5395" w:rsidRDefault="003E1F4F" w:rsidP="003E1F4F">
      <w:pPr>
        <w:pStyle w:val="Heading2"/>
        <w:rPr>
          <w:color w:val="auto"/>
        </w:rPr>
      </w:pPr>
      <w:r w:rsidRPr="001D5395">
        <w:rPr>
          <w:color w:val="auto"/>
        </w:rPr>
        <w:t>Weekly Spotlight</w:t>
      </w:r>
    </w:p>
    <w:p w:rsidR="001D7F97" w:rsidRPr="001D5395" w:rsidRDefault="001D5395" w:rsidP="00A54EB1">
      <w:pPr>
        <w:rPr>
          <w:lang w:eastAsia="en-US"/>
        </w:rPr>
      </w:pPr>
      <w:r w:rsidRPr="001D5395">
        <w:rPr>
          <w:lang w:eastAsia="en-US"/>
        </w:rPr>
        <w:t>From 1 July, the market price cap increased from $13 100/MWh to $13 500/MWh in line with CPI.</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AA49D6">
        <w:t>29 June</w:t>
      </w:r>
      <w:r w:rsidR="00BB0611" w:rsidRPr="005270A6">
        <w:t xml:space="preserve"> </w:t>
      </w:r>
      <w:r w:rsidR="00780239" w:rsidRPr="005270A6">
        <w:t xml:space="preserve">to </w:t>
      </w:r>
      <w:r w:rsidR="00AA49D6">
        <w:t>5</w:t>
      </w:r>
      <w:r w:rsidR="00BB0611" w:rsidRPr="005270A6">
        <w:t xml:space="preserve"> </w:t>
      </w:r>
      <w:r w:rsidR="005270A6" w:rsidRPr="005270A6">
        <w:t>Ju</w:t>
      </w:r>
      <w:r w:rsidR="00AA49D6">
        <w:t>ly</w:t>
      </w:r>
      <w:r w:rsidRPr="005270A6">
        <w:t xml:space="preserve"> 2014.</w:t>
      </w:r>
      <w:r w:rsidR="00827053" w:rsidRPr="005270A6">
        <w:t xml:space="preserve"> </w:t>
      </w:r>
      <w:r w:rsidR="006B490B">
        <w:t>The spot price</w:t>
      </w:r>
      <w:r w:rsidR="00B65B17">
        <w:t xml:space="preserve"> reached $1966/MWh in South Australia on 1 July.</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D31BAF"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 style="width:451pt;height:226.2pt;mso-position-vertical:absolute">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2575E0"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9967ED" w:rsidRDefault="00965EA9" w:rsidP="00965EA9">
      <w:pPr>
        <w:pStyle w:val="AERtabletitle"/>
      </w:pPr>
      <w:r w:rsidRPr="009967ED">
        <w:t xml:space="preserve">Table 1: </w:t>
      </w:r>
      <w:r w:rsidR="008B0A6A" w:rsidRPr="009967ED">
        <w:t xml:space="preserve">Volume weighted </w:t>
      </w:r>
      <w:r w:rsidRPr="009967ED">
        <w:t>average spot price</w:t>
      </w:r>
      <w:r w:rsidR="00525D52" w:rsidRPr="009967ED">
        <w:t>s</w:t>
      </w:r>
      <w:r w:rsidRPr="009967ED">
        <w:t xml:space="preserve"> by region</w:t>
      </w:r>
      <w:r w:rsidR="008B0A6A" w:rsidRPr="009967ED">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9967ED" w:rsidRPr="009340BA" w:rsidTr="00B045D2">
        <w:trPr>
          <w:trHeight w:hRule="exact" w:val="340"/>
        </w:trPr>
        <w:tc>
          <w:tcPr>
            <w:tcW w:w="1357" w:type="pct"/>
            <w:tcBorders>
              <w:top w:val="nil"/>
              <w:left w:val="nil"/>
              <w:bottom w:val="nil"/>
              <w:right w:val="nil"/>
            </w:tcBorders>
            <w:shd w:val="clear" w:color="000000" w:fill="DDD9C3"/>
            <w:noWrap/>
            <w:vAlign w:val="center"/>
            <w:hideMark/>
          </w:tcPr>
          <w:p w:rsidR="009967ED" w:rsidRPr="009340BA" w:rsidRDefault="009967ED"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35</w:t>
            </w:r>
          </w:p>
        </w:tc>
        <w:tc>
          <w:tcPr>
            <w:tcW w:w="781" w:type="pct"/>
            <w:tcBorders>
              <w:top w:val="nil"/>
              <w:left w:val="nil"/>
              <w:bottom w:val="nil"/>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53</w:t>
            </w:r>
          </w:p>
        </w:tc>
        <w:tc>
          <w:tcPr>
            <w:tcW w:w="781" w:type="pct"/>
            <w:tcBorders>
              <w:top w:val="nil"/>
              <w:left w:val="nil"/>
              <w:bottom w:val="nil"/>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48</w:t>
            </w:r>
          </w:p>
        </w:tc>
        <w:tc>
          <w:tcPr>
            <w:tcW w:w="781" w:type="pct"/>
            <w:tcBorders>
              <w:top w:val="nil"/>
              <w:left w:val="nil"/>
              <w:bottom w:val="nil"/>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60</w:t>
            </w:r>
          </w:p>
        </w:tc>
        <w:tc>
          <w:tcPr>
            <w:tcW w:w="781" w:type="pct"/>
            <w:tcBorders>
              <w:top w:val="nil"/>
              <w:left w:val="nil"/>
              <w:bottom w:val="nil"/>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35</w:t>
            </w:r>
          </w:p>
        </w:tc>
      </w:tr>
      <w:tr w:rsidR="009967ED" w:rsidRPr="009340BA" w:rsidTr="00B045D2">
        <w:trPr>
          <w:trHeight w:hRule="exact" w:val="340"/>
        </w:trPr>
        <w:tc>
          <w:tcPr>
            <w:tcW w:w="1357" w:type="pct"/>
            <w:tcBorders>
              <w:top w:val="nil"/>
              <w:left w:val="nil"/>
              <w:bottom w:val="nil"/>
              <w:right w:val="nil"/>
            </w:tcBorders>
            <w:shd w:val="clear" w:color="000000" w:fill="EEECE1"/>
            <w:noWrap/>
            <w:vAlign w:val="center"/>
            <w:hideMark/>
          </w:tcPr>
          <w:p w:rsidR="009967ED" w:rsidRPr="009340BA" w:rsidRDefault="009967ED"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9967ED" w:rsidRDefault="009967ED" w:rsidP="00B045D2">
            <w:pPr>
              <w:spacing w:line="240" w:lineRule="auto"/>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9967ED" w:rsidRDefault="009967ED" w:rsidP="00B045D2">
            <w:pPr>
              <w:spacing w:line="240" w:lineRule="auto"/>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9967ED" w:rsidRDefault="009967ED" w:rsidP="00B045D2">
            <w:pPr>
              <w:spacing w:line="240" w:lineRule="auto"/>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9967ED" w:rsidRDefault="009967ED" w:rsidP="00B045D2">
            <w:pPr>
              <w:spacing w:line="240" w:lineRule="auto"/>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9967ED" w:rsidRDefault="009967ED" w:rsidP="00B045D2">
            <w:pPr>
              <w:spacing w:line="240" w:lineRule="auto"/>
              <w:jc w:val="center"/>
              <w:rPr>
                <w:rFonts w:cs="Gautami"/>
                <w:sz w:val="16"/>
                <w:szCs w:val="16"/>
              </w:rPr>
            </w:pPr>
            <w:r>
              <w:rPr>
                <w:rFonts w:cs="Gautami"/>
                <w:sz w:val="16"/>
                <w:szCs w:val="16"/>
              </w:rPr>
              <w:t>49</w:t>
            </w:r>
          </w:p>
        </w:tc>
      </w:tr>
      <w:tr w:rsidR="009967ED" w:rsidRPr="009340BA" w:rsidTr="00B045D2">
        <w:trPr>
          <w:trHeight w:hRule="exact" w:val="340"/>
        </w:trPr>
        <w:tc>
          <w:tcPr>
            <w:tcW w:w="1357" w:type="pct"/>
            <w:tcBorders>
              <w:top w:val="nil"/>
              <w:left w:val="nil"/>
              <w:bottom w:val="single" w:sz="8" w:space="0" w:color="auto"/>
              <w:right w:val="nil"/>
            </w:tcBorders>
            <w:shd w:val="clear" w:color="000000" w:fill="DDD9C3"/>
            <w:noWrap/>
            <w:vAlign w:val="center"/>
            <w:hideMark/>
          </w:tcPr>
          <w:p w:rsidR="009967ED" w:rsidRPr="009340BA" w:rsidRDefault="009967ED" w:rsidP="00B65B17">
            <w:pPr>
              <w:spacing w:line="240" w:lineRule="auto"/>
              <w:jc w:val="left"/>
              <w:rPr>
                <w:rFonts w:cs="Gautami"/>
                <w:b/>
                <w:bCs/>
                <w:sz w:val="16"/>
                <w:szCs w:val="16"/>
              </w:rPr>
            </w:pPr>
            <w:r w:rsidRPr="009340BA">
              <w:rPr>
                <w:rFonts w:cs="Gautami"/>
                <w:b/>
                <w:bCs/>
                <w:sz w:val="16"/>
                <w:szCs w:val="16"/>
              </w:rPr>
              <w:t xml:space="preserve">13-14 financial </w:t>
            </w:r>
          </w:p>
        </w:tc>
        <w:tc>
          <w:tcPr>
            <w:tcW w:w="518" w:type="pct"/>
            <w:tcBorders>
              <w:top w:val="nil"/>
              <w:left w:val="nil"/>
              <w:bottom w:val="single" w:sz="8" w:space="0" w:color="auto"/>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61</w:t>
            </w:r>
          </w:p>
        </w:tc>
        <w:tc>
          <w:tcPr>
            <w:tcW w:w="781" w:type="pct"/>
            <w:tcBorders>
              <w:top w:val="nil"/>
              <w:left w:val="nil"/>
              <w:bottom w:val="single" w:sz="8" w:space="0" w:color="auto"/>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53</w:t>
            </w:r>
          </w:p>
        </w:tc>
        <w:tc>
          <w:tcPr>
            <w:tcW w:w="781" w:type="pct"/>
            <w:tcBorders>
              <w:top w:val="nil"/>
              <w:left w:val="nil"/>
              <w:bottom w:val="single" w:sz="8" w:space="0" w:color="auto"/>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68</w:t>
            </w:r>
          </w:p>
        </w:tc>
        <w:tc>
          <w:tcPr>
            <w:tcW w:w="781" w:type="pct"/>
            <w:tcBorders>
              <w:top w:val="nil"/>
              <w:left w:val="nil"/>
              <w:bottom w:val="single" w:sz="8" w:space="0" w:color="auto"/>
              <w:right w:val="nil"/>
            </w:tcBorders>
            <w:shd w:val="clear" w:color="000000" w:fill="DDD9C3"/>
            <w:noWrap/>
            <w:vAlign w:val="center"/>
            <w:hideMark/>
          </w:tcPr>
          <w:p w:rsidR="009967ED" w:rsidRDefault="009967ED" w:rsidP="00B045D2">
            <w:pPr>
              <w:spacing w:line="240" w:lineRule="auto"/>
              <w:jc w:val="center"/>
              <w:rPr>
                <w:rFonts w:cs="Gautami"/>
                <w:sz w:val="16"/>
                <w:szCs w:val="16"/>
              </w:rPr>
            </w:pPr>
            <w:r>
              <w:rPr>
                <w:rFonts w:cs="Gautami"/>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D41741">
        <w:t>80</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D41741" w:rsidRPr="00711C86" w:rsidTr="00807A90">
        <w:trPr>
          <w:trHeight w:hRule="exact" w:val="369"/>
        </w:trPr>
        <w:tc>
          <w:tcPr>
            <w:tcW w:w="3636" w:type="dxa"/>
            <w:tcBorders>
              <w:top w:val="nil"/>
              <w:left w:val="nil"/>
              <w:bottom w:val="nil"/>
              <w:right w:val="nil"/>
            </w:tcBorders>
            <w:shd w:val="clear" w:color="000000" w:fill="DDD9C3"/>
            <w:noWrap/>
            <w:vAlign w:val="center"/>
            <w:hideMark/>
          </w:tcPr>
          <w:p w:rsidR="00D41741" w:rsidRPr="00EB690D" w:rsidRDefault="00D41741" w:rsidP="00EB690D">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D41741" w:rsidRPr="006804E6" w:rsidRDefault="00D41741">
            <w:pPr>
              <w:jc w:val="center"/>
              <w:rPr>
                <w:rFonts w:cs="Gautami"/>
                <w:sz w:val="16"/>
                <w:szCs w:val="16"/>
              </w:rPr>
            </w:pPr>
            <w:r w:rsidRPr="006804E6">
              <w:rPr>
                <w:rFonts w:cs="Gautami"/>
                <w:sz w:val="16"/>
                <w:szCs w:val="16"/>
              </w:rPr>
              <w:t>13</w:t>
            </w:r>
          </w:p>
        </w:tc>
        <w:tc>
          <w:tcPr>
            <w:tcW w:w="1436" w:type="dxa"/>
            <w:tcBorders>
              <w:top w:val="nil"/>
              <w:left w:val="nil"/>
              <w:bottom w:val="nil"/>
              <w:right w:val="nil"/>
            </w:tcBorders>
            <w:shd w:val="clear" w:color="000000" w:fill="DDD9C3"/>
            <w:noWrap/>
            <w:vAlign w:val="center"/>
            <w:hideMark/>
          </w:tcPr>
          <w:p w:rsidR="00D41741" w:rsidRPr="006804E6" w:rsidRDefault="00D41741">
            <w:pPr>
              <w:jc w:val="center"/>
              <w:rPr>
                <w:rFonts w:cs="Gautami"/>
                <w:sz w:val="16"/>
                <w:szCs w:val="16"/>
              </w:rPr>
            </w:pPr>
            <w:r w:rsidRPr="006804E6">
              <w:rPr>
                <w:rFonts w:cs="Gautami"/>
                <w:sz w:val="16"/>
                <w:szCs w:val="16"/>
              </w:rPr>
              <w:t>34</w:t>
            </w:r>
          </w:p>
        </w:tc>
        <w:tc>
          <w:tcPr>
            <w:tcW w:w="1297" w:type="dxa"/>
            <w:tcBorders>
              <w:top w:val="nil"/>
              <w:left w:val="nil"/>
              <w:bottom w:val="nil"/>
              <w:right w:val="nil"/>
            </w:tcBorders>
            <w:shd w:val="clear" w:color="000000" w:fill="DDD9C3"/>
            <w:noWrap/>
            <w:vAlign w:val="center"/>
            <w:hideMark/>
          </w:tcPr>
          <w:p w:rsidR="00D41741" w:rsidRPr="006804E6" w:rsidRDefault="00D41741">
            <w:pPr>
              <w:jc w:val="center"/>
              <w:rPr>
                <w:rFonts w:cs="Gautami"/>
                <w:sz w:val="16"/>
                <w:szCs w:val="16"/>
              </w:rPr>
            </w:pPr>
            <w:r w:rsidRPr="006804E6">
              <w:rPr>
                <w:rFonts w:cs="Gautami"/>
                <w:sz w:val="16"/>
                <w:szCs w:val="16"/>
              </w:rPr>
              <w:t>0</w:t>
            </w:r>
          </w:p>
        </w:tc>
        <w:tc>
          <w:tcPr>
            <w:tcW w:w="1503" w:type="dxa"/>
            <w:tcBorders>
              <w:top w:val="nil"/>
              <w:left w:val="nil"/>
              <w:bottom w:val="nil"/>
              <w:right w:val="nil"/>
            </w:tcBorders>
            <w:shd w:val="clear" w:color="000000" w:fill="DDD9C3"/>
            <w:vAlign w:val="center"/>
            <w:hideMark/>
          </w:tcPr>
          <w:p w:rsidR="00D41741" w:rsidRPr="006804E6" w:rsidRDefault="00D41741">
            <w:pPr>
              <w:jc w:val="center"/>
              <w:rPr>
                <w:rFonts w:cs="Gautami"/>
                <w:sz w:val="16"/>
                <w:szCs w:val="16"/>
              </w:rPr>
            </w:pPr>
            <w:r w:rsidRPr="006804E6">
              <w:rPr>
                <w:rFonts w:cs="Gautami"/>
                <w:sz w:val="16"/>
                <w:szCs w:val="16"/>
              </w:rPr>
              <w:t>3</w:t>
            </w:r>
          </w:p>
        </w:tc>
      </w:tr>
      <w:tr w:rsidR="00D41741" w:rsidRPr="00711C86" w:rsidTr="00807A90">
        <w:trPr>
          <w:trHeight w:hRule="exact" w:val="369"/>
        </w:trPr>
        <w:tc>
          <w:tcPr>
            <w:tcW w:w="3636" w:type="dxa"/>
            <w:tcBorders>
              <w:top w:val="nil"/>
              <w:left w:val="nil"/>
              <w:bottom w:val="single" w:sz="8" w:space="0" w:color="auto"/>
              <w:right w:val="nil"/>
            </w:tcBorders>
            <w:shd w:val="clear" w:color="000000" w:fill="EEECE1"/>
            <w:noWrap/>
            <w:vAlign w:val="center"/>
            <w:hideMark/>
          </w:tcPr>
          <w:p w:rsidR="00D41741" w:rsidRPr="00EB690D" w:rsidRDefault="00D41741" w:rsidP="00EB690D">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D41741" w:rsidRPr="006804E6" w:rsidRDefault="00D41741">
            <w:pPr>
              <w:jc w:val="center"/>
              <w:rPr>
                <w:rFonts w:cs="Gautami"/>
                <w:sz w:val="16"/>
                <w:szCs w:val="16"/>
              </w:rPr>
            </w:pPr>
            <w:r w:rsidRPr="006804E6">
              <w:rPr>
                <w:rFonts w:cs="Gautami"/>
                <w:sz w:val="16"/>
                <w:szCs w:val="16"/>
              </w:rPr>
              <w:t>12</w:t>
            </w:r>
          </w:p>
        </w:tc>
        <w:tc>
          <w:tcPr>
            <w:tcW w:w="1436" w:type="dxa"/>
            <w:tcBorders>
              <w:top w:val="nil"/>
              <w:left w:val="nil"/>
              <w:bottom w:val="single" w:sz="8" w:space="0" w:color="auto"/>
              <w:right w:val="nil"/>
            </w:tcBorders>
            <w:shd w:val="clear" w:color="000000" w:fill="EEECE1"/>
            <w:noWrap/>
            <w:vAlign w:val="center"/>
            <w:hideMark/>
          </w:tcPr>
          <w:p w:rsidR="00D41741" w:rsidRPr="006804E6" w:rsidRDefault="00D41741">
            <w:pPr>
              <w:jc w:val="center"/>
              <w:rPr>
                <w:rFonts w:cs="Gautami"/>
                <w:sz w:val="16"/>
                <w:szCs w:val="16"/>
              </w:rPr>
            </w:pPr>
            <w:r w:rsidRPr="006804E6">
              <w:rPr>
                <w:rFonts w:cs="Gautami"/>
                <w:sz w:val="16"/>
                <w:szCs w:val="16"/>
              </w:rPr>
              <w:t>27</w:t>
            </w:r>
          </w:p>
        </w:tc>
        <w:tc>
          <w:tcPr>
            <w:tcW w:w="1297" w:type="dxa"/>
            <w:tcBorders>
              <w:top w:val="nil"/>
              <w:left w:val="nil"/>
              <w:bottom w:val="single" w:sz="8" w:space="0" w:color="auto"/>
              <w:right w:val="nil"/>
            </w:tcBorders>
            <w:shd w:val="clear" w:color="000000" w:fill="EEECE1"/>
            <w:noWrap/>
            <w:vAlign w:val="center"/>
            <w:hideMark/>
          </w:tcPr>
          <w:p w:rsidR="00D41741" w:rsidRPr="006804E6" w:rsidRDefault="00D41741">
            <w:pPr>
              <w:jc w:val="center"/>
              <w:rPr>
                <w:rFonts w:cs="Gautami"/>
                <w:sz w:val="16"/>
                <w:szCs w:val="16"/>
              </w:rPr>
            </w:pPr>
            <w:r w:rsidRPr="006804E6">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D41741" w:rsidRPr="006804E6" w:rsidRDefault="00D41741">
            <w:pPr>
              <w:jc w:val="center"/>
              <w:rPr>
                <w:rFonts w:cs="Gautami"/>
                <w:sz w:val="16"/>
                <w:szCs w:val="16"/>
              </w:rPr>
            </w:pPr>
            <w:r w:rsidRPr="006804E6">
              <w:rPr>
                <w:rFonts w:cs="Gautami"/>
                <w:sz w:val="16"/>
                <w:szCs w:val="16"/>
              </w:rPr>
              <w:t>11</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D31BAF" w:rsidP="002652CD">
      <w:pPr>
        <w:pStyle w:val="AERbodytext"/>
      </w:pPr>
      <w:r>
        <w:rPr>
          <w:noProof/>
          <w:lang w:eastAsia="en-AU"/>
        </w:rPr>
        <w:pict>
          <v:oval id="_x0000_s1043" style="position:absolute;left:0;text-align:left;margin-left:152.85pt;margin-top:115pt;width:292.75pt;height:63.2pt;z-index:251659264" filled="f" strokecolor="red" strokeweight="1.5pt"/>
        </w:pict>
      </w:r>
      <w:r w:rsidR="002575E0">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style="width:451pt;height:324pt">
            <v:imagedata r:id="rId12" o:title=""/>
          </v:shape>
        </w:pict>
      </w:r>
    </w:p>
    <w:p w:rsidR="001D5395" w:rsidRPr="002D23B9" w:rsidRDefault="001D5395" w:rsidP="001D5395">
      <w:pPr>
        <w:pStyle w:val="AERbodytext"/>
      </w:pPr>
      <w:r>
        <w:t>A change in CS Energy’s offer profile saw an increase of around 900 MW in energy offers priced just below $0/MWh from 1 July 2014, contributing to lower prices in the Queensland region this week.</w:t>
      </w:r>
    </w:p>
    <w:p w:rsidR="001D5395" w:rsidRDefault="001D5395" w:rsidP="002652CD">
      <w:pPr>
        <w:pStyle w:val="AERbodytext"/>
      </w:pPr>
    </w:p>
    <w:p w:rsidR="00F4461C" w:rsidRPr="005270A6" w:rsidRDefault="00F4461C" w:rsidP="00F4461C">
      <w:pPr>
        <w:pStyle w:val="Figureheading"/>
        <w:numPr>
          <w:ilvl w:val="0"/>
          <w:numId w:val="0"/>
        </w:numPr>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2575E0" w:rsidP="002652CD">
      <w:pPr>
        <w:pStyle w:val="AERbodytext"/>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style="width:451pt;height:324.7pt">
            <v:imagedata r:id="rId13"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2575E0" w:rsidP="00785F23">
      <w:pPr>
        <w:pStyle w:val="AERbodytext"/>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style="width:451pt;height:324.7pt">
            <v:imagedata r:id="rId14" o:title=""/>
          </v:shape>
        </w:pict>
      </w:r>
    </w:p>
    <w:p w:rsidR="00C52BE5" w:rsidRPr="006768AE" w:rsidRDefault="00780239" w:rsidP="00C52BE5">
      <w:pPr>
        <w:pStyle w:val="Figureheading"/>
        <w:numPr>
          <w:ilvl w:val="0"/>
          <w:numId w:val="0"/>
        </w:numPr>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Default="002575E0"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style="width:451pt;height:324pt">
            <v:imagedata r:id="rId15" o:title=""/>
          </v:shape>
        </w:pict>
      </w:r>
    </w:p>
    <w:p w:rsidR="00F61D9E" w:rsidRPr="002D23B9" w:rsidRDefault="00F61D9E" w:rsidP="002652CD">
      <w:pPr>
        <w:pStyle w:val="AERbodytext"/>
      </w:pPr>
      <w:r w:rsidRPr="00F61D9E">
        <w:t>On 3 July wind generation in South Australia reached a new record of 1339 MW at 9.30 pm</w:t>
      </w:r>
      <w:r>
        <w:t>.</w: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2575E0" w:rsidP="002652CD">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style="width:451pt;height:324pt">
            <v:imagedata r:id="rId16" o:title=""/>
          </v:shape>
        </w:pic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D41741">
        <w:t>710</w:t>
      </w:r>
      <w:r w:rsidR="00827053" w:rsidRPr="006768AE">
        <w:t> </w:t>
      </w:r>
      <w:r w:rsidR="008979B1" w:rsidRPr="006768AE">
        <w:t>0</w:t>
      </w:r>
      <w:r w:rsidR="0027186D" w:rsidRPr="006768AE">
        <w:t>00</w:t>
      </w:r>
      <w:r w:rsidRPr="006768AE">
        <w:t xml:space="preserve"> or less than 1 per cent of energy turnover on the mainland.</w:t>
      </w:r>
      <w:r w:rsidR="003422CF" w:rsidRPr="006768AE">
        <w:t xml:space="preserve"> </w:t>
      </w:r>
    </w:p>
    <w:p w:rsidR="005E4D3C" w:rsidRDefault="005E4D3C" w:rsidP="005E4D3C">
      <w:pPr>
        <w:pStyle w:val="AERbodytext"/>
      </w:pPr>
      <w:r w:rsidRPr="006768AE">
        <w:t>The total cost of FCAS in Tasmania for the week was $</w:t>
      </w:r>
      <w:r w:rsidR="00D41741">
        <w:t>35</w:t>
      </w:r>
      <w:r w:rsidR="00F30A4B">
        <w:t> </w:t>
      </w:r>
      <w:r w:rsidR="00D41741">
        <w:t>0</w:t>
      </w:r>
      <w:r w:rsidR="008979B1" w:rsidRPr="006768AE">
        <w:t xml:space="preserve">00 </w:t>
      </w:r>
      <w:r w:rsidR="00F30A4B">
        <w:t xml:space="preserve">or </w:t>
      </w:r>
      <w:r w:rsidR="00D41741">
        <w:t>less than 1</w:t>
      </w:r>
      <w:r w:rsidRPr="006768AE">
        <w:t xml:space="preserve"> per cent of energy turnover in Tasmania.</w:t>
      </w:r>
    </w:p>
    <w:p w:rsidR="00265626" w:rsidRPr="006768AE" w:rsidRDefault="000200F0" w:rsidP="005E4D3C">
      <w:pPr>
        <w:pStyle w:val="AERbodytext"/>
      </w:pPr>
      <w:r>
        <w:t xml:space="preserve">A number of days saw high FCAS prices in Queensland from 1 July due to a planned outage on </w:t>
      </w:r>
      <w:r w:rsidR="00B65B17">
        <w:t xml:space="preserve">one of the </w:t>
      </w:r>
      <w:r>
        <w:t xml:space="preserve">Dumaresq to Bulli Creek and Bulli Creek to </w:t>
      </w:r>
      <w:proofErr w:type="spellStart"/>
      <w:r>
        <w:t>Braemar</w:t>
      </w:r>
      <w:proofErr w:type="spellEnd"/>
      <w:r>
        <w:t xml:space="preserve"> 330 kV lines. </w:t>
      </w:r>
      <w:r w:rsidR="00914C46">
        <w:t xml:space="preserve">QNI exports to New South Wales were reduced to </w:t>
      </w:r>
      <w:r>
        <w:t xml:space="preserve">ensure sufficient FCAS availability </w:t>
      </w:r>
      <w:r w:rsidR="00914C46">
        <w:t xml:space="preserve">in Queensland </w:t>
      </w:r>
      <w:r>
        <w:t xml:space="preserve">in the event of a loss on the remaining Dumaresq to Bulli Creek to </w:t>
      </w:r>
      <w:proofErr w:type="spellStart"/>
      <w:r>
        <w:t>Braemar</w:t>
      </w:r>
      <w:proofErr w:type="spellEnd"/>
      <w:r>
        <w:t xml:space="preserve"> 330kV lines</w:t>
      </w:r>
      <w:r w:rsidR="00914C46">
        <w:t>. This would isolate Queensland from the rest of the market as the Terranora interconnector is still out of service</w:t>
      </w:r>
      <w:r w:rsidR="00B65B17">
        <w:t>.</w:t>
      </w:r>
      <w:r w:rsidR="006804E6">
        <w:t xml:space="preserve"> </w:t>
      </w:r>
      <w:r w:rsidR="00914C46">
        <w:t>This resulted in Lower services in Queensland reaching prices of up to $1001/MW on 5 July.</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2575E0"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style="width:451pt;height:227.55pt">
            <v:imagedata r:id="rId17" o:title=""/>
          </v:shape>
        </w:pict>
      </w:r>
    </w:p>
    <w:bookmarkEnd w:id="0"/>
    <w:bookmarkEnd w:id="1"/>
    <w:bookmarkEnd w:id="2"/>
    <w:bookmarkEnd w:id="3"/>
    <w:bookmarkEnd w:id="4"/>
    <w:bookmarkEnd w:id="5"/>
    <w:p w:rsidR="00F04B0E" w:rsidRPr="009121A1" w:rsidRDefault="00F04B0E" w:rsidP="00F04B0E">
      <w:pPr>
        <w:pStyle w:val="Heading2"/>
        <w:rPr>
          <w:color w:val="auto"/>
        </w:rPr>
      </w:pPr>
      <w:r>
        <w:rPr>
          <w:color w:val="auto"/>
        </w:rPr>
        <w:br w:type="page"/>
      </w:r>
      <w:r w:rsidRPr="009121A1">
        <w:rPr>
          <w:color w:val="auto"/>
        </w:rPr>
        <w:lastRenderedPageBreak/>
        <w:t>Detailed market analysis of significant price events</w:t>
      </w:r>
    </w:p>
    <w:p w:rsidR="00F04B0E" w:rsidRDefault="00F04B0E" w:rsidP="00F04B0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F04B0E" w:rsidRDefault="00F04B0E" w:rsidP="00F04B0E">
      <w:pPr>
        <w:pStyle w:val="AERbodytext"/>
      </w:pPr>
      <w:r>
        <w:t>There were</w:t>
      </w:r>
      <w:r w:rsidRPr="009121A1">
        <w:t xml:space="preserve"> </w:t>
      </w:r>
      <w:r>
        <w:t>six</w:t>
      </w:r>
      <w:r w:rsidRPr="009121A1">
        <w:t xml:space="preserve"> occasion</w:t>
      </w:r>
      <w:r>
        <w:t>s</w:t>
      </w:r>
      <w:r w:rsidRPr="009121A1">
        <w:t xml:space="preserve"> where the spot price in </w:t>
      </w:r>
      <w:r>
        <w:t>Queensland</w:t>
      </w:r>
      <w:r w:rsidRPr="009121A1">
        <w:t xml:space="preserve"> was </w:t>
      </w:r>
      <w:r>
        <w:t xml:space="preserve">below </w:t>
      </w:r>
      <w:r>
        <w:noBreakHyphen/>
        <w:t>$100/MWh and one occasion where the spot price in South Australia was greater than three times the South Australia weekly average price of $60/MWh and above $250/MWh.</w:t>
      </w:r>
    </w:p>
    <w:p w:rsidR="00DC7CD4" w:rsidRPr="00E77E9F" w:rsidRDefault="00DC7CD4" w:rsidP="00DC7CD4">
      <w:pPr>
        <w:pStyle w:val="AERtabletitle"/>
      </w:pPr>
      <w:r w:rsidRPr="00E77E9F">
        <w:t xml:space="preserve">Table 3: </w:t>
      </w:r>
      <w:r>
        <w:t>Queensland</w:t>
      </w:r>
      <w:r w:rsidRPr="00E77E9F">
        <w:t xml:space="preserve">, </w:t>
      </w:r>
      <w:r>
        <w:t>Saturday 5</w:t>
      </w:r>
      <w:r w:rsidRPr="00E77E9F">
        <w:t xml:space="preserve"> </w:t>
      </w:r>
      <w:r>
        <w:t>July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DC7CD4" w:rsidRPr="00C95548" w:rsidDel="0074250B" w:rsidTr="00CC64ED">
        <w:tc>
          <w:tcPr>
            <w:tcW w:w="993" w:type="dxa"/>
            <w:tcBorders>
              <w:top w:val="single" w:sz="4" w:space="0" w:color="auto"/>
              <w:left w:val="single" w:sz="4" w:space="0" w:color="auto"/>
              <w:bottom w:val="nil"/>
            </w:tcBorders>
            <w:shd w:val="clear" w:color="auto" w:fill="4A442A"/>
            <w:noWrap/>
          </w:tcPr>
          <w:p w:rsidR="00DC7CD4" w:rsidRPr="00C95548" w:rsidRDefault="00DC7CD4" w:rsidP="00CC64ED">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DC7CD4" w:rsidRPr="00C95548"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DC7CD4" w:rsidRPr="00C95548" w:rsidDel="0074250B"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C7CD4" w:rsidRPr="00C95548" w:rsidDel="0074250B"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C7CD4" w:rsidRPr="00E77E9F" w:rsidTr="00CC64ED">
        <w:tc>
          <w:tcPr>
            <w:tcW w:w="993" w:type="dxa"/>
            <w:tcBorders>
              <w:top w:val="nil"/>
              <w:left w:val="single" w:sz="6" w:space="0" w:color="auto"/>
              <w:bottom w:val="nil"/>
              <w:right w:val="single" w:sz="6" w:space="0" w:color="auto"/>
            </w:tcBorders>
            <w:shd w:val="clear" w:color="auto" w:fill="DDD9C3"/>
            <w:noWrap/>
          </w:tcPr>
          <w:p w:rsidR="00DC7CD4" w:rsidRPr="00E77E9F" w:rsidRDefault="00DC7CD4" w:rsidP="00CC64ED">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28731D" w:rsidRPr="00FD28E1" w:rsidTr="0028731D">
        <w:tc>
          <w:tcPr>
            <w:tcW w:w="993" w:type="dxa"/>
            <w:tcBorders>
              <w:top w:val="nil"/>
              <w:left w:val="single" w:sz="6" w:space="0" w:color="auto"/>
              <w:bottom w:val="nil"/>
              <w:right w:val="single" w:sz="6" w:space="0" w:color="auto"/>
            </w:tcBorders>
            <w:shd w:val="clear" w:color="auto" w:fill="EEECE1"/>
            <w:noWrap/>
          </w:tcPr>
          <w:p w:rsidR="0028731D" w:rsidRPr="00E77E9F" w:rsidRDefault="0028731D" w:rsidP="00DC7CD4">
            <w:pPr>
              <w:autoSpaceDE w:val="0"/>
              <w:autoSpaceDN w:val="0"/>
              <w:adjustRightInd w:val="0"/>
              <w:spacing w:before="100" w:after="100"/>
              <w:rPr>
                <w:b/>
                <w:bCs/>
                <w:sz w:val="18"/>
                <w:szCs w:val="18"/>
              </w:rPr>
            </w:pPr>
            <w:r>
              <w:rPr>
                <w:b/>
                <w:bCs/>
                <w:sz w:val="18"/>
                <w:szCs w:val="18"/>
              </w:rPr>
              <w:t>3.00 A</w:t>
            </w:r>
            <w:r w:rsidRPr="00E77E9F">
              <w:rPr>
                <w:b/>
                <w:bCs/>
                <w:sz w:val="18"/>
                <w:szCs w:val="18"/>
              </w:rPr>
              <w:t>M</w:t>
            </w:r>
          </w:p>
        </w:tc>
        <w:tc>
          <w:tcPr>
            <w:tcW w:w="834" w:type="dxa"/>
            <w:tcBorders>
              <w:top w:val="nil"/>
              <w:left w:val="single" w:sz="6" w:space="0" w:color="auto"/>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-151.27</w:t>
            </w:r>
          </w:p>
        </w:tc>
        <w:tc>
          <w:tcPr>
            <w:tcW w:w="976" w:type="dxa"/>
            <w:tcBorders>
              <w:top w:val="nil"/>
              <w:left w:val="nil"/>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18.49</w:t>
            </w:r>
          </w:p>
        </w:tc>
        <w:tc>
          <w:tcPr>
            <w:tcW w:w="977" w:type="dxa"/>
            <w:tcBorders>
              <w:top w:val="nil"/>
              <w:left w:val="nil"/>
              <w:bottom w:val="nil"/>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6"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4566</w:t>
            </w:r>
          </w:p>
        </w:tc>
        <w:tc>
          <w:tcPr>
            <w:tcW w:w="977"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4503</w:t>
            </w:r>
          </w:p>
        </w:tc>
        <w:tc>
          <w:tcPr>
            <w:tcW w:w="976"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4508</w:t>
            </w:r>
          </w:p>
        </w:tc>
        <w:tc>
          <w:tcPr>
            <w:tcW w:w="977" w:type="dxa"/>
            <w:tcBorders>
              <w:top w:val="nil"/>
              <w:left w:val="single" w:sz="6" w:space="0" w:color="auto"/>
              <w:bottom w:val="nil"/>
              <w:right w:val="nil"/>
            </w:tcBorders>
            <w:shd w:val="clear" w:color="auto" w:fill="EEECE1"/>
            <w:vAlign w:val="center"/>
          </w:tcPr>
          <w:p w:rsidR="0028731D" w:rsidRPr="0028731D" w:rsidRDefault="005235EA">
            <w:pPr>
              <w:ind w:right="-124"/>
              <w:jc w:val="center"/>
              <w:rPr>
                <w:sz w:val="18"/>
              </w:rPr>
            </w:pPr>
            <w:r w:rsidRPr="0028731D">
              <w:rPr>
                <w:sz w:val="18"/>
              </w:rPr>
              <w:t>10</w:t>
            </w:r>
            <w:r>
              <w:rPr>
                <w:sz w:val="18"/>
              </w:rPr>
              <w:t> </w:t>
            </w:r>
            <w:r w:rsidR="0028731D" w:rsidRPr="0028731D">
              <w:rPr>
                <w:sz w:val="18"/>
              </w:rPr>
              <w:t>011</w:t>
            </w:r>
          </w:p>
        </w:tc>
        <w:tc>
          <w:tcPr>
            <w:tcW w:w="976"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9937</w:t>
            </w:r>
          </w:p>
        </w:tc>
        <w:tc>
          <w:tcPr>
            <w:tcW w:w="977"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9755</w:t>
            </w:r>
          </w:p>
        </w:tc>
      </w:tr>
      <w:tr w:rsidR="0028731D" w:rsidRPr="00FD28E1" w:rsidTr="0028731D">
        <w:tc>
          <w:tcPr>
            <w:tcW w:w="993" w:type="dxa"/>
            <w:tcBorders>
              <w:top w:val="nil"/>
              <w:left w:val="single" w:sz="6" w:space="0" w:color="auto"/>
              <w:bottom w:val="nil"/>
              <w:right w:val="single" w:sz="6" w:space="0" w:color="auto"/>
            </w:tcBorders>
            <w:shd w:val="clear" w:color="auto" w:fill="EEECE1"/>
            <w:noWrap/>
          </w:tcPr>
          <w:p w:rsidR="0028731D" w:rsidRDefault="0028731D" w:rsidP="00DC7CD4">
            <w:pPr>
              <w:autoSpaceDE w:val="0"/>
              <w:autoSpaceDN w:val="0"/>
              <w:adjustRightInd w:val="0"/>
              <w:spacing w:before="100" w:after="100"/>
              <w:rPr>
                <w:b/>
                <w:bCs/>
                <w:sz w:val="18"/>
                <w:szCs w:val="18"/>
              </w:rPr>
            </w:pPr>
            <w:r>
              <w:rPr>
                <w:b/>
                <w:bCs/>
                <w:sz w:val="18"/>
                <w:szCs w:val="18"/>
              </w:rPr>
              <w:t>12.30 P</w:t>
            </w:r>
            <w:r w:rsidRPr="00E77E9F">
              <w:rPr>
                <w:b/>
                <w:bCs/>
                <w:sz w:val="18"/>
                <w:szCs w:val="18"/>
              </w:rPr>
              <w:t>M</w:t>
            </w:r>
          </w:p>
        </w:tc>
        <w:tc>
          <w:tcPr>
            <w:tcW w:w="834" w:type="dxa"/>
            <w:tcBorders>
              <w:top w:val="nil"/>
              <w:left w:val="single" w:sz="6" w:space="0" w:color="auto"/>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-328.02</w:t>
            </w:r>
          </w:p>
        </w:tc>
        <w:tc>
          <w:tcPr>
            <w:tcW w:w="976" w:type="dxa"/>
            <w:tcBorders>
              <w:top w:val="nil"/>
              <w:left w:val="nil"/>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7" w:type="dxa"/>
            <w:tcBorders>
              <w:top w:val="nil"/>
              <w:left w:val="nil"/>
              <w:bottom w:val="nil"/>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17.9</w:t>
            </w:r>
          </w:p>
        </w:tc>
        <w:tc>
          <w:tcPr>
            <w:tcW w:w="976"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4866</w:t>
            </w:r>
          </w:p>
        </w:tc>
        <w:tc>
          <w:tcPr>
            <w:tcW w:w="977"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4936</w:t>
            </w:r>
          </w:p>
        </w:tc>
        <w:tc>
          <w:tcPr>
            <w:tcW w:w="976"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5016</w:t>
            </w:r>
          </w:p>
        </w:tc>
        <w:tc>
          <w:tcPr>
            <w:tcW w:w="977"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9893</w:t>
            </w:r>
          </w:p>
        </w:tc>
        <w:tc>
          <w:tcPr>
            <w:tcW w:w="976"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9893</w:t>
            </w:r>
          </w:p>
        </w:tc>
        <w:tc>
          <w:tcPr>
            <w:tcW w:w="977"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9921</w:t>
            </w:r>
          </w:p>
        </w:tc>
      </w:tr>
      <w:tr w:rsidR="0028731D" w:rsidRPr="00FD28E1" w:rsidTr="0028731D">
        <w:tc>
          <w:tcPr>
            <w:tcW w:w="993" w:type="dxa"/>
            <w:tcBorders>
              <w:top w:val="nil"/>
              <w:left w:val="single" w:sz="6" w:space="0" w:color="auto"/>
              <w:bottom w:val="nil"/>
              <w:right w:val="single" w:sz="6" w:space="0" w:color="auto"/>
            </w:tcBorders>
            <w:shd w:val="clear" w:color="auto" w:fill="EEECE1"/>
            <w:noWrap/>
          </w:tcPr>
          <w:p w:rsidR="0028731D" w:rsidRDefault="0028731D" w:rsidP="00CC64ED">
            <w:pPr>
              <w:autoSpaceDE w:val="0"/>
              <w:autoSpaceDN w:val="0"/>
              <w:adjustRightInd w:val="0"/>
              <w:spacing w:before="100" w:after="100"/>
              <w:rPr>
                <w:b/>
                <w:bCs/>
                <w:sz w:val="18"/>
                <w:szCs w:val="18"/>
              </w:rPr>
            </w:pPr>
            <w:r>
              <w:rPr>
                <w:b/>
                <w:bCs/>
                <w:sz w:val="18"/>
                <w:szCs w:val="18"/>
              </w:rPr>
              <w:t>1.00 P</w:t>
            </w:r>
            <w:r w:rsidRPr="00E77E9F">
              <w:rPr>
                <w:b/>
                <w:bCs/>
                <w:sz w:val="18"/>
                <w:szCs w:val="18"/>
              </w:rPr>
              <w:t>M</w:t>
            </w:r>
          </w:p>
        </w:tc>
        <w:tc>
          <w:tcPr>
            <w:tcW w:w="834" w:type="dxa"/>
            <w:tcBorders>
              <w:top w:val="nil"/>
              <w:left w:val="single" w:sz="6" w:space="0" w:color="auto"/>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-140.16</w:t>
            </w:r>
          </w:p>
        </w:tc>
        <w:tc>
          <w:tcPr>
            <w:tcW w:w="976" w:type="dxa"/>
            <w:tcBorders>
              <w:top w:val="nil"/>
              <w:left w:val="nil"/>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12.56</w:t>
            </w:r>
          </w:p>
        </w:tc>
        <w:tc>
          <w:tcPr>
            <w:tcW w:w="977" w:type="dxa"/>
            <w:tcBorders>
              <w:top w:val="nil"/>
              <w:left w:val="nil"/>
              <w:bottom w:val="nil"/>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6"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4870</w:t>
            </w:r>
          </w:p>
        </w:tc>
        <w:tc>
          <w:tcPr>
            <w:tcW w:w="977"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4858</w:t>
            </w:r>
          </w:p>
        </w:tc>
        <w:tc>
          <w:tcPr>
            <w:tcW w:w="976"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4986</w:t>
            </w:r>
          </w:p>
        </w:tc>
        <w:tc>
          <w:tcPr>
            <w:tcW w:w="977"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9876</w:t>
            </w:r>
          </w:p>
        </w:tc>
        <w:tc>
          <w:tcPr>
            <w:tcW w:w="976"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9893</w:t>
            </w:r>
          </w:p>
        </w:tc>
        <w:tc>
          <w:tcPr>
            <w:tcW w:w="977"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9911</w:t>
            </w:r>
          </w:p>
        </w:tc>
      </w:tr>
      <w:tr w:rsidR="0028731D" w:rsidRPr="00FD28E1" w:rsidTr="0028731D">
        <w:tc>
          <w:tcPr>
            <w:tcW w:w="993" w:type="dxa"/>
            <w:tcBorders>
              <w:top w:val="nil"/>
              <w:left w:val="single" w:sz="6" w:space="0" w:color="auto"/>
              <w:bottom w:val="nil"/>
              <w:right w:val="single" w:sz="6" w:space="0" w:color="auto"/>
            </w:tcBorders>
            <w:shd w:val="clear" w:color="auto" w:fill="EEECE1"/>
            <w:noWrap/>
          </w:tcPr>
          <w:p w:rsidR="0028731D" w:rsidRDefault="0028731D" w:rsidP="00DC7CD4">
            <w:pPr>
              <w:autoSpaceDE w:val="0"/>
              <w:autoSpaceDN w:val="0"/>
              <w:adjustRightInd w:val="0"/>
              <w:spacing w:before="100" w:after="100"/>
              <w:rPr>
                <w:b/>
                <w:bCs/>
                <w:sz w:val="18"/>
                <w:szCs w:val="18"/>
              </w:rPr>
            </w:pPr>
            <w:r>
              <w:rPr>
                <w:b/>
                <w:bCs/>
                <w:sz w:val="18"/>
                <w:szCs w:val="18"/>
              </w:rPr>
              <w:t>1.30 P</w:t>
            </w:r>
            <w:r w:rsidRPr="00E77E9F">
              <w:rPr>
                <w:b/>
                <w:bCs/>
                <w:sz w:val="18"/>
                <w:szCs w:val="18"/>
              </w:rPr>
              <w:t>M</w:t>
            </w:r>
          </w:p>
        </w:tc>
        <w:tc>
          <w:tcPr>
            <w:tcW w:w="834" w:type="dxa"/>
            <w:tcBorders>
              <w:top w:val="nil"/>
              <w:left w:val="single" w:sz="6" w:space="0" w:color="auto"/>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-136.07</w:t>
            </w:r>
          </w:p>
        </w:tc>
        <w:tc>
          <w:tcPr>
            <w:tcW w:w="976" w:type="dxa"/>
            <w:tcBorders>
              <w:top w:val="nil"/>
              <w:left w:val="nil"/>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7" w:type="dxa"/>
            <w:tcBorders>
              <w:top w:val="nil"/>
              <w:left w:val="nil"/>
              <w:bottom w:val="nil"/>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6"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4899</w:t>
            </w:r>
          </w:p>
        </w:tc>
        <w:tc>
          <w:tcPr>
            <w:tcW w:w="977"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4886</w:t>
            </w:r>
          </w:p>
        </w:tc>
        <w:tc>
          <w:tcPr>
            <w:tcW w:w="976"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4972</w:t>
            </w:r>
          </w:p>
        </w:tc>
        <w:tc>
          <w:tcPr>
            <w:tcW w:w="977"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9883</w:t>
            </w:r>
          </w:p>
        </w:tc>
        <w:tc>
          <w:tcPr>
            <w:tcW w:w="976"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9893</w:t>
            </w:r>
          </w:p>
        </w:tc>
        <w:tc>
          <w:tcPr>
            <w:tcW w:w="977"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9901</w:t>
            </w:r>
          </w:p>
        </w:tc>
      </w:tr>
      <w:tr w:rsidR="0028731D" w:rsidRPr="00FD28E1" w:rsidTr="0028731D">
        <w:tc>
          <w:tcPr>
            <w:tcW w:w="993" w:type="dxa"/>
            <w:tcBorders>
              <w:top w:val="nil"/>
              <w:left w:val="single" w:sz="6" w:space="0" w:color="auto"/>
              <w:bottom w:val="nil"/>
              <w:right w:val="single" w:sz="6" w:space="0" w:color="auto"/>
            </w:tcBorders>
            <w:shd w:val="clear" w:color="auto" w:fill="EEECE1"/>
            <w:noWrap/>
          </w:tcPr>
          <w:p w:rsidR="0028731D" w:rsidRPr="00E77E9F" w:rsidRDefault="0028731D" w:rsidP="00DC7CD4">
            <w:pPr>
              <w:autoSpaceDE w:val="0"/>
              <w:autoSpaceDN w:val="0"/>
              <w:adjustRightInd w:val="0"/>
              <w:spacing w:before="100" w:after="100"/>
              <w:rPr>
                <w:b/>
                <w:bCs/>
                <w:sz w:val="18"/>
                <w:szCs w:val="18"/>
              </w:rPr>
            </w:pPr>
            <w:r>
              <w:rPr>
                <w:b/>
                <w:bCs/>
                <w:sz w:val="18"/>
                <w:szCs w:val="18"/>
              </w:rPr>
              <w:t>2.00 PM</w:t>
            </w:r>
          </w:p>
        </w:tc>
        <w:tc>
          <w:tcPr>
            <w:tcW w:w="834" w:type="dxa"/>
            <w:tcBorders>
              <w:top w:val="nil"/>
              <w:left w:val="single" w:sz="6" w:space="0" w:color="auto"/>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-130.54</w:t>
            </w:r>
          </w:p>
        </w:tc>
        <w:tc>
          <w:tcPr>
            <w:tcW w:w="976" w:type="dxa"/>
            <w:tcBorders>
              <w:top w:val="nil"/>
              <w:left w:val="nil"/>
              <w:bottom w:val="nil"/>
              <w:right w:val="nil"/>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7" w:type="dxa"/>
            <w:tcBorders>
              <w:top w:val="nil"/>
              <w:left w:val="nil"/>
              <w:bottom w:val="nil"/>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6"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4912</w:t>
            </w:r>
          </w:p>
        </w:tc>
        <w:tc>
          <w:tcPr>
            <w:tcW w:w="977"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4876</w:t>
            </w:r>
          </w:p>
        </w:tc>
        <w:tc>
          <w:tcPr>
            <w:tcW w:w="976"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4985</w:t>
            </w:r>
          </w:p>
        </w:tc>
        <w:tc>
          <w:tcPr>
            <w:tcW w:w="977" w:type="dxa"/>
            <w:tcBorders>
              <w:top w:val="nil"/>
              <w:left w:val="single" w:sz="6" w:space="0" w:color="auto"/>
              <w:bottom w:val="nil"/>
              <w:right w:val="nil"/>
            </w:tcBorders>
            <w:shd w:val="clear" w:color="auto" w:fill="EEECE1"/>
            <w:vAlign w:val="center"/>
          </w:tcPr>
          <w:p w:rsidR="0028731D" w:rsidRPr="0028731D" w:rsidRDefault="0028731D">
            <w:pPr>
              <w:ind w:right="-124"/>
              <w:jc w:val="center"/>
              <w:rPr>
                <w:sz w:val="18"/>
              </w:rPr>
            </w:pPr>
            <w:r w:rsidRPr="0028731D">
              <w:rPr>
                <w:sz w:val="18"/>
              </w:rPr>
              <w:t>9850</w:t>
            </w:r>
          </w:p>
        </w:tc>
        <w:tc>
          <w:tcPr>
            <w:tcW w:w="976" w:type="dxa"/>
            <w:tcBorders>
              <w:top w:val="nil"/>
              <w:left w:val="nil"/>
              <w:bottom w:val="nil"/>
              <w:right w:val="nil"/>
            </w:tcBorders>
            <w:shd w:val="clear" w:color="auto" w:fill="EEECE1"/>
            <w:vAlign w:val="center"/>
          </w:tcPr>
          <w:p w:rsidR="0028731D" w:rsidRPr="0028731D" w:rsidRDefault="0028731D">
            <w:pPr>
              <w:ind w:right="-124"/>
              <w:jc w:val="center"/>
              <w:rPr>
                <w:sz w:val="18"/>
              </w:rPr>
            </w:pPr>
            <w:r w:rsidRPr="0028731D">
              <w:rPr>
                <w:sz w:val="18"/>
              </w:rPr>
              <w:t>9893</w:t>
            </w:r>
          </w:p>
        </w:tc>
        <w:tc>
          <w:tcPr>
            <w:tcW w:w="977" w:type="dxa"/>
            <w:tcBorders>
              <w:top w:val="nil"/>
              <w:left w:val="nil"/>
              <w:bottom w:val="nil"/>
              <w:right w:val="single" w:sz="6" w:space="0" w:color="auto"/>
            </w:tcBorders>
            <w:shd w:val="clear" w:color="auto" w:fill="EEECE1"/>
            <w:vAlign w:val="center"/>
          </w:tcPr>
          <w:p w:rsidR="0028731D" w:rsidRPr="0028731D" w:rsidRDefault="0028731D">
            <w:pPr>
              <w:ind w:right="-124"/>
              <w:jc w:val="center"/>
              <w:rPr>
                <w:sz w:val="18"/>
              </w:rPr>
            </w:pPr>
            <w:r w:rsidRPr="0028731D">
              <w:rPr>
                <w:sz w:val="18"/>
              </w:rPr>
              <w:t>9891</w:t>
            </w:r>
          </w:p>
        </w:tc>
      </w:tr>
      <w:tr w:rsidR="0028731D" w:rsidRPr="00FD28E1" w:rsidTr="0028731D">
        <w:tc>
          <w:tcPr>
            <w:tcW w:w="993" w:type="dxa"/>
            <w:tcBorders>
              <w:top w:val="nil"/>
              <w:left w:val="single" w:sz="6" w:space="0" w:color="auto"/>
              <w:bottom w:val="single" w:sz="6" w:space="0" w:color="auto"/>
              <w:right w:val="single" w:sz="6" w:space="0" w:color="auto"/>
            </w:tcBorders>
            <w:shd w:val="clear" w:color="auto" w:fill="EEECE1"/>
            <w:noWrap/>
          </w:tcPr>
          <w:p w:rsidR="0028731D" w:rsidRDefault="0028731D" w:rsidP="00DC7CD4">
            <w:pPr>
              <w:autoSpaceDE w:val="0"/>
              <w:autoSpaceDN w:val="0"/>
              <w:adjustRightInd w:val="0"/>
              <w:spacing w:before="100" w:after="100"/>
              <w:rPr>
                <w:b/>
                <w:bCs/>
                <w:sz w:val="18"/>
                <w:szCs w:val="18"/>
              </w:rPr>
            </w:pPr>
            <w:r>
              <w:rPr>
                <w:b/>
                <w:bCs/>
                <w:sz w:val="18"/>
                <w:szCs w:val="18"/>
              </w:rPr>
              <w:t>2.30 PM</w:t>
            </w:r>
          </w:p>
        </w:tc>
        <w:tc>
          <w:tcPr>
            <w:tcW w:w="834" w:type="dxa"/>
            <w:tcBorders>
              <w:top w:val="nil"/>
              <w:left w:val="single" w:sz="6" w:space="0" w:color="auto"/>
              <w:bottom w:val="single" w:sz="6" w:space="0" w:color="auto"/>
              <w:right w:val="nil"/>
            </w:tcBorders>
            <w:shd w:val="clear" w:color="auto" w:fill="EEECE1"/>
            <w:noWrap/>
            <w:vAlign w:val="center"/>
          </w:tcPr>
          <w:p w:rsidR="0028731D" w:rsidRPr="0028731D" w:rsidRDefault="0028731D" w:rsidP="0028731D">
            <w:pPr>
              <w:ind w:right="-124"/>
              <w:jc w:val="center"/>
              <w:rPr>
                <w:sz w:val="18"/>
              </w:rPr>
            </w:pPr>
            <w:r w:rsidRPr="0028731D">
              <w:rPr>
                <w:sz w:val="18"/>
              </w:rPr>
              <w:t>-126.76</w:t>
            </w:r>
          </w:p>
        </w:tc>
        <w:tc>
          <w:tcPr>
            <w:tcW w:w="976" w:type="dxa"/>
            <w:tcBorders>
              <w:top w:val="nil"/>
              <w:left w:val="nil"/>
              <w:bottom w:val="single" w:sz="6" w:space="0" w:color="auto"/>
              <w:right w:val="nil"/>
            </w:tcBorders>
            <w:shd w:val="clear" w:color="auto" w:fill="EEECE1"/>
            <w:noWrap/>
            <w:vAlign w:val="center"/>
          </w:tcPr>
          <w:p w:rsidR="0028731D" w:rsidRPr="0028731D" w:rsidRDefault="0028731D" w:rsidP="0028731D">
            <w:pPr>
              <w:ind w:right="-124"/>
              <w:jc w:val="center"/>
              <w:rPr>
                <w:sz w:val="18"/>
              </w:rPr>
            </w:pPr>
            <w:r w:rsidRPr="0028731D">
              <w:rPr>
                <w:sz w:val="18"/>
              </w:rPr>
              <w:t>12.56</w:t>
            </w:r>
          </w:p>
        </w:tc>
        <w:tc>
          <w:tcPr>
            <w:tcW w:w="977" w:type="dxa"/>
            <w:tcBorders>
              <w:top w:val="nil"/>
              <w:left w:val="nil"/>
              <w:bottom w:val="single" w:sz="6" w:space="0" w:color="auto"/>
              <w:right w:val="single" w:sz="6" w:space="0" w:color="auto"/>
            </w:tcBorders>
            <w:shd w:val="clear" w:color="auto" w:fill="EEECE1"/>
            <w:noWrap/>
            <w:vAlign w:val="center"/>
          </w:tcPr>
          <w:p w:rsidR="0028731D" w:rsidRPr="0028731D" w:rsidRDefault="0028731D" w:rsidP="0028731D">
            <w:pPr>
              <w:ind w:right="-124"/>
              <w:jc w:val="center"/>
              <w:rPr>
                <w:sz w:val="18"/>
              </w:rPr>
            </w:pPr>
            <w:r w:rsidRPr="0028731D">
              <w:rPr>
                <w:sz w:val="18"/>
              </w:rPr>
              <w:t>16.94</w:t>
            </w:r>
          </w:p>
        </w:tc>
        <w:tc>
          <w:tcPr>
            <w:tcW w:w="976" w:type="dxa"/>
            <w:tcBorders>
              <w:top w:val="nil"/>
              <w:left w:val="single" w:sz="6" w:space="0" w:color="auto"/>
              <w:bottom w:val="single" w:sz="6" w:space="0" w:color="auto"/>
              <w:right w:val="nil"/>
            </w:tcBorders>
            <w:shd w:val="clear" w:color="auto" w:fill="EEECE1"/>
            <w:vAlign w:val="center"/>
          </w:tcPr>
          <w:p w:rsidR="0028731D" w:rsidRPr="0028731D" w:rsidRDefault="0028731D">
            <w:pPr>
              <w:ind w:right="-124"/>
              <w:jc w:val="center"/>
              <w:rPr>
                <w:sz w:val="18"/>
              </w:rPr>
            </w:pPr>
            <w:r w:rsidRPr="0028731D">
              <w:rPr>
                <w:sz w:val="18"/>
              </w:rPr>
              <w:t>4958</w:t>
            </w:r>
          </w:p>
        </w:tc>
        <w:tc>
          <w:tcPr>
            <w:tcW w:w="977" w:type="dxa"/>
            <w:tcBorders>
              <w:top w:val="nil"/>
              <w:left w:val="nil"/>
              <w:bottom w:val="single" w:sz="6" w:space="0" w:color="auto"/>
              <w:right w:val="nil"/>
            </w:tcBorders>
            <w:shd w:val="clear" w:color="auto" w:fill="EEECE1"/>
            <w:vAlign w:val="center"/>
          </w:tcPr>
          <w:p w:rsidR="0028731D" w:rsidRPr="0028731D" w:rsidRDefault="0028731D">
            <w:pPr>
              <w:ind w:right="-124"/>
              <w:jc w:val="center"/>
              <w:rPr>
                <w:sz w:val="18"/>
              </w:rPr>
            </w:pPr>
            <w:r w:rsidRPr="0028731D">
              <w:rPr>
                <w:sz w:val="18"/>
              </w:rPr>
              <w:t>4863</w:t>
            </w:r>
          </w:p>
        </w:tc>
        <w:tc>
          <w:tcPr>
            <w:tcW w:w="976" w:type="dxa"/>
            <w:tcBorders>
              <w:top w:val="nil"/>
              <w:left w:val="nil"/>
              <w:bottom w:val="single" w:sz="6" w:space="0" w:color="auto"/>
              <w:right w:val="single" w:sz="6" w:space="0" w:color="auto"/>
            </w:tcBorders>
            <w:shd w:val="clear" w:color="auto" w:fill="EEECE1"/>
            <w:vAlign w:val="center"/>
          </w:tcPr>
          <w:p w:rsidR="0028731D" w:rsidRPr="0028731D" w:rsidRDefault="0028731D">
            <w:pPr>
              <w:ind w:right="-124"/>
              <w:jc w:val="center"/>
              <w:rPr>
                <w:sz w:val="18"/>
              </w:rPr>
            </w:pPr>
            <w:r w:rsidRPr="0028731D">
              <w:rPr>
                <w:sz w:val="18"/>
              </w:rPr>
              <w:t>4995</w:t>
            </w:r>
          </w:p>
        </w:tc>
        <w:tc>
          <w:tcPr>
            <w:tcW w:w="977" w:type="dxa"/>
            <w:tcBorders>
              <w:top w:val="nil"/>
              <w:left w:val="single" w:sz="6" w:space="0" w:color="auto"/>
              <w:bottom w:val="single" w:sz="6" w:space="0" w:color="auto"/>
              <w:right w:val="nil"/>
            </w:tcBorders>
            <w:shd w:val="clear" w:color="auto" w:fill="EEECE1"/>
            <w:vAlign w:val="center"/>
          </w:tcPr>
          <w:p w:rsidR="0028731D" w:rsidRPr="0028731D" w:rsidRDefault="0028731D">
            <w:pPr>
              <w:ind w:right="-124"/>
              <w:jc w:val="center"/>
              <w:rPr>
                <w:sz w:val="18"/>
              </w:rPr>
            </w:pPr>
            <w:r w:rsidRPr="0028731D">
              <w:rPr>
                <w:sz w:val="18"/>
              </w:rPr>
              <w:t>9833</w:t>
            </w:r>
          </w:p>
        </w:tc>
        <w:tc>
          <w:tcPr>
            <w:tcW w:w="976" w:type="dxa"/>
            <w:tcBorders>
              <w:top w:val="nil"/>
              <w:left w:val="nil"/>
              <w:bottom w:val="single" w:sz="6" w:space="0" w:color="auto"/>
              <w:right w:val="nil"/>
            </w:tcBorders>
            <w:shd w:val="clear" w:color="auto" w:fill="EEECE1"/>
            <w:vAlign w:val="center"/>
          </w:tcPr>
          <w:p w:rsidR="0028731D" w:rsidRPr="0028731D" w:rsidRDefault="0028731D">
            <w:pPr>
              <w:ind w:right="-124"/>
              <w:jc w:val="center"/>
              <w:rPr>
                <w:sz w:val="18"/>
              </w:rPr>
            </w:pPr>
            <w:r w:rsidRPr="0028731D">
              <w:rPr>
                <w:sz w:val="18"/>
              </w:rPr>
              <w:t>9896</w:t>
            </w:r>
          </w:p>
        </w:tc>
        <w:tc>
          <w:tcPr>
            <w:tcW w:w="977" w:type="dxa"/>
            <w:tcBorders>
              <w:top w:val="nil"/>
              <w:left w:val="nil"/>
              <w:bottom w:val="single" w:sz="6" w:space="0" w:color="auto"/>
              <w:right w:val="single" w:sz="6" w:space="0" w:color="auto"/>
            </w:tcBorders>
            <w:shd w:val="clear" w:color="auto" w:fill="EEECE1"/>
            <w:vAlign w:val="center"/>
          </w:tcPr>
          <w:p w:rsidR="0028731D" w:rsidRPr="0028731D" w:rsidRDefault="0028731D">
            <w:pPr>
              <w:ind w:right="-124"/>
              <w:jc w:val="center"/>
              <w:rPr>
                <w:sz w:val="18"/>
              </w:rPr>
            </w:pPr>
            <w:r w:rsidRPr="0028731D">
              <w:rPr>
                <w:sz w:val="18"/>
              </w:rPr>
              <w:t>9894</w:t>
            </w:r>
          </w:p>
        </w:tc>
      </w:tr>
    </w:tbl>
    <w:p w:rsidR="00DC7CD4" w:rsidRDefault="00DC7CD4" w:rsidP="00F04B0E">
      <w:pPr>
        <w:pStyle w:val="AERbodytext"/>
      </w:pPr>
    </w:p>
    <w:p w:rsidR="00DC7CD4" w:rsidRDefault="004704B8" w:rsidP="00F04B0E">
      <w:pPr>
        <w:pStyle w:val="AERbodytext"/>
      </w:pPr>
      <w:r>
        <w:t>Conditions at the time saw demand and available capacity close to that forecast four hours ahead.</w:t>
      </w:r>
    </w:p>
    <w:p w:rsidR="00B25CB8" w:rsidRDefault="00B25CB8" w:rsidP="00F04B0E">
      <w:pPr>
        <w:pStyle w:val="AERbodytext"/>
      </w:pPr>
      <w:r>
        <w:t xml:space="preserve">On 1 July a planned outage of one of the Dumaresq to Bulli Creek and Bulli Creek to </w:t>
      </w:r>
      <w:proofErr w:type="spellStart"/>
      <w:r>
        <w:t>Braemar</w:t>
      </w:r>
      <w:proofErr w:type="spellEnd"/>
      <w:r>
        <w:t xml:space="preserve"> 330 kV lines commenced. Constraints were invoked to manage the lower FCAS requirements </w:t>
      </w:r>
      <w:r w:rsidR="00F1675B">
        <w:t xml:space="preserve">(see </w:t>
      </w:r>
      <w:r w:rsidR="00F1675B" w:rsidRPr="002D23B9">
        <w:t>Frequency control ancillary services</w:t>
      </w:r>
      <w:r w:rsidR="00F1675B">
        <w:t xml:space="preserve"> section above) </w:t>
      </w:r>
      <w:r>
        <w:t>by limiting export</w:t>
      </w:r>
      <w:r w:rsidR="00F1675B">
        <w:t>s</w:t>
      </w:r>
      <w:r>
        <w:t xml:space="preserve"> from Queensland to New South Wales and the Terranora interconnector was still out of service.</w:t>
      </w:r>
    </w:p>
    <w:p w:rsidR="00F1675B" w:rsidRDefault="00B25CB8" w:rsidP="00F04B0E">
      <w:pPr>
        <w:pStyle w:val="AERbodytext"/>
      </w:pPr>
      <w:r>
        <w:t>At 2.55 am there was a</w:t>
      </w:r>
      <w:r w:rsidR="006446F5">
        <w:t xml:space="preserve"> 74 MW </w:t>
      </w:r>
      <w:r>
        <w:t>reduction in demand and a 55 MW reduction in exports to New South Wales.</w:t>
      </w:r>
      <w:r w:rsidR="00906BDA">
        <w:t xml:space="preserve"> With a number of generators ramp down limited or trapped in FCAS</w:t>
      </w:r>
      <w:r w:rsidR="00F1675B">
        <w:t>,</w:t>
      </w:r>
      <w:r w:rsidR="00906BDA">
        <w:t xml:space="preserve"> </w:t>
      </w:r>
      <w:r w:rsidR="00F1675B">
        <w:t xml:space="preserve">generators </w:t>
      </w:r>
      <w:r w:rsidR="00906BDA">
        <w:t>price</w:t>
      </w:r>
      <w:r w:rsidR="00F1675B">
        <w:t>d</w:t>
      </w:r>
      <w:r w:rsidR="00906BDA">
        <w:t xml:space="preserve"> at the floor</w:t>
      </w:r>
      <w:r w:rsidR="00F1675B">
        <w:t xml:space="preserve"> set the price at 2.55 am.</w:t>
      </w:r>
    </w:p>
    <w:p w:rsidR="007404BA" w:rsidRDefault="007404BA" w:rsidP="00F04B0E">
      <w:pPr>
        <w:pStyle w:val="AERbodytext"/>
      </w:pPr>
      <w:r>
        <w:t>From</w:t>
      </w:r>
      <w:r w:rsidR="004158B2">
        <w:t xml:space="preserve"> 11.40 am,</w:t>
      </w:r>
      <w:r w:rsidR="0066683F">
        <w:t xml:space="preserve"> </w:t>
      </w:r>
      <w:r w:rsidR="004158B2">
        <w:t xml:space="preserve">CS Energy </w:t>
      </w:r>
      <w:r>
        <w:t>made a number of rebids across its portfolio shifting large amounts of capacity to the price floor (shown in the table below)</w:t>
      </w:r>
      <w:r w:rsidR="00457357">
        <w:t>.</w:t>
      </w:r>
    </w:p>
    <w:p w:rsidR="004158B2" w:rsidRDefault="007404BA" w:rsidP="002944B8">
      <w:pPr>
        <w:pStyle w:val="AERtabletitle"/>
      </w:pPr>
      <w:r w:rsidRPr="00E77E9F">
        <w:t xml:space="preserve">Table </w:t>
      </w:r>
      <w:r>
        <w:t>4</w:t>
      </w:r>
      <w:r w:rsidRPr="00E77E9F">
        <w:t xml:space="preserve">: </w:t>
      </w:r>
      <w:r>
        <w:t>CS Energy rebids</w:t>
      </w:r>
      <w:r w:rsidRPr="00E77E9F">
        <w:t xml:space="preserve">, </w:t>
      </w:r>
      <w:r>
        <w:t>Saturday 5</w:t>
      </w:r>
      <w:r w:rsidRPr="00E77E9F">
        <w:t xml:space="preserve"> </w:t>
      </w:r>
      <w:r>
        <w:t>July</w:t>
      </w:r>
    </w:p>
    <w:tbl>
      <w:tblPr>
        <w:tblW w:w="9214"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992"/>
        <w:gridCol w:w="992"/>
        <w:gridCol w:w="992"/>
        <w:gridCol w:w="992"/>
        <w:gridCol w:w="4253"/>
      </w:tblGrid>
      <w:tr w:rsidR="00ED0076" w:rsidRPr="00C95548" w:rsidDel="0074250B" w:rsidTr="00B84E96">
        <w:trPr>
          <w:tblHeader/>
        </w:trPr>
        <w:tc>
          <w:tcPr>
            <w:tcW w:w="993" w:type="dxa"/>
            <w:tcBorders>
              <w:top w:val="single" w:sz="4" w:space="0" w:color="auto"/>
              <w:left w:val="single" w:sz="4" w:space="0" w:color="auto"/>
              <w:bottom w:val="single" w:sz="4" w:space="0" w:color="auto"/>
              <w:right w:val="single" w:sz="4" w:space="0" w:color="auto"/>
            </w:tcBorders>
            <w:shd w:val="clear" w:color="auto" w:fill="4A442A"/>
            <w:noWrap/>
          </w:tcPr>
          <w:p w:rsidR="00ED0076" w:rsidRPr="00C95548" w:rsidRDefault="00ED0076" w:rsidP="0019515B">
            <w:pPr>
              <w:autoSpaceDE w:val="0"/>
              <w:autoSpaceDN w:val="0"/>
              <w:adjustRightInd w:val="0"/>
              <w:spacing w:before="100" w:after="100"/>
              <w:jc w:val="center"/>
              <w:rPr>
                <w:b/>
                <w:bCs/>
                <w:color w:val="FFFFFF"/>
                <w:sz w:val="18"/>
                <w:szCs w:val="18"/>
              </w:rPr>
            </w:pPr>
            <w:r w:rsidRPr="00C95548">
              <w:rPr>
                <w:b/>
                <w:bCs/>
                <w:color w:val="FFFFFF"/>
                <w:sz w:val="18"/>
                <w:szCs w:val="18"/>
              </w:rPr>
              <w:t>Time</w:t>
            </w:r>
            <w:r>
              <w:rPr>
                <w:b/>
                <w:bCs/>
                <w:color w:val="FFFFFF"/>
                <w:sz w:val="18"/>
                <w:szCs w:val="18"/>
              </w:rPr>
              <w:t xml:space="preserve"> of rebid</w:t>
            </w:r>
          </w:p>
        </w:tc>
        <w:tc>
          <w:tcPr>
            <w:tcW w:w="992" w:type="dxa"/>
            <w:tcBorders>
              <w:top w:val="single" w:sz="4" w:space="0" w:color="auto"/>
              <w:left w:val="single" w:sz="4" w:space="0" w:color="auto"/>
              <w:bottom w:val="single" w:sz="4" w:space="0" w:color="auto"/>
              <w:right w:val="single" w:sz="4" w:space="0" w:color="auto"/>
            </w:tcBorders>
            <w:shd w:val="clear" w:color="auto" w:fill="4A442A"/>
          </w:tcPr>
          <w:p w:rsidR="00ED0076" w:rsidRDefault="00ED0076">
            <w:pPr>
              <w:autoSpaceDE w:val="0"/>
              <w:autoSpaceDN w:val="0"/>
              <w:adjustRightInd w:val="0"/>
              <w:spacing w:before="100" w:after="100"/>
              <w:jc w:val="center"/>
              <w:rPr>
                <w:b/>
                <w:bCs/>
                <w:color w:val="FFFFFF"/>
                <w:sz w:val="18"/>
                <w:szCs w:val="18"/>
              </w:rPr>
            </w:pPr>
            <w:r>
              <w:rPr>
                <w:b/>
                <w:bCs/>
                <w:color w:val="FFFFFF"/>
                <w:sz w:val="18"/>
                <w:szCs w:val="18"/>
              </w:rPr>
              <w:t>TI effective</w:t>
            </w:r>
          </w:p>
        </w:tc>
        <w:tc>
          <w:tcPr>
            <w:tcW w:w="992" w:type="dxa"/>
            <w:tcBorders>
              <w:top w:val="single" w:sz="4" w:space="0" w:color="auto"/>
              <w:left w:val="single" w:sz="4" w:space="0" w:color="auto"/>
              <w:bottom w:val="single" w:sz="4" w:space="0" w:color="auto"/>
              <w:right w:val="single" w:sz="4" w:space="0" w:color="auto"/>
            </w:tcBorders>
            <w:shd w:val="clear" w:color="auto" w:fill="4A442A"/>
          </w:tcPr>
          <w:p w:rsidR="00ED0076" w:rsidRPr="00C95548" w:rsidRDefault="00ED0076">
            <w:pPr>
              <w:autoSpaceDE w:val="0"/>
              <w:autoSpaceDN w:val="0"/>
              <w:adjustRightInd w:val="0"/>
              <w:spacing w:before="100" w:after="100"/>
              <w:jc w:val="center"/>
              <w:rPr>
                <w:b/>
                <w:bCs/>
                <w:color w:val="FFFFFF"/>
                <w:sz w:val="18"/>
                <w:szCs w:val="18"/>
              </w:rPr>
            </w:pPr>
            <w:r>
              <w:rPr>
                <w:b/>
                <w:bCs/>
                <w:color w:val="FFFFFF"/>
                <w:sz w:val="18"/>
                <w:szCs w:val="18"/>
              </w:rPr>
              <w:t xml:space="preserve">From </w:t>
            </w:r>
            <w:r w:rsidRPr="00C95548">
              <w:rPr>
                <w:b/>
                <w:bCs/>
                <w:color w:val="FFFFFF"/>
                <w:sz w:val="18"/>
                <w:szCs w:val="18"/>
              </w:rPr>
              <w:t>Price ($/MWh)</w:t>
            </w:r>
          </w:p>
        </w:tc>
        <w:tc>
          <w:tcPr>
            <w:tcW w:w="992" w:type="dxa"/>
            <w:tcBorders>
              <w:top w:val="single" w:sz="4" w:space="0" w:color="auto"/>
              <w:left w:val="single" w:sz="4" w:space="0" w:color="auto"/>
              <w:bottom w:val="single" w:sz="4" w:space="0" w:color="auto"/>
              <w:right w:val="single" w:sz="4" w:space="0" w:color="auto"/>
            </w:tcBorders>
            <w:shd w:val="clear" w:color="auto" w:fill="4A442A"/>
          </w:tcPr>
          <w:p w:rsidR="00ED0076" w:rsidRPr="00C95548" w:rsidDel="0074250B" w:rsidRDefault="00ED0076">
            <w:pPr>
              <w:autoSpaceDE w:val="0"/>
              <w:autoSpaceDN w:val="0"/>
              <w:adjustRightInd w:val="0"/>
              <w:spacing w:before="100" w:after="100"/>
              <w:jc w:val="center"/>
              <w:rPr>
                <w:b/>
                <w:bCs/>
                <w:color w:val="FFFFFF"/>
                <w:sz w:val="18"/>
                <w:szCs w:val="18"/>
              </w:rPr>
            </w:pPr>
            <w:r>
              <w:rPr>
                <w:b/>
                <w:bCs/>
                <w:color w:val="FFFFFF"/>
                <w:sz w:val="18"/>
                <w:szCs w:val="18"/>
              </w:rPr>
              <w:t>To Price</w:t>
            </w:r>
            <w:r w:rsidRPr="00C95548">
              <w:rPr>
                <w:b/>
                <w:bCs/>
                <w:color w:val="FFFFFF"/>
                <w:sz w:val="18"/>
                <w:szCs w:val="18"/>
              </w:rPr>
              <w:t xml:space="preserve"> (</w:t>
            </w:r>
            <w:r>
              <w:rPr>
                <w:b/>
                <w:bCs/>
                <w:color w:val="FFFFFF"/>
                <w:sz w:val="18"/>
                <w:szCs w:val="18"/>
              </w:rPr>
              <w:t>$/</w:t>
            </w:r>
            <w:r w:rsidRPr="00C95548">
              <w:rPr>
                <w:b/>
                <w:bCs/>
                <w:color w:val="FFFFFF"/>
                <w:sz w:val="18"/>
                <w:szCs w:val="18"/>
              </w:rPr>
              <w:t>MW</w:t>
            </w:r>
            <w:r>
              <w:rPr>
                <w:b/>
                <w:bCs/>
                <w:color w:val="FFFFFF"/>
                <w:sz w:val="18"/>
                <w:szCs w:val="18"/>
              </w:rPr>
              <w:t>h</w:t>
            </w:r>
            <w:r w:rsidRPr="00C95548">
              <w:rPr>
                <w:b/>
                <w:bCs/>
                <w:color w:val="FFFFFF"/>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4A442A"/>
          </w:tcPr>
          <w:p w:rsidR="00ED0076" w:rsidRPr="00C95548" w:rsidDel="0074250B" w:rsidRDefault="00ED0076">
            <w:pPr>
              <w:autoSpaceDE w:val="0"/>
              <w:autoSpaceDN w:val="0"/>
              <w:adjustRightInd w:val="0"/>
              <w:spacing w:before="100" w:after="100"/>
              <w:jc w:val="center"/>
              <w:rPr>
                <w:b/>
                <w:bCs/>
                <w:color w:val="FFFFFF"/>
                <w:sz w:val="18"/>
                <w:szCs w:val="18"/>
              </w:rPr>
            </w:pPr>
            <w:r>
              <w:rPr>
                <w:b/>
                <w:bCs/>
                <w:color w:val="FFFFFF"/>
                <w:sz w:val="18"/>
                <w:szCs w:val="18"/>
              </w:rPr>
              <w:t>Capacity</w:t>
            </w:r>
            <w:r w:rsidRPr="00C95548">
              <w:rPr>
                <w:b/>
                <w:bCs/>
                <w:color w:val="FFFFFF"/>
                <w:sz w:val="18"/>
                <w:szCs w:val="18"/>
              </w:rPr>
              <w:t xml:space="preserve"> (MW)</w:t>
            </w:r>
          </w:p>
        </w:tc>
        <w:tc>
          <w:tcPr>
            <w:tcW w:w="4253" w:type="dxa"/>
            <w:tcBorders>
              <w:top w:val="single" w:sz="4" w:space="0" w:color="auto"/>
              <w:left w:val="single" w:sz="4" w:space="0" w:color="auto"/>
              <w:bottom w:val="single" w:sz="4" w:space="0" w:color="auto"/>
              <w:right w:val="single" w:sz="4" w:space="0" w:color="auto"/>
            </w:tcBorders>
            <w:shd w:val="clear" w:color="auto" w:fill="4A442A"/>
          </w:tcPr>
          <w:p w:rsidR="00ED0076" w:rsidRPr="00C95548" w:rsidDel="0074250B" w:rsidRDefault="00ED0076" w:rsidP="000E7D65">
            <w:pPr>
              <w:autoSpaceDE w:val="0"/>
              <w:autoSpaceDN w:val="0"/>
              <w:adjustRightInd w:val="0"/>
              <w:spacing w:before="100" w:after="100"/>
              <w:jc w:val="center"/>
              <w:rPr>
                <w:b/>
                <w:bCs/>
                <w:color w:val="FFFFFF"/>
                <w:sz w:val="18"/>
                <w:szCs w:val="18"/>
              </w:rPr>
            </w:pPr>
            <w:r>
              <w:rPr>
                <w:b/>
                <w:bCs/>
                <w:color w:val="FFFFFF"/>
                <w:sz w:val="18"/>
                <w:szCs w:val="18"/>
              </w:rPr>
              <w:t>Reason</w:t>
            </w:r>
          </w:p>
        </w:tc>
      </w:tr>
      <w:tr w:rsidR="00ED0076" w:rsidRPr="00C95548" w:rsidDel="0074250B" w:rsidTr="0019515B">
        <w:trPr>
          <w:trHeight w:val="691"/>
        </w:trPr>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ED0076" w:rsidRPr="0019515B" w:rsidRDefault="00ED0076" w:rsidP="0019515B">
            <w:pPr>
              <w:autoSpaceDE w:val="0"/>
              <w:autoSpaceDN w:val="0"/>
              <w:adjustRightInd w:val="0"/>
              <w:spacing w:before="100" w:after="100"/>
              <w:jc w:val="center"/>
              <w:rPr>
                <w:rFonts w:cs="Gautami"/>
                <w:bCs/>
                <w:sz w:val="18"/>
                <w:szCs w:val="18"/>
              </w:rPr>
            </w:pPr>
            <w:r w:rsidRPr="0019515B">
              <w:rPr>
                <w:rFonts w:cs="Gautami"/>
                <w:bCs/>
                <w:sz w:val="18"/>
                <w:szCs w:val="18"/>
              </w:rPr>
              <w:t>11.40</w:t>
            </w:r>
            <w:r w:rsidRPr="0019515B">
              <w:rPr>
                <w:rFonts w:cs="Gautami" w:hint="eastAsia"/>
                <w:bCs/>
                <w:sz w:val="18"/>
                <w:szCs w:val="18"/>
              </w:rPr>
              <w:t> </w:t>
            </w:r>
            <w:r w:rsidRPr="0019515B">
              <w:rPr>
                <w:rFonts w:cs="Gautami"/>
                <w:bCs/>
                <w:sz w:val="18"/>
                <w:szCs w:val="18"/>
              </w:rPr>
              <w:t>AM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sidRPr="0019515B">
              <w:rPr>
                <w:rFonts w:cs="Gautami"/>
                <w:bCs/>
                <w:sz w:val="18"/>
                <w:szCs w:val="18"/>
              </w:rPr>
              <w:t>12.30</w:t>
            </w:r>
            <w:r w:rsidRPr="0019515B">
              <w:rPr>
                <w:rFonts w:cs="Gautami" w:hint="eastAsia"/>
                <w:bCs/>
                <w:sz w:val="18"/>
                <w:szCs w:val="18"/>
              </w:rPr>
              <w:t> </w:t>
            </w:r>
            <w:r>
              <w:rPr>
                <w:rFonts w:cs="Gautami"/>
                <w:bCs/>
                <w:sz w:val="18"/>
                <w:szCs w:val="18"/>
              </w:rPr>
              <w:t>PM</w:t>
            </w:r>
          </w:p>
          <w:p w:rsidR="00ED0076" w:rsidRPr="0019515B" w:rsidRDefault="00ED0076">
            <w:pPr>
              <w:autoSpaceDE w:val="0"/>
              <w:autoSpaceDN w:val="0"/>
              <w:adjustRightInd w:val="0"/>
              <w:spacing w:before="100" w:after="100"/>
              <w:jc w:val="center"/>
              <w:rPr>
                <w:rFonts w:cs="Gautami"/>
                <w:bCs/>
                <w:sz w:val="18"/>
                <w:szCs w:val="18"/>
              </w:rPr>
            </w:pPr>
            <w:r w:rsidRPr="0019515B">
              <w:rPr>
                <w:rFonts w:cs="Gautami"/>
                <w:bCs/>
                <w:sz w:val="18"/>
                <w:szCs w:val="18"/>
              </w:rPr>
              <w:t>1.00</w:t>
            </w:r>
            <w:r w:rsidRPr="0019515B">
              <w:rPr>
                <w:rFonts w:cs="Gautami" w:hint="eastAsia"/>
                <w:bCs/>
                <w:sz w:val="18"/>
                <w:szCs w:val="18"/>
              </w:rPr>
              <w:t> </w:t>
            </w:r>
            <w:r>
              <w:rPr>
                <w:rFonts w:cs="Gautami"/>
                <w:bCs/>
                <w:sz w:val="18"/>
                <w:szCs w:val="18"/>
              </w:rPr>
              <w:t>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sidRPr="0019515B">
              <w:rPr>
                <w:rFonts w:cs="Gautami"/>
                <w:bCs/>
                <w:sz w:val="18"/>
                <w:szCs w:val="18"/>
              </w:rPr>
              <w:t>0-12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sidRPr="0019515B">
              <w:rPr>
                <w:rFonts w:cs="Gautami"/>
                <w:bCs/>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sidRPr="0019515B">
              <w:rPr>
                <w:rFonts w:cs="Gautami"/>
                <w:bCs/>
                <w:sz w:val="18"/>
                <w:szCs w:val="18"/>
              </w:rPr>
              <w:t>1570</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Del="0074250B" w:rsidRDefault="00ED0076" w:rsidP="000E7D65">
            <w:pPr>
              <w:autoSpaceDE w:val="0"/>
              <w:autoSpaceDN w:val="0"/>
              <w:adjustRightInd w:val="0"/>
              <w:spacing w:before="100" w:after="100"/>
              <w:jc w:val="center"/>
              <w:rPr>
                <w:rFonts w:cs="Gautami"/>
                <w:bCs/>
                <w:sz w:val="18"/>
                <w:szCs w:val="18"/>
              </w:rPr>
            </w:pPr>
            <w:r w:rsidRPr="0019515B">
              <w:rPr>
                <w:rFonts w:cs="Gautami"/>
                <w:sz w:val="18"/>
                <w:szCs w:val="18"/>
              </w:rPr>
              <w:t>1138A 30 min predispatch prices lower than forecast-</w:t>
            </w:r>
            <w:proofErr w:type="spellStart"/>
            <w:r w:rsidRPr="0019515B">
              <w:rPr>
                <w:rFonts w:cs="Gautami"/>
                <w:sz w:val="18"/>
                <w:szCs w:val="18"/>
              </w:rPr>
              <w:t>sl</w:t>
            </w:r>
            <w:proofErr w:type="spellEnd"/>
          </w:p>
        </w:tc>
      </w:tr>
      <w:tr w:rsidR="00ED0076" w:rsidRPr="00C95548" w:rsidDel="0074250B" w:rsidTr="0019515B">
        <w:trPr>
          <w:trHeight w:val="574"/>
        </w:trPr>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ED0076" w:rsidRPr="0019515B" w:rsidRDefault="00ED0076" w:rsidP="00996002">
            <w:pPr>
              <w:autoSpaceDE w:val="0"/>
              <w:autoSpaceDN w:val="0"/>
              <w:adjustRightInd w:val="0"/>
              <w:spacing w:before="100" w:after="100"/>
              <w:jc w:val="center"/>
              <w:rPr>
                <w:rFonts w:cs="Gautami"/>
                <w:bCs/>
                <w:sz w:val="18"/>
                <w:szCs w:val="18"/>
              </w:rPr>
            </w:pPr>
            <w:r w:rsidRPr="0019515B">
              <w:rPr>
                <w:rFonts w:cs="Gautami"/>
                <w:bCs/>
                <w:sz w:val="18"/>
                <w:szCs w:val="18"/>
              </w:rPr>
              <w:t>12.58</w:t>
            </w:r>
            <w:r w:rsidRPr="0019515B">
              <w:rPr>
                <w:rFonts w:cs="Gautami" w:hint="eastAsia"/>
                <w:bCs/>
                <w:sz w:val="18"/>
                <w:szCs w:val="18"/>
              </w:rPr>
              <w:t> </w:t>
            </w:r>
            <w:r w:rsidR="00996002">
              <w:rPr>
                <w:rFonts w:cs="Gautami"/>
                <w:bCs/>
                <w:sz w:val="18"/>
                <w:szCs w:val="18"/>
              </w:rPr>
              <w:t>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Pr>
                <w:rFonts w:cs="Gautami"/>
                <w:bCs/>
                <w:sz w:val="18"/>
                <w:szCs w:val="18"/>
              </w:rPr>
              <w:t>1.30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Pr>
                <w:rFonts w:cs="Gautami"/>
                <w:bCs/>
                <w:sz w:val="18"/>
                <w:szCs w:val="18"/>
              </w:rPr>
              <w:t>0-12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Pr>
                <w:rFonts w:cs="Gautami"/>
                <w:bCs/>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ED0076">
            <w:pPr>
              <w:autoSpaceDE w:val="0"/>
              <w:autoSpaceDN w:val="0"/>
              <w:adjustRightInd w:val="0"/>
              <w:spacing w:before="100" w:after="100"/>
              <w:jc w:val="center"/>
              <w:rPr>
                <w:rFonts w:cs="Gautami"/>
                <w:bCs/>
                <w:sz w:val="18"/>
                <w:szCs w:val="18"/>
              </w:rPr>
            </w:pPr>
            <w:r>
              <w:rPr>
                <w:rFonts w:cs="Gautami"/>
                <w:bCs/>
                <w:sz w:val="18"/>
                <w:szCs w:val="18"/>
              </w:rPr>
              <w:t>1550</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Del="0074250B" w:rsidRDefault="00ED0076">
            <w:pPr>
              <w:autoSpaceDE w:val="0"/>
              <w:autoSpaceDN w:val="0"/>
              <w:adjustRightInd w:val="0"/>
              <w:spacing w:before="100" w:after="100"/>
              <w:jc w:val="center"/>
              <w:rPr>
                <w:rFonts w:cs="Gautami"/>
                <w:bCs/>
                <w:sz w:val="18"/>
                <w:szCs w:val="18"/>
              </w:rPr>
            </w:pPr>
            <w:r w:rsidRPr="000E7D65">
              <w:rPr>
                <w:rFonts w:eastAsia="Calibri" w:cs="Gautami"/>
                <w:sz w:val="18"/>
                <w:szCs w:val="18"/>
              </w:rPr>
              <w:t>1</w:t>
            </w:r>
            <w:r>
              <w:rPr>
                <w:rFonts w:eastAsia="Calibri" w:cs="Gautami"/>
                <w:sz w:val="18"/>
                <w:szCs w:val="18"/>
              </w:rPr>
              <w:t>255</w:t>
            </w:r>
            <w:r w:rsidRPr="000E7D65">
              <w:rPr>
                <w:rFonts w:eastAsia="Calibri" w:cs="Gautami"/>
                <w:sz w:val="18"/>
                <w:szCs w:val="18"/>
              </w:rPr>
              <w:t xml:space="preserve">A </w:t>
            </w:r>
            <w:r w:rsidRPr="000E7D65">
              <w:rPr>
                <w:rFonts w:cs="Gautami"/>
                <w:sz w:val="18"/>
                <w:szCs w:val="18"/>
              </w:rPr>
              <w:t>30 min predispatch prices lower than forecast-</w:t>
            </w:r>
            <w:proofErr w:type="spellStart"/>
            <w:r w:rsidRPr="000E7D65">
              <w:rPr>
                <w:rFonts w:cs="Gautami"/>
                <w:sz w:val="18"/>
                <w:szCs w:val="18"/>
              </w:rPr>
              <w:t>sl</w:t>
            </w:r>
            <w:proofErr w:type="spellEnd"/>
          </w:p>
        </w:tc>
      </w:tr>
      <w:tr w:rsidR="007404BA" w:rsidRPr="00C95548" w:rsidDel="0074250B" w:rsidTr="0019515B">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7404BA" w:rsidRPr="0019515B" w:rsidRDefault="007404BA" w:rsidP="0019515B">
            <w:pPr>
              <w:autoSpaceDE w:val="0"/>
              <w:autoSpaceDN w:val="0"/>
              <w:adjustRightInd w:val="0"/>
              <w:spacing w:before="100" w:after="100"/>
              <w:jc w:val="center"/>
              <w:rPr>
                <w:rFonts w:cs="Gautami"/>
                <w:bCs/>
                <w:sz w:val="18"/>
                <w:szCs w:val="18"/>
              </w:rPr>
            </w:pPr>
            <w:r w:rsidRPr="000E7D65">
              <w:rPr>
                <w:rFonts w:cs="Gautami"/>
                <w:bCs/>
                <w:sz w:val="18"/>
                <w:szCs w:val="18"/>
              </w:rPr>
              <w:t>1.24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404BA" w:rsidRPr="0019515B" w:rsidRDefault="007404BA">
            <w:pPr>
              <w:autoSpaceDE w:val="0"/>
              <w:autoSpaceDN w:val="0"/>
              <w:adjustRightInd w:val="0"/>
              <w:spacing w:before="100" w:after="100"/>
              <w:jc w:val="center"/>
              <w:rPr>
                <w:rFonts w:cs="Gautami"/>
                <w:bCs/>
                <w:sz w:val="18"/>
                <w:szCs w:val="18"/>
              </w:rPr>
            </w:pPr>
            <w:r w:rsidRPr="000E7D65">
              <w:rPr>
                <w:rFonts w:cs="Gautami"/>
                <w:sz w:val="18"/>
                <w:szCs w:val="18"/>
              </w:rPr>
              <w:t>2.00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404BA" w:rsidRPr="0019515B" w:rsidRDefault="007404BA">
            <w:pPr>
              <w:autoSpaceDE w:val="0"/>
              <w:autoSpaceDN w:val="0"/>
              <w:adjustRightInd w:val="0"/>
              <w:spacing w:before="100" w:after="100"/>
              <w:jc w:val="center"/>
              <w:rPr>
                <w:rFonts w:cs="Gautami"/>
                <w:bCs/>
                <w:sz w:val="18"/>
                <w:szCs w:val="18"/>
              </w:rPr>
            </w:pPr>
            <w:r w:rsidRPr="000E7D65">
              <w:rPr>
                <w:rFonts w:cs="Gautami"/>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404BA" w:rsidRPr="0019515B" w:rsidRDefault="007404BA">
            <w:pPr>
              <w:autoSpaceDE w:val="0"/>
              <w:autoSpaceDN w:val="0"/>
              <w:adjustRightInd w:val="0"/>
              <w:spacing w:before="100" w:after="100"/>
              <w:jc w:val="center"/>
              <w:rPr>
                <w:rFonts w:cs="Gautami"/>
                <w:bCs/>
                <w:sz w:val="18"/>
                <w:szCs w:val="18"/>
              </w:rPr>
            </w:pPr>
            <w:r w:rsidRPr="000E7D65">
              <w:rPr>
                <w:rFonts w:cs="Gautami"/>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404BA" w:rsidRPr="0019515B" w:rsidRDefault="007404BA">
            <w:pPr>
              <w:autoSpaceDE w:val="0"/>
              <w:autoSpaceDN w:val="0"/>
              <w:adjustRightInd w:val="0"/>
              <w:spacing w:before="100" w:after="100"/>
              <w:jc w:val="center"/>
              <w:rPr>
                <w:rFonts w:cs="Gautami"/>
                <w:bCs/>
                <w:sz w:val="18"/>
                <w:szCs w:val="18"/>
              </w:rPr>
            </w:pPr>
            <w:r w:rsidRPr="000E7D65">
              <w:rPr>
                <w:rFonts w:cs="Gautami"/>
                <w:sz w:val="18"/>
                <w:szCs w:val="18"/>
              </w:rPr>
              <w:t>850</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404BA" w:rsidRPr="0019515B" w:rsidDel="0074250B" w:rsidRDefault="007404BA" w:rsidP="000E7D65">
            <w:pPr>
              <w:autoSpaceDE w:val="0"/>
              <w:autoSpaceDN w:val="0"/>
              <w:adjustRightInd w:val="0"/>
              <w:spacing w:before="100" w:after="100"/>
              <w:jc w:val="center"/>
              <w:rPr>
                <w:rFonts w:cs="Gautami"/>
                <w:bCs/>
                <w:sz w:val="18"/>
                <w:szCs w:val="18"/>
              </w:rPr>
            </w:pPr>
            <w:r w:rsidRPr="000E7D65">
              <w:rPr>
                <w:rFonts w:eastAsia="Calibri" w:cs="Gautami"/>
                <w:sz w:val="18"/>
                <w:szCs w:val="18"/>
              </w:rPr>
              <w:t xml:space="preserve">1322A </w:t>
            </w:r>
            <w:r w:rsidRPr="000E7D65">
              <w:rPr>
                <w:rFonts w:cs="Gautami"/>
                <w:sz w:val="18"/>
                <w:szCs w:val="18"/>
              </w:rPr>
              <w:t>30 min predispatch prices lower than forecast-</w:t>
            </w:r>
            <w:proofErr w:type="spellStart"/>
            <w:r w:rsidRPr="000E7D65">
              <w:rPr>
                <w:rFonts w:cs="Gautami"/>
                <w:sz w:val="18"/>
                <w:szCs w:val="18"/>
              </w:rPr>
              <w:t>sl</w:t>
            </w:r>
            <w:proofErr w:type="spellEnd"/>
          </w:p>
        </w:tc>
      </w:tr>
      <w:tr w:rsidR="00996002" w:rsidRPr="00C95548" w:rsidDel="0074250B" w:rsidTr="0019515B">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996002" w:rsidRPr="000E7D65" w:rsidRDefault="00996002" w:rsidP="0019515B">
            <w:pPr>
              <w:autoSpaceDE w:val="0"/>
              <w:autoSpaceDN w:val="0"/>
              <w:adjustRightInd w:val="0"/>
              <w:spacing w:before="100" w:after="100"/>
              <w:jc w:val="center"/>
              <w:rPr>
                <w:rFonts w:cs="Gautami"/>
                <w:bCs/>
                <w:sz w:val="18"/>
                <w:szCs w:val="18"/>
              </w:rPr>
            </w:pPr>
            <w:r>
              <w:rPr>
                <w:rFonts w:cs="Gautami"/>
                <w:bCs/>
                <w:sz w:val="18"/>
                <w:szCs w:val="18"/>
              </w:rPr>
              <w:lastRenderedPageBreak/>
              <w:t>1.26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6002" w:rsidRPr="000E7D65" w:rsidRDefault="00996002">
            <w:pPr>
              <w:autoSpaceDE w:val="0"/>
              <w:autoSpaceDN w:val="0"/>
              <w:adjustRightInd w:val="0"/>
              <w:spacing w:before="100" w:after="100"/>
              <w:jc w:val="center"/>
              <w:rPr>
                <w:rFonts w:cs="Gautami"/>
                <w:sz w:val="18"/>
                <w:szCs w:val="18"/>
              </w:rPr>
            </w:pPr>
            <w:r>
              <w:rPr>
                <w:rFonts w:cs="Gautami"/>
                <w:sz w:val="18"/>
                <w:szCs w:val="18"/>
              </w:rPr>
              <w:t>2.00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6002" w:rsidRPr="000E7D65" w:rsidRDefault="00996002">
            <w:pPr>
              <w:autoSpaceDE w:val="0"/>
              <w:autoSpaceDN w:val="0"/>
              <w:adjustRightInd w:val="0"/>
              <w:spacing w:before="100" w:after="100"/>
              <w:jc w:val="center"/>
              <w:rPr>
                <w:rFonts w:cs="Gautami"/>
                <w:sz w:val="18"/>
                <w:szCs w:val="18"/>
              </w:rPr>
            </w:pPr>
            <w:r>
              <w:rPr>
                <w:rFonts w:cs="Gautami"/>
                <w:sz w:val="18"/>
                <w:szCs w:val="18"/>
              </w:rPr>
              <w:t>0-12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6002" w:rsidRPr="000E7D65" w:rsidRDefault="00996002">
            <w:pPr>
              <w:autoSpaceDE w:val="0"/>
              <w:autoSpaceDN w:val="0"/>
              <w:adjustRightInd w:val="0"/>
              <w:spacing w:before="100" w:after="100"/>
              <w:jc w:val="center"/>
              <w:rPr>
                <w:rFonts w:cs="Gautami"/>
                <w:sz w:val="18"/>
                <w:szCs w:val="18"/>
              </w:rPr>
            </w:pPr>
            <w:r>
              <w:rPr>
                <w:rFonts w:cs="Gautami"/>
                <w:bCs/>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6002" w:rsidRPr="000E7D65" w:rsidRDefault="00996002">
            <w:pPr>
              <w:autoSpaceDE w:val="0"/>
              <w:autoSpaceDN w:val="0"/>
              <w:adjustRightInd w:val="0"/>
              <w:spacing w:before="100" w:after="100"/>
              <w:jc w:val="center"/>
              <w:rPr>
                <w:rFonts w:cs="Gautami"/>
                <w:sz w:val="18"/>
                <w:szCs w:val="18"/>
              </w:rPr>
            </w:pPr>
            <w:r>
              <w:rPr>
                <w:rFonts w:cs="Gautami"/>
                <w:sz w:val="18"/>
                <w:szCs w:val="18"/>
              </w:rPr>
              <w:t>600</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6002" w:rsidRPr="000E7D65" w:rsidRDefault="00996002" w:rsidP="00996002">
            <w:pPr>
              <w:autoSpaceDE w:val="0"/>
              <w:autoSpaceDN w:val="0"/>
              <w:adjustRightInd w:val="0"/>
              <w:spacing w:before="100" w:after="100"/>
              <w:jc w:val="center"/>
              <w:rPr>
                <w:rFonts w:eastAsia="Calibri" w:cs="Gautami"/>
                <w:sz w:val="18"/>
                <w:szCs w:val="18"/>
              </w:rPr>
            </w:pPr>
            <w:r w:rsidRPr="000E7D65">
              <w:rPr>
                <w:rFonts w:eastAsia="Calibri" w:cs="Gautami"/>
                <w:sz w:val="18"/>
                <w:szCs w:val="18"/>
              </w:rPr>
              <w:t>132</w:t>
            </w:r>
            <w:r>
              <w:rPr>
                <w:rFonts w:eastAsia="Calibri" w:cs="Gautami"/>
                <w:sz w:val="18"/>
                <w:szCs w:val="18"/>
              </w:rPr>
              <w:t>6</w:t>
            </w:r>
            <w:r w:rsidRPr="000E7D65">
              <w:rPr>
                <w:rFonts w:eastAsia="Calibri" w:cs="Gautami"/>
                <w:sz w:val="18"/>
                <w:szCs w:val="18"/>
              </w:rPr>
              <w:t xml:space="preserve">A </w:t>
            </w:r>
            <w:r w:rsidRPr="000E7D65">
              <w:rPr>
                <w:rFonts w:cs="Gautami"/>
                <w:sz w:val="18"/>
                <w:szCs w:val="18"/>
              </w:rPr>
              <w:t>30 min predispatch prices lower than forecast-</w:t>
            </w:r>
            <w:proofErr w:type="spellStart"/>
            <w:r w:rsidRPr="000E7D65">
              <w:rPr>
                <w:rFonts w:cs="Gautami"/>
                <w:sz w:val="18"/>
                <w:szCs w:val="18"/>
              </w:rPr>
              <w:t>sl</w:t>
            </w:r>
            <w:proofErr w:type="spellEnd"/>
          </w:p>
        </w:tc>
      </w:tr>
      <w:tr w:rsidR="00ED0076" w:rsidRPr="00C95548" w:rsidDel="0074250B" w:rsidTr="0019515B">
        <w:trPr>
          <w:trHeight w:val="560"/>
        </w:trPr>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ED0076" w:rsidRPr="0019515B" w:rsidRDefault="007404BA" w:rsidP="0019515B">
            <w:pPr>
              <w:autoSpaceDE w:val="0"/>
              <w:autoSpaceDN w:val="0"/>
              <w:adjustRightInd w:val="0"/>
              <w:spacing w:before="100" w:after="100"/>
              <w:jc w:val="center"/>
              <w:rPr>
                <w:rFonts w:cs="Gautami"/>
                <w:bCs/>
                <w:sz w:val="18"/>
                <w:szCs w:val="18"/>
              </w:rPr>
            </w:pPr>
            <w:r>
              <w:rPr>
                <w:rFonts w:cs="Gautami"/>
                <w:bCs/>
                <w:sz w:val="18"/>
                <w:szCs w:val="18"/>
              </w:rPr>
              <w:t>2.03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7404BA">
            <w:pPr>
              <w:autoSpaceDE w:val="0"/>
              <w:autoSpaceDN w:val="0"/>
              <w:adjustRightInd w:val="0"/>
              <w:spacing w:before="100" w:after="100"/>
              <w:jc w:val="center"/>
              <w:rPr>
                <w:rFonts w:cs="Gautami"/>
                <w:bCs/>
                <w:sz w:val="18"/>
                <w:szCs w:val="18"/>
              </w:rPr>
            </w:pPr>
            <w:r>
              <w:rPr>
                <w:rFonts w:cs="Gautami"/>
                <w:bCs/>
                <w:sz w:val="18"/>
                <w:szCs w:val="18"/>
              </w:rPr>
              <w:t>2.30 PM</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7404BA">
            <w:pPr>
              <w:autoSpaceDE w:val="0"/>
              <w:autoSpaceDN w:val="0"/>
              <w:adjustRightInd w:val="0"/>
              <w:spacing w:before="100" w:after="100"/>
              <w:jc w:val="center"/>
              <w:rPr>
                <w:rFonts w:cs="Gautami"/>
                <w:bCs/>
                <w:sz w:val="18"/>
                <w:szCs w:val="18"/>
              </w:rPr>
            </w:pPr>
            <w:r>
              <w:rPr>
                <w:rFonts w:cs="Gautami"/>
                <w:bCs/>
                <w:sz w:val="18"/>
                <w:szCs w:val="18"/>
              </w:rPr>
              <w:t>0-12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7404BA">
            <w:pPr>
              <w:autoSpaceDE w:val="0"/>
              <w:autoSpaceDN w:val="0"/>
              <w:adjustRightInd w:val="0"/>
              <w:spacing w:before="100" w:after="100"/>
              <w:jc w:val="center"/>
              <w:rPr>
                <w:rFonts w:cs="Gautami"/>
                <w:bCs/>
                <w:sz w:val="18"/>
                <w:szCs w:val="18"/>
              </w:rPr>
            </w:pPr>
            <w:r>
              <w:rPr>
                <w:rFonts w:cs="Gautami"/>
                <w:bCs/>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RDefault="007404BA">
            <w:pPr>
              <w:autoSpaceDE w:val="0"/>
              <w:autoSpaceDN w:val="0"/>
              <w:adjustRightInd w:val="0"/>
              <w:spacing w:before="100" w:after="100"/>
              <w:jc w:val="center"/>
              <w:rPr>
                <w:rFonts w:cs="Gautami"/>
                <w:bCs/>
                <w:sz w:val="18"/>
                <w:szCs w:val="18"/>
              </w:rPr>
            </w:pPr>
            <w:r>
              <w:rPr>
                <w:rFonts w:cs="Gautami"/>
                <w:bCs/>
                <w:sz w:val="18"/>
                <w:szCs w:val="18"/>
              </w:rPr>
              <w:t>1450</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tcPr>
          <w:p w:rsidR="00ED0076" w:rsidRPr="0019515B" w:rsidDel="0074250B" w:rsidRDefault="007404BA">
            <w:pPr>
              <w:autoSpaceDE w:val="0"/>
              <w:autoSpaceDN w:val="0"/>
              <w:adjustRightInd w:val="0"/>
              <w:spacing w:before="100" w:after="100"/>
              <w:jc w:val="center"/>
              <w:rPr>
                <w:rFonts w:cs="Gautami"/>
                <w:bCs/>
                <w:sz w:val="18"/>
                <w:szCs w:val="18"/>
              </w:rPr>
            </w:pPr>
            <w:r w:rsidRPr="000E7D65">
              <w:rPr>
                <w:rFonts w:eastAsia="Calibri" w:cs="Gautami"/>
                <w:sz w:val="18"/>
                <w:szCs w:val="18"/>
              </w:rPr>
              <w:t>1</w:t>
            </w:r>
            <w:r>
              <w:rPr>
                <w:rFonts w:eastAsia="Calibri" w:cs="Gautami"/>
                <w:sz w:val="18"/>
                <w:szCs w:val="18"/>
              </w:rPr>
              <w:t>402</w:t>
            </w:r>
            <w:r w:rsidRPr="000E7D65">
              <w:rPr>
                <w:rFonts w:eastAsia="Calibri" w:cs="Gautami"/>
                <w:sz w:val="18"/>
                <w:szCs w:val="18"/>
              </w:rPr>
              <w:t xml:space="preserve">A </w:t>
            </w:r>
            <w:r w:rsidRPr="000E7D65">
              <w:rPr>
                <w:rFonts w:cs="Gautami"/>
                <w:sz w:val="18"/>
                <w:szCs w:val="18"/>
              </w:rPr>
              <w:t>30 min predispatch prices lower than forecast-</w:t>
            </w:r>
            <w:proofErr w:type="spellStart"/>
            <w:r w:rsidRPr="000E7D65">
              <w:rPr>
                <w:rFonts w:cs="Gautami"/>
                <w:sz w:val="18"/>
                <w:szCs w:val="18"/>
              </w:rPr>
              <w:t>sl</w:t>
            </w:r>
            <w:proofErr w:type="spellEnd"/>
          </w:p>
        </w:tc>
      </w:tr>
    </w:tbl>
    <w:p w:rsidR="0066683F" w:rsidRDefault="0066683F" w:rsidP="00F04B0E">
      <w:pPr>
        <w:pStyle w:val="AERbodytext"/>
      </w:pPr>
    </w:p>
    <w:p w:rsidR="00F1675B" w:rsidRDefault="00A92637" w:rsidP="00F1675B">
      <w:pPr>
        <w:pStyle w:val="AERbodytext"/>
      </w:pPr>
      <w:r>
        <w:t xml:space="preserve">These rebids meant there was around 5000 MW of available capacity in Queensland priced at the price floor between 12.05 pm and 2.30 pm. This </w:t>
      </w:r>
      <w:r w:rsidR="00F1675B">
        <w:t xml:space="preserve">combined with low demand </w:t>
      </w:r>
      <w:r>
        <w:t xml:space="preserve">of around 4900 MW </w:t>
      </w:r>
      <w:r w:rsidR="00F1675B">
        <w:t xml:space="preserve">and </w:t>
      </w:r>
      <w:r>
        <w:t>limited e</w:t>
      </w:r>
      <w:r w:rsidR="00F1675B">
        <w:t>xport</w:t>
      </w:r>
      <w:r>
        <w:t xml:space="preserve"> capability saw the five minute</w:t>
      </w:r>
      <w:r w:rsidR="00F1675B">
        <w:t xml:space="preserve"> price </w:t>
      </w:r>
      <w:r>
        <w:t>fall to the</w:t>
      </w:r>
      <w:r w:rsidR="00F1675B">
        <w:t xml:space="preserve"> </w:t>
      </w:r>
      <w:r>
        <w:t>price</w:t>
      </w:r>
      <w:r w:rsidR="00F1675B">
        <w:t xml:space="preserve"> floor on six occasions</w:t>
      </w:r>
      <w:r w:rsidR="00F1675B" w:rsidRPr="00906BDA">
        <w:t xml:space="preserve"> </w:t>
      </w:r>
      <w:r w:rsidR="00F1675B">
        <w:t>from 12.25 pm to 2.05 pm.</w:t>
      </w:r>
    </w:p>
    <w:p w:rsidR="00D206E0" w:rsidRDefault="00D206E0" w:rsidP="00D206E0">
      <w:pPr>
        <w:pStyle w:val="AERbodytext"/>
      </w:pPr>
      <w:r>
        <w:t>There was no other significant rebidding.</w:t>
      </w:r>
    </w:p>
    <w:p w:rsidR="00DC7CD4" w:rsidRPr="00E77E9F" w:rsidRDefault="00DC7CD4" w:rsidP="00DC7CD4">
      <w:pPr>
        <w:pStyle w:val="AERtabletitle"/>
      </w:pPr>
      <w:r w:rsidRPr="00E77E9F">
        <w:t xml:space="preserve">Table </w:t>
      </w:r>
      <w:r w:rsidR="007404BA">
        <w:t>5</w:t>
      </w:r>
      <w:r w:rsidRPr="00E77E9F">
        <w:t xml:space="preserve">: </w:t>
      </w:r>
      <w:r>
        <w:t>South Australia</w:t>
      </w:r>
      <w:r w:rsidRPr="00E77E9F">
        <w:t xml:space="preserve">, </w:t>
      </w:r>
      <w:r>
        <w:t>Tuesday 1</w:t>
      </w:r>
      <w:r w:rsidRPr="00E77E9F">
        <w:t xml:space="preserve"> </w:t>
      </w:r>
      <w:r>
        <w:t>July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DC7CD4" w:rsidRPr="00B309A7" w:rsidTr="00CC64ED">
        <w:tc>
          <w:tcPr>
            <w:tcW w:w="993" w:type="dxa"/>
            <w:tcBorders>
              <w:top w:val="single" w:sz="4" w:space="0" w:color="auto"/>
              <w:left w:val="single" w:sz="4" w:space="0" w:color="auto"/>
              <w:bottom w:val="nil"/>
            </w:tcBorders>
            <w:shd w:val="clear" w:color="auto" w:fill="4A442A"/>
            <w:noWrap/>
          </w:tcPr>
          <w:p w:rsidR="00DC7CD4" w:rsidRPr="00C95548" w:rsidRDefault="00DC7CD4" w:rsidP="00CC64ED">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DC7CD4" w:rsidRPr="00C95548"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DC7CD4" w:rsidRPr="00C95548" w:rsidDel="0074250B"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C7CD4" w:rsidRPr="00C95548" w:rsidDel="0074250B" w:rsidRDefault="00DC7CD4" w:rsidP="00CC64ED">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C7CD4" w:rsidRPr="00E77E9F" w:rsidTr="00CC64ED">
        <w:tc>
          <w:tcPr>
            <w:tcW w:w="993" w:type="dxa"/>
            <w:tcBorders>
              <w:top w:val="nil"/>
              <w:left w:val="single" w:sz="4" w:space="0" w:color="auto"/>
              <w:bottom w:val="nil"/>
              <w:right w:val="single" w:sz="6" w:space="0" w:color="auto"/>
            </w:tcBorders>
            <w:shd w:val="clear" w:color="auto" w:fill="DDD9C3"/>
            <w:noWrap/>
          </w:tcPr>
          <w:p w:rsidR="00DC7CD4" w:rsidRPr="00E77E9F" w:rsidRDefault="00DC7CD4" w:rsidP="00CC64ED">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4" w:space="0" w:color="auto"/>
            </w:tcBorders>
            <w:shd w:val="clear" w:color="auto" w:fill="DDD9C3"/>
          </w:tcPr>
          <w:p w:rsidR="00DC7CD4" w:rsidRPr="00E77E9F" w:rsidRDefault="00DC7CD4" w:rsidP="00CC64ED">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DC7CD4" w:rsidRPr="0014596E" w:rsidTr="00CC64ED">
        <w:tc>
          <w:tcPr>
            <w:tcW w:w="993" w:type="dxa"/>
            <w:tcBorders>
              <w:top w:val="nil"/>
              <w:left w:val="single" w:sz="4" w:space="0" w:color="auto"/>
              <w:bottom w:val="single" w:sz="4" w:space="0" w:color="auto"/>
              <w:right w:val="single" w:sz="6" w:space="0" w:color="auto"/>
            </w:tcBorders>
            <w:shd w:val="clear" w:color="auto" w:fill="EEECE1"/>
            <w:noWrap/>
          </w:tcPr>
          <w:p w:rsidR="00DC7CD4" w:rsidRPr="00E77E9F" w:rsidRDefault="00DC7CD4" w:rsidP="00CC64ED">
            <w:pPr>
              <w:autoSpaceDE w:val="0"/>
              <w:autoSpaceDN w:val="0"/>
              <w:adjustRightInd w:val="0"/>
              <w:spacing w:before="100" w:after="100"/>
              <w:rPr>
                <w:b/>
                <w:bCs/>
                <w:sz w:val="18"/>
                <w:szCs w:val="18"/>
              </w:rPr>
            </w:pPr>
            <w:r>
              <w:rPr>
                <w:b/>
                <w:bCs/>
                <w:sz w:val="18"/>
                <w:szCs w:val="18"/>
              </w:rPr>
              <w:t>8.30 AM</w:t>
            </w:r>
          </w:p>
        </w:tc>
        <w:tc>
          <w:tcPr>
            <w:tcW w:w="834" w:type="dxa"/>
            <w:tcBorders>
              <w:top w:val="nil"/>
              <w:left w:val="single" w:sz="6" w:space="0" w:color="auto"/>
              <w:bottom w:val="single" w:sz="4" w:space="0" w:color="auto"/>
              <w:right w:val="nil"/>
            </w:tcBorders>
            <w:shd w:val="clear" w:color="auto" w:fill="EEECE1"/>
            <w:noWrap/>
            <w:vAlign w:val="center"/>
          </w:tcPr>
          <w:p w:rsidR="00DC7CD4" w:rsidRPr="00FD28E1" w:rsidRDefault="00DC7CD4" w:rsidP="00DC7CD4">
            <w:pPr>
              <w:ind w:right="-124"/>
              <w:jc w:val="center"/>
              <w:rPr>
                <w:sz w:val="18"/>
              </w:rPr>
            </w:pPr>
            <w:r>
              <w:rPr>
                <w:sz w:val="18"/>
              </w:rPr>
              <w:t>1 966.12</w:t>
            </w:r>
          </w:p>
        </w:tc>
        <w:tc>
          <w:tcPr>
            <w:tcW w:w="976" w:type="dxa"/>
            <w:tcBorders>
              <w:top w:val="nil"/>
              <w:left w:val="nil"/>
              <w:bottom w:val="single" w:sz="4" w:space="0" w:color="auto"/>
              <w:right w:val="nil"/>
            </w:tcBorders>
            <w:shd w:val="clear" w:color="auto" w:fill="EEECE1"/>
            <w:noWrap/>
            <w:vAlign w:val="center"/>
          </w:tcPr>
          <w:p w:rsidR="00DC7CD4" w:rsidRPr="00FD28E1" w:rsidRDefault="00DC7CD4" w:rsidP="00CC64ED">
            <w:pPr>
              <w:jc w:val="center"/>
              <w:rPr>
                <w:sz w:val="18"/>
              </w:rPr>
            </w:pPr>
            <w:r>
              <w:rPr>
                <w:sz w:val="18"/>
              </w:rPr>
              <w:t>79.45</w:t>
            </w:r>
          </w:p>
        </w:tc>
        <w:tc>
          <w:tcPr>
            <w:tcW w:w="977" w:type="dxa"/>
            <w:tcBorders>
              <w:top w:val="nil"/>
              <w:left w:val="nil"/>
              <w:bottom w:val="single" w:sz="4" w:space="0" w:color="auto"/>
              <w:right w:val="single" w:sz="6" w:space="0" w:color="auto"/>
            </w:tcBorders>
            <w:shd w:val="clear" w:color="auto" w:fill="EEECE1"/>
            <w:noWrap/>
            <w:vAlign w:val="center"/>
          </w:tcPr>
          <w:p w:rsidR="00DC7CD4" w:rsidRPr="00FD28E1" w:rsidRDefault="00DC7CD4" w:rsidP="00CC64ED">
            <w:pPr>
              <w:jc w:val="center"/>
              <w:rPr>
                <w:sz w:val="18"/>
              </w:rPr>
            </w:pPr>
            <w:r>
              <w:rPr>
                <w:sz w:val="18"/>
              </w:rPr>
              <w:t>70.79</w:t>
            </w:r>
          </w:p>
        </w:tc>
        <w:tc>
          <w:tcPr>
            <w:tcW w:w="976" w:type="dxa"/>
            <w:tcBorders>
              <w:top w:val="nil"/>
              <w:left w:val="single" w:sz="6" w:space="0" w:color="auto"/>
              <w:bottom w:val="single" w:sz="4" w:space="0" w:color="auto"/>
              <w:right w:val="nil"/>
            </w:tcBorders>
            <w:shd w:val="clear" w:color="auto" w:fill="EEECE1"/>
            <w:vAlign w:val="center"/>
          </w:tcPr>
          <w:p w:rsidR="00DC7CD4" w:rsidRPr="00FD28E1" w:rsidRDefault="00DC7CD4" w:rsidP="00DC7CD4">
            <w:pPr>
              <w:jc w:val="center"/>
              <w:rPr>
                <w:sz w:val="18"/>
              </w:rPr>
            </w:pPr>
            <w:r>
              <w:rPr>
                <w:sz w:val="18"/>
              </w:rPr>
              <w:t>1 794</w:t>
            </w:r>
          </w:p>
        </w:tc>
        <w:tc>
          <w:tcPr>
            <w:tcW w:w="977" w:type="dxa"/>
            <w:tcBorders>
              <w:top w:val="nil"/>
              <w:left w:val="nil"/>
              <w:bottom w:val="single" w:sz="4" w:space="0" w:color="auto"/>
              <w:right w:val="nil"/>
            </w:tcBorders>
            <w:shd w:val="clear" w:color="auto" w:fill="EEECE1"/>
            <w:vAlign w:val="center"/>
          </w:tcPr>
          <w:p w:rsidR="00DC7CD4" w:rsidRPr="00FD28E1" w:rsidRDefault="00DC7CD4" w:rsidP="00CC64ED">
            <w:pPr>
              <w:jc w:val="center"/>
              <w:rPr>
                <w:sz w:val="18"/>
              </w:rPr>
            </w:pPr>
            <w:r>
              <w:rPr>
                <w:sz w:val="18"/>
              </w:rPr>
              <w:t>1 754</w:t>
            </w:r>
          </w:p>
        </w:tc>
        <w:tc>
          <w:tcPr>
            <w:tcW w:w="976" w:type="dxa"/>
            <w:tcBorders>
              <w:top w:val="nil"/>
              <w:left w:val="nil"/>
              <w:bottom w:val="single" w:sz="4" w:space="0" w:color="auto"/>
              <w:right w:val="single" w:sz="6" w:space="0" w:color="auto"/>
            </w:tcBorders>
            <w:shd w:val="clear" w:color="auto" w:fill="EEECE1"/>
            <w:vAlign w:val="center"/>
          </w:tcPr>
          <w:p w:rsidR="00DC7CD4" w:rsidRPr="00FD28E1" w:rsidRDefault="00DC7CD4" w:rsidP="00CC64ED">
            <w:pPr>
              <w:jc w:val="center"/>
              <w:rPr>
                <w:sz w:val="18"/>
              </w:rPr>
            </w:pPr>
            <w:r>
              <w:rPr>
                <w:sz w:val="18"/>
              </w:rPr>
              <w:t>1 759</w:t>
            </w:r>
          </w:p>
        </w:tc>
        <w:tc>
          <w:tcPr>
            <w:tcW w:w="977" w:type="dxa"/>
            <w:tcBorders>
              <w:top w:val="nil"/>
              <w:left w:val="single" w:sz="6" w:space="0" w:color="auto"/>
              <w:bottom w:val="single" w:sz="4" w:space="0" w:color="auto"/>
              <w:right w:val="nil"/>
            </w:tcBorders>
            <w:shd w:val="clear" w:color="auto" w:fill="EEECE1"/>
            <w:vAlign w:val="center"/>
          </w:tcPr>
          <w:p w:rsidR="00DC7CD4" w:rsidRPr="00FD28E1" w:rsidRDefault="00DC7CD4" w:rsidP="00CC64ED">
            <w:pPr>
              <w:jc w:val="center"/>
              <w:rPr>
                <w:sz w:val="18"/>
              </w:rPr>
            </w:pPr>
            <w:r>
              <w:rPr>
                <w:sz w:val="18"/>
              </w:rPr>
              <w:t>1 797</w:t>
            </w:r>
          </w:p>
        </w:tc>
        <w:tc>
          <w:tcPr>
            <w:tcW w:w="976" w:type="dxa"/>
            <w:tcBorders>
              <w:top w:val="nil"/>
              <w:left w:val="nil"/>
              <w:bottom w:val="single" w:sz="4" w:space="0" w:color="auto"/>
              <w:right w:val="nil"/>
            </w:tcBorders>
            <w:shd w:val="clear" w:color="auto" w:fill="EEECE1"/>
            <w:vAlign w:val="center"/>
          </w:tcPr>
          <w:p w:rsidR="00DC7CD4" w:rsidRPr="00FD28E1" w:rsidRDefault="00DC7CD4" w:rsidP="00CC64ED">
            <w:pPr>
              <w:jc w:val="center"/>
              <w:rPr>
                <w:sz w:val="18"/>
              </w:rPr>
            </w:pPr>
            <w:r>
              <w:rPr>
                <w:sz w:val="18"/>
              </w:rPr>
              <w:t>1 937</w:t>
            </w:r>
          </w:p>
        </w:tc>
        <w:tc>
          <w:tcPr>
            <w:tcW w:w="977" w:type="dxa"/>
            <w:tcBorders>
              <w:top w:val="nil"/>
              <w:left w:val="nil"/>
              <w:bottom w:val="single" w:sz="4" w:space="0" w:color="auto"/>
              <w:right w:val="single" w:sz="4" w:space="0" w:color="auto"/>
            </w:tcBorders>
            <w:shd w:val="clear" w:color="auto" w:fill="EEECE1"/>
            <w:vAlign w:val="center"/>
          </w:tcPr>
          <w:p w:rsidR="00DC7CD4" w:rsidRPr="00FD28E1" w:rsidRDefault="00DC7CD4" w:rsidP="00CC64ED">
            <w:pPr>
              <w:jc w:val="center"/>
              <w:rPr>
                <w:sz w:val="18"/>
              </w:rPr>
            </w:pPr>
            <w:r>
              <w:rPr>
                <w:sz w:val="18"/>
              </w:rPr>
              <w:t>1 983</w:t>
            </w:r>
          </w:p>
        </w:tc>
      </w:tr>
    </w:tbl>
    <w:p w:rsidR="00DC7CD4" w:rsidRDefault="00DC7CD4" w:rsidP="00F04B0E">
      <w:pPr>
        <w:pStyle w:val="AERbodytext"/>
      </w:pPr>
    </w:p>
    <w:p w:rsidR="004704B8" w:rsidRDefault="004704B8" w:rsidP="00F04B0E">
      <w:pPr>
        <w:pStyle w:val="AERbodytext"/>
      </w:pPr>
      <w:r>
        <w:t>Conditions at the time saw demand close to forecast and available capacity 140 MW below that forecast four hours ahead.</w:t>
      </w:r>
    </w:p>
    <w:p w:rsidR="001F06AC" w:rsidRDefault="00C75F99" w:rsidP="00F04B0E">
      <w:pPr>
        <w:pStyle w:val="AERbodytext"/>
      </w:pPr>
      <w:r>
        <w:t xml:space="preserve">Imports into South Australia from Victoria were at their limits across both interconnectors and wind generation was around 15 MW. </w:t>
      </w:r>
    </w:p>
    <w:p w:rsidR="004704B8" w:rsidRDefault="00994CEF" w:rsidP="00F04B0E">
      <w:pPr>
        <w:pStyle w:val="AERbodytext"/>
      </w:pPr>
      <w:r>
        <w:t xml:space="preserve">At 8.09 am, effective from 8.20 am, </w:t>
      </w:r>
      <w:proofErr w:type="spellStart"/>
      <w:r>
        <w:t>Alinta</w:t>
      </w:r>
      <w:proofErr w:type="spellEnd"/>
      <w:r>
        <w:t xml:space="preserve"> Energy rebid 93 MW of available capacity at Northern unit 1 from price bands below $50/MWh to above $10 700/MWh. The reason given was </w:t>
      </w:r>
      <w:r w:rsidR="00772075">
        <w:t>“</w:t>
      </w:r>
      <w:r>
        <w:t xml:space="preserve">0807A </w:t>
      </w:r>
      <w:proofErr w:type="spellStart"/>
      <w:r>
        <w:t>sa</w:t>
      </w:r>
      <w:proofErr w:type="spellEnd"/>
      <w:r>
        <w:t xml:space="preserve"> spot $209 </w:t>
      </w:r>
      <w:proofErr w:type="spellStart"/>
      <w:r>
        <w:t>vs</w:t>
      </w:r>
      <w:proofErr w:type="spellEnd"/>
      <w:r>
        <w:t xml:space="preserve"> </w:t>
      </w:r>
      <w:proofErr w:type="spellStart"/>
      <w:r>
        <w:t>pd</w:t>
      </w:r>
      <w:proofErr w:type="spellEnd"/>
      <w:r>
        <w:t xml:space="preserve"> $106@08:08”.</w:t>
      </w:r>
    </w:p>
    <w:p w:rsidR="00772075" w:rsidRDefault="00C75F99" w:rsidP="00AF2BAE">
      <w:pPr>
        <w:pStyle w:val="AERbodytext"/>
      </w:pPr>
      <w:r>
        <w:t>A</w:t>
      </w:r>
      <w:r w:rsidR="00772075">
        <w:t xml:space="preserve">t 8.20 am </w:t>
      </w:r>
      <w:r>
        <w:t>the five minute price reached</w:t>
      </w:r>
      <w:r w:rsidR="00772075">
        <w:t xml:space="preserve"> $1</w:t>
      </w:r>
      <w:r>
        <w:t>1</w:t>
      </w:r>
      <w:r w:rsidR="00772075">
        <w:t> </w:t>
      </w:r>
      <w:r>
        <w:t>000</w:t>
      </w:r>
      <w:r w:rsidR="00772075">
        <w:t>/MWh</w:t>
      </w:r>
      <w:r w:rsidR="00AF2BAE">
        <w:t xml:space="preserve">, </w:t>
      </w:r>
      <w:r>
        <w:t>being set by Northern unit 1.</w:t>
      </w:r>
      <w:r w:rsidR="00AF2BAE">
        <w:t xml:space="preserve"> The following interval saw </w:t>
      </w:r>
      <w:r w:rsidR="00772075">
        <w:t xml:space="preserve">additional </w:t>
      </w:r>
      <w:r w:rsidR="00AF2BAE">
        <w:t xml:space="preserve">scheduled </w:t>
      </w:r>
      <w:r w:rsidR="00772075">
        <w:t xml:space="preserve">generation </w:t>
      </w:r>
      <w:r w:rsidR="00AF2BAE">
        <w:t xml:space="preserve">come </w:t>
      </w:r>
      <w:r w:rsidR="00772075">
        <w:t xml:space="preserve">online </w:t>
      </w:r>
      <w:r w:rsidR="00AF2BAE">
        <w:t xml:space="preserve">and increased output from non-scheduled units at Angaston and Point </w:t>
      </w:r>
      <w:proofErr w:type="spellStart"/>
      <w:r w:rsidR="00AF2BAE">
        <w:t>Stanvac</w:t>
      </w:r>
      <w:proofErr w:type="spellEnd"/>
      <w:r w:rsidR="00AF2BAE">
        <w:t xml:space="preserve"> (up to 102 MW), resulting in dispatch</w:t>
      </w:r>
      <w:r w:rsidR="00772075">
        <w:t xml:space="preserve"> prices decreas</w:t>
      </w:r>
      <w:r w:rsidR="00AF2BAE">
        <w:t>ing</w:t>
      </w:r>
      <w:r w:rsidR="000A57DA">
        <w:t xml:space="preserve"> below $135/MWh</w:t>
      </w:r>
      <w:r w:rsidR="00772075">
        <w:t>.</w:t>
      </w:r>
    </w:p>
    <w:p w:rsidR="00AF2BAE" w:rsidRDefault="00AF2BAE" w:rsidP="00AF2BAE">
      <w:pPr>
        <w:pStyle w:val="AERbodytext"/>
      </w:pPr>
      <w:r>
        <w:t>There was no other significant rebidding.</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lastRenderedPageBreak/>
        <w:t>Figure 9</w:t>
      </w:r>
      <w:r w:rsidR="00E96C5A" w:rsidRPr="00AA6275">
        <w:rPr>
          <w:color w:val="000000" w:themeColor="text1"/>
        </w:rPr>
        <w:t xml:space="preserve">: Quarterly base future prices </w:t>
      </w:r>
      <w:r w:rsidR="00B045D2" w:rsidRPr="00AA6275">
        <w:rPr>
          <w:color w:val="000000" w:themeColor="text1"/>
        </w:rPr>
        <w:t>Q</w:t>
      </w:r>
      <w:r w:rsidR="00B045D2">
        <w:rPr>
          <w:color w:val="000000" w:themeColor="text1"/>
        </w:rPr>
        <w:t>3</w:t>
      </w:r>
      <w:r w:rsidR="00B045D2"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045D2" w:rsidRPr="00AA6275">
        <w:rPr>
          <w:color w:val="000000" w:themeColor="text1"/>
        </w:rPr>
        <w:t>Q</w:t>
      </w:r>
      <w:r w:rsidR="00B045D2">
        <w:rPr>
          <w:color w:val="000000" w:themeColor="text1"/>
        </w:rPr>
        <w:t>2</w:t>
      </w:r>
      <w:r w:rsidR="00B045D2" w:rsidRPr="00AA6275">
        <w:rPr>
          <w:color w:val="000000" w:themeColor="text1"/>
        </w:rPr>
        <w:t xml:space="preserve"> </w:t>
      </w:r>
      <w:r w:rsidR="00BB0611" w:rsidRPr="00AA6275">
        <w:rPr>
          <w:color w:val="000000" w:themeColor="text1"/>
        </w:rPr>
        <w:t>2018</w:t>
      </w:r>
    </w:p>
    <w:p w:rsidR="00E96C5A" w:rsidRPr="002D23B9" w:rsidRDefault="002575E0"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E96C5A">
      <w:pPr>
        <w:pStyle w:val="Figureheading"/>
        <w:numPr>
          <w:ilvl w:val="0"/>
          <w:numId w:val="0"/>
        </w:numPr>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2575E0" w:rsidP="00942195">
      <w:pPr>
        <w:pStyle w:val="AERbodytext"/>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lastRenderedPageBreak/>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2575E0"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B54368" w:rsidP="003157C3">
      <w:pPr>
        <w:rPr>
          <w:color w:val="000000" w:themeColor="text1"/>
        </w:rPr>
      </w:pPr>
      <w:r w:rsidRPr="00AA6275">
        <w:rPr>
          <w:b/>
          <w:color w:val="000000" w:themeColor="text1"/>
        </w:rPr>
        <w:t>Ju</w:t>
      </w:r>
      <w:r>
        <w:rPr>
          <w:b/>
          <w:color w:val="000000" w:themeColor="text1"/>
        </w:rPr>
        <w:t>ly</w:t>
      </w:r>
      <w:r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31BAF">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DA0DEE" w:rsidRPr="00DA0DEE">
      <w:rPr>
        <w:i/>
      </w:rPr>
      <w:t>D14/</w:t>
    </w:r>
    <w:r w:rsidR="00B045D2">
      <w:rPr>
        <w:i/>
      </w:rPr>
      <w:t>92751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adrae\20140629 - 20140705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C1"/>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0F0"/>
    <w:rsid w:val="000201DE"/>
    <w:rsid w:val="00020735"/>
    <w:rsid w:val="00020AD8"/>
    <w:rsid w:val="00020D13"/>
    <w:rsid w:val="000213B6"/>
    <w:rsid w:val="00021990"/>
    <w:rsid w:val="00021DE4"/>
    <w:rsid w:val="00021E37"/>
    <w:rsid w:val="00022763"/>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57DA"/>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C9A"/>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41B"/>
    <w:rsid w:val="0011274A"/>
    <w:rsid w:val="00112875"/>
    <w:rsid w:val="00112CE9"/>
    <w:rsid w:val="00112FA3"/>
    <w:rsid w:val="00112FAD"/>
    <w:rsid w:val="001131A0"/>
    <w:rsid w:val="00113510"/>
    <w:rsid w:val="001135A8"/>
    <w:rsid w:val="001136D8"/>
    <w:rsid w:val="00113CC2"/>
    <w:rsid w:val="00114256"/>
    <w:rsid w:val="0011426F"/>
    <w:rsid w:val="00114459"/>
    <w:rsid w:val="0011446D"/>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336"/>
    <w:rsid w:val="00121727"/>
    <w:rsid w:val="00121AD5"/>
    <w:rsid w:val="00122036"/>
    <w:rsid w:val="001222FB"/>
    <w:rsid w:val="001224F5"/>
    <w:rsid w:val="001224F8"/>
    <w:rsid w:val="00122577"/>
    <w:rsid w:val="001225DF"/>
    <w:rsid w:val="001231FC"/>
    <w:rsid w:val="001232F5"/>
    <w:rsid w:val="00123318"/>
    <w:rsid w:val="00123C3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15B"/>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395"/>
    <w:rsid w:val="001D57F2"/>
    <w:rsid w:val="001D5A44"/>
    <w:rsid w:val="001D5B61"/>
    <w:rsid w:val="001D606D"/>
    <w:rsid w:val="001D6350"/>
    <w:rsid w:val="001D6462"/>
    <w:rsid w:val="001D69B4"/>
    <w:rsid w:val="001D6C48"/>
    <w:rsid w:val="001D7065"/>
    <w:rsid w:val="001D73E6"/>
    <w:rsid w:val="001D76B1"/>
    <w:rsid w:val="001D784B"/>
    <w:rsid w:val="001D7E05"/>
    <w:rsid w:val="001D7F97"/>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6AC"/>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9BD"/>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5E0"/>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626"/>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31D"/>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4B8"/>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076"/>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5AE"/>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8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35C"/>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500"/>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5A6"/>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26B"/>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8B2"/>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352"/>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357"/>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4B8"/>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D64"/>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51F"/>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8B"/>
    <w:rsid w:val="004F6BC4"/>
    <w:rsid w:val="004F733A"/>
    <w:rsid w:val="004F733E"/>
    <w:rsid w:val="004F751B"/>
    <w:rsid w:val="004F7880"/>
    <w:rsid w:val="004F79E6"/>
    <w:rsid w:val="00500010"/>
    <w:rsid w:val="0050010F"/>
    <w:rsid w:val="00500A95"/>
    <w:rsid w:val="00500F56"/>
    <w:rsid w:val="005013D1"/>
    <w:rsid w:val="00501659"/>
    <w:rsid w:val="0050188E"/>
    <w:rsid w:val="00501960"/>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1BF"/>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5EA"/>
    <w:rsid w:val="00523745"/>
    <w:rsid w:val="00523C08"/>
    <w:rsid w:val="00523CFF"/>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776"/>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C10"/>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5B1"/>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67"/>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6F5"/>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3F"/>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770F"/>
    <w:rsid w:val="0068048E"/>
    <w:rsid w:val="006804E6"/>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90B"/>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19"/>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4BA"/>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1F17"/>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075"/>
    <w:rsid w:val="00772855"/>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8BF"/>
    <w:rsid w:val="00790DF0"/>
    <w:rsid w:val="007910DC"/>
    <w:rsid w:val="00791230"/>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4C27"/>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BDA"/>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4C46"/>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03B"/>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CEF"/>
    <w:rsid w:val="00994D7A"/>
    <w:rsid w:val="00995013"/>
    <w:rsid w:val="00996002"/>
    <w:rsid w:val="00996419"/>
    <w:rsid w:val="0099674F"/>
    <w:rsid w:val="009967ED"/>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6F"/>
    <w:rsid w:val="009D15B4"/>
    <w:rsid w:val="009D232C"/>
    <w:rsid w:val="009D2B80"/>
    <w:rsid w:val="009D301E"/>
    <w:rsid w:val="009D33EF"/>
    <w:rsid w:val="009D40E0"/>
    <w:rsid w:val="009D4122"/>
    <w:rsid w:val="009D4133"/>
    <w:rsid w:val="009D417D"/>
    <w:rsid w:val="009D4D97"/>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637"/>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9D6"/>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5A2"/>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4B67"/>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BAE"/>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5D2"/>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5CB8"/>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5B17"/>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E96"/>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5F99"/>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BC"/>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6E0"/>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BA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741"/>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CBD"/>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CD4"/>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33"/>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07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B0E"/>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75B"/>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1D9E"/>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0E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D7C"/>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343"/>
    <w:rsid w:val="00FF444D"/>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66683F"/>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 w:type="paragraph" w:styleId="z-TopofForm">
    <w:name w:val="HTML Top of Form"/>
    <w:basedOn w:val="Normal"/>
    <w:next w:val="Normal"/>
    <w:link w:val="z-TopofFormChar"/>
    <w:hidden/>
    <w:uiPriority w:val="99"/>
    <w:semiHidden/>
    <w:unhideWhenUsed/>
    <w:rsid w:val="0028731D"/>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3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31D"/>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31D"/>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5FF6A937.dotm</Template>
  <TotalTime>0</TotalTime>
  <Pages>10</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2014-07-22T06:55:00Z</dcterms:created>
  <dcterms:modified xsi:type="dcterms:W3CDTF">2014-07-22T06:55:00Z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8227726</vt:lpwstr>
  </property>
</Properties>
</file>