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7076BD"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037F5F" w:rsidP="00780239">
                  <w:pPr>
                    <w:pStyle w:val="Title"/>
                    <w:jc w:val="left"/>
                    <w:rPr>
                      <w:i/>
                    </w:rPr>
                  </w:pPr>
                  <w:r>
                    <w:t>22</w:t>
                  </w:r>
                  <w:r w:rsidR="0022337C">
                    <w:t xml:space="preserve"> to 2</w:t>
                  </w:r>
                  <w:r>
                    <w:t>8</w:t>
                  </w:r>
                  <w:r w:rsidR="005270A6" w:rsidRPr="005270A6">
                    <w:t xml:space="preserve"> June</w:t>
                  </w:r>
                  <w:r w:rsidR="00EC411D" w:rsidRPr="005270A6">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99.0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w:t>
      </w:r>
      <w:bookmarkStart w:id="6" w:name="_GoBack"/>
      <w:bookmarkEnd w:id="6"/>
      <w:r w:rsidRPr="002D23B9">
        <w:rPr>
          <w:lang w:eastAsia="en-US"/>
        </w:rPr>
        <w:t>tract market, together with analysis of spot market outcomes and rebidding behaviour. By monitoring activity in these markets, the AER is able to keep up to date with market conditions and identify compliance issues.</w:t>
      </w:r>
    </w:p>
    <w:p w:rsidR="003E1F4F" w:rsidRDefault="003E1F4F" w:rsidP="003E1F4F">
      <w:pPr>
        <w:pStyle w:val="Heading2"/>
        <w:rPr>
          <w:color w:val="auto"/>
        </w:rPr>
      </w:pPr>
      <w:r>
        <w:rPr>
          <w:color w:val="auto"/>
        </w:rPr>
        <w:t>Weekly Spotlight</w:t>
      </w:r>
    </w:p>
    <w:p w:rsidR="008F02B4" w:rsidRDefault="008F02B4" w:rsidP="00A54EB1">
      <w:pPr>
        <w:rPr>
          <w:lang w:eastAsia="en-US"/>
        </w:rPr>
      </w:pPr>
      <w:r>
        <w:rPr>
          <w:lang w:eastAsia="en-US"/>
        </w:rPr>
        <w:t>It was an extremely windy week in South Australia. Wind generation exceeded 1300 MW for the first time in South Australia, reaching 1304 MW on 25 June at 9 pm</w:t>
      </w:r>
      <w:r w:rsidR="00E4323D">
        <w:rPr>
          <w:lang w:eastAsia="en-US"/>
        </w:rPr>
        <w:t xml:space="preserve">. Spotlight figure 1 shows that weekly </w:t>
      </w:r>
      <w:r>
        <w:rPr>
          <w:lang w:eastAsia="en-US"/>
        </w:rPr>
        <w:t xml:space="preserve">average wind generation exceeded 1000 MW for the </w:t>
      </w:r>
      <w:r w:rsidR="00E4323D">
        <w:rPr>
          <w:lang w:eastAsia="en-US"/>
        </w:rPr>
        <w:t xml:space="preserve">week beginning </w:t>
      </w:r>
      <w:r>
        <w:rPr>
          <w:lang w:eastAsia="en-US"/>
        </w:rPr>
        <w:t>22 June</w:t>
      </w:r>
      <w:r w:rsidR="00E4323D">
        <w:rPr>
          <w:lang w:eastAsia="en-US"/>
        </w:rPr>
        <w:t xml:space="preserve"> (a new record</w:t>
      </w:r>
      <w:r>
        <w:rPr>
          <w:lang w:eastAsia="en-US"/>
        </w:rPr>
        <w:t>). It is worth noting in this context that two new wind farms, Snowtown North and Snowtown South, with a combined capacity of 274 MW started generating early this year.</w:t>
      </w:r>
    </w:p>
    <w:p w:rsidR="00263515" w:rsidRDefault="008F02B4" w:rsidP="00263515">
      <w:pPr>
        <w:pStyle w:val="Figureheading"/>
        <w:numPr>
          <w:ilvl w:val="0"/>
          <w:numId w:val="0"/>
        </w:numPr>
        <w:spacing w:after="0"/>
        <w:ind w:left="357" w:hanging="357"/>
      </w:pPr>
      <w:r>
        <w:t>S</w:t>
      </w:r>
      <w:r w:rsidR="005D042F">
        <w:t xml:space="preserve">potlight </w:t>
      </w:r>
      <w:r>
        <w:t>f</w:t>
      </w:r>
      <w:r w:rsidR="005D042F" w:rsidRPr="005270A6">
        <w:t xml:space="preserve">igure 1: </w:t>
      </w:r>
      <w:r w:rsidR="005D042F">
        <w:t>South Australian weekly average wind output (MW</w:t>
      </w:r>
      <w:r w:rsidR="005D042F" w:rsidRPr="005270A6">
        <w:t xml:space="preserve">) </w:t>
      </w:r>
      <w:r w:rsidR="000D27C2">
        <w:t>since Jan 2014</w:t>
      </w:r>
    </w:p>
    <w:p w:rsidR="003E1F4F" w:rsidRDefault="007076BD" w:rsidP="002F6FF5">
      <w:pPr>
        <w:rPr>
          <w:lang w:eastAsia="en-US"/>
        </w:rPr>
      </w:pPr>
      <w:r>
        <w:pict>
          <v:shape id="_x0000_i1026" type="#_x0000_t75" style="width:451pt;height:213.7pt">
            <v:imagedata r:id="rId9" o:title=""/>
          </v:shape>
        </w:pict>
      </w:r>
    </w:p>
    <w:p w:rsidR="00E4323D" w:rsidRDefault="008F02B4" w:rsidP="002F6FF5">
      <w:pPr>
        <w:rPr>
          <w:lang w:eastAsia="en-US"/>
        </w:rPr>
      </w:pPr>
      <w:r>
        <w:rPr>
          <w:lang w:eastAsia="en-US"/>
        </w:rPr>
        <w:t>S</w:t>
      </w:r>
      <w:r w:rsidR="005D3F83">
        <w:rPr>
          <w:lang w:eastAsia="en-US"/>
        </w:rPr>
        <w:t xml:space="preserve">potlight figure 2 shows </w:t>
      </w:r>
      <w:r w:rsidR="00E4323D" w:rsidRPr="00E4323D">
        <w:rPr>
          <w:lang w:eastAsia="en-US"/>
        </w:rPr>
        <w:t>generation in South Australia by fuel type from 22</w:t>
      </w:r>
      <w:r w:rsidR="00E4323D">
        <w:rPr>
          <w:lang w:eastAsia="en-US"/>
        </w:rPr>
        <w:t> </w:t>
      </w:r>
      <w:r w:rsidR="00E4323D" w:rsidRPr="00E4323D">
        <w:rPr>
          <w:lang w:eastAsia="en-US"/>
        </w:rPr>
        <w:t>June which clearly shows that wind was the major fuel source over this period. On 27</w:t>
      </w:r>
      <w:r w:rsidR="00E4323D">
        <w:rPr>
          <w:lang w:eastAsia="en-US"/>
        </w:rPr>
        <w:t> </w:t>
      </w:r>
      <w:r w:rsidR="00E4323D" w:rsidRPr="00E4323D">
        <w:rPr>
          <w:lang w:eastAsia="en-US"/>
        </w:rPr>
        <w:t>June at 3</w:t>
      </w:r>
      <w:r w:rsidR="00E4323D">
        <w:rPr>
          <w:lang w:eastAsia="en-US"/>
        </w:rPr>
        <w:t> </w:t>
      </w:r>
      <w:r w:rsidR="00E4323D" w:rsidRPr="00E4323D">
        <w:rPr>
          <w:lang w:eastAsia="en-US"/>
        </w:rPr>
        <w:t>am wind output was 99</w:t>
      </w:r>
      <w:r w:rsidR="00E4323D">
        <w:rPr>
          <w:lang w:eastAsia="en-US"/>
        </w:rPr>
        <w:t> </w:t>
      </w:r>
      <w:r w:rsidR="00E4323D" w:rsidRPr="00E4323D">
        <w:rPr>
          <w:lang w:eastAsia="en-US"/>
        </w:rPr>
        <w:t>per</w:t>
      </w:r>
      <w:r w:rsidR="00E4323D">
        <w:rPr>
          <w:lang w:eastAsia="en-US"/>
        </w:rPr>
        <w:t> </w:t>
      </w:r>
      <w:r w:rsidR="00E4323D" w:rsidRPr="00E4323D">
        <w:rPr>
          <w:lang w:eastAsia="en-US"/>
        </w:rPr>
        <w:t>cent of native demand</w:t>
      </w:r>
      <w:r w:rsidR="00E4323D">
        <w:rPr>
          <w:rStyle w:val="FootnoteReference"/>
          <w:lang w:eastAsia="en-US"/>
        </w:rPr>
        <w:footnoteReference w:id="1"/>
      </w:r>
      <w:r w:rsidR="00E4323D" w:rsidRPr="00E4323D">
        <w:rPr>
          <w:lang w:eastAsia="en-US"/>
        </w:rPr>
        <w:t xml:space="preserve"> in South Australia and 71</w:t>
      </w:r>
      <w:r w:rsidR="00E4323D">
        <w:rPr>
          <w:lang w:eastAsia="en-US"/>
        </w:rPr>
        <w:t> </w:t>
      </w:r>
      <w:r w:rsidR="00E4323D" w:rsidRPr="00E4323D">
        <w:rPr>
          <w:lang w:eastAsia="en-US"/>
        </w:rPr>
        <w:t>per</w:t>
      </w:r>
      <w:r w:rsidR="00E4323D">
        <w:rPr>
          <w:lang w:eastAsia="en-US"/>
        </w:rPr>
        <w:t> </w:t>
      </w:r>
      <w:r w:rsidR="00E4323D" w:rsidRPr="00E4323D">
        <w:rPr>
          <w:lang w:eastAsia="en-US"/>
        </w:rPr>
        <w:t xml:space="preserve">cent of total South Australian </w:t>
      </w:r>
      <w:r w:rsidR="00E4323D">
        <w:rPr>
          <w:lang w:eastAsia="en-US"/>
        </w:rPr>
        <w:t>g</w:t>
      </w:r>
      <w:r w:rsidR="00E4323D" w:rsidRPr="00E4323D">
        <w:rPr>
          <w:lang w:eastAsia="en-US"/>
        </w:rPr>
        <w:t>eneration. On 24</w:t>
      </w:r>
      <w:r w:rsidR="00E4323D">
        <w:rPr>
          <w:lang w:eastAsia="en-US"/>
        </w:rPr>
        <w:t> </w:t>
      </w:r>
      <w:r w:rsidR="00E4323D" w:rsidRPr="00E4323D">
        <w:rPr>
          <w:lang w:eastAsia="en-US"/>
        </w:rPr>
        <w:t>June at 11.30</w:t>
      </w:r>
      <w:r w:rsidR="00E4323D">
        <w:rPr>
          <w:lang w:eastAsia="en-US"/>
        </w:rPr>
        <w:t> </w:t>
      </w:r>
      <w:r w:rsidR="00E4323D" w:rsidRPr="00E4323D">
        <w:rPr>
          <w:lang w:eastAsia="en-US"/>
        </w:rPr>
        <w:t>am wind output accounted for 72</w:t>
      </w:r>
      <w:r w:rsidR="00E4323D">
        <w:rPr>
          <w:lang w:eastAsia="en-US"/>
        </w:rPr>
        <w:t> </w:t>
      </w:r>
      <w:r w:rsidR="00E4323D" w:rsidRPr="00E4323D">
        <w:rPr>
          <w:lang w:eastAsia="en-US"/>
        </w:rPr>
        <w:t>per</w:t>
      </w:r>
      <w:r w:rsidR="00E4323D">
        <w:rPr>
          <w:lang w:eastAsia="en-US"/>
        </w:rPr>
        <w:t> </w:t>
      </w:r>
      <w:r w:rsidR="00E4323D" w:rsidRPr="00E4323D">
        <w:rPr>
          <w:lang w:eastAsia="en-US"/>
        </w:rPr>
        <w:t>cent of total generation in South Australia, the highest on record</w:t>
      </w:r>
      <w:r w:rsidR="00E4323D">
        <w:rPr>
          <w:lang w:eastAsia="en-US"/>
        </w:rPr>
        <w:t>.</w:t>
      </w:r>
    </w:p>
    <w:p w:rsidR="00A54EB1" w:rsidRDefault="008F02B4" w:rsidP="00A54EB1">
      <w:pPr>
        <w:pStyle w:val="Figureheading"/>
        <w:numPr>
          <w:ilvl w:val="0"/>
          <w:numId w:val="0"/>
        </w:numPr>
        <w:spacing w:after="0"/>
        <w:ind w:left="357" w:hanging="357"/>
      </w:pPr>
      <w:r>
        <w:lastRenderedPageBreak/>
        <w:t>S</w:t>
      </w:r>
      <w:r w:rsidR="00A54EB1">
        <w:t xml:space="preserve">potlight </w:t>
      </w:r>
      <w:r w:rsidR="00A54EB1" w:rsidRPr="005270A6">
        <w:t xml:space="preserve">Figure </w:t>
      </w:r>
      <w:r w:rsidR="00A54EB1">
        <w:t>2</w:t>
      </w:r>
      <w:r w:rsidR="00A54EB1" w:rsidRPr="005270A6">
        <w:t xml:space="preserve">: </w:t>
      </w:r>
      <w:r w:rsidR="00A54EB1">
        <w:t>South Australian output by fuel type for week starting 22 June (MW</w:t>
      </w:r>
      <w:r w:rsidR="00A54EB1" w:rsidRPr="005270A6">
        <w:t xml:space="preserve">) </w:t>
      </w:r>
    </w:p>
    <w:p w:rsidR="00361999" w:rsidRDefault="007076BD" w:rsidP="002F6FF5">
      <w:pPr>
        <w:rPr>
          <w:lang w:eastAsia="en-US"/>
        </w:rPr>
      </w:pPr>
      <w:r>
        <w:pict>
          <v:shape id="_x0000_i1027" type="#_x0000_t75" style="width:451pt;height:283.4pt">
            <v:imagedata r:id="rId10" o:title=""/>
          </v:shape>
        </w:pic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5270A6" w:rsidRDefault="0078358A" w:rsidP="0078358A">
      <w:r>
        <w:t xml:space="preserve">Figure 1 shows the spot prices </w:t>
      </w:r>
      <w:r w:rsidRPr="005270A6">
        <w:t xml:space="preserve">that occurred in each region during the week </w:t>
      </w:r>
      <w:r w:rsidR="00037F5F">
        <w:t>22</w:t>
      </w:r>
      <w:r w:rsidR="00BB0611" w:rsidRPr="005270A6">
        <w:t xml:space="preserve"> </w:t>
      </w:r>
      <w:r w:rsidR="00780239" w:rsidRPr="005270A6">
        <w:t xml:space="preserve">to </w:t>
      </w:r>
      <w:r w:rsidR="0022337C">
        <w:t>2</w:t>
      </w:r>
      <w:r w:rsidR="00037F5F">
        <w:t>8</w:t>
      </w:r>
      <w:r w:rsidR="00BB0611" w:rsidRPr="005270A6">
        <w:t xml:space="preserve"> </w:t>
      </w:r>
      <w:r w:rsidR="005270A6" w:rsidRPr="005270A6">
        <w:t>June</w:t>
      </w:r>
      <w:r w:rsidRPr="005270A6">
        <w:t xml:space="preserve"> 2014.</w:t>
      </w:r>
      <w:r w:rsidR="00827053" w:rsidRPr="005270A6">
        <w:t xml:space="preserve"> </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7076BD" w:rsidP="00F50D3A">
      <w:pPr>
        <w:pStyle w:val="AERbodytext"/>
      </w:pPr>
      <w:bookmarkStart w:id="7" w:name="OLE_LINK28"/>
      <w:bookmarkStart w:id="8" w:name="OLE_LINK29"/>
      <w:r>
        <w:pict>
          <v:shape id="_x0000_i1028" type="#_x0000_t75" alt="Figure 1 shows the spot prices for this week in each region. The markers indicate the daily maximum and minimum spot prices in each region." style="width:451pt;height:225.8pt">
            <v:imagedata r:id="rId11"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7076BD" w:rsidP="00785F23">
      <w:pPr>
        <w:pStyle w:val="AERbodytext"/>
      </w:pPr>
      <w:r>
        <w:pict>
          <v:shape id="_x0000_i1029" type="#_x0000_t75" alt="Figure 2 shows the volume weighted average (VWA) prices for this week (with prices shown in Table 1) and the preceding 12 weeks, as well as the VWA price over the previous 3 financial years." style="width:451pt;height:225.8pt;mso-position-vertical:absolute">
            <v:imagedata r:id="rId12"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Tas</w:t>
            </w:r>
          </w:p>
        </w:tc>
      </w:tr>
      <w:tr w:rsidR="00140C7A" w:rsidRPr="009340BA" w:rsidTr="008C12B8">
        <w:trPr>
          <w:trHeight w:hRule="exact" w:val="340"/>
        </w:trPr>
        <w:tc>
          <w:tcPr>
            <w:tcW w:w="1357" w:type="pct"/>
            <w:tcBorders>
              <w:top w:val="nil"/>
              <w:left w:val="nil"/>
              <w:bottom w:val="nil"/>
              <w:right w:val="nil"/>
            </w:tcBorders>
            <w:shd w:val="clear" w:color="000000" w:fill="DDD9C3"/>
            <w:noWrap/>
            <w:vAlign w:val="center"/>
            <w:hideMark/>
          </w:tcPr>
          <w:p w:rsidR="00140C7A" w:rsidRPr="009340BA" w:rsidRDefault="00140C7A"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46</w:t>
            </w:r>
          </w:p>
        </w:tc>
        <w:tc>
          <w:tcPr>
            <w:tcW w:w="781" w:type="pct"/>
            <w:tcBorders>
              <w:top w:val="nil"/>
              <w:left w:val="nil"/>
              <w:bottom w:val="nil"/>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48</w:t>
            </w:r>
          </w:p>
        </w:tc>
        <w:tc>
          <w:tcPr>
            <w:tcW w:w="781" w:type="pct"/>
            <w:tcBorders>
              <w:top w:val="nil"/>
              <w:left w:val="nil"/>
              <w:bottom w:val="nil"/>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43</w:t>
            </w:r>
          </w:p>
        </w:tc>
        <w:tc>
          <w:tcPr>
            <w:tcW w:w="781" w:type="pct"/>
            <w:tcBorders>
              <w:top w:val="nil"/>
              <w:left w:val="nil"/>
              <w:bottom w:val="nil"/>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40</w:t>
            </w:r>
          </w:p>
        </w:tc>
        <w:tc>
          <w:tcPr>
            <w:tcW w:w="781" w:type="pct"/>
            <w:tcBorders>
              <w:top w:val="nil"/>
              <w:left w:val="nil"/>
              <w:bottom w:val="nil"/>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34</w:t>
            </w:r>
          </w:p>
        </w:tc>
      </w:tr>
      <w:tr w:rsidR="00140C7A" w:rsidRPr="009340BA" w:rsidTr="008C12B8">
        <w:trPr>
          <w:trHeight w:hRule="exact" w:val="340"/>
        </w:trPr>
        <w:tc>
          <w:tcPr>
            <w:tcW w:w="1357" w:type="pct"/>
            <w:tcBorders>
              <w:top w:val="nil"/>
              <w:left w:val="nil"/>
              <w:bottom w:val="nil"/>
              <w:right w:val="nil"/>
            </w:tcBorders>
            <w:shd w:val="clear" w:color="000000" w:fill="EEECE1"/>
            <w:noWrap/>
            <w:vAlign w:val="center"/>
            <w:hideMark/>
          </w:tcPr>
          <w:p w:rsidR="00140C7A" w:rsidRPr="009340BA" w:rsidRDefault="00140C7A" w:rsidP="00BF0E20">
            <w:pPr>
              <w:spacing w:line="240" w:lineRule="auto"/>
              <w:jc w:val="left"/>
              <w:rPr>
                <w:rFonts w:cs="Gautami"/>
                <w:b/>
                <w:bCs/>
                <w:sz w:val="16"/>
                <w:szCs w:val="16"/>
              </w:rPr>
            </w:pPr>
            <w:r w:rsidRPr="009340BA">
              <w:rPr>
                <w:rFonts w:cs="Gautami"/>
                <w:b/>
                <w:bCs/>
                <w:sz w:val="16"/>
                <w:szCs w:val="16"/>
              </w:rPr>
              <w:t>12-13 financial YTD</w:t>
            </w:r>
          </w:p>
        </w:tc>
        <w:tc>
          <w:tcPr>
            <w:tcW w:w="518" w:type="pct"/>
            <w:tcBorders>
              <w:top w:val="nil"/>
              <w:left w:val="nil"/>
              <w:bottom w:val="nil"/>
              <w:right w:val="nil"/>
            </w:tcBorders>
            <w:shd w:val="clear" w:color="000000" w:fill="EEECE1"/>
            <w:noWrap/>
            <w:vAlign w:val="center"/>
            <w:hideMark/>
          </w:tcPr>
          <w:p w:rsidR="00140C7A" w:rsidRDefault="00140C7A">
            <w:pPr>
              <w:jc w:val="center"/>
              <w:rPr>
                <w:rFonts w:cs="Gautami"/>
                <w:sz w:val="16"/>
                <w:szCs w:val="16"/>
              </w:rPr>
            </w:pPr>
            <w:r>
              <w:rPr>
                <w:rFonts w:cs="Gautami"/>
                <w:sz w:val="16"/>
                <w:szCs w:val="16"/>
              </w:rPr>
              <w:t>70</w:t>
            </w:r>
          </w:p>
        </w:tc>
        <w:tc>
          <w:tcPr>
            <w:tcW w:w="781" w:type="pct"/>
            <w:tcBorders>
              <w:top w:val="nil"/>
              <w:left w:val="nil"/>
              <w:bottom w:val="nil"/>
              <w:right w:val="nil"/>
            </w:tcBorders>
            <w:shd w:val="clear" w:color="000000" w:fill="EEECE1"/>
            <w:noWrap/>
            <w:vAlign w:val="center"/>
            <w:hideMark/>
          </w:tcPr>
          <w:p w:rsidR="00140C7A" w:rsidRDefault="00140C7A">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140C7A" w:rsidRDefault="00140C7A">
            <w:pPr>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140C7A" w:rsidRDefault="00140C7A">
            <w:pPr>
              <w:jc w:val="center"/>
              <w:rPr>
                <w:rFonts w:cs="Gautami"/>
                <w:sz w:val="16"/>
                <w:szCs w:val="16"/>
              </w:rPr>
            </w:pPr>
            <w:r>
              <w:rPr>
                <w:rFonts w:cs="Gautami"/>
                <w:sz w:val="16"/>
                <w:szCs w:val="16"/>
              </w:rPr>
              <w:t>73</w:t>
            </w:r>
          </w:p>
        </w:tc>
        <w:tc>
          <w:tcPr>
            <w:tcW w:w="781" w:type="pct"/>
            <w:tcBorders>
              <w:top w:val="nil"/>
              <w:left w:val="nil"/>
              <w:bottom w:val="nil"/>
              <w:right w:val="nil"/>
            </w:tcBorders>
            <w:shd w:val="clear" w:color="000000" w:fill="EEECE1"/>
            <w:noWrap/>
            <w:vAlign w:val="center"/>
            <w:hideMark/>
          </w:tcPr>
          <w:p w:rsidR="00140C7A" w:rsidRDefault="00140C7A">
            <w:pPr>
              <w:jc w:val="center"/>
              <w:rPr>
                <w:rFonts w:cs="Gautami"/>
                <w:sz w:val="16"/>
                <w:szCs w:val="16"/>
              </w:rPr>
            </w:pPr>
            <w:r>
              <w:rPr>
                <w:rFonts w:cs="Gautami"/>
                <w:sz w:val="16"/>
                <w:szCs w:val="16"/>
              </w:rPr>
              <w:t>49</w:t>
            </w:r>
          </w:p>
        </w:tc>
      </w:tr>
      <w:tr w:rsidR="00140C7A" w:rsidRPr="009340BA" w:rsidTr="008C12B8">
        <w:trPr>
          <w:trHeight w:hRule="exact" w:val="340"/>
        </w:trPr>
        <w:tc>
          <w:tcPr>
            <w:tcW w:w="1357" w:type="pct"/>
            <w:tcBorders>
              <w:top w:val="nil"/>
              <w:left w:val="nil"/>
              <w:bottom w:val="single" w:sz="8" w:space="0" w:color="auto"/>
              <w:right w:val="nil"/>
            </w:tcBorders>
            <w:shd w:val="clear" w:color="000000" w:fill="DDD9C3"/>
            <w:noWrap/>
            <w:vAlign w:val="center"/>
            <w:hideMark/>
          </w:tcPr>
          <w:p w:rsidR="00140C7A" w:rsidRPr="009340BA" w:rsidRDefault="00140C7A" w:rsidP="00BF0E20">
            <w:pPr>
              <w:spacing w:line="240" w:lineRule="auto"/>
              <w:jc w:val="left"/>
              <w:rPr>
                <w:rFonts w:cs="Gautami"/>
                <w:b/>
                <w:bCs/>
                <w:sz w:val="16"/>
                <w:szCs w:val="16"/>
              </w:rPr>
            </w:pPr>
            <w:r w:rsidRPr="009340BA">
              <w:rPr>
                <w:rFonts w:cs="Gautami"/>
                <w:b/>
                <w:bCs/>
                <w:sz w:val="16"/>
                <w:szCs w:val="16"/>
              </w:rPr>
              <w:t>13-14 financial YTD</w:t>
            </w:r>
          </w:p>
        </w:tc>
        <w:tc>
          <w:tcPr>
            <w:tcW w:w="518" w:type="pct"/>
            <w:tcBorders>
              <w:top w:val="nil"/>
              <w:left w:val="nil"/>
              <w:bottom w:val="single" w:sz="8" w:space="0" w:color="auto"/>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61</w:t>
            </w:r>
          </w:p>
        </w:tc>
        <w:tc>
          <w:tcPr>
            <w:tcW w:w="781" w:type="pct"/>
            <w:tcBorders>
              <w:top w:val="nil"/>
              <w:left w:val="nil"/>
              <w:bottom w:val="single" w:sz="8" w:space="0" w:color="auto"/>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53</w:t>
            </w:r>
          </w:p>
        </w:tc>
        <w:tc>
          <w:tcPr>
            <w:tcW w:w="781" w:type="pct"/>
            <w:tcBorders>
              <w:top w:val="nil"/>
              <w:left w:val="nil"/>
              <w:bottom w:val="single" w:sz="8" w:space="0" w:color="auto"/>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54</w:t>
            </w:r>
          </w:p>
        </w:tc>
        <w:tc>
          <w:tcPr>
            <w:tcW w:w="781" w:type="pct"/>
            <w:tcBorders>
              <w:top w:val="nil"/>
              <w:left w:val="nil"/>
              <w:bottom w:val="single" w:sz="8" w:space="0" w:color="auto"/>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68</w:t>
            </w:r>
          </w:p>
        </w:tc>
        <w:tc>
          <w:tcPr>
            <w:tcW w:w="781" w:type="pct"/>
            <w:tcBorders>
              <w:top w:val="nil"/>
              <w:left w:val="nil"/>
              <w:bottom w:val="single" w:sz="8" w:space="0" w:color="auto"/>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42</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3"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B40AC2" w:rsidP="00B40AC2">
      <w:pPr>
        <w:pStyle w:val="AERbodytext"/>
      </w:pPr>
      <w:r>
        <w:t xml:space="preserve">There were </w:t>
      </w:r>
      <w:r w:rsidR="00140C7A">
        <w:t>32</w:t>
      </w:r>
      <w:r>
        <w:t xml:space="preserve"> trading intervals throughout the week where actual prices varied significantly from forecasts. This compares to the weekly average in 2013 of 97 counts and the average in 2012 of 60</w:t>
      </w:r>
      <w:r w:rsidR="009340BA">
        <w:t xml:space="preserve">.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140C7A" w:rsidRPr="00711C86" w:rsidTr="00807A90">
        <w:trPr>
          <w:trHeight w:hRule="exact" w:val="369"/>
        </w:trPr>
        <w:tc>
          <w:tcPr>
            <w:tcW w:w="3636" w:type="dxa"/>
            <w:tcBorders>
              <w:top w:val="nil"/>
              <w:left w:val="nil"/>
              <w:bottom w:val="nil"/>
              <w:right w:val="nil"/>
            </w:tcBorders>
            <w:shd w:val="clear" w:color="000000" w:fill="DDD9C3"/>
            <w:noWrap/>
            <w:vAlign w:val="center"/>
            <w:hideMark/>
          </w:tcPr>
          <w:p w:rsidR="00140C7A" w:rsidRPr="00EB690D" w:rsidRDefault="00140C7A" w:rsidP="00EB690D">
            <w:pPr>
              <w:spacing w:line="240" w:lineRule="auto"/>
              <w:jc w:val="left"/>
              <w:rPr>
                <w:rFonts w:cs="Gautami"/>
                <w:b/>
                <w:bCs/>
                <w:sz w:val="16"/>
                <w:szCs w:val="16"/>
              </w:rPr>
            </w:pPr>
            <w:r w:rsidRPr="00EB690D">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4</w:t>
            </w:r>
          </w:p>
        </w:tc>
        <w:tc>
          <w:tcPr>
            <w:tcW w:w="1436" w:type="dxa"/>
            <w:tcBorders>
              <w:top w:val="nil"/>
              <w:left w:val="nil"/>
              <w:bottom w:val="nil"/>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24</w:t>
            </w:r>
          </w:p>
        </w:tc>
        <w:tc>
          <w:tcPr>
            <w:tcW w:w="1297" w:type="dxa"/>
            <w:tcBorders>
              <w:top w:val="nil"/>
              <w:left w:val="nil"/>
              <w:bottom w:val="nil"/>
              <w:right w:val="nil"/>
            </w:tcBorders>
            <w:shd w:val="clear" w:color="000000" w:fill="DDD9C3"/>
            <w:noWrap/>
            <w:vAlign w:val="center"/>
            <w:hideMark/>
          </w:tcPr>
          <w:p w:rsidR="00140C7A" w:rsidRDefault="00140C7A">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140C7A" w:rsidRDefault="00140C7A">
            <w:pPr>
              <w:jc w:val="center"/>
              <w:rPr>
                <w:rFonts w:cs="Gautami"/>
                <w:sz w:val="16"/>
                <w:szCs w:val="16"/>
              </w:rPr>
            </w:pPr>
            <w:r>
              <w:rPr>
                <w:rFonts w:cs="Gautami"/>
                <w:sz w:val="16"/>
                <w:szCs w:val="16"/>
              </w:rPr>
              <w:t>9</w:t>
            </w:r>
          </w:p>
        </w:tc>
      </w:tr>
      <w:tr w:rsidR="00140C7A" w:rsidRPr="00711C86" w:rsidTr="00807A90">
        <w:trPr>
          <w:trHeight w:hRule="exact" w:val="369"/>
        </w:trPr>
        <w:tc>
          <w:tcPr>
            <w:tcW w:w="3636" w:type="dxa"/>
            <w:tcBorders>
              <w:top w:val="nil"/>
              <w:left w:val="nil"/>
              <w:bottom w:val="single" w:sz="8" w:space="0" w:color="auto"/>
              <w:right w:val="nil"/>
            </w:tcBorders>
            <w:shd w:val="clear" w:color="000000" w:fill="EEECE1"/>
            <w:noWrap/>
            <w:vAlign w:val="center"/>
            <w:hideMark/>
          </w:tcPr>
          <w:p w:rsidR="00140C7A" w:rsidRPr="00EB690D" w:rsidRDefault="00140C7A" w:rsidP="00EB690D">
            <w:pPr>
              <w:spacing w:line="240" w:lineRule="auto"/>
              <w:jc w:val="left"/>
              <w:rPr>
                <w:rFonts w:cs="Gautami"/>
                <w:b/>
                <w:bCs/>
                <w:sz w:val="16"/>
                <w:szCs w:val="16"/>
              </w:rPr>
            </w:pPr>
            <w:r w:rsidRPr="00EB690D">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140C7A" w:rsidRDefault="00140C7A">
            <w:pPr>
              <w:jc w:val="center"/>
              <w:rPr>
                <w:rFonts w:cs="Gautami"/>
                <w:sz w:val="16"/>
                <w:szCs w:val="16"/>
              </w:rPr>
            </w:pPr>
            <w:r>
              <w:rPr>
                <w:rFonts w:cs="Gautami"/>
                <w:sz w:val="16"/>
                <w:szCs w:val="16"/>
              </w:rPr>
              <w:t>13</w:t>
            </w:r>
          </w:p>
        </w:tc>
        <w:tc>
          <w:tcPr>
            <w:tcW w:w="1436" w:type="dxa"/>
            <w:tcBorders>
              <w:top w:val="nil"/>
              <w:left w:val="nil"/>
              <w:bottom w:val="single" w:sz="8" w:space="0" w:color="auto"/>
              <w:right w:val="nil"/>
            </w:tcBorders>
            <w:shd w:val="clear" w:color="000000" w:fill="EEECE1"/>
            <w:noWrap/>
            <w:vAlign w:val="center"/>
            <w:hideMark/>
          </w:tcPr>
          <w:p w:rsidR="00140C7A" w:rsidRDefault="00140C7A">
            <w:pPr>
              <w:jc w:val="center"/>
              <w:rPr>
                <w:rFonts w:cs="Gautami"/>
                <w:sz w:val="16"/>
                <w:szCs w:val="16"/>
              </w:rPr>
            </w:pPr>
            <w:r>
              <w:rPr>
                <w:rFonts w:cs="Gautami"/>
                <w:sz w:val="16"/>
                <w:szCs w:val="16"/>
              </w:rPr>
              <w:t>35</w:t>
            </w:r>
          </w:p>
        </w:tc>
        <w:tc>
          <w:tcPr>
            <w:tcW w:w="1297" w:type="dxa"/>
            <w:tcBorders>
              <w:top w:val="nil"/>
              <w:left w:val="nil"/>
              <w:bottom w:val="single" w:sz="8" w:space="0" w:color="auto"/>
              <w:right w:val="nil"/>
            </w:tcBorders>
            <w:shd w:val="clear" w:color="000000" w:fill="EEECE1"/>
            <w:noWrap/>
            <w:vAlign w:val="center"/>
            <w:hideMark/>
          </w:tcPr>
          <w:p w:rsidR="00140C7A" w:rsidRDefault="00140C7A">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140C7A" w:rsidRDefault="00140C7A">
            <w:pPr>
              <w:jc w:val="center"/>
              <w:rPr>
                <w:rFonts w:cs="Gautami"/>
                <w:sz w:val="16"/>
                <w:szCs w:val="16"/>
              </w:rPr>
            </w:pPr>
            <w:r>
              <w:rPr>
                <w:rFonts w:cs="Gautami"/>
                <w:sz w:val="16"/>
                <w:szCs w:val="16"/>
              </w:rPr>
              <w:t>15</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7076BD" w:rsidP="002652CD">
      <w:pPr>
        <w:pStyle w:val="AERbodytext"/>
      </w:pPr>
      <w:r>
        <w:pict>
          <v:shape id="_x0000_i1030" type="#_x0000_t75" alt="Figure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pt;height:324.3pt">
            <v:imagedata r:id="rId14" o:title=""/>
          </v:shape>
        </w:pict>
      </w:r>
    </w:p>
    <w:p w:rsidR="00F4461C" w:rsidRPr="005270A6" w:rsidRDefault="00F4461C" w:rsidP="00F4461C">
      <w:pPr>
        <w:pStyle w:val="Figureheading"/>
        <w:numPr>
          <w:ilvl w:val="0"/>
          <w:numId w:val="0"/>
        </w:numPr>
        <w:ind w:left="357" w:hanging="357"/>
      </w:pPr>
      <w:r w:rsidRPr="005270A6">
        <w:lastRenderedPageBreak/>
        <w:t xml:space="preserve">Figure </w:t>
      </w:r>
      <w:r w:rsidR="0078358A" w:rsidRPr="005270A6">
        <w:t>4</w:t>
      </w:r>
      <w:r w:rsidRPr="005270A6">
        <w:t>: New South Wales generation and bidding patterns</w:t>
      </w:r>
    </w:p>
    <w:p w:rsidR="002652CD" w:rsidRPr="002D23B9" w:rsidRDefault="007076BD" w:rsidP="002652CD">
      <w:pPr>
        <w:pStyle w:val="AERbodytext"/>
      </w:pPr>
      <w:r>
        <w:pict>
          <v:shape id="_x0000_i1031"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1pt;height:324.85pt">
            <v:imagedata r:id="rId15"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5</w:t>
      </w:r>
      <w:r w:rsidRPr="005270A6">
        <w:t>: Victoria generation and bidding patterns</w:t>
      </w:r>
    </w:p>
    <w:p w:rsidR="00785F23" w:rsidRDefault="007076BD" w:rsidP="00785F23">
      <w:pPr>
        <w:pStyle w:val="AERbodytext"/>
      </w:pPr>
      <w:r>
        <w:pict>
          <v:shape id="_x0000_i1032"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1pt;height:324.85pt">
            <v:imagedata r:id="rId16" o:title=""/>
          </v:shape>
        </w:pict>
      </w:r>
    </w:p>
    <w:p w:rsidR="00C52BE5" w:rsidRPr="006768AE" w:rsidRDefault="00780239" w:rsidP="00C52BE5">
      <w:pPr>
        <w:pStyle w:val="Figureheading"/>
        <w:numPr>
          <w:ilvl w:val="0"/>
          <w:numId w:val="0"/>
        </w:numPr>
        <w:ind w:left="357" w:hanging="357"/>
      </w:pPr>
      <w:r w:rsidRPr="006768AE">
        <w:lastRenderedPageBreak/>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7076BD" w:rsidP="002652CD">
      <w:pPr>
        <w:pStyle w:val="AERbodytext"/>
      </w:pPr>
      <w:r>
        <w:pict>
          <v:shape id="_x0000_i1033" type="#_x0000_t75" alt="Figure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1pt;height:324.3pt">
            <v:imagedata r:id="rId17" o:title=""/>
          </v:shape>
        </w:pict>
      </w:r>
    </w:p>
    <w:p w:rsidR="0048688D" w:rsidRPr="006768AE" w:rsidRDefault="0048688D" w:rsidP="0048688D">
      <w:pPr>
        <w:pStyle w:val="Figureheading"/>
        <w:numPr>
          <w:ilvl w:val="0"/>
          <w:numId w:val="0"/>
        </w:numPr>
        <w:ind w:left="357" w:hanging="357"/>
      </w:pPr>
      <w:r w:rsidRPr="006768AE">
        <w:t xml:space="preserve">Figure </w:t>
      </w:r>
      <w:r w:rsidR="0078358A" w:rsidRPr="006768AE">
        <w:t>7</w:t>
      </w:r>
      <w:r w:rsidRPr="006768AE">
        <w:t>: Tasmania</w:t>
      </w:r>
      <w:r w:rsidR="00D96C94" w:rsidRPr="006768AE">
        <w:t xml:space="preserve"> generation and bidding patterns</w:t>
      </w:r>
    </w:p>
    <w:p w:rsidR="00B027E9" w:rsidRDefault="007076BD" w:rsidP="002652CD">
      <w:pPr>
        <w:pStyle w:val="AERbodytext"/>
      </w:pPr>
      <w:r>
        <w:pict>
          <v:shape id="_x0000_i1034"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1pt;height:324.3pt">
            <v:imagedata r:id="rId18" o:title=""/>
          </v:shape>
        </w:pict>
      </w:r>
    </w:p>
    <w:p w:rsidR="00977DC4" w:rsidRPr="002D23B9" w:rsidRDefault="000125FD" w:rsidP="00BD4E2C">
      <w:pPr>
        <w:pStyle w:val="Heading2"/>
        <w:rPr>
          <w:color w:val="auto"/>
        </w:rPr>
      </w:pPr>
      <w:r w:rsidRPr="002D23B9">
        <w:rPr>
          <w:color w:val="auto"/>
        </w:rPr>
        <w:lastRenderedPageBreak/>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r w:rsidRPr="002D23B9">
        <w:rPr>
          <w:i/>
        </w:rPr>
        <w:t>delayed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3422CF" w:rsidRPr="006768AE" w:rsidRDefault="005E4D3C" w:rsidP="003422CF">
      <w:pPr>
        <w:pStyle w:val="AERbodytext"/>
      </w:pPr>
      <w:r w:rsidRPr="006768AE">
        <w:t>The total cost of FCAS on the mainland for the week was $</w:t>
      </w:r>
      <w:r w:rsidR="00F30A4B">
        <w:t>454</w:t>
      </w:r>
      <w:r w:rsidR="00827053" w:rsidRPr="006768AE">
        <w:t> </w:t>
      </w:r>
      <w:r w:rsidR="008979B1" w:rsidRPr="006768AE">
        <w:t>0</w:t>
      </w:r>
      <w:r w:rsidR="0027186D" w:rsidRPr="006768AE">
        <w:t>00</w:t>
      </w:r>
      <w:r w:rsidRPr="006768AE">
        <w:t xml:space="preserve"> or less than 1 per cent of energy turnover on the mainland.</w:t>
      </w:r>
      <w:r w:rsidR="003422CF" w:rsidRPr="006768AE">
        <w:t xml:space="preserve"> </w:t>
      </w:r>
    </w:p>
    <w:p w:rsidR="005E4D3C" w:rsidRPr="006768AE" w:rsidRDefault="005E4D3C" w:rsidP="005E4D3C">
      <w:pPr>
        <w:pStyle w:val="AERbodytext"/>
      </w:pPr>
      <w:r w:rsidRPr="006768AE">
        <w:t>The total cost of FCAS in Tasmania for the week was $</w:t>
      </w:r>
      <w:r w:rsidR="00F30A4B">
        <w:t>1</w:t>
      </w:r>
      <w:r w:rsidR="006768AE" w:rsidRPr="006768AE">
        <w:t>6</w:t>
      </w:r>
      <w:r w:rsidR="00F30A4B">
        <w:t>3 5</w:t>
      </w:r>
      <w:r w:rsidR="008979B1" w:rsidRPr="006768AE">
        <w:t xml:space="preserve">00 </w:t>
      </w:r>
      <w:r w:rsidR="00F30A4B">
        <w:t xml:space="preserve">or </w:t>
      </w:r>
      <w:r w:rsidR="008C12B8">
        <w:t>around</w:t>
      </w:r>
      <w:r w:rsidR="00F30A4B">
        <w:t xml:space="preserve"> 2</w:t>
      </w:r>
      <w:r w:rsidRPr="006768AE">
        <w:t xml:space="preserve">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7076BD" w:rsidP="002652CD">
      <w:pPr>
        <w:pStyle w:val="AERbodytext"/>
      </w:pPr>
      <w:r>
        <w:pict>
          <v:shape id="_x0000_i1035"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1pt;height:228.1pt">
            <v:imagedata r:id="rId19" o:title=""/>
          </v:shape>
        </w:pict>
      </w:r>
    </w:p>
    <w:bookmarkEnd w:id="0"/>
    <w:bookmarkEnd w:id="1"/>
    <w:bookmarkEnd w:id="2"/>
    <w:bookmarkEnd w:id="3"/>
    <w:bookmarkEnd w:id="4"/>
    <w:bookmarkEnd w:id="5"/>
    <w:p w:rsidR="00FD70C4" w:rsidRDefault="00FD70C4" w:rsidP="00C81890">
      <w:pPr>
        <w:pStyle w:val="Heading2"/>
        <w:rPr>
          <w:color w:val="auto"/>
        </w:rPr>
      </w:pPr>
      <w:r>
        <w:rPr>
          <w:color w:val="auto"/>
        </w:rPr>
        <w:br w:type="page"/>
      </w:r>
    </w:p>
    <w:p w:rsidR="00E96C5A" w:rsidRPr="002D23B9" w:rsidRDefault="00E96C5A" w:rsidP="00C81890">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BB0611" w:rsidRPr="00AA6275">
        <w:rPr>
          <w:color w:val="000000" w:themeColor="text1"/>
        </w:rPr>
        <w:t xml:space="preserve">Q2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Q1 2018</w:t>
      </w:r>
    </w:p>
    <w:p w:rsidR="00E96C5A" w:rsidRPr="002D23B9" w:rsidRDefault="007076BD" w:rsidP="00170E47">
      <w:pPr>
        <w:pStyle w:val="Sourceandnotes"/>
        <w:ind w:left="0" w:firstLine="0"/>
      </w:pPr>
      <w:r>
        <w:pict>
          <v:shape id="_x0000_i1036" type="#_x0000_t75" alt="Figure 9 shows for all mainland regions the prices for base contracts (and total traded quantities for the week) for each quarter for the next four financial years." style="width:451pt;height:227.5pt">
            <v:imagedata r:id="rId20" o:title=""/>
          </v:shape>
        </w:pict>
      </w:r>
      <w:r w:rsidR="00E96C5A" w:rsidRPr="002D23B9">
        <w:t xml:space="preserve">Source: </w:t>
      </w:r>
      <w:hyperlink r:id="rId21"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AA6275" w:rsidRDefault="00E96C5A" w:rsidP="00E96C5A">
      <w:pPr>
        <w:pStyle w:val="Figureheading"/>
        <w:numPr>
          <w:ilvl w:val="0"/>
          <w:numId w:val="0"/>
        </w:numPr>
        <w:ind w:left="357" w:hanging="357"/>
        <w:rPr>
          <w:color w:val="000000" w:themeColor="text1"/>
        </w:rPr>
      </w:pPr>
      <w:r w:rsidRPr="00AA6275">
        <w:rPr>
          <w:color w:val="000000" w:themeColor="text1"/>
        </w:rPr>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7076BD" w:rsidP="00942195">
      <w:pPr>
        <w:pStyle w:val="AERbodytext"/>
      </w:pPr>
      <w:r>
        <w:pict>
          <v:shape id="_x0000_i1037"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1pt;height:228.1pt">
            <v:imagedata r:id="rId22"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3" w:history="1">
        <w:r w:rsidRPr="002D23B9">
          <w:rPr>
            <w:rStyle w:val="Hyperlink"/>
            <w:color w:val="auto"/>
          </w:rPr>
          <w:t>ASXEnergy.com.au</w:t>
        </w:r>
      </w:hyperlink>
    </w:p>
    <w:p w:rsidR="00E96C5A" w:rsidRPr="002D23B9" w:rsidRDefault="00E96C5A" w:rsidP="00E96C5A">
      <w:pPr>
        <w:pStyle w:val="AERbodytext"/>
      </w:pPr>
      <w:r w:rsidRPr="002D23B9">
        <w:lastRenderedPageBreak/>
        <w:t xml:space="preserve">Prices of other financial products (including longer-term price trends) are available in the </w:t>
      </w:r>
      <w:hyperlink r:id="rId24"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7076BD" w:rsidP="00942195">
      <w:pPr>
        <w:pStyle w:val="AERbodytext"/>
      </w:pPr>
      <w:r>
        <w:pict>
          <v:shape id="_x0000_i1038" type="#_x0000_t75" alt="Figure 11 shows how the price for each regional Quarter 1 2014 cap contract has changed over the last 10 weeks (as well as the total number of trades each week). The closing quarter 1 2012 and quarter 1 2013 prices are also shown. " style="width:451pt;height:226.35pt">
            <v:imagedata r:id="rId25" o:title=""/>
          </v:shape>
        </w:pict>
      </w:r>
    </w:p>
    <w:p w:rsidR="00E96C5A" w:rsidRPr="002D23B9" w:rsidRDefault="00E96C5A" w:rsidP="00170E47">
      <w:pPr>
        <w:pStyle w:val="Sourceandnotes"/>
        <w:spacing w:after="120"/>
      </w:pPr>
      <w:r w:rsidRPr="002D23B9">
        <w:t xml:space="preserve">Source: </w:t>
      </w:r>
      <w:hyperlink r:id="rId26"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AA6275" w:rsidRDefault="00B54368" w:rsidP="003157C3">
      <w:pPr>
        <w:rPr>
          <w:color w:val="000000" w:themeColor="text1"/>
        </w:rPr>
      </w:pPr>
      <w:r w:rsidRPr="00AA6275">
        <w:rPr>
          <w:b/>
          <w:color w:val="000000" w:themeColor="text1"/>
        </w:rPr>
        <w:t>Ju</w:t>
      </w:r>
      <w:r>
        <w:rPr>
          <w:b/>
          <w:color w:val="000000" w:themeColor="text1"/>
        </w:rPr>
        <w:t>ly</w:t>
      </w:r>
      <w:r w:rsidRPr="00AA6275">
        <w:rPr>
          <w:b/>
          <w:color w:val="000000" w:themeColor="text1"/>
        </w:rPr>
        <w:t xml:space="preserve"> </w:t>
      </w:r>
      <w:r w:rsidR="0097000C" w:rsidRPr="00AA6275">
        <w:rPr>
          <w:b/>
          <w:color w:val="000000" w:themeColor="text1"/>
        </w:rPr>
        <w:t>2014</w:t>
      </w:r>
    </w:p>
    <w:sectPr w:rsidR="00E96C5A" w:rsidRPr="00AA6275" w:rsidSect="00601EB7">
      <w:footerReference w:type="default" r:id="rId27"/>
      <w:footerReference w:type="first" r:id="rId28"/>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7076BD">
      <w:rPr>
        <w:rStyle w:val="PageNumber"/>
        <w:noProof/>
      </w:rPr>
      <w:t>9</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DA0DEE" w:rsidRPr="00DA0DEE">
      <w:rPr>
        <w:i/>
      </w:rPr>
      <w:t>D14/89930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 w:id="1">
    <w:p w:rsidR="00E4323D" w:rsidRDefault="00E4323D" w:rsidP="00E4323D">
      <w:pPr>
        <w:pStyle w:val="FootnoteText"/>
      </w:pPr>
      <w:r>
        <w:rPr>
          <w:rStyle w:val="FootnoteReference"/>
        </w:rPr>
        <w:footnoteRef/>
      </w:r>
      <w:r w:rsidRPr="00E4323D">
        <w:rPr>
          <w:sz w:val="16"/>
          <w:szCs w:val="24"/>
          <w:lang w:eastAsia="en-US"/>
        </w:rPr>
        <w:t>Native Demand in a region is demand that is met by local scheduled, semi-scheduled, non-scheduled and exempt generation and by generation imports to the region, excluding the demand of local scheduled loads.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064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adrae\20140622 - 20140628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D77"/>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6BF"/>
    <w:rsid w:val="000D18F3"/>
    <w:rsid w:val="000D1AD4"/>
    <w:rsid w:val="000D1FAC"/>
    <w:rsid w:val="000D205E"/>
    <w:rsid w:val="000D27C2"/>
    <w:rsid w:val="000D28FF"/>
    <w:rsid w:val="000D2EC0"/>
    <w:rsid w:val="000D34DD"/>
    <w:rsid w:val="000D3510"/>
    <w:rsid w:val="000D3769"/>
    <w:rsid w:val="000D3D28"/>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05E"/>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A58"/>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3A7"/>
    <w:rsid w:val="001D6462"/>
    <w:rsid w:val="001D69B4"/>
    <w:rsid w:val="001D6C48"/>
    <w:rsid w:val="001D7065"/>
    <w:rsid w:val="001D73E6"/>
    <w:rsid w:val="001D76B1"/>
    <w:rsid w:val="001D784B"/>
    <w:rsid w:val="001D7E05"/>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2A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999"/>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0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627"/>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C4"/>
    <w:rsid w:val="004F6BC4"/>
    <w:rsid w:val="004F733A"/>
    <w:rsid w:val="004F733E"/>
    <w:rsid w:val="004F751B"/>
    <w:rsid w:val="004F7880"/>
    <w:rsid w:val="004F79E6"/>
    <w:rsid w:val="00500010"/>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33F"/>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69D"/>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3C1"/>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D85"/>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6BD"/>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6FA"/>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E7D"/>
    <w:rsid w:val="007E5F35"/>
    <w:rsid w:val="007E65DE"/>
    <w:rsid w:val="007E6DC8"/>
    <w:rsid w:val="007E7310"/>
    <w:rsid w:val="007E73D1"/>
    <w:rsid w:val="007E774C"/>
    <w:rsid w:val="007E7BB0"/>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6CC"/>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835"/>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B4"/>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A9"/>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B93"/>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2B"/>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5C1"/>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6FBD"/>
    <w:rsid w:val="00CC70A1"/>
    <w:rsid w:val="00CC714F"/>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DEE"/>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C44"/>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2E7"/>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3D"/>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9B3"/>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BDA"/>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3CC"/>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5A31"/>
    <w:rsid w:val="00FC6970"/>
    <w:rsid w:val="00FC6EB8"/>
    <w:rsid w:val="00FC6F72"/>
    <w:rsid w:val="00FC6FCF"/>
    <w:rsid w:val="00FC7251"/>
    <w:rsid w:val="00FC72EC"/>
    <w:rsid w:val="00FC7311"/>
    <w:rsid w:val="00FC7478"/>
    <w:rsid w:val="00FD03A9"/>
    <w:rsid w:val="00FD0713"/>
    <w:rsid w:val="00FD0838"/>
    <w:rsid w:val="00FD0A65"/>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C5"/>
    <w:rsid w:val="00FF45E9"/>
    <w:rsid w:val="00FF502E"/>
    <w:rsid w:val="00FF5210"/>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027020"/>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10.emf"/><Relationship Id="rId26" Type="http://schemas.openxmlformats.org/officeDocument/2006/relationships/hyperlink" Target="https://asxenergy.com.au/" TargetMode="Externa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aer.gov.au/australian-energy-industry/performance-of-the-energy-sector"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6A9F1054.dotm</Template>
  <TotalTime>0</TotalTime>
  <Pages>9</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2014-07-15T06:23:00Z</dcterms:created>
  <dcterms:modified xsi:type="dcterms:W3CDTF">2014-07-15T06:23:00Z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8224143</vt:lpwstr>
  </property>
</Properties>
</file>