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E606F6"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Default="002A3C6B" w:rsidP="00780239">
                  <w:pPr>
                    <w:pStyle w:val="Title"/>
                    <w:jc w:val="left"/>
                    <w:rPr>
                      <w:i/>
                    </w:rPr>
                  </w:pPr>
                  <w:r>
                    <w:t>4</w:t>
                  </w:r>
                  <w:r w:rsidR="009340BA">
                    <w:t xml:space="preserve"> to </w:t>
                  </w:r>
                  <w:r>
                    <w:t>10</w:t>
                  </w:r>
                  <w:r w:rsidR="009340BA">
                    <w:t xml:space="preserve"> </w:t>
                  </w:r>
                  <w:r>
                    <w:t>May</w:t>
                  </w:r>
                  <w:r w:rsidR="00EC411D">
                    <w:t xml:space="preserve"> 2014</w:t>
                  </w:r>
                  <w:r w:rsidR="00EC411D"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6A44D7">
        <w:t>4</w:t>
      </w:r>
      <w:r w:rsidR="00BB0611">
        <w:t xml:space="preserve"> </w:t>
      </w:r>
      <w:r w:rsidR="00780239">
        <w:t xml:space="preserve">to </w:t>
      </w:r>
      <w:r w:rsidR="006A44D7">
        <w:t>10</w:t>
      </w:r>
      <w:r w:rsidR="00BB0611">
        <w:t xml:space="preserve"> </w:t>
      </w:r>
      <w:r w:rsidR="006A44D7">
        <w:t>May</w:t>
      </w:r>
      <w:r>
        <w:t xml:space="preserve"> 2014.</w:t>
      </w:r>
      <w:r w:rsidR="00827053" w:rsidRPr="00827053">
        <w:t xml:space="preserve"> </w:t>
      </w:r>
      <w:r w:rsidR="00827053">
        <w:t>The Queensland price spike on 5 May reached $1783/MWh.</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E606F6"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446768"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2A3C6B"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2A3C6B" w:rsidRPr="009340BA" w:rsidRDefault="002A3C6B"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59</w:t>
            </w:r>
          </w:p>
        </w:tc>
        <w:tc>
          <w:tcPr>
            <w:tcW w:w="781" w:type="pct"/>
            <w:tcBorders>
              <w:top w:val="nil"/>
              <w:left w:val="nil"/>
              <w:bottom w:val="nil"/>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54</w:t>
            </w:r>
          </w:p>
        </w:tc>
        <w:tc>
          <w:tcPr>
            <w:tcW w:w="781" w:type="pct"/>
            <w:tcBorders>
              <w:top w:val="nil"/>
              <w:left w:val="nil"/>
              <w:bottom w:val="nil"/>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51</w:t>
            </w:r>
          </w:p>
        </w:tc>
        <w:tc>
          <w:tcPr>
            <w:tcW w:w="781" w:type="pct"/>
            <w:tcBorders>
              <w:top w:val="nil"/>
              <w:left w:val="nil"/>
              <w:bottom w:val="nil"/>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59</w:t>
            </w:r>
          </w:p>
        </w:tc>
        <w:tc>
          <w:tcPr>
            <w:tcW w:w="781" w:type="pct"/>
            <w:tcBorders>
              <w:top w:val="nil"/>
              <w:left w:val="nil"/>
              <w:bottom w:val="nil"/>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39</w:t>
            </w:r>
          </w:p>
        </w:tc>
      </w:tr>
      <w:tr w:rsidR="002A3C6B"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2A3C6B" w:rsidRPr="009340BA" w:rsidRDefault="002A3C6B"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2A3C6B" w:rsidRDefault="002A3C6B">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2A3C6B" w:rsidRDefault="002A3C6B">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2A3C6B" w:rsidRDefault="002A3C6B">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2A3C6B" w:rsidRDefault="002A3C6B">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2A3C6B" w:rsidRDefault="002A3C6B">
            <w:pPr>
              <w:jc w:val="center"/>
              <w:rPr>
                <w:rFonts w:cs="Gautami"/>
                <w:sz w:val="16"/>
                <w:szCs w:val="16"/>
              </w:rPr>
            </w:pPr>
            <w:r>
              <w:rPr>
                <w:rFonts w:cs="Gautami"/>
                <w:sz w:val="16"/>
                <w:szCs w:val="16"/>
              </w:rPr>
              <w:t>49</w:t>
            </w:r>
          </w:p>
        </w:tc>
      </w:tr>
      <w:tr w:rsidR="002A3C6B"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2A3C6B" w:rsidRPr="009340BA" w:rsidRDefault="002A3C6B"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62</w:t>
            </w:r>
          </w:p>
        </w:tc>
        <w:tc>
          <w:tcPr>
            <w:tcW w:w="781" w:type="pct"/>
            <w:tcBorders>
              <w:top w:val="nil"/>
              <w:left w:val="nil"/>
              <w:bottom w:val="single" w:sz="8" w:space="0" w:color="auto"/>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53</w:t>
            </w:r>
          </w:p>
        </w:tc>
        <w:tc>
          <w:tcPr>
            <w:tcW w:w="781" w:type="pct"/>
            <w:tcBorders>
              <w:top w:val="nil"/>
              <w:left w:val="nil"/>
              <w:bottom w:val="single" w:sz="8" w:space="0" w:color="auto"/>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70</w:t>
            </w:r>
          </w:p>
        </w:tc>
        <w:tc>
          <w:tcPr>
            <w:tcW w:w="781" w:type="pct"/>
            <w:tcBorders>
              <w:top w:val="nil"/>
              <w:left w:val="nil"/>
              <w:bottom w:val="single" w:sz="8" w:space="0" w:color="auto"/>
              <w:right w:val="nil"/>
            </w:tcBorders>
            <w:shd w:val="clear" w:color="000000" w:fill="DDD9C3"/>
            <w:noWrap/>
            <w:vAlign w:val="center"/>
            <w:hideMark/>
          </w:tcPr>
          <w:p w:rsidR="002A3C6B" w:rsidRDefault="002A3C6B">
            <w:pPr>
              <w:jc w:val="center"/>
              <w:rPr>
                <w:rFonts w:cs="Gautami"/>
                <w:sz w:val="16"/>
                <w:szCs w:val="16"/>
              </w:rPr>
            </w:pPr>
            <w:r>
              <w:rPr>
                <w:rFonts w:cs="Gautami"/>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were </w:t>
      </w:r>
      <w:r w:rsidR="00726645">
        <w:t>24</w:t>
      </w:r>
      <w:r w:rsidR="00BB0611">
        <w:t xml:space="preserve"> </w:t>
      </w:r>
      <w:r>
        <w:t xml:space="preserve">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726645"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726645" w:rsidRPr="009340BA" w:rsidRDefault="00726645"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26645" w:rsidRDefault="00726645">
            <w:pPr>
              <w:jc w:val="center"/>
              <w:rPr>
                <w:rFonts w:cs="Gautami"/>
                <w:sz w:val="16"/>
                <w:szCs w:val="16"/>
              </w:rPr>
            </w:pPr>
            <w:r>
              <w:rPr>
                <w:rFonts w:cs="Gautami"/>
                <w:sz w:val="16"/>
                <w:szCs w:val="16"/>
              </w:rPr>
              <w:t>1</w:t>
            </w:r>
          </w:p>
        </w:tc>
        <w:tc>
          <w:tcPr>
            <w:tcW w:w="1436" w:type="dxa"/>
            <w:tcBorders>
              <w:top w:val="nil"/>
              <w:left w:val="nil"/>
              <w:bottom w:val="nil"/>
              <w:right w:val="nil"/>
            </w:tcBorders>
            <w:shd w:val="clear" w:color="000000" w:fill="DDD9C3"/>
            <w:noWrap/>
            <w:vAlign w:val="center"/>
            <w:hideMark/>
          </w:tcPr>
          <w:p w:rsidR="00726645" w:rsidRDefault="00726645">
            <w:pPr>
              <w:jc w:val="center"/>
              <w:rPr>
                <w:rFonts w:cs="Gautami"/>
                <w:sz w:val="16"/>
                <w:szCs w:val="16"/>
              </w:rPr>
            </w:pPr>
            <w:r>
              <w:rPr>
                <w:rFonts w:cs="Gautami"/>
                <w:sz w:val="16"/>
                <w:szCs w:val="16"/>
              </w:rPr>
              <w:t>41</w:t>
            </w:r>
          </w:p>
        </w:tc>
        <w:tc>
          <w:tcPr>
            <w:tcW w:w="1297" w:type="dxa"/>
            <w:tcBorders>
              <w:top w:val="nil"/>
              <w:left w:val="nil"/>
              <w:bottom w:val="nil"/>
              <w:right w:val="nil"/>
            </w:tcBorders>
            <w:shd w:val="clear" w:color="000000" w:fill="DDD9C3"/>
            <w:noWrap/>
            <w:vAlign w:val="center"/>
            <w:hideMark/>
          </w:tcPr>
          <w:p w:rsidR="00726645" w:rsidRDefault="00726645">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726645" w:rsidRDefault="00726645">
            <w:pPr>
              <w:jc w:val="center"/>
              <w:rPr>
                <w:rFonts w:cs="Gautami"/>
                <w:sz w:val="16"/>
                <w:szCs w:val="16"/>
              </w:rPr>
            </w:pPr>
            <w:r>
              <w:rPr>
                <w:rFonts w:cs="Gautami"/>
                <w:sz w:val="16"/>
                <w:szCs w:val="16"/>
              </w:rPr>
              <w:t>0</w:t>
            </w:r>
          </w:p>
        </w:tc>
      </w:tr>
      <w:tr w:rsidR="00726645"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726645" w:rsidRPr="009340BA" w:rsidRDefault="00726645"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26645" w:rsidRDefault="00726645">
            <w:pPr>
              <w:jc w:val="center"/>
              <w:rPr>
                <w:rFonts w:cs="Gautami"/>
                <w:sz w:val="16"/>
                <w:szCs w:val="16"/>
              </w:rPr>
            </w:pPr>
            <w:r>
              <w:rPr>
                <w:rFonts w:cs="Gautami"/>
                <w:sz w:val="16"/>
                <w:szCs w:val="16"/>
              </w:rPr>
              <w:t>10</w:t>
            </w:r>
          </w:p>
        </w:tc>
        <w:tc>
          <w:tcPr>
            <w:tcW w:w="1436" w:type="dxa"/>
            <w:tcBorders>
              <w:top w:val="nil"/>
              <w:left w:val="nil"/>
              <w:bottom w:val="single" w:sz="8" w:space="0" w:color="auto"/>
              <w:right w:val="nil"/>
            </w:tcBorders>
            <w:shd w:val="clear" w:color="000000" w:fill="EEECE1"/>
            <w:noWrap/>
            <w:vAlign w:val="center"/>
            <w:hideMark/>
          </w:tcPr>
          <w:p w:rsidR="00726645" w:rsidRDefault="00726645">
            <w:pPr>
              <w:jc w:val="center"/>
              <w:rPr>
                <w:rFonts w:cs="Gautami"/>
                <w:sz w:val="16"/>
                <w:szCs w:val="16"/>
              </w:rPr>
            </w:pPr>
            <w:r>
              <w:rPr>
                <w:rFonts w:cs="Gautami"/>
                <w:sz w:val="16"/>
                <w:szCs w:val="16"/>
              </w:rPr>
              <w:t>16</w:t>
            </w:r>
          </w:p>
        </w:tc>
        <w:tc>
          <w:tcPr>
            <w:tcW w:w="1297" w:type="dxa"/>
            <w:tcBorders>
              <w:top w:val="nil"/>
              <w:left w:val="nil"/>
              <w:bottom w:val="single" w:sz="8" w:space="0" w:color="auto"/>
              <w:right w:val="nil"/>
            </w:tcBorders>
            <w:shd w:val="clear" w:color="000000" w:fill="EEECE1"/>
            <w:noWrap/>
            <w:vAlign w:val="center"/>
            <w:hideMark/>
          </w:tcPr>
          <w:p w:rsidR="00726645" w:rsidRDefault="00726645">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26645" w:rsidRDefault="00726645">
            <w:pPr>
              <w:jc w:val="center"/>
              <w:rPr>
                <w:rFonts w:cs="Gautami"/>
                <w:sz w:val="16"/>
                <w:szCs w:val="16"/>
              </w:rPr>
            </w:pPr>
            <w:r>
              <w:rPr>
                <w:rFonts w:cs="Gautami"/>
                <w:sz w:val="16"/>
                <w:szCs w:val="16"/>
              </w:rPr>
              <w:t>32</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Default="00E606F6" w:rsidP="002652CD">
      <w:pPr>
        <w:pStyle w:val="AERbodytext"/>
      </w:pPr>
      <w:r>
        <w:rPr>
          <w:noProof/>
          <w:lang w:eastAsia="en-AU"/>
        </w:rPr>
        <w:pict>
          <v:oval id="_x0000_s1040" style="position:absolute;left:0;text-align:left;margin-left:163.7pt;margin-top:33.5pt;width:23.1pt;height:86.25pt;z-index:251659264" strokecolor="red" strokeweight="2.25pt">
            <v:fill opacity="0"/>
          </v:oval>
        </w:pict>
      </w:r>
      <w:r w:rsidR="00446768">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pt">
            <v:imagedata r:id="rId12" o:title=""/>
          </v:shape>
        </w:pict>
      </w:r>
    </w:p>
    <w:p w:rsidR="00EF7EE1" w:rsidRPr="002D23B9" w:rsidRDefault="00EF7EE1" w:rsidP="002652CD">
      <w:pPr>
        <w:pStyle w:val="AERbodytext"/>
      </w:pPr>
      <w:r>
        <w:t>See the “</w:t>
      </w:r>
      <w:r w:rsidRPr="00E60B71">
        <w:rPr>
          <w:color w:val="000000"/>
        </w:rPr>
        <w:t>Detailed market analysis of significant price events</w:t>
      </w:r>
      <w:r>
        <w:rPr>
          <w:color w:val="000000"/>
        </w:rPr>
        <w:t>” section for details of significant rebidding circled in red above.</w: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446768"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446768"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7pt">
            <v:imagedata r:id="rId14" o:title=""/>
          </v:shape>
        </w:pict>
      </w:r>
    </w:p>
    <w:p w:rsidR="00C52BE5" w:rsidRPr="002D23B9" w:rsidRDefault="00780239" w:rsidP="00C52BE5">
      <w:pPr>
        <w:pStyle w:val="Figureheading"/>
        <w:numPr>
          <w:ilvl w:val="0"/>
          <w:numId w:val="0"/>
        </w:numPr>
        <w:ind w:left="357" w:hanging="357"/>
      </w:pPr>
      <w:r>
        <w:t>Fi</w:t>
      </w:r>
      <w:r w:rsidR="00C52BE5" w:rsidRPr="002D23B9">
        <w:t xml:space="preserve">gure </w:t>
      </w:r>
      <w:r w:rsidR="0078358A">
        <w:t>6</w:t>
      </w:r>
      <w:r w:rsidR="00C52BE5" w:rsidRPr="002D23B9">
        <w:t>: South Australia</w:t>
      </w:r>
      <w:r w:rsidR="00D96C94" w:rsidRPr="002D23B9">
        <w:t xml:space="preserve"> generation and bidding patterns</w:t>
      </w:r>
    </w:p>
    <w:p w:rsidR="002652CD" w:rsidRPr="002D23B9" w:rsidRDefault="00446768"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446768"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Default="005E4D3C" w:rsidP="003422CF">
      <w:pPr>
        <w:pStyle w:val="AERbodytext"/>
      </w:pPr>
      <w:r>
        <w:t>The total cost of FCAS on the mainland for the week was $</w:t>
      </w:r>
      <w:r w:rsidR="00827053">
        <w:t>1</w:t>
      </w:r>
      <w:r w:rsidR="008979B1">
        <w:t> 214</w:t>
      </w:r>
      <w:r w:rsidR="00827053">
        <w:t> </w:t>
      </w:r>
      <w:r w:rsidR="008979B1">
        <w:t>0</w:t>
      </w:r>
      <w:r w:rsidR="0027186D">
        <w:t>00</w:t>
      </w:r>
      <w:r>
        <w:t xml:space="preserve"> or less than 1 per cent of energy turnover on the mainland.</w:t>
      </w:r>
      <w:r w:rsidR="003422CF" w:rsidRPr="003422CF">
        <w:t xml:space="preserve"> </w:t>
      </w:r>
      <w:r w:rsidR="003422CF">
        <w:t xml:space="preserve">There were high FCAS prices on the final five days of the week. Most of these prices related to raise services, however on 9 May the high prices were in response to increased demand for lower services. </w:t>
      </w:r>
    </w:p>
    <w:p w:rsidR="003422CF" w:rsidRDefault="00EF7EE1" w:rsidP="003422CF">
      <w:pPr>
        <w:pStyle w:val="AERbodytext"/>
      </w:pPr>
      <w:r>
        <w:t>During periods of peak demand generators which normally provide FCAS services were</w:t>
      </w:r>
      <w:r w:rsidR="003422CF">
        <w:t xml:space="preserve"> operating at close to full capacity</w:t>
      </w:r>
      <w:r>
        <w:t xml:space="preserve"> in energy</w:t>
      </w:r>
      <w:r w:rsidR="003422CF">
        <w:t xml:space="preserve">. This means their ability to provide raise services </w:t>
      </w:r>
      <w:r>
        <w:t xml:space="preserve">was </w:t>
      </w:r>
      <w:r w:rsidR="003422CF">
        <w:t xml:space="preserve">reduced. Therefore, when raise services were required at times of peak demand, often the only generators who were able to provide raise services were offering the services at higher prices (around $100/MW). </w:t>
      </w:r>
    </w:p>
    <w:p w:rsidR="003422CF" w:rsidRDefault="003422CF" w:rsidP="003422CF">
      <w:pPr>
        <w:pStyle w:val="AERbodytext"/>
      </w:pPr>
      <w:r>
        <w:t>On 9 May, the Heywood M1 500/275 kV transformer in Victoria was on a scheduled outage from 6 am to 6 pm. At 6.47 am, as the M1 transformer was being removed from service, the Heywood-</w:t>
      </w:r>
      <w:proofErr w:type="spellStart"/>
      <w:r>
        <w:t>Tarrone</w:t>
      </w:r>
      <w:proofErr w:type="spellEnd"/>
      <w:r>
        <w:t xml:space="preserve">-APD and the </w:t>
      </w:r>
      <w:proofErr w:type="spellStart"/>
      <w:r>
        <w:t>Tarrone-Moorabool</w:t>
      </w:r>
      <w:proofErr w:type="spellEnd"/>
      <w:r>
        <w:t xml:space="preserve"> No.1 1 500kV lines tripped. At 7 </w:t>
      </w:r>
      <w:r w:rsidR="00640381">
        <w:t>a</w:t>
      </w:r>
      <w:r>
        <w:t xml:space="preserve">m a number of </w:t>
      </w:r>
      <w:r w:rsidR="00640381">
        <w:t>constraints</w:t>
      </w:r>
      <w:r>
        <w:t xml:space="preserve"> were invoked to manage these outages which </w:t>
      </w:r>
      <w:r w:rsidR="00640381">
        <w:t xml:space="preserve">violated and </w:t>
      </w:r>
      <w:r>
        <w:t xml:space="preserve">resulted in </w:t>
      </w:r>
      <w:r w:rsidR="00640381">
        <w:t xml:space="preserve">flows being forced into Victoria from South Australia at around 356 MW. This increased the requirements for all local lower services in South Australia and high priced services were enabled until 7.15 am. </w:t>
      </w:r>
    </w:p>
    <w:p w:rsidR="003422CF" w:rsidRDefault="003422CF" w:rsidP="003422CF">
      <w:pPr>
        <w:pStyle w:val="AERbodytext"/>
      </w:pPr>
      <w:r>
        <w:t xml:space="preserve">AEMO are </w:t>
      </w:r>
      <w:r w:rsidR="00640381">
        <w:t xml:space="preserve">further </w:t>
      </w:r>
      <w:r>
        <w:t>investigating the cause of this incident.</w:t>
      </w:r>
    </w:p>
    <w:p w:rsidR="005E4D3C" w:rsidRDefault="005E4D3C" w:rsidP="005E4D3C">
      <w:pPr>
        <w:pStyle w:val="AERbodytext"/>
      </w:pPr>
      <w:r>
        <w:t>The total cost of FCAS in Tasmania for the week was $</w:t>
      </w:r>
      <w:r w:rsidR="008979B1">
        <w:t xml:space="preserve">40 000 </w:t>
      </w:r>
      <w:r>
        <w:t>or less than 1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Default="00446768"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
            <v:imagedata r:id="rId17" o:title=""/>
          </v:shape>
        </w:pict>
      </w:r>
    </w:p>
    <w:bookmarkEnd w:id="0"/>
    <w:bookmarkEnd w:id="1"/>
    <w:bookmarkEnd w:id="2"/>
    <w:bookmarkEnd w:id="3"/>
    <w:bookmarkEnd w:id="4"/>
    <w:bookmarkEnd w:id="5"/>
    <w:p w:rsidR="00330AD1" w:rsidRDefault="00330AD1" w:rsidP="00DD7CB4">
      <w:pPr>
        <w:pStyle w:val="Heading2"/>
        <w:rPr>
          <w:color w:val="000000"/>
        </w:rPr>
      </w:pPr>
    </w:p>
    <w:p w:rsidR="00DD7CB4" w:rsidRPr="00E60B71" w:rsidRDefault="00DD7CB4" w:rsidP="00DD7CB4">
      <w:pPr>
        <w:pStyle w:val="Heading2"/>
        <w:rPr>
          <w:color w:val="000000"/>
        </w:rPr>
      </w:pPr>
      <w:r w:rsidRPr="00E60B71">
        <w:rPr>
          <w:color w:val="000000"/>
        </w:rPr>
        <w:t>Detailed market analysis of significant price events</w:t>
      </w:r>
    </w:p>
    <w:p w:rsidR="00DD7CB4" w:rsidRPr="00C95548" w:rsidRDefault="00DD7CB4" w:rsidP="00DD7CB4">
      <w:pPr>
        <w:pStyle w:val="AERbodytext"/>
        <w:rPr>
          <w:color w:val="000000"/>
        </w:rPr>
      </w:pPr>
      <w:r w:rsidRPr="00C95548">
        <w:rPr>
          <w:color w:val="000000"/>
        </w:rPr>
        <w:t xml:space="preserve">We provide more detailed analysis of events where the spot price was greater than three times the weekly average price in a region and above $250/MWh or was below </w:t>
      </w:r>
      <w:r w:rsidRPr="00C95548">
        <w:rPr>
          <w:color w:val="000000"/>
        </w:rPr>
        <w:noBreakHyphen/>
        <w:t xml:space="preserve">$100/MWh. </w:t>
      </w:r>
    </w:p>
    <w:p w:rsidR="00DD7CB4" w:rsidRPr="00C95548" w:rsidRDefault="00DD7CB4" w:rsidP="00DD7CB4">
      <w:pPr>
        <w:pStyle w:val="AERbodytext"/>
        <w:rPr>
          <w:color w:val="000000"/>
        </w:rPr>
      </w:pPr>
      <w:r>
        <w:rPr>
          <w:b/>
          <w:color w:val="000000"/>
        </w:rPr>
        <w:t>Queensland</w:t>
      </w:r>
    </w:p>
    <w:p w:rsidR="00DD7CB4" w:rsidRPr="00F50FC4" w:rsidRDefault="00DD7CB4" w:rsidP="00DD7CB4">
      <w:pPr>
        <w:rPr>
          <w:color w:val="000000"/>
          <w:lang w:eastAsia="en-US"/>
        </w:rPr>
      </w:pPr>
      <w:r>
        <w:rPr>
          <w:color w:val="000000"/>
          <w:lang w:eastAsia="en-US"/>
        </w:rPr>
        <w:t>There were two</w:t>
      </w:r>
      <w:r w:rsidRPr="00F50FC4">
        <w:rPr>
          <w:color w:val="000000"/>
          <w:lang w:eastAsia="en-US"/>
        </w:rPr>
        <w:t xml:space="preserve"> occasions where the spot price in </w:t>
      </w:r>
      <w:r>
        <w:rPr>
          <w:color w:val="000000"/>
          <w:lang w:eastAsia="en-US"/>
        </w:rPr>
        <w:t xml:space="preserve">Queensland </w:t>
      </w:r>
      <w:r w:rsidRPr="00F50FC4">
        <w:rPr>
          <w:color w:val="000000"/>
          <w:lang w:eastAsia="en-US"/>
        </w:rPr>
        <w:t xml:space="preserve">was greater than three times the </w:t>
      </w:r>
      <w:r>
        <w:rPr>
          <w:color w:val="000000"/>
          <w:lang w:eastAsia="en-US"/>
        </w:rPr>
        <w:t>Queensland</w:t>
      </w:r>
      <w:r w:rsidRPr="00F50FC4">
        <w:rPr>
          <w:color w:val="000000"/>
          <w:lang w:eastAsia="en-US"/>
        </w:rPr>
        <w:t xml:space="preserve"> weekly average price</w:t>
      </w:r>
      <w:r>
        <w:rPr>
          <w:color w:val="000000"/>
          <w:lang w:eastAsia="en-US"/>
        </w:rPr>
        <w:t xml:space="preserve"> of $59/MWh and above $250/MWh.</w:t>
      </w:r>
    </w:p>
    <w:p w:rsidR="00DD7CB4" w:rsidRPr="00E77E9F" w:rsidRDefault="00DD7CB4" w:rsidP="00DD7CB4">
      <w:pPr>
        <w:pStyle w:val="AERtabletitle"/>
      </w:pPr>
      <w:r w:rsidRPr="00E77E9F">
        <w:t xml:space="preserve">Table 3: </w:t>
      </w:r>
      <w:r>
        <w:t>Queensland</w:t>
      </w:r>
      <w:r w:rsidRPr="00E77E9F">
        <w:t xml:space="preserve">, </w:t>
      </w:r>
      <w:r>
        <w:t>Monday 5</w:t>
      </w:r>
      <w:r w:rsidRPr="00E77E9F">
        <w:t xml:space="preserve"> </w:t>
      </w:r>
      <w:r>
        <w:t>May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DD7CB4" w:rsidRPr="00B309A7" w:rsidTr="00BA2AD2">
        <w:tc>
          <w:tcPr>
            <w:tcW w:w="993" w:type="dxa"/>
            <w:tcBorders>
              <w:top w:val="single" w:sz="4" w:space="0" w:color="auto"/>
              <w:left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D7CB4" w:rsidRPr="00E77E9F" w:rsidTr="00DD7CB4">
        <w:tc>
          <w:tcPr>
            <w:tcW w:w="993" w:type="dxa"/>
            <w:tcBorders>
              <w:top w:val="nil"/>
              <w:left w:val="single" w:sz="4" w:space="0" w:color="auto"/>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4"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DD7CB4" w:rsidRPr="0014596E" w:rsidTr="00DD7CB4">
        <w:tc>
          <w:tcPr>
            <w:tcW w:w="993" w:type="dxa"/>
            <w:tcBorders>
              <w:top w:val="nil"/>
              <w:left w:val="single" w:sz="4" w:space="0" w:color="auto"/>
              <w:bottom w:val="single" w:sz="4" w:space="0" w:color="auto"/>
              <w:right w:val="single" w:sz="6" w:space="0" w:color="auto"/>
            </w:tcBorders>
            <w:shd w:val="clear" w:color="auto" w:fill="EEECE1"/>
            <w:noWrap/>
          </w:tcPr>
          <w:p w:rsidR="00DD7CB4" w:rsidRPr="00E77E9F" w:rsidRDefault="00DD7CB4" w:rsidP="00BA2AD2">
            <w:pPr>
              <w:autoSpaceDE w:val="0"/>
              <w:autoSpaceDN w:val="0"/>
              <w:adjustRightInd w:val="0"/>
              <w:spacing w:before="100" w:after="100"/>
              <w:rPr>
                <w:b/>
                <w:bCs/>
                <w:sz w:val="18"/>
                <w:szCs w:val="18"/>
              </w:rPr>
            </w:pPr>
            <w:r>
              <w:rPr>
                <w:b/>
                <w:bCs/>
                <w:sz w:val="18"/>
                <w:szCs w:val="18"/>
              </w:rPr>
              <w:t>7.00 AM</w:t>
            </w:r>
          </w:p>
        </w:tc>
        <w:tc>
          <w:tcPr>
            <w:tcW w:w="834" w:type="dxa"/>
            <w:tcBorders>
              <w:top w:val="nil"/>
              <w:left w:val="single" w:sz="6" w:space="0" w:color="auto"/>
              <w:bottom w:val="single" w:sz="4" w:space="0" w:color="auto"/>
              <w:right w:val="nil"/>
            </w:tcBorders>
            <w:shd w:val="clear" w:color="auto" w:fill="EEECE1"/>
            <w:noWrap/>
            <w:vAlign w:val="center"/>
          </w:tcPr>
          <w:p w:rsidR="00DD7CB4" w:rsidRPr="00FD28E1" w:rsidRDefault="00DD7CB4" w:rsidP="00BA2AD2">
            <w:pPr>
              <w:jc w:val="center"/>
              <w:rPr>
                <w:sz w:val="18"/>
              </w:rPr>
            </w:pPr>
            <w:r>
              <w:rPr>
                <w:sz w:val="18"/>
              </w:rPr>
              <w:t>1783</w:t>
            </w:r>
          </w:p>
        </w:tc>
        <w:tc>
          <w:tcPr>
            <w:tcW w:w="976" w:type="dxa"/>
            <w:tcBorders>
              <w:top w:val="nil"/>
              <w:left w:val="nil"/>
              <w:bottom w:val="single" w:sz="4" w:space="0" w:color="auto"/>
              <w:right w:val="nil"/>
            </w:tcBorders>
            <w:shd w:val="clear" w:color="auto" w:fill="EEECE1"/>
            <w:noWrap/>
            <w:vAlign w:val="center"/>
          </w:tcPr>
          <w:p w:rsidR="00DD7CB4" w:rsidRPr="00FD28E1" w:rsidRDefault="00DD7CB4" w:rsidP="00BA2AD2">
            <w:pPr>
              <w:jc w:val="center"/>
              <w:rPr>
                <w:sz w:val="18"/>
              </w:rPr>
            </w:pPr>
            <w:r>
              <w:rPr>
                <w:sz w:val="18"/>
              </w:rPr>
              <w:t>56.89</w:t>
            </w:r>
          </w:p>
        </w:tc>
        <w:tc>
          <w:tcPr>
            <w:tcW w:w="977" w:type="dxa"/>
            <w:tcBorders>
              <w:top w:val="nil"/>
              <w:left w:val="nil"/>
              <w:bottom w:val="single" w:sz="4" w:space="0" w:color="auto"/>
              <w:right w:val="single" w:sz="6" w:space="0" w:color="auto"/>
            </w:tcBorders>
            <w:shd w:val="clear" w:color="auto" w:fill="EEECE1"/>
            <w:noWrap/>
            <w:vAlign w:val="center"/>
          </w:tcPr>
          <w:p w:rsidR="00DD7CB4" w:rsidRPr="00FD28E1" w:rsidRDefault="00DD7CB4" w:rsidP="00BA2AD2">
            <w:pPr>
              <w:jc w:val="center"/>
              <w:rPr>
                <w:sz w:val="18"/>
              </w:rPr>
            </w:pPr>
            <w:r>
              <w:rPr>
                <w:sz w:val="18"/>
              </w:rPr>
              <w:t>57.70</w:t>
            </w:r>
          </w:p>
        </w:tc>
        <w:tc>
          <w:tcPr>
            <w:tcW w:w="976" w:type="dxa"/>
            <w:tcBorders>
              <w:top w:val="nil"/>
              <w:left w:val="single" w:sz="6" w:space="0" w:color="auto"/>
              <w:bottom w:val="single" w:sz="4" w:space="0" w:color="auto"/>
              <w:right w:val="nil"/>
            </w:tcBorders>
            <w:shd w:val="clear" w:color="auto" w:fill="EEECE1"/>
            <w:vAlign w:val="center"/>
          </w:tcPr>
          <w:p w:rsidR="00DD7CB4" w:rsidRPr="00FD28E1" w:rsidRDefault="00DD7CB4" w:rsidP="00BA2AD2">
            <w:pPr>
              <w:jc w:val="center"/>
              <w:rPr>
                <w:sz w:val="18"/>
              </w:rPr>
            </w:pPr>
            <w:r>
              <w:rPr>
                <w:sz w:val="18"/>
              </w:rPr>
              <w:t>5 900</w:t>
            </w:r>
          </w:p>
        </w:tc>
        <w:tc>
          <w:tcPr>
            <w:tcW w:w="977" w:type="dxa"/>
            <w:tcBorders>
              <w:top w:val="nil"/>
              <w:left w:val="nil"/>
              <w:bottom w:val="single" w:sz="4" w:space="0" w:color="auto"/>
              <w:right w:val="nil"/>
            </w:tcBorders>
            <w:shd w:val="clear" w:color="auto" w:fill="EEECE1"/>
            <w:vAlign w:val="center"/>
          </w:tcPr>
          <w:p w:rsidR="00DD7CB4" w:rsidRPr="00FD28E1" w:rsidRDefault="00DD7CB4" w:rsidP="00BA2AD2">
            <w:pPr>
              <w:jc w:val="center"/>
              <w:rPr>
                <w:sz w:val="18"/>
              </w:rPr>
            </w:pPr>
            <w:r>
              <w:rPr>
                <w:sz w:val="18"/>
              </w:rPr>
              <w:t>5 811</w:t>
            </w:r>
          </w:p>
        </w:tc>
        <w:tc>
          <w:tcPr>
            <w:tcW w:w="976" w:type="dxa"/>
            <w:tcBorders>
              <w:top w:val="nil"/>
              <w:left w:val="nil"/>
              <w:bottom w:val="single" w:sz="4" w:space="0" w:color="auto"/>
              <w:right w:val="single" w:sz="6" w:space="0" w:color="auto"/>
            </w:tcBorders>
            <w:shd w:val="clear" w:color="auto" w:fill="EEECE1"/>
            <w:vAlign w:val="center"/>
          </w:tcPr>
          <w:p w:rsidR="00DD7CB4" w:rsidRPr="00FD28E1" w:rsidRDefault="00DD7CB4" w:rsidP="00BA2AD2">
            <w:pPr>
              <w:jc w:val="center"/>
              <w:rPr>
                <w:sz w:val="18"/>
              </w:rPr>
            </w:pPr>
            <w:r>
              <w:rPr>
                <w:sz w:val="18"/>
              </w:rPr>
              <w:t>5 902</w:t>
            </w:r>
          </w:p>
        </w:tc>
        <w:tc>
          <w:tcPr>
            <w:tcW w:w="977" w:type="dxa"/>
            <w:tcBorders>
              <w:top w:val="nil"/>
              <w:left w:val="single" w:sz="6" w:space="0" w:color="auto"/>
              <w:bottom w:val="single" w:sz="4" w:space="0" w:color="auto"/>
              <w:right w:val="nil"/>
            </w:tcBorders>
            <w:shd w:val="clear" w:color="auto" w:fill="EEECE1"/>
            <w:vAlign w:val="center"/>
          </w:tcPr>
          <w:p w:rsidR="00DD7CB4" w:rsidRPr="00FD28E1" w:rsidRDefault="00DD7CB4" w:rsidP="00BA2AD2">
            <w:pPr>
              <w:jc w:val="center"/>
              <w:rPr>
                <w:sz w:val="18"/>
              </w:rPr>
            </w:pPr>
            <w:r>
              <w:rPr>
                <w:sz w:val="18"/>
              </w:rPr>
              <w:t>8 730</w:t>
            </w:r>
          </w:p>
        </w:tc>
        <w:tc>
          <w:tcPr>
            <w:tcW w:w="976" w:type="dxa"/>
            <w:tcBorders>
              <w:top w:val="nil"/>
              <w:left w:val="nil"/>
              <w:bottom w:val="single" w:sz="4" w:space="0" w:color="auto"/>
              <w:right w:val="nil"/>
            </w:tcBorders>
            <w:shd w:val="clear" w:color="auto" w:fill="EEECE1"/>
            <w:vAlign w:val="center"/>
          </w:tcPr>
          <w:p w:rsidR="00DD7CB4" w:rsidRPr="00FD28E1" w:rsidRDefault="00DD7CB4" w:rsidP="00BA2AD2">
            <w:pPr>
              <w:jc w:val="center"/>
              <w:rPr>
                <w:sz w:val="18"/>
              </w:rPr>
            </w:pPr>
            <w:r>
              <w:rPr>
                <w:sz w:val="18"/>
              </w:rPr>
              <w:t>8 720</w:t>
            </w:r>
          </w:p>
        </w:tc>
        <w:tc>
          <w:tcPr>
            <w:tcW w:w="977" w:type="dxa"/>
            <w:tcBorders>
              <w:top w:val="nil"/>
              <w:left w:val="nil"/>
              <w:bottom w:val="single" w:sz="4" w:space="0" w:color="auto"/>
              <w:right w:val="single" w:sz="4" w:space="0" w:color="auto"/>
            </w:tcBorders>
            <w:shd w:val="clear" w:color="auto" w:fill="EEECE1"/>
            <w:vAlign w:val="center"/>
          </w:tcPr>
          <w:p w:rsidR="00DD7CB4" w:rsidRPr="00FD28E1" w:rsidRDefault="00DD7CB4" w:rsidP="00BA2AD2">
            <w:pPr>
              <w:jc w:val="center"/>
              <w:rPr>
                <w:sz w:val="18"/>
              </w:rPr>
            </w:pPr>
            <w:r>
              <w:rPr>
                <w:sz w:val="18"/>
              </w:rPr>
              <w:t>8 820</w:t>
            </w:r>
          </w:p>
        </w:tc>
      </w:tr>
    </w:tbl>
    <w:p w:rsidR="00DD7CB4" w:rsidRDefault="00DD7CB4" w:rsidP="00DD7CB4">
      <w:pPr>
        <w:pStyle w:val="AERbodytext"/>
        <w:spacing w:after="120"/>
      </w:pPr>
    </w:p>
    <w:p w:rsidR="00DD658D" w:rsidRDefault="00037175" w:rsidP="00383D29">
      <w:pPr>
        <w:pStyle w:val="AERbodytext"/>
      </w:pPr>
      <w:r>
        <w:t>Both demand and available generation were close to forecast</w:t>
      </w:r>
      <w:r w:rsidR="004C6D2C">
        <w:t>.</w:t>
      </w:r>
    </w:p>
    <w:p w:rsidR="00037175" w:rsidRDefault="00037175" w:rsidP="00383D29">
      <w:pPr>
        <w:pStyle w:val="AERbodytext"/>
      </w:pPr>
      <w:r>
        <w:t xml:space="preserve">At 6.36 am, effective from 6.45 am, CS Energy rebid a total of 125 MW of available capacity at Gladstone power station from prices below $60/MWh to the price cap. The reason given was “0636A interconnector constraint-QNI binding north-SL”. This caused the 5 minute price to increase from $85/MWh at 6.40 am to $10 250/MWh at 6.45 am. </w:t>
      </w:r>
    </w:p>
    <w:p w:rsidR="00383D29" w:rsidRDefault="00037175" w:rsidP="00383D29">
      <w:pPr>
        <w:pStyle w:val="AERbodytext"/>
      </w:pPr>
      <w:r>
        <w:t>There was no other significant rebidding.</w:t>
      </w:r>
    </w:p>
    <w:p w:rsidR="00553CD3" w:rsidRPr="00383D29" w:rsidRDefault="00553CD3" w:rsidP="00383D29">
      <w:pPr>
        <w:pStyle w:val="AERbodytext"/>
      </w:pPr>
      <w:r>
        <w:rPr>
          <w:b/>
          <w:color w:val="000000"/>
        </w:rPr>
        <w:t>Mainland</w:t>
      </w:r>
    </w:p>
    <w:p w:rsidR="00DD7CB4" w:rsidRPr="00F50FC4" w:rsidRDefault="00037175" w:rsidP="00383D29">
      <w:pPr>
        <w:pStyle w:val="AERbodytext"/>
        <w:rPr>
          <w:color w:val="000000"/>
        </w:rPr>
      </w:pPr>
      <w:r>
        <w:rPr>
          <w:color w:val="000000"/>
        </w:rPr>
        <w:t>At 6 pm on Tuesday 6 May,</w:t>
      </w:r>
      <w:r w:rsidR="007F08C5">
        <w:rPr>
          <w:color w:val="000000"/>
        </w:rPr>
        <w:t xml:space="preserve"> the spot price in</w:t>
      </w:r>
      <w:r>
        <w:rPr>
          <w:color w:val="000000"/>
        </w:rPr>
        <w:t xml:space="preserve"> Queensland, </w:t>
      </w:r>
      <w:r w:rsidR="007F08C5">
        <w:rPr>
          <w:color w:val="000000"/>
        </w:rPr>
        <w:t xml:space="preserve">New South Wales, Victoria, and South Australia was around $250/MWh. </w:t>
      </w:r>
    </w:p>
    <w:p w:rsidR="00DD7CB4" w:rsidRPr="00E77E9F" w:rsidRDefault="00553CD3" w:rsidP="00DD7CB4">
      <w:pPr>
        <w:pStyle w:val="AERtabletitle"/>
      </w:pPr>
      <w:r>
        <w:t>Table 4</w:t>
      </w:r>
      <w:r w:rsidR="00DD7CB4" w:rsidRPr="00E77E9F">
        <w:t xml:space="preserve">: </w:t>
      </w:r>
      <w:r>
        <w:t>Mainland</w:t>
      </w:r>
      <w:r w:rsidR="00DD7CB4" w:rsidRPr="00E77E9F">
        <w:t xml:space="preserve">, </w:t>
      </w:r>
      <w:r w:rsidR="00DD7CB4">
        <w:t>Tuesday</w:t>
      </w:r>
      <w:r w:rsidR="00DD7CB4" w:rsidRPr="00E77E9F">
        <w:t xml:space="preserve"> </w:t>
      </w:r>
      <w:r w:rsidR="00DD7CB4">
        <w:t>6</w:t>
      </w:r>
      <w:r w:rsidR="00DD7CB4" w:rsidRPr="00E77E9F">
        <w:t xml:space="preserve"> </w:t>
      </w:r>
      <w:r w:rsidR="00DD7CB4">
        <w:t>May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DD7CB4" w:rsidRPr="00B309A7" w:rsidTr="00BA2AD2">
        <w:tc>
          <w:tcPr>
            <w:tcW w:w="993" w:type="dxa"/>
            <w:tcBorders>
              <w:top w:val="single" w:sz="4" w:space="0" w:color="auto"/>
              <w:left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DD7CB4" w:rsidRPr="00C95548"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Price ($/MWh)</w:t>
            </w:r>
            <w:r w:rsidR="00CA363F">
              <w:rPr>
                <w:rStyle w:val="FootnoteReference"/>
                <w:b/>
                <w:bCs/>
                <w:color w:val="FFFFFF"/>
                <w:sz w:val="18"/>
                <w:szCs w:val="18"/>
              </w:rPr>
              <w:footnoteReference w:id="1"/>
            </w:r>
          </w:p>
        </w:tc>
        <w:tc>
          <w:tcPr>
            <w:tcW w:w="2929" w:type="dxa"/>
            <w:gridSpan w:val="3"/>
            <w:tcBorders>
              <w:top w:val="single" w:sz="4" w:space="0" w:color="auto"/>
              <w:bottom w:val="nil"/>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DD7CB4" w:rsidRPr="00C95548" w:rsidDel="0074250B" w:rsidRDefault="00DD7CB4" w:rsidP="00BA2AD2">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DD7CB4" w:rsidRPr="00E77E9F" w:rsidTr="00DD7CB4">
        <w:tc>
          <w:tcPr>
            <w:tcW w:w="993" w:type="dxa"/>
            <w:tcBorders>
              <w:top w:val="nil"/>
              <w:left w:val="single" w:sz="4" w:space="0" w:color="auto"/>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4" w:space="0" w:color="auto"/>
            </w:tcBorders>
            <w:shd w:val="clear" w:color="auto" w:fill="DDD9C3"/>
          </w:tcPr>
          <w:p w:rsidR="00DD7CB4" w:rsidRPr="00E77E9F" w:rsidRDefault="00DD7CB4" w:rsidP="00BA2AD2">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FC72EC" w:rsidRPr="0014596E" w:rsidTr="00FC72EC">
        <w:tc>
          <w:tcPr>
            <w:tcW w:w="993" w:type="dxa"/>
            <w:tcBorders>
              <w:top w:val="nil"/>
              <w:left w:val="single" w:sz="4" w:space="0" w:color="auto"/>
              <w:bottom w:val="single" w:sz="4" w:space="0" w:color="auto"/>
              <w:right w:val="single" w:sz="6" w:space="0" w:color="auto"/>
            </w:tcBorders>
            <w:shd w:val="clear" w:color="auto" w:fill="EEECE1"/>
            <w:noWrap/>
          </w:tcPr>
          <w:p w:rsidR="00FC72EC" w:rsidRPr="00E77E9F" w:rsidRDefault="00FC72EC" w:rsidP="00BA2AD2">
            <w:pPr>
              <w:autoSpaceDE w:val="0"/>
              <w:autoSpaceDN w:val="0"/>
              <w:adjustRightInd w:val="0"/>
              <w:spacing w:before="100" w:after="100"/>
              <w:rPr>
                <w:b/>
                <w:bCs/>
                <w:sz w:val="18"/>
                <w:szCs w:val="18"/>
              </w:rPr>
            </w:pPr>
            <w:r>
              <w:rPr>
                <w:b/>
                <w:bCs/>
                <w:sz w:val="18"/>
                <w:szCs w:val="18"/>
              </w:rPr>
              <w:t>6.00 P</w:t>
            </w:r>
            <w:r w:rsidRPr="00E77E9F">
              <w:rPr>
                <w:b/>
                <w:bCs/>
                <w:sz w:val="18"/>
                <w:szCs w:val="18"/>
              </w:rPr>
              <w:t>M</w:t>
            </w:r>
          </w:p>
        </w:tc>
        <w:tc>
          <w:tcPr>
            <w:tcW w:w="834" w:type="dxa"/>
            <w:tcBorders>
              <w:top w:val="nil"/>
              <w:left w:val="single" w:sz="6" w:space="0" w:color="auto"/>
              <w:bottom w:val="single" w:sz="4" w:space="0" w:color="auto"/>
              <w:right w:val="nil"/>
            </w:tcBorders>
            <w:shd w:val="clear" w:color="auto" w:fill="EEECE1"/>
            <w:noWrap/>
            <w:vAlign w:val="center"/>
          </w:tcPr>
          <w:p w:rsidR="00FC72EC" w:rsidRPr="00FD28E1" w:rsidRDefault="00FC72EC" w:rsidP="002B6AAF">
            <w:pPr>
              <w:jc w:val="center"/>
              <w:rPr>
                <w:sz w:val="18"/>
              </w:rPr>
            </w:pPr>
            <w:r>
              <w:rPr>
                <w:sz w:val="18"/>
              </w:rPr>
              <w:t>286.02</w:t>
            </w:r>
          </w:p>
        </w:tc>
        <w:tc>
          <w:tcPr>
            <w:tcW w:w="976" w:type="dxa"/>
            <w:tcBorders>
              <w:top w:val="nil"/>
              <w:left w:val="nil"/>
              <w:bottom w:val="single" w:sz="4" w:space="0" w:color="auto"/>
              <w:right w:val="nil"/>
            </w:tcBorders>
            <w:shd w:val="clear" w:color="auto" w:fill="EEECE1"/>
            <w:noWrap/>
            <w:vAlign w:val="center"/>
          </w:tcPr>
          <w:p w:rsidR="00FC72EC" w:rsidRPr="00FD28E1" w:rsidRDefault="00FC72EC" w:rsidP="002B6AAF">
            <w:pPr>
              <w:jc w:val="center"/>
              <w:rPr>
                <w:sz w:val="18"/>
              </w:rPr>
            </w:pPr>
            <w:r>
              <w:rPr>
                <w:sz w:val="18"/>
              </w:rPr>
              <w:t>141.98</w:t>
            </w:r>
          </w:p>
        </w:tc>
        <w:tc>
          <w:tcPr>
            <w:tcW w:w="977" w:type="dxa"/>
            <w:tcBorders>
              <w:top w:val="nil"/>
              <w:left w:val="nil"/>
              <w:bottom w:val="single" w:sz="4" w:space="0" w:color="auto"/>
              <w:right w:val="single" w:sz="6" w:space="0" w:color="auto"/>
            </w:tcBorders>
            <w:shd w:val="clear" w:color="auto" w:fill="EEECE1"/>
            <w:noWrap/>
            <w:vAlign w:val="center"/>
          </w:tcPr>
          <w:p w:rsidR="00FC72EC" w:rsidRPr="00FD28E1" w:rsidRDefault="00FC72EC" w:rsidP="002B6AAF">
            <w:pPr>
              <w:jc w:val="center"/>
              <w:rPr>
                <w:sz w:val="18"/>
              </w:rPr>
            </w:pPr>
            <w:r>
              <w:rPr>
                <w:sz w:val="18"/>
              </w:rPr>
              <w:t>136.47</w:t>
            </w:r>
          </w:p>
        </w:tc>
        <w:tc>
          <w:tcPr>
            <w:tcW w:w="976" w:type="dxa"/>
            <w:tcBorders>
              <w:top w:val="nil"/>
              <w:left w:val="single" w:sz="6" w:space="0" w:color="auto"/>
              <w:bottom w:val="single" w:sz="4" w:space="0" w:color="auto"/>
              <w:right w:val="nil"/>
            </w:tcBorders>
            <w:shd w:val="clear" w:color="auto" w:fill="EEECE1"/>
            <w:vAlign w:val="center"/>
          </w:tcPr>
          <w:p w:rsidR="00FC72EC" w:rsidRPr="00DD658D" w:rsidRDefault="00FC72EC" w:rsidP="002B6AAF">
            <w:pPr>
              <w:jc w:val="center"/>
              <w:rPr>
                <w:sz w:val="18"/>
              </w:rPr>
            </w:pPr>
            <w:r w:rsidRPr="00DD658D">
              <w:rPr>
                <w:sz w:val="18"/>
              </w:rPr>
              <w:t>25</w:t>
            </w:r>
            <w:r>
              <w:rPr>
                <w:sz w:val="18"/>
              </w:rPr>
              <w:t> 282</w:t>
            </w:r>
          </w:p>
        </w:tc>
        <w:tc>
          <w:tcPr>
            <w:tcW w:w="977" w:type="dxa"/>
            <w:tcBorders>
              <w:top w:val="nil"/>
              <w:left w:val="nil"/>
              <w:bottom w:val="single" w:sz="4" w:space="0" w:color="auto"/>
              <w:right w:val="nil"/>
            </w:tcBorders>
            <w:shd w:val="clear" w:color="auto" w:fill="EEECE1"/>
            <w:vAlign w:val="center"/>
          </w:tcPr>
          <w:p w:rsidR="00FC72EC" w:rsidRPr="00DD658D" w:rsidRDefault="00FC72EC" w:rsidP="002B6AAF">
            <w:pPr>
              <w:jc w:val="center"/>
              <w:rPr>
                <w:sz w:val="18"/>
              </w:rPr>
            </w:pPr>
            <w:r w:rsidRPr="00DD658D">
              <w:rPr>
                <w:sz w:val="18"/>
              </w:rPr>
              <w:t>24</w:t>
            </w:r>
            <w:r>
              <w:rPr>
                <w:sz w:val="18"/>
              </w:rPr>
              <w:t> </w:t>
            </w:r>
            <w:r w:rsidRPr="00DD658D">
              <w:rPr>
                <w:sz w:val="18"/>
              </w:rPr>
              <w:t>930</w:t>
            </w:r>
          </w:p>
        </w:tc>
        <w:tc>
          <w:tcPr>
            <w:tcW w:w="976" w:type="dxa"/>
            <w:tcBorders>
              <w:top w:val="nil"/>
              <w:left w:val="nil"/>
              <w:bottom w:val="single" w:sz="4" w:space="0" w:color="auto"/>
              <w:right w:val="single" w:sz="6" w:space="0" w:color="auto"/>
            </w:tcBorders>
            <w:shd w:val="clear" w:color="auto" w:fill="EEECE1"/>
            <w:vAlign w:val="center"/>
          </w:tcPr>
          <w:p w:rsidR="00FC72EC" w:rsidRPr="00DD658D" w:rsidRDefault="00FC72EC" w:rsidP="002B6AAF">
            <w:pPr>
              <w:jc w:val="center"/>
              <w:rPr>
                <w:sz w:val="18"/>
              </w:rPr>
            </w:pPr>
            <w:r w:rsidRPr="00DD658D">
              <w:rPr>
                <w:sz w:val="18"/>
              </w:rPr>
              <w:t>24</w:t>
            </w:r>
            <w:r>
              <w:rPr>
                <w:sz w:val="18"/>
              </w:rPr>
              <w:t> </w:t>
            </w:r>
            <w:r w:rsidRPr="00DD658D">
              <w:rPr>
                <w:sz w:val="18"/>
              </w:rPr>
              <w:t>977</w:t>
            </w:r>
          </w:p>
        </w:tc>
        <w:tc>
          <w:tcPr>
            <w:tcW w:w="977" w:type="dxa"/>
            <w:tcBorders>
              <w:top w:val="nil"/>
              <w:left w:val="single" w:sz="6" w:space="0" w:color="auto"/>
              <w:bottom w:val="single" w:sz="4" w:space="0" w:color="auto"/>
              <w:right w:val="nil"/>
            </w:tcBorders>
            <w:shd w:val="clear" w:color="auto" w:fill="EEECE1"/>
            <w:vAlign w:val="center"/>
          </w:tcPr>
          <w:p w:rsidR="00FC72EC" w:rsidRPr="00FC72EC" w:rsidRDefault="0007478A" w:rsidP="00FC72EC">
            <w:pPr>
              <w:jc w:val="center"/>
              <w:rPr>
                <w:sz w:val="18"/>
              </w:rPr>
            </w:pPr>
            <w:r>
              <w:rPr>
                <w:sz w:val="18"/>
              </w:rPr>
              <w:t>30 569</w:t>
            </w:r>
          </w:p>
        </w:tc>
        <w:tc>
          <w:tcPr>
            <w:tcW w:w="976" w:type="dxa"/>
            <w:tcBorders>
              <w:top w:val="nil"/>
              <w:left w:val="nil"/>
              <w:bottom w:val="single" w:sz="4" w:space="0" w:color="auto"/>
              <w:right w:val="nil"/>
            </w:tcBorders>
            <w:shd w:val="clear" w:color="auto" w:fill="EEECE1"/>
            <w:vAlign w:val="center"/>
          </w:tcPr>
          <w:p w:rsidR="00FC72EC" w:rsidRPr="00FC72EC" w:rsidRDefault="0007478A" w:rsidP="00FC72EC">
            <w:pPr>
              <w:jc w:val="center"/>
              <w:rPr>
                <w:sz w:val="18"/>
              </w:rPr>
            </w:pPr>
            <w:r>
              <w:rPr>
                <w:sz w:val="18"/>
              </w:rPr>
              <w:t>30 749</w:t>
            </w:r>
          </w:p>
        </w:tc>
        <w:tc>
          <w:tcPr>
            <w:tcW w:w="977" w:type="dxa"/>
            <w:tcBorders>
              <w:top w:val="nil"/>
              <w:left w:val="nil"/>
              <w:bottom w:val="single" w:sz="4" w:space="0" w:color="auto"/>
              <w:right w:val="single" w:sz="4" w:space="0" w:color="auto"/>
            </w:tcBorders>
            <w:shd w:val="clear" w:color="auto" w:fill="EEECE1"/>
            <w:vAlign w:val="center"/>
          </w:tcPr>
          <w:p w:rsidR="00FC72EC" w:rsidRPr="00FC72EC" w:rsidRDefault="0007478A" w:rsidP="0007478A">
            <w:pPr>
              <w:jc w:val="center"/>
              <w:rPr>
                <w:sz w:val="18"/>
              </w:rPr>
            </w:pPr>
            <w:r>
              <w:rPr>
                <w:sz w:val="18"/>
              </w:rPr>
              <w:t>31 443</w:t>
            </w:r>
          </w:p>
        </w:tc>
      </w:tr>
    </w:tbl>
    <w:p w:rsidR="004C6D2C" w:rsidRDefault="00C81890" w:rsidP="008E346C">
      <w:pPr>
        <w:pStyle w:val="AERbodytext"/>
      </w:pPr>
      <w:r w:rsidRPr="008E346C">
        <w:br/>
        <w:t xml:space="preserve">Both demand and available generation were close to forecast. </w:t>
      </w:r>
      <w:r w:rsidR="00B468A7">
        <w:t xml:space="preserve">All of the mainland regions were aligned for the trading interval. </w:t>
      </w:r>
      <w:r w:rsidR="002E11EC" w:rsidRPr="008E346C">
        <w:t xml:space="preserve">There were tight supply conditions </w:t>
      </w:r>
      <w:r w:rsidR="00B468A7">
        <w:t xml:space="preserve">on the mainland </w:t>
      </w:r>
      <w:r w:rsidR="002E11EC" w:rsidRPr="008E346C">
        <w:t xml:space="preserve">at the </w:t>
      </w:r>
      <w:proofErr w:type="gramStart"/>
      <w:r w:rsidR="002E11EC" w:rsidRPr="008E346C">
        <w:t xml:space="preserve">time, </w:t>
      </w:r>
      <w:r w:rsidR="004C6D2C">
        <w:t>which were</w:t>
      </w:r>
      <w:proofErr w:type="gramEnd"/>
      <w:r w:rsidR="004C6D2C">
        <w:t xml:space="preserve"> contributed to by the following factors:</w:t>
      </w:r>
    </w:p>
    <w:p w:rsidR="004C6D2C" w:rsidRDefault="004C6D2C" w:rsidP="004C6D2C">
      <w:pPr>
        <w:pStyle w:val="AERbodytext"/>
        <w:numPr>
          <w:ilvl w:val="0"/>
          <w:numId w:val="11"/>
        </w:numPr>
      </w:pPr>
      <w:r>
        <w:t>Basslink was exporting generation into Victoria at its maximum capacity (just under 600 MW). This meant it was unable to increase supply to the mainland when required.</w:t>
      </w:r>
    </w:p>
    <w:p w:rsidR="004C6D2C" w:rsidRDefault="004C6D2C" w:rsidP="004C6D2C">
      <w:pPr>
        <w:pStyle w:val="AERbodytext"/>
        <w:numPr>
          <w:ilvl w:val="0"/>
          <w:numId w:val="11"/>
        </w:numPr>
      </w:pPr>
      <w:r>
        <w:t>Wind generation was low</w:t>
      </w:r>
      <w:r w:rsidR="00B468A7">
        <w:t>.</w:t>
      </w:r>
    </w:p>
    <w:p w:rsidR="004C6D2C" w:rsidRPr="008E346C" w:rsidRDefault="004C6D2C" w:rsidP="004C6D2C">
      <w:pPr>
        <w:pStyle w:val="AERbodytext"/>
        <w:numPr>
          <w:ilvl w:val="0"/>
          <w:numId w:val="11"/>
        </w:numPr>
      </w:pPr>
      <w:r>
        <w:t xml:space="preserve">A number of generators across the mainland were either stranded or trapped in </w:t>
      </w:r>
      <w:proofErr w:type="gramStart"/>
      <w:r>
        <w:t>FCAS,</w:t>
      </w:r>
      <w:proofErr w:type="gramEnd"/>
      <w:r>
        <w:t xml:space="preserve"> or ramp rate up constrained</w:t>
      </w:r>
      <w:r w:rsidR="00B468A7">
        <w:t>.</w:t>
      </w:r>
    </w:p>
    <w:p w:rsidR="00B468A7" w:rsidRDefault="00B468A7" w:rsidP="008E346C">
      <w:pPr>
        <w:pStyle w:val="AERbodytext"/>
      </w:pPr>
      <w:r>
        <w:t>This meant that small changes in demand, availability or generator rebidding could lead to large changes in price.</w:t>
      </w:r>
    </w:p>
    <w:p w:rsidR="00EF7EE1" w:rsidRDefault="008E346C" w:rsidP="008E346C">
      <w:pPr>
        <w:pStyle w:val="AERbodytext"/>
      </w:pPr>
      <w:r>
        <w:t>At 5.40 pm, demand in New South Wales increased by 159 MW. This coincided with the 5 minute price increasing from $153/MWh at 5.35 pm to $296.45/MWh at 5.40 pm.</w:t>
      </w:r>
      <w:r w:rsidR="00EF7EE1" w:rsidRPr="00EF7EE1">
        <w:t xml:space="preserve"> </w:t>
      </w:r>
    </w:p>
    <w:p w:rsidR="00753646" w:rsidRDefault="00EF7EE1" w:rsidP="008E346C">
      <w:pPr>
        <w:pStyle w:val="AERbodytext"/>
      </w:pPr>
      <w:r>
        <w:t>Demand on the mainland increased a further 262 MW in the remainder of the trading interval.</w:t>
      </w:r>
      <w:r w:rsidR="0027654C">
        <w:t xml:space="preserve"> </w:t>
      </w:r>
      <w:r w:rsidR="000C33B0">
        <w:t xml:space="preserve">At 5.45 pm, effective from 5.55 pm, CS Energy rebid a total of 250 MW of available capacity at Gladstone power station from prices </w:t>
      </w:r>
      <w:r w:rsidR="00B468A7">
        <w:t xml:space="preserve">below </w:t>
      </w:r>
      <w:r w:rsidR="000C33B0">
        <w:t>$60/MW to the price cap. The reason given was “1744A dispatch price higher than 30MIN forecast-SL”.</w:t>
      </w:r>
      <w:r w:rsidRPr="00EF7EE1">
        <w:t xml:space="preserve"> </w:t>
      </w:r>
      <w:r>
        <w:t>Th</w:t>
      </w:r>
      <w:r w:rsidR="0027654C">
        <w:t>ese factors</w:t>
      </w:r>
      <w:r>
        <w:t xml:space="preserve"> contributed to prices being maintained at around $250–300/</w:t>
      </w:r>
      <w:r w:rsidR="0027654C">
        <w:t>MWh for the rest of the trading interval</w:t>
      </w:r>
      <w:r>
        <w:t>.</w:t>
      </w:r>
    </w:p>
    <w:p w:rsidR="00C81890" w:rsidRPr="00C81890" w:rsidRDefault="00D121EA" w:rsidP="00D121EA">
      <w:pPr>
        <w:pStyle w:val="AERbodytext"/>
      </w:pPr>
      <w:r>
        <w:t>There was no other significant rebidding.</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BB0611" w:rsidRPr="002D23B9">
        <w:t>Q</w:t>
      </w:r>
      <w:r w:rsidR="00BB0611">
        <w:t>2</w:t>
      </w:r>
      <w:r w:rsidR="00BB0611" w:rsidRPr="002D23B9">
        <w:t xml:space="preserve"> </w:t>
      </w:r>
      <w:r w:rsidR="00E96C5A" w:rsidRPr="002D23B9">
        <w:t>201</w:t>
      </w:r>
      <w:r w:rsidR="00CA7CF5">
        <w:t>4</w:t>
      </w:r>
      <w:r w:rsidR="00E96C5A" w:rsidRPr="002D23B9">
        <w:t xml:space="preserve"> – </w:t>
      </w:r>
      <w:r w:rsidR="00BB0611" w:rsidRPr="002D23B9">
        <w:t>Q</w:t>
      </w:r>
      <w:r w:rsidR="00BB0611">
        <w:t>1</w:t>
      </w:r>
      <w:r w:rsidR="00BB0611" w:rsidRPr="002D23B9">
        <w:t xml:space="preserve"> 201</w:t>
      </w:r>
      <w:r w:rsidR="00BB0611">
        <w:t>8</w:t>
      </w:r>
    </w:p>
    <w:p w:rsidR="00E96C5A" w:rsidRPr="002D23B9" w:rsidRDefault="00446768"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51pt;height:227.5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754FF0" w:rsidRDefault="00E96C5A" w:rsidP="00E96C5A">
      <w:pPr>
        <w:pStyle w:val="Figureheading"/>
        <w:numPr>
          <w:ilvl w:val="0"/>
          <w:numId w:val="0"/>
        </w:numPr>
        <w:ind w:left="357" w:hanging="357"/>
      </w:pPr>
      <w:r w:rsidRPr="00754FF0">
        <w:t xml:space="preserve">Figure </w:t>
      </w:r>
      <w:r w:rsidR="0078358A" w:rsidRPr="00754FF0">
        <w:t>10</w:t>
      </w:r>
      <w:r w:rsidRPr="00754FF0">
        <w:t>: Price of Q1 201</w:t>
      </w:r>
      <w:r w:rsidR="00754FF0" w:rsidRPr="00754FF0">
        <w:t>5</w:t>
      </w:r>
      <w:r w:rsidRPr="00754FF0">
        <w:t xml:space="preserve"> base contracts over the past 10 weeks (and the past 2 years)</w:t>
      </w:r>
    </w:p>
    <w:p w:rsidR="00E96C5A" w:rsidRPr="002D23B9" w:rsidRDefault="00446768"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754FF0" w:rsidRDefault="0078358A" w:rsidP="00E96C5A">
      <w:pPr>
        <w:pStyle w:val="Figureheading"/>
        <w:numPr>
          <w:ilvl w:val="0"/>
          <w:numId w:val="0"/>
        </w:numPr>
        <w:ind w:left="357" w:hanging="357"/>
      </w:pPr>
      <w:r w:rsidRPr="00754FF0">
        <w:t>Figure 11</w:t>
      </w:r>
      <w:r w:rsidR="00E96C5A" w:rsidRPr="00754FF0">
        <w:t>: Price of Q1 201</w:t>
      </w:r>
      <w:r w:rsidR="00754FF0" w:rsidRPr="00754FF0">
        <w:t>5</w:t>
      </w:r>
      <w:r w:rsidR="00E96C5A" w:rsidRPr="00754FF0">
        <w:t xml:space="preserve"> cap contracts over the past 10 weeks (and the past 2 years)</w:t>
      </w:r>
    </w:p>
    <w:p w:rsidR="00E96C5A" w:rsidRPr="002D23B9" w:rsidRDefault="00446768"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4A9A" w:rsidP="003157C3">
      <w:r>
        <w:rPr>
          <w:b/>
        </w:rPr>
        <w:t>May</w:t>
      </w:r>
      <w:r w:rsidR="00795DDE" w:rsidRPr="002D23B9">
        <w:rPr>
          <w:b/>
        </w:rPr>
        <w:t xml:space="preserve"> </w:t>
      </w:r>
      <w:r w:rsidR="0097000C">
        <w:rPr>
          <w:b/>
        </w:rPr>
        <w:t>2014</w:t>
      </w:r>
    </w:p>
    <w:sectPr w:rsidR="00E96C5A" w:rsidRPr="002D23B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E606F6">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13B95" w:rsidRPr="00F13B95">
      <w:rPr>
        <w:i/>
      </w:rPr>
      <w:t>D14/</w:t>
    </w:r>
    <w:r w:rsidR="00827053">
      <w:rPr>
        <w:i/>
      </w:rPr>
      <w:t>63815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 w:id="1">
    <w:p w:rsidR="00CA363F" w:rsidRDefault="00CA363F">
      <w:pPr>
        <w:pStyle w:val="FootnoteText"/>
      </w:pPr>
      <w:r>
        <w:rPr>
          <w:rStyle w:val="FootnoteReference"/>
        </w:rPr>
        <w:footnoteRef/>
      </w:r>
      <w:r>
        <w:t xml:space="preserve"> The prices listed are for New South Wales. The prices in Queensland, Victoria, and Adelaide were similar.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5">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C721288"/>
    <w:multiLevelType w:val="multilevel"/>
    <w:tmpl w:val="1492709C"/>
    <w:numStyleLink w:val="AERHeadings"/>
  </w:abstractNum>
  <w:abstractNum w:abstractNumId="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6"/>
  </w:num>
  <w:num w:numId="4">
    <w:abstractNumId w:val="9"/>
  </w:num>
  <w:num w:numId="5">
    <w:abstractNumId w:val="11"/>
  </w:num>
  <w:num w:numId="6">
    <w:abstractNumId w:val="3"/>
  </w:num>
  <w:num w:numId="7">
    <w:abstractNumId w:val="5"/>
  </w:num>
  <w:num w:numId="8">
    <w:abstractNumId w:val="4"/>
  </w:num>
  <w:num w:numId="9">
    <w:abstractNumId w:val="8"/>
  </w:num>
  <w:num w:numId="10">
    <w:abstractNumId w:val="7"/>
  </w:num>
  <w:num w:numId="11">
    <w:abstractNumId w:val="2"/>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504 - 20140510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2C"/>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768"/>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6D2C"/>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976"/>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56F"/>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E43"/>
    <w:rsid w:val="00896003"/>
    <w:rsid w:val="008963D8"/>
    <w:rsid w:val="0089645F"/>
    <w:rsid w:val="008973ED"/>
    <w:rsid w:val="008974A1"/>
    <w:rsid w:val="008979B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D21"/>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6F6"/>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2EC"/>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F2720A9A.dotm</Template>
  <TotalTime>0</TotalTime>
  <Pages>10</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2014-05-27T07:23:00Z</dcterms:created>
  <dcterms:modified xsi:type="dcterms:W3CDTF">2014-05-27T07:23:00Z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8193502</vt:lpwstr>
  </property>
</Properties>
</file>