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94511"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FC5118" w:rsidRDefault="0051052F" w:rsidP="00780239">
                  <w:pPr>
                    <w:pStyle w:val="Title"/>
                    <w:jc w:val="left"/>
                    <w:rPr>
                      <w:i/>
                    </w:rPr>
                  </w:pPr>
                  <w:r w:rsidRPr="00FC5118">
                    <w:t>2</w:t>
                  </w:r>
                  <w:r w:rsidR="00FC5118" w:rsidRPr="00FC5118">
                    <w:t>7</w:t>
                  </w:r>
                  <w:r w:rsidR="009340BA" w:rsidRPr="00FC5118">
                    <w:t xml:space="preserve"> April</w:t>
                  </w:r>
                  <w:r w:rsidR="00EC411D" w:rsidRPr="00FC5118">
                    <w:t xml:space="preserve"> </w:t>
                  </w:r>
                  <w:r w:rsidR="00FC5118" w:rsidRPr="00FC5118">
                    <w:t xml:space="preserve">– 03 May </w:t>
                  </w:r>
                  <w:r w:rsidR="00EC411D" w:rsidRPr="00FC5118">
                    <w:t xml:space="preserve">2014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9" o:title="AER_Head1a" cropbottom="3785f"/>
          </v:shape>
        </w:pict>
      </w:r>
      <w:r w:rsidR="0052471C" w:rsidRPr="002D23B9">
        <w:rPr>
          <w:color w:val="auto"/>
          <w:sz w:val="22"/>
          <w:szCs w:val="22"/>
        </w:rPr>
        <w:t xml:space="preserve"> </w:t>
      </w:r>
    </w:p>
    <w:bookmarkEnd w:id="6"/>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FC5118" w:rsidRDefault="0078358A" w:rsidP="0078358A">
      <w:r w:rsidRPr="00FC5118">
        <w:t xml:space="preserve">Figure 1 shows the spot prices that occurred in each region during the week </w:t>
      </w:r>
      <w:r w:rsidR="0051052F" w:rsidRPr="00FC5118">
        <w:t>2</w:t>
      </w:r>
      <w:r w:rsidR="00FC5118" w:rsidRPr="00FC5118">
        <w:t>7</w:t>
      </w:r>
      <w:r w:rsidR="00BB0611" w:rsidRPr="00FC5118">
        <w:t xml:space="preserve"> April</w:t>
      </w:r>
      <w:r w:rsidR="00FC5118" w:rsidRPr="00FC5118">
        <w:t xml:space="preserve"> to 3 May </w:t>
      </w:r>
      <w:r w:rsidRPr="00FC5118">
        <w:t>2014.</w:t>
      </w:r>
    </w:p>
    <w:p w:rsidR="0078358A" w:rsidRPr="00FC5118" w:rsidRDefault="0078358A" w:rsidP="0078358A">
      <w:pPr>
        <w:pStyle w:val="Figureheading"/>
        <w:numPr>
          <w:ilvl w:val="0"/>
          <w:numId w:val="0"/>
        </w:numPr>
        <w:spacing w:after="0"/>
        <w:ind w:left="357" w:hanging="357"/>
      </w:pPr>
      <w:r w:rsidRPr="00FC5118">
        <w:t xml:space="preserve">Figure 1: Spot price by region ($/MWh) </w:t>
      </w:r>
    </w:p>
    <w:p w:rsidR="00786E64" w:rsidRDefault="00D94511"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35pt">
            <v:imagedata r:id="rId10"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FC5118" w:rsidRDefault="00687B08">
      <w:pPr>
        <w:pStyle w:val="Figureheading"/>
        <w:numPr>
          <w:ilvl w:val="0"/>
          <w:numId w:val="0"/>
        </w:numPr>
        <w:spacing w:after="0"/>
        <w:ind w:left="357" w:hanging="357"/>
      </w:pPr>
      <w:bookmarkStart w:id="9" w:name="_Ref307219594"/>
      <w:r w:rsidRPr="00FC5118">
        <w:lastRenderedPageBreak/>
        <w:t xml:space="preserve">Figure </w:t>
      </w:r>
      <w:bookmarkEnd w:id="9"/>
      <w:r w:rsidR="00786E64" w:rsidRPr="00FC5118">
        <w:t>2</w:t>
      </w:r>
      <w:r w:rsidRPr="00FC5118">
        <w:t xml:space="preserve">: </w:t>
      </w:r>
      <w:r w:rsidR="00656C5F" w:rsidRPr="00FC5118">
        <w:t>Volume weighted average spot price by region ($/MWh)</w:t>
      </w:r>
    </w:p>
    <w:p w:rsidR="00785F23" w:rsidRPr="002D23B9" w:rsidRDefault="00C77207"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 style="width:451pt;height:226.35pt">
            <v:imagedata r:id="rId11"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FC5118" w:rsidRPr="009340BA" w:rsidTr="00BF0E20">
        <w:trPr>
          <w:trHeight w:hRule="exact" w:val="340"/>
        </w:trPr>
        <w:tc>
          <w:tcPr>
            <w:tcW w:w="1357" w:type="pct"/>
            <w:tcBorders>
              <w:top w:val="nil"/>
              <w:left w:val="nil"/>
              <w:bottom w:val="nil"/>
              <w:right w:val="nil"/>
            </w:tcBorders>
            <w:shd w:val="clear" w:color="000000" w:fill="DDD9C3"/>
            <w:noWrap/>
            <w:vAlign w:val="center"/>
            <w:hideMark/>
          </w:tcPr>
          <w:p w:rsidR="00FC5118" w:rsidRPr="009340BA" w:rsidRDefault="00FC5118"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55</w:t>
            </w:r>
          </w:p>
        </w:tc>
        <w:tc>
          <w:tcPr>
            <w:tcW w:w="781" w:type="pct"/>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50</w:t>
            </w:r>
          </w:p>
        </w:tc>
        <w:tc>
          <w:tcPr>
            <w:tcW w:w="781" w:type="pct"/>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46</w:t>
            </w:r>
          </w:p>
        </w:tc>
        <w:tc>
          <w:tcPr>
            <w:tcW w:w="781" w:type="pct"/>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47</w:t>
            </w:r>
          </w:p>
        </w:tc>
        <w:tc>
          <w:tcPr>
            <w:tcW w:w="781" w:type="pct"/>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36</w:t>
            </w:r>
          </w:p>
        </w:tc>
      </w:tr>
      <w:tr w:rsidR="00FC5118" w:rsidRPr="009340BA" w:rsidTr="00BF0E20">
        <w:trPr>
          <w:trHeight w:hRule="exact" w:val="340"/>
        </w:trPr>
        <w:tc>
          <w:tcPr>
            <w:tcW w:w="1357" w:type="pct"/>
            <w:tcBorders>
              <w:top w:val="nil"/>
              <w:left w:val="nil"/>
              <w:bottom w:val="nil"/>
              <w:right w:val="nil"/>
            </w:tcBorders>
            <w:shd w:val="clear" w:color="000000" w:fill="EEECE1"/>
            <w:noWrap/>
            <w:vAlign w:val="center"/>
            <w:hideMark/>
          </w:tcPr>
          <w:p w:rsidR="00FC5118" w:rsidRPr="009340BA" w:rsidRDefault="00FC5118"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49</w:t>
            </w:r>
          </w:p>
        </w:tc>
      </w:tr>
      <w:tr w:rsidR="00FC5118" w:rsidRPr="009340BA" w:rsidTr="00BF0E20">
        <w:trPr>
          <w:trHeight w:hRule="exact" w:val="340"/>
        </w:trPr>
        <w:tc>
          <w:tcPr>
            <w:tcW w:w="1357" w:type="pct"/>
            <w:tcBorders>
              <w:top w:val="nil"/>
              <w:left w:val="nil"/>
              <w:bottom w:val="single" w:sz="8" w:space="0" w:color="auto"/>
              <w:right w:val="nil"/>
            </w:tcBorders>
            <w:shd w:val="clear" w:color="000000" w:fill="DDD9C3"/>
            <w:noWrap/>
            <w:vAlign w:val="center"/>
            <w:hideMark/>
          </w:tcPr>
          <w:p w:rsidR="00FC5118" w:rsidRPr="009340BA" w:rsidRDefault="00FC5118"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62</w:t>
            </w:r>
          </w:p>
        </w:tc>
        <w:tc>
          <w:tcPr>
            <w:tcW w:w="781" w:type="pct"/>
            <w:tcBorders>
              <w:top w:val="nil"/>
              <w:left w:val="nil"/>
              <w:bottom w:val="single" w:sz="8" w:space="0" w:color="auto"/>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54</w:t>
            </w:r>
          </w:p>
        </w:tc>
        <w:tc>
          <w:tcPr>
            <w:tcW w:w="781" w:type="pct"/>
            <w:tcBorders>
              <w:top w:val="nil"/>
              <w:left w:val="nil"/>
              <w:bottom w:val="single" w:sz="8" w:space="0" w:color="auto"/>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55</w:t>
            </w:r>
          </w:p>
        </w:tc>
        <w:tc>
          <w:tcPr>
            <w:tcW w:w="781" w:type="pct"/>
            <w:tcBorders>
              <w:top w:val="nil"/>
              <w:left w:val="nil"/>
              <w:bottom w:val="single" w:sz="8" w:space="0" w:color="auto"/>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71</w:t>
            </w:r>
          </w:p>
        </w:tc>
        <w:tc>
          <w:tcPr>
            <w:tcW w:w="781" w:type="pct"/>
            <w:tcBorders>
              <w:top w:val="nil"/>
              <w:left w:val="nil"/>
              <w:bottom w:val="single" w:sz="8" w:space="0" w:color="auto"/>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42</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340BA" w:rsidP="009340BA">
      <w:pPr>
        <w:pStyle w:val="AERbodytext"/>
      </w:pPr>
      <w:r>
        <w:t xml:space="preserve">There </w:t>
      </w:r>
      <w:r w:rsidRPr="00FC5118">
        <w:t xml:space="preserve">were </w:t>
      </w:r>
      <w:r w:rsidR="00FC5118" w:rsidRPr="00FC5118">
        <w:t>30</w:t>
      </w:r>
      <w:r w:rsidR="00BB0611" w:rsidRPr="00FC5118">
        <w:t xml:space="preserve"> </w:t>
      </w:r>
      <w:r w:rsidRPr="00FC5118">
        <w:t>trading</w:t>
      </w:r>
      <w:r>
        <w:t xml:space="preserve">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FC5118" w:rsidRPr="009340BA" w:rsidTr="00601EB7">
        <w:trPr>
          <w:trHeight w:hRule="exact" w:val="369"/>
        </w:trPr>
        <w:tc>
          <w:tcPr>
            <w:tcW w:w="3636" w:type="dxa"/>
            <w:tcBorders>
              <w:top w:val="nil"/>
              <w:left w:val="nil"/>
              <w:bottom w:val="nil"/>
              <w:right w:val="nil"/>
            </w:tcBorders>
            <w:shd w:val="clear" w:color="000000" w:fill="DDD9C3"/>
            <w:noWrap/>
            <w:vAlign w:val="center"/>
            <w:hideMark/>
          </w:tcPr>
          <w:p w:rsidR="00FC5118" w:rsidRPr="009340BA" w:rsidRDefault="00FC5118" w:rsidP="009340BA">
            <w:pPr>
              <w:spacing w:line="240" w:lineRule="auto"/>
              <w:jc w:val="left"/>
              <w:rPr>
                <w:rFonts w:cs="Gautami"/>
                <w:b/>
                <w:bCs/>
                <w:sz w:val="16"/>
                <w:szCs w:val="16"/>
              </w:rPr>
            </w:pPr>
            <w:r w:rsidRPr="009340BA">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5</w:t>
            </w:r>
          </w:p>
        </w:tc>
        <w:tc>
          <w:tcPr>
            <w:tcW w:w="1436" w:type="dxa"/>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33</w:t>
            </w:r>
          </w:p>
        </w:tc>
        <w:tc>
          <w:tcPr>
            <w:tcW w:w="1297" w:type="dxa"/>
            <w:tcBorders>
              <w:top w:val="nil"/>
              <w:left w:val="nil"/>
              <w:bottom w:val="nil"/>
              <w:right w:val="nil"/>
            </w:tcBorders>
            <w:shd w:val="clear" w:color="000000" w:fill="DDD9C3"/>
            <w:noWrap/>
            <w:vAlign w:val="center"/>
            <w:hideMark/>
          </w:tcPr>
          <w:p w:rsidR="00FC5118" w:rsidRDefault="00FC5118">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FC5118" w:rsidRDefault="00FC5118">
            <w:pPr>
              <w:jc w:val="center"/>
              <w:rPr>
                <w:rFonts w:cs="Gautami"/>
                <w:sz w:val="16"/>
                <w:szCs w:val="16"/>
              </w:rPr>
            </w:pPr>
            <w:r>
              <w:rPr>
                <w:rFonts w:cs="Gautami"/>
                <w:sz w:val="16"/>
                <w:szCs w:val="16"/>
              </w:rPr>
              <w:t>4</w:t>
            </w:r>
          </w:p>
        </w:tc>
      </w:tr>
      <w:tr w:rsidR="00FC5118" w:rsidRPr="009340BA" w:rsidTr="00601EB7">
        <w:trPr>
          <w:trHeight w:hRule="exact" w:val="369"/>
        </w:trPr>
        <w:tc>
          <w:tcPr>
            <w:tcW w:w="3636" w:type="dxa"/>
            <w:tcBorders>
              <w:top w:val="nil"/>
              <w:left w:val="nil"/>
              <w:bottom w:val="single" w:sz="8" w:space="0" w:color="auto"/>
              <w:right w:val="nil"/>
            </w:tcBorders>
            <w:shd w:val="clear" w:color="000000" w:fill="EEECE1"/>
            <w:noWrap/>
            <w:vAlign w:val="center"/>
            <w:hideMark/>
          </w:tcPr>
          <w:p w:rsidR="00FC5118" w:rsidRPr="009340BA" w:rsidRDefault="00FC5118" w:rsidP="009340BA">
            <w:pPr>
              <w:spacing w:line="240" w:lineRule="auto"/>
              <w:jc w:val="left"/>
              <w:rPr>
                <w:rFonts w:cs="Gautami"/>
                <w:b/>
                <w:bCs/>
                <w:sz w:val="16"/>
                <w:szCs w:val="16"/>
              </w:rPr>
            </w:pPr>
            <w:r w:rsidRPr="009340BA">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15</w:t>
            </w:r>
          </w:p>
        </w:tc>
        <w:tc>
          <w:tcPr>
            <w:tcW w:w="1436" w:type="dxa"/>
            <w:tcBorders>
              <w:top w:val="nil"/>
              <w:left w:val="nil"/>
              <w:bottom w:val="single" w:sz="8" w:space="0" w:color="auto"/>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25</w:t>
            </w:r>
          </w:p>
        </w:tc>
        <w:tc>
          <w:tcPr>
            <w:tcW w:w="1297" w:type="dxa"/>
            <w:tcBorders>
              <w:top w:val="nil"/>
              <w:left w:val="nil"/>
              <w:bottom w:val="single" w:sz="8" w:space="0" w:color="auto"/>
              <w:right w:val="nil"/>
            </w:tcBorders>
            <w:shd w:val="clear" w:color="000000" w:fill="EEECE1"/>
            <w:noWrap/>
            <w:vAlign w:val="center"/>
            <w:hideMark/>
          </w:tcPr>
          <w:p w:rsidR="00FC5118" w:rsidRDefault="00FC5118">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FC5118" w:rsidRDefault="00FC5118">
            <w:pPr>
              <w:jc w:val="center"/>
              <w:rPr>
                <w:rFonts w:cs="Gautami"/>
                <w:sz w:val="16"/>
                <w:szCs w:val="16"/>
              </w:rPr>
            </w:pPr>
            <w:r>
              <w:rPr>
                <w:rFonts w:cs="Gautami"/>
                <w:sz w:val="16"/>
                <w:szCs w:val="16"/>
              </w:rPr>
              <w:t>18</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FC5118" w:rsidRDefault="0078358A" w:rsidP="0064299A">
      <w:pPr>
        <w:pStyle w:val="Figureheading"/>
        <w:numPr>
          <w:ilvl w:val="0"/>
          <w:numId w:val="0"/>
        </w:numPr>
      </w:pPr>
      <w:r w:rsidRPr="00FC5118">
        <w:t>Figure 3</w:t>
      </w:r>
      <w:r w:rsidR="00F4461C" w:rsidRPr="00FC5118">
        <w:t>: Queensland generation and bidding patterns</w:t>
      </w:r>
    </w:p>
    <w:p w:rsidR="00F4461C" w:rsidRPr="00533B51" w:rsidRDefault="00C77207" w:rsidP="002652CD">
      <w:pPr>
        <w:pStyle w:val="AERbodytext"/>
        <w:rPr>
          <w:color w:val="FF0000"/>
        </w:rPr>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3pt">
            <v:imagedata r:id="rId13" o:title=""/>
          </v:shape>
        </w:pict>
      </w:r>
    </w:p>
    <w:p w:rsidR="00F4461C" w:rsidRPr="00FC5118" w:rsidRDefault="00F4461C" w:rsidP="00F4461C">
      <w:pPr>
        <w:pStyle w:val="Figureheading"/>
        <w:numPr>
          <w:ilvl w:val="0"/>
          <w:numId w:val="0"/>
        </w:numPr>
        <w:ind w:left="357" w:hanging="357"/>
      </w:pPr>
      <w:r w:rsidRPr="00FC5118">
        <w:t xml:space="preserve">Figure </w:t>
      </w:r>
      <w:r w:rsidR="0078358A" w:rsidRPr="00FC5118">
        <w:t>4</w:t>
      </w:r>
      <w:r w:rsidRPr="00FC5118">
        <w:t>: New South Wales generation and bidding patterns</w:t>
      </w:r>
    </w:p>
    <w:p w:rsidR="002652CD" w:rsidRPr="00533B51" w:rsidRDefault="00C77207" w:rsidP="002652CD">
      <w:pPr>
        <w:pStyle w:val="AERbodytext"/>
        <w:rPr>
          <w:color w:val="FF0000"/>
        </w:rPr>
      </w:pPr>
      <w:r>
        <w:pict>
          <v:shape id="_x0000_i1029" type="#_x0000_t75" alt="&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style="width:451pt;height:324.85pt">
            <v:imagedata r:id="rId14" o:title=""/>
          </v:shape>
        </w:pict>
      </w:r>
    </w:p>
    <w:p w:rsidR="00F4461C" w:rsidRPr="00FC5118" w:rsidRDefault="00F4461C" w:rsidP="00F4461C">
      <w:pPr>
        <w:pStyle w:val="Figureheading"/>
        <w:numPr>
          <w:ilvl w:val="0"/>
          <w:numId w:val="0"/>
        </w:numPr>
        <w:ind w:left="357" w:hanging="357"/>
      </w:pPr>
      <w:r w:rsidRPr="00FC5118">
        <w:t xml:space="preserve">Figure </w:t>
      </w:r>
      <w:r w:rsidR="0078358A" w:rsidRPr="00FC5118">
        <w:t>5</w:t>
      </w:r>
      <w:r w:rsidRPr="00FC5118">
        <w:t>: Victoria generation and bidding patterns</w:t>
      </w:r>
    </w:p>
    <w:p w:rsidR="00785F23" w:rsidRPr="00533B51" w:rsidRDefault="00C77207" w:rsidP="00785F23">
      <w:pPr>
        <w:pStyle w:val="AERbodytext"/>
        <w:rPr>
          <w:color w:val="FF0000"/>
        </w:rPr>
      </w:pPr>
      <w: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style="width:451pt;height:324.85pt">
            <v:imagedata r:id="rId15" o:title=""/>
          </v:shape>
        </w:pict>
      </w:r>
    </w:p>
    <w:p w:rsidR="00C52BE5" w:rsidRPr="00FC5118" w:rsidRDefault="00780239" w:rsidP="00C52BE5">
      <w:pPr>
        <w:pStyle w:val="Figureheading"/>
        <w:numPr>
          <w:ilvl w:val="0"/>
          <w:numId w:val="0"/>
        </w:numPr>
        <w:ind w:left="357" w:hanging="357"/>
      </w:pPr>
      <w:r w:rsidRPr="00FC5118">
        <w:t>Fi</w:t>
      </w:r>
      <w:r w:rsidR="00C52BE5" w:rsidRPr="00FC5118">
        <w:t xml:space="preserve">gure </w:t>
      </w:r>
      <w:r w:rsidR="0078358A" w:rsidRPr="00FC5118">
        <w:t>6</w:t>
      </w:r>
      <w:r w:rsidR="00C52BE5" w:rsidRPr="00FC5118">
        <w:t>: South Australia</w:t>
      </w:r>
      <w:r w:rsidR="00D96C94" w:rsidRPr="00FC5118">
        <w:t xml:space="preserve"> generation and bidding patterns</w:t>
      </w:r>
    </w:p>
    <w:p w:rsidR="002652CD" w:rsidRDefault="00C77207" w:rsidP="002652CD">
      <w:pPr>
        <w:pStyle w:val="AERbodytext"/>
      </w:pPr>
      <w:r>
        <w:rPr>
          <w:noProof/>
          <w:lang w:eastAsia="en-AU"/>
        </w:rPr>
        <w:pict>
          <v:oval id="_x0000_s1041" style="position:absolute;left:0;text-align:left;margin-left:207.4pt;margin-top:86.85pt;width:140.55pt;height:91.55pt;z-index:251660288" strokecolor="red" strokeweight="2.25pt">
            <v:fill opacity="0"/>
          </v:oval>
        </w:pict>
      </w:r>
      <w:r>
        <w:rPr>
          <w:noProof/>
          <w:lang w:eastAsia="en-AU"/>
        </w:rPr>
        <w:pict>
          <v:oval id="_x0000_s1040" style="position:absolute;left:0;text-align:left;margin-left:160.15pt;margin-top:30.95pt;width:35.7pt;height:133.65pt;z-index:251659264" strokecolor="red" strokeweight="2.25pt">
            <v:fill opacity="0"/>
          </v:oval>
        </w:pict>
      </w: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pt;height:324.3pt">
            <v:imagedata r:id="rId16" o:title=""/>
          </v:shape>
        </w:pict>
      </w:r>
    </w:p>
    <w:p w:rsidR="00C77207" w:rsidRPr="00C77207" w:rsidRDefault="0075602B" w:rsidP="002652CD">
      <w:pPr>
        <w:pStyle w:val="AERbodytext"/>
      </w:pPr>
      <w:r>
        <w:t xml:space="preserve">The large </w:t>
      </w:r>
      <w:r w:rsidR="00A317EA">
        <w:t>changes in South Australian generation (circled red in the above figure) are</w:t>
      </w:r>
      <w:r>
        <w:t xml:space="preserve"> a result of large changes in wind generation in a short period of time. </w:t>
      </w:r>
      <w:r w:rsidR="00A317EA">
        <w:t xml:space="preserve">On 29 April wind </w:t>
      </w:r>
      <w:r w:rsidR="00635673">
        <w:t xml:space="preserve">generation </w:t>
      </w:r>
      <w:r w:rsidR="00A317EA">
        <w:t>fell 500 MW within two hours and w</w:t>
      </w:r>
      <w:r>
        <w:t xml:space="preserve">ind generation fell from 1100 MW on 29 April to </w:t>
      </w:r>
      <w:r w:rsidR="00A317EA">
        <w:t>zero on 30 April.</w:t>
      </w:r>
    </w:p>
    <w:p w:rsidR="0048688D" w:rsidRPr="00FC5118" w:rsidRDefault="0048688D" w:rsidP="0048688D">
      <w:pPr>
        <w:pStyle w:val="Figureheading"/>
        <w:numPr>
          <w:ilvl w:val="0"/>
          <w:numId w:val="0"/>
        </w:numPr>
        <w:ind w:left="357" w:hanging="357"/>
      </w:pPr>
      <w:r w:rsidRPr="00FC5118">
        <w:t xml:space="preserve">Figure </w:t>
      </w:r>
      <w:r w:rsidR="0078358A" w:rsidRPr="00FC5118">
        <w:t>7</w:t>
      </w:r>
      <w:r w:rsidRPr="00FC5118">
        <w:t>: Tasmania</w:t>
      </w:r>
      <w:r w:rsidR="00D96C94" w:rsidRPr="00FC5118">
        <w:t xml:space="preserve"> generation and bidding patterns</w:t>
      </w:r>
    </w:p>
    <w:p w:rsidR="008802BB" w:rsidRDefault="00C77207" w:rsidP="00BD4E2C">
      <w:pPr>
        <w:pStyle w:val="Heading2"/>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3pt">
            <v:imagedata r:id="rId17"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5E4D3C" w:rsidRPr="008802BB" w:rsidRDefault="005E4D3C" w:rsidP="005E4D3C">
      <w:pPr>
        <w:pStyle w:val="AERbodytext"/>
      </w:pPr>
      <w:r>
        <w:t xml:space="preserve">The total cost of FCAS on the </w:t>
      </w:r>
      <w:r w:rsidRPr="008802BB">
        <w:t>mainland for the week was $</w:t>
      </w:r>
      <w:r w:rsidR="00D809C8" w:rsidRPr="008802BB">
        <w:t>4</w:t>
      </w:r>
      <w:r w:rsidR="008802BB" w:rsidRPr="008802BB">
        <w:t>45</w:t>
      </w:r>
      <w:r w:rsidR="0027186D" w:rsidRPr="008802BB">
        <w:t> 500</w:t>
      </w:r>
      <w:r w:rsidRPr="008802BB">
        <w:t xml:space="preserve"> or less than 1 per cent of energy turnover on the mainland.</w:t>
      </w:r>
    </w:p>
    <w:p w:rsidR="005E4D3C" w:rsidRPr="008802BB" w:rsidRDefault="005E4D3C" w:rsidP="005E4D3C">
      <w:pPr>
        <w:pStyle w:val="AERbodytext"/>
      </w:pPr>
      <w:r w:rsidRPr="008802BB">
        <w:t>The total cost of FCAS in Tasmania for the week was $</w:t>
      </w:r>
      <w:r w:rsidR="0027186D" w:rsidRPr="008802BB">
        <w:t>4</w:t>
      </w:r>
      <w:r w:rsidR="00D809C8" w:rsidRPr="008802BB">
        <w:t>8</w:t>
      </w:r>
      <w:r w:rsidR="0027186D" w:rsidRPr="008802BB">
        <w:t> </w:t>
      </w:r>
      <w:r w:rsidR="00D809C8" w:rsidRPr="008802BB">
        <w:t>5</w:t>
      </w:r>
      <w:r w:rsidR="0027186D" w:rsidRPr="008802BB">
        <w:t>00</w:t>
      </w:r>
      <w:r w:rsidRPr="008802BB">
        <w:t xml:space="preserve"> or less than 1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8802BB" w:rsidRDefault="00977DC4" w:rsidP="00977DC4">
      <w:pPr>
        <w:pStyle w:val="Figureheading"/>
        <w:numPr>
          <w:ilvl w:val="0"/>
          <w:numId w:val="0"/>
        </w:numPr>
        <w:ind w:left="357" w:hanging="357"/>
      </w:pPr>
      <w:r w:rsidRPr="008802BB">
        <w:t xml:space="preserve">Figure </w:t>
      </w:r>
      <w:r w:rsidR="0078358A" w:rsidRPr="008802BB">
        <w:t>8</w:t>
      </w:r>
      <w:r w:rsidRPr="008802BB">
        <w:t>: Daily frequency control ancillary service cost</w:t>
      </w:r>
    </w:p>
    <w:p w:rsidR="002652CD" w:rsidRPr="002D23B9" w:rsidRDefault="00C77207"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pt">
            <v:imagedata r:id="rId18" o:title=""/>
          </v:shape>
        </w:pict>
      </w:r>
    </w:p>
    <w:bookmarkEnd w:id="0"/>
    <w:bookmarkEnd w:id="1"/>
    <w:bookmarkEnd w:id="2"/>
    <w:bookmarkEnd w:id="3"/>
    <w:bookmarkEnd w:id="4"/>
    <w:bookmarkEnd w:id="5"/>
    <w:p w:rsidR="00806E54" w:rsidRPr="00E60B71" w:rsidRDefault="00806E54" w:rsidP="00806E54">
      <w:pPr>
        <w:pStyle w:val="Heading2"/>
        <w:rPr>
          <w:color w:val="000000"/>
        </w:rPr>
      </w:pPr>
      <w:r w:rsidRPr="00E60B71">
        <w:rPr>
          <w:color w:val="000000"/>
        </w:rPr>
        <w:t>Detailed market analysis of significant price events</w:t>
      </w:r>
    </w:p>
    <w:p w:rsidR="00806E54" w:rsidRPr="00C95548" w:rsidRDefault="00806E54" w:rsidP="00806E54">
      <w:pPr>
        <w:pStyle w:val="AERbodytext"/>
        <w:rPr>
          <w:color w:val="000000"/>
        </w:rPr>
      </w:pPr>
      <w:r w:rsidRPr="00C95548">
        <w:rPr>
          <w:color w:val="000000"/>
        </w:rPr>
        <w:t xml:space="preserve">We provide more detailed analysis of events where the spot price was greater than three times the weekly average price in a region and above $250/MWh or was below </w:t>
      </w:r>
      <w:r w:rsidRPr="00C95548">
        <w:rPr>
          <w:color w:val="000000"/>
        </w:rPr>
        <w:noBreakHyphen/>
        <w:t xml:space="preserve">$100/MWh. </w:t>
      </w:r>
    </w:p>
    <w:p w:rsidR="00806E54" w:rsidRPr="00C95548" w:rsidRDefault="00806E54" w:rsidP="00806E54">
      <w:pPr>
        <w:pStyle w:val="AERbodytext"/>
        <w:rPr>
          <w:color w:val="000000"/>
        </w:rPr>
      </w:pPr>
      <w:r>
        <w:rPr>
          <w:b/>
          <w:color w:val="000000"/>
        </w:rPr>
        <w:t>Queensland</w:t>
      </w:r>
    </w:p>
    <w:p w:rsidR="00806E54" w:rsidRPr="00F50FC4" w:rsidRDefault="00806E54" w:rsidP="00806E54">
      <w:pPr>
        <w:rPr>
          <w:color w:val="000000"/>
          <w:lang w:eastAsia="en-US"/>
        </w:rPr>
      </w:pPr>
      <w:r w:rsidRPr="00F50FC4">
        <w:rPr>
          <w:color w:val="000000"/>
          <w:lang w:eastAsia="en-US"/>
        </w:rPr>
        <w:t xml:space="preserve">There </w:t>
      </w:r>
      <w:r w:rsidR="006300B0">
        <w:rPr>
          <w:color w:val="000000"/>
          <w:lang w:eastAsia="en-US"/>
        </w:rPr>
        <w:t xml:space="preserve">were </w:t>
      </w:r>
      <w:r w:rsidR="00445145">
        <w:rPr>
          <w:color w:val="000000"/>
          <w:lang w:eastAsia="en-US"/>
        </w:rPr>
        <w:t>two</w:t>
      </w:r>
      <w:r w:rsidRPr="00F50FC4">
        <w:rPr>
          <w:color w:val="000000"/>
          <w:lang w:eastAsia="en-US"/>
        </w:rPr>
        <w:t xml:space="preserve"> occasion</w:t>
      </w:r>
      <w:r w:rsidR="00445145">
        <w:rPr>
          <w:color w:val="000000"/>
          <w:lang w:eastAsia="en-US"/>
        </w:rPr>
        <w:t>s w</w:t>
      </w:r>
      <w:r w:rsidR="006300B0">
        <w:rPr>
          <w:color w:val="000000"/>
          <w:lang w:eastAsia="en-US"/>
        </w:rPr>
        <w:t>h</w:t>
      </w:r>
      <w:r w:rsidRPr="00F50FC4">
        <w:rPr>
          <w:color w:val="000000"/>
          <w:lang w:eastAsia="en-US"/>
        </w:rPr>
        <w:t xml:space="preserve">ere the spot price in </w:t>
      </w:r>
      <w:r>
        <w:rPr>
          <w:color w:val="000000"/>
          <w:lang w:eastAsia="en-US"/>
        </w:rPr>
        <w:t>Queensland</w:t>
      </w:r>
      <w:r w:rsidRPr="00F50FC4">
        <w:rPr>
          <w:color w:val="000000"/>
          <w:lang w:eastAsia="en-US"/>
        </w:rPr>
        <w:t xml:space="preserve"> was greater than three times the </w:t>
      </w:r>
      <w:r>
        <w:rPr>
          <w:color w:val="000000"/>
          <w:lang w:eastAsia="en-US"/>
        </w:rPr>
        <w:t>Queensland</w:t>
      </w:r>
      <w:r w:rsidRPr="00F50FC4">
        <w:rPr>
          <w:color w:val="000000"/>
          <w:lang w:eastAsia="en-US"/>
        </w:rPr>
        <w:t xml:space="preserve"> weekly average </w:t>
      </w:r>
      <w:r w:rsidRPr="00445145">
        <w:rPr>
          <w:lang w:eastAsia="en-US"/>
        </w:rPr>
        <w:t>price of $5</w:t>
      </w:r>
      <w:r w:rsidR="00445145" w:rsidRPr="00445145">
        <w:rPr>
          <w:lang w:eastAsia="en-US"/>
        </w:rPr>
        <w:t>5</w:t>
      </w:r>
      <w:r w:rsidRPr="00445145">
        <w:rPr>
          <w:lang w:eastAsia="en-US"/>
        </w:rPr>
        <w:t>/MWh</w:t>
      </w:r>
      <w:r>
        <w:rPr>
          <w:color w:val="000000"/>
          <w:lang w:eastAsia="en-US"/>
        </w:rPr>
        <w:t xml:space="preserve"> and above $250/MWh.</w:t>
      </w:r>
    </w:p>
    <w:p w:rsidR="00806E54" w:rsidRPr="00E77E9F" w:rsidRDefault="00806E54" w:rsidP="00806E54">
      <w:pPr>
        <w:pStyle w:val="AERtabletitle"/>
      </w:pPr>
      <w:r w:rsidRPr="00E77E9F">
        <w:t xml:space="preserve">Table 3: </w:t>
      </w:r>
      <w:r>
        <w:t>Queensland</w:t>
      </w:r>
      <w:r w:rsidRPr="00E77E9F">
        <w:t xml:space="preserve">, </w:t>
      </w:r>
      <w:r>
        <w:t>Monday</w:t>
      </w:r>
      <w:r w:rsidRPr="00E77E9F">
        <w:t xml:space="preserve"> </w:t>
      </w:r>
      <w:r>
        <w:t>28</w:t>
      </w:r>
      <w:r w:rsidRPr="00E77E9F">
        <w:t xml:space="preserve"> </w:t>
      </w:r>
      <w:r>
        <w:t>April</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806E54" w:rsidRPr="00B309A7" w:rsidTr="00FF63D3">
        <w:tc>
          <w:tcPr>
            <w:tcW w:w="993" w:type="dxa"/>
            <w:tcBorders>
              <w:top w:val="single" w:sz="4" w:space="0" w:color="auto"/>
              <w:left w:val="single" w:sz="4" w:space="0" w:color="auto"/>
              <w:bottom w:val="nil"/>
            </w:tcBorders>
            <w:shd w:val="clear" w:color="auto" w:fill="4A442A"/>
            <w:noWrap/>
          </w:tcPr>
          <w:p w:rsidR="00806E54" w:rsidRPr="00C95548" w:rsidRDefault="00806E54" w:rsidP="00FF63D3">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806E54" w:rsidRPr="00C95548" w:rsidRDefault="00806E54" w:rsidP="00FF63D3">
            <w:pPr>
              <w:autoSpaceDE w:val="0"/>
              <w:autoSpaceDN w:val="0"/>
              <w:adjustRightInd w:val="0"/>
              <w:spacing w:before="100" w:after="100"/>
              <w:jc w:val="center"/>
              <w:rPr>
                <w:b/>
                <w:bCs/>
                <w:color w:val="FFFFFF"/>
                <w:sz w:val="18"/>
                <w:szCs w:val="18"/>
              </w:rPr>
            </w:pPr>
            <w:r w:rsidRPr="00C95548">
              <w:rPr>
                <w:b/>
                <w:bCs/>
                <w:color w:val="FFFFFF"/>
                <w:sz w:val="18"/>
                <w:szCs w:val="18"/>
              </w:rPr>
              <w:t>Price ($/MWh)</w:t>
            </w:r>
          </w:p>
        </w:tc>
        <w:tc>
          <w:tcPr>
            <w:tcW w:w="2929" w:type="dxa"/>
            <w:gridSpan w:val="3"/>
            <w:tcBorders>
              <w:top w:val="single" w:sz="4" w:space="0" w:color="auto"/>
              <w:bottom w:val="nil"/>
            </w:tcBorders>
            <w:shd w:val="clear" w:color="auto" w:fill="4A442A"/>
          </w:tcPr>
          <w:p w:rsidR="00806E54" w:rsidRPr="00C95548" w:rsidDel="0074250B" w:rsidRDefault="00806E54" w:rsidP="00FF63D3">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806E54" w:rsidRPr="00C95548" w:rsidDel="0074250B" w:rsidRDefault="00806E54" w:rsidP="00FF63D3">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806E54" w:rsidRPr="00E77E9F" w:rsidTr="00FF63D3">
        <w:tc>
          <w:tcPr>
            <w:tcW w:w="993" w:type="dxa"/>
            <w:tcBorders>
              <w:top w:val="nil"/>
              <w:left w:val="single" w:sz="6" w:space="0" w:color="auto"/>
              <w:bottom w:val="nil"/>
              <w:right w:val="single" w:sz="6" w:space="0" w:color="auto"/>
            </w:tcBorders>
            <w:shd w:val="clear" w:color="auto" w:fill="DDD9C3"/>
            <w:noWrap/>
          </w:tcPr>
          <w:p w:rsidR="00806E54" w:rsidRPr="00E77E9F" w:rsidRDefault="00806E54" w:rsidP="00FF63D3">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tcPr>
          <w:p w:rsidR="00806E54" w:rsidRPr="00E77E9F" w:rsidRDefault="00806E54"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806E54" w:rsidRPr="0014596E" w:rsidTr="00FF63D3">
        <w:tc>
          <w:tcPr>
            <w:tcW w:w="993" w:type="dxa"/>
            <w:tcBorders>
              <w:top w:val="nil"/>
              <w:left w:val="single" w:sz="6" w:space="0" w:color="auto"/>
              <w:bottom w:val="single" w:sz="4" w:space="0" w:color="auto"/>
              <w:right w:val="single" w:sz="6" w:space="0" w:color="auto"/>
            </w:tcBorders>
            <w:shd w:val="clear" w:color="auto" w:fill="EEECE1"/>
            <w:noWrap/>
          </w:tcPr>
          <w:p w:rsidR="00806E54" w:rsidRPr="00E77E9F" w:rsidRDefault="00806E54" w:rsidP="00FF63D3">
            <w:pPr>
              <w:autoSpaceDE w:val="0"/>
              <w:autoSpaceDN w:val="0"/>
              <w:adjustRightInd w:val="0"/>
              <w:spacing w:before="100" w:after="100"/>
              <w:rPr>
                <w:b/>
                <w:bCs/>
                <w:sz w:val="18"/>
                <w:szCs w:val="18"/>
              </w:rPr>
            </w:pPr>
            <w:r>
              <w:rPr>
                <w:b/>
                <w:bCs/>
                <w:sz w:val="18"/>
                <w:szCs w:val="18"/>
              </w:rPr>
              <w:t>6 P</w:t>
            </w:r>
            <w:r w:rsidRPr="00E77E9F">
              <w:rPr>
                <w:b/>
                <w:bCs/>
                <w:sz w:val="18"/>
                <w:szCs w:val="18"/>
              </w:rPr>
              <w:t>M</w:t>
            </w:r>
          </w:p>
        </w:tc>
        <w:tc>
          <w:tcPr>
            <w:tcW w:w="834" w:type="dxa"/>
            <w:tcBorders>
              <w:top w:val="nil"/>
              <w:left w:val="single" w:sz="6" w:space="0" w:color="auto"/>
              <w:bottom w:val="single" w:sz="4" w:space="0" w:color="auto"/>
              <w:right w:val="nil"/>
            </w:tcBorders>
            <w:shd w:val="clear" w:color="auto" w:fill="EEECE1"/>
            <w:noWrap/>
            <w:vAlign w:val="center"/>
          </w:tcPr>
          <w:p w:rsidR="00806E54" w:rsidRPr="00021BA6" w:rsidRDefault="00806E54" w:rsidP="00FF63D3">
            <w:pPr>
              <w:jc w:val="center"/>
              <w:rPr>
                <w:sz w:val="18"/>
              </w:rPr>
            </w:pPr>
            <w:r w:rsidRPr="00021BA6">
              <w:rPr>
                <w:sz w:val="18"/>
              </w:rPr>
              <w:t>284.08</w:t>
            </w:r>
          </w:p>
        </w:tc>
        <w:tc>
          <w:tcPr>
            <w:tcW w:w="976" w:type="dxa"/>
            <w:tcBorders>
              <w:top w:val="nil"/>
              <w:left w:val="nil"/>
              <w:bottom w:val="single" w:sz="4" w:space="0" w:color="auto"/>
              <w:right w:val="nil"/>
            </w:tcBorders>
            <w:shd w:val="clear" w:color="auto" w:fill="EEECE1"/>
            <w:noWrap/>
            <w:vAlign w:val="center"/>
          </w:tcPr>
          <w:p w:rsidR="00806E54" w:rsidRPr="00021BA6" w:rsidRDefault="00806E54" w:rsidP="00FF63D3">
            <w:pPr>
              <w:jc w:val="center"/>
              <w:rPr>
                <w:sz w:val="18"/>
              </w:rPr>
            </w:pPr>
            <w:r w:rsidRPr="00021BA6">
              <w:rPr>
                <w:sz w:val="18"/>
              </w:rPr>
              <w:t>58.70</w:t>
            </w:r>
          </w:p>
        </w:tc>
        <w:tc>
          <w:tcPr>
            <w:tcW w:w="977" w:type="dxa"/>
            <w:tcBorders>
              <w:top w:val="nil"/>
              <w:left w:val="nil"/>
              <w:bottom w:val="single" w:sz="4" w:space="0" w:color="auto"/>
              <w:right w:val="single" w:sz="6" w:space="0" w:color="auto"/>
            </w:tcBorders>
            <w:shd w:val="clear" w:color="auto" w:fill="EEECE1"/>
            <w:noWrap/>
            <w:vAlign w:val="center"/>
          </w:tcPr>
          <w:p w:rsidR="00806E54" w:rsidRPr="00021BA6" w:rsidRDefault="00806E54" w:rsidP="00FF63D3">
            <w:pPr>
              <w:jc w:val="center"/>
              <w:rPr>
                <w:sz w:val="18"/>
              </w:rPr>
            </w:pPr>
            <w:r w:rsidRPr="00021BA6">
              <w:rPr>
                <w:sz w:val="18"/>
              </w:rPr>
              <w:t>68.95</w:t>
            </w:r>
          </w:p>
        </w:tc>
        <w:tc>
          <w:tcPr>
            <w:tcW w:w="976" w:type="dxa"/>
            <w:tcBorders>
              <w:top w:val="nil"/>
              <w:left w:val="single" w:sz="6" w:space="0" w:color="auto"/>
              <w:bottom w:val="single" w:sz="4" w:space="0" w:color="auto"/>
              <w:right w:val="nil"/>
            </w:tcBorders>
            <w:shd w:val="clear" w:color="auto" w:fill="EEECE1"/>
            <w:vAlign w:val="center"/>
          </w:tcPr>
          <w:p w:rsidR="00806E54" w:rsidRPr="00021BA6" w:rsidRDefault="00806E54" w:rsidP="00FF63D3">
            <w:pPr>
              <w:jc w:val="center"/>
              <w:rPr>
                <w:sz w:val="18"/>
              </w:rPr>
            </w:pPr>
            <w:r w:rsidRPr="00021BA6">
              <w:rPr>
                <w:sz w:val="18"/>
              </w:rPr>
              <w:t>6802</w:t>
            </w:r>
          </w:p>
        </w:tc>
        <w:tc>
          <w:tcPr>
            <w:tcW w:w="977" w:type="dxa"/>
            <w:tcBorders>
              <w:top w:val="nil"/>
              <w:left w:val="nil"/>
              <w:bottom w:val="single" w:sz="4" w:space="0" w:color="auto"/>
              <w:right w:val="nil"/>
            </w:tcBorders>
            <w:shd w:val="clear" w:color="auto" w:fill="EEECE1"/>
            <w:vAlign w:val="center"/>
          </w:tcPr>
          <w:p w:rsidR="00806E54" w:rsidRPr="00021BA6" w:rsidRDefault="00445145" w:rsidP="00445145">
            <w:pPr>
              <w:jc w:val="center"/>
              <w:rPr>
                <w:sz w:val="18"/>
              </w:rPr>
            </w:pPr>
            <w:r w:rsidRPr="00445145">
              <w:rPr>
                <w:sz w:val="18"/>
              </w:rPr>
              <w:t>6772</w:t>
            </w:r>
          </w:p>
        </w:tc>
        <w:tc>
          <w:tcPr>
            <w:tcW w:w="976" w:type="dxa"/>
            <w:tcBorders>
              <w:top w:val="nil"/>
              <w:left w:val="nil"/>
              <w:bottom w:val="single" w:sz="4" w:space="0" w:color="auto"/>
              <w:right w:val="single" w:sz="6" w:space="0" w:color="auto"/>
            </w:tcBorders>
            <w:shd w:val="clear" w:color="auto" w:fill="EEECE1"/>
            <w:vAlign w:val="center"/>
          </w:tcPr>
          <w:p w:rsidR="00806E54" w:rsidRPr="00021BA6" w:rsidRDefault="00445145" w:rsidP="00445145">
            <w:pPr>
              <w:jc w:val="center"/>
              <w:rPr>
                <w:sz w:val="18"/>
              </w:rPr>
            </w:pPr>
            <w:r w:rsidRPr="00445145">
              <w:rPr>
                <w:sz w:val="18"/>
              </w:rPr>
              <w:t>6779</w:t>
            </w:r>
          </w:p>
        </w:tc>
        <w:tc>
          <w:tcPr>
            <w:tcW w:w="977" w:type="dxa"/>
            <w:tcBorders>
              <w:top w:val="nil"/>
              <w:left w:val="single" w:sz="6" w:space="0" w:color="auto"/>
              <w:bottom w:val="single" w:sz="4" w:space="0" w:color="auto"/>
              <w:right w:val="nil"/>
            </w:tcBorders>
            <w:shd w:val="clear" w:color="auto" w:fill="EEECE1"/>
            <w:vAlign w:val="center"/>
          </w:tcPr>
          <w:p w:rsidR="00806E54" w:rsidRPr="00590D33" w:rsidRDefault="00806E54" w:rsidP="00445145">
            <w:pPr>
              <w:jc w:val="center"/>
              <w:rPr>
                <w:sz w:val="18"/>
              </w:rPr>
            </w:pPr>
            <w:r w:rsidRPr="00590D33">
              <w:rPr>
                <w:sz w:val="18"/>
              </w:rPr>
              <w:t>8995</w:t>
            </w:r>
          </w:p>
        </w:tc>
        <w:tc>
          <w:tcPr>
            <w:tcW w:w="976" w:type="dxa"/>
            <w:tcBorders>
              <w:top w:val="nil"/>
              <w:left w:val="nil"/>
              <w:bottom w:val="single" w:sz="4" w:space="0" w:color="auto"/>
              <w:right w:val="nil"/>
            </w:tcBorders>
            <w:shd w:val="clear" w:color="auto" w:fill="EEECE1"/>
            <w:vAlign w:val="center"/>
          </w:tcPr>
          <w:p w:rsidR="00806E54" w:rsidRPr="00590D33" w:rsidRDefault="00445145" w:rsidP="00445145">
            <w:pPr>
              <w:jc w:val="center"/>
              <w:rPr>
                <w:sz w:val="18"/>
              </w:rPr>
            </w:pPr>
            <w:r w:rsidRPr="00445145">
              <w:rPr>
                <w:sz w:val="18"/>
              </w:rPr>
              <w:t>8980</w:t>
            </w:r>
          </w:p>
        </w:tc>
        <w:tc>
          <w:tcPr>
            <w:tcW w:w="977" w:type="dxa"/>
            <w:tcBorders>
              <w:top w:val="nil"/>
              <w:left w:val="nil"/>
              <w:bottom w:val="single" w:sz="4" w:space="0" w:color="auto"/>
              <w:right w:val="single" w:sz="6" w:space="0" w:color="auto"/>
            </w:tcBorders>
            <w:shd w:val="clear" w:color="auto" w:fill="EEECE1"/>
            <w:vAlign w:val="center"/>
          </w:tcPr>
          <w:p w:rsidR="00806E54" w:rsidRPr="00590D33" w:rsidRDefault="00445145" w:rsidP="00445145">
            <w:pPr>
              <w:jc w:val="center"/>
              <w:rPr>
                <w:sz w:val="18"/>
              </w:rPr>
            </w:pPr>
            <w:r w:rsidRPr="00445145">
              <w:rPr>
                <w:sz w:val="18"/>
              </w:rPr>
              <w:t>9037</w:t>
            </w:r>
          </w:p>
        </w:tc>
      </w:tr>
    </w:tbl>
    <w:p w:rsidR="00806E54" w:rsidRDefault="00806E54" w:rsidP="00806E54">
      <w:pPr>
        <w:spacing w:after="120"/>
      </w:pPr>
    </w:p>
    <w:p w:rsidR="00445145" w:rsidRDefault="001633B7" w:rsidP="00806E54">
      <w:pPr>
        <w:spacing w:after="120"/>
      </w:pPr>
      <w:r>
        <w:t>Conditions at the time saw demand and available capacity close to that forecast.</w:t>
      </w:r>
    </w:p>
    <w:p w:rsidR="00607B1B" w:rsidRDefault="00607B1B" w:rsidP="00607B1B">
      <w:pPr>
        <w:spacing w:after="120"/>
      </w:pPr>
      <w:r>
        <w:t>At 5.39 pm, effective for 5.50 pm, 5.55</w:t>
      </w:r>
      <w:r w:rsidR="00DF059C">
        <w:t> </w:t>
      </w:r>
      <w:r>
        <w:t>pm and 6 pm only, CS Energy rebid 490 MW of available capacity across its portfolio from prices less than $53/MWh to close to the price cap. The reason given was “1737A demand higher than forecast-SL”. This saw the dispatch price increase from $64/MWh at 5.45 pm to $1400/MWh at 5.50 pm. At 5.55 pm there was a 72 MW decrease in demand and prices returned to previous levels.</w:t>
      </w:r>
    </w:p>
    <w:p w:rsidR="001633B7" w:rsidRDefault="001633B7" w:rsidP="00806E54">
      <w:pPr>
        <w:spacing w:after="120"/>
      </w:pPr>
    </w:p>
    <w:p w:rsidR="00445145" w:rsidRPr="00E77E9F" w:rsidRDefault="00445145" w:rsidP="00445145">
      <w:pPr>
        <w:pStyle w:val="AERtabletitle"/>
      </w:pPr>
      <w:r w:rsidRPr="00E77E9F">
        <w:t xml:space="preserve">Table </w:t>
      </w:r>
      <w:r>
        <w:t>4</w:t>
      </w:r>
      <w:r w:rsidRPr="00E77E9F">
        <w:t xml:space="preserve">: </w:t>
      </w:r>
      <w:r>
        <w:t>Queensland</w:t>
      </w:r>
      <w:r w:rsidRPr="00E77E9F">
        <w:t xml:space="preserve">, </w:t>
      </w:r>
      <w:r>
        <w:t>Thursday</w:t>
      </w:r>
      <w:r w:rsidRPr="00E77E9F">
        <w:t xml:space="preserve"> </w:t>
      </w:r>
      <w:r>
        <w:t>1 May</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445145" w:rsidRPr="00B309A7" w:rsidTr="00FF63D3">
        <w:tc>
          <w:tcPr>
            <w:tcW w:w="993" w:type="dxa"/>
            <w:tcBorders>
              <w:top w:val="single" w:sz="4" w:space="0" w:color="auto"/>
              <w:left w:val="single" w:sz="4" w:space="0" w:color="auto"/>
              <w:bottom w:val="nil"/>
            </w:tcBorders>
            <w:shd w:val="clear" w:color="auto" w:fill="4A442A"/>
            <w:noWrap/>
          </w:tcPr>
          <w:p w:rsidR="00445145" w:rsidRPr="00C95548" w:rsidRDefault="00445145" w:rsidP="00FF63D3">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445145" w:rsidRPr="00C95548" w:rsidRDefault="00445145" w:rsidP="00FF63D3">
            <w:pPr>
              <w:autoSpaceDE w:val="0"/>
              <w:autoSpaceDN w:val="0"/>
              <w:adjustRightInd w:val="0"/>
              <w:spacing w:before="100" w:after="100"/>
              <w:jc w:val="center"/>
              <w:rPr>
                <w:b/>
                <w:bCs/>
                <w:color w:val="FFFFFF"/>
                <w:sz w:val="18"/>
                <w:szCs w:val="18"/>
              </w:rPr>
            </w:pPr>
            <w:r w:rsidRPr="00C95548">
              <w:rPr>
                <w:b/>
                <w:bCs/>
                <w:color w:val="FFFFFF"/>
                <w:sz w:val="18"/>
                <w:szCs w:val="18"/>
              </w:rPr>
              <w:t>Price ($/MWh)</w:t>
            </w:r>
          </w:p>
        </w:tc>
        <w:tc>
          <w:tcPr>
            <w:tcW w:w="2929" w:type="dxa"/>
            <w:gridSpan w:val="3"/>
            <w:tcBorders>
              <w:top w:val="single" w:sz="4" w:space="0" w:color="auto"/>
              <w:bottom w:val="nil"/>
            </w:tcBorders>
            <w:shd w:val="clear" w:color="auto" w:fill="4A442A"/>
          </w:tcPr>
          <w:p w:rsidR="00445145" w:rsidRPr="00C95548" w:rsidDel="0074250B" w:rsidRDefault="00445145" w:rsidP="00FF63D3">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445145" w:rsidRPr="00C95548" w:rsidDel="0074250B" w:rsidRDefault="00445145" w:rsidP="00FF63D3">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445145" w:rsidRPr="00E77E9F" w:rsidTr="00FF63D3">
        <w:tc>
          <w:tcPr>
            <w:tcW w:w="993" w:type="dxa"/>
            <w:tcBorders>
              <w:top w:val="nil"/>
              <w:left w:val="single" w:sz="6" w:space="0" w:color="auto"/>
              <w:bottom w:val="nil"/>
              <w:right w:val="single" w:sz="6" w:space="0" w:color="auto"/>
            </w:tcBorders>
            <w:shd w:val="clear" w:color="auto" w:fill="DDD9C3"/>
            <w:noWrap/>
          </w:tcPr>
          <w:p w:rsidR="00445145" w:rsidRPr="00E77E9F" w:rsidRDefault="00445145" w:rsidP="00FF63D3">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445145" w:rsidRPr="0014596E" w:rsidTr="00445145">
        <w:tc>
          <w:tcPr>
            <w:tcW w:w="993" w:type="dxa"/>
            <w:tcBorders>
              <w:top w:val="nil"/>
              <w:left w:val="single" w:sz="6" w:space="0" w:color="auto"/>
              <w:bottom w:val="single" w:sz="4" w:space="0" w:color="auto"/>
              <w:right w:val="single" w:sz="6" w:space="0" w:color="auto"/>
            </w:tcBorders>
            <w:shd w:val="clear" w:color="auto" w:fill="EEECE1"/>
            <w:noWrap/>
          </w:tcPr>
          <w:p w:rsidR="00445145" w:rsidRPr="00E77E9F" w:rsidRDefault="00445145" w:rsidP="00FF63D3">
            <w:pPr>
              <w:autoSpaceDE w:val="0"/>
              <w:autoSpaceDN w:val="0"/>
              <w:adjustRightInd w:val="0"/>
              <w:spacing w:before="100" w:after="100"/>
              <w:rPr>
                <w:b/>
                <w:bCs/>
                <w:sz w:val="18"/>
                <w:szCs w:val="18"/>
              </w:rPr>
            </w:pPr>
            <w:r>
              <w:rPr>
                <w:b/>
                <w:bCs/>
                <w:sz w:val="18"/>
                <w:szCs w:val="18"/>
              </w:rPr>
              <w:t>6 P</w:t>
            </w:r>
            <w:r w:rsidRPr="00E77E9F">
              <w:rPr>
                <w:b/>
                <w:bCs/>
                <w:sz w:val="18"/>
                <w:szCs w:val="18"/>
              </w:rPr>
              <w:t>M</w:t>
            </w:r>
          </w:p>
        </w:tc>
        <w:tc>
          <w:tcPr>
            <w:tcW w:w="834" w:type="dxa"/>
            <w:tcBorders>
              <w:top w:val="nil"/>
              <w:left w:val="single" w:sz="6" w:space="0" w:color="auto"/>
              <w:bottom w:val="single" w:sz="4" w:space="0" w:color="auto"/>
              <w:right w:val="nil"/>
            </w:tcBorders>
            <w:shd w:val="clear" w:color="auto" w:fill="EEECE1"/>
            <w:noWrap/>
            <w:vAlign w:val="center"/>
          </w:tcPr>
          <w:p w:rsidR="00445145" w:rsidRPr="00445145" w:rsidRDefault="00445145" w:rsidP="00445145">
            <w:pPr>
              <w:jc w:val="center"/>
              <w:rPr>
                <w:sz w:val="18"/>
              </w:rPr>
            </w:pPr>
            <w:r w:rsidRPr="00445145">
              <w:rPr>
                <w:sz w:val="18"/>
              </w:rPr>
              <w:t>342.97</w:t>
            </w:r>
          </w:p>
        </w:tc>
        <w:tc>
          <w:tcPr>
            <w:tcW w:w="976" w:type="dxa"/>
            <w:tcBorders>
              <w:top w:val="nil"/>
              <w:left w:val="nil"/>
              <w:bottom w:val="single" w:sz="4" w:space="0" w:color="auto"/>
              <w:right w:val="nil"/>
            </w:tcBorders>
            <w:shd w:val="clear" w:color="auto" w:fill="EEECE1"/>
            <w:noWrap/>
            <w:vAlign w:val="center"/>
          </w:tcPr>
          <w:p w:rsidR="00445145" w:rsidRPr="00445145" w:rsidRDefault="00445145" w:rsidP="00445145">
            <w:pPr>
              <w:jc w:val="center"/>
              <w:rPr>
                <w:sz w:val="18"/>
              </w:rPr>
            </w:pPr>
            <w:r w:rsidRPr="00445145">
              <w:rPr>
                <w:sz w:val="18"/>
              </w:rPr>
              <w:t>59.95</w:t>
            </w:r>
          </w:p>
        </w:tc>
        <w:tc>
          <w:tcPr>
            <w:tcW w:w="977" w:type="dxa"/>
            <w:tcBorders>
              <w:top w:val="nil"/>
              <w:left w:val="nil"/>
              <w:bottom w:val="single" w:sz="4" w:space="0" w:color="auto"/>
              <w:right w:val="single" w:sz="6" w:space="0" w:color="auto"/>
            </w:tcBorders>
            <w:shd w:val="clear" w:color="auto" w:fill="EEECE1"/>
            <w:noWrap/>
            <w:vAlign w:val="center"/>
          </w:tcPr>
          <w:p w:rsidR="00445145" w:rsidRPr="00445145" w:rsidRDefault="00445145" w:rsidP="00445145">
            <w:pPr>
              <w:jc w:val="center"/>
              <w:rPr>
                <w:sz w:val="18"/>
              </w:rPr>
            </w:pPr>
            <w:r w:rsidRPr="00445145">
              <w:rPr>
                <w:sz w:val="18"/>
              </w:rPr>
              <w:t>60.81</w:t>
            </w:r>
          </w:p>
        </w:tc>
        <w:tc>
          <w:tcPr>
            <w:tcW w:w="976" w:type="dxa"/>
            <w:tcBorders>
              <w:top w:val="nil"/>
              <w:left w:val="single" w:sz="6" w:space="0" w:color="auto"/>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6982</w:t>
            </w:r>
          </w:p>
        </w:tc>
        <w:tc>
          <w:tcPr>
            <w:tcW w:w="977" w:type="dxa"/>
            <w:tcBorders>
              <w:top w:val="nil"/>
              <w:left w:val="nil"/>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6804</w:t>
            </w:r>
          </w:p>
        </w:tc>
        <w:tc>
          <w:tcPr>
            <w:tcW w:w="976" w:type="dxa"/>
            <w:tcBorders>
              <w:top w:val="nil"/>
              <w:left w:val="nil"/>
              <w:bottom w:val="single" w:sz="4" w:space="0" w:color="auto"/>
              <w:right w:val="single" w:sz="6" w:space="0" w:color="auto"/>
            </w:tcBorders>
            <w:shd w:val="clear" w:color="auto" w:fill="EEECE1"/>
            <w:vAlign w:val="center"/>
          </w:tcPr>
          <w:p w:rsidR="00445145" w:rsidRPr="00445145" w:rsidRDefault="00445145" w:rsidP="00445145">
            <w:pPr>
              <w:jc w:val="center"/>
              <w:rPr>
                <w:sz w:val="18"/>
              </w:rPr>
            </w:pPr>
            <w:r w:rsidRPr="00445145">
              <w:rPr>
                <w:sz w:val="18"/>
              </w:rPr>
              <w:t>6730</w:t>
            </w:r>
          </w:p>
        </w:tc>
        <w:tc>
          <w:tcPr>
            <w:tcW w:w="977" w:type="dxa"/>
            <w:tcBorders>
              <w:top w:val="nil"/>
              <w:left w:val="single" w:sz="6" w:space="0" w:color="auto"/>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8609</w:t>
            </w:r>
          </w:p>
        </w:tc>
        <w:tc>
          <w:tcPr>
            <w:tcW w:w="976" w:type="dxa"/>
            <w:tcBorders>
              <w:top w:val="nil"/>
              <w:left w:val="nil"/>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8940</w:t>
            </w:r>
          </w:p>
        </w:tc>
        <w:tc>
          <w:tcPr>
            <w:tcW w:w="977" w:type="dxa"/>
            <w:tcBorders>
              <w:top w:val="nil"/>
              <w:left w:val="nil"/>
              <w:bottom w:val="single" w:sz="4" w:space="0" w:color="auto"/>
              <w:right w:val="single" w:sz="6" w:space="0" w:color="auto"/>
            </w:tcBorders>
            <w:shd w:val="clear" w:color="auto" w:fill="EEECE1"/>
            <w:vAlign w:val="center"/>
          </w:tcPr>
          <w:p w:rsidR="00445145" w:rsidRPr="00445145" w:rsidRDefault="00445145" w:rsidP="00445145">
            <w:pPr>
              <w:jc w:val="center"/>
              <w:rPr>
                <w:sz w:val="18"/>
              </w:rPr>
            </w:pPr>
            <w:r w:rsidRPr="00445145">
              <w:rPr>
                <w:sz w:val="18"/>
              </w:rPr>
              <w:t>9058</w:t>
            </w:r>
          </w:p>
        </w:tc>
      </w:tr>
    </w:tbl>
    <w:p w:rsidR="00445145" w:rsidRDefault="009C3B93" w:rsidP="00445145">
      <w:pPr>
        <w:spacing w:after="120"/>
      </w:pPr>
      <w:proofErr w:type="gramStart"/>
      <w:r>
        <w:t>Conditions at the time saw demand 178 MW higher than that forecast four hours ahead.</w:t>
      </w:r>
      <w:proofErr w:type="gramEnd"/>
      <w:r>
        <w:t xml:space="preserve"> Available capacity was around 330 MW lower than that forecast four hours ahead.</w:t>
      </w:r>
    </w:p>
    <w:p w:rsidR="006300B0" w:rsidRDefault="006300B0" w:rsidP="00445145">
      <w:pPr>
        <w:spacing w:after="120"/>
      </w:pPr>
      <w:r>
        <w:t xml:space="preserve">At 2.33 pm </w:t>
      </w:r>
      <w:proofErr w:type="spellStart"/>
      <w:r>
        <w:t>Alinta</w:t>
      </w:r>
      <w:proofErr w:type="spellEnd"/>
      <w:r>
        <w:t xml:space="preserve"> Energy reduced the available capacity of </w:t>
      </w:r>
      <w:proofErr w:type="spellStart"/>
      <w:r>
        <w:t>Braemar</w:t>
      </w:r>
      <w:proofErr w:type="spellEnd"/>
      <w:r>
        <w:t xml:space="preserve"> unit 2 by 161 MW as the unit tripped. Almost all of this capacity was prices below $50/MWh.</w:t>
      </w:r>
    </w:p>
    <w:p w:rsidR="006300B0" w:rsidRDefault="006300B0" w:rsidP="00445145">
      <w:pPr>
        <w:spacing w:after="120"/>
      </w:pPr>
      <w:r>
        <w:t>At around 5 pm Stanwell’s Swanbank E power station tripped reducing capacity by 365 MW, a majority of which was priced below $30/MWh.</w:t>
      </w:r>
    </w:p>
    <w:p w:rsidR="0090732D" w:rsidRDefault="0090732D" w:rsidP="00445145">
      <w:pPr>
        <w:spacing w:after="120"/>
      </w:pPr>
      <w:r>
        <w:t>Over three rebids</w:t>
      </w:r>
      <w:r w:rsidR="00031A70">
        <w:t xml:space="preserve"> from 5.12 pm</w:t>
      </w:r>
      <w:r>
        <w:t>, first effective from 5.35 pm, CS energy rebid a total of 695 MW of available capacity across its portfolio from prices below $60/MWh to above $12 600/MWh.</w:t>
      </w:r>
      <w:r w:rsidRPr="0090732D">
        <w:t xml:space="preserve"> </w:t>
      </w:r>
      <w:r>
        <w:t>This saw the dispatch price increase from $</w:t>
      </w:r>
      <w:r w:rsidR="00031A70">
        <w:t>6</w:t>
      </w:r>
      <w:r>
        <w:t xml:space="preserve">3/MWh </w:t>
      </w:r>
      <w:r w:rsidR="00031A70">
        <w:t xml:space="preserve">at 5.35 pm </w:t>
      </w:r>
      <w:r>
        <w:t xml:space="preserve">to $1413/MWh at 5.55 pm. </w:t>
      </w:r>
      <w:proofErr w:type="gramStart"/>
      <w:r>
        <w:t xml:space="preserve">At 6 pm </w:t>
      </w:r>
      <w:r w:rsidR="006300B0">
        <w:t>demand decease</w:t>
      </w:r>
      <w:r w:rsidR="006300B0">
        <w:t>d by</w:t>
      </w:r>
      <w:r w:rsidR="006300B0">
        <w:t xml:space="preserve"> </w:t>
      </w:r>
      <w:r>
        <w:t>76 MW and prices returned to previous levels.</w:t>
      </w:r>
      <w:proofErr w:type="gramEnd"/>
    </w:p>
    <w:p w:rsidR="0090732D" w:rsidRDefault="0090732D" w:rsidP="00445145">
      <w:pPr>
        <w:spacing w:after="120"/>
      </w:pPr>
    </w:p>
    <w:p w:rsidR="00031A70" w:rsidRPr="00BD63D1" w:rsidRDefault="00031A70" w:rsidP="00031A70">
      <w:pPr>
        <w:pStyle w:val="Caption"/>
      </w:pPr>
      <w:r>
        <w:t>Table 5</w:t>
      </w:r>
      <w:r w:rsidRPr="00FE47BB">
        <w:t xml:space="preserve">: </w:t>
      </w:r>
      <w:r>
        <w:t>Queensland</w:t>
      </w:r>
      <w:r w:rsidRPr="00FE47BB">
        <w:t xml:space="preserve">, </w:t>
      </w:r>
      <w:r>
        <w:t>Thursday</w:t>
      </w:r>
      <w:r w:rsidRPr="00E77E9F">
        <w:t xml:space="preserve"> </w:t>
      </w:r>
      <w:r>
        <w:t>1 May for the 6 pm trading interval</w:t>
      </w:r>
    </w:p>
    <w:tbl>
      <w:tblPr>
        <w:tblW w:w="9451" w:type="dxa"/>
        <w:tblInd w:w="107" w:type="dxa"/>
        <w:tblBorders>
          <w:top w:val="single" w:sz="8" w:space="0" w:color="7BA0CD"/>
          <w:bottom w:val="single" w:sz="8" w:space="0" w:color="7BA0CD"/>
        </w:tblBorders>
        <w:tblLayout w:type="fixed"/>
        <w:tblLook w:val="04A0" w:firstRow="1" w:lastRow="0" w:firstColumn="1" w:lastColumn="0" w:noHBand="0" w:noVBand="1"/>
      </w:tblPr>
      <w:tblGrid>
        <w:gridCol w:w="1161"/>
        <w:gridCol w:w="882"/>
        <w:gridCol w:w="1274"/>
        <w:gridCol w:w="798"/>
        <w:gridCol w:w="851"/>
        <w:gridCol w:w="850"/>
        <w:gridCol w:w="3635"/>
      </w:tblGrid>
      <w:tr w:rsidR="00031A70" w:rsidRPr="009A7C33" w:rsidTr="00D24811">
        <w:trPr>
          <w:tblHeader/>
        </w:trPr>
        <w:tc>
          <w:tcPr>
            <w:tcW w:w="2043" w:type="dxa"/>
            <w:gridSpan w:val="2"/>
            <w:tcBorders>
              <w:top w:val="single" w:sz="4" w:space="0" w:color="auto"/>
              <w:left w:val="single" w:sz="4" w:space="0" w:color="auto"/>
              <w:bottom w:val="nil"/>
            </w:tcBorders>
            <w:shd w:val="clear" w:color="auto" w:fill="4A442A"/>
            <w:noWrap/>
          </w:tcPr>
          <w:p w:rsidR="00031A70" w:rsidRPr="00D651E1" w:rsidRDefault="00031A70" w:rsidP="00D24811">
            <w:pPr>
              <w:autoSpaceDE w:val="0"/>
              <w:autoSpaceDN w:val="0"/>
              <w:adjustRightInd w:val="0"/>
              <w:spacing w:before="100" w:after="100"/>
              <w:rPr>
                <w:b/>
                <w:bCs/>
                <w:color w:val="FFFFFF"/>
                <w:sz w:val="18"/>
                <w:szCs w:val="18"/>
              </w:rPr>
            </w:pPr>
            <w:r>
              <w:rPr>
                <w:b/>
                <w:bCs/>
                <w:color w:val="FFFFFF"/>
                <w:sz w:val="18"/>
                <w:szCs w:val="18"/>
              </w:rPr>
              <w:t>Time</w:t>
            </w:r>
          </w:p>
        </w:tc>
        <w:tc>
          <w:tcPr>
            <w:tcW w:w="1274" w:type="dxa"/>
            <w:tcBorders>
              <w:top w:val="single" w:sz="4" w:space="0" w:color="auto"/>
              <w:bottom w:val="nil"/>
            </w:tcBorders>
            <w:shd w:val="clear" w:color="auto" w:fill="4A442A"/>
            <w:noWrap/>
          </w:tcPr>
          <w:p w:rsidR="00031A70" w:rsidRPr="004774F6" w:rsidRDefault="00031A70" w:rsidP="00D24811">
            <w:pPr>
              <w:autoSpaceDE w:val="0"/>
              <w:autoSpaceDN w:val="0"/>
              <w:adjustRightInd w:val="0"/>
              <w:spacing w:before="100" w:after="100"/>
              <w:jc w:val="center"/>
              <w:rPr>
                <w:b/>
                <w:bCs/>
                <w:color w:val="FFFFFF"/>
                <w:sz w:val="18"/>
                <w:szCs w:val="18"/>
              </w:rPr>
            </w:pPr>
            <w:r w:rsidRPr="004774F6">
              <w:rPr>
                <w:b/>
                <w:bCs/>
                <w:color w:val="FFFFFF"/>
                <w:sz w:val="18"/>
                <w:szCs w:val="18"/>
              </w:rPr>
              <w:t>Participant</w:t>
            </w:r>
          </w:p>
        </w:tc>
        <w:tc>
          <w:tcPr>
            <w:tcW w:w="6134" w:type="dxa"/>
            <w:gridSpan w:val="4"/>
            <w:tcBorders>
              <w:top w:val="single" w:sz="4" w:space="0" w:color="auto"/>
              <w:bottom w:val="nil"/>
            </w:tcBorders>
            <w:shd w:val="clear" w:color="auto" w:fill="4A442A"/>
          </w:tcPr>
          <w:p w:rsidR="00031A70" w:rsidRPr="00D651E1" w:rsidDel="0074250B" w:rsidRDefault="00031A70" w:rsidP="00031A70">
            <w:pPr>
              <w:autoSpaceDE w:val="0"/>
              <w:autoSpaceDN w:val="0"/>
              <w:adjustRightInd w:val="0"/>
              <w:spacing w:before="100" w:after="100"/>
              <w:jc w:val="center"/>
              <w:rPr>
                <w:b/>
                <w:bCs/>
                <w:color w:val="FFFFFF"/>
                <w:sz w:val="18"/>
                <w:szCs w:val="18"/>
              </w:rPr>
            </w:pPr>
            <w:r>
              <w:rPr>
                <w:b/>
                <w:bCs/>
                <w:color w:val="FFFFFF"/>
                <w:sz w:val="18"/>
                <w:szCs w:val="18"/>
              </w:rPr>
              <w:t>Rebid</w:t>
            </w:r>
            <w:r w:rsidRPr="00D651E1">
              <w:rPr>
                <w:b/>
                <w:bCs/>
                <w:color w:val="FFFFFF"/>
                <w:sz w:val="18"/>
                <w:szCs w:val="18"/>
              </w:rPr>
              <w:t xml:space="preserve"> </w:t>
            </w:r>
            <w:r w:rsidRPr="004774F6">
              <w:rPr>
                <w:b/>
                <w:bCs/>
                <w:color w:val="FFFFFF"/>
                <w:sz w:val="18"/>
                <w:szCs w:val="18"/>
              </w:rPr>
              <w:t>($</w:t>
            </w:r>
            <w:r w:rsidRPr="004774F6">
              <w:rPr>
                <w:color w:val="FFFFFF"/>
              </w:rPr>
              <w:t>/MWh</w:t>
            </w:r>
            <w:r w:rsidRPr="004774F6">
              <w:rPr>
                <w:b/>
                <w:bCs/>
                <w:color w:val="FFFFFF"/>
                <w:sz w:val="18"/>
                <w:szCs w:val="18"/>
              </w:rPr>
              <w:t>)</w:t>
            </w:r>
          </w:p>
        </w:tc>
      </w:tr>
      <w:tr w:rsidR="00031A70" w:rsidRPr="00A25B78" w:rsidTr="00D24811">
        <w:trPr>
          <w:tblHeader/>
        </w:trPr>
        <w:tc>
          <w:tcPr>
            <w:tcW w:w="1161" w:type="dxa"/>
            <w:tcBorders>
              <w:top w:val="nil"/>
              <w:left w:val="single" w:sz="6" w:space="0" w:color="auto"/>
              <w:bottom w:val="single" w:sz="4" w:space="0" w:color="auto"/>
              <w:right w:val="nil"/>
            </w:tcBorders>
            <w:shd w:val="clear" w:color="auto" w:fill="DDD9C3"/>
            <w:noWrap/>
            <w:tcMar>
              <w:left w:w="57" w:type="dxa"/>
              <w:right w:w="57" w:type="dxa"/>
            </w:tcMar>
          </w:tcPr>
          <w:p w:rsidR="00031A70" w:rsidRPr="00D651E1" w:rsidRDefault="00031A70" w:rsidP="00D24811">
            <w:pPr>
              <w:autoSpaceDE w:val="0"/>
              <w:autoSpaceDN w:val="0"/>
              <w:adjustRightInd w:val="0"/>
              <w:spacing w:before="100" w:after="100"/>
              <w:jc w:val="center"/>
              <w:rPr>
                <w:b/>
                <w:bCs/>
                <w:color w:val="000000"/>
                <w:sz w:val="18"/>
                <w:szCs w:val="18"/>
              </w:rPr>
            </w:pPr>
            <w:r>
              <w:rPr>
                <w:b/>
                <w:bCs/>
                <w:color w:val="000000"/>
                <w:sz w:val="18"/>
                <w:szCs w:val="18"/>
              </w:rPr>
              <w:t>Submitted</w:t>
            </w:r>
          </w:p>
        </w:tc>
        <w:tc>
          <w:tcPr>
            <w:tcW w:w="882" w:type="dxa"/>
            <w:tcBorders>
              <w:top w:val="nil"/>
              <w:left w:val="nil"/>
              <w:bottom w:val="single" w:sz="4" w:space="0" w:color="auto"/>
              <w:right w:val="single" w:sz="4" w:space="0" w:color="auto"/>
            </w:tcBorders>
            <w:shd w:val="clear" w:color="auto" w:fill="DDD9C3"/>
            <w:noWrap/>
            <w:tcMar>
              <w:left w:w="57" w:type="dxa"/>
              <w:right w:w="57" w:type="dxa"/>
            </w:tcMar>
          </w:tcPr>
          <w:p w:rsidR="00031A70" w:rsidRPr="00D651E1" w:rsidRDefault="00031A70" w:rsidP="00D24811">
            <w:pPr>
              <w:autoSpaceDE w:val="0"/>
              <w:autoSpaceDN w:val="0"/>
              <w:adjustRightInd w:val="0"/>
              <w:spacing w:before="100" w:after="100"/>
              <w:jc w:val="center"/>
              <w:rPr>
                <w:b/>
                <w:bCs/>
                <w:color w:val="000000"/>
                <w:sz w:val="18"/>
                <w:szCs w:val="18"/>
              </w:rPr>
            </w:pPr>
            <w:r>
              <w:rPr>
                <w:b/>
                <w:bCs/>
                <w:color w:val="000000"/>
                <w:sz w:val="18"/>
                <w:szCs w:val="18"/>
              </w:rPr>
              <w:t>Effective</w:t>
            </w:r>
          </w:p>
        </w:tc>
        <w:tc>
          <w:tcPr>
            <w:tcW w:w="1274" w:type="dxa"/>
            <w:tcBorders>
              <w:top w:val="nil"/>
              <w:left w:val="single" w:sz="4" w:space="0" w:color="auto"/>
              <w:bottom w:val="single" w:sz="4" w:space="0" w:color="auto"/>
              <w:right w:val="single" w:sz="4" w:space="0" w:color="auto"/>
            </w:tcBorders>
            <w:shd w:val="clear" w:color="auto" w:fill="DDD9C3"/>
            <w:noWrap/>
            <w:tcMar>
              <w:left w:w="57" w:type="dxa"/>
              <w:right w:w="57" w:type="dxa"/>
            </w:tcMar>
          </w:tcPr>
          <w:p w:rsidR="00031A70" w:rsidRPr="00D651E1" w:rsidRDefault="00031A70" w:rsidP="00D24811">
            <w:pPr>
              <w:autoSpaceDE w:val="0"/>
              <w:autoSpaceDN w:val="0"/>
              <w:adjustRightInd w:val="0"/>
              <w:spacing w:before="100" w:after="100"/>
              <w:jc w:val="center"/>
              <w:rPr>
                <w:b/>
                <w:bCs/>
                <w:color w:val="000000"/>
                <w:sz w:val="18"/>
                <w:szCs w:val="18"/>
              </w:rPr>
            </w:pPr>
          </w:p>
        </w:tc>
        <w:tc>
          <w:tcPr>
            <w:tcW w:w="798" w:type="dxa"/>
            <w:tcBorders>
              <w:top w:val="nil"/>
              <w:left w:val="single" w:sz="4" w:space="0" w:color="auto"/>
              <w:bottom w:val="single" w:sz="4" w:space="0" w:color="auto"/>
              <w:right w:val="nil"/>
            </w:tcBorders>
            <w:shd w:val="clear" w:color="auto" w:fill="DDD9C3"/>
            <w:noWrap/>
            <w:tcMar>
              <w:left w:w="57" w:type="dxa"/>
              <w:right w:w="57" w:type="dxa"/>
            </w:tcMar>
          </w:tcPr>
          <w:p w:rsidR="00031A70" w:rsidRPr="00D651E1" w:rsidRDefault="00031A70" w:rsidP="00D24811">
            <w:pPr>
              <w:autoSpaceDE w:val="0"/>
              <w:autoSpaceDN w:val="0"/>
              <w:adjustRightInd w:val="0"/>
              <w:spacing w:before="100" w:after="100"/>
              <w:jc w:val="center"/>
              <w:rPr>
                <w:b/>
                <w:bCs/>
                <w:color w:val="000000"/>
                <w:sz w:val="18"/>
                <w:szCs w:val="18"/>
              </w:rPr>
            </w:pPr>
            <w:r>
              <w:rPr>
                <w:b/>
                <w:bCs/>
                <w:color w:val="000000"/>
                <w:sz w:val="18"/>
                <w:szCs w:val="18"/>
              </w:rPr>
              <w:t>Volume</w:t>
            </w:r>
            <w:r>
              <w:rPr>
                <w:b/>
                <w:bCs/>
                <w:color w:val="000000"/>
                <w:sz w:val="18"/>
                <w:szCs w:val="18"/>
              </w:rPr>
              <w:br/>
              <w:t>(MW)</w:t>
            </w:r>
          </w:p>
        </w:tc>
        <w:tc>
          <w:tcPr>
            <w:tcW w:w="851" w:type="dxa"/>
            <w:tcBorders>
              <w:top w:val="nil"/>
              <w:left w:val="nil"/>
              <w:bottom w:val="single" w:sz="4" w:space="0" w:color="auto"/>
              <w:right w:val="nil"/>
            </w:tcBorders>
            <w:shd w:val="clear" w:color="auto" w:fill="DDD9C3"/>
            <w:tcMar>
              <w:left w:w="57" w:type="dxa"/>
              <w:right w:w="57" w:type="dxa"/>
            </w:tcMar>
          </w:tcPr>
          <w:p w:rsidR="00031A70" w:rsidRPr="00D651E1" w:rsidRDefault="00031A70" w:rsidP="00D24811">
            <w:pPr>
              <w:autoSpaceDE w:val="0"/>
              <w:autoSpaceDN w:val="0"/>
              <w:adjustRightInd w:val="0"/>
              <w:spacing w:before="100" w:after="100"/>
              <w:jc w:val="center"/>
              <w:rPr>
                <w:b/>
                <w:bCs/>
                <w:color w:val="000000"/>
                <w:sz w:val="18"/>
                <w:szCs w:val="18"/>
              </w:rPr>
            </w:pPr>
            <w:r>
              <w:rPr>
                <w:b/>
                <w:bCs/>
                <w:color w:val="000000"/>
                <w:sz w:val="18"/>
                <w:szCs w:val="18"/>
              </w:rPr>
              <w:t>From</w:t>
            </w:r>
            <w:r>
              <w:rPr>
                <w:b/>
                <w:bCs/>
                <w:color w:val="000000"/>
                <w:sz w:val="18"/>
                <w:szCs w:val="18"/>
              </w:rPr>
              <w:br/>
            </w:r>
            <w:r w:rsidRPr="00A25B78">
              <w:rPr>
                <w:b/>
                <w:bCs/>
                <w:color w:val="000000"/>
                <w:sz w:val="18"/>
                <w:szCs w:val="18"/>
              </w:rPr>
              <w:t>($/MWh)</w:t>
            </w:r>
          </w:p>
        </w:tc>
        <w:tc>
          <w:tcPr>
            <w:tcW w:w="850" w:type="dxa"/>
            <w:tcBorders>
              <w:top w:val="nil"/>
              <w:left w:val="nil"/>
              <w:bottom w:val="single" w:sz="4" w:space="0" w:color="auto"/>
              <w:right w:val="single" w:sz="6" w:space="0" w:color="auto"/>
            </w:tcBorders>
            <w:shd w:val="clear" w:color="auto" w:fill="DDD9C3"/>
            <w:tcMar>
              <w:left w:w="57" w:type="dxa"/>
              <w:right w:w="57" w:type="dxa"/>
            </w:tcMar>
          </w:tcPr>
          <w:p w:rsidR="00031A70" w:rsidRPr="00D651E1" w:rsidRDefault="00031A70" w:rsidP="00D24811">
            <w:pPr>
              <w:autoSpaceDE w:val="0"/>
              <w:autoSpaceDN w:val="0"/>
              <w:adjustRightInd w:val="0"/>
              <w:spacing w:before="100" w:after="100"/>
              <w:jc w:val="center"/>
              <w:rPr>
                <w:b/>
                <w:bCs/>
                <w:color w:val="000000"/>
                <w:sz w:val="18"/>
                <w:szCs w:val="18"/>
              </w:rPr>
            </w:pPr>
            <w:r>
              <w:rPr>
                <w:b/>
                <w:bCs/>
                <w:color w:val="000000"/>
                <w:sz w:val="18"/>
                <w:szCs w:val="18"/>
              </w:rPr>
              <w:t>To</w:t>
            </w:r>
            <w:r>
              <w:rPr>
                <w:b/>
                <w:bCs/>
                <w:color w:val="000000"/>
                <w:sz w:val="18"/>
                <w:szCs w:val="18"/>
              </w:rPr>
              <w:br/>
            </w:r>
            <w:r w:rsidRPr="00A25B78">
              <w:rPr>
                <w:b/>
                <w:bCs/>
                <w:color w:val="000000"/>
                <w:sz w:val="18"/>
                <w:szCs w:val="18"/>
              </w:rPr>
              <w:t>($/MWh)</w:t>
            </w:r>
          </w:p>
        </w:tc>
        <w:tc>
          <w:tcPr>
            <w:tcW w:w="3635" w:type="dxa"/>
            <w:tcBorders>
              <w:top w:val="nil"/>
              <w:left w:val="nil"/>
              <w:bottom w:val="single" w:sz="4" w:space="0" w:color="auto"/>
              <w:right w:val="single" w:sz="6" w:space="0" w:color="auto"/>
            </w:tcBorders>
            <w:shd w:val="clear" w:color="auto" w:fill="DDD9C3"/>
            <w:tcMar>
              <w:left w:w="57" w:type="dxa"/>
              <w:right w:w="57" w:type="dxa"/>
            </w:tcMar>
          </w:tcPr>
          <w:p w:rsidR="00031A70" w:rsidRPr="00D651E1" w:rsidRDefault="00031A70" w:rsidP="00D24811">
            <w:pPr>
              <w:autoSpaceDE w:val="0"/>
              <w:autoSpaceDN w:val="0"/>
              <w:adjustRightInd w:val="0"/>
              <w:spacing w:before="100" w:after="100"/>
              <w:jc w:val="center"/>
              <w:rPr>
                <w:b/>
                <w:bCs/>
                <w:color w:val="000000"/>
                <w:sz w:val="18"/>
                <w:szCs w:val="18"/>
              </w:rPr>
            </w:pPr>
            <w:r>
              <w:rPr>
                <w:b/>
                <w:bCs/>
                <w:color w:val="000000"/>
                <w:sz w:val="18"/>
                <w:szCs w:val="18"/>
              </w:rPr>
              <w:t>Reason</w:t>
            </w:r>
          </w:p>
        </w:tc>
      </w:tr>
      <w:tr w:rsidR="00031A70" w:rsidRPr="0037508F" w:rsidTr="00D24811">
        <w:tc>
          <w:tcPr>
            <w:tcW w:w="1161" w:type="dxa"/>
            <w:tcBorders>
              <w:top w:val="single" w:sz="4" w:space="0" w:color="auto"/>
              <w:left w:val="single" w:sz="6" w:space="0" w:color="auto"/>
              <w:bottom w:val="nil"/>
              <w:right w:val="nil"/>
            </w:tcBorders>
            <w:shd w:val="clear" w:color="auto" w:fill="EEECE1"/>
            <w:noWrap/>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5.12 </w:t>
            </w:r>
            <w:r w:rsidRPr="0037508F">
              <w:rPr>
                <w:bCs/>
                <w:color w:val="000000"/>
                <w:sz w:val="18"/>
                <w:szCs w:val="18"/>
              </w:rPr>
              <w:t>pm</w:t>
            </w:r>
          </w:p>
        </w:tc>
        <w:tc>
          <w:tcPr>
            <w:tcW w:w="882" w:type="dxa"/>
            <w:tcBorders>
              <w:top w:val="single" w:sz="4" w:space="0" w:color="auto"/>
              <w:left w:val="nil"/>
              <w:bottom w:val="nil"/>
              <w:right w:val="single" w:sz="4" w:space="0" w:color="auto"/>
            </w:tcBorders>
            <w:shd w:val="clear" w:color="auto" w:fill="EEECE1"/>
            <w:noWrap/>
            <w:tcMar>
              <w:left w:w="57" w:type="dxa"/>
              <w:right w:w="57" w:type="dxa"/>
            </w:tcMar>
          </w:tcPr>
          <w:p w:rsidR="00031A70" w:rsidRPr="0037508F" w:rsidRDefault="00031A70" w:rsidP="00031A70">
            <w:pPr>
              <w:autoSpaceDE w:val="0"/>
              <w:autoSpaceDN w:val="0"/>
              <w:adjustRightInd w:val="0"/>
              <w:spacing w:before="100" w:after="100"/>
              <w:jc w:val="center"/>
              <w:rPr>
                <w:bCs/>
                <w:color w:val="000000"/>
                <w:sz w:val="18"/>
                <w:szCs w:val="18"/>
              </w:rPr>
            </w:pPr>
            <w:r>
              <w:rPr>
                <w:bCs/>
                <w:color w:val="000000"/>
                <w:sz w:val="18"/>
                <w:szCs w:val="18"/>
              </w:rPr>
              <w:t>5</w:t>
            </w:r>
            <w:r w:rsidRPr="0037508F">
              <w:rPr>
                <w:bCs/>
                <w:color w:val="000000"/>
                <w:sz w:val="18"/>
                <w:szCs w:val="18"/>
              </w:rPr>
              <w:t>.</w:t>
            </w:r>
            <w:r>
              <w:rPr>
                <w:bCs/>
                <w:color w:val="000000"/>
                <w:sz w:val="18"/>
                <w:szCs w:val="18"/>
              </w:rPr>
              <w:t>35 </w:t>
            </w:r>
            <w:r w:rsidRPr="0037508F">
              <w:rPr>
                <w:bCs/>
                <w:color w:val="000000"/>
                <w:sz w:val="18"/>
                <w:szCs w:val="18"/>
              </w:rPr>
              <w:t>pm</w:t>
            </w:r>
          </w:p>
        </w:tc>
        <w:tc>
          <w:tcPr>
            <w:tcW w:w="1274" w:type="dxa"/>
            <w:tcBorders>
              <w:top w:val="single" w:sz="4" w:space="0" w:color="auto"/>
              <w:left w:val="single" w:sz="4" w:space="0" w:color="auto"/>
              <w:bottom w:val="nil"/>
              <w:right w:val="single" w:sz="4" w:space="0" w:color="auto"/>
            </w:tcBorders>
            <w:shd w:val="clear" w:color="auto" w:fill="EEECE1"/>
            <w:noWrap/>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sidRPr="0037508F">
              <w:rPr>
                <w:bCs/>
                <w:color w:val="000000"/>
                <w:sz w:val="18"/>
                <w:szCs w:val="18"/>
              </w:rPr>
              <w:t>CS Energy</w:t>
            </w:r>
            <w:r>
              <w:rPr>
                <w:bCs/>
                <w:color w:val="000000"/>
                <w:sz w:val="18"/>
                <w:szCs w:val="18"/>
              </w:rPr>
              <w:t>/ Gladstone</w:t>
            </w:r>
          </w:p>
        </w:tc>
        <w:tc>
          <w:tcPr>
            <w:tcW w:w="798" w:type="dxa"/>
            <w:tcBorders>
              <w:top w:val="single" w:sz="4" w:space="0" w:color="auto"/>
              <w:left w:val="single" w:sz="4" w:space="0" w:color="auto"/>
              <w:bottom w:val="nil"/>
              <w:right w:val="nil"/>
            </w:tcBorders>
            <w:shd w:val="clear" w:color="auto" w:fill="EEECE1"/>
            <w:noWrap/>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250</w:t>
            </w:r>
          </w:p>
        </w:tc>
        <w:tc>
          <w:tcPr>
            <w:tcW w:w="851" w:type="dxa"/>
            <w:tcBorders>
              <w:top w:val="single" w:sz="4" w:space="0" w:color="auto"/>
              <w:left w:val="nil"/>
              <w:bottom w:val="nil"/>
              <w:right w:val="nil"/>
            </w:tcBorders>
            <w:shd w:val="clear" w:color="auto" w:fill="EEECE1"/>
            <w:tcMar>
              <w:left w:w="57" w:type="dxa"/>
              <w:right w:w="57" w:type="dxa"/>
            </w:tcMar>
          </w:tcPr>
          <w:p w:rsidR="00031A70" w:rsidRPr="00A25B78" w:rsidRDefault="00031A70" w:rsidP="00D24811">
            <w:pPr>
              <w:autoSpaceDE w:val="0"/>
              <w:autoSpaceDN w:val="0"/>
              <w:adjustRightInd w:val="0"/>
              <w:spacing w:before="100" w:after="100"/>
              <w:jc w:val="center"/>
              <w:rPr>
                <w:bCs/>
                <w:color w:val="000000"/>
                <w:sz w:val="18"/>
                <w:szCs w:val="18"/>
              </w:rPr>
            </w:pPr>
            <w:r>
              <w:rPr>
                <w:bCs/>
                <w:color w:val="000000"/>
                <w:sz w:val="18"/>
                <w:szCs w:val="18"/>
              </w:rPr>
              <w:t>&lt;</w:t>
            </w:r>
            <w:r w:rsidRPr="00A25B78">
              <w:rPr>
                <w:bCs/>
                <w:color w:val="000000"/>
                <w:sz w:val="18"/>
                <w:szCs w:val="18"/>
              </w:rPr>
              <w:t>60</w:t>
            </w:r>
          </w:p>
        </w:tc>
        <w:tc>
          <w:tcPr>
            <w:tcW w:w="850" w:type="dxa"/>
            <w:tcBorders>
              <w:top w:val="single" w:sz="4" w:space="0" w:color="auto"/>
              <w:left w:val="nil"/>
              <w:bottom w:val="nil"/>
              <w:right w:val="single" w:sz="6" w:space="0" w:color="auto"/>
            </w:tcBorders>
            <w:shd w:val="clear" w:color="auto" w:fill="EEECE1"/>
            <w:tcMar>
              <w:left w:w="57" w:type="dxa"/>
              <w:right w:w="57" w:type="dxa"/>
            </w:tcMar>
          </w:tcPr>
          <w:p w:rsidR="00031A70" w:rsidRPr="00A25B78" w:rsidRDefault="00031A70" w:rsidP="00D24811">
            <w:pPr>
              <w:autoSpaceDE w:val="0"/>
              <w:autoSpaceDN w:val="0"/>
              <w:adjustRightInd w:val="0"/>
              <w:spacing w:before="100" w:after="100"/>
              <w:jc w:val="center"/>
              <w:rPr>
                <w:bCs/>
                <w:color w:val="000000"/>
                <w:sz w:val="18"/>
                <w:szCs w:val="18"/>
              </w:rPr>
            </w:pPr>
            <w:r>
              <w:rPr>
                <w:bCs/>
                <w:color w:val="000000"/>
                <w:sz w:val="18"/>
                <w:szCs w:val="18"/>
              </w:rPr>
              <w:t>&gt;</w:t>
            </w:r>
            <w:r w:rsidRPr="00A25B78">
              <w:rPr>
                <w:bCs/>
                <w:color w:val="000000"/>
                <w:sz w:val="18"/>
                <w:szCs w:val="18"/>
              </w:rPr>
              <w:t>12 </w:t>
            </w:r>
            <w:r>
              <w:rPr>
                <w:bCs/>
                <w:color w:val="000000"/>
                <w:sz w:val="18"/>
                <w:szCs w:val="18"/>
              </w:rPr>
              <w:t>7</w:t>
            </w:r>
            <w:r w:rsidRPr="00A25B78">
              <w:rPr>
                <w:bCs/>
                <w:color w:val="000000"/>
                <w:sz w:val="18"/>
                <w:szCs w:val="18"/>
              </w:rPr>
              <w:t>00</w:t>
            </w:r>
          </w:p>
        </w:tc>
        <w:tc>
          <w:tcPr>
            <w:tcW w:w="3635" w:type="dxa"/>
            <w:tcBorders>
              <w:top w:val="single" w:sz="4" w:space="0" w:color="auto"/>
              <w:left w:val="nil"/>
              <w:bottom w:val="nil"/>
              <w:right w:val="single" w:sz="6" w:space="0" w:color="auto"/>
            </w:tcBorders>
            <w:shd w:val="clear" w:color="auto" w:fill="EEECE1"/>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sidRPr="00031A70">
              <w:rPr>
                <w:bCs/>
                <w:color w:val="000000"/>
                <w:sz w:val="18"/>
                <w:szCs w:val="18"/>
              </w:rPr>
              <w:t xml:space="preserve">1711P portfolio rearrangement due to-Wivenhoe 1 </w:t>
            </w:r>
            <w:proofErr w:type="spellStart"/>
            <w:r w:rsidRPr="00031A70">
              <w:rPr>
                <w:bCs/>
                <w:color w:val="000000"/>
                <w:sz w:val="18"/>
                <w:szCs w:val="18"/>
              </w:rPr>
              <w:t>rts</w:t>
            </w:r>
            <w:proofErr w:type="spellEnd"/>
            <w:r w:rsidRPr="00031A70">
              <w:rPr>
                <w:bCs/>
                <w:color w:val="000000"/>
                <w:sz w:val="18"/>
                <w:szCs w:val="18"/>
              </w:rPr>
              <w:t>-SL</w:t>
            </w:r>
          </w:p>
        </w:tc>
      </w:tr>
      <w:tr w:rsidR="00031A70" w:rsidRPr="0037508F" w:rsidTr="00031A70">
        <w:tc>
          <w:tcPr>
            <w:tcW w:w="1161" w:type="dxa"/>
            <w:tcBorders>
              <w:top w:val="nil"/>
              <w:left w:val="single" w:sz="6" w:space="0" w:color="auto"/>
              <w:bottom w:val="nil"/>
              <w:right w:val="nil"/>
            </w:tcBorders>
            <w:shd w:val="clear" w:color="auto" w:fill="EEECE1"/>
            <w:noWrap/>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5.18 </w:t>
            </w:r>
            <w:r w:rsidRPr="00A25B78">
              <w:rPr>
                <w:bCs/>
                <w:color w:val="000000"/>
                <w:sz w:val="18"/>
                <w:szCs w:val="18"/>
              </w:rPr>
              <w:t>pm</w:t>
            </w:r>
          </w:p>
        </w:tc>
        <w:tc>
          <w:tcPr>
            <w:tcW w:w="882" w:type="dxa"/>
            <w:tcBorders>
              <w:top w:val="nil"/>
              <w:left w:val="nil"/>
              <w:bottom w:val="nil"/>
              <w:right w:val="single" w:sz="4" w:space="0" w:color="auto"/>
            </w:tcBorders>
            <w:shd w:val="clear" w:color="auto" w:fill="EEECE1"/>
            <w:noWrap/>
            <w:tcMar>
              <w:left w:w="57" w:type="dxa"/>
              <w:right w:w="57" w:type="dxa"/>
            </w:tcMar>
          </w:tcPr>
          <w:p w:rsidR="00031A70" w:rsidRPr="0037508F" w:rsidRDefault="00031A70" w:rsidP="00031A70">
            <w:pPr>
              <w:autoSpaceDE w:val="0"/>
              <w:autoSpaceDN w:val="0"/>
              <w:adjustRightInd w:val="0"/>
              <w:spacing w:before="100" w:after="100"/>
              <w:jc w:val="center"/>
              <w:rPr>
                <w:bCs/>
                <w:color w:val="000000"/>
                <w:sz w:val="18"/>
                <w:szCs w:val="18"/>
              </w:rPr>
            </w:pPr>
            <w:r>
              <w:rPr>
                <w:bCs/>
                <w:color w:val="000000"/>
                <w:sz w:val="18"/>
                <w:szCs w:val="18"/>
              </w:rPr>
              <w:t>5.35 </w:t>
            </w:r>
            <w:r w:rsidRPr="00A25B78">
              <w:rPr>
                <w:bCs/>
                <w:color w:val="000000"/>
                <w:sz w:val="18"/>
                <w:szCs w:val="18"/>
              </w:rPr>
              <w:t>pm</w:t>
            </w:r>
          </w:p>
        </w:tc>
        <w:tc>
          <w:tcPr>
            <w:tcW w:w="1274" w:type="dxa"/>
            <w:tcBorders>
              <w:top w:val="nil"/>
              <w:left w:val="single" w:sz="4" w:space="0" w:color="auto"/>
              <w:bottom w:val="nil"/>
              <w:right w:val="single" w:sz="4" w:space="0" w:color="auto"/>
            </w:tcBorders>
            <w:shd w:val="clear" w:color="auto" w:fill="EEECE1"/>
            <w:noWrap/>
            <w:tcMar>
              <w:left w:w="57" w:type="dxa"/>
              <w:right w:w="57" w:type="dxa"/>
            </w:tcMar>
          </w:tcPr>
          <w:p w:rsidR="00031A70" w:rsidRPr="0037508F" w:rsidRDefault="00031A70" w:rsidP="00031A70">
            <w:pPr>
              <w:autoSpaceDE w:val="0"/>
              <w:autoSpaceDN w:val="0"/>
              <w:adjustRightInd w:val="0"/>
              <w:spacing w:before="100" w:after="100"/>
              <w:jc w:val="center"/>
              <w:rPr>
                <w:bCs/>
                <w:color w:val="000000"/>
                <w:sz w:val="18"/>
                <w:szCs w:val="18"/>
              </w:rPr>
            </w:pPr>
            <w:r w:rsidRPr="0037508F">
              <w:rPr>
                <w:bCs/>
                <w:color w:val="000000"/>
                <w:sz w:val="18"/>
                <w:szCs w:val="18"/>
              </w:rPr>
              <w:t>CS Energy</w:t>
            </w:r>
            <w:r>
              <w:rPr>
                <w:bCs/>
                <w:color w:val="000000"/>
                <w:sz w:val="18"/>
                <w:szCs w:val="18"/>
              </w:rPr>
              <w:t xml:space="preserve"> / Wivenhoe</w:t>
            </w:r>
          </w:p>
        </w:tc>
        <w:tc>
          <w:tcPr>
            <w:tcW w:w="798" w:type="dxa"/>
            <w:tcBorders>
              <w:top w:val="nil"/>
              <w:left w:val="single" w:sz="4" w:space="0" w:color="auto"/>
              <w:bottom w:val="nil"/>
              <w:right w:val="nil"/>
            </w:tcBorders>
            <w:shd w:val="clear" w:color="auto" w:fill="EEECE1"/>
            <w:noWrap/>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250</w:t>
            </w:r>
          </w:p>
        </w:tc>
        <w:tc>
          <w:tcPr>
            <w:tcW w:w="851" w:type="dxa"/>
            <w:tcBorders>
              <w:top w:val="nil"/>
              <w:left w:val="nil"/>
              <w:bottom w:val="nil"/>
              <w:right w:val="nil"/>
            </w:tcBorders>
            <w:shd w:val="clear" w:color="auto" w:fill="EEECE1"/>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&lt;50</w:t>
            </w:r>
          </w:p>
        </w:tc>
        <w:tc>
          <w:tcPr>
            <w:tcW w:w="850" w:type="dxa"/>
            <w:tcBorders>
              <w:top w:val="nil"/>
              <w:left w:val="nil"/>
              <w:bottom w:val="nil"/>
              <w:right w:val="single" w:sz="6" w:space="0" w:color="auto"/>
            </w:tcBorders>
            <w:shd w:val="clear" w:color="auto" w:fill="EEECE1"/>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12 700</w:t>
            </w:r>
          </w:p>
        </w:tc>
        <w:tc>
          <w:tcPr>
            <w:tcW w:w="3635" w:type="dxa"/>
            <w:tcBorders>
              <w:top w:val="nil"/>
              <w:left w:val="nil"/>
              <w:bottom w:val="nil"/>
              <w:right w:val="single" w:sz="6" w:space="0" w:color="auto"/>
            </w:tcBorders>
            <w:shd w:val="clear" w:color="auto" w:fill="EEECE1"/>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sidRPr="00031A70">
              <w:rPr>
                <w:bCs/>
                <w:color w:val="000000"/>
                <w:sz w:val="18"/>
                <w:szCs w:val="18"/>
              </w:rPr>
              <w:t xml:space="preserve">1718P portfolio rearrangement due to-Oakey and </w:t>
            </w:r>
            <w:proofErr w:type="spellStart"/>
            <w:r w:rsidRPr="00031A70">
              <w:rPr>
                <w:bCs/>
                <w:color w:val="000000"/>
                <w:sz w:val="18"/>
                <w:szCs w:val="18"/>
              </w:rPr>
              <w:t>MtStuart</w:t>
            </w:r>
            <w:proofErr w:type="spellEnd"/>
            <w:r w:rsidRPr="00031A70">
              <w:rPr>
                <w:bCs/>
                <w:color w:val="000000"/>
                <w:sz w:val="18"/>
                <w:szCs w:val="18"/>
              </w:rPr>
              <w:t xml:space="preserve"> 2 run –SL</w:t>
            </w:r>
          </w:p>
        </w:tc>
      </w:tr>
      <w:tr w:rsidR="00031A70" w:rsidRPr="0037508F" w:rsidTr="00031A70">
        <w:tc>
          <w:tcPr>
            <w:tcW w:w="1161" w:type="dxa"/>
            <w:tcBorders>
              <w:top w:val="nil"/>
              <w:left w:val="single" w:sz="6" w:space="0" w:color="auto"/>
              <w:bottom w:val="single" w:sz="4" w:space="0" w:color="auto"/>
              <w:right w:val="nil"/>
            </w:tcBorders>
            <w:shd w:val="clear" w:color="auto" w:fill="EEECE1"/>
            <w:noWrap/>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5.42 </w:t>
            </w:r>
            <w:r w:rsidRPr="00A25B78">
              <w:rPr>
                <w:bCs/>
                <w:color w:val="000000"/>
                <w:sz w:val="18"/>
                <w:szCs w:val="18"/>
              </w:rPr>
              <w:t>pm</w:t>
            </w:r>
          </w:p>
        </w:tc>
        <w:tc>
          <w:tcPr>
            <w:tcW w:w="882" w:type="dxa"/>
            <w:tcBorders>
              <w:top w:val="nil"/>
              <w:left w:val="nil"/>
              <w:bottom w:val="single" w:sz="4" w:space="0" w:color="auto"/>
              <w:right w:val="single" w:sz="4" w:space="0" w:color="auto"/>
            </w:tcBorders>
            <w:shd w:val="clear" w:color="auto" w:fill="EEECE1"/>
            <w:noWrap/>
            <w:tcMar>
              <w:left w:w="57" w:type="dxa"/>
              <w:right w:w="57" w:type="dxa"/>
            </w:tcMar>
          </w:tcPr>
          <w:p w:rsidR="00031A70" w:rsidRPr="0037508F" w:rsidRDefault="00031A70" w:rsidP="00031A70">
            <w:pPr>
              <w:autoSpaceDE w:val="0"/>
              <w:autoSpaceDN w:val="0"/>
              <w:adjustRightInd w:val="0"/>
              <w:spacing w:before="100" w:after="100"/>
              <w:jc w:val="center"/>
              <w:rPr>
                <w:bCs/>
                <w:color w:val="000000"/>
                <w:sz w:val="18"/>
                <w:szCs w:val="18"/>
              </w:rPr>
            </w:pPr>
            <w:r>
              <w:rPr>
                <w:bCs/>
                <w:color w:val="000000"/>
                <w:sz w:val="18"/>
                <w:szCs w:val="18"/>
              </w:rPr>
              <w:t>5.5</w:t>
            </w:r>
            <w:r w:rsidRPr="00A25B78">
              <w:rPr>
                <w:bCs/>
                <w:color w:val="000000"/>
                <w:sz w:val="18"/>
                <w:szCs w:val="18"/>
              </w:rPr>
              <w:t>0</w:t>
            </w:r>
            <w:r>
              <w:rPr>
                <w:bCs/>
                <w:color w:val="000000"/>
                <w:sz w:val="18"/>
                <w:szCs w:val="18"/>
              </w:rPr>
              <w:t> </w:t>
            </w:r>
            <w:r w:rsidRPr="00A25B78">
              <w:rPr>
                <w:bCs/>
                <w:color w:val="000000"/>
                <w:sz w:val="18"/>
                <w:szCs w:val="18"/>
              </w:rPr>
              <w:t>pm</w:t>
            </w:r>
          </w:p>
        </w:tc>
        <w:tc>
          <w:tcPr>
            <w:tcW w:w="1274" w:type="dxa"/>
            <w:tcBorders>
              <w:top w:val="nil"/>
              <w:left w:val="single" w:sz="4" w:space="0" w:color="auto"/>
              <w:bottom w:val="single" w:sz="4" w:space="0" w:color="auto"/>
              <w:right w:val="single" w:sz="4" w:space="0" w:color="auto"/>
            </w:tcBorders>
            <w:shd w:val="clear" w:color="auto" w:fill="EEECE1"/>
            <w:noWrap/>
            <w:tcMar>
              <w:left w:w="57" w:type="dxa"/>
              <w:right w:w="57" w:type="dxa"/>
            </w:tcMar>
          </w:tcPr>
          <w:p w:rsidR="00031A70" w:rsidRPr="0037508F" w:rsidRDefault="00031A70" w:rsidP="00031A70">
            <w:pPr>
              <w:autoSpaceDE w:val="0"/>
              <w:autoSpaceDN w:val="0"/>
              <w:adjustRightInd w:val="0"/>
              <w:spacing w:before="100" w:after="100"/>
              <w:jc w:val="center"/>
              <w:rPr>
                <w:bCs/>
                <w:color w:val="000000"/>
                <w:sz w:val="18"/>
                <w:szCs w:val="18"/>
              </w:rPr>
            </w:pPr>
            <w:r w:rsidRPr="0037508F">
              <w:rPr>
                <w:bCs/>
                <w:color w:val="000000"/>
                <w:sz w:val="18"/>
                <w:szCs w:val="18"/>
              </w:rPr>
              <w:t>CS Energy</w:t>
            </w:r>
            <w:r>
              <w:rPr>
                <w:bCs/>
                <w:color w:val="000000"/>
                <w:sz w:val="18"/>
                <w:szCs w:val="18"/>
              </w:rPr>
              <w:t xml:space="preserve"> / </w:t>
            </w:r>
            <w:r>
              <w:rPr>
                <w:bCs/>
                <w:color w:val="000000"/>
                <w:sz w:val="18"/>
                <w:szCs w:val="18"/>
              </w:rPr>
              <w:br/>
              <w:t>Callide and Gladstone</w:t>
            </w:r>
          </w:p>
        </w:tc>
        <w:tc>
          <w:tcPr>
            <w:tcW w:w="798" w:type="dxa"/>
            <w:tcBorders>
              <w:top w:val="nil"/>
              <w:left w:val="single" w:sz="4" w:space="0" w:color="auto"/>
              <w:bottom w:val="single" w:sz="4" w:space="0" w:color="auto"/>
              <w:right w:val="nil"/>
            </w:tcBorders>
            <w:shd w:val="clear" w:color="auto" w:fill="EEECE1"/>
            <w:noWrap/>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195</w:t>
            </w:r>
          </w:p>
        </w:tc>
        <w:tc>
          <w:tcPr>
            <w:tcW w:w="851" w:type="dxa"/>
            <w:tcBorders>
              <w:top w:val="nil"/>
              <w:left w:val="nil"/>
              <w:bottom w:val="single" w:sz="4" w:space="0" w:color="auto"/>
              <w:right w:val="nil"/>
            </w:tcBorders>
            <w:shd w:val="clear" w:color="auto" w:fill="EEECE1"/>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&lt;45</w:t>
            </w:r>
          </w:p>
        </w:tc>
        <w:tc>
          <w:tcPr>
            <w:tcW w:w="850" w:type="dxa"/>
            <w:tcBorders>
              <w:top w:val="nil"/>
              <w:left w:val="nil"/>
              <w:bottom w:val="single" w:sz="4" w:space="0" w:color="auto"/>
              <w:right w:val="single" w:sz="6" w:space="0" w:color="auto"/>
            </w:tcBorders>
            <w:shd w:val="clear" w:color="auto" w:fill="EEECE1"/>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Pr>
                <w:bCs/>
                <w:color w:val="000000"/>
                <w:sz w:val="18"/>
                <w:szCs w:val="18"/>
              </w:rPr>
              <w:t>&gt;12 900</w:t>
            </w:r>
          </w:p>
        </w:tc>
        <w:tc>
          <w:tcPr>
            <w:tcW w:w="3635" w:type="dxa"/>
            <w:tcBorders>
              <w:top w:val="nil"/>
              <w:left w:val="nil"/>
              <w:bottom w:val="single" w:sz="4" w:space="0" w:color="auto"/>
              <w:right w:val="single" w:sz="6" w:space="0" w:color="auto"/>
            </w:tcBorders>
            <w:shd w:val="clear" w:color="auto" w:fill="EEECE1"/>
            <w:tcMar>
              <w:left w:w="57" w:type="dxa"/>
              <w:right w:w="57" w:type="dxa"/>
            </w:tcMar>
          </w:tcPr>
          <w:p w:rsidR="00031A70" w:rsidRPr="0037508F" w:rsidRDefault="00031A70" w:rsidP="00D24811">
            <w:pPr>
              <w:autoSpaceDE w:val="0"/>
              <w:autoSpaceDN w:val="0"/>
              <w:adjustRightInd w:val="0"/>
              <w:spacing w:before="100" w:after="100"/>
              <w:jc w:val="center"/>
              <w:rPr>
                <w:bCs/>
                <w:color w:val="000000"/>
                <w:sz w:val="18"/>
                <w:szCs w:val="18"/>
              </w:rPr>
            </w:pPr>
            <w:r w:rsidRPr="00031A70">
              <w:rPr>
                <w:bCs/>
                <w:color w:val="000000"/>
                <w:sz w:val="18"/>
                <w:szCs w:val="18"/>
              </w:rPr>
              <w:t>1741A dispatch price higher than 30 min forecast-SL</w:t>
            </w:r>
          </w:p>
        </w:tc>
      </w:tr>
    </w:tbl>
    <w:p w:rsidR="00031A70" w:rsidRDefault="00031A70" w:rsidP="00445145">
      <w:pPr>
        <w:spacing w:after="120"/>
      </w:pPr>
    </w:p>
    <w:p w:rsidR="00445145" w:rsidRPr="00E77E9F" w:rsidRDefault="00445145" w:rsidP="00445145">
      <w:pPr>
        <w:pStyle w:val="AERtabletitle"/>
      </w:pPr>
      <w:r w:rsidRPr="00E77E9F">
        <w:t xml:space="preserve">Table </w:t>
      </w:r>
      <w:r w:rsidR="00031A70">
        <w:t>6</w:t>
      </w:r>
      <w:r w:rsidRPr="00E77E9F">
        <w:t xml:space="preserve">: </w:t>
      </w:r>
      <w:r>
        <w:t>Tasmania</w:t>
      </w:r>
      <w:r w:rsidRPr="00B24B12">
        <w:t>, Sunday 4 May</w:t>
      </w:r>
      <w:r w:rsidR="00B24B12" w:rsidRPr="00B24B12">
        <w:t xml:space="preserve"> (11.35</w:t>
      </w:r>
      <w:r w:rsidR="00B24B12">
        <w:t xml:space="preserve"> pm to midnight dispatch intervals on 3 May)</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834"/>
        <w:gridCol w:w="976"/>
        <w:gridCol w:w="977"/>
        <w:gridCol w:w="976"/>
        <w:gridCol w:w="977"/>
        <w:gridCol w:w="976"/>
        <w:gridCol w:w="977"/>
        <w:gridCol w:w="976"/>
        <w:gridCol w:w="977"/>
      </w:tblGrid>
      <w:tr w:rsidR="00445145" w:rsidRPr="00B309A7" w:rsidTr="00FF63D3">
        <w:tc>
          <w:tcPr>
            <w:tcW w:w="993" w:type="dxa"/>
            <w:tcBorders>
              <w:top w:val="single" w:sz="4" w:space="0" w:color="auto"/>
              <w:left w:val="single" w:sz="4" w:space="0" w:color="auto"/>
              <w:bottom w:val="nil"/>
            </w:tcBorders>
            <w:shd w:val="clear" w:color="auto" w:fill="4A442A"/>
            <w:noWrap/>
          </w:tcPr>
          <w:p w:rsidR="00445145" w:rsidRPr="00C95548" w:rsidRDefault="00445145" w:rsidP="00FF63D3">
            <w:pPr>
              <w:autoSpaceDE w:val="0"/>
              <w:autoSpaceDN w:val="0"/>
              <w:adjustRightInd w:val="0"/>
              <w:spacing w:before="100" w:after="100"/>
              <w:rPr>
                <w:b/>
                <w:bCs/>
                <w:color w:val="FFFFFF"/>
                <w:sz w:val="18"/>
                <w:szCs w:val="18"/>
              </w:rPr>
            </w:pPr>
            <w:r w:rsidRPr="00C95548">
              <w:rPr>
                <w:b/>
                <w:bCs/>
                <w:color w:val="FFFFFF"/>
                <w:sz w:val="18"/>
                <w:szCs w:val="18"/>
              </w:rPr>
              <w:t>Time</w:t>
            </w:r>
          </w:p>
        </w:tc>
        <w:tc>
          <w:tcPr>
            <w:tcW w:w="2787" w:type="dxa"/>
            <w:gridSpan w:val="3"/>
            <w:tcBorders>
              <w:top w:val="single" w:sz="4" w:space="0" w:color="auto"/>
              <w:bottom w:val="nil"/>
            </w:tcBorders>
            <w:shd w:val="clear" w:color="auto" w:fill="4A442A"/>
            <w:noWrap/>
          </w:tcPr>
          <w:p w:rsidR="00445145" w:rsidRPr="00C95548" w:rsidRDefault="00445145" w:rsidP="00FF63D3">
            <w:pPr>
              <w:autoSpaceDE w:val="0"/>
              <w:autoSpaceDN w:val="0"/>
              <w:adjustRightInd w:val="0"/>
              <w:spacing w:before="100" w:after="100"/>
              <w:jc w:val="center"/>
              <w:rPr>
                <w:b/>
                <w:bCs/>
                <w:color w:val="FFFFFF"/>
                <w:sz w:val="18"/>
                <w:szCs w:val="18"/>
              </w:rPr>
            </w:pPr>
            <w:r w:rsidRPr="00C95548">
              <w:rPr>
                <w:b/>
                <w:bCs/>
                <w:color w:val="FFFFFF"/>
                <w:sz w:val="18"/>
                <w:szCs w:val="18"/>
              </w:rPr>
              <w:t>Price ($/MWh)</w:t>
            </w:r>
          </w:p>
        </w:tc>
        <w:tc>
          <w:tcPr>
            <w:tcW w:w="2929" w:type="dxa"/>
            <w:gridSpan w:val="3"/>
            <w:tcBorders>
              <w:top w:val="single" w:sz="4" w:space="0" w:color="auto"/>
              <w:bottom w:val="nil"/>
            </w:tcBorders>
            <w:shd w:val="clear" w:color="auto" w:fill="4A442A"/>
          </w:tcPr>
          <w:p w:rsidR="00445145" w:rsidRPr="00C95548" w:rsidDel="0074250B" w:rsidRDefault="00445145" w:rsidP="00FF63D3">
            <w:pPr>
              <w:autoSpaceDE w:val="0"/>
              <w:autoSpaceDN w:val="0"/>
              <w:adjustRightInd w:val="0"/>
              <w:spacing w:before="100" w:after="100"/>
              <w:jc w:val="center"/>
              <w:rPr>
                <w:b/>
                <w:bCs/>
                <w:color w:val="FFFFFF"/>
                <w:sz w:val="18"/>
                <w:szCs w:val="18"/>
              </w:rPr>
            </w:pPr>
            <w:r w:rsidRPr="00C95548">
              <w:rPr>
                <w:b/>
                <w:bCs/>
                <w:color w:val="FFFFFF"/>
                <w:sz w:val="18"/>
                <w:szCs w:val="18"/>
              </w:rPr>
              <w:t>Demand (MW)</w:t>
            </w:r>
          </w:p>
        </w:tc>
        <w:tc>
          <w:tcPr>
            <w:tcW w:w="2930" w:type="dxa"/>
            <w:gridSpan w:val="3"/>
            <w:tcBorders>
              <w:top w:val="single" w:sz="4" w:space="0" w:color="auto"/>
              <w:bottom w:val="nil"/>
              <w:right w:val="single" w:sz="4" w:space="0" w:color="auto"/>
            </w:tcBorders>
            <w:shd w:val="clear" w:color="auto" w:fill="4A442A"/>
          </w:tcPr>
          <w:p w:rsidR="00445145" w:rsidRPr="00C95548" w:rsidDel="0074250B" w:rsidRDefault="00445145" w:rsidP="00FF63D3">
            <w:pPr>
              <w:autoSpaceDE w:val="0"/>
              <w:autoSpaceDN w:val="0"/>
              <w:adjustRightInd w:val="0"/>
              <w:spacing w:before="100" w:after="100"/>
              <w:jc w:val="center"/>
              <w:rPr>
                <w:b/>
                <w:bCs/>
                <w:color w:val="FFFFFF"/>
                <w:sz w:val="18"/>
                <w:szCs w:val="18"/>
              </w:rPr>
            </w:pPr>
            <w:r w:rsidRPr="00C95548">
              <w:rPr>
                <w:b/>
                <w:bCs/>
                <w:color w:val="FFFFFF"/>
                <w:sz w:val="18"/>
                <w:szCs w:val="18"/>
              </w:rPr>
              <w:t>Availability (MW)</w:t>
            </w:r>
          </w:p>
        </w:tc>
      </w:tr>
      <w:tr w:rsidR="00445145" w:rsidRPr="00E77E9F" w:rsidTr="00FF63D3">
        <w:tc>
          <w:tcPr>
            <w:tcW w:w="993" w:type="dxa"/>
            <w:tcBorders>
              <w:top w:val="nil"/>
              <w:left w:val="single" w:sz="6" w:space="0" w:color="auto"/>
              <w:bottom w:val="nil"/>
              <w:right w:val="single" w:sz="6" w:space="0" w:color="auto"/>
            </w:tcBorders>
            <w:shd w:val="clear" w:color="auto" w:fill="DDD9C3"/>
            <w:noWrap/>
          </w:tcPr>
          <w:p w:rsidR="00445145" w:rsidRPr="00E77E9F" w:rsidRDefault="00445145" w:rsidP="00FF63D3">
            <w:pPr>
              <w:autoSpaceDE w:val="0"/>
              <w:autoSpaceDN w:val="0"/>
              <w:adjustRightInd w:val="0"/>
              <w:spacing w:before="100" w:after="100"/>
              <w:rPr>
                <w:b/>
                <w:bCs/>
                <w:sz w:val="18"/>
                <w:szCs w:val="18"/>
              </w:rPr>
            </w:pPr>
          </w:p>
        </w:tc>
        <w:tc>
          <w:tcPr>
            <w:tcW w:w="834" w:type="dxa"/>
            <w:tcBorders>
              <w:top w:val="nil"/>
              <w:left w:val="single" w:sz="6" w:space="0" w:color="auto"/>
              <w:bottom w:val="nil"/>
              <w:right w:val="nil"/>
            </w:tcBorders>
            <w:shd w:val="clear" w:color="auto" w:fill="DDD9C3"/>
            <w:noWrap/>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tcPr>
          <w:p w:rsidR="00445145" w:rsidRPr="00E77E9F" w:rsidRDefault="00445145" w:rsidP="00FF63D3">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445145" w:rsidRPr="0014596E" w:rsidTr="00445145">
        <w:tc>
          <w:tcPr>
            <w:tcW w:w="993" w:type="dxa"/>
            <w:tcBorders>
              <w:top w:val="nil"/>
              <w:left w:val="single" w:sz="6" w:space="0" w:color="auto"/>
              <w:bottom w:val="single" w:sz="4" w:space="0" w:color="auto"/>
              <w:right w:val="single" w:sz="6" w:space="0" w:color="auto"/>
            </w:tcBorders>
            <w:shd w:val="clear" w:color="auto" w:fill="EEECE1"/>
            <w:noWrap/>
          </w:tcPr>
          <w:p w:rsidR="00445145" w:rsidRPr="00E77E9F" w:rsidRDefault="00DF059C" w:rsidP="00FF63D3">
            <w:pPr>
              <w:autoSpaceDE w:val="0"/>
              <w:autoSpaceDN w:val="0"/>
              <w:adjustRightInd w:val="0"/>
              <w:spacing w:before="100" w:after="100"/>
              <w:rPr>
                <w:b/>
                <w:bCs/>
                <w:sz w:val="18"/>
                <w:szCs w:val="18"/>
              </w:rPr>
            </w:pPr>
            <w:r>
              <w:rPr>
                <w:b/>
                <w:bCs/>
                <w:sz w:val="18"/>
                <w:szCs w:val="18"/>
              </w:rPr>
              <w:t>Midnight</w:t>
            </w:r>
          </w:p>
        </w:tc>
        <w:tc>
          <w:tcPr>
            <w:tcW w:w="834" w:type="dxa"/>
            <w:tcBorders>
              <w:top w:val="nil"/>
              <w:left w:val="single" w:sz="6" w:space="0" w:color="auto"/>
              <w:bottom w:val="single" w:sz="4" w:space="0" w:color="auto"/>
              <w:right w:val="nil"/>
            </w:tcBorders>
            <w:shd w:val="clear" w:color="auto" w:fill="EEECE1"/>
            <w:noWrap/>
            <w:vAlign w:val="center"/>
          </w:tcPr>
          <w:p w:rsidR="00445145" w:rsidRPr="00445145" w:rsidRDefault="00445145" w:rsidP="00445145">
            <w:pPr>
              <w:jc w:val="center"/>
              <w:rPr>
                <w:sz w:val="18"/>
              </w:rPr>
            </w:pPr>
            <w:r w:rsidRPr="00445145">
              <w:rPr>
                <w:sz w:val="18"/>
              </w:rPr>
              <w:t>-142.31</w:t>
            </w:r>
          </w:p>
        </w:tc>
        <w:tc>
          <w:tcPr>
            <w:tcW w:w="976" w:type="dxa"/>
            <w:tcBorders>
              <w:top w:val="nil"/>
              <w:left w:val="nil"/>
              <w:bottom w:val="single" w:sz="4" w:space="0" w:color="auto"/>
              <w:right w:val="nil"/>
            </w:tcBorders>
            <w:shd w:val="clear" w:color="auto" w:fill="EEECE1"/>
            <w:noWrap/>
            <w:vAlign w:val="center"/>
          </w:tcPr>
          <w:p w:rsidR="00445145" w:rsidRPr="00445145" w:rsidRDefault="00445145" w:rsidP="00445145">
            <w:pPr>
              <w:jc w:val="center"/>
              <w:rPr>
                <w:sz w:val="18"/>
              </w:rPr>
            </w:pPr>
            <w:r w:rsidRPr="00445145">
              <w:rPr>
                <w:sz w:val="18"/>
              </w:rPr>
              <w:t>26.30</w:t>
            </w:r>
          </w:p>
        </w:tc>
        <w:tc>
          <w:tcPr>
            <w:tcW w:w="977" w:type="dxa"/>
            <w:tcBorders>
              <w:top w:val="nil"/>
              <w:left w:val="nil"/>
              <w:bottom w:val="single" w:sz="4" w:space="0" w:color="auto"/>
              <w:right w:val="single" w:sz="6" w:space="0" w:color="auto"/>
            </w:tcBorders>
            <w:shd w:val="clear" w:color="auto" w:fill="EEECE1"/>
            <w:noWrap/>
            <w:vAlign w:val="center"/>
          </w:tcPr>
          <w:p w:rsidR="00445145" w:rsidRPr="00445145" w:rsidRDefault="00445145" w:rsidP="00445145">
            <w:pPr>
              <w:jc w:val="center"/>
              <w:rPr>
                <w:sz w:val="18"/>
              </w:rPr>
            </w:pPr>
            <w:r w:rsidRPr="00445145">
              <w:rPr>
                <w:sz w:val="18"/>
              </w:rPr>
              <w:t>26.30</w:t>
            </w:r>
          </w:p>
        </w:tc>
        <w:tc>
          <w:tcPr>
            <w:tcW w:w="976" w:type="dxa"/>
            <w:tcBorders>
              <w:top w:val="nil"/>
              <w:left w:val="single" w:sz="6" w:space="0" w:color="auto"/>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975</w:t>
            </w:r>
          </w:p>
        </w:tc>
        <w:tc>
          <w:tcPr>
            <w:tcW w:w="977" w:type="dxa"/>
            <w:tcBorders>
              <w:top w:val="nil"/>
              <w:left w:val="nil"/>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973</w:t>
            </w:r>
          </w:p>
        </w:tc>
        <w:tc>
          <w:tcPr>
            <w:tcW w:w="976" w:type="dxa"/>
            <w:tcBorders>
              <w:top w:val="nil"/>
              <w:left w:val="nil"/>
              <w:bottom w:val="single" w:sz="4" w:space="0" w:color="auto"/>
              <w:right w:val="single" w:sz="6" w:space="0" w:color="auto"/>
            </w:tcBorders>
            <w:shd w:val="clear" w:color="auto" w:fill="EEECE1"/>
            <w:vAlign w:val="center"/>
          </w:tcPr>
          <w:p w:rsidR="00445145" w:rsidRPr="00445145" w:rsidRDefault="00445145" w:rsidP="00445145">
            <w:pPr>
              <w:jc w:val="center"/>
              <w:rPr>
                <w:sz w:val="18"/>
              </w:rPr>
            </w:pPr>
            <w:r w:rsidRPr="00445145">
              <w:rPr>
                <w:sz w:val="18"/>
              </w:rPr>
              <w:t>997</w:t>
            </w:r>
          </w:p>
        </w:tc>
        <w:tc>
          <w:tcPr>
            <w:tcW w:w="977" w:type="dxa"/>
            <w:tcBorders>
              <w:top w:val="nil"/>
              <w:left w:val="single" w:sz="6" w:space="0" w:color="auto"/>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2336</w:t>
            </w:r>
          </w:p>
        </w:tc>
        <w:tc>
          <w:tcPr>
            <w:tcW w:w="976" w:type="dxa"/>
            <w:tcBorders>
              <w:top w:val="nil"/>
              <w:left w:val="nil"/>
              <w:bottom w:val="single" w:sz="4" w:space="0" w:color="auto"/>
              <w:right w:val="nil"/>
            </w:tcBorders>
            <w:shd w:val="clear" w:color="auto" w:fill="EEECE1"/>
            <w:vAlign w:val="center"/>
          </w:tcPr>
          <w:p w:rsidR="00445145" w:rsidRPr="00445145" w:rsidRDefault="00445145" w:rsidP="00445145">
            <w:pPr>
              <w:jc w:val="center"/>
              <w:rPr>
                <w:sz w:val="18"/>
              </w:rPr>
            </w:pPr>
            <w:r w:rsidRPr="00445145">
              <w:rPr>
                <w:sz w:val="18"/>
              </w:rPr>
              <w:t>2395</w:t>
            </w:r>
          </w:p>
        </w:tc>
        <w:tc>
          <w:tcPr>
            <w:tcW w:w="977" w:type="dxa"/>
            <w:tcBorders>
              <w:top w:val="nil"/>
              <w:left w:val="nil"/>
              <w:bottom w:val="single" w:sz="4" w:space="0" w:color="auto"/>
              <w:right w:val="single" w:sz="6" w:space="0" w:color="auto"/>
            </w:tcBorders>
            <w:shd w:val="clear" w:color="auto" w:fill="EEECE1"/>
            <w:vAlign w:val="center"/>
          </w:tcPr>
          <w:p w:rsidR="00445145" w:rsidRPr="00445145" w:rsidRDefault="00445145" w:rsidP="00445145">
            <w:pPr>
              <w:jc w:val="center"/>
              <w:rPr>
                <w:sz w:val="18"/>
              </w:rPr>
            </w:pPr>
            <w:r w:rsidRPr="00445145">
              <w:rPr>
                <w:sz w:val="18"/>
              </w:rPr>
              <w:t>2408</w:t>
            </w:r>
          </w:p>
        </w:tc>
      </w:tr>
    </w:tbl>
    <w:p w:rsidR="00445145" w:rsidRDefault="00445145" w:rsidP="00445145">
      <w:pPr>
        <w:spacing w:after="120"/>
      </w:pPr>
    </w:p>
    <w:p w:rsidR="008801F2" w:rsidRDefault="008801F2" w:rsidP="00806E54">
      <w:pPr>
        <w:spacing w:after="120"/>
      </w:pPr>
      <w:r>
        <w:t xml:space="preserve">At around 11.50 pm </w:t>
      </w:r>
      <w:r w:rsidR="00E9420C">
        <w:t xml:space="preserve">there was a loss of SCADA between Hydro Tasmania and AEMO. As a result a number of generators in Tasmania were flagged as unavailable for the Frequency Control System Protection Scheme (FCSPS) for the midnight dispatch interval. This resulted in a constraint managing the FCSPS to violate as the export limited reduced from </w:t>
      </w:r>
      <w:r w:rsidR="00250410">
        <w:t>589 MW at 11.55 pm to 60 MW at midnight but flow reduced from 589 MW to 382 MW because of the rate of change on Basslink.</w:t>
      </w:r>
    </w:p>
    <w:p w:rsidR="008801F2" w:rsidRDefault="008801F2" w:rsidP="00806E54">
      <w:pPr>
        <w:spacing w:after="120"/>
      </w:pPr>
      <w:r w:rsidRPr="008801F2">
        <w:t xml:space="preserve">With excess generation capacity in </w:t>
      </w:r>
      <w:r>
        <w:t>Tasmania</w:t>
      </w:r>
      <w:r w:rsidRPr="008801F2">
        <w:t xml:space="preserve">, a number of generators received targets to reduce their output and this saw negatively priced generation offers setting the price at the price floor at </w:t>
      </w:r>
      <w:r>
        <w:t>midnight</w:t>
      </w:r>
      <w:r w:rsidRPr="008801F2">
        <w:t>.</w:t>
      </w:r>
    </w:p>
    <w:p w:rsidR="00250410" w:rsidRDefault="00250410" w:rsidP="00806E54">
      <w:pPr>
        <w:spacing w:after="120"/>
      </w:pPr>
      <w:r>
        <w:t xml:space="preserve">SCADA communications were returned for the following dispatch interval and the export limit </w:t>
      </w:r>
      <w:r w:rsidR="00094273">
        <w:t xml:space="preserve">and price </w:t>
      </w:r>
      <w:r>
        <w:t>return</w:t>
      </w:r>
      <w:r w:rsidR="00094273">
        <w:t>ed</w:t>
      </w:r>
      <w:r>
        <w:t xml:space="preserve"> to </w:t>
      </w:r>
      <w:r w:rsidR="00094273">
        <w:t>previous levels.</w:t>
      </w:r>
    </w:p>
    <w:p w:rsidR="00E96C5A" w:rsidRPr="002D23B9" w:rsidRDefault="001B1C02" w:rsidP="00E96C5A">
      <w:pPr>
        <w:pStyle w:val="Heading2"/>
        <w:rPr>
          <w:color w:val="auto"/>
        </w:rPr>
      </w:pPr>
      <w:r>
        <w:rPr>
          <w:color w:val="auto"/>
        </w:rPr>
        <w:br w:type="page"/>
      </w:r>
      <w:r w:rsidR="00E96C5A"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8802BB" w:rsidRDefault="0078358A" w:rsidP="00E96C5A">
      <w:pPr>
        <w:pStyle w:val="Figureheading"/>
        <w:numPr>
          <w:ilvl w:val="0"/>
          <w:numId w:val="0"/>
        </w:numPr>
        <w:ind w:left="357" w:hanging="357"/>
      </w:pPr>
      <w:r w:rsidRPr="008802BB">
        <w:t>Figure 9</w:t>
      </w:r>
      <w:r w:rsidR="00E96C5A" w:rsidRPr="008802BB">
        <w:t xml:space="preserve">: Quarterly base future prices </w:t>
      </w:r>
      <w:r w:rsidR="00BB0611" w:rsidRPr="008802BB">
        <w:t xml:space="preserve">Q2 </w:t>
      </w:r>
      <w:r w:rsidR="00E96C5A" w:rsidRPr="008802BB">
        <w:t>201</w:t>
      </w:r>
      <w:r w:rsidR="00CA7CF5" w:rsidRPr="008802BB">
        <w:t>4</w:t>
      </w:r>
      <w:r w:rsidR="00E96C5A" w:rsidRPr="008802BB">
        <w:t xml:space="preserve"> – </w:t>
      </w:r>
      <w:r w:rsidR="00BB0611" w:rsidRPr="008802BB">
        <w:t>Q1 2018</w:t>
      </w:r>
    </w:p>
    <w:p w:rsidR="00E96C5A" w:rsidRPr="002D23B9" w:rsidRDefault="00C77207"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10;" style="width:451pt;height:227.5pt">
            <v:imagedata r:id="rId19" o:title=""/>
          </v:shape>
        </w:pict>
      </w:r>
      <w:r w:rsidR="00E96C5A" w:rsidRPr="002D23B9">
        <w:t xml:space="preserve">Source: </w:t>
      </w:r>
      <w:hyperlink r:id="rId20"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8802BB" w:rsidRDefault="00E96C5A" w:rsidP="00E96C5A">
      <w:pPr>
        <w:pStyle w:val="Figureheading"/>
        <w:numPr>
          <w:ilvl w:val="0"/>
          <w:numId w:val="0"/>
        </w:numPr>
        <w:ind w:left="357" w:hanging="357"/>
      </w:pPr>
      <w:r w:rsidRPr="008802BB">
        <w:t xml:space="preserve">Figure </w:t>
      </w:r>
      <w:r w:rsidR="0078358A" w:rsidRPr="008802BB">
        <w:t>10</w:t>
      </w:r>
      <w:r w:rsidRPr="008802BB">
        <w:t>: Price of Q1 201</w:t>
      </w:r>
      <w:r w:rsidR="00754FF0" w:rsidRPr="008802BB">
        <w:t>5</w:t>
      </w:r>
      <w:r w:rsidRPr="008802BB">
        <w:t xml:space="preserve"> base contracts over the past 10 weeks (and the past 2 years)</w:t>
      </w:r>
    </w:p>
    <w:p w:rsidR="00E96C5A" w:rsidRPr="002D23B9" w:rsidRDefault="00C77207"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 style="width:451pt;height:228.1pt">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8802BB" w:rsidRDefault="0078358A" w:rsidP="00E96C5A">
      <w:pPr>
        <w:pStyle w:val="Figureheading"/>
        <w:numPr>
          <w:ilvl w:val="0"/>
          <w:numId w:val="0"/>
        </w:numPr>
        <w:ind w:left="357" w:hanging="357"/>
      </w:pPr>
      <w:r w:rsidRPr="008802BB">
        <w:t>Figure 11</w:t>
      </w:r>
      <w:r w:rsidR="00E96C5A" w:rsidRPr="008802BB">
        <w:t>: Price of Q1 201</w:t>
      </w:r>
      <w:r w:rsidR="00754FF0" w:rsidRPr="008802BB">
        <w:t>5</w:t>
      </w:r>
      <w:r w:rsidR="00E96C5A" w:rsidRPr="008802BB">
        <w:t xml:space="preserve"> cap contracts over the past 10 weeks (and the past 2 years)</w:t>
      </w:r>
    </w:p>
    <w:p w:rsidR="00E96C5A" w:rsidRPr="002D23B9" w:rsidRDefault="00C77207"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 style="width:451pt;height:226.35pt">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51052F" w:rsidP="003157C3">
      <w:r>
        <w:rPr>
          <w:b/>
        </w:rPr>
        <w:t>May</w:t>
      </w:r>
      <w:r w:rsidR="00795DDE" w:rsidRPr="002D23B9">
        <w:rPr>
          <w:b/>
        </w:rPr>
        <w:t xml:space="preserve"> </w:t>
      </w:r>
      <w:r w:rsidR="0097000C">
        <w:rPr>
          <w:b/>
        </w:rPr>
        <w:t>2014</w:t>
      </w:r>
    </w:p>
    <w:sectPr w:rsidR="00E96C5A" w:rsidRPr="002D23B9" w:rsidSect="00601EB7">
      <w:footerReference w:type="default" r:id="rId26"/>
      <w:footerReference w:type="first" r:id="rId27"/>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94511">
      <w:rPr>
        <w:rStyle w:val="PageNumber"/>
        <w:noProof/>
      </w:rPr>
      <w:t>10</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w:t>
    </w:r>
    <w:r w:rsidRPr="00FC5118">
      <w:rPr>
        <w:i/>
      </w:rPr>
      <w:t>– D14/</w:t>
    </w:r>
    <w:r w:rsidR="00613B1B" w:rsidRPr="00FC5118">
      <w:rPr>
        <w:i/>
      </w:rPr>
      <w:t>5</w:t>
    </w:r>
    <w:r w:rsidR="00FC5118" w:rsidRPr="00FC5118">
      <w:rPr>
        <w:i/>
      </w:rPr>
      <w:t>7907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427 - 20140503 electricit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BA6"/>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A70"/>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6F6B"/>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168"/>
    <w:rsid w:val="00092C23"/>
    <w:rsid w:val="00093537"/>
    <w:rsid w:val="000935AD"/>
    <w:rsid w:val="0009394B"/>
    <w:rsid w:val="00094268"/>
    <w:rsid w:val="00094273"/>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2D45"/>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026"/>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B45"/>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2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B3A"/>
    <w:rsid w:val="00154FE1"/>
    <w:rsid w:val="0015597D"/>
    <w:rsid w:val="00155A20"/>
    <w:rsid w:val="00155B20"/>
    <w:rsid w:val="00155B70"/>
    <w:rsid w:val="00155CDE"/>
    <w:rsid w:val="00155D6E"/>
    <w:rsid w:val="00156023"/>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3B7"/>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0A2"/>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1EB5"/>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06F"/>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5DD"/>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410"/>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5D55"/>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A8E"/>
    <w:rsid w:val="00263D22"/>
    <w:rsid w:val="0026403E"/>
    <w:rsid w:val="0026465E"/>
    <w:rsid w:val="00264C84"/>
    <w:rsid w:val="00264E11"/>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243"/>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B7F99"/>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EEF"/>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B4D"/>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2C2"/>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80E"/>
    <w:rsid w:val="00397A00"/>
    <w:rsid w:val="00397A50"/>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715"/>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A9"/>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8D0"/>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145"/>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755"/>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87B3A"/>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4F"/>
    <w:rsid w:val="004A7EEA"/>
    <w:rsid w:val="004B01DF"/>
    <w:rsid w:val="004B029D"/>
    <w:rsid w:val="004B060E"/>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52F"/>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27DB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3B51"/>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81"/>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99B"/>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D33"/>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AD7"/>
    <w:rsid w:val="005A6B7F"/>
    <w:rsid w:val="005A6C37"/>
    <w:rsid w:val="005A6C59"/>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527"/>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BDB"/>
    <w:rsid w:val="005E2F61"/>
    <w:rsid w:val="005E377B"/>
    <w:rsid w:val="005E39BD"/>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6D9"/>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1B"/>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B1B"/>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0B0"/>
    <w:rsid w:val="006302B3"/>
    <w:rsid w:val="00630956"/>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673"/>
    <w:rsid w:val="00635831"/>
    <w:rsid w:val="00635B70"/>
    <w:rsid w:val="00635C9F"/>
    <w:rsid w:val="00635FD1"/>
    <w:rsid w:val="0063617A"/>
    <w:rsid w:val="00636216"/>
    <w:rsid w:val="006366F3"/>
    <w:rsid w:val="00636B32"/>
    <w:rsid w:val="00636B96"/>
    <w:rsid w:val="00637020"/>
    <w:rsid w:val="00637109"/>
    <w:rsid w:val="006378A5"/>
    <w:rsid w:val="00637B2C"/>
    <w:rsid w:val="0064015F"/>
    <w:rsid w:val="006402EE"/>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33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61B"/>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FB8"/>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3"/>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2B"/>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7B7"/>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E40"/>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4D9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784"/>
    <w:rsid w:val="0080582A"/>
    <w:rsid w:val="00805B65"/>
    <w:rsid w:val="00805FDD"/>
    <w:rsid w:val="00806010"/>
    <w:rsid w:val="00806104"/>
    <w:rsid w:val="00806DBD"/>
    <w:rsid w:val="00806E54"/>
    <w:rsid w:val="0080705B"/>
    <w:rsid w:val="008076EC"/>
    <w:rsid w:val="008077AC"/>
    <w:rsid w:val="00807A69"/>
    <w:rsid w:val="00807DA9"/>
    <w:rsid w:val="00810EE0"/>
    <w:rsid w:val="008112F3"/>
    <w:rsid w:val="00811306"/>
    <w:rsid w:val="00811B85"/>
    <w:rsid w:val="0081230D"/>
    <w:rsid w:val="00812325"/>
    <w:rsid w:val="0081292B"/>
    <w:rsid w:val="00812EAA"/>
    <w:rsid w:val="00813131"/>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1F2"/>
    <w:rsid w:val="008802BB"/>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1ECA"/>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262"/>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32D"/>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4F60"/>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771"/>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E46"/>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103"/>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B93"/>
    <w:rsid w:val="009C3E0E"/>
    <w:rsid w:val="009C3F90"/>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12"/>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DBF"/>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7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3C4B"/>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304"/>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B12"/>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13E"/>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27"/>
    <w:rsid w:val="00C16A5B"/>
    <w:rsid w:val="00C16FB9"/>
    <w:rsid w:val="00C1729D"/>
    <w:rsid w:val="00C17345"/>
    <w:rsid w:val="00C17E3D"/>
    <w:rsid w:val="00C2064A"/>
    <w:rsid w:val="00C2066E"/>
    <w:rsid w:val="00C20B50"/>
    <w:rsid w:val="00C20CF2"/>
    <w:rsid w:val="00C20E29"/>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8A2"/>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64E"/>
    <w:rsid w:val="00C76B7A"/>
    <w:rsid w:val="00C76C3A"/>
    <w:rsid w:val="00C76E9E"/>
    <w:rsid w:val="00C77207"/>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376A6"/>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48"/>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9C8"/>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511"/>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0AE7"/>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59C"/>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2B8"/>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C"/>
    <w:rsid w:val="00E9420E"/>
    <w:rsid w:val="00E9426B"/>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1C3C"/>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1CDC"/>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50"/>
    <w:rsid w:val="00FC4AD1"/>
    <w:rsid w:val="00FC5118"/>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0CB0-8E7E-47E4-8459-8BF67AEF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DADA256E.dotm</Template>
  <TotalTime>0</TotalTime>
  <Pages>10</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2014-05-20T01:53:00Z</dcterms:created>
  <dcterms:modified xsi:type="dcterms:W3CDTF">2014-05-20T01:55:00Z</dcterms:modified>
</cp:coreProperties>
</file>