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4AF" w:rsidRPr="002D23B9" w:rsidRDefault="00D725E8" w:rsidP="00F964AF">
      <w:pPr>
        <w:pStyle w:val="AERHeading1new"/>
        <w:keepNext w:val="0"/>
        <w:keepLines w:val="0"/>
        <w:pageBreakBefore w:val="0"/>
        <w:widowControl w:val="0"/>
        <w:numPr>
          <w:ilvl w:val="0"/>
          <w:numId w:val="0"/>
        </w:numPr>
        <w:rPr>
          <w:color w:val="auto"/>
          <w:sz w:val="22"/>
          <w:szCs w:val="22"/>
        </w:rPr>
      </w:pPr>
      <w:bookmarkStart w:id="0" w:name="_Toc305751931"/>
      <w:bookmarkStart w:id="1" w:name="_Toc308601044"/>
      <w:bookmarkStart w:id="2" w:name="_Toc316978870"/>
      <w:bookmarkStart w:id="3" w:name="_Toc317520246"/>
      <w:bookmarkStart w:id="4" w:name="OLE_LINK72"/>
      <w:bookmarkStart w:id="5" w:name="OLE_LINK73"/>
      <w:bookmarkStart w:id="6" w:name="_GoBack"/>
      <w:bookmarkEnd w:id="6"/>
      <w:r>
        <w:rPr>
          <w:noProof/>
          <w:color w:val="auto"/>
          <w:lang w:eastAsia="en-AU"/>
        </w:rPr>
        <mc:AlternateContent>
          <mc:Choice Requires="wps">
            <w:drawing>
              <wp:anchor distT="0" distB="0" distL="114300" distR="114300" simplePos="0" relativeHeight="251653120" behindDoc="0" locked="0" layoutInCell="1" allowOverlap="1" wp14:anchorId="1316D5C0" wp14:editId="6E12E443">
                <wp:simplePos x="0" y="0"/>
                <wp:positionH relativeFrom="column">
                  <wp:posOffset>-15875</wp:posOffset>
                </wp:positionH>
                <wp:positionV relativeFrom="paragraph">
                  <wp:posOffset>103505</wp:posOffset>
                </wp:positionV>
                <wp:extent cx="3140710" cy="1102995"/>
                <wp:effectExtent l="3175" t="635" r="0"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110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220" w:rsidRDefault="00B97220">
                            <w:pPr>
                              <w:pStyle w:val="Title"/>
                              <w:jc w:val="left"/>
                            </w:pPr>
                            <w:r w:rsidRPr="00F50D3A">
                              <w:t>Electricity</w:t>
                            </w:r>
                            <w:r>
                              <w:t xml:space="preserve"> Report</w:t>
                            </w:r>
                          </w:p>
                          <w:p w:rsidR="00B97220" w:rsidRPr="00FF06A1" w:rsidRDefault="00B97220">
                            <w:pPr>
                              <w:pStyle w:val="Title"/>
                              <w:jc w:val="left"/>
                            </w:pPr>
                            <w:r>
                              <w:t>23 February to 1 March 2014</w:t>
                            </w:r>
                          </w:p>
                          <w:p w:rsidR="00B97220" w:rsidRDefault="00B97220">
                            <w:pPr>
                              <w:rPr>
                                <w:i/>
                                <w:sz w:val="32"/>
                              </w:rPr>
                            </w:pPr>
                            <w:r w:rsidRPr="00F50D3A">
                              <w:rPr>
                                <w:sz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5pt;margin-top:8.15pt;width:247.3pt;height:86.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oNtQIAALs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" filled="f" stroked="f">
                <v:textbox>
                  <w:txbxContent>
                    <w:p w:rsidR="00B97220" w:rsidRDefault="00B97220">
                      <w:pPr>
                        <w:pStyle w:val="Title"/>
                        <w:jc w:val="left"/>
                      </w:pPr>
                      <w:r w:rsidRPr="00F50D3A">
                        <w:t>Electricity</w:t>
                      </w:r>
                      <w:r>
                        <w:t xml:space="preserve"> Report</w:t>
                      </w:r>
                    </w:p>
                    <w:p w:rsidR="00B97220" w:rsidRPr="00FF06A1" w:rsidRDefault="00B97220">
                      <w:pPr>
                        <w:pStyle w:val="Title"/>
                        <w:jc w:val="left"/>
                      </w:pPr>
                      <w:r>
                        <w:t>23 February to 1 March 2014</w:t>
                      </w:r>
                    </w:p>
                    <w:p w:rsidR="00B97220" w:rsidRDefault="00B97220">
                      <w:pPr>
                        <w:rPr>
                          <w:i/>
                          <w:sz w:val="32"/>
                        </w:rPr>
                      </w:pPr>
                      <w:r w:rsidRPr="00F50D3A">
                        <w:rPr>
                          <w:sz w:val="32"/>
                        </w:rPr>
                        <w:t xml:space="preserve"> </w:t>
                      </w:r>
                    </w:p>
                  </w:txbxContent>
                </v:textbox>
              </v:shape>
            </w:pict>
          </mc:Fallback>
        </mc:AlternateContent>
      </w:r>
      <w:r>
        <w:rPr>
          <w:noProof/>
          <w:color w:val="auto"/>
          <w:lang w:eastAsia="en-AU"/>
        </w:rPr>
        <w:drawing>
          <wp:inline distT="0" distB="0" distL="0" distR="0" wp14:anchorId="65CBE369" wp14:editId="59E023C3">
            <wp:extent cx="5715000" cy="1257300"/>
            <wp:effectExtent l="0" t="0" r="0" b="0"/>
            <wp:docPr id="1" name="Picture 1" descr="AER_Hea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_Head1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1257300"/>
                    </a:xfrm>
                    <a:prstGeom prst="rect">
                      <a:avLst/>
                    </a:prstGeom>
                    <a:noFill/>
                    <a:ln>
                      <a:noFill/>
                    </a:ln>
                  </pic:spPr>
                </pic:pic>
              </a:graphicData>
            </a:graphic>
          </wp:inline>
        </w:drawing>
      </w:r>
      <w:r w:rsidR="0052471C" w:rsidRPr="002D23B9">
        <w:rPr>
          <w:color w:val="auto"/>
          <w:sz w:val="22"/>
          <w:szCs w:val="22"/>
        </w:rPr>
        <w:t xml:space="preserve"> </w:t>
      </w:r>
    </w:p>
    <w:p w:rsidR="00E74564" w:rsidRPr="002D23B9" w:rsidRDefault="00E74564" w:rsidP="00E74564">
      <w:pPr>
        <w:pStyle w:val="Heading2"/>
        <w:rPr>
          <w:color w:val="auto"/>
        </w:rPr>
      </w:pPr>
      <w:r w:rsidRPr="002D23B9">
        <w:rPr>
          <w:color w:val="auto"/>
        </w:rPr>
        <w:t>Introduction</w:t>
      </w:r>
    </w:p>
    <w:p w:rsidR="002F6FF5" w:rsidRDefault="002F6FF5" w:rsidP="002F6FF5">
      <w:pPr>
        <w:rPr>
          <w:lang w:eastAsia="en-US"/>
        </w:rPr>
      </w:pPr>
      <w:r w:rsidRPr="002D23B9">
        <w:rPr>
          <w:lang w:eastAsia="en-US"/>
        </w:rPr>
        <w:t xml:space="preserve">The AER is required to publish the reasons for significant variations </w:t>
      </w:r>
      <w:r w:rsidR="005A5ACF" w:rsidRPr="002D23B9">
        <w:rPr>
          <w:lang w:eastAsia="en-US"/>
        </w:rPr>
        <w:t xml:space="preserve">between forecast and actual price </w:t>
      </w:r>
      <w:r w:rsidRPr="002D23B9">
        <w:rPr>
          <w:lang w:eastAsia="en-US"/>
        </w:rPr>
        <w:t>and is responsible for monitoring activity and behaviour in the National Electricity Market. The Electricity Report forms an important part of this work. The report contains information on significant price variations, movements in the contract market, together with analysis of spot market outcomes and rebidding behaviour. By monitoring activity in these markets, the AER is able to keep up to date with market conditions and identify compliance issues.</w:t>
      </w:r>
    </w:p>
    <w:p w:rsidR="00FC10A1" w:rsidRDefault="00FC10A1" w:rsidP="002F6FF5">
      <w:pPr>
        <w:rPr>
          <w:lang w:eastAsia="en-US"/>
        </w:rPr>
      </w:pPr>
    </w:p>
    <w:p w:rsidR="00FC10A1" w:rsidRPr="002D23B9" w:rsidRDefault="00FC10A1" w:rsidP="00FC10A1">
      <w:pPr>
        <w:pStyle w:val="Heading2"/>
        <w:rPr>
          <w:color w:val="auto"/>
        </w:rPr>
      </w:pPr>
      <w:r w:rsidRPr="002D23B9">
        <w:rPr>
          <w:color w:val="auto"/>
        </w:rPr>
        <w:t>Spot</w:t>
      </w:r>
      <w:r>
        <w:rPr>
          <w:color w:val="auto"/>
        </w:rPr>
        <w:t>light</w:t>
      </w:r>
      <w:r w:rsidR="00025D86">
        <w:rPr>
          <w:color w:val="auto"/>
        </w:rPr>
        <w:t xml:space="preserve"> price spikes in Queensland during Summer 2013-14</w:t>
      </w:r>
    </w:p>
    <w:p w:rsidR="00A24990" w:rsidRPr="004520BD" w:rsidRDefault="00A24990" w:rsidP="00A24990">
      <w:pPr>
        <w:rPr>
          <w:b/>
          <w:i/>
        </w:rPr>
      </w:pPr>
      <w:r w:rsidRPr="004520BD">
        <w:rPr>
          <w:b/>
          <w:i/>
        </w:rPr>
        <w:t>Background</w:t>
      </w:r>
    </w:p>
    <w:p w:rsidR="00A24990" w:rsidRDefault="00A24990" w:rsidP="00A24990"/>
    <w:p w:rsidR="00A24990" w:rsidRDefault="00A24990" w:rsidP="00A24990">
      <w:r>
        <w:t>The Queensland region has experienced significant price volatility in the recent past, for various reasons. In our December 2012 report</w:t>
      </w:r>
      <w:r w:rsidR="00AC7F83">
        <w:t>,</w:t>
      </w:r>
      <w:r>
        <w:t xml:space="preserve"> </w:t>
      </w:r>
      <w:r w:rsidRPr="004520BD">
        <w:rPr>
          <w:i/>
        </w:rPr>
        <w:t>The impact of congestion on bidding and inter-regional trade in the NEM</w:t>
      </w:r>
      <w:r>
        <w:t xml:space="preserve">, we wrote about volatile prices </w:t>
      </w:r>
      <w:r w:rsidRPr="00677DDB">
        <w:t xml:space="preserve">and significant negative settlement residues </w:t>
      </w:r>
      <w:r>
        <w:t>associated with c</w:t>
      </w:r>
      <w:r w:rsidRPr="00677DDB">
        <w:t xml:space="preserve">ongestion </w:t>
      </w:r>
      <w:r>
        <w:t xml:space="preserve">on </w:t>
      </w:r>
      <w:r w:rsidRPr="00677DDB">
        <w:t>the transmission lines between Calvale-Wurdong and Calvale-Stanwell during 2011 and 2012.</w:t>
      </w:r>
      <w:r>
        <w:t xml:space="preserve"> </w:t>
      </w:r>
    </w:p>
    <w:p w:rsidR="00A24990" w:rsidRDefault="00A24990" w:rsidP="00A24990"/>
    <w:p w:rsidR="00A24990" w:rsidRDefault="00A24990" w:rsidP="00A24990">
      <w:r>
        <w:t>Similarly, in our Electricity Weekly report for the week 25 to 31 August 2013</w:t>
      </w:r>
      <w:r>
        <w:rPr>
          <w:rStyle w:val="FootnoteReference"/>
        </w:rPr>
        <w:footnoteReference w:id="1"/>
      </w:r>
      <w:r>
        <w:t xml:space="preserve">, we wrote about volatility in Queensland in mid to late August 2013. Our analysis revealed </w:t>
      </w:r>
      <w:r w:rsidR="00620A61">
        <w:t xml:space="preserve">that </w:t>
      </w:r>
      <w:r>
        <w:t xml:space="preserve">high prices during this period were </w:t>
      </w:r>
      <w:r w:rsidRPr="00B16AFD">
        <w:t xml:space="preserve">driven by relatively small increases in five-minute demand which </w:t>
      </w:r>
      <w:r>
        <w:t>was</w:t>
      </w:r>
      <w:r w:rsidRPr="00B16AFD">
        <w:t xml:space="preserve"> unable to be met by low-price generation in Queensland or imports in the relevant five minutes</w:t>
      </w:r>
      <w:r>
        <w:t xml:space="preserve">. This </w:t>
      </w:r>
      <w:r w:rsidRPr="00B16AFD">
        <w:t>requir</w:t>
      </w:r>
      <w:r>
        <w:t>ed</w:t>
      </w:r>
      <w:r w:rsidRPr="00B16AFD">
        <w:t xml:space="preserve"> the dispatch of generation priced at</w:t>
      </w:r>
      <w:r>
        <w:t>,</w:t>
      </w:r>
      <w:r w:rsidRPr="00B16AFD">
        <w:t xml:space="preserve"> or close to</w:t>
      </w:r>
      <w:r>
        <w:t>,</w:t>
      </w:r>
      <w:r w:rsidRPr="00B16AFD">
        <w:t xml:space="preserve"> the </w:t>
      </w:r>
      <w:r w:rsidR="00620A61">
        <w:t xml:space="preserve">market </w:t>
      </w:r>
      <w:r w:rsidRPr="00B16AFD">
        <w:t xml:space="preserve">price cap. These spikes in dispatch price occurred at </w:t>
      </w:r>
      <w:r>
        <w:t xml:space="preserve">relatively low </w:t>
      </w:r>
      <w:r w:rsidRPr="00B16AFD">
        <w:t xml:space="preserve">levels of demand </w:t>
      </w:r>
      <w:r>
        <w:t>(</w:t>
      </w:r>
      <w:r w:rsidRPr="00B16AFD">
        <w:t>around 6000</w:t>
      </w:r>
      <w:r>
        <w:t> </w:t>
      </w:r>
      <w:r w:rsidRPr="00B16AFD">
        <w:t>MW</w:t>
      </w:r>
      <w:r>
        <w:t xml:space="preserve">). </w:t>
      </w:r>
    </w:p>
    <w:p w:rsidR="00A24990" w:rsidRDefault="00A24990" w:rsidP="00A24990"/>
    <w:p w:rsidR="00A24990" w:rsidRDefault="00A24990" w:rsidP="00A24990">
      <w:r>
        <w:t>From December </w:t>
      </w:r>
      <w:r w:rsidR="00AC7F83">
        <w:t xml:space="preserve">2013 </w:t>
      </w:r>
      <w:r>
        <w:t>to the end of February 2014, spot price volatility was again a feature of the Queensland region, this time as a direct result of the rebidding strategies of some Queensland generators. Over this period (the summer period) the 5-minute price exceeded $1000/MWh on 50 occasions</w:t>
      </w:r>
      <w:r w:rsidRPr="00A24990">
        <w:t xml:space="preserve"> </w:t>
      </w:r>
      <w:r>
        <w:t xml:space="preserve">driven primarily by generators </w:t>
      </w:r>
      <w:r w:rsidR="00526547">
        <w:t xml:space="preserve">rebidding. That is, with very little warning, generators in </w:t>
      </w:r>
      <w:r w:rsidR="00A473EF">
        <w:t xml:space="preserve">Queensland were </w:t>
      </w:r>
      <w:r w:rsidR="00526547">
        <w:t xml:space="preserve">submitting rebids that </w:t>
      </w:r>
      <w:r>
        <w:t>shift</w:t>
      </w:r>
      <w:r w:rsidR="00A473EF">
        <w:t>ed</w:t>
      </w:r>
      <w:r>
        <w:t xml:space="preserve"> large quantities of capacity from low prices to prices greater than $10 000/MWh. Given the prevalence of the volatility and the </w:t>
      </w:r>
      <w:r w:rsidR="00526547">
        <w:t xml:space="preserve">potentially </w:t>
      </w:r>
      <w:r>
        <w:t xml:space="preserve">adverse impact </w:t>
      </w:r>
      <w:r w:rsidR="00526547">
        <w:t xml:space="preserve">this </w:t>
      </w:r>
      <w:r>
        <w:t xml:space="preserve">can have on the market, we </w:t>
      </w:r>
      <w:r w:rsidRPr="002978F3">
        <w:t>consider it appropriate to explore the events in more detail as part of this weekly spotlight.</w:t>
      </w:r>
    </w:p>
    <w:p w:rsidR="00A24990" w:rsidRDefault="00A24990" w:rsidP="00A24990"/>
    <w:p w:rsidR="00F479CF" w:rsidRDefault="00F479CF" w:rsidP="00A24990">
      <w:pPr>
        <w:rPr>
          <w:b/>
          <w:i/>
        </w:rPr>
      </w:pPr>
      <w:r w:rsidRPr="00F479CF">
        <w:rPr>
          <w:b/>
          <w:i/>
        </w:rPr>
        <w:t>Summary / Conclusion</w:t>
      </w:r>
    </w:p>
    <w:p w:rsidR="00F479CF" w:rsidRPr="00F479CF" w:rsidRDefault="00F479CF" w:rsidP="00A24990">
      <w:pPr>
        <w:rPr>
          <w:b/>
          <w:i/>
        </w:rPr>
      </w:pPr>
    </w:p>
    <w:p w:rsidR="003216B9" w:rsidRDefault="00001615" w:rsidP="003216B9">
      <w:r>
        <w:t xml:space="preserve">In analysing </w:t>
      </w:r>
      <w:r w:rsidR="00272E82">
        <w:t xml:space="preserve">the </w:t>
      </w:r>
      <w:r w:rsidR="00EE31A7">
        <w:t xml:space="preserve">circumstances </w:t>
      </w:r>
      <w:r w:rsidR="00272E82">
        <w:t>surrounding these high price</w:t>
      </w:r>
      <w:r>
        <w:t xml:space="preserve">d periods we </w:t>
      </w:r>
      <w:r w:rsidR="003216B9">
        <w:t>found:</w:t>
      </w:r>
    </w:p>
    <w:p w:rsidR="00EE31A7" w:rsidRDefault="00EE31A7" w:rsidP="0083520E">
      <w:pPr>
        <w:pStyle w:val="ListParagraph"/>
        <w:numPr>
          <w:ilvl w:val="0"/>
          <w:numId w:val="12"/>
        </w:numPr>
        <w:jc w:val="both"/>
        <w:rPr>
          <w:rFonts w:ascii="Gautami" w:hAnsi="Gautami" w:cs="Gautami"/>
          <w:sz w:val="20"/>
          <w:szCs w:val="20"/>
        </w:rPr>
      </w:pPr>
      <w:r>
        <w:rPr>
          <w:rFonts w:ascii="Gautami" w:hAnsi="Gautami" w:cs="Gautami"/>
          <w:sz w:val="20"/>
          <w:szCs w:val="20"/>
        </w:rPr>
        <w:t xml:space="preserve">CS Energy’s rebidding strategy triggered </w:t>
      </w:r>
      <w:r w:rsidR="00526547">
        <w:rPr>
          <w:rFonts w:ascii="Gautami" w:hAnsi="Gautami" w:cs="Gautami"/>
          <w:sz w:val="20"/>
          <w:szCs w:val="20"/>
        </w:rPr>
        <w:t>34 of the 50 high price events in Queensland in the summer period</w:t>
      </w:r>
      <w:r w:rsidR="00357351">
        <w:rPr>
          <w:rFonts w:ascii="Gautami" w:hAnsi="Gautami" w:cs="Gautami"/>
          <w:sz w:val="20"/>
          <w:szCs w:val="20"/>
        </w:rPr>
        <w:t>.</w:t>
      </w:r>
    </w:p>
    <w:p w:rsidR="00001615" w:rsidRDefault="00EE31A7" w:rsidP="0083520E">
      <w:pPr>
        <w:pStyle w:val="ListParagraph"/>
        <w:numPr>
          <w:ilvl w:val="0"/>
          <w:numId w:val="12"/>
        </w:numPr>
        <w:jc w:val="both"/>
        <w:rPr>
          <w:rFonts w:ascii="Gautami" w:hAnsi="Gautami" w:cs="Gautami"/>
          <w:sz w:val="20"/>
          <w:szCs w:val="20"/>
        </w:rPr>
      </w:pPr>
      <w:r w:rsidRPr="003216B9">
        <w:rPr>
          <w:rFonts w:ascii="Gautami" w:hAnsi="Gautami" w:cs="Gautami"/>
          <w:sz w:val="20"/>
          <w:szCs w:val="20"/>
        </w:rPr>
        <w:t xml:space="preserve">This </w:t>
      </w:r>
      <w:r>
        <w:rPr>
          <w:rFonts w:ascii="Gautami" w:hAnsi="Gautami" w:cs="Gautami"/>
          <w:sz w:val="20"/>
          <w:szCs w:val="20"/>
        </w:rPr>
        <w:t xml:space="preserve">strategy </w:t>
      </w:r>
      <w:r w:rsidRPr="003216B9">
        <w:rPr>
          <w:rFonts w:ascii="Gautami" w:hAnsi="Gautami" w:cs="Gautami"/>
          <w:sz w:val="20"/>
          <w:szCs w:val="20"/>
        </w:rPr>
        <w:t xml:space="preserve">was </w:t>
      </w:r>
      <w:r w:rsidR="0072622B">
        <w:rPr>
          <w:rFonts w:ascii="Gautami" w:hAnsi="Gautami" w:cs="Gautami"/>
          <w:sz w:val="20"/>
          <w:szCs w:val="20"/>
        </w:rPr>
        <w:t xml:space="preserve">occurred </w:t>
      </w:r>
      <w:r w:rsidR="00910645">
        <w:rPr>
          <w:rFonts w:ascii="Gautami" w:hAnsi="Gautami" w:cs="Gautami"/>
          <w:sz w:val="20"/>
          <w:szCs w:val="20"/>
        </w:rPr>
        <w:t xml:space="preserve">repeatedly </w:t>
      </w:r>
      <w:r>
        <w:rPr>
          <w:rFonts w:ascii="Gautami" w:hAnsi="Gautami" w:cs="Gautami"/>
          <w:sz w:val="20"/>
          <w:szCs w:val="20"/>
        </w:rPr>
        <w:t>across the summer period</w:t>
      </w:r>
      <w:r w:rsidR="00357351">
        <w:rPr>
          <w:rFonts w:ascii="Gautami" w:hAnsi="Gautami" w:cs="Gautami"/>
          <w:sz w:val="20"/>
          <w:szCs w:val="20"/>
        </w:rPr>
        <w:t>.</w:t>
      </w:r>
      <w:r>
        <w:rPr>
          <w:rFonts w:ascii="Gautami" w:hAnsi="Gautami" w:cs="Gautami"/>
          <w:sz w:val="20"/>
          <w:szCs w:val="20"/>
        </w:rPr>
        <w:t xml:space="preserve"> </w:t>
      </w:r>
    </w:p>
    <w:p w:rsidR="003216B9" w:rsidRDefault="00EE31A7" w:rsidP="0083520E">
      <w:pPr>
        <w:pStyle w:val="ListParagraph"/>
        <w:numPr>
          <w:ilvl w:val="0"/>
          <w:numId w:val="12"/>
        </w:numPr>
        <w:jc w:val="both"/>
        <w:rPr>
          <w:rFonts w:ascii="Gautami" w:hAnsi="Gautami" w:cs="Gautami"/>
          <w:sz w:val="20"/>
          <w:szCs w:val="20"/>
        </w:rPr>
      </w:pPr>
      <w:r>
        <w:rPr>
          <w:rFonts w:ascii="Gautami" w:hAnsi="Gautami" w:cs="Gautami"/>
          <w:sz w:val="20"/>
          <w:szCs w:val="20"/>
        </w:rPr>
        <w:lastRenderedPageBreak/>
        <w:t xml:space="preserve">The strategy relied on </w:t>
      </w:r>
      <w:r w:rsidR="003216B9" w:rsidRPr="003216B9">
        <w:rPr>
          <w:rFonts w:ascii="Gautami" w:hAnsi="Gautami" w:cs="Gautami"/>
          <w:sz w:val="20"/>
          <w:szCs w:val="20"/>
        </w:rPr>
        <w:t xml:space="preserve">rebidding late in the trading interval </w:t>
      </w:r>
      <w:r>
        <w:rPr>
          <w:rFonts w:ascii="Gautami" w:hAnsi="Gautami" w:cs="Gautami"/>
          <w:sz w:val="20"/>
          <w:szCs w:val="20"/>
        </w:rPr>
        <w:t xml:space="preserve">and </w:t>
      </w:r>
      <w:r w:rsidR="003216B9" w:rsidRPr="003216B9">
        <w:rPr>
          <w:rFonts w:ascii="Gautami" w:hAnsi="Gautami" w:cs="Gautami"/>
          <w:sz w:val="20"/>
          <w:szCs w:val="20"/>
        </w:rPr>
        <w:t xml:space="preserve">shifting capacity </w:t>
      </w:r>
      <w:r w:rsidR="000D0286">
        <w:rPr>
          <w:rFonts w:ascii="Gautami" w:hAnsi="Gautami" w:cs="Gautami"/>
          <w:sz w:val="20"/>
          <w:szCs w:val="20"/>
        </w:rPr>
        <w:t xml:space="preserve">into price bands </w:t>
      </w:r>
      <w:r w:rsidR="003216B9" w:rsidRPr="003216B9">
        <w:rPr>
          <w:rFonts w:ascii="Gautami" w:hAnsi="Gautami" w:cs="Gautami"/>
          <w:sz w:val="20"/>
          <w:szCs w:val="20"/>
        </w:rPr>
        <w:t xml:space="preserve">close to the market </w:t>
      </w:r>
      <w:r w:rsidR="000D0286">
        <w:rPr>
          <w:rFonts w:ascii="Gautami" w:hAnsi="Gautami" w:cs="Gautami"/>
          <w:sz w:val="20"/>
          <w:szCs w:val="20"/>
        </w:rPr>
        <w:t xml:space="preserve">price </w:t>
      </w:r>
      <w:r w:rsidR="003216B9" w:rsidRPr="003216B9">
        <w:rPr>
          <w:rFonts w:ascii="Gautami" w:hAnsi="Gautami" w:cs="Gautami"/>
          <w:sz w:val="20"/>
          <w:szCs w:val="20"/>
        </w:rPr>
        <w:t>cap</w:t>
      </w:r>
      <w:r w:rsidR="000D0286">
        <w:rPr>
          <w:rFonts w:ascii="Gautami" w:hAnsi="Gautami" w:cs="Gautami"/>
          <w:sz w:val="20"/>
          <w:szCs w:val="20"/>
        </w:rPr>
        <w:t>,</w:t>
      </w:r>
      <w:r w:rsidR="003216B9" w:rsidRPr="003216B9">
        <w:rPr>
          <w:rFonts w:ascii="Gautami" w:hAnsi="Gautami" w:cs="Gautami"/>
          <w:sz w:val="20"/>
          <w:szCs w:val="20"/>
        </w:rPr>
        <w:t xml:space="preserve"> </w:t>
      </w:r>
      <w:r w:rsidR="00001615">
        <w:rPr>
          <w:rFonts w:ascii="Gautami" w:hAnsi="Gautami" w:cs="Gautami"/>
          <w:sz w:val="20"/>
          <w:szCs w:val="20"/>
        </w:rPr>
        <w:t xml:space="preserve">resulting in very </w:t>
      </w:r>
      <w:r w:rsidR="003216B9" w:rsidRPr="003216B9">
        <w:rPr>
          <w:rFonts w:ascii="Gautami" w:hAnsi="Gautami" w:cs="Gautami"/>
          <w:sz w:val="20"/>
          <w:szCs w:val="20"/>
        </w:rPr>
        <w:t>little</w:t>
      </w:r>
      <w:r w:rsidR="00526547">
        <w:rPr>
          <w:rFonts w:ascii="Gautami" w:hAnsi="Gautami" w:cs="Gautami"/>
          <w:sz w:val="20"/>
          <w:szCs w:val="20"/>
        </w:rPr>
        <w:t>,</w:t>
      </w:r>
      <w:r w:rsidR="003216B9" w:rsidRPr="003216B9">
        <w:rPr>
          <w:rFonts w:ascii="Gautami" w:hAnsi="Gautami" w:cs="Gautami"/>
          <w:sz w:val="20"/>
          <w:szCs w:val="20"/>
        </w:rPr>
        <w:t xml:space="preserve"> or no</w:t>
      </w:r>
      <w:r w:rsidR="00526547">
        <w:rPr>
          <w:rFonts w:ascii="Gautami" w:hAnsi="Gautami" w:cs="Gautami"/>
          <w:sz w:val="20"/>
          <w:szCs w:val="20"/>
        </w:rPr>
        <w:t>,</w:t>
      </w:r>
      <w:r w:rsidR="003216B9" w:rsidRPr="003216B9">
        <w:rPr>
          <w:rFonts w:ascii="Gautami" w:hAnsi="Gautami" w:cs="Gautami"/>
          <w:sz w:val="20"/>
          <w:szCs w:val="20"/>
        </w:rPr>
        <w:t xml:space="preserve"> capacity </w:t>
      </w:r>
      <w:r w:rsidR="00001615">
        <w:rPr>
          <w:rFonts w:ascii="Gautami" w:hAnsi="Gautami" w:cs="Gautami"/>
          <w:sz w:val="20"/>
          <w:szCs w:val="20"/>
        </w:rPr>
        <w:t xml:space="preserve">being </w:t>
      </w:r>
      <w:r w:rsidR="003216B9" w:rsidRPr="003216B9">
        <w:rPr>
          <w:rFonts w:ascii="Gautami" w:hAnsi="Gautami" w:cs="Gautami"/>
          <w:sz w:val="20"/>
          <w:szCs w:val="20"/>
        </w:rPr>
        <w:t>offered at prices between $500/MWh and $</w:t>
      </w:r>
      <w:r w:rsidR="00B20448">
        <w:rPr>
          <w:rFonts w:ascii="Gautami" w:hAnsi="Gautami" w:cs="Gautami"/>
          <w:sz w:val="20"/>
          <w:szCs w:val="20"/>
        </w:rPr>
        <w:t>10 </w:t>
      </w:r>
      <w:r w:rsidR="003216B9" w:rsidRPr="003216B9">
        <w:rPr>
          <w:rFonts w:ascii="Gautami" w:hAnsi="Gautami" w:cs="Gautami"/>
          <w:sz w:val="20"/>
          <w:szCs w:val="20"/>
        </w:rPr>
        <w:t>000/MWh.</w:t>
      </w:r>
    </w:p>
    <w:p w:rsidR="00001615" w:rsidRDefault="00EE31A7" w:rsidP="0083520E">
      <w:pPr>
        <w:pStyle w:val="ListParagraph"/>
        <w:numPr>
          <w:ilvl w:val="0"/>
          <w:numId w:val="12"/>
        </w:numPr>
        <w:jc w:val="both"/>
        <w:rPr>
          <w:rFonts w:ascii="Gautami" w:hAnsi="Gautami" w:cs="Gautami"/>
          <w:sz w:val="20"/>
          <w:szCs w:val="20"/>
        </w:rPr>
      </w:pPr>
      <w:r w:rsidRPr="003216B9">
        <w:rPr>
          <w:rFonts w:ascii="Gautami" w:hAnsi="Gautami" w:cs="Gautami"/>
          <w:sz w:val="20"/>
          <w:szCs w:val="20"/>
        </w:rPr>
        <w:t xml:space="preserve">The </w:t>
      </w:r>
      <w:r>
        <w:rPr>
          <w:rFonts w:ascii="Gautami" w:hAnsi="Gautami" w:cs="Gautami"/>
          <w:sz w:val="20"/>
          <w:szCs w:val="20"/>
        </w:rPr>
        <w:t xml:space="preserve">most common </w:t>
      </w:r>
      <w:r w:rsidRPr="003216B9">
        <w:rPr>
          <w:rFonts w:ascii="Gautami" w:hAnsi="Gautami" w:cs="Gautami"/>
          <w:sz w:val="20"/>
          <w:szCs w:val="20"/>
        </w:rPr>
        <w:t xml:space="preserve">reason given for these rebids </w:t>
      </w:r>
      <w:r>
        <w:rPr>
          <w:rFonts w:ascii="Gautami" w:hAnsi="Gautami" w:cs="Gautami"/>
          <w:sz w:val="20"/>
          <w:szCs w:val="20"/>
        </w:rPr>
        <w:t xml:space="preserve">late in the trading interval </w:t>
      </w:r>
      <w:r w:rsidRPr="003216B9">
        <w:rPr>
          <w:rFonts w:ascii="Gautami" w:hAnsi="Gautami" w:cs="Gautami"/>
          <w:sz w:val="20"/>
          <w:szCs w:val="20"/>
        </w:rPr>
        <w:t>related to QNI being constrained</w:t>
      </w:r>
      <w:r>
        <w:rPr>
          <w:rFonts w:ascii="Gautami" w:hAnsi="Gautami" w:cs="Gautami"/>
          <w:sz w:val="20"/>
          <w:szCs w:val="20"/>
        </w:rPr>
        <w:t xml:space="preserve">, despite these constraints </w:t>
      </w:r>
      <w:r w:rsidR="00E26BAA">
        <w:rPr>
          <w:rFonts w:ascii="Gautami" w:hAnsi="Gautami" w:cs="Gautami"/>
          <w:sz w:val="20"/>
          <w:szCs w:val="20"/>
        </w:rPr>
        <w:t xml:space="preserve">binding a number of dispatch intervals before the rebid </w:t>
      </w:r>
      <w:r w:rsidR="000D0286">
        <w:rPr>
          <w:rFonts w:ascii="Gautami" w:hAnsi="Gautami" w:cs="Gautami"/>
          <w:sz w:val="20"/>
          <w:szCs w:val="20"/>
        </w:rPr>
        <w:t>and/</w:t>
      </w:r>
      <w:r w:rsidR="00E26BAA">
        <w:rPr>
          <w:rFonts w:ascii="Gautami" w:hAnsi="Gautami" w:cs="Gautami"/>
          <w:sz w:val="20"/>
          <w:szCs w:val="20"/>
        </w:rPr>
        <w:t xml:space="preserve">or </w:t>
      </w:r>
      <w:r>
        <w:rPr>
          <w:rFonts w:ascii="Gautami" w:hAnsi="Gautami" w:cs="Gautami"/>
          <w:sz w:val="20"/>
          <w:szCs w:val="20"/>
        </w:rPr>
        <w:t xml:space="preserve">being </w:t>
      </w:r>
      <w:r w:rsidR="00E26BAA">
        <w:rPr>
          <w:rFonts w:ascii="Gautami" w:hAnsi="Gautami" w:cs="Gautami"/>
          <w:sz w:val="20"/>
          <w:szCs w:val="20"/>
        </w:rPr>
        <w:t xml:space="preserve">flagged </w:t>
      </w:r>
      <w:r w:rsidR="00287314">
        <w:rPr>
          <w:rFonts w:ascii="Gautami" w:hAnsi="Gautami" w:cs="Gautami"/>
          <w:sz w:val="20"/>
          <w:szCs w:val="20"/>
        </w:rPr>
        <w:t xml:space="preserve">for some time </w:t>
      </w:r>
      <w:r w:rsidR="00E26BAA">
        <w:rPr>
          <w:rFonts w:ascii="Gautami" w:hAnsi="Gautami" w:cs="Gautami"/>
          <w:sz w:val="20"/>
          <w:szCs w:val="20"/>
        </w:rPr>
        <w:t>in the predispatch systems</w:t>
      </w:r>
      <w:r w:rsidRPr="003216B9">
        <w:rPr>
          <w:rFonts w:ascii="Gautami" w:hAnsi="Gautami" w:cs="Gautami"/>
          <w:sz w:val="20"/>
          <w:szCs w:val="20"/>
        </w:rPr>
        <w:t>.</w:t>
      </w:r>
      <w:r w:rsidR="00DC4B09">
        <w:rPr>
          <w:rFonts w:ascii="Gautami" w:hAnsi="Gautami" w:cs="Gautami"/>
          <w:sz w:val="20"/>
          <w:szCs w:val="20"/>
        </w:rPr>
        <w:t xml:space="preserve"> We note that </w:t>
      </w:r>
      <w:r>
        <w:rPr>
          <w:rFonts w:ascii="Gautami" w:hAnsi="Gautami" w:cs="Gautami"/>
          <w:sz w:val="20"/>
          <w:szCs w:val="20"/>
        </w:rPr>
        <w:t xml:space="preserve">flows north </w:t>
      </w:r>
      <w:r w:rsidRPr="003216B9">
        <w:rPr>
          <w:rFonts w:ascii="Gautami" w:hAnsi="Gautami" w:cs="Gautami"/>
          <w:sz w:val="20"/>
          <w:szCs w:val="20"/>
        </w:rPr>
        <w:t xml:space="preserve">into Queensland </w:t>
      </w:r>
      <w:r w:rsidR="00DC4B09">
        <w:rPr>
          <w:rFonts w:ascii="Gautami" w:hAnsi="Gautami" w:cs="Gautami"/>
          <w:sz w:val="20"/>
          <w:szCs w:val="20"/>
        </w:rPr>
        <w:t xml:space="preserve">can be </w:t>
      </w:r>
      <w:r>
        <w:rPr>
          <w:rFonts w:ascii="Gautami" w:hAnsi="Gautami" w:cs="Gautami"/>
          <w:sz w:val="20"/>
          <w:szCs w:val="20"/>
        </w:rPr>
        <w:t xml:space="preserve">limited </w:t>
      </w:r>
      <w:r w:rsidRPr="003216B9">
        <w:rPr>
          <w:rFonts w:ascii="Gautami" w:hAnsi="Gautami" w:cs="Gautami"/>
          <w:sz w:val="20"/>
          <w:szCs w:val="20"/>
        </w:rPr>
        <w:t>due to a system normal constraint</w:t>
      </w:r>
      <w:r>
        <w:rPr>
          <w:rFonts w:ascii="Gautami" w:hAnsi="Gautami" w:cs="Gautami"/>
          <w:sz w:val="20"/>
          <w:szCs w:val="20"/>
        </w:rPr>
        <w:t xml:space="preserve"> and can be as low as 20</w:t>
      </w:r>
      <w:r w:rsidRPr="003216B9">
        <w:rPr>
          <w:rFonts w:ascii="Gautami" w:hAnsi="Gautami" w:cs="Gautami"/>
          <w:sz w:val="20"/>
          <w:szCs w:val="20"/>
        </w:rPr>
        <w:t xml:space="preserve">0 MW </w:t>
      </w:r>
      <w:r>
        <w:rPr>
          <w:rFonts w:ascii="Gautami" w:hAnsi="Gautami" w:cs="Gautami"/>
          <w:sz w:val="20"/>
          <w:szCs w:val="20"/>
        </w:rPr>
        <w:t xml:space="preserve">depending on the output of </w:t>
      </w:r>
      <w:r w:rsidR="007772C6">
        <w:rPr>
          <w:rFonts w:ascii="Gautami" w:hAnsi="Gautami" w:cs="Gautami"/>
          <w:sz w:val="20"/>
          <w:szCs w:val="20"/>
        </w:rPr>
        <w:t>Kogan Creek</w:t>
      </w:r>
      <w:r>
        <w:rPr>
          <w:rFonts w:ascii="Gautami" w:hAnsi="Gautami" w:cs="Gautami"/>
          <w:sz w:val="20"/>
          <w:szCs w:val="20"/>
        </w:rPr>
        <w:t xml:space="preserve"> Power Station</w:t>
      </w:r>
      <w:r w:rsidR="00DC4B09">
        <w:rPr>
          <w:rFonts w:ascii="Gautami" w:hAnsi="Gautami" w:cs="Gautami"/>
          <w:sz w:val="20"/>
          <w:szCs w:val="20"/>
        </w:rPr>
        <w:t>.</w:t>
      </w:r>
    </w:p>
    <w:p w:rsidR="00803E41" w:rsidRDefault="006C3E50" w:rsidP="00803E41">
      <w:pPr>
        <w:pStyle w:val="ListParagraph"/>
        <w:numPr>
          <w:ilvl w:val="0"/>
          <w:numId w:val="12"/>
        </w:numPr>
        <w:jc w:val="both"/>
        <w:rPr>
          <w:rFonts w:ascii="Gautami" w:hAnsi="Gautami" w:cs="Gautami"/>
          <w:sz w:val="20"/>
          <w:szCs w:val="20"/>
        </w:rPr>
      </w:pPr>
      <w:r>
        <w:rPr>
          <w:rFonts w:ascii="Gautami" w:hAnsi="Gautami" w:cs="Gautami"/>
          <w:sz w:val="20"/>
          <w:szCs w:val="20"/>
        </w:rPr>
        <w:t xml:space="preserve">In December and early January, </w:t>
      </w:r>
      <w:r w:rsidR="00592903">
        <w:rPr>
          <w:rFonts w:ascii="Gautami" w:hAnsi="Gautami" w:cs="Gautami"/>
          <w:sz w:val="20"/>
          <w:szCs w:val="20"/>
        </w:rPr>
        <w:t xml:space="preserve">the volumes and prices rebid by </w:t>
      </w:r>
      <w:r w:rsidR="009E60F6">
        <w:rPr>
          <w:rFonts w:ascii="Gautami" w:hAnsi="Gautami" w:cs="Gautami"/>
          <w:sz w:val="20"/>
          <w:szCs w:val="20"/>
        </w:rPr>
        <w:t>CS </w:t>
      </w:r>
      <w:r w:rsidR="000014D6">
        <w:rPr>
          <w:rFonts w:ascii="Gautami" w:hAnsi="Gautami" w:cs="Gautami"/>
          <w:sz w:val="20"/>
          <w:szCs w:val="20"/>
        </w:rPr>
        <w:t>Energy</w:t>
      </w:r>
      <w:r w:rsidR="000250C9">
        <w:rPr>
          <w:rFonts w:ascii="Gautami" w:hAnsi="Gautami" w:cs="Gautami"/>
          <w:sz w:val="20"/>
          <w:szCs w:val="20"/>
        </w:rPr>
        <w:t xml:space="preserve"> </w:t>
      </w:r>
      <w:r w:rsidR="00592903">
        <w:rPr>
          <w:rFonts w:ascii="Gautami" w:hAnsi="Gautami" w:cs="Gautami"/>
          <w:sz w:val="20"/>
          <w:szCs w:val="20"/>
        </w:rPr>
        <w:t xml:space="preserve">caused significant changes to </w:t>
      </w:r>
      <w:r w:rsidR="000F0F7C">
        <w:rPr>
          <w:rFonts w:ascii="Gautami" w:hAnsi="Gautami" w:cs="Gautami"/>
          <w:sz w:val="20"/>
          <w:szCs w:val="20"/>
        </w:rPr>
        <w:t>the merit order in the region</w:t>
      </w:r>
      <w:r w:rsidR="00592903">
        <w:rPr>
          <w:rFonts w:ascii="Gautami" w:hAnsi="Gautami" w:cs="Gautami"/>
          <w:sz w:val="20"/>
          <w:szCs w:val="20"/>
        </w:rPr>
        <w:t xml:space="preserve">. Consequently, the dispatch engine </w:t>
      </w:r>
      <w:r w:rsidR="00CE0F6D">
        <w:rPr>
          <w:rFonts w:ascii="Gautami" w:hAnsi="Gautami" w:cs="Gautami"/>
          <w:sz w:val="20"/>
          <w:szCs w:val="20"/>
        </w:rPr>
        <w:t xml:space="preserve">(NEMDE) </w:t>
      </w:r>
      <w:r w:rsidR="00592903">
        <w:rPr>
          <w:rFonts w:ascii="Gautami" w:hAnsi="Gautami" w:cs="Gautami"/>
          <w:sz w:val="20"/>
          <w:szCs w:val="20"/>
        </w:rPr>
        <w:t>set new targets</w:t>
      </w:r>
      <w:r w:rsidR="00CE0F6D">
        <w:rPr>
          <w:rFonts w:ascii="Gautami" w:hAnsi="Gautami" w:cs="Gautami"/>
          <w:sz w:val="20"/>
          <w:szCs w:val="20"/>
        </w:rPr>
        <w:t>,</w:t>
      </w:r>
      <w:r w:rsidR="00592903">
        <w:rPr>
          <w:rFonts w:ascii="Gautami" w:hAnsi="Gautami" w:cs="Gautami"/>
          <w:sz w:val="20"/>
          <w:szCs w:val="20"/>
        </w:rPr>
        <w:t xml:space="preserve"> </w:t>
      </w:r>
      <w:r w:rsidR="000F0F7C">
        <w:rPr>
          <w:rFonts w:ascii="Gautami" w:hAnsi="Gautami" w:cs="Gautami"/>
          <w:sz w:val="20"/>
          <w:szCs w:val="20"/>
        </w:rPr>
        <w:t>and</w:t>
      </w:r>
      <w:r w:rsidR="000014D6">
        <w:rPr>
          <w:rFonts w:ascii="Gautami" w:hAnsi="Gautami" w:cs="Gautami"/>
          <w:sz w:val="20"/>
          <w:szCs w:val="20"/>
        </w:rPr>
        <w:t xml:space="preserve"> </w:t>
      </w:r>
      <w:r w:rsidR="00CE0F6D">
        <w:rPr>
          <w:rFonts w:ascii="Gautami" w:hAnsi="Gautami" w:cs="Gautami"/>
          <w:sz w:val="20"/>
          <w:szCs w:val="20"/>
        </w:rPr>
        <w:t xml:space="preserve">other </w:t>
      </w:r>
      <w:r w:rsidR="000014D6">
        <w:rPr>
          <w:rFonts w:ascii="Gautami" w:hAnsi="Gautami" w:cs="Gautami"/>
          <w:sz w:val="20"/>
          <w:szCs w:val="20"/>
        </w:rPr>
        <w:t xml:space="preserve">generators </w:t>
      </w:r>
      <w:r w:rsidR="00CE0F6D">
        <w:rPr>
          <w:rFonts w:ascii="Gautami" w:hAnsi="Gautami" w:cs="Gautami"/>
          <w:sz w:val="20"/>
          <w:szCs w:val="20"/>
        </w:rPr>
        <w:t xml:space="preserve">were </w:t>
      </w:r>
      <w:r w:rsidR="000014D6" w:rsidRPr="003216B9">
        <w:rPr>
          <w:rFonts w:ascii="Gautami" w:hAnsi="Gautami" w:cs="Gautami"/>
          <w:sz w:val="20"/>
          <w:szCs w:val="20"/>
        </w:rPr>
        <w:t>ramp</w:t>
      </w:r>
      <w:r w:rsidR="00DC4B09">
        <w:rPr>
          <w:rFonts w:ascii="Gautami" w:hAnsi="Gautami" w:cs="Gautami"/>
          <w:sz w:val="20"/>
          <w:szCs w:val="20"/>
        </w:rPr>
        <w:t>ed</w:t>
      </w:r>
      <w:r w:rsidR="000014D6" w:rsidRPr="003216B9">
        <w:rPr>
          <w:rFonts w:ascii="Gautami" w:hAnsi="Gautami" w:cs="Gautami"/>
          <w:sz w:val="20"/>
          <w:szCs w:val="20"/>
        </w:rPr>
        <w:t xml:space="preserve"> up</w:t>
      </w:r>
      <w:r w:rsidR="00CE0F6D">
        <w:rPr>
          <w:rFonts w:ascii="Gautami" w:hAnsi="Gautami" w:cs="Gautami"/>
          <w:sz w:val="20"/>
          <w:szCs w:val="20"/>
        </w:rPr>
        <w:t xml:space="preserve"> while the CS Energy generators were ramping down. </w:t>
      </w:r>
      <w:r w:rsidR="00DC4B09">
        <w:rPr>
          <w:rFonts w:ascii="Gautami" w:hAnsi="Gautami" w:cs="Gautami"/>
          <w:sz w:val="20"/>
          <w:szCs w:val="20"/>
        </w:rPr>
        <w:t xml:space="preserve"> </w:t>
      </w:r>
      <w:r w:rsidR="00CE0F6D">
        <w:rPr>
          <w:rFonts w:ascii="Gautami" w:hAnsi="Gautami" w:cs="Gautami"/>
          <w:sz w:val="20"/>
          <w:szCs w:val="20"/>
        </w:rPr>
        <w:t>The CS Energy portfolio includes the Wivenhoe and Gladstone power stations which provide the vast majority of the ramping capability in the region and as such to meet the new targets</w:t>
      </w:r>
      <w:r w:rsidR="000014D6">
        <w:rPr>
          <w:rFonts w:ascii="Gautami" w:hAnsi="Gautami" w:cs="Gautami"/>
          <w:sz w:val="20"/>
          <w:szCs w:val="20"/>
        </w:rPr>
        <w:t xml:space="preserve">, much higher priced capacity </w:t>
      </w:r>
      <w:r w:rsidR="00AC7F83">
        <w:rPr>
          <w:rFonts w:ascii="Gautami" w:hAnsi="Gautami" w:cs="Gautami"/>
          <w:sz w:val="20"/>
          <w:szCs w:val="20"/>
        </w:rPr>
        <w:t xml:space="preserve">was </w:t>
      </w:r>
      <w:r w:rsidR="000014D6">
        <w:rPr>
          <w:rFonts w:ascii="Gautami" w:hAnsi="Gautami" w:cs="Gautami"/>
          <w:sz w:val="20"/>
          <w:szCs w:val="20"/>
        </w:rPr>
        <w:t>dispatch</w:t>
      </w:r>
      <w:r w:rsidR="00287314">
        <w:rPr>
          <w:rFonts w:ascii="Gautami" w:hAnsi="Gautami" w:cs="Gautami"/>
          <w:sz w:val="20"/>
          <w:szCs w:val="20"/>
        </w:rPr>
        <w:t>ed</w:t>
      </w:r>
      <w:r w:rsidR="00CE0F6D">
        <w:rPr>
          <w:rFonts w:ascii="Gautami" w:hAnsi="Gautami" w:cs="Gautami"/>
          <w:sz w:val="20"/>
          <w:szCs w:val="20"/>
        </w:rPr>
        <w:t xml:space="preserve"> to meet these new targets</w:t>
      </w:r>
      <w:r w:rsidR="000014D6">
        <w:rPr>
          <w:rFonts w:ascii="Gautami" w:hAnsi="Gautami" w:cs="Gautami"/>
          <w:sz w:val="20"/>
          <w:szCs w:val="20"/>
        </w:rPr>
        <w:t>.</w:t>
      </w:r>
    </w:p>
    <w:p w:rsidR="00DC4B09" w:rsidRPr="00F74821" w:rsidRDefault="00803E41" w:rsidP="00DB2D34">
      <w:pPr>
        <w:pStyle w:val="ListParagraph"/>
        <w:numPr>
          <w:ilvl w:val="0"/>
          <w:numId w:val="12"/>
        </w:numPr>
        <w:jc w:val="both"/>
        <w:rPr>
          <w:rFonts w:ascii="Gautami" w:hAnsi="Gautami" w:cs="Gautami"/>
          <w:sz w:val="20"/>
          <w:szCs w:val="20"/>
        </w:rPr>
      </w:pPr>
      <w:r w:rsidRPr="00F74821">
        <w:rPr>
          <w:rFonts w:ascii="Gautami" w:hAnsi="Gautami" w:cs="Gautami"/>
          <w:sz w:val="20"/>
          <w:szCs w:val="20"/>
        </w:rPr>
        <w:t xml:space="preserve">Towards the end of the summer, </w:t>
      </w:r>
      <w:r w:rsidR="00A473EF" w:rsidRPr="00F74821">
        <w:rPr>
          <w:rFonts w:ascii="Gautami" w:hAnsi="Gautami" w:cs="Gautami"/>
          <w:sz w:val="20"/>
          <w:szCs w:val="20"/>
        </w:rPr>
        <w:t xml:space="preserve">some </w:t>
      </w:r>
      <w:r w:rsidRPr="00F74821">
        <w:rPr>
          <w:rFonts w:ascii="Gautami" w:hAnsi="Gautami" w:cs="Gautami"/>
          <w:sz w:val="20"/>
          <w:szCs w:val="20"/>
        </w:rPr>
        <w:t>o</w:t>
      </w:r>
      <w:r w:rsidR="00E26BAA" w:rsidRPr="00F74821">
        <w:rPr>
          <w:rFonts w:ascii="Gautami" w:hAnsi="Gautami" w:cs="Gautami"/>
          <w:sz w:val="20"/>
          <w:szCs w:val="20"/>
        </w:rPr>
        <w:t>the</w:t>
      </w:r>
      <w:r w:rsidR="000F0F7C" w:rsidRPr="00F74821">
        <w:rPr>
          <w:rFonts w:ascii="Gautami" w:hAnsi="Gautami" w:cs="Gautami"/>
          <w:sz w:val="20"/>
          <w:szCs w:val="20"/>
        </w:rPr>
        <w:t>r</w:t>
      </w:r>
      <w:r w:rsidR="00E26BAA" w:rsidRPr="00F74821">
        <w:rPr>
          <w:rFonts w:ascii="Gautami" w:hAnsi="Gautami" w:cs="Gautami"/>
          <w:sz w:val="20"/>
          <w:szCs w:val="20"/>
        </w:rPr>
        <w:t xml:space="preserve"> market </w:t>
      </w:r>
      <w:r w:rsidR="000F0F7C" w:rsidRPr="00F74821">
        <w:rPr>
          <w:rFonts w:ascii="Gautami" w:hAnsi="Gautami" w:cs="Gautami"/>
          <w:sz w:val="20"/>
          <w:szCs w:val="20"/>
        </w:rPr>
        <w:t xml:space="preserve">participants </w:t>
      </w:r>
      <w:r w:rsidR="00A473EF" w:rsidRPr="00F74821">
        <w:rPr>
          <w:rFonts w:ascii="Gautami" w:hAnsi="Gautami" w:cs="Gautami"/>
          <w:sz w:val="20"/>
          <w:szCs w:val="20"/>
        </w:rPr>
        <w:t>were also rebidding available capacity from low to high prices at times that sometimes coincided with those of CS</w:t>
      </w:r>
      <w:r w:rsidR="009E60F6" w:rsidRPr="00F74821">
        <w:rPr>
          <w:rFonts w:ascii="Gautami" w:hAnsi="Gautami" w:cs="Gautami"/>
          <w:sz w:val="20"/>
          <w:szCs w:val="20"/>
        </w:rPr>
        <w:t> </w:t>
      </w:r>
      <w:r w:rsidR="00A473EF" w:rsidRPr="00F74821">
        <w:rPr>
          <w:rFonts w:ascii="Gautami" w:hAnsi="Gautami" w:cs="Gautami"/>
          <w:sz w:val="20"/>
          <w:szCs w:val="20"/>
        </w:rPr>
        <w:t>Energy</w:t>
      </w:r>
      <w:r w:rsidR="00764C3A" w:rsidRPr="00F74821">
        <w:rPr>
          <w:rFonts w:ascii="Gautami" w:hAnsi="Gautami" w:cs="Gautami"/>
          <w:sz w:val="20"/>
          <w:szCs w:val="20"/>
        </w:rPr>
        <w:t>.</w:t>
      </w:r>
      <w:r w:rsidR="003216B9" w:rsidRPr="00F74821">
        <w:rPr>
          <w:rFonts w:ascii="Gautami" w:hAnsi="Gautami" w:cs="Gautami"/>
          <w:sz w:val="20"/>
          <w:szCs w:val="20"/>
        </w:rPr>
        <w:t xml:space="preserve"> </w:t>
      </w:r>
      <w:r w:rsidR="009E60F6" w:rsidRPr="00F74821">
        <w:rPr>
          <w:rFonts w:ascii="Gautami" w:hAnsi="Gautami" w:cs="Gautami"/>
          <w:sz w:val="20"/>
          <w:szCs w:val="20"/>
        </w:rPr>
        <w:t xml:space="preserve">Consequently, </w:t>
      </w:r>
      <w:r w:rsidRPr="00F74821">
        <w:rPr>
          <w:rFonts w:ascii="Gautami" w:hAnsi="Gautami" w:cs="Gautami"/>
          <w:sz w:val="20"/>
          <w:szCs w:val="20"/>
        </w:rPr>
        <w:t>the</w:t>
      </w:r>
      <w:r w:rsidR="00764C3A" w:rsidRPr="00F74821">
        <w:rPr>
          <w:rFonts w:ascii="Gautami" w:hAnsi="Gautami" w:cs="Gautami"/>
          <w:sz w:val="20"/>
          <w:szCs w:val="20"/>
        </w:rPr>
        <w:t xml:space="preserve">re was </w:t>
      </w:r>
      <w:r w:rsidR="006C3E50" w:rsidRPr="00F74821">
        <w:rPr>
          <w:rFonts w:ascii="Gautami" w:hAnsi="Gautami" w:cs="Gautami"/>
          <w:sz w:val="20"/>
          <w:szCs w:val="20"/>
        </w:rPr>
        <w:t xml:space="preserve">even </w:t>
      </w:r>
      <w:r w:rsidR="00764C3A" w:rsidRPr="00F74821">
        <w:rPr>
          <w:rFonts w:ascii="Gautami" w:hAnsi="Gautami" w:cs="Gautami"/>
          <w:sz w:val="20"/>
          <w:szCs w:val="20"/>
        </w:rPr>
        <w:t xml:space="preserve">less </w:t>
      </w:r>
      <w:r w:rsidRPr="00F74821">
        <w:rPr>
          <w:rFonts w:ascii="Gautami" w:hAnsi="Gautami" w:cs="Gautami"/>
          <w:sz w:val="20"/>
          <w:szCs w:val="20"/>
        </w:rPr>
        <w:t xml:space="preserve">low </w:t>
      </w:r>
      <w:r w:rsidR="009E60F6" w:rsidRPr="00F74821">
        <w:rPr>
          <w:rFonts w:ascii="Gautami" w:hAnsi="Gautami" w:cs="Gautami"/>
          <w:sz w:val="20"/>
          <w:szCs w:val="20"/>
        </w:rPr>
        <w:t xml:space="preserve">and medium </w:t>
      </w:r>
      <w:r w:rsidRPr="00F74821">
        <w:rPr>
          <w:rFonts w:ascii="Gautami" w:hAnsi="Gautami" w:cs="Gautami"/>
          <w:sz w:val="20"/>
          <w:szCs w:val="20"/>
        </w:rPr>
        <w:t>priced capacity available</w:t>
      </w:r>
      <w:r w:rsidR="009E60F6" w:rsidRPr="00F74821">
        <w:rPr>
          <w:rFonts w:ascii="Gautami" w:hAnsi="Gautami" w:cs="Gautami"/>
          <w:sz w:val="20"/>
          <w:szCs w:val="20"/>
        </w:rPr>
        <w:t xml:space="preserve"> and prices spiked more frequently</w:t>
      </w:r>
      <w:r w:rsidR="00764C3A" w:rsidRPr="00F74821">
        <w:rPr>
          <w:rFonts w:ascii="Gautami" w:hAnsi="Gautami" w:cs="Gautami"/>
          <w:sz w:val="20"/>
          <w:szCs w:val="20"/>
        </w:rPr>
        <w:t>.</w:t>
      </w:r>
      <w:r w:rsidRPr="00F74821">
        <w:rPr>
          <w:rFonts w:ascii="Gautami" w:hAnsi="Gautami" w:cs="Gautami"/>
          <w:sz w:val="20"/>
          <w:szCs w:val="20"/>
        </w:rPr>
        <w:t xml:space="preserve"> </w:t>
      </w:r>
      <w:r w:rsidR="009E60F6" w:rsidRPr="00F74821">
        <w:rPr>
          <w:rFonts w:ascii="Gautami" w:hAnsi="Gautami" w:cs="Gautami"/>
          <w:sz w:val="20"/>
          <w:szCs w:val="20"/>
        </w:rPr>
        <w:t xml:space="preserve">As a secondary </w:t>
      </w:r>
      <w:r w:rsidR="006C3E50" w:rsidRPr="00F74821">
        <w:rPr>
          <w:rFonts w:ascii="Gautami" w:hAnsi="Gautami" w:cs="Gautami"/>
          <w:sz w:val="20"/>
          <w:szCs w:val="20"/>
        </w:rPr>
        <w:t xml:space="preserve">effect </w:t>
      </w:r>
      <w:r w:rsidR="00764C3A" w:rsidRPr="00F74821">
        <w:rPr>
          <w:rFonts w:ascii="Gautami" w:hAnsi="Gautami" w:cs="Gautami"/>
          <w:sz w:val="20"/>
          <w:szCs w:val="20"/>
        </w:rPr>
        <w:t xml:space="preserve">the widespread rebidding </w:t>
      </w:r>
      <w:r w:rsidR="006C3E50" w:rsidRPr="00F74821">
        <w:rPr>
          <w:rFonts w:ascii="Gautami" w:hAnsi="Gautami" w:cs="Gautami"/>
          <w:sz w:val="20"/>
          <w:szCs w:val="20"/>
        </w:rPr>
        <w:t>reduced</w:t>
      </w:r>
      <w:r w:rsidR="00764C3A" w:rsidRPr="00F74821">
        <w:rPr>
          <w:rFonts w:ascii="Gautami" w:hAnsi="Gautami" w:cs="Gautami"/>
          <w:sz w:val="20"/>
          <w:szCs w:val="20"/>
        </w:rPr>
        <w:t xml:space="preserve"> the change to </w:t>
      </w:r>
      <w:r w:rsidR="00357351" w:rsidRPr="00F74821">
        <w:rPr>
          <w:rFonts w:ascii="Gautami" w:hAnsi="Gautami" w:cs="Gautami"/>
          <w:sz w:val="20"/>
          <w:szCs w:val="20"/>
        </w:rPr>
        <w:t>the merit order</w:t>
      </w:r>
      <w:r w:rsidR="006C3E50" w:rsidRPr="00F74821">
        <w:rPr>
          <w:rFonts w:ascii="Gautami" w:hAnsi="Gautami" w:cs="Gautami"/>
          <w:sz w:val="20"/>
          <w:szCs w:val="20"/>
        </w:rPr>
        <w:t xml:space="preserve"> and </w:t>
      </w:r>
      <w:r w:rsidR="00DB2D34" w:rsidRPr="00F74821">
        <w:rPr>
          <w:rFonts w:ascii="Gautami" w:hAnsi="Gautami" w:cs="Gautami"/>
          <w:sz w:val="20"/>
          <w:szCs w:val="20"/>
        </w:rPr>
        <w:t>less ramping appears to have been required</w:t>
      </w:r>
      <w:r w:rsidR="003216B9" w:rsidRPr="00F74821">
        <w:rPr>
          <w:rFonts w:ascii="Gautami" w:hAnsi="Gautami" w:cs="Gautami"/>
          <w:sz w:val="20"/>
          <w:szCs w:val="20"/>
        </w:rPr>
        <w:t>.</w:t>
      </w:r>
    </w:p>
    <w:p w:rsidR="00272E82" w:rsidRPr="00D25AD8" w:rsidRDefault="006C3E50" w:rsidP="0083520E">
      <w:pPr>
        <w:pStyle w:val="ListParagraph"/>
        <w:numPr>
          <w:ilvl w:val="0"/>
          <w:numId w:val="12"/>
        </w:numPr>
        <w:jc w:val="both"/>
        <w:rPr>
          <w:rFonts w:ascii="Gautami" w:hAnsi="Gautami" w:cs="Gautami"/>
          <w:sz w:val="20"/>
          <w:szCs w:val="20"/>
        </w:rPr>
      </w:pPr>
      <w:r>
        <w:rPr>
          <w:rFonts w:ascii="Gautami" w:hAnsi="Gautami" w:cs="Gautami"/>
          <w:sz w:val="20"/>
          <w:szCs w:val="20"/>
        </w:rPr>
        <w:t>Generally t</w:t>
      </w:r>
      <w:r w:rsidR="00272E82" w:rsidRPr="00D25AD8">
        <w:rPr>
          <w:rFonts w:ascii="Gautami" w:hAnsi="Gautami" w:cs="Gautami"/>
          <w:sz w:val="20"/>
          <w:szCs w:val="20"/>
        </w:rPr>
        <w:t xml:space="preserve">he </w:t>
      </w:r>
      <w:r>
        <w:rPr>
          <w:rFonts w:ascii="Gautami" w:hAnsi="Gautami" w:cs="Gautami"/>
          <w:sz w:val="20"/>
          <w:szCs w:val="20"/>
        </w:rPr>
        <w:t xml:space="preserve">normal day ahead and trading interval pre-dispatch forecasts did not predict the </w:t>
      </w:r>
      <w:r w:rsidR="000F0F7C">
        <w:rPr>
          <w:rFonts w:ascii="Gautami" w:hAnsi="Gautami" w:cs="Gautami"/>
          <w:sz w:val="20"/>
          <w:szCs w:val="20"/>
        </w:rPr>
        <w:t xml:space="preserve">prices </w:t>
      </w:r>
      <w:r>
        <w:rPr>
          <w:rFonts w:ascii="Gautami" w:hAnsi="Gautami" w:cs="Gautami"/>
          <w:sz w:val="20"/>
          <w:szCs w:val="20"/>
        </w:rPr>
        <w:t>spikes. The</w:t>
      </w:r>
      <w:r w:rsidR="0072622B">
        <w:rPr>
          <w:rFonts w:ascii="Gautami" w:hAnsi="Gautami" w:cs="Gautami"/>
          <w:sz w:val="20"/>
          <w:szCs w:val="20"/>
        </w:rPr>
        <w:t xml:space="preserve"> price spikes</w:t>
      </w:r>
      <w:r>
        <w:rPr>
          <w:rFonts w:ascii="Gautami" w:hAnsi="Gautami" w:cs="Gautami"/>
          <w:sz w:val="20"/>
          <w:szCs w:val="20"/>
        </w:rPr>
        <w:t xml:space="preserve"> </w:t>
      </w:r>
      <w:r w:rsidR="00272E82" w:rsidRPr="00D25AD8">
        <w:rPr>
          <w:rFonts w:ascii="Gautami" w:hAnsi="Gautami" w:cs="Gautami"/>
          <w:sz w:val="20"/>
          <w:szCs w:val="20"/>
        </w:rPr>
        <w:t>were of a short duration (5 or 10 minutes)</w:t>
      </w:r>
      <w:r>
        <w:rPr>
          <w:rFonts w:ascii="Gautami" w:hAnsi="Gautami" w:cs="Gautami"/>
          <w:sz w:val="20"/>
          <w:szCs w:val="20"/>
        </w:rPr>
        <w:t xml:space="preserve"> and</w:t>
      </w:r>
      <w:r w:rsidR="00272E82" w:rsidRPr="00D25AD8">
        <w:rPr>
          <w:rFonts w:ascii="Gautami" w:hAnsi="Gautami" w:cs="Gautami"/>
          <w:sz w:val="20"/>
          <w:szCs w:val="20"/>
        </w:rPr>
        <w:t xml:space="preserve"> </w:t>
      </w:r>
      <w:r w:rsidR="000014D6" w:rsidRPr="00D25AD8">
        <w:rPr>
          <w:rFonts w:ascii="Gautami" w:hAnsi="Gautami" w:cs="Gautami"/>
          <w:sz w:val="20"/>
          <w:szCs w:val="20"/>
        </w:rPr>
        <w:t xml:space="preserve">other market participants, in particular </w:t>
      </w:r>
      <w:r w:rsidR="00272E82" w:rsidRPr="00D25AD8">
        <w:rPr>
          <w:rFonts w:ascii="Gautami" w:hAnsi="Gautami" w:cs="Gautami"/>
          <w:sz w:val="20"/>
          <w:szCs w:val="20"/>
        </w:rPr>
        <w:t>fast start plant</w:t>
      </w:r>
      <w:r>
        <w:rPr>
          <w:rFonts w:ascii="Gautami" w:hAnsi="Gautami" w:cs="Gautami"/>
          <w:sz w:val="20"/>
          <w:szCs w:val="20"/>
        </w:rPr>
        <w:t xml:space="preserve"> and loads</w:t>
      </w:r>
      <w:r w:rsidR="000014D6" w:rsidRPr="00D25AD8">
        <w:rPr>
          <w:rFonts w:ascii="Gautami" w:hAnsi="Gautami" w:cs="Gautami"/>
          <w:sz w:val="20"/>
          <w:szCs w:val="20"/>
        </w:rPr>
        <w:t>,</w:t>
      </w:r>
      <w:r w:rsidR="00272E82" w:rsidRPr="00D25AD8">
        <w:rPr>
          <w:rFonts w:ascii="Gautami" w:hAnsi="Gautami" w:cs="Gautami"/>
          <w:sz w:val="20"/>
          <w:szCs w:val="20"/>
        </w:rPr>
        <w:t xml:space="preserve"> could not </w:t>
      </w:r>
      <w:r>
        <w:rPr>
          <w:rFonts w:ascii="Gautami" w:hAnsi="Gautami" w:cs="Gautami"/>
          <w:sz w:val="20"/>
          <w:szCs w:val="20"/>
        </w:rPr>
        <w:t>respond</w:t>
      </w:r>
      <w:r w:rsidR="000014D6" w:rsidRPr="00D25AD8">
        <w:rPr>
          <w:rFonts w:ascii="Gautami" w:hAnsi="Gautami" w:cs="Gautami"/>
          <w:sz w:val="20"/>
          <w:szCs w:val="20"/>
        </w:rPr>
        <w:t xml:space="preserve">. </w:t>
      </w:r>
      <w:r>
        <w:rPr>
          <w:rFonts w:ascii="Gautami" w:hAnsi="Gautami" w:cs="Gautami"/>
          <w:sz w:val="20"/>
          <w:szCs w:val="20"/>
        </w:rPr>
        <w:t xml:space="preserve">Depending on their offer price, </w:t>
      </w:r>
      <w:r w:rsidR="000014D6" w:rsidRPr="00D25AD8">
        <w:rPr>
          <w:rFonts w:ascii="Gautami" w:hAnsi="Gautami" w:cs="Gautami"/>
          <w:sz w:val="20"/>
          <w:szCs w:val="20"/>
        </w:rPr>
        <w:t>the</w:t>
      </w:r>
      <w:r>
        <w:rPr>
          <w:rFonts w:ascii="Gautami" w:hAnsi="Gautami" w:cs="Gautami"/>
          <w:sz w:val="20"/>
          <w:szCs w:val="20"/>
        </w:rPr>
        <w:t xml:space="preserve"> fast start </w:t>
      </w:r>
      <w:r w:rsidR="000014D6" w:rsidRPr="00D25AD8">
        <w:rPr>
          <w:rFonts w:ascii="Gautami" w:hAnsi="Gautami" w:cs="Gautami"/>
          <w:sz w:val="20"/>
          <w:szCs w:val="20"/>
        </w:rPr>
        <w:t xml:space="preserve">generators </w:t>
      </w:r>
      <w:r>
        <w:rPr>
          <w:rFonts w:ascii="Gautami" w:hAnsi="Gautami" w:cs="Gautami"/>
          <w:sz w:val="20"/>
          <w:szCs w:val="20"/>
        </w:rPr>
        <w:t xml:space="preserve">may have </w:t>
      </w:r>
      <w:r w:rsidR="00272E82" w:rsidRPr="00D25AD8">
        <w:rPr>
          <w:rFonts w:ascii="Gautami" w:hAnsi="Gautami" w:cs="Gautami"/>
          <w:sz w:val="20"/>
          <w:szCs w:val="20"/>
        </w:rPr>
        <w:t xml:space="preserve">received </w:t>
      </w:r>
      <w:r>
        <w:rPr>
          <w:rFonts w:ascii="Gautami" w:hAnsi="Gautami" w:cs="Gautami"/>
          <w:sz w:val="20"/>
          <w:szCs w:val="20"/>
        </w:rPr>
        <w:t xml:space="preserve">start </w:t>
      </w:r>
      <w:r w:rsidR="00272E82" w:rsidRPr="00D25AD8">
        <w:rPr>
          <w:rFonts w:ascii="Gautami" w:hAnsi="Gautami" w:cs="Gautami"/>
          <w:sz w:val="20"/>
          <w:szCs w:val="20"/>
        </w:rPr>
        <w:t>instruction</w:t>
      </w:r>
      <w:r>
        <w:rPr>
          <w:rFonts w:ascii="Gautami" w:hAnsi="Gautami" w:cs="Gautami"/>
          <w:sz w:val="20"/>
          <w:szCs w:val="20"/>
        </w:rPr>
        <w:t>s</w:t>
      </w:r>
      <w:r w:rsidR="000014D6" w:rsidRPr="00D25AD8">
        <w:rPr>
          <w:rFonts w:ascii="Gautami" w:hAnsi="Gautami" w:cs="Gautami"/>
          <w:sz w:val="20"/>
          <w:szCs w:val="20"/>
        </w:rPr>
        <w:t xml:space="preserve"> but, given the very short duration of the price spike </w:t>
      </w:r>
      <w:r>
        <w:rPr>
          <w:rFonts w:ascii="Gautami" w:hAnsi="Gautami" w:cs="Gautami"/>
          <w:sz w:val="20"/>
          <w:szCs w:val="20"/>
        </w:rPr>
        <w:t>the</w:t>
      </w:r>
      <w:r w:rsidR="0072622B">
        <w:rPr>
          <w:rFonts w:ascii="Gautami" w:hAnsi="Gautami" w:cs="Gautami"/>
          <w:sz w:val="20"/>
          <w:szCs w:val="20"/>
        </w:rPr>
        <w:t>y</w:t>
      </w:r>
      <w:r>
        <w:rPr>
          <w:rFonts w:ascii="Gautami" w:hAnsi="Gautami" w:cs="Gautami"/>
          <w:sz w:val="20"/>
          <w:szCs w:val="20"/>
        </w:rPr>
        <w:t xml:space="preserve"> elected to </w:t>
      </w:r>
      <w:r w:rsidR="000014D6" w:rsidRPr="00D25AD8">
        <w:rPr>
          <w:rFonts w:ascii="Gautami" w:hAnsi="Gautami" w:cs="Gautami"/>
          <w:sz w:val="20"/>
          <w:szCs w:val="20"/>
        </w:rPr>
        <w:t xml:space="preserve">either </w:t>
      </w:r>
      <w:r w:rsidR="00DA5D44">
        <w:rPr>
          <w:rFonts w:ascii="Gautami" w:hAnsi="Gautami" w:cs="Gautami"/>
          <w:sz w:val="20"/>
          <w:szCs w:val="20"/>
        </w:rPr>
        <w:t xml:space="preserve">operate for longer periods in case price spikes occurred or </w:t>
      </w:r>
      <w:r w:rsidR="00272E82" w:rsidRPr="00D25AD8">
        <w:rPr>
          <w:rFonts w:ascii="Gautami" w:hAnsi="Gautami" w:cs="Gautami"/>
          <w:sz w:val="20"/>
          <w:szCs w:val="20"/>
        </w:rPr>
        <w:t xml:space="preserve">rebid </w:t>
      </w:r>
      <w:r>
        <w:rPr>
          <w:rFonts w:ascii="Gautami" w:hAnsi="Gautami" w:cs="Gautami"/>
          <w:sz w:val="20"/>
          <w:szCs w:val="20"/>
        </w:rPr>
        <w:t xml:space="preserve">to higher prices </w:t>
      </w:r>
      <w:r w:rsidR="00272E82" w:rsidRPr="00D25AD8">
        <w:rPr>
          <w:rFonts w:ascii="Gautami" w:hAnsi="Gautami" w:cs="Gautami"/>
          <w:sz w:val="20"/>
          <w:szCs w:val="20"/>
        </w:rPr>
        <w:t xml:space="preserve">to avoid </w:t>
      </w:r>
      <w:r w:rsidR="00CA1F0B">
        <w:rPr>
          <w:rFonts w:ascii="Gautami" w:hAnsi="Gautami" w:cs="Gautami"/>
          <w:sz w:val="20"/>
          <w:szCs w:val="20"/>
        </w:rPr>
        <w:t xml:space="preserve">the </w:t>
      </w:r>
      <w:r w:rsidR="00272E82" w:rsidRPr="00D25AD8">
        <w:rPr>
          <w:rFonts w:ascii="Gautami" w:hAnsi="Gautami" w:cs="Gautami"/>
          <w:sz w:val="20"/>
          <w:szCs w:val="20"/>
        </w:rPr>
        <w:t>start.</w:t>
      </w:r>
    </w:p>
    <w:p w:rsidR="00471109" w:rsidRDefault="003216B9" w:rsidP="00471109">
      <w:r w:rsidRPr="007C1CC0">
        <w:t>T</w:t>
      </w:r>
      <w:r w:rsidR="00831D9E">
        <w:t xml:space="preserve">he average price in Queensland for the summer period was $68.77/MWh. </w:t>
      </w:r>
      <w:r w:rsidR="00831D9E" w:rsidRPr="007C1CC0">
        <w:t xml:space="preserve">If the 50 short-term price spikes are excluded, the average price for the </w:t>
      </w:r>
      <w:r w:rsidR="00831D9E">
        <w:t>period</w:t>
      </w:r>
      <w:r w:rsidR="00831D9E" w:rsidRPr="007C1CC0">
        <w:t xml:space="preserve"> drops by $14.66</w:t>
      </w:r>
      <w:r w:rsidR="00831D9E">
        <w:t xml:space="preserve"> to $56.10/MWh</w:t>
      </w:r>
      <w:r w:rsidR="00831D9E" w:rsidRPr="007C1CC0">
        <w:t xml:space="preserve">. </w:t>
      </w:r>
      <w:r w:rsidR="00471109">
        <w:t>As we have discussed in previous reports on the volatility in Queensland, variability in spot prices can influence forward contract prices which ultimately flow through to end consumers’ bills.</w:t>
      </w:r>
    </w:p>
    <w:p w:rsidR="00831D9E" w:rsidRDefault="00831D9E" w:rsidP="003216B9"/>
    <w:p w:rsidR="007C1CC0" w:rsidRDefault="00831D9E" w:rsidP="003216B9">
      <w:r>
        <w:t>T</w:t>
      </w:r>
      <w:r w:rsidR="00DB2D34">
        <w:t>he behaviour highlighted in this analysis</w:t>
      </w:r>
      <w:r w:rsidR="003216B9" w:rsidRPr="007C1CC0">
        <w:t xml:space="preserve"> </w:t>
      </w:r>
      <w:r w:rsidR="00CA1F0B" w:rsidRPr="007C1CC0">
        <w:t>raises a number of concerns</w:t>
      </w:r>
      <w:r w:rsidR="003216B9" w:rsidRPr="007C1CC0">
        <w:t xml:space="preserve">. </w:t>
      </w:r>
      <w:r w:rsidR="00526547">
        <w:t xml:space="preserve">Rebidding </w:t>
      </w:r>
      <w:r w:rsidR="003038E8">
        <w:t xml:space="preserve">that produces short term price spikes (5 or 10 minutes in duration) </w:t>
      </w:r>
      <w:r w:rsidR="00526547">
        <w:t>cl</w:t>
      </w:r>
      <w:r w:rsidR="004C16B2">
        <w:t>ose to the time of dispatch and/</w:t>
      </w:r>
      <w:r w:rsidR="00526547">
        <w:t>or late in a trading interval</w:t>
      </w:r>
      <w:r w:rsidR="00690E10">
        <w:t xml:space="preserve"> effectively precludes a competitive reaction from some generators and loads</w:t>
      </w:r>
      <w:r w:rsidR="003038E8">
        <w:t xml:space="preserve">. Efficient </w:t>
      </w:r>
      <w:r w:rsidR="00CA1F0B" w:rsidRPr="007C1CC0">
        <w:t xml:space="preserve">market </w:t>
      </w:r>
      <w:r w:rsidR="003038E8">
        <w:t xml:space="preserve">dispatch also </w:t>
      </w:r>
      <w:r w:rsidR="00CA1F0B" w:rsidRPr="007C1CC0">
        <w:t xml:space="preserve">relies on quality </w:t>
      </w:r>
      <w:r w:rsidR="00DC4B09" w:rsidRPr="007C1CC0">
        <w:t xml:space="preserve">forecast </w:t>
      </w:r>
      <w:r w:rsidR="00CA1F0B" w:rsidRPr="007C1CC0">
        <w:t>information being available to all participants. The circumstances and rebidding behaviour identified in Queensland during the summer period</w:t>
      </w:r>
      <w:r w:rsidR="00DC4B09" w:rsidRPr="007C1CC0">
        <w:t xml:space="preserve"> </w:t>
      </w:r>
      <w:r w:rsidR="00CA1F0B" w:rsidRPr="007C1CC0">
        <w:t xml:space="preserve">makes the information contained in the forecasting systems </w:t>
      </w:r>
      <w:r w:rsidR="00DC4B09" w:rsidRPr="007C1CC0">
        <w:t>less useful</w:t>
      </w:r>
      <w:r w:rsidR="00D25AD8" w:rsidRPr="007C1CC0">
        <w:t xml:space="preserve">, compromising the efficiency of dispatch </w:t>
      </w:r>
      <w:r w:rsidR="00287314" w:rsidRPr="007C1CC0">
        <w:t xml:space="preserve">and </w:t>
      </w:r>
      <w:r w:rsidR="00D25AD8" w:rsidRPr="007C1CC0">
        <w:t xml:space="preserve">resulting in </w:t>
      </w:r>
      <w:r w:rsidR="00287314" w:rsidRPr="007C1CC0">
        <w:t xml:space="preserve">artificially high </w:t>
      </w:r>
      <w:r w:rsidR="00D25AD8" w:rsidRPr="007C1CC0">
        <w:t xml:space="preserve">spot prices. </w:t>
      </w:r>
    </w:p>
    <w:p w:rsidR="007C1CC0" w:rsidRDefault="007C1CC0" w:rsidP="003216B9"/>
    <w:p w:rsidR="00D25AD8" w:rsidRPr="007C1CC0" w:rsidRDefault="00D25AD8" w:rsidP="003216B9">
      <w:r w:rsidRPr="007C1CC0">
        <w:t xml:space="preserve">The AER </w:t>
      </w:r>
      <w:r w:rsidR="003D0A9E" w:rsidRPr="007C1CC0">
        <w:t xml:space="preserve">is examining </w:t>
      </w:r>
      <w:r w:rsidRPr="007C1CC0">
        <w:t>whether rebidding during this period is consistent with the requirements of the Rules.</w:t>
      </w:r>
    </w:p>
    <w:p w:rsidR="00D25AD8" w:rsidRDefault="00D25AD8" w:rsidP="003216B9"/>
    <w:p w:rsidR="00A24990" w:rsidRPr="004520BD" w:rsidRDefault="00A24990" w:rsidP="00F479CF">
      <w:pPr>
        <w:pStyle w:val="Heading3"/>
      </w:pPr>
      <w:r w:rsidRPr="00B339F4">
        <w:t>Analysis</w:t>
      </w:r>
    </w:p>
    <w:p w:rsidR="00A24990" w:rsidRDefault="00A24990" w:rsidP="00A24990">
      <w:pPr>
        <w:rPr>
          <w:lang w:eastAsia="en-US"/>
        </w:rPr>
      </w:pPr>
      <w:r>
        <w:t>Our analysis centred on the 50 occasions over the summer period where the dispatch price exceeded $1000/MWh</w:t>
      </w:r>
      <w:r w:rsidR="000F0F7C">
        <w:t xml:space="preserve"> as shown in </w:t>
      </w:r>
      <w:r w:rsidR="0083520E">
        <w:fldChar w:fldCharType="begin"/>
      </w:r>
      <w:r w:rsidR="0083520E">
        <w:instrText xml:space="preserve"> REF _Ref383776478 \h </w:instrText>
      </w:r>
      <w:r w:rsidR="0083520E">
        <w:fldChar w:fldCharType="separate"/>
      </w:r>
      <w:r w:rsidR="005F3C47">
        <w:t xml:space="preserve">Spotlight Figure </w:t>
      </w:r>
      <w:r w:rsidR="005F3C47">
        <w:rPr>
          <w:noProof/>
        </w:rPr>
        <w:t>1</w:t>
      </w:r>
      <w:r w:rsidR="0083520E">
        <w:fldChar w:fldCharType="end"/>
      </w:r>
      <w:r w:rsidR="0083520E">
        <w:t xml:space="preserve">. </w:t>
      </w:r>
      <w:r>
        <w:t xml:space="preserve">This pricing value was chosen as it represents a significant departure from the typical market price. </w:t>
      </w:r>
      <w:r w:rsidR="000F0F7C">
        <w:t>T</w:t>
      </w:r>
      <w:r>
        <w:rPr>
          <w:lang w:eastAsia="en-US"/>
        </w:rPr>
        <w:t xml:space="preserve">he number of dispatch intervals where the spot price exceeded $1000/MWh </w:t>
      </w:r>
      <w:r w:rsidR="000F0F7C">
        <w:rPr>
          <w:lang w:eastAsia="en-US"/>
        </w:rPr>
        <w:t xml:space="preserve">is </w:t>
      </w:r>
      <w:r>
        <w:rPr>
          <w:lang w:eastAsia="en-US"/>
        </w:rPr>
        <w:t xml:space="preserve">shown next to the price spikes. </w:t>
      </w:r>
    </w:p>
    <w:p w:rsidR="000F0F7C" w:rsidRDefault="000F0F7C" w:rsidP="00A24990">
      <w:pPr>
        <w:rPr>
          <w:lang w:eastAsia="en-US"/>
        </w:rPr>
      </w:pPr>
    </w:p>
    <w:p w:rsidR="000657BB" w:rsidRDefault="000657BB" w:rsidP="000657BB">
      <w:pPr>
        <w:pStyle w:val="Caption"/>
        <w:rPr>
          <w:lang w:eastAsia="en-US"/>
        </w:rPr>
      </w:pPr>
      <w:bookmarkStart w:id="7" w:name="_Ref383776478"/>
      <w:bookmarkStart w:id="8" w:name="_Ref383776474"/>
      <w:r w:rsidRPr="000657BB">
        <w:rPr>
          <w:noProof/>
        </w:rPr>
        <w:lastRenderedPageBreak/>
        <w:drawing>
          <wp:anchor distT="0" distB="0" distL="114300" distR="114300" simplePos="0" relativeHeight="251736064" behindDoc="0" locked="1" layoutInCell="0" allowOverlap="0" wp14:anchorId="5B1C27F7" wp14:editId="623607E5">
            <wp:simplePos x="0" y="0"/>
            <wp:positionH relativeFrom="column">
              <wp:posOffset>0</wp:posOffset>
            </wp:positionH>
            <wp:positionV relativeFrom="paragraph">
              <wp:posOffset>271780</wp:posOffset>
            </wp:positionV>
            <wp:extent cx="5818505" cy="2534920"/>
            <wp:effectExtent l="0" t="0" r="0" b="0"/>
            <wp:wrapTopAndBottom/>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8505" cy="25349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Spotlight Figure </w:t>
      </w:r>
      <w:fldSimple w:instr=" SEQ Spotlight_Figure \* ARABIC ">
        <w:r w:rsidR="005F3C47">
          <w:rPr>
            <w:noProof/>
          </w:rPr>
          <w:t>1</w:t>
        </w:r>
      </w:fldSimple>
      <w:bookmarkEnd w:id="7"/>
      <w:r>
        <w:t>:</w:t>
      </w:r>
      <w:r w:rsidRPr="000657BB">
        <w:t xml:space="preserve"> </w:t>
      </w:r>
      <w:r w:rsidRPr="00CA32C4">
        <w:t>Dispatch price ($/MWh) in Queensland for the summer period</w:t>
      </w:r>
      <w:bookmarkEnd w:id="8"/>
    </w:p>
    <w:p w:rsidR="000657BB" w:rsidRDefault="000657BB" w:rsidP="000657BB">
      <w:pPr>
        <w:pStyle w:val="AERbodytext"/>
      </w:pPr>
    </w:p>
    <w:p w:rsidR="00101A4E" w:rsidRDefault="00CB4D3C" w:rsidP="000657BB">
      <w:pPr>
        <w:pStyle w:val="AERbodytext"/>
      </w:pPr>
      <w:r>
        <w:t>Our analysis considered</w:t>
      </w:r>
      <w:r w:rsidR="000F0F7C">
        <w:t xml:space="preserve"> a number of factors that could foreseeably </w:t>
      </w:r>
      <w:r w:rsidR="000657BB">
        <w:t>contribut</w:t>
      </w:r>
      <w:r w:rsidR="00101A4E">
        <w:t xml:space="preserve">e </w:t>
      </w:r>
      <w:r w:rsidR="000F0F7C">
        <w:t>to the high prices. These included</w:t>
      </w:r>
      <w:r>
        <w:t xml:space="preserve">: </w:t>
      </w:r>
      <w:r w:rsidR="00101A4E">
        <w:t>demand, generator availability, rebidding,</w:t>
      </w:r>
      <w:r>
        <w:t xml:space="preserve"> interconnector capability, and generator ramp rates.</w:t>
      </w:r>
    </w:p>
    <w:p w:rsidR="00101A4E" w:rsidRPr="004520BD" w:rsidRDefault="00101A4E" w:rsidP="00101A4E">
      <w:pPr>
        <w:pStyle w:val="Heading3"/>
        <w:rPr>
          <w:sz w:val="22"/>
          <w:lang w:eastAsia="en-US"/>
        </w:rPr>
      </w:pPr>
      <w:r>
        <w:rPr>
          <w:sz w:val="22"/>
          <w:lang w:eastAsia="en-US"/>
        </w:rPr>
        <w:t>Demand and Generator Availability</w:t>
      </w:r>
    </w:p>
    <w:p w:rsidR="00CB4D3C" w:rsidRDefault="007C1CC0" w:rsidP="000657BB">
      <w:pPr>
        <w:pStyle w:val="AERbodytext"/>
      </w:pPr>
      <w:r>
        <w:t xml:space="preserve">Demand during the period </w:t>
      </w:r>
      <w:r w:rsidR="000250C9">
        <w:t>wa</w:t>
      </w:r>
      <w:r>
        <w:t>s as would have been expected given the weather conditions. Similarly, other than the reductions listed in the medium and short term projected assessment of system adequacy (MTPASA and STPASA)</w:t>
      </w:r>
      <w:r w:rsidR="006C1733">
        <w:t>,</w:t>
      </w:r>
      <w:r w:rsidR="00D013E6">
        <w:t xml:space="preserve"> generator availability was consistent with expectations.</w:t>
      </w:r>
    </w:p>
    <w:p w:rsidR="00CB4D3C" w:rsidRPr="004520BD" w:rsidRDefault="00CB4D3C" w:rsidP="00CB4D3C">
      <w:pPr>
        <w:pStyle w:val="Heading3"/>
        <w:rPr>
          <w:sz w:val="22"/>
          <w:lang w:eastAsia="en-US"/>
        </w:rPr>
      </w:pPr>
      <w:r w:rsidRPr="004520BD">
        <w:rPr>
          <w:sz w:val="22"/>
          <w:lang w:eastAsia="en-US"/>
        </w:rPr>
        <w:t>Rebidding</w:t>
      </w:r>
    </w:p>
    <w:p w:rsidR="00CB4D3C" w:rsidRDefault="00CB4D3C" w:rsidP="00CB4D3C">
      <w:pPr>
        <w:spacing w:after="120"/>
        <w:rPr>
          <w:lang w:eastAsia="en-US"/>
        </w:rPr>
      </w:pPr>
      <w:r>
        <w:rPr>
          <w:lang w:eastAsia="en-US"/>
        </w:rPr>
        <w:t>As the first step in our analysis we examined the relevant rebids. We observed that:</w:t>
      </w:r>
    </w:p>
    <w:p w:rsidR="009A18E4" w:rsidRDefault="009A18E4" w:rsidP="00101A4E">
      <w:pPr>
        <w:pStyle w:val="NUMBEREDLIST"/>
      </w:pPr>
      <w:r>
        <w:t>Timing and magnitude of the rebids was important.</w:t>
      </w:r>
    </w:p>
    <w:p w:rsidR="00CB4D3C" w:rsidRPr="00487125" w:rsidRDefault="00CB4D3C" w:rsidP="009A18E4">
      <w:pPr>
        <w:pStyle w:val="ListBullet22"/>
        <w:numPr>
          <w:ilvl w:val="1"/>
          <w:numId w:val="1"/>
        </w:numPr>
        <w:spacing w:after="0"/>
      </w:pPr>
      <w:r w:rsidRPr="00487125">
        <w:t>many rebids became effective</w:t>
      </w:r>
      <w:r w:rsidR="00487125" w:rsidRPr="00487125">
        <w:rPr>
          <w:rStyle w:val="FootnoteReference"/>
        </w:rPr>
        <w:footnoteReference w:id="2"/>
      </w:r>
      <w:r w:rsidRPr="00487125">
        <w:t xml:space="preserve"> close to the time of the high price</w:t>
      </w:r>
    </w:p>
    <w:p w:rsidR="00CB4D3C" w:rsidRDefault="00CB4D3C" w:rsidP="009A18E4">
      <w:pPr>
        <w:pStyle w:val="ListBullet22"/>
        <w:numPr>
          <w:ilvl w:val="1"/>
          <w:numId w:val="1"/>
        </w:numPr>
        <w:spacing w:after="0"/>
      </w:pPr>
      <w:r>
        <w:t>many rebids were made late in the trading interval</w:t>
      </w:r>
    </w:p>
    <w:p w:rsidR="00CB4D3C" w:rsidRDefault="00CB4D3C" w:rsidP="00101A4E">
      <w:pPr>
        <w:pStyle w:val="NUMBEREDLIST"/>
      </w:pPr>
      <w:r>
        <w:t>most rebid reasons related to the QNI interconnector being constrained or forecast to be so</w:t>
      </w:r>
    </w:p>
    <w:p w:rsidR="00CB4D3C" w:rsidRDefault="00CB4D3C" w:rsidP="00101A4E">
      <w:pPr>
        <w:pStyle w:val="NUMBEREDLIST"/>
      </w:pPr>
      <w:r>
        <w:t>the rebidding was repeated frequently.</w:t>
      </w:r>
    </w:p>
    <w:p w:rsidR="00CB4D3C" w:rsidRDefault="00CB4D3C" w:rsidP="00CB4D3C">
      <w:pPr>
        <w:pStyle w:val="ListBullet22"/>
        <w:numPr>
          <w:ilvl w:val="0"/>
          <w:numId w:val="0"/>
        </w:numPr>
        <w:spacing w:after="0"/>
      </w:pPr>
    </w:p>
    <w:p w:rsidR="00CB4D3C" w:rsidRPr="004520BD" w:rsidRDefault="00CB4D3C" w:rsidP="00CB4D3C">
      <w:pPr>
        <w:spacing w:after="120"/>
        <w:rPr>
          <w:b/>
          <w:i/>
          <w:lang w:eastAsia="en-US"/>
        </w:rPr>
      </w:pPr>
      <w:r w:rsidRPr="004520BD">
        <w:rPr>
          <w:b/>
          <w:i/>
          <w:lang w:eastAsia="en-US"/>
        </w:rPr>
        <w:t>Analysis of observations</w:t>
      </w:r>
    </w:p>
    <w:p w:rsidR="009A18E4" w:rsidRDefault="00CB4D3C" w:rsidP="00CB4D3C">
      <w:pPr>
        <w:pStyle w:val="Heading4"/>
      </w:pPr>
      <w:r w:rsidRPr="00CB4D3C">
        <w:t xml:space="preserve">Timing </w:t>
      </w:r>
      <w:r w:rsidR="009A18E4">
        <w:t xml:space="preserve">and magnitude </w:t>
      </w:r>
      <w:r w:rsidR="006748D9">
        <w:t>a</w:t>
      </w:r>
      <w:r w:rsidR="009A18E4">
        <w:t xml:space="preserve">nalysis </w:t>
      </w:r>
    </w:p>
    <w:p w:rsidR="00CB4D3C" w:rsidRDefault="009A18E4" w:rsidP="009A18E4">
      <w:pPr>
        <w:pStyle w:val="AERbodytext"/>
      </w:pPr>
      <w:r>
        <w:t xml:space="preserve">The timing of the rebids with respect to the time that the high price is set is an important consideration </w:t>
      </w:r>
      <w:r w:rsidR="006C1733">
        <w:t xml:space="preserve">as it affects </w:t>
      </w:r>
      <w:r>
        <w:t>the amount of forward notice that other participants have of a change in conditions.  Two aspects of the timing</w:t>
      </w:r>
      <w:r w:rsidR="00D76F78">
        <w:t>;</w:t>
      </w:r>
      <w:r>
        <w:t xml:space="preserve"> </w:t>
      </w:r>
      <w:r w:rsidR="0010735F">
        <w:t>t</w:t>
      </w:r>
      <w:r>
        <w:t xml:space="preserve">he time prior to dispatch </w:t>
      </w:r>
      <w:r w:rsidR="0010735F">
        <w:t>and the time that the rebid occurs within the trading interval, are both important factors to consider.</w:t>
      </w:r>
    </w:p>
    <w:p w:rsidR="00E27EED" w:rsidRDefault="006C1733" w:rsidP="00E27EED">
      <w:r>
        <w:t xml:space="preserve">For </w:t>
      </w:r>
      <w:r w:rsidRPr="00D76F78">
        <w:t>dispatch price</w:t>
      </w:r>
      <w:r>
        <w:t>s</w:t>
      </w:r>
      <w:r w:rsidRPr="00D76F78">
        <w:t xml:space="preserve"> greater than $1000/MWh </w:t>
      </w:r>
      <w:r w:rsidRPr="002F1F62">
        <w:t>and where the rebid volume was greater than 100</w:t>
      </w:r>
      <w:r w:rsidRPr="002F1F62">
        <w:rPr>
          <w:rFonts w:hint="eastAsia"/>
        </w:rPr>
        <w:t> </w:t>
      </w:r>
      <w:r w:rsidRPr="002F1F62">
        <w:t>MW</w:t>
      </w:r>
      <w:r w:rsidRPr="002F1F62">
        <w:rPr>
          <w:rStyle w:val="FootnoteReference"/>
        </w:rPr>
        <w:footnoteReference w:id="3"/>
      </w:r>
      <w:r>
        <w:t xml:space="preserve">, </w:t>
      </w:r>
      <w:r w:rsidR="00F479CF">
        <w:fldChar w:fldCharType="begin"/>
      </w:r>
      <w:r w:rsidR="00F479CF">
        <w:instrText xml:space="preserve"> REF _Ref384032418 \h </w:instrText>
      </w:r>
      <w:r w:rsidR="00F479CF">
        <w:fldChar w:fldCharType="separate"/>
      </w:r>
      <w:r w:rsidR="005F3C47">
        <w:t xml:space="preserve">Spotlight Table </w:t>
      </w:r>
      <w:r w:rsidR="005F3C47">
        <w:rPr>
          <w:noProof/>
        </w:rPr>
        <w:t>1</w:t>
      </w:r>
      <w:r w:rsidR="00F479CF">
        <w:fldChar w:fldCharType="end"/>
      </w:r>
      <w:r w:rsidR="00F479CF">
        <w:t xml:space="preserve"> </w:t>
      </w:r>
      <w:r w:rsidR="00CB4D3C">
        <w:t xml:space="preserve">shows how many minutes prior to dispatch the rebids became effective and the </w:t>
      </w:r>
      <w:r w:rsidR="00CB4D3C" w:rsidRPr="00D76F78">
        <w:t>average magnitude</w:t>
      </w:r>
      <w:r w:rsidR="00CB4D3C" w:rsidRPr="00D76F78">
        <w:rPr>
          <w:rStyle w:val="FootnoteReference"/>
        </w:rPr>
        <w:footnoteReference w:id="4"/>
      </w:r>
      <w:r w:rsidR="00CB4D3C" w:rsidRPr="00D76F78">
        <w:t xml:space="preserve"> of the rebid</w:t>
      </w:r>
      <w:r w:rsidR="00CB4D3C" w:rsidRPr="002F1F62">
        <w:t xml:space="preserve">. </w:t>
      </w:r>
      <w:r>
        <w:t>O</w:t>
      </w:r>
      <w:r w:rsidR="00D76F78" w:rsidRPr="002F1F62">
        <w:t xml:space="preserve">nly events where the rebids were made within the trading interval </w:t>
      </w:r>
      <w:r>
        <w:t>were included</w:t>
      </w:r>
      <w:r w:rsidR="00FC1E70">
        <w:rPr>
          <w:rStyle w:val="FootnoteReference"/>
        </w:rPr>
        <w:footnoteReference w:id="5"/>
      </w:r>
      <w:r>
        <w:t xml:space="preserve">, </w:t>
      </w:r>
      <w:r w:rsidR="00D76F78" w:rsidRPr="002F1F62">
        <w:t xml:space="preserve">as these </w:t>
      </w:r>
      <w:r>
        <w:t>reduce</w:t>
      </w:r>
      <w:r w:rsidR="00D76F78" w:rsidRPr="002F1F62">
        <w:t xml:space="preserve"> </w:t>
      </w:r>
      <w:r w:rsidRPr="002F1F62">
        <w:t xml:space="preserve">the </w:t>
      </w:r>
      <w:r>
        <w:t xml:space="preserve">time for </w:t>
      </w:r>
      <w:r w:rsidRPr="002F1F62">
        <w:t>forecast systems to provide notice of the change</w:t>
      </w:r>
      <w:r>
        <w:t xml:space="preserve"> to </w:t>
      </w:r>
      <w:r>
        <w:lastRenderedPageBreak/>
        <w:t xml:space="preserve">participants and may have reduced </w:t>
      </w:r>
      <w:r w:rsidR="00D76F78" w:rsidRPr="002F1F62">
        <w:t xml:space="preserve">the </w:t>
      </w:r>
      <w:r>
        <w:t xml:space="preserve">opportunity </w:t>
      </w:r>
      <w:r w:rsidR="00D76F78" w:rsidRPr="002F1F62">
        <w:t xml:space="preserve">for the conventional range of generators and loads to react. </w:t>
      </w:r>
    </w:p>
    <w:p w:rsidR="000F0F7C" w:rsidRDefault="000F0F7C" w:rsidP="00CB4D3C"/>
    <w:p w:rsidR="00CB4D3C" w:rsidRPr="004520BD" w:rsidRDefault="00F479CF" w:rsidP="00F479CF">
      <w:pPr>
        <w:pStyle w:val="Caption"/>
        <w:rPr>
          <w:b w:val="0"/>
        </w:rPr>
      </w:pPr>
      <w:bookmarkStart w:id="9" w:name="_Ref384032418"/>
      <w:r>
        <w:t xml:space="preserve">Spotlight Table </w:t>
      </w:r>
      <w:fldSimple w:instr=" SEQ Spotlight_Table \* ARABIC ">
        <w:r w:rsidR="005F3C47">
          <w:rPr>
            <w:noProof/>
          </w:rPr>
          <w:t>1</w:t>
        </w:r>
      </w:fldSimple>
      <w:bookmarkEnd w:id="9"/>
      <w:r>
        <w:t xml:space="preserve">: </w:t>
      </w:r>
      <w:r w:rsidRPr="005D7E87">
        <w:t xml:space="preserve">Timing and </w:t>
      </w:r>
      <w:r w:rsidR="00FC1E70">
        <w:t xml:space="preserve">volume of rebid by participant </w:t>
      </w:r>
      <w:r w:rsidRPr="005D7E87">
        <w:t>for the summer period</w:t>
      </w:r>
    </w:p>
    <w:tbl>
      <w:tblPr>
        <w:tblStyle w:val="LightGrid-Accent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96"/>
        <w:gridCol w:w="697"/>
        <w:gridCol w:w="697"/>
        <w:gridCol w:w="697"/>
        <w:gridCol w:w="697"/>
        <w:gridCol w:w="697"/>
        <w:gridCol w:w="697"/>
        <w:gridCol w:w="697"/>
        <w:gridCol w:w="697"/>
        <w:gridCol w:w="697"/>
        <w:gridCol w:w="697"/>
        <w:gridCol w:w="697"/>
      </w:tblGrid>
      <w:tr w:rsidR="00CB4D3C" w:rsidRPr="00CE4575" w:rsidTr="007C21A4">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shd w:val="clear" w:color="auto" w:fill="4A442A"/>
          </w:tcPr>
          <w:p w:rsidR="00CB4D3C" w:rsidRPr="004520BD" w:rsidRDefault="00CB4D3C" w:rsidP="007C21A4">
            <w:pPr>
              <w:pStyle w:val="AERtabletext"/>
              <w:rPr>
                <w:color w:val="FFFFFF" w:themeColor="background1"/>
              </w:rPr>
            </w:pPr>
          </w:p>
        </w:tc>
        <w:tc>
          <w:tcPr>
            <w:tcW w:w="1393" w:type="dxa"/>
            <w:gridSpan w:val="2"/>
            <w:tcBorders>
              <w:top w:val="single" w:sz="4" w:space="0" w:color="auto"/>
              <w:left w:val="single" w:sz="4" w:space="0" w:color="auto"/>
              <w:bottom w:val="single" w:sz="4" w:space="0" w:color="auto"/>
              <w:right w:val="single" w:sz="4" w:space="0" w:color="auto"/>
            </w:tcBorders>
            <w:shd w:val="clear" w:color="auto" w:fill="4A442A"/>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4520BD">
              <w:rPr>
                <w:color w:val="FFFFFF" w:themeColor="background1"/>
              </w:rPr>
              <w:t>Arrow Energy</w:t>
            </w:r>
          </w:p>
        </w:tc>
        <w:tc>
          <w:tcPr>
            <w:tcW w:w="1394" w:type="dxa"/>
            <w:gridSpan w:val="2"/>
            <w:tcBorders>
              <w:top w:val="single" w:sz="4" w:space="0" w:color="auto"/>
              <w:left w:val="single" w:sz="4" w:space="0" w:color="auto"/>
              <w:bottom w:val="single" w:sz="4" w:space="0" w:color="auto"/>
              <w:right w:val="single" w:sz="4" w:space="0" w:color="auto"/>
            </w:tcBorders>
            <w:shd w:val="clear" w:color="auto" w:fill="4A442A"/>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4520BD">
              <w:rPr>
                <w:color w:val="FFFFFF" w:themeColor="background1"/>
              </w:rPr>
              <w:t>Callide Power</w:t>
            </w:r>
          </w:p>
        </w:tc>
        <w:tc>
          <w:tcPr>
            <w:tcW w:w="1394" w:type="dxa"/>
            <w:gridSpan w:val="2"/>
            <w:tcBorders>
              <w:top w:val="single" w:sz="4" w:space="0" w:color="auto"/>
              <w:left w:val="single" w:sz="4" w:space="0" w:color="auto"/>
              <w:bottom w:val="single" w:sz="4" w:space="0" w:color="auto"/>
              <w:right w:val="single" w:sz="4" w:space="0" w:color="auto"/>
            </w:tcBorders>
            <w:shd w:val="clear" w:color="auto" w:fill="4A442A"/>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4520BD">
              <w:rPr>
                <w:color w:val="FFFFFF" w:themeColor="background1"/>
              </w:rPr>
              <w:t>CS Energy</w:t>
            </w:r>
          </w:p>
        </w:tc>
        <w:tc>
          <w:tcPr>
            <w:tcW w:w="1394" w:type="dxa"/>
            <w:gridSpan w:val="2"/>
            <w:tcBorders>
              <w:top w:val="single" w:sz="4" w:space="0" w:color="auto"/>
              <w:left w:val="single" w:sz="4" w:space="0" w:color="auto"/>
              <w:bottom w:val="single" w:sz="4" w:space="0" w:color="auto"/>
              <w:right w:val="single" w:sz="4" w:space="0" w:color="auto"/>
            </w:tcBorders>
            <w:shd w:val="clear" w:color="auto" w:fill="4A442A"/>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4520BD">
              <w:rPr>
                <w:color w:val="FFFFFF" w:themeColor="background1"/>
              </w:rPr>
              <w:t>Millmerran Energy Trader</w:t>
            </w:r>
          </w:p>
        </w:tc>
        <w:tc>
          <w:tcPr>
            <w:tcW w:w="1394" w:type="dxa"/>
            <w:gridSpan w:val="2"/>
            <w:tcBorders>
              <w:top w:val="single" w:sz="4" w:space="0" w:color="auto"/>
              <w:left w:val="single" w:sz="4" w:space="0" w:color="auto"/>
              <w:bottom w:val="single" w:sz="4" w:space="0" w:color="auto"/>
              <w:right w:val="single" w:sz="4" w:space="0" w:color="auto"/>
            </w:tcBorders>
            <w:shd w:val="clear" w:color="auto" w:fill="4A442A"/>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4520BD">
              <w:rPr>
                <w:color w:val="FFFFFF" w:themeColor="background1"/>
              </w:rPr>
              <w:t>Origin</w:t>
            </w:r>
          </w:p>
        </w:tc>
        <w:tc>
          <w:tcPr>
            <w:tcW w:w="1394" w:type="dxa"/>
            <w:gridSpan w:val="2"/>
            <w:tcBorders>
              <w:top w:val="single" w:sz="4" w:space="0" w:color="auto"/>
              <w:left w:val="single" w:sz="4" w:space="0" w:color="auto"/>
              <w:bottom w:val="single" w:sz="4" w:space="0" w:color="auto"/>
              <w:right w:val="single" w:sz="4" w:space="0" w:color="auto"/>
            </w:tcBorders>
            <w:shd w:val="clear" w:color="auto" w:fill="4A442A"/>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4520BD">
              <w:rPr>
                <w:color w:val="FFFFFF" w:themeColor="background1"/>
              </w:rPr>
              <w:t>Stanwell</w:t>
            </w:r>
          </w:p>
        </w:tc>
      </w:tr>
      <w:tr w:rsidR="00471109" w:rsidRPr="00CE4575" w:rsidTr="007C21A4">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shd w:val="clear" w:color="auto" w:fill="4A442A"/>
            <w:hideMark/>
          </w:tcPr>
          <w:p w:rsidR="00CB4D3C" w:rsidRPr="004520BD" w:rsidRDefault="00CB4D3C" w:rsidP="007C21A4">
            <w:pPr>
              <w:pStyle w:val="AERtabletext"/>
              <w:rPr>
                <w:color w:val="FFFFFF" w:themeColor="background1"/>
                <w:lang w:eastAsia="en-AU"/>
              </w:rPr>
            </w:pPr>
            <w:r w:rsidRPr="004520BD">
              <w:rPr>
                <w:color w:val="FFFFFF" w:themeColor="background1"/>
              </w:rPr>
              <w:t>Minutes before the high price</w:t>
            </w:r>
          </w:p>
        </w:tc>
        <w:tc>
          <w:tcPr>
            <w:tcW w:w="696" w:type="dxa"/>
            <w:tcBorders>
              <w:top w:val="single" w:sz="4" w:space="0" w:color="auto"/>
              <w:left w:val="single" w:sz="4" w:space="0" w:color="auto"/>
              <w:bottom w:val="single" w:sz="4" w:space="0" w:color="auto"/>
              <w:right w:val="nil"/>
            </w:tcBorders>
            <w:shd w:val="clear" w:color="auto" w:fill="4A442A"/>
            <w:hideMark/>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4520BD">
              <w:rPr>
                <w:color w:val="FFFFFF" w:themeColor="background1"/>
              </w:rPr>
              <w:t>No.</w:t>
            </w:r>
          </w:p>
        </w:tc>
        <w:tc>
          <w:tcPr>
            <w:tcW w:w="697" w:type="dxa"/>
            <w:tcBorders>
              <w:top w:val="single" w:sz="4" w:space="0" w:color="auto"/>
              <w:left w:val="nil"/>
              <w:bottom w:val="single" w:sz="4" w:space="0" w:color="auto"/>
              <w:right w:val="single" w:sz="4" w:space="0" w:color="auto"/>
            </w:tcBorders>
            <w:shd w:val="clear" w:color="auto" w:fill="4A442A"/>
            <w:hideMark/>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4520BD">
              <w:rPr>
                <w:color w:val="FFFFFF" w:themeColor="background1"/>
              </w:rPr>
              <w:t>Ave Cap (MW)</w:t>
            </w:r>
          </w:p>
        </w:tc>
        <w:tc>
          <w:tcPr>
            <w:tcW w:w="697" w:type="dxa"/>
            <w:tcBorders>
              <w:top w:val="single" w:sz="4" w:space="0" w:color="auto"/>
              <w:left w:val="single" w:sz="4" w:space="0" w:color="auto"/>
              <w:bottom w:val="single" w:sz="4" w:space="0" w:color="auto"/>
              <w:right w:val="nil"/>
            </w:tcBorders>
            <w:shd w:val="clear" w:color="auto" w:fill="4A442A"/>
            <w:hideMark/>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4520BD">
              <w:rPr>
                <w:color w:val="FFFFFF" w:themeColor="background1"/>
              </w:rPr>
              <w:t>No.</w:t>
            </w:r>
          </w:p>
        </w:tc>
        <w:tc>
          <w:tcPr>
            <w:tcW w:w="697" w:type="dxa"/>
            <w:tcBorders>
              <w:top w:val="single" w:sz="4" w:space="0" w:color="auto"/>
              <w:left w:val="nil"/>
              <w:bottom w:val="single" w:sz="4" w:space="0" w:color="auto"/>
              <w:right w:val="single" w:sz="4" w:space="0" w:color="auto"/>
            </w:tcBorders>
            <w:shd w:val="clear" w:color="auto" w:fill="4A442A"/>
            <w:hideMark/>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4520BD">
              <w:rPr>
                <w:color w:val="FFFFFF" w:themeColor="background1"/>
              </w:rPr>
              <w:t>Ave Cap (MW)</w:t>
            </w:r>
          </w:p>
        </w:tc>
        <w:tc>
          <w:tcPr>
            <w:tcW w:w="697" w:type="dxa"/>
            <w:tcBorders>
              <w:top w:val="single" w:sz="4" w:space="0" w:color="auto"/>
              <w:left w:val="single" w:sz="4" w:space="0" w:color="auto"/>
              <w:bottom w:val="single" w:sz="4" w:space="0" w:color="auto"/>
              <w:right w:val="nil"/>
            </w:tcBorders>
            <w:shd w:val="clear" w:color="auto" w:fill="4A442A"/>
            <w:hideMark/>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4520BD">
              <w:rPr>
                <w:color w:val="FFFFFF" w:themeColor="background1"/>
              </w:rPr>
              <w:t>No.</w:t>
            </w:r>
          </w:p>
        </w:tc>
        <w:tc>
          <w:tcPr>
            <w:tcW w:w="697" w:type="dxa"/>
            <w:tcBorders>
              <w:top w:val="single" w:sz="4" w:space="0" w:color="auto"/>
              <w:left w:val="nil"/>
              <w:bottom w:val="single" w:sz="4" w:space="0" w:color="auto"/>
              <w:right w:val="single" w:sz="4" w:space="0" w:color="auto"/>
            </w:tcBorders>
            <w:shd w:val="clear" w:color="auto" w:fill="4A442A"/>
            <w:hideMark/>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4520BD">
              <w:rPr>
                <w:color w:val="FFFFFF" w:themeColor="background1"/>
              </w:rPr>
              <w:t>Ave Cap (MW)</w:t>
            </w:r>
          </w:p>
        </w:tc>
        <w:tc>
          <w:tcPr>
            <w:tcW w:w="697" w:type="dxa"/>
            <w:tcBorders>
              <w:top w:val="single" w:sz="4" w:space="0" w:color="auto"/>
              <w:left w:val="single" w:sz="4" w:space="0" w:color="auto"/>
              <w:bottom w:val="single" w:sz="4" w:space="0" w:color="auto"/>
              <w:right w:val="nil"/>
            </w:tcBorders>
            <w:shd w:val="clear" w:color="auto" w:fill="4A442A"/>
            <w:hideMark/>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4520BD">
              <w:rPr>
                <w:color w:val="FFFFFF" w:themeColor="background1"/>
              </w:rPr>
              <w:t>No.</w:t>
            </w:r>
          </w:p>
        </w:tc>
        <w:tc>
          <w:tcPr>
            <w:tcW w:w="697" w:type="dxa"/>
            <w:tcBorders>
              <w:top w:val="single" w:sz="4" w:space="0" w:color="auto"/>
              <w:left w:val="nil"/>
              <w:bottom w:val="single" w:sz="4" w:space="0" w:color="auto"/>
              <w:right w:val="single" w:sz="4" w:space="0" w:color="auto"/>
            </w:tcBorders>
            <w:shd w:val="clear" w:color="auto" w:fill="4A442A"/>
            <w:hideMark/>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4520BD">
              <w:rPr>
                <w:color w:val="FFFFFF" w:themeColor="background1"/>
              </w:rPr>
              <w:t>Ave Cap (MW)</w:t>
            </w:r>
          </w:p>
        </w:tc>
        <w:tc>
          <w:tcPr>
            <w:tcW w:w="697" w:type="dxa"/>
            <w:tcBorders>
              <w:top w:val="single" w:sz="4" w:space="0" w:color="auto"/>
              <w:left w:val="single" w:sz="4" w:space="0" w:color="auto"/>
              <w:bottom w:val="single" w:sz="4" w:space="0" w:color="auto"/>
              <w:right w:val="nil"/>
            </w:tcBorders>
            <w:shd w:val="clear" w:color="auto" w:fill="4A442A"/>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4520BD">
              <w:rPr>
                <w:color w:val="FFFFFF" w:themeColor="background1"/>
              </w:rPr>
              <w:t>No.</w:t>
            </w:r>
          </w:p>
        </w:tc>
        <w:tc>
          <w:tcPr>
            <w:tcW w:w="697" w:type="dxa"/>
            <w:tcBorders>
              <w:top w:val="single" w:sz="4" w:space="0" w:color="auto"/>
              <w:left w:val="nil"/>
              <w:bottom w:val="single" w:sz="4" w:space="0" w:color="auto"/>
              <w:right w:val="single" w:sz="4" w:space="0" w:color="auto"/>
            </w:tcBorders>
            <w:shd w:val="clear" w:color="auto" w:fill="4A442A"/>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4520BD">
              <w:rPr>
                <w:color w:val="FFFFFF" w:themeColor="background1"/>
              </w:rPr>
              <w:t>Ave Cap (MW)</w:t>
            </w:r>
          </w:p>
        </w:tc>
        <w:tc>
          <w:tcPr>
            <w:tcW w:w="697" w:type="dxa"/>
            <w:tcBorders>
              <w:top w:val="single" w:sz="4" w:space="0" w:color="auto"/>
              <w:left w:val="single" w:sz="4" w:space="0" w:color="auto"/>
              <w:bottom w:val="single" w:sz="4" w:space="0" w:color="auto"/>
              <w:right w:val="nil"/>
            </w:tcBorders>
            <w:shd w:val="clear" w:color="auto" w:fill="4A442A"/>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4520BD">
              <w:rPr>
                <w:color w:val="FFFFFF" w:themeColor="background1"/>
              </w:rPr>
              <w:t>No.</w:t>
            </w:r>
          </w:p>
        </w:tc>
        <w:tc>
          <w:tcPr>
            <w:tcW w:w="697" w:type="dxa"/>
            <w:tcBorders>
              <w:top w:val="single" w:sz="4" w:space="0" w:color="auto"/>
              <w:left w:val="nil"/>
              <w:bottom w:val="single" w:sz="4" w:space="0" w:color="auto"/>
              <w:right w:val="single" w:sz="4" w:space="0" w:color="auto"/>
            </w:tcBorders>
            <w:shd w:val="clear" w:color="auto" w:fill="4A442A"/>
          </w:tcPr>
          <w:p w:rsidR="00CB4D3C" w:rsidRPr="004520BD" w:rsidRDefault="00CB4D3C" w:rsidP="007C21A4">
            <w:pPr>
              <w:pStyle w:val="AER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4520BD">
              <w:rPr>
                <w:color w:val="FFFFFF" w:themeColor="background1"/>
              </w:rPr>
              <w:t>Ave Cap (MW)</w:t>
            </w:r>
          </w:p>
        </w:tc>
      </w:tr>
      <w:tr w:rsidR="00471109" w:rsidRPr="00753A6B" w:rsidTr="007C21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shd w:val="clear" w:color="auto" w:fill="DDD9C3"/>
            <w:noWrap/>
            <w:hideMark/>
          </w:tcPr>
          <w:p w:rsidR="00CB4D3C" w:rsidRPr="00D94BD6" w:rsidRDefault="00CB4D3C" w:rsidP="007C21A4">
            <w:pPr>
              <w:jc w:val="center"/>
              <w:rPr>
                <w:rFonts w:ascii="Calibri" w:hAnsi="Calibri" w:cs="Calibri"/>
                <w:color w:val="000000"/>
                <w:sz w:val="20"/>
                <w:szCs w:val="20"/>
                <w:lang w:eastAsia="en-AU"/>
              </w:rPr>
            </w:pPr>
            <w:r>
              <w:rPr>
                <w:rFonts w:ascii="Calibri" w:hAnsi="Calibri" w:cs="Calibri"/>
                <w:color w:val="000000"/>
                <w:sz w:val="20"/>
                <w:szCs w:val="20"/>
                <w:lang w:eastAsia="en-AU"/>
              </w:rPr>
              <w:t>0</w:t>
            </w:r>
          </w:p>
        </w:tc>
        <w:tc>
          <w:tcPr>
            <w:tcW w:w="696" w:type="dxa"/>
            <w:tcBorders>
              <w:top w:val="single" w:sz="4" w:space="0" w:color="auto"/>
              <w:left w:val="single" w:sz="4" w:space="0" w:color="auto"/>
              <w:bottom w:val="single" w:sz="4" w:space="0" w:color="auto"/>
              <w:right w:val="nil"/>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3</w:t>
            </w:r>
          </w:p>
        </w:tc>
        <w:tc>
          <w:tcPr>
            <w:tcW w:w="697" w:type="dxa"/>
            <w:tcBorders>
              <w:top w:val="single" w:sz="4" w:space="0" w:color="auto"/>
              <w:left w:val="nil"/>
              <w:bottom w:val="single" w:sz="4" w:space="0" w:color="auto"/>
              <w:right w:val="single" w:sz="4" w:space="0" w:color="auto"/>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141</w:t>
            </w:r>
          </w:p>
        </w:tc>
        <w:tc>
          <w:tcPr>
            <w:tcW w:w="697" w:type="dxa"/>
            <w:tcBorders>
              <w:top w:val="single" w:sz="4" w:space="0" w:color="auto"/>
              <w:left w:val="single" w:sz="4" w:space="0" w:color="auto"/>
              <w:bottom w:val="single" w:sz="4" w:space="0" w:color="auto"/>
              <w:right w:val="nil"/>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2</w:t>
            </w:r>
          </w:p>
        </w:tc>
        <w:tc>
          <w:tcPr>
            <w:tcW w:w="697" w:type="dxa"/>
            <w:tcBorders>
              <w:top w:val="single" w:sz="4" w:space="0" w:color="auto"/>
              <w:left w:val="nil"/>
              <w:bottom w:val="single" w:sz="4" w:space="0" w:color="auto"/>
              <w:right w:val="single" w:sz="4" w:space="0" w:color="auto"/>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113</w:t>
            </w:r>
          </w:p>
        </w:tc>
        <w:tc>
          <w:tcPr>
            <w:tcW w:w="697" w:type="dxa"/>
            <w:tcBorders>
              <w:top w:val="single" w:sz="4" w:space="0" w:color="auto"/>
              <w:left w:val="single" w:sz="4" w:space="0" w:color="auto"/>
              <w:bottom w:val="single" w:sz="4" w:space="0" w:color="auto"/>
              <w:right w:val="nil"/>
            </w:tcBorders>
            <w:shd w:val="clear" w:color="auto" w:fill="DDD9C3"/>
            <w:noWrap/>
            <w:vAlign w:val="bottom"/>
            <w:hideMark/>
          </w:tcPr>
          <w:p w:rsidR="00CB4D3C" w:rsidRPr="004520BD"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4520BD">
              <w:rPr>
                <w:rFonts w:asciiTheme="minorHAnsi" w:hAnsiTheme="minorHAnsi" w:cstheme="minorHAnsi"/>
                <w:b/>
                <w:color w:val="FF0000"/>
                <w:sz w:val="18"/>
                <w:szCs w:val="18"/>
              </w:rPr>
              <w:t>34</w:t>
            </w:r>
          </w:p>
        </w:tc>
        <w:tc>
          <w:tcPr>
            <w:tcW w:w="697" w:type="dxa"/>
            <w:tcBorders>
              <w:top w:val="single" w:sz="4" w:space="0" w:color="auto"/>
              <w:left w:val="nil"/>
              <w:bottom w:val="single" w:sz="4" w:space="0" w:color="auto"/>
              <w:right w:val="single" w:sz="4" w:space="0" w:color="auto"/>
            </w:tcBorders>
            <w:shd w:val="clear" w:color="auto" w:fill="DDD9C3"/>
            <w:noWrap/>
            <w:vAlign w:val="bottom"/>
            <w:hideMark/>
          </w:tcPr>
          <w:p w:rsidR="00CB4D3C" w:rsidRPr="004520BD"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4520BD">
              <w:rPr>
                <w:rFonts w:asciiTheme="minorHAnsi" w:hAnsiTheme="minorHAnsi" w:cstheme="minorHAnsi"/>
                <w:b/>
                <w:color w:val="E36C0A" w:themeColor="accent6" w:themeShade="BF"/>
                <w:sz w:val="18"/>
                <w:szCs w:val="18"/>
              </w:rPr>
              <w:t>305</w:t>
            </w:r>
          </w:p>
        </w:tc>
        <w:tc>
          <w:tcPr>
            <w:tcW w:w="697" w:type="dxa"/>
            <w:tcBorders>
              <w:top w:val="single" w:sz="4" w:space="0" w:color="auto"/>
              <w:left w:val="single" w:sz="4" w:space="0" w:color="auto"/>
              <w:bottom w:val="single" w:sz="4" w:space="0" w:color="auto"/>
              <w:right w:val="nil"/>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single" w:sz="4" w:space="0" w:color="auto"/>
              <w:bottom w:val="single" w:sz="4" w:space="0" w:color="auto"/>
              <w:right w:val="nil"/>
            </w:tcBorders>
            <w:shd w:val="clear" w:color="auto" w:fill="DDD9C3"/>
            <w:vAlign w:val="bottom"/>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3</w:t>
            </w:r>
          </w:p>
        </w:tc>
        <w:tc>
          <w:tcPr>
            <w:tcW w:w="697" w:type="dxa"/>
            <w:tcBorders>
              <w:top w:val="single" w:sz="4" w:space="0" w:color="auto"/>
              <w:left w:val="nil"/>
              <w:bottom w:val="single" w:sz="4" w:space="0" w:color="auto"/>
              <w:right w:val="single" w:sz="4" w:space="0" w:color="auto"/>
            </w:tcBorders>
            <w:shd w:val="clear" w:color="auto" w:fill="DDD9C3"/>
            <w:vAlign w:val="bottom"/>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137</w:t>
            </w:r>
          </w:p>
        </w:tc>
        <w:tc>
          <w:tcPr>
            <w:tcW w:w="697" w:type="dxa"/>
            <w:tcBorders>
              <w:top w:val="single" w:sz="4" w:space="0" w:color="auto"/>
              <w:left w:val="single" w:sz="4" w:space="0" w:color="auto"/>
              <w:bottom w:val="single" w:sz="4" w:space="0" w:color="auto"/>
              <w:right w:val="nil"/>
            </w:tcBorders>
            <w:shd w:val="clear" w:color="auto" w:fill="DDD9C3"/>
            <w:vAlign w:val="bottom"/>
          </w:tcPr>
          <w:p w:rsidR="00CB4D3C" w:rsidRPr="004520BD"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4520BD">
              <w:rPr>
                <w:rFonts w:asciiTheme="minorHAnsi" w:hAnsiTheme="minorHAnsi" w:cstheme="minorHAnsi"/>
                <w:b/>
                <w:color w:val="FF0000"/>
                <w:sz w:val="18"/>
                <w:szCs w:val="18"/>
              </w:rPr>
              <w:t>9</w:t>
            </w:r>
          </w:p>
        </w:tc>
        <w:tc>
          <w:tcPr>
            <w:tcW w:w="697" w:type="dxa"/>
            <w:tcBorders>
              <w:top w:val="single" w:sz="4" w:space="0" w:color="auto"/>
              <w:left w:val="nil"/>
              <w:bottom w:val="single" w:sz="4" w:space="0" w:color="auto"/>
              <w:right w:val="single" w:sz="4" w:space="0" w:color="auto"/>
            </w:tcBorders>
            <w:shd w:val="clear" w:color="auto" w:fill="DDD9C3"/>
            <w:vAlign w:val="bottom"/>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284</w:t>
            </w:r>
          </w:p>
        </w:tc>
      </w:tr>
      <w:tr w:rsidR="00471109" w:rsidRPr="00753A6B" w:rsidTr="007C21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shd w:val="clear" w:color="auto" w:fill="EEECE1"/>
            <w:noWrap/>
            <w:hideMark/>
          </w:tcPr>
          <w:p w:rsidR="00CB4D3C" w:rsidRPr="00D94BD6" w:rsidRDefault="00CB4D3C" w:rsidP="007C21A4">
            <w:pPr>
              <w:jc w:val="center"/>
              <w:rPr>
                <w:rFonts w:ascii="Calibri" w:hAnsi="Calibri" w:cs="Calibri"/>
                <w:color w:val="000000"/>
                <w:sz w:val="20"/>
                <w:szCs w:val="20"/>
                <w:lang w:eastAsia="en-AU"/>
              </w:rPr>
            </w:pPr>
            <w:r>
              <w:rPr>
                <w:rFonts w:ascii="Calibri" w:hAnsi="Calibri" w:cs="Calibri"/>
                <w:color w:val="000000"/>
                <w:sz w:val="20"/>
                <w:szCs w:val="20"/>
                <w:lang w:eastAsia="en-AU"/>
              </w:rPr>
              <w:t>5</w:t>
            </w:r>
          </w:p>
        </w:tc>
        <w:tc>
          <w:tcPr>
            <w:tcW w:w="696" w:type="dxa"/>
            <w:tcBorders>
              <w:top w:val="single" w:sz="4" w:space="0" w:color="auto"/>
              <w:left w:val="single" w:sz="4" w:space="0" w:color="auto"/>
              <w:bottom w:val="single" w:sz="4" w:space="0" w:color="auto"/>
              <w:right w:val="nil"/>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nil"/>
              <w:bottom w:val="single" w:sz="4" w:space="0" w:color="auto"/>
              <w:right w:val="single" w:sz="4" w:space="0" w:color="auto"/>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single" w:sz="4" w:space="0" w:color="auto"/>
              <w:bottom w:val="single" w:sz="4" w:space="0" w:color="auto"/>
              <w:right w:val="nil"/>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single" w:sz="4" w:space="0" w:color="auto"/>
              <w:bottom w:val="single" w:sz="4" w:space="0" w:color="auto"/>
              <w:right w:val="nil"/>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6</w:t>
            </w:r>
          </w:p>
        </w:tc>
        <w:tc>
          <w:tcPr>
            <w:tcW w:w="697" w:type="dxa"/>
            <w:tcBorders>
              <w:top w:val="single" w:sz="4" w:space="0" w:color="auto"/>
              <w:left w:val="nil"/>
              <w:bottom w:val="single" w:sz="4" w:space="0" w:color="auto"/>
              <w:right w:val="single" w:sz="4" w:space="0" w:color="auto"/>
            </w:tcBorders>
            <w:shd w:val="clear" w:color="auto" w:fill="EEECE1"/>
            <w:noWrap/>
            <w:vAlign w:val="bottom"/>
            <w:hideMark/>
          </w:tcPr>
          <w:p w:rsidR="00CB4D3C" w:rsidRPr="0005183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18"/>
                <w:szCs w:val="18"/>
              </w:rPr>
            </w:pPr>
            <w:r w:rsidRPr="00051834">
              <w:rPr>
                <w:rFonts w:asciiTheme="minorHAnsi" w:hAnsiTheme="minorHAnsi" w:cstheme="minorHAnsi"/>
                <w:b/>
                <w:color w:val="4F6228" w:themeColor="accent3" w:themeShade="80"/>
                <w:sz w:val="18"/>
                <w:szCs w:val="18"/>
              </w:rPr>
              <w:t>507</w:t>
            </w:r>
          </w:p>
        </w:tc>
        <w:tc>
          <w:tcPr>
            <w:tcW w:w="697" w:type="dxa"/>
            <w:tcBorders>
              <w:top w:val="single" w:sz="4" w:space="0" w:color="auto"/>
              <w:left w:val="single" w:sz="4" w:space="0" w:color="auto"/>
              <w:bottom w:val="single" w:sz="4" w:space="0" w:color="auto"/>
              <w:right w:val="nil"/>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single" w:sz="4" w:space="0" w:color="auto"/>
              <w:bottom w:val="single" w:sz="4" w:space="0" w:color="auto"/>
              <w:right w:val="nil"/>
            </w:tcBorders>
            <w:shd w:val="clear" w:color="auto" w:fill="EEECE1"/>
            <w:vAlign w:val="bottom"/>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2</w:t>
            </w:r>
          </w:p>
        </w:tc>
        <w:tc>
          <w:tcPr>
            <w:tcW w:w="697" w:type="dxa"/>
            <w:tcBorders>
              <w:top w:val="single" w:sz="4" w:space="0" w:color="auto"/>
              <w:left w:val="nil"/>
              <w:bottom w:val="single" w:sz="4" w:space="0" w:color="auto"/>
              <w:right w:val="single" w:sz="4" w:space="0" w:color="auto"/>
            </w:tcBorders>
            <w:shd w:val="clear" w:color="auto" w:fill="EEECE1"/>
            <w:vAlign w:val="bottom"/>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113</w:t>
            </w:r>
          </w:p>
        </w:tc>
        <w:tc>
          <w:tcPr>
            <w:tcW w:w="697" w:type="dxa"/>
            <w:tcBorders>
              <w:top w:val="single" w:sz="4" w:space="0" w:color="auto"/>
              <w:left w:val="single" w:sz="4" w:space="0" w:color="auto"/>
              <w:bottom w:val="single" w:sz="4" w:space="0" w:color="auto"/>
              <w:right w:val="nil"/>
            </w:tcBorders>
            <w:shd w:val="clear" w:color="auto" w:fill="EEECE1"/>
            <w:vAlign w:val="bottom"/>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3</w:t>
            </w:r>
          </w:p>
        </w:tc>
        <w:tc>
          <w:tcPr>
            <w:tcW w:w="697" w:type="dxa"/>
            <w:tcBorders>
              <w:top w:val="single" w:sz="4" w:space="0" w:color="auto"/>
              <w:left w:val="nil"/>
              <w:bottom w:val="single" w:sz="4" w:space="0" w:color="auto"/>
              <w:right w:val="single" w:sz="4" w:space="0" w:color="auto"/>
            </w:tcBorders>
            <w:shd w:val="clear" w:color="auto" w:fill="EEECE1"/>
            <w:vAlign w:val="bottom"/>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414</w:t>
            </w:r>
          </w:p>
        </w:tc>
      </w:tr>
      <w:tr w:rsidR="00471109" w:rsidRPr="00753A6B" w:rsidTr="007C21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shd w:val="clear" w:color="auto" w:fill="DDD9C3"/>
            <w:noWrap/>
            <w:hideMark/>
          </w:tcPr>
          <w:p w:rsidR="00CB4D3C" w:rsidRPr="00D94BD6" w:rsidRDefault="00CB4D3C" w:rsidP="007C21A4">
            <w:pPr>
              <w:jc w:val="center"/>
              <w:rPr>
                <w:rFonts w:ascii="Calibri" w:hAnsi="Calibri" w:cs="Calibri"/>
                <w:color w:val="000000"/>
                <w:sz w:val="20"/>
                <w:szCs w:val="20"/>
                <w:lang w:eastAsia="en-AU"/>
              </w:rPr>
            </w:pPr>
            <w:r w:rsidRPr="00D94BD6">
              <w:rPr>
                <w:rFonts w:ascii="Calibri" w:hAnsi="Calibri" w:cs="Calibri"/>
                <w:color w:val="000000"/>
                <w:sz w:val="20"/>
                <w:szCs w:val="20"/>
                <w:lang w:eastAsia="en-AU"/>
              </w:rPr>
              <w:t>10</w:t>
            </w:r>
          </w:p>
        </w:tc>
        <w:tc>
          <w:tcPr>
            <w:tcW w:w="696" w:type="dxa"/>
            <w:tcBorders>
              <w:top w:val="single" w:sz="4" w:space="0" w:color="auto"/>
              <w:left w:val="single" w:sz="4" w:space="0" w:color="auto"/>
              <w:bottom w:val="single" w:sz="4" w:space="0" w:color="auto"/>
              <w:right w:val="nil"/>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nil"/>
              <w:bottom w:val="single" w:sz="4" w:space="0" w:color="auto"/>
              <w:right w:val="single" w:sz="4" w:space="0" w:color="auto"/>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single" w:sz="4" w:space="0" w:color="auto"/>
              <w:bottom w:val="single" w:sz="4" w:space="0" w:color="auto"/>
              <w:right w:val="nil"/>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1</w:t>
            </w:r>
          </w:p>
        </w:tc>
        <w:tc>
          <w:tcPr>
            <w:tcW w:w="697" w:type="dxa"/>
            <w:tcBorders>
              <w:top w:val="single" w:sz="4" w:space="0" w:color="auto"/>
              <w:left w:val="nil"/>
              <w:bottom w:val="single" w:sz="4" w:space="0" w:color="auto"/>
              <w:right w:val="single" w:sz="4" w:space="0" w:color="auto"/>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160</w:t>
            </w:r>
          </w:p>
        </w:tc>
        <w:tc>
          <w:tcPr>
            <w:tcW w:w="697" w:type="dxa"/>
            <w:tcBorders>
              <w:top w:val="single" w:sz="4" w:space="0" w:color="auto"/>
              <w:left w:val="single" w:sz="4" w:space="0" w:color="auto"/>
              <w:bottom w:val="single" w:sz="4" w:space="0" w:color="auto"/>
              <w:right w:val="nil"/>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3</w:t>
            </w:r>
          </w:p>
        </w:tc>
        <w:tc>
          <w:tcPr>
            <w:tcW w:w="697" w:type="dxa"/>
            <w:tcBorders>
              <w:top w:val="single" w:sz="4" w:space="0" w:color="auto"/>
              <w:left w:val="nil"/>
              <w:bottom w:val="single" w:sz="4" w:space="0" w:color="auto"/>
              <w:right w:val="single" w:sz="4" w:space="0" w:color="auto"/>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223</w:t>
            </w:r>
          </w:p>
        </w:tc>
        <w:tc>
          <w:tcPr>
            <w:tcW w:w="697" w:type="dxa"/>
            <w:tcBorders>
              <w:top w:val="single" w:sz="4" w:space="0" w:color="auto"/>
              <w:left w:val="single" w:sz="4" w:space="0" w:color="auto"/>
              <w:bottom w:val="single" w:sz="4" w:space="0" w:color="auto"/>
              <w:right w:val="nil"/>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single" w:sz="4" w:space="0" w:color="auto"/>
              <w:bottom w:val="single" w:sz="4" w:space="0" w:color="auto"/>
              <w:right w:val="nil"/>
            </w:tcBorders>
            <w:shd w:val="clear" w:color="auto" w:fill="DDD9C3"/>
            <w:vAlign w:val="bottom"/>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1</w:t>
            </w:r>
          </w:p>
        </w:tc>
        <w:tc>
          <w:tcPr>
            <w:tcW w:w="697" w:type="dxa"/>
            <w:tcBorders>
              <w:top w:val="single" w:sz="4" w:space="0" w:color="auto"/>
              <w:left w:val="nil"/>
              <w:bottom w:val="single" w:sz="4" w:space="0" w:color="auto"/>
              <w:right w:val="single" w:sz="4" w:space="0" w:color="auto"/>
            </w:tcBorders>
            <w:shd w:val="clear" w:color="auto" w:fill="DDD9C3"/>
            <w:vAlign w:val="bottom"/>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175</w:t>
            </w:r>
          </w:p>
        </w:tc>
        <w:tc>
          <w:tcPr>
            <w:tcW w:w="697" w:type="dxa"/>
            <w:tcBorders>
              <w:top w:val="single" w:sz="4" w:space="0" w:color="auto"/>
              <w:left w:val="single" w:sz="4" w:space="0" w:color="auto"/>
              <w:bottom w:val="single" w:sz="4" w:space="0" w:color="auto"/>
              <w:right w:val="nil"/>
            </w:tcBorders>
            <w:shd w:val="clear" w:color="auto" w:fill="DDD9C3"/>
            <w:vAlign w:val="bottom"/>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DDD9C3"/>
            <w:vAlign w:val="bottom"/>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471109" w:rsidRPr="00753A6B" w:rsidTr="007C21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shd w:val="clear" w:color="auto" w:fill="EEECE1"/>
            <w:noWrap/>
            <w:hideMark/>
          </w:tcPr>
          <w:p w:rsidR="00CB4D3C" w:rsidRPr="00D94BD6" w:rsidRDefault="00CB4D3C" w:rsidP="007C21A4">
            <w:pPr>
              <w:jc w:val="center"/>
              <w:rPr>
                <w:rFonts w:ascii="Calibri" w:hAnsi="Calibri" w:cs="Calibri"/>
                <w:color w:val="000000"/>
                <w:sz w:val="20"/>
                <w:szCs w:val="20"/>
                <w:lang w:eastAsia="en-AU"/>
              </w:rPr>
            </w:pPr>
            <w:r w:rsidRPr="00D94BD6">
              <w:rPr>
                <w:rFonts w:ascii="Calibri" w:hAnsi="Calibri" w:cs="Calibri"/>
                <w:color w:val="000000"/>
                <w:sz w:val="20"/>
                <w:szCs w:val="20"/>
                <w:lang w:eastAsia="en-AU"/>
              </w:rPr>
              <w:t>15</w:t>
            </w:r>
          </w:p>
        </w:tc>
        <w:tc>
          <w:tcPr>
            <w:tcW w:w="696" w:type="dxa"/>
            <w:tcBorders>
              <w:top w:val="single" w:sz="4" w:space="0" w:color="auto"/>
              <w:left w:val="single" w:sz="4" w:space="0" w:color="auto"/>
              <w:bottom w:val="single" w:sz="4" w:space="0" w:color="auto"/>
              <w:right w:val="nil"/>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nil"/>
              <w:bottom w:val="single" w:sz="4" w:space="0" w:color="auto"/>
              <w:right w:val="single" w:sz="4" w:space="0" w:color="auto"/>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single" w:sz="4" w:space="0" w:color="auto"/>
              <w:bottom w:val="single" w:sz="4" w:space="0" w:color="auto"/>
              <w:right w:val="nil"/>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single" w:sz="4" w:space="0" w:color="auto"/>
              <w:bottom w:val="single" w:sz="4" w:space="0" w:color="auto"/>
              <w:right w:val="nil"/>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1</w:t>
            </w:r>
          </w:p>
        </w:tc>
        <w:tc>
          <w:tcPr>
            <w:tcW w:w="697" w:type="dxa"/>
            <w:tcBorders>
              <w:top w:val="single" w:sz="4" w:space="0" w:color="auto"/>
              <w:left w:val="nil"/>
              <w:bottom w:val="single" w:sz="4" w:space="0" w:color="auto"/>
              <w:right w:val="single" w:sz="4" w:space="0" w:color="auto"/>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120</w:t>
            </w:r>
          </w:p>
        </w:tc>
        <w:tc>
          <w:tcPr>
            <w:tcW w:w="697" w:type="dxa"/>
            <w:tcBorders>
              <w:top w:val="single" w:sz="4" w:space="0" w:color="auto"/>
              <w:left w:val="single" w:sz="4" w:space="0" w:color="auto"/>
              <w:bottom w:val="single" w:sz="4" w:space="0" w:color="auto"/>
              <w:right w:val="nil"/>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single" w:sz="4" w:space="0" w:color="auto"/>
              <w:bottom w:val="single" w:sz="4" w:space="0" w:color="auto"/>
              <w:right w:val="nil"/>
            </w:tcBorders>
            <w:shd w:val="clear" w:color="auto" w:fill="EEECE1"/>
            <w:vAlign w:val="bottom"/>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nil"/>
              <w:bottom w:val="single" w:sz="4" w:space="0" w:color="auto"/>
              <w:right w:val="single" w:sz="4" w:space="0" w:color="auto"/>
            </w:tcBorders>
            <w:shd w:val="clear" w:color="auto" w:fill="EEECE1"/>
            <w:vAlign w:val="bottom"/>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single" w:sz="4" w:space="0" w:color="auto"/>
              <w:bottom w:val="single" w:sz="4" w:space="0" w:color="auto"/>
              <w:right w:val="nil"/>
            </w:tcBorders>
            <w:shd w:val="clear" w:color="auto" w:fill="EEECE1"/>
            <w:vAlign w:val="bottom"/>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EEECE1"/>
            <w:vAlign w:val="bottom"/>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r>
      <w:tr w:rsidR="00471109" w:rsidRPr="00753A6B" w:rsidTr="007C21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shd w:val="clear" w:color="auto" w:fill="DDD9C3"/>
            <w:noWrap/>
            <w:hideMark/>
          </w:tcPr>
          <w:p w:rsidR="00CB4D3C" w:rsidRPr="00D94BD6" w:rsidRDefault="00CB4D3C" w:rsidP="007C21A4">
            <w:pPr>
              <w:jc w:val="center"/>
              <w:rPr>
                <w:rFonts w:ascii="Calibri" w:hAnsi="Calibri" w:cs="Calibri"/>
                <w:color w:val="000000"/>
                <w:sz w:val="20"/>
                <w:szCs w:val="20"/>
                <w:lang w:eastAsia="en-AU"/>
              </w:rPr>
            </w:pPr>
            <w:r w:rsidRPr="00D94BD6">
              <w:rPr>
                <w:rFonts w:ascii="Calibri" w:hAnsi="Calibri" w:cs="Calibri"/>
                <w:color w:val="000000"/>
                <w:sz w:val="20"/>
                <w:szCs w:val="20"/>
                <w:lang w:eastAsia="en-AU"/>
              </w:rPr>
              <w:t>25</w:t>
            </w:r>
          </w:p>
        </w:tc>
        <w:tc>
          <w:tcPr>
            <w:tcW w:w="696" w:type="dxa"/>
            <w:tcBorders>
              <w:top w:val="single" w:sz="4" w:space="0" w:color="auto"/>
              <w:left w:val="single" w:sz="4" w:space="0" w:color="auto"/>
              <w:bottom w:val="single" w:sz="4" w:space="0" w:color="auto"/>
              <w:right w:val="nil"/>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nil"/>
              <w:bottom w:val="single" w:sz="4" w:space="0" w:color="auto"/>
              <w:right w:val="single" w:sz="4" w:space="0" w:color="auto"/>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single" w:sz="4" w:space="0" w:color="auto"/>
              <w:bottom w:val="single" w:sz="4" w:space="0" w:color="auto"/>
              <w:right w:val="nil"/>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single" w:sz="4" w:space="0" w:color="auto"/>
              <w:bottom w:val="single" w:sz="4" w:space="0" w:color="auto"/>
              <w:right w:val="nil"/>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nil"/>
              <w:bottom w:val="single" w:sz="4" w:space="0" w:color="auto"/>
              <w:right w:val="single" w:sz="4" w:space="0" w:color="auto"/>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single" w:sz="4" w:space="0" w:color="auto"/>
              <w:bottom w:val="single" w:sz="4" w:space="0" w:color="auto"/>
              <w:right w:val="nil"/>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1</w:t>
            </w:r>
          </w:p>
        </w:tc>
        <w:tc>
          <w:tcPr>
            <w:tcW w:w="697" w:type="dxa"/>
            <w:tcBorders>
              <w:top w:val="single" w:sz="4" w:space="0" w:color="auto"/>
              <w:left w:val="nil"/>
              <w:bottom w:val="single" w:sz="4" w:space="0" w:color="auto"/>
              <w:right w:val="single" w:sz="4" w:space="0" w:color="auto"/>
            </w:tcBorders>
            <w:shd w:val="clear" w:color="auto" w:fill="DDD9C3"/>
            <w:noWrap/>
            <w:vAlign w:val="bottom"/>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110</w:t>
            </w:r>
          </w:p>
        </w:tc>
        <w:tc>
          <w:tcPr>
            <w:tcW w:w="697" w:type="dxa"/>
            <w:tcBorders>
              <w:top w:val="single" w:sz="4" w:space="0" w:color="auto"/>
              <w:left w:val="single" w:sz="4" w:space="0" w:color="auto"/>
              <w:bottom w:val="single" w:sz="4" w:space="0" w:color="auto"/>
              <w:right w:val="nil"/>
            </w:tcBorders>
            <w:shd w:val="clear" w:color="auto" w:fill="DDD9C3"/>
            <w:vAlign w:val="bottom"/>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nil"/>
              <w:bottom w:val="single" w:sz="4" w:space="0" w:color="auto"/>
              <w:right w:val="single" w:sz="4" w:space="0" w:color="auto"/>
            </w:tcBorders>
            <w:shd w:val="clear" w:color="auto" w:fill="DDD9C3"/>
            <w:vAlign w:val="bottom"/>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single" w:sz="4" w:space="0" w:color="auto"/>
              <w:bottom w:val="single" w:sz="4" w:space="0" w:color="auto"/>
              <w:right w:val="nil"/>
            </w:tcBorders>
            <w:shd w:val="clear" w:color="auto" w:fill="DDD9C3"/>
            <w:vAlign w:val="bottom"/>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DDD9C3"/>
            <w:vAlign w:val="bottom"/>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471109" w:rsidRPr="00753A6B" w:rsidTr="007C21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shd w:val="clear" w:color="auto" w:fill="EEECE1"/>
            <w:noWrap/>
            <w:hideMark/>
          </w:tcPr>
          <w:p w:rsidR="00CB4D3C" w:rsidRPr="00D94BD6" w:rsidRDefault="00CB4D3C" w:rsidP="007C21A4">
            <w:pPr>
              <w:jc w:val="center"/>
              <w:rPr>
                <w:rFonts w:ascii="Calibri" w:hAnsi="Calibri" w:cs="Calibri"/>
                <w:color w:val="000000"/>
                <w:sz w:val="20"/>
                <w:szCs w:val="20"/>
                <w:lang w:eastAsia="en-AU"/>
              </w:rPr>
            </w:pPr>
            <w:r w:rsidRPr="00D94BD6">
              <w:rPr>
                <w:rFonts w:ascii="Calibri" w:hAnsi="Calibri" w:cs="Calibri"/>
                <w:color w:val="000000"/>
                <w:sz w:val="20"/>
                <w:szCs w:val="20"/>
                <w:lang w:eastAsia="en-AU"/>
              </w:rPr>
              <w:t>30</w:t>
            </w:r>
          </w:p>
        </w:tc>
        <w:tc>
          <w:tcPr>
            <w:tcW w:w="696" w:type="dxa"/>
            <w:tcBorders>
              <w:top w:val="single" w:sz="4" w:space="0" w:color="auto"/>
              <w:left w:val="single" w:sz="4" w:space="0" w:color="auto"/>
              <w:bottom w:val="single" w:sz="4" w:space="0" w:color="auto"/>
              <w:right w:val="nil"/>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nil"/>
              <w:bottom w:val="single" w:sz="4" w:space="0" w:color="auto"/>
              <w:right w:val="single" w:sz="4" w:space="0" w:color="auto"/>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single" w:sz="4" w:space="0" w:color="auto"/>
              <w:bottom w:val="single" w:sz="4" w:space="0" w:color="auto"/>
              <w:right w:val="nil"/>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single" w:sz="4" w:space="0" w:color="auto"/>
              <w:bottom w:val="single" w:sz="4" w:space="0" w:color="auto"/>
              <w:right w:val="nil"/>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1</w:t>
            </w:r>
          </w:p>
        </w:tc>
        <w:tc>
          <w:tcPr>
            <w:tcW w:w="697" w:type="dxa"/>
            <w:tcBorders>
              <w:top w:val="single" w:sz="4" w:space="0" w:color="auto"/>
              <w:left w:val="nil"/>
              <w:bottom w:val="single" w:sz="4" w:space="0" w:color="auto"/>
              <w:right w:val="single" w:sz="4" w:space="0" w:color="auto"/>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790</w:t>
            </w:r>
          </w:p>
        </w:tc>
        <w:tc>
          <w:tcPr>
            <w:tcW w:w="697" w:type="dxa"/>
            <w:tcBorders>
              <w:top w:val="single" w:sz="4" w:space="0" w:color="auto"/>
              <w:left w:val="single" w:sz="4" w:space="0" w:color="auto"/>
              <w:bottom w:val="single" w:sz="4" w:space="0" w:color="auto"/>
              <w:right w:val="nil"/>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EEECE1"/>
            <w:noWrap/>
            <w:vAlign w:val="bottom"/>
            <w:hideMark/>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single" w:sz="4" w:space="0" w:color="auto"/>
              <w:bottom w:val="single" w:sz="4" w:space="0" w:color="auto"/>
              <w:right w:val="nil"/>
            </w:tcBorders>
            <w:shd w:val="clear" w:color="auto" w:fill="EEECE1"/>
            <w:vAlign w:val="bottom"/>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nil"/>
              <w:bottom w:val="single" w:sz="4" w:space="0" w:color="auto"/>
              <w:right w:val="single" w:sz="4" w:space="0" w:color="auto"/>
            </w:tcBorders>
            <w:shd w:val="clear" w:color="auto" w:fill="EEECE1"/>
            <w:vAlign w:val="bottom"/>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794524">
              <w:rPr>
                <w:rFonts w:asciiTheme="minorHAnsi" w:hAnsiTheme="minorHAnsi" w:cstheme="minorHAnsi"/>
                <w:color w:val="000000"/>
                <w:sz w:val="18"/>
                <w:szCs w:val="18"/>
              </w:rPr>
              <w:t> </w:t>
            </w:r>
          </w:p>
        </w:tc>
        <w:tc>
          <w:tcPr>
            <w:tcW w:w="697" w:type="dxa"/>
            <w:tcBorders>
              <w:top w:val="single" w:sz="4" w:space="0" w:color="auto"/>
              <w:left w:val="single" w:sz="4" w:space="0" w:color="auto"/>
              <w:bottom w:val="single" w:sz="4" w:space="0" w:color="auto"/>
              <w:right w:val="nil"/>
            </w:tcBorders>
            <w:shd w:val="clear" w:color="auto" w:fill="EEECE1"/>
            <w:vAlign w:val="bottom"/>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EEECE1"/>
            <w:vAlign w:val="bottom"/>
          </w:tcPr>
          <w:p w:rsidR="00CB4D3C" w:rsidRPr="00794524" w:rsidRDefault="00CB4D3C" w:rsidP="007C21A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p>
        </w:tc>
      </w:tr>
      <w:tr w:rsidR="00471109" w:rsidRPr="00794524" w:rsidTr="007C21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CB4D3C" w:rsidRPr="00794524" w:rsidRDefault="00CB4D3C" w:rsidP="007C21A4">
            <w:pPr>
              <w:jc w:val="center"/>
              <w:rPr>
                <w:rFonts w:ascii="Calibri" w:hAnsi="Calibri" w:cs="Calibri"/>
                <w:color w:val="000000"/>
                <w:sz w:val="20"/>
                <w:szCs w:val="20"/>
                <w:lang w:eastAsia="en-AU"/>
              </w:rPr>
            </w:pPr>
            <w:r>
              <w:rPr>
                <w:rFonts w:ascii="Calibri" w:hAnsi="Calibri" w:cs="Calibri"/>
                <w:color w:val="000000"/>
                <w:sz w:val="20"/>
                <w:szCs w:val="20"/>
                <w:lang w:eastAsia="en-AU"/>
              </w:rPr>
              <w:t>all periods</w:t>
            </w:r>
          </w:p>
        </w:tc>
        <w:tc>
          <w:tcPr>
            <w:tcW w:w="696" w:type="dxa"/>
            <w:tcBorders>
              <w:top w:val="single" w:sz="4" w:space="0" w:color="auto"/>
              <w:left w:val="single" w:sz="4" w:space="0" w:color="auto"/>
              <w:bottom w:val="single" w:sz="4" w:space="0" w:color="auto"/>
              <w:right w:val="nil"/>
            </w:tcBorders>
            <w:shd w:val="clear" w:color="auto" w:fill="DDD9C3"/>
            <w:noWrap/>
            <w:vAlign w:val="center"/>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794524">
              <w:rPr>
                <w:rFonts w:asciiTheme="minorHAnsi" w:hAnsiTheme="minorHAnsi" w:cstheme="minorHAnsi"/>
                <w:b/>
                <w:color w:val="000000"/>
                <w:sz w:val="18"/>
                <w:szCs w:val="18"/>
              </w:rPr>
              <w:t>3</w:t>
            </w:r>
          </w:p>
        </w:tc>
        <w:tc>
          <w:tcPr>
            <w:tcW w:w="697" w:type="dxa"/>
            <w:tcBorders>
              <w:top w:val="single" w:sz="4" w:space="0" w:color="auto"/>
              <w:left w:val="nil"/>
              <w:bottom w:val="single" w:sz="4" w:space="0" w:color="auto"/>
              <w:right w:val="single" w:sz="4" w:space="0" w:color="auto"/>
            </w:tcBorders>
            <w:shd w:val="clear" w:color="auto" w:fill="DDD9C3"/>
            <w:noWrap/>
            <w:vAlign w:val="center"/>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794524">
              <w:rPr>
                <w:rFonts w:asciiTheme="minorHAnsi" w:hAnsiTheme="minorHAnsi" w:cstheme="minorHAnsi"/>
                <w:b/>
                <w:color w:val="000000"/>
                <w:sz w:val="18"/>
                <w:szCs w:val="18"/>
              </w:rPr>
              <w:t>141</w:t>
            </w:r>
          </w:p>
        </w:tc>
        <w:tc>
          <w:tcPr>
            <w:tcW w:w="697" w:type="dxa"/>
            <w:tcBorders>
              <w:top w:val="single" w:sz="4" w:space="0" w:color="auto"/>
              <w:left w:val="single" w:sz="4" w:space="0" w:color="auto"/>
              <w:bottom w:val="single" w:sz="4" w:space="0" w:color="auto"/>
              <w:right w:val="nil"/>
            </w:tcBorders>
            <w:shd w:val="clear" w:color="auto" w:fill="DDD9C3"/>
            <w:noWrap/>
            <w:vAlign w:val="center"/>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794524">
              <w:rPr>
                <w:rFonts w:asciiTheme="minorHAnsi" w:hAnsiTheme="minorHAnsi" w:cstheme="minorHAnsi"/>
                <w:b/>
                <w:color w:val="000000"/>
                <w:sz w:val="18"/>
                <w:szCs w:val="18"/>
              </w:rPr>
              <w:t>3</w:t>
            </w:r>
          </w:p>
        </w:tc>
        <w:tc>
          <w:tcPr>
            <w:tcW w:w="697" w:type="dxa"/>
            <w:tcBorders>
              <w:top w:val="single" w:sz="4" w:space="0" w:color="auto"/>
              <w:left w:val="nil"/>
              <w:bottom w:val="single" w:sz="4" w:space="0" w:color="auto"/>
              <w:right w:val="single" w:sz="4" w:space="0" w:color="auto"/>
            </w:tcBorders>
            <w:shd w:val="clear" w:color="auto" w:fill="DDD9C3"/>
            <w:noWrap/>
            <w:vAlign w:val="center"/>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794524">
              <w:rPr>
                <w:rFonts w:asciiTheme="minorHAnsi" w:hAnsiTheme="minorHAnsi" w:cstheme="minorHAnsi"/>
                <w:b/>
                <w:color w:val="000000"/>
                <w:sz w:val="18"/>
                <w:szCs w:val="18"/>
              </w:rPr>
              <w:t>129</w:t>
            </w:r>
          </w:p>
        </w:tc>
        <w:tc>
          <w:tcPr>
            <w:tcW w:w="697" w:type="dxa"/>
            <w:tcBorders>
              <w:top w:val="single" w:sz="4" w:space="0" w:color="auto"/>
              <w:left w:val="single" w:sz="4" w:space="0" w:color="auto"/>
              <w:bottom w:val="single" w:sz="4" w:space="0" w:color="auto"/>
              <w:right w:val="nil"/>
            </w:tcBorders>
            <w:shd w:val="clear" w:color="auto" w:fill="DDD9C3"/>
            <w:noWrap/>
            <w:vAlign w:val="center"/>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794524">
              <w:rPr>
                <w:rFonts w:asciiTheme="minorHAnsi" w:hAnsiTheme="minorHAnsi" w:cstheme="minorHAnsi"/>
                <w:b/>
                <w:color w:val="000000"/>
                <w:sz w:val="18"/>
                <w:szCs w:val="18"/>
              </w:rPr>
              <w:t>46</w:t>
            </w:r>
          </w:p>
        </w:tc>
        <w:tc>
          <w:tcPr>
            <w:tcW w:w="697" w:type="dxa"/>
            <w:tcBorders>
              <w:top w:val="single" w:sz="4" w:space="0" w:color="auto"/>
              <w:left w:val="nil"/>
              <w:bottom w:val="single" w:sz="4" w:space="0" w:color="auto"/>
              <w:right w:val="single" w:sz="4" w:space="0" w:color="auto"/>
            </w:tcBorders>
            <w:shd w:val="clear" w:color="auto" w:fill="DDD9C3"/>
            <w:noWrap/>
            <w:vAlign w:val="center"/>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4520BD">
              <w:rPr>
                <w:rFonts w:asciiTheme="minorHAnsi" w:hAnsiTheme="minorHAnsi" w:cstheme="minorHAnsi"/>
                <w:b/>
                <w:color w:val="0070C0"/>
                <w:sz w:val="18"/>
                <w:szCs w:val="18"/>
              </w:rPr>
              <w:t>343</w:t>
            </w:r>
          </w:p>
        </w:tc>
        <w:tc>
          <w:tcPr>
            <w:tcW w:w="697" w:type="dxa"/>
            <w:tcBorders>
              <w:top w:val="single" w:sz="4" w:space="0" w:color="auto"/>
              <w:left w:val="single" w:sz="4" w:space="0" w:color="auto"/>
              <w:bottom w:val="single" w:sz="4" w:space="0" w:color="auto"/>
              <w:right w:val="nil"/>
            </w:tcBorders>
            <w:shd w:val="clear" w:color="auto" w:fill="DDD9C3"/>
            <w:noWrap/>
            <w:vAlign w:val="center"/>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794524">
              <w:rPr>
                <w:rFonts w:asciiTheme="minorHAnsi" w:hAnsiTheme="minorHAnsi" w:cstheme="minorHAnsi"/>
                <w:b/>
                <w:color w:val="000000"/>
                <w:sz w:val="18"/>
                <w:szCs w:val="18"/>
              </w:rPr>
              <w:t>1</w:t>
            </w:r>
          </w:p>
        </w:tc>
        <w:tc>
          <w:tcPr>
            <w:tcW w:w="697" w:type="dxa"/>
            <w:tcBorders>
              <w:top w:val="single" w:sz="4" w:space="0" w:color="auto"/>
              <w:left w:val="nil"/>
              <w:bottom w:val="single" w:sz="4" w:space="0" w:color="auto"/>
              <w:right w:val="single" w:sz="4" w:space="0" w:color="auto"/>
            </w:tcBorders>
            <w:shd w:val="clear" w:color="auto" w:fill="DDD9C3"/>
            <w:noWrap/>
            <w:vAlign w:val="center"/>
            <w:hideMark/>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794524">
              <w:rPr>
                <w:rFonts w:asciiTheme="minorHAnsi" w:hAnsiTheme="minorHAnsi" w:cstheme="minorHAnsi"/>
                <w:b/>
                <w:color w:val="000000"/>
                <w:sz w:val="18"/>
                <w:szCs w:val="18"/>
              </w:rPr>
              <w:t>110</w:t>
            </w:r>
          </w:p>
        </w:tc>
        <w:tc>
          <w:tcPr>
            <w:tcW w:w="697" w:type="dxa"/>
            <w:tcBorders>
              <w:top w:val="single" w:sz="4" w:space="0" w:color="auto"/>
              <w:left w:val="single" w:sz="4" w:space="0" w:color="auto"/>
              <w:bottom w:val="single" w:sz="4" w:space="0" w:color="auto"/>
              <w:right w:val="nil"/>
            </w:tcBorders>
            <w:shd w:val="clear" w:color="auto" w:fill="DDD9C3"/>
            <w:vAlign w:val="center"/>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794524">
              <w:rPr>
                <w:rFonts w:asciiTheme="minorHAnsi" w:hAnsiTheme="minorHAnsi" w:cstheme="minorHAnsi"/>
                <w:b/>
                <w:color w:val="000000"/>
                <w:sz w:val="18"/>
                <w:szCs w:val="18"/>
              </w:rPr>
              <w:t>6</w:t>
            </w:r>
          </w:p>
        </w:tc>
        <w:tc>
          <w:tcPr>
            <w:tcW w:w="697" w:type="dxa"/>
            <w:tcBorders>
              <w:top w:val="single" w:sz="4" w:space="0" w:color="auto"/>
              <w:left w:val="nil"/>
              <w:bottom w:val="single" w:sz="4" w:space="0" w:color="auto"/>
              <w:right w:val="single" w:sz="4" w:space="0" w:color="auto"/>
            </w:tcBorders>
            <w:shd w:val="clear" w:color="auto" w:fill="DDD9C3"/>
            <w:vAlign w:val="center"/>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794524">
              <w:rPr>
                <w:rFonts w:asciiTheme="minorHAnsi" w:hAnsiTheme="minorHAnsi" w:cstheme="minorHAnsi"/>
                <w:b/>
                <w:color w:val="000000"/>
                <w:sz w:val="18"/>
                <w:szCs w:val="18"/>
              </w:rPr>
              <w:t>135</w:t>
            </w:r>
          </w:p>
        </w:tc>
        <w:tc>
          <w:tcPr>
            <w:tcW w:w="697" w:type="dxa"/>
            <w:tcBorders>
              <w:top w:val="single" w:sz="4" w:space="0" w:color="auto"/>
              <w:left w:val="single" w:sz="4" w:space="0" w:color="auto"/>
              <w:bottom w:val="single" w:sz="4" w:space="0" w:color="auto"/>
              <w:right w:val="nil"/>
            </w:tcBorders>
            <w:shd w:val="clear" w:color="auto" w:fill="DDD9C3"/>
            <w:vAlign w:val="center"/>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794524">
              <w:rPr>
                <w:rFonts w:asciiTheme="minorHAnsi" w:hAnsiTheme="minorHAnsi" w:cstheme="minorHAnsi"/>
                <w:b/>
                <w:color w:val="000000"/>
                <w:sz w:val="18"/>
                <w:szCs w:val="18"/>
              </w:rPr>
              <w:t>12</w:t>
            </w:r>
          </w:p>
        </w:tc>
        <w:tc>
          <w:tcPr>
            <w:tcW w:w="697" w:type="dxa"/>
            <w:tcBorders>
              <w:top w:val="single" w:sz="4" w:space="0" w:color="auto"/>
              <w:left w:val="nil"/>
              <w:bottom w:val="single" w:sz="4" w:space="0" w:color="auto"/>
              <w:right w:val="single" w:sz="4" w:space="0" w:color="auto"/>
            </w:tcBorders>
            <w:shd w:val="clear" w:color="auto" w:fill="DDD9C3"/>
            <w:vAlign w:val="center"/>
          </w:tcPr>
          <w:p w:rsidR="00CB4D3C" w:rsidRPr="00794524" w:rsidRDefault="00CB4D3C" w:rsidP="007C2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4520BD">
              <w:rPr>
                <w:rFonts w:asciiTheme="minorHAnsi" w:hAnsiTheme="minorHAnsi" w:cstheme="minorHAnsi"/>
                <w:b/>
                <w:color w:val="0070C0"/>
                <w:sz w:val="18"/>
                <w:szCs w:val="18"/>
              </w:rPr>
              <w:t>317</w:t>
            </w:r>
          </w:p>
        </w:tc>
      </w:tr>
    </w:tbl>
    <w:p w:rsidR="00CB4D3C" w:rsidRDefault="00CB4D3C" w:rsidP="00CB4D3C">
      <w:pPr>
        <w:spacing w:after="120"/>
      </w:pPr>
    </w:p>
    <w:p w:rsidR="00CB4D3C" w:rsidRPr="00CE4575" w:rsidRDefault="00CB4D3C" w:rsidP="00CB4D3C">
      <w:pPr>
        <w:pStyle w:val="ListBullet22"/>
        <w:spacing w:after="100" w:afterAutospacing="1"/>
        <w:ind w:left="714" w:hanging="357"/>
      </w:pPr>
      <w:r>
        <w:t xml:space="preserve">On 34 of the 50 occasions when the dispatch price exceeded $1000/MWh, CS Energy’s rebids became effective in the same dispatch interval as the high price occurred (denoted by the 0 in the “Minutes before the high price” column). That is, these rebids significantly contributed to the high </w:t>
      </w:r>
      <w:r w:rsidRPr="00CE4575">
        <w:t xml:space="preserve">price. The </w:t>
      </w:r>
      <w:r w:rsidR="00051834">
        <w:t>next highest was Stanwell with nine</w:t>
      </w:r>
      <w:r w:rsidRPr="00CE4575">
        <w:t xml:space="preserve"> occasions (</w:t>
      </w:r>
      <w:r w:rsidR="00E27EED">
        <w:t xml:space="preserve">both values are </w:t>
      </w:r>
      <w:r w:rsidRPr="00CE4575">
        <w:t xml:space="preserve">highlighted in </w:t>
      </w:r>
      <w:r w:rsidRPr="00FC1E70">
        <w:rPr>
          <w:color w:val="FF0000"/>
        </w:rPr>
        <w:t>red</w:t>
      </w:r>
      <w:r w:rsidRPr="00CE4575">
        <w:t>)</w:t>
      </w:r>
    </w:p>
    <w:p w:rsidR="00CB4D3C" w:rsidRDefault="00CB4D3C" w:rsidP="00CB4D3C">
      <w:pPr>
        <w:pStyle w:val="ListBullet22"/>
        <w:spacing w:after="100" w:afterAutospacing="1"/>
        <w:ind w:left="714" w:hanging="357"/>
      </w:pPr>
      <w:r>
        <w:t>CS Energy and Stanwell rebid the largest average volumes</w:t>
      </w:r>
      <w:r w:rsidRPr="006203BB">
        <w:t xml:space="preserve"> </w:t>
      </w:r>
      <w:r>
        <w:t>into high price bands - 343 MW and 317 MW respectively. This corresponds to approximately 10 per cent of the total capacity of their portfolios. – (</w:t>
      </w:r>
      <w:r w:rsidRPr="00CE4575">
        <w:t xml:space="preserve">highlighted in </w:t>
      </w:r>
      <w:r w:rsidRPr="00FC1E70">
        <w:rPr>
          <w:color w:val="0070C0"/>
        </w:rPr>
        <w:t>blue</w:t>
      </w:r>
      <w:r>
        <w:t>)</w:t>
      </w:r>
    </w:p>
    <w:p w:rsidR="0083520E" w:rsidRDefault="00CB4D3C" w:rsidP="00CB4D3C">
      <w:pPr>
        <w:pStyle w:val="ListBullet22"/>
        <w:spacing w:after="100" w:afterAutospacing="1"/>
        <w:ind w:left="714" w:hanging="357"/>
      </w:pPr>
      <w:r>
        <w:t xml:space="preserve">the 305 MW (highlighted in </w:t>
      </w:r>
      <w:r w:rsidRPr="00FC1E70">
        <w:rPr>
          <w:color w:val="E36C0A" w:themeColor="accent6" w:themeShade="BF"/>
        </w:rPr>
        <w:t>orange</w:t>
      </w:r>
      <w:r>
        <w:t>) average capacity rebid by CS Energy 0 minutes prior to dispatch has a maximum rebid of 625 MW across the portfolio</w:t>
      </w:r>
      <w:r w:rsidR="002F1F62">
        <w:t>.</w:t>
      </w:r>
      <w:r>
        <w:t xml:space="preserve"> </w:t>
      </w:r>
    </w:p>
    <w:p w:rsidR="00E27EED" w:rsidRDefault="00CB4D3C" w:rsidP="00CB4D3C">
      <w:pPr>
        <w:pStyle w:val="ListBullet22"/>
        <w:spacing w:after="100" w:afterAutospacing="1"/>
        <w:ind w:left="714" w:hanging="357"/>
      </w:pPr>
      <w:r>
        <w:t xml:space="preserve">on one occasion, 5 minutes prior to dispatch, </w:t>
      </w:r>
      <w:r w:rsidR="0083520E">
        <w:t xml:space="preserve">CS Energy shifted </w:t>
      </w:r>
      <w:r>
        <w:t xml:space="preserve">1100 MW </w:t>
      </w:r>
      <w:r w:rsidR="0083520E">
        <w:t xml:space="preserve">in their rebid (highlighted in </w:t>
      </w:r>
      <w:r w:rsidR="0083520E" w:rsidRPr="00FC1E70">
        <w:rPr>
          <w:color w:val="4F6228" w:themeColor="accent3" w:themeShade="80"/>
        </w:rPr>
        <w:t>green</w:t>
      </w:r>
      <w:r w:rsidR="0083520E">
        <w:t>)</w:t>
      </w:r>
      <w:r w:rsidR="00FC1E70">
        <w:t>.</w:t>
      </w:r>
      <w:r>
        <w:t xml:space="preserve"> </w:t>
      </w:r>
      <w:r w:rsidR="00FC1E70">
        <w:t>T</w:t>
      </w:r>
      <w:r>
        <w:t xml:space="preserve">he next highest volume </w:t>
      </w:r>
      <w:r w:rsidR="00FC1E70">
        <w:t xml:space="preserve">rebid by CS energy </w:t>
      </w:r>
      <w:r>
        <w:t>was 790 MW</w:t>
      </w:r>
      <w:r w:rsidR="00FC1E70">
        <w:t>,</w:t>
      </w:r>
      <w:r>
        <w:t xml:space="preserve"> 25 minutes prior to dispatch. </w:t>
      </w:r>
    </w:p>
    <w:p w:rsidR="0083520E" w:rsidRDefault="0083520E" w:rsidP="0083520E">
      <w:r>
        <w:t xml:space="preserve">Rebidding late in a 30-minute trading interval </w:t>
      </w:r>
      <w:r w:rsidR="003F1F8F">
        <w:t xml:space="preserve">arguably reduces the reliability of market forecasts </w:t>
      </w:r>
      <w:r w:rsidR="00487125">
        <w:t>by</w:t>
      </w:r>
      <w:r w:rsidR="00487125" w:rsidRPr="00487125">
        <w:t xml:space="preserve"> </w:t>
      </w:r>
      <w:r w:rsidR="000A1153">
        <w:t xml:space="preserve">causing </w:t>
      </w:r>
      <w:r w:rsidR="00487125">
        <w:t xml:space="preserve">a change in </w:t>
      </w:r>
      <w:r w:rsidR="000A1153">
        <w:t xml:space="preserve">price </w:t>
      </w:r>
      <w:r w:rsidR="00487125">
        <w:t xml:space="preserve">close to dispatch, </w:t>
      </w:r>
      <w:r w:rsidR="003F1F8F">
        <w:t xml:space="preserve">and </w:t>
      </w:r>
      <w:r>
        <w:t xml:space="preserve">effectively reduces the opportunity for a response from other participants. </w:t>
      </w:r>
      <w:r w:rsidR="003F7556">
        <w:t xml:space="preserve">This problem is exacerbated by the 5-30 issue where market dispatch provides 5 minute prices and dispatch instructions but settlement is calculated every 30 minutes based on the average of the six 5-minute dispatch intervals in the trading period. </w:t>
      </w:r>
      <w:r w:rsidR="00487125">
        <w:t>While this approach may be profitable for some participants it may impose costs on others and on consumers by increasing the wholesale market price</w:t>
      </w:r>
      <w:r w:rsidR="003F7556">
        <w:t>.  It may also potentially drive a</w:t>
      </w:r>
      <w:r w:rsidR="00487125">
        <w:t xml:space="preserve"> greater need for ri</w:t>
      </w:r>
      <w:r w:rsidR="003F7556">
        <w:t xml:space="preserve">sk management instruments that will also result in higher prices to consumers. </w:t>
      </w:r>
    </w:p>
    <w:p w:rsidR="0083520E" w:rsidRDefault="0083520E" w:rsidP="00CB4D3C"/>
    <w:p w:rsidR="00DF4A8B" w:rsidRDefault="00AD601C" w:rsidP="00DF4A8B">
      <w:r>
        <w:t xml:space="preserve">We examined when </w:t>
      </w:r>
      <w:r w:rsidR="00B62F56">
        <w:t>with</w:t>
      </w:r>
      <w:r>
        <w:t xml:space="preserve">in a trading interval </w:t>
      </w:r>
      <w:r w:rsidR="00DF4A8B">
        <w:t xml:space="preserve">rebids became effective. </w:t>
      </w:r>
      <w:r w:rsidR="002F1F62">
        <w:t>Rebids bec</w:t>
      </w:r>
      <w:r w:rsidR="00B97220">
        <w:t>a</w:t>
      </w:r>
      <w:r w:rsidR="002F1F62">
        <w:t>me effective in the next available dispatch interval after the</w:t>
      </w:r>
      <w:r w:rsidR="00FC1E70">
        <w:t xml:space="preserve"> rebid is submitted</w:t>
      </w:r>
      <w:r w:rsidR="002F1F62">
        <w:t xml:space="preserve">, and as such </w:t>
      </w:r>
      <w:r w:rsidR="00FC1E70">
        <w:t xml:space="preserve">it </w:t>
      </w:r>
      <w:r w:rsidR="002F1F62">
        <w:t xml:space="preserve">is </w:t>
      </w:r>
      <w:r w:rsidR="00FC1E70">
        <w:t xml:space="preserve">largely </w:t>
      </w:r>
      <w:r w:rsidR="002F1F62">
        <w:t xml:space="preserve">controllable by the participant. </w:t>
      </w:r>
      <w:r w:rsidR="00DF4A8B">
        <w:fldChar w:fldCharType="begin"/>
      </w:r>
      <w:r w:rsidR="00DF4A8B">
        <w:instrText xml:space="preserve"> REF _Ref383723890 \h </w:instrText>
      </w:r>
      <w:r w:rsidR="00DF4A8B">
        <w:fldChar w:fldCharType="separate"/>
      </w:r>
      <w:r w:rsidR="005F3C47">
        <w:t xml:space="preserve">Spotlight Figure </w:t>
      </w:r>
      <w:r w:rsidR="005F3C47">
        <w:rPr>
          <w:noProof/>
        </w:rPr>
        <w:t>2</w:t>
      </w:r>
      <w:r w:rsidR="00DF4A8B">
        <w:fldChar w:fldCharType="end"/>
      </w:r>
      <w:r w:rsidR="00DF4A8B">
        <w:t xml:space="preserve"> shows the timing of the rebids. If the rebid became effective in the first dispatch interval of the trading interval it is included in the “1” column, “2” if it was effective in the second dispatch interval, etc. </w:t>
      </w:r>
    </w:p>
    <w:p w:rsidR="00DF4A8B" w:rsidRDefault="00DF4A8B" w:rsidP="00DF4A8B"/>
    <w:p w:rsidR="00DF4A8B" w:rsidRDefault="00DF4A8B" w:rsidP="00DF4A8B">
      <w:pPr>
        <w:pStyle w:val="Caption"/>
      </w:pPr>
      <w:bookmarkStart w:id="10" w:name="_Ref383723890"/>
      <w:r w:rsidRPr="00B339F4">
        <w:rPr>
          <w:noProof/>
        </w:rPr>
        <w:lastRenderedPageBreak/>
        <w:drawing>
          <wp:anchor distT="0" distB="0" distL="114300" distR="114300" simplePos="0" relativeHeight="251721728" behindDoc="0" locked="1" layoutInCell="0" allowOverlap="0" wp14:anchorId="2F51E09E" wp14:editId="7322C8BD">
            <wp:simplePos x="0" y="0"/>
            <wp:positionH relativeFrom="column">
              <wp:posOffset>0</wp:posOffset>
            </wp:positionH>
            <wp:positionV relativeFrom="paragraph">
              <wp:posOffset>290830</wp:posOffset>
            </wp:positionV>
            <wp:extent cx="5725795" cy="3093085"/>
            <wp:effectExtent l="0" t="0" r="8255" b="0"/>
            <wp:wrapTopAndBottom/>
            <wp:docPr id="26" name="Picture 2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5795" cy="30930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Spotlight Figure </w:t>
      </w:r>
      <w:fldSimple w:instr=" SEQ Spotlight_Figure \* ARABIC ">
        <w:r w:rsidR="005F3C47">
          <w:rPr>
            <w:noProof/>
          </w:rPr>
          <w:t>2</w:t>
        </w:r>
      </w:fldSimple>
      <w:bookmarkEnd w:id="10"/>
      <w:r>
        <w:t xml:space="preserve">: </w:t>
      </w:r>
      <w:r w:rsidRPr="005E4841">
        <w:t>Effective dispatch interval within the trading interval for the rebids</w:t>
      </w:r>
    </w:p>
    <w:p w:rsidR="00B62F56" w:rsidRDefault="00B62F56" w:rsidP="00DF4A8B"/>
    <w:p w:rsidR="00B62F56" w:rsidRDefault="00DF4A8B" w:rsidP="00DF4A8B">
      <w:r>
        <w:t xml:space="preserve">The figure shows that most of the rebids were made within the last three dispatch intervals of the relevant trading interval, </w:t>
      </w:r>
      <w:r w:rsidR="007F1864">
        <w:t xml:space="preserve">potentially </w:t>
      </w:r>
      <w:r>
        <w:t xml:space="preserve">reducing </w:t>
      </w:r>
      <w:r w:rsidR="007F1864">
        <w:t xml:space="preserve">the </w:t>
      </w:r>
      <w:r>
        <w:t>number of</w:t>
      </w:r>
      <w:r w:rsidR="007F1864">
        <w:t>,</w:t>
      </w:r>
      <w:r>
        <w:t xml:space="preserve"> </w:t>
      </w:r>
      <w:r w:rsidR="007F1864">
        <w:t xml:space="preserve">and opportunity for, </w:t>
      </w:r>
      <w:r>
        <w:t xml:space="preserve">participants </w:t>
      </w:r>
      <w:r w:rsidR="007F1864">
        <w:t xml:space="preserve">to </w:t>
      </w:r>
      <w:r>
        <w:t>effectively and viably react to the high price</w:t>
      </w:r>
      <w:r w:rsidR="007F1864">
        <w:t xml:space="preserve"> to those already operating.</w:t>
      </w:r>
      <w:r w:rsidR="007F1864">
        <w:rPr>
          <w:rStyle w:val="FootnoteReference"/>
        </w:rPr>
        <w:footnoteReference w:id="6"/>
      </w:r>
      <w:r>
        <w:t xml:space="preserve"> </w:t>
      </w:r>
      <w:r w:rsidR="00FC1E70">
        <w:t>It also reinforces the relative frequency of CS Energy rebids compared to the other participants.</w:t>
      </w:r>
    </w:p>
    <w:p w:rsidR="00B62F56" w:rsidRDefault="00B62F56" w:rsidP="00DF4A8B"/>
    <w:p w:rsidR="00965CDF" w:rsidRDefault="00116380" w:rsidP="00DF4A8B">
      <w:r>
        <w:t>Assuming the interconnector remained constrained; th</w:t>
      </w:r>
      <w:r w:rsidR="00965CDF">
        <w:t xml:space="preserve">ere are two potential </w:t>
      </w:r>
      <w:r w:rsidR="00F121FE">
        <w:t xml:space="preserve">groups </w:t>
      </w:r>
      <w:r w:rsidR="00965CDF">
        <w:t>of market respondents</w:t>
      </w:r>
      <w:r>
        <w:t xml:space="preserve"> to these price spikes</w:t>
      </w:r>
      <w:r w:rsidR="00965CDF">
        <w:t>:</w:t>
      </w:r>
    </w:p>
    <w:p w:rsidR="00965CDF" w:rsidRDefault="007F1864" w:rsidP="00965CDF">
      <w:pPr>
        <w:pStyle w:val="Listbullet1"/>
        <w:spacing w:before="120" w:after="120"/>
        <w:ind w:left="357" w:hanging="357"/>
      </w:pPr>
      <w:r>
        <w:t>Fast start plant, such as gas turbines</w:t>
      </w:r>
      <w:r w:rsidR="00116380">
        <w:t>,</w:t>
      </w:r>
      <w:r>
        <w:t xml:space="preserve"> typically price their capacity close to the market price cap.  </w:t>
      </w:r>
      <w:r w:rsidR="00D72431">
        <w:t>As the price</w:t>
      </w:r>
      <w:r>
        <w:t xml:space="preserve"> spike</w:t>
      </w:r>
      <w:r w:rsidR="00116380">
        <w:t>s</w:t>
      </w:r>
      <w:r>
        <w:t xml:space="preserve"> </w:t>
      </w:r>
      <w:r w:rsidR="001820ED">
        <w:t>were</w:t>
      </w:r>
      <w:r w:rsidR="00D72431">
        <w:t xml:space="preserve"> not forecast, </w:t>
      </w:r>
      <w:r>
        <w:t xml:space="preserve">fast start plant </w:t>
      </w:r>
      <w:r w:rsidR="00DF4A8B">
        <w:t>may have received start signals</w:t>
      </w:r>
      <w:r>
        <w:t>.</w:t>
      </w:r>
      <w:r w:rsidR="00DF4A8B">
        <w:t xml:space="preserve"> </w:t>
      </w:r>
      <w:r>
        <w:t xml:space="preserve">However </w:t>
      </w:r>
      <w:r w:rsidR="00DF4A8B">
        <w:t>because of the time taken to bring these machines on line</w:t>
      </w:r>
      <w:r w:rsidR="00DF4A8B" w:rsidRPr="00965CDF">
        <w:rPr>
          <w:vertAlign w:val="superscript"/>
        </w:rPr>
        <w:footnoteReference w:id="7"/>
      </w:r>
      <w:r w:rsidR="00DF4A8B">
        <w:t xml:space="preserve"> the</w:t>
      </w:r>
      <w:r w:rsidR="00965CDF">
        <w:t>y would be unlikely to be operating before the end of the trading interval</w:t>
      </w:r>
      <w:r w:rsidR="00116380">
        <w:t xml:space="preserve"> in which the high price occurred. They would not therefore receive appropriate compensation </w:t>
      </w:r>
      <w:r w:rsidR="00965CDF">
        <w:t>for their generation.</w:t>
      </w:r>
    </w:p>
    <w:p w:rsidR="00B62F56" w:rsidRDefault="00965CDF" w:rsidP="00965CDF">
      <w:pPr>
        <w:pStyle w:val="Listbullet1"/>
        <w:spacing w:before="120" w:after="120"/>
        <w:ind w:left="357" w:hanging="357"/>
      </w:pPr>
      <w:r>
        <w:t>O</w:t>
      </w:r>
      <w:r w:rsidR="00DF4A8B">
        <w:t>ther generators with su</w:t>
      </w:r>
      <w:r>
        <w:t>fficient ramp rate may have had</w:t>
      </w:r>
      <w:r w:rsidR="00B62F56">
        <w:t>:</w:t>
      </w:r>
    </w:p>
    <w:p w:rsidR="00B62F56" w:rsidRDefault="00DF4A8B" w:rsidP="00A33A4E">
      <w:pPr>
        <w:pStyle w:val="ListBullet22"/>
      </w:pPr>
      <w:r>
        <w:t xml:space="preserve">little head room before they reached their maximum output level or </w:t>
      </w:r>
      <w:r w:rsidR="00116380">
        <w:t xml:space="preserve">been dispatched into </w:t>
      </w:r>
      <w:r w:rsidR="00B62F56">
        <w:t xml:space="preserve">a </w:t>
      </w:r>
      <w:r w:rsidR="00116380">
        <w:t>high priced band</w:t>
      </w:r>
    </w:p>
    <w:p w:rsidR="00DF4A8B" w:rsidRDefault="00B62F56" w:rsidP="00A33A4E">
      <w:pPr>
        <w:pStyle w:val="ListBullet22"/>
      </w:pPr>
      <w:r>
        <w:t xml:space="preserve">may </w:t>
      </w:r>
      <w:r w:rsidR="00DF4A8B">
        <w:t xml:space="preserve">have been trapped or stranded by other </w:t>
      </w:r>
      <w:r>
        <w:t xml:space="preserve">operational </w:t>
      </w:r>
      <w:r w:rsidR="00A33A4E">
        <w:t>mechanisms.</w:t>
      </w:r>
    </w:p>
    <w:p w:rsidR="00116380" w:rsidRDefault="00116380" w:rsidP="00A33A4E">
      <w:pPr>
        <w:pStyle w:val="ListBullet22"/>
      </w:pPr>
      <w:r>
        <w:t>Been ramp rate constrained and not set price.</w:t>
      </w:r>
    </w:p>
    <w:p w:rsidR="00A33A4E" w:rsidRDefault="00313A44" w:rsidP="00A33A4E">
      <w:pPr>
        <w:spacing w:before="120" w:after="120"/>
      </w:pPr>
      <w:r>
        <w:t>The rebidding behaviour by CS Energy effective</w:t>
      </w:r>
      <w:r w:rsidR="00F74821">
        <w:t>ly changed the market conditions in Queensland</w:t>
      </w:r>
      <w:r>
        <w:t xml:space="preserve">. </w:t>
      </w:r>
      <w:r w:rsidR="00DA5D44">
        <w:t>As the summer progressed</w:t>
      </w:r>
      <w:r w:rsidR="00116380">
        <w:t xml:space="preserve">, many </w:t>
      </w:r>
      <w:r w:rsidR="00D72431">
        <w:t xml:space="preserve">participants </w:t>
      </w:r>
      <w:r w:rsidR="00F74821">
        <w:t xml:space="preserve">adapted their behaviours </w:t>
      </w:r>
      <w:r w:rsidR="00DF4A8B">
        <w:t xml:space="preserve">to </w:t>
      </w:r>
      <w:r w:rsidR="00F74821">
        <w:t xml:space="preserve">suit these new conditions. Some generators elected to rebid </w:t>
      </w:r>
      <w:r w:rsidR="00DA5D44">
        <w:t>capacity in a similar manner and time to CS Energy while others chose different approaches</w:t>
      </w:r>
      <w:r w:rsidR="001E2135">
        <w:t>. The fast</w:t>
      </w:r>
      <w:r w:rsidR="000058C8">
        <w:t>-</w:t>
      </w:r>
      <w:r w:rsidR="001E2135">
        <w:t>start plant in particular</w:t>
      </w:r>
      <w:r w:rsidR="00DF4A8B">
        <w:t xml:space="preserve"> </w:t>
      </w:r>
      <w:r w:rsidR="00DA5D44">
        <w:t xml:space="preserve">appear to have </w:t>
      </w:r>
      <w:r w:rsidR="00116380">
        <w:t>elected to either</w:t>
      </w:r>
      <w:r w:rsidR="00A33A4E">
        <w:t>:</w:t>
      </w:r>
    </w:p>
    <w:p w:rsidR="00A33A4E" w:rsidRDefault="00DA5D44" w:rsidP="00A33A4E">
      <w:pPr>
        <w:pStyle w:val="ListBullet22"/>
      </w:pPr>
      <w:r>
        <w:t xml:space="preserve">operate for more hours </w:t>
      </w:r>
      <w:r w:rsidR="00DF4A8B">
        <w:t xml:space="preserve">at prices </w:t>
      </w:r>
      <w:r w:rsidR="007C21A4">
        <w:t xml:space="preserve">that may be </w:t>
      </w:r>
      <w:r w:rsidR="00DF4A8B">
        <w:t>less than their operating costs, in case a high price event</w:t>
      </w:r>
      <w:r>
        <w:t>s</w:t>
      </w:r>
      <w:r w:rsidR="00DF4A8B">
        <w:t xml:space="preserve"> </w:t>
      </w:r>
      <w:r>
        <w:t>occurred,  or</w:t>
      </w:r>
    </w:p>
    <w:p w:rsidR="00DA5D44" w:rsidRDefault="001E2135" w:rsidP="00A33A4E">
      <w:pPr>
        <w:pStyle w:val="ListBullet22"/>
      </w:pPr>
      <w:r>
        <w:t xml:space="preserve">increase their offer prices </w:t>
      </w:r>
      <w:r w:rsidR="00DF4A8B">
        <w:t>close</w:t>
      </w:r>
      <w:r>
        <w:t>r</w:t>
      </w:r>
      <w:r w:rsidR="00DF4A8B">
        <w:t xml:space="preserve"> to the market price cap</w:t>
      </w:r>
      <w:r w:rsidR="00DA5D44">
        <w:t>.</w:t>
      </w:r>
    </w:p>
    <w:p w:rsidR="00DF4A8B" w:rsidRDefault="00DF4A8B" w:rsidP="00DF4A8B"/>
    <w:p w:rsidR="00DF4A8B" w:rsidRDefault="00DF4A8B" w:rsidP="00DF4A8B">
      <w:r>
        <w:t>The rebidding and subsequent response strategies have had a significant impact on the Queensland supply curve</w:t>
      </w:r>
      <w:r w:rsidR="00313A44">
        <w:t xml:space="preserve"> for the few dispatch intervals for which the rebids apply</w:t>
      </w:r>
      <w:r>
        <w:t xml:space="preserve">. </w:t>
      </w:r>
      <w:r>
        <w:fldChar w:fldCharType="begin"/>
      </w:r>
      <w:r>
        <w:instrText xml:space="preserve"> REF _Ref383724051 \h </w:instrText>
      </w:r>
      <w:r>
        <w:fldChar w:fldCharType="separate"/>
      </w:r>
      <w:r w:rsidR="005F3C47" w:rsidRPr="00B339F4">
        <w:t xml:space="preserve">Spotlight Figure </w:t>
      </w:r>
      <w:r w:rsidR="005F3C47">
        <w:rPr>
          <w:noProof/>
        </w:rPr>
        <w:t>3</w:t>
      </w:r>
      <w:r>
        <w:fldChar w:fldCharType="end"/>
      </w:r>
      <w:r>
        <w:t xml:space="preserve"> shows the effect that rebidding had on the supply curve in Queensland on 13 February for the 4.25 pm, 4.30 pm and 4.35 pm dispatch intervals. The Queensland demand curve (less QNI imports) is represented by the vertical dotted line.</w:t>
      </w:r>
      <w:r w:rsidR="001E2135">
        <w:t xml:space="preserve"> This day </w:t>
      </w:r>
      <w:r w:rsidR="00A33A4E">
        <w:t xml:space="preserve">was </w:t>
      </w:r>
      <w:r w:rsidR="001E2135">
        <w:t>chosen as it was relatively representative of the change to the supply curve before during and after the high price events.</w:t>
      </w:r>
    </w:p>
    <w:p w:rsidR="00DF4A8B" w:rsidRDefault="00DF4A8B" w:rsidP="00DF4A8B"/>
    <w:p w:rsidR="00DF4A8B" w:rsidRDefault="00651135" w:rsidP="003D4241">
      <w:pPr>
        <w:pStyle w:val="Caption"/>
      </w:pPr>
      <w:bookmarkStart w:id="11" w:name="_Ref383724051"/>
      <w:r>
        <w:rPr>
          <w:noProof/>
        </w:rPr>
        <mc:AlternateContent>
          <mc:Choice Requires="wps">
            <w:drawing>
              <wp:anchor distT="0" distB="0" distL="114300" distR="114300" simplePos="0" relativeHeight="251744256" behindDoc="0" locked="1" layoutInCell="0" allowOverlap="0" wp14:anchorId="7833873F" wp14:editId="6BD86768">
                <wp:simplePos x="0" y="0"/>
                <wp:positionH relativeFrom="column">
                  <wp:posOffset>2677795</wp:posOffset>
                </wp:positionH>
                <wp:positionV relativeFrom="paragraph">
                  <wp:posOffset>2082165</wp:posOffset>
                </wp:positionV>
                <wp:extent cx="629285" cy="284480"/>
                <wp:effectExtent l="0" t="19050" r="37465" b="39370"/>
                <wp:wrapNone/>
                <wp:docPr id="5" name="Right Arrow 5"/>
                <wp:cNvGraphicFramePr/>
                <a:graphic xmlns:a="http://schemas.openxmlformats.org/drawingml/2006/main">
                  <a:graphicData uri="http://schemas.microsoft.com/office/word/2010/wordprocessingShape">
                    <wps:wsp>
                      <wps:cNvSpPr/>
                      <wps:spPr>
                        <a:xfrm>
                          <a:off x="0" y="0"/>
                          <a:ext cx="629285" cy="284480"/>
                        </a:xfrm>
                        <a:prstGeom prst="rightArrow">
                          <a:avLst>
                            <a:gd name="adj1" fmla="val 50000"/>
                            <a:gd name="adj2" fmla="val 63764"/>
                          </a:avLst>
                        </a:prstGeom>
                        <a:ln>
                          <a:gradFill flip="none" rotWithShape="1">
                            <a:gsLst>
                              <a:gs pos="0">
                                <a:srgbClr val="FF0000"/>
                              </a:gs>
                              <a:gs pos="50000">
                                <a:schemeClr val="accent1">
                                  <a:tint val="44500"/>
                                  <a:satMod val="160000"/>
                                </a:schemeClr>
                              </a:gs>
                              <a:gs pos="100000">
                                <a:schemeClr val="accent3">
                                  <a:lumMod val="75000"/>
                                </a:schemeClr>
                              </a:gs>
                            </a:gsLst>
                            <a:lin ang="0" scaled="1"/>
                            <a:tileRect/>
                          </a:gradFill>
                        </a:ln>
                      </wps:spPr>
                      <wps:style>
                        <a:lnRef idx="2">
                          <a:schemeClr val="accent2"/>
                        </a:lnRef>
                        <a:fillRef idx="1">
                          <a:schemeClr val="lt1"/>
                        </a:fillRef>
                        <a:effectRef idx="0">
                          <a:schemeClr val="accent2"/>
                        </a:effectRef>
                        <a:fontRef idx="minor">
                          <a:schemeClr val="dk1"/>
                        </a:fontRef>
                      </wps:style>
                      <wps:txbx>
                        <w:txbxContent>
                          <w:p w:rsidR="00B97220" w:rsidRPr="00651135" w:rsidRDefault="00B97220" w:rsidP="00651135">
                            <w:pPr>
                              <w:jc w:val="center"/>
                              <w:rPr>
                                <w:rFonts w:ascii="Arial" w:hAnsi="Arial" w:cs="Arial"/>
                                <w:sz w:val="14"/>
                                <w:szCs w:val="16"/>
                              </w:rPr>
                            </w:pPr>
                            <w:r w:rsidRPr="00651135">
                              <w:rPr>
                                <w:rFonts w:ascii="Arial" w:hAnsi="Arial" w:cs="Arial"/>
                                <w:sz w:val="14"/>
                                <w:szCs w:val="16"/>
                              </w:rPr>
                              <w:t>4.</w:t>
                            </w:r>
                            <w:r>
                              <w:rPr>
                                <w:rFonts w:ascii="Arial" w:hAnsi="Arial" w:cs="Arial"/>
                                <w:sz w:val="14"/>
                                <w:szCs w:val="16"/>
                              </w:rPr>
                              <w:t>30</w:t>
                            </w:r>
                            <w:r w:rsidRPr="00651135">
                              <w:rPr>
                                <w:rFonts w:ascii="Arial" w:hAnsi="Arial" w:cs="Arial"/>
                                <w:sz w:val="14"/>
                                <w:szCs w:val="16"/>
                              </w:rPr>
                              <w:t xml:space="preserve"> to 4:3</w:t>
                            </w:r>
                            <w:r>
                              <w:rPr>
                                <w:rFonts w:ascii="Arial" w:hAnsi="Arial" w:cs="Arial"/>
                                <w:sz w:val="14"/>
                                <w:szCs w:val="16"/>
                              </w:rPr>
                              <w:t>5</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7" type="#_x0000_t13" style="position:absolute;left:0;text-align:left;margin-left:210.85pt;margin-top:163.95pt;width:49.55pt;height:2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" o:allowincell="f" o:allowoverlap="f" adj="15374" fillcolor="white [3201]" strokeweight="2pt">
                <v:textbox inset="0,0,0,0">
                  <w:txbxContent>
                    <w:p w:rsidR="00B97220" w:rsidRPr="00651135" w:rsidRDefault="00B97220" w:rsidP="00651135">
                      <w:pPr>
                        <w:jc w:val="center"/>
                        <w:rPr>
                          <w:rFonts w:ascii="Arial" w:hAnsi="Arial" w:cs="Arial"/>
                          <w:sz w:val="14"/>
                          <w:szCs w:val="16"/>
                        </w:rPr>
                      </w:pPr>
                      <w:r w:rsidRPr="00651135">
                        <w:rPr>
                          <w:rFonts w:ascii="Arial" w:hAnsi="Arial" w:cs="Arial"/>
                          <w:sz w:val="14"/>
                          <w:szCs w:val="16"/>
                        </w:rPr>
                        <w:t>4.</w:t>
                      </w:r>
                      <w:r>
                        <w:rPr>
                          <w:rFonts w:ascii="Arial" w:hAnsi="Arial" w:cs="Arial"/>
                          <w:sz w:val="14"/>
                          <w:szCs w:val="16"/>
                        </w:rPr>
                        <w:t>30</w:t>
                      </w:r>
                      <w:r w:rsidRPr="00651135">
                        <w:rPr>
                          <w:rFonts w:ascii="Arial" w:hAnsi="Arial" w:cs="Arial"/>
                          <w:sz w:val="14"/>
                          <w:szCs w:val="16"/>
                        </w:rPr>
                        <w:t xml:space="preserve"> to 4:3</w:t>
                      </w:r>
                      <w:r>
                        <w:rPr>
                          <w:rFonts w:ascii="Arial" w:hAnsi="Arial" w:cs="Arial"/>
                          <w:sz w:val="14"/>
                          <w:szCs w:val="16"/>
                        </w:rPr>
                        <w:t>5</w:t>
                      </w:r>
                    </w:p>
                  </w:txbxContent>
                </v:textbox>
                <w10:anchorlock/>
              </v:shape>
            </w:pict>
          </mc:Fallback>
        </mc:AlternateContent>
      </w:r>
      <w:r w:rsidR="00EA1DAD">
        <w:rPr>
          <w:noProof/>
        </w:rPr>
        <mc:AlternateContent>
          <mc:Choice Requires="wps">
            <w:drawing>
              <wp:anchor distT="0" distB="0" distL="114300" distR="114300" simplePos="0" relativeHeight="251742208" behindDoc="0" locked="1" layoutInCell="0" allowOverlap="0" wp14:anchorId="6803F3CB" wp14:editId="7AACAC0D">
                <wp:simplePos x="0" y="0"/>
                <wp:positionH relativeFrom="column">
                  <wp:posOffset>2689225</wp:posOffset>
                </wp:positionH>
                <wp:positionV relativeFrom="paragraph">
                  <wp:posOffset>1440815</wp:posOffset>
                </wp:positionV>
                <wp:extent cx="831215" cy="283210"/>
                <wp:effectExtent l="19050" t="19050" r="26035" b="40640"/>
                <wp:wrapNone/>
                <wp:docPr id="3" name="Right Arrow 3"/>
                <wp:cNvGraphicFramePr/>
                <a:graphic xmlns:a="http://schemas.openxmlformats.org/drawingml/2006/main">
                  <a:graphicData uri="http://schemas.microsoft.com/office/word/2010/wordprocessingShape">
                    <wps:wsp>
                      <wps:cNvSpPr/>
                      <wps:spPr>
                        <a:xfrm rot="10800000">
                          <a:off x="0" y="0"/>
                          <a:ext cx="831215" cy="283210"/>
                        </a:xfrm>
                        <a:prstGeom prst="rightArrow">
                          <a:avLst>
                            <a:gd name="adj1" fmla="val 50000"/>
                            <a:gd name="adj2" fmla="val 63764"/>
                          </a:avLst>
                        </a:prstGeom>
                        <a:ln>
                          <a:gradFill flip="none" rotWithShape="1">
                            <a:gsLst>
                              <a:gs pos="0">
                                <a:srgbClr val="0070C0"/>
                              </a:gs>
                              <a:gs pos="50000">
                                <a:schemeClr val="accent1">
                                  <a:tint val="44500"/>
                                  <a:satMod val="160000"/>
                                </a:schemeClr>
                              </a:gs>
                              <a:gs pos="100000">
                                <a:srgbClr val="FF0000"/>
                              </a:gs>
                            </a:gsLst>
                            <a:lin ang="0" scaled="1"/>
                            <a:tileRect/>
                          </a:gradFill>
                        </a:ln>
                      </wps:spPr>
                      <wps:style>
                        <a:lnRef idx="2">
                          <a:schemeClr val="accent2"/>
                        </a:lnRef>
                        <a:fillRef idx="1">
                          <a:schemeClr val="lt1"/>
                        </a:fillRef>
                        <a:effectRef idx="0">
                          <a:schemeClr val="accent2"/>
                        </a:effectRef>
                        <a:fontRef idx="minor">
                          <a:schemeClr val="dk1"/>
                        </a:fontRef>
                      </wps:style>
                      <wps:txbx>
                        <w:txbxContent>
                          <w:p w:rsidR="00B97220" w:rsidRPr="00651135" w:rsidRDefault="00B97220" w:rsidP="00651135">
                            <w:pPr>
                              <w:jc w:val="center"/>
                              <w:rPr>
                                <w:rFonts w:ascii="Arial" w:hAnsi="Arial" w:cs="Arial"/>
                                <w:sz w:val="14"/>
                                <w:szCs w:val="16"/>
                              </w:rPr>
                            </w:pPr>
                            <w:r w:rsidRPr="00651135">
                              <w:rPr>
                                <w:rFonts w:ascii="Arial" w:hAnsi="Arial" w:cs="Arial"/>
                                <w:sz w:val="14"/>
                                <w:szCs w:val="16"/>
                              </w:rPr>
                              <w:t>4.25 to 4:30</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 o:spid="_x0000_s1028" type="#_x0000_t13" style="position:absolute;left:0;text-align:left;margin-left:211.75pt;margin-top:113.45pt;width:65.45pt;height:22.3pt;rotation:18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" o:allowincell="f" o:allowoverlap="f" adj="16907" fillcolor="white [3201]" strokeweight="2pt">
                <v:textbox inset="0,0,0,0">
                  <w:txbxContent>
                    <w:p w:rsidR="00B97220" w:rsidRPr="00651135" w:rsidRDefault="00B97220" w:rsidP="00651135">
                      <w:pPr>
                        <w:jc w:val="center"/>
                        <w:rPr>
                          <w:rFonts w:ascii="Arial" w:hAnsi="Arial" w:cs="Arial"/>
                          <w:sz w:val="14"/>
                          <w:szCs w:val="16"/>
                        </w:rPr>
                      </w:pPr>
                      <w:r w:rsidRPr="00651135">
                        <w:rPr>
                          <w:rFonts w:ascii="Arial" w:hAnsi="Arial" w:cs="Arial"/>
                          <w:sz w:val="14"/>
                          <w:szCs w:val="16"/>
                        </w:rPr>
                        <w:t>4.25 to 4:30</w:t>
                      </w:r>
                    </w:p>
                  </w:txbxContent>
                </v:textbox>
                <w10:anchorlock/>
              </v:shape>
            </w:pict>
          </mc:Fallback>
        </mc:AlternateContent>
      </w:r>
      <w:r w:rsidR="00C935BF" w:rsidRPr="00C935BF">
        <w:rPr>
          <w:noProof/>
        </w:rPr>
        <w:drawing>
          <wp:anchor distT="0" distB="0" distL="114300" distR="114300" simplePos="0" relativeHeight="251652095" behindDoc="0" locked="1" layoutInCell="0" allowOverlap="0" wp14:anchorId="4D5171D9" wp14:editId="488966BA">
            <wp:simplePos x="0" y="0"/>
            <wp:positionH relativeFrom="column">
              <wp:posOffset>-635</wp:posOffset>
            </wp:positionH>
            <wp:positionV relativeFrom="paragraph">
              <wp:posOffset>234950</wp:posOffset>
            </wp:positionV>
            <wp:extent cx="5818505" cy="3371850"/>
            <wp:effectExtent l="0" t="0" r="0" b="0"/>
            <wp:wrapTopAndBottom/>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8505"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A8B" w:rsidRPr="00B339F4">
        <w:t xml:space="preserve">Spotlight Figure </w:t>
      </w:r>
      <w:fldSimple w:instr=" SEQ Spotlight_Figure \* ARABIC ">
        <w:r w:rsidR="005F3C47">
          <w:rPr>
            <w:noProof/>
          </w:rPr>
          <w:t>3</w:t>
        </w:r>
      </w:fldSimple>
      <w:bookmarkEnd w:id="11"/>
      <w:r w:rsidR="00DF4A8B" w:rsidRPr="004520BD">
        <w:t>: Queensland supply curve over three dispat</w:t>
      </w:r>
      <w:r w:rsidR="003D4241">
        <w:t>ch intervals - 13 February 2014</w:t>
      </w:r>
    </w:p>
    <w:p w:rsidR="003D4241" w:rsidRDefault="003D4241" w:rsidP="007C21A4"/>
    <w:p w:rsidR="007C21A4" w:rsidRDefault="007C21A4" w:rsidP="007C21A4">
      <w:r>
        <w:t>In this figure three participants (CS Energy, Callide Power</w:t>
      </w:r>
      <w:r>
        <w:rPr>
          <w:rStyle w:val="FootnoteReference"/>
        </w:rPr>
        <w:footnoteReference w:id="8"/>
      </w:r>
      <w:r>
        <w:t xml:space="preserve"> and Stanwell) rebid a total of around 700 MW of capacity from low prices to high prices which became effective </w:t>
      </w:r>
      <w:r w:rsidR="000250C9">
        <w:t xml:space="preserve">for the dispatch interval ending </w:t>
      </w:r>
      <w:r>
        <w:t xml:space="preserve">4.30 pm (last dispatch interval in the 4.30 pm trading interval). The impact of the rebidding is represented by the three supply curves. The price went </w:t>
      </w:r>
      <w:r w:rsidRPr="005C3289">
        <w:t>from $84/MWh</w:t>
      </w:r>
      <w:r>
        <w:t xml:space="preserve"> at 4.25 pm to $11 851/MWh at 4.30 pm then down to $120/MWh at 4.35 pm when the rebids were no longer effective.</w:t>
      </w:r>
      <w:r w:rsidR="007D090E">
        <w:t xml:space="preserve"> Clearly, in this case, a smaller quantity of capacity rebid would still have led to a high price but not one greater than $10 000/MWh.</w:t>
      </w:r>
    </w:p>
    <w:p w:rsidR="008F5288" w:rsidRDefault="008F5288" w:rsidP="007C21A4"/>
    <w:p w:rsidR="00DF4A8B" w:rsidRDefault="00DF4A8B" w:rsidP="008F5288">
      <w:pPr>
        <w:pStyle w:val="Heading4"/>
        <w:ind w:left="720"/>
      </w:pPr>
      <w:r w:rsidRPr="00576760">
        <w:t>Rebid reasons</w:t>
      </w:r>
    </w:p>
    <w:p w:rsidR="00DF4A8B" w:rsidRDefault="00DF4A8B" w:rsidP="00DF4A8B">
      <w:r>
        <w:t xml:space="preserve">Participants are required by the rules to submit a brief verifiable and specific reason whenever a rebid is submitted. Participants are obliged to honour their original offers and rebids if the material conditions and circumstances upon which the offer or rebid were based remain unchanged. We examined all relevant rebids and associated reasons to ensure they were consistent with the rules. That review is ongoing. Most of the rebid reasons during the period fell into four main categories, as shown in </w:t>
      </w:r>
      <w:r>
        <w:fldChar w:fldCharType="begin"/>
      </w:r>
      <w:r>
        <w:instrText xml:space="preserve"> REF _Ref383724162 \h </w:instrText>
      </w:r>
      <w:r>
        <w:fldChar w:fldCharType="separate"/>
      </w:r>
      <w:r w:rsidR="005F3C47" w:rsidRPr="00B339F4">
        <w:t xml:space="preserve">Spotlight Figure </w:t>
      </w:r>
      <w:r w:rsidR="005F3C47">
        <w:rPr>
          <w:noProof/>
        </w:rPr>
        <w:t>4</w:t>
      </w:r>
      <w:r>
        <w:fldChar w:fldCharType="end"/>
      </w:r>
      <w:r>
        <w:t>.</w:t>
      </w:r>
    </w:p>
    <w:p w:rsidR="00DF4A8B" w:rsidRDefault="00DF4A8B" w:rsidP="00DF4A8B"/>
    <w:p w:rsidR="00DF4A8B" w:rsidRPr="004520BD" w:rsidRDefault="00DF4A8B" w:rsidP="00DF4A8B">
      <w:pPr>
        <w:pStyle w:val="Caption"/>
      </w:pPr>
      <w:bookmarkStart w:id="12" w:name="_Ref383724162"/>
      <w:r w:rsidRPr="00B339F4">
        <w:lastRenderedPageBreak/>
        <w:t xml:space="preserve">Spotlight Figure </w:t>
      </w:r>
      <w:fldSimple w:instr=" SEQ Spotlight_Figure \* ARABIC ">
        <w:r w:rsidR="005F3C47">
          <w:rPr>
            <w:noProof/>
          </w:rPr>
          <w:t>4</w:t>
        </w:r>
      </w:fldSimple>
      <w:bookmarkEnd w:id="12"/>
      <w:r w:rsidRPr="004520BD">
        <w:t>: Rebid reasons within a trading interval</w:t>
      </w:r>
      <w:r w:rsidRPr="00B339F4">
        <w:rPr>
          <w:noProof/>
        </w:rPr>
        <w:drawing>
          <wp:anchor distT="0" distB="0" distL="114300" distR="114300" simplePos="0" relativeHeight="251726848" behindDoc="0" locked="1" layoutInCell="0" allowOverlap="0" wp14:anchorId="5A36BFB1" wp14:editId="0164C624">
            <wp:simplePos x="0" y="0"/>
            <wp:positionH relativeFrom="column">
              <wp:posOffset>0</wp:posOffset>
            </wp:positionH>
            <wp:positionV relativeFrom="paragraph">
              <wp:posOffset>269875</wp:posOffset>
            </wp:positionV>
            <wp:extent cx="5720400" cy="2808000"/>
            <wp:effectExtent l="0" t="0" r="0" b="0"/>
            <wp:wrapTopAndBottom/>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400" cy="280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A8B" w:rsidRDefault="00DF4A8B" w:rsidP="00DF4A8B"/>
    <w:p w:rsidR="00DF4A8B" w:rsidRDefault="00DF4A8B" w:rsidP="00DF4A8B">
      <w:r>
        <w:fldChar w:fldCharType="begin"/>
      </w:r>
      <w:r>
        <w:instrText xml:space="preserve"> REF _Ref383724162 \h </w:instrText>
      </w:r>
      <w:r>
        <w:fldChar w:fldCharType="separate"/>
      </w:r>
      <w:r w:rsidR="005F3C47" w:rsidRPr="00B339F4">
        <w:t xml:space="preserve">Spotlight Figure </w:t>
      </w:r>
      <w:r w:rsidR="005F3C47">
        <w:rPr>
          <w:noProof/>
        </w:rPr>
        <w:t>4</w:t>
      </w:r>
      <w:r>
        <w:fldChar w:fldCharType="end"/>
      </w:r>
      <w:r>
        <w:t xml:space="preserve"> shows that most rebid reasons </w:t>
      </w:r>
      <w:r w:rsidR="0079258B">
        <w:t xml:space="preserve">were </w:t>
      </w:r>
      <w:r w:rsidR="001611BD">
        <w:t xml:space="preserve">related to constraints, or forecast constraints on the </w:t>
      </w:r>
      <w:r>
        <w:t>Queensland to New South Wales interconnector (QNI). There appears, however, to be little correlation between when the conditions related to the interconnector materially changed</w:t>
      </w:r>
      <w:r w:rsidR="0001758A">
        <w:t>,</w:t>
      </w:r>
      <w:r>
        <w:t xml:space="preserve"> or were forecast to change</w:t>
      </w:r>
      <w:r w:rsidR="0001758A">
        <w:t>,</w:t>
      </w:r>
      <w:r>
        <w:t xml:space="preserve"> and when rebids were </w:t>
      </w:r>
      <w:r w:rsidRPr="00161E8F">
        <w:t>submitted</w:t>
      </w:r>
      <w:r w:rsidR="008F5288">
        <w:t xml:space="preserve">. </w:t>
      </w:r>
      <w:r>
        <w:t xml:space="preserve">Our analysis showed that on some occasions the interconnector was forecast to constrain some hours prior to dispatch, on others the </w:t>
      </w:r>
      <w:r w:rsidR="0001758A">
        <w:t xml:space="preserve">network </w:t>
      </w:r>
      <w:r>
        <w:t xml:space="preserve">constraint appeared as close as </w:t>
      </w:r>
      <w:r w:rsidR="0001758A">
        <w:t xml:space="preserve">in </w:t>
      </w:r>
      <w:r>
        <w:t xml:space="preserve">the preceding interval. </w:t>
      </w:r>
    </w:p>
    <w:p w:rsidR="00DF4A8B" w:rsidRDefault="00DF4A8B" w:rsidP="00DF4A8B"/>
    <w:p w:rsidR="00DF4A8B" w:rsidRDefault="0001758A" w:rsidP="00DF4A8B">
      <w:r>
        <w:t>The s</w:t>
      </w:r>
      <w:r w:rsidR="00DF4A8B">
        <w:t xml:space="preserve">ystem normal constraints </w:t>
      </w:r>
      <w:r>
        <w:t xml:space="preserve">that are important in this case are those that </w:t>
      </w:r>
      <w:r w:rsidR="00DF4A8B">
        <w:t xml:space="preserve">limit imports into Queensland across QNI to prevent voltage collapse in New South Wales in the event of the loss of the Kogan Creek generator. We determined that the </w:t>
      </w:r>
      <w:r w:rsidR="00DF4A8B" w:rsidRPr="004520BD">
        <w:t>flow duration curves</w:t>
      </w:r>
      <w:r w:rsidR="00DF4A8B">
        <w:t xml:space="preserve"> for the 2012/13 summer period and those for the 2013/14 period were largely similar. </w:t>
      </w:r>
      <w:r w:rsidR="00DF4A8B">
        <w:fldChar w:fldCharType="begin"/>
      </w:r>
      <w:r w:rsidR="00DF4A8B">
        <w:instrText xml:space="preserve"> REF _Ref383724582 \h </w:instrText>
      </w:r>
      <w:r w:rsidR="00DF4A8B">
        <w:fldChar w:fldCharType="separate"/>
      </w:r>
      <w:r w:rsidR="005F3C47" w:rsidRPr="00CE4575">
        <w:t xml:space="preserve">Spotlight Figure </w:t>
      </w:r>
      <w:r w:rsidR="005F3C47">
        <w:rPr>
          <w:noProof/>
        </w:rPr>
        <w:t>5</w:t>
      </w:r>
      <w:r w:rsidR="00DF4A8B">
        <w:fldChar w:fldCharType="end"/>
      </w:r>
      <w:r w:rsidR="00DF4A8B">
        <w:t xml:space="preserve"> shows the flow duration curves for the summer periods for the last 5 years.  The shift of the </w:t>
      </w:r>
      <w:r w:rsidR="00B6239B">
        <w:t xml:space="preserve">2013 and 2014 </w:t>
      </w:r>
      <w:r w:rsidR="00DF4A8B">
        <w:t xml:space="preserve">curves to the right </w:t>
      </w:r>
      <w:r>
        <w:t xml:space="preserve">from the 2010, 2011 and 2012 financial years reflects </w:t>
      </w:r>
      <w:r w:rsidR="00DF4A8B">
        <w:t>a reduction in imports into Queensland following the withdrawal of generating capacity from the region.</w:t>
      </w:r>
    </w:p>
    <w:p w:rsidR="00DF4A8B" w:rsidRDefault="00DF4A8B" w:rsidP="00DF4A8B"/>
    <w:p w:rsidR="00DF4A8B" w:rsidRPr="00CE4575" w:rsidRDefault="00DF4A8B" w:rsidP="00DF4A8B">
      <w:pPr>
        <w:pStyle w:val="Caption"/>
      </w:pPr>
      <w:bookmarkStart w:id="13" w:name="_Ref383724582"/>
      <w:r w:rsidRPr="00B339F4">
        <w:rPr>
          <w:noProof/>
        </w:rPr>
        <w:drawing>
          <wp:anchor distT="0" distB="0" distL="114300" distR="114300" simplePos="0" relativeHeight="251727872" behindDoc="0" locked="1" layoutInCell="0" allowOverlap="0" wp14:anchorId="06C0B7EC" wp14:editId="2A5C97C0">
            <wp:simplePos x="0" y="0"/>
            <wp:positionH relativeFrom="column">
              <wp:posOffset>0</wp:posOffset>
            </wp:positionH>
            <wp:positionV relativeFrom="paragraph">
              <wp:posOffset>220980</wp:posOffset>
            </wp:positionV>
            <wp:extent cx="5727700" cy="2885440"/>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288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575">
        <w:t xml:space="preserve">Spotlight Figure </w:t>
      </w:r>
      <w:r w:rsidRPr="004520BD">
        <w:fldChar w:fldCharType="begin"/>
      </w:r>
      <w:r w:rsidRPr="00CE4575">
        <w:instrText xml:space="preserve"> SEQ Spotlight_Figure \* ARABIC </w:instrText>
      </w:r>
      <w:r w:rsidRPr="004520BD">
        <w:fldChar w:fldCharType="separate"/>
      </w:r>
      <w:r w:rsidR="005F3C47">
        <w:rPr>
          <w:noProof/>
        </w:rPr>
        <w:t>5</w:t>
      </w:r>
      <w:r w:rsidRPr="004520BD">
        <w:fldChar w:fldCharType="end"/>
      </w:r>
      <w:bookmarkEnd w:id="13"/>
      <w:r w:rsidRPr="00CE4575">
        <w:t>: flow duration curve for QNI for summer periods over the last five years</w:t>
      </w:r>
    </w:p>
    <w:p w:rsidR="00DF4A8B" w:rsidRDefault="00DF4A8B" w:rsidP="00DF4A8B"/>
    <w:p w:rsidR="00DF4A8B" w:rsidRDefault="00DF4A8B" w:rsidP="00DF4A8B">
      <w:r>
        <w:lastRenderedPageBreak/>
        <w:t xml:space="preserve">It is not unusual for this constraint to noticeably reduce the nominal capacity of QNI into Queensland. Our analysis, however, shows that this constraint bound slightly less frequently over 2013/14 summer period compared to the same time the previous year and during those periods of constraint </w:t>
      </w:r>
      <w:r w:rsidR="008F5288">
        <w:t xml:space="preserve">the import limit into Queensland was </w:t>
      </w:r>
      <w:r>
        <w:t xml:space="preserve">slightly </w:t>
      </w:r>
      <w:r w:rsidR="008F5288">
        <w:t>higher</w:t>
      </w:r>
      <w:r>
        <w:t xml:space="preserve">. </w:t>
      </w:r>
    </w:p>
    <w:p w:rsidR="00DF4A8B" w:rsidRDefault="00DF4A8B" w:rsidP="00DF4A8B"/>
    <w:p w:rsidR="007C21A4" w:rsidRPr="004520BD" w:rsidRDefault="007C21A4" w:rsidP="00C935BF">
      <w:pPr>
        <w:pStyle w:val="Heading4"/>
        <w:ind w:left="720"/>
      </w:pPr>
      <w:r w:rsidRPr="00B339F4">
        <w:t>Frequen</w:t>
      </w:r>
      <w:r w:rsidR="0079258B">
        <w:t>cy</w:t>
      </w:r>
      <w:r w:rsidRPr="00B339F4">
        <w:t xml:space="preserve"> </w:t>
      </w:r>
      <w:r w:rsidR="00C935BF">
        <w:t xml:space="preserve">of </w:t>
      </w:r>
      <w:r w:rsidRPr="00B339F4">
        <w:t>rebidding</w:t>
      </w:r>
    </w:p>
    <w:p w:rsidR="007C21A4" w:rsidRDefault="007C21A4" w:rsidP="007C21A4">
      <w:pPr>
        <w:pStyle w:val="AERbodytext"/>
      </w:pPr>
      <w:r w:rsidRPr="004520BD">
        <w:t>To provide an example of the repeated nature of the rebidding by CS energy, on 21</w:t>
      </w:r>
      <w:r w:rsidRPr="004520BD">
        <w:rPr>
          <w:rFonts w:hint="eastAsia"/>
        </w:rPr>
        <w:t> </w:t>
      </w:r>
      <w:r w:rsidRPr="004520BD">
        <w:t xml:space="preserve">February the dispatch price exceeded $1000/MWh on </w:t>
      </w:r>
      <w:r w:rsidR="00B6239B">
        <w:t>six</w:t>
      </w:r>
      <w:r w:rsidRPr="004520BD">
        <w:t xml:space="preserve"> occasions. </w:t>
      </w:r>
      <w:r>
        <w:fldChar w:fldCharType="begin"/>
      </w:r>
      <w:r>
        <w:instrText xml:space="preserve"> REF _Ref383724925 \h </w:instrText>
      </w:r>
      <w:r>
        <w:fldChar w:fldCharType="separate"/>
      </w:r>
      <w:r w:rsidR="005F3C47" w:rsidRPr="00B339F4">
        <w:t xml:space="preserve">Spotlight Figure </w:t>
      </w:r>
      <w:r w:rsidR="005F3C47">
        <w:rPr>
          <w:noProof/>
        </w:rPr>
        <w:t>6</w:t>
      </w:r>
      <w:r>
        <w:fldChar w:fldCharType="end"/>
      </w:r>
      <w:r w:rsidRPr="004520BD">
        <w:t xml:space="preserve"> shows the price of capacity offered into the market (in price bands) in Queensland as well as the dispatch price and total demand. </w:t>
      </w:r>
    </w:p>
    <w:p w:rsidR="007C21A4" w:rsidRPr="004520BD" w:rsidRDefault="007C21A4" w:rsidP="007C21A4">
      <w:pPr>
        <w:pStyle w:val="Caption"/>
      </w:pPr>
      <w:bookmarkStart w:id="14" w:name="_Ref383724925"/>
      <w:r w:rsidRPr="00B339F4">
        <w:rPr>
          <w:noProof/>
        </w:rPr>
        <w:drawing>
          <wp:anchor distT="0" distB="0" distL="114300" distR="114300" simplePos="0" relativeHeight="251729920" behindDoc="0" locked="1" layoutInCell="0" allowOverlap="0" wp14:anchorId="3D367160" wp14:editId="6CA8346F">
            <wp:simplePos x="0" y="0"/>
            <wp:positionH relativeFrom="column">
              <wp:posOffset>0</wp:posOffset>
            </wp:positionH>
            <wp:positionV relativeFrom="paragraph">
              <wp:posOffset>253365</wp:posOffset>
            </wp:positionV>
            <wp:extent cx="5716270" cy="2742565"/>
            <wp:effectExtent l="0" t="0" r="0" b="63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270" cy="2742565"/>
                    </a:xfrm>
                    <a:prstGeom prst="rect">
                      <a:avLst/>
                    </a:prstGeom>
                    <a:noFill/>
                    <a:ln>
                      <a:noFill/>
                    </a:ln>
                  </pic:spPr>
                </pic:pic>
              </a:graphicData>
            </a:graphic>
            <wp14:sizeRelH relativeFrom="margin">
              <wp14:pctWidth>0</wp14:pctWidth>
            </wp14:sizeRelH>
          </wp:anchor>
        </w:drawing>
      </w:r>
      <w:r w:rsidRPr="004520BD">
        <w:rPr>
          <w:noProof/>
        </w:rPr>
        <mc:AlternateContent>
          <mc:Choice Requires="wps">
            <w:drawing>
              <wp:anchor distT="0" distB="0" distL="114300" distR="114300" simplePos="0" relativeHeight="251731968" behindDoc="0" locked="1" layoutInCell="0" allowOverlap="1" wp14:anchorId="0BF067E2" wp14:editId="20CE0F9C">
                <wp:simplePos x="0" y="0"/>
                <wp:positionH relativeFrom="column">
                  <wp:posOffset>4443095</wp:posOffset>
                </wp:positionH>
                <wp:positionV relativeFrom="paragraph">
                  <wp:posOffset>1063559</wp:posOffset>
                </wp:positionV>
                <wp:extent cx="226800" cy="1864800"/>
                <wp:effectExtent l="0" t="0" r="20955" b="21590"/>
                <wp:wrapNone/>
                <wp:docPr id="29" name="Oval 29"/>
                <wp:cNvGraphicFramePr/>
                <a:graphic xmlns:a="http://schemas.openxmlformats.org/drawingml/2006/main">
                  <a:graphicData uri="http://schemas.microsoft.com/office/word/2010/wordprocessingShape">
                    <wps:wsp>
                      <wps:cNvSpPr/>
                      <wps:spPr>
                        <a:xfrm>
                          <a:off x="0" y="0"/>
                          <a:ext cx="226800" cy="1864800"/>
                        </a:xfrm>
                        <a:prstGeom prst="ellipse">
                          <a:avLst/>
                        </a:prstGeom>
                        <a:noFill/>
                        <a:ln w="158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349.85pt;margin-top:83.75pt;width:17.85pt;height:146.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" o:allowincell="f" filled="f" strokecolor="#002060" strokeweight="1.25pt">
                <w10:anchorlock/>
              </v:oval>
            </w:pict>
          </mc:Fallback>
        </mc:AlternateContent>
      </w:r>
      <w:r w:rsidR="00120682" w:rsidRPr="004520BD">
        <w:rPr>
          <w:noProof/>
        </w:rPr>
        <mc:AlternateContent>
          <mc:Choice Requires="wps">
            <w:drawing>
              <wp:anchor distT="0" distB="0" distL="114300" distR="114300" simplePos="0" relativeHeight="251735040" behindDoc="0" locked="1" layoutInCell="0" allowOverlap="1" wp14:anchorId="1C39AA97" wp14:editId="6B52314E">
                <wp:simplePos x="0" y="0"/>
                <wp:positionH relativeFrom="column">
                  <wp:posOffset>1818005</wp:posOffset>
                </wp:positionH>
                <wp:positionV relativeFrom="paragraph">
                  <wp:posOffset>1062990</wp:posOffset>
                </wp:positionV>
                <wp:extent cx="226695" cy="1864360"/>
                <wp:effectExtent l="0" t="0" r="20955" b="21590"/>
                <wp:wrapNone/>
                <wp:docPr id="304" name="Oval 304"/>
                <wp:cNvGraphicFramePr/>
                <a:graphic xmlns:a="http://schemas.openxmlformats.org/drawingml/2006/main">
                  <a:graphicData uri="http://schemas.microsoft.com/office/word/2010/wordprocessingShape">
                    <wps:wsp>
                      <wps:cNvSpPr/>
                      <wps:spPr>
                        <a:xfrm>
                          <a:off x="0" y="0"/>
                          <a:ext cx="226695" cy="1864360"/>
                        </a:xfrm>
                        <a:prstGeom prst="ellipse">
                          <a:avLst/>
                        </a:prstGeom>
                        <a:noFill/>
                        <a:ln w="158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4" o:spid="_x0000_s1026" style="position:absolute;margin-left:143.15pt;margin-top:83.7pt;width:17.85pt;height:146.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" o:allowincell="f" filled="f" strokecolor="#bfbfbf [2412]" strokeweight="1.25pt">
                <w10:anchorlock/>
              </v:oval>
            </w:pict>
          </mc:Fallback>
        </mc:AlternateContent>
      </w:r>
      <w:r w:rsidRPr="004520BD">
        <w:rPr>
          <w:noProof/>
        </w:rPr>
        <mc:AlternateContent>
          <mc:Choice Requires="wps">
            <w:drawing>
              <wp:anchor distT="0" distB="0" distL="114300" distR="114300" simplePos="0" relativeHeight="251730944" behindDoc="0" locked="1" layoutInCell="0" allowOverlap="1" wp14:anchorId="4B3A5DFE" wp14:editId="1934BF41">
                <wp:simplePos x="0" y="0"/>
                <wp:positionH relativeFrom="column">
                  <wp:posOffset>4079174</wp:posOffset>
                </wp:positionH>
                <wp:positionV relativeFrom="paragraph">
                  <wp:posOffset>1063559</wp:posOffset>
                </wp:positionV>
                <wp:extent cx="226800" cy="1864800"/>
                <wp:effectExtent l="0" t="0" r="20955" b="21590"/>
                <wp:wrapNone/>
                <wp:docPr id="28" name="Oval 28"/>
                <wp:cNvGraphicFramePr/>
                <a:graphic xmlns:a="http://schemas.openxmlformats.org/drawingml/2006/main">
                  <a:graphicData uri="http://schemas.microsoft.com/office/word/2010/wordprocessingShape">
                    <wps:wsp>
                      <wps:cNvSpPr/>
                      <wps:spPr>
                        <a:xfrm>
                          <a:off x="0" y="0"/>
                          <a:ext cx="226800" cy="1864800"/>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321.2pt;margin-top:83.75pt;width:17.85pt;height:146.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" o:allowincell="f" filled="f" strokecolor="red" strokeweight="1.25pt">
                <w10:anchorlock/>
              </v:oval>
            </w:pict>
          </mc:Fallback>
        </mc:AlternateContent>
      </w:r>
      <w:r w:rsidRPr="00B339F4">
        <w:t xml:space="preserve">Spotlight Figure </w:t>
      </w:r>
      <w:fldSimple w:instr=" SEQ Spotlight_Figure \* ARABIC ">
        <w:r w:rsidR="005F3C47">
          <w:rPr>
            <w:noProof/>
          </w:rPr>
          <w:t>6</w:t>
        </w:r>
      </w:fldSimple>
      <w:bookmarkEnd w:id="14"/>
      <w:r w:rsidRPr="004520BD">
        <w:t>: Queensland closing offers, price and total demand on 21 February</w:t>
      </w:r>
    </w:p>
    <w:p w:rsidR="007C21A4" w:rsidRDefault="007C21A4" w:rsidP="007C21A4">
      <w:pPr>
        <w:rPr>
          <w:lang w:eastAsia="en-US"/>
        </w:rPr>
      </w:pPr>
    </w:p>
    <w:p w:rsidR="009C6152" w:rsidRDefault="007C21A4" w:rsidP="007C21A4">
      <w:pPr>
        <w:rPr>
          <w:lang w:eastAsia="en-US"/>
        </w:rPr>
      </w:pPr>
      <w:r>
        <w:rPr>
          <w:lang w:eastAsia="en-US"/>
        </w:rPr>
        <w:t xml:space="preserve">This figure highlights that </w:t>
      </w:r>
      <w:r w:rsidR="00B6239B">
        <w:rPr>
          <w:lang w:eastAsia="en-US"/>
        </w:rPr>
        <w:t xml:space="preserve">prior to mid-day there was </w:t>
      </w:r>
      <w:r w:rsidR="0079258B">
        <w:rPr>
          <w:lang w:eastAsia="en-US"/>
        </w:rPr>
        <w:t>around</w:t>
      </w:r>
      <w:r w:rsidR="00B6239B">
        <w:rPr>
          <w:lang w:eastAsia="en-US"/>
        </w:rPr>
        <w:t xml:space="preserve"> 150 MW priced between $1000/MWh and $10 000/MWh but </w:t>
      </w:r>
      <w:r>
        <w:rPr>
          <w:lang w:eastAsia="en-US"/>
        </w:rPr>
        <w:t xml:space="preserve">from </w:t>
      </w:r>
      <w:r w:rsidR="00C935BF">
        <w:rPr>
          <w:lang w:eastAsia="en-US"/>
        </w:rPr>
        <w:t xml:space="preserve">mid-day </w:t>
      </w:r>
      <w:r w:rsidR="00B6239B">
        <w:rPr>
          <w:lang w:eastAsia="en-US"/>
        </w:rPr>
        <w:t>that capacity had been rebid into lower priced bands</w:t>
      </w:r>
      <w:r w:rsidR="00120682">
        <w:rPr>
          <w:lang w:eastAsia="en-US"/>
        </w:rPr>
        <w:t xml:space="preserve">. </w:t>
      </w:r>
      <w:r>
        <w:rPr>
          <w:lang w:eastAsia="en-US"/>
        </w:rPr>
        <w:t xml:space="preserve">The sawtooth shape of the blue area </w:t>
      </w:r>
      <w:r w:rsidR="00B6239B">
        <w:rPr>
          <w:lang w:eastAsia="en-US"/>
        </w:rPr>
        <w:t xml:space="preserve">on the chart </w:t>
      </w:r>
      <w:r>
        <w:rPr>
          <w:lang w:eastAsia="en-US"/>
        </w:rPr>
        <w:t xml:space="preserve">shows that capacity was repeatedly moved </w:t>
      </w:r>
      <w:r w:rsidRPr="00120682">
        <w:rPr>
          <w:lang w:eastAsia="en-US"/>
        </w:rPr>
        <w:t>from less than $1000/MWh to greater than $10</w:t>
      </w:r>
      <w:r w:rsidRPr="00120682">
        <w:rPr>
          <w:rFonts w:hint="eastAsia"/>
          <w:lang w:eastAsia="en-US"/>
        </w:rPr>
        <w:t> </w:t>
      </w:r>
      <w:r w:rsidRPr="00120682">
        <w:rPr>
          <w:lang w:eastAsia="en-US"/>
        </w:rPr>
        <w:t>000/MWh for short periods</w:t>
      </w:r>
      <w:r>
        <w:rPr>
          <w:lang w:eastAsia="en-US"/>
        </w:rPr>
        <w:t xml:space="preserve">. </w:t>
      </w:r>
      <w:r w:rsidR="00B6239B">
        <w:rPr>
          <w:lang w:eastAsia="en-US"/>
        </w:rPr>
        <w:t>While t</w:t>
      </w:r>
      <w:r>
        <w:rPr>
          <w:lang w:eastAsia="en-US"/>
        </w:rPr>
        <w:t xml:space="preserve">he </w:t>
      </w:r>
      <w:r w:rsidR="00B6239B">
        <w:rPr>
          <w:lang w:eastAsia="en-US"/>
        </w:rPr>
        <w:t xml:space="preserve">spikes in the red dispatch price line </w:t>
      </w:r>
      <w:r>
        <w:rPr>
          <w:lang w:eastAsia="en-US"/>
        </w:rPr>
        <w:t xml:space="preserve">show those that were successful at lifting the price </w:t>
      </w:r>
      <w:r w:rsidR="00B6239B">
        <w:rPr>
          <w:lang w:eastAsia="en-US"/>
        </w:rPr>
        <w:t>i</w:t>
      </w:r>
      <w:r w:rsidR="0079258B">
        <w:rPr>
          <w:lang w:eastAsia="en-US"/>
        </w:rPr>
        <w:t>t</w:t>
      </w:r>
      <w:r w:rsidR="00B6239B">
        <w:rPr>
          <w:lang w:eastAsia="en-US"/>
        </w:rPr>
        <w:t xml:space="preserve"> also </w:t>
      </w:r>
      <w:r>
        <w:rPr>
          <w:lang w:eastAsia="en-US"/>
        </w:rPr>
        <w:t xml:space="preserve">shows that many attempts were unsuccessful. </w:t>
      </w:r>
    </w:p>
    <w:p w:rsidR="009C6152" w:rsidRDefault="009C6152" w:rsidP="007C21A4">
      <w:pPr>
        <w:rPr>
          <w:lang w:eastAsia="en-US"/>
        </w:rPr>
      </w:pPr>
    </w:p>
    <w:p w:rsidR="009C6152" w:rsidRDefault="007C21A4" w:rsidP="007C21A4">
      <w:pPr>
        <w:rPr>
          <w:lang w:eastAsia="en-US"/>
        </w:rPr>
      </w:pPr>
      <w:r>
        <w:rPr>
          <w:lang w:eastAsia="en-US"/>
        </w:rPr>
        <w:t>For example</w:t>
      </w:r>
      <w:r w:rsidR="00120682">
        <w:rPr>
          <w:lang w:eastAsia="en-US"/>
        </w:rPr>
        <w:t>:</w:t>
      </w:r>
      <w:r>
        <w:rPr>
          <w:lang w:eastAsia="en-US"/>
        </w:rPr>
        <w:t xml:space="preserve"> </w:t>
      </w:r>
    </w:p>
    <w:p w:rsidR="009C6152" w:rsidRDefault="001E0C8B" w:rsidP="009C6152">
      <w:pPr>
        <w:pStyle w:val="Listbullet1"/>
      </w:pPr>
      <w:r>
        <w:t xml:space="preserve">In </w:t>
      </w:r>
      <w:r w:rsidR="007134AF">
        <w:t>the</w:t>
      </w:r>
      <w:r w:rsidR="00120682">
        <w:t xml:space="preserve"> 9.00 am </w:t>
      </w:r>
      <w:r w:rsidR="0079258B">
        <w:t>trading interval</w:t>
      </w:r>
      <w:r>
        <w:t xml:space="preserve"> </w:t>
      </w:r>
      <w:r w:rsidR="007134AF">
        <w:t xml:space="preserve">(inside the grey oval) </w:t>
      </w:r>
      <w:r w:rsidR="009C6152">
        <w:t>gas turbines owned by Alinta and AGL started and rebid their capacity down from around $100/MWh to $0/MWh. Effective 8.55 am CS</w:t>
      </w:r>
      <w:r w:rsidR="007134AF">
        <w:t xml:space="preserve"> </w:t>
      </w:r>
      <w:r w:rsidR="009C6152">
        <w:t>E</w:t>
      </w:r>
      <w:r w:rsidR="007134AF">
        <w:t xml:space="preserve">nergy </w:t>
      </w:r>
      <w:r w:rsidR="009C6152">
        <w:t>rebid around 300 MW from around $50/MWh to greater than $12 000/MWh, successfully increasing the price as a number of other units, in th</w:t>
      </w:r>
      <w:r w:rsidR="00B6239B">
        <w:t>e mid-</w:t>
      </w:r>
      <w:r w:rsidR="009C6152">
        <w:t>price range were ramp up constrained.</w:t>
      </w:r>
    </w:p>
    <w:p w:rsidR="009C6152" w:rsidRDefault="009C6152" w:rsidP="009C6152">
      <w:pPr>
        <w:pStyle w:val="Listbullet1"/>
      </w:pPr>
      <w:r>
        <w:t>I</w:t>
      </w:r>
      <w:r w:rsidR="007C21A4">
        <w:t xml:space="preserve">n the 4.00 pm trading interval (inside the red oval) </w:t>
      </w:r>
      <w:r>
        <w:t xml:space="preserve">the CS Energy rebidding </w:t>
      </w:r>
      <w:r w:rsidR="007C21A4">
        <w:t xml:space="preserve">was marginally successful as it lifted the price to around $300/MWh </w:t>
      </w:r>
    </w:p>
    <w:p w:rsidR="007C21A4" w:rsidRDefault="001E0C8B" w:rsidP="009C6152">
      <w:pPr>
        <w:pStyle w:val="Listbullet1"/>
      </w:pPr>
      <w:r>
        <w:t>In t</w:t>
      </w:r>
      <w:r w:rsidR="007C21A4">
        <w:t xml:space="preserve">he 5.00 pm </w:t>
      </w:r>
      <w:r>
        <w:t xml:space="preserve">trading interval </w:t>
      </w:r>
      <w:r w:rsidR="007C21A4">
        <w:t xml:space="preserve">(inside the blue oval) </w:t>
      </w:r>
      <w:r w:rsidR="009C6152">
        <w:t xml:space="preserve">the rebidding by CS Energy </w:t>
      </w:r>
      <w:r w:rsidR="007C21A4">
        <w:t>failed to lift the price significantly.</w:t>
      </w:r>
    </w:p>
    <w:p w:rsidR="007C21A4" w:rsidRDefault="007C21A4" w:rsidP="007C21A4">
      <w:pPr>
        <w:rPr>
          <w:lang w:eastAsia="en-US"/>
        </w:rPr>
      </w:pPr>
      <w:r>
        <w:rPr>
          <w:lang w:eastAsia="en-US"/>
        </w:rPr>
        <w:t xml:space="preserve">This represents a small subset of events that occurred during the summer period but is typical of the behaviour that was repeated on many other days.  </w:t>
      </w:r>
    </w:p>
    <w:p w:rsidR="007C21A4" w:rsidRDefault="007C21A4" w:rsidP="00DF4A8B"/>
    <w:p w:rsidR="007C21A4" w:rsidRPr="00B541D0" w:rsidRDefault="007C21A4" w:rsidP="007C21A4">
      <w:pPr>
        <w:pStyle w:val="Heading3"/>
        <w:rPr>
          <w:i/>
        </w:rPr>
      </w:pPr>
      <w:r w:rsidRPr="00B541D0">
        <w:rPr>
          <w:i/>
        </w:rPr>
        <w:lastRenderedPageBreak/>
        <w:t>Ramp rates</w:t>
      </w:r>
    </w:p>
    <w:p w:rsidR="007C21A4" w:rsidRDefault="007C21A4" w:rsidP="007C21A4">
      <w:r>
        <w:t>Ramp rates determine how quickly a generator can change its output in a given time frame. If a generator rebids into high price bands and</w:t>
      </w:r>
      <w:r w:rsidR="00E82C3D">
        <w:t>,</w:t>
      </w:r>
      <w:r>
        <w:t xml:space="preserve"> as a result has its output reduced</w:t>
      </w:r>
      <w:r w:rsidR="00E82C3D">
        <w:t>,</w:t>
      </w:r>
      <w:r>
        <w:t xml:space="preserve"> then </w:t>
      </w:r>
      <w:r w:rsidR="00E82C3D">
        <w:t xml:space="preserve">assuming other factors remain unchanged, </w:t>
      </w:r>
      <w:r>
        <w:t>another generator needs to in</w:t>
      </w:r>
      <w:r w:rsidR="00E82C3D">
        <w:t>crease its output to compensate</w:t>
      </w:r>
      <w:r>
        <w:t>. If there isn’t enough generation available to ramp up to compensate then high</w:t>
      </w:r>
      <w:r w:rsidR="00E82C3D">
        <w:t>er</w:t>
      </w:r>
      <w:r>
        <w:t xml:space="preserve"> priced generation will need to be dispatched </w:t>
      </w:r>
      <w:r w:rsidR="00E82C3D">
        <w:t xml:space="preserve">causing </w:t>
      </w:r>
      <w:r>
        <w:t xml:space="preserve">higher prices. </w:t>
      </w:r>
      <w:r w:rsidR="00DC6413">
        <w:fldChar w:fldCharType="begin"/>
      </w:r>
      <w:r w:rsidR="00DC6413">
        <w:instrText xml:space="preserve"> REF _Ref383771113 \h </w:instrText>
      </w:r>
      <w:r w:rsidR="00DC6413">
        <w:fldChar w:fldCharType="separate"/>
      </w:r>
      <w:r w:rsidR="005F3C47" w:rsidRPr="00C935BF">
        <w:t xml:space="preserve">Spotlight Table </w:t>
      </w:r>
      <w:r w:rsidR="005F3C47">
        <w:rPr>
          <w:noProof/>
        </w:rPr>
        <w:t>2</w:t>
      </w:r>
      <w:r w:rsidR="00DC6413">
        <w:fldChar w:fldCharType="end"/>
      </w:r>
      <w:r w:rsidR="00DC6413">
        <w:t xml:space="preserve"> </w:t>
      </w:r>
      <w:r>
        <w:t>shows the actual available ramp up and down rates in Queensland by participant over the summer period.</w:t>
      </w:r>
    </w:p>
    <w:p w:rsidR="007C21A4" w:rsidRDefault="007C21A4" w:rsidP="007C21A4"/>
    <w:p w:rsidR="007C21A4" w:rsidRPr="00C935BF" w:rsidRDefault="00DC6413" w:rsidP="00C935BF">
      <w:pPr>
        <w:pStyle w:val="Caption"/>
      </w:pPr>
      <w:bookmarkStart w:id="15" w:name="_Ref383771113"/>
      <w:r w:rsidRPr="00C935BF">
        <w:t xml:space="preserve">Spotlight Table </w:t>
      </w:r>
      <w:fldSimple w:instr=" SEQ Spotlight_Table \* ARABIC ">
        <w:r w:rsidR="005F3C47">
          <w:rPr>
            <w:noProof/>
          </w:rPr>
          <w:t>2</w:t>
        </w:r>
      </w:fldSimple>
      <w:bookmarkEnd w:id="15"/>
      <w:r w:rsidRPr="00C935BF">
        <w:t>: Queensland participants ramp rates</w:t>
      </w:r>
    </w:p>
    <w:tbl>
      <w:tblPr>
        <w:tblW w:w="4524" w:type="pct"/>
        <w:tblInd w:w="250" w:type="dxa"/>
        <w:tblLook w:val="04A0" w:firstRow="1" w:lastRow="0" w:firstColumn="1" w:lastColumn="0" w:noHBand="0" w:noVBand="1"/>
      </w:tblPr>
      <w:tblGrid>
        <w:gridCol w:w="2976"/>
        <w:gridCol w:w="2693"/>
        <w:gridCol w:w="2693"/>
      </w:tblGrid>
      <w:tr w:rsidR="007C21A4" w:rsidRPr="00DA4107" w:rsidTr="0072622B">
        <w:trPr>
          <w:trHeight w:hRule="exact" w:val="700"/>
        </w:trPr>
        <w:tc>
          <w:tcPr>
            <w:tcW w:w="1780" w:type="pct"/>
            <w:tcBorders>
              <w:top w:val="single" w:sz="4" w:space="0" w:color="auto"/>
              <w:left w:val="nil"/>
              <w:bottom w:val="single" w:sz="4" w:space="0" w:color="auto"/>
              <w:right w:val="nil"/>
            </w:tcBorders>
            <w:shd w:val="clear" w:color="auto" w:fill="4A442A"/>
            <w:noWrap/>
            <w:vAlign w:val="center"/>
            <w:hideMark/>
          </w:tcPr>
          <w:p w:rsidR="007C21A4" w:rsidRPr="00D11C8B" w:rsidRDefault="007C21A4" w:rsidP="007C21A4">
            <w:pPr>
              <w:spacing w:line="240" w:lineRule="auto"/>
              <w:jc w:val="center"/>
              <w:rPr>
                <w:rFonts w:cs="Gautami"/>
                <w:b/>
                <w:bCs/>
                <w:color w:val="FFFFFF" w:themeColor="background1"/>
                <w:sz w:val="16"/>
                <w:szCs w:val="16"/>
              </w:rPr>
            </w:pPr>
            <w:r w:rsidRPr="00D11C8B">
              <w:rPr>
                <w:rFonts w:cs="Gautami"/>
                <w:b/>
                <w:bCs/>
                <w:color w:val="FFFFFF" w:themeColor="background1"/>
                <w:sz w:val="16"/>
                <w:szCs w:val="16"/>
              </w:rPr>
              <w:t>Participant</w:t>
            </w:r>
          </w:p>
        </w:tc>
        <w:tc>
          <w:tcPr>
            <w:tcW w:w="1610" w:type="pct"/>
            <w:tcBorders>
              <w:top w:val="single" w:sz="4" w:space="0" w:color="auto"/>
              <w:left w:val="nil"/>
              <w:bottom w:val="single" w:sz="4" w:space="0" w:color="auto"/>
              <w:right w:val="nil"/>
            </w:tcBorders>
            <w:shd w:val="clear" w:color="auto" w:fill="4A442A"/>
            <w:noWrap/>
            <w:vAlign w:val="center"/>
            <w:hideMark/>
          </w:tcPr>
          <w:p w:rsidR="007C21A4" w:rsidRPr="00D11C8B" w:rsidRDefault="007C21A4" w:rsidP="007C21A4">
            <w:pPr>
              <w:spacing w:line="240" w:lineRule="auto"/>
              <w:jc w:val="center"/>
              <w:rPr>
                <w:rFonts w:cs="Gautami"/>
                <w:b/>
                <w:bCs/>
                <w:color w:val="FFFFFF" w:themeColor="background1"/>
                <w:sz w:val="16"/>
                <w:szCs w:val="16"/>
              </w:rPr>
            </w:pPr>
            <w:r w:rsidRPr="00D11C8B">
              <w:rPr>
                <w:rFonts w:cs="Gautami"/>
                <w:b/>
                <w:bCs/>
                <w:color w:val="FFFFFF" w:themeColor="background1"/>
                <w:sz w:val="16"/>
                <w:szCs w:val="16"/>
              </w:rPr>
              <w:t>A</w:t>
            </w:r>
            <w:r>
              <w:rPr>
                <w:rFonts w:cs="Gautami"/>
                <w:b/>
                <w:bCs/>
                <w:color w:val="FFFFFF" w:themeColor="background1"/>
                <w:sz w:val="16"/>
                <w:szCs w:val="16"/>
              </w:rPr>
              <w:t xml:space="preserve">verage </w:t>
            </w:r>
            <w:r w:rsidRPr="00D11C8B">
              <w:rPr>
                <w:rFonts w:cs="Gautami"/>
                <w:b/>
                <w:bCs/>
                <w:color w:val="FFFFFF" w:themeColor="background1"/>
                <w:sz w:val="16"/>
                <w:szCs w:val="16"/>
              </w:rPr>
              <w:t>R</w:t>
            </w:r>
            <w:r>
              <w:rPr>
                <w:rFonts w:cs="Gautami"/>
                <w:b/>
                <w:bCs/>
                <w:color w:val="FFFFFF" w:themeColor="background1"/>
                <w:sz w:val="16"/>
                <w:szCs w:val="16"/>
              </w:rPr>
              <w:t xml:space="preserve">amp </w:t>
            </w:r>
            <w:r w:rsidRPr="00D11C8B">
              <w:rPr>
                <w:rFonts w:cs="Gautami"/>
                <w:b/>
                <w:bCs/>
                <w:color w:val="FFFFFF" w:themeColor="background1"/>
                <w:sz w:val="16"/>
                <w:szCs w:val="16"/>
              </w:rPr>
              <w:t>R</w:t>
            </w:r>
            <w:r>
              <w:rPr>
                <w:rFonts w:cs="Gautami"/>
                <w:b/>
                <w:bCs/>
                <w:color w:val="FFFFFF" w:themeColor="background1"/>
                <w:sz w:val="16"/>
                <w:szCs w:val="16"/>
              </w:rPr>
              <w:t>ate</w:t>
            </w:r>
            <w:r w:rsidRPr="00D11C8B">
              <w:rPr>
                <w:rFonts w:cs="Gautami"/>
                <w:b/>
                <w:bCs/>
                <w:color w:val="FFFFFF" w:themeColor="background1"/>
                <w:sz w:val="16"/>
                <w:szCs w:val="16"/>
              </w:rPr>
              <w:t xml:space="preserve"> up </w:t>
            </w:r>
            <w:r>
              <w:rPr>
                <w:rFonts w:cs="Gautami"/>
                <w:b/>
                <w:bCs/>
                <w:color w:val="FFFFFF" w:themeColor="background1"/>
                <w:sz w:val="16"/>
                <w:szCs w:val="16"/>
              </w:rPr>
              <w:br/>
            </w:r>
            <w:r w:rsidRPr="00D11C8B">
              <w:rPr>
                <w:rFonts w:cs="Gautami"/>
                <w:b/>
                <w:bCs/>
                <w:color w:val="FFFFFF" w:themeColor="background1"/>
                <w:sz w:val="16"/>
                <w:szCs w:val="16"/>
              </w:rPr>
              <w:t>MW/</w:t>
            </w:r>
            <w:r>
              <w:rPr>
                <w:rFonts w:cs="Gautami"/>
                <w:b/>
                <w:bCs/>
                <w:color w:val="FFFFFF" w:themeColor="background1"/>
                <w:sz w:val="16"/>
                <w:szCs w:val="16"/>
              </w:rPr>
              <w:t>minute</w:t>
            </w:r>
          </w:p>
        </w:tc>
        <w:tc>
          <w:tcPr>
            <w:tcW w:w="1610" w:type="pct"/>
            <w:tcBorders>
              <w:top w:val="single" w:sz="4" w:space="0" w:color="auto"/>
              <w:left w:val="nil"/>
              <w:bottom w:val="single" w:sz="4" w:space="0" w:color="auto"/>
              <w:right w:val="nil"/>
            </w:tcBorders>
            <w:shd w:val="clear" w:color="000000" w:fill="4A442A"/>
            <w:noWrap/>
            <w:vAlign w:val="center"/>
            <w:hideMark/>
          </w:tcPr>
          <w:p w:rsidR="007C21A4" w:rsidRPr="00D11C8B" w:rsidRDefault="007C21A4" w:rsidP="007C21A4">
            <w:pPr>
              <w:spacing w:line="240" w:lineRule="auto"/>
              <w:jc w:val="center"/>
              <w:rPr>
                <w:rFonts w:cs="Gautami"/>
                <w:b/>
                <w:bCs/>
                <w:color w:val="FFFFFF" w:themeColor="background1"/>
                <w:sz w:val="16"/>
                <w:szCs w:val="16"/>
              </w:rPr>
            </w:pPr>
            <w:r w:rsidRPr="00C238BB">
              <w:rPr>
                <w:rFonts w:cs="Gautami"/>
                <w:b/>
                <w:bCs/>
                <w:color w:val="FFFFFF"/>
                <w:sz w:val="16"/>
                <w:szCs w:val="16"/>
              </w:rPr>
              <w:t xml:space="preserve">Average Ramp Rate </w:t>
            </w:r>
            <w:r>
              <w:rPr>
                <w:rFonts w:cs="Gautami"/>
                <w:b/>
                <w:bCs/>
                <w:color w:val="FFFFFF"/>
                <w:sz w:val="16"/>
                <w:szCs w:val="16"/>
              </w:rPr>
              <w:t>Down</w:t>
            </w:r>
            <w:r w:rsidRPr="00C238BB">
              <w:rPr>
                <w:rFonts w:cs="Gautami"/>
                <w:b/>
                <w:bCs/>
                <w:color w:val="FFFFFF"/>
                <w:sz w:val="16"/>
                <w:szCs w:val="16"/>
              </w:rPr>
              <w:t xml:space="preserve"> </w:t>
            </w:r>
            <w:r w:rsidRPr="00C238BB">
              <w:rPr>
                <w:rFonts w:cs="Gautami"/>
                <w:b/>
                <w:bCs/>
                <w:color w:val="FFFFFF"/>
                <w:sz w:val="16"/>
                <w:szCs w:val="16"/>
              </w:rPr>
              <w:br/>
            </w:r>
            <w:r>
              <w:rPr>
                <w:rFonts w:cs="Gautami"/>
                <w:b/>
                <w:bCs/>
                <w:color w:val="FFFFFF"/>
                <w:sz w:val="16"/>
                <w:szCs w:val="16"/>
              </w:rPr>
              <w:t>MW/minute</w:t>
            </w:r>
          </w:p>
        </w:tc>
      </w:tr>
      <w:tr w:rsidR="007C21A4" w:rsidTr="0072622B">
        <w:trPr>
          <w:trHeight w:hRule="exact" w:val="284"/>
        </w:trPr>
        <w:tc>
          <w:tcPr>
            <w:tcW w:w="1780" w:type="pct"/>
            <w:tcBorders>
              <w:top w:val="single" w:sz="4" w:space="0" w:color="auto"/>
              <w:left w:val="nil"/>
              <w:right w:val="nil"/>
            </w:tcBorders>
            <w:shd w:val="clear" w:color="auto" w:fill="DDD9C3"/>
            <w:noWrap/>
            <w:vAlign w:val="center"/>
            <w:hideMark/>
          </w:tcPr>
          <w:p w:rsidR="007C21A4" w:rsidRPr="00D11C8B" w:rsidRDefault="007C21A4" w:rsidP="007C21A4">
            <w:pPr>
              <w:spacing w:line="240" w:lineRule="auto"/>
              <w:jc w:val="left"/>
              <w:rPr>
                <w:rFonts w:cs="Gautami"/>
                <w:b/>
                <w:bCs/>
                <w:sz w:val="16"/>
                <w:szCs w:val="16"/>
              </w:rPr>
            </w:pPr>
            <w:r w:rsidRPr="00D11C8B">
              <w:rPr>
                <w:rFonts w:cs="Gautami"/>
                <w:b/>
                <w:bCs/>
                <w:sz w:val="16"/>
                <w:szCs w:val="16"/>
              </w:rPr>
              <w:t>AGL Energy</w:t>
            </w:r>
          </w:p>
        </w:tc>
        <w:tc>
          <w:tcPr>
            <w:tcW w:w="1610" w:type="pct"/>
            <w:tcBorders>
              <w:top w:val="single" w:sz="4" w:space="0" w:color="auto"/>
              <w:left w:val="nil"/>
              <w:right w:val="nil"/>
            </w:tcBorders>
            <w:shd w:val="clear" w:color="000000" w:fill="DDD9C3"/>
            <w:noWrap/>
            <w:vAlign w:val="center"/>
            <w:hideMark/>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34</w:t>
            </w:r>
          </w:p>
        </w:tc>
        <w:tc>
          <w:tcPr>
            <w:tcW w:w="1610" w:type="pct"/>
            <w:tcBorders>
              <w:top w:val="single" w:sz="4" w:space="0" w:color="auto"/>
              <w:left w:val="nil"/>
              <w:right w:val="nil"/>
            </w:tcBorders>
            <w:shd w:val="clear" w:color="000000" w:fill="DDD9C3"/>
            <w:noWrap/>
            <w:vAlign w:val="center"/>
            <w:hideMark/>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34</w:t>
            </w:r>
          </w:p>
        </w:tc>
      </w:tr>
      <w:tr w:rsidR="007C21A4" w:rsidTr="0072622B">
        <w:trPr>
          <w:trHeight w:hRule="exact" w:val="284"/>
        </w:trPr>
        <w:tc>
          <w:tcPr>
            <w:tcW w:w="1780" w:type="pct"/>
            <w:tcBorders>
              <w:top w:val="nil"/>
              <w:left w:val="nil"/>
              <w:bottom w:val="nil"/>
              <w:right w:val="nil"/>
            </w:tcBorders>
            <w:shd w:val="clear" w:color="auto" w:fill="EEECE1"/>
            <w:noWrap/>
            <w:vAlign w:val="center"/>
            <w:hideMark/>
          </w:tcPr>
          <w:p w:rsidR="007C21A4" w:rsidRPr="00D11C8B" w:rsidRDefault="007C21A4" w:rsidP="007C21A4">
            <w:pPr>
              <w:spacing w:line="240" w:lineRule="auto"/>
              <w:jc w:val="left"/>
              <w:rPr>
                <w:rFonts w:cs="Gautami"/>
                <w:b/>
                <w:bCs/>
                <w:sz w:val="16"/>
                <w:szCs w:val="16"/>
              </w:rPr>
            </w:pPr>
            <w:r w:rsidRPr="00D11C8B">
              <w:rPr>
                <w:rFonts w:cs="Gautami"/>
                <w:b/>
                <w:bCs/>
                <w:sz w:val="16"/>
                <w:szCs w:val="16"/>
              </w:rPr>
              <w:t>Alinta Energy</w:t>
            </w:r>
          </w:p>
        </w:tc>
        <w:tc>
          <w:tcPr>
            <w:tcW w:w="1610" w:type="pct"/>
            <w:tcBorders>
              <w:top w:val="nil"/>
              <w:left w:val="nil"/>
              <w:bottom w:val="nil"/>
              <w:right w:val="nil"/>
            </w:tcBorders>
            <w:shd w:val="clear" w:color="000000" w:fill="EEECE1" w:themeFill="background2"/>
            <w:noWrap/>
            <w:vAlign w:val="center"/>
            <w:hideMark/>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24</w:t>
            </w:r>
          </w:p>
        </w:tc>
        <w:tc>
          <w:tcPr>
            <w:tcW w:w="1610" w:type="pct"/>
            <w:tcBorders>
              <w:top w:val="nil"/>
              <w:left w:val="nil"/>
              <w:bottom w:val="nil"/>
              <w:right w:val="nil"/>
            </w:tcBorders>
            <w:shd w:val="clear" w:color="000000" w:fill="EEECE1" w:themeFill="background2"/>
            <w:noWrap/>
            <w:vAlign w:val="center"/>
            <w:hideMark/>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24</w:t>
            </w:r>
          </w:p>
        </w:tc>
      </w:tr>
      <w:tr w:rsidR="007C21A4" w:rsidTr="0072622B">
        <w:trPr>
          <w:trHeight w:hRule="exact" w:val="284"/>
        </w:trPr>
        <w:tc>
          <w:tcPr>
            <w:tcW w:w="1780" w:type="pct"/>
            <w:tcBorders>
              <w:top w:val="nil"/>
              <w:left w:val="nil"/>
              <w:right w:val="nil"/>
            </w:tcBorders>
            <w:shd w:val="clear" w:color="000000" w:fill="DDD9C3"/>
            <w:noWrap/>
            <w:vAlign w:val="center"/>
            <w:hideMark/>
          </w:tcPr>
          <w:p w:rsidR="007C21A4" w:rsidRPr="00D11C8B" w:rsidRDefault="007C21A4" w:rsidP="007C21A4">
            <w:pPr>
              <w:spacing w:line="240" w:lineRule="auto"/>
              <w:jc w:val="left"/>
              <w:rPr>
                <w:rFonts w:cs="Gautami"/>
                <w:b/>
                <w:bCs/>
                <w:sz w:val="16"/>
                <w:szCs w:val="16"/>
              </w:rPr>
            </w:pPr>
            <w:r w:rsidRPr="00D11C8B">
              <w:rPr>
                <w:rFonts w:cs="Gautami"/>
                <w:b/>
                <w:bCs/>
                <w:sz w:val="16"/>
                <w:szCs w:val="16"/>
              </w:rPr>
              <w:t>Arrow Energy</w:t>
            </w:r>
          </w:p>
        </w:tc>
        <w:tc>
          <w:tcPr>
            <w:tcW w:w="1610" w:type="pct"/>
            <w:tcBorders>
              <w:top w:val="nil"/>
              <w:left w:val="nil"/>
              <w:right w:val="nil"/>
            </w:tcBorders>
            <w:shd w:val="clear" w:color="000000" w:fill="DDD9C3"/>
            <w:noWrap/>
            <w:vAlign w:val="center"/>
            <w:hideMark/>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33</w:t>
            </w:r>
          </w:p>
        </w:tc>
        <w:tc>
          <w:tcPr>
            <w:tcW w:w="1610" w:type="pct"/>
            <w:tcBorders>
              <w:top w:val="nil"/>
              <w:left w:val="nil"/>
              <w:right w:val="nil"/>
            </w:tcBorders>
            <w:shd w:val="clear" w:color="000000" w:fill="DDD9C3"/>
            <w:noWrap/>
            <w:vAlign w:val="center"/>
            <w:hideMark/>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24</w:t>
            </w:r>
          </w:p>
        </w:tc>
      </w:tr>
      <w:tr w:rsidR="007C21A4" w:rsidRPr="00DE097E" w:rsidTr="0072622B">
        <w:trPr>
          <w:trHeight w:hRule="exact" w:val="284"/>
        </w:trPr>
        <w:tc>
          <w:tcPr>
            <w:tcW w:w="1780" w:type="pct"/>
            <w:tcBorders>
              <w:top w:val="nil"/>
              <w:left w:val="nil"/>
              <w:bottom w:val="nil"/>
              <w:right w:val="nil"/>
            </w:tcBorders>
            <w:shd w:val="clear" w:color="000000" w:fill="EEECE1" w:themeFill="background2"/>
            <w:noWrap/>
            <w:vAlign w:val="center"/>
          </w:tcPr>
          <w:p w:rsidR="007C21A4" w:rsidRPr="00D11C8B" w:rsidRDefault="007C21A4" w:rsidP="007C21A4">
            <w:pPr>
              <w:spacing w:line="240" w:lineRule="auto"/>
              <w:jc w:val="left"/>
              <w:rPr>
                <w:rFonts w:cs="Gautami"/>
                <w:b/>
                <w:bCs/>
                <w:sz w:val="16"/>
                <w:szCs w:val="16"/>
              </w:rPr>
            </w:pPr>
            <w:r w:rsidRPr="00D11C8B">
              <w:rPr>
                <w:rFonts w:cs="Gautami"/>
                <w:b/>
                <w:bCs/>
                <w:sz w:val="16"/>
                <w:szCs w:val="16"/>
              </w:rPr>
              <w:t>Callide Power Trading</w:t>
            </w:r>
            <w:r w:rsidR="009C6152">
              <w:rPr>
                <w:rStyle w:val="FootnoteReference"/>
                <w:rFonts w:cs="Gautami"/>
                <w:b/>
                <w:bCs/>
                <w:sz w:val="16"/>
                <w:szCs w:val="16"/>
              </w:rPr>
              <w:footnoteReference w:id="9"/>
            </w:r>
          </w:p>
        </w:tc>
        <w:tc>
          <w:tcPr>
            <w:tcW w:w="1610" w:type="pct"/>
            <w:tcBorders>
              <w:top w:val="nil"/>
              <w:left w:val="nil"/>
              <w:bottom w:val="nil"/>
              <w:right w:val="nil"/>
            </w:tcBorders>
            <w:shd w:val="clear" w:color="000000" w:fill="EEECE1" w:themeFill="background2"/>
            <w:noWrap/>
            <w:vAlign w:val="center"/>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8</w:t>
            </w:r>
          </w:p>
        </w:tc>
        <w:tc>
          <w:tcPr>
            <w:tcW w:w="1610" w:type="pct"/>
            <w:tcBorders>
              <w:top w:val="nil"/>
              <w:left w:val="nil"/>
              <w:bottom w:val="nil"/>
              <w:right w:val="nil"/>
            </w:tcBorders>
            <w:shd w:val="clear" w:color="000000" w:fill="EEECE1" w:themeFill="background2"/>
            <w:noWrap/>
            <w:vAlign w:val="center"/>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8</w:t>
            </w:r>
          </w:p>
        </w:tc>
      </w:tr>
      <w:tr w:rsidR="007C21A4" w:rsidTr="0072622B">
        <w:trPr>
          <w:trHeight w:hRule="exact" w:val="284"/>
        </w:trPr>
        <w:tc>
          <w:tcPr>
            <w:tcW w:w="1780" w:type="pct"/>
            <w:tcBorders>
              <w:top w:val="nil"/>
              <w:left w:val="nil"/>
              <w:right w:val="nil"/>
            </w:tcBorders>
            <w:shd w:val="clear" w:color="000000" w:fill="DDD9C3"/>
            <w:noWrap/>
            <w:vAlign w:val="center"/>
          </w:tcPr>
          <w:p w:rsidR="007C21A4" w:rsidRPr="00D11C8B" w:rsidRDefault="007C21A4" w:rsidP="007C21A4">
            <w:pPr>
              <w:spacing w:line="240" w:lineRule="auto"/>
              <w:jc w:val="left"/>
              <w:rPr>
                <w:rFonts w:cs="Gautami"/>
                <w:b/>
                <w:bCs/>
                <w:sz w:val="16"/>
                <w:szCs w:val="16"/>
              </w:rPr>
            </w:pPr>
            <w:r w:rsidRPr="00D11C8B">
              <w:rPr>
                <w:rFonts w:cs="Gautami"/>
                <w:b/>
                <w:bCs/>
                <w:sz w:val="16"/>
                <w:szCs w:val="16"/>
              </w:rPr>
              <w:t>CS Energy</w:t>
            </w:r>
          </w:p>
        </w:tc>
        <w:tc>
          <w:tcPr>
            <w:tcW w:w="1610" w:type="pct"/>
            <w:tcBorders>
              <w:top w:val="nil"/>
              <w:left w:val="nil"/>
              <w:right w:val="nil"/>
            </w:tcBorders>
            <w:shd w:val="clear" w:color="000000" w:fill="DDD9C3"/>
            <w:noWrap/>
            <w:vAlign w:val="center"/>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283</w:t>
            </w:r>
          </w:p>
        </w:tc>
        <w:tc>
          <w:tcPr>
            <w:tcW w:w="1610" w:type="pct"/>
            <w:tcBorders>
              <w:top w:val="nil"/>
              <w:left w:val="nil"/>
              <w:right w:val="nil"/>
            </w:tcBorders>
            <w:shd w:val="clear" w:color="000000" w:fill="DDD9C3"/>
            <w:noWrap/>
            <w:vAlign w:val="center"/>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289</w:t>
            </w:r>
          </w:p>
        </w:tc>
      </w:tr>
      <w:tr w:rsidR="007C21A4" w:rsidTr="0072622B">
        <w:trPr>
          <w:trHeight w:hRule="exact" w:val="284"/>
        </w:trPr>
        <w:tc>
          <w:tcPr>
            <w:tcW w:w="1780" w:type="pct"/>
            <w:tcBorders>
              <w:top w:val="nil"/>
              <w:left w:val="nil"/>
              <w:right w:val="nil"/>
            </w:tcBorders>
            <w:shd w:val="clear" w:color="000000" w:fill="EEECE1" w:themeFill="background2"/>
            <w:noWrap/>
            <w:vAlign w:val="center"/>
          </w:tcPr>
          <w:p w:rsidR="007C21A4" w:rsidRPr="00D11C8B" w:rsidRDefault="007C21A4" w:rsidP="007C21A4">
            <w:pPr>
              <w:spacing w:line="240" w:lineRule="auto"/>
              <w:jc w:val="left"/>
              <w:rPr>
                <w:rFonts w:cs="Gautami"/>
                <w:b/>
                <w:bCs/>
                <w:sz w:val="16"/>
                <w:szCs w:val="16"/>
              </w:rPr>
            </w:pPr>
            <w:r w:rsidRPr="00D11C8B">
              <w:rPr>
                <w:rFonts w:cs="Gautami"/>
                <w:b/>
                <w:bCs/>
                <w:sz w:val="16"/>
                <w:szCs w:val="16"/>
              </w:rPr>
              <w:t>Ergon Energy</w:t>
            </w:r>
          </w:p>
        </w:tc>
        <w:tc>
          <w:tcPr>
            <w:tcW w:w="1610" w:type="pct"/>
            <w:tcBorders>
              <w:top w:val="nil"/>
              <w:left w:val="nil"/>
              <w:right w:val="nil"/>
            </w:tcBorders>
            <w:shd w:val="clear" w:color="000000" w:fill="EEECE1" w:themeFill="background2"/>
            <w:noWrap/>
            <w:vAlign w:val="center"/>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3</w:t>
            </w:r>
          </w:p>
        </w:tc>
        <w:tc>
          <w:tcPr>
            <w:tcW w:w="1610" w:type="pct"/>
            <w:tcBorders>
              <w:top w:val="nil"/>
              <w:left w:val="nil"/>
              <w:right w:val="nil"/>
            </w:tcBorders>
            <w:shd w:val="clear" w:color="000000" w:fill="EEECE1" w:themeFill="background2"/>
            <w:noWrap/>
            <w:vAlign w:val="center"/>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3</w:t>
            </w:r>
          </w:p>
        </w:tc>
      </w:tr>
      <w:tr w:rsidR="007C21A4" w:rsidTr="0072622B">
        <w:trPr>
          <w:trHeight w:hRule="exact" w:val="284"/>
        </w:trPr>
        <w:tc>
          <w:tcPr>
            <w:tcW w:w="1780" w:type="pct"/>
            <w:tcBorders>
              <w:top w:val="nil"/>
              <w:left w:val="nil"/>
              <w:right w:val="nil"/>
            </w:tcBorders>
            <w:shd w:val="clear" w:color="000000" w:fill="DDD9C3" w:themeFill="background2" w:themeFillShade="E6"/>
            <w:noWrap/>
            <w:vAlign w:val="center"/>
          </w:tcPr>
          <w:p w:rsidR="007C21A4" w:rsidRPr="00D11C8B" w:rsidRDefault="007C21A4" w:rsidP="007C21A4">
            <w:pPr>
              <w:spacing w:line="240" w:lineRule="auto"/>
              <w:jc w:val="left"/>
              <w:rPr>
                <w:rFonts w:cs="Gautami"/>
                <w:b/>
                <w:bCs/>
                <w:sz w:val="16"/>
                <w:szCs w:val="16"/>
              </w:rPr>
            </w:pPr>
            <w:r w:rsidRPr="00D11C8B">
              <w:rPr>
                <w:rFonts w:cs="Gautami"/>
                <w:b/>
                <w:bCs/>
                <w:sz w:val="16"/>
                <w:szCs w:val="16"/>
              </w:rPr>
              <w:t>Millmerran Energy Trader</w:t>
            </w:r>
          </w:p>
        </w:tc>
        <w:tc>
          <w:tcPr>
            <w:tcW w:w="1610" w:type="pct"/>
            <w:tcBorders>
              <w:top w:val="nil"/>
              <w:left w:val="nil"/>
              <w:right w:val="nil"/>
            </w:tcBorders>
            <w:shd w:val="clear" w:color="000000" w:fill="DDD9C3" w:themeFill="background2" w:themeFillShade="E6"/>
            <w:noWrap/>
            <w:vAlign w:val="center"/>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2</w:t>
            </w:r>
          </w:p>
        </w:tc>
        <w:tc>
          <w:tcPr>
            <w:tcW w:w="1610" w:type="pct"/>
            <w:tcBorders>
              <w:top w:val="nil"/>
              <w:left w:val="nil"/>
              <w:right w:val="nil"/>
            </w:tcBorders>
            <w:shd w:val="clear" w:color="000000" w:fill="DDD9C3" w:themeFill="background2" w:themeFillShade="E6"/>
            <w:noWrap/>
            <w:vAlign w:val="center"/>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2</w:t>
            </w:r>
          </w:p>
        </w:tc>
      </w:tr>
      <w:tr w:rsidR="007C21A4" w:rsidTr="0072622B">
        <w:trPr>
          <w:trHeight w:hRule="exact" w:val="284"/>
        </w:trPr>
        <w:tc>
          <w:tcPr>
            <w:tcW w:w="1780" w:type="pct"/>
            <w:tcBorders>
              <w:top w:val="nil"/>
              <w:left w:val="nil"/>
              <w:right w:val="nil"/>
            </w:tcBorders>
            <w:shd w:val="clear" w:color="000000" w:fill="EEECE1" w:themeFill="background2"/>
            <w:noWrap/>
            <w:vAlign w:val="center"/>
          </w:tcPr>
          <w:p w:rsidR="007C21A4" w:rsidRPr="00D11C8B" w:rsidRDefault="007C21A4" w:rsidP="007C21A4">
            <w:pPr>
              <w:spacing w:line="240" w:lineRule="auto"/>
              <w:jc w:val="left"/>
              <w:rPr>
                <w:rFonts w:cs="Gautami"/>
                <w:b/>
                <w:bCs/>
                <w:sz w:val="16"/>
                <w:szCs w:val="16"/>
              </w:rPr>
            </w:pPr>
            <w:r w:rsidRPr="00D11C8B">
              <w:rPr>
                <w:rFonts w:cs="Gautami"/>
                <w:b/>
                <w:bCs/>
                <w:sz w:val="16"/>
                <w:szCs w:val="16"/>
              </w:rPr>
              <w:t>Origin Energy</w:t>
            </w:r>
          </w:p>
        </w:tc>
        <w:tc>
          <w:tcPr>
            <w:tcW w:w="1610" w:type="pct"/>
            <w:tcBorders>
              <w:top w:val="nil"/>
              <w:left w:val="nil"/>
              <w:right w:val="nil"/>
            </w:tcBorders>
            <w:shd w:val="clear" w:color="000000" w:fill="EEECE1" w:themeFill="background2"/>
            <w:noWrap/>
            <w:vAlign w:val="center"/>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51</w:t>
            </w:r>
          </w:p>
        </w:tc>
        <w:tc>
          <w:tcPr>
            <w:tcW w:w="1610" w:type="pct"/>
            <w:tcBorders>
              <w:top w:val="nil"/>
              <w:left w:val="nil"/>
              <w:right w:val="nil"/>
            </w:tcBorders>
            <w:shd w:val="clear" w:color="000000" w:fill="EEECE1" w:themeFill="background2"/>
            <w:noWrap/>
            <w:vAlign w:val="center"/>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49</w:t>
            </w:r>
          </w:p>
        </w:tc>
      </w:tr>
      <w:tr w:rsidR="007C21A4" w:rsidTr="0072622B">
        <w:trPr>
          <w:trHeight w:hRule="exact" w:val="284"/>
        </w:trPr>
        <w:tc>
          <w:tcPr>
            <w:tcW w:w="1780" w:type="pct"/>
            <w:tcBorders>
              <w:top w:val="nil"/>
              <w:left w:val="nil"/>
              <w:right w:val="nil"/>
            </w:tcBorders>
            <w:shd w:val="clear" w:color="000000" w:fill="DDD9C3" w:themeFill="background2" w:themeFillShade="E6"/>
            <w:noWrap/>
            <w:vAlign w:val="center"/>
          </w:tcPr>
          <w:p w:rsidR="007C21A4" w:rsidRPr="00D11C8B" w:rsidRDefault="007C21A4" w:rsidP="007C21A4">
            <w:pPr>
              <w:spacing w:line="240" w:lineRule="auto"/>
              <w:jc w:val="left"/>
              <w:rPr>
                <w:rFonts w:cs="Gautami"/>
                <w:b/>
                <w:bCs/>
                <w:sz w:val="16"/>
                <w:szCs w:val="16"/>
              </w:rPr>
            </w:pPr>
            <w:r w:rsidRPr="00D11C8B">
              <w:rPr>
                <w:rFonts w:cs="Gautami"/>
                <w:b/>
                <w:bCs/>
                <w:sz w:val="16"/>
                <w:szCs w:val="16"/>
              </w:rPr>
              <w:t>QGC Sales</w:t>
            </w:r>
          </w:p>
        </w:tc>
        <w:tc>
          <w:tcPr>
            <w:tcW w:w="1610" w:type="pct"/>
            <w:tcBorders>
              <w:top w:val="nil"/>
              <w:left w:val="nil"/>
              <w:right w:val="nil"/>
            </w:tcBorders>
            <w:shd w:val="clear" w:color="000000" w:fill="DDD9C3" w:themeFill="background2" w:themeFillShade="E6"/>
            <w:noWrap/>
            <w:vAlign w:val="center"/>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3</w:t>
            </w:r>
          </w:p>
        </w:tc>
        <w:tc>
          <w:tcPr>
            <w:tcW w:w="1610" w:type="pct"/>
            <w:tcBorders>
              <w:top w:val="nil"/>
              <w:left w:val="nil"/>
              <w:right w:val="nil"/>
            </w:tcBorders>
            <w:shd w:val="clear" w:color="000000" w:fill="DDD9C3" w:themeFill="background2" w:themeFillShade="E6"/>
            <w:noWrap/>
            <w:vAlign w:val="center"/>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3</w:t>
            </w:r>
          </w:p>
        </w:tc>
      </w:tr>
      <w:tr w:rsidR="007C21A4" w:rsidTr="0072622B">
        <w:trPr>
          <w:trHeight w:hRule="exact" w:val="284"/>
        </w:trPr>
        <w:tc>
          <w:tcPr>
            <w:tcW w:w="1780" w:type="pct"/>
            <w:tcBorders>
              <w:top w:val="nil"/>
              <w:left w:val="nil"/>
              <w:right w:val="nil"/>
            </w:tcBorders>
            <w:shd w:val="clear" w:color="000000" w:fill="EEECE1" w:themeFill="background2"/>
            <w:noWrap/>
            <w:vAlign w:val="center"/>
          </w:tcPr>
          <w:p w:rsidR="007C21A4" w:rsidRPr="00D11C8B" w:rsidRDefault="007C21A4" w:rsidP="007C21A4">
            <w:pPr>
              <w:spacing w:line="240" w:lineRule="auto"/>
              <w:jc w:val="left"/>
              <w:rPr>
                <w:rFonts w:cs="Gautami"/>
                <w:b/>
                <w:bCs/>
                <w:sz w:val="16"/>
                <w:szCs w:val="16"/>
              </w:rPr>
            </w:pPr>
            <w:r w:rsidRPr="00D11C8B">
              <w:rPr>
                <w:rFonts w:cs="Gautami"/>
                <w:b/>
                <w:bCs/>
                <w:sz w:val="16"/>
                <w:szCs w:val="16"/>
              </w:rPr>
              <w:t>RTA Yarwun</w:t>
            </w:r>
          </w:p>
        </w:tc>
        <w:tc>
          <w:tcPr>
            <w:tcW w:w="1610" w:type="pct"/>
            <w:tcBorders>
              <w:top w:val="nil"/>
              <w:left w:val="nil"/>
              <w:right w:val="nil"/>
            </w:tcBorders>
            <w:shd w:val="clear" w:color="000000" w:fill="EEECE1" w:themeFill="background2"/>
            <w:noWrap/>
            <w:vAlign w:val="center"/>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0</w:t>
            </w:r>
          </w:p>
        </w:tc>
        <w:tc>
          <w:tcPr>
            <w:tcW w:w="1610" w:type="pct"/>
            <w:tcBorders>
              <w:top w:val="nil"/>
              <w:left w:val="nil"/>
              <w:right w:val="nil"/>
            </w:tcBorders>
            <w:shd w:val="clear" w:color="000000" w:fill="EEECE1" w:themeFill="background2"/>
            <w:noWrap/>
            <w:vAlign w:val="center"/>
          </w:tcPr>
          <w:p w:rsidR="007C21A4" w:rsidRPr="00D11C8B" w:rsidRDefault="007C21A4" w:rsidP="007C21A4">
            <w:pPr>
              <w:spacing w:line="240" w:lineRule="auto"/>
              <w:jc w:val="center"/>
              <w:rPr>
                <w:rFonts w:cs="Gautami"/>
                <w:b/>
                <w:bCs/>
                <w:sz w:val="16"/>
                <w:szCs w:val="16"/>
              </w:rPr>
            </w:pPr>
            <w:r w:rsidRPr="00D11C8B">
              <w:rPr>
                <w:rFonts w:cs="Gautami"/>
                <w:b/>
                <w:bCs/>
                <w:sz w:val="16"/>
                <w:szCs w:val="16"/>
              </w:rPr>
              <w:t>0</w:t>
            </w:r>
          </w:p>
        </w:tc>
      </w:tr>
      <w:tr w:rsidR="007C21A4" w:rsidTr="0072622B">
        <w:trPr>
          <w:trHeight w:hRule="exact" w:val="284"/>
        </w:trPr>
        <w:tc>
          <w:tcPr>
            <w:tcW w:w="1780" w:type="pct"/>
            <w:tcBorders>
              <w:top w:val="nil"/>
              <w:left w:val="nil"/>
              <w:bottom w:val="single" w:sz="4" w:space="0" w:color="auto"/>
              <w:right w:val="nil"/>
            </w:tcBorders>
            <w:shd w:val="clear" w:color="000000" w:fill="DDD9C3" w:themeFill="background2" w:themeFillShade="E6"/>
            <w:noWrap/>
            <w:vAlign w:val="center"/>
          </w:tcPr>
          <w:p w:rsidR="007C21A4" w:rsidRPr="00D11C8B" w:rsidRDefault="007C21A4" w:rsidP="007C21A4">
            <w:pPr>
              <w:spacing w:line="240" w:lineRule="auto"/>
              <w:jc w:val="left"/>
              <w:rPr>
                <w:rFonts w:cs="Gautami"/>
                <w:b/>
                <w:bCs/>
                <w:color w:val="000000" w:themeColor="text1"/>
                <w:sz w:val="16"/>
                <w:szCs w:val="16"/>
              </w:rPr>
            </w:pPr>
            <w:r w:rsidRPr="00D11C8B">
              <w:rPr>
                <w:rFonts w:cs="Gautami"/>
                <w:b/>
                <w:bCs/>
                <w:color w:val="000000" w:themeColor="text1"/>
                <w:sz w:val="16"/>
                <w:szCs w:val="16"/>
              </w:rPr>
              <w:t>Stanwell Corporation</w:t>
            </w:r>
          </w:p>
        </w:tc>
        <w:tc>
          <w:tcPr>
            <w:tcW w:w="1610" w:type="pct"/>
            <w:tcBorders>
              <w:top w:val="nil"/>
              <w:left w:val="nil"/>
              <w:bottom w:val="single" w:sz="4" w:space="0" w:color="auto"/>
              <w:right w:val="nil"/>
            </w:tcBorders>
            <w:shd w:val="clear" w:color="000000" w:fill="DDD9C3" w:themeFill="background2" w:themeFillShade="E6"/>
            <w:noWrap/>
            <w:vAlign w:val="center"/>
          </w:tcPr>
          <w:p w:rsidR="007C21A4" w:rsidRPr="00D11C8B" w:rsidRDefault="007C21A4" w:rsidP="007C21A4">
            <w:pPr>
              <w:spacing w:line="240" w:lineRule="auto"/>
              <w:jc w:val="center"/>
              <w:rPr>
                <w:rFonts w:cs="Gautami"/>
                <w:b/>
                <w:bCs/>
                <w:color w:val="000000" w:themeColor="text1"/>
                <w:sz w:val="16"/>
                <w:szCs w:val="16"/>
              </w:rPr>
            </w:pPr>
            <w:r w:rsidRPr="00D11C8B">
              <w:rPr>
                <w:rFonts w:cs="Gautami"/>
                <w:b/>
                <w:bCs/>
                <w:color w:val="000000" w:themeColor="text1"/>
                <w:sz w:val="16"/>
                <w:szCs w:val="16"/>
              </w:rPr>
              <w:t>71</w:t>
            </w:r>
          </w:p>
        </w:tc>
        <w:tc>
          <w:tcPr>
            <w:tcW w:w="1610" w:type="pct"/>
            <w:tcBorders>
              <w:top w:val="nil"/>
              <w:left w:val="nil"/>
              <w:bottom w:val="single" w:sz="4" w:space="0" w:color="auto"/>
              <w:right w:val="nil"/>
            </w:tcBorders>
            <w:shd w:val="clear" w:color="000000" w:fill="DDD9C3" w:themeFill="background2" w:themeFillShade="E6"/>
            <w:noWrap/>
            <w:vAlign w:val="center"/>
          </w:tcPr>
          <w:p w:rsidR="007C21A4" w:rsidRPr="00D11C8B" w:rsidRDefault="007C21A4" w:rsidP="007C21A4">
            <w:pPr>
              <w:spacing w:line="240" w:lineRule="auto"/>
              <w:jc w:val="center"/>
              <w:rPr>
                <w:rFonts w:cs="Gautami"/>
                <w:b/>
                <w:bCs/>
                <w:color w:val="000000" w:themeColor="text1"/>
                <w:sz w:val="16"/>
                <w:szCs w:val="16"/>
              </w:rPr>
            </w:pPr>
            <w:r w:rsidRPr="00D11C8B">
              <w:rPr>
                <w:rFonts w:cs="Gautami"/>
                <w:b/>
                <w:bCs/>
                <w:color w:val="000000" w:themeColor="text1"/>
                <w:sz w:val="16"/>
                <w:szCs w:val="16"/>
              </w:rPr>
              <w:t>60</w:t>
            </w:r>
          </w:p>
        </w:tc>
      </w:tr>
      <w:tr w:rsidR="007C21A4" w:rsidTr="0072622B">
        <w:trPr>
          <w:trHeight w:hRule="exact" w:val="284"/>
        </w:trPr>
        <w:tc>
          <w:tcPr>
            <w:tcW w:w="1780" w:type="pct"/>
            <w:tcBorders>
              <w:top w:val="single" w:sz="4" w:space="0" w:color="auto"/>
              <w:left w:val="nil"/>
              <w:bottom w:val="single" w:sz="4" w:space="0" w:color="auto"/>
            </w:tcBorders>
            <w:shd w:val="clear" w:color="000000" w:fill="EEECE1" w:themeFill="background2"/>
            <w:noWrap/>
            <w:vAlign w:val="center"/>
          </w:tcPr>
          <w:p w:rsidR="007C21A4" w:rsidRPr="00D11C8B" w:rsidRDefault="007C21A4" w:rsidP="007C21A4">
            <w:pPr>
              <w:spacing w:line="240" w:lineRule="auto"/>
              <w:jc w:val="left"/>
              <w:rPr>
                <w:rFonts w:cs="Gautami"/>
                <w:b/>
                <w:bCs/>
                <w:color w:val="000000" w:themeColor="text1"/>
                <w:sz w:val="16"/>
                <w:szCs w:val="16"/>
              </w:rPr>
            </w:pPr>
            <w:r>
              <w:rPr>
                <w:rFonts w:cs="Gautami"/>
                <w:b/>
                <w:bCs/>
                <w:color w:val="000000" w:themeColor="text1"/>
                <w:sz w:val="16"/>
                <w:szCs w:val="16"/>
              </w:rPr>
              <w:t>Total</w:t>
            </w:r>
          </w:p>
        </w:tc>
        <w:tc>
          <w:tcPr>
            <w:tcW w:w="1610" w:type="pct"/>
            <w:tcBorders>
              <w:top w:val="single" w:sz="4" w:space="0" w:color="auto"/>
              <w:bottom w:val="single" w:sz="4" w:space="0" w:color="auto"/>
            </w:tcBorders>
            <w:shd w:val="clear" w:color="000000" w:fill="EEECE1" w:themeFill="background2"/>
            <w:noWrap/>
            <w:vAlign w:val="center"/>
          </w:tcPr>
          <w:p w:rsidR="007C21A4" w:rsidRPr="00D11C8B" w:rsidRDefault="007C21A4" w:rsidP="007C21A4">
            <w:pPr>
              <w:spacing w:line="240" w:lineRule="auto"/>
              <w:jc w:val="center"/>
              <w:rPr>
                <w:rFonts w:cs="Gautami"/>
                <w:b/>
                <w:bCs/>
                <w:color w:val="000000" w:themeColor="text1"/>
                <w:sz w:val="16"/>
                <w:szCs w:val="16"/>
              </w:rPr>
            </w:pPr>
            <w:r w:rsidRPr="00D11C8B">
              <w:rPr>
                <w:rFonts w:cs="Gautami"/>
                <w:b/>
                <w:bCs/>
                <w:color w:val="000000" w:themeColor="text1"/>
                <w:sz w:val="16"/>
                <w:szCs w:val="16"/>
              </w:rPr>
              <w:t>512</w:t>
            </w:r>
          </w:p>
        </w:tc>
        <w:tc>
          <w:tcPr>
            <w:tcW w:w="1610" w:type="pct"/>
            <w:tcBorders>
              <w:top w:val="single" w:sz="4" w:space="0" w:color="auto"/>
              <w:bottom w:val="single" w:sz="4" w:space="0" w:color="auto"/>
            </w:tcBorders>
            <w:shd w:val="clear" w:color="000000" w:fill="EEECE1" w:themeFill="background2"/>
            <w:noWrap/>
            <w:vAlign w:val="center"/>
          </w:tcPr>
          <w:p w:rsidR="007C21A4" w:rsidRPr="00D11C8B" w:rsidRDefault="007C21A4" w:rsidP="007C21A4">
            <w:pPr>
              <w:spacing w:line="240" w:lineRule="auto"/>
              <w:jc w:val="center"/>
              <w:rPr>
                <w:rFonts w:cs="Gautami"/>
                <w:b/>
                <w:bCs/>
                <w:color w:val="000000" w:themeColor="text1"/>
                <w:sz w:val="16"/>
                <w:szCs w:val="16"/>
              </w:rPr>
            </w:pPr>
            <w:r w:rsidRPr="00D11C8B">
              <w:rPr>
                <w:rFonts w:cs="Gautami"/>
                <w:b/>
                <w:bCs/>
                <w:color w:val="000000" w:themeColor="text1"/>
                <w:sz w:val="16"/>
                <w:szCs w:val="16"/>
              </w:rPr>
              <w:t>496</w:t>
            </w:r>
          </w:p>
        </w:tc>
      </w:tr>
      <w:tr w:rsidR="007C21A4" w:rsidRPr="00C238BB" w:rsidTr="0072622B">
        <w:trPr>
          <w:trHeight w:hRule="exact" w:val="284"/>
        </w:trPr>
        <w:tc>
          <w:tcPr>
            <w:tcW w:w="1780" w:type="pct"/>
            <w:tcBorders>
              <w:top w:val="single" w:sz="4" w:space="0" w:color="auto"/>
              <w:left w:val="nil"/>
              <w:bottom w:val="single" w:sz="4" w:space="0" w:color="auto"/>
              <w:right w:val="nil"/>
            </w:tcBorders>
            <w:shd w:val="clear" w:color="auto" w:fill="4A442A"/>
            <w:noWrap/>
            <w:vAlign w:val="center"/>
          </w:tcPr>
          <w:p w:rsidR="007C21A4" w:rsidRPr="004520BD" w:rsidRDefault="007C21A4" w:rsidP="007C21A4">
            <w:pPr>
              <w:spacing w:line="240" w:lineRule="auto"/>
              <w:jc w:val="left"/>
              <w:rPr>
                <w:rFonts w:cs="Gautami"/>
                <w:b/>
                <w:bCs/>
                <w:color w:val="FFFFFF" w:themeColor="background1"/>
                <w:sz w:val="16"/>
                <w:szCs w:val="16"/>
              </w:rPr>
            </w:pPr>
            <w:r w:rsidRPr="004520BD">
              <w:rPr>
                <w:rFonts w:cs="Gautami"/>
                <w:b/>
                <w:bCs/>
                <w:color w:val="FFFFFF" w:themeColor="background1"/>
                <w:sz w:val="16"/>
                <w:szCs w:val="16"/>
              </w:rPr>
              <w:t>Summary by plant Type</w:t>
            </w:r>
          </w:p>
        </w:tc>
        <w:tc>
          <w:tcPr>
            <w:tcW w:w="1610" w:type="pct"/>
            <w:tcBorders>
              <w:top w:val="single" w:sz="4" w:space="0" w:color="auto"/>
              <w:left w:val="nil"/>
              <w:bottom w:val="single" w:sz="4" w:space="0" w:color="auto"/>
              <w:right w:val="nil"/>
            </w:tcBorders>
            <w:shd w:val="clear" w:color="auto" w:fill="4A442A"/>
            <w:noWrap/>
            <w:vAlign w:val="center"/>
          </w:tcPr>
          <w:p w:rsidR="007C21A4" w:rsidRPr="004520BD" w:rsidRDefault="007C21A4" w:rsidP="007C21A4">
            <w:pPr>
              <w:spacing w:line="240" w:lineRule="auto"/>
              <w:jc w:val="center"/>
              <w:rPr>
                <w:rFonts w:cs="Gautami"/>
                <w:b/>
                <w:bCs/>
                <w:color w:val="FFFFFF" w:themeColor="background1"/>
                <w:sz w:val="16"/>
                <w:szCs w:val="16"/>
              </w:rPr>
            </w:pPr>
          </w:p>
        </w:tc>
        <w:tc>
          <w:tcPr>
            <w:tcW w:w="1610" w:type="pct"/>
            <w:tcBorders>
              <w:top w:val="single" w:sz="4" w:space="0" w:color="auto"/>
              <w:left w:val="nil"/>
              <w:bottom w:val="single" w:sz="4" w:space="0" w:color="auto"/>
              <w:right w:val="nil"/>
            </w:tcBorders>
            <w:shd w:val="clear" w:color="auto" w:fill="4A442A"/>
            <w:noWrap/>
            <w:vAlign w:val="center"/>
          </w:tcPr>
          <w:p w:rsidR="007C21A4" w:rsidRPr="004520BD" w:rsidRDefault="007C21A4" w:rsidP="007C21A4">
            <w:pPr>
              <w:spacing w:line="240" w:lineRule="auto"/>
              <w:jc w:val="center"/>
              <w:rPr>
                <w:rFonts w:cs="Gautami"/>
                <w:b/>
                <w:bCs/>
                <w:color w:val="FFFFFF" w:themeColor="background1"/>
                <w:sz w:val="16"/>
                <w:szCs w:val="16"/>
              </w:rPr>
            </w:pPr>
          </w:p>
        </w:tc>
      </w:tr>
      <w:tr w:rsidR="007C21A4" w:rsidTr="0072622B">
        <w:trPr>
          <w:trHeight w:hRule="exact" w:val="284"/>
        </w:trPr>
        <w:tc>
          <w:tcPr>
            <w:tcW w:w="1780" w:type="pct"/>
            <w:tcBorders>
              <w:top w:val="single" w:sz="4" w:space="0" w:color="auto"/>
              <w:left w:val="nil"/>
              <w:right w:val="nil"/>
            </w:tcBorders>
            <w:shd w:val="clear" w:color="000000" w:fill="DDD9C3" w:themeFill="background2" w:themeFillShade="E6"/>
            <w:noWrap/>
            <w:vAlign w:val="center"/>
          </w:tcPr>
          <w:p w:rsidR="007C21A4" w:rsidRPr="00D11C8B" w:rsidRDefault="007C21A4" w:rsidP="007C21A4">
            <w:pPr>
              <w:spacing w:line="240" w:lineRule="auto"/>
              <w:jc w:val="left"/>
              <w:rPr>
                <w:rFonts w:cs="Gautami"/>
                <w:b/>
                <w:bCs/>
                <w:color w:val="000000" w:themeColor="text1"/>
                <w:sz w:val="16"/>
                <w:szCs w:val="16"/>
              </w:rPr>
            </w:pPr>
            <w:r w:rsidRPr="00D11C8B">
              <w:rPr>
                <w:rFonts w:cs="Gautami"/>
                <w:b/>
                <w:bCs/>
                <w:color w:val="000000" w:themeColor="text1"/>
                <w:sz w:val="16"/>
                <w:szCs w:val="16"/>
              </w:rPr>
              <w:t>Peak</w:t>
            </w:r>
          </w:p>
        </w:tc>
        <w:tc>
          <w:tcPr>
            <w:tcW w:w="1610" w:type="pct"/>
            <w:tcBorders>
              <w:top w:val="single" w:sz="4" w:space="0" w:color="auto"/>
              <w:left w:val="nil"/>
              <w:right w:val="nil"/>
            </w:tcBorders>
            <w:shd w:val="clear" w:color="000000" w:fill="DDD9C3" w:themeFill="background2" w:themeFillShade="E6"/>
            <w:noWrap/>
            <w:vAlign w:val="center"/>
          </w:tcPr>
          <w:p w:rsidR="007C21A4" w:rsidRPr="00D11C8B" w:rsidRDefault="007C21A4" w:rsidP="007C21A4">
            <w:pPr>
              <w:spacing w:line="240" w:lineRule="auto"/>
              <w:jc w:val="center"/>
              <w:rPr>
                <w:rFonts w:cs="Gautami"/>
                <w:b/>
                <w:bCs/>
                <w:color w:val="000000" w:themeColor="text1"/>
                <w:sz w:val="16"/>
                <w:szCs w:val="16"/>
              </w:rPr>
            </w:pPr>
            <w:r w:rsidRPr="00D11C8B">
              <w:rPr>
                <w:rFonts w:cs="Gautami"/>
                <w:b/>
                <w:bCs/>
                <w:color w:val="000000" w:themeColor="text1"/>
                <w:sz w:val="16"/>
                <w:szCs w:val="16"/>
              </w:rPr>
              <w:t>94</w:t>
            </w:r>
          </w:p>
        </w:tc>
        <w:tc>
          <w:tcPr>
            <w:tcW w:w="1610" w:type="pct"/>
            <w:tcBorders>
              <w:top w:val="single" w:sz="4" w:space="0" w:color="auto"/>
              <w:left w:val="nil"/>
              <w:right w:val="nil"/>
            </w:tcBorders>
            <w:shd w:val="clear" w:color="000000" w:fill="DDD9C3" w:themeFill="background2" w:themeFillShade="E6"/>
            <w:noWrap/>
            <w:vAlign w:val="center"/>
          </w:tcPr>
          <w:p w:rsidR="007C21A4" w:rsidRPr="00D11C8B" w:rsidRDefault="007C21A4" w:rsidP="007C21A4">
            <w:pPr>
              <w:spacing w:line="240" w:lineRule="auto"/>
              <w:jc w:val="center"/>
              <w:rPr>
                <w:rFonts w:cs="Gautami"/>
                <w:b/>
                <w:bCs/>
                <w:color w:val="000000" w:themeColor="text1"/>
                <w:sz w:val="16"/>
                <w:szCs w:val="16"/>
              </w:rPr>
            </w:pPr>
            <w:r w:rsidRPr="00D11C8B">
              <w:rPr>
                <w:rFonts w:cs="Gautami"/>
                <w:b/>
                <w:bCs/>
                <w:color w:val="000000" w:themeColor="text1"/>
                <w:sz w:val="16"/>
                <w:szCs w:val="16"/>
              </w:rPr>
              <w:t>92</w:t>
            </w:r>
          </w:p>
        </w:tc>
      </w:tr>
      <w:tr w:rsidR="007C21A4" w:rsidTr="0072622B">
        <w:trPr>
          <w:trHeight w:hRule="exact" w:val="284"/>
        </w:trPr>
        <w:tc>
          <w:tcPr>
            <w:tcW w:w="1780" w:type="pct"/>
            <w:tcBorders>
              <w:top w:val="nil"/>
              <w:left w:val="nil"/>
              <w:right w:val="nil"/>
            </w:tcBorders>
            <w:shd w:val="clear" w:color="000000" w:fill="EEECE1" w:themeFill="background2"/>
            <w:noWrap/>
            <w:vAlign w:val="center"/>
          </w:tcPr>
          <w:p w:rsidR="007C21A4" w:rsidRPr="00D11C8B" w:rsidRDefault="007C21A4" w:rsidP="007C21A4">
            <w:pPr>
              <w:spacing w:line="240" w:lineRule="auto"/>
              <w:jc w:val="left"/>
              <w:rPr>
                <w:rFonts w:cs="Gautami"/>
                <w:b/>
                <w:bCs/>
                <w:color w:val="000000" w:themeColor="text1"/>
                <w:sz w:val="16"/>
                <w:szCs w:val="16"/>
              </w:rPr>
            </w:pPr>
            <w:r w:rsidRPr="00D11C8B">
              <w:rPr>
                <w:rFonts w:cs="Gautami"/>
                <w:b/>
                <w:bCs/>
                <w:color w:val="000000" w:themeColor="text1"/>
                <w:sz w:val="16"/>
                <w:szCs w:val="16"/>
              </w:rPr>
              <w:t>Base</w:t>
            </w:r>
          </w:p>
        </w:tc>
        <w:tc>
          <w:tcPr>
            <w:tcW w:w="1610" w:type="pct"/>
            <w:tcBorders>
              <w:top w:val="nil"/>
              <w:left w:val="nil"/>
              <w:right w:val="nil"/>
            </w:tcBorders>
            <w:shd w:val="clear" w:color="000000" w:fill="EEECE1" w:themeFill="background2"/>
            <w:noWrap/>
            <w:vAlign w:val="center"/>
          </w:tcPr>
          <w:p w:rsidR="007C21A4" w:rsidRPr="00D11C8B" w:rsidRDefault="007C21A4" w:rsidP="007C21A4">
            <w:pPr>
              <w:spacing w:line="240" w:lineRule="auto"/>
              <w:jc w:val="center"/>
              <w:rPr>
                <w:rFonts w:cs="Gautami"/>
                <w:b/>
                <w:bCs/>
                <w:color w:val="000000" w:themeColor="text1"/>
                <w:sz w:val="16"/>
                <w:szCs w:val="16"/>
              </w:rPr>
            </w:pPr>
            <w:r w:rsidRPr="00D11C8B">
              <w:rPr>
                <w:rFonts w:cs="Gautami"/>
                <w:b/>
                <w:bCs/>
                <w:color w:val="000000" w:themeColor="text1"/>
                <w:sz w:val="16"/>
                <w:szCs w:val="16"/>
              </w:rPr>
              <w:t>95</w:t>
            </w:r>
          </w:p>
        </w:tc>
        <w:tc>
          <w:tcPr>
            <w:tcW w:w="1610" w:type="pct"/>
            <w:tcBorders>
              <w:top w:val="nil"/>
              <w:left w:val="nil"/>
              <w:right w:val="nil"/>
            </w:tcBorders>
            <w:shd w:val="clear" w:color="000000" w:fill="EEECE1" w:themeFill="background2"/>
            <w:noWrap/>
            <w:vAlign w:val="center"/>
          </w:tcPr>
          <w:p w:rsidR="007C21A4" w:rsidRPr="00D11C8B" w:rsidRDefault="007C21A4" w:rsidP="007C21A4">
            <w:pPr>
              <w:spacing w:line="240" w:lineRule="auto"/>
              <w:jc w:val="center"/>
              <w:rPr>
                <w:rFonts w:cs="Gautami"/>
                <w:b/>
                <w:bCs/>
                <w:color w:val="000000" w:themeColor="text1"/>
                <w:sz w:val="16"/>
                <w:szCs w:val="16"/>
              </w:rPr>
            </w:pPr>
            <w:r w:rsidRPr="00D11C8B">
              <w:rPr>
                <w:rFonts w:cs="Gautami"/>
                <w:b/>
                <w:bCs/>
                <w:color w:val="000000" w:themeColor="text1"/>
                <w:sz w:val="16"/>
                <w:szCs w:val="16"/>
              </w:rPr>
              <w:t>102</w:t>
            </w:r>
          </w:p>
        </w:tc>
      </w:tr>
      <w:tr w:rsidR="007C21A4" w:rsidTr="0072622B">
        <w:trPr>
          <w:trHeight w:hRule="exact" w:val="284"/>
        </w:trPr>
        <w:tc>
          <w:tcPr>
            <w:tcW w:w="1780" w:type="pct"/>
            <w:tcBorders>
              <w:top w:val="nil"/>
              <w:left w:val="nil"/>
              <w:bottom w:val="single" w:sz="4" w:space="0" w:color="auto"/>
              <w:right w:val="nil"/>
            </w:tcBorders>
            <w:shd w:val="clear" w:color="000000" w:fill="DDD9C3" w:themeFill="background2" w:themeFillShade="E6"/>
            <w:noWrap/>
            <w:vAlign w:val="center"/>
          </w:tcPr>
          <w:p w:rsidR="007C21A4" w:rsidRPr="00D11C8B" w:rsidRDefault="007C21A4" w:rsidP="007C21A4">
            <w:pPr>
              <w:spacing w:line="240" w:lineRule="auto"/>
              <w:jc w:val="left"/>
              <w:rPr>
                <w:rFonts w:cs="Gautami"/>
                <w:b/>
                <w:bCs/>
                <w:color w:val="000000" w:themeColor="text1"/>
                <w:sz w:val="16"/>
                <w:szCs w:val="16"/>
              </w:rPr>
            </w:pPr>
            <w:r w:rsidRPr="00D11C8B">
              <w:rPr>
                <w:rFonts w:cs="Gautami"/>
                <w:b/>
                <w:bCs/>
                <w:color w:val="000000" w:themeColor="text1"/>
                <w:sz w:val="16"/>
                <w:szCs w:val="16"/>
              </w:rPr>
              <w:t>Intermediate</w:t>
            </w:r>
          </w:p>
        </w:tc>
        <w:tc>
          <w:tcPr>
            <w:tcW w:w="1610" w:type="pct"/>
            <w:tcBorders>
              <w:top w:val="nil"/>
              <w:left w:val="nil"/>
              <w:bottom w:val="single" w:sz="4" w:space="0" w:color="auto"/>
              <w:right w:val="nil"/>
            </w:tcBorders>
            <w:shd w:val="clear" w:color="000000" w:fill="DDD9C3" w:themeFill="background2" w:themeFillShade="E6"/>
            <w:noWrap/>
            <w:vAlign w:val="center"/>
          </w:tcPr>
          <w:p w:rsidR="007C21A4" w:rsidRPr="00D11C8B" w:rsidRDefault="007C21A4" w:rsidP="007C21A4">
            <w:pPr>
              <w:spacing w:line="240" w:lineRule="auto"/>
              <w:jc w:val="center"/>
              <w:rPr>
                <w:rFonts w:cs="Gautami"/>
                <w:b/>
                <w:bCs/>
                <w:color w:val="000000" w:themeColor="text1"/>
                <w:sz w:val="16"/>
                <w:szCs w:val="16"/>
              </w:rPr>
            </w:pPr>
            <w:r w:rsidRPr="00D11C8B">
              <w:rPr>
                <w:rFonts w:cs="Gautami"/>
                <w:b/>
                <w:bCs/>
                <w:color w:val="000000" w:themeColor="text1"/>
                <w:sz w:val="16"/>
                <w:szCs w:val="16"/>
              </w:rPr>
              <w:t>323</w:t>
            </w:r>
          </w:p>
        </w:tc>
        <w:tc>
          <w:tcPr>
            <w:tcW w:w="1610" w:type="pct"/>
            <w:tcBorders>
              <w:top w:val="nil"/>
              <w:left w:val="nil"/>
              <w:bottom w:val="single" w:sz="4" w:space="0" w:color="auto"/>
              <w:right w:val="nil"/>
            </w:tcBorders>
            <w:shd w:val="clear" w:color="000000" w:fill="DDD9C3" w:themeFill="background2" w:themeFillShade="E6"/>
            <w:noWrap/>
            <w:vAlign w:val="center"/>
          </w:tcPr>
          <w:p w:rsidR="007C21A4" w:rsidRPr="00D11C8B" w:rsidRDefault="007C21A4" w:rsidP="007C21A4">
            <w:pPr>
              <w:spacing w:line="240" w:lineRule="auto"/>
              <w:jc w:val="center"/>
              <w:rPr>
                <w:rFonts w:cs="Gautami"/>
                <w:b/>
                <w:bCs/>
                <w:color w:val="000000" w:themeColor="text1"/>
                <w:sz w:val="16"/>
                <w:szCs w:val="16"/>
              </w:rPr>
            </w:pPr>
            <w:r w:rsidRPr="00D11C8B">
              <w:rPr>
                <w:rFonts w:cs="Gautami"/>
                <w:b/>
                <w:bCs/>
                <w:color w:val="000000" w:themeColor="text1"/>
                <w:sz w:val="16"/>
                <w:szCs w:val="16"/>
              </w:rPr>
              <w:t>302</w:t>
            </w:r>
          </w:p>
        </w:tc>
      </w:tr>
      <w:tr w:rsidR="007C21A4" w:rsidTr="0072622B">
        <w:trPr>
          <w:trHeight w:hRule="exact" w:val="284"/>
        </w:trPr>
        <w:tc>
          <w:tcPr>
            <w:tcW w:w="1780" w:type="pct"/>
            <w:tcBorders>
              <w:top w:val="single" w:sz="4" w:space="0" w:color="auto"/>
              <w:left w:val="nil"/>
              <w:bottom w:val="single" w:sz="4" w:space="0" w:color="auto"/>
              <w:right w:val="nil"/>
            </w:tcBorders>
            <w:shd w:val="clear" w:color="000000" w:fill="EEECE1" w:themeFill="background2"/>
            <w:noWrap/>
            <w:vAlign w:val="center"/>
          </w:tcPr>
          <w:p w:rsidR="007C21A4" w:rsidRPr="00D11C8B" w:rsidRDefault="007C21A4" w:rsidP="007C21A4">
            <w:pPr>
              <w:spacing w:line="240" w:lineRule="auto"/>
              <w:jc w:val="left"/>
              <w:rPr>
                <w:rFonts w:cs="Gautami"/>
                <w:b/>
                <w:bCs/>
                <w:color w:val="000000" w:themeColor="text1"/>
                <w:sz w:val="16"/>
                <w:szCs w:val="16"/>
              </w:rPr>
            </w:pPr>
            <w:r>
              <w:rPr>
                <w:rFonts w:cs="Gautami"/>
                <w:b/>
                <w:bCs/>
                <w:color w:val="000000" w:themeColor="text1"/>
                <w:sz w:val="16"/>
                <w:szCs w:val="16"/>
              </w:rPr>
              <w:t>Total</w:t>
            </w:r>
          </w:p>
        </w:tc>
        <w:tc>
          <w:tcPr>
            <w:tcW w:w="1610" w:type="pct"/>
            <w:tcBorders>
              <w:top w:val="single" w:sz="4" w:space="0" w:color="auto"/>
              <w:left w:val="nil"/>
              <w:bottom w:val="single" w:sz="4" w:space="0" w:color="auto"/>
              <w:right w:val="nil"/>
            </w:tcBorders>
            <w:shd w:val="clear" w:color="000000" w:fill="EEECE1" w:themeFill="background2"/>
            <w:noWrap/>
            <w:vAlign w:val="center"/>
          </w:tcPr>
          <w:p w:rsidR="007C21A4" w:rsidRPr="00D11C8B" w:rsidRDefault="007C21A4" w:rsidP="007C21A4">
            <w:pPr>
              <w:spacing w:line="240" w:lineRule="auto"/>
              <w:jc w:val="center"/>
              <w:rPr>
                <w:rFonts w:cs="Gautami"/>
                <w:b/>
                <w:bCs/>
                <w:color w:val="000000" w:themeColor="text1"/>
                <w:sz w:val="16"/>
                <w:szCs w:val="16"/>
              </w:rPr>
            </w:pPr>
            <w:r w:rsidRPr="00D11C8B">
              <w:rPr>
                <w:rFonts w:cs="Gautami"/>
                <w:b/>
                <w:bCs/>
                <w:color w:val="000000" w:themeColor="text1"/>
                <w:sz w:val="16"/>
                <w:szCs w:val="16"/>
              </w:rPr>
              <w:t>512</w:t>
            </w:r>
          </w:p>
        </w:tc>
        <w:tc>
          <w:tcPr>
            <w:tcW w:w="1610" w:type="pct"/>
            <w:tcBorders>
              <w:top w:val="single" w:sz="4" w:space="0" w:color="auto"/>
              <w:left w:val="nil"/>
              <w:bottom w:val="single" w:sz="4" w:space="0" w:color="auto"/>
              <w:right w:val="nil"/>
            </w:tcBorders>
            <w:shd w:val="clear" w:color="000000" w:fill="EEECE1" w:themeFill="background2"/>
            <w:noWrap/>
            <w:vAlign w:val="center"/>
          </w:tcPr>
          <w:p w:rsidR="007C21A4" w:rsidRPr="00D11C8B" w:rsidRDefault="007C21A4" w:rsidP="007C21A4">
            <w:pPr>
              <w:spacing w:line="240" w:lineRule="auto"/>
              <w:jc w:val="center"/>
              <w:rPr>
                <w:rFonts w:cs="Gautami"/>
                <w:b/>
                <w:bCs/>
                <w:color w:val="000000" w:themeColor="text1"/>
                <w:sz w:val="16"/>
                <w:szCs w:val="16"/>
              </w:rPr>
            </w:pPr>
            <w:r w:rsidRPr="00D11C8B">
              <w:rPr>
                <w:rFonts w:cs="Gautami"/>
                <w:b/>
                <w:bCs/>
                <w:color w:val="000000" w:themeColor="text1"/>
                <w:sz w:val="16"/>
                <w:szCs w:val="16"/>
              </w:rPr>
              <w:t>496</w:t>
            </w:r>
          </w:p>
        </w:tc>
      </w:tr>
    </w:tbl>
    <w:p w:rsidR="007C21A4" w:rsidRDefault="007C21A4" w:rsidP="007C21A4">
      <w:pPr>
        <w:spacing w:after="120"/>
      </w:pPr>
    </w:p>
    <w:p w:rsidR="007C21A4" w:rsidRDefault="00DC6413" w:rsidP="007C21A4">
      <w:pPr>
        <w:spacing w:after="120"/>
      </w:pPr>
      <w:r>
        <w:fldChar w:fldCharType="begin"/>
      </w:r>
      <w:r>
        <w:instrText xml:space="preserve"> REF _Ref383771113 \h </w:instrText>
      </w:r>
      <w:r>
        <w:fldChar w:fldCharType="separate"/>
      </w:r>
      <w:r w:rsidR="005F3C47" w:rsidRPr="00C935BF">
        <w:t xml:space="preserve">Spotlight Table </w:t>
      </w:r>
      <w:r w:rsidR="005F3C47">
        <w:rPr>
          <w:noProof/>
        </w:rPr>
        <w:t>2</w:t>
      </w:r>
      <w:r>
        <w:fldChar w:fldCharType="end"/>
      </w:r>
      <w:r>
        <w:t xml:space="preserve"> </w:t>
      </w:r>
      <w:r w:rsidR="007C21A4">
        <w:t>shows that the CS Energy portfolio has over half of the ramping capability in Queensland, a potentially significant factor in ensuring the success of its rebidding strategy.  It also shows that ramping capability of the base load generators (those that are typically always on) in the State is quite limited. Most of the ramp rate capability comes from intermediate generation (those that are typically on during peak times and will respond to modest prices) and a majority of this is at CS Energy’s Wivenhoe station which has ramp rates of 240</w:t>
      </w:r>
      <w:r>
        <w:t> </w:t>
      </w:r>
      <w:r w:rsidR="007C21A4">
        <w:t xml:space="preserve">MW/min. In situations when CS Energy shifted large volumes of </w:t>
      </w:r>
      <w:r w:rsidR="009C6152">
        <w:t xml:space="preserve">available </w:t>
      </w:r>
      <w:r w:rsidR="007C21A4">
        <w:t xml:space="preserve">generation into high price bands, the remaining </w:t>
      </w:r>
      <w:r w:rsidR="009C6152">
        <w:t>available</w:t>
      </w:r>
      <w:r w:rsidR="007C21A4">
        <w:t xml:space="preserve"> generators were often unable to respond adequately to avoid high prices being set.</w:t>
      </w:r>
    </w:p>
    <w:p w:rsidR="007C21A4" w:rsidRDefault="00473C0C" w:rsidP="007C21A4">
      <w:pPr>
        <w:spacing w:after="120"/>
      </w:pPr>
      <w:r w:rsidRPr="00357351">
        <w:t xml:space="preserve">The CS </w:t>
      </w:r>
      <w:r w:rsidR="001E0C8B">
        <w:t>E</w:t>
      </w:r>
      <w:r w:rsidRPr="00357351">
        <w:t xml:space="preserve">nergy </w:t>
      </w:r>
      <w:r w:rsidR="001E0C8B">
        <w:t>p</w:t>
      </w:r>
      <w:r w:rsidRPr="00357351">
        <w:t>ortfolio includes Gladstone and Wivenhoe, both of which have significant ramping capability. When CS Energy rebids the capacity of these generators up to high prices there is effectively less plant available to ramp up in response. When this occurs the slower to ramp generators are constrained and higher priced generators are dispatched.</w:t>
      </w:r>
    </w:p>
    <w:p w:rsidR="007C21A4" w:rsidRDefault="007C21A4" w:rsidP="007C21A4">
      <w:pPr>
        <w:spacing w:after="120"/>
      </w:pPr>
      <w:r>
        <w:t>During December, when CS Energy was the dominant participant rebidding operating capacity into high prices, other base and intermediate plant was ramped up to their limit to compensate. This situation changed over time and in February, when CS Energy and other participants with base and intermediate plant engaged in similar strategies. As a result there was even less low priced capacity that could be ramped up, leading to more frequent and higher prices.</w:t>
      </w:r>
    </w:p>
    <w:p w:rsidR="007C21A4" w:rsidRDefault="007C21A4" w:rsidP="007C21A4">
      <w:pPr>
        <w:rPr>
          <w:lang w:eastAsia="en-US"/>
        </w:rPr>
      </w:pPr>
      <w:r>
        <w:rPr>
          <w:lang w:eastAsia="en-US"/>
        </w:rPr>
        <w:lastRenderedPageBreak/>
        <w:fldChar w:fldCharType="begin"/>
      </w:r>
      <w:r>
        <w:rPr>
          <w:lang w:eastAsia="en-US"/>
        </w:rPr>
        <w:instrText xml:space="preserve"> REF _Ref383725672 \h </w:instrText>
      </w:r>
      <w:r>
        <w:rPr>
          <w:lang w:eastAsia="en-US"/>
        </w:rPr>
      </w:r>
      <w:r>
        <w:rPr>
          <w:lang w:eastAsia="en-US"/>
        </w:rPr>
        <w:fldChar w:fldCharType="separate"/>
      </w:r>
      <w:r w:rsidR="005F3C47">
        <w:t xml:space="preserve">Spotlight Figure </w:t>
      </w:r>
      <w:r w:rsidR="005F3C47">
        <w:rPr>
          <w:noProof/>
        </w:rPr>
        <w:t>7</w:t>
      </w:r>
      <w:r>
        <w:rPr>
          <w:lang w:eastAsia="en-US"/>
        </w:rPr>
        <w:fldChar w:fldCharType="end"/>
      </w:r>
      <w:r>
        <w:rPr>
          <w:lang w:eastAsia="en-US"/>
        </w:rPr>
        <w:t xml:space="preserve"> shows which participants rebid significant amounts of capacity into high prices for the 50 events being analysed.</w:t>
      </w:r>
    </w:p>
    <w:p w:rsidR="00DC6413" w:rsidRDefault="00DC6413" w:rsidP="007C21A4">
      <w:pPr>
        <w:rPr>
          <w:lang w:eastAsia="en-US"/>
        </w:rPr>
      </w:pPr>
    </w:p>
    <w:p w:rsidR="007C21A4" w:rsidRDefault="007C21A4" w:rsidP="007C21A4">
      <w:pPr>
        <w:pStyle w:val="Caption"/>
        <w:rPr>
          <w:lang w:eastAsia="en-US"/>
        </w:rPr>
      </w:pPr>
      <w:bookmarkStart w:id="16" w:name="_Ref383725672"/>
      <w:r>
        <w:rPr>
          <w:noProof/>
        </w:rPr>
        <w:drawing>
          <wp:anchor distT="0" distB="0" distL="114300" distR="114300" simplePos="0" relativeHeight="251732992" behindDoc="0" locked="1" layoutInCell="1" allowOverlap="0" wp14:anchorId="67F253A5" wp14:editId="567FD168">
            <wp:simplePos x="0" y="0"/>
            <wp:positionH relativeFrom="column">
              <wp:posOffset>0</wp:posOffset>
            </wp:positionH>
            <wp:positionV relativeFrom="paragraph">
              <wp:posOffset>332105</wp:posOffset>
            </wp:positionV>
            <wp:extent cx="5950585" cy="3171190"/>
            <wp:effectExtent l="0" t="0" r="0" b="0"/>
            <wp:wrapTopAndBottom/>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0585"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Spotlight Figure </w:t>
      </w:r>
      <w:fldSimple w:instr=" SEQ Spotlight_Figure \* ARABIC ">
        <w:r w:rsidR="005F3C47">
          <w:rPr>
            <w:noProof/>
          </w:rPr>
          <w:t>7</w:t>
        </w:r>
      </w:fldSimple>
      <w:bookmarkEnd w:id="16"/>
      <w:r>
        <w:t xml:space="preserve">: </w:t>
      </w:r>
      <w:r w:rsidRPr="009454E6">
        <w:t>Dispatch price above $1000/MWh and major rebidding participant</w:t>
      </w:r>
    </w:p>
    <w:p w:rsidR="007C21A4" w:rsidRDefault="007C21A4" w:rsidP="00AD4972">
      <w:pPr>
        <w:pStyle w:val="AERbodytext"/>
      </w:pPr>
      <w:r>
        <w:t xml:space="preserve">This figure shows that </w:t>
      </w:r>
      <w:r w:rsidR="00F92914">
        <w:t xml:space="preserve">during December and January the majority of the high price events were triggered by rebids from </w:t>
      </w:r>
      <w:r>
        <w:t xml:space="preserve">CS </w:t>
      </w:r>
      <w:r w:rsidR="00DC6413">
        <w:t>Energy</w:t>
      </w:r>
      <w:r w:rsidR="00F92914">
        <w:t>.</w:t>
      </w:r>
      <w:r w:rsidR="00DC6413">
        <w:t xml:space="preserve"> </w:t>
      </w:r>
      <w:r w:rsidR="00D959BB">
        <w:t>Their</w:t>
      </w:r>
      <w:r w:rsidR="00F92914">
        <w:t xml:space="preserve"> behaviour </w:t>
      </w:r>
      <w:r w:rsidR="004608CD">
        <w:t xml:space="preserve">significantly changed the shape of the supply curve </w:t>
      </w:r>
      <w:r w:rsidR="000E11C5">
        <w:t xml:space="preserve">in the region and </w:t>
      </w:r>
      <w:r w:rsidR="00F92914">
        <w:t>would have been evident to other participants</w:t>
      </w:r>
      <w:r w:rsidR="000E11C5">
        <w:t xml:space="preserve">. In response to these changing conditions, participants developed a range of </w:t>
      </w:r>
      <w:r w:rsidR="00D959BB">
        <w:t xml:space="preserve">different </w:t>
      </w:r>
      <w:r w:rsidR="00AD4972">
        <w:t>strategies</w:t>
      </w:r>
      <w:r w:rsidR="00D959BB">
        <w:t xml:space="preserve"> including similar volume and price rebidding approaches</w:t>
      </w:r>
      <w:r w:rsidR="00AD4972">
        <w:t xml:space="preserve">. </w:t>
      </w:r>
      <w:r w:rsidR="001611BD">
        <w:t>I</w:t>
      </w:r>
      <w:r w:rsidR="00E77040">
        <w:t>n February</w:t>
      </w:r>
      <w:r w:rsidR="001611BD">
        <w:t>,</w:t>
      </w:r>
      <w:r w:rsidR="00E77040">
        <w:t xml:space="preserve"> rebid</w:t>
      </w:r>
      <w:r w:rsidR="001611BD">
        <w:t>ding capacity from low to high prices by other</w:t>
      </w:r>
      <w:r w:rsidR="00E77040">
        <w:t xml:space="preserve"> </w:t>
      </w:r>
      <w:r w:rsidR="001611BD">
        <w:t xml:space="preserve">participants </w:t>
      </w:r>
      <w:r w:rsidR="00E77040">
        <w:t>at or very close to the same time as CS Energy</w:t>
      </w:r>
      <w:r w:rsidR="00D959BB">
        <w:t xml:space="preserve"> </w:t>
      </w:r>
      <w:r w:rsidR="001611BD">
        <w:t>led to more frequent price spikes by exacerbating the paucity of capacity in the middle price ranges</w:t>
      </w:r>
      <w:r w:rsidR="00E77040">
        <w:t xml:space="preserve">. </w:t>
      </w:r>
      <w:r w:rsidR="00051834">
        <w:t xml:space="preserve">The absence of other Queensland participants seems to indicate that </w:t>
      </w:r>
      <w:r w:rsidR="001611BD">
        <w:t xml:space="preserve">while the new strategies of some participants were similar to those of CS Energy others chose </w:t>
      </w:r>
      <w:r>
        <w:t>different strategies to pro</w:t>
      </w:r>
      <w:r w:rsidR="00051834">
        <w:t xml:space="preserve">tect their positions or plant. </w:t>
      </w:r>
      <w:r w:rsidR="001611BD">
        <w:t>Notably the rebidding in February did not result in as significant a change in the merit order as had been evident earlier in the summer and</w:t>
      </w:r>
      <w:r w:rsidR="00051834">
        <w:t xml:space="preserve"> </w:t>
      </w:r>
      <w:r>
        <w:t>appears to have reduced the output adjustments and ramping that the rebidding would normally trigger.</w:t>
      </w:r>
    </w:p>
    <w:p w:rsidR="007C21A4" w:rsidRPr="00051834" w:rsidRDefault="005B5DF1" w:rsidP="00051834">
      <w:pPr>
        <w:pStyle w:val="AERbodytext"/>
      </w:pPr>
      <w:r w:rsidRPr="00051834">
        <w:t xml:space="preserve">The AER is closely reviewing the rebidding behaviour during this period </w:t>
      </w:r>
      <w:r w:rsidR="00051834" w:rsidRPr="00051834">
        <w:t xml:space="preserve">to </w:t>
      </w:r>
      <w:r w:rsidRPr="00051834">
        <w:t xml:space="preserve">verify the </w:t>
      </w:r>
      <w:r w:rsidR="00D959BB">
        <w:t xml:space="preserve">rebid </w:t>
      </w:r>
      <w:r w:rsidRPr="00051834">
        <w:t>reasons and assessing the material conditions relied upon to support those rebids</w:t>
      </w:r>
      <w:r w:rsidR="00051834" w:rsidRPr="00051834">
        <w:t>.</w:t>
      </w:r>
    </w:p>
    <w:bookmarkEnd w:id="0"/>
    <w:bookmarkEnd w:id="1"/>
    <w:bookmarkEnd w:id="2"/>
    <w:bookmarkEnd w:id="3"/>
    <w:bookmarkEnd w:id="4"/>
    <w:bookmarkEnd w:id="5"/>
    <w:p w:rsidR="00DC6413" w:rsidRDefault="00DC6413">
      <w:pPr>
        <w:spacing w:line="240" w:lineRule="auto"/>
        <w:jc w:val="left"/>
        <w:rPr>
          <w:rFonts w:cs="Arial"/>
          <w:b/>
          <w:bCs/>
          <w:iCs/>
          <w:sz w:val="28"/>
          <w:szCs w:val="28"/>
        </w:rPr>
      </w:pPr>
      <w:r>
        <w:br w:type="page"/>
      </w:r>
    </w:p>
    <w:p w:rsidR="005C3289" w:rsidRPr="002D23B9" w:rsidRDefault="005C3289" w:rsidP="005C3289">
      <w:pPr>
        <w:pStyle w:val="Heading2"/>
        <w:rPr>
          <w:color w:val="auto"/>
        </w:rPr>
      </w:pPr>
      <w:r w:rsidRPr="002D23B9">
        <w:rPr>
          <w:color w:val="auto"/>
        </w:rPr>
        <w:lastRenderedPageBreak/>
        <w:t>Spot market prices</w:t>
      </w:r>
    </w:p>
    <w:bookmarkStart w:id="17" w:name="OLE_LINK28"/>
    <w:bookmarkStart w:id="18" w:name="OLE_LINK29"/>
    <w:p w:rsidR="005C3289" w:rsidRDefault="00620A61" w:rsidP="005C3289">
      <w:r>
        <w:fldChar w:fldCharType="begin"/>
      </w:r>
      <w:r>
        <w:instrText xml:space="preserve"> REF _Ref384033376 \h </w:instrText>
      </w:r>
      <w:r>
        <w:fldChar w:fldCharType="separate"/>
      </w:r>
      <w:r w:rsidR="005F3C47">
        <w:t xml:space="preserve">Figure </w:t>
      </w:r>
      <w:r w:rsidR="005F3C47">
        <w:rPr>
          <w:noProof/>
        </w:rPr>
        <w:t>1</w:t>
      </w:r>
      <w:r>
        <w:fldChar w:fldCharType="end"/>
      </w:r>
      <w:r w:rsidR="005C3289">
        <w:t xml:space="preserve"> shows the spot prices that occurred in each region during the week 23 February to 1 March 2014.</w:t>
      </w:r>
    </w:p>
    <w:p w:rsidR="00620A61" w:rsidRPr="0078358A" w:rsidRDefault="00620A61" w:rsidP="005C3289"/>
    <w:p w:rsidR="005C3289" w:rsidRPr="002D23B9" w:rsidRDefault="00620A61" w:rsidP="00620A61">
      <w:pPr>
        <w:pStyle w:val="Caption"/>
      </w:pPr>
      <w:bookmarkStart w:id="19" w:name="_Ref384033376"/>
      <w:r>
        <w:t xml:space="preserve">Figure </w:t>
      </w:r>
      <w:fldSimple w:instr=" SEQ Figure \* ARABIC ">
        <w:r w:rsidR="005F3C47">
          <w:rPr>
            <w:noProof/>
          </w:rPr>
          <w:t>1</w:t>
        </w:r>
      </w:fldSimple>
      <w:bookmarkEnd w:id="19"/>
      <w:r w:rsidRPr="00313609">
        <w:t>: Spot price by region ($/MWh)</w:t>
      </w:r>
    </w:p>
    <w:p w:rsidR="005C3289" w:rsidRDefault="005C3289" w:rsidP="005C3289">
      <w:pPr>
        <w:pStyle w:val="AERbodytext"/>
        <w:spacing w:after="120"/>
      </w:pPr>
      <w:r w:rsidRPr="00B84FBB">
        <w:rPr>
          <w:noProof/>
          <w:lang w:eastAsia="en-AU"/>
        </w:rPr>
        <w:drawing>
          <wp:inline distT="0" distB="0" distL="0" distR="0" wp14:anchorId="2F39D88B" wp14:editId="593526EF">
            <wp:extent cx="5618988" cy="2814452"/>
            <wp:effectExtent l="0" t="0" r="1270" b="5080"/>
            <wp:docPr id="23" name="Picture 23" descr="Figure 1 shows the spot prices for this week in each region. The markers indicate the daily maximum and minimum spot prices in each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4711" cy="2817319"/>
                    </a:xfrm>
                    <a:prstGeom prst="rect">
                      <a:avLst/>
                    </a:prstGeom>
                    <a:noFill/>
                    <a:ln>
                      <a:noFill/>
                    </a:ln>
                  </pic:spPr>
                </pic:pic>
              </a:graphicData>
            </a:graphic>
          </wp:inline>
        </w:drawing>
      </w:r>
    </w:p>
    <w:p w:rsidR="005C3289" w:rsidRDefault="00620A61" w:rsidP="005C3289">
      <w:pPr>
        <w:pStyle w:val="AERbodytext"/>
      </w:pPr>
      <w:r>
        <w:fldChar w:fldCharType="begin"/>
      </w:r>
      <w:r>
        <w:instrText xml:space="preserve"> REF _Ref384033403 \h </w:instrText>
      </w:r>
      <w:r>
        <w:fldChar w:fldCharType="separate"/>
      </w:r>
      <w:r w:rsidR="005F3C47">
        <w:t xml:space="preserve">Figure </w:t>
      </w:r>
      <w:r w:rsidR="005F3C47">
        <w:rPr>
          <w:noProof/>
        </w:rPr>
        <w:t>2</w:t>
      </w:r>
      <w:r>
        <w:fldChar w:fldCharType="end"/>
      </w:r>
      <w:r>
        <w:t xml:space="preserve"> </w:t>
      </w:r>
      <w:r w:rsidR="005C3289" w:rsidRPr="002D23B9">
        <w:t xml:space="preserve">shows the volume weighted average (VWA) prices for the current week (with prices shown in </w:t>
      </w:r>
      <w:r>
        <w:fldChar w:fldCharType="begin"/>
      </w:r>
      <w:r>
        <w:instrText xml:space="preserve"> REF _Ref384033448 \h </w:instrText>
      </w:r>
      <w:r>
        <w:fldChar w:fldCharType="separate"/>
      </w:r>
      <w:r w:rsidR="005F3C47">
        <w:t xml:space="preserve">Table </w:t>
      </w:r>
      <w:r w:rsidR="005F3C47">
        <w:rPr>
          <w:noProof/>
        </w:rPr>
        <w:t>1</w:t>
      </w:r>
      <w:r>
        <w:fldChar w:fldCharType="end"/>
      </w:r>
      <w:r w:rsidR="005C3289" w:rsidRPr="002D23B9">
        <w:t>) and the preceding 12</w:t>
      </w:r>
      <w:r w:rsidR="005C3289" w:rsidRPr="004869A0">
        <w:t xml:space="preserve"> </w:t>
      </w:r>
      <w:r w:rsidR="005C3289" w:rsidRPr="002D23B9">
        <w:t>weeks, as well as the VWA price over the previous 3 financial years.</w:t>
      </w:r>
    </w:p>
    <w:p w:rsidR="00620A61" w:rsidRDefault="00620A61" w:rsidP="00620A61">
      <w:pPr>
        <w:pStyle w:val="Caption"/>
      </w:pPr>
      <w:bookmarkStart w:id="20" w:name="_Ref384033403"/>
      <w:r>
        <w:t xml:space="preserve">Figure </w:t>
      </w:r>
      <w:fldSimple w:instr=" SEQ Figure \* ARABIC ">
        <w:r w:rsidR="005F3C47">
          <w:rPr>
            <w:noProof/>
          </w:rPr>
          <w:t>2</w:t>
        </w:r>
      </w:fldSimple>
      <w:bookmarkEnd w:id="20"/>
      <w:r w:rsidRPr="00D00357">
        <w:t>: Volume weighted average spot price by region ($/MWh)</w:t>
      </w:r>
    </w:p>
    <w:p w:rsidR="005C3289" w:rsidRPr="002D23B9" w:rsidRDefault="005C3289" w:rsidP="005C3289">
      <w:pPr>
        <w:pStyle w:val="AERbodytext"/>
      </w:pPr>
      <w:r>
        <w:rPr>
          <w:noProof/>
          <w:lang w:eastAsia="en-AU"/>
        </w:rPr>
        <w:drawing>
          <wp:inline distT="0" distB="0" distL="0" distR="0" wp14:anchorId="6E03F8ED" wp14:editId="29717D22">
            <wp:extent cx="5731510" cy="2865755"/>
            <wp:effectExtent l="0" t="0" r="2540" b="0"/>
            <wp:docPr id="8" name="Picture 8" descr="Figure 2 shows the volume weighted average (VWA) prices for this week (with prices shown in Table 1) and the preceding 12 weeks, as well as the VWA price over the previous 3 financial ye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1 shows the volume weighted average (VWA) prices for this week (with prices shown in Table 1) and the preceding 12 weeks, as well as the VWA price over the previous 3 financial years.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5C3289" w:rsidRPr="002D23B9" w:rsidRDefault="00620A61" w:rsidP="00620A61">
      <w:pPr>
        <w:pStyle w:val="Caption"/>
      </w:pPr>
      <w:bookmarkStart w:id="21" w:name="_Ref384033448"/>
      <w:r>
        <w:t xml:space="preserve">Table </w:t>
      </w:r>
      <w:fldSimple w:instr=" SEQ Table \* ARABIC ">
        <w:r w:rsidR="005F3C47">
          <w:rPr>
            <w:noProof/>
          </w:rPr>
          <w:t>1</w:t>
        </w:r>
      </w:fldSimple>
      <w:bookmarkEnd w:id="21"/>
      <w:r w:rsidRPr="00FB28B1">
        <w:t>: Volume weighted average spot prices by region ($/MWh)</w:t>
      </w:r>
    </w:p>
    <w:tbl>
      <w:tblPr>
        <w:tblW w:w="5000" w:type="pct"/>
        <w:tblLook w:val="04A0" w:firstRow="1" w:lastRow="0" w:firstColumn="1" w:lastColumn="0" w:noHBand="0" w:noVBand="1"/>
      </w:tblPr>
      <w:tblGrid>
        <w:gridCol w:w="3605"/>
        <w:gridCol w:w="1105"/>
        <w:gridCol w:w="1362"/>
        <w:gridCol w:w="1042"/>
        <w:gridCol w:w="1000"/>
        <w:gridCol w:w="1128"/>
      </w:tblGrid>
      <w:tr w:rsidR="005C3289" w:rsidRPr="00DA4107" w:rsidTr="007C21A4">
        <w:trPr>
          <w:trHeight w:hRule="exact" w:val="454"/>
        </w:trPr>
        <w:tc>
          <w:tcPr>
            <w:tcW w:w="1950" w:type="pct"/>
            <w:tcBorders>
              <w:top w:val="single" w:sz="8" w:space="0" w:color="7BA0CD"/>
              <w:left w:val="nil"/>
              <w:bottom w:val="nil"/>
              <w:right w:val="nil"/>
            </w:tcBorders>
            <w:shd w:val="clear" w:color="000000" w:fill="4A442A"/>
            <w:noWrap/>
            <w:vAlign w:val="center"/>
            <w:hideMark/>
          </w:tcPr>
          <w:p w:rsidR="005C3289" w:rsidRPr="00DA4107" w:rsidRDefault="005C3289" w:rsidP="007C21A4">
            <w:pPr>
              <w:spacing w:line="240" w:lineRule="auto"/>
              <w:jc w:val="center"/>
              <w:rPr>
                <w:rFonts w:cs="Gautami"/>
                <w:b/>
                <w:bCs/>
                <w:color w:val="FFFFFF"/>
                <w:sz w:val="16"/>
                <w:szCs w:val="16"/>
              </w:rPr>
            </w:pPr>
            <w:r w:rsidRPr="00DA4107">
              <w:rPr>
                <w:rFonts w:cs="Gautami"/>
                <w:b/>
                <w:bCs/>
                <w:color w:val="FFFFFF"/>
                <w:sz w:val="16"/>
                <w:szCs w:val="16"/>
              </w:rPr>
              <w:t>Region</w:t>
            </w:r>
          </w:p>
        </w:tc>
        <w:tc>
          <w:tcPr>
            <w:tcW w:w="598" w:type="pct"/>
            <w:tcBorders>
              <w:top w:val="single" w:sz="8" w:space="0" w:color="7BA0CD"/>
              <w:left w:val="nil"/>
              <w:bottom w:val="nil"/>
              <w:right w:val="nil"/>
            </w:tcBorders>
            <w:shd w:val="clear" w:color="000000" w:fill="4A442A"/>
            <w:noWrap/>
            <w:vAlign w:val="center"/>
            <w:hideMark/>
          </w:tcPr>
          <w:p w:rsidR="005C3289" w:rsidRPr="00DA4107" w:rsidRDefault="005C3289" w:rsidP="007C21A4">
            <w:pPr>
              <w:spacing w:line="240" w:lineRule="auto"/>
              <w:jc w:val="center"/>
              <w:rPr>
                <w:rFonts w:cs="Gautami"/>
                <w:b/>
                <w:bCs/>
                <w:color w:val="FFFFFF"/>
                <w:sz w:val="16"/>
                <w:szCs w:val="16"/>
              </w:rPr>
            </w:pPr>
            <w:r w:rsidRPr="00DA4107">
              <w:rPr>
                <w:rFonts w:cs="Gautami"/>
                <w:b/>
                <w:bCs/>
                <w:color w:val="FFFFFF"/>
                <w:sz w:val="16"/>
                <w:szCs w:val="16"/>
              </w:rPr>
              <w:t>Qld</w:t>
            </w:r>
          </w:p>
        </w:tc>
        <w:tc>
          <w:tcPr>
            <w:tcW w:w="737" w:type="pct"/>
            <w:tcBorders>
              <w:top w:val="single" w:sz="8" w:space="0" w:color="7BA0CD"/>
              <w:left w:val="nil"/>
              <w:bottom w:val="nil"/>
              <w:right w:val="nil"/>
            </w:tcBorders>
            <w:shd w:val="clear" w:color="000000" w:fill="4A442A"/>
            <w:noWrap/>
            <w:vAlign w:val="center"/>
            <w:hideMark/>
          </w:tcPr>
          <w:p w:rsidR="005C3289" w:rsidRPr="00DA4107" w:rsidRDefault="005C3289" w:rsidP="007C21A4">
            <w:pPr>
              <w:spacing w:line="240" w:lineRule="auto"/>
              <w:jc w:val="center"/>
              <w:rPr>
                <w:rFonts w:cs="Gautami"/>
                <w:b/>
                <w:bCs/>
                <w:color w:val="FFFFFF"/>
                <w:sz w:val="16"/>
                <w:szCs w:val="16"/>
              </w:rPr>
            </w:pPr>
            <w:r w:rsidRPr="00DA4107">
              <w:rPr>
                <w:rFonts w:cs="Gautami"/>
                <w:b/>
                <w:bCs/>
                <w:color w:val="FFFFFF"/>
                <w:sz w:val="16"/>
                <w:szCs w:val="16"/>
              </w:rPr>
              <w:t>NSW</w:t>
            </w:r>
          </w:p>
        </w:tc>
        <w:tc>
          <w:tcPr>
            <w:tcW w:w="564" w:type="pct"/>
            <w:tcBorders>
              <w:top w:val="single" w:sz="8" w:space="0" w:color="7BA0CD"/>
              <w:left w:val="nil"/>
              <w:bottom w:val="nil"/>
              <w:right w:val="nil"/>
            </w:tcBorders>
            <w:shd w:val="clear" w:color="000000" w:fill="4A442A"/>
            <w:noWrap/>
            <w:vAlign w:val="center"/>
            <w:hideMark/>
          </w:tcPr>
          <w:p w:rsidR="005C3289" w:rsidRPr="00DA4107" w:rsidRDefault="005C3289" w:rsidP="007C21A4">
            <w:pPr>
              <w:spacing w:line="240" w:lineRule="auto"/>
              <w:jc w:val="center"/>
              <w:rPr>
                <w:rFonts w:cs="Gautami"/>
                <w:b/>
                <w:bCs/>
                <w:color w:val="FFFFFF"/>
                <w:sz w:val="16"/>
                <w:szCs w:val="16"/>
              </w:rPr>
            </w:pPr>
            <w:r w:rsidRPr="00DA4107">
              <w:rPr>
                <w:rFonts w:cs="Gautami"/>
                <w:b/>
                <w:bCs/>
                <w:color w:val="FFFFFF"/>
                <w:sz w:val="16"/>
                <w:szCs w:val="16"/>
              </w:rPr>
              <w:t>Vic</w:t>
            </w:r>
          </w:p>
        </w:tc>
        <w:tc>
          <w:tcPr>
            <w:tcW w:w="541" w:type="pct"/>
            <w:tcBorders>
              <w:top w:val="single" w:sz="8" w:space="0" w:color="7BA0CD"/>
              <w:left w:val="nil"/>
              <w:bottom w:val="nil"/>
              <w:right w:val="nil"/>
            </w:tcBorders>
            <w:shd w:val="clear" w:color="000000" w:fill="4A442A"/>
            <w:noWrap/>
            <w:vAlign w:val="center"/>
            <w:hideMark/>
          </w:tcPr>
          <w:p w:rsidR="005C3289" w:rsidRPr="00DA4107" w:rsidRDefault="005C3289" w:rsidP="007C21A4">
            <w:pPr>
              <w:spacing w:line="240" w:lineRule="auto"/>
              <w:jc w:val="center"/>
              <w:rPr>
                <w:rFonts w:cs="Gautami"/>
                <w:b/>
                <w:bCs/>
                <w:color w:val="FFFFFF"/>
                <w:sz w:val="16"/>
                <w:szCs w:val="16"/>
              </w:rPr>
            </w:pPr>
            <w:r w:rsidRPr="00DA4107">
              <w:rPr>
                <w:rFonts w:cs="Gautami"/>
                <w:b/>
                <w:bCs/>
                <w:color w:val="FFFFFF"/>
                <w:sz w:val="16"/>
                <w:szCs w:val="16"/>
              </w:rPr>
              <w:t>SA</w:t>
            </w:r>
          </w:p>
        </w:tc>
        <w:tc>
          <w:tcPr>
            <w:tcW w:w="610" w:type="pct"/>
            <w:tcBorders>
              <w:top w:val="single" w:sz="8" w:space="0" w:color="7BA0CD"/>
              <w:left w:val="nil"/>
              <w:bottom w:val="nil"/>
              <w:right w:val="nil"/>
            </w:tcBorders>
            <w:shd w:val="clear" w:color="000000" w:fill="4A442A"/>
            <w:noWrap/>
            <w:vAlign w:val="center"/>
            <w:hideMark/>
          </w:tcPr>
          <w:p w:rsidR="005C3289" w:rsidRPr="00DA4107" w:rsidRDefault="005C3289" w:rsidP="007C21A4">
            <w:pPr>
              <w:spacing w:line="240" w:lineRule="auto"/>
              <w:jc w:val="center"/>
              <w:rPr>
                <w:rFonts w:cs="Gautami"/>
                <w:b/>
                <w:bCs/>
                <w:color w:val="FFFFFF"/>
                <w:sz w:val="16"/>
                <w:szCs w:val="16"/>
              </w:rPr>
            </w:pPr>
            <w:r w:rsidRPr="00DA4107">
              <w:rPr>
                <w:rFonts w:cs="Gautami"/>
                <w:b/>
                <w:bCs/>
                <w:color w:val="FFFFFF"/>
                <w:sz w:val="16"/>
                <w:szCs w:val="16"/>
              </w:rPr>
              <w:t>Tas</w:t>
            </w:r>
          </w:p>
        </w:tc>
      </w:tr>
      <w:tr w:rsidR="005C3289" w:rsidRPr="00DA4107" w:rsidTr="007C21A4">
        <w:trPr>
          <w:trHeight w:hRule="exact" w:val="454"/>
        </w:trPr>
        <w:tc>
          <w:tcPr>
            <w:tcW w:w="1950" w:type="pct"/>
            <w:tcBorders>
              <w:top w:val="nil"/>
              <w:left w:val="nil"/>
              <w:bottom w:val="nil"/>
              <w:right w:val="nil"/>
            </w:tcBorders>
            <w:shd w:val="clear" w:color="000000" w:fill="DDD9C3"/>
            <w:noWrap/>
            <w:vAlign w:val="center"/>
            <w:hideMark/>
          </w:tcPr>
          <w:p w:rsidR="005C3289" w:rsidRPr="00DA4107" w:rsidRDefault="005C3289" w:rsidP="007C21A4">
            <w:pPr>
              <w:spacing w:line="240" w:lineRule="auto"/>
              <w:jc w:val="left"/>
              <w:rPr>
                <w:rFonts w:cs="Gautami"/>
                <w:b/>
                <w:bCs/>
                <w:sz w:val="16"/>
                <w:szCs w:val="16"/>
              </w:rPr>
            </w:pPr>
            <w:r w:rsidRPr="00DA4107">
              <w:rPr>
                <w:rFonts w:cs="Gautami"/>
                <w:b/>
                <w:bCs/>
                <w:sz w:val="16"/>
                <w:szCs w:val="16"/>
              </w:rPr>
              <w:t>Current week</w:t>
            </w:r>
          </w:p>
        </w:tc>
        <w:tc>
          <w:tcPr>
            <w:tcW w:w="598" w:type="pct"/>
            <w:tcBorders>
              <w:top w:val="nil"/>
              <w:left w:val="nil"/>
              <w:bottom w:val="nil"/>
              <w:right w:val="nil"/>
            </w:tcBorders>
            <w:shd w:val="clear" w:color="000000" w:fill="DDD9C3"/>
            <w:noWrap/>
            <w:vAlign w:val="center"/>
            <w:hideMark/>
          </w:tcPr>
          <w:p w:rsidR="005C3289" w:rsidRDefault="005C3289" w:rsidP="007C21A4">
            <w:pPr>
              <w:jc w:val="center"/>
              <w:rPr>
                <w:rFonts w:cs="Gautami"/>
                <w:sz w:val="16"/>
                <w:szCs w:val="16"/>
              </w:rPr>
            </w:pPr>
            <w:r>
              <w:rPr>
                <w:rFonts w:cs="Gautami"/>
                <w:sz w:val="16"/>
                <w:szCs w:val="16"/>
              </w:rPr>
              <w:t>50</w:t>
            </w:r>
          </w:p>
        </w:tc>
        <w:tc>
          <w:tcPr>
            <w:tcW w:w="737" w:type="pct"/>
            <w:tcBorders>
              <w:top w:val="nil"/>
              <w:left w:val="nil"/>
              <w:bottom w:val="nil"/>
              <w:right w:val="nil"/>
            </w:tcBorders>
            <w:shd w:val="clear" w:color="000000" w:fill="DDD9C3"/>
            <w:noWrap/>
            <w:vAlign w:val="center"/>
            <w:hideMark/>
          </w:tcPr>
          <w:p w:rsidR="005C3289" w:rsidRDefault="005C3289" w:rsidP="007C21A4">
            <w:pPr>
              <w:jc w:val="center"/>
              <w:rPr>
                <w:rFonts w:cs="Gautami"/>
                <w:sz w:val="16"/>
                <w:szCs w:val="16"/>
              </w:rPr>
            </w:pPr>
            <w:r>
              <w:rPr>
                <w:rFonts w:cs="Gautami"/>
                <w:sz w:val="16"/>
                <w:szCs w:val="16"/>
              </w:rPr>
              <w:t>50</w:t>
            </w:r>
          </w:p>
        </w:tc>
        <w:tc>
          <w:tcPr>
            <w:tcW w:w="564" w:type="pct"/>
            <w:tcBorders>
              <w:top w:val="nil"/>
              <w:left w:val="nil"/>
              <w:bottom w:val="nil"/>
              <w:right w:val="nil"/>
            </w:tcBorders>
            <w:shd w:val="clear" w:color="000000" w:fill="DDD9C3"/>
            <w:noWrap/>
            <w:vAlign w:val="center"/>
            <w:hideMark/>
          </w:tcPr>
          <w:p w:rsidR="005C3289" w:rsidRDefault="005C3289" w:rsidP="007C21A4">
            <w:pPr>
              <w:jc w:val="center"/>
              <w:rPr>
                <w:rFonts w:cs="Gautami"/>
                <w:sz w:val="16"/>
                <w:szCs w:val="16"/>
              </w:rPr>
            </w:pPr>
            <w:r>
              <w:rPr>
                <w:rFonts w:cs="Gautami"/>
                <w:sz w:val="16"/>
                <w:szCs w:val="16"/>
              </w:rPr>
              <w:t>46</w:t>
            </w:r>
          </w:p>
        </w:tc>
        <w:tc>
          <w:tcPr>
            <w:tcW w:w="541" w:type="pct"/>
            <w:tcBorders>
              <w:top w:val="nil"/>
              <w:left w:val="nil"/>
              <w:bottom w:val="nil"/>
              <w:right w:val="nil"/>
            </w:tcBorders>
            <w:shd w:val="clear" w:color="000000" w:fill="DDD9C3"/>
            <w:noWrap/>
            <w:vAlign w:val="center"/>
            <w:hideMark/>
          </w:tcPr>
          <w:p w:rsidR="005C3289" w:rsidRDefault="005C3289" w:rsidP="007C21A4">
            <w:pPr>
              <w:jc w:val="center"/>
              <w:rPr>
                <w:rFonts w:cs="Gautami"/>
                <w:sz w:val="16"/>
                <w:szCs w:val="16"/>
              </w:rPr>
            </w:pPr>
            <w:r>
              <w:rPr>
                <w:rFonts w:cs="Gautami"/>
                <w:sz w:val="16"/>
                <w:szCs w:val="16"/>
              </w:rPr>
              <w:t>48</w:t>
            </w:r>
          </w:p>
        </w:tc>
        <w:tc>
          <w:tcPr>
            <w:tcW w:w="610" w:type="pct"/>
            <w:tcBorders>
              <w:top w:val="nil"/>
              <w:left w:val="nil"/>
              <w:bottom w:val="nil"/>
              <w:right w:val="nil"/>
            </w:tcBorders>
            <w:shd w:val="clear" w:color="000000" w:fill="DDD9C3"/>
            <w:noWrap/>
            <w:vAlign w:val="center"/>
            <w:hideMark/>
          </w:tcPr>
          <w:p w:rsidR="005C3289" w:rsidRDefault="005C3289" w:rsidP="007C21A4">
            <w:pPr>
              <w:jc w:val="center"/>
              <w:rPr>
                <w:rFonts w:cs="Gautami"/>
                <w:sz w:val="16"/>
                <w:szCs w:val="16"/>
              </w:rPr>
            </w:pPr>
            <w:r>
              <w:rPr>
                <w:rFonts w:cs="Gautami"/>
                <w:sz w:val="16"/>
                <w:szCs w:val="16"/>
              </w:rPr>
              <w:t>43</w:t>
            </w:r>
          </w:p>
        </w:tc>
      </w:tr>
      <w:tr w:rsidR="005C3289" w:rsidRPr="00DA4107" w:rsidTr="007C21A4">
        <w:trPr>
          <w:trHeight w:hRule="exact" w:val="454"/>
        </w:trPr>
        <w:tc>
          <w:tcPr>
            <w:tcW w:w="1950" w:type="pct"/>
            <w:tcBorders>
              <w:top w:val="nil"/>
              <w:left w:val="nil"/>
              <w:bottom w:val="nil"/>
              <w:right w:val="nil"/>
            </w:tcBorders>
            <w:shd w:val="clear" w:color="000000" w:fill="EEECE1"/>
            <w:noWrap/>
            <w:vAlign w:val="center"/>
            <w:hideMark/>
          </w:tcPr>
          <w:p w:rsidR="005C3289" w:rsidRPr="00DA4107" w:rsidRDefault="005C3289" w:rsidP="007C21A4">
            <w:pPr>
              <w:spacing w:line="240" w:lineRule="auto"/>
              <w:jc w:val="left"/>
              <w:rPr>
                <w:rFonts w:cs="Gautami"/>
                <w:b/>
                <w:bCs/>
                <w:sz w:val="16"/>
                <w:szCs w:val="16"/>
              </w:rPr>
            </w:pPr>
            <w:r w:rsidRPr="00DA4107">
              <w:rPr>
                <w:rFonts w:cs="Gautami"/>
                <w:b/>
                <w:bCs/>
                <w:sz w:val="16"/>
                <w:szCs w:val="16"/>
              </w:rPr>
              <w:t>12-13 financial YTD</w:t>
            </w:r>
          </w:p>
        </w:tc>
        <w:tc>
          <w:tcPr>
            <w:tcW w:w="598" w:type="pct"/>
            <w:tcBorders>
              <w:top w:val="nil"/>
              <w:left w:val="nil"/>
              <w:bottom w:val="nil"/>
              <w:right w:val="nil"/>
            </w:tcBorders>
            <w:shd w:val="clear" w:color="000000" w:fill="EEECE1"/>
            <w:noWrap/>
            <w:vAlign w:val="center"/>
            <w:hideMark/>
          </w:tcPr>
          <w:p w:rsidR="005C3289" w:rsidRDefault="005C3289" w:rsidP="007C21A4">
            <w:pPr>
              <w:jc w:val="center"/>
              <w:rPr>
                <w:rFonts w:cs="Gautami"/>
                <w:sz w:val="16"/>
                <w:szCs w:val="16"/>
              </w:rPr>
            </w:pPr>
            <w:r>
              <w:rPr>
                <w:rFonts w:cs="Gautami"/>
                <w:sz w:val="16"/>
                <w:szCs w:val="16"/>
              </w:rPr>
              <w:t>70</w:t>
            </w:r>
          </w:p>
        </w:tc>
        <w:tc>
          <w:tcPr>
            <w:tcW w:w="737" w:type="pct"/>
            <w:tcBorders>
              <w:top w:val="nil"/>
              <w:left w:val="nil"/>
              <w:bottom w:val="nil"/>
              <w:right w:val="nil"/>
            </w:tcBorders>
            <w:shd w:val="clear" w:color="000000" w:fill="EEECE1"/>
            <w:noWrap/>
            <w:vAlign w:val="center"/>
            <w:hideMark/>
          </w:tcPr>
          <w:p w:rsidR="005C3289" w:rsidRDefault="005C3289" w:rsidP="007C21A4">
            <w:pPr>
              <w:jc w:val="center"/>
              <w:rPr>
                <w:rFonts w:cs="Gautami"/>
                <w:sz w:val="16"/>
                <w:szCs w:val="16"/>
              </w:rPr>
            </w:pPr>
            <w:r>
              <w:rPr>
                <w:rFonts w:cs="Gautami"/>
                <w:sz w:val="16"/>
                <w:szCs w:val="16"/>
              </w:rPr>
              <w:t>56</w:t>
            </w:r>
          </w:p>
        </w:tc>
        <w:tc>
          <w:tcPr>
            <w:tcW w:w="564" w:type="pct"/>
            <w:tcBorders>
              <w:top w:val="nil"/>
              <w:left w:val="nil"/>
              <w:bottom w:val="nil"/>
              <w:right w:val="nil"/>
            </w:tcBorders>
            <w:shd w:val="clear" w:color="000000" w:fill="EEECE1"/>
            <w:noWrap/>
            <w:vAlign w:val="center"/>
            <w:hideMark/>
          </w:tcPr>
          <w:p w:rsidR="005C3289" w:rsidRDefault="005C3289" w:rsidP="007C21A4">
            <w:pPr>
              <w:jc w:val="center"/>
              <w:rPr>
                <w:rFonts w:cs="Gautami"/>
                <w:sz w:val="16"/>
                <w:szCs w:val="16"/>
              </w:rPr>
            </w:pPr>
            <w:r>
              <w:rPr>
                <w:rFonts w:cs="Gautami"/>
                <w:sz w:val="16"/>
                <w:szCs w:val="16"/>
              </w:rPr>
              <w:t>61</w:t>
            </w:r>
          </w:p>
        </w:tc>
        <w:tc>
          <w:tcPr>
            <w:tcW w:w="541" w:type="pct"/>
            <w:tcBorders>
              <w:top w:val="nil"/>
              <w:left w:val="nil"/>
              <w:bottom w:val="nil"/>
              <w:right w:val="nil"/>
            </w:tcBorders>
            <w:shd w:val="clear" w:color="000000" w:fill="EEECE1"/>
            <w:noWrap/>
            <w:vAlign w:val="center"/>
            <w:hideMark/>
          </w:tcPr>
          <w:p w:rsidR="005C3289" w:rsidRDefault="005C3289" w:rsidP="007C21A4">
            <w:pPr>
              <w:jc w:val="center"/>
              <w:rPr>
                <w:rFonts w:cs="Gautami"/>
                <w:sz w:val="16"/>
                <w:szCs w:val="16"/>
              </w:rPr>
            </w:pPr>
            <w:r>
              <w:rPr>
                <w:rFonts w:cs="Gautami"/>
                <w:sz w:val="16"/>
                <w:szCs w:val="16"/>
              </w:rPr>
              <w:t>73</w:t>
            </w:r>
          </w:p>
        </w:tc>
        <w:tc>
          <w:tcPr>
            <w:tcW w:w="610" w:type="pct"/>
            <w:tcBorders>
              <w:top w:val="nil"/>
              <w:left w:val="nil"/>
              <w:bottom w:val="nil"/>
              <w:right w:val="nil"/>
            </w:tcBorders>
            <w:shd w:val="clear" w:color="000000" w:fill="EEECE1"/>
            <w:noWrap/>
            <w:vAlign w:val="center"/>
            <w:hideMark/>
          </w:tcPr>
          <w:p w:rsidR="005C3289" w:rsidRDefault="005C3289" w:rsidP="007C21A4">
            <w:pPr>
              <w:jc w:val="center"/>
              <w:rPr>
                <w:rFonts w:cs="Gautami"/>
                <w:sz w:val="16"/>
                <w:szCs w:val="16"/>
              </w:rPr>
            </w:pPr>
            <w:r>
              <w:rPr>
                <w:rFonts w:cs="Gautami"/>
                <w:sz w:val="16"/>
                <w:szCs w:val="16"/>
              </w:rPr>
              <w:t>49</w:t>
            </w:r>
          </w:p>
        </w:tc>
      </w:tr>
      <w:tr w:rsidR="005C3289" w:rsidRPr="00DA4107" w:rsidTr="007C21A4">
        <w:trPr>
          <w:trHeight w:hRule="exact" w:val="454"/>
        </w:trPr>
        <w:tc>
          <w:tcPr>
            <w:tcW w:w="1950" w:type="pct"/>
            <w:tcBorders>
              <w:top w:val="nil"/>
              <w:left w:val="nil"/>
              <w:bottom w:val="single" w:sz="8" w:space="0" w:color="auto"/>
              <w:right w:val="nil"/>
            </w:tcBorders>
            <w:shd w:val="clear" w:color="000000" w:fill="DDD9C3"/>
            <w:noWrap/>
            <w:vAlign w:val="center"/>
            <w:hideMark/>
          </w:tcPr>
          <w:p w:rsidR="005C3289" w:rsidRPr="00DA4107" w:rsidRDefault="005C3289" w:rsidP="007C21A4">
            <w:pPr>
              <w:spacing w:line="240" w:lineRule="auto"/>
              <w:jc w:val="left"/>
              <w:rPr>
                <w:rFonts w:cs="Gautami"/>
                <w:b/>
                <w:bCs/>
                <w:sz w:val="16"/>
                <w:szCs w:val="16"/>
              </w:rPr>
            </w:pPr>
            <w:r w:rsidRPr="00DA4107">
              <w:rPr>
                <w:rFonts w:cs="Gautami"/>
                <w:b/>
                <w:bCs/>
                <w:sz w:val="16"/>
                <w:szCs w:val="16"/>
              </w:rPr>
              <w:t>13-14 financial YTD</w:t>
            </w:r>
          </w:p>
        </w:tc>
        <w:tc>
          <w:tcPr>
            <w:tcW w:w="598" w:type="pct"/>
            <w:tcBorders>
              <w:top w:val="nil"/>
              <w:left w:val="nil"/>
              <w:bottom w:val="single" w:sz="8" w:space="0" w:color="auto"/>
              <w:right w:val="nil"/>
            </w:tcBorders>
            <w:shd w:val="clear" w:color="000000" w:fill="DDD9C3"/>
            <w:noWrap/>
            <w:vAlign w:val="center"/>
            <w:hideMark/>
          </w:tcPr>
          <w:p w:rsidR="005C3289" w:rsidRDefault="005C3289" w:rsidP="007C21A4">
            <w:pPr>
              <w:jc w:val="center"/>
              <w:rPr>
                <w:rFonts w:cs="Gautami"/>
                <w:sz w:val="16"/>
                <w:szCs w:val="16"/>
              </w:rPr>
            </w:pPr>
            <w:r>
              <w:rPr>
                <w:rFonts w:cs="Gautami"/>
                <w:sz w:val="16"/>
                <w:szCs w:val="16"/>
              </w:rPr>
              <w:t>65</w:t>
            </w:r>
          </w:p>
        </w:tc>
        <w:tc>
          <w:tcPr>
            <w:tcW w:w="737" w:type="pct"/>
            <w:tcBorders>
              <w:top w:val="nil"/>
              <w:left w:val="nil"/>
              <w:bottom w:val="single" w:sz="8" w:space="0" w:color="auto"/>
              <w:right w:val="nil"/>
            </w:tcBorders>
            <w:shd w:val="clear" w:color="000000" w:fill="DDD9C3"/>
            <w:noWrap/>
            <w:vAlign w:val="center"/>
            <w:hideMark/>
          </w:tcPr>
          <w:p w:rsidR="005C3289" w:rsidRDefault="005C3289" w:rsidP="007C21A4">
            <w:pPr>
              <w:jc w:val="center"/>
              <w:rPr>
                <w:rFonts w:cs="Gautami"/>
                <w:sz w:val="16"/>
                <w:szCs w:val="16"/>
              </w:rPr>
            </w:pPr>
            <w:r>
              <w:rPr>
                <w:rFonts w:cs="Gautami"/>
                <w:sz w:val="16"/>
                <w:szCs w:val="16"/>
              </w:rPr>
              <w:t>55</w:t>
            </w:r>
          </w:p>
        </w:tc>
        <w:tc>
          <w:tcPr>
            <w:tcW w:w="564" w:type="pct"/>
            <w:tcBorders>
              <w:top w:val="nil"/>
              <w:left w:val="nil"/>
              <w:bottom w:val="single" w:sz="8" w:space="0" w:color="auto"/>
              <w:right w:val="nil"/>
            </w:tcBorders>
            <w:shd w:val="clear" w:color="000000" w:fill="DDD9C3"/>
            <w:noWrap/>
            <w:vAlign w:val="center"/>
            <w:hideMark/>
          </w:tcPr>
          <w:p w:rsidR="005C3289" w:rsidRDefault="005C3289" w:rsidP="007C21A4">
            <w:pPr>
              <w:jc w:val="center"/>
              <w:rPr>
                <w:rFonts w:cs="Gautami"/>
                <w:sz w:val="16"/>
                <w:szCs w:val="16"/>
              </w:rPr>
            </w:pPr>
            <w:r>
              <w:rPr>
                <w:rFonts w:cs="Gautami"/>
                <w:sz w:val="16"/>
                <w:szCs w:val="16"/>
              </w:rPr>
              <w:t>57</w:t>
            </w:r>
          </w:p>
        </w:tc>
        <w:tc>
          <w:tcPr>
            <w:tcW w:w="541" w:type="pct"/>
            <w:tcBorders>
              <w:top w:val="nil"/>
              <w:left w:val="nil"/>
              <w:bottom w:val="single" w:sz="8" w:space="0" w:color="auto"/>
              <w:right w:val="nil"/>
            </w:tcBorders>
            <w:shd w:val="clear" w:color="000000" w:fill="DDD9C3"/>
            <w:noWrap/>
            <w:vAlign w:val="center"/>
            <w:hideMark/>
          </w:tcPr>
          <w:p w:rsidR="005C3289" w:rsidRDefault="005C3289" w:rsidP="007C21A4">
            <w:pPr>
              <w:jc w:val="center"/>
              <w:rPr>
                <w:rFonts w:cs="Gautami"/>
                <w:sz w:val="16"/>
                <w:szCs w:val="16"/>
              </w:rPr>
            </w:pPr>
            <w:r>
              <w:rPr>
                <w:rFonts w:cs="Gautami"/>
                <w:sz w:val="16"/>
                <w:szCs w:val="16"/>
              </w:rPr>
              <w:t>76</w:t>
            </w:r>
          </w:p>
        </w:tc>
        <w:tc>
          <w:tcPr>
            <w:tcW w:w="610" w:type="pct"/>
            <w:tcBorders>
              <w:top w:val="nil"/>
              <w:left w:val="nil"/>
              <w:bottom w:val="single" w:sz="8" w:space="0" w:color="auto"/>
              <w:right w:val="nil"/>
            </w:tcBorders>
            <w:shd w:val="clear" w:color="000000" w:fill="DDD9C3"/>
            <w:noWrap/>
            <w:vAlign w:val="center"/>
            <w:hideMark/>
          </w:tcPr>
          <w:p w:rsidR="005C3289" w:rsidRDefault="005C3289" w:rsidP="007C21A4">
            <w:pPr>
              <w:jc w:val="center"/>
              <w:rPr>
                <w:rFonts w:cs="Gautami"/>
                <w:sz w:val="16"/>
                <w:szCs w:val="16"/>
              </w:rPr>
            </w:pPr>
            <w:r>
              <w:rPr>
                <w:rFonts w:cs="Gautami"/>
                <w:sz w:val="16"/>
                <w:szCs w:val="16"/>
              </w:rPr>
              <w:t>43</w:t>
            </w:r>
          </w:p>
        </w:tc>
      </w:tr>
    </w:tbl>
    <w:p w:rsidR="005C3289" w:rsidRDefault="005C3289" w:rsidP="005C3289">
      <w:pPr>
        <w:pStyle w:val="AERbodytext"/>
        <w:spacing w:before="120"/>
      </w:pPr>
    </w:p>
    <w:p w:rsidR="005C3289" w:rsidRPr="002D23B9" w:rsidRDefault="005C3289" w:rsidP="005C3289">
      <w:pPr>
        <w:pStyle w:val="AERbodytext"/>
        <w:spacing w:before="120"/>
      </w:pPr>
      <w:r w:rsidRPr="002D23B9">
        <w:lastRenderedPageBreak/>
        <w:t xml:space="preserve">Longer-term statistics tracking average spot market prices are available on the </w:t>
      </w:r>
      <w:hyperlink r:id="rId19" w:history="1">
        <w:r w:rsidRPr="002D23B9">
          <w:rPr>
            <w:rStyle w:val="Hyperlink"/>
            <w:color w:val="auto"/>
          </w:rPr>
          <w:t>AER website</w:t>
        </w:r>
      </w:hyperlink>
      <w:r w:rsidRPr="002D23B9">
        <w:t xml:space="preserve">. </w:t>
      </w:r>
    </w:p>
    <w:bookmarkEnd w:id="17"/>
    <w:bookmarkEnd w:id="18"/>
    <w:p w:rsidR="005C3289" w:rsidRPr="002D23B9" w:rsidRDefault="005C3289" w:rsidP="005C3289">
      <w:pPr>
        <w:pStyle w:val="Heading2"/>
        <w:rPr>
          <w:color w:val="auto"/>
        </w:rPr>
      </w:pPr>
      <w:r w:rsidRPr="002D23B9">
        <w:rPr>
          <w:color w:val="auto"/>
        </w:rPr>
        <w:t>Spot market price forecast variations</w:t>
      </w:r>
    </w:p>
    <w:p w:rsidR="005C3289" w:rsidRPr="002D23B9" w:rsidRDefault="005C3289" w:rsidP="005C3289">
      <w:pPr>
        <w:pStyle w:val="AERbodytext"/>
      </w:pPr>
      <w:r w:rsidRPr="002D23B9">
        <w:t xml:space="preserve">The AER is required under the National Electricity Rules to determine whether there is a significant variation between the forecast spot price published by the Australian Energy Market Operator (AEMO) and the actual spot price and, if there is a variation, state why the AER considers the significant price variation occurred. It is not unusual for there to be significant variations as demand forecasts vary and participants react to changing market conditions. A key focus is whether the actual price differs significantly from the forecast price either four or 12 hours ahead. These timeframes have been chosen as indicative of the time frames within which different technology types may be able to commit (intermediate plant within four hours and slow start plant within 12 hours). </w:t>
      </w:r>
    </w:p>
    <w:p w:rsidR="005C3289" w:rsidRPr="002D23B9" w:rsidRDefault="005C3289" w:rsidP="005C3289">
      <w:pPr>
        <w:pStyle w:val="AERbodytext"/>
      </w:pPr>
      <w:r>
        <w:t xml:space="preserve">There were 7 trading intervals throughout the week where actual prices varied significantly from forecasts. This compares to the weekly average in 2013 of 97 counts and the average in 2012 of 60. </w:t>
      </w:r>
      <w:r w:rsidRPr="002D23B9">
        <w:t xml:space="preserve">Reasons for the variations for this week are summarised in </w:t>
      </w:r>
      <w:r w:rsidR="00620A61">
        <w:fldChar w:fldCharType="begin"/>
      </w:r>
      <w:r w:rsidR="00620A61">
        <w:instrText xml:space="preserve"> REF _Ref384033476 \h </w:instrText>
      </w:r>
      <w:r w:rsidR="00620A61">
        <w:fldChar w:fldCharType="separate"/>
      </w:r>
      <w:r w:rsidR="005F3C47">
        <w:t xml:space="preserve">Table </w:t>
      </w:r>
      <w:r w:rsidR="005F3C47">
        <w:rPr>
          <w:noProof/>
        </w:rPr>
        <w:t>2</w:t>
      </w:r>
      <w:r w:rsidR="00620A61">
        <w:fldChar w:fldCharType="end"/>
      </w:r>
      <w:r w:rsidRPr="002D23B9">
        <w:t>. Based on AER analysis, the table summarises (as a percentage) the number of times when the actual price differs significantly from the forecast price four or 12 hours ahead and the major reason for that variation. The reasons are classified as availability (which means that there is a change in the total quantity or price offered for generation), demand forecast inaccuracy, changes to network capability or as a combination of factors (when there is not one dominant reason). An instance where both four and 12 hour ahead forecasts differ significantly from the actual price will be counted as two variations.</w:t>
      </w:r>
    </w:p>
    <w:p w:rsidR="005C3289" w:rsidRPr="002D23B9" w:rsidRDefault="00620A61" w:rsidP="00620A61">
      <w:pPr>
        <w:pStyle w:val="Caption"/>
      </w:pPr>
      <w:bookmarkStart w:id="22" w:name="_Ref384033476"/>
      <w:r>
        <w:t xml:space="preserve">Table </w:t>
      </w:r>
      <w:fldSimple w:instr=" SEQ Table \* ARABIC ">
        <w:r w:rsidR="005F3C47">
          <w:rPr>
            <w:noProof/>
          </w:rPr>
          <w:t>2</w:t>
        </w:r>
      </w:fldSimple>
      <w:bookmarkEnd w:id="22"/>
      <w:r w:rsidRPr="008E1C09">
        <w:t>: Reasons for variations between forecast and actual prices</w:t>
      </w:r>
    </w:p>
    <w:tbl>
      <w:tblPr>
        <w:tblW w:w="9300" w:type="dxa"/>
        <w:tblInd w:w="108" w:type="dxa"/>
        <w:tblLook w:val="04A0" w:firstRow="1" w:lastRow="0" w:firstColumn="1" w:lastColumn="0" w:noHBand="0" w:noVBand="1"/>
      </w:tblPr>
      <w:tblGrid>
        <w:gridCol w:w="3636"/>
        <w:gridCol w:w="1428"/>
        <w:gridCol w:w="1436"/>
        <w:gridCol w:w="1297"/>
        <w:gridCol w:w="1503"/>
      </w:tblGrid>
      <w:tr w:rsidR="005C3289" w:rsidRPr="00DA4107" w:rsidTr="007C21A4">
        <w:trPr>
          <w:trHeight w:hRule="exact" w:val="454"/>
        </w:trPr>
        <w:tc>
          <w:tcPr>
            <w:tcW w:w="3636" w:type="dxa"/>
            <w:tcBorders>
              <w:top w:val="single" w:sz="8" w:space="0" w:color="7BA0CD"/>
              <w:left w:val="nil"/>
              <w:bottom w:val="nil"/>
              <w:right w:val="nil"/>
            </w:tcBorders>
            <w:shd w:val="clear" w:color="000000" w:fill="4A442A"/>
            <w:noWrap/>
            <w:vAlign w:val="center"/>
            <w:hideMark/>
          </w:tcPr>
          <w:p w:rsidR="005C3289" w:rsidRPr="00DA4107" w:rsidRDefault="005C3289" w:rsidP="007C21A4">
            <w:pPr>
              <w:spacing w:line="240" w:lineRule="auto"/>
              <w:jc w:val="center"/>
              <w:rPr>
                <w:rFonts w:cs="Gautami"/>
                <w:color w:val="FFFFFF"/>
                <w:sz w:val="16"/>
                <w:szCs w:val="16"/>
              </w:rPr>
            </w:pPr>
            <w:r w:rsidRPr="00DA4107">
              <w:rPr>
                <w:rFonts w:cs="Gautami"/>
                <w:color w:val="FFFFFF"/>
                <w:sz w:val="16"/>
                <w:szCs w:val="16"/>
              </w:rPr>
              <w:t> </w:t>
            </w:r>
          </w:p>
        </w:tc>
        <w:tc>
          <w:tcPr>
            <w:tcW w:w="1428" w:type="dxa"/>
            <w:tcBorders>
              <w:top w:val="single" w:sz="8" w:space="0" w:color="7BA0CD"/>
              <w:left w:val="nil"/>
              <w:bottom w:val="nil"/>
              <w:right w:val="nil"/>
            </w:tcBorders>
            <w:shd w:val="clear" w:color="000000" w:fill="4A442A"/>
            <w:noWrap/>
            <w:vAlign w:val="center"/>
            <w:hideMark/>
          </w:tcPr>
          <w:p w:rsidR="005C3289" w:rsidRPr="00DA4107" w:rsidRDefault="005C3289" w:rsidP="007C21A4">
            <w:pPr>
              <w:spacing w:line="240" w:lineRule="auto"/>
              <w:ind w:firstLineChars="200" w:firstLine="320"/>
              <w:jc w:val="left"/>
              <w:rPr>
                <w:rFonts w:cs="Gautami"/>
                <w:color w:val="FFFFFF"/>
                <w:sz w:val="16"/>
                <w:szCs w:val="16"/>
              </w:rPr>
            </w:pPr>
            <w:r w:rsidRPr="00DA4107">
              <w:rPr>
                <w:rFonts w:cs="Gautami"/>
                <w:color w:val="FFFFFF"/>
                <w:sz w:val="16"/>
                <w:szCs w:val="16"/>
              </w:rPr>
              <w:t>Availability</w:t>
            </w:r>
          </w:p>
        </w:tc>
        <w:tc>
          <w:tcPr>
            <w:tcW w:w="1436" w:type="dxa"/>
            <w:tcBorders>
              <w:top w:val="single" w:sz="8" w:space="0" w:color="7BA0CD"/>
              <w:left w:val="nil"/>
              <w:bottom w:val="nil"/>
              <w:right w:val="nil"/>
            </w:tcBorders>
            <w:shd w:val="clear" w:color="000000" w:fill="4A442A"/>
            <w:noWrap/>
            <w:vAlign w:val="center"/>
            <w:hideMark/>
          </w:tcPr>
          <w:p w:rsidR="005C3289" w:rsidRPr="00DA4107" w:rsidRDefault="005C3289" w:rsidP="007C21A4">
            <w:pPr>
              <w:spacing w:line="240" w:lineRule="auto"/>
              <w:jc w:val="center"/>
              <w:rPr>
                <w:rFonts w:cs="Gautami"/>
                <w:color w:val="FFFFFF"/>
                <w:sz w:val="16"/>
                <w:szCs w:val="16"/>
              </w:rPr>
            </w:pPr>
            <w:r w:rsidRPr="00DA4107">
              <w:rPr>
                <w:rFonts w:cs="Gautami"/>
                <w:color w:val="FFFFFF"/>
                <w:sz w:val="16"/>
                <w:szCs w:val="16"/>
              </w:rPr>
              <w:t>Demand</w:t>
            </w:r>
          </w:p>
        </w:tc>
        <w:tc>
          <w:tcPr>
            <w:tcW w:w="1297" w:type="dxa"/>
            <w:tcBorders>
              <w:top w:val="single" w:sz="8" w:space="0" w:color="7BA0CD"/>
              <w:left w:val="nil"/>
              <w:bottom w:val="nil"/>
              <w:right w:val="nil"/>
            </w:tcBorders>
            <w:shd w:val="clear" w:color="000000" w:fill="4A442A"/>
            <w:noWrap/>
            <w:vAlign w:val="center"/>
            <w:hideMark/>
          </w:tcPr>
          <w:p w:rsidR="005C3289" w:rsidRPr="00DA4107" w:rsidRDefault="005C3289" w:rsidP="007C21A4">
            <w:pPr>
              <w:spacing w:line="240" w:lineRule="auto"/>
              <w:jc w:val="center"/>
              <w:rPr>
                <w:rFonts w:cs="Gautami"/>
                <w:color w:val="FFFFFF"/>
                <w:sz w:val="16"/>
                <w:szCs w:val="16"/>
              </w:rPr>
            </w:pPr>
            <w:r w:rsidRPr="00DA4107">
              <w:rPr>
                <w:rFonts w:cs="Gautami"/>
                <w:color w:val="FFFFFF"/>
                <w:sz w:val="16"/>
                <w:szCs w:val="16"/>
              </w:rPr>
              <w:t>Network</w:t>
            </w:r>
          </w:p>
        </w:tc>
        <w:tc>
          <w:tcPr>
            <w:tcW w:w="1503" w:type="dxa"/>
            <w:tcBorders>
              <w:top w:val="single" w:sz="8" w:space="0" w:color="7BA0CD"/>
              <w:left w:val="nil"/>
              <w:bottom w:val="nil"/>
              <w:right w:val="nil"/>
            </w:tcBorders>
            <w:shd w:val="clear" w:color="000000" w:fill="4A442A"/>
            <w:vAlign w:val="center"/>
            <w:hideMark/>
          </w:tcPr>
          <w:p w:rsidR="005C3289" w:rsidRPr="00DA4107" w:rsidRDefault="005C3289" w:rsidP="007C21A4">
            <w:pPr>
              <w:spacing w:line="240" w:lineRule="auto"/>
              <w:ind w:firstLineChars="100" w:firstLine="160"/>
              <w:jc w:val="left"/>
              <w:rPr>
                <w:rFonts w:cs="Gautami"/>
                <w:color w:val="FFFFFF"/>
                <w:sz w:val="16"/>
                <w:szCs w:val="16"/>
              </w:rPr>
            </w:pPr>
            <w:r w:rsidRPr="00DA4107">
              <w:rPr>
                <w:rFonts w:cs="Gautami"/>
                <w:color w:val="FFFFFF"/>
                <w:sz w:val="16"/>
                <w:szCs w:val="16"/>
              </w:rPr>
              <w:t>Combination</w:t>
            </w:r>
          </w:p>
        </w:tc>
      </w:tr>
      <w:tr w:rsidR="005C3289" w:rsidRPr="00DA4107" w:rsidTr="007C21A4">
        <w:trPr>
          <w:trHeight w:hRule="exact" w:val="454"/>
        </w:trPr>
        <w:tc>
          <w:tcPr>
            <w:tcW w:w="3636" w:type="dxa"/>
            <w:tcBorders>
              <w:top w:val="nil"/>
              <w:left w:val="nil"/>
              <w:bottom w:val="nil"/>
              <w:right w:val="nil"/>
            </w:tcBorders>
            <w:shd w:val="clear" w:color="000000" w:fill="DDD9C3"/>
            <w:noWrap/>
            <w:vAlign w:val="center"/>
            <w:hideMark/>
          </w:tcPr>
          <w:p w:rsidR="005C3289" w:rsidRPr="00DA4107" w:rsidRDefault="005C3289" w:rsidP="007C21A4">
            <w:pPr>
              <w:spacing w:line="240" w:lineRule="auto"/>
              <w:jc w:val="left"/>
              <w:rPr>
                <w:rFonts w:cs="Gautami"/>
                <w:b/>
                <w:bCs/>
                <w:sz w:val="16"/>
                <w:szCs w:val="16"/>
              </w:rPr>
            </w:pPr>
            <w:r w:rsidRPr="00DA4107">
              <w:rPr>
                <w:rFonts w:cs="Gautami"/>
                <w:b/>
                <w:bCs/>
                <w:sz w:val="16"/>
                <w:szCs w:val="16"/>
              </w:rPr>
              <w:t>% of total above forecast</w:t>
            </w:r>
          </w:p>
        </w:tc>
        <w:tc>
          <w:tcPr>
            <w:tcW w:w="1428" w:type="dxa"/>
            <w:tcBorders>
              <w:top w:val="nil"/>
              <w:left w:val="nil"/>
              <w:bottom w:val="nil"/>
              <w:right w:val="nil"/>
            </w:tcBorders>
            <w:shd w:val="clear" w:color="000000" w:fill="DDD9C3"/>
            <w:noWrap/>
            <w:vAlign w:val="center"/>
            <w:hideMark/>
          </w:tcPr>
          <w:p w:rsidR="005C3289" w:rsidRDefault="005C3289" w:rsidP="007C21A4">
            <w:pPr>
              <w:jc w:val="center"/>
              <w:rPr>
                <w:rFonts w:cs="Gautami"/>
                <w:sz w:val="16"/>
                <w:szCs w:val="16"/>
              </w:rPr>
            </w:pPr>
            <w:r>
              <w:rPr>
                <w:rFonts w:cs="Gautami"/>
                <w:sz w:val="16"/>
                <w:szCs w:val="16"/>
              </w:rPr>
              <w:t>8</w:t>
            </w:r>
          </w:p>
        </w:tc>
        <w:tc>
          <w:tcPr>
            <w:tcW w:w="1436" w:type="dxa"/>
            <w:tcBorders>
              <w:top w:val="nil"/>
              <w:left w:val="nil"/>
              <w:bottom w:val="nil"/>
              <w:right w:val="nil"/>
            </w:tcBorders>
            <w:shd w:val="clear" w:color="000000" w:fill="DDD9C3"/>
            <w:noWrap/>
            <w:vAlign w:val="center"/>
            <w:hideMark/>
          </w:tcPr>
          <w:p w:rsidR="005C3289" w:rsidRDefault="005C3289" w:rsidP="007C21A4">
            <w:pPr>
              <w:jc w:val="center"/>
              <w:rPr>
                <w:rFonts w:cs="Gautami"/>
                <w:sz w:val="16"/>
                <w:szCs w:val="16"/>
              </w:rPr>
            </w:pPr>
            <w:r>
              <w:rPr>
                <w:rFonts w:cs="Gautami"/>
                <w:sz w:val="16"/>
                <w:szCs w:val="16"/>
              </w:rPr>
              <w:t>0</w:t>
            </w:r>
          </w:p>
        </w:tc>
        <w:tc>
          <w:tcPr>
            <w:tcW w:w="1297" w:type="dxa"/>
            <w:tcBorders>
              <w:top w:val="nil"/>
              <w:left w:val="nil"/>
              <w:bottom w:val="nil"/>
              <w:right w:val="nil"/>
            </w:tcBorders>
            <w:shd w:val="clear" w:color="000000" w:fill="DDD9C3"/>
            <w:noWrap/>
            <w:vAlign w:val="center"/>
            <w:hideMark/>
          </w:tcPr>
          <w:p w:rsidR="005C3289" w:rsidRDefault="005C3289" w:rsidP="007C21A4">
            <w:pPr>
              <w:jc w:val="center"/>
              <w:rPr>
                <w:rFonts w:cs="Gautami"/>
                <w:sz w:val="16"/>
                <w:szCs w:val="16"/>
              </w:rPr>
            </w:pPr>
            <w:r>
              <w:rPr>
                <w:rFonts w:cs="Gautami"/>
                <w:sz w:val="16"/>
                <w:szCs w:val="16"/>
              </w:rPr>
              <w:t>0</w:t>
            </w:r>
          </w:p>
        </w:tc>
        <w:tc>
          <w:tcPr>
            <w:tcW w:w="1503" w:type="dxa"/>
            <w:tcBorders>
              <w:top w:val="nil"/>
              <w:left w:val="nil"/>
              <w:bottom w:val="nil"/>
              <w:right w:val="nil"/>
            </w:tcBorders>
            <w:shd w:val="clear" w:color="000000" w:fill="DDD9C3"/>
            <w:vAlign w:val="center"/>
            <w:hideMark/>
          </w:tcPr>
          <w:p w:rsidR="005C3289" w:rsidRDefault="005C3289" w:rsidP="007C21A4">
            <w:pPr>
              <w:jc w:val="center"/>
              <w:rPr>
                <w:rFonts w:cs="Gautami"/>
                <w:sz w:val="16"/>
                <w:szCs w:val="16"/>
              </w:rPr>
            </w:pPr>
            <w:r>
              <w:rPr>
                <w:rFonts w:cs="Gautami"/>
                <w:sz w:val="16"/>
                <w:szCs w:val="16"/>
              </w:rPr>
              <w:t>25</w:t>
            </w:r>
          </w:p>
        </w:tc>
      </w:tr>
      <w:tr w:rsidR="005C3289" w:rsidRPr="00DA4107" w:rsidTr="007C21A4">
        <w:trPr>
          <w:trHeight w:hRule="exact" w:val="454"/>
        </w:trPr>
        <w:tc>
          <w:tcPr>
            <w:tcW w:w="3636" w:type="dxa"/>
            <w:tcBorders>
              <w:top w:val="nil"/>
              <w:left w:val="nil"/>
              <w:bottom w:val="single" w:sz="8" w:space="0" w:color="auto"/>
              <w:right w:val="nil"/>
            </w:tcBorders>
            <w:shd w:val="clear" w:color="000000" w:fill="EEECE1"/>
            <w:noWrap/>
            <w:vAlign w:val="center"/>
            <w:hideMark/>
          </w:tcPr>
          <w:p w:rsidR="005C3289" w:rsidRPr="00DA4107" w:rsidRDefault="005C3289" w:rsidP="007C21A4">
            <w:pPr>
              <w:spacing w:line="240" w:lineRule="auto"/>
              <w:jc w:val="left"/>
              <w:rPr>
                <w:rFonts w:cs="Gautami"/>
                <w:b/>
                <w:bCs/>
                <w:sz w:val="16"/>
                <w:szCs w:val="16"/>
              </w:rPr>
            </w:pPr>
            <w:r w:rsidRPr="00DA4107">
              <w:rPr>
                <w:rFonts w:cs="Gautami"/>
                <w:b/>
                <w:bCs/>
                <w:sz w:val="16"/>
                <w:szCs w:val="16"/>
              </w:rPr>
              <w:t>% of total below forecast</w:t>
            </w:r>
          </w:p>
        </w:tc>
        <w:tc>
          <w:tcPr>
            <w:tcW w:w="1428" w:type="dxa"/>
            <w:tcBorders>
              <w:top w:val="nil"/>
              <w:left w:val="nil"/>
              <w:bottom w:val="single" w:sz="8" w:space="0" w:color="auto"/>
              <w:right w:val="nil"/>
            </w:tcBorders>
            <w:shd w:val="clear" w:color="000000" w:fill="EEECE1"/>
            <w:noWrap/>
            <w:vAlign w:val="center"/>
            <w:hideMark/>
          </w:tcPr>
          <w:p w:rsidR="005C3289" w:rsidRDefault="005C3289" w:rsidP="007C21A4">
            <w:pPr>
              <w:jc w:val="center"/>
              <w:rPr>
                <w:rFonts w:cs="Gautami"/>
                <w:sz w:val="16"/>
                <w:szCs w:val="16"/>
              </w:rPr>
            </w:pPr>
            <w:r>
              <w:rPr>
                <w:rFonts w:cs="Gautami"/>
                <w:sz w:val="16"/>
                <w:szCs w:val="16"/>
              </w:rPr>
              <w:t>0</w:t>
            </w:r>
          </w:p>
        </w:tc>
        <w:tc>
          <w:tcPr>
            <w:tcW w:w="1436" w:type="dxa"/>
            <w:tcBorders>
              <w:top w:val="nil"/>
              <w:left w:val="nil"/>
              <w:bottom w:val="single" w:sz="8" w:space="0" w:color="auto"/>
              <w:right w:val="nil"/>
            </w:tcBorders>
            <w:shd w:val="clear" w:color="000000" w:fill="EEECE1"/>
            <w:noWrap/>
            <w:vAlign w:val="center"/>
            <w:hideMark/>
          </w:tcPr>
          <w:p w:rsidR="005C3289" w:rsidRDefault="005C3289" w:rsidP="007C21A4">
            <w:pPr>
              <w:jc w:val="center"/>
              <w:rPr>
                <w:rFonts w:cs="Gautami"/>
                <w:sz w:val="16"/>
                <w:szCs w:val="16"/>
              </w:rPr>
            </w:pPr>
            <w:r>
              <w:rPr>
                <w:rFonts w:cs="Gautami"/>
                <w:sz w:val="16"/>
                <w:szCs w:val="16"/>
              </w:rPr>
              <w:t>67</w:t>
            </w:r>
          </w:p>
        </w:tc>
        <w:tc>
          <w:tcPr>
            <w:tcW w:w="1297" w:type="dxa"/>
            <w:tcBorders>
              <w:top w:val="nil"/>
              <w:left w:val="nil"/>
              <w:bottom w:val="single" w:sz="8" w:space="0" w:color="auto"/>
              <w:right w:val="nil"/>
            </w:tcBorders>
            <w:shd w:val="clear" w:color="000000" w:fill="EEECE1"/>
            <w:noWrap/>
            <w:vAlign w:val="center"/>
            <w:hideMark/>
          </w:tcPr>
          <w:p w:rsidR="005C3289" w:rsidRDefault="005C3289" w:rsidP="007C21A4">
            <w:pPr>
              <w:jc w:val="center"/>
              <w:rPr>
                <w:rFonts w:cs="Gautami"/>
                <w:sz w:val="16"/>
                <w:szCs w:val="16"/>
              </w:rPr>
            </w:pPr>
            <w:r>
              <w:rPr>
                <w:rFonts w:cs="Gautami"/>
                <w:sz w:val="16"/>
                <w:szCs w:val="16"/>
              </w:rPr>
              <w:t>0</w:t>
            </w:r>
          </w:p>
        </w:tc>
        <w:tc>
          <w:tcPr>
            <w:tcW w:w="1503" w:type="dxa"/>
            <w:tcBorders>
              <w:top w:val="nil"/>
              <w:left w:val="nil"/>
              <w:bottom w:val="single" w:sz="8" w:space="0" w:color="auto"/>
              <w:right w:val="nil"/>
            </w:tcBorders>
            <w:shd w:val="clear" w:color="000000" w:fill="EEECE1"/>
            <w:vAlign w:val="center"/>
            <w:hideMark/>
          </w:tcPr>
          <w:p w:rsidR="005C3289" w:rsidRDefault="005C3289" w:rsidP="007C21A4">
            <w:pPr>
              <w:jc w:val="center"/>
              <w:rPr>
                <w:rFonts w:cs="Gautami"/>
                <w:sz w:val="16"/>
                <w:szCs w:val="16"/>
              </w:rPr>
            </w:pPr>
            <w:r>
              <w:rPr>
                <w:rFonts w:cs="Gautami"/>
                <w:sz w:val="16"/>
                <w:szCs w:val="16"/>
              </w:rPr>
              <w:t>0</w:t>
            </w:r>
          </w:p>
        </w:tc>
      </w:tr>
      <w:tr w:rsidR="005C3289" w:rsidRPr="00535F84" w:rsidTr="007C21A4">
        <w:trPr>
          <w:gridAfter w:val="3"/>
          <w:wAfter w:w="4236" w:type="dxa"/>
          <w:trHeight w:val="255"/>
        </w:trPr>
        <w:tc>
          <w:tcPr>
            <w:tcW w:w="5064" w:type="dxa"/>
            <w:gridSpan w:val="2"/>
            <w:tcBorders>
              <w:top w:val="nil"/>
              <w:left w:val="nil"/>
              <w:bottom w:val="nil"/>
              <w:right w:val="nil"/>
            </w:tcBorders>
            <w:shd w:val="clear" w:color="auto" w:fill="auto"/>
            <w:noWrap/>
            <w:vAlign w:val="bottom"/>
            <w:hideMark/>
          </w:tcPr>
          <w:p w:rsidR="005C3289" w:rsidRPr="00535F84" w:rsidRDefault="005C3289" w:rsidP="007C21A4">
            <w:pPr>
              <w:spacing w:line="240" w:lineRule="auto"/>
              <w:jc w:val="left"/>
              <w:rPr>
                <w:rFonts w:ascii="Arial" w:hAnsi="Arial" w:cs="Arial"/>
                <w:sz w:val="14"/>
                <w:szCs w:val="14"/>
              </w:rPr>
            </w:pPr>
            <w:r w:rsidRPr="00535F84">
              <w:rPr>
                <w:rFonts w:ascii="Arial" w:hAnsi="Arial" w:cs="Arial"/>
                <w:sz w:val="14"/>
                <w:szCs w:val="14"/>
              </w:rPr>
              <w:t>Note: Due to rounding, the total may not be exactly 100 per cent</w:t>
            </w:r>
          </w:p>
        </w:tc>
      </w:tr>
    </w:tbl>
    <w:p w:rsidR="005C3289" w:rsidRPr="002D23B9" w:rsidRDefault="005C3289" w:rsidP="005C3289">
      <w:pPr>
        <w:pStyle w:val="Heading2"/>
        <w:rPr>
          <w:color w:val="auto"/>
        </w:rPr>
      </w:pPr>
      <w:r w:rsidRPr="002D23B9">
        <w:rPr>
          <w:color w:val="auto"/>
        </w:rPr>
        <w:t>Generation and bidding patterns</w:t>
      </w:r>
    </w:p>
    <w:p w:rsidR="005C3289" w:rsidRPr="002D23B9" w:rsidRDefault="005C3289" w:rsidP="005C3289">
      <w:pPr>
        <w:pStyle w:val="AERbodytext"/>
        <w:spacing w:before="120"/>
      </w:pPr>
      <w:r w:rsidRPr="002D23B9">
        <w:t xml:space="preserve">The AER reviews generator bidding as part of its market monitoring to better understand the drivers behind price variations. </w:t>
      </w:r>
      <w:r w:rsidR="00620A61">
        <w:fldChar w:fldCharType="begin"/>
      </w:r>
      <w:r w:rsidR="00620A61">
        <w:instrText xml:space="preserve"> REF _Ref384033730 \h </w:instrText>
      </w:r>
      <w:r w:rsidR="00620A61">
        <w:fldChar w:fldCharType="separate"/>
      </w:r>
      <w:r w:rsidR="005F3C47">
        <w:t xml:space="preserve">Figure </w:t>
      </w:r>
      <w:r w:rsidR="005F3C47">
        <w:rPr>
          <w:noProof/>
        </w:rPr>
        <w:t>3</w:t>
      </w:r>
      <w:r w:rsidR="00620A61">
        <w:fldChar w:fldCharType="end"/>
      </w:r>
      <w:r w:rsidRPr="002D23B9">
        <w:t xml:space="preserve"> to </w:t>
      </w:r>
      <w:r w:rsidR="00620A61">
        <w:fldChar w:fldCharType="begin"/>
      </w:r>
      <w:r w:rsidR="00620A61">
        <w:instrText xml:space="preserve"> REF _Ref384033738 \h </w:instrText>
      </w:r>
      <w:r w:rsidR="00620A61">
        <w:fldChar w:fldCharType="separate"/>
      </w:r>
      <w:r w:rsidR="005F3C47">
        <w:t xml:space="preserve">Figure </w:t>
      </w:r>
      <w:r w:rsidR="005F3C47">
        <w:rPr>
          <w:noProof/>
        </w:rPr>
        <w:t>7</w:t>
      </w:r>
      <w:r w:rsidR="00620A61">
        <w:fldChar w:fldCharType="end"/>
      </w:r>
      <w:r w:rsidRPr="002D23B9">
        <w:t xml:space="preserve"> show, the total generation dispatched and the amounts of capacity offered within certain price bands for each 30 minute trading interval in each region. </w:t>
      </w:r>
    </w:p>
    <w:p w:rsidR="00620A61" w:rsidRDefault="00620A61" w:rsidP="00620A61">
      <w:pPr>
        <w:pStyle w:val="Caption"/>
      </w:pPr>
      <w:bookmarkStart w:id="23" w:name="_Ref384033730"/>
      <w:r>
        <w:lastRenderedPageBreak/>
        <w:t xml:space="preserve">Figure </w:t>
      </w:r>
      <w:fldSimple w:instr=" SEQ Figure \* ARABIC ">
        <w:r w:rsidR="005F3C47">
          <w:rPr>
            <w:noProof/>
          </w:rPr>
          <w:t>3</w:t>
        </w:r>
      </w:fldSimple>
      <w:bookmarkEnd w:id="23"/>
      <w:r w:rsidRPr="00DD761E">
        <w:t>: Queensland generation and bidding patterns</w:t>
      </w:r>
    </w:p>
    <w:p w:rsidR="005C3289" w:rsidRPr="002D23B9" w:rsidRDefault="005C3289" w:rsidP="005C3289">
      <w:pPr>
        <w:pStyle w:val="AERbodytext"/>
      </w:pPr>
      <w:r>
        <w:rPr>
          <w:noProof/>
          <w:lang w:eastAsia="en-AU"/>
        </w:rPr>
        <w:drawing>
          <wp:inline distT="0" distB="0" distL="0" distR="0" wp14:anchorId="08A37D83" wp14:editId="0312CDF4">
            <wp:extent cx="5723255" cy="3902710"/>
            <wp:effectExtent l="0" t="0" r="0" b="2540"/>
            <wp:docPr id="9" name="Picture 9" descr="Figure 3 shows the total generation dispatched and the amounts of capacity bid in within certain price bands for each 30 minute trading interval in Queensland this week.&#10;Should you require a description of the data for the week under review, please email us at AERInquiry@aer.gov.au.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shows the total generation dispatched and the amounts of capacity bid in within certain price bands for each 30 minute trading interval in Queensland this week.&#10;Should you require a description of the data for the week under review, please email us at AERInquiry@aer.gov.au.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255" cy="3902710"/>
                    </a:xfrm>
                    <a:prstGeom prst="rect">
                      <a:avLst/>
                    </a:prstGeom>
                    <a:noFill/>
                    <a:ln>
                      <a:noFill/>
                    </a:ln>
                  </pic:spPr>
                </pic:pic>
              </a:graphicData>
            </a:graphic>
          </wp:inline>
        </w:drawing>
      </w:r>
    </w:p>
    <w:p w:rsidR="00620A61" w:rsidRDefault="00620A61" w:rsidP="00620A61">
      <w:pPr>
        <w:pStyle w:val="Caption"/>
      </w:pPr>
      <w:r>
        <w:t xml:space="preserve">Figure </w:t>
      </w:r>
      <w:fldSimple w:instr=" SEQ Figure \* ARABIC ">
        <w:r w:rsidR="005F3C47">
          <w:rPr>
            <w:noProof/>
          </w:rPr>
          <w:t>4</w:t>
        </w:r>
      </w:fldSimple>
      <w:r w:rsidRPr="000F2460">
        <w:t>: New South Wales generation and bidding patterns</w:t>
      </w:r>
    </w:p>
    <w:p w:rsidR="005C3289" w:rsidRPr="002D23B9" w:rsidRDefault="005C3289" w:rsidP="005C3289">
      <w:pPr>
        <w:pStyle w:val="AERbodytext"/>
      </w:pPr>
      <w:r>
        <w:rPr>
          <w:noProof/>
          <w:lang w:eastAsia="en-AU"/>
        </w:rPr>
        <w:drawing>
          <wp:inline distT="0" distB="0" distL="0" distR="0" wp14:anchorId="0373C86F" wp14:editId="0BDD060C">
            <wp:extent cx="5723255" cy="3902710"/>
            <wp:effectExtent l="0" t="0" r="0" b="2540"/>
            <wp:docPr id="10" name="Picture 10" descr="Figure 4 shows the total generation dispatched and the amounts of capacity bid in within certain price bands for each 30 minute trading interval in New South Wales this week.&#10;Should you require a description of the data for the week under review, please email us at AERInquiry@aer.gov.au.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shows the total generation dispatched and the amounts of capacity bid in within certain price bands for each 30 minute trading interval in New South Wales this week.&#10;Should you require a description of the data for the week under review, please email us at AERInquiry@aer.gov.au.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3255" cy="3902710"/>
                    </a:xfrm>
                    <a:prstGeom prst="rect">
                      <a:avLst/>
                    </a:prstGeom>
                    <a:noFill/>
                    <a:ln>
                      <a:noFill/>
                    </a:ln>
                  </pic:spPr>
                </pic:pic>
              </a:graphicData>
            </a:graphic>
          </wp:inline>
        </w:drawing>
      </w:r>
    </w:p>
    <w:p w:rsidR="005C3289" w:rsidRPr="002D23B9" w:rsidRDefault="00620A61" w:rsidP="00620A61">
      <w:pPr>
        <w:pStyle w:val="Caption"/>
      </w:pPr>
      <w:r>
        <w:lastRenderedPageBreak/>
        <w:t xml:space="preserve">Figure </w:t>
      </w:r>
      <w:fldSimple w:instr=" SEQ Figure \* ARABIC ">
        <w:r w:rsidR="005F3C47">
          <w:rPr>
            <w:noProof/>
          </w:rPr>
          <w:t>5</w:t>
        </w:r>
      </w:fldSimple>
      <w:r w:rsidRPr="00A63CDC">
        <w:t>: Victoria generation and bidding patterns</w:t>
      </w:r>
    </w:p>
    <w:p w:rsidR="005C3289" w:rsidRPr="002D23B9" w:rsidRDefault="005C3289" w:rsidP="005C3289">
      <w:pPr>
        <w:pStyle w:val="AERbodytext"/>
      </w:pPr>
      <w:r>
        <w:rPr>
          <w:noProof/>
          <w:lang w:eastAsia="en-AU"/>
        </w:rPr>
        <w:drawing>
          <wp:inline distT="0" distB="0" distL="0" distR="0" wp14:anchorId="393DBBEB" wp14:editId="105EF61E">
            <wp:extent cx="5723255" cy="3902710"/>
            <wp:effectExtent l="0" t="0" r="0" b="2540"/>
            <wp:docPr id="11" name="Picture 11" descr="Figure 5 shows the total generation dispatched and the amounts of capacity bid in within certain price bands for each 30 minute trading interval in Victoria this week.&#10;Should you require a description of the data for the week under review, please email us at AERInquiry@aer.gov.au.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4 shows the total generation dispatched and the amounts of capacity bid in within certain price bands for each 30 minute trading interval in Victoria this week.&#10;Should you require a description of the data for the week under review, please email us at AERInquiry@aer.gov.au.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255" cy="3902710"/>
                    </a:xfrm>
                    <a:prstGeom prst="rect">
                      <a:avLst/>
                    </a:prstGeom>
                    <a:noFill/>
                    <a:ln>
                      <a:noFill/>
                    </a:ln>
                  </pic:spPr>
                </pic:pic>
              </a:graphicData>
            </a:graphic>
          </wp:inline>
        </w:drawing>
      </w:r>
    </w:p>
    <w:p w:rsidR="005C3289" w:rsidRPr="002D23B9" w:rsidRDefault="00620A61" w:rsidP="00620A61">
      <w:pPr>
        <w:pStyle w:val="Caption"/>
      </w:pPr>
      <w:r>
        <w:t xml:space="preserve">Figure </w:t>
      </w:r>
      <w:fldSimple w:instr=" SEQ Figure \* ARABIC ">
        <w:r w:rsidR="005F3C47">
          <w:rPr>
            <w:noProof/>
          </w:rPr>
          <w:t>6</w:t>
        </w:r>
      </w:fldSimple>
      <w:r w:rsidRPr="001F5707">
        <w:t>: South Australia generation and bidding patterns</w:t>
      </w:r>
    </w:p>
    <w:p w:rsidR="005C3289" w:rsidRPr="002D23B9" w:rsidRDefault="005C3289" w:rsidP="005C3289">
      <w:pPr>
        <w:pStyle w:val="AERbodytext"/>
      </w:pPr>
      <w:r>
        <w:rPr>
          <w:noProof/>
          <w:lang w:eastAsia="en-AU"/>
        </w:rPr>
        <w:drawing>
          <wp:inline distT="0" distB="0" distL="0" distR="0" wp14:anchorId="261492B3" wp14:editId="7E4CA089">
            <wp:extent cx="5723255" cy="3910965"/>
            <wp:effectExtent l="0" t="0" r="0" b="0"/>
            <wp:docPr id="12" name="Picture 12" descr="Figure 6 shows the total generation dispatched and the amounts of capacity bid in within certain price bands for each 30 minute trading interval in South Australia this week.&#10;Should you require a description of the data for the week under review, please email us at AERInquiry@aer.gov.au.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5 shows the total generation dispatched and the amounts of capacity bid in within certain price bands for each 30 minute trading interval in South Australia this week.&#10;Should you require a description of the data for the week under review, please email us at AERInquiry@aer.gov.au.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3255" cy="3910965"/>
                    </a:xfrm>
                    <a:prstGeom prst="rect">
                      <a:avLst/>
                    </a:prstGeom>
                    <a:noFill/>
                    <a:ln>
                      <a:noFill/>
                    </a:ln>
                  </pic:spPr>
                </pic:pic>
              </a:graphicData>
            </a:graphic>
          </wp:inline>
        </w:drawing>
      </w:r>
    </w:p>
    <w:p w:rsidR="005C3289" w:rsidRPr="002D23B9" w:rsidRDefault="00620A61" w:rsidP="00620A61">
      <w:pPr>
        <w:pStyle w:val="Caption"/>
      </w:pPr>
      <w:bookmarkStart w:id="24" w:name="_Ref384033738"/>
      <w:r>
        <w:lastRenderedPageBreak/>
        <w:t xml:space="preserve">Figure </w:t>
      </w:r>
      <w:fldSimple w:instr=" SEQ Figure \* ARABIC ">
        <w:r w:rsidR="005F3C47">
          <w:rPr>
            <w:noProof/>
          </w:rPr>
          <w:t>7</w:t>
        </w:r>
      </w:fldSimple>
      <w:bookmarkEnd w:id="24"/>
      <w:r w:rsidRPr="00916C37">
        <w:t>: Tasmania generation and bidding patterns</w:t>
      </w:r>
    </w:p>
    <w:p w:rsidR="005C3289" w:rsidRPr="002D23B9" w:rsidRDefault="005C3289" w:rsidP="005C3289">
      <w:pPr>
        <w:pStyle w:val="AERbodytext"/>
      </w:pPr>
      <w:r>
        <w:rPr>
          <w:noProof/>
          <w:lang w:eastAsia="en-AU"/>
        </w:rPr>
        <w:drawing>
          <wp:inline distT="0" distB="0" distL="0" distR="0" wp14:anchorId="433D8847" wp14:editId="2AA1E974">
            <wp:extent cx="5723255" cy="3902710"/>
            <wp:effectExtent l="0" t="0" r="0" b="2540"/>
            <wp:docPr id="13" name="Picture 13" descr="Figure 7 shows the total generation dispatched and the amounts of capacity bid in within certain price bands for each 30 minute trading interval in Tasmania this week.&#10;Should you require a description of the data for the week under review, please email us at AERInquiry@aer.gov.au.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6 shows the total generation dispatched and the amounts of capacity bid in within certain price bands for each 30 minute trading interval in Tasmania this week.&#10;Should you require a description of the data for the week under review, please email us at AERInquiry@aer.gov.au.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3255" cy="3902710"/>
                    </a:xfrm>
                    <a:prstGeom prst="rect">
                      <a:avLst/>
                    </a:prstGeom>
                    <a:noFill/>
                    <a:ln>
                      <a:noFill/>
                    </a:ln>
                  </pic:spPr>
                </pic:pic>
              </a:graphicData>
            </a:graphic>
          </wp:inline>
        </w:drawing>
      </w:r>
    </w:p>
    <w:p w:rsidR="005C3289" w:rsidRPr="002D23B9" w:rsidRDefault="005C3289" w:rsidP="005C3289">
      <w:pPr>
        <w:pStyle w:val="Heading2"/>
        <w:rPr>
          <w:color w:val="auto"/>
        </w:rPr>
      </w:pPr>
      <w:r w:rsidRPr="002D23B9">
        <w:rPr>
          <w:color w:val="auto"/>
        </w:rPr>
        <w:t>Frequency control ancillary services markets</w:t>
      </w:r>
    </w:p>
    <w:p w:rsidR="005C3289" w:rsidRPr="002D23B9" w:rsidRDefault="005C3289" w:rsidP="005C3289">
      <w:pPr>
        <w:pStyle w:val="AERbodytext"/>
      </w:pPr>
      <w:r w:rsidRPr="002D23B9">
        <w:t xml:space="preserve">Frequency control ancillary services (FCAS) are required to maintain the frequency of the power system within the frequency operating standards. Raise and lower regulation services are used to address small fluctuations in frequency, while raise and lower contingency services are used to address larger frequency deviations. There are six contingency services: </w:t>
      </w:r>
    </w:p>
    <w:p w:rsidR="005C3289" w:rsidRPr="002D23B9" w:rsidRDefault="005C3289" w:rsidP="005C3289">
      <w:pPr>
        <w:pStyle w:val="Listbullet1"/>
      </w:pPr>
      <w:r w:rsidRPr="002D23B9">
        <w:rPr>
          <w:i/>
        </w:rPr>
        <w:t>fast services</w:t>
      </w:r>
      <w:r w:rsidRPr="002D23B9">
        <w:t>, which arrest a frequency deviation within the first 6 seconds of a contingent event (raise and lower 6 second)</w:t>
      </w:r>
    </w:p>
    <w:p w:rsidR="005C3289" w:rsidRPr="002D23B9" w:rsidRDefault="005C3289" w:rsidP="005C3289">
      <w:pPr>
        <w:pStyle w:val="Listbullet1"/>
      </w:pPr>
      <w:r w:rsidRPr="002D23B9">
        <w:rPr>
          <w:i/>
        </w:rPr>
        <w:t>slow services</w:t>
      </w:r>
      <w:r w:rsidRPr="002D23B9">
        <w:t>, which stabilise frequency deviations within 60 seconds of the event (raise and lower 60 second)</w:t>
      </w:r>
    </w:p>
    <w:p w:rsidR="005C3289" w:rsidRPr="002D23B9" w:rsidRDefault="005C3289" w:rsidP="005C3289">
      <w:pPr>
        <w:pStyle w:val="Listbullet1"/>
      </w:pPr>
      <w:r w:rsidRPr="002D23B9">
        <w:rPr>
          <w:i/>
        </w:rPr>
        <w:t>delayed services</w:t>
      </w:r>
      <w:r w:rsidRPr="002D23B9">
        <w:t>, which return the frequency to the normal operating band within 5 minutes (raise and lower 5 minute) at which time the five minute dispatch process will take effect.</w:t>
      </w:r>
    </w:p>
    <w:p w:rsidR="005C3289" w:rsidRPr="002D23B9" w:rsidRDefault="005C3289" w:rsidP="005C3289">
      <w:pPr>
        <w:pStyle w:val="AERbodytext"/>
      </w:pPr>
      <w:r w:rsidRPr="002D23B9">
        <w:t>The Electricity Rules stipulate that generators pay for raise contingency services and customers pay for lower contingency services. Regulation services are paid for on a “causer pays” basis determined every four weeks by AEMO.</w:t>
      </w:r>
    </w:p>
    <w:p w:rsidR="005C3289" w:rsidRDefault="005C3289" w:rsidP="005C3289">
      <w:pPr>
        <w:pStyle w:val="AERbodytext"/>
      </w:pPr>
      <w:r w:rsidRPr="0097000C">
        <w:t>The total cost of FCAS on the mainland for the week was $</w:t>
      </w:r>
      <w:r>
        <w:t>235 5</w:t>
      </w:r>
      <w:r w:rsidRPr="0097000C">
        <w:t xml:space="preserve">00 or less than 1 per cent of </w:t>
      </w:r>
      <w:r>
        <w:t>energy turnover on the mainland</w:t>
      </w:r>
      <w:r w:rsidRPr="002D23B9">
        <w:t xml:space="preserve">. </w:t>
      </w:r>
    </w:p>
    <w:p w:rsidR="005C3289" w:rsidRPr="00983BA2" w:rsidRDefault="005C3289" w:rsidP="005C3289">
      <w:pPr>
        <w:pStyle w:val="AERbodytext"/>
        <w:rPr>
          <w:b/>
          <w:i/>
        </w:rPr>
      </w:pPr>
      <w:r w:rsidRPr="0097000C">
        <w:t>The total cost of FCAS in Tasmania for the w</w:t>
      </w:r>
      <w:r>
        <w:t xml:space="preserve">eek was $22 000 </w:t>
      </w:r>
      <w:r w:rsidRPr="0097000C">
        <w:t xml:space="preserve">or less than 1 per cent of </w:t>
      </w:r>
      <w:r>
        <w:t xml:space="preserve">energy turnover </w:t>
      </w:r>
      <w:r w:rsidRPr="00DA4107">
        <w:t>in Tasmania.</w:t>
      </w:r>
    </w:p>
    <w:p w:rsidR="005C3289" w:rsidRPr="002D23B9" w:rsidRDefault="00620A61" w:rsidP="005C3289">
      <w:pPr>
        <w:pStyle w:val="AERbodytext"/>
      </w:pPr>
      <w:r>
        <w:fldChar w:fldCharType="begin"/>
      </w:r>
      <w:r>
        <w:instrText xml:space="preserve"> REF _Ref384033716 \h </w:instrText>
      </w:r>
      <w:r>
        <w:fldChar w:fldCharType="separate"/>
      </w:r>
      <w:r w:rsidR="005F3C47">
        <w:t xml:space="preserve">Figure </w:t>
      </w:r>
      <w:r w:rsidR="005F3C47">
        <w:rPr>
          <w:noProof/>
        </w:rPr>
        <w:t>8</w:t>
      </w:r>
      <w:r>
        <w:fldChar w:fldCharType="end"/>
      </w:r>
      <w:r w:rsidR="005C3289">
        <w:t xml:space="preserve"> shows the daily breakdown of cost for each FCAS for the NEM, as well as the average cost since the beginning of the previous financial year.</w:t>
      </w:r>
    </w:p>
    <w:p w:rsidR="005C3289" w:rsidRPr="002D23B9" w:rsidRDefault="00620A61" w:rsidP="00620A61">
      <w:pPr>
        <w:pStyle w:val="Caption"/>
      </w:pPr>
      <w:bookmarkStart w:id="25" w:name="_Ref384033716"/>
      <w:r>
        <w:lastRenderedPageBreak/>
        <w:t xml:space="preserve">Figure </w:t>
      </w:r>
      <w:fldSimple w:instr=" SEQ Figure \* ARABIC ">
        <w:r w:rsidR="005F3C47">
          <w:rPr>
            <w:noProof/>
          </w:rPr>
          <w:t>8</w:t>
        </w:r>
      </w:fldSimple>
      <w:bookmarkEnd w:id="25"/>
      <w:r w:rsidRPr="009946CB">
        <w:t>: Daily frequency control ancillary service cost</w:t>
      </w:r>
    </w:p>
    <w:p w:rsidR="005C3289" w:rsidRPr="002D23B9" w:rsidRDefault="005C3289" w:rsidP="005C3289">
      <w:pPr>
        <w:pStyle w:val="AERbodytext"/>
      </w:pPr>
      <w:r>
        <w:rPr>
          <w:noProof/>
          <w:lang w:eastAsia="en-AU"/>
        </w:rPr>
        <w:drawing>
          <wp:inline distT="0" distB="0" distL="0" distR="0" wp14:anchorId="237E0AF4" wp14:editId="357700B8">
            <wp:extent cx="5723255" cy="2849245"/>
            <wp:effectExtent l="0" t="0" r="0" b="8255"/>
            <wp:docPr id="14" name="Picture 14" descr="Figure 8 shows the daily breakdown of cost for each FCAS for the NEM, as well as the average cost since the beginning of the previous financial year.&#10;Should you require a description of the data for the week under review, please email us at  AERInquiry@aer.gov.au.        &#10;        &#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7 shows the daily breakdown of cost for each FCAS for the NEM, as well as the average cost since the beginning of the previous financial year.&#10;Should you require a description of the data for the week under review, please email us at  AERInquiry@aer.gov.au.        &#10;        &#10;        &#10;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3255" cy="2849245"/>
                    </a:xfrm>
                    <a:prstGeom prst="rect">
                      <a:avLst/>
                    </a:prstGeom>
                    <a:noFill/>
                    <a:ln>
                      <a:noFill/>
                    </a:ln>
                  </pic:spPr>
                </pic:pic>
              </a:graphicData>
            </a:graphic>
          </wp:inline>
        </w:drawing>
      </w:r>
    </w:p>
    <w:p w:rsidR="005C3289" w:rsidRPr="002D23B9" w:rsidRDefault="005C3289" w:rsidP="005C3289">
      <w:pPr>
        <w:pStyle w:val="Heading2"/>
        <w:rPr>
          <w:color w:val="auto"/>
        </w:rPr>
      </w:pPr>
      <w:r w:rsidRPr="002D23B9">
        <w:rPr>
          <w:color w:val="auto"/>
        </w:rPr>
        <w:t>Financial markets</w:t>
      </w:r>
    </w:p>
    <w:p w:rsidR="005C3289" w:rsidRPr="002D23B9" w:rsidRDefault="00620A61" w:rsidP="005C3289">
      <w:pPr>
        <w:pStyle w:val="AERbodytext"/>
      </w:pPr>
      <w:r>
        <w:fldChar w:fldCharType="begin"/>
      </w:r>
      <w:r>
        <w:instrText xml:space="preserve"> REF _Ref384033706 \h </w:instrText>
      </w:r>
      <w:r>
        <w:fldChar w:fldCharType="separate"/>
      </w:r>
      <w:r w:rsidR="005F3C47">
        <w:t xml:space="preserve">Figure </w:t>
      </w:r>
      <w:r w:rsidR="005F3C47">
        <w:rPr>
          <w:noProof/>
        </w:rPr>
        <w:t>9</w:t>
      </w:r>
      <w:r>
        <w:fldChar w:fldCharType="end"/>
      </w:r>
      <w:r w:rsidR="005C3289" w:rsidRPr="002D23B9">
        <w:t xml:space="preserve"> shows for all mainland regions the prices for base contracts (and total traded quantities for the week) for each quarter for the next four financial years. </w:t>
      </w:r>
    </w:p>
    <w:p w:rsidR="005C3289" w:rsidRPr="002D23B9" w:rsidRDefault="00620A61" w:rsidP="00620A61">
      <w:pPr>
        <w:pStyle w:val="Caption"/>
      </w:pPr>
      <w:bookmarkStart w:id="26" w:name="_Ref384033706"/>
      <w:r>
        <w:t xml:space="preserve">Figure </w:t>
      </w:r>
      <w:fldSimple w:instr=" SEQ Figure \* ARABIC ">
        <w:r w:rsidR="005F3C47">
          <w:rPr>
            <w:noProof/>
          </w:rPr>
          <w:t>9</w:t>
        </w:r>
      </w:fldSimple>
      <w:bookmarkEnd w:id="26"/>
      <w:r w:rsidRPr="00F238F1">
        <w:t>: Quarterly base future prices Q1 2014 – Q4 2017</w:t>
      </w:r>
    </w:p>
    <w:p w:rsidR="005C3289" w:rsidRPr="002D23B9" w:rsidRDefault="005C3289" w:rsidP="005C3289">
      <w:pPr>
        <w:pStyle w:val="AERbodytext"/>
        <w:keepNext/>
      </w:pPr>
      <w:r>
        <w:rPr>
          <w:noProof/>
          <w:lang w:eastAsia="en-AU"/>
        </w:rPr>
        <w:drawing>
          <wp:inline distT="0" distB="0" distL="0" distR="0" wp14:anchorId="199FCE91" wp14:editId="22C45816">
            <wp:extent cx="5731510" cy="2857500"/>
            <wp:effectExtent l="0" t="0" r="2540" b="0"/>
            <wp:docPr id="15" name="Picture 15" descr="Figure 9 shows for all mainland regions the prices for base contracts (and total traded quantities for the week) for each quarter for the next four financi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8 shows for all mainland regions the prices for base contracts (and total traded quantities for the week) for each quarter for the next four financial yea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857500"/>
                    </a:xfrm>
                    <a:prstGeom prst="rect">
                      <a:avLst/>
                    </a:prstGeom>
                    <a:noFill/>
                    <a:ln>
                      <a:noFill/>
                    </a:ln>
                  </pic:spPr>
                </pic:pic>
              </a:graphicData>
            </a:graphic>
          </wp:inline>
        </w:drawing>
      </w:r>
    </w:p>
    <w:p w:rsidR="005C3289" w:rsidRPr="002D23B9" w:rsidRDefault="005C3289" w:rsidP="005C3289">
      <w:pPr>
        <w:pStyle w:val="Sourceandnotes"/>
        <w:ind w:left="0" w:firstLine="0"/>
      </w:pPr>
      <w:r w:rsidRPr="002D23B9">
        <w:t xml:space="preserve">Source: </w:t>
      </w:r>
      <w:hyperlink r:id="rId27" w:history="1">
        <w:r w:rsidRPr="002D23B9">
          <w:rPr>
            <w:rStyle w:val="Hyperlink"/>
            <w:color w:val="auto"/>
          </w:rPr>
          <w:t>ASXEnergy.com.au</w:t>
        </w:r>
      </w:hyperlink>
    </w:p>
    <w:p w:rsidR="005C3289" w:rsidRPr="002D23B9" w:rsidRDefault="00620A61" w:rsidP="005C3289">
      <w:pPr>
        <w:pStyle w:val="AERbodytext"/>
      </w:pPr>
      <w:r>
        <w:fldChar w:fldCharType="begin"/>
      </w:r>
      <w:r>
        <w:instrText xml:space="preserve"> REF _Ref384033678 \h </w:instrText>
      </w:r>
      <w:r>
        <w:fldChar w:fldCharType="separate"/>
      </w:r>
      <w:r w:rsidR="005F3C47">
        <w:t xml:space="preserve">Figure </w:t>
      </w:r>
      <w:r w:rsidR="005F3C47">
        <w:rPr>
          <w:noProof/>
        </w:rPr>
        <w:t>10</w:t>
      </w:r>
      <w:r>
        <w:fldChar w:fldCharType="end"/>
      </w:r>
      <w:r w:rsidR="005C3289" w:rsidRPr="0097000C">
        <w:t xml:space="preserve"> shows how the price for each regional Quarter 1 2014 base contract has changed over the last 10 weeks (as well as the total number of trades each week). The closing quarter 1 2012 and quarter 1 2013 prices are also shown. The AER notes that data for South Australia is less reliable due to very low numbers of trades.</w:t>
      </w:r>
      <w:r w:rsidR="005C3289" w:rsidRPr="0097000C">
        <w:tab/>
      </w:r>
      <w:r w:rsidR="005C3289" w:rsidRPr="002D23B9">
        <w:t xml:space="preserve"> </w:t>
      </w:r>
    </w:p>
    <w:p w:rsidR="005C3289" w:rsidRPr="002D23B9" w:rsidRDefault="00620A61" w:rsidP="00620A61">
      <w:pPr>
        <w:pStyle w:val="Caption"/>
      </w:pPr>
      <w:bookmarkStart w:id="27" w:name="_Ref384033678"/>
      <w:r>
        <w:lastRenderedPageBreak/>
        <w:t xml:space="preserve">Figure </w:t>
      </w:r>
      <w:fldSimple w:instr=" SEQ Figure \* ARABIC ">
        <w:r w:rsidR="005F3C47">
          <w:rPr>
            <w:noProof/>
          </w:rPr>
          <w:t>10</w:t>
        </w:r>
      </w:fldSimple>
      <w:bookmarkEnd w:id="27"/>
      <w:r w:rsidRPr="001472AF">
        <w:t>: Price of Q1 2014 base contracts over the past 10 weeks (and the past 2 years)</w:t>
      </w:r>
    </w:p>
    <w:p w:rsidR="005C3289" w:rsidRPr="002D23B9" w:rsidRDefault="005C3289" w:rsidP="005C3289">
      <w:pPr>
        <w:pStyle w:val="AERbodytext"/>
      </w:pPr>
      <w:r>
        <w:rPr>
          <w:noProof/>
          <w:lang w:eastAsia="en-AU"/>
        </w:rPr>
        <w:drawing>
          <wp:inline distT="0" distB="0" distL="0" distR="0" wp14:anchorId="22DF363A" wp14:editId="68300923">
            <wp:extent cx="5723255" cy="2857500"/>
            <wp:effectExtent l="0" t="0" r="0" b="0"/>
            <wp:docPr id="16" name="Picture 16" descr="Figure 10 shows how the price for each regional Quarter 1 2014 base contract has changed over the last 10 weeks (as well as the total number of trades each week). The closing quarter 1 2012 and quarter 1 2013 prices are also shown. The AER notes that data for South Australia is less reliable due to very low numbers of tr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9 shows how the price for each regional Quarter 1 2014 base contract has changed over the last 10 weeks (as well as the total number of trades each week). The closing quarter 1 2012 and quarter 1 2013 prices are also shown. The AER notes that data for South Australia is less reliable due to very low numbers of trade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3255" cy="2857500"/>
                    </a:xfrm>
                    <a:prstGeom prst="rect">
                      <a:avLst/>
                    </a:prstGeom>
                    <a:noFill/>
                    <a:ln>
                      <a:noFill/>
                    </a:ln>
                  </pic:spPr>
                </pic:pic>
              </a:graphicData>
            </a:graphic>
          </wp:inline>
        </w:drawing>
      </w:r>
    </w:p>
    <w:p w:rsidR="005C3289" w:rsidRPr="002D23B9" w:rsidRDefault="005C3289" w:rsidP="005C3289">
      <w:pPr>
        <w:pStyle w:val="AERbodytext"/>
        <w:spacing w:before="120" w:after="120"/>
        <w:rPr>
          <w:sz w:val="16"/>
          <w:szCs w:val="16"/>
        </w:rPr>
      </w:pPr>
      <w:r w:rsidRPr="002D23B9">
        <w:rPr>
          <w:sz w:val="16"/>
          <w:szCs w:val="16"/>
        </w:rPr>
        <w:t>Note: Base contract prices are shown for each of the current week and the previous 9 weeks, with average prices shown for yearly periods 1 and 2 years prior to the current year</w:t>
      </w:r>
    </w:p>
    <w:p w:rsidR="005C3289" w:rsidRPr="002D23B9" w:rsidRDefault="005C3289" w:rsidP="005C3289">
      <w:pPr>
        <w:pStyle w:val="Sourceandnotes"/>
        <w:ind w:left="0" w:firstLine="0"/>
      </w:pPr>
      <w:r w:rsidRPr="002D23B9">
        <w:t xml:space="preserve">Source: </w:t>
      </w:r>
      <w:hyperlink r:id="rId29" w:history="1">
        <w:r w:rsidRPr="002D23B9">
          <w:rPr>
            <w:rStyle w:val="Hyperlink"/>
            <w:color w:val="auto"/>
          </w:rPr>
          <w:t>ASXEnergy.com.au</w:t>
        </w:r>
      </w:hyperlink>
    </w:p>
    <w:p w:rsidR="005C3289" w:rsidRPr="002D23B9" w:rsidRDefault="005C3289" w:rsidP="005C3289">
      <w:pPr>
        <w:pStyle w:val="AERbodytext"/>
      </w:pPr>
      <w:r w:rsidRPr="002D23B9">
        <w:t xml:space="preserve">Prices of other financial products (including longer-term price trends) are available in the </w:t>
      </w:r>
      <w:hyperlink r:id="rId30" w:history="1">
        <w:r w:rsidRPr="002D23B9">
          <w:rPr>
            <w:rStyle w:val="Hyperlink"/>
            <w:color w:val="auto"/>
          </w:rPr>
          <w:t>Performance of the Energy Sector</w:t>
        </w:r>
      </w:hyperlink>
      <w:r w:rsidRPr="002D23B9">
        <w:rPr>
          <w:rStyle w:val="Hyperlink"/>
          <w:color w:val="auto"/>
        </w:rPr>
        <w:t xml:space="preserve"> </w:t>
      </w:r>
      <w:r w:rsidRPr="002D23B9">
        <w:t>section of our website.</w:t>
      </w:r>
    </w:p>
    <w:p w:rsidR="005C3289" w:rsidRPr="002D23B9" w:rsidRDefault="00620A61" w:rsidP="005C3289">
      <w:pPr>
        <w:pStyle w:val="AERbodytext"/>
      </w:pPr>
      <w:r>
        <w:fldChar w:fldCharType="begin"/>
      </w:r>
      <w:r>
        <w:instrText xml:space="preserve"> REF _Ref384033661 \h </w:instrText>
      </w:r>
      <w:r>
        <w:fldChar w:fldCharType="separate"/>
      </w:r>
      <w:r w:rsidR="005F3C47">
        <w:t xml:space="preserve">Figure </w:t>
      </w:r>
      <w:r w:rsidR="005F3C47">
        <w:rPr>
          <w:noProof/>
        </w:rPr>
        <w:t>11</w:t>
      </w:r>
      <w:r>
        <w:fldChar w:fldCharType="end"/>
      </w:r>
      <w:r w:rsidR="005C3289" w:rsidRPr="0097000C">
        <w:t xml:space="preserve"> shows how the price for each regional Quarter 1 2014 cap contract has changed over the last 10 weeks (as well as the total number of trades each week). The closing quarter 1 2012 and quarter</w:t>
      </w:r>
      <w:r w:rsidR="005C3289">
        <w:t xml:space="preserve"> 1 2013 prices are also shown.</w:t>
      </w:r>
      <w:r w:rsidR="005C3289" w:rsidRPr="002D23B9">
        <w:t xml:space="preserve"> </w:t>
      </w:r>
    </w:p>
    <w:p w:rsidR="005C3289" w:rsidRPr="002D23B9" w:rsidRDefault="00620A61" w:rsidP="00620A61">
      <w:pPr>
        <w:pStyle w:val="Caption"/>
      </w:pPr>
      <w:bookmarkStart w:id="28" w:name="_Ref384033661"/>
      <w:r>
        <w:t xml:space="preserve">Figure </w:t>
      </w:r>
      <w:fldSimple w:instr=" SEQ Figure \* ARABIC ">
        <w:r w:rsidR="005F3C47">
          <w:rPr>
            <w:noProof/>
          </w:rPr>
          <w:t>11</w:t>
        </w:r>
      </w:fldSimple>
      <w:bookmarkEnd w:id="28"/>
      <w:r w:rsidRPr="003C5B48">
        <w:t>: Price of Q1 2014 cap contracts over the past 10 weeks (and the past 2 years)</w:t>
      </w:r>
    </w:p>
    <w:p w:rsidR="005C3289" w:rsidRPr="002D23B9" w:rsidRDefault="005C3289" w:rsidP="005C3289">
      <w:pPr>
        <w:pStyle w:val="AERbodytext"/>
      </w:pPr>
      <w:r>
        <w:rPr>
          <w:noProof/>
          <w:lang w:eastAsia="en-AU"/>
        </w:rPr>
        <w:drawing>
          <wp:inline distT="0" distB="0" distL="0" distR="0" wp14:anchorId="360D0820" wp14:editId="2CFD7CAE">
            <wp:extent cx="5731510" cy="2857500"/>
            <wp:effectExtent l="0" t="0" r="2540" b="0"/>
            <wp:docPr id="17" name="Picture 17" descr="Figure 11 shows how the price for each regional Quarter 1 2014 cap contract has changed over the last 10 weeks (as well as the total number of trades each week). The closing quarter 1 2012 and quarter 1 2013 prices are also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0 shows how the price for each regional Quarter 1 2014 cap contract has changed over the last 10 weeks (as well as the total number of trades each week). The closing quarter 1 2012 and quarter 1 2013 prices are also show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857500"/>
                    </a:xfrm>
                    <a:prstGeom prst="rect">
                      <a:avLst/>
                    </a:prstGeom>
                    <a:noFill/>
                    <a:ln>
                      <a:noFill/>
                    </a:ln>
                  </pic:spPr>
                </pic:pic>
              </a:graphicData>
            </a:graphic>
          </wp:inline>
        </w:drawing>
      </w:r>
    </w:p>
    <w:p w:rsidR="005C3289" w:rsidRPr="002D23B9" w:rsidRDefault="005C3289" w:rsidP="005C3289">
      <w:pPr>
        <w:pStyle w:val="Sourceandnotes"/>
        <w:spacing w:after="120"/>
      </w:pPr>
      <w:r w:rsidRPr="002D23B9">
        <w:t xml:space="preserve">Source: </w:t>
      </w:r>
      <w:hyperlink r:id="rId32" w:history="1">
        <w:r w:rsidRPr="002D23B9">
          <w:rPr>
            <w:rStyle w:val="Hyperlink"/>
            <w:color w:val="auto"/>
          </w:rPr>
          <w:t>ASXEnergy.com.au</w:t>
        </w:r>
      </w:hyperlink>
    </w:p>
    <w:p w:rsidR="005C3289" w:rsidRPr="002D23B9" w:rsidRDefault="005C3289" w:rsidP="005C3289">
      <w:pPr>
        <w:pStyle w:val="AERbodytext"/>
        <w:keepNext/>
        <w:spacing w:after="120" w:line="240" w:lineRule="auto"/>
        <w:jc w:val="left"/>
        <w:rPr>
          <w:b/>
        </w:rPr>
      </w:pPr>
      <w:r w:rsidRPr="002D23B9">
        <w:rPr>
          <w:b/>
        </w:rPr>
        <w:t>Australian Energy Regulator</w:t>
      </w:r>
    </w:p>
    <w:p w:rsidR="005C3289" w:rsidRPr="002D23B9" w:rsidRDefault="005C3289" w:rsidP="005C3289">
      <w:r>
        <w:rPr>
          <w:b/>
        </w:rPr>
        <w:t>March</w:t>
      </w:r>
      <w:r w:rsidRPr="002D23B9">
        <w:rPr>
          <w:b/>
        </w:rPr>
        <w:t xml:space="preserve"> </w:t>
      </w:r>
      <w:r>
        <w:rPr>
          <w:b/>
        </w:rPr>
        <w:t>2014</w:t>
      </w:r>
    </w:p>
    <w:p w:rsidR="00E96C5A" w:rsidRPr="002D23B9" w:rsidRDefault="00E96C5A" w:rsidP="005C3289">
      <w:pPr>
        <w:pStyle w:val="Heading2"/>
      </w:pPr>
    </w:p>
    <w:sectPr w:rsidR="00E96C5A" w:rsidRPr="002D23B9" w:rsidSect="00C71AAC">
      <w:footerReference w:type="default" r:id="rId33"/>
      <w:footerReference w:type="first" r:id="rId34"/>
      <w:type w:val="continuous"/>
      <w:pgSz w:w="11906" w:h="16838" w:code="9"/>
      <w:pgMar w:top="993" w:right="1440" w:bottom="993"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237" w:rsidRDefault="00E01237" w:rsidP="00BB640B">
      <w:r>
        <w:separator/>
      </w:r>
    </w:p>
    <w:p w:rsidR="00E01237" w:rsidRDefault="00E01237"/>
    <w:p w:rsidR="00E01237" w:rsidRDefault="00E01237"/>
  </w:endnote>
  <w:endnote w:type="continuationSeparator" w:id="0">
    <w:p w:rsidR="00E01237" w:rsidRDefault="00E01237" w:rsidP="00BB640B">
      <w:r>
        <w:continuationSeparator/>
      </w:r>
    </w:p>
    <w:p w:rsidR="00E01237" w:rsidRDefault="00E01237"/>
    <w:p w:rsidR="00E01237" w:rsidRDefault="00E012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panose1 w:val="02000500000000000000"/>
    <w:charset w:val="00"/>
    <w:family w:val="auto"/>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220" w:rsidRPr="00474107" w:rsidRDefault="00B97220" w:rsidP="006E199B">
    <w:pPr>
      <w:pStyle w:val="Footer"/>
      <w:jc w:val="center"/>
    </w:pPr>
    <w:r>
      <w:rPr>
        <w:rStyle w:val="PageNumber"/>
      </w:rPr>
      <w:fldChar w:fldCharType="begin"/>
    </w:r>
    <w:r>
      <w:rPr>
        <w:rStyle w:val="PageNumber"/>
      </w:rPr>
      <w:instrText xml:space="preserve"> PAGE </w:instrText>
    </w:r>
    <w:r>
      <w:rPr>
        <w:rStyle w:val="PageNumber"/>
      </w:rPr>
      <w:fldChar w:fldCharType="separate"/>
    </w:r>
    <w:r w:rsidR="00813D42">
      <w:rPr>
        <w:rStyle w:val="PageNumber"/>
        <w:noProof/>
      </w:rPr>
      <w:t>8</w:t>
    </w:r>
    <w:r>
      <w:rPr>
        <w:rStyle w:val="PageNumber"/>
      </w:rPr>
      <w:fldChar w:fldCharType="end"/>
    </w:r>
  </w:p>
  <w:p w:rsidR="00B97220" w:rsidRPr="0097256D" w:rsidRDefault="00B97220" w:rsidP="00BB5A97">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220" w:rsidRPr="00643F62" w:rsidRDefault="00B97220" w:rsidP="002633B4">
    <w:pPr>
      <w:pStyle w:val="Footer"/>
      <w:pBdr>
        <w:top w:val="single" w:sz="4" w:space="1" w:color="auto"/>
      </w:pBdr>
      <w:jc w:val="left"/>
      <w:rPr>
        <w:i/>
      </w:rPr>
    </w:pPr>
    <w:r w:rsidRPr="00A83DB5">
      <w:rPr>
        <w:i/>
      </w:rPr>
      <w:t>© Commo</w:t>
    </w:r>
    <w:r>
      <w:rPr>
        <w:i/>
      </w:rPr>
      <w:t>n</w:t>
    </w:r>
    <w:r w:rsidRPr="00A83DB5">
      <w:rPr>
        <w:i/>
      </w:rPr>
      <w:t>wealth of Australia</w:t>
    </w:r>
    <w:r>
      <w:rPr>
        <w:i/>
      </w:rPr>
      <w:tab/>
    </w:r>
    <w:r>
      <w:rPr>
        <w:i/>
      </w:rPr>
      <w:tab/>
      <w:t>AER reference: 39220 – D14/29969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237" w:rsidRDefault="00E01237" w:rsidP="00BB640B">
      <w:r>
        <w:separator/>
      </w:r>
    </w:p>
    <w:p w:rsidR="00E01237" w:rsidRPr="00DB6729" w:rsidRDefault="00E01237">
      <w:pPr>
        <w:rPr>
          <w:b/>
          <w:sz w:val="2"/>
        </w:rPr>
      </w:pPr>
    </w:p>
  </w:footnote>
  <w:footnote w:type="continuationSeparator" w:id="0">
    <w:p w:rsidR="00E01237" w:rsidRDefault="00E01237" w:rsidP="00BB640B">
      <w:r>
        <w:continuationSeparator/>
      </w:r>
    </w:p>
    <w:p w:rsidR="00E01237" w:rsidRDefault="00E01237"/>
  </w:footnote>
  <w:footnote w:id="1">
    <w:p w:rsidR="00B97220" w:rsidRDefault="00B97220" w:rsidP="00A24990">
      <w:pPr>
        <w:pStyle w:val="FootnoteText"/>
      </w:pPr>
      <w:r>
        <w:rPr>
          <w:rStyle w:val="FootnoteReference"/>
        </w:rPr>
        <w:footnoteRef/>
      </w:r>
      <w:r>
        <w:t xml:space="preserve"> This report can be found at </w:t>
      </w:r>
      <w:hyperlink r:id="rId1" w:history="1">
        <w:r w:rsidRPr="003C37AC">
          <w:rPr>
            <w:rStyle w:val="Hyperlink"/>
          </w:rPr>
          <w:t>http://www.aer.gov.au/node/18855</w:t>
        </w:r>
      </w:hyperlink>
      <w:r>
        <w:t xml:space="preserve"> </w:t>
      </w:r>
    </w:p>
  </w:footnote>
  <w:footnote w:id="2">
    <w:p w:rsidR="00B97220" w:rsidRDefault="00B97220">
      <w:pPr>
        <w:pStyle w:val="FootnoteText"/>
      </w:pPr>
      <w:r>
        <w:rPr>
          <w:rStyle w:val="FootnoteReference"/>
        </w:rPr>
        <w:footnoteRef/>
      </w:r>
      <w:r>
        <w:t xml:space="preserve"> A bid becomes “effective” when it is first included in the process that determines pricing and dispatch outcomes that is when it is first included in the national market dispatch formulation.</w:t>
      </w:r>
    </w:p>
  </w:footnote>
  <w:footnote w:id="3">
    <w:p w:rsidR="00B97220" w:rsidRDefault="00B97220" w:rsidP="006C1733">
      <w:pPr>
        <w:pStyle w:val="FootnoteText"/>
      </w:pPr>
      <w:r>
        <w:rPr>
          <w:rStyle w:val="FootnoteReference"/>
        </w:rPr>
        <w:footnoteRef/>
      </w:r>
      <w:r>
        <w:t xml:space="preserve"> A rebid volume of $100/MWh was chosen to represent a significant volume change.</w:t>
      </w:r>
    </w:p>
  </w:footnote>
  <w:footnote w:id="4">
    <w:p w:rsidR="00B97220" w:rsidRDefault="00B97220" w:rsidP="00CB4D3C">
      <w:pPr>
        <w:pStyle w:val="FootnoteText"/>
      </w:pPr>
      <w:r>
        <w:rPr>
          <w:rStyle w:val="FootnoteReference"/>
        </w:rPr>
        <w:footnoteRef/>
      </w:r>
      <w:r>
        <w:t xml:space="preserve"> Calculated as a simple average of the quantities rebid.</w:t>
      </w:r>
    </w:p>
  </w:footnote>
  <w:footnote w:id="5">
    <w:p w:rsidR="00B97220" w:rsidRDefault="00B97220" w:rsidP="00FC1E70">
      <w:pPr>
        <w:pStyle w:val="FootnoteText"/>
      </w:pPr>
      <w:r>
        <w:rPr>
          <w:rStyle w:val="FootnoteReference"/>
        </w:rPr>
        <w:footnoteRef/>
      </w:r>
      <w:r>
        <w:t xml:space="preserve"> One event was excluded </w:t>
      </w:r>
      <w:r w:rsidRPr="002F1F62">
        <w:t>where the rebids became effective more than 30 minutes before the high price.</w:t>
      </w:r>
    </w:p>
  </w:footnote>
  <w:footnote w:id="6">
    <w:p w:rsidR="00B97220" w:rsidRDefault="00B97220">
      <w:pPr>
        <w:pStyle w:val="FootnoteText"/>
      </w:pPr>
      <w:r>
        <w:rPr>
          <w:rStyle w:val="FootnoteReference"/>
        </w:rPr>
        <w:footnoteRef/>
      </w:r>
      <w:r>
        <w:t xml:space="preserve"> Fast start plant that is not already running </w:t>
      </w:r>
    </w:p>
  </w:footnote>
  <w:footnote w:id="7">
    <w:p w:rsidR="00B97220" w:rsidRDefault="00B97220" w:rsidP="00DF4A8B">
      <w:pPr>
        <w:pStyle w:val="FootnoteText"/>
      </w:pPr>
      <w:r>
        <w:rPr>
          <w:rStyle w:val="FootnoteReference"/>
        </w:rPr>
        <w:footnoteRef/>
      </w:r>
      <w:r>
        <w:t xml:space="preserve"> This is known as a Fast Start Inflexibility Profile – each fast start plant is required to nominate the time it will take to start, get to operating speed, synchronise  and get to minimum load.</w:t>
      </w:r>
    </w:p>
  </w:footnote>
  <w:footnote w:id="8">
    <w:p w:rsidR="00B97220" w:rsidRDefault="00B97220" w:rsidP="007C21A4">
      <w:pPr>
        <w:pStyle w:val="FootnoteText"/>
      </w:pPr>
      <w:r>
        <w:rPr>
          <w:rStyle w:val="FootnoteReference"/>
        </w:rPr>
        <w:footnoteRef/>
      </w:r>
      <w:r>
        <w:t xml:space="preserve"> CS Energy and InterGen each have control of 50% of the output of Callide Power</w:t>
      </w:r>
    </w:p>
  </w:footnote>
  <w:footnote w:id="9">
    <w:p w:rsidR="00B97220" w:rsidRDefault="00B97220" w:rsidP="009C6152">
      <w:pPr>
        <w:pStyle w:val="FootnoteText"/>
      </w:pPr>
      <w:r>
        <w:rPr>
          <w:rStyle w:val="FootnoteReference"/>
        </w:rPr>
        <w:footnoteRef/>
      </w:r>
      <w:r>
        <w:t xml:space="preserve"> CS Energy and InterGen each have control of 50% of the output of Callide Power</w:t>
      </w:r>
    </w:p>
    <w:p w:rsidR="00B97220" w:rsidRDefault="00B97220">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C0BDB"/>
    <w:multiLevelType w:val="hybridMultilevel"/>
    <w:tmpl w:val="1C0C71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D517D24"/>
    <w:multiLevelType w:val="hybridMultilevel"/>
    <w:tmpl w:val="66B0C8D4"/>
    <w:lvl w:ilvl="0" w:tplc="A05C8C1C">
      <w:start w:val="1"/>
      <w:numFmt w:val="lowerRoman"/>
      <w:pStyle w:val="Listnumbered3"/>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2">
    <w:nsid w:val="0E865313"/>
    <w:multiLevelType w:val="hybridMultilevel"/>
    <w:tmpl w:val="95B26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7854D0"/>
    <w:multiLevelType w:val="multilevel"/>
    <w:tmpl w:val="CEA2C31C"/>
    <w:lvl w:ilvl="0">
      <w:start w:val="1"/>
      <w:numFmt w:val="decimal"/>
      <w:pStyle w:val="NUMBEREDLIST"/>
      <w:lvlText w:val="%1."/>
      <w:lvlJc w:val="left"/>
      <w:pPr>
        <w:ind w:left="717" w:hanging="360"/>
      </w:pPr>
      <w:rPr>
        <w:rFonts w:hint="default"/>
        <w:b w:val="0"/>
        <w:bCs w:val="0"/>
        <w:i w:val="0"/>
        <w:iCs w:val="0"/>
        <w:caps w:val="0"/>
        <w:strike w:val="0"/>
        <w:dstrike w:val="0"/>
        <w:vanish w:val="0"/>
        <w:color w:val="000000"/>
        <w:spacing w:val="0"/>
        <w:kern w:val="0"/>
        <w:position w:val="0"/>
        <w:sz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nsid w:val="11ED734A"/>
    <w:multiLevelType w:val="hybridMultilevel"/>
    <w:tmpl w:val="3E049CA6"/>
    <w:lvl w:ilvl="0" w:tplc="1F0EC564">
      <w:start w:val="1"/>
      <w:numFmt w:val="decimal"/>
      <w:pStyle w:val="Heading4"/>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181D39B0"/>
    <w:multiLevelType w:val="hybridMultilevel"/>
    <w:tmpl w:val="CBE22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A3A6266"/>
    <w:multiLevelType w:val="multilevel"/>
    <w:tmpl w:val="B7E45CBA"/>
    <w:lvl w:ilvl="0">
      <w:start w:val="1"/>
      <w:numFmt w:val="bullet"/>
      <w:pStyle w:val="ListBullet22"/>
      <w:lvlText w:val=""/>
      <w:lvlJc w:val="left"/>
      <w:pPr>
        <w:ind w:left="717" w:hanging="360"/>
      </w:pPr>
      <w:rPr>
        <w:rFonts w:ascii="Wingdings" w:hAnsi="Wingdings" w:hint="default"/>
        <w:b w:val="0"/>
        <w:bCs w:val="0"/>
        <w:i w:val="0"/>
        <w:iCs w:val="0"/>
        <w:caps w:val="0"/>
        <w:strike w:val="0"/>
        <w:dstrike w:val="0"/>
        <w:vanish w:val="0"/>
        <w:color w:val="000000"/>
        <w:spacing w:val="0"/>
        <w:kern w:val="0"/>
        <w:position w:val="0"/>
        <w:sz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nsid w:val="20756977"/>
    <w:multiLevelType w:val="hybridMultilevel"/>
    <w:tmpl w:val="1AC8B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9351F95"/>
    <w:multiLevelType w:val="hybridMultilevel"/>
    <w:tmpl w:val="AE1043C8"/>
    <w:lvl w:ilvl="0" w:tplc="0C090005">
      <w:start w:val="1"/>
      <w:numFmt w:val="bullet"/>
      <w:pStyle w:val="Listbullet1"/>
      <w:lvlText w:val=""/>
      <w:lvlJc w:val="left"/>
      <w:pPr>
        <w:ind w:left="360" w:hanging="360"/>
      </w:pPr>
      <w:rPr>
        <w:rFonts w:ascii="Wingdings 2" w:hAnsi="Wingdings 2"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ind w:left="1843" w:hanging="360"/>
      </w:pPr>
      <w:rPr>
        <w:rFonts w:ascii="Courier New" w:hAnsi="Courier New" w:cs="Courier New" w:hint="default"/>
      </w:rPr>
    </w:lvl>
    <w:lvl w:ilvl="2" w:tplc="0C090005" w:tentative="1">
      <w:start w:val="1"/>
      <w:numFmt w:val="bullet"/>
      <w:lvlText w:val=""/>
      <w:lvlJc w:val="left"/>
      <w:pPr>
        <w:ind w:left="2563" w:hanging="360"/>
      </w:pPr>
      <w:rPr>
        <w:rFonts w:ascii="Wingdings" w:hAnsi="Wingdings" w:hint="default"/>
      </w:rPr>
    </w:lvl>
    <w:lvl w:ilvl="3" w:tplc="0C090001" w:tentative="1">
      <w:start w:val="1"/>
      <w:numFmt w:val="bullet"/>
      <w:lvlText w:val=""/>
      <w:lvlJc w:val="left"/>
      <w:pPr>
        <w:ind w:left="3283" w:hanging="360"/>
      </w:pPr>
      <w:rPr>
        <w:rFonts w:ascii="Symbol" w:hAnsi="Symbol" w:hint="default"/>
      </w:rPr>
    </w:lvl>
    <w:lvl w:ilvl="4" w:tplc="0C090003" w:tentative="1">
      <w:start w:val="1"/>
      <w:numFmt w:val="bullet"/>
      <w:lvlText w:val="o"/>
      <w:lvlJc w:val="left"/>
      <w:pPr>
        <w:ind w:left="4003" w:hanging="360"/>
      </w:pPr>
      <w:rPr>
        <w:rFonts w:ascii="Courier New" w:hAnsi="Courier New" w:cs="Courier New" w:hint="default"/>
      </w:rPr>
    </w:lvl>
    <w:lvl w:ilvl="5" w:tplc="0C090005" w:tentative="1">
      <w:start w:val="1"/>
      <w:numFmt w:val="bullet"/>
      <w:lvlText w:val=""/>
      <w:lvlJc w:val="left"/>
      <w:pPr>
        <w:ind w:left="4723" w:hanging="360"/>
      </w:pPr>
      <w:rPr>
        <w:rFonts w:ascii="Wingdings" w:hAnsi="Wingdings" w:hint="default"/>
      </w:rPr>
    </w:lvl>
    <w:lvl w:ilvl="6" w:tplc="0C090001" w:tentative="1">
      <w:start w:val="1"/>
      <w:numFmt w:val="bullet"/>
      <w:lvlText w:val=""/>
      <w:lvlJc w:val="left"/>
      <w:pPr>
        <w:ind w:left="5443" w:hanging="360"/>
      </w:pPr>
      <w:rPr>
        <w:rFonts w:ascii="Symbol" w:hAnsi="Symbol" w:hint="default"/>
      </w:rPr>
    </w:lvl>
    <w:lvl w:ilvl="7" w:tplc="0C090003" w:tentative="1">
      <w:start w:val="1"/>
      <w:numFmt w:val="bullet"/>
      <w:lvlText w:val="o"/>
      <w:lvlJc w:val="left"/>
      <w:pPr>
        <w:ind w:left="6163" w:hanging="360"/>
      </w:pPr>
      <w:rPr>
        <w:rFonts w:ascii="Courier New" w:hAnsi="Courier New" w:cs="Courier New" w:hint="default"/>
      </w:rPr>
    </w:lvl>
    <w:lvl w:ilvl="8" w:tplc="0C090005" w:tentative="1">
      <w:start w:val="1"/>
      <w:numFmt w:val="bullet"/>
      <w:lvlText w:val=""/>
      <w:lvlJc w:val="left"/>
      <w:pPr>
        <w:ind w:left="6883" w:hanging="360"/>
      </w:pPr>
      <w:rPr>
        <w:rFonts w:ascii="Wingdings" w:hAnsi="Wingdings" w:hint="default"/>
      </w:rPr>
    </w:lvl>
  </w:abstractNum>
  <w:abstractNum w:abstractNumId="10">
    <w:nsid w:val="2FB612CC"/>
    <w:multiLevelType w:val="multilevel"/>
    <w:tmpl w:val="1492709C"/>
    <w:styleLink w:val="AERHeadings"/>
    <w:lvl w:ilvl="0">
      <w:start w:val="1"/>
      <w:numFmt w:val="none"/>
      <w:pStyle w:val="AERHeading1new"/>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1">
    <w:nsid w:val="301B31FF"/>
    <w:multiLevelType w:val="multilevel"/>
    <w:tmpl w:val="6B1233FC"/>
    <w:lvl w:ilvl="0">
      <w:start w:val="1"/>
      <w:numFmt w:val="lowerLetter"/>
      <w:pStyle w:val="Listalpha"/>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2">
    <w:nsid w:val="3C721288"/>
    <w:multiLevelType w:val="multilevel"/>
    <w:tmpl w:val="1492709C"/>
    <w:numStyleLink w:val="AERHeadings"/>
  </w:abstractNum>
  <w:abstractNum w:abstractNumId="13">
    <w:nsid w:val="40500B42"/>
    <w:multiLevelType w:val="hybridMultilevel"/>
    <w:tmpl w:val="2F16BB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1487971"/>
    <w:multiLevelType w:val="multilevel"/>
    <w:tmpl w:val="B1FCC85A"/>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6559576E"/>
    <w:multiLevelType w:val="hybridMultilevel"/>
    <w:tmpl w:val="D8B2DEDA"/>
    <w:lvl w:ilvl="0" w:tplc="FFFFFFFF">
      <w:start w:val="91"/>
      <w:numFmt w:val="decimal"/>
      <w:pStyle w:val="ListBullet"/>
      <w:lvlText w:val="%1."/>
      <w:lvlJc w:val="left"/>
      <w:pPr>
        <w:tabs>
          <w:tab w:val="num" w:pos="360"/>
        </w:tabs>
        <w:ind w:left="360" w:hanging="36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6">
    <w:nsid w:val="76A149FE"/>
    <w:multiLevelType w:val="multilevel"/>
    <w:tmpl w:val="37867424"/>
    <w:lvl w:ilvl="0">
      <w:start w:val="1"/>
      <w:numFmt w:val="decimal"/>
      <w:lvlText w:val="%1"/>
      <w:lvlJc w:val="left"/>
      <w:pPr>
        <w:tabs>
          <w:tab w:val="num" w:pos="357"/>
        </w:tabs>
        <w:ind w:left="1071" w:hanging="1071"/>
      </w:pPr>
      <w:rPr>
        <w:rFonts w:hint="default"/>
        <w:i w:val="0"/>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357"/>
        </w:tabs>
        <w:ind w:left="357" w:hanging="357"/>
      </w:pPr>
      <w:rPr>
        <w:rFonts w:cs="Times New Roman"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1"/>
      <w:pStyle w:val="Figureheading"/>
      <w:lvlText w:val="Figure B.%4"/>
      <w:lvlJc w:val="left"/>
      <w:pPr>
        <w:tabs>
          <w:tab w:val="num" w:pos="1350"/>
        </w:tabs>
        <w:ind w:left="1350" w:hanging="357"/>
      </w:pPr>
      <w:rPr>
        <w:rFonts w:hint="default"/>
        <w:color w:val="365F91"/>
      </w:rPr>
    </w:lvl>
    <w:lvl w:ilvl="4">
      <w:start w:val="1"/>
      <w:numFmt w:val="decimal"/>
      <w:lvlRestart w:val="1"/>
      <w:lvlText w:val="Table %1.%5"/>
      <w:lvlJc w:val="left"/>
      <w:pPr>
        <w:tabs>
          <w:tab w:val="num" w:pos="357"/>
        </w:tabs>
        <w:ind w:left="357" w:hanging="35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6"/>
  </w:num>
  <w:num w:numId="2">
    <w:abstractNumId w:val="1"/>
  </w:num>
  <w:num w:numId="3">
    <w:abstractNumId w:val="11"/>
  </w:num>
  <w:num w:numId="4">
    <w:abstractNumId w:val="15"/>
  </w:num>
  <w:num w:numId="5">
    <w:abstractNumId w:val="16"/>
  </w:num>
  <w:num w:numId="6">
    <w:abstractNumId w:val="8"/>
  </w:num>
  <w:num w:numId="7">
    <w:abstractNumId w:val="10"/>
  </w:num>
  <w:num w:numId="8">
    <w:abstractNumId w:val="9"/>
  </w:num>
  <w:num w:numId="9">
    <w:abstractNumId w:val="14"/>
  </w:num>
  <w:num w:numId="10">
    <w:abstractNumId w:val="12"/>
  </w:num>
  <w:num w:numId="11">
    <w:abstractNumId w:val="5"/>
  </w:num>
  <w:num w:numId="12">
    <w:abstractNumId w:val="2"/>
  </w:num>
  <w:num w:numId="13">
    <w:abstractNumId w:val="6"/>
  </w:num>
  <w:num w:numId="14">
    <w:abstractNumId w:val="6"/>
  </w:num>
  <w:num w:numId="15">
    <w:abstractNumId w:val="6"/>
  </w:num>
  <w:num w:numId="16">
    <w:abstractNumId w:val="7"/>
  </w:num>
  <w:num w:numId="17">
    <w:abstractNumId w:val="4"/>
  </w:num>
  <w:num w:numId="18">
    <w:abstractNumId w:val="0"/>
  </w:num>
  <w:num w:numId="19">
    <w:abstractNumId w:val="4"/>
    <w:lvlOverride w:ilvl="0">
      <w:startOverride w:val="1"/>
    </w:lvlOverride>
  </w:num>
  <w:num w:numId="20">
    <w:abstractNumId w:val="4"/>
    <w:lvlOverride w:ilvl="0">
      <w:startOverride w:val="1"/>
    </w:lvlOverride>
  </w:num>
  <w:num w:numId="21">
    <w:abstractNumId w:val="4"/>
  </w:num>
  <w:num w:numId="22">
    <w:abstractNumId w:val="4"/>
  </w:num>
  <w:num w:numId="23">
    <w:abstractNumId w:val="4"/>
  </w:num>
  <w:num w:numId="24">
    <w:abstractNumId w:val="9"/>
  </w:num>
  <w:num w:numId="25">
    <w:abstractNumId w:val="9"/>
  </w:num>
  <w:num w:numId="26">
    <w:abstractNumId w:val="9"/>
  </w:num>
  <w:num w:numId="27">
    <w:abstractNumId w:val="3"/>
  </w:num>
  <w:num w:numId="28">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0"/>
  <w:styleLockTheme/>
  <w:styleLockQFSet/>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SCBRFS001\home$\coake\20140223 - 20140301 electricit (D2014-00029969).docx"/>
  </w:docVars>
  <w:rsids>
    <w:rsidRoot w:val="00F75FBD"/>
    <w:rsid w:val="00000080"/>
    <w:rsid w:val="000008B3"/>
    <w:rsid w:val="00000E09"/>
    <w:rsid w:val="000014D2"/>
    <w:rsid w:val="000014D6"/>
    <w:rsid w:val="00001615"/>
    <w:rsid w:val="000018CD"/>
    <w:rsid w:val="0000194E"/>
    <w:rsid w:val="00001E21"/>
    <w:rsid w:val="000020FB"/>
    <w:rsid w:val="00002445"/>
    <w:rsid w:val="0000263B"/>
    <w:rsid w:val="00002829"/>
    <w:rsid w:val="00002A76"/>
    <w:rsid w:val="00003522"/>
    <w:rsid w:val="000037A5"/>
    <w:rsid w:val="00003B0A"/>
    <w:rsid w:val="00003B8C"/>
    <w:rsid w:val="00003E22"/>
    <w:rsid w:val="000042AC"/>
    <w:rsid w:val="000042BF"/>
    <w:rsid w:val="00004578"/>
    <w:rsid w:val="0000468D"/>
    <w:rsid w:val="00004C36"/>
    <w:rsid w:val="00004F2E"/>
    <w:rsid w:val="00005725"/>
    <w:rsid w:val="000058C8"/>
    <w:rsid w:val="000059FF"/>
    <w:rsid w:val="000060ED"/>
    <w:rsid w:val="00006183"/>
    <w:rsid w:val="00006681"/>
    <w:rsid w:val="000066D8"/>
    <w:rsid w:val="000068EC"/>
    <w:rsid w:val="00006CB5"/>
    <w:rsid w:val="00006E66"/>
    <w:rsid w:val="000070D2"/>
    <w:rsid w:val="00007369"/>
    <w:rsid w:val="000078B2"/>
    <w:rsid w:val="00007A05"/>
    <w:rsid w:val="00007DEC"/>
    <w:rsid w:val="000107D8"/>
    <w:rsid w:val="00010C72"/>
    <w:rsid w:val="000110D5"/>
    <w:rsid w:val="000110E1"/>
    <w:rsid w:val="00011751"/>
    <w:rsid w:val="00011913"/>
    <w:rsid w:val="00011D51"/>
    <w:rsid w:val="000123AE"/>
    <w:rsid w:val="000125FD"/>
    <w:rsid w:val="0001277E"/>
    <w:rsid w:val="00012C8B"/>
    <w:rsid w:val="0001307D"/>
    <w:rsid w:val="000139F3"/>
    <w:rsid w:val="000140DC"/>
    <w:rsid w:val="00014B8F"/>
    <w:rsid w:val="00015040"/>
    <w:rsid w:val="00015050"/>
    <w:rsid w:val="000158C2"/>
    <w:rsid w:val="000161BF"/>
    <w:rsid w:val="000163E1"/>
    <w:rsid w:val="00016924"/>
    <w:rsid w:val="00016DEF"/>
    <w:rsid w:val="00016E96"/>
    <w:rsid w:val="0001758A"/>
    <w:rsid w:val="00017634"/>
    <w:rsid w:val="0001765C"/>
    <w:rsid w:val="00017C33"/>
    <w:rsid w:val="00017D29"/>
    <w:rsid w:val="00017FAD"/>
    <w:rsid w:val="000201DE"/>
    <w:rsid w:val="00020735"/>
    <w:rsid w:val="00020AD8"/>
    <w:rsid w:val="00020D13"/>
    <w:rsid w:val="000213B6"/>
    <w:rsid w:val="00021990"/>
    <w:rsid w:val="00021DE4"/>
    <w:rsid w:val="00021E37"/>
    <w:rsid w:val="000228BB"/>
    <w:rsid w:val="00022A77"/>
    <w:rsid w:val="00022C3F"/>
    <w:rsid w:val="000230E3"/>
    <w:rsid w:val="00023487"/>
    <w:rsid w:val="000237D8"/>
    <w:rsid w:val="000239ED"/>
    <w:rsid w:val="00023E55"/>
    <w:rsid w:val="00024271"/>
    <w:rsid w:val="00024853"/>
    <w:rsid w:val="00024B2D"/>
    <w:rsid w:val="00024B59"/>
    <w:rsid w:val="00024EC1"/>
    <w:rsid w:val="000250C9"/>
    <w:rsid w:val="00025D45"/>
    <w:rsid w:val="00025D86"/>
    <w:rsid w:val="00025E0E"/>
    <w:rsid w:val="0002602A"/>
    <w:rsid w:val="000260E2"/>
    <w:rsid w:val="000261A3"/>
    <w:rsid w:val="000261BD"/>
    <w:rsid w:val="0002626E"/>
    <w:rsid w:val="000267ED"/>
    <w:rsid w:val="00026C3A"/>
    <w:rsid w:val="0002765A"/>
    <w:rsid w:val="000277D9"/>
    <w:rsid w:val="0003080B"/>
    <w:rsid w:val="000308EE"/>
    <w:rsid w:val="0003098E"/>
    <w:rsid w:val="000318FE"/>
    <w:rsid w:val="00031D7C"/>
    <w:rsid w:val="000328A5"/>
    <w:rsid w:val="00032A56"/>
    <w:rsid w:val="00032F9C"/>
    <w:rsid w:val="00033163"/>
    <w:rsid w:val="0003339C"/>
    <w:rsid w:val="0003345D"/>
    <w:rsid w:val="00033718"/>
    <w:rsid w:val="00033B09"/>
    <w:rsid w:val="00033C16"/>
    <w:rsid w:val="00033EA7"/>
    <w:rsid w:val="0003429E"/>
    <w:rsid w:val="000343D1"/>
    <w:rsid w:val="00034438"/>
    <w:rsid w:val="0003457A"/>
    <w:rsid w:val="000345D3"/>
    <w:rsid w:val="00034DF0"/>
    <w:rsid w:val="0003512C"/>
    <w:rsid w:val="000356D8"/>
    <w:rsid w:val="0003586E"/>
    <w:rsid w:val="00035C9F"/>
    <w:rsid w:val="000360CE"/>
    <w:rsid w:val="0003617E"/>
    <w:rsid w:val="00036ABD"/>
    <w:rsid w:val="00037322"/>
    <w:rsid w:val="000373B0"/>
    <w:rsid w:val="00037541"/>
    <w:rsid w:val="000375EE"/>
    <w:rsid w:val="00037690"/>
    <w:rsid w:val="00040414"/>
    <w:rsid w:val="000407B3"/>
    <w:rsid w:val="00040C80"/>
    <w:rsid w:val="000413B3"/>
    <w:rsid w:val="000418D1"/>
    <w:rsid w:val="00041D07"/>
    <w:rsid w:val="00041E93"/>
    <w:rsid w:val="00041F63"/>
    <w:rsid w:val="0004221D"/>
    <w:rsid w:val="00042733"/>
    <w:rsid w:val="000427C9"/>
    <w:rsid w:val="00042ADE"/>
    <w:rsid w:val="00043705"/>
    <w:rsid w:val="00043981"/>
    <w:rsid w:val="00043CB9"/>
    <w:rsid w:val="00044126"/>
    <w:rsid w:val="00044279"/>
    <w:rsid w:val="00044445"/>
    <w:rsid w:val="00044949"/>
    <w:rsid w:val="00044A13"/>
    <w:rsid w:val="00044DAB"/>
    <w:rsid w:val="0004540E"/>
    <w:rsid w:val="000455A3"/>
    <w:rsid w:val="00045772"/>
    <w:rsid w:val="00045A65"/>
    <w:rsid w:val="00045BEA"/>
    <w:rsid w:val="00045E9E"/>
    <w:rsid w:val="00046146"/>
    <w:rsid w:val="00046779"/>
    <w:rsid w:val="00046986"/>
    <w:rsid w:val="00046A63"/>
    <w:rsid w:val="00046A92"/>
    <w:rsid w:val="00046C2F"/>
    <w:rsid w:val="000472F3"/>
    <w:rsid w:val="000474B8"/>
    <w:rsid w:val="00047ACD"/>
    <w:rsid w:val="00047CAE"/>
    <w:rsid w:val="00050394"/>
    <w:rsid w:val="00050A33"/>
    <w:rsid w:val="00050C6C"/>
    <w:rsid w:val="00050D72"/>
    <w:rsid w:val="0005109C"/>
    <w:rsid w:val="00051106"/>
    <w:rsid w:val="000513D6"/>
    <w:rsid w:val="000516EA"/>
    <w:rsid w:val="00051834"/>
    <w:rsid w:val="00051870"/>
    <w:rsid w:val="0005191C"/>
    <w:rsid w:val="00051B5E"/>
    <w:rsid w:val="00051CA2"/>
    <w:rsid w:val="00051EA8"/>
    <w:rsid w:val="00052936"/>
    <w:rsid w:val="000529F9"/>
    <w:rsid w:val="00052C31"/>
    <w:rsid w:val="000534E9"/>
    <w:rsid w:val="000536D4"/>
    <w:rsid w:val="00053909"/>
    <w:rsid w:val="0005475B"/>
    <w:rsid w:val="00054A64"/>
    <w:rsid w:val="00054D3E"/>
    <w:rsid w:val="00054D66"/>
    <w:rsid w:val="00054D80"/>
    <w:rsid w:val="00054DBF"/>
    <w:rsid w:val="00055154"/>
    <w:rsid w:val="00055C37"/>
    <w:rsid w:val="00056061"/>
    <w:rsid w:val="000561AA"/>
    <w:rsid w:val="00056BE0"/>
    <w:rsid w:val="00056C66"/>
    <w:rsid w:val="00056D5B"/>
    <w:rsid w:val="00057320"/>
    <w:rsid w:val="000579A7"/>
    <w:rsid w:val="000579EA"/>
    <w:rsid w:val="00057A0F"/>
    <w:rsid w:val="00057A4B"/>
    <w:rsid w:val="00060369"/>
    <w:rsid w:val="000603B4"/>
    <w:rsid w:val="00060A54"/>
    <w:rsid w:val="00060F51"/>
    <w:rsid w:val="00061148"/>
    <w:rsid w:val="00061B29"/>
    <w:rsid w:val="00061E11"/>
    <w:rsid w:val="00061EBD"/>
    <w:rsid w:val="00062054"/>
    <w:rsid w:val="00062147"/>
    <w:rsid w:val="000622F1"/>
    <w:rsid w:val="00062857"/>
    <w:rsid w:val="000629AD"/>
    <w:rsid w:val="00062A21"/>
    <w:rsid w:val="00062B23"/>
    <w:rsid w:val="00062B49"/>
    <w:rsid w:val="00062B82"/>
    <w:rsid w:val="00062F8C"/>
    <w:rsid w:val="0006305A"/>
    <w:rsid w:val="0006356C"/>
    <w:rsid w:val="0006376A"/>
    <w:rsid w:val="00063ACB"/>
    <w:rsid w:val="000647B2"/>
    <w:rsid w:val="00064CDD"/>
    <w:rsid w:val="00064E6D"/>
    <w:rsid w:val="00064F93"/>
    <w:rsid w:val="0006556C"/>
    <w:rsid w:val="000657BB"/>
    <w:rsid w:val="00065B65"/>
    <w:rsid w:val="0006638F"/>
    <w:rsid w:val="0006649B"/>
    <w:rsid w:val="000665EF"/>
    <w:rsid w:val="000673B3"/>
    <w:rsid w:val="00067C4A"/>
    <w:rsid w:val="00067D27"/>
    <w:rsid w:val="000702B7"/>
    <w:rsid w:val="000702BE"/>
    <w:rsid w:val="0007067D"/>
    <w:rsid w:val="00070B59"/>
    <w:rsid w:val="00070D16"/>
    <w:rsid w:val="00070F58"/>
    <w:rsid w:val="00071615"/>
    <w:rsid w:val="00071AB5"/>
    <w:rsid w:val="000722C8"/>
    <w:rsid w:val="000727FF"/>
    <w:rsid w:val="00072A1F"/>
    <w:rsid w:val="00073174"/>
    <w:rsid w:val="000733BC"/>
    <w:rsid w:val="0007368B"/>
    <w:rsid w:val="00073A99"/>
    <w:rsid w:val="00073E73"/>
    <w:rsid w:val="00073EDA"/>
    <w:rsid w:val="00073F8A"/>
    <w:rsid w:val="0007469B"/>
    <w:rsid w:val="00074F55"/>
    <w:rsid w:val="000751E3"/>
    <w:rsid w:val="0007589D"/>
    <w:rsid w:val="00075962"/>
    <w:rsid w:val="00075A85"/>
    <w:rsid w:val="00075BD0"/>
    <w:rsid w:val="00076198"/>
    <w:rsid w:val="00076423"/>
    <w:rsid w:val="000764FA"/>
    <w:rsid w:val="000766DD"/>
    <w:rsid w:val="00076D80"/>
    <w:rsid w:val="00076E5E"/>
    <w:rsid w:val="00077199"/>
    <w:rsid w:val="000773C3"/>
    <w:rsid w:val="00077915"/>
    <w:rsid w:val="00077F4C"/>
    <w:rsid w:val="00077FBB"/>
    <w:rsid w:val="000802F6"/>
    <w:rsid w:val="00080370"/>
    <w:rsid w:val="0008044E"/>
    <w:rsid w:val="0008060E"/>
    <w:rsid w:val="00081D6B"/>
    <w:rsid w:val="00081DB5"/>
    <w:rsid w:val="000820D3"/>
    <w:rsid w:val="00082328"/>
    <w:rsid w:val="00082339"/>
    <w:rsid w:val="000825A8"/>
    <w:rsid w:val="0008294E"/>
    <w:rsid w:val="00082AD7"/>
    <w:rsid w:val="00082F32"/>
    <w:rsid w:val="00082FA8"/>
    <w:rsid w:val="00083030"/>
    <w:rsid w:val="000831D9"/>
    <w:rsid w:val="00083645"/>
    <w:rsid w:val="00083947"/>
    <w:rsid w:val="00083B2D"/>
    <w:rsid w:val="00083C2C"/>
    <w:rsid w:val="00083F8B"/>
    <w:rsid w:val="000841E6"/>
    <w:rsid w:val="0008441E"/>
    <w:rsid w:val="00084457"/>
    <w:rsid w:val="000849AF"/>
    <w:rsid w:val="00085C27"/>
    <w:rsid w:val="00086527"/>
    <w:rsid w:val="00086713"/>
    <w:rsid w:val="0008677A"/>
    <w:rsid w:val="00086F1D"/>
    <w:rsid w:val="00087248"/>
    <w:rsid w:val="0008724D"/>
    <w:rsid w:val="00087974"/>
    <w:rsid w:val="00087AB5"/>
    <w:rsid w:val="00087B72"/>
    <w:rsid w:val="00087C4F"/>
    <w:rsid w:val="00087F3F"/>
    <w:rsid w:val="00090235"/>
    <w:rsid w:val="00090394"/>
    <w:rsid w:val="000906F1"/>
    <w:rsid w:val="0009081C"/>
    <w:rsid w:val="00090EF3"/>
    <w:rsid w:val="0009118A"/>
    <w:rsid w:val="0009132F"/>
    <w:rsid w:val="000913F5"/>
    <w:rsid w:val="00091B34"/>
    <w:rsid w:val="00091D14"/>
    <w:rsid w:val="00091D9E"/>
    <w:rsid w:val="00091DAD"/>
    <w:rsid w:val="00091F5F"/>
    <w:rsid w:val="00092C23"/>
    <w:rsid w:val="00093537"/>
    <w:rsid w:val="0009394B"/>
    <w:rsid w:val="00094268"/>
    <w:rsid w:val="00094494"/>
    <w:rsid w:val="0009492F"/>
    <w:rsid w:val="00095248"/>
    <w:rsid w:val="00095BD8"/>
    <w:rsid w:val="00095C39"/>
    <w:rsid w:val="00095FC2"/>
    <w:rsid w:val="0009623B"/>
    <w:rsid w:val="00096516"/>
    <w:rsid w:val="000967CF"/>
    <w:rsid w:val="00096A6C"/>
    <w:rsid w:val="00096F28"/>
    <w:rsid w:val="00097455"/>
    <w:rsid w:val="000A015D"/>
    <w:rsid w:val="000A040B"/>
    <w:rsid w:val="000A048C"/>
    <w:rsid w:val="000A0DBB"/>
    <w:rsid w:val="000A0E1A"/>
    <w:rsid w:val="000A105F"/>
    <w:rsid w:val="000A1153"/>
    <w:rsid w:val="000A1444"/>
    <w:rsid w:val="000A1E5F"/>
    <w:rsid w:val="000A21B3"/>
    <w:rsid w:val="000A241E"/>
    <w:rsid w:val="000A25BF"/>
    <w:rsid w:val="000A2744"/>
    <w:rsid w:val="000A2CFE"/>
    <w:rsid w:val="000A3580"/>
    <w:rsid w:val="000A3673"/>
    <w:rsid w:val="000A36AD"/>
    <w:rsid w:val="000A37F9"/>
    <w:rsid w:val="000A3942"/>
    <w:rsid w:val="000A394D"/>
    <w:rsid w:val="000A5343"/>
    <w:rsid w:val="000A555E"/>
    <w:rsid w:val="000A5694"/>
    <w:rsid w:val="000A57A6"/>
    <w:rsid w:val="000A6309"/>
    <w:rsid w:val="000A6520"/>
    <w:rsid w:val="000A695F"/>
    <w:rsid w:val="000A6AF2"/>
    <w:rsid w:val="000A6B8D"/>
    <w:rsid w:val="000A7A40"/>
    <w:rsid w:val="000A7DCC"/>
    <w:rsid w:val="000B006E"/>
    <w:rsid w:val="000B00AB"/>
    <w:rsid w:val="000B062A"/>
    <w:rsid w:val="000B0735"/>
    <w:rsid w:val="000B076A"/>
    <w:rsid w:val="000B0A17"/>
    <w:rsid w:val="000B11E9"/>
    <w:rsid w:val="000B1D95"/>
    <w:rsid w:val="000B1D98"/>
    <w:rsid w:val="000B1F1D"/>
    <w:rsid w:val="000B21DF"/>
    <w:rsid w:val="000B2280"/>
    <w:rsid w:val="000B27B0"/>
    <w:rsid w:val="000B35D6"/>
    <w:rsid w:val="000B3D0E"/>
    <w:rsid w:val="000B410E"/>
    <w:rsid w:val="000B430C"/>
    <w:rsid w:val="000B4334"/>
    <w:rsid w:val="000B4610"/>
    <w:rsid w:val="000B4684"/>
    <w:rsid w:val="000B4779"/>
    <w:rsid w:val="000B4834"/>
    <w:rsid w:val="000B4936"/>
    <w:rsid w:val="000B4E11"/>
    <w:rsid w:val="000B5491"/>
    <w:rsid w:val="000B5C06"/>
    <w:rsid w:val="000B61D2"/>
    <w:rsid w:val="000B6221"/>
    <w:rsid w:val="000B6448"/>
    <w:rsid w:val="000B68A7"/>
    <w:rsid w:val="000B6E40"/>
    <w:rsid w:val="000B6F9C"/>
    <w:rsid w:val="000B76DA"/>
    <w:rsid w:val="000B7FD3"/>
    <w:rsid w:val="000C0570"/>
    <w:rsid w:val="000C0A21"/>
    <w:rsid w:val="000C1618"/>
    <w:rsid w:val="000C179C"/>
    <w:rsid w:val="000C17CF"/>
    <w:rsid w:val="000C1BBA"/>
    <w:rsid w:val="000C2649"/>
    <w:rsid w:val="000C26A7"/>
    <w:rsid w:val="000C2907"/>
    <w:rsid w:val="000C29D4"/>
    <w:rsid w:val="000C2C4F"/>
    <w:rsid w:val="000C2E64"/>
    <w:rsid w:val="000C3095"/>
    <w:rsid w:val="000C3290"/>
    <w:rsid w:val="000C3780"/>
    <w:rsid w:val="000C3CF9"/>
    <w:rsid w:val="000C4083"/>
    <w:rsid w:val="000C419B"/>
    <w:rsid w:val="000C43E3"/>
    <w:rsid w:val="000C4615"/>
    <w:rsid w:val="000C4616"/>
    <w:rsid w:val="000C475D"/>
    <w:rsid w:val="000C47A8"/>
    <w:rsid w:val="000C4CDB"/>
    <w:rsid w:val="000C4DC3"/>
    <w:rsid w:val="000C561A"/>
    <w:rsid w:val="000C5D23"/>
    <w:rsid w:val="000C5D88"/>
    <w:rsid w:val="000C606D"/>
    <w:rsid w:val="000C6180"/>
    <w:rsid w:val="000C65BC"/>
    <w:rsid w:val="000C6CB7"/>
    <w:rsid w:val="000C7A04"/>
    <w:rsid w:val="000C7C7F"/>
    <w:rsid w:val="000D00E7"/>
    <w:rsid w:val="000D0286"/>
    <w:rsid w:val="000D039C"/>
    <w:rsid w:val="000D03EF"/>
    <w:rsid w:val="000D08EF"/>
    <w:rsid w:val="000D0913"/>
    <w:rsid w:val="000D0EA2"/>
    <w:rsid w:val="000D0FD5"/>
    <w:rsid w:val="000D16BF"/>
    <w:rsid w:val="000D18F3"/>
    <w:rsid w:val="000D1AD4"/>
    <w:rsid w:val="000D1FAC"/>
    <w:rsid w:val="000D205E"/>
    <w:rsid w:val="000D28FF"/>
    <w:rsid w:val="000D2EC0"/>
    <w:rsid w:val="000D3510"/>
    <w:rsid w:val="000D3769"/>
    <w:rsid w:val="000D3D28"/>
    <w:rsid w:val="000D436F"/>
    <w:rsid w:val="000D50E4"/>
    <w:rsid w:val="000D556E"/>
    <w:rsid w:val="000D5859"/>
    <w:rsid w:val="000D59C5"/>
    <w:rsid w:val="000D5C60"/>
    <w:rsid w:val="000D621F"/>
    <w:rsid w:val="000D6338"/>
    <w:rsid w:val="000D635D"/>
    <w:rsid w:val="000D6784"/>
    <w:rsid w:val="000D752A"/>
    <w:rsid w:val="000D756E"/>
    <w:rsid w:val="000E0716"/>
    <w:rsid w:val="000E0840"/>
    <w:rsid w:val="000E0AF5"/>
    <w:rsid w:val="000E0BF3"/>
    <w:rsid w:val="000E0C64"/>
    <w:rsid w:val="000E11C5"/>
    <w:rsid w:val="000E1281"/>
    <w:rsid w:val="000E1820"/>
    <w:rsid w:val="000E1B63"/>
    <w:rsid w:val="000E1CFC"/>
    <w:rsid w:val="000E2529"/>
    <w:rsid w:val="000E28AA"/>
    <w:rsid w:val="000E2AD1"/>
    <w:rsid w:val="000E2F62"/>
    <w:rsid w:val="000E2F80"/>
    <w:rsid w:val="000E373B"/>
    <w:rsid w:val="000E3EF2"/>
    <w:rsid w:val="000E442F"/>
    <w:rsid w:val="000E47C8"/>
    <w:rsid w:val="000E4A4E"/>
    <w:rsid w:val="000E4BF3"/>
    <w:rsid w:val="000E4EC1"/>
    <w:rsid w:val="000E4F4D"/>
    <w:rsid w:val="000E54B5"/>
    <w:rsid w:val="000E5716"/>
    <w:rsid w:val="000E574E"/>
    <w:rsid w:val="000E59B0"/>
    <w:rsid w:val="000E5AF9"/>
    <w:rsid w:val="000E5E3F"/>
    <w:rsid w:val="000E5F32"/>
    <w:rsid w:val="000E613E"/>
    <w:rsid w:val="000E61F7"/>
    <w:rsid w:val="000E6708"/>
    <w:rsid w:val="000E670F"/>
    <w:rsid w:val="000E68D4"/>
    <w:rsid w:val="000E6A08"/>
    <w:rsid w:val="000E6CEE"/>
    <w:rsid w:val="000E6CF1"/>
    <w:rsid w:val="000E70EF"/>
    <w:rsid w:val="000E7327"/>
    <w:rsid w:val="000E76AC"/>
    <w:rsid w:val="000E78F3"/>
    <w:rsid w:val="000E7DE1"/>
    <w:rsid w:val="000F01AE"/>
    <w:rsid w:val="000F0828"/>
    <w:rsid w:val="000F0869"/>
    <w:rsid w:val="000F0BB8"/>
    <w:rsid w:val="000F0C89"/>
    <w:rsid w:val="000F0DE0"/>
    <w:rsid w:val="000F0F7C"/>
    <w:rsid w:val="000F0FCE"/>
    <w:rsid w:val="000F0FEE"/>
    <w:rsid w:val="000F1295"/>
    <w:rsid w:val="000F1E4C"/>
    <w:rsid w:val="000F1E82"/>
    <w:rsid w:val="000F2052"/>
    <w:rsid w:val="000F23F1"/>
    <w:rsid w:val="000F2731"/>
    <w:rsid w:val="000F2EFE"/>
    <w:rsid w:val="000F2F96"/>
    <w:rsid w:val="000F2FFD"/>
    <w:rsid w:val="000F3331"/>
    <w:rsid w:val="000F3533"/>
    <w:rsid w:val="000F3781"/>
    <w:rsid w:val="000F3B28"/>
    <w:rsid w:val="000F3D90"/>
    <w:rsid w:val="000F3F37"/>
    <w:rsid w:val="000F47A4"/>
    <w:rsid w:val="000F480F"/>
    <w:rsid w:val="000F4845"/>
    <w:rsid w:val="000F4A6C"/>
    <w:rsid w:val="000F4AB7"/>
    <w:rsid w:val="000F51C8"/>
    <w:rsid w:val="000F524C"/>
    <w:rsid w:val="000F5692"/>
    <w:rsid w:val="000F5E10"/>
    <w:rsid w:val="000F5FCE"/>
    <w:rsid w:val="000F6848"/>
    <w:rsid w:val="000F6C9E"/>
    <w:rsid w:val="000F6F6F"/>
    <w:rsid w:val="000F7093"/>
    <w:rsid w:val="000F713F"/>
    <w:rsid w:val="000F790F"/>
    <w:rsid w:val="000F7CC6"/>
    <w:rsid w:val="000F7FFD"/>
    <w:rsid w:val="00100118"/>
    <w:rsid w:val="00100299"/>
    <w:rsid w:val="001005F2"/>
    <w:rsid w:val="00100D7C"/>
    <w:rsid w:val="00100E58"/>
    <w:rsid w:val="0010112B"/>
    <w:rsid w:val="0010147A"/>
    <w:rsid w:val="00101A4E"/>
    <w:rsid w:val="00101A76"/>
    <w:rsid w:val="00101FB4"/>
    <w:rsid w:val="00102195"/>
    <w:rsid w:val="001026C8"/>
    <w:rsid w:val="0010334F"/>
    <w:rsid w:val="001038E3"/>
    <w:rsid w:val="00103911"/>
    <w:rsid w:val="00103B70"/>
    <w:rsid w:val="00103CD7"/>
    <w:rsid w:val="00103E59"/>
    <w:rsid w:val="00103F58"/>
    <w:rsid w:val="0010434C"/>
    <w:rsid w:val="00104DC5"/>
    <w:rsid w:val="001051D2"/>
    <w:rsid w:val="001055D7"/>
    <w:rsid w:val="00105AD5"/>
    <w:rsid w:val="00105E53"/>
    <w:rsid w:val="00106BFC"/>
    <w:rsid w:val="00106ED7"/>
    <w:rsid w:val="00107208"/>
    <w:rsid w:val="0010735F"/>
    <w:rsid w:val="00107771"/>
    <w:rsid w:val="001077A8"/>
    <w:rsid w:val="00107900"/>
    <w:rsid w:val="00107DAB"/>
    <w:rsid w:val="001102A2"/>
    <w:rsid w:val="00110AC8"/>
    <w:rsid w:val="00110AD8"/>
    <w:rsid w:val="00111345"/>
    <w:rsid w:val="00111A2C"/>
    <w:rsid w:val="00111D4C"/>
    <w:rsid w:val="00111DB3"/>
    <w:rsid w:val="00112145"/>
    <w:rsid w:val="0011224D"/>
    <w:rsid w:val="0011274A"/>
    <w:rsid w:val="00112875"/>
    <w:rsid w:val="00112CE9"/>
    <w:rsid w:val="00112FA3"/>
    <w:rsid w:val="00112FAD"/>
    <w:rsid w:val="001131A0"/>
    <w:rsid w:val="00113510"/>
    <w:rsid w:val="001135A8"/>
    <w:rsid w:val="001136D8"/>
    <w:rsid w:val="00113CC2"/>
    <w:rsid w:val="00114256"/>
    <w:rsid w:val="0011426F"/>
    <w:rsid w:val="00114459"/>
    <w:rsid w:val="0011452E"/>
    <w:rsid w:val="00114583"/>
    <w:rsid w:val="00114759"/>
    <w:rsid w:val="00114D18"/>
    <w:rsid w:val="001152D7"/>
    <w:rsid w:val="00115549"/>
    <w:rsid w:val="0011593C"/>
    <w:rsid w:val="00116380"/>
    <w:rsid w:val="001163F2"/>
    <w:rsid w:val="00116526"/>
    <w:rsid w:val="001165D7"/>
    <w:rsid w:val="00116BB7"/>
    <w:rsid w:val="00116E85"/>
    <w:rsid w:val="00117401"/>
    <w:rsid w:val="001174B7"/>
    <w:rsid w:val="00117B58"/>
    <w:rsid w:val="00117E78"/>
    <w:rsid w:val="00120682"/>
    <w:rsid w:val="0012073E"/>
    <w:rsid w:val="001207F7"/>
    <w:rsid w:val="00120E17"/>
    <w:rsid w:val="00120EF0"/>
    <w:rsid w:val="00120F4B"/>
    <w:rsid w:val="0012126C"/>
    <w:rsid w:val="00121727"/>
    <w:rsid w:val="00121AD5"/>
    <w:rsid w:val="00122036"/>
    <w:rsid w:val="001222FB"/>
    <w:rsid w:val="001224F5"/>
    <w:rsid w:val="00122577"/>
    <w:rsid w:val="001225DF"/>
    <w:rsid w:val="001231FC"/>
    <w:rsid w:val="001232F5"/>
    <w:rsid w:val="00123318"/>
    <w:rsid w:val="0012429F"/>
    <w:rsid w:val="001247CC"/>
    <w:rsid w:val="00124923"/>
    <w:rsid w:val="00124A90"/>
    <w:rsid w:val="00125429"/>
    <w:rsid w:val="001255DD"/>
    <w:rsid w:val="00125611"/>
    <w:rsid w:val="00125663"/>
    <w:rsid w:val="00125EC8"/>
    <w:rsid w:val="00126101"/>
    <w:rsid w:val="0012671B"/>
    <w:rsid w:val="001267BC"/>
    <w:rsid w:val="00126D4F"/>
    <w:rsid w:val="00127064"/>
    <w:rsid w:val="00127227"/>
    <w:rsid w:val="00127405"/>
    <w:rsid w:val="00127A0E"/>
    <w:rsid w:val="00127B5A"/>
    <w:rsid w:val="00127C70"/>
    <w:rsid w:val="001300CB"/>
    <w:rsid w:val="00130177"/>
    <w:rsid w:val="0013057D"/>
    <w:rsid w:val="00130EA0"/>
    <w:rsid w:val="001312C2"/>
    <w:rsid w:val="0013135E"/>
    <w:rsid w:val="0013171F"/>
    <w:rsid w:val="0013177C"/>
    <w:rsid w:val="0013182E"/>
    <w:rsid w:val="00131B81"/>
    <w:rsid w:val="00131C51"/>
    <w:rsid w:val="00131CD2"/>
    <w:rsid w:val="001322A8"/>
    <w:rsid w:val="00132392"/>
    <w:rsid w:val="001326AA"/>
    <w:rsid w:val="0013272B"/>
    <w:rsid w:val="001336AB"/>
    <w:rsid w:val="0013388F"/>
    <w:rsid w:val="00133B9D"/>
    <w:rsid w:val="001348EC"/>
    <w:rsid w:val="00134FA5"/>
    <w:rsid w:val="001350B6"/>
    <w:rsid w:val="0013545E"/>
    <w:rsid w:val="001357F8"/>
    <w:rsid w:val="00135DD6"/>
    <w:rsid w:val="001366B4"/>
    <w:rsid w:val="001366C0"/>
    <w:rsid w:val="0013687A"/>
    <w:rsid w:val="001370FE"/>
    <w:rsid w:val="00137174"/>
    <w:rsid w:val="0013782D"/>
    <w:rsid w:val="00137970"/>
    <w:rsid w:val="00137A9C"/>
    <w:rsid w:val="00137B64"/>
    <w:rsid w:val="00137B65"/>
    <w:rsid w:val="00137F91"/>
    <w:rsid w:val="0014048C"/>
    <w:rsid w:val="00140975"/>
    <w:rsid w:val="00140976"/>
    <w:rsid w:val="00140EBA"/>
    <w:rsid w:val="0014105A"/>
    <w:rsid w:val="0014105B"/>
    <w:rsid w:val="0014129D"/>
    <w:rsid w:val="001412A8"/>
    <w:rsid w:val="00141302"/>
    <w:rsid w:val="001417F2"/>
    <w:rsid w:val="00141B3C"/>
    <w:rsid w:val="00141D6A"/>
    <w:rsid w:val="00142002"/>
    <w:rsid w:val="001423BC"/>
    <w:rsid w:val="00142980"/>
    <w:rsid w:val="00142B06"/>
    <w:rsid w:val="00142E66"/>
    <w:rsid w:val="00143063"/>
    <w:rsid w:val="00143500"/>
    <w:rsid w:val="001439C1"/>
    <w:rsid w:val="00143DFE"/>
    <w:rsid w:val="00144535"/>
    <w:rsid w:val="00144732"/>
    <w:rsid w:val="001449F1"/>
    <w:rsid w:val="00144BB3"/>
    <w:rsid w:val="00145212"/>
    <w:rsid w:val="001452A1"/>
    <w:rsid w:val="00145702"/>
    <w:rsid w:val="00145D00"/>
    <w:rsid w:val="00145D36"/>
    <w:rsid w:val="00145FE5"/>
    <w:rsid w:val="00146536"/>
    <w:rsid w:val="00146BC7"/>
    <w:rsid w:val="00146C40"/>
    <w:rsid w:val="001472F5"/>
    <w:rsid w:val="001472F9"/>
    <w:rsid w:val="00147350"/>
    <w:rsid w:val="0014743E"/>
    <w:rsid w:val="0014752D"/>
    <w:rsid w:val="00147563"/>
    <w:rsid w:val="00147D9F"/>
    <w:rsid w:val="0015008D"/>
    <w:rsid w:val="00150528"/>
    <w:rsid w:val="00150E23"/>
    <w:rsid w:val="00150F5E"/>
    <w:rsid w:val="00151442"/>
    <w:rsid w:val="00151513"/>
    <w:rsid w:val="00151AD6"/>
    <w:rsid w:val="00152708"/>
    <w:rsid w:val="001528C3"/>
    <w:rsid w:val="00152EEA"/>
    <w:rsid w:val="00152EFB"/>
    <w:rsid w:val="0015340F"/>
    <w:rsid w:val="00153655"/>
    <w:rsid w:val="00153EE5"/>
    <w:rsid w:val="00154192"/>
    <w:rsid w:val="00154FE1"/>
    <w:rsid w:val="0015597D"/>
    <w:rsid w:val="00155A20"/>
    <w:rsid w:val="00155B20"/>
    <w:rsid w:val="00155B70"/>
    <w:rsid w:val="00155CDE"/>
    <w:rsid w:val="00155D6E"/>
    <w:rsid w:val="00156276"/>
    <w:rsid w:val="0015629C"/>
    <w:rsid w:val="00156896"/>
    <w:rsid w:val="00156CF1"/>
    <w:rsid w:val="0015720F"/>
    <w:rsid w:val="00157860"/>
    <w:rsid w:val="001578EC"/>
    <w:rsid w:val="001579C8"/>
    <w:rsid w:val="00157A1B"/>
    <w:rsid w:val="00157B2C"/>
    <w:rsid w:val="00157CBF"/>
    <w:rsid w:val="00157D45"/>
    <w:rsid w:val="001601CF"/>
    <w:rsid w:val="00160330"/>
    <w:rsid w:val="001611BD"/>
    <w:rsid w:val="001616BF"/>
    <w:rsid w:val="001618FD"/>
    <w:rsid w:val="001619B0"/>
    <w:rsid w:val="00161BF4"/>
    <w:rsid w:val="00161CF0"/>
    <w:rsid w:val="00161DC9"/>
    <w:rsid w:val="00161E8F"/>
    <w:rsid w:val="00161F4E"/>
    <w:rsid w:val="00162156"/>
    <w:rsid w:val="00162981"/>
    <w:rsid w:val="00162A10"/>
    <w:rsid w:val="00162A5C"/>
    <w:rsid w:val="00162B31"/>
    <w:rsid w:val="00162BC3"/>
    <w:rsid w:val="001630F0"/>
    <w:rsid w:val="001631FB"/>
    <w:rsid w:val="001638E9"/>
    <w:rsid w:val="00163B60"/>
    <w:rsid w:val="0016419A"/>
    <w:rsid w:val="00164C9D"/>
    <w:rsid w:val="00164F22"/>
    <w:rsid w:val="0016502F"/>
    <w:rsid w:val="00165561"/>
    <w:rsid w:val="0016567F"/>
    <w:rsid w:val="001658FA"/>
    <w:rsid w:val="00165A57"/>
    <w:rsid w:val="0016653B"/>
    <w:rsid w:val="0016682A"/>
    <w:rsid w:val="00166A5A"/>
    <w:rsid w:val="00166F4E"/>
    <w:rsid w:val="00167391"/>
    <w:rsid w:val="00167657"/>
    <w:rsid w:val="001702D5"/>
    <w:rsid w:val="001706A5"/>
    <w:rsid w:val="001706C1"/>
    <w:rsid w:val="00170C56"/>
    <w:rsid w:val="00170CA6"/>
    <w:rsid w:val="00170CDF"/>
    <w:rsid w:val="00170D58"/>
    <w:rsid w:val="00170E47"/>
    <w:rsid w:val="00171759"/>
    <w:rsid w:val="0017185E"/>
    <w:rsid w:val="00171950"/>
    <w:rsid w:val="001719F2"/>
    <w:rsid w:val="00171AA3"/>
    <w:rsid w:val="00171AA4"/>
    <w:rsid w:val="00171E3B"/>
    <w:rsid w:val="00171E6C"/>
    <w:rsid w:val="00172054"/>
    <w:rsid w:val="001720C0"/>
    <w:rsid w:val="0017229A"/>
    <w:rsid w:val="001722BC"/>
    <w:rsid w:val="001723CF"/>
    <w:rsid w:val="001725B4"/>
    <w:rsid w:val="00172DB5"/>
    <w:rsid w:val="00172FFB"/>
    <w:rsid w:val="00173239"/>
    <w:rsid w:val="00173428"/>
    <w:rsid w:val="001737E7"/>
    <w:rsid w:val="001743B2"/>
    <w:rsid w:val="001743B7"/>
    <w:rsid w:val="00174538"/>
    <w:rsid w:val="00174785"/>
    <w:rsid w:val="0017493D"/>
    <w:rsid w:val="00174BF8"/>
    <w:rsid w:val="00174E3A"/>
    <w:rsid w:val="001755E1"/>
    <w:rsid w:val="001758B4"/>
    <w:rsid w:val="00175B89"/>
    <w:rsid w:val="00175B91"/>
    <w:rsid w:val="00175CC8"/>
    <w:rsid w:val="001762F5"/>
    <w:rsid w:val="001765B8"/>
    <w:rsid w:val="00176811"/>
    <w:rsid w:val="00176C27"/>
    <w:rsid w:val="00177263"/>
    <w:rsid w:val="001774FE"/>
    <w:rsid w:val="001775FB"/>
    <w:rsid w:val="0017761D"/>
    <w:rsid w:val="00177D2A"/>
    <w:rsid w:val="00177E7E"/>
    <w:rsid w:val="0018009A"/>
    <w:rsid w:val="00180576"/>
    <w:rsid w:val="001807B0"/>
    <w:rsid w:val="00180A9B"/>
    <w:rsid w:val="00180D5D"/>
    <w:rsid w:val="00180ED9"/>
    <w:rsid w:val="0018181B"/>
    <w:rsid w:val="001819F9"/>
    <w:rsid w:val="00181D9A"/>
    <w:rsid w:val="00181F86"/>
    <w:rsid w:val="001820ED"/>
    <w:rsid w:val="00182208"/>
    <w:rsid w:val="001823CE"/>
    <w:rsid w:val="00182B53"/>
    <w:rsid w:val="001833F5"/>
    <w:rsid w:val="00183AF9"/>
    <w:rsid w:val="00183CE5"/>
    <w:rsid w:val="00183DE7"/>
    <w:rsid w:val="00183EA6"/>
    <w:rsid w:val="001842AC"/>
    <w:rsid w:val="00184507"/>
    <w:rsid w:val="001846D7"/>
    <w:rsid w:val="00184859"/>
    <w:rsid w:val="0018518B"/>
    <w:rsid w:val="001853DD"/>
    <w:rsid w:val="0018595D"/>
    <w:rsid w:val="00185A4B"/>
    <w:rsid w:val="00185A50"/>
    <w:rsid w:val="0018635A"/>
    <w:rsid w:val="00186513"/>
    <w:rsid w:val="0018678D"/>
    <w:rsid w:val="001869DB"/>
    <w:rsid w:val="00187456"/>
    <w:rsid w:val="001877AC"/>
    <w:rsid w:val="00187982"/>
    <w:rsid w:val="00187A33"/>
    <w:rsid w:val="00187D86"/>
    <w:rsid w:val="0019026A"/>
    <w:rsid w:val="00190D5D"/>
    <w:rsid w:val="001911A0"/>
    <w:rsid w:val="00191462"/>
    <w:rsid w:val="00191FF4"/>
    <w:rsid w:val="00191FF9"/>
    <w:rsid w:val="00191FFB"/>
    <w:rsid w:val="00192163"/>
    <w:rsid w:val="00192BAF"/>
    <w:rsid w:val="00192CED"/>
    <w:rsid w:val="00192DCD"/>
    <w:rsid w:val="00192E4B"/>
    <w:rsid w:val="00192FC5"/>
    <w:rsid w:val="00193254"/>
    <w:rsid w:val="001932D9"/>
    <w:rsid w:val="00193504"/>
    <w:rsid w:val="001936A2"/>
    <w:rsid w:val="00193A59"/>
    <w:rsid w:val="00193ABA"/>
    <w:rsid w:val="00193F00"/>
    <w:rsid w:val="001941EF"/>
    <w:rsid w:val="001941FE"/>
    <w:rsid w:val="0019426F"/>
    <w:rsid w:val="001945A9"/>
    <w:rsid w:val="001947C7"/>
    <w:rsid w:val="00194842"/>
    <w:rsid w:val="00194961"/>
    <w:rsid w:val="00195331"/>
    <w:rsid w:val="001957E1"/>
    <w:rsid w:val="001958D7"/>
    <w:rsid w:val="00195A65"/>
    <w:rsid w:val="00195C42"/>
    <w:rsid w:val="00196026"/>
    <w:rsid w:val="00196346"/>
    <w:rsid w:val="00196513"/>
    <w:rsid w:val="00196BF3"/>
    <w:rsid w:val="00196E26"/>
    <w:rsid w:val="0019706E"/>
    <w:rsid w:val="00197199"/>
    <w:rsid w:val="00197632"/>
    <w:rsid w:val="00197991"/>
    <w:rsid w:val="001A0284"/>
    <w:rsid w:val="001A0576"/>
    <w:rsid w:val="001A0B22"/>
    <w:rsid w:val="001A0B72"/>
    <w:rsid w:val="001A0F2D"/>
    <w:rsid w:val="001A0F7D"/>
    <w:rsid w:val="001A102E"/>
    <w:rsid w:val="001A10B2"/>
    <w:rsid w:val="001A13D7"/>
    <w:rsid w:val="001A1B18"/>
    <w:rsid w:val="001A1D2B"/>
    <w:rsid w:val="001A2303"/>
    <w:rsid w:val="001A254B"/>
    <w:rsid w:val="001A2B58"/>
    <w:rsid w:val="001A3753"/>
    <w:rsid w:val="001A3A7F"/>
    <w:rsid w:val="001A3D8C"/>
    <w:rsid w:val="001A3EF1"/>
    <w:rsid w:val="001A4422"/>
    <w:rsid w:val="001A52FF"/>
    <w:rsid w:val="001A5728"/>
    <w:rsid w:val="001A5786"/>
    <w:rsid w:val="001A5942"/>
    <w:rsid w:val="001A5C13"/>
    <w:rsid w:val="001A6378"/>
    <w:rsid w:val="001A67C9"/>
    <w:rsid w:val="001A6867"/>
    <w:rsid w:val="001A6A96"/>
    <w:rsid w:val="001A7245"/>
    <w:rsid w:val="001A72F2"/>
    <w:rsid w:val="001A74C3"/>
    <w:rsid w:val="001A7598"/>
    <w:rsid w:val="001A75C2"/>
    <w:rsid w:val="001A7617"/>
    <w:rsid w:val="001A7ADD"/>
    <w:rsid w:val="001A7D48"/>
    <w:rsid w:val="001B0238"/>
    <w:rsid w:val="001B08F0"/>
    <w:rsid w:val="001B09ED"/>
    <w:rsid w:val="001B0B18"/>
    <w:rsid w:val="001B0F0D"/>
    <w:rsid w:val="001B0F2C"/>
    <w:rsid w:val="001B1087"/>
    <w:rsid w:val="001B10EE"/>
    <w:rsid w:val="001B14AD"/>
    <w:rsid w:val="001B174B"/>
    <w:rsid w:val="001B181E"/>
    <w:rsid w:val="001B1C2E"/>
    <w:rsid w:val="001B1EC4"/>
    <w:rsid w:val="001B1FBF"/>
    <w:rsid w:val="001B21A9"/>
    <w:rsid w:val="001B2489"/>
    <w:rsid w:val="001B2566"/>
    <w:rsid w:val="001B26C7"/>
    <w:rsid w:val="001B28A3"/>
    <w:rsid w:val="001B2953"/>
    <w:rsid w:val="001B2ACF"/>
    <w:rsid w:val="001B2AD3"/>
    <w:rsid w:val="001B2B45"/>
    <w:rsid w:val="001B2B48"/>
    <w:rsid w:val="001B3085"/>
    <w:rsid w:val="001B36B2"/>
    <w:rsid w:val="001B42D7"/>
    <w:rsid w:val="001B435C"/>
    <w:rsid w:val="001B4678"/>
    <w:rsid w:val="001B4762"/>
    <w:rsid w:val="001B4FF3"/>
    <w:rsid w:val="001B52AF"/>
    <w:rsid w:val="001B53E2"/>
    <w:rsid w:val="001B5415"/>
    <w:rsid w:val="001B556F"/>
    <w:rsid w:val="001B5778"/>
    <w:rsid w:val="001B58BD"/>
    <w:rsid w:val="001B5923"/>
    <w:rsid w:val="001B5C50"/>
    <w:rsid w:val="001B5D52"/>
    <w:rsid w:val="001B621E"/>
    <w:rsid w:val="001B6680"/>
    <w:rsid w:val="001B6745"/>
    <w:rsid w:val="001B676B"/>
    <w:rsid w:val="001B744E"/>
    <w:rsid w:val="001B78E6"/>
    <w:rsid w:val="001B7976"/>
    <w:rsid w:val="001B7F5D"/>
    <w:rsid w:val="001C04F0"/>
    <w:rsid w:val="001C05CD"/>
    <w:rsid w:val="001C1755"/>
    <w:rsid w:val="001C18D4"/>
    <w:rsid w:val="001C196E"/>
    <w:rsid w:val="001C1BE0"/>
    <w:rsid w:val="001C1D4A"/>
    <w:rsid w:val="001C2344"/>
    <w:rsid w:val="001C2367"/>
    <w:rsid w:val="001C2570"/>
    <w:rsid w:val="001C2729"/>
    <w:rsid w:val="001C2BEF"/>
    <w:rsid w:val="001C2D86"/>
    <w:rsid w:val="001C2ED3"/>
    <w:rsid w:val="001C32AF"/>
    <w:rsid w:val="001C3550"/>
    <w:rsid w:val="001C41EC"/>
    <w:rsid w:val="001C4876"/>
    <w:rsid w:val="001C4ECE"/>
    <w:rsid w:val="001C5302"/>
    <w:rsid w:val="001C53BD"/>
    <w:rsid w:val="001C54AF"/>
    <w:rsid w:val="001C5582"/>
    <w:rsid w:val="001C5A5A"/>
    <w:rsid w:val="001C5B0B"/>
    <w:rsid w:val="001C5C7A"/>
    <w:rsid w:val="001C6011"/>
    <w:rsid w:val="001C60CA"/>
    <w:rsid w:val="001C6BB9"/>
    <w:rsid w:val="001C6DE1"/>
    <w:rsid w:val="001C7088"/>
    <w:rsid w:val="001C7293"/>
    <w:rsid w:val="001C734F"/>
    <w:rsid w:val="001C7600"/>
    <w:rsid w:val="001C776B"/>
    <w:rsid w:val="001C7C92"/>
    <w:rsid w:val="001C7D21"/>
    <w:rsid w:val="001C7E6E"/>
    <w:rsid w:val="001D01A9"/>
    <w:rsid w:val="001D0336"/>
    <w:rsid w:val="001D044C"/>
    <w:rsid w:val="001D067E"/>
    <w:rsid w:val="001D0FDA"/>
    <w:rsid w:val="001D12BD"/>
    <w:rsid w:val="001D159B"/>
    <w:rsid w:val="001D1D07"/>
    <w:rsid w:val="001D1E64"/>
    <w:rsid w:val="001D1FC4"/>
    <w:rsid w:val="001D2239"/>
    <w:rsid w:val="001D22A3"/>
    <w:rsid w:val="001D282B"/>
    <w:rsid w:val="001D28CC"/>
    <w:rsid w:val="001D2930"/>
    <w:rsid w:val="001D3099"/>
    <w:rsid w:val="001D30C8"/>
    <w:rsid w:val="001D35EE"/>
    <w:rsid w:val="001D38CA"/>
    <w:rsid w:val="001D3F0D"/>
    <w:rsid w:val="001D41E0"/>
    <w:rsid w:val="001D49C6"/>
    <w:rsid w:val="001D4CCD"/>
    <w:rsid w:val="001D52A3"/>
    <w:rsid w:val="001D57F2"/>
    <w:rsid w:val="001D5A44"/>
    <w:rsid w:val="001D5B61"/>
    <w:rsid w:val="001D606D"/>
    <w:rsid w:val="001D6350"/>
    <w:rsid w:val="001D6462"/>
    <w:rsid w:val="001D69B4"/>
    <w:rsid w:val="001D6C48"/>
    <w:rsid w:val="001D7065"/>
    <w:rsid w:val="001D73E6"/>
    <w:rsid w:val="001D76B1"/>
    <w:rsid w:val="001D784B"/>
    <w:rsid w:val="001E002A"/>
    <w:rsid w:val="001E0C8B"/>
    <w:rsid w:val="001E13D4"/>
    <w:rsid w:val="001E1779"/>
    <w:rsid w:val="001E1AD5"/>
    <w:rsid w:val="001E2135"/>
    <w:rsid w:val="001E22C1"/>
    <w:rsid w:val="001E26E6"/>
    <w:rsid w:val="001E2F79"/>
    <w:rsid w:val="001E3001"/>
    <w:rsid w:val="001E3272"/>
    <w:rsid w:val="001E3552"/>
    <w:rsid w:val="001E39E4"/>
    <w:rsid w:val="001E3AB9"/>
    <w:rsid w:val="001E4030"/>
    <w:rsid w:val="001E48D4"/>
    <w:rsid w:val="001E4CD0"/>
    <w:rsid w:val="001E4ECA"/>
    <w:rsid w:val="001E514D"/>
    <w:rsid w:val="001E5211"/>
    <w:rsid w:val="001E543B"/>
    <w:rsid w:val="001E548A"/>
    <w:rsid w:val="001E56A1"/>
    <w:rsid w:val="001E59C8"/>
    <w:rsid w:val="001E5CE9"/>
    <w:rsid w:val="001E6564"/>
    <w:rsid w:val="001E6672"/>
    <w:rsid w:val="001E67C8"/>
    <w:rsid w:val="001E6CF7"/>
    <w:rsid w:val="001E6F02"/>
    <w:rsid w:val="001E6F4F"/>
    <w:rsid w:val="001E7099"/>
    <w:rsid w:val="001E7210"/>
    <w:rsid w:val="001E7438"/>
    <w:rsid w:val="001E7B1A"/>
    <w:rsid w:val="001E7E67"/>
    <w:rsid w:val="001F0059"/>
    <w:rsid w:val="001F02F6"/>
    <w:rsid w:val="001F07C2"/>
    <w:rsid w:val="001F08D0"/>
    <w:rsid w:val="001F08E0"/>
    <w:rsid w:val="001F09DE"/>
    <w:rsid w:val="001F0D29"/>
    <w:rsid w:val="001F0FDC"/>
    <w:rsid w:val="001F15AE"/>
    <w:rsid w:val="001F18FD"/>
    <w:rsid w:val="001F1C45"/>
    <w:rsid w:val="001F21B9"/>
    <w:rsid w:val="001F21D8"/>
    <w:rsid w:val="001F23DC"/>
    <w:rsid w:val="001F2485"/>
    <w:rsid w:val="001F2567"/>
    <w:rsid w:val="001F2576"/>
    <w:rsid w:val="001F2A91"/>
    <w:rsid w:val="001F2CA4"/>
    <w:rsid w:val="001F2DFB"/>
    <w:rsid w:val="001F3154"/>
    <w:rsid w:val="001F31DD"/>
    <w:rsid w:val="001F3D89"/>
    <w:rsid w:val="001F3EB9"/>
    <w:rsid w:val="001F3F6F"/>
    <w:rsid w:val="001F419C"/>
    <w:rsid w:val="001F516E"/>
    <w:rsid w:val="001F5236"/>
    <w:rsid w:val="001F539F"/>
    <w:rsid w:val="001F5814"/>
    <w:rsid w:val="001F588B"/>
    <w:rsid w:val="001F5B3C"/>
    <w:rsid w:val="001F5BCA"/>
    <w:rsid w:val="001F5F7D"/>
    <w:rsid w:val="001F61A7"/>
    <w:rsid w:val="001F6894"/>
    <w:rsid w:val="001F6DE6"/>
    <w:rsid w:val="001F6F5A"/>
    <w:rsid w:val="001F70EA"/>
    <w:rsid w:val="001F7E9E"/>
    <w:rsid w:val="001F7F0A"/>
    <w:rsid w:val="0020063C"/>
    <w:rsid w:val="002008B5"/>
    <w:rsid w:val="00200A59"/>
    <w:rsid w:val="002011DB"/>
    <w:rsid w:val="00201789"/>
    <w:rsid w:val="00201886"/>
    <w:rsid w:val="002018B4"/>
    <w:rsid w:val="00201B87"/>
    <w:rsid w:val="00201E5E"/>
    <w:rsid w:val="00201F2B"/>
    <w:rsid w:val="002023DB"/>
    <w:rsid w:val="0020247E"/>
    <w:rsid w:val="00202D7A"/>
    <w:rsid w:val="0020321C"/>
    <w:rsid w:val="00203777"/>
    <w:rsid w:val="002037F3"/>
    <w:rsid w:val="00203A87"/>
    <w:rsid w:val="00203C6E"/>
    <w:rsid w:val="00203CE7"/>
    <w:rsid w:val="00203DFE"/>
    <w:rsid w:val="00203E18"/>
    <w:rsid w:val="00203F13"/>
    <w:rsid w:val="00204108"/>
    <w:rsid w:val="0020430C"/>
    <w:rsid w:val="0020465B"/>
    <w:rsid w:val="002049B7"/>
    <w:rsid w:val="00204F71"/>
    <w:rsid w:val="002054BB"/>
    <w:rsid w:val="002054FB"/>
    <w:rsid w:val="00205532"/>
    <w:rsid w:val="00205CB2"/>
    <w:rsid w:val="00206743"/>
    <w:rsid w:val="00206901"/>
    <w:rsid w:val="00206B26"/>
    <w:rsid w:val="00207360"/>
    <w:rsid w:val="002076A5"/>
    <w:rsid w:val="00207B67"/>
    <w:rsid w:val="00210403"/>
    <w:rsid w:val="00210588"/>
    <w:rsid w:val="00210A3D"/>
    <w:rsid w:val="00210FB5"/>
    <w:rsid w:val="002119A0"/>
    <w:rsid w:val="00211E13"/>
    <w:rsid w:val="002121B9"/>
    <w:rsid w:val="00212261"/>
    <w:rsid w:val="0021246E"/>
    <w:rsid w:val="00212883"/>
    <w:rsid w:val="00212B63"/>
    <w:rsid w:val="00212D2F"/>
    <w:rsid w:val="00213289"/>
    <w:rsid w:val="002133F3"/>
    <w:rsid w:val="002137C5"/>
    <w:rsid w:val="00213B61"/>
    <w:rsid w:val="00213C21"/>
    <w:rsid w:val="00213CB7"/>
    <w:rsid w:val="00213E11"/>
    <w:rsid w:val="002147FF"/>
    <w:rsid w:val="0021494F"/>
    <w:rsid w:val="00214BF8"/>
    <w:rsid w:val="00214D47"/>
    <w:rsid w:val="00214E04"/>
    <w:rsid w:val="00214E22"/>
    <w:rsid w:val="00215160"/>
    <w:rsid w:val="0021519E"/>
    <w:rsid w:val="00215201"/>
    <w:rsid w:val="002155DB"/>
    <w:rsid w:val="00215631"/>
    <w:rsid w:val="00215D5D"/>
    <w:rsid w:val="00215D9E"/>
    <w:rsid w:val="00216242"/>
    <w:rsid w:val="00216380"/>
    <w:rsid w:val="00216470"/>
    <w:rsid w:val="00216713"/>
    <w:rsid w:val="00216893"/>
    <w:rsid w:val="002169B7"/>
    <w:rsid w:val="00216A2B"/>
    <w:rsid w:val="00216B3E"/>
    <w:rsid w:val="00216D65"/>
    <w:rsid w:val="002170FF"/>
    <w:rsid w:val="00217840"/>
    <w:rsid w:val="00217940"/>
    <w:rsid w:val="00217980"/>
    <w:rsid w:val="00217D57"/>
    <w:rsid w:val="00217FE8"/>
    <w:rsid w:val="002201B0"/>
    <w:rsid w:val="00220990"/>
    <w:rsid w:val="002211A4"/>
    <w:rsid w:val="00221960"/>
    <w:rsid w:val="00221B68"/>
    <w:rsid w:val="00222736"/>
    <w:rsid w:val="00222782"/>
    <w:rsid w:val="002227D7"/>
    <w:rsid w:val="00222A6E"/>
    <w:rsid w:val="00223228"/>
    <w:rsid w:val="00223288"/>
    <w:rsid w:val="00223426"/>
    <w:rsid w:val="0022372F"/>
    <w:rsid w:val="0022392F"/>
    <w:rsid w:val="002239B6"/>
    <w:rsid w:val="00223C5B"/>
    <w:rsid w:val="00223EBC"/>
    <w:rsid w:val="00224291"/>
    <w:rsid w:val="00224675"/>
    <w:rsid w:val="0022483C"/>
    <w:rsid w:val="00224852"/>
    <w:rsid w:val="00224AA9"/>
    <w:rsid w:val="002251E0"/>
    <w:rsid w:val="002252C8"/>
    <w:rsid w:val="00225397"/>
    <w:rsid w:val="00225B19"/>
    <w:rsid w:val="0022604D"/>
    <w:rsid w:val="0022689C"/>
    <w:rsid w:val="00226947"/>
    <w:rsid w:val="00226C19"/>
    <w:rsid w:val="002275FE"/>
    <w:rsid w:val="00227BED"/>
    <w:rsid w:val="00227F82"/>
    <w:rsid w:val="0023060B"/>
    <w:rsid w:val="0023101E"/>
    <w:rsid w:val="00231024"/>
    <w:rsid w:val="002315FA"/>
    <w:rsid w:val="002319B5"/>
    <w:rsid w:val="00231F74"/>
    <w:rsid w:val="00231F8C"/>
    <w:rsid w:val="002324B5"/>
    <w:rsid w:val="002327AA"/>
    <w:rsid w:val="002329A3"/>
    <w:rsid w:val="00232D66"/>
    <w:rsid w:val="00233094"/>
    <w:rsid w:val="002330C0"/>
    <w:rsid w:val="002332D6"/>
    <w:rsid w:val="00233614"/>
    <w:rsid w:val="00233708"/>
    <w:rsid w:val="0023473B"/>
    <w:rsid w:val="00235171"/>
    <w:rsid w:val="0023567C"/>
    <w:rsid w:val="002356E7"/>
    <w:rsid w:val="00235D0E"/>
    <w:rsid w:val="0023612A"/>
    <w:rsid w:val="002361F8"/>
    <w:rsid w:val="00236A4B"/>
    <w:rsid w:val="002375B6"/>
    <w:rsid w:val="00237FD8"/>
    <w:rsid w:val="0024029A"/>
    <w:rsid w:val="002403EA"/>
    <w:rsid w:val="00240A6C"/>
    <w:rsid w:val="00240E5C"/>
    <w:rsid w:val="00240FFE"/>
    <w:rsid w:val="00241160"/>
    <w:rsid w:val="00241649"/>
    <w:rsid w:val="002419A8"/>
    <w:rsid w:val="00241B1F"/>
    <w:rsid w:val="00241BB4"/>
    <w:rsid w:val="00241C07"/>
    <w:rsid w:val="00241E39"/>
    <w:rsid w:val="002420CD"/>
    <w:rsid w:val="002422F1"/>
    <w:rsid w:val="002427D4"/>
    <w:rsid w:val="002427E6"/>
    <w:rsid w:val="00242E6B"/>
    <w:rsid w:val="00243313"/>
    <w:rsid w:val="002437A1"/>
    <w:rsid w:val="002437FD"/>
    <w:rsid w:val="0024397E"/>
    <w:rsid w:val="002439DC"/>
    <w:rsid w:val="00243E0F"/>
    <w:rsid w:val="00243E90"/>
    <w:rsid w:val="0024496B"/>
    <w:rsid w:val="00244A9F"/>
    <w:rsid w:val="00244BF9"/>
    <w:rsid w:val="00244C40"/>
    <w:rsid w:val="002450F9"/>
    <w:rsid w:val="00245198"/>
    <w:rsid w:val="00245A34"/>
    <w:rsid w:val="0024630E"/>
    <w:rsid w:val="002468B8"/>
    <w:rsid w:val="00246BC1"/>
    <w:rsid w:val="00247723"/>
    <w:rsid w:val="002477F5"/>
    <w:rsid w:val="00247877"/>
    <w:rsid w:val="00250091"/>
    <w:rsid w:val="002500F7"/>
    <w:rsid w:val="00250792"/>
    <w:rsid w:val="00250CAA"/>
    <w:rsid w:val="00250EF8"/>
    <w:rsid w:val="00251199"/>
    <w:rsid w:val="0025136B"/>
    <w:rsid w:val="00251749"/>
    <w:rsid w:val="00251C05"/>
    <w:rsid w:val="00251D5D"/>
    <w:rsid w:val="00251E33"/>
    <w:rsid w:val="00251FE8"/>
    <w:rsid w:val="00252157"/>
    <w:rsid w:val="0025299C"/>
    <w:rsid w:val="00252A95"/>
    <w:rsid w:val="00252E6F"/>
    <w:rsid w:val="00253324"/>
    <w:rsid w:val="002535BC"/>
    <w:rsid w:val="002538E8"/>
    <w:rsid w:val="0025391E"/>
    <w:rsid w:val="00253B1B"/>
    <w:rsid w:val="002542B8"/>
    <w:rsid w:val="0025434F"/>
    <w:rsid w:val="002544D9"/>
    <w:rsid w:val="00254B6C"/>
    <w:rsid w:val="00254FBC"/>
    <w:rsid w:val="00255D14"/>
    <w:rsid w:val="002568F5"/>
    <w:rsid w:val="002569F3"/>
    <w:rsid w:val="00256A2A"/>
    <w:rsid w:val="00256EE5"/>
    <w:rsid w:val="00256F9C"/>
    <w:rsid w:val="00256FAB"/>
    <w:rsid w:val="00257CE6"/>
    <w:rsid w:val="00257D0A"/>
    <w:rsid w:val="00260AF3"/>
    <w:rsid w:val="00260BA3"/>
    <w:rsid w:val="0026179D"/>
    <w:rsid w:val="00261A37"/>
    <w:rsid w:val="00261A89"/>
    <w:rsid w:val="002624BC"/>
    <w:rsid w:val="002633B4"/>
    <w:rsid w:val="00263D22"/>
    <w:rsid w:val="0026403E"/>
    <w:rsid w:val="0026465E"/>
    <w:rsid w:val="00264C84"/>
    <w:rsid w:val="00264E53"/>
    <w:rsid w:val="00264F56"/>
    <w:rsid w:val="0026518C"/>
    <w:rsid w:val="002652CD"/>
    <w:rsid w:val="00265D33"/>
    <w:rsid w:val="00265F71"/>
    <w:rsid w:val="0026670E"/>
    <w:rsid w:val="00266768"/>
    <w:rsid w:val="002667E3"/>
    <w:rsid w:val="00266A39"/>
    <w:rsid w:val="00266B8B"/>
    <w:rsid w:val="00266CBB"/>
    <w:rsid w:val="00266E6C"/>
    <w:rsid w:val="00266F2A"/>
    <w:rsid w:val="00267995"/>
    <w:rsid w:val="00270123"/>
    <w:rsid w:val="00270A21"/>
    <w:rsid w:val="00270A56"/>
    <w:rsid w:val="00270CB2"/>
    <w:rsid w:val="00270E4F"/>
    <w:rsid w:val="00270F6C"/>
    <w:rsid w:val="00271A6E"/>
    <w:rsid w:val="002721F1"/>
    <w:rsid w:val="00272536"/>
    <w:rsid w:val="00272A20"/>
    <w:rsid w:val="00272D47"/>
    <w:rsid w:val="00272E82"/>
    <w:rsid w:val="002735F7"/>
    <w:rsid w:val="002738A4"/>
    <w:rsid w:val="00273914"/>
    <w:rsid w:val="0027399A"/>
    <w:rsid w:val="00273AF7"/>
    <w:rsid w:val="00274373"/>
    <w:rsid w:val="00274883"/>
    <w:rsid w:val="00274BCB"/>
    <w:rsid w:val="00274BE0"/>
    <w:rsid w:val="00274D3A"/>
    <w:rsid w:val="00275255"/>
    <w:rsid w:val="00275351"/>
    <w:rsid w:val="00275579"/>
    <w:rsid w:val="00275C98"/>
    <w:rsid w:val="002761E3"/>
    <w:rsid w:val="002766A5"/>
    <w:rsid w:val="002768DF"/>
    <w:rsid w:val="00276916"/>
    <w:rsid w:val="00276C91"/>
    <w:rsid w:val="00276D8A"/>
    <w:rsid w:val="002770D0"/>
    <w:rsid w:val="0027727C"/>
    <w:rsid w:val="0027762B"/>
    <w:rsid w:val="00277680"/>
    <w:rsid w:val="0027787F"/>
    <w:rsid w:val="00277A6C"/>
    <w:rsid w:val="00277B17"/>
    <w:rsid w:val="00277E33"/>
    <w:rsid w:val="0028071D"/>
    <w:rsid w:val="0028077E"/>
    <w:rsid w:val="0028080B"/>
    <w:rsid w:val="00280A5C"/>
    <w:rsid w:val="00280C7A"/>
    <w:rsid w:val="00280D63"/>
    <w:rsid w:val="00280DC1"/>
    <w:rsid w:val="002816C6"/>
    <w:rsid w:val="002823CC"/>
    <w:rsid w:val="00282651"/>
    <w:rsid w:val="002829CE"/>
    <w:rsid w:val="00282B0B"/>
    <w:rsid w:val="0028316F"/>
    <w:rsid w:val="0028333B"/>
    <w:rsid w:val="00283525"/>
    <w:rsid w:val="0028364C"/>
    <w:rsid w:val="00283674"/>
    <w:rsid w:val="00283AD7"/>
    <w:rsid w:val="00284002"/>
    <w:rsid w:val="00284274"/>
    <w:rsid w:val="0028436E"/>
    <w:rsid w:val="002844B3"/>
    <w:rsid w:val="002846E4"/>
    <w:rsid w:val="002849C7"/>
    <w:rsid w:val="00284DD6"/>
    <w:rsid w:val="00284FD1"/>
    <w:rsid w:val="002851FE"/>
    <w:rsid w:val="00285320"/>
    <w:rsid w:val="002853D9"/>
    <w:rsid w:val="00285A47"/>
    <w:rsid w:val="0028634B"/>
    <w:rsid w:val="002866BC"/>
    <w:rsid w:val="00286F65"/>
    <w:rsid w:val="00287314"/>
    <w:rsid w:val="00287B12"/>
    <w:rsid w:val="00290AF1"/>
    <w:rsid w:val="00290C26"/>
    <w:rsid w:val="00291B17"/>
    <w:rsid w:val="00291E72"/>
    <w:rsid w:val="00292163"/>
    <w:rsid w:val="00292339"/>
    <w:rsid w:val="00293187"/>
    <w:rsid w:val="0029318A"/>
    <w:rsid w:val="0029351C"/>
    <w:rsid w:val="00293541"/>
    <w:rsid w:val="00293871"/>
    <w:rsid w:val="00293B0E"/>
    <w:rsid w:val="00293ECC"/>
    <w:rsid w:val="00294CEF"/>
    <w:rsid w:val="00294E06"/>
    <w:rsid w:val="0029509A"/>
    <w:rsid w:val="002958CF"/>
    <w:rsid w:val="00295B5D"/>
    <w:rsid w:val="00295BF6"/>
    <w:rsid w:val="00295D28"/>
    <w:rsid w:val="00296221"/>
    <w:rsid w:val="00296DA3"/>
    <w:rsid w:val="00297526"/>
    <w:rsid w:val="00297A70"/>
    <w:rsid w:val="00297C90"/>
    <w:rsid w:val="00297F41"/>
    <w:rsid w:val="00297FB3"/>
    <w:rsid w:val="002A001B"/>
    <w:rsid w:val="002A00AB"/>
    <w:rsid w:val="002A012C"/>
    <w:rsid w:val="002A023D"/>
    <w:rsid w:val="002A0297"/>
    <w:rsid w:val="002A047A"/>
    <w:rsid w:val="002A07E9"/>
    <w:rsid w:val="002A12EF"/>
    <w:rsid w:val="002A142B"/>
    <w:rsid w:val="002A1C98"/>
    <w:rsid w:val="002A2242"/>
    <w:rsid w:val="002A2739"/>
    <w:rsid w:val="002A2C3E"/>
    <w:rsid w:val="002A2DA0"/>
    <w:rsid w:val="002A34CE"/>
    <w:rsid w:val="002A3673"/>
    <w:rsid w:val="002A3674"/>
    <w:rsid w:val="002A3775"/>
    <w:rsid w:val="002A381D"/>
    <w:rsid w:val="002A38C5"/>
    <w:rsid w:val="002A424C"/>
    <w:rsid w:val="002A4681"/>
    <w:rsid w:val="002A4D82"/>
    <w:rsid w:val="002A4E22"/>
    <w:rsid w:val="002A4FA7"/>
    <w:rsid w:val="002A54B6"/>
    <w:rsid w:val="002A5723"/>
    <w:rsid w:val="002A57CD"/>
    <w:rsid w:val="002A5B9C"/>
    <w:rsid w:val="002A679C"/>
    <w:rsid w:val="002A7667"/>
    <w:rsid w:val="002A766F"/>
    <w:rsid w:val="002A7D88"/>
    <w:rsid w:val="002B02DE"/>
    <w:rsid w:val="002B030A"/>
    <w:rsid w:val="002B0CC5"/>
    <w:rsid w:val="002B1046"/>
    <w:rsid w:val="002B132D"/>
    <w:rsid w:val="002B1376"/>
    <w:rsid w:val="002B1394"/>
    <w:rsid w:val="002B19AF"/>
    <w:rsid w:val="002B215C"/>
    <w:rsid w:val="002B240B"/>
    <w:rsid w:val="002B2603"/>
    <w:rsid w:val="002B27E8"/>
    <w:rsid w:val="002B2E85"/>
    <w:rsid w:val="002B3447"/>
    <w:rsid w:val="002B3627"/>
    <w:rsid w:val="002B3BCE"/>
    <w:rsid w:val="002B4247"/>
    <w:rsid w:val="002B43C4"/>
    <w:rsid w:val="002B4F07"/>
    <w:rsid w:val="002B58EF"/>
    <w:rsid w:val="002B5C67"/>
    <w:rsid w:val="002B5DBC"/>
    <w:rsid w:val="002B646E"/>
    <w:rsid w:val="002B684F"/>
    <w:rsid w:val="002B6C4E"/>
    <w:rsid w:val="002B6CC8"/>
    <w:rsid w:val="002B6DF9"/>
    <w:rsid w:val="002B7160"/>
    <w:rsid w:val="002B7646"/>
    <w:rsid w:val="002B7CC1"/>
    <w:rsid w:val="002B7F40"/>
    <w:rsid w:val="002C0228"/>
    <w:rsid w:val="002C0690"/>
    <w:rsid w:val="002C073B"/>
    <w:rsid w:val="002C0BF1"/>
    <w:rsid w:val="002C130A"/>
    <w:rsid w:val="002C147F"/>
    <w:rsid w:val="002C1694"/>
    <w:rsid w:val="002C1B4D"/>
    <w:rsid w:val="002C1BD6"/>
    <w:rsid w:val="002C1E20"/>
    <w:rsid w:val="002C1E42"/>
    <w:rsid w:val="002C242A"/>
    <w:rsid w:val="002C2AEC"/>
    <w:rsid w:val="002C33FB"/>
    <w:rsid w:val="002C34B5"/>
    <w:rsid w:val="002C3511"/>
    <w:rsid w:val="002C3CD8"/>
    <w:rsid w:val="002C4196"/>
    <w:rsid w:val="002C4A55"/>
    <w:rsid w:val="002C4E6D"/>
    <w:rsid w:val="002C55A4"/>
    <w:rsid w:val="002C5626"/>
    <w:rsid w:val="002C5710"/>
    <w:rsid w:val="002C57C7"/>
    <w:rsid w:val="002C57E8"/>
    <w:rsid w:val="002C59BB"/>
    <w:rsid w:val="002C5B40"/>
    <w:rsid w:val="002C5C27"/>
    <w:rsid w:val="002C60B2"/>
    <w:rsid w:val="002C636D"/>
    <w:rsid w:val="002C6EA6"/>
    <w:rsid w:val="002C6F4C"/>
    <w:rsid w:val="002C7688"/>
    <w:rsid w:val="002C7858"/>
    <w:rsid w:val="002C7BFA"/>
    <w:rsid w:val="002C7C47"/>
    <w:rsid w:val="002C7D56"/>
    <w:rsid w:val="002C7E9A"/>
    <w:rsid w:val="002C7EC2"/>
    <w:rsid w:val="002D0251"/>
    <w:rsid w:val="002D13D1"/>
    <w:rsid w:val="002D1824"/>
    <w:rsid w:val="002D1B14"/>
    <w:rsid w:val="002D1F01"/>
    <w:rsid w:val="002D228F"/>
    <w:rsid w:val="002D23B9"/>
    <w:rsid w:val="002D2448"/>
    <w:rsid w:val="002D2A35"/>
    <w:rsid w:val="002D30D5"/>
    <w:rsid w:val="002D3301"/>
    <w:rsid w:val="002D341F"/>
    <w:rsid w:val="002D3A00"/>
    <w:rsid w:val="002D3DFB"/>
    <w:rsid w:val="002D49C9"/>
    <w:rsid w:val="002D5760"/>
    <w:rsid w:val="002D6FDB"/>
    <w:rsid w:val="002D7091"/>
    <w:rsid w:val="002D7262"/>
    <w:rsid w:val="002D7904"/>
    <w:rsid w:val="002D7954"/>
    <w:rsid w:val="002D7EEF"/>
    <w:rsid w:val="002E0464"/>
    <w:rsid w:val="002E0502"/>
    <w:rsid w:val="002E096B"/>
    <w:rsid w:val="002E10D9"/>
    <w:rsid w:val="002E135D"/>
    <w:rsid w:val="002E154D"/>
    <w:rsid w:val="002E15A6"/>
    <w:rsid w:val="002E1641"/>
    <w:rsid w:val="002E164C"/>
    <w:rsid w:val="002E1729"/>
    <w:rsid w:val="002E18AD"/>
    <w:rsid w:val="002E1BBD"/>
    <w:rsid w:val="002E1D3A"/>
    <w:rsid w:val="002E21B5"/>
    <w:rsid w:val="002E22A9"/>
    <w:rsid w:val="002E24F6"/>
    <w:rsid w:val="002E2C0E"/>
    <w:rsid w:val="002E2DB9"/>
    <w:rsid w:val="002E3024"/>
    <w:rsid w:val="002E3072"/>
    <w:rsid w:val="002E3127"/>
    <w:rsid w:val="002E3425"/>
    <w:rsid w:val="002E3565"/>
    <w:rsid w:val="002E37BD"/>
    <w:rsid w:val="002E3ABB"/>
    <w:rsid w:val="002E4263"/>
    <w:rsid w:val="002E42C7"/>
    <w:rsid w:val="002E44B1"/>
    <w:rsid w:val="002E46E5"/>
    <w:rsid w:val="002E4B52"/>
    <w:rsid w:val="002E4FCC"/>
    <w:rsid w:val="002E5878"/>
    <w:rsid w:val="002E593D"/>
    <w:rsid w:val="002E5B21"/>
    <w:rsid w:val="002E5E02"/>
    <w:rsid w:val="002E68CC"/>
    <w:rsid w:val="002E6A5E"/>
    <w:rsid w:val="002E6BE6"/>
    <w:rsid w:val="002E6BEE"/>
    <w:rsid w:val="002E6F59"/>
    <w:rsid w:val="002E7126"/>
    <w:rsid w:val="002E72EB"/>
    <w:rsid w:val="002E746C"/>
    <w:rsid w:val="002E7824"/>
    <w:rsid w:val="002E7B04"/>
    <w:rsid w:val="002F000A"/>
    <w:rsid w:val="002F028D"/>
    <w:rsid w:val="002F0541"/>
    <w:rsid w:val="002F05B0"/>
    <w:rsid w:val="002F064D"/>
    <w:rsid w:val="002F07CA"/>
    <w:rsid w:val="002F095A"/>
    <w:rsid w:val="002F0A0E"/>
    <w:rsid w:val="002F13F5"/>
    <w:rsid w:val="002F159B"/>
    <w:rsid w:val="002F1646"/>
    <w:rsid w:val="002F1CA2"/>
    <w:rsid w:val="002F1CE4"/>
    <w:rsid w:val="002F1CFC"/>
    <w:rsid w:val="002F1F62"/>
    <w:rsid w:val="002F1F90"/>
    <w:rsid w:val="002F2A44"/>
    <w:rsid w:val="002F317C"/>
    <w:rsid w:val="002F36C0"/>
    <w:rsid w:val="002F3A02"/>
    <w:rsid w:val="002F3EEA"/>
    <w:rsid w:val="002F42BE"/>
    <w:rsid w:val="002F459E"/>
    <w:rsid w:val="002F480E"/>
    <w:rsid w:val="002F4A9D"/>
    <w:rsid w:val="002F4EA1"/>
    <w:rsid w:val="002F52B9"/>
    <w:rsid w:val="002F56BA"/>
    <w:rsid w:val="002F645C"/>
    <w:rsid w:val="002F655B"/>
    <w:rsid w:val="002F6574"/>
    <w:rsid w:val="002F6D09"/>
    <w:rsid w:val="002F6F7B"/>
    <w:rsid w:val="002F6FF5"/>
    <w:rsid w:val="002F749A"/>
    <w:rsid w:val="002F787E"/>
    <w:rsid w:val="002F7E43"/>
    <w:rsid w:val="00300065"/>
    <w:rsid w:val="00300440"/>
    <w:rsid w:val="0030084A"/>
    <w:rsid w:val="00300D30"/>
    <w:rsid w:val="00300F5E"/>
    <w:rsid w:val="003016DF"/>
    <w:rsid w:val="003019C7"/>
    <w:rsid w:val="00301AB6"/>
    <w:rsid w:val="0030207B"/>
    <w:rsid w:val="00302472"/>
    <w:rsid w:val="00302536"/>
    <w:rsid w:val="00302619"/>
    <w:rsid w:val="003029BB"/>
    <w:rsid w:val="00302AE0"/>
    <w:rsid w:val="003038E8"/>
    <w:rsid w:val="00303958"/>
    <w:rsid w:val="00303B10"/>
    <w:rsid w:val="00303D74"/>
    <w:rsid w:val="00303F16"/>
    <w:rsid w:val="00303FA0"/>
    <w:rsid w:val="003040CA"/>
    <w:rsid w:val="0030451B"/>
    <w:rsid w:val="00304552"/>
    <w:rsid w:val="00304A9E"/>
    <w:rsid w:val="00304C2B"/>
    <w:rsid w:val="00304C7B"/>
    <w:rsid w:val="00304E54"/>
    <w:rsid w:val="003053EA"/>
    <w:rsid w:val="00305604"/>
    <w:rsid w:val="0030575B"/>
    <w:rsid w:val="00305A13"/>
    <w:rsid w:val="00305CE9"/>
    <w:rsid w:val="00305F23"/>
    <w:rsid w:val="00305F46"/>
    <w:rsid w:val="00306192"/>
    <w:rsid w:val="003066B3"/>
    <w:rsid w:val="003067A9"/>
    <w:rsid w:val="00306A4C"/>
    <w:rsid w:val="00306DDE"/>
    <w:rsid w:val="00307B80"/>
    <w:rsid w:val="00307CEA"/>
    <w:rsid w:val="00310009"/>
    <w:rsid w:val="0031009A"/>
    <w:rsid w:val="00310806"/>
    <w:rsid w:val="00310BF3"/>
    <w:rsid w:val="00310EAA"/>
    <w:rsid w:val="003115E3"/>
    <w:rsid w:val="003117EA"/>
    <w:rsid w:val="003130BF"/>
    <w:rsid w:val="003131A4"/>
    <w:rsid w:val="003131E3"/>
    <w:rsid w:val="003134C2"/>
    <w:rsid w:val="00313505"/>
    <w:rsid w:val="00313755"/>
    <w:rsid w:val="0031395F"/>
    <w:rsid w:val="00313A16"/>
    <w:rsid w:val="00313A44"/>
    <w:rsid w:val="00313E7E"/>
    <w:rsid w:val="00314059"/>
    <w:rsid w:val="00314C4E"/>
    <w:rsid w:val="00314FA5"/>
    <w:rsid w:val="00315129"/>
    <w:rsid w:val="003152E6"/>
    <w:rsid w:val="0031556B"/>
    <w:rsid w:val="00315635"/>
    <w:rsid w:val="003156E0"/>
    <w:rsid w:val="003157C3"/>
    <w:rsid w:val="003158F0"/>
    <w:rsid w:val="00315A5F"/>
    <w:rsid w:val="00315C27"/>
    <w:rsid w:val="00316011"/>
    <w:rsid w:val="0031620E"/>
    <w:rsid w:val="00316234"/>
    <w:rsid w:val="003167FE"/>
    <w:rsid w:val="00316C93"/>
    <w:rsid w:val="00316D24"/>
    <w:rsid w:val="00317148"/>
    <w:rsid w:val="00317D28"/>
    <w:rsid w:val="00317E23"/>
    <w:rsid w:val="00317FC8"/>
    <w:rsid w:val="00320379"/>
    <w:rsid w:val="00320A37"/>
    <w:rsid w:val="00320E76"/>
    <w:rsid w:val="003210A6"/>
    <w:rsid w:val="003210EC"/>
    <w:rsid w:val="0032120A"/>
    <w:rsid w:val="003216B9"/>
    <w:rsid w:val="00321CED"/>
    <w:rsid w:val="00322201"/>
    <w:rsid w:val="00322A53"/>
    <w:rsid w:val="00322E10"/>
    <w:rsid w:val="00322F3F"/>
    <w:rsid w:val="003234D5"/>
    <w:rsid w:val="0032352F"/>
    <w:rsid w:val="003236D8"/>
    <w:rsid w:val="00323B70"/>
    <w:rsid w:val="00323E67"/>
    <w:rsid w:val="00323E92"/>
    <w:rsid w:val="00324313"/>
    <w:rsid w:val="0032483B"/>
    <w:rsid w:val="003250AA"/>
    <w:rsid w:val="003258B9"/>
    <w:rsid w:val="00325BB1"/>
    <w:rsid w:val="0032602B"/>
    <w:rsid w:val="0032628A"/>
    <w:rsid w:val="00326730"/>
    <w:rsid w:val="003268DC"/>
    <w:rsid w:val="00326B54"/>
    <w:rsid w:val="00326E56"/>
    <w:rsid w:val="00326E7F"/>
    <w:rsid w:val="0032756C"/>
    <w:rsid w:val="003303F8"/>
    <w:rsid w:val="0033053B"/>
    <w:rsid w:val="00330C74"/>
    <w:rsid w:val="00330CF7"/>
    <w:rsid w:val="00330DBE"/>
    <w:rsid w:val="00331100"/>
    <w:rsid w:val="003314C7"/>
    <w:rsid w:val="00331721"/>
    <w:rsid w:val="00331AEB"/>
    <w:rsid w:val="00331D86"/>
    <w:rsid w:val="00331F92"/>
    <w:rsid w:val="0033253B"/>
    <w:rsid w:val="00332A3C"/>
    <w:rsid w:val="00332F8F"/>
    <w:rsid w:val="00333027"/>
    <w:rsid w:val="00333446"/>
    <w:rsid w:val="00333587"/>
    <w:rsid w:val="00333C52"/>
    <w:rsid w:val="00333EFA"/>
    <w:rsid w:val="00334068"/>
    <w:rsid w:val="0033417F"/>
    <w:rsid w:val="003348EE"/>
    <w:rsid w:val="00334EDE"/>
    <w:rsid w:val="00334F2F"/>
    <w:rsid w:val="003350FE"/>
    <w:rsid w:val="0033514A"/>
    <w:rsid w:val="00335572"/>
    <w:rsid w:val="00335594"/>
    <w:rsid w:val="003357AC"/>
    <w:rsid w:val="0033586A"/>
    <w:rsid w:val="00335E4B"/>
    <w:rsid w:val="00335FFF"/>
    <w:rsid w:val="0033607E"/>
    <w:rsid w:val="0033609C"/>
    <w:rsid w:val="003361E9"/>
    <w:rsid w:val="00336344"/>
    <w:rsid w:val="00336676"/>
    <w:rsid w:val="003368E6"/>
    <w:rsid w:val="00336D09"/>
    <w:rsid w:val="003400C3"/>
    <w:rsid w:val="00340162"/>
    <w:rsid w:val="003406C5"/>
    <w:rsid w:val="00340FF1"/>
    <w:rsid w:val="00341336"/>
    <w:rsid w:val="00341472"/>
    <w:rsid w:val="003414FD"/>
    <w:rsid w:val="003417AB"/>
    <w:rsid w:val="00341B94"/>
    <w:rsid w:val="00342031"/>
    <w:rsid w:val="003422EA"/>
    <w:rsid w:val="0034238D"/>
    <w:rsid w:val="0034268D"/>
    <w:rsid w:val="00342A77"/>
    <w:rsid w:val="00342FC3"/>
    <w:rsid w:val="00342FE6"/>
    <w:rsid w:val="00343616"/>
    <w:rsid w:val="00343BF8"/>
    <w:rsid w:val="00343EB8"/>
    <w:rsid w:val="003444BF"/>
    <w:rsid w:val="0034465D"/>
    <w:rsid w:val="0034504C"/>
    <w:rsid w:val="0034528E"/>
    <w:rsid w:val="00345A7B"/>
    <w:rsid w:val="00345C0B"/>
    <w:rsid w:val="003461DC"/>
    <w:rsid w:val="0034646A"/>
    <w:rsid w:val="003464D5"/>
    <w:rsid w:val="0034661F"/>
    <w:rsid w:val="00346D5B"/>
    <w:rsid w:val="00346F75"/>
    <w:rsid w:val="003470B8"/>
    <w:rsid w:val="0034778C"/>
    <w:rsid w:val="00347899"/>
    <w:rsid w:val="003478A9"/>
    <w:rsid w:val="003502E9"/>
    <w:rsid w:val="0035032A"/>
    <w:rsid w:val="00350581"/>
    <w:rsid w:val="00350C53"/>
    <w:rsid w:val="00350CBB"/>
    <w:rsid w:val="00350E90"/>
    <w:rsid w:val="00351230"/>
    <w:rsid w:val="003518D5"/>
    <w:rsid w:val="00351A4D"/>
    <w:rsid w:val="00351B9E"/>
    <w:rsid w:val="003526A5"/>
    <w:rsid w:val="00352B69"/>
    <w:rsid w:val="00353154"/>
    <w:rsid w:val="00353621"/>
    <w:rsid w:val="003537D5"/>
    <w:rsid w:val="00353964"/>
    <w:rsid w:val="00353A47"/>
    <w:rsid w:val="00353AAA"/>
    <w:rsid w:val="00353C7E"/>
    <w:rsid w:val="003543B8"/>
    <w:rsid w:val="00354780"/>
    <w:rsid w:val="0035485A"/>
    <w:rsid w:val="003548B9"/>
    <w:rsid w:val="003548DD"/>
    <w:rsid w:val="00354964"/>
    <w:rsid w:val="00354AC5"/>
    <w:rsid w:val="00355828"/>
    <w:rsid w:val="003558BC"/>
    <w:rsid w:val="00355DA9"/>
    <w:rsid w:val="00356062"/>
    <w:rsid w:val="003560C9"/>
    <w:rsid w:val="0035621E"/>
    <w:rsid w:val="00356758"/>
    <w:rsid w:val="0035692B"/>
    <w:rsid w:val="00357351"/>
    <w:rsid w:val="00357CFB"/>
    <w:rsid w:val="00357D7F"/>
    <w:rsid w:val="003600DB"/>
    <w:rsid w:val="003607A0"/>
    <w:rsid w:val="00360EC7"/>
    <w:rsid w:val="00361798"/>
    <w:rsid w:val="0036179C"/>
    <w:rsid w:val="003618A2"/>
    <w:rsid w:val="00361B64"/>
    <w:rsid w:val="0036230F"/>
    <w:rsid w:val="00362AF7"/>
    <w:rsid w:val="00362BF0"/>
    <w:rsid w:val="00362D13"/>
    <w:rsid w:val="00362FAB"/>
    <w:rsid w:val="003630CB"/>
    <w:rsid w:val="0036385B"/>
    <w:rsid w:val="0036426F"/>
    <w:rsid w:val="0036468A"/>
    <w:rsid w:val="00364B44"/>
    <w:rsid w:val="00364DD5"/>
    <w:rsid w:val="00365101"/>
    <w:rsid w:val="0036559F"/>
    <w:rsid w:val="003663D5"/>
    <w:rsid w:val="0036646E"/>
    <w:rsid w:val="00366478"/>
    <w:rsid w:val="00366684"/>
    <w:rsid w:val="00366AC3"/>
    <w:rsid w:val="00366C20"/>
    <w:rsid w:val="00367778"/>
    <w:rsid w:val="00367A35"/>
    <w:rsid w:val="00367AE7"/>
    <w:rsid w:val="00367D2A"/>
    <w:rsid w:val="00367E1D"/>
    <w:rsid w:val="00367E58"/>
    <w:rsid w:val="003704AF"/>
    <w:rsid w:val="00370841"/>
    <w:rsid w:val="00370DEF"/>
    <w:rsid w:val="00371460"/>
    <w:rsid w:val="003715CE"/>
    <w:rsid w:val="003715FC"/>
    <w:rsid w:val="00371E17"/>
    <w:rsid w:val="00372431"/>
    <w:rsid w:val="003726AE"/>
    <w:rsid w:val="00372950"/>
    <w:rsid w:val="00372DDA"/>
    <w:rsid w:val="003733C1"/>
    <w:rsid w:val="00373744"/>
    <w:rsid w:val="003740A7"/>
    <w:rsid w:val="003742AB"/>
    <w:rsid w:val="00374521"/>
    <w:rsid w:val="00374947"/>
    <w:rsid w:val="00374C64"/>
    <w:rsid w:val="0037551C"/>
    <w:rsid w:val="00375B8B"/>
    <w:rsid w:val="003764BC"/>
    <w:rsid w:val="00376619"/>
    <w:rsid w:val="00376A35"/>
    <w:rsid w:val="00376E16"/>
    <w:rsid w:val="00377034"/>
    <w:rsid w:val="0037749C"/>
    <w:rsid w:val="003777A4"/>
    <w:rsid w:val="00377940"/>
    <w:rsid w:val="00380397"/>
    <w:rsid w:val="003803E1"/>
    <w:rsid w:val="0038090A"/>
    <w:rsid w:val="00381539"/>
    <w:rsid w:val="0038192D"/>
    <w:rsid w:val="00381B19"/>
    <w:rsid w:val="00381F48"/>
    <w:rsid w:val="00381FDB"/>
    <w:rsid w:val="003820AF"/>
    <w:rsid w:val="003826A1"/>
    <w:rsid w:val="00382D18"/>
    <w:rsid w:val="00383082"/>
    <w:rsid w:val="00383296"/>
    <w:rsid w:val="003836D9"/>
    <w:rsid w:val="0038370F"/>
    <w:rsid w:val="003837C1"/>
    <w:rsid w:val="00383A87"/>
    <w:rsid w:val="00383B12"/>
    <w:rsid w:val="00383D81"/>
    <w:rsid w:val="00384133"/>
    <w:rsid w:val="00384A12"/>
    <w:rsid w:val="00385A19"/>
    <w:rsid w:val="00385ADB"/>
    <w:rsid w:val="0038604D"/>
    <w:rsid w:val="00386072"/>
    <w:rsid w:val="003864C5"/>
    <w:rsid w:val="0038658D"/>
    <w:rsid w:val="003867F7"/>
    <w:rsid w:val="00386A90"/>
    <w:rsid w:val="00386AD9"/>
    <w:rsid w:val="00386E14"/>
    <w:rsid w:val="00386E84"/>
    <w:rsid w:val="00387030"/>
    <w:rsid w:val="003873C4"/>
    <w:rsid w:val="003877C5"/>
    <w:rsid w:val="003878D1"/>
    <w:rsid w:val="003879CE"/>
    <w:rsid w:val="00387A69"/>
    <w:rsid w:val="003903BA"/>
    <w:rsid w:val="003904B6"/>
    <w:rsid w:val="003908E2"/>
    <w:rsid w:val="003909AD"/>
    <w:rsid w:val="00390C74"/>
    <w:rsid w:val="00390CCC"/>
    <w:rsid w:val="00390D7C"/>
    <w:rsid w:val="00391212"/>
    <w:rsid w:val="0039134A"/>
    <w:rsid w:val="003913DC"/>
    <w:rsid w:val="0039170C"/>
    <w:rsid w:val="0039199F"/>
    <w:rsid w:val="00391A00"/>
    <w:rsid w:val="00391AB6"/>
    <w:rsid w:val="00391D51"/>
    <w:rsid w:val="0039282A"/>
    <w:rsid w:val="00392B21"/>
    <w:rsid w:val="00393440"/>
    <w:rsid w:val="003937C5"/>
    <w:rsid w:val="00393B9D"/>
    <w:rsid w:val="003943DF"/>
    <w:rsid w:val="00394A8D"/>
    <w:rsid w:val="00394E07"/>
    <w:rsid w:val="0039505C"/>
    <w:rsid w:val="00395556"/>
    <w:rsid w:val="00395D86"/>
    <w:rsid w:val="00395F2E"/>
    <w:rsid w:val="003960A2"/>
    <w:rsid w:val="003961C0"/>
    <w:rsid w:val="003962F2"/>
    <w:rsid w:val="003966BE"/>
    <w:rsid w:val="00396E7C"/>
    <w:rsid w:val="00396F87"/>
    <w:rsid w:val="003972AC"/>
    <w:rsid w:val="00397A76"/>
    <w:rsid w:val="00397DA8"/>
    <w:rsid w:val="00397E3D"/>
    <w:rsid w:val="003A12D3"/>
    <w:rsid w:val="003A182D"/>
    <w:rsid w:val="003A19B7"/>
    <w:rsid w:val="003A1E6B"/>
    <w:rsid w:val="003A2108"/>
    <w:rsid w:val="003A2E14"/>
    <w:rsid w:val="003A309A"/>
    <w:rsid w:val="003A3778"/>
    <w:rsid w:val="003A407A"/>
    <w:rsid w:val="003A4158"/>
    <w:rsid w:val="003A424A"/>
    <w:rsid w:val="003A4B02"/>
    <w:rsid w:val="003A504F"/>
    <w:rsid w:val="003A54A3"/>
    <w:rsid w:val="003A5FA9"/>
    <w:rsid w:val="003A61BD"/>
    <w:rsid w:val="003A62C1"/>
    <w:rsid w:val="003A686F"/>
    <w:rsid w:val="003A68B0"/>
    <w:rsid w:val="003A69F8"/>
    <w:rsid w:val="003A6A5A"/>
    <w:rsid w:val="003A6F72"/>
    <w:rsid w:val="003A778F"/>
    <w:rsid w:val="003B0411"/>
    <w:rsid w:val="003B07AF"/>
    <w:rsid w:val="003B083E"/>
    <w:rsid w:val="003B0AB0"/>
    <w:rsid w:val="003B0E52"/>
    <w:rsid w:val="003B103E"/>
    <w:rsid w:val="003B10D1"/>
    <w:rsid w:val="003B15EA"/>
    <w:rsid w:val="003B1869"/>
    <w:rsid w:val="003B1A4A"/>
    <w:rsid w:val="003B1E9B"/>
    <w:rsid w:val="003B22D8"/>
    <w:rsid w:val="003B22E5"/>
    <w:rsid w:val="003B2A42"/>
    <w:rsid w:val="003B2B53"/>
    <w:rsid w:val="003B2E4A"/>
    <w:rsid w:val="003B35D5"/>
    <w:rsid w:val="003B35E8"/>
    <w:rsid w:val="003B3DBD"/>
    <w:rsid w:val="003B3E2D"/>
    <w:rsid w:val="003B3FB4"/>
    <w:rsid w:val="003B404D"/>
    <w:rsid w:val="003B49E6"/>
    <w:rsid w:val="003B4CB8"/>
    <w:rsid w:val="003B526A"/>
    <w:rsid w:val="003B53B8"/>
    <w:rsid w:val="003B5840"/>
    <w:rsid w:val="003B5AD5"/>
    <w:rsid w:val="003B5E45"/>
    <w:rsid w:val="003B64EB"/>
    <w:rsid w:val="003B67BD"/>
    <w:rsid w:val="003B6814"/>
    <w:rsid w:val="003B7158"/>
    <w:rsid w:val="003B7704"/>
    <w:rsid w:val="003B785F"/>
    <w:rsid w:val="003B790B"/>
    <w:rsid w:val="003B7C22"/>
    <w:rsid w:val="003C02E1"/>
    <w:rsid w:val="003C0478"/>
    <w:rsid w:val="003C0509"/>
    <w:rsid w:val="003C05E5"/>
    <w:rsid w:val="003C0AC3"/>
    <w:rsid w:val="003C0DEC"/>
    <w:rsid w:val="003C11E9"/>
    <w:rsid w:val="003C137F"/>
    <w:rsid w:val="003C13C3"/>
    <w:rsid w:val="003C15BD"/>
    <w:rsid w:val="003C17BA"/>
    <w:rsid w:val="003C19F6"/>
    <w:rsid w:val="003C21AB"/>
    <w:rsid w:val="003C237B"/>
    <w:rsid w:val="003C2556"/>
    <w:rsid w:val="003C26D9"/>
    <w:rsid w:val="003C2AA0"/>
    <w:rsid w:val="003C2B19"/>
    <w:rsid w:val="003C2C83"/>
    <w:rsid w:val="003C3376"/>
    <w:rsid w:val="003C3419"/>
    <w:rsid w:val="003C391E"/>
    <w:rsid w:val="003C39B2"/>
    <w:rsid w:val="003C3BA3"/>
    <w:rsid w:val="003C3C9D"/>
    <w:rsid w:val="003C3CA7"/>
    <w:rsid w:val="003C4161"/>
    <w:rsid w:val="003C41B6"/>
    <w:rsid w:val="003C44FB"/>
    <w:rsid w:val="003C46AE"/>
    <w:rsid w:val="003C46C5"/>
    <w:rsid w:val="003C4B5F"/>
    <w:rsid w:val="003C526E"/>
    <w:rsid w:val="003C53C0"/>
    <w:rsid w:val="003C5D7B"/>
    <w:rsid w:val="003C5D95"/>
    <w:rsid w:val="003C6133"/>
    <w:rsid w:val="003C6D98"/>
    <w:rsid w:val="003C700A"/>
    <w:rsid w:val="003C70FF"/>
    <w:rsid w:val="003C7988"/>
    <w:rsid w:val="003D03B6"/>
    <w:rsid w:val="003D0441"/>
    <w:rsid w:val="003D0A8A"/>
    <w:rsid w:val="003D0A9E"/>
    <w:rsid w:val="003D0B3A"/>
    <w:rsid w:val="003D0B72"/>
    <w:rsid w:val="003D0C60"/>
    <w:rsid w:val="003D0CD0"/>
    <w:rsid w:val="003D28BC"/>
    <w:rsid w:val="003D2976"/>
    <w:rsid w:val="003D2B67"/>
    <w:rsid w:val="003D2CB4"/>
    <w:rsid w:val="003D2E1C"/>
    <w:rsid w:val="003D30B1"/>
    <w:rsid w:val="003D365D"/>
    <w:rsid w:val="003D3AB6"/>
    <w:rsid w:val="003D3D9E"/>
    <w:rsid w:val="003D3E19"/>
    <w:rsid w:val="003D4241"/>
    <w:rsid w:val="003D448C"/>
    <w:rsid w:val="003D4A14"/>
    <w:rsid w:val="003D4D57"/>
    <w:rsid w:val="003D536A"/>
    <w:rsid w:val="003D539B"/>
    <w:rsid w:val="003D54A4"/>
    <w:rsid w:val="003D555E"/>
    <w:rsid w:val="003D55CD"/>
    <w:rsid w:val="003D56BB"/>
    <w:rsid w:val="003D57E4"/>
    <w:rsid w:val="003D5D0D"/>
    <w:rsid w:val="003D5D1C"/>
    <w:rsid w:val="003D5FAF"/>
    <w:rsid w:val="003D62E6"/>
    <w:rsid w:val="003D6403"/>
    <w:rsid w:val="003D6497"/>
    <w:rsid w:val="003D6AEC"/>
    <w:rsid w:val="003D728D"/>
    <w:rsid w:val="003D76C7"/>
    <w:rsid w:val="003D7D6E"/>
    <w:rsid w:val="003D7FE3"/>
    <w:rsid w:val="003E0363"/>
    <w:rsid w:val="003E0819"/>
    <w:rsid w:val="003E0F59"/>
    <w:rsid w:val="003E118B"/>
    <w:rsid w:val="003E12CD"/>
    <w:rsid w:val="003E159D"/>
    <w:rsid w:val="003E160A"/>
    <w:rsid w:val="003E1A13"/>
    <w:rsid w:val="003E1C91"/>
    <w:rsid w:val="003E1E57"/>
    <w:rsid w:val="003E21AE"/>
    <w:rsid w:val="003E2505"/>
    <w:rsid w:val="003E27C0"/>
    <w:rsid w:val="003E2C06"/>
    <w:rsid w:val="003E38E2"/>
    <w:rsid w:val="003E3D7B"/>
    <w:rsid w:val="003E4A9C"/>
    <w:rsid w:val="003E4FA0"/>
    <w:rsid w:val="003E5E52"/>
    <w:rsid w:val="003E631C"/>
    <w:rsid w:val="003E64AB"/>
    <w:rsid w:val="003E673A"/>
    <w:rsid w:val="003E6911"/>
    <w:rsid w:val="003E6A3D"/>
    <w:rsid w:val="003E6AF8"/>
    <w:rsid w:val="003E6B96"/>
    <w:rsid w:val="003E721C"/>
    <w:rsid w:val="003E76ED"/>
    <w:rsid w:val="003E779A"/>
    <w:rsid w:val="003E7FF0"/>
    <w:rsid w:val="003F03C8"/>
    <w:rsid w:val="003F0452"/>
    <w:rsid w:val="003F0A5C"/>
    <w:rsid w:val="003F0A67"/>
    <w:rsid w:val="003F1056"/>
    <w:rsid w:val="003F1485"/>
    <w:rsid w:val="003F15FE"/>
    <w:rsid w:val="003F1F8F"/>
    <w:rsid w:val="003F21ED"/>
    <w:rsid w:val="003F2650"/>
    <w:rsid w:val="003F33D9"/>
    <w:rsid w:val="003F34B8"/>
    <w:rsid w:val="003F3A03"/>
    <w:rsid w:val="003F3FA1"/>
    <w:rsid w:val="003F3FFD"/>
    <w:rsid w:val="003F4158"/>
    <w:rsid w:val="003F4935"/>
    <w:rsid w:val="003F5141"/>
    <w:rsid w:val="003F54BD"/>
    <w:rsid w:val="003F6B22"/>
    <w:rsid w:val="003F6DCC"/>
    <w:rsid w:val="003F6F89"/>
    <w:rsid w:val="003F7556"/>
    <w:rsid w:val="003F7A98"/>
    <w:rsid w:val="004001E0"/>
    <w:rsid w:val="0040025D"/>
    <w:rsid w:val="00400674"/>
    <w:rsid w:val="00400CD7"/>
    <w:rsid w:val="00400CDE"/>
    <w:rsid w:val="0040146A"/>
    <w:rsid w:val="0040158A"/>
    <w:rsid w:val="0040158F"/>
    <w:rsid w:val="004019AB"/>
    <w:rsid w:val="004023A2"/>
    <w:rsid w:val="004023E5"/>
    <w:rsid w:val="00402671"/>
    <w:rsid w:val="00403124"/>
    <w:rsid w:val="00403457"/>
    <w:rsid w:val="00403ACC"/>
    <w:rsid w:val="00403D11"/>
    <w:rsid w:val="00404457"/>
    <w:rsid w:val="0040469F"/>
    <w:rsid w:val="004048D9"/>
    <w:rsid w:val="00404945"/>
    <w:rsid w:val="00404B0C"/>
    <w:rsid w:val="00404C27"/>
    <w:rsid w:val="0040506D"/>
    <w:rsid w:val="0040571A"/>
    <w:rsid w:val="0040578D"/>
    <w:rsid w:val="0040591E"/>
    <w:rsid w:val="00405BEE"/>
    <w:rsid w:val="00405DC5"/>
    <w:rsid w:val="00406085"/>
    <w:rsid w:val="004065D5"/>
    <w:rsid w:val="00406727"/>
    <w:rsid w:val="004067AF"/>
    <w:rsid w:val="00406B0B"/>
    <w:rsid w:val="00406C9F"/>
    <w:rsid w:val="004074A9"/>
    <w:rsid w:val="004077D3"/>
    <w:rsid w:val="00407C8E"/>
    <w:rsid w:val="00407DF7"/>
    <w:rsid w:val="00410203"/>
    <w:rsid w:val="004105FC"/>
    <w:rsid w:val="0041070B"/>
    <w:rsid w:val="00410775"/>
    <w:rsid w:val="00410BCF"/>
    <w:rsid w:val="00410BDB"/>
    <w:rsid w:val="00410E7D"/>
    <w:rsid w:val="00411249"/>
    <w:rsid w:val="00411403"/>
    <w:rsid w:val="00411467"/>
    <w:rsid w:val="004116CC"/>
    <w:rsid w:val="00411944"/>
    <w:rsid w:val="00411CE6"/>
    <w:rsid w:val="00411D42"/>
    <w:rsid w:val="00412888"/>
    <w:rsid w:val="004129E1"/>
    <w:rsid w:val="00412D69"/>
    <w:rsid w:val="00412FD1"/>
    <w:rsid w:val="00413392"/>
    <w:rsid w:val="00413565"/>
    <w:rsid w:val="00413927"/>
    <w:rsid w:val="00413CBC"/>
    <w:rsid w:val="00414332"/>
    <w:rsid w:val="004143BA"/>
    <w:rsid w:val="004148A5"/>
    <w:rsid w:val="00414A37"/>
    <w:rsid w:val="00414EE2"/>
    <w:rsid w:val="0041516E"/>
    <w:rsid w:val="004156D7"/>
    <w:rsid w:val="0041590F"/>
    <w:rsid w:val="00415BDC"/>
    <w:rsid w:val="00415F8E"/>
    <w:rsid w:val="0041622B"/>
    <w:rsid w:val="00416257"/>
    <w:rsid w:val="0041643C"/>
    <w:rsid w:val="00416DE6"/>
    <w:rsid w:val="00416EE2"/>
    <w:rsid w:val="0041733B"/>
    <w:rsid w:val="00417411"/>
    <w:rsid w:val="00417814"/>
    <w:rsid w:val="00420273"/>
    <w:rsid w:val="00420675"/>
    <w:rsid w:val="00420862"/>
    <w:rsid w:val="00420B78"/>
    <w:rsid w:val="00420BB7"/>
    <w:rsid w:val="004219A4"/>
    <w:rsid w:val="0042275D"/>
    <w:rsid w:val="00422996"/>
    <w:rsid w:val="004229FE"/>
    <w:rsid w:val="00422D5F"/>
    <w:rsid w:val="004235C3"/>
    <w:rsid w:val="00423DD6"/>
    <w:rsid w:val="0042441B"/>
    <w:rsid w:val="004246B9"/>
    <w:rsid w:val="00424896"/>
    <w:rsid w:val="0042492B"/>
    <w:rsid w:val="00424CE9"/>
    <w:rsid w:val="00424CFF"/>
    <w:rsid w:val="00425483"/>
    <w:rsid w:val="0042552A"/>
    <w:rsid w:val="00425852"/>
    <w:rsid w:val="0042613F"/>
    <w:rsid w:val="00426883"/>
    <w:rsid w:val="00426D50"/>
    <w:rsid w:val="00426E99"/>
    <w:rsid w:val="00426F74"/>
    <w:rsid w:val="00427131"/>
    <w:rsid w:val="00427377"/>
    <w:rsid w:val="00427C0C"/>
    <w:rsid w:val="00427D21"/>
    <w:rsid w:val="00430216"/>
    <w:rsid w:val="00430669"/>
    <w:rsid w:val="004306BA"/>
    <w:rsid w:val="00430AE4"/>
    <w:rsid w:val="00430D2A"/>
    <w:rsid w:val="00430FD9"/>
    <w:rsid w:val="00431031"/>
    <w:rsid w:val="00431594"/>
    <w:rsid w:val="004316DF"/>
    <w:rsid w:val="004318B3"/>
    <w:rsid w:val="00431A0D"/>
    <w:rsid w:val="00432052"/>
    <w:rsid w:val="0043217C"/>
    <w:rsid w:val="0043220E"/>
    <w:rsid w:val="0043278C"/>
    <w:rsid w:val="00432902"/>
    <w:rsid w:val="004329A8"/>
    <w:rsid w:val="00432E79"/>
    <w:rsid w:val="00432F24"/>
    <w:rsid w:val="00432F80"/>
    <w:rsid w:val="0043332F"/>
    <w:rsid w:val="004334ED"/>
    <w:rsid w:val="004339B7"/>
    <w:rsid w:val="0043406D"/>
    <w:rsid w:val="00434633"/>
    <w:rsid w:val="00434CA8"/>
    <w:rsid w:val="00434DE0"/>
    <w:rsid w:val="00434FFE"/>
    <w:rsid w:val="00435764"/>
    <w:rsid w:val="00435B02"/>
    <w:rsid w:val="00435CA8"/>
    <w:rsid w:val="00435F25"/>
    <w:rsid w:val="0043614D"/>
    <w:rsid w:val="00436186"/>
    <w:rsid w:val="0043670D"/>
    <w:rsid w:val="004367F4"/>
    <w:rsid w:val="004368B6"/>
    <w:rsid w:val="00436946"/>
    <w:rsid w:val="00436983"/>
    <w:rsid w:val="00436D85"/>
    <w:rsid w:val="00436FFE"/>
    <w:rsid w:val="00437BD8"/>
    <w:rsid w:val="00437F80"/>
    <w:rsid w:val="00440625"/>
    <w:rsid w:val="00440E31"/>
    <w:rsid w:val="00441624"/>
    <w:rsid w:val="00441E65"/>
    <w:rsid w:val="00442129"/>
    <w:rsid w:val="0044260F"/>
    <w:rsid w:val="00442A99"/>
    <w:rsid w:val="004432C9"/>
    <w:rsid w:val="004438D6"/>
    <w:rsid w:val="00443CDA"/>
    <w:rsid w:val="00443E3C"/>
    <w:rsid w:val="00443F79"/>
    <w:rsid w:val="00443FA2"/>
    <w:rsid w:val="004440F2"/>
    <w:rsid w:val="004447E5"/>
    <w:rsid w:val="004448B9"/>
    <w:rsid w:val="00444A8C"/>
    <w:rsid w:val="00444ACD"/>
    <w:rsid w:val="00444D12"/>
    <w:rsid w:val="00444DB2"/>
    <w:rsid w:val="00445211"/>
    <w:rsid w:val="00445333"/>
    <w:rsid w:val="004453FD"/>
    <w:rsid w:val="00445784"/>
    <w:rsid w:val="004459AF"/>
    <w:rsid w:val="004461F7"/>
    <w:rsid w:val="004463CD"/>
    <w:rsid w:val="00446DED"/>
    <w:rsid w:val="00446EDF"/>
    <w:rsid w:val="00447181"/>
    <w:rsid w:val="004473C3"/>
    <w:rsid w:val="00447888"/>
    <w:rsid w:val="004479BD"/>
    <w:rsid w:val="00447CF1"/>
    <w:rsid w:val="00447EE1"/>
    <w:rsid w:val="00450325"/>
    <w:rsid w:val="004507C1"/>
    <w:rsid w:val="00450883"/>
    <w:rsid w:val="004508C6"/>
    <w:rsid w:val="00450C0D"/>
    <w:rsid w:val="00450CE0"/>
    <w:rsid w:val="0045140F"/>
    <w:rsid w:val="0045180A"/>
    <w:rsid w:val="0045190C"/>
    <w:rsid w:val="004523F8"/>
    <w:rsid w:val="00452828"/>
    <w:rsid w:val="00452B35"/>
    <w:rsid w:val="00453B8A"/>
    <w:rsid w:val="00453CD8"/>
    <w:rsid w:val="00453F94"/>
    <w:rsid w:val="00453F9C"/>
    <w:rsid w:val="0045437C"/>
    <w:rsid w:val="00454727"/>
    <w:rsid w:val="0045484F"/>
    <w:rsid w:val="00454980"/>
    <w:rsid w:val="00454C75"/>
    <w:rsid w:val="00455306"/>
    <w:rsid w:val="00455799"/>
    <w:rsid w:val="004557F1"/>
    <w:rsid w:val="00455DE2"/>
    <w:rsid w:val="00456142"/>
    <w:rsid w:val="004563EF"/>
    <w:rsid w:val="00456788"/>
    <w:rsid w:val="004568E0"/>
    <w:rsid w:val="00456BFD"/>
    <w:rsid w:val="00456C23"/>
    <w:rsid w:val="00456D59"/>
    <w:rsid w:val="00456FB5"/>
    <w:rsid w:val="00457002"/>
    <w:rsid w:val="00457701"/>
    <w:rsid w:val="00457801"/>
    <w:rsid w:val="004578A2"/>
    <w:rsid w:val="00457B6C"/>
    <w:rsid w:val="00457DC6"/>
    <w:rsid w:val="00460859"/>
    <w:rsid w:val="004608CD"/>
    <w:rsid w:val="00460B46"/>
    <w:rsid w:val="00460CF6"/>
    <w:rsid w:val="00460DD2"/>
    <w:rsid w:val="00460DED"/>
    <w:rsid w:val="00461926"/>
    <w:rsid w:val="00461CC1"/>
    <w:rsid w:val="0046264E"/>
    <w:rsid w:val="004626A3"/>
    <w:rsid w:val="00462DA7"/>
    <w:rsid w:val="00463A1D"/>
    <w:rsid w:val="00463EE0"/>
    <w:rsid w:val="004641E7"/>
    <w:rsid w:val="00464265"/>
    <w:rsid w:val="00464917"/>
    <w:rsid w:val="00465003"/>
    <w:rsid w:val="00465042"/>
    <w:rsid w:val="00465271"/>
    <w:rsid w:val="00465467"/>
    <w:rsid w:val="00465ACE"/>
    <w:rsid w:val="00465B82"/>
    <w:rsid w:val="00465BC9"/>
    <w:rsid w:val="00465D78"/>
    <w:rsid w:val="00466FD2"/>
    <w:rsid w:val="00467335"/>
    <w:rsid w:val="004674B4"/>
    <w:rsid w:val="004674E2"/>
    <w:rsid w:val="00467CB2"/>
    <w:rsid w:val="00470218"/>
    <w:rsid w:val="00470372"/>
    <w:rsid w:val="004708B5"/>
    <w:rsid w:val="00470AD1"/>
    <w:rsid w:val="00470E63"/>
    <w:rsid w:val="00470FB7"/>
    <w:rsid w:val="00471109"/>
    <w:rsid w:val="0047113A"/>
    <w:rsid w:val="004716F5"/>
    <w:rsid w:val="004725DB"/>
    <w:rsid w:val="00472756"/>
    <w:rsid w:val="00472847"/>
    <w:rsid w:val="0047339D"/>
    <w:rsid w:val="004735D7"/>
    <w:rsid w:val="004738B8"/>
    <w:rsid w:val="00473C0C"/>
    <w:rsid w:val="00473DE9"/>
    <w:rsid w:val="00473E4A"/>
    <w:rsid w:val="00473F06"/>
    <w:rsid w:val="004744D1"/>
    <w:rsid w:val="0047530D"/>
    <w:rsid w:val="0047532B"/>
    <w:rsid w:val="00475A86"/>
    <w:rsid w:val="00475A91"/>
    <w:rsid w:val="00475DAA"/>
    <w:rsid w:val="00475E6F"/>
    <w:rsid w:val="00475F77"/>
    <w:rsid w:val="0047650A"/>
    <w:rsid w:val="00476820"/>
    <w:rsid w:val="00476909"/>
    <w:rsid w:val="004769AB"/>
    <w:rsid w:val="00476FFC"/>
    <w:rsid w:val="004773C5"/>
    <w:rsid w:val="00477821"/>
    <w:rsid w:val="00477936"/>
    <w:rsid w:val="0048030E"/>
    <w:rsid w:val="0048050C"/>
    <w:rsid w:val="0048065C"/>
    <w:rsid w:val="0048083A"/>
    <w:rsid w:val="0048094F"/>
    <w:rsid w:val="00480CAE"/>
    <w:rsid w:val="004812D7"/>
    <w:rsid w:val="00481FE3"/>
    <w:rsid w:val="00482500"/>
    <w:rsid w:val="00482738"/>
    <w:rsid w:val="0048277A"/>
    <w:rsid w:val="00482C6C"/>
    <w:rsid w:val="00482DA3"/>
    <w:rsid w:val="004830A1"/>
    <w:rsid w:val="004837EC"/>
    <w:rsid w:val="004838B5"/>
    <w:rsid w:val="00483DA0"/>
    <w:rsid w:val="00483E36"/>
    <w:rsid w:val="004848E8"/>
    <w:rsid w:val="00484D96"/>
    <w:rsid w:val="004859B9"/>
    <w:rsid w:val="00485A8B"/>
    <w:rsid w:val="00485C55"/>
    <w:rsid w:val="0048629D"/>
    <w:rsid w:val="00486553"/>
    <w:rsid w:val="0048688D"/>
    <w:rsid w:val="004868E3"/>
    <w:rsid w:val="004869A0"/>
    <w:rsid w:val="00487125"/>
    <w:rsid w:val="0048746C"/>
    <w:rsid w:val="00487582"/>
    <w:rsid w:val="00487788"/>
    <w:rsid w:val="00490068"/>
    <w:rsid w:val="00490080"/>
    <w:rsid w:val="004902EB"/>
    <w:rsid w:val="00490335"/>
    <w:rsid w:val="00490369"/>
    <w:rsid w:val="00490779"/>
    <w:rsid w:val="004909D7"/>
    <w:rsid w:val="004909DF"/>
    <w:rsid w:val="00490CF4"/>
    <w:rsid w:val="00491277"/>
    <w:rsid w:val="00491556"/>
    <w:rsid w:val="00491753"/>
    <w:rsid w:val="004917B0"/>
    <w:rsid w:val="004917E6"/>
    <w:rsid w:val="00491A7A"/>
    <w:rsid w:val="00492682"/>
    <w:rsid w:val="004928C5"/>
    <w:rsid w:val="00492900"/>
    <w:rsid w:val="00492A35"/>
    <w:rsid w:val="00493590"/>
    <w:rsid w:val="004935A7"/>
    <w:rsid w:val="0049373D"/>
    <w:rsid w:val="0049386E"/>
    <w:rsid w:val="0049388E"/>
    <w:rsid w:val="00493EAC"/>
    <w:rsid w:val="004941DC"/>
    <w:rsid w:val="00495278"/>
    <w:rsid w:val="004952FA"/>
    <w:rsid w:val="00496957"/>
    <w:rsid w:val="00496AD3"/>
    <w:rsid w:val="00497392"/>
    <w:rsid w:val="004973E5"/>
    <w:rsid w:val="00497F10"/>
    <w:rsid w:val="004A04FA"/>
    <w:rsid w:val="004A0708"/>
    <w:rsid w:val="004A0919"/>
    <w:rsid w:val="004A110D"/>
    <w:rsid w:val="004A172F"/>
    <w:rsid w:val="004A1AEB"/>
    <w:rsid w:val="004A1C0C"/>
    <w:rsid w:val="004A1C61"/>
    <w:rsid w:val="004A25A3"/>
    <w:rsid w:val="004A29E0"/>
    <w:rsid w:val="004A2C76"/>
    <w:rsid w:val="004A2F30"/>
    <w:rsid w:val="004A33F7"/>
    <w:rsid w:val="004A3BA5"/>
    <w:rsid w:val="004A3DAE"/>
    <w:rsid w:val="004A3EB5"/>
    <w:rsid w:val="004A472C"/>
    <w:rsid w:val="004A4758"/>
    <w:rsid w:val="004A4C8C"/>
    <w:rsid w:val="004A5199"/>
    <w:rsid w:val="004A522C"/>
    <w:rsid w:val="004A567A"/>
    <w:rsid w:val="004A56D1"/>
    <w:rsid w:val="004A5EF2"/>
    <w:rsid w:val="004A5F17"/>
    <w:rsid w:val="004A5F3B"/>
    <w:rsid w:val="004A60F0"/>
    <w:rsid w:val="004A619D"/>
    <w:rsid w:val="004A6313"/>
    <w:rsid w:val="004A682D"/>
    <w:rsid w:val="004A6B7B"/>
    <w:rsid w:val="004A6D4F"/>
    <w:rsid w:val="004A7EEA"/>
    <w:rsid w:val="004B01DF"/>
    <w:rsid w:val="004B029D"/>
    <w:rsid w:val="004B0A50"/>
    <w:rsid w:val="004B0AA3"/>
    <w:rsid w:val="004B0C3F"/>
    <w:rsid w:val="004B0D03"/>
    <w:rsid w:val="004B12B3"/>
    <w:rsid w:val="004B18AC"/>
    <w:rsid w:val="004B2933"/>
    <w:rsid w:val="004B2B9E"/>
    <w:rsid w:val="004B2EBC"/>
    <w:rsid w:val="004B3151"/>
    <w:rsid w:val="004B395E"/>
    <w:rsid w:val="004B42C0"/>
    <w:rsid w:val="004B42D6"/>
    <w:rsid w:val="004B4347"/>
    <w:rsid w:val="004B4485"/>
    <w:rsid w:val="004B468F"/>
    <w:rsid w:val="004B4B03"/>
    <w:rsid w:val="004B4C90"/>
    <w:rsid w:val="004B4F98"/>
    <w:rsid w:val="004B4FE2"/>
    <w:rsid w:val="004B5215"/>
    <w:rsid w:val="004B522A"/>
    <w:rsid w:val="004B560C"/>
    <w:rsid w:val="004B5B15"/>
    <w:rsid w:val="004B6380"/>
    <w:rsid w:val="004B642C"/>
    <w:rsid w:val="004B6834"/>
    <w:rsid w:val="004B6BD7"/>
    <w:rsid w:val="004B7C02"/>
    <w:rsid w:val="004B7F2A"/>
    <w:rsid w:val="004C0152"/>
    <w:rsid w:val="004C023A"/>
    <w:rsid w:val="004C0AB0"/>
    <w:rsid w:val="004C0C0B"/>
    <w:rsid w:val="004C0D89"/>
    <w:rsid w:val="004C16B2"/>
    <w:rsid w:val="004C1927"/>
    <w:rsid w:val="004C1B9B"/>
    <w:rsid w:val="004C1BE1"/>
    <w:rsid w:val="004C202F"/>
    <w:rsid w:val="004C20D6"/>
    <w:rsid w:val="004C2333"/>
    <w:rsid w:val="004C2A11"/>
    <w:rsid w:val="004C2B8F"/>
    <w:rsid w:val="004C2CFB"/>
    <w:rsid w:val="004C3311"/>
    <w:rsid w:val="004C34BF"/>
    <w:rsid w:val="004C3A7A"/>
    <w:rsid w:val="004C3B26"/>
    <w:rsid w:val="004C3CB0"/>
    <w:rsid w:val="004C3DAE"/>
    <w:rsid w:val="004C3E18"/>
    <w:rsid w:val="004C4000"/>
    <w:rsid w:val="004C430C"/>
    <w:rsid w:val="004C4BC4"/>
    <w:rsid w:val="004C5866"/>
    <w:rsid w:val="004C604F"/>
    <w:rsid w:val="004C6521"/>
    <w:rsid w:val="004C6629"/>
    <w:rsid w:val="004C6A57"/>
    <w:rsid w:val="004C6B41"/>
    <w:rsid w:val="004C74EF"/>
    <w:rsid w:val="004C7733"/>
    <w:rsid w:val="004C7C32"/>
    <w:rsid w:val="004D018C"/>
    <w:rsid w:val="004D044A"/>
    <w:rsid w:val="004D0D22"/>
    <w:rsid w:val="004D0E95"/>
    <w:rsid w:val="004D17C3"/>
    <w:rsid w:val="004D1CED"/>
    <w:rsid w:val="004D1E28"/>
    <w:rsid w:val="004D1F6C"/>
    <w:rsid w:val="004D2502"/>
    <w:rsid w:val="004D2558"/>
    <w:rsid w:val="004D25CA"/>
    <w:rsid w:val="004D2886"/>
    <w:rsid w:val="004D2DAD"/>
    <w:rsid w:val="004D34F7"/>
    <w:rsid w:val="004D37B8"/>
    <w:rsid w:val="004D37D1"/>
    <w:rsid w:val="004D3BAF"/>
    <w:rsid w:val="004D3CEE"/>
    <w:rsid w:val="004D3FF4"/>
    <w:rsid w:val="004D4CF5"/>
    <w:rsid w:val="004D4EC1"/>
    <w:rsid w:val="004D5426"/>
    <w:rsid w:val="004D549A"/>
    <w:rsid w:val="004D55FA"/>
    <w:rsid w:val="004D5922"/>
    <w:rsid w:val="004D5BD2"/>
    <w:rsid w:val="004D5C43"/>
    <w:rsid w:val="004D5D36"/>
    <w:rsid w:val="004D63FE"/>
    <w:rsid w:val="004D6AE1"/>
    <w:rsid w:val="004D7589"/>
    <w:rsid w:val="004D7EAD"/>
    <w:rsid w:val="004D7EF8"/>
    <w:rsid w:val="004E06EF"/>
    <w:rsid w:val="004E0DF8"/>
    <w:rsid w:val="004E1282"/>
    <w:rsid w:val="004E15B0"/>
    <w:rsid w:val="004E16A5"/>
    <w:rsid w:val="004E1A7B"/>
    <w:rsid w:val="004E1FF0"/>
    <w:rsid w:val="004E209A"/>
    <w:rsid w:val="004E20D5"/>
    <w:rsid w:val="004E2221"/>
    <w:rsid w:val="004E250C"/>
    <w:rsid w:val="004E2518"/>
    <w:rsid w:val="004E28DA"/>
    <w:rsid w:val="004E290E"/>
    <w:rsid w:val="004E2CA8"/>
    <w:rsid w:val="004E3862"/>
    <w:rsid w:val="004E3C88"/>
    <w:rsid w:val="004E4025"/>
    <w:rsid w:val="004E4145"/>
    <w:rsid w:val="004E4228"/>
    <w:rsid w:val="004E451D"/>
    <w:rsid w:val="004E48E0"/>
    <w:rsid w:val="004E4F66"/>
    <w:rsid w:val="004E4FAF"/>
    <w:rsid w:val="004E4FB3"/>
    <w:rsid w:val="004E51E2"/>
    <w:rsid w:val="004E562B"/>
    <w:rsid w:val="004E58FB"/>
    <w:rsid w:val="004E596E"/>
    <w:rsid w:val="004E59A2"/>
    <w:rsid w:val="004E6040"/>
    <w:rsid w:val="004E64B6"/>
    <w:rsid w:val="004E65CD"/>
    <w:rsid w:val="004E6867"/>
    <w:rsid w:val="004E6A5A"/>
    <w:rsid w:val="004E6B8B"/>
    <w:rsid w:val="004E74A2"/>
    <w:rsid w:val="004E7CB0"/>
    <w:rsid w:val="004E7DE4"/>
    <w:rsid w:val="004E7DE8"/>
    <w:rsid w:val="004E7F54"/>
    <w:rsid w:val="004E7FB6"/>
    <w:rsid w:val="004F01A2"/>
    <w:rsid w:val="004F0381"/>
    <w:rsid w:val="004F095F"/>
    <w:rsid w:val="004F0A2C"/>
    <w:rsid w:val="004F1335"/>
    <w:rsid w:val="004F16D3"/>
    <w:rsid w:val="004F1A05"/>
    <w:rsid w:val="004F1FC9"/>
    <w:rsid w:val="004F2360"/>
    <w:rsid w:val="004F24FF"/>
    <w:rsid w:val="004F251D"/>
    <w:rsid w:val="004F25D5"/>
    <w:rsid w:val="004F263C"/>
    <w:rsid w:val="004F2782"/>
    <w:rsid w:val="004F2C31"/>
    <w:rsid w:val="004F323A"/>
    <w:rsid w:val="004F3475"/>
    <w:rsid w:val="004F3975"/>
    <w:rsid w:val="004F39AA"/>
    <w:rsid w:val="004F3B39"/>
    <w:rsid w:val="004F3E91"/>
    <w:rsid w:val="004F408B"/>
    <w:rsid w:val="004F4707"/>
    <w:rsid w:val="004F4916"/>
    <w:rsid w:val="004F4C51"/>
    <w:rsid w:val="004F5933"/>
    <w:rsid w:val="004F5DAB"/>
    <w:rsid w:val="004F6046"/>
    <w:rsid w:val="004F60B8"/>
    <w:rsid w:val="004F66BD"/>
    <w:rsid w:val="004F6BC4"/>
    <w:rsid w:val="004F733A"/>
    <w:rsid w:val="004F733E"/>
    <w:rsid w:val="004F751B"/>
    <w:rsid w:val="004F7880"/>
    <w:rsid w:val="004F79E6"/>
    <w:rsid w:val="0050010F"/>
    <w:rsid w:val="00500644"/>
    <w:rsid w:val="00500A95"/>
    <w:rsid w:val="00500F56"/>
    <w:rsid w:val="005013D1"/>
    <w:rsid w:val="00501659"/>
    <w:rsid w:val="0050188E"/>
    <w:rsid w:val="005021A2"/>
    <w:rsid w:val="00502351"/>
    <w:rsid w:val="00502668"/>
    <w:rsid w:val="00502C69"/>
    <w:rsid w:val="00502FFB"/>
    <w:rsid w:val="00503179"/>
    <w:rsid w:val="005031F6"/>
    <w:rsid w:val="005033A1"/>
    <w:rsid w:val="00503BFE"/>
    <w:rsid w:val="00504616"/>
    <w:rsid w:val="00504895"/>
    <w:rsid w:val="005049BB"/>
    <w:rsid w:val="00504DE6"/>
    <w:rsid w:val="00504EB4"/>
    <w:rsid w:val="00505225"/>
    <w:rsid w:val="00505333"/>
    <w:rsid w:val="00505466"/>
    <w:rsid w:val="0050570D"/>
    <w:rsid w:val="00505963"/>
    <w:rsid w:val="00505A7A"/>
    <w:rsid w:val="00506286"/>
    <w:rsid w:val="00506460"/>
    <w:rsid w:val="00506C23"/>
    <w:rsid w:val="00506DE1"/>
    <w:rsid w:val="00506E49"/>
    <w:rsid w:val="00506FE0"/>
    <w:rsid w:val="00507960"/>
    <w:rsid w:val="00507998"/>
    <w:rsid w:val="00507A48"/>
    <w:rsid w:val="00507A68"/>
    <w:rsid w:val="00507ED3"/>
    <w:rsid w:val="005109B1"/>
    <w:rsid w:val="00510A5B"/>
    <w:rsid w:val="00511495"/>
    <w:rsid w:val="00511C5D"/>
    <w:rsid w:val="00511E85"/>
    <w:rsid w:val="005121C6"/>
    <w:rsid w:val="00512432"/>
    <w:rsid w:val="00512D5E"/>
    <w:rsid w:val="00512E98"/>
    <w:rsid w:val="00512F4F"/>
    <w:rsid w:val="00513014"/>
    <w:rsid w:val="00513180"/>
    <w:rsid w:val="00513691"/>
    <w:rsid w:val="00513E89"/>
    <w:rsid w:val="00514019"/>
    <w:rsid w:val="00514185"/>
    <w:rsid w:val="0051438D"/>
    <w:rsid w:val="005148AA"/>
    <w:rsid w:val="00514DD9"/>
    <w:rsid w:val="00514F6B"/>
    <w:rsid w:val="00515502"/>
    <w:rsid w:val="00515510"/>
    <w:rsid w:val="005157D7"/>
    <w:rsid w:val="005158B8"/>
    <w:rsid w:val="00515B16"/>
    <w:rsid w:val="00515B61"/>
    <w:rsid w:val="00515D0C"/>
    <w:rsid w:val="0051666F"/>
    <w:rsid w:val="00516B00"/>
    <w:rsid w:val="00516C44"/>
    <w:rsid w:val="00516CB2"/>
    <w:rsid w:val="00516E34"/>
    <w:rsid w:val="00517132"/>
    <w:rsid w:val="0051731E"/>
    <w:rsid w:val="005174EF"/>
    <w:rsid w:val="00517DC9"/>
    <w:rsid w:val="00517F51"/>
    <w:rsid w:val="00520170"/>
    <w:rsid w:val="0052039F"/>
    <w:rsid w:val="00520843"/>
    <w:rsid w:val="00520FC3"/>
    <w:rsid w:val="005210E2"/>
    <w:rsid w:val="005211DB"/>
    <w:rsid w:val="00521608"/>
    <w:rsid w:val="005219C0"/>
    <w:rsid w:val="00521BB4"/>
    <w:rsid w:val="00521F7F"/>
    <w:rsid w:val="005220D5"/>
    <w:rsid w:val="00522875"/>
    <w:rsid w:val="00523040"/>
    <w:rsid w:val="00523393"/>
    <w:rsid w:val="00523745"/>
    <w:rsid w:val="00523C08"/>
    <w:rsid w:val="0052471C"/>
    <w:rsid w:val="005248BB"/>
    <w:rsid w:val="00524AC4"/>
    <w:rsid w:val="00524AD4"/>
    <w:rsid w:val="00524DF9"/>
    <w:rsid w:val="00524E8E"/>
    <w:rsid w:val="00524F79"/>
    <w:rsid w:val="00525297"/>
    <w:rsid w:val="0052545E"/>
    <w:rsid w:val="0052549C"/>
    <w:rsid w:val="005254A3"/>
    <w:rsid w:val="00525A72"/>
    <w:rsid w:val="00525ADE"/>
    <w:rsid w:val="00525D52"/>
    <w:rsid w:val="00525DA5"/>
    <w:rsid w:val="005260D5"/>
    <w:rsid w:val="00526547"/>
    <w:rsid w:val="005265D8"/>
    <w:rsid w:val="00526AFA"/>
    <w:rsid w:val="00526C91"/>
    <w:rsid w:val="00526F34"/>
    <w:rsid w:val="00526FFC"/>
    <w:rsid w:val="005271C4"/>
    <w:rsid w:val="00527265"/>
    <w:rsid w:val="005279E2"/>
    <w:rsid w:val="00527BF3"/>
    <w:rsid w:val="00527D1D"/>
    <w:rsid w:val="00530318"/>
    <w:rsid w:val="005303FC"/>
    <w:rsid w:val="00530573"/>
    <w:rsid w:val="00530590"/>
    <w:rsid w:val="005305FC"/>
    <w:rsid w:val="00530748"/>
    <w:rsid w:val="00531495"/>
    <w:rsid w:val="005315B2"/>
    <w:rsid w:val="00531A9D"/>
    <w:rsid w:val="00531D73"/>
    <w:rsid w:val="00532380"/>
    <w:rsid w:val="00532393"/>
    <w:rsid w:val="005323F7"/>
    <w:rsid w:val="0053257E"/>
    <w:rsid w:val="005327A5"/>
    <w:rsid w:val="00532E6B"/>
    <w:rsid w:val="005333D8"/>
    <w:rsid w:val="005334C7"/>
    <w:rsid w:val="0053396E"/>
    <w:rsid w:val="005340AA"/>
    <w:rsid w:val="0053494D"/>
    <w:rsid w:val="00534A4A"/>
    <w:rsid w:val="00534E6C"/>
    <w:rsid w:val="00535202"/>
    <w:rsid w:val="00535377"/>
    <w:rsid w:val="005357E8"/>
    <w:rsid w:val="00535A4B"/>
    <w:rsid w:val="00535AFE"/>
    <w:rsid w:val="00535D55"/>
    <w:rsid w:val="00535F57"/>
    <w:rsid w:val="00535F84"/>
    <w:rsid w:val="0053647F"/>
    <w:rsid w:val="005364C2"/>
    <w:rsid w:val="00536559"/>
    <w:rsid w:val="0053663F"/>
    <w:rsid w:val="00537009"/>
    <w:rsid w:val="0053717C"/>
    <w:rsid w:val="00537407"/>
    <w:rsid w:val="005379F3"/>
    <w:rsid w:val="00537A64"/>
    <w:rsid w:val="0054014D"/>
    <w:rsid w:val="005408DE"/>
    <w:rsid w:val="00540A32"/>
    <w:rsid w:val="00540ABE"/>
    <w:rsid w:val="00540CF8"/>
    <w:rsid w:val="00541077"/>
    <w:rsid w:val="0054173A"/>
    <w:rsid w:val="00541CC2"/>
    <w:rsid w:val="00541DB8"/>
    <w:rsid w:val="0054213D"/>
    <w:rsid w:val="00542160"/>
    <w:rsid w:val="00542D33"/>
    <w:rsid w:val="00543297"/>
    <w:rsid w:val="0054349D"/>
    <w:rsid w:val="005435E9"/>
    <w:rsid w:val="00545683"/>
    <w:rsid w:val="00545F4C"/>
    <w:rsid w:val="00546DF3"/>
    <w:rsid w:val="00546EFE"/>
    <w:rsid w:val="00546FA5"/>
    <w:rsid w:val="00546FB7"/>
    <w:rsid w:val="005471B8"/>
    <w:rsid w:val="0054783D"/>
    <w:rsid w:val="0054796E"/>
    <w:rsid w:val="00547A56"/>
    <w:rsid w:val="00547B78"/>
    <w:rsid w:val="00547FEA"/>
    <w:rsid w:val="005503AD"/>
    <w:rsid w:val="00550A50"/>
    <w:rsid w:val="00551309"/>
    <w:rsid w:val="0055187A"/>
    <w:rsid w:val="00552334"/>
    <w:rsid w:val="005523F2"/>
    <w:rsid w:val="00552680"/>
    <w:rsid w:val="00552700"/>
    <w:rsid w:val="00552A51"/>
    <w:rsid w:val="00552FDC"/>
    <w:rsid w:val="0055334B"/>
    <w:rsid w:val="005534FE"/>
    <w:rsid w:val="00553D7F"/>
    <w:rsid w:val="00553EAB"/>
    <w:rsid w:val="00553F76"/>
    <w:rsid w:val="005542C9"/>
    <w:rsid w:val="005543BA"/>
    <w:rsid w:val="00554683"/>
    <w:rsid w:val="00554750"/>
    <w:rsid w:val="00554B9E"/>
    <w:rsid w:val="00554BA3"/>
    <w:rsid w:val="00554C24"/>
    <w:rsid w:val="00555D1A"/>
    <w:rsid w:val="005560F5"/>
    <w:rsid w:val="00556212"/>
    <w:rsid w:val="005563AC"/>
    <w:rsid w:val="00556481"/>
    <w:rsid w:val="005564B0"/>
    <w:rsid w:val="005569FA"/>
    <w:rsid w:val="00556D17"/>
    <w:rsid w:val="005574C2"/>
    <w:rsid w:val="0055752C"/>
    <w:rsid w:val="00557653"/>
    <w:rsid w:val="00557693"/>
    <w:rsid w:val="00557BCB"/>
    <w:rsid w:val="00557D2F"/>
    <w:rsid w:val="00557FB9"/>
    <w:rsid w:val="0056027E"/>
    <w:rsid w:val="0056063B"/>
    <w:rsid w:val="0056077C"/>
    <w:rsid w:val="00560A7E"/>
    <w:rsid w:val="00560C4D"/>
    <w:rsid w:val="005613DA"/>
    <w:rsid w:val="00561A34"/>
    <w:rsid w:val="00562689"/>
    <w:rsid w:val="00562865"/>
    <w:rsid w:val="005633F0"/>
    <w:rsid w:val="00563633"/>
    <w:rsid w:val="00563821"/>
    <w:rsid w:val="005638A0"/>
    <w:rsid w:val="00563D2A"/>
    <w:rsid w:val="00564079"/>
    <w:rsid w:val="00564131"/>
    <w:rsid w:val="00564940"/>
    <w:rsid w:val="00564D91"/>
    <w:rsid w:val="00565874"/>
    <w:rsid w:val="00565F7C"/>
    <w:rsid w:val="00566305"/>
    <w:rsid w:val="005664FC"/>
    <w:rsid w:val="00566D9C"/>
    <w:rsid w:val="00567153"/>
    <w:rsid w:val="00567196"/>
    <w:rsid w:val="00567475"/>
    <w:rsid w:val="0056751E"/>
    <w:rsid w:val="00567579"/>
    <w:rsid w:val="00567A2C"/>
    <w:rsid w:val="00567C07"/>
    <w:rsid w:val="00567D71"/>
    <w:rsid w:val="005704B3"/>
    <w:rsid w:val="00570A8C"/>
    <w:rsid w:val="00570D3F"/>
    <w:rsid w:val="00570E84"/>
    <w:rsid w:val="00571374"/>
    <w:rsid w:val="005717EA"/>
    <w:rsid w:val="00571850"/>
    <w:rsid w:val="005730EB"/>
    <w:rsid w:val="005732F3"/>
    <w:rsid w:val="0057374A"/>
    <w:rsid w:val="00573A8D"/>
    <w:rsid w:val="00573B48"/>
    <w:rsid w:val="00573D77"/>
    <w:rsid w:val="00573EA6"/>
    <w:rsid w:val="005752A4"/>
    <w:rsid w:val="00575685"/>
    <w:rsid w:val="005760AC"/>
    <w:rsid w:val="00576516"/>
    <w:rsid w:val="0057691E"/>
    <w:rsid w:val="00576EBE"/>
    <w:rsid w:val="00577234"/>
    <w:rsid w:val="00577789"/>
    <w:rsid w:val="005778CB"/>
    <w:rsid w:val="00577E49"/>
    <w:rsid w:val="00577E5B"/>
    <w:rsid w:val="00577E7F"/>
    <w:rsid w:val="005804A7"/>
    <w:rsid w:val="005806A7"/>
    <w:rsid w:val="00580968"/>
    <w:rsid w:val="00580AAB"/>
    <w:rsid w:val="00581258"/>
    <w:rsid w:val="00581496"/>
    <w:rsid w:val="00581BE2"/>
    <w:rsid w:val="00581E83"/>
    <w:rsid w:val="005822AF"/>
    <w:rsid w:val="00582380"/>
    <w:rsid w:val="00582403"/>
    <w:rsid w:val="005824B1"/>
    <w:rsid w:val="00582BED"/>
    <w:rsid w:val="00582DFA"/>
    <w:rsid w:val="00583369"/>
    <w:rsid w:val="0058362D"/>
    <w:rsid w:val="0058387D"/>
    <w:rsid w:val="00583E37"/>
    <w:rsid w:val="00584049"/>
    <w:rsid w:val="0058425C"/>
    <w:rsid w:val="00584C30"/>
    <w:rsid w:val="00584CA8"/>
    <w:rsid w:val="00584E42"/>
    <w:rsid w:val="00585190"/>
    <w:rsid w:val="005852F5"/>
    <w:rsid w:val="00585832"/>
    <w:rsid w:val="0058596B"/>
    <w:rsid w:val="00585D68"/>
    <w:rsid w:val="00586132"/>
    <w:rsid w:val="005861DC"/>
    <w:rsid w:val="00586344"/>
    <w:rsid w:val="005868E6"/>
    <w:rsid w:val="005869DA"/>
    <w:rsid w:val="005876A2"/>
    <w:rsid w:val="00587ADE"/>
    <w:rsid w:val="00587DF8"/>
    <w:rsid w:val="00590001"/>
    <w:rsid w:val="00590E20"/>
    <w:rsid w:val="00591379"/>
    <w:rsid w:val="00591675"/>
    <w:rsid w:val="00591A9D"/>
    <w:rsid w:val="0059279F"/>
    <w:rsid w:val="00592903"/>
    <w:rsid w:val="00592A12"/>
    <w:rsid w:val="00592CD6"/>
    <w:rsid w:val="00592F49"/>
    <w:rsid w:val="005931A3"/>
    <w:rsid w:val="005936F5"/>
    <w:rsid w:val="00593B4C"/>
    <w:rsid w:val="005940C0"/>
    <w:rsid w:val="00594140"/>
    <w:rsid w:val="005941CF"/>
    <w:rsid w:val="005941FA"/>
    <w:rsid w:val="00594469"/>
    <w:rsid w:val="0059451E"/>
    <w:rsid w:val="00594574"/>
    <w:rsid w:val="00594DA0"/>
    <w:rsid w:val="00595C72"/>
    <w:rsid w:val="00595CA7"/>
    <w:rsid w:val="00595E8D"/>
    <w:rsid w:val="00596BF8"/>
    <w:rsid w:val="005972FD"/>
    <w:rsid w:val="00597EF9"/>
    <w:rsid w:val="00597FC8"/>
    <w:rsid w:val="005A03A4"/>
    <w:rsid w:val="005A0641"/>
    <w:rsid w:val="005A0642"/>
    <w:rsid w:val="005A08B3"/>
    <w:rsid w:val="005A090C"/>
    <w:rsid w:val="005A0F51"/>
    <w:rsid w:val="005A1008"/>
    <w:rsid w:val="005A11CA"/>
    <w:rsid w:val="005A132B"/>
    <w:rsid w:val="005A138F"/>
    <w:rsid w:val="005A190C"/>
    <w:rsid w:val="005A1967"/>
    <w:rsid w:val="005A19E4"/>
    <w:rsid w:val="005A2046"/>
    <w:rsid w:val="005A241C"/>
    <w:rsid w:val="005A2A78"/>
    <w:rsid w:val="005A2C29"/>
    <w:rsid w:val="005A2D3D"/>
    <w:rsid w:val="005A360F"/>
    <w:rsid w:val="005A3A4A"/>
    <w:rsid w:val="005A3C3E"/>
    <w:rsid w:val="005A3CD0"/>
    <w:rsid w:val="005A450B"/>
    <w:rsid w:val="005A4FBC"/>
    <w:rsid w:val="005A5167"/>
    <w:rsid w:val="005A528A"/>
    <w:rsid w:val="005A5ACF"/>
    <w:rsid w:val="005A62D7"/>
    <w:rsid w:val="005A65DA"/>
    <w:rsid w:val="005A6723"/>
    <w:rsid w:val="005A6B7F"/>
    <w:rsid w:val="005A6C37"/>
    <w:rsid w:val="005A6D3C"/>
    <w:rsid w:val="005A6D7D"/>
    <w:rsid w:val="005A6EA4"/>
    <w:rsid w:val="005A77CF"/>
    <w:rsid w:val="005A7988"/>
    <w:rsid w:val="005A7DA8"/>
    <w:rsid w:val="005B07C4"/>
    <w:rsid w:val="005B0953"/>
    <w:rsid w:val="005B0C7C"/>
    <w:rsid w:val="005B0E03"/>
    <w:rsid w:val="005B12B7"/>
    <w:rsid w:val="005B13B0"/>
    <w:rsid w:val="005B13CD"/>
    <w:rsid w:val="005B195F"/>
    <w:rsid w:val="005B1DD8"/>
    <w:rsid w:val="005B2415"/>
    <w:rsid w:val="005B2442"/>
    <w:rsid w:val="005B276E"/>
    <w:rsid w:val="005B2788"/>
    <w:rsid w:val="005B2AB4"/>
    <w:rsid w:val="005B2C3F"/>
    <w:rsid w:val="005B2E96"/>
    <w:rsid w:val="005B33AE"/>
    <w:rsid w:val="005B350D"/>
    <w:rsid w:val="005B37EE"/>
    <w:rsid w:val="005B3A69"/>
    <w:rsid w:val="005B3C3D"/>
    <w:rsid w:val="005B3D82"/>
    <w:rsid w:val="005B3DD0"/>
    <w:rsid w:val="005B42EB"/>
    <w:rsid w:val="005B47A4"/>
    <w:rsid w:val="005B4E1C"/>
    <w:rsid w:val="005B500B"/>
    <w:rsid w:val="005B5C8A"/>
    <w:rsid w:val="005B5DF1"/>
    <w:rsid w:val="005B6078"/>
    <w:rsid w:val="005B6405"/>
    <w:rsid w:val="005B65DE"/>
    <w:rsid w:val="005B6843"/>
    <w:rsid w:val="005B68C0"/>
    <w:rsid w:val="005B6E91"/>
    <w:rsid w:val="005B70ED"/>
    <w:rsid w:val="005B7196"/>
    <w:rsid w:val="005B74C6"/>
    <w:rsid w:val="005B7D4A"/>
    <w:rsid w:val="005C008D"/>
    <w:rsid w:val="005C019A"/>
    <w:rsid w:val="005C020C"/>
    <w:rsid w:val="005C0278"/>
    <w:rsid w:val="005C0480"/>
    <w:rsid w:val="005C048B"/>
    <w:rsid w:val="005C0A62"/>
    <w:rsid w:val="005C0BF6"/>
    <w:rsid w:val="005C0CBC"/>
    <w:rsid w:val="005C12D2"/>
    <w:rsid w:val="005C144F"/>
    <w:rsid w:val="005C20A7"/>
    <w:rsid w:val="005C210D"/>
    <w:rsid w:val="005C2114"/>
    <w:rsid w:val="005C2575"/>
    <w:rsid w:val="005C282C"/>
    <w:rsid w:val="005C2C2F"/>
    <w:rsid w:val="005C308A"/>
    <w:rsid w:val="005C3289"/>
    <w:rsid w:val="005C32B1"/>
    <w:rsid w:val="005C32DE"/>
    <w:rsid w:val="005C37FC"/>
    <w:rsid w:val="005C383C"/>
    <w:rsid w:val="005C38EA"/>
    <w:rsid w:val="005C3976"/>
    <w:rsid w:val="005C3A0C"/>
    <w:rsid w:val="005C3ED6"/>
    <w:rsid w:val="005C40CA"/>
    <w:rsid w:val="005C413D"/>
    <w:rsid w:val="005C4395"/>
    <w:rsid w:val="005C46D9"/>
    <w:rsid w:val="005C47A5"/>
    <w:rsid w:val="005C47B6"/>
    <w:rsid w:val="005C47BE"/>
    <w:rsid w:val="005C4BBB"/>
    <w:rsid w:val="005C4BF2"/>
    <w:rsid w:val="005C4D13"/>
    <w:rsid w:val="005C51BB"/>
    <w:rsid w:val="005C5EDA"/>
    <w:rsid w:val="005C7C8A"/>
    <w:rsid w:val="005C7EF0"/>
    <w:rsid w:val="005D01FD"/>
    <w:rsid w:val="005D05B8"/>
    <w:rsid w:val="005D0617"/>
    <w:rsid w:val="005D0691"/>
    <w:rsid w:val="005D097C"/>
    <w:rsid w:val="005D10FA"/>
    <w:rsid w:val="005D11BE"/>
    <w:rsid w:val="005D19E0"/>
    <w:rsid w:val="005D1FBA"/>
    <w:rsid w:val="005D2011"/>
    <w:rsid w:val="005D20A7"/>
    <w:rsid w:val="005D2E3B"/>
    <w:rsid w:val="005D2E90"/>
    <w:rsid w:val="005D3AE3"/>
    <w:rsid w:val="005D3BFD"/>
    <w:rsid w:val="005D3D2B"/>
    <w:rsid w:val="005D42A5"/>
    <w:rsid w:val="005D4B3D"/>
    <w:rsid w:val="005D4B4D"/>
    <w:rsid w:val="005D57DB"/>
    <w:rsid w:val="005D5A53"/>
    <w:rsid w:val="005D5A60"/>
    <w:rsid w:val="005D5B4C"/>
    <w:rsid w:val="005D5CAC"/>
    <w:rsid w:val="005D6052"/>
    <w:rsid w:val="005D6BBB"/>
    <w:rsid w:val="005D7249"/>
    <w:rsid w:val="005D7EE4"/>
    <w:rsid w:val="005E0A23"/>
    <w:rsid w:val="005E0F4D"/>
    <w:rsid w:val="005E1309"/>
    <w:rsid w:val="005E1B0F"/>
    <w:rsid w:val="005E1C52"/>
    <w:rsid w:val="005E1E35"/>
    <w:rsid w:val="005E2244"/>
    <w:rsid w:val="005E2299"/>
    <w:rsid w:val="005E271A"/>
    <w:rsid w:val="005E2F61"/>
    <w:rsid w:val="005E377B"/>
    <w:rsid w:val="005E3F3C"/>
    <w:rsid w:val="005E3F85"/>
    <w:rsid w:val="005E479A"/>
    <w:rsid w:val="005E47BA"/>
    <w:rsid w:val="005E49F9"/>
    <w:rsid w:val="005E4B4C"/>
    <w:rsid w:val="005E4DFC"/>
    <w:rsid w:val="005E4ECE"/>
    <w:rsid w:val="005E4F0B"/>
    <w:rsid w:val="005E560B"/>
    <w:rsid w:val="005E59B3"/>
    <w:rsid w:val="005E6373"/>
    <w:rsid w:val="005E6734"/>
    <w:rsid w:val="005E689A"/>
    <w:rsid w:val="005E7374"/>
    <w:rsid w:val="005E76AF"/>
    <w:rsid w:val="005E78D0"/>
    <w:rsid w:val="005F045B"/>
    <w:rsid w:val="005F0478"/>
    <w:rsid w:val="005F04CC"/>
    <w:rsid w:val="005F087F"/>
    <w:rsid w:val="005F08D9"/>
    <w:rsid w:val="005F0974"/>
    <w:rsid w:val="005F0FF8"/>
    <w:rsid w:val="005F21A4"/>
    <w:rsid w:val="005F224B"/>
    <w:rsid w:val="005F24D0"/>
    <w:rsid w:val="005F2968"/>
    <w:rsid w:val="005F29B1"/>
    <w:rsid w:val="005F2FB7"/>
    <w:rsid w:val="005F3005"/>
    <w:rsid w:val="005F319E"/>
    <w:rsid w:val="005F3830"/>
    <w:rsid w:val="005F395C"/>
    <w:rsid w:val="005F3C47"/>
    <w:rsid w:val="005F3C99"/>
    <w:rsid w:val="005F417B"/>
    <w:rsid w:val="005F41D2"/>
    <w:rsid w:val="005F492B"/>
    <w:rsid w:val="005F4D1E"/>
    <w:rsid w:val="005F4EC8"/>
    <w:rsid w:val="005F51D5"/>
    <w:rsid w:val="005F5352"/>
    <w:rsid w:val="005F5EC4"/>
    <w:rsid w:val="005F5ED9"/>
    <w:rsid w:val="005F6039"/>
    <w:rsid w:val="005F63E2"/>
    <w:rsid w:val="005F65B1"/>
    <w:rsid w:val="005F69EA"/>
    <w:rsid w:val="005F6B40"/>
    <w:rsid w:val="005F6C50"/>
    <w:rsid w:val="005F739F"/>
    <w:rsid w:val="005F745C"/>
    <w:rsid w:val="005F775F"/>
    <w:rsid w:val="005F7916"/>
    <w:rsid w:val="005F7B82"/>
    <w:rsid w:val="006000DE"/>
    <w:rsid w:val="0060074C"/>
    <w:rsid w:val="00600840"/>
    <w:rsid w:val="0060093C"/>
    <w:rsid w:val="00600BFB"/>
    <w:rsid w:val="0060103C"/>
    <w:rsid w:val="00601271"/>
    <w:rsid w:val="00601277"/>
    <w:rsid w:val="00601F52"/>
    <w:rsid w:val="00601FD9"/>
    <w:rsid w:val="00602692"/>
    <w:rsid w:val="006027FF"/>
    <w:rsid w:val="006028AE"/>
    <w:rsid w:val="006028F5"/>
    <w:rsid w:val="00602A08"/>
    <w:rsid w:val="00602B7E"/>
    <w:rsid w:val="00602DC2"/>
    <w:rsid w:val="00603184"/>
    <w:rsid w:val="0060358B"/>
    <w:rsid w:val="00603624"/>
    <w:rsid w:val="006037FD"/>
    <w:rsid w:val="00603AAB"/>
    <w:rsid w:val="00603B05"/>
    <w:rsid w:val="006040F8"/>
    <w:rsid w:val="006045DB"/>
    <w:rsid w:val="006046F2"/>
    <w:rsid w:val="006047F2"/>
    <w:rsid w:val="00604A51"/>
    <w:rsid w:val="006050A6"/>
    <w:rsid w:val="0060548D"/>
    <w:rsid w:val="0060561C"/>
    <w:rsid w:val="0060567F"/>
    <w:rsid w:val="00605858"/>
    <w:rsid w:val="006064DB"/>
    <w:rsid w:val="006066F3"/>
    <w:rsid w:val="00606CDD"/>
    <w:rsid w:val="00606D0B"/>
    <w:rsid w:val="00606E8D"/>
    <w:rsid w:val="0060751D"/>
    <w:rsid w:val="00607658"/>
    <w:rsid w:val="00607771"/>
    <w:rsid w:val="00607A12"/>
    <w:rsid w:val="00607B81"/>
    <w:rsid w:val="00610498"/>
    <w:rsid w:val="006106A6"/>
    <w:rsid w:val="0061118E"/>
    <w:rsid w:val="006115C2"/>
    <w:rsid w:val="0061176F"/>
    <w:rsid w:val="0061185F"/>
    <w:rsid w:val="00611B29"/>
    <w:rsid w:val="00611C09"/>
    <w:rsid w:val="006124A3"/>
    <w:rsid w:val="00612D41"/>
    <w:rsid w:val="006135A9"/>
    <w:rsid w:val="00613AD3"/>
    <w:rsid w:val="00613DA1"/>
    <w:rsid w:val="00614312"/>
    <w:rsid w:val="006148CA"/>
    <w:rsid w:val="006148E4"/>
    <w:rsid w:val="00614F4B"/>
    <w:rsid w:val="006153E1"/>
    <w:rsid w:val="006155E3"/>
    <w:rsid w:val="006157B1"/>
    <w:rsid w:val="00615CC2"/>
    <w:rsid w:val="00615E39"/>
    <w:rsid w:val="00616860"/>
    <w:rsid w:val="00616A12"/>
    <w:rsid w:val="00616A82"/>
    <w:rsid w:val="00616C7F"/>
    <w:rsid w:val="006175D9"/>
    <w:rsid w:val="006176C5"/>
    <w:rsid w:val="00617793"/>
    <w:rsid w:val="00617966"/>
    <w:rsid w:val="00620217"/>
    <w:rsid w:val="0062022B"/>
    <w:rsid w:val="006203CE"/>
    <w:rsid w:val="00620462"/>
    <w:rsid w:val="00620543"/>
    <w:rsid w:val="006206BE"/>
    <w:rsid w:val="0062083C"/>
    <w:rsid w:val="00620A61"/>
    <w:rsid w:val="006210E0"/>
    <w:rsid w:val="00621119"/>
    <w:rsid w:val="00621574"/>
    <w:rsid w:val="00621706"/>
    <w:rsid w:val="006217B0"/>
    <w:rsid w:val="006217D8"/>
    <w:rsid w:val="00621868"/>
    <w:rsid w:val="00621DB2"/>
    <w:rsid w:val="00621E78"/>
    <w:rsid w:val="0062233E"/>
    <w:rsid w:val="00622558"/>
    <w:rsid w:val="0062264F"/>
    <w:rsid w:val="00622DE0"/>
    <w:rsid w:val="00623469"/>
    <w:rsid w:val="0062348B"/>
    <w:rsid w:val="006235D5"/>
    <w:rsid w:val="00623657"/>
    <w:rsid w:val="00623BB1"/>
    <w:rsid w:val="00623E1C"/>
    <w:rsid w:val="00623FF0"/>
    <w:rsid w:val="006248F3"/>
    <w:rsid w:val="0062495D"/>
    <w:rsid w:val="006255B1"/>
    <w:rsid w:val="0062568D"/>
    <w:rsid w:val="00625D78"/>
    <w:rsid w:val="00626357"/>
    <w:rsid w:val="0062653F"/>
    <w:rsid w:val="006275D5"/>
    <w:rsid w:val="00627834"/>
    <w:rsid w:val="00627DFE"/>
    <w:rsid w:val="006302B3"/>
    <w:rsid w:val="00630996"/>
    <w:rsid w:val="00630CD3"/>
    <w:rsid w:val="0063134E"/>
    <w:rsid w:val="00631726"/>
    <w:rsid w:val="00631C9C"/>
    <w:rsid w:val="00631FD5"/>
    <w:rsid w:val="00632388"/>
    <w:rsid w:val="00632515"/>
    <w:rsid w:val="00632861"/>
    <w:rsid w:val="00632869"/>
    <w:rsid w:val="00633139"/>
    <w:rsid w:val="0063317C"/>
    <w:rsid w:val="0063321F"/>
    <w:rsid w:val="0063348E"/>
    <w:rsid w:val="006338D1"/>
    <w:rsid w:val="00633A70"/>
    <w:rsid w:val="00633A93"/>
    <w:rsid w:val="00633BDD"/>
    <w:rsid w:val="0063414E"/>
    <w:rsid w:val="00634758"/>
    <w:rsid w:val="006349A8"/>
    <w:rsid w:val="00635B70"/>
    <w:rsid w:val="00635C9F"/>
    <w:rsid w:val="00635FD1"/>
    <w:rsid w:val="0063617A"/>
    <w:rsid w:val="00636216"/>
    <w:rsid w:val="006366F3"/>
    <w:rsid w:val="00636B32"/>
    <w:rsid w:val="00636B96"/>
    <w:rsid w:val="00637109"/>
    <w:rsid w:val="006378A5"/>
    <w:rsid w:val="00637B2C"/>
    <w:rsid w:val="0064015F"/>
    <w:rsid w:val="006402EE"/>
    <w:rsid w:val="0064065F"/>
    <w:rsid w:val="006408E2"/>
    <w:rsid w:val="006409D2"/>
    <w:rsid w:val="00640D2F"/>
    <w:rsid w:val="00641238"/>
    <w:rsid w:val="0064166B"/>
    <w:rsid w:val="00641A5C"/>
    <w:rsid w:val="006428EC"/>
    <w:rsid w:val="0064299A"/>
    <w:rsid w:val="00642DDD"/>
    <w:rsid w:val="00642FE5"/>
    <w:rsid w:val="00643105"/>
    <w:rsid w:val="0064310F"/>
    <w:rsid w:val="006435A0"/>
    <w:rsid w:val="006439D6"/>
    <w:rsid w:val="00643B33"/>
    <w:rsid w:val="00643F62"/>
    <w:rsid w:val="00644659"/>
    <w:rsid w:val="00644B9F"/>
    <w:rsid w:val="00644D5A"/>
    <w:rsid w:val="00644E71"/>
    <w:rsid w:val="006453C2"/>
    <w:rsid w:val="0064562C"/>
    <w:rsid w:val="00645976"/>
    <w:rsid w:val="00646604"/>
    <w:rsid w:val="006467B4"/>
    <w:rsid w:val="006467DF"/>
    <w:rsid w:val="00646A20"/>
    <w:rsid w:val="00646A6D"/>
    <w:rsid w:val="00646B23"/>
    <w:rsid w:val="00646EFB"/>
    <w:rsid w:val="00647213"/>
    <w:rsid w:val="00647839"/>
    <w:rsid w:val="00647F42"/>
    <w:rsid w:val="00647F66"/>
    <w:rsid w:val="00651135"/>
    <w:rsid w:val="00651771"/>
    <w:rsid w:val="00651857"/>
    <w:rsid w:val="00651933"/>
    <w:rsid w:val="00651AE7"/>
    <w:rsid w:val="00651B6F"/>
    <w:rsid w:val="00651BC6"/>
    <w:rsid w:val="00651CCE"/>
    <w:rsid w:val="00651F5F"/>
    <w:rsid w:val="00651FFF"/>
    <w:rsid w:val="006521E3"/>
    <w:rsid w:val="006524ED"/>
    <w:rsid w:val="00652898"/>
    <w:rsid w:val="00652A0E"/>
    <w:rsid w:val="00652E61"/>
    <w:rsid w:val="006531D7"/>
    <w:rsid w:val="006533A2"/>
    <w:rsid w:val="006539A4"/>
    <w:rsid w:val="00653AB1"/>
    <w:rsid w:val="00653E0A"/>
    <w:rsid w:val="0065411A"/>
    <w:rsid w:val="00654523"/>
    <w:rsid w:val="00654595"/>
    <w:rsid w:val="00654A30"/>
    <w:rsid w:val="00655601"/>
    <w:rsid w:val="00655C6A"/>
    <w:rsid w:val="00655CE1"/>
    <w:rsid w:val="0065615B"/>
    <w:rsid w:val="0065683B"/>
    <w:rsid w:val="0065692B"/>
    <w:rsid w:val="00656C5F"/>
    <w:rsid w:val="00656E2A"/>
    <w:rsid w:val="00656F94"/>
    <w:rsid w:val="006572A0"/>
    <w:rsid w:val="00657307"/>
    <w:rsid w:val="00657736"/>
    <w:rsid w:val="00657737"/>
    <w:rsid w:val="00657CCF"/>
    <w:rsid w:val="00660079"/>
    <w:rsid w:val="0066021E"/>
    <w:rsid w:val="0066027E"/>
    <w:rsid w:val="0066060A"/>
    <w:rsid w:val="00660813"/>
    <w:rsid w:val="0066120B"/>
    <w:rsid w:val="006613D4"/>
    <w:rsid w:val="0066144B"/>
    <w:rsid w:val="0066195C"/>
    <w:rsid w:val="006621D5"/>
    <w:rsid w:val="006621DE"/>
    <w:rsid w:val="00662541"/>
    <w:rsid w:val="00662D42"/>
    <w:rsid w:val="00662EFC"/>
    <w:rsid w:val="00662F34"/>
    <w:rsid w:val="006632C9"/>
    <w:rsid w:val="0066343B"/>
    <w:rsid w:val="006634D8"/>
    <w:rsid w:val="00663563"/>
    <w:rsid w:val="00663B8D"/>
    <w:rsid w:val="00663C99"/>
    <w:rsid w:val="00664546"/>
    <w:rsid w:val="00664C97"/>
    <w:rsid w:val="00664FCB"/>
    <w:rsid w:val="0066501F"/>
    <w:rsid w:val="00665075"/>
    <w:rsid w:val="006651CE"/>
    <w:rsid w:val="0066520D"/>
    <w:rsid w:val="00665510"/>
    <w:rsid w:val="006657EA"/>
    <w:rsid w:val="00665A77"/>
    <w:rsid w:val="00666042"/>
    <w:rsid w:val="00666225"/>
    <w:rsid w:val="0066639B"/>
    <w:rsid w:val="006666CA"/>
    <w:rsid w:val="006667D3"/>
    <w:rsid w:val="006668AB"/>
    <w:rsid w:val="0066698D"/>
    <w:rsid w:val="00666A0F"/>
    <w:rsid w:val="00666AB4"/>
    <w:rsid w:val="00666C66"/>
    <w:rsid w:val="00666E12"/>
    <w:rsid w:val="00666F14"/>
    <w:rsid w:val="00666FC5"/>
    <w:rsid w:val="006673DE"/>
    <w:rsid w:val="00667A10"/>
    <w:rsid w:val="00667F16"/>
    <w:rsid w:val="0067031F"/>
    <w:rsid w:val="006705CA"/>
    <w:rsid w:val="0067065F"/>
    <w:rsid w:val="00670774"/>
    <w:rsid w:val="006707F5"/>
    <w:rsid w:val="006709DE"/>
    <w:rsid w:val="00670C8A"/>
    <w:rsid w:val="00671054"/>
    <w:rsid w:val="006713DC"/>
    <w:rsid w:val="00671941"/>
    <w:rsid w:val="00671A45"/>
    <w:rsid w:val="00671E75"/>
    <w:rsid w:val="0067242C"/>
    <w:rsid w:val="006724AE"/>
    <w:rsid w:val="0067257F"/>
    <w:rsid w:val="00672CA7"/>
    <w:rsid w:val="00673D2D"/>
    <w:rsid w:val="006748D9"/>
    <w:rsid w:val="00674A55"/>
    <w:rsid w:val="00674BCB"/>
    <w:rsid w:val="00674DE7"/>
    <w:rsid w:val="00675110"/>
    <w:rsid w:val="006751E1"/>
    <w:rsid w:val="0067547B"/>
    <w:rsid w:val="00675AB6"/>
    <w:rsid w:val="00676350"/>
    <w:rsid w:val="00676455"/>
    <w:rsid w:val="00676857"/>
    <w:rsid w:val="0067770F"/>
    <w:rsid w:val="0068048E"/>
    <w:rsid w:val="00680A7D"/>
    <w:rsid w:val="00681D8A"/>
    <w:rsid w:val="00681FCF"/>
    <w:rsid w:val="0068222A"/>
    <w:rsid w:val="0068244E"/>
    <w:rsid w:val="00682A07"/>
    <w:rsid w:val="00682BB0"/>
    <w:rsid w:val="00683009"/>
    <w:rsid w:val="0068355A"/>
    <w:rsid w:val="00683877"/>
    <w:rsid w:val="006838B4"/>
    <w:rsid w:val="00683D7D"/>
    <w:rsid w:val="0068455D"/>
    <w:rsid w:val="00684A1D"/>
    <w:rsid w:val="00684EA9"/>
    <w:rsid w:val="00684F40"/>
    <w:rsid w:val="00685025"/>
    <w:rsid w:val="0068512E"/>
    <w:rsid w:val="00685549"/>
    <w:rsid w:val="00685767"/>
    <w:rsid w:val="00685F10"/>
    <w:rsid w:val="006861CD"/>
    <w:rsid w:val="00686AAA"/>
    <w:rsid w:val="00687AAA"/>
    <w:rsid w:val="00687B08"/>
    <w:rsid w:val="00687B6F"/>
    <w:rsid w:val="00687CCE"/>
    <w:rsid w:val="00687E52"/>
    <w:rsid w:val="00690451"/>
    <w:rsid w:val="00690BAB"/>
    <w:rsid w:val="00690C8A"/>
    <w:rsid w:val="00690CD1"/>
    <w:rsid w:val="00690E10"/>
    <w:rsid w:val="00690FC4"/>
    <w:rsid w:val="006913BE"/>
    <w:rsid w:val="00691CB1"/>
    <w:rsid w:val="00692489"/>
    <w:rsid w:val="00693511"/>
    <w:rsid w:val="006935FF"/>
    <w:rsid w:val="006938AD"/>
    <w:rsid w:val="00693A4F"/>
    <w:rsid w:val="00693BA1"/>
    <w:rsid w:val="006942EA"/>
    <w:rsid w:val="006944B0"/>
    <w:rsid w:val="00694686"/>
    <w:rsid w:val="00694F63"/>
    <w:rsid w:val="006951C4"/>
    <w:rsid w:val="006957BF"/>
    <w:rsid w:val="00695834"/>
    <w:rsid w:val="00695CD7"/>
    <w:rsid w:val="00695CFF"/>
    <w:rsid w:val="00695D90"/>
    <w:rsid w:val="006968F2"/>
    <w:rsid w:val="00696D3A"/>
    <w:rsid w:val="006972D4"/>
    <w:rsid w:val="006974A6"/>
    <w:rsid w:val="00697FD0"/>
    <w:rsid w:val="006A00CF"/>
    <w:rsid w:val="006A0835"/>
    <w:rsid w:val="006A0B86"/>
    <w:rsid w:val="006A0D68"/>
    <w:rsid w:val="006A0FB3"/>
    <w:rsid w:val="006A129B"/>
    <w:rsid w:val="006A17DB"/>
    <w:rsid w:val="006A2BC0"/>
    <w:rsid w:val="006A2C46"/>
    <w:rsid w:val="006A4343"/>
    <w:rsid w:val="006A498A"/>
    <w:rsid w:val="006A629E"/>
    <w:rsid w:val="006A696D"/>
    <w:rsid w:val="006A6971"/>
    <w:rsid w:val="006A6AD6"/>
    <w:rsid w:val="006A6BB1"/>
    <w:rsid w:val="006A6EAB"/>
    <w:rsid w:val="006A73B0"/>
    <w:rsid w:val="006A74E9"/>
    <w:rsid w:val="006A76C2"/>
    <w:rsid w:val="006A789D"/>
    <w:rsid w:val="006A7C31"/>
    <w:rsid w:val="006B004D"/>
    <w:rsid w:val="006B0490"/>
    <w:rsid w:val="006B079B"/>
    <w:rsid w:val="006B07E8"/>
    <w:rsid w:val="006B083F"/>
    <w:rsid w:val="006B08FE"/>
    <w:rsid w:val="006B09C8"/>
    <w:rsid w:val="006B0A15"/>
    <w:rsid w:val="006B0DEF"/>
    <w:rsid w:val="006B11BE"/>
    <w:rsid w:val="006B174A"/>
    <w:rsid w:val="006B1BAB"/>
    <w:rsid w:val="006B1E37"/>
    <w:rsid w:val="006B1E76"/>
    <w:rsid w:val="006B1F6A"/>
    <w:rsid w:val="006B2920"/>
    <w:rsid w:val="006B2C67"/>
    <w:rsid w:val="006B3551"/>
    <w:rsid w:val="006B3AE4"/>
    <w:rsid w:val="006B41B8"/>
    <w:rsid w:val="006B4544"/>
    <w:rsid w:val="006B4F40"/>
    <w:rsid w:val="006B52F3"/>
    <w:rsid w:val="006B55B8"/>
    <w:rsid w:val="006B561D"/>
    <w:rsid w:val="006B5ED1"/>
    <w:rsid w:val="006B6145"/>
    <w:rsid w:val="006B6295"/>
    <w:rsid w:val="006B6468"/>
    <w:rsid w:val="006B65B5"/>
    <w:rsid w:val="006B65C7"/>
    <w:rsid w:val="006B68D6"/>
    <w:rsid w:val="006B6C5E"/>
    <w:rsid w:val="006B6C9D"/>
    <w:rsid w:val="006B7A42"/>
    <w:rsid w:val="006C0441"/>
    <w:rsid w:val="006C070C"/>
    <w:rsid w:val="006C072A"/>
    <w:rsid w:val="006C0B58"/>
    <w:rsid w:val="006C0E2A"/>
    <w:rsid w:val="006C12CB"/>
    <w:rsid w:val="006C1535"/>
    <w:rsid w:val="006C1733"/>
    <w:rsid w:val="006C1C96"/>
    <w:rsid w:val="006C1ED5"/>
    <w:rsid w:val="006C2050"/>
    <w:rsid w:val="006C22C8"/>
    <w:rsid w:val="006C2697"/>
    <w:rsid w:val="006C28BE"/>
    <w:rsid w:val="006C2ACF"/>
    <w:rsid w:val="006C2BC5"/>
    <w:rsid w:val="006C31D5"/>
    <w:rsid w:val="006C3654"/>
    <w:rsid w:val="006C3E50"/>
    <w:rsid w:val="006C3F66"/>
    <w:rsid w:val="006C3F85"/>
    <w:rsid w:val="006C40BC"/>
    <w:rsid w:val="006C50F9"/>
    <w:rsid w:val="006C55F3"/>
    <w:rsid w:val="006C560F"/>
    <w:rsid w:val="006C6329"/>
    <w:rsid w:val="006C64FC"/>
    <w:rsid w:val="006C68BD"/>
    <w:rsid w:val="006C6BCF"/>
    <w:rsid w:val="006C7BA2"/>
    <w:rsid w:val="006D07DD"/>
    <w:rsid w:val="006D0839"/>
    <w:rsid w:val="006D099F"/>
    <w:rsid w:val="006D106C"/>
    <w:rsid w:val="006D124D"/>
    <w:rsid w:val="006D16A3"/>
    <w:rsid w:val="006D175A"/>
    <w:rsid w:val="006D1C74"/>
    <w:rsid w:val="006D1F1D"/>
    <w:rsid w:val="006D215B"/>
    <w:rsid w:val="006D2A3E"/>
    <w:rsid w:val="006D2AE0"/>
    <w:rsid w:val="006D2D39"/>
    <w:rsid w:val="006D2E38"/>
    <w:rsid w:val="006D2F7E"/>
    <w:rsid w:val="006D35D3"/>
    <w:rsid w:val="006D38FC"/>
    <w:rsid w:val="006D393C"/>
    <w:rsid w:val="006D399D"/>
    <w:rsid w:val="006D39B0"/>
    <w:rsid w:val="006D3DF7"/>
    <w:rsid w:val="006D4167"/>
    <w:rsid w:val="006D42CC"/>
    <w:rsid w:val="006D48A6"/>
    <w:rsid w:val="006D5296"/>
    <w:rsid w:val="006D53ED"/>
    <w:rsid w:val="006D55D4"/>
    <w:rsid w:val="006D5733"/>
    <w:rsid w:val="006D5747"/>
    <w:rsid w:val="006D58EB"/>
    <w:rsid w:val="006D5959"/>
    <w:rsid w:val="006D5A8A"/>
    <w:rsid w:val="006D5B08"/>
    <w:rsid w:val="006D627E"/>
    <w:rsid w:val="006D6413"/>
    <w:rsid w:val="006D66F8"/>
    <w:rsid w:val="006D67DC"/>
    <w:rsid w:val="006D6D77"/>
    <w:rsid w:val="006D7075"/>
    <w:rsid w:val="006D78C5"/>
    <w:rsid w:val="006D79E9"/>
    <w:rsid w:val="006D7A4C"/>
    <w:rsid w:val="006E091D"/>
    <w:rsid w:val="006E0B17"/>
    <w:rsid w:val="006E0C3E"/>
    <w:rsid w:val="006E0FC3"/>
    <w:rsid w:val="006E104F"/>
    <w:rsid w:val="006E15EB"/>
    <w:rsid w:val="006E199B"/>
    <w:rsid w:val="006E1AC6"/>
    <w:rsid w:val="006E1B68"/>
    <w:rsid w:val="006E20D9"/>
    <w:rsid w:val="006E27EB"/>
    <w:rsid w:val="006E28CE"/>
    <w:rsid w:val="006E3076"/>
    <w:rsid w:val="006E32F7"/>
    <w:rsid w:val="006E458C"/>
    <w:rsid w:val="006E4BE4"/>
    <w:rsid w:val="006E4BFD"/>
    <w:rsid w:val="006E5A8E"/>
    <w:rsid w:val="006E5C01"/>
    <w:rsid w:val="006E5C87"/>
    <w:rsid w:val="006E7704"/>
    <w:rsid w:val="006E7BAF"/>
    <w:rsid w:val="006E7BC8"/>
    <w:rsid w:val="006F0200"/>
    <w:rsid w:val="006F0473"/>
    <w:rsid w:val="006F09D3"/>
    <w:rsid w:val="006F0DCC"/>
    <w:rsid w:val="006F0E03"/>
    <w:rsid w:val="006F1293"/>
    <w:rsid w:val="006F1611"/>
    <w:rsid w:val="006F16B5"/>
    <w:rsid w:val="006F170F"/>
    <w:rsid w:val="006F1AE4"/>
    <w:rsid w:val="006F22B6"/>
    <w:rsid w:val="006F22CA"/>
    <w:rsid w:val="006F230A"/>
    <w:rsid w:val="006F2861"/>
    <w:rsid w:val="006F3450"/>
    <w:rsid w:val="006F387B"/>
    <w:rsid w:val="006F38C2"/>
    <w:rsid w:val="006F3A0C"/>
    <w:rsid w:val="006F3EC4"/>
    <w:rsid w:val="006F41DC"/>
    <w:rsid w:val="006F429C"/>
    <w:rsid w:val="006F496C"/>
    <w:rsid w:val="006F4BB7"/>
    <w:rsid w:val="006F4D17"/>
    <w:rsid w:val="006F4E1B"/>
    <w:rsid w:val="006F55FE"/>
    <w:rsid w:val="006F5653"/>
    <w:rsid w:val="006F58E0"/>
    <w:rsid w:val="006F5D24"/>
    <w:rsid w:val="006F5F52"/>
    <w:rsid w:val="006F669F"/>
    <w:rsid w:val="006F6DCE"/>
    <w:rsid w:val="006F6F9D"/>
    <w:rsid w:val="006F72E2"/>
    <w:rsid w:val="006F7359"/>
    <w:rsid w:val="006F7931"/>
    <w:rsid w:val="006F7DCE"/>
    <w:rsid w:val="00700155"/>
    <w:rsid w:val="007001F0"/>
    <w:rsid w:val="0070046E"/>
    <w:rsid w:val="00700AFF"/>
    <w:rsid w:val="00700F67"/>
    <w:rsid w:val="00701054"/>
    <w:rsid w:val="007017F3"/>
    <w:rsid w:val="00701A4C"/>
    <w:rsid w:val="00701C28"/>
    <w:rsid w:val="00701E61"/>
    <w:rsid w:val="007021B9"/>
    <w:rsid w:val="007024D5"/>
    <w:rsid w:val="00702A28"/>
    <w:rsid w:val="00702A46"/>
    <w:rsid w:val="00702BA1"/>
    <w:rsid w:val="00702BE3"/>
    <w:rsid w:val="00702D30"/>
    <w:rsid w:val="00702D6F"/>
    <w:rsid w:val="00702EF6"/>
    <w:rsid w:val="00702F9D"/>
    <w:rsid w:val="007035C3"/>
    <w:rsid w:val="007037FC"/>
    <w:rsid w:val="00703A08"/>
    <w:rsid w:val="00703BB4"/>
    <w:rsid w:val="00703D77"/>
    <w:rsid w:val="007041DA"/>
    <w:rsid w:val="0070438C"/>
    <w:rsid w:val="00704693"/>
    <w:rsid w:val="00705122"/>
    <w:rsid w:val="00705A3D"/>
    <w:rsid w:val="00705B0F"/>
    <w:rsid w:val="00705D05"/>
    <w:rsid w:val="00705D60"/>
    <w:rsid w:val="0070614F"/>
    <w:rsid w:val="007064AA"/>
    <w:rsid w:val="007071F9"/>
    <w:rsid w:val="00707582"/>
    <w:rsid w:val="00707F3D"/>
    <w:rsid w:val="007101C0"/>
    <w:rsid w:val="007102C9"/>
    <w:rsid w:val="00710937"/>
    <w:rsid w:val="007113B5"/>
    <w:rsid w:val="0071176E"/>
    <w:rsid w:val="00711ADB"/>
    <w:rsid w:val="007120B5"/>
    <w:rsid w:val="0071213C"/>
    <w:rsid w:val="0071237C"/>
    <w:rsid w:val="00712419"/>
    <w:rsid w:val="007125DD"/>
    <w:rsid w:val="00712D88"/>
    <w:rsid w:val="0071324E"/>
    <w:rsid w:val="00713329"/>
    <w:rsid w:val="0071344E"/>
    <w:rsid w:val="007134AF"/>
    <w:rsid w:val="00713E03"/>
    <w:rsid w:val="00714092"/>
    <w:rsid w:val="007142C8"/>
    <w:rsid w:val="00714AB6"/>
    <w:rsid w:val="00714FF3"/>
    <w:rsid w:val="00715765"/>
    <w:rsid w:val="00715CF7"/>
    <w:rsid w:val="00715EC6"/>
    <w:rsid w:val="00715ED6"/>
    <w:rsid w:val="00715FE5"/>
    <w:rsid w:val="00716203"/>
    <w:rsid w:val="00716434"/>
    <w:rsid w:val="007166CA"/>
    <w:rsid w:val="00716AAC"/>
    <w:rsid w:val="00716D5C"/>
    <w:rsid w:val="00717F9B"/>
    <w:rsid w:val="00720844"/>
    <w:rsid w:val="00720D50"/>
    <w:rsid w:val="00721154"/>
    <w:rsid w:val="00721BA4"/>
    <w:rsid w:val="00722034"/>
    <w:rsid w:val="0072231E"/>
    <w:rsid w:val="00722826"/>
    <w:rsid w:val="00722E0A"/>
    <w:rsid w:val="00722E90"/>
    <w:rsid w:val="00722ED1"/>
    <w:rsid w:val="00723207"/>
    <w:rsid w:val="00723438"/>
    <w:rsid w:val="0072355C"/>
    <w:rsid w:val="00723756"/>
    <w:rsid w:val="00723871"/>
    <w:rsid w:val="0072388F"/>
    <w:rsid w:val="00723B70"/>
    <w:rsid w:val="00723B88"/>
    <w:rsid w:val="00723F15"/>
    <w:rsid w:val="007248A0"/>
    <w:rsid w:val="00724D95"/>
    <w:rsid w:val="007250FE"/>
    <w:rsid w:val="00725131"/>
    <w:rsid w:val="00725197"/>
    <w:rsid w:val="0072521E"/>
    <w:rsid w:val="00725417"/>
    <w:rsid w:val="00725D42"/>
    <w:rsid w:val="00725E7F"/>
    <w:rsid w:val="0072622B"/>
    <w:rsid w:val="007264A1"/>
    <w:rsid w:val="007265E5"/>
    <w:rsid w:val="007269FB"/>
    <w:rsid w:val="00726FD0"/>
    <w:rsid w:val="007272C4"/>
    <w:rsid w:val="007277D1"/>
    <w:rsid w:val="00727837"/>
    <w:rsid w:val="007278B2"/>
    <w:rsid w:val="007278EA"/>
    <w:rsid w:val="00727DBB"/>
    <w:rsid w:val="00727F80"/>
    <w:rsid w:val="007303EE"/>
    <w:rsid w:val="007305AB"/>
    <w:rsid w:val="007306AD"/>
    <w:rsid w:val="0073081C"/>
    <w:rsid w:val="00730B69"/>
    <w:rsid w:val="00730ECD"/>
    <w:rsid w:val="00731702"/>
    <w:rsid w:val="00731A9C"/>
    <w:rsid w:val="00732945"/>
    <w:rsid w:val="00732F6E"/>
    <w:rsid w:val="007330CE"/>
    <w:rsid w:val="0073353E"/>
    <w:rsid w:val="00733838"/>
    <w:rsid w:val="00733916"/>
    <w:rsid w:val="00733A82"/>
    <w:rsid w:val="00733AA4"/>
    <w:rsid w:val="00733EA9"/>
    <w:rsid w:val="0073441E"/>
    <w:rsid w:val="00734583"/>
    <w:rsid w:val="00734695"/>
    <w:rsid w:val="0073524B"/>
    <w:rsid w:val="00735315"/>
    <w:rsid w:val="007354CE"/>
    <w:rsid w:val="007359D1"/>
    <w:rsid w:val="00735A94"/>
    <w:rsid w:val="00735FCF"/>
    <w:rsid w:val="007360C8"/>
    <w:rsid w:val="0073636E"/>
    <w:rsid w:val="00736F5B"/>
    <w:rsid w:val="00736F74"/>
    <w:rsid w:val="007377F3"/>
    <w:rsid w:val="00740253"/>
    <w:rsid w:val="00740705"/>
    <w:rsid w:val="007407A3"/>
    <w:rsid w:val="00740801"/>
    <w:rsid w:val="007408A9"/>
    <w:rsid w:val="00740979"/>
    <w:rsid w:val="00740BD4"/>
    <w:rsid w:val="00740EB4"/>
    <w:rsid w:val="007413D1"/>
    <w:rsid w:val="00741497"/>
    <w:rsid w:val="0074149E"/>
    <w:rsid w:val="00741C7E"/>
    <w:rsid w:val="00741CA2"/>
    <w:rsid w:val="00741DBF"/>
    <w:rsid w:val="00741EEA"/>
    <w:rsid w:val="00741FCD"/>
    <w:rsid w:val="007420C7"/>
    <w:rsid w:val="0074250B"/>
    <w:rsid w:val="00742600"/>
    <w:rsid w:val="0074266A"/>
    <w:rsid w:val="00742E40"/>
    <w:rsid w:val="00742F94"/>
    <w:rsid w:val="0074318C"/>
    <w:rsid w:val="00743275"/>
    <w:rsid w:val="007433CD"/>
    <w:rsid w:val="007437D5"/>
    <w:rsid w:val="00743C0B"/>
    <w:rsid w:val="00744017"/>
    <w:rsid w:val="00744082"/>
    <w:rsid w:val="00744186"/>
    <w:rsid w:val="007445B8"/>
    <w:rsid w:val="00744C67"/>
    <w:rsid w:val="00745590"/>
    <w:rsid w:val="00745D28"/>
    <w:rsid w:val="00746118"/>
    <w:rsid w:val="007464CF"/>
    <w:rsid w:val="0074712E"/>
    <w:rsid w:val="007502D0"/>
    <w:rsid w:val="00750878"/>
    <w:rsid w:val="00750A3C"/>
    <w:rsid w:val="00750ACE"/>
    <w:rsid w:val="00750E89"/>
    <w:rsid w:val="00751677"/>
    <w:rsid w:val="0075176C"/>
    <w:rsid w:val="00752041"/>
    <w:rsid w:val="007520C0"/>
    <w:rsid w:val="007523C1"/>
    <w:rsid w:val="0075243C"/>
    <w:rsid w:val="00752BBE"/>
    <w:rsid w:val="007538DD"/>
    <w:rsid w:val="0075394B"/>
    <w:rsid w:val="00753B94"/>
    <w:rsid w:val="00753C35"/>
    <w:rsid w:val="00753DF7"/>
    <w:rsid w:val="007541EB"/>
    <w:rsid w:val="0075430F"/>
    <w:rsid w:val="007545C4"/>
    <w:rsid w:val="00754838"/>
    <w:rsid w:val="007556DA"/>
    <w:rsid w:val="00755AF5"/>
    <w:rsid w:val="00755E44"/>
    <w:rsid w:val="00755FF8"/>
    <w:rsid w:val="00756090"/>
    <w:rsid w:val="00756681"/>
    <w:rsid w:val="0075673C"/>
    <w:rsid w:val="00756C25"/>
    <w:rsid w:val="0075718E"/>
    <w:rsid w:val="007574E5"/>
    <w:rsid w:val="00757DCD"/>
    <w:rsid w:val="007600E7"/>
    <w:rsid w:val="00760268"/>
    <w:rsid w:val="0076033D"/>
    <w:rsid w:val="00760D78"/>
    <w:rsid w:val="00760E53"/>
    <w:rsid w:val="00760E99"/>
    <w:rsid w:val="0076150F"/>
    <w:rsid w:val="00761C7B"/>
    <w:rsid w:val="00762308"/>
    <w:rsid w:val="007623C2"/>
    <w:rsid w:val="0076249E"/>
    <w:rsid w:val="00762A3C"/>
    <w:rsid w:val="00762D7B"/>
    <w:rsid w:val="00762DB3"/>
    <w:rsid w:val="0076343F"/>
    <w:rsid w:val="0076351C"/>
    <w:rsid w:val="00763B22"/>
    <w:rsid w:val="00763B76"/>
    <w:rsid w:val="00764A98"/>
    <w:rsid w:val="00764C3A"/>
    <w:rsid w:val="00765655"/>
    <w:rsid w:val="007656D7"/>
    <w:rsid w:val="00765707"/>
    <w:rsid w:val="00765F28"/>
    <w:rsid w:val="007673B3"/>
    <w:rsid w:val="007675D2"/>
    <w:rsid w:val="007676DA"/>
    <w:rsid w:val="007676DF"/>
    <w:rsid w:val="007678BE"/>
    <w:rsid w:val="00767EAE"/>
    <w:rsid w:val="00767F6B"/>
    <w:rsid w:val="007704E6"/>
    <w:rsid w:val="00770639"/>
    <w:rsid w:val="00770748"/>
    <w:rsid w:val="00770888"/>
    <w:rsid w:val="0077145F"/>
    <w:rsid w:val="007716CD"/>
    <w:rsid w:val="0077184B"/>
    <w:rsid w:val="00771C1D"/>
    <w:rsid w:val="00771E8B"/>
    <w:rsid w:val="00771F46"/>
    <w:rsid w:val="0077201D"/>
    <w:rsid w:val="0077294E"/>
    <w:rsid w:val="007733A9"/>
    <w:rsid w:val="00773454"/>
    <w:rsid w:val="00773772"/>
    <w:rsid w:val="00773CEE"/>
    <w:rsid w:val="00774349"/>
    <w:rsid w:val="00774519"/>
    <w:rsid w:val="00774E30"/>
    <w:rsid w:val="00774F9F"/>
    <w:rsid w:val="0077560B"/>
    <w:rsid w:val="00775777"/>
    <w:rsid w:val="007759A6"/>
    <w:rsid w:val="00775F31"/>
    <w:rsid w:val="0077606A"/>
    <w:rsid w:val="00776399"/>
    <w:rsid w:val="00776753"/>
    <w:rsid w:val="00776BE0"/>
    <w:rsid w:val="00776C6B"/>
    <w:rsid w:val="00776D5A"/>
    <w:rsid w:val="007772C6"/>
    <w:rsid w:val="00777482"/>
    <w:rsid w:val="007778B6"/>
    <w:rsid w:val="00777A20"/>
    <w:rsid w:val="00777AEE"/>
    <w:rsid w:val="00777CD4"/>
    <w:rsid w:val="00777EC0"/>
    <w:rsid w:val="0078091A"/>
    <w:rsid w:val="00780E21"/>
    <w:rsid w:val="00781024"/>
    <w:rsid w:val="007816EF"/>
    <w:rsid w:val="00781D7E"/>
    <w:rsid w:val="00781F08"/>
    <w:rsid w:val="00781FF3"/>
    <w:rsid w:val="00782451"/>
    <w:rsid w:val="00782728"/>
    <w:rsid w:val="00782AFB"/>
    <w:rsid w:val="00782D53"/>
    <w:rsid w:val="00783125"/>
    <w:rsid w:val="00783900"/>
    <w:rsid w:val="00783948"/>
    <w:rsid w:val="00783CF0"/>
    <w:rsid w:val="00783F1B"/>
    <w:rsid w:val="00784177"/>
    <w:rsid w:val="0078421E"/>
    <w:rsid w:val="007842F1"/>
    <w:rsid w:val="00784516"/>
    <w:rsid w:val="00784C51"/>
    <w:rsid w:val="00784D3A"/>
    <w:rsid w:val="0078506F"/>
    <w:rsid w:val="007850B6"/>
    <w:rsid w:val="007858CF"/>
    <w:rsid w:val="0078594E"/>
    <w:rsid w:val="007859A8"/>
    <w:rsid w:val="00785A5B"/>
    <w:rsid w:val="00785B4F"/>
    <w:rsid w:val="00785CCB"/>
    <w:rsid w:val="00785F23"/>
    <w:rsid w:val="00786319"/>
    <w:rsid w:val="00786418"/>
    <w:rsid w:val="00786442"/>
    <w:rsid w:val="00786649"/>
    <w:rsid w:val="0078673D"/>
    <w:rsid w:val="00786C42"/>
    <w:rsid w:val="00786E4F"/>
    <w:rsid w:val="00786ED1"/>
    <w:rsid w:val="007872E5"/>
    <w:rsid w:val="007879EE"/>
    <w:rsid w:val="00787BAE"/>
    <w:rsid w:val="00787DE3"/>
    <w:rsid w:val="00787EE4"/>
    <w:rsid w:val="0079016D"/>
    <w:rsid w:val="00790324"/>
    <w:rsid w:val="00790DF0"/>
    <w:rsid w:val="007910DC"/>
    <w:rsid w:val="007912F7"/>
    <w:rsid w:val="00791307"/>
    <w:rsid w:val="00791514"/>
    <w:rsid w:val="00791BFA"/>
    <w:rsid w:val="0079258B"/>
    <w:rsid w:val="00792676"/>
    <w:rsid w:val="00792855"/>
    <w:rsid w:val="00792C39"/>
    <w:rsid w:val="00792C4A"/>
    <w:rsid w:val="00792DAF"/>
    <w:rsid w:val="00793629"/>
    <w:rsid w:val="007937F3"/>
    <w:rsid w:val="0079386D"/>
    <w:rsid w:val="00793A32"/>
    <w:rsid w:val="00793B94"/>
    <w:rsid w:val="00793CDA"/>
    <w:rsid w:val="00793E6A"/>
    <w:rsid w:val="0079443A"/>
    <w:rsid w:val="00794524"/>
    <w:rsid w:val="0079467C"/>
    <w:rsid w:val="00794862"/>
    <w:rsid w:val="0079488C"/>
    <w:rsid w:val="00794B2C"/>
    <w:rsid w:val="00794DAB"/>
    <w:rsid w:val="007951F2"/>
    <w:rsid w:val="007952F1"/>
    <w:rsid w:val="00795DDE"/>
    <w:rsid w:val="00795E1B"/>
    <w:rsid w:val="007965A0"/>
    <w:rsid w:val="00796658"/>
    <w:rsid w:val="00796BD8"/>
    <w:rsid w:val="00796F96"/>
    <w:rsid w:val="0079781C"/>
    <w:rsid w:val="007979F5"/>
    <w:rsid w:val="007A013E"/>
    <w:rsid w:val="007A026C"/>
    <w:rsid w:val="007A05DD"/>
    <w:rsid w:val="007A06B0"/>
    <w:rsid w:val="007A0A19"/>
    <w:rsid w:val="007A1273"/>
    <w:rsid w:val="007A12D6"/>
    <w:rsid w:val="007A1D5C"/>
    <w:rsid w:val="007A1DCA"/>
    <w:rsid w:val="007A23A9"/>
    <w:rsid w:val="007A274B"/>
    <w:rsid w:val="007A2BC9"/>
    <w:rsid w:val="007A2E27"/>
    <w:rsid w:val="007A3701"/>
    <w:rsid w:val="007A3AC7"/>
    <w:rsid w:val="007A3B9A"/>
    <w:rsid w:val="007A4A10"/>
    <w:rsid w:val="007A4ABE"/>
    <w:rsid w:val="007A4DD5"/>
    <w:rsid w:val="007A5017"/>
    <w:rsid w:val="007A5743"/>
    <w:rsid w:val="007A588C"/>
    <w:rsid w:val="007A5A90"/>
    <w:rsid w:val="007A5B24"/>
    <w:rsid w:val="007A5FCB"/>
    <w:rsid w:val="007A63C3"/>
    <w:rsid w:val="007A6AB7"/>
    <w:rsid w:val="007A6CB8"/>
    <w:rsid w:val="007A6D5F"/>
    <w:rsid w:val="007A70BB"/>
    <w:rsid w:val="007A7554"/>
    <w:rsid w:val="007A775D"/>
    <w:rsid w:val="007A788B"/>
    <w:rsid w:val="007A78F7"/>
    <w:rsid w:val="007A7959"/>
    <w:rsid w:val="007B0125"/>
    <w:rsid w:val="007B02D8"/>
    <w:rsid w:val="007B09BE"/>
    <w:rsid w:val="007B09F9"/>
    <w:rsid w:val="007B0B9C"/>
    <w:rsid w:val="007B0C30"/>
    <w:rsid w:val="007B118A"/>
    <w:rsid w:val="007B12A6"/>
    <w:rsid w:val="007B1432"/>
    <w:rsid w:val="007B17DF"/>
    <w:rsid w:val="007B18E3"/>
    <w:rsid w:val="007B1B2F"/>
    <w:rsid w:val="007B1CFA"/>
    <w:rsid w:val="007B212F"/>
    <w:rsid w:val="007B313E"/>
    <w:rsid w:val="007B32A8"/>
    <w:rsid w:val="007B3415"/>
    <w:rsid w:val="007B3C09"/>
    <w:rsid w:val="007B3C3D"/>
    <w:rsid w:val="007B3EA1"/>
    <w:rsid w:val="007B3FAA"/>
    <w:rsid w:val="007B3FBC"/>
    <w:rsid w:val="007B40F8"/>
    <w:rsid w:val="007B429F"/>
    <w:rsid w:val="007B4B50"/>
    <w:rsid w:val="007B5201"/>
    <w:rsid w:val="007B569B"/>
    <w:rsid w:val="007B5887"/>
    <w:rsid w:val="007B58D3"/>
    <w:rsid w:val="007B5FED"/>
    <w:rsid w:val="007B61DD"/>
    <w:rsid w:val="007B63DD"/>
    <w:rsid w:val="007B645B"/>
    <w:rsid w:val="007B667F"/>
    <w:rsid w:val="007B6685"/>
    <w:rsid w:val="007B6C8D"/>
    <w:rsid w:val="007B6D55"/>
    <w:rsid w:val="007B70B8"/>
    <w:rsid w:val="007B7744"/>
    <w:rsid w:val="007B7779"/>
    <w:rsid w:val="007C0515"/>
    <w:rsid w:val="007C0984"/>
    <w:rsid w:val="007C0A54"/>
    <w:rsid w:val="007C0A85"/>
    <w:rsid w:val="007C0E20"/>
    <w:rsid w:val="007C0EC9"/>
    <w:rsid w:val="007C1012"/>
    <w:rsid w:val="007C112A"/>
    <w:rsid w:val="007C15AA"/>
    <w:rsid w:val="007C1CC0"/>
    <w:rsid w:val="007C217B"/>
    <w:rsid w:val="007C21A4"/>
    <w:rsid w:val="007C2555"/>
    <w:rsid w:val="007C2A90"/>
    <w:rsid w:val="007C2AB7"/>
    <w:rsid w:val="007C2E62"/>
    <w:rsid w:val="007C3245"/>
    <w:rsid w:val="007C35F7"/>
    <w:rsid w:val="007C451D"/>
    <w:rsid w:val="007C45A9"/>
    <w:rsid w:val="007C45E0"/>
    <w:rsid w:val="007C474B"/>
    <w:rsid w:val="007C48E0"/>
    <w:rsid w:val="007C4B79"/>
    <w:rsid w:val="007C56F6"/>
    <w:rsid w:val="007C5C0C"/>
    <w:rsid w:val="007C5E2A"/>
    <w:rsid w:val="007C5EB3"/>
    <w:rsid w:val="007C5EED"/>
    <w:rsid w:val="007C659D"/>
    <w:rsid w:val="007C6B42"/>
    <w:rsid w:val="007C70FF"/>
    <w:rsid w:val="007C747C"/>
    <w:rsid w:val="007C74E7"/>
    <w:rsid w:val="007C7FD7"/>
    <w:rsid w:val="007D0203"/>
    <w:rsid w:val="007D02CC"/>
    <w:rsid w:val="007D0446"/>
    <w:rsid w:val="007D0732"/>
    <w:rsid w:val="007D0838"/>
    <w:rsid w:val="007D090E"/>
    <w:rsid w:val="007D09C6"/>
    <w:rsid w:val="007D10C1"/>
    <w:rsid w:val="007D149A"/>
    <w:rsid w:val="007D199C"/>
    <w:rsid w:val="007D1C4B"/>
    <w:rsid w:val="007D1C9B"/>
    <w:rsid w:val="007D1CBF"/>
    <w:rsid w:val="007D1E98"/>
    <w:rsid w:val="007D1EFF"/>
    <w:rsid w:val="007D22A1"/>
    <w:rsid w:val="007D22FB"/>
    <w:rsid w:val="007D269F"/>
    <w:rsid w:val="007D2C06"/>
    <w:rsid w:val="007D2D7F"/>
    <w:rsid w:val="007D36F5"/>
    <w:rsid w:val="007D3705"/>
    <w:rsid w:val="007D4266"/>
    <w:rsid w:val="007D4C5E"/>
    <w:rsid w:val="007D532B"/>
    <w:rsid w:val="007D54C9"/>
    <w:rsid w:val="007D5878"/>
    <w:rsid w:val="007D643E"/>
    <w:rsid w:val="007D709F"/>
    <w:rsid w:val="007D7484"/>
    <w:rsid w:val="007D750A"/>
    <w:rsid w:val="007D768E"/>
    <w:rsid w:val="007D7713"/>
    <w:rsid w:val="007D792A"/>
    <w:rsid w:val="007D7B03"/>
    <w:rsid w:val="007E00F3"/>
    <w:rsid w:val="007E018C"/>
    <w:rsid w:val="007E01E2"/>
    <w:rsid w:val="007E022D"/>
    <w:rsid w:val="007E09AF"/>
    <w:rsid w:val="007E0B2A"/>
    <w:rsid w:val="007E0B2E"/>
    <w:rsid w:val="007E0FEE"/>
    <w:rsid w:val="007E128E"/>
    <w:rsid w:val="007E2354"/>
    <w:rsid w:val="007E253C"/>
    <w:rsid w:val="007E25A1"/>
    <w:rsid w:val="007E2907"/>
    <w:rsid w:val="007E29A4"/>
    <w:rsid w:val="007E2AE4"/>
    <w:rsid w:val="007E2B78"/>
    <w:rsid w:val="007E2E78"/>
    <w:rsid w:val="007E2F3B"/>
    <w:rsid w:val="007E3699"/>
    <w:rsid w:val="007E369A"/>
    <w:rsid w:val="007E36A7"/>
    <w:rsid w:val="007E4678"/>
    <w:rsid w:val="007E4C05"/>
    <w:rsid w:val="007E4CFB"/>
    <w:rsid w:val="007E4EEB"/>
    <w:rsid w:val="007E51D9"/>
    <w:rsid w:val="007E52BE"/>
    <w:rsid w:val="007E5403"/>
    <w:rsid w:val="007E5C09"/>
    <w:rsid w:val="007E5F35"/>
    <w:rsid w:val="007E65DE"/>
    <w:rsid w:val="007E6DC8"/>
    <w:rsid w:val="007E7310"/>
    <w:rsid w:val="007E73D1"/>
    <w:rsid w:val="007E774C"/>
    <w:rsid w:val="007E7E47"/>
    <w:rsid w:val="007F0009"/>
    <w:rsid w:val="007F02B6"/>
    <w:rsid w:val="007F0713"/>
    <w:rsid w:val="007F077B"/>
    <w:rsid w:val="007F0F13"/>
    <w:rsid w:val="007F122C"/>
    <w:rsid w:val="007F1488"/>
    <w:rsid w:val="007F1864"/>
    <w:rsid w:val="007F1990"/>
    <w:rsid w:val="007F283C"/>
    <w:rsid w:val="007F2A6C"/>
    <w:rsid w:val="007F2BF4"/>
    <w:rsid w:val="007F2EB6"/>
    <w:rsid w:val="007F2FA7"/>
    <w:rsid w:val="007F2FB0"/>
    <w:rsid w:val="007F313B"/>
    <w:rsid w:val="007F32F8"/>
    <w:rsid w:val="007F3847"/>
    <w:rsid w:val="007F3AA5"/>
    <w:rsid w:val="007F467D"/>
    <w:rsid w:val="007F4AFA"/>
    <w:rsid w:val="007F4FFB"/>
    <w:rsid w:val="007F54CA"/>
    <w:rsid w:val="007F5786"/>
    <w:rsid w:val="007F5789"/>
    <w:rsid w:val="007F5DB1"/>
    <w:rsid w:val="007F61FC"/>
    <w:rsid w:val="007F64D0"/>
    <w:rsid w:val="007F66AF"/>
    <w:rsid w:val="007F69DD"/>
    <w:rsid w:val="007F6F67"/>
    <w:rsid w:val="00800404"/>
    <w:rsid w:val="00800701"/>
    <w:rsid w:val="008007B8"/>
    <w:rsid w:val="00800ABF"/>
    <w:rsid w:val="00800B64"/>
    <w:rsid w:val="00800B6C"/>
    <w:rsid w:val="00800DD9"/>
    <w:rsid w:val="008010BC"/>
    <w:rsid w:val="0080129E"/>
    <w:rsid w:val="008014E3"/>
    <w:rsid w:val="00801B27"/>
    <w:rsid w:val="00801B4D"/>
    <w:rsid w:val="00801DDB"/>
    <w:rsid w:val="008026A2"/>
    <w:rsid w:val="00802CE8"/>
    <w:rsid w:val="00802D85"/>
    <w:rsid w:val="00802FE5"/>
    <w:rsid w:val="008034BB"/>
    <w:rsid w:val="0080365B"/>
    <w:rsid w:val="00803D64"/>
    <w:rsid w:val="00803D68"/>
    <w:rsid w:val="00803E41"/>
    <w:rsid w:val="00803F03"/>
    <w:rsid w:val="008045E4"/>
    <w:rsid w:val="008047D8"/>
    <w:rsid w:val="00804BD6"/>
    <w:rsid w:val="00804D4A"/>
    <w:rsid w:val="00804DBC"/>
    <w:rsid w:val="0080582A"/>
    <w:rsid w:val="00805B65"/>
    <w:rsid w:val="00805FDD"/>
    <w:rsid w:val="00806010"/>
    <w:rsid w:val="00806104"/>
    <w:rsid w:val="00806DBD"/>
    <w:rsid w:val="0080705B"/>
    <w:rsid w:val="008076EC"/>
    <w:rsid w:val="008077AC"/>
    <w:rsid w:val="00807A69"/>
    <w:rsid w:val="00807DA9"/>
    <w:rsid w:val="00810EE0"/>
    <w:rsid w:val="008112F3"/>
    <w:rsid w:val="00811306"/>
    <w:rsid w:val="008118CA"/>
    <w:rsid w:val="00811B85"/>
    <w:rsid w:val="0081230D"/>
    <w:rsid w:val="00812325"/>
    <w:rsid w:val="0081292B"/>
    <w:rsid w:val="00812EAA"/>
    <w:rsid w:val="0081322C"/>
    <w:rsid w:val="008132D5"/>
    <w:rsid w:val="00813D42"/>
    <w:rsid w:val="00813EDA"/>
    <w:rsid w:val="00814764"/>
    <w:rsid w:val="008148A5"/>
    <w:rsid w:val="008149F5"/>
    <w:rsid w:val="00814AAF"/>
    <w:rsid w:val="008152FD"/>
    <w:rsid w:val="008154A4"/>
    <w:rsid w:val="008157DE"/>
    <w:rsid w:val="008160C5"/>
    <w:rsid w:val="00816648"/>
    <w:rsid w:val="008166FF"/>
    <w:rsid w:val="0081783F"/>
    <w:rsid w:val="00817CB4"/>
    <w:rsid w:val="008204E0"/>
    <w:rsid w:val="00820F14"/>
    <w:rsid w:val="00820F5D"/>
    <w:rsid w:val="0082117B"/>
    <w:rsid w:val="0082140F"/>
    <w:rsid w:val="00821624"/>
    <w:rsid w:val="00821724"/>
    <w:rsid w:val="00821F49"/>
    <w:rsid w:val="008220CF"/>
    <w:rsid w:val="00822571"/>
    <w:rsid w:val="008226D7"/>
    <w:rsid w:val="008229D8"/>
    <w:rsid w:val="00822B6F"/>
    <w:rsid w:val="00822CCF"/>
    <w:rsid w:val="00822F7B"/>
    <w:rsid w:val="00823DA2"/>
    <w:rsid w:val="00823DCC"/>
    <w:rsid w:val="00823FDF"/>
    <w:rsid w:val="00824278"/>
    <w:rsid w:val="00824295"/>
    <w:rsid w:val="00824594"/>
    <w:rsid w:val="008245F0"/>
    <w:rsid w:val="00824856"/>
    <w:rsid w:val="0082494C"/>
    <w:rsid w:val="00825200"/>
    <w:rsid w:val="008252D3"/>
    <w:rsid w:val="00825328"/>
    <w:rsid w:val="0082561A"/>
    <w:rsid w:val="008256CF"/>
    <w:rsid w:val="00825741"/>
    <w:rsid w:val="00825BFF"/>
    <w:rsid w:val="00826060"/>
    <w:rsid w:val="0082655A"/>
    <w:rsid w:val="00826BAB"/>
    <w:rsid w:val="00826C8C"/>
    <w:rsid w:val="0082709A"/>
    <w:rsid w:val="008270D7"/>
    <w:rsid w:val="00827683"/>
    <w:rsid w:val="00827B91"/>
    <w:rsid w:val="00830601"/>
    <w:rsid w:val="0083077B"/>
    <w:rsid w:val="00831873"/>
    <w:rsid w:val="0083196C"/>
    <w:rsid w:val="00831999"/>
    <w:rsid w:val="00831CEA"/>
    <w:rsid w:val="00831D72"/>
    <w:rsid w:val="00831D9E"/>
    <w:rsid w:val="008323F9"/>
    <w:rsid w:val="008324BD"/>
    <w:rsid w:val="00832E48"/>
    <w:rsid w:val="00833036"/>
    <w:rsid w:val="008337D9"/>
    <w:rsid w:val="00833A01"/>
    <w:rsid w:val="00833A25"/>
    <w:rsid w:val="0083419B"/>
    <w:rsid w:val="008342CD"/>
    <w:rsid w:val="00834556"/>
    <w:rsid w:val="00834670"/>
    <w:rsid w:val="0083520E"/>
    <w:rsid w:val="008358F3"/>
    <w:rsid w:val="00835D85"/>
    <w:rsid w:val="00836026"/>
    <w:rsid w:val="00836105"/>
    <w:rsid w:val="008361A2"/>
    <w:rsid w:val="00836525"/>
    <w:rsid w:val="00836729"/>
    <w:rsid w:val="008368D3"/>
    <w:rsid w:val="00836B0B"/>
    <w:rsid w:val="00836B0C"/>
    <w:rsid w:val="00836EC0"/>
    <w:rsid w:val="00836F14"/>
    <w:rsid w:val="00837470"/>
    <w:rsid w:val="00837811"/>
    <w:rsid w:val="00837973"/>
    <w:rsid w:val="00840242"/>
    <w:rsid w:val="0084043B"/>
    <w:rsid w:val="008407D5"/>
    <w:rsid w:val="00840822"/>
    <w:rsid w:val="00840C0D"/>
    <w:rsid w:val="00840E07"/>
    <w:rsid w:val="00840E20"/>
    <w:rsid w:val="00840F63"/>
    <w:rsid w:val="00840FCD"/>
    <w:rsid w:val="00841252"/>
    <w:rsid w:val="00841438"/>
    <w:rsid w:val="008415C4"/>
    <w:rsid w:val="00841710"/>
    <w:rsid w:val="00841DC5"/>
    <w:rsid w:val="00841E75"/>
    <w:rsid w:val="008420D8"/>
    <w:rsid w:val="00842FE5"/>
    <w:rsid w:val="0084348C"/>
    <w:rsid w:val="00843CA0"/>
    <w:rsid w:val="00844462"/>
    <w:rsid w:val="008444D3"/>
    <w:rsid w:val="00844726"/>
    <w:rsid w:val="00844EFB"/>
    <w:rsid w:val="00844F5C"/>
    <w:rsid w:val="008450B9"/>
    <w:rsid w:val="00845322"/>
    <w:rsid w:val="008459CD"/>
    <w:rsid w:val="00845D64"/>
    <w:rsid w:val="00845D66"/>
    <w:rsid w:val="00845EF7"/>
    <w:rsid w:val="008461BB"/>
    <w:rsid w:val="008472B0"/>
    <w:rsid w:val="00847B99"/>
    <w:rsid w:val="00847E0E"/>
    <w:rsid w:val="0085000C"/>
    <w:rsid w:val="0085040C"/>
    <w:rsid w:val="00850FBF"/>
    <w:rsid w:val="0085101F"/>
    <w:rsid w:val="008513E8"/>
    <w:rsid w:val="00851B23"/>
    <w:rsid w:val="00851B3D"/>
    <w:rsid w:val="00851C32"/>
    <w:rsid w:val="008525E0"/>
    <w:rsid w:val="0085269B"/>
    <w:rsid w:val="00852CD7"/>
    <w:rsid w:val="00853162"/>
    <w:rsid w:val="00853BF2"/>
    <w:rsid w:val="00853C53"/>
    <w:rsid w:val="00853D2E"/>
    <w:rsid w:val="008542CB"/>
    <w:rsid w:val="008543F9"/>
    <w:rsid w:val="0085440A"/>
    <w:rsid w:val="00854445"/>
    <w:rsid w:val="00854947"/>
    <w:rsid w:val="00854A63"/>
    <w:rsid w:val="00854C37"/>
    <w:rsid w:val="00855229"/>
    <w:rsid w:val="008554D4"/>
    <w:rsid w:val="008556D1"/>
    <w:rsid w:val="008559BA"/>
    <w:rsid w:val="008559EE"/>
    <w:rsid w:val="00855CDF"/>
    <w:rsid w:val="008563A0"/>
    <w:rsid w:val="00856584"/>
    <w:rsid w:val="008566ED"/>
    <w:rsid w:val="00856CF5"/>
    <w:rsid w:val="00856EB8"/>
    <w:rsid w:val="00857336"/>
    <w:rsid w:val="008576D8"/>
    <w:rsid w:val="0085775B"/>
    <w:rsid w:val="00857763"/>
    <w:rsid w:val="00857A90"/>
    <w:rsid w:val="0086020E"/>
    <w:rsid w:val="00860AC8"/>
    <w:rsid w:val="00860E8A"/>
    <w:rsid w:val="00861592"/>
    <w:rsid w:val="00861D83"/>
    <w:rsid w:val="00861F64"/>
    <w:rsid w:val="008621E3"/>
    <w:rsid w:val="00862836"/>
    <w:rsid w:val="00862CEF"/>
    <w:rsid w:val="00862DCA"/>
    <w:rsid w:val="00863042"/>
    <w:rsid w:val="008630D0"/>
    <w:rsid w:val="00863293"/>
    <w:rsid w:val="0086356E"/>
    <w:rsid w:val="008639DD"/>
    <w:rsid w:val="00863BF1"/>
    <w:rsid w:val="0086418C"/>
    <w:rsid w:val="008641F5"/>
    <w:rsid w:val="00864266"/>
    <w:rsid w:val="008649ED"/>
    <w:rsid w:val="00864C00"/>
    <w:rsid w:val="008651BF"/>
    <w:rsid w:val="00865663"/>
    <w:rsid w:val="008657E5"/>
    <w:rsid w:val="008658AF"/>
    <w:rsid w:val="008659D2"/>
    <w:rsid w:val="00865C32"/>
    <w:rsid w:val="00865C42"/>
    <w:rsid w:val="00865D09"/>
    <w:rsid w:val="00865F76"/>
    <w:rsid w:val="00866AC9"/>
    <w:rsid w:val="00867A27"/>
    <w:rsid w:val="00870689"/>
    <w:rsid w:val="008706C1"/>
    <w:rsid w:val="00870883"/>
    <w:rsid w:val="008710DA"/>
    <w:rsid w:val="008712A2"/>
    <w:rsid w:val="00871375"/>
    <w:rsid w:val="0087183A"/>
    <w:rsid w:val="00871904"/>
    <w:rsid w:val="008719EC"/>
    <w:rsid w:val="00871BC7"/>
    <w:rsid w:val="00871FC3"/>
    <w:rsid w:val="00872CFE"/>
    <w:rsid w:val="0087321C"/>
    <w:rsid w:val="008732BF"/>
    <w:rsid w:val="00873397"/>
    <w:rsid w:val="008733EB"/>
    <w:rsid w:val="00873D0B"/>
    <w:rsid w:val="0087417F"/>
    <w:rsid w:val="00874A9A"/>
    <w:rsid w:val="00875736"/>
    <w:rsid w:val="008759D0"/>
    <w:rsid w:val="00875F5E"/>
    <w:rsid w:val="008760FB"/>
    <w:rsid w:val="00876157"/>
    <w:rsid w:val="008762E8"/>
    <w:rsid w:val="0087658C"/>
    <w:rsid w:val="008765CA"/>
    <w:rsid w:val="0087670A"/>
    <w:rsid w:val="00876788"/>
    <w:rsid w:val="00876C59"/>
    <w:rsid w:val="00876DD0"/>
    <w:rsid w:val="00877470"/>
    <w:rsid w:val="00877CB0"/>
    <w:rsid w:val="008801A9"/>
    <w:rsid w:val="0088038F"/>
    <w:rsid w:val="00880841"/>
    <w:rsid w:val="00880E40"/>
    <w:rsid w:val="0088116D"/>
    <w:rsid w:val="0088150E"/>
    <w:rsid w:val="00881528"/>
    <w:rsid w:val="00881BEC"/>
    <w:rsid w:val="008820A5"/>
    <w:rsid w:val="00882702"/>
    <w:rsid w:val="00882859"/>
    <w:rsid w:val="00882E29"/>
    <w:rsid w:val="008833C9"/>
    <w:rsid w:val="00883C10"/>
    <w:rsid w:val="00883C1F"/>
    <w:rsid w:val="00883C53"/>
    <w:rsid w:val="00883D0E"/>
    <w:rsid w:val="00883F8B"/>
    <w:rsid w:val="0088441B"/>
    <w:rsid w:val="00884634"/>
    <w:rsid w:val="00884A9A"/>
    <w:rsid w:val="00884E73"/>
    <w:rsid w:val="00885093"/>
    <w:rsid w:val="008853A7"/>
    <w:rsid w:val="0088563B"/>
    <w:rsid w:val="00885C39"/>
    <w:rsid w:val="00885C6F"/>
    <w:rsid w:val="00885EAE"/>
    <w:rsid w:val="00885FEB"/>
    <w:rsid w:val="008860FF"/>
    <w:rsid w:val="00886148"/>
    <w:rsid w:val="00886296"/>
    <w:rsid w:val="0088659C"/>
    <w:rsid w:val="0088691F"/>
    <w:rsid w:val="00886C4A"/>
    <w:rsid w:val="00886FF3"/>
    <w:rsid w:val="008870B7"/>
    <w:rsid w:val="008872EF"/>
    <w:rsid w:val="008872F5"/>
    <w:rsid w:val="00887D64"/>
    <w:rsid w:val="008906C7"/>
    <w:rsid w:val="00890AAC"/>
    <w:rsid w:val="00891ADA"/>
    <w:rsid w:val="00891CDE"/>
    <w:rsid w:val="00893720"/>
    <w:rsid w:val="00893AEA"/>
    <w:rsid w:val="00893DD7"/>
    <w:rsid w:val="00893F74"/>
    <w:rsid w:val="0089401B"/>
    <w:rsid w:val="00894045"/>
    <w:rsid w:val="00894D3C"/>
    <w:rsid w:val="0089505B"/>
    <w:rsid w:val="008955F7"/>
    <w:rsid w:val="008956BF"/>
    <w:rsid w:val="00895A22"/>
    <w:rsid w:val="00895E43"/>
    <w:rsid w:val="00896003"/>
    <w:rsid w:val="008963D8"/>
    <w:rsid w:val="0089645F"/>
    <w:rsid w:val="008973ED"/>
    <w:rsid w:val="008974A1"/>
    <w:rsid w:val="008A0438"/>
    <w:rsid w:val="008A05B1"/>
    <w:rsid w:val="008A0C41"/>
    <w:rsid w:val="008A10CC"/>
    <w:rsid w:val="008A1432"/>
    <w:rsid w:val="008A173F"/>
    <w:rsid w:val="008A1986"/>
    <w:rsid w:val="008A1B7D"/>
    <w:rsid w:val="008A1DF3"/>
    <w:rsid w:val="008A207D"/>
    <w:rsid w:val="008A20B0"/>
    <w:rsid w:val="008A27E4"/>
    <w:rsid w:val="008A2A6F"/>
    <w:rsid w:val="008A2C00"/>
    <w:rsid w:val="008A3084"/>
    <w:rsid w:val="008A32AB"/>
    <w:rsid w:val="008A32D3"/>
    <w:rsid w:val="008A333A"/>
    <w:rsid w:val="008A350F"/>
    <w:rsid w:val="008A35ED"/>
    <w:rsid w:val="008A3C2A"/>
    <w:rsid w:val="008A3E4F"/>
    <w:rsid w:val="008A42DA"/>
    <w:rsid w:val="008A4818"/>
    <w:rsid w:val="008A4AF6"/>
    <w:rsid w:val="008A4C0D"/>
    <w:rsid w:val="008A4C2E"/>
    <w:rsid w:val="008A4EDB"/>
    <w:rsid w:val="008A5A94"/>
    <w:rsid w:val="008A5D42"/>
    <w:rsid w:val="008A5DEA"/>
    <w:rsid w:val="008A5F06"/>
    <w:rsid w:val="008A61A2"/>
    <w:rsid w:val="008A6462"/>
    <w:rsid w:val="008A6919"/>
    <w:rsid w:val="008A6B10"/>
    <w:rsid w:val="008A6DE7"/>
    <w:rsid w:val="008A708B"/>
    <w:rsid w:val="008A7A88"/>
    <w:rsid w:val="008A7BC9"/>
    <w:rsid w:val="008A7D84"/>
    <w:rsid w:val="008A7E5A"/>
    <w:rsid w:val="008B08A2"/>
    <w:rsid w:val="008B0A6A"/>
    <w:rsid w:val="008B0B81"/>
    <w:rsid w:val="008B0BEA"/>
    <w:rsid w:val="008B0C16"/>
    <w:rsid w:val="008B0DF3"/>
    <w:rsid w:val="008B1939"/>
    <w:rsid w:val="008B1BBF"/>
    <w:rsid w:val="008B1E66"/>
    <w:rsid w:val="008B271D"/>
    <w:rsid w:val="008B2786"/>
    <w:rsid w:val="008B27F7"/>
    <w:rsid w:val="008B297E"/>
    <w:rsid w:val="008B2FB5"/>
    <w:rsid w:val="008B301F"/>
    <w:rsid w:val="008B351F"/>
    <w:rsid w:val="008B36F0"/>
    <w:rsid w:val="008B3D0D"/>
    <w:rsid w:val="008B4251"/>
    <w:rsid w:val="008B4515"/>
    <w:rsid w:val="008B481D"/>
    <w:rsid w:val="008B4978"/>
    <w:rsid w:val="008B4996"/>
    <w:rsid w:val="008B4E27"/>
    <w:rsid w:val="008B4F54"/>
    <w:rsid w:val="008B5009"/>
    <w:rsid w:val="008B5432"/>
    <w:rsid w:val="008B58BF"/>
    <w:rsid w:val="008B5B04"/>
    <w:rsid w:val="008B6149"/>
    <w:rsid w:val="008B6355"/>
    <w:rsid w:val="008B65AD"/>
    <w:rsid w:val="008B68AD"/>
    <w:rsid w:val="008B6B15"/>
    <w:rsid w:val="008B6F30"/>
    <w:rsid w:val="008B76D5"/>
    <w:rsid w:val="008B779F"/>
    <w:rsid w:val="008B7CE5"/>
    <w:rsid w:val="008B7E1F"/>
    <w:rsid w:val="008C00E0"/>
    <w:rsid w:val="008C02F2"/>
    <w:rsid w:val="008C02F6"/>
    <w:rsid w:val="008C0394"/>
    <w:rsid w:val="008C0B2E"/>
    <w:rsid w:val="008C0B49"/>
    <w:rsid w:val="008C106D"/>
    <w:rsid w:val="008C10F9"/>
    <w:rsid w:val="008C1152"/>
    <w:rsid w:val="008C1184"/>
    <w:rsid w:val="008C1237"/>
    <w:rsid w:val="008C15DC"/>
    <w:rsid w:val="008C1677"/>
    <w:rsid w:val="008C188C"/>
    <w:rsid w:val="008C1F03"/>
    <w:rsid w:val="008C211F"/>
    <w:rsid w:val="008C223A"/>
    <w:rsid w:val="008C22D4"/>
    <w:rsid w:val="008C283E"/>
    <w:rsid w:val="008C3262"/>
    <w:rsid w:val="008C3429"/>
    <w:rsid w:val="008C343E"/>
    <w:rsid w:val="008C3557"/>
    <w:rsid w:val="008C3BFC"/>
    <w:rsid w:val="008C4419"/>
    <w:rsid w:val="008C44BE"/>
    <w:rsid w:val="008C4722"/>
    <w:rsid w:val="008C4CE2"/>
    <w:rsid w:val="008C540B"/>
    <w:rsid w:val="008C54A5"/>
    <w:rsid w:val="008C555F"/>
    <w:rsid w:val="008C572A"/>
    <w:rsid w:val="008C575F"/>
    <w:rsid w:val="008C58C7"/>
    <w:rsid w:val="008C5F72"/>
    <w:rsid w:val="008C689C"/>
    <w:rsid w:val="008C6C27"/>
    <w:rsid w:val="008C73B7"/>
    <w:rsid w:val="008C7536"/>
    <w:rsid w:val="008C76B2"/>
    <w:rsid w:val="008C782F"/>
    <w:rsid w:val="008C7A81"/>
    <w:rsid w:val="008C7ED5"/>
    <w:rsid w:val="008C7FAD"/>
    <w:rsid w:val="008D0161"/>
    <w:rsid w:val="008D040F"/>
    <w:rsid w:val="008D05FB"/>
    <w:rsid w:val="008D0835"/>
    <w:rsid w:val="008D0BDB"/>
    <w:rsid w:val="008D101F"/>
    <w:rsid w:val="008D1C1F"/>
    <w:rsid w:val="008D1D54"/>
    <w:rsid w:val="008D210E"/>
    <w:rsid w:val="008D2367"/>
    <w:rsid w:val="008D23E8"/>
    <w:rsid w:val="008D2E35"/>
    <w:rsid w:val="008D312A"/>
    <w:rsid w:val="008D3636"/>
    <w:rsid w:val="008D3838"/>
    <w:rsid w:val="008D3B86"/>
    <w:rsid w:val="008D3F92"/>
    <w:rsid w:val="008D43B5"/>
    <w:rsid w:val="008D4414"/>
    <w:rsid w:val="008D4460"/>
    <w:rsid w:val="008D44DC"/>
    <w:rsid w:val="008D47DF"/>
    <w:rsid w:val="008D491F"/>
    <w:rsid w:val="008D4F1D"/>
    <w:rsid w:val="008D4F32"/>
    <w:rsid w:val="008D502A"/>
    <w:rsid w:val="008D53D6"/>
    <w:rsid w:val="008D5618"/>
    <w:rsid w:val="008D5D87"/>
    <w:rsid w:val="008D61DC"/>
    <w:rsid w:val="008D6768"/>
    <w:rsid w:val="008D686F"/>
    <w:rsid w:val="008D689E"/>
    <w:rsid w:val="008D6E31"/>
    <w:rsid w:val="008D6F9C"/>
    <w:rsid w:val="008D77C5"/>
    <w:rsid w:val="008D78C9"/>
    <w:rsid w:val="008D7F9B"/>
    <w:rsid w:val="008E019F"/>
    <w:rsid w:val="008E0403"/>
    <w:rsid w:val="008E0561"/>
    <w:rsid w:val="008E0ED3"/>
    <w:rsid w:val="008E0F06"/>
    <w:rsid w:val="008E101F"/>
    <w:rsid w:val="008E1103"/>
    <w:rsid w:val="008E1660"/>
    <w:rsid w:val="008E19D1"/>
    <w:rsid w:val="008E1CD6"/>
    <w:rsid w:val="008E25EE"/>
    <w:rsid w:val="008E2775"/>
    <w:rsid w:val="008E2781"/>
    <w:rsid w:val="008E279D"/>
    <w:rsid w:val="008E27E8"/>
    <w:rsid w:val="008E2947"/>
    <w:rsid w:val="008E2A68"/>
    <w:rsid w:val="008E2E67"/>
    <w:rsid w:val="008E2E82"/>
    <w:rsid w:val="008E38D6"/>
    <w:rsid w:val="008E3B83"/>
    <w:rsid w:val="008E3EE6"/>
    <w:rsid w:val="008E473E"/>
    <w:rsid w:val="008E4943"/>
    <w:rsid w:val="008E4A64"/>
    <w:rsid w:val="008E4D88"/>
    <w:rsid w:val="008E536B"/>
    <w:rsid w:val="008E545E"/>
    <w:rsid w:val="008E55E8"/>
    <w:rsid w:val="008E5B64"/>
    <w:rsid w:val="008E5FBA"/>
    <w:rsid w:val="008E6524"/>
    <w:rsid w:val="008E6657"/>
    <w:rsid w:val="008E6996"/>
    <w:rsid w:val="008E76E6"/>
    <w:rsid w:val="008E7730"/>
    <w:rsid w:val="008E7B85"/>
    <w:rsid w:val="008E7FA6"/>
    <w:rsid w:val="008F02F6"/>
    <w:rsid w:val="008F041B"/>
    <w:rsid w:val="008F0557"/>
    <w:rsid w:val="008F05E6"/>
    <w:rsid w:val="008F08DC"/>
    <w:rsid w:val="008F0D9C"/>
    <w:rsid w:val="008F11CB"/>
    <w:rsid w:val="008F12C8"/>
    <w:rsid w:val="008F143C"/>
    <w:rsid w:val="008F1856"/>
    <w:rsid w:val="008F19F6"/>
    <w:rsid w:val="008F1A57"/>
    <w:rsid w:val="008F25D9"/>
    <w:rsid w:val="008F272D"/>
    <w:rsid w:val="008F2953"/>
    <w:rsid w:val="008F2B3A"/>
    <w:rsid w:val="008F2F0F"/>
    <w:rsid w:val="008F318E"/>
    <w:rsid w:val="008F3722"/>
    <w:rsid w:val="008F40E0"/>
    <w:rsid w:val="008F4282"/>
    <w:rsid w:val="008F4EDB"/>
    <w:rsid w:val="008F5140"/>
    <w:rsid w:val="008F51EB"/>
    <w:rsid w:val="008F5288"/>
    <w:rsid w:val="008F545E"/>
    <w:rsid w:val="008F565E"/>
    <w:rsid w:val="008F5748"/>
    <w:rsid w:val="008F5953"/>
    <w:rsid w:val="008F5BE5"/>
    <w:rsid w:val="008F5D2C"/>
    <w:rsid w:val="008F5DA6"/>
    <w:rsid w:val="008F61FC"/>
    <w:rsid w:val="008F6221"/>
    <w:rsid w:val="008F642B"/>
    <w:rsid w:val="008F722C"/>
    <w:rsid w:val="008F73E0"/>
    <w:rsid w:val="008F7B30"/>
    <w:rsid w:val="008F7DB1"/>
    <w:rsid w:val="008F7FB9"/>
    <w:rsid w:val="0090001B"/>
    <w:rsid w:val="00900CF6"/>
    <w:rsid w:val="00900EF6"/>
    <w:rsid w:val="00901175"/>
    <w:rsid w:val="00901278"/>
    <w:rsid w:val="009013D9"/>
    <w:rsid w:val="009017F7"/>
    <w:rsid w:val="009019F8"/>
    <w:rsid w:val="00901A66"/>
    <w:rsid w:val="00901CB0"/>
    <w:rsid w:val="00901F38"/>
    <w:rsid w:val="00901FCB"/>
    <w:rsid w:val="00902195"/>
    <w:rsid w:val="0090228C"/>
    <w:rsid w:val="00902536"/>
    <w:rsid w:val="00903647"/>
    <w:rsid w:val="00903A5E"/>
    <w:rsid w:val="00903BC6"/>
    <w:rsid w:val="00903E23"/>
    <w:rsid w:val="00903E6E"/>
    <w:rsid w:val="00903EC7"/>
    <w:rsid w:val="00904108"/>
    <w:rsid w:val="00904580"/>
    <w:rsid w:val="00904C39"/>
    <w:rsid w:val="00904DC2"/>
    <w:rsid w:val="009050C8"/>
    <w:rsid w:val="009052DF"/>
    <w:rsid w:val="009055CC"/>
    <w:rsid w:val="009056F7"/>
    <w:rsid w:val="00905B64"/>
    <w:rsid w:val="009062DC"/>
    <w:rsid w:val="009065A5"/>
    <w:rsid w:val="009067F9"/>
    <w:rsid w:val="0090686B"/>
    <w:rsid w:val="00906F62"/>
    <w:rsid w:val="009072D4"/>
    <w:rsid w:val="0090747B"/>
    <w:rsid w:val="00907800"/>
    <w:rsid w:val="00907910"/>
    <w:rsid w:val="00910645"/>
    <w:rsid w:val="009106D3"/>
    <w:rsid w:val="0091071E"/>
    <w:rsid w:val="009108B2"/>
    <w:rsid w:val="00911487"/>
    <w:rsid w:val="009115C7"/>
    <w:rsid w:val="009118BA"/>
    <w:rsid w:val="00911FD0"/>
    <w:rsid w:val="0091201F"/>
    <w:rsid w:val="009122F4"/>
    <w:rsid w:val="0091266E"/>
    <w:rsid w:val="00912A5E"/>
    <w:rsid w:val="00912E11"/>
    <w:rsid w:val="00912FBA"/>
    <w:rsid w:val="009134DE"/>
    <w:rsid w:val="009136E9"/>
    <w:rsid w:val="00913BA3"/>
    <w:rsid w:val="00913CFF"/>
    <w:rsid w:val="00913F7F"/>
    <w:rsid w:val="0091421E"/>
    <w:rsid w:val="00914596"/>
    <w:rsid w:val="0091459B"/>
    <w:rsid w:val="009147FF"/>
    <w:rsid w:val="009148A8"/>
    <w:rsid w:val="0091498B"/>
    <w:rsid w:val="0091516E"/>
    <w:rsid w:val="009151B6"/>
    <w:rsid w:val="0091533D"/>
    <w:rsid w:val="0091580A"/>
    <w:rsid w:val="00915BB8"/>
    <w:rsid w:val="00915C3B"/>
    <w:rsid w:val="00915DE6"/>
    <w:rsid w:val="00916048"/>
    <w:rsid w:val="00916A7C"/>
    <w:rsid w:val="00916FB2"/>
    <w:rsid w:val="0091768B"/>
    <w:rsid w:val="009177CA"/>
    <w:rsid w:val="009204B7"/>
    <w:rsid w:val="0092059D"/>
    <w:rsid w:val="00920DED"/>
    <w:rsid w:val="00920EDD"/>
    <w:rsid w:val="009211EC"/>
    <w:rsid w:val="00921588"/>
    <w:rsid w:val="00921644"/>
    <w:rsid w:val="00921955"/>
    <w:rsid w:val="00921A11"/>
    <w:rsid w:val="00921A3D"/>
    <w:rsid w:val="00921AAA"/>
    <w:rsid w:val="00921FB8"/>
    <w:rsid w:val="00922345"/>
    <w:rsid w:val="009224E7"/>
    <w:rsid w:val="009228CA"/>
    <w:rsid w:val="00922C3F"/>
    <w:rsid w:val="00922DD7"/>
    <w:rsid w:val="009231E0"/>
    <w:rsid w:val="009234D3"/>
    <w:rsid w:val="00923EF7"/>
    <w:rsid w:val="00924236"/>
    <w:rsid w:val="00925076"/>
    <w:rsid w:val="0092567B"/>
    <w:rsid w:val="00925746"/>
    <w:rsid w:val="009258E9"/>
    <w:rsid w:val="00925BD5"/>
    <w:rsid w:val="00925BEF"/>
    <w:rsid w:val="00925F5F"/>
    <w:rsid w:val="00926225"/>
    <w:rsid w:val="009266DC"/>
    <w:rsid w:val="00926929"/>
    <w:rsid w:val="00926B3D"/>
    <w:rsid w:val="00926F78"/>
    <w:rsid w:val="00927080"/>
    <w:rsid w:val="00927791"/>
    <w:rsid w:val="00927940"/>
    <w:rsid w:val="00927FC8"/>
    <w:rsid w:val="00930B8F"/>
    <w:rsid w:val="00930C74"/>
    <w:rsid w:val="00930E68"/>
    <w:rsid w:val="00930EF9"/>
    <w:rsid w:val="009315CB"/>
    <w:rsid w:val="0093160E"/>
    <w:rsid w:val="00931620"/>
    <w:rsid w:val="00931C44"/>
    <w:rsid w:val="00931FEA"/>
    <w:rsid w:val="00932031"/>
    <w:rsid w:val="009320FC"/>
    <w:rsid w:val="00932180"/>
    <w:rsid w:val="009323DA"/>
    <w:rsid w:val="0093263D"/>
    <w:rsid w:val="0093290B"/>
    <w:rsid w:val="0093316F"/>
    <w:rsid w:val="0093338F"/>
    <w:rsid w:val="00933472"/>
    <w:rsid w:val="009334A3"/>
    <w:rsid w:val="00933520"/>
    <w:rsid w:val="009335AD"/>
    <w:rsid w:val="00933AD8"/>
    <w:rsid w:val="00934062"/>
    <w:rsid w:val="00934347"/>
    <w:rsid w:val="00934640"/>
    <w:rsid w:val="0093496D"/>
    <w:rsid w:val="00934D53"/>
    <w:rsid w:val="009350BB"/>
    <w:rsid w:val="00935225"/>
    <w:rsid w:val="009354B1"/>
    <w:rsid w:val="00935751"/>
    <w:rsid w:val="00935829"/>
    <w:rsid w:val="00935C4D"/>
    <w:rsid w:val="00935D76"/>
    <w:rsid w:val="0093618F"/>
    <w:rsid w:val="00936B27"/>
    <w:rsid w:val="00936C4E"/>
    <w:rsid w:val="00936DDE"/>
    <w:rsid w:val="00937704"/>
    <w:rsid w:val="009378ED"/>
    <w:rsid w:val="00937BB5"/>
    <w:rsid w:val="009400D6"/>
    <w:rsid w:val="00940615"/>
    <w:rsid w:val="009407F5"/>
    <w:rsid w:val="0094092D"/>
    <w:rsid w:val="00940B89"/>
    <w:rsid w:val="00940E84"/>
    <w:rsid w:val="00941210"/>
    <w:rsid w:val="00941286"/>
    <w:rsid w:val="009415DA"/>
    <w:rsid w:val="009418CE"/>
    <w:rsid w:val="00941AA9"/>
    <w:rsid w:val="00941C3F"/>
    <w:rsid w:val="00941F40"/>
    <w:rsid w:val="00942195"/>
    <w:rsid w:val="009423D1"/>
    <w:rsid w:val="0094243D"/>
    <w:rsid w:val="009424CD"/>
    <w:rsid w:val="00942856"/>
    <w:rsid w:val="009428AF"/>
    <w:rsid w:val="00942A9E"/>
    <w:rsid w:val="00942C93"/>
    <w:rsid w:val="00942EDB"/>
    <w:rsid w:val="00942F4A"/>
    <w:rsid w:val="009434AF"/>
    <w:rsid w:val="00943B0D"/>
    <w:rsid w:val="00944160"/>
    <w:rsid w:val="0094419F"/>
    <w:rsid w:val="009441DA"/>
    <w:rsid w:val="00944208"/>
    <w:rsid w:val="00944391"/>
    <w:rsid w:val="00944BA4"/>
    <w:rsid w:val="009450A9"/>
    <w:rsid w:val="00945705"/>
    <w:rsid w:val="00945F95"/>
    <w:rsid w:val="0094646E"/>
    <w:rsid w:val="00946793"/>
    <w:rsid w:val="009467A0"/>
    <w:rsid w:val="009467B8"/>
    <w:rsid w:val="00946F5A"/>
    <w:rsid w:val="00947A97"/>
    <w:rsid w:val="00947CEB"/>
    <w:rsid w:val="00947E86"/>
    <w:rsid w:val="00950599"/>
    <w:rsid w:val="009507B2"/>
    <w:rsid w:val="00951101"/>
    <w:rsid w:val="00951374"/>
    <w:rsid w:val="0095159E"/>
    <w:rsid w:val="00951FDE"/>
    <w:rsid w:val="009520C8"/>
    <w:rsid w:val="0095241A"/>
    <w:rsid w:val="00952A0D"/>
    <w:rsid w:val="00952AC0"/>
    <w:rsid w:val="00952B79"/>
    <w:rsid w:val="00952F97"/>
    <w:rsid w:val="00953237"/>
    <w:rsid w:val="009532C1"/>
    <w:rsid w:val="00953346"/>
    <w:rsid w:val="00953588"/>
    <w:rsid w:val="00953CC0"/>
    <w:rsid w:val="00953DD6"/>
    <w:rsid w:val="0095409A"/>
    <w:rsid w:val="009543E9"/>
    <w:rsid w:val="00954771"/>
    <w:rsid w:val="00954FD6"/>
    <w:rsid w:val="00955013"/>
    <w:rsid w:val="00955915"/>
    <w:rsid w:val="009559D6"/>
    <w:rsid w:val="00955D07"/>
    <w:rsid w:val="00955FD2"/>
    <w:rsid w:val="009562CD"/>
    <w:rsid w:val="009567BC"/>
    <w:rsid w:val="00956AFC"/>
    <w:rsid w:val="00956EBC"/>
    <w:rsid w:val="00957A49"/>
    <w:rsid w:val="00960323"/>
    <w:rsid w:val="00960382"/>
    <w:rsid w:val="009609A1"/>
    <w:rsid w:val="00961CA1"/>
    <w:rsid w:val="00961D5F"/>
    <w:rsid w:val="00961DD4"/>
    <w:rsid w:val="00962109"/>
    <w:rsid w:val="0096272E"/>
    <w:rsid w:val="009628B6"/>
    <w:rsid w:val="00962F58"/>
    <w:rsid w:val="009631CD"/>
    <w:rsid w:val="009634D1"/>
    <w:rsid w:val="00963818"/>
    <w:rsid w:val="00963A64"/>
    <w:rsid w:val="00963CA2"/>
    <w:rsid w:val="009642AD"/>
    <w:rsid w:val="00964463"/>
    <w:rsid w:val="00964B58"/>
    <w:rsid w:val="00965470"/>
    <w:rsid w:val="00965752"/>
    <w:rsid w:val="00965C90"/>
    <w:rsid w:val="00965CDF"/>
    <w:rsid w:val="00965DCE"/>
    <w:rsid w:val="00965EA9"/>
    <w:rsid w:val="00966340"/>
    <w:rsid w:val="00966480"/>
    <w:rsid w:val="00966DAE"/>
    <w:rsid w:val="0096711E"/>
    <w:rsid w:val="00967234"/>
    <w:rsid w:val="009672EB"/>
    <w:rsid w:val="00967449"/>
    <w:rsid w:val="00967723"/>
    <w:rsid w:val="00967FE5"/>
    <w:rsid w:val="0097000C"/>
    <w:rsid w:val="009700C9"/>
    <w:rsid w:val="009709A6"/>
    <w:rsid w:val="00970C54"/>
    <w:rsid w:val="00970D62"/>
    <w:rsid w:val="00970E45"/>
    <w:rsid w:val="009710F3"/>
    <w:rsid w:val="00971220"/>
    <w:rsid w:val="009712F8"/>
    <w:rsid w:val="00971483"/>
    <w:rsid w:val="00971580"/>
    <w:rsid w:val="00972150"/>
    <w:rsid w:val="009723F7"/>
    <w:rsid w:val="00972474"/>
    <w:rsid w:val="00972562"/>
    <w:rsid w:val="0097294D"/>
    <w:rsid w:val="00972E37"/>
    <w:rsid w:val="00972E6C"/>
    <w:rsid w:val="00973109"/>
    <w:rsid w:val="00973337"/>
    <w:rsid w:val="00973513"/>
    <w:rsid w:val="00973C55"/>
    <w:rsid w:val="0097479D"/>
    <w:rsid w:val="009748A3"/>
    <w:rsid w:val="00974F05"/>
    <w:rsid w:val="00975512"/>
    <w:rsid w:val="009755DE"/>
    <w:rsid w:val="0097598C"/>
    <w:rsid w:val="00975D52"/>
    <w:rsid w:val="00975F84"/>
    <w:rsid w:val="00976178"/>
    <w:rsid w:val="00976A37"/>
    <w:rsid w:val="00976D54"/>
    <w:rsid w:val="00976DCB"/>
    <w:rsid w:val="0097772D"/>
    <w:rsid w:val="0097787A"/>
    <w:rsid w:val="00977942"/>
    <w:rsid w:val="00977D94"/>
    <w:rsid w:val="00977DC4"/>
    <w:rsid w:val="00980049"/>
    <w:rsid w:val="0098042F"/>
    <w:rsid w:val="009809C4"/>
    <w:rsid w:val="00980ABA"/>
    <w:rsid w:val="00980BF0"/>
    <w:rsid w:val="00981212"/>
    <w:rsid w:val="0098141A"/>
    <w:rsid w:val="0098146A"/>
    <w:rsid w:val="009814BD"/>
    <w:rsid w:val="009816A4"/>
    <w:rsid w:val="00981826"/>
    <w:rsid w:val="0098207D"/>
    <w:rsid w:val="0098247E"/>
    <w:rsid w:val="009824D4"/>
    <w:rsid w:val="009835C8"/>
    <w:rsid w:val="00983A05"/>
    <w:rsid w:val="00983BA2"/>
    <w:rsid w:val="00983C4B"/>
    <w:rsid w:val="00983DA0"/>
    <w:rsid w:val="00983EC3"/>
    <w:rsid w:val="0098443B"/>
    <w:rsid w:val="00984570"/>
    <w:rsid w:val="0098465F"/>
    <w:rsid w:val="00984B60"/>
    <w:rsid w:val="00984F5C"/>
    <w:rsid w:val="009850D8"/>
    <w:rsid w:val="0098579F"/>
    <w:rsid w:val="00985AD3"/>
    <w:rsid w:val="00985ADC"/>
    <w:rsid w:val="00985E05"/>
    <w:rsid w:val="00985F1F"/>
    <w:rsid w:val="009862B5"/>
    <w:rsid w:val="009864C0"/>
    <w:rsid w:val="00986DAE"/>
    <w:rsid w:val="00986EAF"/>
    <w:rsid w:val="0098707E"/>
    <w:rsid w:val="009870FD"/>
    <w:rsid w:val="00987149"/>
    <w:rsid w:val="009871F0"/>
    <w:rsid w:val="00987384"/>
    <w:rsid w:val="00987A27"/>
    <w:rsid w:val="0099056D"/>
    <w:rsid w:val="0099073D"/>
    <w:rsid w:val="00990C70"/>
    <w:rsid w:val="00990D95"/>
    <w:rsid w:val="00990F33"/>
    <w:rsid w:val="009917E9"/>
    <w:rsid w:val="00991FF5"/>
    <w:rsid w:val="0099233F"/>
    <w:rsid w:val="00992650"/>
    <w:rsid w:val="0099266C"/>
    <w:rsid w:val="00992912"/>
    <w:rsid w:val="00992D0F"/>
    <w:rsid w:val="00992F84"/>
    <w:rsid w:val="00993021"/>
    <w:rsid w:val="009930C1"/>
    <w:rsid w:val="00993CE1"/>
    <w:rsid w:val="00993FA8"/>
    <w:rsid w:val="009942A4"/>
    <w:rsid w:val="0099432C"/>
    <w:rsid w:val="009944D9"/>
    <w:rsid w:val="009947F8"/>
    <w:rsid w:val="00994881"/>
    <w:rsid w:val="009948E7"/>
    <w:rsid w:val="00994D7A"/>
    <w:rsid w:val="00996419"/>
    <w:rsid w:val="0099674F"/>
    <w:rsid w:val="00996AB1"/>
    <w:rsid w:val="00996B19"/>
    <w:rsid w:val="00996E80"/>
    <w:rsid w:val="00997146"/>
    <w:rsid w:val="00997C1B"/>
    <w:rsid w:val="00997DC3"/>
    <w:rsid w:val="00997FDB"/>
    <w:rsid w:val="009A066E"/>
    <w:rsid w:val="009A0718"/>
    <w:rsid w:val="009A095E"/>
    <w:rsid w:val="009A0C87"/>
    <w:rsid w:val="009A0D7B"/>
    <w:rsid w:val="009A1266"/>
    <w:rsid w:val="009A1305"/>
    <w:rsid w:val="009A16B3"/>
    <w:rsid w:val="009A18E4"/>
    <w:rsid w:val="009A1AC6"/>
    <w:rsid w:val="009A1B27"/>
    <w:rsid w:val="009A1F1B"/>
    <w:rsid w:val="009A218D"/>
    <w:rsid w:val="009A22BB"/>
    <w:rsid w:val="009A24B8"/>
    <w:rsid w:val="009A275F"/>
    <w:rsid w:val="009A2B2C"/>
    <w:rsid w:val="009A2E65"/>
    <w:rsid w:val="009A2F00"/>
    <w:rsid w:val="009A3014"/>
    <w:rsid w:val="009A309B"/>
    <w:rsid w:val="009A334E"/>
    <w:rsid w:val="009A3636"/>
    <w:rsid w:val="009A385E"/>
    <w:rsid w:val="009A404A"/>
    <w:rsid w:val="009A4096"/>
    <w:rsid w:val="009A411A"/>
    <w:rsid w:val="009A4154"/>
    <w:rsid w:val="009A44DA"/>
    <w:rsid w:val="009A4549"/>
    <w:rsid w:val="009A4753"/>
    <w:rsid w:val="009A4853"/>
    <w:rsid w:val="009A4F47"/>
    <w:rsid w:val="009A545F"/>
    <w:rsid w:val="009A5CDF"/>
    <w:rsid w:val="009A70D9"/>
    <w:rsid w:val="009A71E3"/>
    <w:rsid w:val="009A71F5"/>
    <w:rsid w:val="009A7C33"/>
    <w:rsid w:val="009A7E39"/>
    <w:rsid w:val="009A7F04"/>
    <w:rsid w:val="009A7F87"/>
    <w:rsid w:val="009B1206"/>
    <w:rsid w:val="009B193B"/>
    <w:rsid w:val="009B1AB2"/>
    <w:rsid w:val="009B1B0E"/>
    <w:rsid w:val="009B1F79"/>
    <w:rsid w:val="009B200C"/>
    <w:rsid w:val="009B2908"/>
    <w:rsid w:val="009B2A1A"/>
    <w:rsid w:val="009B2EF4"/>
    <w:rsid w:val="009B3490"/>
    <w:rsid w:val="009B34E1"/>
    <w:rsid w:val="009B359F"/>
    <w:rsid w:val="009B3C13"/>
    <w:rsid w:val="009B3E1B"/>
    <w:rsid w:val="009B3F5D"/>
    <w:rsid w:val="009B480C"/>
    <w:rsid w:val="009B4C2C"/>
    <w:rsid w:val="009B4EBC"/>
    <w:rsid w:val="009B5461"/>
    <w:rsid w:val="009B5B93"/>
    <w:rsid w:val="009B5C93"/>
    <w:rsid w:val="009B63B8"/>
    <w:rsid w:val="009B6967"/>
    <w:rsid w:val="009B6C63"/>
    <w:rsid w:val="009B6DDF"/>
    <w:rsid w:val="009B7206"/>
    <w:rsid w:val="009B770F"/>
    <w:rsid w:val="009B7AAD"/>
    <w:rsid w:val="009B7CA9"/>
    <w:rsid w:val="009C0680"/>
    <w:rsid w:val="009C06A8"/>
    <w:rsid w:val="009C0C99"/>
    <w:rsid w:val="009C1224"/>
    <w:rsid w:val="009C1525"/>
    <w:rsid w:val="009C16CC"/>
    <w:rsid w:val="009C171A"/>
    <w:rsid w:val="009C187A"/>
    <w:rsid w:val="009C1DE0"/>
    <w:rsid w:val="009C1E4F"/>
    <w:rsid w:val="009C22BA"/>
    <w:rsid w:val="009C2836"/>
    <w:rsid w:val="009C2C89"/>
    <w:rsid w:val="009C2EF6"/>
    <w:rsid w:val="009C3292"/>
    <w:rsid w:val="009C3A35"/>
    <w:rsid w:val="009C3E0E"/>
    <w:rsid w:val="009C40B9"/>
    <w:rsid w:val="009C4131"/>
    <w:rsid w:val="009C42DE"/>
    <w:rsid w:val="009C4508"/>
    <w:rsid w:val="009C4580"/>
    <w:rsid w:val="009C4658"/>
    <w:rsid w:val="009C4A31"/>
    <w:rsid w:val="009C4DBF"/>
    <w:rsid w:val="009C4DDB"/>
    <w:rsid w:val="009C4DF7"/>
    <w:rsid w:val="009C52DC"/>
    <w:rsid w:val="009C5C40"/>
    <w:rsid w:val="009C6024"/>
    <w:rsid w:val="009C6152"/>
    <w:rsid w:val="009C66F8"/>
    <w:rsid w:val="009C6980"/>
    <w:rsid w:val="009C6E40"/>
    <w:rsid w:val="009C75F5"/>
    <w:rsid w:val="009C7EAF"/>
    <w:rsid w:val="009D024B"/>
    <w:rsid w:val="009D0835"/>
    <w:rsid w:val="009D0ADB"/>
    <w:rsid w:val="009D0CF6"/>
    <w:rsid w:val="009D15B4"/>
    <w:rsid w:val="009D232C"/>
    <w:rsid w:val="009D2B80"/>
    <w:rsid w:val="009D301E"/>
    <w:rsid w:val="009D33EF"/>
    <w:rsid w:val="009D40E0"/>
    <w:rsid w:val="009D4122"/>
    <w:rsid w:val="009D4133"/>
    <w:rsid w:val="009D417D"/>
    <w:rsid w:val="009D58DF"/>
    <w:rsid w:val="009D5C07"/>
    <w:rsid w:val="009D5D4B"/>
    <w:rsid w:val="009D62B2"/>
    <w:rsid w:val="009D67F3"/>
    <w:rsid w:val="009D685F"/>
    <w:rsid w:val="009D6ED0"/>
    <w:rsid w:val="009D7602"/>
    <w:rsid w:val="009D77FE"/>
    <w:rsid w:val="009D7A81"/>
    <w:rsid w:val="009D7C3F"/>
    <w:rsid w:val="009E00DA"/>
    <w:rsid w:val="009E0266"/>
    <w:rsid w:val="009E0841"/>
    <w:rsid w:val="009E0AF2"/>
    <w:rsid w:val="009E0B39"/>
    <w:rsid w:val="009E0DC2"/>
    <w:rsid w:val="009E0F39"/>
    <w:rsid w:val="009E115E"/>
    <w:rsid w:val="009E12E9"/>
    <w:rsid w:val="009E18C4"/>
    <w:rsid w:val="009E1EAA"/>
    <w:rsid w:val="009E2293"/>
    <w:rsid w:val="009E252E"/>
    <w:rsid w:val="009E31B2"/>
    <w:rsid w:val="009E3BC4"/>
    <w:rsid w:val="009E47E5"/>
    <w:rsid w:val="009E48F4"/>
    <w:rsid w:val="009E4CA1"/>
    <w:rsid w:val="009E4D67"/>
    <w:rsid w:val="009E4D97"/>
    <w:rsid w:val="009E4F28"/>
    <w:rsid w:val="009E52E5"/>
    <w:rsid w:val="009E5473"/>
    <w:rsid w:val="009E5775"/>
    <w:rsid w:val="009E593F"/>
    <w:rsid w:val="009E5CF2"/>
    <w:rsid w:val="009E60F6"/>
    <w:rsid w:val="009E67B4"/>
    <w:rsid w:val="009E6BE1"/>
    <w:rsid w:val="009E6D17"/>
    <w:rsid w:val="009E726E"/>
    <w:rsid w:val="009E73FE"/>
    <w:rsid w:val="009E77AA"/>
    <w:rsid w:val="009E7C41"/>
    <w:rsid w:val="009F042D"/>
    <w:rsid w:val="009F09DD"/>
    <w:rsid w:val="009F0D9A"/>
    <w:rsid w:val="009F11B0"/>
    <w:rsid w:val="009F12CD"/>
    <w:rsid w:val="009F139D"/>
    <w:rsid w:val="009F15EF"/>
    <w:rsid w:val="009F1C59"/>
    <w:rsid w:val="009F1D3A"/>
    <w:rsid w:val="009F1D91"/>
    <w:rsid w:val="009F249C"/>
    <w:rsid w:val="009F2875"/>
    <w:rsid w:val="009F335A"/>
    <w:rsid w:val="009F37B3"/>
    <w:rsid w:val="009F39DA"/>
    <w:rsid w:val="009F3AA4"/>
    <w:rsid w:val="009F46AF"/>
    <w:rsid w:val="009F4AC8"/>
    <w:rsid w:val="009F4EAC"/>
    <w:rsid w:val="009F4F62"/>
    <w:rsid w:val="009F5112"/>
    <w:rsid w:val="009F6871"/>
    <w:rsid w:val="009F6CF6"/>
    <w:rsid w:val="009F6E1E"/>
    <w:rsid w:val="009F7030"/>
    <w:rsid w:val="009F712F"/>
    <w:rsid w:val="009F7431"/>
    <w:rsid w:val="009F762D"/>
    <w:rsid w:val="009F76BA"/>
    <w:rsid w:val="009F7A18"/>
    <w:rsid w:val="009F7C60"/>
    <w:rsid w:val="009F7FB1"/>
    <w:rsid w:val="00A000F1"/>
    <w:rsid w:val="00A0052A"/>
    <w:rsid w:val="00A005D9"/>
    <w:rsid w:val="00A005DA"/>
    <w:rsid w:val="00A005F9"/>
    <w:rsid w:val="00A00A04"/>
    <w:rsid w:val="00A01135"/>
    <w:rsid w:val="00A01905"/>
    <w:rsid w:val="00A01A84"/>
    <w:rsid w:val="00A01BA9"/>
    <w:rsid w:val="00A01DB5"/>
    <w:rsid w:val="00A029D4"/>
    <w:rsid w:val="00A02CD7"/>
    <w:rsid w:val="00A02EBE"/>
    <w:rsid w:val="00A02EC0"/>
    <w:rsid w:val="00A0340B"/>
    <w:rsid w:val="00A03753"/>
    <w:rsid w:val="00A03881"/>
    <w:rsid w:val="00A039C4"/>
    <w:rsid w:val="00A03D83"/>
    <w:rsid w:val="00A04011"/>
    <w:rsid w:val="00A042CA"/>
    <w:rsid w:val="00A045D0"/>
    <w:rsid w:val="00A049EC"/>
    <w:rsid w:val="00A05013"/>
    <w:rsid w:val="00A05054"/>
    <w:rsid w:val="00A052AB"/>
    <w:rsid w:val="00A05950"/>
    <w:rsid w:val="00A063E3"/>
    <w:rsid w:val="00A066C0"/>
    <w:rsid w:val="00A06757"/>
    <w:rsid w:val="00A0682B"/>
    <w:rsid w:val="00A06C3F"/>
    <w:rsid w:val="00A06F87"/>
    <w:rsid w:val="00A06FEC"/>
    <w:rsid w:val="00A07F27"/>
    <w:rsid w:val="00A102C2"/>
    <w:rsid w:val="00A10771"/>
    <w:rsid w:val="00A10AF0"/>
    <w:rsid w:val="00A10D28"/>
    <w:rsid w:val="00A10E98"/>
    <w:rsid w:val="00A113BA"/>
    <w:rsid w:val="00A1140C"/>
    <w:rsid w:val="00A1153A"/>
    <w:rsid w:val="00A11906"/>
    <w:rsid w:val="00A11921"/>
    <w:rsid w:val="00A11CE8"/>
    <w:rsid w:val="00A11E84"/>
    <w:rsid w:val="00A1238D"/>
    <w:rsid w:val="00A12421"/>
    <w:rsid w:val="00A124C9"/>
    <w:rsid w:val="00A12E7C"/>
    <w:rsid w:val="00A13159"/>
    <w:rsid w:val="00A13917"/>
    <w:rsid w:val="00A1398D"/>
    <w:rsid w:val="00A13A44"/>
    <w:rsid w:val="00A13CD6"/>
    <w:rsid w:val="00A13E24"/>
    <w:rsid w:val="00A13F03"/>
    <w:rsid w:val="00A14095"/>
    <w:rsid w:val="00A147C0"/>
    <w:rsid w:val="00A14E87"/>
    <w:rsid w:val="00A14EA5"/>
    <w:rsid w:val="00A15004"/>
    <w:rsid w:val="00A15783"/>
    <w:rsid w:val="00A157BF"/>
    <w:rsid w:val="00A15C6C"/>
    <w:rsid w:val="00A166FA"/>
    <w:rsid w:val="00A16844"/>
    <w:rsid w:val="00A173EF"/>
    <w:rsid w:val="00A17B48"/>
    <w:rsid w:val="00A17E06"/>
    <w:rsid w:val="00A17E34"/>
    <w:rsid w:val="00A17FC0"/>
    <w:rsid w:val="00A20494"/>
    <w:rsid w:val="00A2054D"/>
    <w:rsid w:val="00A205ED"/>
    <w:rsid w:val="00A208CB"/>
    <w:rsid w:val="00A20969"/>
    <w:rsid w:val="00A209C2"/>
    <w:rsid w:val="00A20D53"/>
    <w:rsid w:val="00A20F38"/>
    <w:rsid w:val="00A211F1"/>
    <w:rsid w:val="00A21748"/>
    <w:rsid w:val="00A217B5"/>
    <w:rsid w:val="00A218EF"/>
    <w:rsid w:val="00A21C47"/>
    <w:rsid w:val="00A21CD5"/>
    <w:rsid w:val="00A2222D"/>
    <w:rsid w:val="00A222BA"/>
    <w:rsid w:val="00A22B1E"/>
    <w:rsid w:val="00A22B62"/>
    <w:rsid w:val="00A22B65"/>
    <w:rsid w:val="00A23055"/>
    <w:rsid w:val="00A23108"/>
    <w:rsid w:val="00A23162"/>
    <w:rsid w:val="00A23F35"/>
    <w:rsid w:val="00A24291"/>
    <w:rsid w:val="00A242EE"/>
    <w:rsid w:val="00A24469"/>
    <w:rsid w:val="00A24990"/>
    <w:rsid w:val="00A24FCD"/>
    <w:rsid w:val="00A25251"/>
    <w:rsid w:val="00A2531B"/>
    <w:rsid w:val="00A255DD"/>
    <w:rsid w:val="00A25865"/>
    <w:rsid w:val="00A25B0E"/>
    <w:rsid w:val="00A25C09"/>
    <w:rsid w:val="00A25FBA"/>
    <w:rsid w:val="00A26E95"/>
    <w:rsid w:val="00A277F5"/>
    <w:rsid w:val="00A30BEA"/>
    <w:rsid w:val="00A31917"/>
    <w:rsid w:val="00A319F0"/>
    <w:rsid w:val="00A321C8"/>
    <w:rsid w:val="00A32539"/>
    <w:rsid w:val="00A32F5D"/>
    <w:rsid w:val="00A33A4E"/>
    <w:rsid w:val="00A33A65"/>
    <w:rsid w:val="00A33CBA"/>
    <w:rsid w:val="00A342A9"/>
    <w:rsid w:val="00A34923"/>
    <w:rsid w:val="00A34CB1"/>
    <w:rsid w:val="00A34EAE"/>
    <w:rsid w:val="00A35342"/>
    <w:rsid w:val="00A355DD"/>
    <w:rsid w:val="00A3563F"/>
    <w:rsid w:val="00A357BF"/>
    <w:rsid w:val="00A359F0"/>
    <w:rsid w:val="00A35A06"/>
    <w:rsid w:val="00A35B3A"/>
    <w:rsid w:val="00A35F17"/>
    <w:rsid w:val="00A3607A"/>
    <w:rsid w:val="00A36233"/>
    <w:rsid w:val="00A3627F"/>
    <w:rsid w:val="00A36B5C"/>
    <w:rsid w:val="00A372E6"/>
    <w:rsid w:val="00A373EB"/>
    <w:rsid w:val="00A37670"/>
    <w:rsid w:val="00A4022E"/>
    <w:rsid w:val="00A40E40"/>
    <w:rsid w:val="00A40E98"/>
    <w:rsid w:val="00A40ECE"/>
    <w:rsid w:val="00A40FFE"/>
    <w:rsid w:val="00A411AA"/>
    <w:rsid w:val="00A4134C"/>
    <w:rsid w:val="00A414D9"/>
    <w:rsid w:val="00A4189D"/>
    <w:rsid w:val="00A41D2D"/>
    <w:rsid w:val="00A41F89"/>
    <w:rsid w:val="00A4210D"/>
    <w:rsid w:val="00A42346"/>
    <w:rsid w:val="00A4261B"/>
    <w:rsid w:val="00A43246"/>
    <w:rsid w:val="00A43C71"/>
    <w:rsid w:val="00A43CC0"/>
    <w:rsid w:val="00A4419A"/>
    <w:rsid w:val="00A44A49"/>
    <w:rsid w:val="00A44C20"/>
    <w:rsid w:val="00A44D65"/>
    <w:rsid w:val="00A44F51"/>
    <w:rsid w:val="00A45086"/>
    <w:rsid w:val="00A45155"/>
    <w:rsid w:val="00A451BB"/>
    <w:rsid w:val="00A45A69"/>
    <w:rsid w:val="00A45DC4"/>
    <w:rsid w:val="00A463B4"/>
    <w:rsid w:val="00A467A6"/>
    <w:rsid w:val="00A468C5"/>
    <w:rsid w:val="00A468CE"/>
    <w:rsid w:val="00A46992"/>
    <w:rsid w:val="00A46A57"/>
    <w:rsid w:val="00A46B3C"/>
    <w:rsid w:val="00A470C3"/>
    <w:rsid w:val="00A473EF"/>
    <w:rsid w:val="00A475D6"/>
    <w:rsid w:val="00A476DB"/>
    <w:rsid w:val="00A47AC9"/>
    <w:rsid w:val="00A47ACF"/>
    <w:rsid w:val="00A500A3"/>
    <w:rsid w:val="00A500B9"/>
    <w:rsid w:val="00A50201"/>
    <w:rsid w:val="00A502AF"/>
    <w:rsid w:val="00A5091A"/>
    <w:rsid w:val="00A5094A"/>
    <w:rsid w:val="00A50A2B"/>
    <w:rsid w:val="00A50DD4"/>
    <w:rsid w:val="00A51E3F"/>
    <w:rsid w:val="00A51F93"/>
    <w:rsid w:val="00A52594"/>
    <w:rsid w:val="00A53A48"/>
    <w:rsid w:val="00A53BFF"/>
    <w:rsid w:val="00A53EF4"/>
    <w:rsid w:val="00A54121"/>
    <w:rsid w:val="00A5439F"/>
    <w:rsid w:val="00A54AA5"/>
    <w:rsid w:val="00A55376"/>
    <w:rsid w:val="00A5577B"/>
    <w:rsid w:val="00A55951"/>
    <w:rsid w:val="00A55C7E"/>
    <w:rsid w:val="00A56710"/>
    <w:rsid w:val="00A567BC"/>
    <w:rsid w:val="00A56906"/>
    <w:rsid w:val="00A56A53"/>
    <w:rsid w:val="00A5737A"/>
    <w:rsid w:val="00A57F53"/>
    <w:rsid w:val="00A60CB3"/>
    <w:rsid w:val="00A6187E"/>
    <w:rsid w:val="00A61B10"/>
    <w:rsid w:val="00A61ED1"/>
    <w:rsid w:val="00A61F0D"/>
    <w:rsid w:val="00A62292"/>
    <w:rsid w:val="00A62E9C"/>
    <w:rsid w:val="00A63178"/>
    <w:rsid w:val="00A63450"/>
    <w:rsid w:val="00A6388D"/>
    <w:rsid w:val="00A638C1"/>
    <w:rsid w:val="00A63D8D"/>
    <w:rsid w:val="00A641AA"/>
    <w:rsid w:val="00A6458E"/>
    <w:rsid w:val="00A648FE"/>
    <w:rsid w:val="00A64BF5"/>
    <w:rsid w:val="00A64F19"/>
    <w:rsid w:val="00A6514F"/>
    <w:rsid w:val="00A6519A"/>
    <w:rsid w:val="00A65978"/>
    <w:rsid w:val="00A65A0C"/>
    <w:rsid w:val="00A66743"/>
    <w:rsid w:val="00A66B44"/>
    <w:rsid w:val="00A66BE0"/>
    <w:rsid w:val="00A673B4"/>
    <w:rsid w:val="00A679C8"/>
    <w:rsid w:val="00A67D7B"/>
    <w:rsid w:val="00A70020"/>
    <w:rsid w:val="00A701AF"/>
    <w:rsid w:val="00A702B5"/>
    <w:rsid w:val="00A7035D"/>
    <w:rsid w:val="00A705F7"/>
    <w:rsid w:val="00A70601"/>
    <w:rsid w:val="00A7072A"/>
    <w:rsid w:val="00A70B12"/>
    <w:rsid w:val="00A70B5D"/>
    <w:rsid w:val="00A70CE9"/>
    <w:rsid w:val="00A70DB8"/>
    <w:rsid w:val="00A70FC0"/>
    <w:rsid w:val="00A71528"/>
    <w:rsid w:val="00A72438"/>
    <w:rsid w:val="00A72849"/>
    <w:rsid w:val="00A731A9"/>
    <w:rsid w:val="00A731F8"/>
    <w:rsid w:val="00A73376"/>
    <w:rsid w:val="00A738B7"/>
    <w:rsid w:val="00A73B77"/>
    <w:rsid w:val="00A73C25"/>
    <w:rsid w:val="00A74056"/>
    <w:rsid w:val="00A74313"/>
    <w:rsid w:val="00A74928"/>
    <w:rsid w:val="00A7498E"/>
    <w:rsid w:val="00A74A18"/>
    <w:rsid w:val="00A74F49"/>
    <w:rsid w:val="00A75555"/>
    <w:rsid w:val="00A76DC6"/>
    <w:rsid w:val="00A76FB0"/>
    <w:rsid w:val="00A777D6"/>
    <w:rsid w:val="00A77C2F"/>
    <w:rsid w:val="00A801CC"/>
    <w:rsid w:val="00A8039D"/>
    <w:rsid w:val="00A80718"/>
    <w:rsid w:val="00A80B46"/>
    <w:rsid w:val="00A80EAC"/>
    <w:rsid w:val="00A8173F"/>
    <w:rsid w:val="00A81A6A"/>
    <w:rsid w:val="00A82597"/>
    <w:rsid w:val="00A82961"/>
    <w:rsid w:val="00A82AE4"/>
    <w:rsid w:val="00A82B8A"/>
    <w:rsid w:val="00A82C5C"/>
    <w:rsid w:val="00A830CC"/>
    <w:rsid w:val="00A831C5"/>
    <w:rsid w:val="00A831E0"/>
    <w:rsid w:val="00A83224"/>
    <w:rsid w:val="00A833D3"/>
    <w:rsid w:val="00A8341F"/>
    <w:rsid w:val="00A84002"/>
    <w:rsid w:val="00A8461F"/>
    <w:rsid w:val="00A848BA"/>
    <w:rsid w:val="00A84985"/>
    <w:rsid w:val="00A84BDA"/>
    <w:rsid w:val="00A84CCA"/>
    <w:rsid w:val="00A84CF1"/>
    <w:rsid w:val="00A84D19"/>
    <w:rsid w:val="00A84F42"/>
    <w:rsid w:val="00A84FB3"/>
    <w:rsid w:val="00A85219"/>
    <w:rsid w:val="00A85279"/>
    <w:rsid w:val="00A8557C"/>
    <w:rsid w:val="00A85742"/>
    <w:rsid w:val="00A85A87"/>
    <w:rsid w:val="00A85DBE"/>
    <w:rsid w:val="00A85F5A"/>
    <w:rsid w:val="00A86067"/>
    <w:rsid w:val="00A860C6"/>
    <w:rsid w:val="00A863D8"/>
    <w:rsid w:val="00A867BF"/>
    <w:rsid w:val="00A867CD"/>
    <w:rsid w:val="00A86BC9"/>
    <w:rsid w:val="00A86C23"/>
    <w:rsid w:val="00A86E5F"/>
    <w:rsid w:val="00A8733E"/>
    <w:rsid w:val="00A873FE"/>
    <w:rsid w:val="00A87575"/>
    <w:rsid w:val="00A87D5D"/>
    <w:rsid w:val="00A9046F"/>
    <w:rsid w:val="00A90558"/>
    <w:rsid w:val="00A908D3"/>
    <w:rsid w:val="00A91188"/>
    <w:rsid w:val="00A91616"/>
    <w:rsid w:val="00A918E6"/>
    <w:rsid w:val="00A91BDA"/>
    <w:rsid w:val="00A9204A"/>
    <w:rsid w:val="00A92EE5"/>
    <w:rsid w:val="00A92F2B"/>
    <w:rsid w:val="00A92FD0"/>
    <w:rsid w:val="00A9304A"/>
    <w:rsid w:val="00A93447"/>
    <w:rsid w:val="00A934E3"/>
    <w:rsid w:val="00A93573"/>
    <w:rsid w:val="00A937C2"/>
    <w:rsid w:val="00A93C07"/>
    <w:rsid w:val="00A93C15"/>
    <w:rsid w:val="00A94115"/>
    <w:rsid w:val="00A94514"/>
    <w:rsid w:val="00A946F2"/>
    <w:rsid w:val="00A94A9C"/>
    <w:rsid w:val="00A94CB7"/>
    <w:rsid w:val="00A954B3"/>
    <w:rsid w:val="00A958CC"/>
    <w:rsid w:val="00A95A88"/>
    <w:rsid w:val="00A95F20"/>
    <w:rsid w:val="00A96298"/>
    <w:rsid w:val="00A9683D"/>
    <w:rsid w:val="00A96B51"/>
    <w:rsid w:val="00A972A5"/>
    <w:rsid w:val="00A974D3"/>
    <w:rsid w:val="00A979B9"/>
    <w:rsid w:val="00A97C45"/>
    <w:rsid w:val="00A97C71"/>
    <w:rsid w:val="00A97E13"/>
    <w:rsid w:val="00AA043F"/>
    <w:rsid w:val="00AA04D7"/>
    <w:rsid w:val="00AA04D9"/>
    <w:rsid w:val="00AA0576"/>
    <w:rsid w:val="00AA0C56"/>
    <w:rsid w:val="00AA0C6F"/>
    <w:rsid w:val="00AA0E68"/>
    <w:rsid w:val="00AA19B7"/>
    <w:rsid w:val="00AA1AD4"/>
    <w:rsid w:val="00AA1DED"/>
    <w:rsid w:val="00AA207E"/>
    <w:rsid w:val="00AA26D8"/>
    <w:rsid w:val="00AA2C3A"/>
    <w:rsid w:val="00AA308F"/>
    <w:rsid w:val="00AA31C2"/>
    <w:rsid w:val="00AA39A3"/>
    <w:rsid w:val="00AA3B2B"/>
    <w:rsid w:val="00AA3F1C"/>
    <w:rsid w:val="00AA453D"/>
    <w:rsid w:val="00AA4A16"/>
    <w:rsid w:val="00AA4ABD"/>
    <w:rsid w:val="00AA4D33"/>
    <w:rsid w:val="00AA4DB3"/>
    <w:rsid w:val="00AA5847"/>
    <w:rsid w:val="00AA5A77"/>
    <w:rsid w:val="00AA5D6F"/>
    <w:rsid w:val="00AA5FF9"/>
    <w:rsid w:val="00AA6394"/>
    <w:rsid w:val="00AA6451"/>
    <w:rsid w:val="00AA6BC1"/>
    <w:rsid w:val="00AA6E17"/>
    <w:rsid w:val="00AA7021"/>
    <w:rsid w:val="00AA7573"/>
    <w:rsid w:val="00AA7910"/>
    <w:rsid w:val="00AA7B72"/>
    <w:rsid w:val="00AA7C10"/>
    <w:rsid w:val="00AA7C1B"/>
    <w:rsid w:val="00AA7DE6"/>
    <w:rsid w:val="00AA7E0F"/>
    <w:rsid w:val="00AA7F7A"/>
    <w:rsid w:val="00AB01EB"/>
    <w:rsid w:val="00AB0CEF"/>
    <w:rsid w:val="00AB0E4E"/>
    <w:rsid w:val="00AB0EC3"/>
    <w:rsid w:val="00AB1D19"/>
    <w:rsid w:val="00AB1DE9"/>
    <w:rsid w:val="00AB2555"/>
    <w:rsid w:val="00AB29C3"/>
    <w:rsid w:val="00AB2A50"/>
    <w:rsid w:val="00AB2AA9"/>
    <w:rsid w:val="00AB2C86"/>
    <w:rsid w:val="00AB2EF2"/>
    <w:rsid w:val="00AB35E0"/>
    <w:rsid w:val="00AB364C"/>
    <w:rsid w:val="00AB36EA"/>
    <w:rsid w:val="00AB374E"/>
    <w:rsid w:val="00AB3C36"/>
    <w:rsid w:val="00AB3F3F"/>
    <w:rsid w:val="00AB3FA3"/>
    <w:rsid w:val="00AB41CB"/>
    <w:rsid w:val="00AB4710"/>
    <w:rsid w:val="00AB489E"/>
    <w:rsid w:val="00AB4C0E"/>
    <w:rsid w:val="00AB4E2D"/>
    <w:rsid w:val="00AB639D"/>
    <w:rsid w:val="00AB6685"/>
    <w:rsid w:val="00AB6722"/>
    <w:rsid w:val="00AB67D4"/>
    <w:rsid w:val="00AB682A"/>
    <w:rsid w:val="00AB6BB0"/>
    <w:rsid w:val="00AB6CF3"/>
    <w:rsid w:val="00AB715F"/>
    <w:rsid w:val="00AB74D7"/>
    <w:rsid w:val="00AB7974"/>
    <w:rsid w:val="00AC0126"/>
    <w:rsid w:val="00AC02C9"/>
    <w:rsid w:val="00AC02FE"/>
    <w:rsid w:val="00AC03C0"/>
    <w:rsid w:val="00AC0678"/>
    <w:rsid w:val="00AC08D2"/>
    <w:rsid w:val="00AC0A6E"/>
    <w:rsid w:val="00AC0B1F"/>
    <w:rsid w:val="00AC0D8D"/>
    <w:rsid w:val="00AC0EAE"/>
    <w:rsid w:val="00AC10ED"/>
    <w:rsid w:val="00AC21C9"/>
    <w:rsid w:val="00AC258E"/>
    <w:rsid w:val="00AC2664"/>
    <w:rsid w:val="00AC2C0D"/>
    <w:rsid w:val="00AC3A2C"/>
    <w:rsid w:val="00AC3AFF"/>
    <w:rsid w:val="00AC3CC0"/>
    <w:rsid w:val="00AC3E66"/>
    <w:rsid w:val="00AC4AEA"/>
    <w:rsid w:val="00AC4D4F"/>
    <w:rsid w:val="00AC5275"/>
    <w:rsid w:val="00AC5824"/>
    <w:rsid w:val="00AC5BBF"/>
    <w:rsid w:val="00AC5BF4"/>
    <w:rsid w:val="00AC5CB5"/>
    <w:rsid w:val="00AC60A2"/>
    <w:rsid w:val="00AC60F0"/>
    <w:rsid w:val="00AC624F"/>
    <w:rsid w:val="00AC629A"/>
    <w:rsid w:val="00AC6862"/>
    <w:rsid w:val="00AC6D91"/>
    <w:rsid w:val="00AC6F25"/>
    <w:rsid w:val="00AC7C29"/>
    <w:rsid w:val="00AC7F83"/>
    <w:rsid w:val="00AD0066"/>
    <w:rsid w:val="00AD06CF"/>
    <w:rsid w:val="00AD06F5"/>
    <w:rsid w:val="00AD0BC2"/>
    <w:rsid w:val="00AD0CCC"/>
    <w:rsid w:val="00AD0F7F"/>
    <w:rsid w:val="00AD1677"/>
    <w:rsid w:val="00AD1757"/>
    <w:rsid w:val="00AD18DA"/>
    <w:rsid w:val="00AD18F6"/>
    <w:rsid w:val="00AD1AE6"/>
    <w:rsid w:val="00AD22DA"/>
    <w:rsid w:val="00AD22E2"/>
    <w:rsid w:val="00AD25A2"/>
    <w:rsid w:val="00AD35B9"/>
    <w:rsid w:val="00AD36BC"/>
    <w:rsid w:val="00AD3EC7"/>
    <w:rsid w:val="00AD4046"/>
    <w:rsid w:val="00AD456A"/>
    <w:rsid w:val="00AD4972"/>
    <w:rsid w:val="00AD49DC"/>
    <w:rsid w:val="00AD5062"/>
    <w:rsid w:val="00AD50B8"/>
    <w:rsid w:val="00AD54EB"/>
    <w:rsid w:val="00AD573D"/>
    <w:rsid w:val="00AD59BA"/>
    <w:rsid w:val="00AD5CFC"/>
    <w:rsid w:val="00AD601C"/>
    <w:rsid w:val="00AD60F4"/>
    <w:rsid w:val="00AD7302"/>
    <w:rsid w:val="00AD7DE4"/>
    <w:rsid w:val="00AE08B7"/>
    <w:rsid w:val="00AE0EB5"/>
    <w:rsid w:val="00AE0F7C"/>
    <w:rsid w:val="00AE10F8"/>
    <w:rsid w:val="00AE121A"/>
    <w:rsid w:val="00AE1751"/>
    <w:rsid w:val="00AE1931"/>
    <w:rsid w:val="00AE1A94"/>
    <w:rsid w:val="00AE1AFE"/>
    <w:rsid w:val="00AE1DF3"/>
    <w:rsid w:val="00AE1F8A"/>
    <w:rsid w:val="00AE1FD1"/>
    <w:rsid w:val="00AE249C"/>
    <w:rsid w:val="00AE2642"/>
    <w:rsid w:val="00AE26FC"/>
    <w:rsid w:val="00AE3542"/>
    <w:rsid w:val="00AE35DF"/>
    <w:rsid w:val="00AE37CB"/>
    <w:rsid w:val="00AE38CC"/>
    <w:rsid w:val="00AE3A46"/>
    <w:rsid w:val="00AE3BCD"/>
    <w:rsid w:val="00AE3C3D"/>
    <w:rsid w:val="00AE3D9F"/>
    <w:rsid w:val="00AE41A8"/>
    <w:rsid w:val="00AE43BE"/>
    <w:rsid w:val="00AE4E4D"/>
    <w:rsid w:val="00AE5131"/>
    <w:rsid w:val="00AE5683"/>
    <w:rsid w:val="00AE56B3"/>
    <w:rsid w:val="00AE5897"/>
    <w:rsid w:val="00AE5941"/>
    <w:rsid w:val="00AE5A7B"/>
    <w:rsid w:val="00AE5BE7"/>
    <w:rsid w:val="00AE5CAC"/>
    <w:rsid w:val="00AE5DAC"/>
    <w:rsid w:val="00AE5DDE"/>
    <w:rsid w:val="00AE60BA"/>
    <w:rsid w:val="00AE60DF"/>
    <w:rsid w:val="00AE631A"/>
    <w:rsid w:val="00AE6386"/>
    <w:rsid w:val="00AE6E2F"/>
    <w:rsid w:val="00AE7B6B"/>
    <w:rsid w:val="00AE7D0E"/>
    <w:rsid w:val="00AF0243"/>
    <w:rsid w:val="00AF0418"/>
    <w:rsid w:val="00AF05A6"/>
    <w:rsid w:val="00AF114B"/>
    <w:rsid w:val="00AF1359"/>
    <w:rsid w:val="00AF1B8F"/>
    <w:rsid w:val="00AF1F31"/>
    <w:rsid w:val="00AF1F51"/>
    <w:rsid w:val="00AF276C"/>
    <w:rsid w:val="00AF2990"/>
    <w:rsid w:val="00AF2C32"/>
    <w:rsid w:val="00AF33F8"/>
    <w:rsid w:val="00AF349F"/>
    <w:rsid w:val="00AF3AD6"/>
    <w:rsid w:val="00AF3CA1"/>
    <w:rsid w:val="00AF3DF0"/>
    <w:rsid w:val="00AF3EB6"/>
    <w:rsid w:val="00AF4739"/>
    <w:rsid w:val="00AF48A9"/>
    <w:rsid w:val="00AF4990"/>
    <w:rsid w:val="00AF4EB8"/>
    <w:rsid w:val="00AF5562"/>
    <w:rsid w:val="00AF566D"/>
    <w:rsid w:val="00AF6188"/>
    <w:rsid w:val="00AF651E"/>
    <w:rsid w:val="00AF683B"/>
    <w:rsid w:val="00AF6E42"/>
    <w:rsid w:val="00AF707B"/>
    <w:rsid w:val="00AF7A8D"/>
    <w:rsid w:val="00AF7BE2"/>
    <w:rsid w:val="00AF7C24"/>
    <w:rsid w:val="00AF7D3F"/>
    <w:rsid w:val="00AF7F28"/>
    <w:rsid w:val="00B001B6"/>
    <w:rsid w:val="00B00729"/>
    <w:rsid w:val="00B0072B"/>
    <w:rsid w:val="00B00A07"/>
    <w:rsid w:val="00B00AF0"/>
    <w:rsid w:val="00B00B26"/>
    <w:rsid w:val="00B00CE4"/>
    <w:rsid w:val="00B00F9E"/>
    <w:rsid w:val="00B011D7"/>
    <w:rsid w:val="00B011F1"/>
    <w:rsid w:val="00B01B28"/>
    <w:rsid w:val="00B01C1D"/>
    <w:rsid w:val="00B020B7"/>
    <w:rsid w:val="00B02217"/>
    <w:rsid w:val="00B026FA"/>
    <w:rsid w:val="00B0273F"/>
    <w:rsid w:val="00B027E9"/>
    <w:rsid w:val="00B02A59"/>
    <w:rsid w:val="00B02ADA"/>
    <w:rsid w:val="00B02E6E"/>
    <w:rsid w:val="00B02ED5"/>
    <w:rsid w:val="00B032DD"/>
    <w:rsid w:val="00B03627"/>
    <w:rsid w:val="00B039D2"/>
    <w:rsid w:val="00B03A04"/>
    <w:rsid w:val="00B03AB8"/>
    <w:rsid w:val="00B03D25"/>
    <w:rsid w:val="00B040AF"/>
    <w:rsid w:val="00B049D4"/>
    <w:rsid w:val="00B049E6"/>
    <w:rsid w:val="00B050AE"/>
    <w:rsid w:val="00B052ED"/>
    <w:rsid w:val="00B05680"/>
    <w:rsid w:val="00B05701"/>
    <w:rsid w:val="00B05D65"/>
    <w:rsid w:val="00B05DFE"/>
    <w:rsid w:val="00B05F69"/>
    <w:rsid w:val="00B0601E"/>
    <w:rsid w:val="00B068F7"/>
    <w:rsid w:val="00B06A67"/>
    <w:rsid w:val="00B06B7C"/>
    <w:rsid w:val="00B06CE8"/>
    <w:rsid w:val="00B06EDB"/>
    <w:rsid w:val="00B0710A"/>
    <w:rsid w:val="00B07145"/>
    <w:rsid w:val="00B0723D"/>
    <w:rsid w:val="00B072DC"/>
    <w:rsid w:val="00B077BA"/>
    <w:rsid w:val="00B0797F"/>
    <w:rsid w:val="00B07D1D"/>
    <w:rsid w:val="00B107B0"/>
    <w:rsid w:val="00B107D6"/>
    <w:rsid w:val="00B10889"/>
    <w:rsid w:val="00B1099F"/>
    <w:rsid w:val="00B10C6D"/>
    <w:rsid w:val="00B113BD"/>
    <w:rsid w:val="00B113CA"/>
    <w:rsid w:val="00B11AF7"/>
    <w:rsid w:val="00B11B09"/>
    <w:rsid w:val="00B11E0C"/>
    <w:rsid w:val="00B11FC0"/>
    <w:rsid w:val="00B1282D"/>
    <w:rsid w:val="00B14585"/>
    <w:rsid w:val="00B145B0"/>
    <w:rsid w:val="00B14A7C"/>
    <w:rsid w:val="00B14AFD"/>
    <w:rsid w:val="00B14BAA"/>
    <w:rsid w:val="00B14BFD"/>
    <w:rsid w:val="00B14F21"/>
    <w:rsid w:val="00B1561A"/>
    <w:rsid w:val="00B1582A"/>
    <w:rsid w:val="00B15B7A"/>
    <w:rsid w:val="00B15CA3"/>
    <w:rsid w:val="00B16028"/>
    <w:rsid w:val="00B16141"/>
    <w:rsid w:val="00B162B2"/>
    <w:rsid w:val="00B16549"/>
    <w:rsid w:val="00B16730"/>
    <w:rsid w:val="00B1681B"/>
    <w:rsid w:val="00B168AF"/>
    <w:rsid w:val="00B168E7"/>
    <w:rsid w:val="00B16E84"/>
    <w:rsid w:val="00B17113"/>
    <w:rsid w:val="00B1766F"/>
    <w:rsid w:val="00B17A3A"/>
    <w:rsid w:val="00B17D20"/>
    <w:rsid w:val="00B20448"/>
    <w:rsid w:val="00B2053D"/>
    <w:rsid w:val="00B20584"/>
    <w:rsid w:val="00B20928"/>
    <w:rsid w:val="00B20BF6"/>
    <w:rsid w:val="00B20C18"/>
    <w:rsid w:val="00B2138E"/>
    <w:rsid w:val="00B21DDA"/>
    <w:rsid w:val="00B226E3"/>
    <w:rsid w:val="00B227C3"/>
    <w:rsid w:val="00B234C4"/>
    <w:rsid w:val="00B2357E"/>
    <w:rsid w:val="00B235D1"/>
    <w:rsid w:val="00B236DE"/>
    <w:rsid w:val="00B23991"/>
    <w:rsid w:val="00B24468"/>
    <w:rsid w:val="00B245E8"/>
    <w:rsid w:val="00B25006"/>
    <w:rsid w:val="00B250B2"/>
    <w:rsid w:val="00B25263"/>
    <w:rsid w:val="00B25570"/>
    <w:rsid w:val="00B26120"/>
    <w:rsid w:val="00B2700A"/>
    <w:rsid w:val="00B27426"/>
    <w:rsid w:val="00B27464"/>
    <w:rsid w:val="00B275EE"/>
    <w:rsid w:val="00B2781B"/>
    <w:rsid w:val="00B27AE3"/>
    <w:rsid w:val="00B27B57"/>
    <w:rsid w:val="00B301C5"/>
    <w:rsid w:val="00B301E9"/>
    <w:rsid w:val="00B305C4"/>
    <w:rsid w:val="00B3078D"/>
    <w:rsid w:val="00B3086D"/>
    <w:rsid w:val="00B30A1F"/>
    <w:rsid w:val="00B31041"/>
    <w:rsid w:val="00B31088"/>
    <w:rsid w:val="00B310C4"/>
    <w:rsid w:val="00B31548"/>
    <w:rsid w:val="00B3181C"/>
    <w:rsid w:val="00B32297"/>
    <w:rsid w:val="00B325E1"/>
    <w:rsid w:val="00B3270B"/>
    <w:rsid w:val="00B32C4B"/>
    <w:rsid w:val="00B32D0B"/>
    <w:rsid w:val="00B33795"/>
    <w:rsid w:val="00B33922"/>
    <w:rsid w:val="00B33AAC"/>
    <w:rsid w:val="00B33BD0"/>
    <w:rsid w:val="00B340C2"/>
    <w:rsid w:val="00B3430B"/>
    <w:rsid w:val="00B34471"/>
    <w:rsid w:val="00B34962"/>
    <w:rsid w:val="00B34BB6"/>
    <w:rsid w:val="00B3512C"/>
    <w:rsid w:val="00B357CC"/>
    <w:rsid w:val="00B361AA"/>
    <w:rsid w:val="00B36262"/>
    <w:rsid w:val="00B362CE"/>
    <w:rsid w:val="00B3631C"/>
    <w:rsid w:val="00B36BED"/>
    <w:rsid w:val="00B36E23"/>
    <w:rsid w:val="00B36F6C"/>
    <w:rsid w:val="00B3705B"/>
    <w:rsid w:val="00B3727C"/>
    <w:rsid w:val="00B372CC"/>
    <w:rsid w:val="00B4046B"/>
    <w:rsid w:val="00B40661"/>
    <w:rsid w:val="00B40D14"/>
    <w:rsid w:val="00B40D50"/>
    <w:rsid w:val="00B40EB4"/>
    <w:rsid w:val="00B410BE"/>
    <w:rsid w:val="00B411A6"/>
    <w:rsid w:val="00B411B3"/>
    <w:rsid w:val="00B413C8"/>
    <w:rsid w:val="00B4162A"/>
    <w:rsid w:val="00B417A2"/>
    <w:rsid w:val="00B41D1A"/>
    <w:rsid w:val="00B42045"/>
    <w:rsid w:val="00B421BB"/>
    <w:rsid w:val="00B422FA"/>
    <w:rsid w:val="00B42BF3"/>
    <w:rsid w:val="00B42CDE"/>
    <w:rsid w:val="00B42D27"/>
    <w:rsid w:val="00B4363D"/>
    <w:rsid w:val="00B4369E"/>
    <w:rsid w:val="00B43CBE"/>
    <w:rsid w:val="00B4448C"/>
    <w:rsid w:val="00B44576"/>
    <w:rsid w:val="00B4466F"/>
    <w:rsid w:val="00B44A9E"/>
    <w:rsid w:val="00B44E9F"/>
    <w:rsid w:val="00B44FCF"/>
    <w:rsid w:val="00B451DB"/>
    <w:rsid w:val="00B45D87"/>
    <w:rsid w:val="00B45FFC"/>
    <w:rsid w:val="00B462CF"/>
    <w:rsid w:val="00B4648A"/>
    <w:rsid w:val="00B46851"/>
    <w:rsid w:val="00B46BEE"/>
    <w:rsid w:val="00B46CAD"/>
    <w:rsid w:val="00B46EF4"/>
    <w:rsid w:val="00B4746D"/>
    <w:rsid w:val="00B47789"/>
    <w:rsid w:val="00B478D9"/>
    <w:rsid w:val="00B47A69"/>
    <w:rsid w:val="00B47AF8"/>
    <w:rsid w:val="00B5004F"/>
    <w:rsid w:val="00B503E9"/>
    <w:rsid w:val="00B50C38"/>
    <w:rsid w:val="00B50F95"/>
    <w:rsid w:val="00B51673"/>
    <w:rsid w:val="00B51B1F"/>
    <w:rsid w:val="00B52361"/>
    <w:rsid w:val="00B52516"/>
    <w:rsid w:val="00B52E26"/>
    <w:rsid w:val="00B52E82"/>
    <w:rsid w:val="00B5348C"/>
    <w:rsid w:val="00B535F6"/>
    <w:rsid w:val="00B5379D"/>
    <w:rsid w:val="00B53835"/>
    <w:rsid w:val="00B539AA"/>
    <w:rsid w:val="00B53B0A"/>
    <w:rsid w:val="00B53C81"/>
    <w:rsid w:val="00B53FEF"/>
    <w:rsid w:val="00B540BC"/>
    <w:rsid w:val="00B541D0"/>
    <w:rsid w:val="00B54308"/>
    <w:rsid w:val="00B543EA"/>
    <w:rsid w:val="00B54819"/>
    <w:rsid w:val="00B54EC0"/>
    <w:rsid w:val="00B554C1"/>
    <w:rsid w:val="00B5566A"/>
    <w:rsid w:val="00B55D22"/>
    <w:rsid w:val="00B55D4B"/>
    <w:rsid w:val="00B560CA"/>
    <w:rsid w:val="00B5627E"/>
    <w:rsid w:val="00B5646E"/>
    <w:rsid w:val="00B566D0"/>
    <w:rsid w:val="00B567AB"/>
    <w:rsid w:val="00B56AC1"/>
    <w:rsid w:val="00B56C13"/>
    <w:rsid w:val="00B56E26"/>
    <w:rsid w:val="00B57256"/>
    <w:rsid w:val="00B575D9"/>
    <w:rsid w:val="00B576EB"/>
    <w:rsid w:val="00B57D12"/>
    <w:rsid w:val="00B600BB"/>
    <w:rsid w:val="00B601DD"/>
    <w:rsid w:val="00B6035E"/>
    <w:rsid w:val="00B60447"/>
    <w:rsid w:val="00B607BE"/>
    <w:rsid w:val="00B60B5C"/>
    <w:rsid w:val="00B61131"/>
    <w:rsid w:val="00B61156"/>
    <w:rsid w:val="00B6152E"/>
    <w:rsid w:val="00B61909"/>
    <w:rsid w:val="00B61C11"/>
    <w:rsid w:val="00B61DB1"/>
    <w:rsid w:val="00B61F5E"/>
    <w:rsid w:val="00B6239B"/>
    <w:rsid w:val="00B62742"/>
    <w:rsid w:val="00B62872"/>
    <w:rsid w:val="00B62E07"/>
    <w:rsid w:val="00B62F56"/>
    <w:rsid w:val="00B63056"/>
    <w:rsid w:val="00B632C7"/>
    <w:rsid w:val="00B6375C"/>
    <w:rsid w:val="00B63E44"/>
    <w:rsid w:val="00B63E91"/>
    <w:rsid w:val="00B6441B"/>
    <w:rsid w:val="00B645CF"/>
    <w:rsid w:val="00B645F1"/>
    <w:rsid w:val="00B64792"/>
    <w:rsid w:val="00B64B01"/>
    <w:rsid w:val="00B6518D"/>
    <w:rsid w:val="00B6560A"/>
    <w:rsid w:val="00B65A3F"/>
    <w:rsid w:val="00B660C3"/>
    <w:rsid w:val="00B66127"/>
    <w:rsid w:val="00B66132"/>
    <w:rsid w:val="00B66503"/>
    <w:rsid w:val="00B669A2"/>
    <w:rsid w:val="00B66B33"/>
    <w:rsid w:val="00B67996"/>
    <w:rsid w:val="00B67A91"/>
    <w:rsid w:val="00B67DC0"/>
    <w:rsid w:val="00B67E8B"/>
    <w:rsid w:val="00B701E4"/>
    <w:rsid w:val="00B70475"/>
    <w:rsid w:val="00B70479"/>
    <w:rsid w:val="00B70915"/>
    <w:rsid w:val="00B70C9F"/>
    <w:rsid w:val="00B70CCE"/>
    <w:rsid w:val="00B712C2"/>
    <w:rsid w:val="00B7156A"/>
    <w:rsid w:val="00B7178D"/>
    <w:rsid w:val="00B71EC1"/>
    <w:rsid w:val="00B7238D"/>
    <w:rsid w:val="00B7245E"/>
    <w:rsid w:val="00B72743"/>
    <w:rsid w:val="00B72B25"/>
    <w:rsid w:val="00B72C6C"/>
    <w:rsid w:val="00B73D26"/>
    <w:rsid w:val="00B7465A"/>
    <w:rsid w:val="00B74858"/>
    <w:rsid w:val="00B75122"/>
    <w:rsid w:val="00B75729"/>
    <w:rsid w:val="00B75740"/>
    <w:rsid w:val="00B760AE"/>
    <w:rsid w:val="00B76D5A"/>
    <w:rsid w:val="00B77744"/>
    <w:rsid w:val="00B77DA6"/>
    <w:rsid w:val="00B77F88"/>
    <w:rsid w:val="00B80704"/>
    <w:rsid w:val="00B80C2A"/>
    <w:rsid w:val="00B80C33"/>
    <w:rsid w:val="00B80D30"/>
    <w:rsid w:val="00B80D7B"/>
    <w:rsid w:val="00B80EE9"/>
    <w:rsid w:val="00B80F9C"/>
    <w:rsid w:val="00B8101C"/>
    <w:rsid w:val="00B812AC"/>
    <w:rsid w:val="00B8192E"/>
    <w:rsid w:val="00B81E4F"/>
    <w:rsid w:val="00B820A0"/>
    <w:rsid w:val="00B828A3"/>
    <w:rsid w:val="00B82CB6"/>
    <w:rsid w:val="00B82E2E"/>
    <w:rsid w:val="00B834AC"/>
    <w:rsid w:val="00B83661"/>
    <w:rsid w:val="00B83AD7"/>
    <w:rsid w:val="00B84055"/>
    <w:rsid w:val="00B84FCB"/>
    <w:rsid w:val="00B8513C"/>
    <w:rsid w:val="00B851CE"/>
    <w:rsid w:val="00B856CE"/>
    <w:rsid w:val="00B8598D"/>
    <w:rsid w:val="00B85C0E"/>
    <w:rsid w:val="00B86792"/>
    <w:rsid w:val="00B867F3"/>
    <w:rsid w:val="00B86A3E"/>
    <w:rsid w:val="00B86B0C"/>
    <w:rsid w:val="00B86E7A"/>
    <w:rsid w:val="00B87619"/>
    <w:rsid w:val="00B87665"/>
    <w:rsid w:val="00B876DD"/>
    <w:rsid w:val="00B8782C"/>
    <w:rsid w:val="00B87B59"/>
    <w:rsid w:val="00B87F85"/>
    <w:rsid w:val="00B90635"/>
    <w:rsid w:val="00B90801"/>
    <w:rsid w:val="00B90BFC"/>
    <w:rsid w:val="00B90CCD"/>
    <w:rsid w:val="00B90D03"/>
    <w:rsid w:val="00B910D9"/>
    <w:rsid w:val="00B91603"/>
    <w:rsid w:val="00B9188F"/>
    <w:rsid w:val="00B91F86"/>
    <w:rsid w:val="00B9205E"/>
    <w:rsid w:val="00B921F1"/>
    <w:rsid w:val="00B922FC"/>
    <w:rsid w:val="00B9252C"/>
    <w:rsid w:val="00B930A3"/>
    <w:rsid w:val="00B9321F"/>
    <w:rsid w:val="00B938ED"/>
    <w:rsid w:val="00B93A87"/>
    <w:rsid w:val="00B93E4C"/>
    <w:rsid w:val="00B93E5C"/>
    <w:rsid w:val="00B94244"/>
    <w:rsid w:val="00B9431C"/>
    <w:rsid w:val="00B94334"/>
    <w:rsid w:val="00B94BD6"/>
    <w:rsid w:val="00B951A3"/>
    <w:rsid w:val="00B958C1"/>
    <w:rsid w:val="00B964FB"/>
    <w:rsid w:val="00B966DA"/>
    <w:rsid w:val="00B970A4"/>
    <w:rsid w:val="00B97112"/>
    <w:rsid w:val="00B97220"/>
    <w:rsid w:val="00B97925"/>
    <w:rsid w:val="00BA1002"/>
    <w:rsid w:val="00BA1A7F"/>
    <w:rsid w:val="00BA1BB5"/>
    <w:rsid w:val="00BA1ECA"/>
    <w:rsid w:val="00BA273E"/>
    <w:rsid w:val="00BA2B93"/>
    <w:rsid w:val="00BA3B8E"/>
    <w:rsid w:val="00BA4381"/>
    <w:rsid w:val="00BA45A6"/>
    <w:rsid w:val="00BA4625"/>
    <w:rsid w:val="00BA4843"/>
    <w:rsid w:val="00BA51B0"/>
    <w:rsid w:val="00BA537D"/>
    <w:rsid w:val="00BA68B1"/>
    <w:rsid w:val="00BA6991"/>
    <w:rsid w:val="00BA6CE7"/>
    <w:rsid w:val="00BA705B"/>
    <w:rsid w:val="00BA7082"/>
    <w:rsid w:val="00BA7A07"/>
    <w:rsid w:val="00BA7A20"/>
    <w:rsid w:val="00BA7B10"/>
    <w:rsid w:val="00BB00F8"/>
    <w:rsid w:val="00BB01E5"/>
    <w:rsid w:val="00BB0FC6"/>
    <w:rsid w:val="00BB11D5"/>
    <w:rsid w:val="00BB1717"/>
    <w:rsid w:val="00BB1E47"/>
    <w:rsid w:val="00BB21CA"/>
    <w:rsid w:val="00BB258C"/>
    <w:rsid w:val="00BB27D9"/>
    <w:rsid w:val="00BB34F4"/>
    <w:rsid w:val="00BB3BBE"/>
    <w:rsid w:val="00BB4089"/>
    <w:rsid w:val="00BB50A0"/>
    <w:rsid w:val="00BB53B1"/>
    <w:rsid w:val="00BB5736"/>
    <w:rsid w:val="00BB57D5"/>
    <w:rsid w:val="00BB5A97"/>
    <w:rsid w:val="00BB5D16"/>
    <w:rsid w:val="00BB5E95"/>
    <w:rsid w:val="00BB640B"/>
    <w:rsid w:val="00BB69BF"/>
    <w:rsid w:val="00BB6A75"/>
    <w:rsid w:val="00BB731D"/>
    <w:rsid w:val="00BB73EF"/>
    <w:rsid w:val="00BB7422"/>
    <w:rsid w:val="00BB76F8"/>
    <w:rsid w:val="00BB7707"/>
    <w:rsid w:val="00BB7B55"/>
    <w:rsid w:val="00BC0759"/>
    <w:rsid w:val="00BC12C6"/>
    <w:rsid w:val="00BC1651"/>
    <w:rsid w:val="00BC177E"/>
    <w:rsid w:val="00BC1CC0"/>
    <w:rsid w:val="00BC20A7"/>
    <w:rsid w:val="00BC260F"/>
    <w:rsid w:val="00BC2989"/>
    <w:rsid w:val="00BC2AB8"/>
    <w:rsid w:val="00BC2AF3"/>
    <w:rsid w:val="00BC2F41"/>
    <w:rsid w:val="00BC2FBB"/>
    <w:rsid w:val="00BC330E"/>
    <w:rsid w:val="00BC3319"/>
    <w:rsid w:val="00BC4045"/>
    <w:rsid w:val="00BC41B1"/>
    <w:rsid w:val="00BC4982"/>
    <w:rsid w:val="00BC4AA3"/>
    <w:rsid w:val="00BC4C6C"/>
    <w:rsid w:val="00BC529F"/>
    <w:rsid w:val="00BC52EC"/>
    <w:rsid w:val="00BC5303"/>
    <w:rsid w:val="00BC571B"/>
    <w:rsid w:val="00BC5731"/>
    <w:rsid w:val="00BC58A6"/>
    <w:rsid w:val="00BC5BA8"/>
    <w:rsid w:val="00BC5C60"/>
    <w:rsid w:val="00BC5CAD"/>
    <w:rsid w:val="00BC6103"/>
    <w:rsid w:val="00BC6274"/>
    <w:rsid w:val="00BC656A"/>
    <w:rsid w:val="00BC65DE"/>
    <w:rsid w:val="00BC67E6"/>
    <w:rsid w:val="00BC6ED7"/>
    <w:rsid w:val="00BC7446"/>
    <w:rsid w:val="00BC76E9"/>
    <w:rsid w:val="00BC78D7"/>
    <w:rsid w:val="00BC7D8D"/>
    <w:rsid w:val="00BD0431"/>
    <w:rsid w:val="00BD0491"/>
    <w:rsid w:val="00BD0520"/>
    <w:rsid w:val="00BD113C"/>
    <w:rsid w:val="00BD166B"/>
    <w:rsid w:val="00BD19D4"/>
    <w:rsid w:val="00BD2598"/>
    <w:rsid w:val="00BD2853"/>
    <w:rsid w:val="00BD2B56"/>
    <w:rsid w:val="00BD2C1A"/>
    <w:rsid w:val="00BD2FF9"/>
    <w:rsid w:val="00BD35C7"/>
    <w:rsid w:val="00BD3BF0"/>
    <w:rsid w:val="00BD3C77"/>
    <w:rsid w:val="00BD3E60"/>
    <w:rsid w:val="00BD43C1"/>
    <w:rsid w:val="00BD440E"/>
    <w:rsid w:val="00BD4602"/>
    <w:rsid w:val="00BD46B3"/>
    <w:rsid w:val="00BD4783"/>
    <w:rsid w:val="00BD48E3"/>
    <w:rsid w:val="00BD4A6F"/>
    <w:rsid w:val="00BD4C8E"/>
    <w:rsid w:val="00BD4E2C"/>
    <w:rsid w:val="00BD4E6C"/>
    <w:rsid w:val="00BD4F6E"/>
    <w:rsid w:val="00BD55C7"/>
    <w:rsid w:val="00BD607B"/>
    <w:rsid w:val="00BD64BD"/>
    <w:rsid w:val="00BD697D"/>
    <w:rsid w:val="00BD6B4E"/>
    <w:rsid w:val="00BD6D03"/>
    <w:rsid w:val="00BD6E79"/>
    <w:rsid w:val="00BD7392"/>
    <w:rsid w:val="00BD74C8"/>
    <w:rsid w:val="00BD7A69"/>
    <w:rsid w:val="00BD7BA7"/>
    <w:rsid w:val="00BD7BCC"/>
    <w:rsid w:val="00BE000B"/>
    <w:rsid w:val="00BE008E"/>
    <w:rsid w:val="00BE05B6"/>
    <w:rsid w:val="00BE06D2"/>
    <w:rsid w:val="00BE0965"/>
    <w:rsid w:val="00BE0A64"/>
    <w:rsid w:val="00BE0C9E"/>
    <w:rsid w:val="00BE0F2D"/>
    <w:rsid w:val="00BE13B9"/>
    <w:rsid w:val="00BE15A9"/>
    <w:rsid w:val="00BE16C7"/>
    <w:rsid w:val="00BE19A9"/>
    <w:rsid w:val="00BE1B0C"/>
    <w:rsid w:val="00BE1C1B"/>
    <w:rsid w:val="00BE2307"/>
    <w:rsid w:val="00BE247B"/>
    <w:rsid w:val="00BE24CB"/>
    <w:rsid w:val="00BE251E"/>
    <w:rsid w:val="00BE28D0"/>
    <w:rsid w:val="00BE28DB"/>
    <w:rsid w:val="00BE2C02"/>
    <w:rsid w:val="00BE2DD2"/>
    <w:rsid w:val="00BE2F44"/>
    <w:rsid w:val="00BE34A2"/>
    <w:rsid w:val="00BE34EB"/>
    <w:rsid w:val="00BE36BB"/>
    <w:rsid w:val="00BE3FB5"/>
    <w:rsid w:val="00BE4035"/>
    <w:rsid w:val="00BE40BA"/>
    <w:rsid w:val="00BE41F4"/>
    <w:rsid w:val="00BE4359"/>
    <w:rsid w:val="00BE49B6"/>
    <w:rsid w:val="00BE4BDE"/>
    <w:rsid w:val="00BE4F43"/>
    <w:rsid w:val="00BE6465"/>
    <w:rsid w:val="00BE681B"/>
    <w:rsid w:val="00BE6A24"/>
    <w:rsid w:val="00BE7153"/>
    <w:rsid w:val="00BE734B"/>
    <w:rsid w:val="00BF02D4"/>
    <w:rsid w:val="00BF0337"/>
    <w:rsid w:val="00BF046B"/>
    <w:rsid w:val="00BF0893"/>
    <w:rsid w:val="00BF08DD"/>
    <w:rsid w:val="00BF12E8"/>
    <w:rsid w:val="00BF15BD"/>
    <w:rsid w:val="00BF1D03"/>
    <w:rsid w:val="00BF2113"/>
    <w:rsid w:val="00BF2233"/>
    <w:rsid w:val="00BF238F"/>
    <w:rsid w:val="00BF257E"/>
    <w:rsid w:val="00BF25D2"/>
    <w:rsid w:val="00BF2686"/>
    <w:rsid w:val="00BF2A2B"/>
    <w:rsid w:val="00BF2AD9"/>
    <w:rsid w:val="00BF2F97"/>
    <w:rsid w:val="00BF35BB"/>
    <w:rsid w:val="00BF3BBA"/>
    <w:rsid w:val="00BF4945"/>
    <w:rsid w:val="00BF4F53"/>
    <w:rsid w:val="00BF51AE"/>
    <w:rsid w:val="00BF52F6"/>
    <w:rsid w:val="00BF543F"/>
    <w:rsid w:val="00BF54FE"/>
    <w:rsid w:val="00BF5BA9"/>
    <w:rsid w:val="00BF5D1D"/>
    <w:rsid w:val="00BF5E78"/>
    <w:rsid w:val="00BF6447"/>
    <w:rsid w:val="00BF666C"/>
    <w:rsid w:val="00BF6A53"/>
    <w:rsid w:val="00BF6C16"/>
    <w:rsid w:val="00BF6C19"/>
    <w:rsid w:val="00BF6E6A"/>
    <w:rsid w:val="00BF6FB7"/>
    <w:rsid w:val="00BF7EA0"/>
    <w:rsid w:val="00C00409"/>
    <w:rsid w:val="00C006AC"/>
    <w:rsid w:val="00C00BB7"/>
    <w:rsid w:val="00C00EF7"/>
    <w:rsid w:val="00C010F5"/>
    <w:rsid w:val="00C0148D"/>
    <w:rsid w:val="00C01989"/>
    <w:rsid w:val="00C01A2D"/>
    <w:rsid w:val="00C01B3B"/>
    <w:rsid w:val="00C01D78"/>
    <w:rsid w:val="00C02091"/>
    <w:rsid w:val="00C020B0"/>
    <w:rsid w:val="00C021C0"/>
    <w:rsid w:val="00C025C6"/>
    <w:rsid w:val="00C026C2"/>
    <w:rsid w:val="00C02FFC"/>
    <w:rsid w:val="00C0310A"/>
    <w:rsid w:val="00C0317E"/>
    <w:rsid w:val="00C03202"/>
    <w:rsid w:val="00C03470"/>
    <w:rsid w:val="00C03E53"/>
    <w:rsid w:val="00C040AB"/>
    <w:rsid w:val="00C043BF"/>
    <w:rsid w:val="00C044B3"/>
    <w:rsid w:val="00C04651"/>
    <w:rsid w:val="00C04ACE"/>
    <w:rsid w:val="00C0520F"/>
    <w:rsid w:val="00C0543D"/>
    <w:rsid w:val="00C05BFC"/>
    <w:rsid w:val="00C05CE6"/>
    <w:rsid w:val="00C06215"/>
    <w:rsid w:val="00C06339"/>
    <w:rsid w:val="00C06426"/>
    <w:rsid w:val="00C06B25"/>
    <w:rsid w:val="00C06E8E"/>
    <w:rsid w:val="00C06EF9"/>
    <w:rsid w:val="00C071EF"/>
    <w:rsid w:val="00C075EE"/>
    <w:rsid w:val="00C07ABE"/>
    <w:rsid w:val="00C105CB"/>
    <w:rsid w:val="00C1084F"/>
    <w:rsid w:val="00C10A53"/>
    <w:rsid w:val="00C11416"/>
    <w:rsid w:val="00C11D97"/>
    <w:rsid w:val="00C12148"/>
    <w:rsid w:val="00C121AC"/>
    <w:rsid w:val="00C12215"/>
    <w:rsid w:val="00C1264E"/>
    <w:rsid w:val="00C12992"/>
    <w:rsid w:val="00C12995"/>
    <w:rsid w:val="00C12AAF"/>
    <w:rsid w:val="00C12B08"/>
    <w:rsid w:val="00C12BC3"/>
    <w:rsid w:val="00C134D5"/>
    <w:rsid w:val="00C13542"/>
    <w:rsid w:val="00C1356F"/>
    <w:rsid w:val="00C139A7"/>
    <w:rsid w:val="00C13EF2"/>
    <w:rsid w:val="00C142DC"/>
    <w:rsid w:val="00C14405"/>
    <w:rsid w:val="00C145A2"/>
    <w:rsid w:val="00C146D1"/>
    <w:rsid w:val="00C152CB"/>
    <w:rsid w:val="00C15F24"/>
    <w:rsid w:val="00C16323"/>
    <w:rsid w:val="00C16469"/>
    <w:rsid w:val="00C16A5B"/>
    <w:rsid w:val="00C16FB9"/>
    <w:rsid w:val="00C1729D"/>
    <w:rsid w:val="00C17345"/>
    <w:rsid w:val="00C17E3D"/>
    <w:rsid w:val="00C2064A"/>
    <w:rsid w:val="00C2066E"/>
    <w:rsid w:val="00C20B50"/>
    <w:rsid w:val="00C20CF2"/>
    <w:rsid w:val="00C21044"/>
    <w:rsid w:val="00C213D8"/>
    <w:rsid w:val="00C214DF"/>
    <w:rsid w:val="00C21926"/>
    <w:rsid w:val="00C21A0A"/>
    <w:rsid w:val="00C21AA4"/>
    <w:rsid w:val="00C22C0C"/>
    <w:rsid w:val="00C22CDD"/>
    <w:rsid w:val="00C22F2B"/>
    <w:rsid w:val="00C238BB"/>
    <w:rsid w:val="00C23A01"/>
    <w:rsid w:val="00C23B50"/>
    <w:rsid w:val="00C23B67"/>
    <w:rsid w:val="00C240F8"/>
    <w:rsid w:val="00C24295"/>
    <w:rsid w:val="00C247B0"/>
    <w:rsid w:val="00C249C1"/>
    <w:rsid w:val="00C24F2E"/>
    <w:rsid w:val="00C25C9B"/>
    <w:rsid w:val="00C25F99"/>
    <w:rsid w:val="00C26129"/>
    <w:rsid w:val="00C261C6"/>
    <w:rsid w:val="00C262E2"/>
    <w:rsid w:val="00C2648A"/>
    <w:rsid w:val="00C26666"/>
    <w:rsid w:val="00C267A1"/>
    <w:rsid w:val="00C26A45"/>
    <w:rsid w:val="00C27208"/>
    <w:rsid w:val="00C27846"/>
    <w:rsid w:val="00C278F7"/>
    <w:rsid w:val="00C27E2D"/>
    <w:rsid w:val="00C27F96"/>
    <w:rsid w:val="00C300EA"/>
    <w:rsid w:val="00C30106"/>
    <w:rsid w:val="00C30AD2"/>
    <w:rsid w:val="00C30AE1"/>
    <w:rsid w:val="00C30C5E"/>
    <w:rsid w:val="00C30DD2"/>
    <w:rsid w:val="00C31689"/>
    <w:rsid w:val="00C319D6"/>
    <w:rsid w:val="00C3204F"/>
    <w:rsid w:val="00C322C6"/>
    <w:rsid w:val="00C32471"/>
    <w:rsid w:val="00C32C0D"/>
    <w:rsid w:val="00C3305A"/>
    <w:rsid w:val="00C33353"/>
    <w:rsid w:val="00C33BAB"/>
    <w:rsid w:val="00C33FBE"/>
    <w:rsid w:val="00C3440D"/>
    <w:rsid w:val="00C34489"/>
    <w:rsid w:val="00C3461E"/>
    <w:rsid w:val="00C34DB7"/>
    <w:rsid w:val="00C34DC5"/>
    <w:rsid w:val="00C34DCF"/>
    <w:rsid w:val="00C34EF9"/>
    <w:rsid w:val="00C34F7B"/>
    <w:rsid w:val="00C354FE"/>
    <w:rsid w:val="00C355B3"/>
    <w:rsid w:val="00C35866"/>
    <w:rsid w:val="00C358F8"/>
    <w:rsid w:val="00C3591C"/>
    <w:rsid w:val="00C35F77"/>
    <w:rsid w:val="00C36080"/>
    <w:rsid w:val="00C36D6D"/>
    <w:rsid w:val="00C37026"/>
    <w:rsid w:val="00C3704F"/>
    <w:rsid w:val="00C37A49"/>
    <w:rsid w:val="00C37B1E"/>
    <w:rsid w:val="00C37C8C"/>
    <w:rsid w:val="00C37F96"/>
    <w:rsid w:val="00C40251"/>
    <w:rsid w:val="00C402DD"/>
    <w:rsid w:val="00C4044E"/>
    <w:rsid w:val="00C404A7"/>
    <w:rsid w:val="00C406F0"/>
    <w:rsid w:val="00C40815"/>
    <w:rsid w:val="00C40C18"/>
    <w:rsid w:val="00C40D3C"/>
    <w:rsid w:val="00C410AA"/>
    <w:rsid w:val="00C413ED"/>
    <w:rsid w:val="00C41990"/>
    <w:rsid w:val="00C41C3A"/>
    <w:rsid w:val="00C4233C"/>
    <w:rsid w:val="00C42543"/>
    <w:rsid w:val="00C429F4"/>
    <w:rsid w:val="00C42BF3"/>
    <w:rsid w:val="00C42E30"/>
    <w:rsid w:val="00C43283"/>
    <w:rsid w:val="00C4331C"/>
    <w:rsid w:val="00C433D2"/>
    <w:rsid w:val="00C4385C"/>
    <w:rsid w:val="00C44244"/>
    <w:rsid w:val="00C44BAC"/>
    <w:rsid w:val="00C44C1D"/>
    <w:rsid w:val="00C44D76"/>
    <w:rsid w:val="00C44FA1"/>
    <w:rsid w:val="00C45739"/>
    <w:rsid w:val="00C4585F"/>
    <w:rsid w:val="00C458C7"/>
    <w:rsid w:val="00C461E7"/>
    <w:rsid w:val="00C4627B"/>
    <w:rsid w:val="00C4661A"/>
    <w:rsid w:val="00C46B88"/>
    <w:rsid w:val="00C46BDD"/>
    <w:rsid w:val="00C473A4"/>
    <w:rsid w:val="00C4785D"/>
    <w:rsid w:val="00C47950"/>
    <w:rsid w:val="00C50486"/>
    <w:rsid w:val="00C50569"/>
    <w:rsid w:val="00C506A9"/>
    <w:rsid w:val="00C506F8"/>
    <w:rsid w:val="00C50721"/>
    <w:rsid w:val="00C5128D"/>
    <w:rsid w:val="00C513B4"/>
    <w:rsid w:val="00C5206B"/>
    <w:rsid w:val="00C523D4"/>
    <w:rsid w:val="00C52A27"/>
    <w:rsid w:val="00C52BE5"/>
    <w:rsid w:val="00C52DAD"/>
    <w:rsid w:val="00C5309F"/>
    <w:rsid w:val="00C538F2"/>
    <w:rsid w:val="00C53A6A"/>
    <w:rsid w:val="00C54140"/>
    <w:rsid w:val="00C54480"/>
    <w:rsid w:val="00C546C4"/>
    <w:rsid w:val="00C550A1"/>
    <w:rsid w:val="00C550BA"/>
    <w:rsid w:val="00C551FB"/>
    <w:rsid w:val="00C554D5"/>
    <w:rsid w:val="00C55C7C"/>
    <w:rsid w:val="00C5604D"/>
    <w:rsid w:val="00C5678F"/>
    <w:rsid w:val="00C567CA"/>
    <w:rsid w:val="00C56995"/>
    <w:rsid w:val="00C56BB6"/>
    <w:rsid w:val="00C56BBB"/>
    <w:rsid w:val="00C56E84"/>
    <w:rsid w:val="00C570D4"/>
    <w:rsid w:val="00C5755B"/>
    <w:rsid w:val="00C5758E"/>
    <w:rsid w:val="00C578C7"/>
    <w:rsid w:val="00C57A44"/>
    <w:rsid w:val="00C57D2B"/>
    <w:rsid w:val="00C57E73"/>
    <w:rsid w:val="00C57F28"/>
    <w:rsid w:val="00C603FD"/>
    <w:rsid w:val="00C60BFB"/>
    <w:rsid w:val="00C60DD9"/>
    <w:rsid w:val="00C6113D"/>
    <w:rsid w:val="00C61170"/>
    <w:rsid w:val="00C61410"/>
    <w:rsid w:val="00C618BD"/>
    <w:rsid w:val="00C61905"/>
    <w:rsid w:val="00C61981"/>
    <w:rsid w:val="00C61B7B"/>
    <w:rsid w:val="00C61C7F"/>
    <w:rsid w:val="00C61CA1"/>
    <w:rsid w:val="00C61D39"/>
    <w:rsid w:val="00C61E7D"/>
    <w:rsid w:val="00C61EC4"/>
    <w:rsid w:val="00C6236D"/>
    <w:rsid w:val="00C626DF"/>
    <w:rsid w:val="00C626E5"/>
    <w:rsid w:val="00C62C9A"/>
    <w:rsid w:val="00C62F82"/>
    <w:rsid w:val="00C63675"/>
    <w:rsid w:val="00C637B1"/>
    <w:rsid w:val="00C63D0C"/>
    <w:rsid w:val="00C64866"/>
    <w:rsid w:val="00C649E8"/>
    <w:rsid w:val="00C64EB4"/>
    <w:rsid w:val="00C64FD1"/>
    <w:rsid w:val="00C65339"/>
    <w:rsid w:val="00C65593"/>
    <w:rsid w:val="00C656C9"/>
    <w:rsid w:val="00C65705"/>
    <w:rsid w:val="00C65C3A"/>
    <w:rsid w:val="00C66161"/>
    <w:rsid w:val="00C66431"/>
    <w:rsid w:val="00C666DA"/>
    <w:rsid w:val="00C6675A"/>
    <w:rsid w:val="00C669A1"/>
    <w:rsid w:val="00C675E0"/>
    <w:rsid w:val="00C676C0"/>
    <w:rsid w:val="00C6775E"/>
    <w:rsid w:val="00C677F8"/>
    <w:rsid w:val="00C67BAA"/>
    <w:rsid w:val="00C67D87"/>
    <w:rsid w:val="00C700FA"/>
    <w:rsid w:val="00C7046E"/>
    <w:rsid w:val="00C714A2"/>
    <w:rsid w:val="00C71622"/>
    <w:rsid w:val="00C71AAC"/>
    <w:rsid w:val="00C71EC0"/>
    <w:rsid w:val="00C71F27"/>
    <w:rsid w:val="00C72113"/>
    <w:rsid w:val="00C73666"/>
    <w:rsid w:val="00C73FF9"/>
    <w:rsid w:val="00C740F9"/>
    <w:rsid w:val="00C742E3"/>
    <w:rsid w:val="00C744E5"/>
    <w:rsid w:val="00C746EB"/>
    <w:rsid w:val="00C7486F"/>
    <w:rsid w:val="00C76044"/>
    <w:rsid w:val="00C7664E"/>
    <w:rsid w:val="00C76B7A"/>
    <w:rsid w:val="00C76C3A"/>
    <w:rsid w:val="00C76E9E"/>
    <w:rsid w:val="00C77538"/>
    <w:rsid w:val="00C7761B"/>
    <w:rsid w:val="00C7770F"/>
    <w:rsid w:val="00C77B75"/>
    <w:rsid w:val="00C77C49"/>
    <w:rsid w:val="00C77DE6"/>
    <w:rsid w:val="00C77E42"/>
    <w:rsid w:val="00C77FD6"/>
    <w:rsid w:val="00C8013C"/>
    <w:rsid w:val="00C8044D"/>
    <w:rsid w:val="00C80981"/>
    <w:rsid w:val="00C80E75"/>
    <w:rsid w:val="00C822DC"/>
    <w:rsid w:val="00C8240F"/>
    <w:rsid w:val="00C825E7"/>
    <w:rsid w:val="00C82D56"/>
    <w:rsid w:val="00C83187"/>
    <w:rsid w:val="00C8319B"/>
    <w:rsid w:val="00C83697"/>
    <w:rsid w:val="00C83A1B"/>
    <w:rsid w:val="00C83AB3"/>
    <w:rsid w:val="00C840D6"/>
    <w:rsid w:val="00C84669"/>
    <w:rsid w:val="00C8471E"/>
    <w:rsid w:val="00C8473A"/>
    <w:rsid w:val="00C84A42"/>
    <w:rsid w:val="00C85434"/>
    <w:rsid w:val="00C8575D"/>
    <w:rsid w:val="00C85957"/>
    <w:rsid w:val="00C85AB5"/>
    <w:rsid w:val="00C85F31"/>
    <w:rsid w:val="00C85FE1"/>
    <w:rsid w:val="00C860F5"/>
    <w:rsid w:val="00C86CD4"/>
    <w:rsid w:val="00C86D2E"/>
    <w:rsid w:val="00C86DFB"/>
    <w:rsid w:val="00C87950"/>
    <w:rsid w:val="00C87988"/>
    <w:rsid w:val="00C87A7E"/>
    <w:rsid w:val="00C87D6B"/>
    <w:rsid w:val="00C90454"/>
    <w:rsid w:val="00C90C00"/>
    <w:rsid w:val="00C914C6"/>
    <w:rsid w:val="00C915AC"/>
    <w:rsid w:val="00C91865"/>
    <w:rsid w:val="00C91B67"/>
    <w:rsid w:val="00C91DA9"/>
    <w:rsid w:val="00C927F6"/>
    <w:rsid w:val="00C92C76"/>
    <w:rsid w:val="00C92FF2"/>
    <w:rsid w:val="00C935BF"/>
    <w:rsid w:val="00C93C01"/>
    <w:rsid w:val="00C93E5B"/>
    <w:rsid w:val="00C9403F"/>
    <w:rsid w:val="00C94677"/>
    <w:rsid w:val="00C94B54"/>
    <w:rsid w:val="00C94C69"/>
    <w:rsid w:val="00C94D27"/>
    <w:rsid w:val="00C94F21"/>
    <w:rsid w:val="00C956D5"/>
    <w:rsid w:val="00C9575F"/>
    <w:rsid w:val="00C95805"/>
    <w:rsid w:val="00C958C7"/>
    <w:rsid w:val="00C96344"/>
    <w:rsid w:val="00C96505"/>
    <w:rsid w:val="00C9711B"/>
    <w:rsid w:val="00C97213"/>
    <w:rsid w:val="00C976CC"/>
    <w:rsid w:val="00C9779A"/>
    <w:rsid w:val="00C97933"/>
    <w:rsid w:val="00C97BCF"/>
    <w:rsid w:val="00C97C8C"/>
    <w:rsid w:val="00CA00DD"/>
    <w:rsid w:val="00CA0705"/>
    <w:rsid w:val="00CA09CA"/>
    <w:rsid w:val="00CA1237"/>
    <w:rsid w:val="00CA138B"/>
    <w:rsid w:val="00CA1907"/>
    <w:rsid w:val="00CA1F0B"/>
    <w:rsid w:val="00CA267C"/>
    <w:rsid w:val="00CA27F2"/>
    <w:rsid w:val="00CA2951"/>
    <w:rsid w:val="00CA2A01"/>
    <w:rsid w:val="00CA2B93"/>
    <w:rsid w:val="00CA2D31"/>
    <w:rsid w:val="00CA32DE"/>
    <w:rsid w:val="00CA3491"/>
    <w:rsid w:val="00CA34AF"/>
    <w:rsid w:val="00CA351F"/>
    <w:rsid w:val="00CA35C4"/>
    <w:rsid w:val="00CA3683"/>
    <w:rsid w:val="00CA3A62"/>
    <w:rsid w:val="00CA3D97"/>
    <w:rsid w:val="00CA3E74"/>
    <w:rsid w:val="00CA4066"/>
    <w:rsid w:val="00CA40E8"/>
    <w:rsid w:val="00CA4DD7"/>
    <w:rsid w:val="00CA4E01"/>
    <w:rsid w:val="00CA534D"/>
    <w:rsid w:val="00CA53CF"/>
    <w:rsid w:val="00CA5CDA"/>
    <w:rsid w:val="00CA5D86"/>
    <w:rsid w:val="00CA5F6C"/>
    <w:rsid w:val="00CA603C"/>
    <w:rsid w:val="00CA61FE"/>
    <w:rsid w:val="00CA63DE"/>
    <w:rsid w:val="00CA63E8"/>
    <w:rsid w:val="00CA6A87"/>
    <w:rsid w:val="00CA6BD1"/>
    <w:rsid w:val="00CA74B4"/>
    <w:rsid w:val="00CA7714"/>
    <w:rsid w:val="00CA78C1"/>
    <w:rsid w:val="00CA7CF5"/>
    <w:rsid w:val="00CA7CFC"/>
    <w:rsid w:val="00CB07C9"/>
    <w:rsid w:val="00CB084A"/>
    <w:rsid w:val="00CB160E"/>
    <w:rsid w:val="00CB1A18"/>
    <w:rsid w:val="00CB1D30"/>
    <w:rsid w:val="00CB2A77"/>
    <w:rsid w:val="00CB2C43"/>
    <w:rsid w:val="00CB2CC2"/>
    <w:rsid w:val="00CB2CF9"/>
    <w:rsid w:val="00CB2F39"/>
    <w:rsid w:val="00CB309F"/>
    <w:rsid w:val="00CB344A"/>
    <w:rsid w:val="00CB34D0"/>
    <w:rsid w:val="00CB3683"/>
    <w:rsid w:val="00CB40A6"/>
    <w:rsid w:val="00CB4175"/>
    <w:rsid w:val="00CB44AC"/>
    <w:rsid w:val="00CB45B4"/>
    <w:rsid w:val="00CB4822"/>
    <w:rsid w:val="00CB48A6"/>
    <w:rsid w:val="00CB494B"/>
    <w:rsid w:val="00CB498D"/>
    <w:rsid w:val="00CB49CE"/>
    <w:rsid w:val="00CB4D3C"/>
    <w:rsid w:val="00CB4FD3"/>
    <w:rsid w:val="00CB530C"/>
    <w:rsid w:val="00CB558A"/>
    <w:rsid w:val="00CB5704"/>
    <w:rsid w:val="00CB6587"/>
    <w:rsid w:val="00CB65C7"/>
    <w:rsid w:val="00CB666C"/>
    <w:rsid w:val="00CB6C75"/>
    <w:rsid w:val="00CB71FC"/>
    <w:rsid w:val="00CB72CC"/>
    <w:rsid w:val="00CB7336"/>
    <w:rsid w:val="00CB74BE"/>
    <w:rsid w:val="00CB7703"/>
    <w:rsid w:val="00CC1090"/>
    <w:rsid w:val="00CC11DF"/>
    <w:rsid w:val="00CC1717"/>
    <w:rsid w:val="00CC179E"/>
    <w:rsid w:val="00CC1D16"/>
    <w:rsid w:val="00CC1EB3"/>
    <w:rsid w:val="00CC26B2"/>
    <w:rsid w:val="00CC292F"/>
    <w:rsid w:val="00CC2D71"/>
    <w:rsid w:val="00CC31BE"/>
    <w:rsid w:val="00CC36EB"/>
    <w:rsid w:val="00CC3737"/>
    <w:rsid w:val="00CC399B"/>
    <w:rsid w:val="00CC3A66"/>
    <w:rsid w:val="00CC3ABA"/>
    <w:rsid w:val="00CC3C53"/>
    <w:rsid w:val="00CC3E2A"/>
    <w:rsid w:val="00CC4071"/>
    <w:rsid w:val="00CC4127"/>
    <w:rsid w:val="00CC4327"/>
    <w:rsid w:val="00CC4439"/>
    <w:rsid w:val="00CC48A8"/>
    <w:rsid w:val="00CC4B7F"/>
    <w:rsid w:val="00CC4F58"/>
    <w:rsid w:val="00CC50B8"/>
    <w:rsid w:val="00CC58CF"/>
    <w:rsid w:val="00CC6078"/>
    <w:rsid w:val="00CC60F5"/>
    <w:rsid w:val="00CC62C0"/>
    <w:rsid w:val="00CC64D5"/>
    <w:rsid w:val="00CC690A"/>
    <w:rsid w:val="00CC69D0"/>
    <w:rsid w:val="00CC6DAD"/>
    <w:rsid w:val="00CC70A1"/>
    <w:rsid w:val="00CC714F"/>
    <w:rsid w:val="00CC7511"/>
    <w:rsid w:val="00CC7C1E"/>
    <w:rsid w:val="00CC7C4D"/>
    <w:rsid w:val="00CD0033"/>
    <w:rsid w:val="00CD0E40"/>
    <w:rsid w:val="00CD15BE"/>
    <w:rsid w:val="00CD1A6A"/>
    <w:rsid w:val="00CD1E8F"/>
    <w:rsid w:val="00CD258A"/>
    <w:rsid w:val="00CD281F"/>
    <w:rsid w:val="00CD28DF"/>
    <w:rsid w:val="00CD2BF8"/>
    <w:rsid w:val="00CD2CB0"/>
    <w:rsid w:val="00CD2D59"/>
    <w:rsid w:val="00CD2EB6"/>
    <w:rsid w:val="00CD3332"/>
    <w:rsid w:val="00CD4075"/>
    <w:rsid w:val="00CD4AF3"/>
    <w:rsid w:val="00CD4CEA"/>
    <w:rsid w:val="00CD5005"/>
    <w:rsid w:val="00CD514B"/>
    <w:rsid w:val="00CD5182"/>
    <w:rsid w:val="00CD5525"/>
    <w:rsid w:val="00CD59DE"/>
    <w:rsid w:val="00CD6B5A"/>
    <w:rsid w:val="00CD7065"/>
    <w:rsid w:val="00CD7246"/>
    <w:rsid w:val="00CD796E"/>
    <w:rsid w:val="00CD7B31"/>
    <w:rsid w:val="00CE03CC"/>
    <w:rsid w:val="00CE0ED5"/>
    <w:rsid w:val="00CE0F6D"/>
    <w:rsid w:val="00CE10A7"/>
    <w:rsid w:val="00CE11F6"/>
    <w:rsid w:val="00CE1475"/>
    <w:rsid w:val="00CE1BCD"/>
    <w:rsid w:val="00CE1D7D"/>
    <w:rsid w:val="00CE1E7C"/>
    <w:rsid w:val="00CE2762"/>
    <w:rsid w:val="00CE2A29"/>
    <w:rsid w:val="00CE2A45"/>
    <w:rsid w:val="00CE2E78"/>
    <w:rsid w:val="00CE2F51"/>
    <w:rsid w:val="00CE3492"/>
    <w:rsid w:val="00CE3605"/>
    <w:rsid w:val="00CE363E"/>
    <w:rsid w:val="00CE36BD"/>
    <w:rsid w:val="00CE36D5"/>
    <w:rsid w:val="00CE38DE"/>
    <w:rsid w:val="00CE3B17"/>
    <w:rsid w:val="00CE3D87"/>
    <w:rsid w:val="00CE450E"/>
    <w:rsid w:val="00CE48E5"/>
    <w:rsid w:val="00CE4986"/>
    <w:rsid w:val="00CE5303"/>
    <w:rsid w:val="00CE5595"/>
    <w:rsid w:val="00CE592A"/>
    <w:rsid w:val="00CE63F6"/>
    <w:rsid w:val="00CE6730"/>
    <w:rsid w:val="00CE6769"/>
    <w:rsid w:val="00CE6910"/>
    <w:rsid w:val="00CE6AF1"/>
    <w:rsid w:val="00CE6DB0"/>
    <w:rsid w:val="00CE722B"/>
    <w:rsid w:val="00CE726E"/>
    <w:rsid w:val="00CE72E3"/>
    <w:rsid w:val="00CE7388"/>
    <w:rsid w:val="00CE7482"/>
    <w:rsid w:val="00CE7827"/>
    <w:rsid w:val="00CE7863"/>
    <w:rsid w:val="00CE7A0C"/>
    <w:rsid w:val="00CE7E75"/>
    <w:rsid w:val="00CF00AE"/>
    <w:rsid w:val="00CF0EAE"/>
    <w:rsid w:val="00CF130E"/>
    <w:rsid w:val="00CF1339"/>
    <w:rsid w:val="00CF136F"/>
    <w:rsid w:val="00CF1747"/>
    <w:rsid w:val="00CF1C41"/>
    <w:rsid w:val="00CF1EC9"/>
    <w:rsid w:val="00CF1FC4"/>
    <w:rsid w:val="00CF2003"/>
    <w:rsid w:val="00CF26CE"/>
    <w:rsid w:val="00CF30E5"/>
    <w:rsid w:val="00CF34C1"/>
    <w:rsid w:val="00CF374E"/>
    <w:rsid w:val="00CF3B6D"/>
    <w:rsid w:val="00CF3C09"/>
    <w:rsid w:val="00CF3E37"/>
    <w:rsid w:val="00CF4467"/>
    <w:rsid w:val="00CF45DE"/>
    <w:rsid w:val="00CF499E"/>
    <w:rsid w:val="00CF5231"/>
    <w:rsid w:val="00CF586E"/>
    <w:rsid w:val="00CF5D51"/>
    <w:rsid w:val="00CF5E80"/>
    <w:rsid w:val="00CF638A"/>
    <w:rsid w:val="00CF67B7"/>
    <w:rsid w:val="00CF6AA0"/>
    <w:rsid w:val="00CF6F7C"/>
    <w:rsid w:val="00CF774E"/>
    <w:rsid w:val="00CF7816"/>
    <w:rsid w:val="00D00C9A"/>
    <w:rsid w:val="00D013E6"/>
    <w:rsid w:val="00D0149D"/>
    <w:rsid w:val="00D01585"/>
    <w:rsid w:val="00D02848"/>
    <w:rsid w:val="00D02E20"/>
    <w:rsid w:val="00D03053"/>
    <w:rsid w:val="00D0318F"/>
    <w:rsid w:val="00D03336"/>
    <w:rsid w:val="00D03406"/>
    <w:rsid w:val="00D037C5"/>
    <w:rsid w:val="00D03D8A"/>
    <w:rsid w:val="00D03DEE"/>
    <w:rsid w:val="00D03E7D"/>
    <w:rsid w:val="00D03FDC"/>
    <w:rsid w:val="00D041CD"/>
    <w:rsid w:val="00D045A9"/>
    <w:rsid w:val="00D04ADB"/>
    <w:rsid w:val="00D04B91"/>
    <w:rsid w:val="00D04D8E"/>
    <w:rsid w:val="00D04F9F"/>
    <w:rsid w:val="00D051F8"/>
    <w:rsid w:val="00D053DC"/>
    <w:rsid w:val="00D054A9"/>
    <w:rsid w:val="00D05573"/>
    <w:rsid w:val="00D055E8"/>
    <w:rsid w:val="00D05B06"/>
    <w:rsid w:val="00D05D69"/>
    <w:rsid w:val="00D05DE7"/>
    <w:rsid w:val="00D05FA8"/>
    <w:rsid w:val="00D06239"/>
    <w:rsid w:val="00D06863"/>
    <w:rsid w:val="00D07554"/>
    <w:rsid w:val="00D075C5"/>
    <w:rsid w:val="00D07A45"/>
    <w:rsid w:val="00D07AAC"/>
    <w:rsid w:val="00D07D9E"/>
    <w:rsid w:val="00D1069A"/>
    <w:rsid w:val="00D108CB"/>
    <w:rsid w:val="00D10E82"/>
    <w:rsid w:val="00D11094"/>
    <w:rsid w:val="00D11222"/>
    <w:rsid w:val="00D11418"/>
    <w:rsid w:val="00D119EE"/>
    <w:rsid w:val="00D11B66"/>
    <w:rsid w:val="00D11C3E"/>
    <w:rsid w:val="00D11C8B"/>
    <w:rsid w:val="00D1280B"/>
    <w:rsid w:val="00D12B4E"/>
    <w:rsid w:val="00D13380"/>
    <w:rsid w:val="00D135B2"/>
    <w:rsid w:val="00D13913"/>
    <w:rsid w:val="00D13C39"/>
    <w:rsid w:val="00D14082"/>
    <w:rsid w:val="00D1425E"/>
    <w:rsid w:val="00D145C1"/>
    <w:rsid w:val="00D14C94"/>
    <w:rsid w:val="00D14F0F"/>
    <w:rsid w:val="00D14F6D"/>
    <w:rsid w:val="00D1511E"/>
    <w:rsid w:val="00D15120"/>
    <w:rsid w:val="00D15124"/>
    <w:rsid w:val="00D151C5"/>
    <w:rsid w:val="00D151C9"/>
    <w:rsid w:val="00D15CA1"/>
    <w:rsid w:val="00D15FE5"/>
    <w:rsid w:val="00D162E9"/>
    <w:rsid w:val="00D1671B"/>
    <w:rsid w:val="00D16A6D"/>
    <w:rsid w:val="00D1748A"/>
    <w:rsid w:val="00D179F9"/>
    <w:rsid w:val="00D17A5B"/>
    <w:rsid w:val="00D17A67"/>
    <w:rsid w:val="00D203CB"/>
    <w:rsid w:val="00D2071E"/>
    <w:rsid w:val="00D20AE7"/>
    <w:rsid w:val="00D20C73"/>
    <w:rsid w:val="00D21090"/>
    <w:rsid w:val="00D213FA"/>
    <w:rsid w:val="00D21CFC"/>
    <w:rsid w:val="00D21F85"/>
    <w:rsid w:val="00D21FDD"/>
    <w:rsid w:val="00D222F2"/>
    <w:rsid w:val="00D223D9"/>
    <w:rsid w:val="00D224FE"/>
    <w:rsid w:val="00D232AA"/>
    <w:rsid w:val="00D23646"/>
    <w:rsid w:val="00D237F5"/>
    <w:rsid w:val="00D2407C"/>
    <w:rsid w:val="00D243C9"/>
    <w:rsid w:val="00D24A67"/>
    <w:rsid w:val="00D24CA8"/>
    <w:rsid w:val="00D24D26"/>
    <w:rsid w:val="00D2512F"/>
    <w:rsid w:val="00D25AD8"/>
    <w:rsid w:val="00D26193"/>
    <w:rsid w:val="00D26767"/>
    <w:rsid w:val="00D26ABF"/>
    <w:rsid w:val="00D26DA3"/>
    <w:rsid w:val="00D27232"/>
    <w:rsid w:val="00D2749A"/>
    <w:rsid w:val="00D274AB"/>
    <w:rsid w:val="00D27592"/>
    <w:rsid w:val="00D27712"/>
    <w:rsid w:val="00D27DE4"/>
    <w:rsid w:val="00D27F83"/>
    <w:rsid w:val="00D27FBD"/>
    <w:rsid w:val="00D30205"/>
    <w:rsid w:val="00D3035C"/>
    <w:rsid w:val="00D3048B"/>
    <w:rsid w:val="00D30839"/>
    <w:rsid w:val="00D30BED"/>
    <w:rsid w:val="00D30F72"/>
    <w:rsid w:val="00D311F4"/>
    <w:rsid w:val="00D314EF"/>
    <w:rsid w:val="00D31F53"/>
    <w:rsid w:val="00D32691"/>
    <w:rsid w:val="00D32774"/>
    <w:rsid w:val="00D33232"/>
    <w:rsid w:val="00D33479"/>
    <w:rsid w:val="00D33818"/>
    <w:rsid w:val="00D339C6"/>
    <w:rsid w:val="00D33AF0"/>
    <w:rsid w:val="00D33F75"/>
    <w:rsid w:val="00D340FC"/>
    <w:rsid w:val="00D345DD"/>
    <w:rsid w:val="00D346F1"/>
    <w:rsid w:val="00D34EF9"/>
    <w:rsid w:val="00D35345"/>
    <w:rsid w:val="00D356F8"/>
    <w:rsid w:val="00D35716"/>
    <w:rsid w:val="00D36378"/>
    <w:rsid w:val="00D364B9"/>
    <w:rsid w:val="00D36AA7"/>
    <w:rsid w:val="00D36D04"/>
    <w:rsid w:val="00D36EBE"/>
    <w:rsid w:val="00D371F3"/>
    <w:rsid w:val="00D3720E"/>
    <w:rsid w:val="00D37371"/>
    <w:rsid w:val="00D374AD"/>
    <w:rsid w:val="00D403E6"/>
    <w:rsid w:val="00D404E2"/>
    <w:rsid w:val="00D40557"/>
    <w:rsid w:val="00D40BF7"/>
    <w:rsid w:val="00D40E0E"/>
    <w:rsid w:val="00D41200"/>
    <w:rsid w:val="00D4133E"/>
    <w:rsid w:val="00D41C63"/>
    <w:rsid w:val="00D42BD6"/>
    <w:rsid w:val="00D42D49"/>
    <w:rsid w:val="00D43120"/>
    <w:rsid w:val="00D4324E"/>
    <w:rsid w:val="00D43560"/>
    <w:rsid w:val="00D43946"/>
    <w:rsid w:val="00D43AD3"/>
    <w:rsid w:val="00D43AF5"/>
    <w:rsid w:val="00D43EAE"/>
    <w:rsid w:val="00D44975"/>
    <w:rsid w:val="00D45318"/>
    <w:rsid w:val="00D45676"/>
    <w:rsid w:val="00D45693"/>
    <w:rsid w:val="00D45A2D"/>
    <w:rsid w:val="00D45E37"/>
    <w:rsid w:val="00D4663F"/>
    <w:rsid w:val="00D46724"/>
    <w:rsid w:val="00D46A0F"/>
    <w:rsid w:val="00D46A39"/>
    <w:rsid w:val="00D46B41"/>
    <w:rsid w:val="00D46EFA"/>
    <w:rsid w:val="00D4701C"/>
    <w:rsid w:val="00D473D8"/>
    <w:rsid w:val="00D47468"/>
    <w:rsid w:val="00D47538"/>
    <w:rsid w:val="00D47720"/>
    <w:rsid w:val="00D50182"/>
    <w:rsid w:val="00D50264"/>
    <w:rsid w:val="00D50299"/>
    <w:rsid w:val="00D50932"/>
    <w:rsid w:val="00D50D02"/>
    <w:rsid w:val="00D50E6F"/>
    <w:rsid w:val="00D511BB"/>
    <w:rsid w:val="00D5154D"/>
    <w:rsid w:val="00D51777"/>
    <w:rsid w:val="00D51812"/>
    <w:rsid w:val="00D52DBF"/>
    <w:rsid w:val="00D52EF1"/>
    <w:rsid w:val="00D53187"/>
    <w:rsid w:val="00D536FF"/>
    <w:rsid w:val="00D5379C"/>
    <w:rsid w:val="00D53B96"/>
    <w:rsid w:val="00D53F89"/>
    <w:rsid w:val="00D542B8"/>
    <w:rsid w:val="00D542EA"/>
    <w:rsid w:val="00D54609"/>
    <w:rsid w:val="00D54D3B"/>
    <w:rsid w:val="00D54DF8"/>
    <w:rsid w:val="00D54FAD"/>
    <w:rsid w:val="00D550B5"/>
    <w:rsid w:val="00D5528F"/>
    <w:rsid w:val="00D556AF"/>
    <w:rsid w:val="00D557CD"/>
    <w:rsid w:val="00D55821"/>
    <w:rsid w:val="00D55AD5"/>
    <w:rsid w:val="00D5603A"/>
    <w:rsid w:val="00D565BA"/>
    <w:rsid w:val="00D568B8"/>
    <w:rsid w:val="00D56AC0"/>
    <w:rsid w:val="00D56DE2"/>
    <w:rsid w:val="00D56E10"/>
    <w:rsid w:val="00D56E8E"/>
    <w:rsid w:val="00D56E96"/>
    <w:rsid w:val="00D56F18"/>
    <w:rsid w:val="00D575A2"/>
    <w:rsid w:val="00D601E4"/>
    <w:rsid w:val="00D60A86"/>
    <w:rsid w:val="00D60D9A"/>
    <w:rsid w:val="00D60F99"/>
    <w:rsid w:val="00D61279"/>
    <w:rsid w:val="00D61C31"/>
    <w:rsid w:val="00D61CD0"/>
    <w:rsid w:val="00D61E58"/>
    <w:rsid w:val="00D62601"/>
    <w:rsid w:val="00D62628"/>
    <w:rsid w:val="00D62698"/>
    <w:rsid w:val="00D626E1"/>
    <w:rsid w:val="00D629DE"/>
    <w:rsid w:val="00D62B2F"/>
    <w:rsid w:val="00D62D47"/>
    <w:rsid w:val="00D631C3"/>
    <w:rsid w:val="00D63306"/>
    <w:rsid w:val="00D63961"/>
    <w:rsid w:val="00D639B3"/>
    <w:rsid w:val="00D63CC8"/>
    <w:rsid w:val="00D64789"/>
    <w:rsid w:val="00D6500B"/>
    <w:rsid w:val="00D6500D"/>
    <w:rsid w:val="00D65052"/>
    <w:rsid w:val="00D65065"/>
    <w:rsid w:val="00D65066"/>
    <w:rsid w:val="00D650C1"/>
    <w:rsid w:val="00D651CB"/>
    <w:rsid w:val="00D65B06"/>
    <w:rsid w:val="00D6624E"/>
    <w:rsid w:val="00D66640"/>
    <w:rsid w:val="00D6670A"/>
    <w:rsid w:val="00D668D1"/>
    <w:rsid w:val="00D669C8"/>
    <w:rsid w:val="00D6704B"/>
    <w:rsid w:val="00D670FB"/>
    <w:rsid w:val="00D67210"/>
    <w:rsid w:val="00D700A4"/>
    <w:rsid w:val="00D70101"/>
    <w:rsid w:val="00D707D5"/>
    <w:rsid w:val="00D70E76"/>
    <w:rsid w:val="00D712CC"/>
    <w:rsid w:val="00D713A3"/>
    <w:rsid w:val="00D717F9"/>
    <w:rsid w:val="00D71907"/>
    <w:rsid w:val="00D71C57"/>
    <w:rsid w:val="00D71CE0"/>
    <w:rsid w:val="00D71DBA"/>
    <w:rsid w:val="00D72053"/>
    <w:rsid w:val="00D720EC"/>
    <w:rsid w:val="00D72125"/>
    <w:rsid w:val="00D72171"/>
    <w:rsid w:val="00D72215"/>
    <w:rsid w:val="00D72431"/>
    <w:rsid w:val="00D725E8"/>
    <w:rsid w:val="00D72D8B"/>
    <w:rsid w:val="00D72F13"/>
    <w:rsid w:val="00D734BB"/>
    <w:rsid w:val="00D738C6"/>
    <w:rsid w:val="00D73970"/>
    <w:rsid w:val="00D73B56"/>
    <w:rsid w:val="00D73F13"/>
    <w:rsid w:val="00D74188"/>
    <w:rsid w:val="00D744E7"/>
    <w:rsid w:val="00D74647"/>
    <w:rsid w:val="00D748BD"/>
    <w:rsid w:val="00D74BCF"/>
    <w:rsid w:val="00D7578D"/>
    <w:rsid w:val="00D75791"/>
    <w:rsid w:val="00D765FD"/>
    <w:rsid w:val="00D76DD1"/>
    <w:rsid w:val="00D76EF6"/>
    <w:rsid w:val="00D76F78"/>
    <w:rsid w:val="00D77105"/>
    <w:rsid w:val="00D77606"/>
    <w:rsid w:val="00D77B72"/>
    <w:rsid w:val="00D77BA5"/>
    <w:rsid w:val="00D77D3A"/>
    <w:rsid w:val="00D806D5"/>
    <w:rsid w:val="00D8093D"/>
    <w:rsid w:val="00D80D8F"/>
    <w:rsid w:val="00D80E00"/>
    <w:rsid w:val="00D80FF7"/>
    <w:rsid w:val="00D818AE"/>
    <w:rsid w:val="00D81E96"/>
    <w:rsid w:val="00D82370"/>
    <w:rsid w:val="00D8301A"/>
    <w:rsid w:val="00D83305"/>
    <w:rsid w:val="00D8378E"/>
    <w:rsid w:val="00D839A3"/>
    <w:rsid w:val="00D83BB8"/>
    <w:rsid w:val="00D8424C"/>
    <w:rsid w:val="00D8444E"/>
    <w:rsid w:val="00D8484E"/>
    <w:rsid w:val="00D84A05"/>
    <w:rsid w:val="00D84D39"/>
    <w:rsid w:val="00D8573F"/>
    <w:rsid w:val="00D85C29"/>
    <w:rsid w:val="00D8604B"/>
    <w:rsid w:val="00D86247"/>
    <w:rsid w:val="00D86521"/>
    <w:rsid w:val="00D87034"/>
    <w:rsid w:val="00D870EF"/>
    <w:rsid w:val="00D87196"/>
    <w:rsid w:val="00D87875"/>
    <w:rsid w:val="00D8788D"/>
    <w:rsid w:val="00D87E09"/>
    <w:rsid w:val="00D904EA"/>
    <w:rsid w:val="00D909BF"/>
    <w:rsid w:val="00D909C5"/>
    <w:rsid w:val="00D90B2F"/>
    <w:rsid w:val="00D90E02"/>
    <w:rsid w:val="00D9112F"/>
    <w:rsid w:val="00D913EC"/>
    <w:rsid w:val="00D91651"/>
    <w:rsid w:val="00D9206C"/>
    <w:rsid w:val="00D92617"/>
    <w:rsid w:val="00D92620"/>
    <w:rsid w:val="00D92CFC"/>
    <w:rsid w:val="00D93050"/>
    <w:rsid w:val="00D93209"/>
    <w:rsid w:val="00D93245"/>
    <w:rsid w:val="00D936C1"/>
    <w:rsid w:val="00D93CA9"/>
    <w:rsid w:val="00D93CE3"/>
    <w:rsid w:val="00D93F63"/>
    <w:rsid w:val="00D94025"/>
    <w:rsid w:val="00D9448B"/>
    <w:rsid w:val="00D9465A"/>
    <w:rsid w:val="00D94A18"/>
    <w:rsid w:val="00D94A9F"/>
    <w:rsid w:val="00D94BD6"/>
    <w:rsid w:val="00D94DA6"/>
    <w:rsid w:val="00D952C2"/>
    <w:rsid w:val="00D95390"/>
    <w:rsid w:val="00D956D4"/>
    <w:rsid w:val="00D95791"/>
    <w:rsid w:val="00D959BB"/>
    <w:rsid w:val="00D95C58"/>
    <w:rsid w:val="00D960D7"/>
    <w:rsid w:val="00D96167"/>
    <w:rsid w:val="00D96BE3"/>
    <w:rsid w:val="00D96C2E"/>
    <w:rsid w:val="00D96C94"/>
    <w:rsid w:val="00D96D0D"/>
    <w:rsid w:val="00D972F2"/>
    <w:rsid w:val="00D9743A"/>
    <w:rsid w:val="00D97718"/>
    <w:rsid w:val="00DA0322"/>
    <w:rsid w:val="00DA057E"/>
    <w:rsid w:val="00DA093F"/>
    <w:rsid w:val="00DA0AF0"/>
    <w:rsid w:val="00DA0B98"/>
    <w:rsid w:val="00DA0F46"/>
    <w:rsid w:val="00DA11CD"/>
    <w:rsid w:val="00DA13C3"/>
    <w:rsid w:val="00DA1830"/>
    <w:rsid w:val="00DA2306"/>
    <w:rsid w:val="00DA2642"/>
    <w:rsid w:val="00DA28CE"/>
    <w:rsid w:val="00DA2AAB"/>
    <w:rsid w:val="00DA2D8C"/>
    <w:rsid w:val="00DA3096"/>
    <w:rsid w:val="00DA31EF"/>
    <w:rsid w:val="00DA33DF"/>
    <w:rsid w:val="00DA34EA"/>
    <w:rsid w:val="00DA3588"/>
    <w:rsid w:val="00DA3720"/>
    <w:rsid w:val="00DA3D21"/>
    <w:rsid w:val="00DA4107"/>
    <w:rsid w:val="00DA415D"/>
    <w:rsid w:val="00DA423F"/>
    <w:rsid w:val="00DA477A"/>
    <w:rsid w:val="00DA5675"/>
    <w:rsid w:val="00DA58CE"/>
    <w:rsid w:val="00DA5B49"/>
    <w:rsid w:val="00DA5D44"/>
    <w:rsid w:val="00DA5E7C"/>
    <w:rsid w:val="00DA5F04"/>
    <w:rsid w:val="00DA60DC"/>
    <w:rsid w:val="00DA6553"/>
    <w:rsid w:val="00DA6E7A"/>
    <w:rsid w:val="00DA71BC"/>
    <w:rsid w:val="00DA7B2E"/>
    <w:rsid w:val="00DA7B9B"/>
    <w:rsid w:val="00DA7F94"/>
    <w:rsid w:val="00DB0103"/>
    <w:rsid w:val="00DB01D8"/>
    <w:rsid w:val="00DB06F6"/>
    <w:rsid w:val="00DB07CB"/>
    <w:rsid w:val="00DB0C6C"/>
    <w:rsid w:val="00DB0CAE"/>
    <w:rsid w:val="00DB0E40"/>
    <w:rsid w:val="00DB10CB"/>
    <w:rsid w:val="00DB114C"/>
    <w:rsid w:val="00DB172E"/>
    <w:rsid w:val="00DB1A5E"/>
    <w:rsid w:val="00DB1C34"/>
    <w:rsid w:val="00DB1E0F"/>
    <w:rsid w:val="00DB221C"/>
    <w:rsid w:val="00DB269F"/>
    <w:rsid w:val="00DB27F5"/>
    <w:rsid w:val="00DB2938"/>
    <w:rsid w:val="00DB2D34"/>
    <w:rsid w:val="00DB357B"/>
    <w:rsid w:val="00DB3AB6"/>
    <w:rsid w:val="00DB3B09"/>
    <w:rsid w:val="00DB3D7D"/>
    <w:rsid w:val="00DB3FB2"/>
    <w:rsid w:val="00DB42A1"/>
    <w:rsid w:val="00DB42E5"/>
    <w:rsid w:val="00DB448B"/>
    <w:rsid w:val="00DB4ABE"/>
    <w:rsid w:val="00DB4E23"/>
    <w:rsid w:val="00DB5618"/>
    <w:rsid w:val="00DB571E"/>
    <w:rsid w:val="00DB5835"/>
    <w:rsid w:val="00DB5966"/>
    <w:rsid w:val="00DB5AF3"/>
    <w:rsid w:val="00DB5E6A"/>
    <w:rsid w:val="00DB5EC4"/>
    <w:rsid w:val="00DB613C"/>
    <w:rsid w:val="00DB65C0"/>
    <w:rsid w:val="00DB6729"/>
    <w:rsid w:val="00DB672F"/>
    <w:rsid w:val="00DB67C0"/>
    <w:rsid w:val="00DB6B30"/>
    <w:rsid w:val="00DB6BC8"/>
    <w:rsid w:val="00DB6C5E"/>
    <w:rsid w:val="00DB6ECC"/>
    <w:rsid w:val="00DB6F74"/>
    <w:rsid w:val="00DB707C"/>
    <w:rsid w:val="00DB72FF"/>
    <w:rsid w:val="00DB753D"/>
    <w:rsid w:val="00DB78E4"/>
    <w:rsid w:val="00DB79DB"/>
    <w:rsid w:val="00DB7EFD"/>
    <w:rsid w:val="00DB7F4B"/>
    <w:rsid w:val="00DC0219"/>
    <w:rsid w:val="00DC04E9"/>
    <w:rsid w:val="00DC088E"/>
    <w:rsid w:val="00DC1392"/>
    <w:rsid w:val="00DC159D"/>
    <w:rsid w:val="00DC1BEE"/>
    <w:rsid w:val="00DC1CD2"/>
    <w:rsid w:val="00DC1EB0"/>
    <w:rsid w:val="00DC1EF7"/>
    <w:rsid w:val="00DC2258"/>
    <w:rsid w:val="00DC22AC"/>
    <w:rsid w:val="00DC244A"/>
    <w:rsid w:val="00DC2728"/>
    <w:rsid w:val="00DC2D26"/>
    <w:rsid w:val="00DC2F0F"/>
    <w:rsid w:val="00DC3326"/>
    <w:rsid w:val="00DC34F8"/>
    <w:rsid w:val="00DC3724"/>
    <w:rsid w:val="00DC3B4A"/>
    <w:rsid w:val="00DC45A6"/>
    <w:rsid w:val="00DC46F1"/>
    <w:rsid w:val="00DC4732"/>
    <w:rsid w:val="00DC482A"/>
    <w:rsid w:val="00DC4B01"/>
    <w:rsid w:val="00DC4B09"/>
    <w:rsid w:val="00DC4E35"/>
    <w:rsid w:val="00DC52D6"/>
    <w:rsid w:val="00DC58B0"/>
    <w:rsid w:val="00DC60BA"/>
    <w:rsid w:val="00DC62A2"/>
    <w:rsid w:val="00DC62DE"/>
    <w:rsid w:val="00DC6413"/>
    <w:rsid w:val="00DC65F4"/>
    <w:rsid w:val="00DC69D1"/>
    <w:rsid w:val="00DC6AEF"/>
    <w:rsid w:val="00DC6D0B"/>
    <w:rsid w:val="00DC6D1D"/>
    <w:rsid w:val="00DC6F1C"/>
    <w:rsid w:val="00DC70A0"/>
    <w:rsid w:val="00DC724B"/>
    <w:rsid w:val="00DC76BD"/>
    <w:rsid w:val="00DC7C6B"/>
    <w:rsid w:val="00DC7DC2"/>
    <w:rsid w:val="00DD05B9"/>
    <w:rsid w:val="00DD0A93"/>
    <w:rsid w:val="00DD1089"/>
    <w:rsid w:val="00DD11CE"/>
    <w:rsid w:val="00DD13C4"/>
    <w:rsid w:val="00DD1A6C"/>
    <w:rsid w:val="00DD1D89"/>
    <w:rsid w:val="00DD21A5"/>
    <w:rsid w:val="00DD2754"/>
    <w:rsid w:val="00DD2878"/>
    <w:rsid w:val="00DD2B52"/>
    <w:rsid w:val="00DD2F41"/>
    <w:rsid w:val="00DD32A6"/>
    <w:rsid w:val="00DD36AE"/>
    <w:rsid w:val="00DD387D"/>
    <w:rsid w:val="00DD3D2E"/>
    <w:rsid w:val="00DD4A19"/>
    <w:rsid w:val="00DD4DA2"/>
    <w:rsid w:val="00DD51A7"/>
    <w:rsid w:val="00DD56A4"/>
    <w:rsid w:val="00DD60BD"/>
    <w:rsid w:val="00DD617C"/>
    <w:rsid w:val="00DD73BF"/>
    <w:rsid w:val="00DD7812"/>
    <w:rsid w:val="00DE0083"/>
    <w:rsid w:val="00DE025C"/>
    <w:rsid w:val="00DE077C"/>
    <w:rsid w:val="00DE07D2"/>
    <w:rsid w:val="00DE097E"/>
    <w:rsid w:val="00DE0ED3"/>
    <w:rsid w:val="00DE1508"/>
    <w:rsid w:val="00DE1574"/>
    <w:rsid w:val="00DE19AA"/>
    <w:rsid w:val="00DE1D83"/>
    <w:rsid w:val="00DE23F9"/>
    <w:rsid w:val="00DE2A1B"/>
    <w:rsid w:val="00DE2FAA"/>
    <w:rsid w:val="00DE30A9"/>
    <w:rsid w:val="00DE338C"/>
    <w:rsid w:val="00DE3441"/>
    <w:rsid w:val="00DE34D6"/>
    <w:rsid w:val="00DE3691"/>
    <w:rsid w:val="00DE38D0"/>
    <w:rsid w:val="00DE3D29"/>
    <w:rsid w:val="00DE3F51"/>
    <w:rsid w:val="00DE48F8"/>
    <w:rsid w:val="00DE4970"/>
    <w:rsid w:val="00DE498B"/>
    <w:rsid w:val="00DE49A3"/>
    <w:rsid w:val="00DE4D2B"/>
    <w:rsid w:val="00DE4D2D"/>
    <w:rsid w:val="00DE5229"/>
    <w:rsid w:val="00DE579C"/>
    <w:rsid w:val="00DE57B6"/>
    <w:rsid w:val="00DE5DE6"/>
    <w:rsid w:val="00DE6192"/>
    <w:rsid w:val="00DE7299"/>
    <w:rsid w:val="00DE7387"/>
    <w:rsid w:val="00DE7499"/>
    <w:rsid w:val="00DE7665"/>
    <w:rsid w:val="00DE767B"/>
    <w:rsid w:val="00DE76CF"/>
    <w:rsid w:val="00DE7A5D"/>
    <w:rsid w:val="00DF07AF"/>
    <w:rsid w:val="00DF0808"/>
    <w:rsid w:val="00DF087B"/>
    <w:rsid w:val="00DF0971"/>
    <w:rsid w:val="00DF0D3D"/>
    <w:rsid w:val="00DF1423"/>
    <w:rsid w:val="00DF142C"/>
    <w:rsid w:val="00DF1897"/>
    <w:rsid w:val="00DF1A48"/>
    <w:rsid w:val="00DF1D71"/>
    <w:rsid w:val="00DF1FE9"/>
    <w:rsid w:val="00DF20CB"/>
    <w:rsid w:val="00DF2166"/>
    <w:rsid w:val="00DF23DB"/>
    <w:rsid w:val="00DF258A"/>
    <w:rsid w:val="00DF2641"/>
    <w:rsid w:val="00DF2677"/>
    <w:rsid w:val="00DF2AC9"/>
    <w:rsid w:val="00DF3200"/>
    <w:rsid w:val="00DF33B9"/>
    <w:rsid w:val="00DF3DCF"/>
    <w:rsid w:val="00DF4300"/>
    <w:rsid w:val="00DF489F"/>
    <w:rsid w:val="00DF4A8B"/>
    <w:rsid w:val="00DF5554"/>
    <w:rsid w:val="00DF5B9F"/>
    <w:rsid w:val="00DF5E3B"/>
    <w:rsid w:val="00DF5F1D"/>
    <w:rsid w:val="00DF7242"/>
    <w:rsid w:val="00DF73B9"/>
    <w:rsid w:val="00DF74EA"/>
    <w:rsid w:val="00DF7655"/>
    <w:rsid w:val="00DF7C4F"/>
    <w:rsid w:val="00DF7C83"/>
    <w:rsid w:val="00DF7CA1"/>
    <w:rsid w:val="00DF7E55"/>
    <w:rsid w:val="00E00697"/>
    <w:rsid w:val="00E00AD4"/>
    <w:rsid w:val="00E01237"/>
    <w:rsid w:val="00E0129C"/>
    <w:rsid w:val="00E012C5"/>
    <w:rsid w:val="00E013DB"/>
    <w:rsid w:val="00E01418"/>
    <w:rsid w:val="00E016D7"/>
    <w:rsid w:val="00E02007"/>
    <w:rsid w:val="00E027C4"/>
    <w:rsid w:val="00E0291F"/>
    <w:rsid w:val="00E02A64"/>
    <w:rsid w:val="00E02C9F"/>
    <w:rsid w:val="00E03021"/>
    <w:rsid w:val="00E03668"/>
    <w:rsid w:val="00E037A9"/>
    <w:rsid w:val="00E03D6B"/>
    <w:rsid w:val="00E03F2D"/>
    <w:rsid w:val="00E04D47"/>
    <w:rsid w:val="00E053E2"/>
    <w:rsid w:val="00E0549F"/>
    <w:rsid w:val="00E055A9"/>
    <w:rsid w:val="00E056D7"/>
    <w:rsid w:val="00E056FC"/>
    <w:rsid w:val="00E05865"/>
    <w:rsid w:val="00E0594E"/>
    <w:rsid w:val="00E06628"/>
    <w:rsid w:val="00E06737"/>
    <w:rsid w:val="00E06ACA"/>
    <w:rsid w:val="00E072C5"/>
    <w:rsid w:val="00E07DF2"/>
    <w:rsid w:val="00E10213"/>
    <w:rsid w:val="00E102F6"/>
    <w:rsid w:val="00E10718"/>
    <w:rsid w:val="00E10948"/>
    <w:rsid w:val="00E109C5"/>
    <w:rsid w:val="00E10F94"/>
    <w:rsid w:val="00E11354"/>
    <w:rsid w:val="00E11371"/>
    <w:rsid w:val="00E11497"/>
    <w:rsid w:val="00E119EE"/>
    <w:rsid w:val="00E11FB2"/>
    <w:rsid w:val="00E12043"/>
    <w:rsid w:val="00E128CB"/>
    <w:rsid w:val="00E12EF8"/>
    <w:rsid w:val="00E133EF"/>
    <w:rsid w:val="00E1390F"/>
    <w:rsid w:val="00E14384"/>
    <w:rsid w:val="00E14F04"/>
    <w:rsid w:val="00E155F0"/>
    <w:rsid w:val="00E15839"/>
    <w:rsid w:val="00E15E57"/>
    <w:rsid w:val="00E15FCC"/>
    <w:rsid w:val="00E16547"/>
    <w:rsid w:val="00E167C2"/>
    <w:rsid w:val="00E167C7"/>
    <w:rsid w:val="00E1696D"/>
    <w:rsid w:val="00E174E0"/>
    <w:rsid w:val="00E17DFE"/>
    <w:rsid w:val="00E17EA9"/>
    <w:rsid w:val="00E209CF"/>
    <w:rsid w:val="00E20B01"/>
    <w:rsid w:val="00E20CF2"/>
    <w:rsid w:val="00E20E4C"/>
    <w:rsid w:val="00E20ECC"/>
    <w:rsid w:val="00E20F12"/>
    <w:rsid w:val="00E20F68"/>
    <w:rsid w:val="00E20FA1"/>
    <w:rsid w:val="00E211CC"/>
    <w:rsid w:val="00E213A0"/>
    <w:rsid w:val="00E21573"/>
    <w:rsid w:val="00E21F67"/>
    <w:rsid w:val="00E22880"/>
    <w:rsid w:val="00E229C9"/>
    <w:rsid w:val="00E2314F"/>
    <w:rsid w:val="00E2323B"/>
    <w:rsid w:val="00E2388F"/>
    <w:rsid w:val="00E23F52"/>
    <w:rsid w:val="00E240BC"/>
    <w:rsid w:val="00E24128"/>
    <w:rsid w:val="00E245C5"/>
    <w:rsid w:val="00E246A2"/>
    <w:rsid w:val="00E247D2"/>
    <w:rsid w:val="00E24D74"/>
    <w:rsid w:val="00E250B7"/>
    <w:rsid w:val="00E253AA"/>
    <w:rsid w:val="00E2565C"/>
    <w:rsid w:val="00E259DE"/>
    <w:rsid w:val="00E25B7F"/>
    <w:rsid w:val="00E25C3E"/>
    <w:rsid w:val="00E25E22"/>
    <w:rsid w:val="00E25FF8"/>
    <w:rsid w:val="00E26167"/>
    <w:rsid w:val="00E261FD"/>
    <w:rsid w:val="00E266A9"/>
    <w:rsid w:val="00E267EA"/>
    <w:rsid w:val="00E26878"/>
    <w:rsid w:val="00E26BAA"/>
    <w:rsid w:val="00E270D8"/>
    <w:rsid w:val="00E271AE"/>
    <w:rsid w:val="00E27356"/>
    <w:rsid w:val="00E27807"/>
    <w:rsid w:val="00E27907"/>
    <w:rsid w:val="00E27C7A"/>
    <w:rsid w:val="00E27EED"/>
    <w:rsid w:val="00E30555"/>
    <w:rsid w:val="00E3145F"/>
    <w:rsid w:val="00E31AAB"/>
    <w:rsid w:val="00E32074"/>
    <w:rsid w:val="00E32144"/>
    <w:rsid w:val="00E32659"/>
    <w:rsid w:val="00E32A19"/>
    <w:rsid w:val="00E334B5"/>
    <w:rsid w:val="00E33530"/>
    <w:rsid w:val="00E336F2"/>
    <w:rsid w:val="00E33773"/>
    <w:rsid w:val="00E337DC"/>
    <w:rsid w:val="00E33A40"/>
    <w:rsid w:val="00E33EBF"/>
    <w:rsid w:val="00E34AD1"/>
    <w:rsid w:val="00E34B70"/>
    <w:rsid w:val="00E34CB9"/>
    <w:rsid w:val="00E35687"/>
    <w:rsid w:val="00E3593D"/>
    <w:rsid w:val="00E3654C"/>
    <w:rsid w:val="00E36555"/>
    <w:rsid w:val="00E3663B"/>
    <w:rsid w:val="00E3719C"/>
    <w:rsid w:val="00E375C2"/>
    <w:rsid w:val="00E378A9"/>
    <w:rsid w:val="00E379B9"/>
    <w:rsid w:val="00E37A73"/>
    <w:rsid w:val="00E37D3A"/>
    <w:rsid w:val="00E37E2C"/>
    <w:rsid w:val="00E40C2F"/>
    <w:rsid w:val="00E41D4B"/>
    <w:rsid w:val="00E42530"/>
    <w:rsid w:val="00E4272A"/>
    <w:rsid w:val="00E42953"/>
    <w:rsid w:val="00E43216"/>
    <w:rsid w:val="00E432CD"/>
    <w:rsid w:val="00E4332B"/>
    <w:rsid w:val="00E43882"/>
    <w:rsid w:val="00E439AD"/>
    <w:rsid w:val="00E442BE"/>
    <w:rsid w:val="00E4436A"/>
    <w:rsid w:val="00E443C8"/>
    <w:rsid w:val="00E446CA"/>
    <w:rsid w:val="00E44754"/>
    <w:rsid w:val="00E44803"/>
    <w:rsid w:val="00E44951"/>
    <w:rsid w:val="00E44D37"/>
    <w:rsid w:val="00E44F4F"/>
    <w:rsid w:val="00E4512B"/>
    <w:rsid w:val="00E452B6"/>
    <w:rsid w:val="00E4556B"/>
    <w:rsid w:val="00E45A88"/>
    <w:rsid w:val="00E45E93"/>
    <w:rsid w:val="00E460B6"/>
    <w:rsid w:val="00E463DC"/>
    <w:rsid w:val="00E46934"/>
    <w:rsid w:val="00E46B8A"/>
    <w:rsid w:val="00E4757A"/>
    <w:rsid w:val="00E475B7"/>
    <w:rsid w:val="00E504E9"/>
    <w:rsid w:val="00E5080D"/>
    <w:rsid w:val="00E5089D"/>
    <w:rsid w:val="00E50990"/>
    <w:rsid w:val="00E50BB5"/>
    <w:rsid w:val="00E50C1D"/>
    <w:rsid w:val="00E50C9B"/>
    <w:rsid w:val="00E50CAE"/>
    <w:rsid w:val="00E510FB"/>
    <w:rsid w:val="00E51384"/>
    <w:rsid w:val="00E51A35"/>
    <w:rsid w:val="00E51D0E"/>
    <w:rsid w:val="00E51E86"/>
    <w:rsid w:val="00E52103"/>
    <w:rsid w:val="00E5223A"/>
    <w:rsid w:val="00E52343"/>
    <w:rsid w:val="00E52676"/>
    <w:rsid w:val="00E527D9"/>
    <w:rsid w:val="00E52AB6"/>
    <w:rsid w:val="00E52EF7"/>
    <w:rsid w:val="00E53358"/>
    <w:rsid w:val="00E5345B"/>
    <w:rsid w:val="00E5373D"/>
    <w:rsid w:val="00E53A7C"/>
    <w:rsid w:val="00E541FE"/>
    <w:rsid w:val="00E54360"/>
    <w:rsid w:val="00E54552"/>
    <w:rsid w:val="00E54BBB"/>
    <w:rsid w:val="00E54E2B"/>
    <w:rsid w:val="00E55B0A"/>
    <w:rsid w:val="00E5626C"/>
    <w:rsid w:val="00E562B7"/>
    <w:rsid w:val="00E56C18"/>
    <w:rsid w:val="00E56D1E"/>
    <w:rsid w:val="00E56F27"/>
    <w:rsid w:val="00E57392"/>
    <w:rsid w:val="00E5749A"/>
    <w:rsid w:val="00E577B6"/>
    <w:rsid w:val="00E5789C"/>
    <w:rsid w:val="00E57B6B"/>
    <w:rsid w:val="00E57F3D"/>
    <w:rsid w:val="00E601DD"/>
    <w:rsid w:val="00E606E4"/>
    <w:rsid w:val="00E60860"/>
    <w:rsid w:val="00E60AC4"/>
    <w:rsid w:val="00E60ED2"/>
    <w:rsid w:val="00E6133A"/>
    <w:rsid w:val="00E61491"/>
    <w:rsid w:val="00E618CD"/>
    <w:rsid w:val="00E61D24"/>
    <w:rsid w:val="00E61E30"/>
    <w:rsid w:val="00E620F8"/>
    <w:rsid w:val="00E62331"/>
    <w:rsid w:val="00E62B91"/>
    <w:rsid w:val="00E62C55"/>
    <w:rsid w:val="00E6303A"/>
    <w:rsid w:val="00E632FE"/>
    <w:rsid w:val="00E63443"/>
    <w:rsid w:val="00E63492"/>
    <w:rsid w:val="00E63797"/>
    <w:rsid w:val="00E63ADE"/>
    <w:rsid w:val="00E63ECB"/>
    <w:rsid w:val="00E642D8"/>
    <w:rsid w:val="00E64C2A"/>
    <w:rsid w:val="00E65020"/>
    <w:rsid w:val="00E65720"/>
    <w:rsid w:val="00E65A97"/>
    <w:rsid w:val="00E65F35"/>
    <w:rsid w:val="00E65F45"/>
    <w:rsid w:val="00E664EC"/>
    <w:rsid w:val="00E66600"/>
    <w:rsid w:val="00E66787"/>
    <w:rsid w:val="00E66B64"/>
    <w:rsid w:val="00E66D2D"/>
    <w:rsid w:val="00E66F35"/>
    <w:rsid w:val="00E66F94"/>
    <w:rsid w:val="00E674ED"/>
    <w:rsid w:val="00E67B32"/>
    <w:rsid w:val="00E67EC5"/>
    <w:rsid w:val="00E707F1"/>
    <w:rsid w:val="00E70C38"/>
    <w:rsid w:val="00E71001"/>
    <w:rsid w:val="00E711C0"/>
    <w:rsid w:val="00E71848"/>
    <w:rsid w:val="00E71998"/>
    <w:rsid w:val="00E723B7"/>
    <w:rsid w:val="00E7299E"/>
    <w:rsid w:val="00E72A77"/>
    <w:rsid w:val="00E72AE4"/>
    <w:rsid w:val="00E72C3B"/>
    <w:rsid w:val="00E72DE9"/>
    <w:rsid w:val="00E72DF1"/>
    <w:rsid w:val="00E7308D"/>
    <w:rsid w:val="00E73DF8"/>
    <w:rsid w:val="00E7412C"/>
    <w:rsid w:val="00E74564"/>
    <w:rsid w:val="00E747CD"/>
    <w:rsid w:val="00E74CED"/>
    <w:rsid w:val="00E74FF3"/>
    <w:rsid w:val="00E7501D"/>
    <w:rsid w:val="00E7509B"/>
    <w:rsid w:val="00E7544C"/>
    <w:rsid w:val="00E754E6"/>
    <w:rsid w:val="00E75875"/>
    <w:rsid w:val="00E75A0D"/>
    <w:rsid w:val="00E75B6E"/>
    <w:rsid w:val="00E76779"/>
    <w:rsid w:val="00E76D7E"/>
    <w:rsid w:val="00E76E04"/>
    <w:rsid w:val="00E77040"/>
    <w:rsid w:val="00E7737F"/>
    <w:rsid w:val="00E7740D"/>
    <w:rsid w:val="00E77482"/>
    <w:rsid w:val="00E776F6"/>
    <w:rsid w:val="00E7784E"/>
    <w:rsid w:val="00E77894"/>
    <w:rsid w:val="00E77B4E"/>
    <w:rsid w:val="00E802AF"/>
    <w:rsid w:val="00E80E96"/>
    <w:rsid w:val="00E811DA"/>
    <w:rsid w:val="00E8122C"/>
    <w:rsid w:val="00E81266"/>
    <w:rsid w:val="00E81455"/>
    <w:rsid w:val="00E8160D"/>
    <w:rsid w:val="00E8165A"/>
    <w:rsid w:val="00E816A3"/>
    <w:rsid w:val="00E81953"/>
    <w:rsid w:val="00E82400"/>
    <w:rsid w:val="00E8243C"/>
    <w:rsid w:val="00E824A0"/>
    <w:rsid w:val="00E827EC"/>
    <w:rsid w:val="00E82C3D"/>
    <w:rsid w:val="00E83945"/>
    <w:rsid w:val="00E83C50"/>
    <w:rsid w:val="00E83E66"/>
    <w:rsid w:val="00E84AEC"/>
    <w:rsid w:val="00E84D25"/>
    <w:rsid w:val="00E84F1E"/>
    <w:rsid w:val="00E85509"/>
    <w:rsid w:val="00E8580C"/>
    <w:rsid w:val="00E858D7"/>
    <w:rsid w:val="00E85B69"/>
    <w:rsid w:val="00E86435"/>
    <w:rsid w:val="00E86540"/>
    <w:rsid w:val="00E865E4"/>
    <w:rsid w:val="00E86A0D"/>
    <w:rsid w:val="00E86A98"/>
    <w:rsid w:val="00E86D73"/>
    <w:rsid w:val="00E87131"/>
    <w:rsid w:val="00E9040D"/>
    <w:rsid w:val="00E90701"/>
    <w:rsid w:val="00E9072C"/>
    <w:rsid w:val="00E90871"/>
    <w:rsid w:val="00E90ABF"/>
    <w:rsid w:val="00E90BFE"/>
    <w:rsid w:val="00E9129C"/>
    <w:rsid w:val="00E91A6F"/>
    <w:rsid w:val="00E9268A"/>
    <w:rsid w:val="00E926F7"/>
    <w:rsid w:val="00E9283B"/>
    <w:rsid w:val="00E92980"/>
    <w:rsid w:val="00E92A25"/>
    <w:rsid w:val="00E92C4C"/>
    <w:rsid w:val="00E92D97"/>
    <w:rsid w:val="00E92FC4"/>
    <w:rsid w:val="00E93241"/>
    <w:rsid w:val="00E93438"/>
    <w:rsid w:val="00E9355E"/>
    <w:rsid w:val="00E9420E"/>
    <w:rsid w:val="00E94361"/>
    <w:rsid w:val="00E94505"/>
    <w:rsid w:val="00E9452E"/>
    <w:rsid w:val="00E94BFD"/>
    <w:rsid w:val="00E960F5"/>
    <w:rsid w:val="00E9682A"/>
    <w:rsid w:val="00E968C9"/>
    <w:rsid w:val="00E96A5B"/>
    <w:rsid w:val="00E96B53"/>
    <w:rsid w:val="00E96C5A"/>
    <w:rsid w:val="00E970B3"/>
    <w:rsid w:val="00E971C5"/>
    <w:rsid w:val="00E97A66"/>
    <w:rsid w:val="00E97C5B"/>
    <w:rsid w:val="00EA01BB"/>
    <w:rsid w:val="00EA04E2"/>
    <w:rsid w:val="00EA06A2"/>
    <w:rsid w:val="00EA0C0E"/>
    <w:rsid w:val="00EA160C"/>
    <w:rsid w:val="00EA16EC"/>
    <w:rsid w:val="00EA1BC8"/>
    <w:rsid w:val="00EA1DAD"/>
    <w:rsid w:val="00EA25C9"/>
    <w:rsid w:val="00EA2881"/>
    <w:rsid w:val="00EA2F91"/>
    <w:rsid w:val="00EA30EB"/>
    <w:rsid w:val="00EA3533"/>
    <w:rsid w:val="00EA3698"/>
    <w:rsid w:val="00EA3CDD"/>
    <w:rsid w:val="00EA3E24"/>
    <w:rsid w:val="00EA3EE8"/>
    <w:rsid w:val="00EA4322"/>
    <w:rsid w:val="00EA43EE"/>
    <w:rsid w:val="00EA4408"/>
    <w:rsid w:val="00EA44E6"/>
    <w:rsid w:val="00EA45AD"/>
    <w:rsid w:val="00EA4654"/>
    <w:rsid w:val="00EA4700"/>
    <w:rsid w:val="00EA495E"/>
    <w:rsid w:val="00EA4B3B"/>
    <w:rsid w:val="00EA518F"/>
    <w:rsid w:val="00EA5338"/>
    <w:rsid w:val="00EA5485"/>
    <w:rsid w:val="00EA57C3"/>
    <w:rsid w:val="00EA583F"/>
    <w:rsid w:val="00EA5961"/>
    <w:rsid w:val="00EA597C"/>
    <w:rsid w:val="00EA5A58"/>
    <w:rsid w:val="00EA5AF6"/>
    <w:rsid w:val="00EA67E3"/>
    <w:rsid w:val="00EA6F7B"/>
    <w:rsid w:val="00EA795B"/>
    <w:rsid w:val="00EA7B05"/>
    <w:rsid w:val="00EA7CD0"/>
    <w:rsid w:val="00EA7F2B"/>
    <w:rsid w:val="00EA7FD5"/>
    <w:rsid w:val="00EB0229"/>
    <w:rsid w:val="00EB0459"/>
    <w:rsid w:val="00EB04EF"/>
    <w:rsid w:val="00EB0C85"/>
    <w:rsid w:val="00EB0ED9"/>
    <w:rsid w:val="00EB12EF"/>
    <w:rsid w:val="00EB174F"/>
    <w:rsid w:val="00EB200F"/>
    <w:rsid w:val="00EB2877"/>
    <w:rsid w:val="00EB2955"/>
    <w:rsid w:val="00EB2AB0"/>
    <w:rsid w:val="00EB320B"/>
    <w:rsid w:val="00EB3213"/>
    <w:rsid w:val="00EB3546"/>
    <w:rsid w:val="00EB3BE7"/>
    <w:rsid w:val="00EB411E"/>
    <w:rsid w:val="00EB4267"/>
    <w:rsid w:val="00EB4630"/>
    <w:rsid w:val="00EB463A"/>
    <w:rsid w:val="00EB4680"/>
    <w:rsid w:val="00EB4959"/>
    <w:rsid w:val="00EB566E"/>
    <w:rsid w:val="00EB59E3"/>
    <w:rsid w:val="00EB5AC0"/>
    <w:rsid w:val="00EB5B24"/>
    <w:rsid w:val="00EB5B7C"/>
    <w:rsid w:val="00EB5E86"/>
    <w:rsid w:val="00EB5F62"/>
    <w:rsid w:val="00EB6230"/>
    <w:rsid w:val="00EB67FA"/>
    <w:rsid w:val="00EB694D"/>
    <w:rsid w:val="00EB6C37"/>
    <w:rsid w:val="00EB6D58"/>
    <w:rsid w:val="00EB6F96"/>
    <w:rsid w:val="00EB7692"/>
    <w:rsid w:val="00EB77D7"/>
    <w:rsid w:val="00EB7A4A"/>
    <w:rsid w:val="00EB7BD3"/>
    <w:rsid w:val="00EB7C6F"/>
    <w:rsid w:val="00EB7D94"/>
    <w:rsid w:val="00EB7F29"/>
    <w:rsid w:val="00EB7F9B"/>
    <w:rsid w:val="00EC00DF"/>
    <w:rsid w:val="00EC057A"/>
    <w:rsid w:val="00EC08AB"/>
    <w:rsid w:val="00EC0A06"/>
    <w:rsid w:val="00EC0A62"/>
    <w:rsid w:val="00EC0AE2"/>
    <w:rsid w:val="00EC10B2"/>
    <w:rsid w:val="00EC117F"/>
    <w:rsid w:val="00EC12F8"/>
    <w:rsid w:val="00EC186C"/>
    <w:rsid w:val="00EC195E"/>
    <w:rsid w:val="00EC214B"/>
    <w:rsid w:val="00EC2299"/>
    <w:rsid w:val="00EC2820"/>
    <w:rsid w:val="00EC2840"/>
    <w:rsid w:val="00EC2DEA"/>
    <w:rsid w:val="00EC2F1F"/>
    <w:rsid w:val="00EC3040"/>
    <w:rsid w:val="00EC31D5"/>
    <w:rsid w:val="00EC3A59"/>
    <w:rsid w:val="00EC3B96"/>
    <w:rsid w:val="00EC3DBB"/>
    <w:rsid w:val="00EC3E00"/>
    <w:rsid w:val="00EC411D"/>
    <w:rsid w:val="00EC42B9"/>
    <w:rsid w:val="00EC44B1"/>
    <w:rsid w:val="00EC47F3"/>
    <w:rsid w:val="00EC4C2A"/>
    <w:rsid w:val="00EC4F7B"/>
    <w:rsid w:val="00EC57F6"/>
    <w:rsid w:val="00EC5928"/>
    <w:rsid w:val="00EC5A72"/>
    <w:rsid w:val="00EC5F8D"/>
    <w:rsid w:val="00EC6346"/>
    <w:rsid w:val="00EC6377"/>
    <w:rsid w:val="00EC6490"/>
    <w:rsid w:val="00EC68D1"/>
    <w:rsid w:val="00EC6D34"/>
    <w:rsid w:val="00EC70A4"/>
    <w:rsid w:val="00EC7156"/>
    <w:rsid w:val="00EC75AC"/>
    <w:rsid w:val="00EC7A30"/>
    <w:rsid w:val="00ED0056"/>
    <w:rsid w:val="00ED0D26"/>
    <w:rsid w:val="00ED137D"/>
    <w:rsid w:val="00ED1496"/>
    <w:rsid w:val="00ED178E"/>
    <w:rsid w:val="00ED1AA3"/>
    <w:rsid w:val="00ED2289"/>
    <w:rsid w:val="00ED2890"/>
    <w:rsid w:val="00ED2A8A"/>
    <w:rsid w:val="00ED3BD6"/>
    <w:rsid w:val="00ED3C45"/>
    <w:rsid w:val="00ED44B9"/>
    <w:rsid w:val="00ED45A6"/>
    <w:rsid w:val="00ED49D6"/>
    <w:rsid w:val="00ED4F18"/>
    <w:rsid w:val="00ED51AA"/>
    <w:rsid w:val="00ED53F1"/>
    <w:rsid w:val="00ED53FF"/>
    <w:rsid w:val="00ED5636"/>
    <w:rsid w:val="00ED5C9F"/>
    <w:rsid w:val="00ED5E34"/>
    <w:rsid w:val="00ED64E1"/>
    <w:rsid w:val="00ED6976"/>
    <w:rsid w:val="00ED73DB"/>
    <w:rsid w:val="00ED766F"/>
    <w:rsid w:val="00ED785D"/>
    <w:rsid w:val="00ED7B5F"/>
    <w:rsid w:val="00ED7E3F"/>
    <w:rsid w:val="00EE02ED"/>
    <w:rsid w:val="00EE02FD"/>
    <w:rsid w:val="00EE059A"/>
    <w:rsid w:val="00EE0E0F"/>
    <w:rsid w:val="00EE12A2"/>
    <w:rsid w:val="00EE16DC"/>
    <w:rsid w:val="00EE1AD2"/>
    <w:rsid w:val="00EE1EEC"/>
    <w:rsid w:val="00EE1FE0"/>
    <w:rsid w:val="00EE26CD"/>
    <w:rsid w:val="00EE27A0"/>
    <w:rsid w:val="00EE2A9F"/>
    <w:rsid w:val="00EE2F18"/>
    <w:rsid w:val="00EE31A7"/>
    <w:rsid w:val="00EE327B"/>
    <w:rsid w:val="00EE3406"/>
    <w:rsid w:val="00EE34C0"/>
    <w:rsid w:val="00EE3C10"/>
    <w:rsid w:val="00EE3E28"/>
    <w:rsid w:val="00EE3F04"/>
    <w:rsid w:val="00EE41F8"/>
    <w:rsid w:val="00EE4283"/>
    <w:rsid w:val="00EE4799"/>
    <w:rsid w:val="00EE48D8"/>
    <w:rsid w:val="00EE490B"/>
    <w:rsid w:val="00EE539F"/>
    <w:rsid w:val="00EE56C6"/>
    <w:rsid w:val="00EE5A0A"/>
    <w:rsid w:val="00EE5B7C"/>
    <w:rsid w:val="00EE683D"/>
    <w:rsid w:val="00EE74AD"/>
    <w:rsid w:val="00EE74ED"/>
    <w:rsid w:val="00EE751C"/>
    <w:rsid w:val="00EE75A7"/>
    <w:rsid w:val="00EE7879"/>
    <w:rsid w:val="00EE7934"/>
    <w:rsid w:val="00EE7BA1"/>
    <w:rsid w:val="00EF095D"/>
    <w:rsid w:val="00EF0B1C"/>
    <w:rsid w:val="00EF0D3D"/>
    <w:rsid w:val="00EF0E8A"/>
    <w:rsid w:val="00EF12B2"/>
    <w:rsid w:val="00EF151F"/>
    <w:rsid w:val="00EF17E8"/>
    <w:rsid w:val="00EF203A"/>
    <w:rsid w:val="00EF24C1"/>
    <w:rsid w:val="00EF2726"/>
    <w:rsid w:val="00EF2750"/>
    <w:rsid w:val="00EF282D"/>
    <w:rsid w:val="00EF2C61"/>
    <w:rsid w:val="00EF2D0E"/>
    <w:rsid w:val="00EF3617"/>
    <w:rsid w:val="00EF398A"/>
    <w:rsid w:val="00EF3A12"/>
    <w:rsid w:val="00EF3D1A"/>
    <w:rsid w:val="00EF4216"/>
    <w:rsid w:val="00EF458F"/>
    <w:rsid w:val="00EF45D1"/>
    <w:rsid w:val="00EF4813"/>
    <w:rsid w:val="00EF5062"/>
    <w:rsid w:val="00EF58BE"/>
    <w:rsid w:val="00EF59AD"/>
    <w:rsid w:val="00EF5F55"/>
    <w:rsid w:val="00EF60AC"/>
    <w:rsid w:val="00EF65B7"/>
    <w:rsid w:val="00EF6D10"/>
    <w:rsid w:val="00EF702B"/>
    <w:rsid w:val="00EF7149"/>
    <w:rsid w:val="00EF737F"/>
    <w:rsid w:val="00F00C25"/>
    <w:rsid w:val="00F00C62"/>
    <w:rsid w:val="00F00F6C"/>
    <w:rsid w:val="00F01B0F"/>
    <w:rsid w:val="00F01D9A"/>
    <w:rsid w:val="00F01E74"/>
    <w:rsid w:val="00F01EC8"/>
    <w:rsid w:val="00F02473"/>
    <w:rsid w:val="00F025BF"/>
    <w:rsid w:val="00F025DB"/>
    <w:rsid w:val="00F0260B"/>
    <w:rsid w:val="00F02688"/>
    <w:rsid w:val="00F02835"/>
    <w:rsid w:val="00F02C6D"/>
    <w:rsid w:val="00F02F8A"/>
    <w:rsid w:val="00F034A2"/>
    <w:rsid w:val="00F03570"/>
    <w:rsid w:val="00F03649"/>
    <w:rsid w:val="00F0374C"/>
    <w:rsid w:val="00F03762"/>
    <w:rsid w:val="00F03966"/>
    <w:rsid w:val="00F03CE2"/>
    <w:rsid w:val="00F03FDE"/>
    <w:rsid w:val="00F04019"/>
    <w:rsid w:val="00F040A0"/>
    <w:rsid w:val="00F04472"/>
    <w:rsid w:val="00F0456B"/>
    <w:rsid w:val="00F045A0"/>
    <w:rsid w:val="00F045CA"/>
    <w:rsid w:val="00F04F5D"/>
    <w:rsid w:val="00F050BD"/>
    <w:rsid w:val="00F05157"/>
    <w:rsid w:val="00F05168"/>
    <w:rsid w:val="00F057B9"/>
    <w:rsid w:val="00F05AC6"/>
    <w:rsid w:val="00F05BBF"/>
    <w:rsid w:val="00F062C7"/>
    <w:rsid w:val="00F06330"/>
    <w:rsid w:val="00F068FC"/>
    <w:rsid w:val="00F06A79"/>
    <w:rsid w:val="00F06A98"/>
    <w:rsid w:val="00F06C84"/>
    <w:rsid w:val="00F06E11"/>
    <w:rsid w:val="00F070CC"/>
    <w:rsid w:val="00F07241"/>
    <w:rsid w:val="00F073FF"/>
    <w:rsid w:val="00F07616"/>
    <w:rsid w:val="00F079E9"/>
    <w:rsid w:val="00F1027D"/>
    <w:rsid w:val="00F1156A"/>
    <w:rsid w:val="00F11D5A"/>
    <w:rsid w:val="00F11E67"/>
    <w:rsid w:val="00F11F33"/>
    <w:rsid w:val="00F121FE"/>
    <w:rsid w:val="00F12519"/>
    <w:rsid w:val="00F12881"/>
    <w:rsid w:val="00F12CE1"/>
    <w:rsid w:val="00F135A2"/>
    <w:rsid w:val="00F136AC"/>
    <w:rsid w:val="00F13747"/>
    <w:rsid w:val="00F1425C"/>
    <w:rsid w:val="00F1436F"/>
    <w:rsid w:val="00F14435"/>
    <w:rsid w:val="00F14896"/>
    <w:rsid w:val="00F14973"/>
    <w:rsid w:val="00F14ABF"/>
    <w:rsid w:val="00F14EDE"/>
    <w:rsid w:val="00F15272"/>
    <w:rsid w:val="00F1532D"/>
    <w:rsid w:val="00F1545A"/>
    <w:rsid w:val="00F15630"/>
    <w:rsid w:val="00F15645"/>
    <w:rsid w:val="00F15851"/>
    <w:rsid w:val="00F158AC"/>
    <w:rsid w:val="00F1647C"/>
    <w:rsid w:val="00F16D7B"/>
    <w:rsid w:val="00F17135"/>
    <w:rsid w:val="00F176F4"/>
    <w:rsid w:val="00F17BF1"/>
    <w:rsid w:val="00F17E01"/>
    <w:rsid w:val="00F201C8"/>
    <w:rsid w:val="00F201D4"/>
    <w:rsid w:val="00F205C6"/>
    <w:rsid w:val="00F20E12"/>
    <w:rsid w:val="00F21329"/>
    <w:rsid w:val="00F21395"/>
    <w:rsid w:val="00F21D07"/>
    <w:rsid w:val="00F222D6"/>
    <w:rsid w:val="00F225FC"/>
    <w:rsid w:val="00F22A4A"/>
    <w:rsid w:val="00F230ED"/>
    <w:rsid w:val="00F23391"/>
    <w:rsid w:val="00F233FB"/>
    <w:rsid w:val="00F23CD8"/>
    <w:rsid w:val="00F241FE"/>
    <w:rsid w:val="00F24764"/>
    <w:rsid w:val="00F24A12"/>
    <w:rsid w:val="00F24E0A"/>
    <w:rsid w:val="00F2523A"/>
    <w:rsid w:val="00F2559C"/>
    <w:rsid w:val="00F2572A"/>
    <w:rsid w:val="00F259A2"/>
    <w:rsid w:val="00F25E23"/>
    <w:rsid w:val="00F26036"/>
    <w:rsid w:val="00F26162"/>
    <w:rsid w:val="00F263EE"/>
    <w:rsid w:val="00F266A4"/>
    <w:rsid w:val="00F2694B"/>
    <w:rsid w:val="00F269E0"/>
    <w:rsid w:val="00F26ECE"/>
    <w:rsid w:val="00F271F3"/>
    <w:rsid w:val="00F27D69"/>
    <w:rsid w:val="00F27E47"/>
    <w:rsid w:val="00F27E92"/>
    <w:rsid w:val="00F30109"/>
    <w:rsid w:val="00F3016A"/>
    <w:rsid w:val="00F30EF0"/>
    <w:rsid w:val="00F31527"/>
    <w:rsid w:val="00F31965"/>
    <w:rsid w:val="00F31C46"/>
    <w:rsid w:val="00F31E58"/>
    <w:rsid w:val="00F32101"/>
    <w:rsid w:val="00F32B9A"/>
    <w:rsid w:val="00F3384B"/>
    <w:rsid w:val="00F33B0E"/>
    <w:rsid w:val="00F3403A"/>
    <w:rsid w:val="00F3498D"/>
    <w:rsid w:val="00F35082"/>
    <w:rsid w:val="00F353BB"/>
    <w:rsid w:val="00F35619"/>
    <w:rsid w:val="00F35828"/>
    <w:rsid w:val="00F35ADA"/>
    <w:rsid w:val="00F3695A"/>
    <w:rsid w:val="00F36ED9"/>
    <w:rsid w:val="00F36EE1"/>
    <w:rsid w:val="00F372A4"/>
    <w:rsid w:val="00F374F4"/>
    <w:rsid w:val="00F375F8"/>
    <w:rsid w:val="00F40244"/>
    <w:rsid w:val="00F40268"/>
    <w:rsid w:val="00F40796"/>
    <w:rsid w:val="00F40964"/>
    <w:rsid w:val="00F40EF9"/>
    <w:rsid w:val="00F40F40"/>
    <w:rsid w:val="00F40FCE"/>
    <w:rsid w:val="00F415A5"/>
    <w:rsid w:val="00F41C85"/>
    <w:rsid w:val="00F41ECA"/>
    <w:rsid w:val="00F421F5"/>
    <w:rsid w:val="00F42608"/>
    <w:rsid w:val="00F42AED"/>
    <w:rsid w:val="00F4369F"/>
    <w:rsid w:val="00F436C4"/>
    <w:rsid w:val="00F436D2"/>
    <w:rsid w:val="00F436F8"/>
    <w:rsid w:val="00F439DA"/>
    <w:rsid w:val="00F43D7C"/>
    <w:rsid w:val="00F43DC2"/>
    <w:rsid w:val="00F4412B"/>
    <w:rsid w:val="00F441F8"/>
    <w:rsid w:val="00F44358"/>
    <w:rsid w:val="00F44476"/>
    <w:rsid w:val="00F4461C"/>
    <w:rsid w:val="00F44649"/>
    <w:rsid w:val="00F44993"/>
    <w:rsid w:val="00F44EFB"/>
    <w:rsid w:val="00F45583"/>
    <w:rsid w:val="00F458FD"/>
    <w:rsid w:val="00F46B8E"/>
    <w:rsid w:val="00F46E69"/>
    <w:rsid w:val="00F4759A"/>
    <w:rsid w:val="00F479CF"/>
    <w:rsid w:val="00F50D3A"/>
    <w:rsid w:val="00F50F38"/>
    <w:rsid w:val="00F5146E"/>
    <w:rsid w:val="00F517ED"/>
    <w:rsid w:val="00F5195A"/>
    <w:rsid w:val="00F520AA"/>
    <w:rsid w:val="00F52781"/>
    <w:rsid w:val="00F5279D"/>
    <w:rsid w:val="00F52BD3"/>
    <w:rsid w:val="00F52E01"/>
    <w:rsid w:val="00F530E9"/>
    <w:rsid w:val="00F536CC"/>
    <w:rsid w:val="00F53772"/>
    <w:rsid w:val="00F537B6"/>
    <w:rsid w:val="00F53994"/>
    <w:rsid w:val="00F53F5A"/>
    <w:rsid w:val="00F54054"/>
    <w:rsid w:val="00F5499C"/>
    <w:rsid w:val="00F54ADE"/>
    <w:rsid w:val="00F55359"/>
    <w:rsid w:val="00F5559A"/>
    <w:rsid w:val="00F561A1"/>
    <w:rsid w:val="00F56661"/>
    <w:rsid w:val="00F56851"/>
    <w:rsid w:val="00F56ACD"/>
    <w:rsid w:val="00F56FE0"/>
    <w:rsid w:val="00F57123"/>
    <w:rsid w:val="00F5715C"/>
    <w:rsid w:val="00F57872"/>
    <w:rsid w:val="00F57DCD"/>
    <w:rsid w:val="00F60328"/>
    <w:rsid w:val="00F604AF"/>
    <w:rsid w:val="00F60913"/>
    <w:rsid w:val="00F60B77"/>
    <w:rsid w:val="00F60CF5"/>
    <w:rsid w:val="00F613DB"/>
    <w:rsid w:val="00F618E2"/>
    <w:rsid w:val="00F62427"/>
    <w:rsid w:val="00F62491"/>
    <w:rsid w:val="00F624A9"/>
    <w:rsid w:val="00F62597"/>
    <w:rsid w:val="00F62CE8"/>
    <w:rsid w:val="00F630C4"/>
    <w:rsid w:val="00F6318C"/>
    <w:rsid w:val="00F631D5"/>
    <w:rsid w:val="00F63A4C"/>
    <w:rsid w:val="00F63CB7"/>
    <w:rsid w:val="00F645A9"/>
    <w:rsid w:val="00F64842"/>
    <w:rsid w:val="00F65032"/>
    <w:rsid w:val="00F65706"/>
    <w:rsid w:val="00F6584D"/>
    <w:rsid w:val="00F65FE4"/>
    <w:rsid w:val="00F6610F"/>
    <w:rsid w:val="00F6612B"/>
    <w:rsid w:val="00F662AF"/>
    <w:rsid w:val="00F66889"/>
    <w:rsid w:val="00F66A28"/>
    <w:rsid w:val="00F66BAA"/>
    <w:rsid w:val="00F66BD7"/>
    <w:rsid w:val="00F6718E"/>
    <w:rsid w:val="00F6734A"/>
    <w:rsid w:val="00F6772C"/>
    <w:rsid w:val="00F679B3"/>
    <w:rsid w:val="00F67C50"/>
    <w:rsid w:val="00F67F38"/>
    <w:rsid w:val="00F70003"/>
    <w:rsid w:val="00F70631"/>
    <w:rsid w:val="00F70A15"/>
    <w:rsid w:val="00F70E03"/>
    <w:rsid w:val="00F7132F"/>
    <w:rsid w:val="00F716EA"/>
    <w:rsid w:val="00F71725"/>
    <w:rsid w:val="00F717B3"/>
    <w:rsid w:val="00F71974"/>
    <w:rsid w:val="00F719B5"/>
    <w:rsid w:val="00F719E1"/>
    <w:rsid w:val="00F71A6C"/>
    <w:rsid w:val="00F71C02"/>
    <w:rsid w:val="00F71CEE"/>
    <w:rsid w:val="00F72436"/>
    <w:rsid w:val="00F726A3"/>
    <w:rsid w:val="00F72AA5"/>
    <w:rsid w:val="00F72EAA"/>
    <w:rsid w:val="00F73412"/>
    <w:rsid w:val="00F73497"/>
    <w:rsid w:val="00F73949"/>
    <w:rsid w:val="00F73D06"/>
    <w:rsid w:val="00F740CE"/>
    <w:rsid w:val="00F74326"/>
    <w:rsid w:val="00F74781"/>
    <w:rsid w:val="00F74821"/>
    <w:rsid w:val="00F752F0"/>
    <w:rsid w:val="00F7576E"/>
    <w:rsid w:val="00F757F3"/>
    <w:rsid w:val="00F75FBD"/>
    <w:rsid w:val="00F7640D"/>
    <w:rsid w:val="00F76923"/>
    <w:rsid w:val="00F76BE4"/>
    <w:rsid w:val="00F7742C"/>
    <w:rsid w:val="00F77762"/>
    <w:rsid w:val="00F77B3C"/>
    <w:rsid w:val="00F77C92"/>
    <w:rsid w:val="00F800A1"/>
    <w:rsid w:val="00F8030A"/>
    <w:rsid w:val="00F80516"/>
    <w:rsid w:val="00F805AF"/>
    <w:rsid w:val="00F80656"/>
    <w:rsid w:val="00F8071C"/>
    <w:rsid w:val="00F80F12"/>
    <w:rsid w:val="00F80F13"/>
    <w:rsid w:val="00F81315"/>
    <w:rsid w:val="00F818FD"/>
    <w:rsid w:val="00F81A15"/>
    <w:rsid w:val="00F81C2B"/>
    <w:rsid w:val="00F82580"/>
    <w:rsid w:val="00F82ABA"/>
    <w:rsid w:val="00F833E5"/>
    <w:rsid w:val="00F83572"/>
    <w:rsid w:val="00F83790"/>
    <w:rsid w:val="00F83806"/>
    <w:rsid w:val="00F838B8"/>
    <w:rsid w:val="00F839D2"/>
    <w:rsid w:val="00F84016"/>
    <w:rsid w:val="00F84570"/>
    <w:rsid w:val="00F84735"/>
    <w:rsid w:val="00F84B2C"/>
    <w:rsid w:val="00F84C44"/>
    <w:rsid w:val="00F84C78"/>
    <w:rsid w:val="00F84F74"/>
    <w:rsid w:val="00F85046"/>
    <w:rsid w:val="00F857E5"/>
    <w:rsid w:val="00F86078"/>
    <w:rsid w:val="00F86231"/>
    <w:rsid w:val="00F863DB"/>
    <w:rsid w:val="00F86595"/>
    <w:rsid w:val="00F86979"/>
    <w:rsid w:val="00F86BB1"/>
    <w:rsid w:val="00F8708F"/>
    <w:rsid w:val="00F87294"/>
    <w:rsid w:val="00F875BC"/>
    <w:rsid w:val="00F87742"/>
    <w:rsid w:val="00F877D1"/>
    <w:rsid w:val="00F87FCE"/>
    <w:rsid w:val="00F90582"/>
    <w:rsid w:val="00F906B1"/>
    <w:rsid w:val="00F90C8C"/>
    <w:rsid w:val="00F90F15"/>
    <w:rsid w:val="00F91121"/>
    <w:rsid w:val="00F91A6F"/>
    <w:rsid w:val="00F91A78"/>
    <w:rsid w:val="00F91B9A"/>
    <w:rsid w:val="00F91C79"/>
    <w:rsid w:val="00F92573"/>
    <w:rsid w:val="00F92866"/>
    <w:rsid w:val="00F92914"/>
    <w:rsid w:val="00F92B1A"/>
    <w:rsid w:val="00F92C74"/>
    <w:rsid w:val="00F932A2"/>
    <w:rsid w:val="00F937DC"/>
    <w:rsid w:val="00F93DA1"/>
    <w:rsid w:val="00F93DD3"/>
    <w:rsid w:val="00F94285"/>
    <w:rsid w:val="00F94677"/>
    <w:rsid w:val="00F949BD"/>
    <w:rsid w:val="00F949E4"/>
    <w:rsid w:val="00F94EB4"/>
    <w:rsid w:val="00F9558B"/>
    <w:rsid w:val="00F95647"/>
    <w:rsid w:val="00F95DB7"/>
    <w:rsid w:val="00F964AF"/>
    <w:rsid w:val="00F96514"/>
    <w:rsid w:val="00F9675A"/>
    <w:rsid w:val="00F968D4"/>
    <w:rsid w:val="00F96ABE"/>
    <w:rsid w:val="00F96FC6"/>
    <w:rsid w:val="00F97663"/>
    <w:rsid w:val="00F97978"/>
    <w:rsid w:val="00F97D6C"/>
    <w:rsid w:val="00F97FFD"/>
    <w:rsid w:val="00FA008A"/>
    <w:rsid w:val="00FA0A28"/>
    <w:rsid w:val="00FA0B81"/>
    <w:rsid w:val="00FA186E"/>
    <w:rsid w:val="00FA2156"/>
    <w:rsid w:val="00FA2257"/>
    <w:rsid w:val="00FA24B6"/>
    <w:rsid w:val="00FA2A06"/>
    <w:rsid w:val="00FA2A1D"/>
    <w:rsid w:val="00FA2AF7"/>
    <w:rsid w:val="00FA31B8"/>
    <w:rsid w:val="00FA3457"/>
    <w:rsid w:val="00FA3730"/>
    <w:rsid w:val="00FA426B"/>
    <w:rsid w:val="00FA46BF"/>
    <w:rsid w:val="00FA4941"/>
    <w:rsid w:val="00FA5015"/>
    <w:rsid w:val="00FA559A"/>
    <w:rsid w:val="00FA582F"/>
    <w:rsid w:val="00FA58D6"/>
    <w:rsid w:val="00FA59B4"/>
    <w:rsid w:val="00FA5A23"/>
    <w:rsid w:val="00FA5ACA"/>
    <w:rsid w:val="00FA690A"/>
    <w:rsid w:val="00FA6EBD"/>
    <w:rsid w:val="00FA730B"/>
    <w:rsid w:val="00FA7385"/>
    <w:rsid w:val="00FA73B3"/>
    <w:rsid w:val="00FA7468"/>
    <w:rsid w:val="00FA7AE2"/>
    <w:rsid w:val="00FB01A2"/>
    <w:rsid w:val="00FB03F5"/>
    <w:rsid w:val="00FB09E3"/>
    <w:rsid w:val="00FB1B17"/>
    <w:rsid w:val="00FB1D79"/>
    <w:rsid w:val="00FB1E5F"/>
    <w:rsid w:val="00FB210F"/>
    <w:rsid w:val="00FB262C"/>
    <w:rsid w:val="00FB3087"/>
    <w:rsid w:val="00FB3155"/>
    <w:rsid w:val="00FB334D"/>
    <w:rsid w:val="00FB3FD6"/>
    <w:rsid w:val="00FB45D6"/>
    <w:rsid w:val="00FB472C"/>
    <w:rsid w:val="00FB4A49"/>
    <w:rsid w:val="00FB4D66"/>
    <w:rsid w:val="00FB4E87"/>
    <w:rsid w:val="00FB4FF5"/>
    <w:rsid w:val="00FB51C5"/>
    <w:rsid w:val="00FB52F3"/>
    <w:rsid w:val="00FB5EA1"/>
    <w:rsid w:val="00FB610B"/>
    <w:rsid w:val="00FB65EA"/>
    <w:rsid w:val="00FB67BD"/>
    <w:rsid w:val="00FB6F01"/>
    <w:rsid w:val="00FB754E"/>
    <w:rsid w:val="00FB7BD7"/>
    <w:rsid w:val="00FC002D"/>
    <w:rsid w:val="00FC004C"/>
    <w:rsid w:val="00FC016D"/>
    <w:rsid w:val="00FC04F9"/>
    <w:rsid w:val="00FC083E"/>
    <w:rsid w:val="00FC0891"/>
    <w:rsid w:val="00FC0C4E"/>
    <w:rsid w:val="00FC10A1"/>
    <w:rsid w:val="00FC1342"/>
    <w:rsid w:val="00FC1512"/>
    <w:rsid w:val="00FC15B8"/>
    <w:rsid w:val="00FC16B6"/>
    <w:rsid w:val="00FC1C94"/>
    <w:rsid w:val="00FC1E70"/>
    <w:rsid w:val="00FC1ECC"/>
    <w:rsid w:val="00FC20D8"/>
    <w:rsid w:val="00FC2560"/>
    <w:rsid w:val="00FC27F1"/>
    <w:rsid w:val="00FC2AEB"/>
    <w:rsid w:val="00FC2B31"/>
    <w:rsid w:val="00FC2D77"/>
    <w:rsid w:val="00FC2E22"/>
    <w:rsid w:val="00FC2E2F"/>
    <w:rsid w:val="00FC2E85"/>
    <w:rsid w:val="00FC2FCB"/>
    <w:rsid w:val="00FC3128"/>
    <w:rsid w:val="00FC3AB4"/>
    <w:rsid w:val="00FC3EB6"/>
    <w:rsid w:val="00FC44B4"/>
    <w:rsid w:val="00FC4950"/>
    <w:rsid w:val="00FC5A31"/>
    <w:rsid w:val="00FC6970"/>
    <w:rsid w:val="00FC6F72"/>
    <w:rsid w:val="00FC6FCF"/>
    <w:rsid w:val="00FC7251"/>
    <w:rsid w:val="00FC7311"/>
    <w:rsid w:val="00FC7478"/>
    <w:rsid w:val="00FD03A9"/>
    <w:rsid w:val="00FD0713"/>
    <w:rsid w:val="00FD0838"/>
    <w:rsid w:val="00FD0DB1"/>
    <w:rsid w:val="00FD1263"/>
    <w:rsid w:val="00FD128B"/>
    <w:rsid w:val="00FD1645"/>
    <w:rsid w:val="00FD1AC8"/>
    <w:rsid w:val="00FD1E34"/>
    <w:rsid w:val="00FD1E46"/>
    <w:rsid w:val="00FD23EC"/>
    <w:rsid w:val="00FD2B17"/>
    <w:rsid w:val="00FD2F62"/>
    <w:rsid w:val="00FD2F9D"/>
    <w:rsid w:val="00FD2FC7"/>
    <w:rsid w:val="00FD305D"/>
    <w:rsid w:val="00FD3366"/>
    <w:rsid w:val="00FD39B9"/>
    <w:rsid w:val="00FD3B0E"/>
    <w:rsid w:val="00FD3D5F"/>
    <w:rsid w:val="00FD3F25"/>
    <w:rsid w:val="00FD3F31"/>
    <w:rsid w:val="00FD444D"/>
    <w:rsid w:val="00FD44BF"/>
    <w:rsid w:val="00FD45F0"/>
    <w:rsid w:val="00FD4FBC"/>
    <w:rsid w:val="00FD516E"/>
    <w:rsid w:val="00FD5AB3"/>
    <w:rsid w:val="00FD5AC0"/>
    <w:rsid w:val="00FD5B34"/>
    <w:rsid w:val="00FD608B"/>
    <w:rsid w:val="00FD635E"/>
    <w:rsid w:val="00FD6388"/>
    <w:rsid w:val="00FD7138"/>
    <w:rsid w:val="00FD72B3"/>
    <w:rsid w:val="00FD76E5"/>
    <w:rsid w:val="00FD77D8"/>
    <w:rsid w:val="00FD78DF"/>
    <w:rsid w:val="00FD791D"/>
    <w:rsid w:val="00FD7B02"/>
    <w:rsid w:val="00FE0165"/>
    <w:rsid w:val="00FE043B"/>
    <w:rsid w:val="00FE07EE"/>
    <w:rsid w:val="00FE08C5"/>
    <w:rsid w:val="00FE0B4F"/>
    <w:rsid w:val="00FE0B79"/>
    <w:rsid w:val="00FE0C3A"/>
    <w:rsid w:val="00FE10E9"/>
    <w:rsid w:val="00FE1277"/>
    <w:rsid w:val="00FE14BE"/>
    <w:rsid w:val="00FE14F9"/>
    <w:rsid w:val="00FE1E25"/>
    <w:rsid w:val="00FE1EBD"/>
    <w:rsid w:val="00FE1F0A"/>
    <w:rsid w:val="00FE26D8"/>
    <w:rsid w:val="00FE2E59"/>
    <w:rsid w:val="00FE2E71"/>
    <w:rsid w:val="00FE3A79"/>
    <w:rsid w:val="00FE4AF1"/>
    <w:rsid w:val="00FE4B04"/>
    <w:rsid w:val="00FE5022"/>
    <w:rsid w:val="00FE5403"/>
    <w:rsid w:val="00FE542F"/>
    <w:rsid w:val="00FE5452"/>
    <w:rsid w:val="00FE547F"/>
    <w:rsid w:val="00FE5529"/>
    <w:rsid w:val="00FE5939"/>
    <w:rsid w:val="00FE5F92"/>
    <w:rsid w:val="00FE5F9B"/>
    <w:rsid w:val="00FE6080"/>
    <w:rsid w:val="00FE6EF7"/>
    <w:rsid w:val="00FE72A1"/>
    <w:rsid w:val="00FE73E1"/>
    <w:rsid w:val="00FE74EA"/>
    <w:rsid w:val="00FE7B00"/>
    <w:rsid w:val="00FE7E2B"/>
    <w:rsid w:val="00FE7E3E"/>
    <w:rsid w:val="00FF0240"/>
    <w:rsid w:val="00FF06A1"/>
    <w:rsid w:val="00FF0766"/>
    <w:rsid w:val="00FF0DAD"/>
    <w:rsid w:val="00FF17B4"/>
    <w:rsid w:val="00FF1C20"/>
    <w:rsid w:val="00FF22FB"/>
    <w:rsid w:val="00FF23D5"/>
    <w:rsid w:val="00FF242C"/>
    <w:rsid w:val="00FF2BF3"/>
    <w:rsid w:val="00FF34E5"/>
    <w:rsid w:val="00FF3C33"/>
    <w:rsid w:val="00FF444D"/>
    <w:rsid w:val="00FF45E9"/>
    <w:rsid w:val="00FF502E"/>
    <w:rsid w:val="00FF5210"/>
    <w:rsid w:val="00FF54B4"/>
    <w:rsid w:val="00FF56F6"/>
    <w:rsid w:val="00FF57FF"/>
    <w:rsid w:val="00FF5801"/>
    <w:rsid w:val="00FF5B8C"/>
    <w:rsid w:val="00FF5C95"/>
    <w:rsid w:val="00FF6305"/>
    <w:rsid w:val="00FF64E8"/>
    <w:rsid w:val="00FF67A1"/>
    <w:rsid w:val="00FF6919"/>
    <w:rsid w:val="00FF6BE8"/>
    <w:rsid w:val="00FF6CE2"/>
    <w:rsid w:val="00FF7110"/>
    <w:rsid w:val="00FF7148"/>
    <w:rsid w:val="00FF729A"/>
    <w:rsid w:val="00FF7A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0" w:semiHidden="0" w:uiPriority="0" w:unhideWhenUsed="0" w:qFormat="1"/>
    <w:lsdException w:name="heading 6" w:locked="0" w:semiHidden="0" w:uiPriority="9" w:unhideWhenUsed="0" w:qFormat="1"/>
    <w:lsdException w:name="heading 7" w:uiPriority="9" w:qFormat="1"/>
    <w:lsdException w:name="heading 8" w:uiPriority="0" w:qFormat="1"/>
    <w:lsdException w:name="heading 9" w:uiPriority="9" w:qFormat="1"/>
    <w:lsdException w:name="toc 1" w:locked="0" w:uiPriority="0"/>
    <w:lsdException w:name="toc 2" w:locked="0" w:uiPriority="39"/>
    <w:lsdException w:name="toc 3" w:locked="0"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locked="0" w:uiPriority="0" w:qFormat="1"/>
    <w:lsdException w:name="header" w:uiPriority="0"/>
    <w:lsdException w:name="footer" w:locked="0" w:uiPriority="0"/>
    <w:lsdException w:name="caption" w:semiHidden="0" w:uiPriority="0" w:unhideWhenUsed="0" w:qFormat="1"/>
    <w:lsdException w:name="footnote reference" w:locked="0" w:uiPriority="0"/>
    <w:lsdException w:name="page number" w:locked="0" w:uiPriority="0"/>
    <w:lsdException w:name="endnote reference" w:uiPriority="0"/>
    <w:lsdException w:name="endnote text" w:uiPriority="0"/>
    <w:lsdException w:name="Title" w:semiHidden="0" w:uiPriority="0" w:unhideWhenUsed="0" w:qFormat="1"/>
    <w:lsdException w:name="Default Paragraph Font" w:locked="0" w:uiPriority="1"/>
    <w:lsdException w:name="Body Text" w:uiPriority="0"/>
    <w:lsdException w:name="Subtitle" w:semiHidden="0" w:uiPriority="0" w:unhideWhenUsed="0" w:qFormat="1"/>
    <w:lsdException w:name="Body Text 3" w:uiPriority="0"/>
    <w:lsdException w:name="Hyperlink" w:locked="0"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locked="0"/>
    <w:lsdException w:name="HTML Bottom of Form" w:locked="0"/>
    <w:lsdException w:name="Normal Table" w:locked="0"/>
    <w:lsdException w:name="annotation subject" w:uiPriority="0"/>
    <w:lsdException w:name="No List" w:locked="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Normal">
    <w:name w:val="Normal"/>
    <w:qFormat/>
    <w:rsid w:val="00D11C8B"/>
    <w:pPr>
      <w:spacing w:line="288" w:lineRule="auto"/>
      <w:jc w:val="both"/>
    </w:pPr>
    <w:rPr>
      <w:rFonts w:ascii="Gautami" w:eastAsia="Times New Roman" w:hAnsi="Gautami"/>
      <w:szCs w:val="24"/>
    </w:rPr>
  </w:style>
  <w:style w:type="paragraph" w:styleId="Heading1">
    <w:name w:val="heading 1"/>
    <w:basedOn w:val="Normal"/>
    <w:next w:val="Normal"/>
    <w:qFormat/>
    <w:locked/>
    <w:rsid w:val="009E0F39"/>
    <w:pPr>
      <w:keepNext/>
      <w:keepLines/>
      <w:numPr>
        <w:ilvl w:val="1"/>
        <w:numId w:val="10"/>
      </w:numPr>
      <w:spacing w:before="480"/>
      <w:outlineLvl w:val="0"/>
    </w:pPr>
    <w:rPr>
      <w:rFonts w:ascii="Cambria" w:hAnsi="Cambria"/>
      <w:b/>
      <w:bCs/>
      <w:color w:val="365F91"/>
      <w:sz w:val="28"/>
      <w:szCs w:val="28"/>
    </w:rPr>
  </w:style>
  <w:style w:type="paragraph" w:styleId="Heading2">
    <w:name w:val="heading 2"/>
    <w:aliases w:val="AER Heading 2 (new)"/>
    <w:basedOn w:val="Normal"/>
    <w:next w:val="Normal"/>
    <w:link w:val="Heading2Char"/>
    <w:qFormat/>
    <w:locked/>
    <w:rsid w:val="00BD4E2C"/>
    <w:pPr>
      <w:keepNext/>
      <w:spacing w:before="120" w:after="120"/>
      <w:outlineLvl w:val="1"/>
    </w:pPr>
    <w:rPr>
      <w:rFonts w:cs="Arial"/>
      <w:b/>
      <w:bCs/>
      <w:iCs/>
      <w:color w:val="4A442A" w:themeColor="background2" w:themeShade="40"/>
      <w:sz w:val="28"/>
      <w:szCs w:val="28"/>
    </w:rPr>
  </w:style>
  <w:style w:type="paragraph" w:styleId="Heading3">
    <w:name w:val="heading 3"/>
    <w:basedOn w:val="Normal"/>
    <w:next w:val="Normal"/>
    <w:qFormat/>
    <w:locked/>
    <w:rsid w:val="00CB4D3C"/>
    <w:pPr>
      <w:keepNext/>
      <w:spacing w:before="240" w:after="60"/>
      <w:outlineLvl w:val="2"/>
    </w:pPr>
    <w:rPr>
      <w:rFonts w:ascii="Arial" w:hAnsi="Arial" w:cs="Arial"/>
      <w:b/>
      <w:bCs/>
      <w:sz w:val="26"/>
      <w:szCs w:val="26"/>
    </w:rPr>
  </w:style>
  <w:style w:type="paragraph" w:styleId="Heading4">
    <w:name w:val="heading 4"/>
    <w:basedOn w:val="Normal"/>
    <w:next w:val="Normal"/>
    <w:qFormat/>
    <w:locked/>
    <w:rsid w:val="00CB4D3C"/>
    <w:pPr>
      <w:numPr>
        <w:numId w:val="17"/>
      </w:numPr>
      <w:spacing w:after="200" w:line="276" w:lineRule="auto"/>
      <w:contextualSpacing/>
      <w:jc w:val="left"/>
      <w:outlineLvl w:val="3"/>
    </w:pPr>
    <w:rPr>
      <w:rFonts w:ascii="Calibri" w:eastAsia="Calibri" w:hAnsi="Calibri"/>
      <w:i/>
      <w:sz w:val="22"/>
      <w:szCs w:val="22"/>
      <w:lang w:eastAsia="en-US"/>
    </w:rPr>
  </w:style>
  <w:style w:type="paragraph" w:styleId="Heading5">
    <w:name w:val="heading 5"/>
    <w:basedOn w:val="Normal"/>
    <w:next w:val="Normal"/>
    <w:qFormat/>
    <w:locked/>
    <w:rsid w:val="009E0F39"/>
    <w:pPr>
      <w:keepNext/>
      <w:keepLines/>
      <w:spacing w:before="200"/>
      <w:outlineLvl w:val="4"/>
    </w:pPr>
    <w:rPr>
      <w:rFonts w:ascii="Cambria" w:hAnsi="Cambria"/>
      <w:color w:val="243F60"/>
    </w:rPr>
  </w:style>
  <w:style w:type="paragraph" w:styleId="Heading6">
    <w:name w:val="heading 6"/>
    <w:basedOn w:val="Normal"/>
    <w:next w:val="Normal"/>
    <w:uiPriority w:val="9"/>
    <w:qFormat/>
    <w:locked/>
    <w:rsid w:val="009E0F39"/>
    <w:pPr>
      <w:keepNext/>
      <w:keepLines/>
      <w:spacing w:before="200"/>
      <w:outlineLvl w:val="5"/>
    </w:pPr>
    <w:rPr>
      <w:rFonts w:ascii="Cambria" w:hAnsi="Cambria"/>
      <w:i/>
      <w:iCs/>
      <w:color w:val="243F60"/>
    </w:rPr>
  </w:style>
  <w:style w:type="paragraph" w:styleId="Heading7">
    <w:name w:val="heading 7"/>
    <w:basedOn w:val="AERHeading1new"/>
    <w:next w:val="AERbodytext"/>
    <w:link w:val="Heading7Char"/>
    <w:uiPriority w:val="9"/>
    <w:qFormat/>
    <w:locked/>
    <w:rsid w:val="00CF67B7"/>
    <w:pPr>
      <w:numPr>
        <w:ilvl w:val="4"/>
      </w:numPr>
      <w:outlineLvl w:val="6"/>
    </w:pPr>
    <w:rPr>
      <w:iCs/>
      <w:szCs w:val="24"/>
    </w:rPr>
  </w:style>
  <w:style w:type="paragraph" w:styleId="Heading8">
    <w:name w:val="heading 8"/>
    <w:basedOn w:val="Heading7"/>
    <w:next w:val="AERbodytext"/>
    <w:link w:val="Heading8Char"/>
    <w:qFormat/>
    <w:locked/>
    <w:rsid w:val="00CF67B7"/>
    <w:pPr>
      <w:pageBreakBefore w:val="0"/>
      <w:numPr>
        <w:ilvl w:val="5"/>
      </w:numPr>
      <w:outlineLvl w:val="7"/>
    </w:pPr>
    <w:rPr>
      <w:sz w:val="28"/>
      <w:szCs w:val="20"/>
    </w:rPr>
  </w:style>
  <w:style w:type="paragraph" w:styleId="Heading9">
    <w:name w:val="heading 9"/>
    <w:basedOn w:val="Heading8"/>
    <w:next w:val="AERbodytext"/>
    <w:link w:val="Heading9Char"/>
    <w:uiPriority w:val="9"/>
    <w:qFormat/>
    <w:locked/>
    <w:rsid w:val="00CF67B7"/>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Rbodytext">
    <w:name w:val="AER body text"/>
    <w:link w:val="AERbodytextChar"/>
    <w:qFormat/>
    <w:rsid w:val="009E0F39"/>
    <w:pPr>
      <w:spacing w:after="240" w:line="288" w:lineRule="auto"/>
      <w:jc w:val="both"/>
    </w:pPr>
    <w:rPr>
      <w:rFonts w:ascii="Gautami" w:eastAsia="Times New Roman" w:hAnsi="Gautami"/>
      <w:szCs w:val="24"/>
      <w:lang w:eastAsia="en-US"/>
    </w:rPr>
  </w:style>
  <w:style w:type="paragraph" w:customStyle="1" w:styleId="AERtabletitle">
    <w:name w:val="AER table title"/>
    <w:basedOn w:val="Figureheading"/>
    <w:next w:val="Normal"/>
    <w:qFormat/>
    <w:rsid w:val="003D3AB6"/>
    <w:pPr>
      <w:numPr>
        <w:ilvl w:val="0"/>
        <w:numId w:val="0"/>
      </w:numPr>
    </w:pPr>
  </w:style>
  <w:style w:type="paragraph" w:customStyle="1" w:styleId="Figureheading">
    <w:name w:val="Figure heading"/>
    <w:basedOn w:val="Normal"/>
    <w:next w:val="AERbodytext"/>
    <w:qFormat/>
    <w:rsid w:val="00E968C9"/>
    <w:pPr>
      <w:keepNext/>
      <w:numPr>
        <w:ilvl w:val="3"/>
        <w:numId w:val="5"/>
      </w:numPr>
      <w:tabs>
        <w:tab w:val="left" w:pos="1474"/>
      </w:tabs>
      <w:spacing w:before="240" w:after="120"/>
      <w:outlineLvl w:val="3"/>
    </w:pPr>
    <w:rPr>
      <w:b/>
      <w:lang w:eastAsia="en-US"/>
    </w:rPr>
  </w:style>
  <w:style w:type="paragraph" w:customStyle="1" w:styleId="Listbullet1">
    <w:name w:val="List bullet 1"/>
    <w:basedOn w:val="AERbodytext"/>
    <w:link w:val="Listbullet1Char"/>
    <w:qFormat/>
    <w:rsid w:val="00E5080D"/>
    <w:pPr>
      <w:numPr>
        <w:numId w:val="8"/>
      </w:numPr>
      <w:tabs>
        <w:tab w:val="left" w:pos="0"/>
      </w:tabs>
    </w:pPr>
    <w:rPr>
      <w:szCs w:val="16"/>
    </w:rPr>
  </w:style>
  <w:style w:type="paragraph" w:customStyle="1" w:styleId="ListBullet22">
    <w:name w:val="List Bullet 22"/>
    <w:basedOn w:val="AERbodytext"/>
    <w:link w:val="ListBullet22Char"/>
    <w:qFormat/>
    <w:rsid w:val="00101A4E"/>
    <w:pPr>
      <w:numPr>
        <w:numId w:val="1"/>
      </w:numPr>
      <w:spacing w:after="200"/>
    </w:pPr>
  </w:style>
  <w:style w:type="paragraph" w:customStyle="1" w:styleId="Listalpha">
    <w:name w:val="List alpha"/>
    <w:basedOn w:val="Normal"/>
    <w:qFormat/>
    <w:rsid w:val="00C33BAB"/>
    <w:pPr>
      <w:numPr>
        <w:numId w:val="3"/>
      </w:numPr>
      <w:spacing w:after="200" w:line="200" w:lineRule="atLeast"/>
    </w:pPr>
    <w:rPr>
      <w:lang w:eastAsia="en-US"/>
    </w:rPr>
  </w:style>
  <w:style w:type="paragraph" w:customStyle="1" w:styleId="Listnumbered3">
    <w:name w:val="List numbered 3"/>
    <w:basedOn w:val="AERbodytext"/>
    <w:qFormat/>
    <w:rsid w:val="009E0F39"/>
    <w:pPr>
      <w:numPr>
        <w:numId w:val="2"/>
      </w:numPr>
      <w:tabs>
        <w:tab w:val="clear" w:pos="1440"/>
        <w:tab w:val="left" w:pos="1077"/>
      </w:tabs>
      <w:spacing w:after="200"/>
      <w:ind w:left="1077" w:hanging="357"/>
    </w:pPr>
  </w:style>
  <w:style w:type="paragraph" w:customStyle="1" w:styleId="AERquote">
    <w:name w:val="AER quote"/>
    <w:basedOn w:val="AERbodytextindent1"/>
    <w:next w:val="AERbodytext"/>
    <w:qFormat/>
    <w:rsid w:val="009E0F39"/>
    <w:pPr>
      <w:spacing w:after="160"/>
      <w:ind w:right="1077"/>
    </w:pPr>
    <w:rPr>
      <w:color w:val="000000"/>
      <w:sz w:val="16"/>
    </w:rPr>
  </w:style>
  <w:style w:type="paragraph" w:customStyle="1" w:styleId="AERbodytextindent1">
    <w:name w:val="AER body text (indent 1)"/>
    <w:basedOn w:val="AERbodytext"/>
    <w:rsid w:val="009E0F39"/>
    <w:pPr>
      <w:ind w:left="357"/>
    </w:pPr>
  </w:style>
  <w:style w:type="table" w:customStyle="1" w:styleId="AERtable-numbers">
    <w:name w:val="AER table - numbers"/>
    <w:basedOn w:val="TableNormal"/>
    <w:rsid w:val="009D62B2"/>
    <w:pPr>
      <w:keepNext/>
      <w:spacing w:before="40" w:after="40"/>
      <w:jc w:val="right"/>
    </w:pPr>
    <w:rPr>
      <w:rFonts w:ascii="Gautami" w:eastAsia="Times New Roman" w:hAnsi="Gautami"/>
      <w:sz w:val="16"/>
    </w:rPr>
    <w:tblPr>
      <w:tblStyleRowBandSize w:val="1"/>
      <w:tblInd w:w="113"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Sourceandnotes">
    <w:name w:val="Source and notes"/>
    <w:next w:val="AERbodytext"/>
    <w:qFormat/>
    <w:rsid w:val="009E0F39"/>
    <w:pPr>
      <w:tabs>
        <w:tab w:val="left" w:pos="1361"/>
      </w:tabs>
      <w:spacing w:before="40" w:after="240"/>
      <w:ind w:left="794" w:right="1077" w:hanging="794"/>
      <w:contextualSpacing/>
    </w:pPr>
    <w:rPr>
      <w:rFonts w:ascii="Gautami" w:eastAsia="Times New Roman" w:hAnsi="Gautami"/>
      <w:sz w:val="16"/>
      <w:szCs w:val="24"/>
      <w:lang w:eastAsia="en-US"/>
    </w:rPr>
  </w:style>
  <w:style w:type="paragraph" w:customStyle="1" w:styleId="AERtabletext">
    <w:name w:val="AER table text"/>
    <w:basedOn w:val="Normal"/>
    <w:link w:val="AERtabletextChar"/>
    <w:qFormat/>
    <w:rsid w:val="009E0F39"/>
    <w:pPr>
      <w:widowControl w:val="0"/>
      <w:spacing w:before="120" w:after="120"/>
      <w:jc w:val="left"/>
    </w:pPr>
    <w:rPr>
      <w:sz w:val="16"/>
      <w:lang w:eastAsia="en-US"/>
    </w:rPr>
  </w:style>
  <w:style w:type="paragraph" w:customStyle="1" w:styleId="AERtabletextheading">
    <w:name w:val="AER table text heading"/>
    <w:link w:val="AERtabletextheadingChar"/>
    <w:qFormat/>
    <w:rsid w:val="00BB00F8"/>
    <w:pPr>
      <w:spacing w:before="120" w:after="120"/>
    </w:pPr>
    <w:rPr>
      <w:rFonts w:ascii="Gautami" w:eastAsia="Times New Roman" w:hAnsi="Gautami"/>
      <w:b/>
      <w:sz w:val="16"/>
      <w:szCs w:val="16"/>
      <w:lang w:eastAsia="en-US"/>
    </w:rPr>
  </w:style>
  <w:style w:type="paragraph" w:styleId="Footer">
    <w:name w:val="footer"/>
    <w:basedOn w:val="Normal"/>
    <w:link w:val="FooterChar"/>
    <w:rsid w:val="009E0F39"/>
    <w:pPr>
      <w:tabs>
        <w:tab w:val="center" w:pos="4153"/>
        <w:tab w:val="right" w:pos="8306"/>
      </w:tabs>
    </w:pPr>
  </w:style>
  <w:style w:type="character" w:styleId="PageNumber">
    <w:name w:val="page number"/>
    <w:basedOn w:val="DefaultParagraphFont"/>
    <w:rsid w:val="009E0F39"/>
    <w:rPr>
      <w:rFonts w:ascii="Gautami" w:hAnsi="Gautami"/>
      <w:sz w:val="18"/>
    </w:rPr>
  </w:style>
  <w:style w:type="table" w:customStyle="1" w:styleId="AERtable-text">
    <w:name w:val="AER table - text"/>
    <w:basedOn w:val="AERtable-numbers"/>
    <w:rsid w:val="009D62B2"/>
    <w:pPr>
      <w:jc w:val="left"/>
    </w:pPr>
    <w:tblPr>
      <w:tblStyleRowBandSize w:val="1"/>
      <w:tblInd w:w="113"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styleId="Header">
    <w:name w:val="header"/>
    <w:basedOn w:val="Normal"/>
    <w:link w:val="HeaderChar"/>
    <w:locked/>
    <w:rsid w:val="009E0F39"/>
    <w:pPr>
      <w:tabs>
        <w:tab w:val="center" w:pos="4153"/>
        <w:tab w:val="right" w:pos="8306"/>
      </w:tabs>
    </w:pPr>
  </w:style>
  <w:style w:type="character" w:styleId="CommentReference">
    <w:name w:val="annotation reference"/>
    <w:basedOn w:val="DefaultParagraphFont"/>
    <w:uiPriority w:val="99"/>
    <w:semiHidden/>
    <w:locked/>
    <w:rsid w:val="009E0F39"/>
    <w:rPr>
      <w:sz w:val="16"/>
      <w:szCs w:val="16"/>
    </w:rPr>
  </w:style>
  <w:style w:type="paragraph" w:styleId="CommentSubject">
    <w:name w:val="annotation subject"/>
    <w:basedOn w:val="Normal"/>
    <w:semiHidden/>
    <w:locked/>
    <w:rsid w:val="00C33BAB"/>
    <w:rPr>
      <w:b/>
      <w:bCs/>
    </w:rPr>
  </w:style>
  <w:style w:type="paragraph" w:styleId="BalloonText">
    <w:name w:val="Balloon Text"/>
    <w:basedOn w:val="Normal"/>
    <w:semiHidden/>
    <w:locked/>
    <w:rsid w:val="009E0F39"/>
    <w:rPr>
      <w:rFonts w:ascii="Tahoma" w:hAnsi="Tahoma" w:cs="Tahoma"/>
      <w:sz w:val="16"/>
      <w:szCs w:val="16"/>
    </w:rPr>
  </w:style>
  <w:style w:type="paragraph" w:customStyle="1" w:styleId="AERtabletext-numbers">
    <w:name w:val="AER table text - numbers"/>
    <w:basedOn w:val="AERtabletext"/>
    <w:uiPriority w:val="99"/>
    <w:qFormat/>
    <w:rsid w:val="009E0F39"/>
    <w:pPr>
      <w:keepNext/>
      <w:jc w:val="right"/>
    </w:pPr>
  </w:style>
  <w:style w:type="character" w:customStyle="1" w:styleId="AERtextitalic">
    <w:name w:val="AER text italic"/>
    <w:qFormat/>
    <w:rsid w:val="009E0F39"/>
    <w:rPr>
      <w:i/>
    </w:rPr>
  </w:style>
  <w:style w:type="character" w:styleId="Hyperlink">
    <w:name w:val="Hyperlink"/>
    <w:basedOn w:val="DefaultParagraphFont"/>
    <w:rsid w:val="006046F2"/>
    <w:rPr>
      <w:color w:val="0000FF"/>
      <w:u w:val="single"/>
    </w:rPr>
  </w:style>
  <w:style w:type="table" w:styleId="TableGrid">
    <w:name w:val="Table Grid"/>
    <w:basedOn w:val="TableNormal"/>
    <w:locked/>
    <w:rsid w:val="00F52E01"/>
    <w:pPr>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semiHidden/>
    <w:locked/>
    <w:rsid w:val="00F968D4"/>
    <w:rPr>
      <w:szCs w:val="20"/>
    </w:rPr>
  </w:style>
  <w:style w:type="character" w:styleId="EndnoteReference">
    <w:name w:val="endnote reference"/>
    <w:basedOn w:val="DefaultParagraphFont"/>
    <w:semiHidden/>
    <w:locked/>
    <w:rsid w:val="00F968D4"/>
    <w:rPr>
      <w:vertAlign w:val="superscript"/>
    </w:rPr>
  </w:style>
  <w:style w:type="paragraph" w:styleId="TOC4">
    <w:name w:val="toc 4"/>
    <w:basedOn w:val="Normal"/>
    <w:next w:val="Normal"/>
    <w:autoRedefine/>
    <w:semiHidden/>
    <w:locked/>
    <w:rsid w:val="00C90C00"/>
    <w:pPr>
      <w:ind w:left="600"/>
    </w:pPr>
  </w:style>
  <w:style w:type="paragraph" w:styleId="TOC5">
    <w:name w:val="toc 5"/>
    <w:basedOn w:val="Normal"/>
    <w:next w:val="Normal"/>
    <w:autoRedefine/>
    <w:semiHidden/>
    <w:locked/>
    <w:rsid w:val="00C90C00"/>
    <w:pPr>
      <w:ind w:left="800"/>
    </w:pPr>
  </w:style>
  <w:style w:type="paragraph" w:styleId="TOC6">
    <w:name w:val="toc 6"/>
    <w:basedOn w:val="Normal"/>
    <w:next w:val="Normal"/>
    <w:autoRedefine/>
    <w:semiHidden/>
    <w:locked/>
    <w:rsid w:val="00C90C00"/>
    <w:pPr>
      <w:ind w:left="1000"/>
    </w:pPr>
  </w:style>
  <w:style w:type="paragraph" w:styleId="TOC7">
    <w:name w:val="toc 7"/>
    <w:basedOn w:val="Normal"/>
    <w:next w:val="Normal"/>
    <w:autoRedefine/>
    <w:semiHidden/>
    <w:locked/>
    <w:rsid w:val="00C90C00"/>
    <w:pPr>
      <w:ind w:left="1200"/>
    </w:pPr>
  </w:style>
  <w:style w:type="paragraph" w:styleId="TOC8">
    <w:name w:val="toc 8"/>
    <w:basedOn w:val="Normal"/>
    <w:next w:val="Normal"/>
    <w:autoRedefine/>
    <w:semiHidden/>
    <w:locked/>
    <w:rsid w:val="00C90C00"/>
    <w:pPr>
      <w:ind w:left="1400"/>
    </w:pPr>
  </w:style>
  <w:style w:type="paragraph" w:styleId="TOC9">
    <w:name w:val="toc 9"/>
    <w:basedOn w:val="Normal"/>
    <w:next w:val="Normal"/>
    <w:autoRedefine/>
    <w:semiHidden/>
    <w:locked/>
    <w:rsid w:val="00C90C00"/>
    <w:pPr>
      <w:ind w:left="1600"/>
    </w:pPr>
  </w:style>
  <w:style w:type="paragraph" w:styleId="DocumentMap">
    <w:name w:val="Document Map"/>
    <w:basedOn w:val="Normal"/>
    <w:semiHidden/>
    <w:locked/>
    <w:rsid w:val="00361B64"/>
    <w:pPr>
      <w:shd w:val="clear" w:color="auto" w:fill="000080"/>
    </w:pPr>
    <w:rPr>
      <w:rFonts w:ascii="Tahoma" w:hAnsi="Tahoma" w:cs="Tahoma"/>
      <w:szCs w:val="20"/>
    </w:rPr>
  </w:style>
  <w:style w:type="paragraph" w:styleId="Title">
    <w:name w:val="Title"/>
    <w:basedOn w:val="Normal"/>
    <w:link w:val="TitleChar"/>
    <w:qFormat/>
    <w:locked/>
    <w:rsid w:val="006A4343"/>
    <w:pPr>
      <w:spacing w:before="240" w:after="60"/>
      <w:jc w:val="center"/>
      <w:outlineLvl w:val="0"/>
    </w:pPr>
    <w:rPr>
      <w:rFonts w:ascii="Arial" w:hAnsi="Arial" w:cs="Arial"/>
      <w:b/>
      <w:bCs/>
      <w:kern w:val="28"/>
      <w:sz w:val="32"/>
      <w:szCs w:val="32"/>
    </w:rPr>
  </w:style>
  <w:style w:type="paragraph" w:styleId="Caption">
    <w:name w:val="caption"/>
    <w:basedOn w:val="Normal"/>
    <w:next w:val="Normal"/>
    <w:qFormat/>
    <w:locked/>
    <w:rsid w:val="00C935BF"/>
    <w:pPr>
      <w:keepNext/>
    </w:pPr>
    <w:rPr>
      <w:b/>
      <w:bCs/>
      <w:szCs w:val="20"/>
    </w:rPr>
  </w:style>
  <w:style w:type="paragraph" w:styleId="ListBullet">
    <w:name w:val="List Bullet"/>
    <w:basedOn w:val="Normal"/>
    <w:uiPriority w:val="99"/>
    <w:semiHidden/>
    <w:unhideWhenUsed/>
    <w:locked/>
    <w:rsid w:val="000733BC"/>
    <w:pPr>
      <w:numPr>
        <w:numId w:val="4"/>
      </w:numPr>
      <w:contextualSpacing/>
    </w:pPr>
  </w:style>
  <w:style w:type="paragraph" w:styleId="Revision">
    <w:name w:val="Revision"/>
    <w:hidden/>
    <w:uiPriority w:val="99"/>
    <w:semiHidden/>
    <w:rsid w:val="00740BD4"/>
    <w:rPr>
      <w:rFonts w:ascii="Gautami" w:eastAsia="Times New Roman" w:hAnsi="Gautami"/>
      <w:szCs w:val="24"/>
    </w:rPr>
  </w:style>
  <w:style w:type="character" w:customStyle="1" w:styleId="AERbodytextChar">
    <w:name w:val="AER body text Char"/>
    <w:basedOn w:val="DefaultParagraphFont"/>
    <w:link w:val="AERbodytext"/>
    <w:rsid w:val="00FA426B"/>
    <w:rPr>
      <w:rFonts w:ascii="Gautami" w:eastAsia="Times New Roman" w:hAnsi="Gautami"/>
      <w:szCs w:val="24"/>
      <w:lang w:val="en-AU" w:eastAsia="en-US" w:bidi="ar-SA"/>
    </w:rPr>
  </w:style>
  <w:style w:type="character" w:customStyle="1" w:styleId="Listbullet1Char">
    <w:name w:val="List bullet 1 Char"/>
    <w:basedOn w:val="DefaultParagraphFont"/>
    <w:link w:val="Listbullet1"/>
    <w:rsid w:val="00E5080D"/>
    <w:rPr>
      <w:rFonts w:ascii="Gautami" w:eastAsia="Times New Roman" w:hAnsi="Gautami"/>
      <w:szCs w:val="16"/>
      <w:lang w:eastAsia="en-US"/>
    </w:rPr>
  </w:style>
  <w:style w:type="character" w:customStyle="1" w:styleId="AERtabletextChar">
    <w:name w:val="AER table text Char"/>
    <w:basedOn w:val="DefaultParagraphFont"/>
    <w:link w:val="AERtabletext"/>
    <w:locked/>
    <w:rsid w:val="00445784"/>
    <w:rPr>
      <w:rFonts w:ascii="Gautami" w:eastAsia="Times New Roman" w:hAnsi="Gautami"/>
      <w:sz w:val="16"/>
      <w:szCs w:val="24"/>
      <w:lang w:eastAsia="en-US"/>
    </w:rPr>
  </w:style>
  <w:style w:type="character" w:customStyle="1" w:styleId="AERtabletextheadingChar">
    <w:name w:val="AER table text heading Char"/>
    <w:basedOn w:val="DefaultParagraphFont"/>
    <w:link w:val="AERtabletextheading"/>
    <w:locked/>
    <w:rsid w:val="00203C6E"/>
    <w:rPr>
      <w:rFonts w:ascii="Gautami" w:eastAsia="Times New Roman" w:hAnsi="Gautami"/>
      <w:b/>
      <w:sz w:val="16"/>
      <w:szCs w:val="16"/>
      <w:lang w:val="en-AU" w:eastAsia="en-US" w:bidi="ar-SA"/>
    </w:rPr>
  </w:style>
  <w:style w:type="numbering" w:styleId="1ai">
    <w:name w:val="Outline List 1"/>
    <w:aliases w:val="AER Numbered List"/>
    <w:basedOn w:val="NoList"/>
    <w:locked/>
    <w:rsid w:val="00BB76F8"/>
    <w:pPr>
      <w:numPr>
        <w:numId w:val="6"/>
      </w:numPr>
    </w:pPr>
  </w:style>
  <w:style w:type="character" w:customStyle="1" w:styleId="FootnoteReference1">
    <w:name w:val="Footnote Reference1"/>
    <w:rsid w:val="00EA57C3"/>
    <w:rPr>
      <w:color w:val="000000"/>
      <w:vertAlign w:val="superscript"/>
    </w:rPr>
  </w:style>
  <w:style w:type="character" w:customStyle="1" w:styleId="Heading7Char">
    <w:name w:val="Heading 7 Char"/>
    <w:basedOn w:val="DefaultParagraphFont"/>
    <w:link w:val="Heading7"/>
    <w:uiPriority w:val="9"/>
    <w:rsid w:val="00CF67B7"/>
    <w:rPr>
      <w:rFonts w:ascii="Gautami" w:eastAsia="Times New Roman" w:hAnsi="Gautami"/>
      <w:b/>
      <w:bCs/>
      <w:iCs/>
      <w:color w:val="4A442A" w:themeColor="background2" w:themeShade="40"/>
      <w:sz w:val="36"/>
      <w:szCs w:val="24"/>
      <w:lang w:eastAsia="en-US"/>
    </w:rPr>
  </w:style>
  <w:style w:type="character" w:customStyle="1" w:styleId="Heading8Char">
    <w:name w:val="Heading 8 Char"/>
    <w:basedOn w:val="DefaultParagraphFont"/>
    <w:link w:val="Heading8"/>
    <w:rsid w:val="00CF67B7"/>
    <w:rPr>
      <w:rFonts w:ascii="Gautami" w:eastAsia="Times New Roman" w:hAnsi="Gautami"/>
      <w:b/>
      <w:bCs/>
      <w:iCs/>
      <w:color w:val="4A442A" w:themeColor="background2" w:themeShade="40"/>
      <w:sz w:val="28"/>
      <w:lang w:eastAsia="en-US"/>
    </w:rPr>
  </w:style>
  <w:style w:type="character" w:customStyle="1" w:styleId="Heading9Char">
    <w:name w:val="Heading 9 Char"/>
    <w:basedOn w:val="DefaultParagraphFont"/>
    <w:link w:val="Heading9"/>
    <w:uiPriority w:val="9"/>
    <w:rsid w:val="00CF67B7"/>
    <w:rPr>
      <w:rFonts w:ascii="Gautami" w:eastAsia="Times New Roman" w:hAnsi="Gautami"/>
      <w:b/>
      <w:bCs/>
      <w:color w:val="4A442A" w:themeColor="background2" w:themeShade="40"/>
      <w:sz w:val="24"/>
      <w:lang w:eastAsia="en-US"/>
    </w:rPr>
  </w:style>
  <w:style w:type="numbering" w:customStyle="1" w:styleId="AERHeadings">
    <w:name w:val="AER Headings"/>
    <w:uiPriority w:val="99"/>
    <w:rsid w:val="00CF67B7"/>
    <w:pPr>
      <w:numPr>
        <w:numId w:val="7"/>
      </w:numPr>
    </w:pPr>
  </w:style>
  <w:style w:type="paragraph" w:customStyle="1" w:styleId="AERHeading1new">
    <w:name w:val="AER Heading 1 (new)"/>
    <w:basedOn w:val="Heading1"/>
    <w:next w:val="AERbodytext"/>
    <w:link w:val="AERHeading1newChar"/>
    <w:qFormat/>
    <w:rsid w:val="005F739F"/>
    <w:pPr>
      <w:pageBreakBefore/>
      <w:numPr>
        <w:ilvl w:val="0"/>
      </w:numPr>
      <w:spacing w:before="120" w:after="120"/>
    </w:pPr>
    <w:rPr>
      <w:rFonts w:ascii="Gautami" w:hAnsi="Gautami"/>
      <w:color w:val="4A442A" w:themeColor="background2" w:themeShade="40"/>
      <w:sz w:val="36"/>
      <w:lang w:eastAsia="en-US"/>
    </w:rPr>
  </w:style>
  <w:style w:type="character" w:customStyle="1" w:styleId="FooterChar">
    <w:name w:val="Footer Char"/>
    <w:basedOn w:val="DefaultParagraphFont"/>
    <w:link w:val="Footer"/>
    <w:uiPriority w:val="99"/>
    <w:rsid w:val="00C23B50"/>
    <w:rPr>
      <w:rFonts w:ascii="Gautami" w:eastAsia="Times New Roman" w:hAnsi="Gautami"/>
      <w:szCs w:val="24"/>
    </w:rPr>
  </w:style>
  <w:style w:type="numbering" w:customStyle="1" w:styleId="AERnumberedlist">
    <w:name w:val="AER numbered list"/>
    <w:uiPriority w:val="99"/>
    <w:rsid w:val="00EF2D0E"/>
    <w:pPr>
      <w:numPr>
        <w:numId w:val="9"/>
      </w:numPr>
    </w:pPr>
  </w:style>
  <w:style w:type="character" w:customStyle="1" w:styleId="AERHeading1newChar">
    <w:name w:val="AER Heading 1 (new) Char"/>
    <w:basedOn w:val="DefaultParagraphFont"/>
    <w:link w:val="AERHeading1new"/>
    <w:rsid w:val="005F739F"/>
    <w:rPr>
      <w:rFonts w:ascii="Gautami" w:eastAsia="Times New Roman" w:hAnsi="Gautami"/>
      <w:b/>
      <w:bCs/>
      <w:color w:val="4A442A" w:themeColor="background2" w:themeShade="40"/>
      <w:sz w:val="36"/>
      <w:szCs w:val="28"/>
      <w:lang w:eastAsia="en-US"/>
    </w:rPr>
  </w:style>
  <w:style w:type="paragraph" w:customStyle="1" w:styleId="Copyrighttext">
    <w:name w:val="Copyright text"/>
    <w:basedOn w:val="Normal"/>
    <w:rsid w:val="00D055E8"/>
    <w:pPr>
      <w:spacing w:before="240" w:after="240" w:line="240" w:lineRule="auto"/>
      <w:jc w:val="left"/>
    </w:pPr>
    <w:rPr>
      <w:lang w:eastAsia="en-US"/>
    </w:rPr>
  </w:style>
  <w:style w:type="table" w:styleId="TableClassic2">
    <w:name w:val="Table Classic 2"/>
    <w:basedOn w:val="TableNormal"/>
    <w:locked/>
    <w:rsid w:val="005D3AE3"/>
    <w:rPr>
      <w:rFonts w:ascii="Times" w:eastAsia="Times New Roman" w:hAnsi="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locked/>
    <w:rsid w:val="005D3AE3"/>
    <w:rPr>
      <w:rFonts w:ascii="Times" w:eastAsia="Times New Roman" w:hAnsi="Tim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locked/>
    <w:rsid w:val="005D3AE3"/>
    <w:rPr>
      <w:rFonts w:ascii="Times" w:eastAsia="Times New Roman" w:hAnsi="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5D3AE3"/>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Heading2Char">
    <w:name w:val="Heading 2 Char"/>
    <w:aliases w:val="AER Heading 2 (new) Char"/>
    <w:basedOn w:val="DefaultParagraphFont"/>
    <w:link w:val="Heading2"/>
    <w:rsid w:val="00BD4E2C"/>
    <w:rPr>
      <w:rFonts w:ascii="Gautami" w:eastAsia="Times New Roman" w:hAnsi="Gautami" w:cs="Arial"/>
      <w:b/>
      <w:bCs/>
      <w:iCs/>
      <w:color w:val="4A442A" w:themeColor="background2" w:themeShade="40"/>
      <w:sz w:val="28"/>
      <w:szCs w:val="28"/>
    </w:rPr>
  </w:style>
  <w:style w:type="character" w:customStyle="1" w:styleId="HeaderChar">
    <w:name w:val="Header Char"/>
    <w:basedOn w:val="DefaultParagraphFont"/>
    <w:link w:val="Header"/>
    <w:uiPriority w:val="99"/>
    <w:rsid w:val="00F83806"/>
    <w:rPr>
      <w:rFonts w:ascii="Gautami" w:eastAsia="Times New Roman" w:hAnsi="Gautami"/>
      <w:szCs w:val="24"/>
    </w:rPr>
  </w:style>
  <w:style w:type="character" w:customStyle="1" w:styleId="TitleChar">
    <w:name w:val="Title Char"/>
    <w:basedOn w:val="DefaultParagraphFont"/>
    <w:link w:val="Title"/>
    <w:rsid w:val="00F83806"/>
    <w:rPr>
      <w:rFonts w:ascii="Arial" w:eastAsia="Times New Roman" w:hAnsi="Arial" w:cs="Arial"/>
      <w:b/>
      <w:bCs/>
      <w:kern w:val="28"/>
      <w:sz w:val="32"/>
      <w:szCs w:val="32"/>
    </w:rPr>
  </w:style>
  <w:style w:type="character" w:styleId="Emphasis">
    <w:name w:val="Emphasis"/>
    <w:basedOn w:val="DefaultParagraphFont"/>
    <w:qFormat/>
    <w:locked/>
    <w:rsid w:val="00F83806"/>
    <w:rPr>
      <w:i/>
      <w:iCs/>
    </w:rPr>
  </w:style>
  <w:style w:type="table" w:customStyle="1" w:styleId="MediumList1-Accent11">
    <w:name w:val="Medium List 1 - Accent 11"/>
    <w:basedOn w:val="TableNormal"/>
    <w:uiPriority w:val="65"/>
    <w:rsid w:val="00A7492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1-Accent11">
    <w:name w:val="Medium Shading 1 - Accent 11"/>
    <w:basedOn w:val="TableNormal"/>
    <w:uiPriority w:val="63"/>
    <w:rsid w:val="00A7492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848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A209C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IntenseReference">
    <w:name w:val="Intense Reference"/>
    <w:basedOn w:val="DefaultParagraphFont"/>
    <w:uiPriority w:val="32"/>
    <w:rsid w:val="005F739F"/>
    <w:rPr>
      <w:b/>
      <w:bCs/>
      <w:smallCaps/>
      <w:color w:val="C0504D" w:themeColor="accent2"/>
      <w:spacing w:val="5"/>
      <w:u w:val="single"/>
    </w:rPr>
  </w:style>
  <w:style w:type="character" w:styleId="SubtleReference">
    <w:name w:val="Subtle Reference"/>
    <w:basedOn w:val="DefaultParagraphFont"/>
    <w:uiPriority w:val="31"/>
    <w:rsid w:val="005F739F"/>
    <w:rPr>
      <w:smallCaps/>
      <w:color w:val="C0504D" w:themeColor="accent2"/>
      <w:u w:val="single"/>
    </w:rPr>
  </w:style>
  <w:style w:type="paragraph" w:styleId="CommentText">
    <w:name w:val="annotation text"/>
    <w:basedOn w:val="Normal"/>
    <w:link w:val="CommentTextChar"/>
    <w:uiPriority w:val="99"/>
    <w:unhideWhenUsed/>
    <w:locked/>
    <w:rsid w:val="005D0691"/>
    <w:rPr>
      <w:szCs w:val="20"/>
    </w:rPr>
  </w:style>
  <w:style w:type="character" w:customStyle="1" w:styleId="CommentTextChar">
    <w:name w:val="Comment Text Char"/>
    <w:basedOn w:val="DefaultParagraphFont"/>
    <w:link w:val="CommentText"/>
    <w:uiPriority w:val="99"/>
    <w:rsid w:val="005D0691"/>
    <w:rPr>
      <w:rFonts w:ascii="Gautami" w:eastAsia="Times New Roman" w:hAnsi="Gautami"/>
    </w:rPr>
  </w:style>
  <w:style w:type="character" w:styleId="FollowedHyperlink">
    <w:name w:val="FollowedHyperlink"/>
    <w:basedOn w:val="DefaultParagraphFont"/>
    <w:semiHidden/>
    <w:unhideWhenUsed/>
    <w:locked/>
    <w:rsid w:val="00D87E09"/>
    <w:rPr>
      <w:color w:val="800080" w:themeColor="followedHyperlink"/>
      <w:u w:val="single"/>
    </w:rPr>
  </w:style>
  <w:style w:type="paragraph" w:styleId="FootnoteText">
    <w:name w:val="footnote text"/>
    <w:basedOn w:val="Normal"/>
    <w:link w:val="FootnoteTextChar"/>
    <w:semiHidden/>
    <w:unhideWhenUsed/>
    <w:qFormat/>
    <w:rsid w:val="00DF4A8B"/>
    <w:rPr>
      <w:sz w:val="16"/>
      <w:szCs w:val="20"/>
    </w:rPr>
  </w:style>
  <w:style w:type="character" w:customStyle="1" w:styleId="FootnoteTextChar">
    <w:name w:val="Footnote Text Char"/>
    <w:basedOn w:val="DefaultParagraphFont"/>
    <w:link w:val="FootnoteText"/>
    <w:semiHidden/>
    <w:rsid w:val="00DF4A8B"/>
    <w:rPr>
      <w:rFonts w:ascii="Gautami" w:eastAsia="Times New Roman" w:hAnsi="Gautami"/>
      <w:sz w:val="16"/>
    </w:rPr>
  </w:style>
  <w:style w:type="character" w:styleId="FootnoteReference">
    <w:name w:val="footnote reference"/>
    <w:basedOn w:val="DefaultParagraphFont"/>
    <w:semiHidden/>
    <w:unhideWhenUsed/>
    <w:rsid w:val="00170E47"/>
    <w:rPr>
      <w:vertAlign w:val="superscript"/>
    </w:rPr>
  </w:style>
  <w:style w:type="paragraph" w:styleId="NormalWeb">
    <w:name w:val="Normal (Web)"/>
    <w:basedOn w:val="Normal"/>
    <w:uiPriority w:val="99"/>
    <w:unhideWhenUsed/>
    <w:locked/>
    <w:rsid w:val="001B2B45"/>
    <w:pPr>
      <w:spacing w:before="100" w:beforeAutospacing="1" w:after="100" w:afterAutospacing="1" w:line="240" w:lineRule="auto"/>
      <w:jc w:val="left"/>
    </w:pPr>
    <w:rPr>
      <w:rFonts w:ascii="Times New Roman" w:hAnsi="Times New Roman"/>
      <w:sz w:val="24"/>
    </w:rPr>
  </w:style>
  <w:style w:type="character" w:styleId="Strong">
    <w:name w:val="Strong"/>
    <w:uiPriority w:val="22"/>
    <w:qFormat/>
    <w:locked/>
    <w:rsid w:val="002422F1"/>
    <w:rPr>
      <w:b/>
      <w:bCs/>
    </w:rPr>
  </w:style>
  <w:style w:type="paragraph" w:styleId="ListParagraph">
    <w:name w:val="List Paragraph"/>
    <w:basedOn w:val="Normal"/>
    <w:uiPriority w:val="34"/>
    <w:qFormat/>
    <w:rsid w:val="00D94BD6"/>
    <w:pPr>
      <w:spacing w:after="200" w:line="276" w:lineRule="auto"/>
      <w:ind w:left="720"/>
      <w:contextualSpacing/>
      <w:jc w:val="left"/>
    </w:pPr>
    <w:rPr>
      <w:rFonts w:ascii="Calibri" w:eastAsia="Calibri" w:hAnsi="Calibri"/>
      <w:sz w:val="22"/>
      <w:szCs w:val="22"/>
      <w:lang w:eastAsia="en-US"/>
    </w:rPr>
  </w:style>
  <w:style w:type="table" w:styleId="LightGrid-Accent5">
    <w:name w:val="Light Grid Accent 5"/>
    <w:basedOn w:val="TableNormal"/>
    <w:uiPriority w:val="62"/>
    <w:rsid w:val="00D94BD6"/>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1">
    <w:name w:val="Light Shading Accent 1"/>
    <w:basedOn w:val="TableNormal"/>
    <w:uiPriority w:val="60"/>
    <w:rsid w:val="00CA32DE"/>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UMBEREDLIST">
    <w:name w:val="NUMBERED LIST"/>
    <w:basedOn w:val="ListBullet22"/>
    <w:link w:val="NUMBEREDLISTChar"/>
    <w:qFormat/>
    <w:rsid w:val="00101A4E"/>
    <w:pPr>
      <w:numPr>
        <w:numId w:val="27"/>
      </w:numPr>
      <w:spacing w:after="0"/>
    </w:pPr>
  </w:style>
  <w:style w:type="character" w:customStyle="1" w:styleId="ListBullet22Char">
    <w:name w:val="List Bullet 22 Char"/>
    <w:basedOn w:val="AERbodytextChar"/>
    <w:link w:val="ListBullet22"/>
    <w:rsid w:val="00101A4E"/>
    <w:rPr>
      <w:rFonts w:ascii="Gautami" w:eastAsia="Times New Roman" w:hAnsi="Gautami"/>
      <w:szCs w:val="24"/>
      <w:lang w:val="en-AU" w:eastAsia="en-US" w:bidi="ar-SA"/>
    </w:rPr>
  </w:style>
  <w:style w:type="character" w:customStyle="1" w:styleId="NUMBEREDLISTChar">
    <w:name w:val="NUMBERED LIST Char"/>
    <w:basedOn w:val="ListBullet22Char"/>
    <w:link w:val="NUMBEREDLIST"/>
    <w:rsid w:val="00101A4E"/>
    <w:rPr>
      <w:rFonts w:ascii="Gautami" w:eastAsia="Times New Roman" w:hAnsi="Gautami"/>
      <w:szCs w:val="24"/>
      <w:lang w:val="en-A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0" w:semiHidden="0" w:uiPriority="0" w:unhideWhenUsed="0" w:qFormat="1"/>
    <w:lsdException w:name="heading 6" w:locked="0" w:semiHidden="0" w:uiPriority="9" w:unhideWhenUsed="0" w:qFormat="1"/>
    <w:lsdException w:name="heading 7" w:uiPriority="9" w:qFormat="1"/>
    <w:lsdException w:name="heading 8" w:uiPriority="0" w:qFormat="1"/>
    <w:lsdException w:name="heading 9" w:uiPriority="9" w:qFormat="1"/>
    <w:lsdException w:name="toc 1" w:locked="0" w:uiPriority="0"/>
    <w:lsdException w:name="toc 2" w:locked="0" w:uiPriority="39"/>
    <w:lsdException w:name="toc 3" w:locked="0"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locked="0" w:uiPriority="0" w:qFormat="1"/>
    <w:lsdException w:name="header" w:uiPriority="0"/>
    <w:lsdException w:name="footer" w:locked="0" w:uiPriority="0"/>
    <w:lsdException w:name="caption" w:semiHidden="0" w:uiPriority="0" w:unhideWhenUsed="0" w:qFormat="1"/>
    <w:lsdException w:name="footnote reference" w:locked="0" w:uiPriority="0"/>
    <w:lsdException w:name="page number" w:locked="0" w:uiPriority="0"/>
    <w:lsdException w:name="endnote reference" w:uiPriority="0"/>
    <w:lsdException w:name="endnote text" w:uiPriority="0"/>
    <w:lsdException w:name="Title" w:semiHidden="0" w:uiPriority="0" w:unhideWhenUsed="0" w:qFormat="1"/>
    <w:lsdException w:name="Default Paragraph Font" w:locked="0" w:uiPriority="1"/>
    <w:lsdException w:name="Body Text" w:uiPriority="0"/>
    <w:lsdException w:name="Subtitle" w:semiHidden="0" w:uiPriority="0" w:unhideWhenUsed="0" w:qFormat="1"/>
    <w:lsdException w:name="Body Text 3" w:uiPriority="0"/>
    <w:lsdException w:name="Hyperlink" w:locked="0"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locked="0"/>
    <w:lsdException w:name="HTML Bottom of Form" w:locked="0"/>
    <w:lsdException w:name="Normal Table" w:locked="0"/>
    <w:lsdException w:name="annotation subject" w:uiPriority="0"/>
    <w:lsdException w:name="No List" w:locked="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Normal">
    <w:name w:val="Normal"/>
    <w:qFormat/>
    <w:rsid w:val="00D11C8B"/>
    <w:pPr>
      <w:spacing w:line="288" w:lineRule="auto"/>
      <w:jc w:val="both"/>
    </w:pPr>
    <w:rPr>
      <w:rFonts w:ascii="Gautami" w:eastAsia="Times New Roman" w:hAnsi="Gautami"/>
      <w:szCs w:val="24"/>
    </w:rPr>
  </w:style>
  <w:style w:type="paragraph" w:styleId="Heading1">
    <w:name w:val="heading 1"/>
    <w:basedOn w:val="Normal"/>
    <w:next w:val="Normal"/>
    <w:qFormat/>
    <w:locked/>
    <w:rsid w:val="009E0F39"/>
    <w:pPr>
      <w:keepNext/>
      <w:keepLines/>
      <w:numPr>
        <w:ilvl w:val="1"/>
        <w:numId w:val="10"/>
      </w:numPr>
      <w:spacing w:before="480"/>
      <w:outlineLvl w:val="0"/>
    </w:pPr>
    <w:rPr>
      <w:rFonts w:ascii="Cambria" w:hAnsi="Cambria"/>
      <w:b/>
      <w:bCs/>
      <w:color w:val="365F91"/>
      <w:sz w:val="28"/>
      <w:szCs w:val="28"/>
    </w:rPr>
  </w:style>
  <w:style w:type="paragraph" w:styleId="Heading2">
    <w:name w:val="heading 2"/>
    <w:aliases w:val="AER Heading 2 (new)"/>
    <w:basedOn w:val="Normal"/>
    <w:next w:val="Normal"/>
    <w:link w:val="Heading2Char"/>
    <w:qFormat/>
    <w:locked/>
    <w:rsid w:val="00BD4E2C"/>
    <w:pPr>
      <w:keepNext/>
      <w:spacing w:before="120" w:after="120"/>
      <w:outlineLvl w:val="1"/>
    </w:pPr>
    <w:rPr>
      <w:rFonts w:cs="Arial"/>
      <w:b/>
      <w:bCs/>
      <w:iCs/>
      <w:color w:val="4A442A" w:themeColor="background2" w:themeShade="40"/>
      <w:sz w:val="28"/>
      <w:szCs w:val="28"/>
    </w:rPr>
  </w:style>
  <w:style w:type="paragraph" w:styleId="Heading3">
    <w:name w:val="heading 3"/>
    <w:basedOn w:val="Normal"/>
    <w:next w:val="Normal"/>
    <w:qFormat/>
    <w:locked/>
    <w:rsid w:val="00CB4D3C"/>
    <w:pPr>
      <w:keepNext/>
      <w:spacing w:before="240" w:after="60"/>
      <w:outlineLvl w:val="2"/>
    </w:pPr>
    <w:rPr>
      <w:rFonts w:ascii="Arial" w:hAnsi="Arial" w:cs="Arial"/>
      <w:b/>
      <w:bCs/>
      <w:sz w:val="26"/>
      <w:szCs w:val="26"/>
    </w:rPr>
  </w:style>
  <w:style w:type="paragraph" w:styleId="Heading4">
    <w:name w:val="heading 4"/>
    <w:basedOn w:val="Normal"/>
    <w:next w:val="Normal"/>
    <w:qFormat/>
    <w:locked/>
    <w:rsid w:val="00CB4D3C"/>
    <w:pPr>
      <w:numPr>
        <w:numId w:val="17"/>
      </w:numPr>
      <w:spacing w:after="200" w:line="276" w:lineRule="auto"/>
      <w:contextualSpacing/>
      <w:jc w:val="left"/>
      <w:outlineLvl w:val="3"/>
    </w:pPr>
    <w:rPr>
      <w:rFonts w:ascii="Calibri" w:eastAsia="Calibri" w:hAnsi="Calibri"/>
      <w:i/>
      <w:sz w:val="22"/>
      <w:szCs w:val="22"/>
      <w:lang w:eastAsia="en-US"/>
    </w:rPr>
  </w:style>
  <w:style w:type="paragraph" w:styleId="Heading5">
    <w:name w:val="heading 5"/>
    <w:basedOn w:val="Normal"/>
    <w:next w:val="Normal"/>
    <w:qFormat/>
    <w:locked/>
    <w:rsid w:val="009E0F39"/>
    <w:pPr>
      <w:keepNext/>
      <w:keepLines/>
      <w:spacing w:before="200"/>
      <w:outlineLvl w:val="4"/>
    </w:pPr>
    <w:rPr>
      <w:rFonts w:ascii="Cambria" w:hAnsi="Cambria"/>
      <w:color w:val="243F60"/>
    </w:rPr>
  </w:style>
  <w:style w:type="paragraph" w:styleId="Heading6">
    <w:name w:val="heading 6"/>
    <w:basedOn w:val="Normal"/>
    <w:next w:val="Normal"/>
    <w:uiPriority w:val="9"/>
    <w:qFormat/>
    <w:locked/>
    <w:rsid w:val="009E0F39"/>
    <w:pPr>
      <w:keepNext/>
      <w:keepLines/>
      <w:spacing w:before="200"/>
      <w:outlineLvl w:val="5"/>
    </w:pPr>
    <w:rPr>
      <w:rFonts w:ascii="Cambria" w:hAnsi="Cambria"/>
      <w:i/>
      <w:iCs/>
      <w:color w:val="243F60"/>
    </w:rPr>
  </w:style>
  <w:style w:type="paragraph" w:styleId="Heading7">
    <w:name w:val="heading 7"/>
    <w:basedOn w:val="AERHeading1new"/>
    <w:next w:val="AERbodytext"/>
    <w:link w:val="Heading7Char"/>
    <w:uiPriority w:val="9"/>
    <w:qFormat/>
    <w:locked/>
    <w:rsid w:val="00CF67B7"/>
    <w:pPr>
      <w:numPr>
        <w:ilvl w:val="4"/>
      </w:numPr>
      <w:outlineLvl w:val="6"/>
    </w:pPr>
    <w:rPr>
      <w:iCs/>
      <w:szCs w:val="24"/>
    </w:rPr>
  </w:style>
  <w:style w:type="paragraph" w:styleId="Heading8">
    <w:name w:val="heading 8"/>
    <w:basedOn w:val="Heading7"/>
    <w:next w:val="AERbodytext"/>
    <w:link w:val="Heading8Char"/>
    <w:qFormat/>
    <w:locked/>
    <w:rsid w:val="00CF67B7"/>
    <w:pPr>
      <w:pageBreakBefore w:val="0"/>
      <w:numPr>
        <w:ilvl w:val="5"/>
      </w:numPr>
      <w:outlineLvl w:val="7"/>
    </w:pPr>
    <w:rPr>
      <w:sz w:val="28"/>
      <w:szCs w:val="20"/>
    </w:rPr>
  </w:style>
  <w:style w:type="paragraph" w:styleId="Heading9">
    <w:name w:val="heading 9"/>
    <w:basedOn w:val="Heading8"/>
    <w:next w:val="AERbodytext"/>
    <w:link w:val="Heading9Char"/>
    <w:uiPriority w:val="9"/>
    <w:qFormat/>
    <w:locked/>
    <w:rsid w:val="00CF67B7"/>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Rbodytext">
    <w:name w:val="AER body text"/>
    <w:link w:val="AERbodytextChar"/>
    <w:qFormat/>
    <w:rsid w:val="009E0F39"/>
    <w:pPr>
      <w:spacing w:after="240" w:line="288" w:lineRule="auto"/>
      <w:jc w:val="both"/>
    </w:pPr>
    <w:rPr>
      <w:rFonts w:ascii="Gautami" w:eastAsia="Times New Roman" w:hAnsi="Gautami"/>
      <w:szCs w:val="24"/>
      <w:lang w:eastAsia="en-US"/>
    </w:rPr>
  </w:style>
  <w:style w:type="paragraph" w:customStyle="1" w:styleId="AERtabletitle">
    <w:name w:val="AER table title"/>
    <w:basedOn w:val="Figureheading"/>
    <w:next w:val="Normal"/>
    <w:qFormat/>
    <w:rsid w:val="003D3AB6"/>
    <w:pPr>
      <w:numPr>
        <w:ilvl w:val="0"/>
        <w:numId w:val="0"/>
      </w:numPr>
    </w:pPr>
  </w:style>
  <w:style w:type="paragraph" w:customStyle="1" w:styleId="Figureheading">
    <w:name w:val="Figure heading"/>
    <w:basedOn w:val="Normal"/>
    <w:next w:val="AERbodytext"/>
    <w:qFormat/>
    <w:rsid w:val="00E968C9"/>
    <w:pPr>
      <w:keepNext/>
      <w:numPr>
        <w:ilvl w:val="3"/>
        <w:numId w:val="5"/>
      </w:numPr>
      <w:tabs>
        <w:tab w:val="left" w:pos="1474"/>
      </w:tabs>
      <w:spacing w:before="240" w:after="120"/>
      <w:outlineLvl w:val="3"/>
    </w:pPr>
    <w:rPr>
      <w:b/>
      <w:lang w:eastAsia="en-US"/>
    </w:rPr>
  </w:style>
  <w:style w:type="paragraph" w:customStyle="1" w:styleId="Listbullet1">
    <w:name w:val="List bullet 1"/>
    <w:basedOn w:val="AERbodytext"/>
    <w:link w:val="Listbullet1Char"/>
    <w:qFormat/>
    <w:rsid w:val="00E5080D"/>
    <w:pPr>
      <w:numPr>
        <w:numId w:val="8"/>
      </w:numPr>
      <w:tabs>
        <w:tab w:val="left" w:pos="0"/>
      </w:tabs>
    </w:pPr>
    <w:rPr>
      <w:szCs w:val="16"/>
    </w:rPr>
  </w:style>
  <w:style w:type="paragraph" w:customStyle="1" w:styleId="ListBullet22">
    <w:name w:val="List Bullet 22"/>
    <w:basedOn w:val="AERbodytext"/>
    <w:link w:val="ListBullet22Char"/>
    <w:qFormat/>
    <w:rsid w:val="00101A4E"/>
    <w:pPr>
      <w:numPr>
        <w:numId w:val="1"/>
      </w:numPr>
      <w:spacing w:after="200"/>
    </w:pPr>
  </w:style>
  <w:style w:type="paragraph" w:customStyle="1" w:styleId="Listalpha">
    <w:name w:val="List alpha"/>
    <w:basedOn w:val="Normal"/>
    <w:qFormat/>
    <w:rsid w:val="00C33BAB"/>
    <w:pPr>
      <w:numPr>
        <w:numId w:val="3"/>
      </w:numPr>
      <w:spacing w:after="200" w:line="200" w:lineRule="atLeast"/>
    </w:pPr>
    <w:rPr>
      <w:lang w:eastAsia="en-US"/>
    </w:rPr>
  </w:style>
  <w:style w:type="paragraph" w:customStyle="1" w:styleId="Listnumbered3">
    <w:name w:val="List numbered 3"/>
    <w:basedOn w:val="AERbodytext"/>
    <w:qFormat/>
    <w:rsid w:val="009E0F39"/>
    <w:pPr>
      <w:numPr>
        <w:numId w:val="2"/>
      </w:numPr>
      <w:tabs>
        <w:tab w:val="clear" w:pos="1440"/>
        <w:tab w:val="left" w:pos="1077"/>
      </w:tabs>
      <w:spacing w:after="200"/>
      <w:ind w:left="1077" w:hanging="357"/>
    </w:pPr>
  </w:style>
  <w:style w:type="paragraph" w:customStyle="1" w:styleId="AERquote">
    <w:name w:val="AER quote"/>
    <w:basedOn w:val="AERbodytextindent1"/>
    <w:next w:val="AERbodytext"/>
    <w:qFormat/>
    <w:rsid w:val="009E0F39"/>
    <w:pPr>
      <w:spacing w:after="160"/>
      <w:ind w:right="1077"/>
    </w:pPr>
    <w:rPr>
      <w:color w:val="000000"/>
      <w:sz w:val="16"/>
    </w:rPr>
  </w:style>
  <w:style w:type="paragraph" w:customStyle="1" w:styleId="AERbodytextindent1">
    <w:name w:val="AER body text (indent 1)"/>
    <w:basedOn w:val="AERbodytext"/>
    <w:rsid w:val="009E0F39"/>
    <w:pPr>
      <w:ind w:left="357"/>
    </w:pPr>
  </w:style>
  <w:style w:type="table" w:customStyle="1" w:styleId="AERtable-numbers">
    <w:name w:val="AER table - numbers"/>
    <w:basedOn w:val="TableNormal"/>
    <w:rsid w:val="009D62B2"/>
    <w:pPr>
      <w:keepNext/>
      <w:spacing w:before="40" w:after="40"/>
      <w:jc w:val="right"/>
    </w:pPr>
    <w:rPr>
      <w:rFonts w:ascii="Gautami" w:eastAsia="Times New Roman" w:hAnsi="Gautami"/>
      <w:sz w:val="16"/>
    </w:rPr>
    <w:tblPr>
      <w:tblStyleRowBandSize w:val="1"/>
      <w:tblInd w:w="113"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Sourceandnotes">
    <w:name w:val="Source and notes"/>
    <w:next w:val="AERbodytext"/>
    <w:qFormat/>
    <w:rsid w:val="009E0F39"/>
    <w:pPr>
      <w:tabs>
        <w:tab w:val="left" w:pos="1361"/>
      </w:tabs>
      <w:spacing w:before="40" w:after="240"/>
      <w:ind w:left="794" w:right="1077" w:hanging="794"/>
      <w:contextualSpacing/>
    </w:pPr>
    <w:rPr>
      <w:rFonts w:ascii="Gautami" w:eastAsia="Times New Roman" w:hAnsi="Gautami"/>
      <w:sz w:val="16"/>
      <w:szCs w:val="24"/>
      <w:lang w:eastAsia="en-US"/>
    </w:rPr>
  </w:style>
  <w:style w:type="paragraph" w:customStyle="1" w:styleId="AERtabletext">
    <w:name w:val="AER table text"/>
    <w:basedOn w:val="Normal"/>
    <w:link w:val="AERtabletextChar"/>
    <w:qFormat/>
    <w:rsid w:val="009E0F39"/>
    <w:pPr>
      <w:widowControl w:val="0"/>
      <w:spacing w:before="120" w:after="120"/>
      <w:jc w:val="left"/>
    </w:pPr>
    <w:rPr>
      <w:sz w:val="16"/>
      <w:lang w:eastAsia="en-US"/>
    </w:rPr>
  </w:style>
  <w:style w:type="paragraph" w:customStyle="1" w:styleId="AERtabletextheading">
    <w:name w:val="AER table text heading"/>
    <w:link w:val="AERtabletextheadingChar"/>
    <w:qFormat/>
    <w:rsid w:val="00BB00F8"/>
    <w:pPr>
      <w:spacing w:before="120" w:after="120"/>
    </w:pPr>
    <w:rPr>
      <w:rFonts w:ascii="Gautami" w:eastAsia="Times New Roman" w:hAnsi="Gautami"/>
      <w:b/>
      <w:sz w:val="16"/>
      <w:szCs w:val="16"/>
      <w:lang w:eastAsia="en-US"/>
    </w:rPr>
  </w:style>
  <w:style w:type="paragraph" w:styleId="Footer">
    <w:name w:val="footer"/>
    <w:basedOn w:val="Normal"/>
    <w:link w:val="FooterChar"/>
    <w:rsid w:val="009E0F39"/>
    <w:pPr>
      <w:tabs>
        <w:tab w:val="center" w:pos="4153"/>
        <w:tab w:val="right" w:pos="8306"/>
      </w:tabs>
    </w:pPr>
  </w:style>
  <w:style w:type="character" w:styleId="PageNumber">
    <w:name w:val="page number"/>
    <w:basedOn w:val="DefaultParagraphFont"/>
    <w:rsid w:val="009E0F39"/>
    <w:rPr>
      <w:rFonts w:ascii="Gautami" w:hAnsi="Gautami"/>
      <w:sz w:val="18"/>
    </w:rPr>
  </w:style>
  <w:style w:type="table" w:customStyle="1" w:styleId="AERtable-text">
    <w:name w:val="AER table - text"/>
    <w:basedOn w:val="AERtable-numbers"/>
    <w:rsid w:val="009D62B2"/>
    <w:pPr>
      <w:jc w:val="left"/>
    </w:pPr>
    <w:tblPr>
      <w:tblStyleRowBandSize w:val="1"/>
      <w:tblInd w:w="113"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styleId="Header">
    <w:name w:val="header"/>
    <w:basedOn w:val="Normal"/>
    <w:link w:val="HeaderChar"/>
    <w:locked/>
    <w:rsid w:val="009E0F39"/>
    <w:pPr>
      <w:tabs>
        <w:tab w:val="center" w:pos="4153"/>
        <w:tab w:val="right" w:pos="8306"/>
      </w:tabs>
    </w:pPr>
  </w:style>
  <w:style w:type="character" w:styleId="CommentReference">
    <w:name w:val="annotation reference"/>
    <w:basedOn w:val="DefaultParagraphFont"/>
    <w:uiPriority w:val="99"/>
    <w:semiHidden/>
    <w:locked/>
    <w:rsid w:val="009E0F39"/>
    <w:rPr>
      <w:sz w:val="16"/>
      <w:szCs w:val="16"/>
    </w:rPr>
  </w:style>
  <w:style w:type="paragraph" w:styleId="CommentSubject">
    <w:name w:val="annotation subject"/>
    <w:basedOn w:val="Normal"/>
    <w:semiHidden/>
    <w:locked/>
    <w:rsid w:val="00C33BAB"/>
    <w:rPr>
      <w:b/>
      <w:bCs/>
    </w:rPr>
  </w:style>
  <w:style w:type="paragraph" w:styleId="BalloonText">
    <w:name w:val="Balloon Text"/>
    <w:basedOn w:val="Normal"/>
    <w:semiHidden/>
    <w:locked/>
    <w:rsid w:val="009E0F39"/>
    <w:rPr>
      <w:rFonts w:ascii="Tahoma" w:hAnsi="Tahoma" w:cs="Tahoma"/>
      <w:sz w:val="16"/>
      <w:szCs w:val="16"/>
    </w:rPr>
  </w:style>
  <w:style w:type="paragraph" w:customStyle="1" w:styleId="AERtabletext-numbers">
    <w:name w:val="AER table text - numbers"/>
    <w:basedOn w:val="AERtabletext"/>
    <w:uiPriority w:val="99"/>
    <w:qFormat/>
    <w:rsid w:val="009E0F39"/>
    <w:pPr>
      <w:keepNext/>
      <w:jc w:val="right"/>
    </w:pPr>
  </w:style>
  <w:style w:type="character" w:customStyle="1" w:styleId="AERtextitalic">
    <w:name w:val="AER text italic"/>
    <w:qFormat/>
    <w:rsid w:val="009E0F39"/>
    <w:rPr>
      <w:i/>
    </w:rPr>
  </w:style>
  <w:style w:type="character" w:styleId="Hyperlink">
    <w:name w:val="Hyperlink"/>
    <w:basedOn w:val="DefaultParagraphFont"/>
    <w:rsid w:val="006046F2"/>
    <w:rPr>
      <w:color w:val="0000FF"/>
      <w:u w:val="single"/>
    </w:rPr>
  </w:style>
  <w:style w:type="table" w:styleId="TableGrid">
    <w:name w:val="Table Grid"/>
    <w:basedOn w:val="TableNormal"/>
    <w:locked/>
    <w:rsid w:val="00F52E01"/>
    <w:pPr>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semiHidden/>
    <w:locked/>
    <w:rsid w:val="00F968D4"/>
    <w:rPr>
      <w:szCs w:val="20"/>
    </w:rPr>
  </w:style>
  <w:style w:type="character" w:styleId="EndnoteReference">
    <w:name w:val="endnote reference"/>
    <w:basedOn w:val="DefaultParagraphFont"/>
    <w:semiHidden/>
    <w:locked/>
    <w:rsid w:val="00F968D4"/>
    <w:rPr>
      <w:vertAlign w:val="superscript"/>
    </w:rPr>
  </w:style>
  <w:style w:type="paragraph" w:styleId="TOC4">
    <w:name w:val="toc 4"/>
    <w:basedOn w:val="Normal"/>
    <w:next w:val="Normal"/>
    <w:autoRedefine/>
    <w:semiHidden/>
    <w:locked/>
    <w:rsid w:val="00C90C00"/>
    <w:pPr>
      <w:ind w:left="600"/>
    </w:pPr>
  </w:style>
  <w:style w:type="paragraph" w:styleId="TOC5">
    <w:name w:val="toc 5"/>
    <w:basedOn w:val="Normal"/>
    <w:next w:val="Normal"/>
    <w:autoRedefine/>
    <w:semiHidden/>
    <w:locked/>
    <w:rsid w:val="00C90C00"/>
    <w:pPr>
      <w:ind w:left="800"/>
    </w:pPr>
  </w:style>
  <w:style w:type="paragraph" w:styleId="TOC6">
    <w:name w:val="toc 6"/>
    <w:basedOn w:val="Normal"/>
    <w:next w:val="Normal"/>
    <w:autoRedefine/>
    <w:semiHidden/>
    <w:locked/>
    <w:rsid w:val="00C90C00"/>
    <w:pPr>
      <w:ind w:left="1000"/>
    </w:pPr>
  </w:style>
  <w:style w:type="paragraph" w:styleId="TOC7">
    <w:name w:val="toc 7"/>
    <w:basedOn w:val="Normal"/>
    <w:next w:val="Normal"/>
    <w:autoRedefine/>
    <w:semiHidden/>
    <w:locked/>
    <w:rsid w:val="00C90C00"/>
    <w:pPr>
      <w:ind w:left="1200"/>
    </w:pPr>
  </w:style>
  <w:style w:type="paragraph" w:styleId="TOC8">
    <w:name w:val="toc 8"/>
    <w:basedOn w:val="Normal"/>
    <w:next w:val="Normal"/>
    <w:autoRedefine/>
    <w:semiHidden/>
    <w:locked/>
    <w:rsid w:val="00C90C00"/>
    <w:pPr>
      <w:ind w:left="1400"/>
    </w:pPr>
  </w:style>
  <w:style w:type="paragraph" w:styleId="TOC9">
    <w:name w:val="toc 9"/>
    <w:basedOn w:val="Normal"/>
    <w:next w:val="Normal"/>
    <w:autoRedefine/>
    <w:semiHidden/>
    <w:locked/>
    <w:rsid w:val="00C90C00"/>
    <w:pPr>
      <w:ind w:left="1600"/>
    </w:pPr>
  </w:style>
  <w:style w:type="paragraph" w:styleId="DocumentMap">
    <w:name w:val="Document Map"/>
    <w:basedOn w:val="Normal"/>
    <w:semiHidden/>
    <w:locked/>
    <w:rsid w:val="00361B64"/>
    <w:pPr>
      <w:shd w:val="clear" w:color="auto" w:fill="000080"/>
    </w:pPr>
    <w:rPr>
      <w:rFonts w:ascii="Tahoma" w:hAnsi="Tahoma" w:cs="Tahoma"/>
      <w:szCs w:val="20"/>
    </w:rPr>
  </w:style>
  <w:style w:type="paragraph" w:styleId="Title">
    <w:name w:val="Title"/>
    <w:basedOn w:val="Normal"/>
    <w:link w:val="TitleChar"/>
    <w:qFormat/>
    <w:locked/>
    <w:rsid w:val="006A4343"/>
    <w:pPr>
      <w:spacing w:before="240" w:after="60"/>
      <w:jc w:val="center"/>
      <w:outlineLvl w:val="0"/>
    </w:pPr>
    <w:rPr>
      <w:rFonts w:ascii="Arial" w:hAnsi="Arial" w:cs="Arial"/>
      <w:b/>
      <w:bCs/>
      <w:kern w:val="28"/>
      <w:sz w:val="32"/>
      <w:szCs w:val="32"/>
    </w:rPr>
  </w:style>
  <w:style w:type="paragraph" w:styleId="Caption">
    <w:name w:val="caption"/>
    <w:basedOn w:val="Normal"/>
    <w:next w:val="Normal"/>
    <w:qFormat/>
    <w:locked/>
    <w:rsid w:val="00C935BF"/>
    <w:pPr>
      <w:keepNext/>
    </w:pPr>
    <w:rPr>
      <w:b/>
      <w:bCs/>
      <w:szCs w:val="20"/>
    </w:rPr>
  </w:style>
  <w:style w:type="paragraph" w:styleId="ListBullet">
    <w:name w:val="List Bullet"/>
    <w:basedOn w:val="Normal"/>
    <w:uiPriority w:val="99"/>
    <w:semiHidden/>
    <w:unhideWhenUsed/>
    <w:locked/>
    <w:rsid w:val="000733BC"/>
    <w:pPr>
      <w:numPr>
        <w:numId w:val="4"/>
      </w:numPr>
      <w:contextualSpacing/>
    </w:pPr>
  </w:style>
  <w:style w:type="paragraph" w:styleId="Revision">
    <w:name w:val="Revision"/>
    <w:hidden/>
    <w:uiPriority w:val="99"/>
    <w:semiHidden/>
    <w:rsid w:val="00740BD4"/>
    <w:rPr>
      <w:rFonts w:ascii="Gautami" w:eastAsia="Times New Roman" w:hAnsi="Gautami"/>
      <w:szCs w:val="24"/>
    </w:rPr>
  </w:style>
  <w:style w:type="character" w:customStyle="1" w:styleId="AERbodytextChar">
    <w:name w:val="AER body text Char"/>
    <w:basedOn w:val="DefaultParagraphFont"/>
    <w:link w:val="AERbodytext"/>
    <w:rsid w:val="00FA426B"/>
    <w:rPr>
      <w:rFonts w:ascii="Gautami" w:eastAsia="Times New Roman" w:hAnsi="Gautami"/>
      <w:szCs w:val="24"/>
      <w:lang w:val="en-AU" w:eastAsia="en-US" w:bidi="ar-SA"/>
    </w:rPr>
  </w:style>
  <w:style w:type="character" w:customStyle="1" w:styleId="Listbullet1Char">
    <w:name w:val="List bullet 1 Char"/>
    <w:basedOn w:val="DefaultParagraphFont"/>
    <w:link w:val="Listbullet1"/>
    <w:rsid w:val="00E5080D"/>
    <w:rPr>
      <w:rFonts w:ascii="Gautami" w:eastAsia="Times New Roman" w:hAnsi="Gautami"/>
      <w:szCs w:val="16"/>
      <w:lang w:eastAsia="en-US"/>
    </w:rPr>
  </w:style>
  <w:style w:type="character" w:customStyle="1" w:styleId="AERtabletextChar">
    <w:name w:val="AER table text Char"/>
    <w:basedOn w:val="DefaultParagraphFont"/>
    <w:link w:val="AERtabletext"/>
    <w:locked/>
    <w:rsid w:val="00445784"/>
    <w:rPr>
      <w:rFonts w:ascii="Gautami" w:eastAsia="Times New Roman" w:hAnsi="Gautami"/>
      <w:sz w:val="16"/>
      <w:szCs w:val="24"/>
      <w:lang w:eastAsia="en-US"/>
    </w:rPr>
  </w:style>
  <w:style w:type="character" w:customStyle="1" w:styleId="AERtabletextheadingChar">
    <w:name w:val="AER table text heading Char"/>
    <w:basedOn w:val="DefaultParagraphFont"/>
    <w:link w:val="AERtabletextheading"/>
    <w:locked/>
    <w:rsid w:val="00203C6E"/>
    <w:rPr>
      <w:rFonts w:ascii="Gautami" w:eastAsia="Times New Roman" w:hAnsi="Gautami"/>
      <w:b/>
      <w:sz w:val="16"/>
      <w:szCs w:val="16"/>
      <w:lang w:val="en-AU" w:eastAsia="en-US" w:bidi="ar-SA"/>
    </w:rPr>
  </w:style>
  <w:style w:type="numbering" w:styleId="1ai">
    <w:name w:val="Outline List 1"/>
    <w:aliases w:val="AER Numbered List"/>
    <w:basedOn w:val="NoList"/>
    <w:locked/>
    <w:rsid w:val="00BB76F8"/>
    <w:pPr>
      <w:numPr>
        <w:numId w:val="6"/>
      </w:numPr>
    </w:pPr>
  </w:style>
  <w:style w:type="character" w:customStyle="1" w:styleId="FootnoteReference1">
    <w:name w:val="Footnote Reference1"/>
    <w:rsid w:val="00EA57C3"/>
    <w:rPr>
      <w:color w:val="000000"/>
      <w:vertAlign w:val="superscript"/>
    </w:rPr>
  </w:style>
  <w:style w:type="character" w:customStyle="1" w:styleId="Heading7Char">
    <w:name w:val="Heading 7 Char"/>
    <w:basedOn w:val="DefaultParagraphFont"/>
    <w:link w:val="Heading7"/>
    <w:uiPriority w:val="9"/>
    <w:rsid w:val="00CF67B7"/>
    <w:rPr>
      <w:rFonts w:ascii="Gautami" w:eastAsia="Times New Roman" w:hAnsi="Gautami"/>
      <w:b/>
      <w:bCs/>
      <w:iCs/>
      <w:color w:val="4A442A" w:themeColor="background2" w:themeShade="40"/>
      <w:sz w:val="36"/>
      <w:szCs w:val="24"/>
      <w:lang w:eastAsia="en-US"/>
    </w:rPr>
  </w:style>
  <w:style w:type="character" w:customStyle="1" w:styleId="Heading8Char">
    <w:name w:val="Heading 8 Char"/>
    <w:basedOn w:val="DefaultParagraphFont"/>
    <w:link w:val="Heading8"/>
    <w:rsid w:val="00CF67B7"/>
    <w:rPr>
      <w:rFonts w:ascii="Gautami" w:eastAsia="Times New Roman" w:hAnsi="Gautami"/>
      <w:b/>
      <w:bCs/>
      <w:iCs/>
      <w:color w:val="4A442A" w:themeColor="background2" w:themeShade="40"/>
      <w:sz w:val="28"/>
      <w:lang w:eastAsia="en-US"/>
    </w:rPr>
  </w:style>
  <w:style w:type="character" w:customStyle="1" w:styleId="Heading9Char">
    <w:name w:val="Heading 9 Char"/>
    <w:basedOn w:val="DefaultParagraphFont"/>
    <w:link w:val="Heading9"/>
    <w:uiPriority w:val="9"/>
    <w:rsid w:val="00CF67B7"/>
    <w:rPr>
      <w:rFonts w:ascii="Gautami" w:eastAsia="Times New Roman" w:hAnsi="Gautami"/>
      <w:b/>
      <w:bCs/>
      <w:color w:val="4A442A" w:themeColor="background2" w:themeShade="40"/>
      <w:sz w:val="24"/>
      <w:lang w:eastAsia="en-US"/>
    </w:rPr>
  </w:style>
  <w:style w:type="numbering" w:customStyle="1" w:styleId="AERHeadings">
    <w:name w:val="AER Headings"/>
    <w:uiPriority w:val="99"/>
    <w:rsid w:val="00CF67B7"/>
    <w:pPr>
      <w:numPr>
        <w:numId w:val="7"/>
      </w:numPr>
    </w:pPr>
  </w:style>
  <w:style w:type="paragraph" w:customStyle="1" w:styleId="AERHeading1new">
    <w:name w:val="AER Heading 1 (new)"/>
    <w:basedOn w:val="Heading1"/>
    <w:next w:val="AERbodytext"/>
    <w:link w:val="AERHeading1newChar"/>
    <w:qFormat/>
    <w:rsid w:val="005F739F"/>
    <w:pPr>
      <w:pageBreakBefore/>
      <w:numPr>
        <w:ilvl w:val="0"/>
      </w:numPr>
      <w:spacing w:before="120" w:after="120"/>
    </w:pPr>
    <w:rPr>
      <w:rFonts w:ascii="Gautami" w:hAnsi="Gautami"/>
      <w:color w:val="4A442A" w:themeColor="background2" w:themeShade="40"/>
      <w:sz w:val="36"/>
      <w:lang w:eastAsia="en-US"/>
    </w:rPr>
  </w:style>
  <w:style w:type="character" w:customStyle="1" w:styleId="FooterChar">
    <w:name w:val="Footer Char"/>
    <w:basedOn w:val="DefaultParagraphFont"/>
    <w:link w:val="Footer"/>
    <w:uiPriority w:val="99"/>
    <w:rsid w:val="00C23B50"/>
    <w:rPr>
      <w:rFonts w:ascii="Gautami" w:eastAsia="Times New Roman" w:hAnsi="Gautami"/>
      <w:szCs w:val="24"/>
    </w:rPr>
  </w:style>
  <w:style w:type="numbering" w:customStyle="1" w:styleId="AERnumberedlist">
    <w:name w:val="AER numbered list"/>
    <w:uiPriority w:val="99"/>
    <w:rsid w:val="00EF2D0E"/>
    <w:pPr>
      <w:numPr>
        <w:numId w:val="9"/>
      </w:numPr>
    </w:pPr>
  </w:style>
  <w:style w:type="character" w:customStyle="1" w:styleId="AERHeading1newChar">
    <w:name w:val="AER Heading 1 (new) Char"/>
    <w:basedOn w:val="DefaultParagraphFont"/>
    <w:link w:val="AERHeading1new"/>
    <w:rsid w:val="005F739F"/>
    <w:rPr>
      <w:rFonts w:ascii="Gautami" w:eastAsia="Times New Roman" w:hAnsi="Gautami"/>
      <w:b/>
      <w:bCs/>
      <w:color w:val="4A442A" w:themeColor="background2" w:themeShade="40"/>
      <w:sz w:val="36"/>
      <w:szCs w:val="28"/>
      <w:lang w:eastAsia="en-US"/>
    </w:rPr>
  </w:style>
  <w:style w:type="paragraph" w:customStyle="1" w:styleId="Copyrighttext">
    <w:name w:val="Copyright text"/>
    <w:basedOn w:val="Normal"/>
    <w:rsid w:val="00D055E8"/>
    <w:pPr>
      <w:spacing w:before="240" w:after="240" w:line="240" w:lineRule="auto"/>
      <w:jc w:val="left"/>
    </w:pPr>
    <w:rPr>
      <w:lang w:eastAsia="en-US"/>
    </w:rPr>
  </w:style>
  <w:style w:type="table" w:styleId="TableClassic2">
    <w:name w:val="Table Classic 2"/>
    <w:basedOn w:val="TableNormal"/>
    <w:locked/>
    <w:rsid w:val="005D3AE3"/>
    <w:rPr>
      <w:rFonts w:ascii="Times" w:eastAsia="Times New Roman" w:hAnsi="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locked/>
    <w:rsid w:val="005D3AE3"/>
    <w:rPr>
      <w:rFonts w:ascii="Times" w:eastAsia="Times New Roman" w:hAnsi="Tim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locked/>
    <w:rsid w:val="005D3AE3"/>
    <w:rPr>
      <w:rFonts w:ascii="Times" w:eastAsia="Times New Roman" w:hAnsi="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5D3AE3"/>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Heading2Char">
    <w:name w:val="Heading 2 Char"/>
    <w:aliases w:val="AER Heading 2 (new) Char"/>
    <w:basedOn w:val="DefaultParagraphFont"/>
    <w:link w:val="Heading2"/>
    <w:rsid w:val="00BD4E2C"/>
    <w:rPr>
      <w:rFonts w:ascii="Gautami" w:eastAsia="Times New Roman" w:hAnsi="Gautami" w:cs="Arial"/>
      <w:b/>
      <w:bCs/>
      <w:iCs/>
      <w:color w:val="4A442A" w:themeColor="background2" w:themeShade="40"/>
      <w:sz w:val="28"/>
      <w:szCs w:val="28"/>
    </w:rPr>
  </w:style>
  <w:style w:type="character" w:customStyle="1" w:styleId="HeaderChar">
    <w:name w:val="Header Char"/>
    <w:basedOn w:val="DefaultParagraphFont"/>
    <w:link w:val="Header"/>
    <w:uiPriority w:val="99"/>
    <w:rsid w:val="00F83806"/>
    <w:rPr>
      <w:rFonts w:ascii="Gautami" w:eastAsia="Times New Roman" w:hAnsi="Gautami"/>
      <w:szCs w:val="24"/>
    </w:rPr>
  </w:style>
  <w:style w:type="character" w:customStyle="1" w:styleId="TitleChar">
    <w:name w:val="Title Char"/>
    <w:basedOn w:val="DefaultParagraphFont"/>
    <w:link w:val="Title"/>
    <w:rsid w:val="00F83806"/>
    <w:rPr>
      <w:rFonts w:ascii="Arial" w:eastAsia="Times New Roman" w:hAnsi="Arial" w:cs="Arial"/>
      <w:b/>
      <w:bCs/>
      <w:kern w:val="28"/>
      <w:sz w:val="32"/>
      <w:szCs w:val="32"/>
    </w:rPr>
  </w:style>
  <w:style w:type="character" w:styleId="Emphasis">
    <w:name w:val="Emphasis"/>
    <w:basedOn w:val="DefaultParagraphFont"/>
    <w:qFormat/>
    <w:locked/>
    <w:rsid w:val="00F83806"/>
    <w:rPr>
      <w:i/>
      <w:iCs/>
    </w:rPr>
  </w:style>
  <w:style w:type="table" w:customStyle="1" w:styleId="MediumList1-Accent11">
    <w:name w:val="Medium List 1 - Accent 11"/>
    <w:basedOn w:val="TableNormal"/>
    <w:uiPriority w:val="65"/>
    <w:rsid w:val="00A7492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1-Accent11">
    <w:name w:val="Medium Shading 1 - Accent 11"/>
    <w:basedOn w:val="TableNormal"/>
    <w:uiPriority w:val="63"/>
    <w:rsid w:val="00A7492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848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A209C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IntenseReference">
    <w:name w:val="Intense Reference"/>
    <w:basedOn w:val="DefaultParagraphFont"/>
    <w:uiPriority w:val="32"/>
    <w:rsid w:val="005F739F"/>
    <w:rPr>
      <w:b/>
      <w:bCs/>
      <w:smallCaps/>
      <w:color w:val="C0504D" w:themeColor="accent2"/>
      <w:spacing w:val="5"/>
      <w:u w:val="single"/>
    </w:rPr>
  </w:style>
  <w:style w:type="character" w:styleId="SubtleReference">
    <w:name w:val="Subtle Reference"/>
    <w:basedOn w:val="DefaultParagraphFont"/>
    <w:uiPriority w:val="31"/>
    <w:rsid w:val="005F739F"/>
    <w:rPr>
      <w:smallCaps/>
      <w:color w:val="C0504D" w:themeColor="accent2"/>
      <w:u w:val="single"/>
    </w:rPr>
  </w:style>
  <w:style w:type="paragraph" w:styleId="CommentText">
    <w:name w:val="annotation text"/>
    <w:basedOn w:val="Normal"/>
    <w:link w:val="CommentTextChar"/>
    <w:uiPriority w:val="99"/>
    <w:unhideWhenUsed/>
    <w:locked/>
    <w:rsid w:val="005D0691"/>
    <w:rPr>
      <w:szCs w:val="20"/>
    </w:rPr>
  </w:style>
  <w:style w:type="character" w:customStyle="1" w:styleId="CommentTextChar">
    <w:name w:val="Comment Text Char"/>
    <w:basedOn w:val="DefaultParagraphFont"/>
    <w:link w:val="CommentText"/>
    <w:uiPriority w:val="99"/>
    <w:rsid w:val="005D0691"/>
    <w:rPr>
      <w:rFonts w:ascii="Gautami" w:eastAsia="Times New Roman" w:hAnsi="Gautami"/>
    </w:rPr>
  </w:style>
  <w:style w:type="character" w:styleId="FollowedHyperlink">
    <w:name w:val="FollowedHyperlink"/>
    <w:basedOn w:val="DefaultParagraphFont"/>
    <w:semiHidden/>
    <w:unhideWhenUsed/>
    <w:locked/>
    <w:rsid w:val="00D87E09"/>
    <w:rPr>
      <w:color w:val="800080" w:themeColor="followedHyperlink"/>
      <w:u w:val="single"/>
    </w:rPr>
  </w:style>
  <w:style w:type="paragraph" w:styleId="FootnoteText">
    <w:name w:val="footnote text"/>
    <w:basedOn w:val="Normal"/>
    <w:link w:val="FootnoteTextChar"/>
    <w:semiHidden/>
    <w:unhideWhenUsed/>
    <w:qFormat/>
    <w:rsid w:val="00DF4A8B"/>
    <w:rPr>
      <w:sz w:val="16"/>
      <w:szCs w:val="20"/>
    </w:rPr>
  </w:style>
  <w:style w:type="character" w:customStyle="1" w:styleId="FootnoteTextChar">
    <w:name w:val="Footnote Text Char"/>
    <w:basedOn w:val="DefaultParagraphFont"/>
    <w:link w:val="FootnoteText"/>
    <w:semiHidden/>
    <w:rsid w:val="00DF4A8B"/>
    <w:rPr>
      <w:rFonts w:ascii="Gautami" w:eastAsia="Times New Roman" w:hAnsi="Gautami"/>
      <w:sz w:val="16"/>
    </w:rPr>
  </w:style>
  <w:style w:type="character" w:styleId="FootnoteReference">
    <w:name w:val="footnote reference"/>
    <w:basedOn w:val="DefaultParagraphFont"/>
    <w:semiHidden/>
    <w:unhideWhenUsed/>
    <w:rsid w:val="00170E47"/>
    <w:rPr>
      <w:vertAlign w:val="superscript"/>
    </w:rPr>
  </w:style>
  <w:style w:type="paragraph" w:styleId="NormalWeb">
    <w:name w:val="Normal (Web)"/>
    <w:basedOn w:val="Normal"/>
    <w:uiPriority w:val="99"/>
    <w:unhideWhenUsed/>
    <w:locked/>
    <w:rsid w:val="001B2B45"/>
    <w:pPr>
      <w:spacing w:before="100" w:beforeAutospacing="1" w:after="100" w:afterAutospacing="1" w:line="240" w:lineRule="auto"/>
      <w:jc w:val="left"/>
    </w:pPr>
    <w:rPr>
      <w:rFonts w:ascii="Times New Roman" w:hAnsi="Times New Roman"/>
      <w:sz w:val="24"/>
    </w:rPr>
  </w:style>
  <w:style w:type="character" w:styleId="Strong">
    <w:name w:val="Strong"/>
    <w:uiPriority w:val="22"/>
    <w:qFormat/>
    <w:locked/>
    <w:rsid w:val="002422F1"/>
    <w:rPr>
      <w:b/>
      <w:bCs/>
    </w:rPr>
  </w:style>
  <w:style w:type="paragraph" w:styleId="ListParagraph">
    <w:name w:val="List Paragraph"/>
    <w:basedOn w:val="Normal"/>
    <w:uiPriority w:val="34"/>
    <w:qFormat/>
    <w:rsid w:val="00D94BD6"/>
    <w:pPr>
      <w:spacing w:after="200" w:line="276" w:lineRule="auto"/>
      <w:ind w:left="720"/>
      <w:contextualSpacing/>
      <w:jc w:val="left"/>
    </w:pPr>
    <w:rPr>
      <w:rFonts w:ascii="Calibri" w:eastAsia="Calibri" w:hAnsi="Calibri"/>
      <w:sz w:val="22"/>
      <w:szCs w:val="22"/>
      <w:lang w:eastAsia="en-US"/>
    </w:rPr>
  </w:style>
  <w:style w:type="table" w:styleId="LightGrid-Accent5">
    <w:name w:val="Light Grid Accent 5"/>
    <w:basedOn w:val="TableNormal"/>
    <w:uiPriority w:val="62"/>
    <w:rsid w:val="00D94BD6"/>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1">
    <w:name w:val="Light Shading Accent 1"/>
    <w:basedOn w:val="TableNormal"/>
    <w:uiPriority w:val="60"/>
    <w:rsid w:val="00CA32DE"/>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UMBEREDLIST">
    <w:name w:val="NUMBERED LIST"/>
    <w:basedOn w:val="ListBullet22"/>
    <w:link w:val="NUMBEREDLISTChar"/>
    <w:qFormat/>
    <w:rsid w:val="00101A4E"/>
    <w:pPr>
      <w:numPr>
        <w:numId w:val="27"/>
      </w:numPr>
      <w:spacing w:after="0"/>
    </w:pPr>
  </w:style>
  <w:style w:type="character" w:customStyle="1" w:styleId="ListBullet22Char">
    <w:name w:val="List Bullet 22 Char"/>
    <w:basedOn w:val="AERbodytextChar"/>
    <w:link w:val="ListBullet22"/>
    <w:rsid w:val="00101A4E"/>
    <w:rPr>
      <w:rFonts w:ascii="Gautami" w:eastAsia="Times New Roman" w:hAnsi="Gautami"/>
      <w:szCs w:val="24"/>
      <w:lang w:val="en-AU" w:eastAsia="en-US" w:bidi="ar-SA"/>
    </w:rPr>
  </w:style>
  <w:style w:type="character" w:customStyle="1" w:styleId="NUMBEREDLISTChar">
    <w:name w:val="NUMBERED LIST Char"/>
    <w:basedOn w:val="ListBullet22Char"/>
    <w:link w:val="NUMBEREDLIST"/>
    <w:rsid w:val="00101A4E"/>
    <w:rPr>
      <w:rFonts w:ascii="Gautami" w:eastAsia="Times New Roman" w:hAnsi="Gautami"/>
      <w:szCs w:val="24"/>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0263">
      <w:bodyDiv w:val="1"/>
      <w:marLeft w:val="0"/>
      <w:marRight w:val="0"/>
      <w:marTop w:val="0"/>
      <w:marBottom w:val="0"/>
      <w:divBdr>
        <w:top w:val="none" w:sz="0" w:space="0" w:color="auto"/>
        <w:left w:val="none" w:sz="0" w:space="0" w:color="auto"/>
        <w:bottom w:val="none" w:sz="0" w:space="0" w:color="auto"/>
        <w:right w:val="none" w:sz="0" w:space="0" w:color="auto"/>
      </w:divBdr>
    </w:div>
    <w:div w:id="82379290">
      <w:bodyDiv w:val="1"/>
      <w:marLeft w:val="0"/>
      <w:marRight w:val="0"/>
      <w:marTop w:val="0"/>
      <w:marBottom w:val="0"/>
      <w:divBdr>
        <w:top w:val="none" w:sz="0" w:space="0" w:color="auto"/>
        <w:left w:val="none" w:sz="0" w:space="0" w:color="auto"/>
        <w:bottom w:val="none" w:sz="0" w:space="0" w:color="auto"/>
        <w:right w:val="none" w:sz="0" w:space="0" w:color="auto"/>
      </w:divBdr>
    </w:div>
    <w:div w:id="179129794">
      <w:bodyDiv w:val="1"/>
      <w:marLeft w:val="0"/>
      <w:marRight w:val="0"/>
      <w:marTop w:val="0"/>
      <w:marBottom w:val="0"/>
      <w:divBdr>
        <w:top w:val="none" w:sz="0" w:space="0" w:color="auto"/>
        <w:left w:val="none" w:sz="0" w:space="0" w:color="auto"/>
        <w:bottom w:val="none" w:sz="0" w:space="0" w:color="auto"/>
        <w:right w:val="none" w:sz="0" w:space="0" w:color="auto"/>
      </w:divBdr>
    </w:div>
    <w:div w:id="220606400">
      <w:bodyDiv w:val="1"/>
      <w:marLeft w:val="0"/>
      <w:marRight w:val="0"/>
      <w:marTop w:val="0"/>
      <w:marBottom w:val="0"/>
      <w:divBdr>
        <w:top w:val="none" w:sz="0" w:space="0" w:color="auto"/>
        <w:left w:val="none" w:sz="0" w:space="0" w:color="auto"/>
        <w:bottom w:val="none" w:sz="0" w:space="0" w:color="auto"/>
        <w:right w:val="none" w:sz="0" w:space="0" w:color="auto"/>
      </w:divBdr>
      <w:divsChild>
        <w:div w:id="1908766085">
          <w:marLeft w:val="0"/>
          <w:marRight w:val="0"/>
          <w:marTop w:val="0"/>
          <w:marBottom w:val="0"/>
          <w:divBdr>
            <w:top w:val="none" w:sz="0" w:space="0" w:color="auto"/>
            <w:left w:val="none" w:sz="0" w:space="0" w:color="auto"/>
            <w:bottom w:val="none" w:sz="0" w:space="0" w:color="auto"/>
            <w:right w:val="none" w:sz="0" w:space="0" w:color="auto"/>
          </w:divBdr>
        </w:div>
      </w:divsChild>
    </w:div>
    <w:div w:id="283849181">
      <w:bodyDiv w:val="1"/>
      <w:marLeft w:val="0"/>
      <w:marRight w:val="0"/>
      <w:marTop w:val="0"/>
      <w:marBottom w:val="0"/>
      <w:divBdr>
        <w:top w:val="none" w:sz="0" w:space="0" w:color="auto"/>
        <w:left w:val="none" w:sz="0" w:space="0" w:color="auto"/>
        <w:bottom w:val="none" w:sz="0" w:space="0" w:color="auto"/>
        <w:right w:val="none" w:sz="0" w:space="0" w:color="auto"/>
      </w:divBdr>
    </w:div>
    <w:div w:id="317459682">
      <w:bodyDiv w:val="1"/>
      <w:marLeft w:val="0"/>
      <w:marRight w:val="0"/>
      <w:marTop w:val="0"/>
      <w:marBottom w:val="0"/>
      <w:divBdr>
        <w:top w:val="none" w:sz="0" w:space="0" w:color="auto"/>
        <w:left w:val="none" w:sz="0" w:space="0" w:color="auto"/>
        <w:bottom w:val="none" w:sz="0" w:space="0" w:color="auto"/>
        <w:right w:val="none" w:sz="0" w:space="0" w:color="auto"/>
      </w:divBdr>
    </w:div>
    <w:div w:id="322466389">
      <w:bodyDiv w:val="1"/>
      <w:marLeft w:val="0"/>
      <w:marRight w:val="0"/>
      <w:marTop w:val="0"/>
      <w:marBottom w:val="0"/>
      <w:divBdr>
        <w:top w:val="none" w:sz="0" w:space="0" w:color="auto"/>
        <w:left w:val="none" w:sz="0" w:space="0" w:color="auto"/>
        <w:bottom w:val="none" w:sz="0" w:space="0" w:color="auto"/>
        <w:right w:val="none" w:sz="0" w:space="0" w:color="auto"/>
      </w:divBdr>
    </w:div>
    <w:div w:id="377973112">
      <w:bodyDiv w:val="1"/>
      <w:marLeft w:val="0"/>
      <w:marRight w:val="0"/>
      <w:marTop w:val="0"/>
      <w:marBottom w:val="0"/>
      <w:divBdr>
        <w:top w:val="none" w:sz="0" w:space="0" w:color="auto"/>
        <w:left w:val="none" w:sz="0" w:space="0" w:color="auto"/>
        <w:bottom w:val="none" w:sz="0" w:space="0" w:color="auto"/>
        <w:right w:val="none" w:sz="0" w:space="0" w:color="auto"/>
      </w:divBdr>
    </w:div>
    <w:div w:id="413476854">
      <w:bodyDiv w:val="1"/>
      <w:marLeft w:val="0"/>
      <w:marRight w:val="0"/>
      <w:marTop w:val="0"/>
      <w:marBottom w:val="0"/>
      <w:divBdr>
        <w:top w:val="none" w:sz="0" w:space="0" w:color="auto"/>
        <w:left w:val="none" w:sz="0" w:space="0" w:color="auto"/>
        <w:bottom w:val="none" w:sz="0" w:space="0" w:color="auto"/>
        <w:right w:val="none" w:sz="0" w:space="0" w:color="auto"/>
      </w:divBdr>
    </w:div>
    <w:div w:id="420028513">
      <w:bodyDiv w:val="1"/>
      <w:marLeft w:val="0"/>
      <w:marRight w:val="0"/>
      <w:marTop w:val="0"/>
      <w:marBottom w:val="0"/>
      <w:divBdr>
        <w:top w:val="none" w:sz="0" w:space="0" w:color="auto"/>
        <w:left w:val="none" w:sz="0" w:space="0" w:color="auto"/>
        <w:bottom w:val="none" w:sz="0" w:space="0" w:color="auto"/>
        <w:right w:val="none" w:sz="0" w:space="0" w:color="auto"/>
      </w:divBdr>
    </w:div>
    <w:div w:id="435174631">
      <w:bodyDiv w:val="1"/>
      <w:marLeft w:val="0"/>
      <w:marRight w:val="0"/>
      <w:marTop w:val="0"/>
      <w:marBottom w:val="0"/>
      <w:divBdr>
        <w:top w:val="none" w:sz="0" w:space="0" w:color="auto"/>
        <w:left w:val="none" w:sz="0" w:space="0" w:color="auto"/>
        <w:bottom w:val="none" w:sz="0" w:space="0" w:color="auto"/>
        <w:right w:val="none" w:sz="0" w:space="0" w:color="auto"/>
      </w:divBdr>
    </w:div>
    <w:div w:id="455685177">
      <w:bodyDiv w:val="1"/>
      <w:marLeft w:val="0"/>
      <w:marRight w:val="0"/>
      <w:marTop w:val="0"/>
      <w:marBottom w:val="0"/>
      <w:divBdr>
        <w:top w:val="none" w:sz="0" w:space="0" w:color="auto"/>
        <w:left w:val="none" w:sz="0" w:space="0" w:color="auto"/>
        <w:bottom w:val="none" w:sz="0" w:space="0" w:color="auto"/>
        <w:right w:val="none" w:sz="0" w:space="0" w:color="auto"/>
      </w:divBdr>
    </w:div>
    <w:div w:id="486750107">
      <w:bodyDiv w:val="1"/>
      <w:marLeft w:val="0"/>
      <w:marRight w:val="0"/>
      <w:marTop w:val="0"/>
      <w:marBottom w:val="0"/>
      <w:divBdr>
        <w:top w:val="none" w:sz="0" w:space="0" w:color="auto"/>
        <w:left w:val="none" w:sz="0" w:space="0" w:color="auto"/>
        <w:bottom w:val="none" w:sz="0" w:space="0" w:color="auto"/>
        <w:right w:val="none" w:sz="0" w:space="0" w:color="auto"/>
      </w:divBdr>
    </w:div>
    <w:div w:id="502476399">
      <w:bodyDiv w:val="1"/>
      <w:marLeft w:val="0"/>
      <w:marRight w:val="0"/>
      <w:marTop w:val="0"/>
      <w:marBottom w:val="0"/>
      <w:divBdr>
        <w:top w:val="none" w:sz="0" w:space="0" w:color="auto"/>
        <w:left w:val="none" w:sz="0" w:space="0" w:color="auto"/>
        <w:bottom w:val="none" w:sz="0" w:space="0" w:color="auto"/>
        <w:right w:val="none" w:sz="0" w:space="0" w:color="auto"/>
      </w:divBdr>
    </w:div>
    <w:div w:id="502671583">
      <w:bodyDiv w:val="1"/>
      <w:marLeft w:val="0"/>
      <w:marRight w:val="0"/>
      <w:marTop w:val="0"/>
      <w:marBottom w:val="0"/>
      <w:divBdr>
        <w:top w:val="none" w:sz="0" w:space="0" w:color="auto"/>
        <w:left w:val="none" w:sz="0" w:space="0" w:color="auto"/>
        <w:bottom w:val="none" w:sz="0" w:space="0" w:color="auto"/>
        <w:right w:val="none" w:sz="0" w:space="0" w:color="auto"/>
      </w:divBdr>
    </w:div>
    <w:div w:id="508643422">
      <w:bodyDiv w:val="1"/>
      <w:marLeft w:val="0"/>
      <w:marRight w:val="0"/>
      <w:marTop w:val="0"/>
      <w:marBottom w:val="0"/>
      <w:divBdr>
        <w:top w:val="none" w:sz="0" w:space="0" w:color="auto"/>
        <w:left w:val="none" w:sz="0" w:space="0" w:color="auto"/>
        <w:bottom w:val="none" w:sz="0" w:space="0" w:color="auto"/>
        <w:right w:val="none" w:sz="0" w:space="0" w:color="auto"/>
      </w:divBdr>
    </w:div>
    <w:div w:id="540895925">
      <w:bodyDiv w:val="1"/>
      <w:marLeft w:val="0"/>
      <w:marRight w:val="0"/>
      <w:marTop w:val="0"/>
      <w:marBottom w:val="0"/>
      <w:divBdr>
        <w:top w:val="none" w:sz="0" w:space="0" w:color="auto"/>
        <w:left w:val="none" w:sz="0" w:space="0" w:color="auto"/>
        <w:bottom w:val="none" w:sz="0" w:space="0" w:color="auto"/>
        <w:right w:val="none" w:sz="0" w:space="0" w:color="auto"/>
      </w:divBdr>
    </w:div>
    <w:div w:id="551186581">
      <w:bodyDiv w:val="1"/>
      <w:marLeft w:val="0"/>
      <w:marRight w:val="0"/>
      <w:marTop w:val="0"/>
      <w:marBottom w:val="0"/>
      <w:divBdr>
        <w:top w:val="none" w:sz="0" w:space="0" w:color="auto"/>
        <w:left w:val="none" w:sz="0" w:space="0" w:color="auto"/>
        <w:bottom w:val="none" w:sz="0" w:space="0" w:color="auto"/>
        <w:right w:val="none" w:sz="0" w:space="0" w:color="auto"/>
      </w:divBdr>
    </w:div>
    <w:div w:id="576669393">
      <w:bodyDiv w:val="1"/>
      <w:marLeft w:val="0"/>
      <w:marRight w:val="0"/>
      <w:marTop w:val="0"/>
      <w:marBottom w:val="0"/>
      <w:divBdr>
        <w:top w:val="none" w:sz="0" w:space="0" w:color="auto"/>
        <w:left w:val="none" w:sz="0" w:space="0" w:color="auto"/>
        <w:bottom w:val="none" w:sz="0" w:space="0" w:color="auto"/>
        <w:right w:val="none" w:sz="0" w:space="0" w:color="auto"/>
      </w:divBdr>
    </w:div>
    <w:div w:id="591360620">
      <w:bodyDiv w:val="1"/>
      <w:marLeft w:val="0"/>
      <w:marRight w:val="0"/>
      <w:marTop w:val="0"/>
      <w:marBottom w:val="0"/>
      <w:divBdr>
        <w:top w:val="none" w:sz="0" w:space="0" w:color="auto"/>
        <w:left w:val="none" w:sz="0" w:space="0" w:color="auto"/>
        <w:bottom w:val="none" w:sz="0" w:space="0" w:color="auto"/>
        <w:right w:val="none" w:sz="0" w:space="0" w:color="auto"/>
      </w:divBdr>
    </w:div>
    <w:div w:id="617298467">
      <w:bodyDiv w:val="1"/>
      <w:marLeft w:val="0"/>
      <w:marRight w:val="0"/>
      <w:marTop w:val="0"/>
      <w:marBottom w:val="0"/>
      <w:divBdr>
        <w:top w:val="none" w:sz="0" w:space="0" w:color="auto"/>
        <w:left w:val="none" w:sz="0" w:space="0" w:color="auto"/>
        <w:bottom w:val="none" w:sz="0" w:space="0" w:color="auto"/>
        <w:right w:val="none" w:sz="0" w:space="0" w:color="auto"/>
      </w:divBdr>
    </w:div>
    <w:div w:id="656154441">
      <w:bodyDiv w:val="1"/>
      <w:marLeft w:val="0"/>
      <w:marRight w:val="0"/>
      <w:marTop w:val="0"/>
      <w:marBottom w:val="0"/>
      <w:divBdr>
        <w:top w:val="none" w:sz="0" w:space="0" w:color="auto"/>
        <w:left w:val="none" w:sz="0" w:space="0" w:color="auto"/>
        <w:bottom w:val="none" w:sz="0" w:space="0" w:color="auto"/>
        <w:right w:val="none" w:sz="0" w:space="0" w:color="auto"/>
      </w:divBdr>
    </w:div>
    <w:div w:id="704645199">
      <w:bodyDiv w:val="1"/>
      <w:marLeft w:val="0"/>
      <w:marRight w:val="0"/>
      <w:marTop w:val="0"/>
      <w:marBottom w:val="0"/>
      <w:divBdr>
        <w:top w:val="none" w:sz="0" w:space="0" w:color="auto"/>
        <w:left w:val="none" w:sz="0" w:space="0" w:color="auto"/>
        <w:bottom w:val="none" w:sz="0" w:space="0" w:color="auto"/>
        <w:right w:val="none" w:sz="0" w:space="0" w:color="auto"/>
      </w:divBdr>
    </w:div>
    <w:div w:id="716702425">
      <w:bodyDiv w:val="1"/>
      <w:marLeft w:val="0"/>
      <w:marRight w:val="0"/>
      <w:marTop w:val="0"/>
      <w:marBottom w:val="0"/>
      <w:divBdr>
        <w:top w:val="none" w:sz="0" w:space="0" w:color="auto"/>
        <w:left w:val="none" w:sz="0" w:space="0" w:color="auto"/>
        <w:bottom w:val="none" w:sz="0" w:space="0" w:color="auto"/>
        <w:right w:val="none" w:sz="0" w:space="0" w:color="auto"/>
      </w:divBdr>
    </w:div>
    <w:div w:id="770397467">
      <w:bodyDiv w:val="1"/>
      <w:marLeft w:val="0"/>
      <w:marRight w:val="0"/>
      <w:marTop w:val="0"/>
      <w:marBottom w:val="0"/>
      <w:divBdr>
        <w:top w:val="none" w:sz="0" w:space="0" w:color="auto"/>
        <w:left w:val="none" w:sz="0" w:space="0" w:color="auto"/>
        <w:bottom w:val="none" w:sz="0" w:space="0" w:color="auto"/>
        <w:right w:val="none" w:sz="0" w:space="0" w:color="auto"/>
      </w:divBdr>
    </w:div>
    <w:div w:id="789780783">
      <w:bodyDiv w:val="1"/>
      <w:marLeft w:val="0"/>
      <w:marRight w:val="0"/>
      <w:marTop w:val="0"/>
      <w:marBottom w:val="0"/>
      <w:divBdr>
        <w:top w:val="none" w:sz="0" w:space="0" w:color="auto"/>
        <w:left w:val="none" w:sz="0" w:space="0" w:color="auto"/>
        <w:bottom w:val="none" w:sz="0" w:space="0" w:color="auto"/>
        <w:right w:val="none" w:sz="0" w:space="0" w:color="auto"/>
      </w:divBdr>
    </w:div>
    <w:div w:id="803429835">
      <w:bodyDiv w:val="1"/>
      <w:marLeft w:val="0"/>
      <w:marRight w:val="0"/>
      <w:marTop w:val="0"/>
      <w:marBottom w:val="0"/>
      <w:divBdr>
        <w:top w:val="none" w:sz="0" w:space="0" w:color="auto"/>
        <w:left w:val="none" w:sz="0" w:space="0" w:color="auto"/>
        <w:bottom w:val="none" w:sz="0" w:space="0" w:color="auto"/>
        <w:right w:val="none" w:sz="0" w:space="0" w:color="auto"/>
      </w:divBdr>
      <w:divsChild>
        <w:div w:id="385027818">
          <w:marLeft w:val="5"/>
          <w:marRight w:val="5"/>
          <w:marTop w:val="0"/>
          <w:marBottom w:val="0"/>
          <w:divBdr>
            <w:top w:val="none" w:sz="0" w:space="0" w:color="auto"/>
            <w:left w:val="none" w:sz="0" w:space="0" w:color="auto"/>
            <w:bottom w:val="none" w:sz="0" w:space="0" w:color="auto"/>
            <w:right w:val="none" w:sz="0" w:space="0" w:color="auto"/>
          </w:divBdr>
          <w:divsChild>
            <w:div w:id="84616842">
              <w:marLeft w:val="0"/>
              <w:marRight w:val="215"/>
              <w:marTop w:val="0"/>
              <w:marBottom w:val="107"/>
              <w:divBdr>
                <w:top w:val="none" w:sz="0" w:space="0" w:color="auto"/>
                <w:left w:val="none" w:sz="0" w:space="0" w:color="auto"/>
                <w:bottom w:val="none" w:sz="0" w:space="0" w:color="auto"/>
                <w:right w:val="none" w:sz="0" w:space="0" w:color="auto"/>
              </w:divBdr>
              <w:divsChild>
                <w:div w:id="502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1828">
      <w:bodyDiv w:val="1"/>
      <w:marLeft w:val="0"/>
      <w:marRight w:val="0"/>
      <w:marTop w:val="0"/>
      <w:marBottom w:val="0"/>
      <w:divBdr>
        <w:top w:val="none" w:sz="0" w:space="0" w:color="auto"/>
        <w:left w:val="none" w:sz="0" w:space="0" w:color="auto"/>
        <w:bottom w:val="none" w:sz="0" w:space="0" w:color="auto"/>
        <w:right w:val="none" w:sz="0" w:space="0" w:color="auto"/>
      </w:divBdr>
    </w:div>
    <w:div w:id="836112232">
      <w:bodyDiv w:val="1"/>
      <w:marLeft w:val="0"/>
      <w:marRight w:val="0"/>
      <w:marTop w:val="0"/>
      <w:marBottom w:val="0"/>
      <w:divBdr>
        <w:top w:val="none" w:sz="0" w:space="0" w:color="auto"/>
        <w:left w:val="none" w:sz="0" w:space="0" w:color="auto"/>
        <w:bottom w:val="none" w:sz="0" w:space="0" w:color="auto"/>
        <w:right w:val="none" w:sz="0" w:space="0" w:color="auto"/>
      </w:divBdr>
      <w:divsChild>
        <w:div w:id="1706713690">
          <w:marLeft w:val="0"/>
          <w:marRight w:val="0"/>
          <w:marTop w:val="0"/>
          <w:marBottom w:val="0"/>
          <w:divBdr>
            <w:top w:val="none" w:sz="0" w:space="0" w:color="auto"/>
            <w:left w:val="none" w:sz="0" w:space="0" w:color="auto"/>
            <w:bottom w:val="none" w:sz="0" w:space="0" w:color="auto"/>
            <w:right w:val="none" w:sz="0" w:space="0" w:color="auto"/>
          </w:divBdr>
          <w:divsChild>
            <w:div w:id="2134054916">
              <w:marLeft w:val="0"/>
              <w:marRight w:val="0"/>
              <w:marTop w:val="0"/>
              <w:marBottom w:val="0"/>
              <w:divBdr>
                <w:top w:val="none" w:sz="0" w:space="0" w:color="auto"/>
                <w:left w:val="single" w:sz="6" w:space="0" w:color="FFFFFF"/>
                <w:bottom w:val="none" w:sz="0" w:space="0" w:color="auto"/>
                <w:right w:val="none" w:sz="0" w:space="0" w:color="auto"/>
              </w:divBdr>
              <w:divsChild>
                <w:div w:id="1899902526">
                  <w:marLeft w:val="0"/>
                  <w:marRight w:val="0"/>
                  <w:marTop w:val="0"/>
                  <w:marBottom w:val="0"/>
                  <w:divBdr>
                    <w:top w:val="none" w:sz="0" w:space="0" w:color="auto"/>
                    <w:left w:val="none" w:sz="0" w:space="0" w:color="auto"/>
                    <w:bottom w:val="none" w:sz="0" w:space="0" w:color="auto"/>
                    <w:right w:val="none" w:sz="0" w:space="0" w:color="auto"/>
                  </w:divBdr>
                  <w:divsChild>
                    <w:div w:id="14703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20305">
      <w:bodyDiv w:val="1"/>
      <w:marLeft w:val="0"/>
      <w:marRight w:val="0"/>
      <w:marTop w:val="0"/>
      <w:marBottom w:val="0"/>
      <w:divBdr>
        <w:top w:val="none" w:sz="0" w:space="0" w:color="auto"/>
        <w:left w:val="none" w:sz="0" w:space="0" w:color="auto"/>
        <w:bottom w:val="none" w:sz="0" w:space="0" w:color="auto"/>
        <w:right w:val="none" w:sz="0" w:space="0" w:color="auto"/>
      </w:divBdr>
    </w:div>
    <w:div w:id="866983624">
      <w:bodyDiv w:val="1"/>
      <w:marLeft w:val="0"/>
      <w:marRight w:val="0"/>
      <w:marTop w:val="0"/>
      <w:marBottom w:val="0"/>
      <w:divBdr>
        <w:top w:val="none" w:sz="0" w:space="0" w:color="auto"/>
        <w:left w:val="none" w:sz="0" w:space="0" w:color="auto"/>
        <w:bottom w:val="none" w:sz="0" w:space="0" w:color="auto"/>
        <w:right w:val="none" w:sz="0" w:space="0" w:color="auto"/>
      </w:divBdr>
    </w:div>
    <w:div w:id="907765166">
      <w:bodyDiv w:val="1"/>
      <w:marLeft w:val="0"/>
      <w:marRight w:val="0"/>
      <w:marTop w:val="0"/>
      <w:marBottom w:val="0"/>
      <w:divBdr>
        <w:top w:val="none" w:sz="0" w:space="0" w:color="auto"/>
        <w:left w:val="none" w:sz="0" w:space="0" w:color="auto"/>
        <w:bottom w:val="none" w:sz="0" w:space="0" w:color="auto"/>
        <w:right w:val="none" w:sz="0" w:space="0" w:color="auto"/>
      </w:divBdr>
    </w:div>
    <w:div w:id="995843528">
      <w:bodyDiv w:val="1"/>
      <w:marLeft w:val="0"/>
      <w:marRight w:val="0"/>
      <w:marTop w:val="0"/>
      <w:marBottom w:val="0"/>
      <w:divBdr>
        <w:top w:val="none" w:sz="0" w:space="0" w:color="auto"/>
        <w:left w:val="none" w:sz="0" w:space="0" w:color="auto"/>
        <w:bottom w:val="none" w:sz="0" w:space="0" w:color="auto"/>
        <w:right w:val="none" w:sz="0" w:space="0" w:color="auto"/>
      </w:divBdr>
    </w:div>
    <w:div w:id="1005400115">
      <w:bodyDiv w:val="1"/>
      <w:marLeft w:val="0"/>
      <w:marRight w:val="0"/>
      <w:marTop w:val="0"/>
      <w:marBottom w:val="0"/>
      <w:divBdr>
        <w:top w:val="none" w:sz="0" w:space="0" w:color="auto"/>
        <w:left w:val="none" w:sz="0" w:space="0" w:color="auto"/>
        <w:bottom w:val="none" w:sz="0" w:space="0" w:color="auto"/>
        <w:right w:val="none" w:sz="0" w:space="0" w:color="auto"/>
      </w:divBdr>
    </w:div>
    <w:div w:id="1056703083">
      <w:bodyDiv w:val="1"/>
      <w:marLeft w:val="0"/>
      <w:marRight w:val="0"/>
      <w:marTop w:val="0"/>
      <w:marBottom w:val="0"/>
      <w:divBdr>
        <w:top w:val="none" w:sz="0" w:space="0" w:color="auto"/>
        <w:left w:val="none" w:sz="0" w:space="0" w:color="auto"/>
        <w:bottom w:val="none" w:sz="0" w:space="0" w:color="auto"/>
        <w:right w:val="none" w:sz="0" w:space="0" w:color="auto"/>
      </w:divBdr>
    </w:div>
    <w:div w:id="1062098974">
      <w:bodyDiv w:val="1"/>
      <w:marLeft w:val="0"/>
      <w:marRight w:val="0"/>
      <w:marTop w:val="0"/>
      <w:marBottom w:val="0"/>
      <w:divBdr>
        <w:top w:val="none" w:sz="0" w:space="0" w:color="auto"/>
        <w:left w:val="none" w:sz="0" w:space="0" w:color="auto"/>
        <w:bottom w:val="none" w:sz="0" w:space="0" w:color="auto"/>
        <w:right w:val="none" w:sz="0" w:space="0" w:color="auto"/>
      </w:divBdr>
    </w:div>
    <w:div w:id="1098213375">
      <w:bodyDiv w:val="1"/>
      <w:marLeft w:val="0"/>
      <w:marRight w:val="0"/>
      <w:marTop w:val="0"/>
      <w:marBottom w:val="0"/>
      <w:divBdr>
        <w:top w:val="none" w:sz="0" w:space="0" w:color="auto"/>
        <w:left w:val="none" w:sz="0" w:space="0" w:color="auto"/>
        <w:bottom w:val="none" w:sz="0" w:space="0" w:color="auto"/>
        <w:right w:val="none" w:sz="0" w:space="0" w:color="auto"/>
      </w:divBdr>
    </w:div>
    <w:div w:id="1133061019">
      <w:bodyDiv w:val="1"/>
      <w:marLeft w:val="0"/>
      <w:marRight w:val="0"/>
      <w:marTop w:val="0"/>
      <w:marBottom w:val="0"/>
      <w:divBdr>
        <w:top w:val="none" w:sz="0" w:space="0" w:color="auto"/>
        <w:left w:val="none" w:sz="0" w:space="0" w:color="auto"/>
        <w:bottom w:val="none" w:sz="0" w:space="0" w:color="auto"/>
        <w:right w:val="none" w:sz="0" w:space="0" w:color="auto"/>
      </w:divBdr>
    </w:div>
    <w:div w:id="1138914886">
      <w:bodyDiv w:val="1"/>
      <w:marLeft w:val="0"/>
      <w:marRight w:val="0"/>
      <w:marTop w:val="0"/>
      <w:marBottom w:val="0"/>
      <w:divBdr>
        <w:top w:val="none" w:sz="0" w:space="0" w:color="auto"/>
        <w:left w:val="none" w:sz="0" w:space="0" w:color="auto"/>
        <w:bottom w:val="none" w:sz="0" w:space="0" w:color="auto"/>
        <w:right w:val="none" w:sz="0" w:space="0" w:color="auto"/>
      </w:divBdr>
    </w:div>
    <w:div w:id="1229265370">
      <w:bodyDiv w:val="1"/>
      <w:marLeft w:val="0"/>
      <w:marRight w:val="0"/>
      <w:marTop w:val="0"/>
      <w:marBottom w:val="0"/>
      <w:divBdr>
        <w:top w:val="none" w:sz="0" w:space="0" w:color="auto"/>
        <w:left w:val="none" w:sz="0" w:space="0" w:color="auto"/>
        <w:bottom w:val="none" w:sz="0" w:space="0" w:color="auto"/>
        <w:right w:val="none" w:sz="0" w:space="0" w:color="auto"/>
      </w:divBdr>
    </w:div>
    <w:div w:id="1232042345">
      <w:bodyDiv w:val="1"/>
      <w:marLeft w:val="0"/>
      <w:marRight w:val="0"/>
      <w:marTop w:val="0"/>
      <w:marBottom w:val="0"/>
      <w:divBdr>
        <w:top w:val="none" w:sz="0" w:space="0" w:color="auto"/>
        <w:left w:val="none" w:sz="0" w:space="0" w:color="auto"/>
        <w:bottom w:val="none" w:sz="0" w:space="0" w:color="auto"/>
        <w:right w:val="none" w:sz="0" w:space="0" w:color="auto"/>
      </w:divBdr>
    </w:div>
    <w:div w:id="1259366034">
      <w:bodyDiv w:val="1"/>
      <w:marLeft w:val="0"/>
      <w:marRight w:val="0"/>
      <w:marTop w:val="0"/>
      <w:marBottom w:val="0"/>
      <w:divBdr>
        <w:top w:val="none" w:sz="0" w:space="0" w:color="auto"/>
        <w:left w:val="none" w:sz="0" w:space="0" w:color="auto"/>
        <w:bottom w:val="none" w:sz="0" w:space="0" w:color="auto"/>
        <w:right w:val="none" w:sz="0" w:space="0" w:color="auto"/>
      </w:divBdr>
    </w:div>
    <w:div w:id="1333608829">
      <w:bodyDiv w:val="1"/>
      <w:marLeft w:val="0"/>
      <w:marRight w:val="0"/>
      <w:marTop w:val="0"/>
      <w:marBottom w:val="0"/>
      <w:divBdr>
        <w:top w:val="none" w:sz="0" w:space="0" w:color="auto"/>
        <w:left w:val="none" w:sz="0" w:space="0" w:color="auto"/>
        <w:bottom w:val="none" w:sz="0" w:space="0" w:color="auto"/>
        <w:right w:val="none" w:sz="0" w:space="0" w:color="auto"/>
      </w:divBdr>
    </w:div>
    <w:div w:id="1346326193">
      <w:bodyDiv w:val="1"/>
      <w:marLeft w:val="0"/>
      <w:marRight w:val="0"/>
      <w:marTop w:val="0"/>
      <w:marBottom w:val="0"/>
      <w:divBdr>
        <w:top w:val="none" w:sz="0" w:space="0" w:color="auto"/>
        <w:left w:val="none" w:sz="0" w:space="0" w:color="auto"/>
        <w:bottom w:val="none" w:sz="0" w:space="0" w:color="auto"/>
        <w:right w:val="none" w:sz="0" w:space="0" w:color="auto"/>
      </w:divBdr>
    </w:div>
    <w:div w:id="1377044047">
      <w:bodyDiv w:val="1"/>
      <w:marLeft w:val="0"/>
      <w:marRight w:val="0"/>
      <w:marTop w:val="0"/>
      <w:marBottom w:val="0"/>
      <w:divBdr>
        <w:top w:val="none" w:sz="0" w:space="0" w:color="auto"/>
        <w:left w:val="none" w:sz="0" w:space="0" w:color="auto"/>
        <w:bottom w:val="none" w:sz="0" w:space="0" w:color="auto"/>
        <w:right w:val="none" w:sz="0" w:space="0" w:color="auto"/>
      </w:divBdr>
    </w:div>
    <w:div w:id="1415857982">
      <w:bodyDiv w:val="1"/>
      <w:marLeft w:val="0"/>
      <w:marRight w:val="0"/>
      <w:marTop w:val="0"/>
      <w:marBottom w:val="0"/>
      <w:divBdr>
        <w:top w:val="none" w:sz="0" w:space="0" w:color="auto"/>
        <w:left w:val="none" w:sz="0" w:space="0" w:color="auto"/>
        <w:bottom w:val="none" w:sz="0" w:space="0" w:color="auto"/>
        <w:right w:val="none" w:sz="0" w:space="0" w:color="auto"/>
      </w:divBdr>
    </w:div>
    <w:div w:id="1461418339">
      <w:bodyDiv w:val="1"/>
      <w:marLeft w:val="0"/>
      <w:marRight w:val="0"/>
      <w:marTop w:val="0"/>
      <w:marBottom w:val="0"/>
      <w:divBdr>
        <w:top w:val="none" w:sz="0" w:space="0" w:color="auto"/>
        <w:left w:val="none" w:sz="0" w:space="0" w:color="auto"/>
        <w:bottom w:val="none" w:sz="0" w:space="0" w:color="auto"/>
        <w:right w:val="none" w:sz="0" w:space="0" w:color="auto"/>
      </w:divBdr>
    </w:div>
    <w:div w:id="1487626719">
      <w:bodyDiv w:val="1"/>
      <w:marLeft w:val="0"/>
      <w:marRight w:val="0"/>
      <w:marTop w:val="0"/>
      <w:marBottom w:val="0"/>
      <w:divBdr>
        <w:top w:val="none" w:sz="0" w:space="0" w:color="auto"/>
        <w:left w:val="none" w:sz="0" w:space="0" w:color="auto"/>
        <w:bottom w:val="none" w:sz="0" w:space="0" w:color="auto"/>
        <w:right w:val="none" w:sz="0" w:space="0" w:color="auto"/>
      </w:divBdr>
    </w:div>
    <w:div w:id="1508668106">
      <w:bodyDiv w:val="1"/>
      <w:marLeft w:val="0"/>
      <w:marRight w:val="0"/>
      <w:marTop w:val="0"/>
      <w:marBottom w:val="0"/>
      <w:divBdr>
        <w:top w:val="none" w:sz="0" w:space="0" w:color="auto"/>
        <w:left w:val="none" w:sz="0" w:space="0" w:color="auto"/>
        <w:bottom w:val="none" w:sz="0" w:space="0" w:color="auto"/>
        <w:right w:val="none" w:sz="0" w:space="0" w:color="auto"/>
      </w:divBdr>
    </w:div>
    <w:div w:id="1607738388">
      <w:bodyDiv w:val="1"/>
      <w:marLeft w:val="0"/>
      <w:marRight w:val="0"/>
      <w:marTop w:val="0"/>
      <w:marBottom w:val="0"/>
      <w:divBdr>
        <w:top w:val="none" w:sz="0" w:space="0" w:color="auto"/>
        <w:left w:val="none" w:sz="0" w:space="0" w:color="auto"/>
        <w:bottom w:val="none" w:sz="0" w:space="0" w:color="auto"/>
        <w:right w:val="none" w:sz="0" w:space="0" w:color="auto"/>
      </w:divBdr>
    </w:div>
    <w:div w:id="1644196217">
      <w:bodyDiv w:val="1"/>
      <w:marLeft w:val="0"/>
      <w:marRight w:val="0"/>
      <w:marTop w:val="0"/>
      <w:marBottom w:val="0"/>
      <w:divBdr>
        <w:top w:val="none" w:sz="0" w:space="0" w:color="auto"/>
        <w:left w:val="none" w:sz="0" w:space="0" w:color="auto"/>
        <w:bottom w:val="none" w:sz="0" w:space="0" w:color="auto"/>
        <w:right w:val="none" w:sz="0" w:space="0" w:color="auto"/>
      </w:divBdr>
    </w:div>
    <w:div w:id="1677613816">
      <w:bodyDiv w:val="1"/>
      <w:marLeft w:val="0"/>
      <w:marRight w:val="0"/>
      <w:marTop w:val="0"/>
      <w:marBottom w:val="0"/>
      <w:divBdr>
        <w:top w:val="none" w:sz="0" w:space="0" w:color="auto"/>
        <w:left w:val="none" w:sz="0" w:space="0" w:color="auto"/>
        <w:bottom w:val="none" w:sz="0" w:space="0" w:color="auto"/>
        <w:right w:val="none" w:sz="0" w:space="0" w:color="auto"/>
      </w:divBdr>
    </w:div>
    <w:div w:id="1724140839">
      <w:bodyDiv w:val="1"/>
      <w:marLeft w:val="0"/>
      <w:marRight w:val="0"/>
      <w:marTop w:val="0"/>
      <w:marBottom w:val="0"/>
      <w:divBdr>
        <w:top w:val="none" w:sz="0" w:space="0" w:color="auto"/>
        <w:left w:val="none" w:sz="0" w:space="0" w:color="auto"/>
        <w:bottom w:val="none" w:sz="0" w:space="0" w:color="auto"/>
        <w:right w:val="none" w:sz="0" w:space="0" w:color="auto"/>
      </w:divBdr>
    </w:div>
    <w:div w:id="1754467871">
      <w:bodyDiv w:val="1"/>
      <w:marLeft w:val="0"/>
      <w:marRight w:val="0"/>
      <w:marTop w:val="0"/>
      <w:marBottom w:val="0"/>
      <w:divBdr>
        <w:top w:val="none" w:sz="0" w:space="0" w:color="auto"/>
        <w:left w:val="none" w:sz="0" w:space="0" w:color="auto"/>
        <w:bottom w:val="none" w:sz="0" w:space="0" w:color="auto"/>
        <w:right w:val="none" w:sz="0" w:space="0" w:color="auto"/>
      </w:divBdr>
    </w:div>
    <w:div w:id="1767266411">
      <w:bodyDiv w:val="1"/>
      <w:marLeft w:val="0"/>
      <w:marRight w:val="0"/>
      <w:marTop w:val="0"/>
      <w:marBottom w:val="0"/>
      <w:divBdr>
        <w:top w:val="none" w:sz="0" w:space="0" w:color="auto"/>
        <w:left w:val="none" w:sz="0" w:space="0" w:color="auto"/>
        <w:bottom w:val="none" w:sz="0" w:space="0" w:color="auto"/>
        <w:right w:val="none" w:sz="0" w:space="0" w:color="auto"/>
      </w:divBdr>
    </w:div>
    <w:div w:id="1803309887">
      <w:bodyDiv w:val="1"/>
      <w:marLeft w:val="0"/>
      <w:marRight w:val="0"/>
      <w:marTop w:val="0"/>
      <w:marBottom w:val="0"/>
      <w:divBdr>
        <w:top w:val="none" w:sz="0" w:space="0" w:color="auto"/>
        <w:left w:val="none" w:sz="0" w:space="0" w:color="auto"/>
        <w:bottom w:val="none" w:sz="0" w:space="0" w:color="auto"/>
        <w:right w:val="none" w:sz="0" w:space="0" w:color="auto"/>
      </w:divBdr>
    </w:div>
    <w:div w:id="1848012942">
      <w:bodyDiv w:val="1"/>
      <w:marLeft w:val="0"/>
      <w:marRight w:val="0"/>
      <w:marTop w:val="0"/>
      <w:marBottom w:val="0"/>
      <w:divBdr>
        <w:top w:val="none" w:sz="0" w:space="0" w:color="auto"/>
        <w:left w:val="none" w:sz="0" w:space="0" w:color="auto"/>
        <w:bottom w:val="none" w:sz="0" w:space="0" w:color="auto"/>
        <w:right w:val="none" w:sz="0" w:space="0" w:color="auto"/>
      </w:divBdr>
      <w:divsChild>
        <w:div w:id="476845707">
          <w:marLeft w:val="0"/>
          <w:marRight w:val="0"/>
          <w:marTop w:val="0"/>
          <w:marBottom w:val="0"/>
          <w:divBdr>
            <w:top w:val="none" w:sz="0" w:space="0" w:color="auto"/>
            <w:left w:val="none" w:sz="0" w:space="0" w:color="auto"/>
            <w:bottom w:val="none" w:sz="0" w:space="0" w:color="auto"/>
            <w:right w:val="none" w:sz="0" w:space="0" w:color="auto"/>
          </w:divBdr>
        </w:div>
      </w:divsChild>
    </w:div>
    <w:div w:id="1859197501">
      <w:bodyDiv w:val="1"/>
      <w:marLeft w:val="0"/>
      <w:marRight w:val="0"/>
      <w:marTop w:val="0"/>
      <w:marBottom w:val="0"/>
      <w:divBdr>
        <w:top w:val="none" w:sz="0" w:space="0" w:color="auto"/>
        <w:left w:val="none" w:sz="0" w:space="0" w:color="auto"/>
        <w:bottom w:val="none" w:sz="0" w:space="0" w:color="auto"/>
        <w:right w:val="none" w:sz="0" w:space="0" w:color="auto"/>
      </w:divBdr>
    </w:div>
    <w:div w:id="1905557001">
      <w:bodyDiv w:val="1"/>
      <w:marLeft w:val="0"/>
      <w:marRight w:val="0"/>
      <w:marTop w:val="0"/>
      <w:marBottom w:val="0"/>
      <w:divBdr>
        <w:top w:val="none" w:sz="0" w:space="0" w:color="auto"/>
        <w:left w:val="none" w:sz="0" w:space="0" w:color="auto"/>
        <w:bottom w:val="none" w:sz="0" w:space="0" w:color="auto"/>
        <w:right w:val="none" w:sz="0" w:space="0" w:color="auto"/>
      </w:divBdr>
    </w:div>
    <w:div w:id="1917351006">
      <w:bodyDiv w:val="1"/>
      <w:marLeft w:val="0"/>
      <w:marRight w:val="0"/>
      <w:marTop w:val="0"/>
      <w:marBottom w:val="0"/>
      <w:divBdr>
        <w:top w:val="none" w:sz="0" w:space="0" w:color="auto"/>
        <w:left w:val="none" w:sz="0" w:space="0" w:color="auto"/>
        <w:bottom w:val="none" w:sz="0" w:space="0" w:color="auto"/>
        <w:right w:val="none" w:sz="0" w:space="0" w:color="auto"/>
      </w:divBdr>
    </w:div>
    <w:div w:id="1921131707">
      <w:bodyDiv w:val="1"/>
      <w:marLeft w:val="0"/>
      <w:marRight w:val="0"/>
      <w:marTop w:val="0"/>
      <w:marBottom w:val="0"/>
      <w:divBdr>
        <w:top w:val="none" w:sz="0" w:space="0" w:color="auto"/>
        <w:left w:val="none" w:sz="0" w:space="0" w:color="auto"/>
        <w:bottom w:val="none" w:sz="0" w:space="0" w:color="auto"/>
        <w:right w:val="none" w:sz="0" w:space="0" w:color="auto"/>
      </w:divBdr>
    </w:div>
    <w:div w:id="1956204793">
      <w:bodyDiv w:val="1"/>
      <w:marLeft w:val="0"/>
      <w:marRight w:val="0"/>
      <w:marTop w:val="0"/>
      <w:marBottom w:val="0"/>
      <w:divBdr>
        <w:top w:val="none" w:sz="0" w:space="0" w:color="auto"/>
        <w:left w:val="none" w:sz="0" w:space="0" w:color="auto"/>
        <w:bottom w:val="none" w:sz="0" w:space="0" w:color="auto"/>
        <w:right w:val="none" w:sz="0" w:space="0" w:color="auto"/>
      </w:divBdr>
    </w:div>
    <w:div w:id="2013490146">
      <w:bodyDiv w:val="1"/>
      <w:marLeft w:val="0"/>
      <w:marRight w:val="0"/>
      <w:marTop w:val="0"/>
      <w:marBottom w:val="0"/>
      <w:divBdr>
        <w:top w:val="none" w:sz="0" w:space="0" w:color="auto"/>
        <w:left w:val="none" w:sz="0" w:space="0" w:color="auto"/>
        <w:bottom w:val="none" w:sz="0" w:space="0" w:color="auto"/>
        <w:right w:val="none" w:sz="0" w:space="0" w:color="auto"/>
      </w:divBdr>
    </w:div>
    <w:div w:id="209415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hyperlink" Target="https://asxenergy.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hyperlink" Target="https://asxenergy.com.au/"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aer.gov.au/australian-energy-industry/performance-of-the-energy-sector" TargetMode="External"/><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hyperlink" Target="https://asxenergy.com.au/" TargetMode="External"/><Relationship Id="rId30" Type="http://schemas.openxmlformats.org/officeDocument/2006/relationships/hyperlink" Target="http://www.aer.gov.au/australian-energy-industry/performance-of-the-energy-sector"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er.gov.au/node/188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28909-0799-477E-A6B5-E2622CC33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EBF3D307.dotm</Template>
  <TotalTime>0</TotalTime>
  <Pages>15</Pages>
  <Words>4454</Words>
  <Characters>25390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29785</CharactersWithSpaces>
  <SharedDoc>false</SharedDoc>
  <HLinks>
    <vt:vector size="36" baseType="variant">
      <vt:variant>
        <vt:i4>524350</vt:i4>
      </vt:variant>
      <vt:variant>
        <vt:i4>3</vt:i4>
      </vt:variant>
      <vt:variant>
        <vt:i4>0</vt:i4>
      </vt:variant>
      <vt:variant>
        <vt:i4>5</vt:i4>
      </vt:variant>
      <vt:variant>
        <vt:lpwstr>mailto:Jeremy.Llewellyn@aer.gov.au</vt:lpwstr>
      </vt:variant>
      <vt:variant>
        <vt:lpwstr/>
      </vt:variant>
      <vt:variant>
        <vt:i4>2555972</vt:i4>
      </vt:variant>
      <vt:variant>
        <vt:i4>0</vt:i4>
      </vt:variant>
      <vt:variant>
        <vt:i4>0</vt:i4>
      </vt:variant>
      <vt:variant>
        <vt:i4>5</vt:i4>
      </vt:variant>
      <vt:variant>
        <vt:lpwstr>mailto:AERInquiry@aer.gov.au</vt:lpwstr>
      </vt:variant>
      <vt:variant>
        <vt:lpwstr/>
      </vt:variant>
      <vt:variant>
        <vt:i4>1114198</vt:i4>
      </vt:variant>
      <vt:variant>
        <vt:i4>9</vt:i4>
      </vt:variant>
      <vt:variant>
        <vt:i4>0</vt:i4>
      </vt:variant>
      <vt:variant>
        <vt:i4>5</vt:i4>
      </vt:variant>
      <vt:variant>
        <vt:lpwstr>http://www.ret.gov.au/Documents/mce/_documents/2010 bulletins/No. 177_Final STTM Study Report 25 March 2010.doc.pdf</vt:lpwstr>
      </vt:variant>
      <vt:variant>
        <vt:lpwstr/>
      </vt:variant>
      <vt:variant>
        <vt:i4>5963779</vt:i4>
      </vt:variant>
      <vt:variant>
        <vt:i4>6</vt:i4>
      </vt:variant>
      <vt:variant>
        <vt:i4>0</vt:i4>
      </vt:variant>
      <vt:variant>
        <vt:i4>5</vt:i4>
      </vt:variant>
      <vt:variant>
        <vt:lpwstr>http://www.aer.gov.au/node/18215</vt:lpwstr>
      </vt:variant>
      <vt:variant>
        <vt:lpwstr/>
      </vt:variant>
      <vt:variant>
        <vt:i4>6029322</vt:i4>
      </vt:variant>
      <vt:variant>
        <vt:i4>3</vt:i4>
      </vt:variant>
      <vt:variant>
        <vt:i4>0</vt:i4>
      </vt:variant>
      <vt:variant>
        <vt:i4>5</vt:i4>
      </vt:variant>
      <vt:variant>
        <vt:lpwstr>http://www.aer.gov.au/node/17474</vt:lpwstr>
      </vt:variant>
      <vt:variant>
        <vt:lpwstr/>
      </vt:variant>
      <vt:variant>
        <vt:i4>1835011</vt:i4>
      </vt:variant>
      <vt:variant>
        <vt:i4>0</vt:i4>
      </vt:variant>
      <vt:variant>
        <vt:i4>0</vt:i4>
      </vt:variant>
      <vt:variant>
        <vt:i4>5</vt:i4>
      </vt:variant>
      <vt:variant>
        <vt:lpwstr>http://www.aemo.com.au/en/Gas/Gas-Consultations/STTM-Phase-2-review_Review-of-within_day-market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2014-04-04T04:27:00Z</dcterms:created>
  <dcterms:modified xsi:type="dcterms:W3CDTF">2014-04-04T04:27:00Z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8153577</vt:lpwstr>
  </property>
</Properties>
</file>