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655930"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F32161" w:rsidRPr="00A65EC8" w:rsidRDefault="00F32161" w:rsidP="00BD60AA">
                  <w:pPr>
                    <w:spacing w:before="140"/>
                    <w:rPr>
                      <w:b/>
                    </w:rPr>
                  </w:pPr>
                  <w:r>
                    <w:rPr>
                      <w:b/>
                    </w:rPr>
                    <w:t>9 – 15 February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F32161" w:rsidRPr="009A04DD" w:rsidRDefault="00F3216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25pt;height:9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E03741" w:rsidRDefault="00B20E72" w:rsidP="00E03741">
      <w:pPr>
        <w:jc w:val="both"/>
      </w:pPr>
      <w:r>
        <w:t xml:space="preserve">Prices were relatively stable across the week, with some high prices mid-week in Adelaide (up to $6.58/GJ ex ante) </w:t>
      </w:r>
      <w:r w:rsidR="00E03741">
        <w:t xml:space="preserve">in line with a </w:t>
      </w:r>
      <w:bookmarkStart w:id="2" w:name="_GoBack"/>
      <w:bookmarkEnd w:id="2"/>
      <w:r w:rsidR="00E03741">
        <w:t xml:space="preserve">reduction in low priced gas offers. </w:t>
      </w:r>
      <w:r>
        <w:t>The ex post price in Brisbane reached $9.</w:t>
      </w:r>
      <w:r w:rsidR="00007BCE">
        <w:t xml:space="preserve">85/GJ on </w:t>
      </w:r>
      <w:r w:rsidR="00A13A32">
        <w:t>11 February</w:t>
      </w:r>
      <w:r w:rsidR="00007BCE">
        <w:t xml:space="preserve"> due to constrained capacity. </w:t>
      </w:r>
      <w:r w:rsidR="00E03741">
        <w:t>Some other exceptions are detailed below.</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007BCE" w:rsidRPr="006376D7" w:rsidTr="000371F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007BCE" w:rsidRPr="002861A9" w:rsidRDefault="00007BCE" w:rsidP="000371F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Victoria</w:t>
            </w:r>
          </w:p>
        </w:tc>
        <w:tc>
          <w:tcPr>
            <w:tcW w:w="1440" w:type="dxa"/>
            <w:tcBorders>
              <w:top w:val="nil"/>
              <w:left w:val="nil"/>
              <w:bottom w:val="single" w:sz="4" w:space="0" w:color="auto"/>
              <w:right w:val="nil"/>
              <w:tl2br w:val="nil"/>
              <w:tr2bl w:val="nil"/>
            </w:tcBorders>
            <w:noWrap/>
            <w:tcMar>
              <w:top w:w="0" w:type="dxa"/>
              <w:bottom w:w="0" w:type="dxa"/>
            </w:tcMar>
            <w:vAlign w:val="center"/>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Sydney</w:t>
            </w:r>
          </w:p>
        </w:tc>
        <w:tc>
          <w:tcPr>
            <w:tcW w:w="1439" w:type="dxa"/>
            <w:tcBorders>
              <w:top w:val="nil"/>
              <w:left w:val="nil"/>
              <w:bottom w:val="single" w:sz="4" w:space="0" w:color="auto"/>
              <w:right w:val="nil"/>
              <w:tl2br w:val="nil"/>
              <w:tr2bl w:val="nil"/>
            </w:tcBorders>
            <w:noWrap/>
            <w:tcMar>
              <w:top w:w="0" w:type="dxa"/>
              <w:bottom w:w="0" w:type="dxa"/>
            </w:tcMar>
            <w:vAlign w:val="center"/>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Adelaide</w:t>
            </w:r>
          </w:p>
        </w:tc>
        <w:tc>
          <w:tcPr>
            <w:tcW w:w="1440" w:type="dxa"/>
            <w:tcBorders>
              <w:top w:val="nil"/>
              <w:left w:val="nil"/>
              <w:bottom w:val="single" w:sz="4" w:space="0" w:color="auto"/>
              <w:right w:val="nil"/>
              <w:tl2br w:val="nil"/>
              <w:tr2bl w:val="nil"/>
            </w:tcBorders>
            <w:noWrap/>
            <w:tcMar>
              <w:top w:w="0" w:type="dxa"/>
              <w:bottom w:w="0" w:type="dxa"/>
            </w:tcMar>
            <w:vAlign w:val="center"/>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Brisbane</w:t>
            </w:r>
          </w:p>
        </w:tc>
      </w:tr>
      <w:tr w:rsidR="00007BCE" w:rsidRPr="006376D7" w:rsidTr="000371F9">
        <w:trPr>
          <w:trHeight w:val="382"/>
        </w:trPr>
        <w:tc>
          <w:tcPr>
            <w:tcW w:w="3710" w:type="dxa"/>
            <w:noWrap/>
            <w:tcMar>
              <w:top w:w="0" w:type="dxa"/>
              <w:bottom w:w="0" w:type="dxa"/>
            </w:tcMar>
            <w:vAlign w:val="center"/>
          </w:tcPr>
          <w:p w:rsidR="00007BCE" w:rsidRDefault="00007BCE">
            <w:pPr>
              <w:rPr>
                <w:rFonts w:ascii="Arial" w:hAnsi="Arial" w:cs="Arial"/>
                <w:sz w:val="20"/>
                <w:szCs w:val="20"/>
              </w:rPr>
            </w:pPr>
            <w:r>
              <w:rPr>
                <w:rFonts w:ascii="Arial" w:hAnsi="Arial" w:cs="Arial"/>
                <w:sz w:val="20"/>
                <w:szCs w:val="20"/>
              </w:rPr>
              <w:t>09 Feb - 15 Feb 2014</w:t>
            </w:r>
          </w:p>
        </w:tc>
        <w:tc>
          <w:tcPr>
            <w:tcW w:w="1439"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3.92</w:t>
            </w:r>
          </w:p>
        </w:tc>
        <w:tc>
          <w:tcPr>
            <w:tcW w:w="144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4.07</w:t>
            </w:r>
          </w:p>
        </w:tc>
        <w:tc>
          <w:tcPr>
            <w:tcW w:w="1439"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4.91</w:t>
            </w:r>
          </w:p>
        </w:tc>
        <w:tc>
          <w:tcPr>
            <w:tcW w:w="144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4.23</w:t>
            </w:r>
          </w:p>
        </w:tc>
      </w:tr>
      <w:tr w:rsidR="00007BCE" w:rsidRPr="006376D7" w:rsidTr="000371F9">
        <w:trPr>
          <w:trHeight w:val="382"/>
        </w:trPr>
        <w:tc>
          <w:tcPr>
            <w:tcW w:w="3710" w:type="dxa"/>
            <w:noWrap/>
            <w:tcMar>
              <w:top w:w="0" w:type="dxa"/>
              <w:bottom w:w="0" w:type="dxa"/>
            </w:tcMar>
            <w:vAlign w:val="center"/>
          </w:tcPr>
          <w:p w:rsidR="00007BCE" w:rsidRDefault="00007BCE">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0</w:t>
            </w:r>
          </w:p>
        </w:tc>
        <w:tc>
          <w:tcPr>
            <w:tcW w:w="144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2</w:t>
            </w:r>
          </w:p>
        </w:tc>
        <w:tc>
          <w:tcPr>
            <w:tcW w:w="1439"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4</w:t>
            </w:r>
          </w:p>
        </w:tc>
        <w:tc>
          <w:tcPr>
            <w:tcW w:w="144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1</w:t>
            </w:r>
          </w:p>
        </w:tc>
      </w:tr>
      <w:tr w:rsidR="00007BCE" w:rsidRPr="006376D7" w:rsidTr="000371F9">
        <w:trPr>
          <w:trHeight w:val="382"/>
        </w:trPr>
        <w:tc>
          <w:tcPr>
            <w:tcW w:w="3710" w:type="dxa"/>
            <w:noWrap/>
            <w:tcMar>
              <w:top w:w="0" w:type="dxa"/>
              <w:bottom w:w="0" w:type="dxa"/>
            </w:tcMar>
            <w:vAlign w:val="center"/>
          </w:tcPr>
          <w:p w:rsidR="00007BCE" w:rsidRDefault="00007BCE">
            <w:pPr>
              <w:rPr>
                <w:rFonts w:ascii="Arial" w:hAnsi="Arial" w:cs="Arial"/>
                <w:sz w:val="20"/>
                <w:szCs w:val="20"/>
              </w:rPr>
            </w:pPr>
            <w:r>
              <w:rPr>
                <w:rFonts w:ascii="Arial" w:hAnsi="Arial" w:cs="Arial"/>
                <w:sz w:val="20"/>
                <w:szCs w:val="20"/>
              </w:rPr>
              <w:t>13-14 financial YTD</w:t>
            </w:r>
          </w:p>
        </w:tc>
        <w:tc>
          <w:tcPr>
            <w:tcW w:w="1439"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3.96</w:t>
            </w:r>
          </w:p>
        </w:tc>
        <w:tc>
          <w:tcPr>
            <w:tcW w:w="144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4.17</w:t>
            </w:r>
          </w:p>
        </w:tc>
        <w:tc>
          <w:tcPr>
            <w:tcW w:w="1439"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4.56</w:t>
            </w:r>
          </w:p>
        </w:tc>
        <w:tc>
          <w:tcPr>
            <w:tcW w:w="144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5.25</w:t>
            </w:r>
          </w:p>
        </w:tc>
      </w:tr>
      <w:tr w:rsidR="00007BCE" w:rsidRPr="006376D7" w:rsidTr="000371F9">
        <w:trPr>
          <w:trHeight w:val="382"/>
        </w:trPr>
        <w:tc>
          <w:tcPr>
            <w:tcW w:w="3710" w:type="dxa"/>
            <w:noWrap/>
            <w:tcMar>
              <w:top w:w="0" w:type="dxa"/>
              <w:bottom w:w="0" w:type="dxa"/>
            </w:tcMar>
            <w:vAlign w:val="center"/>
          </w:tcPr>
          <w:p w:rsidR="00007BCE" w:rsidRDefault="00007BCE">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-21</w:t>
            </w:r>
          </w:p>
        </w:tc>
        <w:tc>
          <w:tcPr>
            <w:tcW w:w="1439"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-11</w:t>
            </w:r>
          </w:p>
        </w:tc>
        <w:tc>
          <w:tcPr>
            <w:tcW w:w="144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-7</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007BCE" w:rsidRPr="002861A9" w:rsidTr="000371F9">
        <w:trPr>
          <w:trHeight w:val="226"/>
        </w:trPr>
        <w:tc>
          <w:tcPr>
            <w:tcW w:w="3708" w:type="dxa"/>
            <w:tcBorders>
              <w:top w:val="nil"/>
              <w:left w:val="nil"/>
              <w:bottom w:val="single" w:sz="4" w:space="0" w:color="auto"/>
              <w:right w:val="nil"/>
              <w:tl2br w:val="nil"/>
              <w:tr2bl w:val="nil"/>
            </w:tcBorders>
            <w:noWrap/>
            <w:tcMar>
              <w:top w:w="0" w:type="dxa"/>
              <w:bottom w:w="0" w:type="dxa"/>
            </w:tcMar>
          </w:tcPr>
          <w:p w:rsidR="00007BCE" w:rsidRPr="002861A9" w:rsidRDefault="00007BCE" w:rsidP="000371F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007BCE" w:rsidTr="000371F9">
        <w:trPr>
          <w:trHeight w:val="382"/>
        </w:trPr>
        <w:tc>
          <w:tcPr>
            <w:tcW w:w="3708" w:type="dxa"/>
            <w:noWrap/>
            <w:tcMar>
              <w:top w:w="0" w:type="dxa"/>
              <w:bottom w:w="0" w:type="dxa"/>
            </w:tcMar>
            <w:vAlign w:val="center"/>
          </w:tcPr>
          <w:p w:rsidR="00007BCE" w:rsidRDefault="00007BCE">
            <w:pPr>
              <w:rPr>
                <w:rFonts w:ascii="Arial" w:hAnsi="Arial" w:cs="Arial"/>
                <w:sz w:val="20"/>
                <w:szCs w:val="20"/>
              </w:rPr>
            </w:pPr>
            <w:r>
              <w:rPr>
                <w:rFonts w:ascii="Arial" w:hAnsi="Arial" w:cs="Arial"/>
                <w:sz w:val="20"/>
                <w:szCs w:val="20"/>
              </w:rPr>
              <w:t>09 Feb - 15 Feb 2014</w:t>
            </w:r>
          </w:p>
        </w:tc>
        <w:tc>
          <w:tcPr>
            <w:tcW w:w="144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3.92</w:t>
            </w:r>
          </w:p>
        </w:tc>
        <w:tc>
          <w:tcPr>
            <w:tcW w:w="216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309</w:t>
            </w:r>
          </w:p>
        </w:tc>
      </w:tr>
      <w:tr w:rsidR="00007BCE" w:rsidTr="000371F9">
        <w:trPr>
          <w:trHeight w:val="382"/>
        </w:trPr>
        <w:tc>
          <w:tcPr>
            <w:tcW w:w="3708" w:type="dxa"/>
            <w:noWrap/>
            <w:tcMar>
              <w:top w:w="0" w:type="dxa"/>
              <w:bottom w:w="0" w:type="dxa"/>
            </w:tcMar>
            <w:vAlign w:val="center"/>
          </w:tcPr>
          <w:p w:rsidR="00007BCE" w:rsidRDefault="00007BCE">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0</w:t>
            </w:r>
          </w:p>
        </w:tc>
        <w:tc>
          <w:tcPr>
            <w:tcW w:w="216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-4</w:t>
            </w:r>
          </w:p>
        </w:tc>
      </w:tr>
      <w:tr w:rsidR="00007BCE" w:rsidTr="000371F9">
        <w:trPr>
          <w:trHeight w:val="382"/>
        </w:trPr>
        <w:tc>
          <w:tcPr>
            <w:tcW w:w="3708" w:type="dxa"/>
            <w:noWrap/>
            <w:tcMar>
              <w:top w:w="0" w:type="dxa"/>
              <w:bottom w:w="0" w:type="dxa"/>
            </w:tcMar>
            <w:vAlign w:val="center"/>
          </w:tcPr>
          <w:p w:rsidR="00007BCE" w:rsidRDefault="00007BCE">
            <w:pPr>
              <w:rPr>
                <w:rFonts w:ascii="Arial" w:hAnsi="Arial" w:cs="Arial"/>
                <w:sz w:val="20"/>
                <w:szCs w:val="20"/>
              </w:rPr>
            </w:pPr>
            <w:r>
              <w:rPr>
                <w:rFonts w:ascii="Arial" w:hAnsi="Arial" w:cs="Arial"/>
                <w:sz w:val="20"/>
                <w:szCs w:val="20"/>
              </w:rPr>
              <w:t>13-14 financial YTD</w:t>
            </w:r>
          </w:p>
        </w:tc>
        <w:tc>
          <w:tcPr>
            <w:tcW w:w="144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3.96</w:t>
            </w:r>
          </w:p>
        </w:tc>
        <w:tc>
          <w:tcPr>
            <w:tcW w:w="216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540</w:t>
            </w:r>
          </w:p>
        </w:tc>
      </w:tr>
      <w:tr w:rsidR="00007BCE" w:rsidTr="000371F9">
        <w:trPr>
          <w:trHeight w:val="382"/>
        </w:trPr>
        <w:tc>
          <w:tcPr>
            <w:tcW w:w="3708" w:type="dxa"/>
            <w:noWrap/>
            <w:tcMar>
              <w:top w:w="0" w:type="dxa"/>
              <w:bottom w:w="0" w:type="dxa"/>
            </w:tcMar>
            <w:vAlign w:val="center"/>
          </w:tcPr>
          <w:p w:rsidR="00007BCE" w:rsidRDefault="00007BCE">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-12</w:t>
            </w:r>
          </w:p>
        </w:tc>
        <w:tc>
          <w:tcPr>
            <w:tcW w:w="216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007BCE" w:rsidRDefault="00007BCE">
            <w:pPr>
              <w:jc w:val="center"/>
              <w:rPr>
                <w:rFonts w:ascii="Arial" w:hAnsi="Arial" w:cs="Arial"/>
                <w:sz w:val="20"/>
                <w:szCs w:val="20"/>
              </w:rPr>
            </w:pPr>
            <w:r>
              <w:rPr>
                <w:rFonts w:ascii="Arial" w:hAnsi="Arial" w:cs="Arial"/>
                <w:sz w:val="20"/>
                <w:szCs w:val="20"/>
              </w:rPr>
              <w:t>-5</w:t>
            </w:r>
          </w:p>
        </w:tc>
      </w:tr>
    </w:tbl>
    <w:p w:rsidR="005C2BA3" w:rsidRDefault="005C2BA3" w:rsidP="001A5C1A">
      <w:pPr>
        <w:pStyle w:val="AERbodytext"/>
        <w:spacing w:before="120" w:after="120"/>
        <w:jc w:val="both"/>
        <w:rPr>
          <w:sz w:val="20"/>
        </w:rPr>
      </w:pPr>
    </w:p>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lastRenderedPageBreak/>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Default="00AD3EBD" w:rsidP="000D1FEB">
      <w:pPr>
        <w:pStyle w:val="AERfigureheading-unnumbered"/>
        <w:tabs>
          <w:tab w:val="num" w:pos="1080"/>
        </w:tabs>
        <w:spacing w:before="120"/>
        <w:rPr>
          <w:rFonts w:ascii="Arial" w:hAnsi="Arial" w:cs="Arial"/>
          <w:sz w:val="20"/>
          <w:szCs w:val="20"/>
        </w:rPr>
      </w:pPr>
      <w:r w:rsidRPr="00E77449">
        <w:rPr>
          <w:rFonts w:ascii="Arial" w:hAnsi="Arial" w:cs="Arial"/>
          <w:sz w:val="20"/>
          <w:szCs w:val="20"/>
        </w:rPr>
        <w:t>Sydney STTM</w:t>
      </w:r>
      <w:r w:rsidR="00522E00" w:rsidRPr="00E77449">
        <w:rPr>
          <w:rFonts w:ascii="Arial" w:hAnsi="Arial" w:cs="Arial"/>
          <w:sz w:val="20"/>
          <w:szCs w:val="20"/>
        </w:rPr>
        <w:t xml:space="preserve"> </w:t>
      </w:r>
    </w:p>
    <w:tbl>
      <w:tblPr>
        <w:tblW w:w="0" w:type="auto"/>
        <w:tblInd w:w="108" w:type="dxa"/>
        <w:tblLook w:val="04A0" w:firstRow="1" w:lastRow="0" w:firstColumn="1" w:lastColumn="0" w:noHBand="0" w:noVBand="1"/>
      </w:tblPr>
      <w:tblGrid>
        <w:gridCol w:w="2164"/>
        <w:gridCol w:w="1368"/>
        <w:gridCol w:w="1373"/>
        <w:gridCol w:w="1665"/>
        <w:gridCol w:w="1529"/>
        <w:gridCol w:w="1534"/>
      </w:tblGrid>
      <w:tr w:rsidR="00007BCE" w:rsidTr="008C1EF4">
        <w:trPr>
          <w:trHeight w:val="705"/>
        </w:trPr>
        <w:tc>
          <w:tcPr>
            <w:tcW w:w="0" w:type="auto"/>
            <w:tcBorders>
              <w:top w:val="nil"/>
              <w:left w:val="nil"/>
              <w:bottom w:val="single" w:sz="4" w:space="0" w:color="auto"/>
              <w:right w:val="nil"/>
            </w:tcBorders>
            <w:shd w:val="clear" w:color="auto" w:fill="auto"/>
            <w:noWrap/>
            <w:vAlign w:val="center"/>
            <w:hideMark/>
          </w:tcPr>
          <w:p w:rsidR="00007BCE" w:rsidRPr="002861A9" w:rsidRDefault="00007BCE" w:rsidP="000371F9">
            <w:pPr>
              <w:keepNext/>
              <w:spacing w:before="40" w:after="40"/>
              <w:rPr>
                <w:rFonts w:ascii="Arial" w:hAnsi="Arial" w:cs="Arial"/>
                <w:b/>
                <w:bCs/>
                <w:sz w:val="20"/>
                <w:szCs w:val="20"/>
              </w:rPr>
            </w:pPr>
            <w:r w:rsidRPr="002861A9">
              <w:rPr>
                <w:rFonts w:ascii="Arial" w:hAnsi="Arial" w:cs="Arial"/>
                <w:b/>
                <w:bCs/>
                <w:sz w:val="20"/>
                <w:szCs w:val="20"/>
              </w:rPr>
              <w:t> </w:t>
            </w:r>
          </w:p>
        </w:tc>
        <w:tc>
          <w:tcPr>
            <w:tcW w:w="0" w:type="auto"/>
            <w:tcBorders>
              <w:top w:val="nil"/>
              <w:left w:val="nil"/>
              <w:bottom w:val="single" w:sz="4" w:space="0" w:color="auto"/>
              <w:right w:val="nil"/>
            </w:tcBorders>
            <w:shd w:val="clear" w:color="auto" w:fill="auto"/>
            <w:vAlign w:val="center"/>
            <w:hideMark/>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0" w:type="auto"/>
            <w:tcBorders>
              <w:top w:val="nil"/>
              <w:left w:val="nil"/>
              <w:bottom w:val="single" w:sz="4" w:space="0" w:color="auto"/>
              <w:right w:val="nil"/>
            </w:tcBorders>
            <w:shd w:val="clear" w:color="auto" w:fill="auto"/>
            <w:vAlign w:val="center"/>
            <w:hideMark/>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0" w:type="auto"/>
            <w:tcBorders>
              <w:top w:val="nil"/>
              <w:left w:val="nil"/>
              <w:bottom w:val="single" w:sz="4" w:space="0" w:color="auto"/>
              <w:right w:val="nil"/>
            </w:tcBorders>
            <w:shd w:val="clear" w:color="auto" w:fill="auto"/>
            <w:vAlign w:val="center"/>
            <w:hideMark/>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0" w:type="auto"/>
            <w:tcBorders>
              <w:top w:val="nil"/>
              <w:left w:val="nil"/>
              <w:bottom w:val="single" w:sz="4" w:space="0" w:color="auto"/>
              <w:right w:val="nil"/>
            </w:tcBorders>
            <w:shd w:val="clear" w:color="auto" w:fill="auto"/>
            <w:vAlign w:val="center"/>
            <w:hideMark/>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0" w:type="auto"/>
            <w:tcBorders>
              <w:top w:val="nil"/>
              <w:left w:val="nil"/>
              <w:bottom w:val="single" w:sz="4" w:space="0" w:color="auto"/>
              <w:right w:val="nil"/>
            </w:tcBorders>
            <w:shd w:val="clear" w:color="auto" w:fill="auto"/>
            <w:vAlign w:val="center"/>
            <w:hideMark/>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007BCE" w:rsidTr="008C1EF4">
        <w:trPr>
          <w:trHeight w:val="480"/>
        </w:trPr>
        <w:tc>
          <w:tcPr>
            <w:tcW w:w="0" w:type="auto"/>
            <w:tcBorders>
              <w:top w:val="nil"/>
              <w:left w:val="nil"/>
              <w:bottom w:val="nil"/>
              <w:right w:val="nil"/>
            </w:tcBorders>
            <w:shd w:val="clear" w:color="auto" w:fill="auto"/>
            <w:vAlign w:val="center"/>
            <w:hideMark/>
          </w:tcPr>
          <w:p w:rsidR="00007BCE" w:rsidRDefault="00007BCE">
            <w:pPr>
              <w:rPr>
                <w:rFonts w:ascii="Arial" w:hAnsi="Arial" w:cs="Arial"/>
                <w:sz w:val="20"/>
                <w:szCs w:val="20"/>
              </w:rPr>
            </w:pPr>
            <w:r>
              <w:rPr>
                <w:rFonts w:ascii="Arial" w:hAnsi="Arial" w:cs="Arial"/>
                <w:sz w:val="20"/>
                <w:szCs w:val="20"/>
              </w:rPr>
              <w:t>09 Feb - 15 Feb 2014</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4.07</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3.85</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7.89</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217</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210</w:t>
            </w:r>
          </w:p>
        </w:tc>
      </w:tr>
      <w:tr w:rsidR="00007BCE" w:rsidTr="008C1EF4">
        <w:trPr>
          <w:trHeight w:val="480"/>
        </w:trPr>
        <w:tc>
          <w:tcPr>
            <w:tcW w:w="0" w:type="auto"/>
            <w:tcBorders>
              <w:top w:val="nil"/>
              <w:left w:val="nil"/>
              <w:bottom w:val="nil"/>
              <w:right w:val="nil"/>
            </w:tcBorders>
            <w:shd w:val="clear" w:color="auto" w:fill="auto"/>
            <w:vAlign w:val="center"/>
            <w:hideMark/>
          </w:tcPr>
          <w:p w:rsidR="00007BCE" w:rsidRDefault="00007BCE">
            <w:pPr>
              <w:rPr>
                <w:rFonts w:ascii="Arial" w:hAnsi="Arial" w:cs="Arial"/>
                <w:sz w:val="20"/>
                <w:szCs w:val="20"/>
              </w:rPr>
            </w:pPr>
            <w:r>
              <w:rPr>
                <w:rFonts w:ascii="Arial" w:hAnsi="Arial" w:cs="Arial"/>
                <w:sz w:val="20"/>
                <w:szCs w:val="20"/>
              </w:rPr>
              <w:t>% change from previous week</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-41</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3</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3</w:t>
            </w:r>
          </w:p>
        </w:tc>
      </w:tr>
      <w:tr w:rsidR="00007BCE" w:rsidTr="008C1EF4">
        <w:trPr>
          <w:trHeight w:val="480"/>
        </w:trPr>
        <w:tc>
          <w:tcPr>
            <w:tcW w:w="0" w:type="auto"/>
            <w:tcBorders>
              <w:top w:val="nil"/>
              <w:left w:val="nil"/>
              <w:bottom w:val="nil"/>
              <w:right w:val="nil"/>
            </w:tcBorders>
            <w:shd w:val="clear" w:color="auto" w:fill="auto"/>
            <w:vAlign w:val="center"/>
            <w:hideMark/>
          </w:tcPr>
          <w:p w:rsidR="00007BCE" w:rsidRDefault="00007BCE">
            <w:pPr>
              <w:rPr>
                <w:rFonts w:ascii="Arial" w:hAnsi="Arial" w:cs="Arial"/>
                <w:sz w:val="20"/>
                <w:szCs w:val="20"/>
              </w:rPr>
            </w:pPr>
            <w:r>
              <w:rPr>
                <w:rFonts w:ascii="Arial" w:hAnsi="Arial" w:cs="Arial"/>
                <w:sz w:val="20"/>
                <w:szCs w:val="20"/>
              </w:rPr>
              <w:t>13-14 financial YTD</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4.17</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4.02</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11.94</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239</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234</w:t>
            </w:r>
          </w:p>
        </w:tc>
      </w:tr>
      <w:tr w:rsidR="00007BCE" w:rsidTr="008C1EF4">
        <w:trPr>
          <w:trHeight w:val="705"/>
        </w:trPr>
        <w:tc>
          <w:tcPr>
            <w:tcW w:w="0" w:type="auto"/>
            <w:tcBorders>
              <w:top w:val="nil"/>
              <w:left w:val="nil"/>
              <w:bottom w:val="single" w:sz="4" w:space="0" w:color="auto"/>
              <w:right w:val="nil"/>
            </w:tcBorders>
            <w:shd w:val="clear" w:color="auto" w:fill="auto"/>
            <w:vAlign w:val="center"/>
            <w:hideMark/>
          </w:tcPr>
          <w:p w:rsidR="00007BCE" w:rsidRDefault="00007BCE">
            <w:pPr>
              <w:rPr>
                <w:rFonts w:ascii="Arial" w:hAnsi="Arial" w:cs="Arial"/>
                <w:sz w:val="20"/>
                <w:szCs w:val="20"/>
              </w:rPr>
            </w:pPr>
            <w:r>
              <w:rPr>
                <w:rFonts w:ascii="Arial" w:hAnsi="Arial" w:cs="Arial"/>
                <w:sz w:val="20"/>
                <w:szCs w:val="20"/>
              </w:rPr>
              <w:t>% change from previous financial YTD</w:t>
            </w:r>
          </w:p>
        </w:tc>
        <w:tc>
          <w:tcPr>
            <w:tcW w:w="0" w:type="auto"/>
            <w:tcBorders>
              <w:top w:val="nil"/>
              <w:left w:val="nil"/>
              <w:bottom w:val="single" w:sz="4" w:space="0" w:color="auto"/>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-21</w:t>
            </w:r>
          </w:p>
        </w:tc>
        <w:tc>
          <w:tcPr>
            <w:tcW w:w="0" w:type="auto"/>
            <w:tcBorders>
              <w:top w:val="nil"/>
              <w:left w:val="nil"/>
              <w:bottom w:val="single" w:sz="4" w:space="0" w:color="auto"/>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-28</w:t>
            </w:r>
          </w:p>
        </w:tc>
        <w:tc>
          <w:tcPr>
            <w:tcW w:w="0" w:type="auto"/>
            <w:tcBorders>
              <w:top w:val="nil"/>
              <w:left w:val="nil"/>
              <w:bottom w:val="single" w:sz="4" w:space="0" w:color="auto"/>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8</w:t>
            </w:r>
          </w:p>
        </w:tc>
        <w:tc>
          <w:tcPr>
            <w:tcW w:w="0" w:type="auto"/>
            <w:tcBorders>
              <w:top w:val="nil"/>
              <w:left w:val="nil"/>
              <w:bottom w:val="single" w:sz="4" w:space="0" w:color="auto"/>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-1</w:t>
            </w:r>
          </w:p>
        </w:tc>
        <w:tc>
          <w:tcPr>
            <w:tcW w:w="0" w:type="auto"/>
            <w:tcBorders>
              <w:top w:val="nil"/>
              <w:left w:val="nil"/>
              <w:bottom w:val="single" w:sz="4" w:space="0" w:color="auto"/>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-3</w:t>
            </w:r>
          </w:p>
        </w:tc>
      </w:tr>
    </w:tbl>
    <w:p w:rsidR="005F18AD"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0" w:type="auto"/>
        <w:tblInd w:w="108" w:type="dxa"/>
        <w:tblLook w:val="04A0" w:firstRow="1" w:lastRow="0" w:firstColumn="1" w:lastColumn="0" w:noHBand="0" w:noVBand="1"/>
      </w:tblPr>
      <w:tblGrid>
        <w:gridCol w:w="2164"/>
        <w:gridCol w:w="1368"/>
        <w:gridCol w:w="1373"/>
        <w:gridCol w:w="1665"/>
        <w:gridCol w:w="1529"/>
        <w:gridCol w:w="1534"/>
      </w:tblGrid>
      <w:tr w:rsidR="00007BCE" w:rsidTr="008C1EF4">
        <w:trPr>
          <w:trHeight w:val="675"/>
        </w:trPr>
        <w:tc>
          <w:tcPr>
            <w:tcW w:w="0" w:type="auto"/>
            <w:tcBorders>
              <w:top w:val="nil"/>
              <w:left w:val="nil"/>
              <w:bottom w:val="single" w:sz="4" w:space="0" w:color="auto"/>
              <w:right w:val="nil"/>
            </w:tcBorders>
            <w:shd w:val="clear" w:color="auto" w:fill="auto"/>
            <w:noWrap/>
            <w:vAlign w:val="center"/>
            <w:hideMark/>
          </w:tcPr>
          <w:p w:rsidR="00007BCE" w:rsidRPr="002861A9" w:rsidRDefault="00007BCE" w:rsidP="000371F9">
            <w:pPr>
              <w:keepNext/>
              <w:spacing w:before="40" w:after="40"/>
              <w:rPr>
                <w:rFonts w:ascii="Arial" w:hAnsi="Arial" w:cs="Arial"/>
                <w:b/>
                <w:bCs/>
                <w:sz w:val="20"/>
                <w:szCs w:val="20"/>
              </w:rPr>
            </w:pPr>
            <w:r w:rsidRPr="002861A9">
              <w:rPr>
                <w:rFonts w:ascii="Arial" w:hAnsi="Arial" w:cs="Arial"/>
                <w:b/>
                <w:bCs/>
                <w:sz w:val="20"/>
                <w:szCs w:val="20"/>
              </w:rPr>
              <w:t> </w:t>
            </w:r>
          </w:p>
        </w:tc>
        <w:tc>
          <w:tcPr>
            <w:tcW w:w="0" w:type="auto"/>
            <w:tcBorders>
              <w:top w:val="nil"/>
              <w:left w:val="nil"/>
              <w:bottom w:val="single" w:sz="4" w:space="0" w:color="auto"/>
              <w:right w:val="nil"/>
            </w:tcBorders>
            <w:shd w:val="clear" w:color="auto" w:fill="auto"/>
            <w:vAlign w:val="center"/>
            <w:hideMark/>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0" w:type="auto"/>
            <w:tcBorders>
              <w:top w:val="nil"/>
              <w:left w:val="nil"/>
              <w:bottom w:val="single" w:sz="4" w:space="0" w:color="auto"/>
              <w:right w:val="nil"/>
            </w:tcBorders>
            <w:shd w:val="clear" w:color="auto" w:fill="auto"/>
            <w:vAlign w:val="center"/>
            <w:hideMark/>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0" w:type="auto"/>
            <w:tcBorders>
              <w:top w:val="nil"/>
              <w:left w:val="nil"/>
              <w:bottom w:val="single" w:sz="4" w:space="0" w:color="auto"/>
              <w:right w:val="nil"/>
            </w:tcBorders>
            <w:shd w:val="clear" w:color="auto" w:fill="auto"/>
            <w:vAlign w:val="center"/>
            <w:hideMark/>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0" w:type="auto"/>
            <w:tcBorders>
              <w:top w:val="nil"/>
              <w:left w:val="nil"/>
              <w:bottom w:val="single" w:sz="4" w:space="0" w:color="auto"/>
              <w:right w:val="nil"/>
            </w:tcBorders>
            <w:shd w:val="clear" w:color="auto" w:fill="auto"/>
            <w:vAlign w:val="center"/>
            <w:hideMark/>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0" w:type="auto"/>
            <w:tcBorders>
              <w:top w:val="nil"/>
              <w:left w:val="nil"/>
              <w:bottom w:val="single" w:sz="4" w:space="0" w:color="auto"/>
              <w:right w:val="nil"/>
            </w:tcBorders>
            <w:shd w:val="clear" w:color="auto" w:fill="auto"/>
            <w:vAlign w:val="center"/>
            <w:hideMark/>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007BCE" w:rsidTr="008C1EF4">
        <w:trPr>
          <w:trHeight w:val="480"/>
        </w:trPr>
        <w:tc>
          <w:tcPr>
            <w:tcW w:w="0" w:type="auto"/>
            <w:tcBorders>
              <w:top w:val="nil"/>
              <w:left w:val="nil"/>
              <w:bottom w:val="nil"/>
              <w:right w:val="nil"/>
            </w:tcBorders>
            <w:shd w:val="clear" w:color="auto" w:fill="auto"/>
            <w:vAlign w:val="center"/>
            <w:hideMark/>
          </w:tcPr>
          <w:p w:rsidR="00007BCE" w:rsidRDefault="00007BCE">
            <w:pPr>
              <w:rPr>
                <w:rFonts w:ascii="Arial" w:hAnsi="Arial" w:cs="Arial"/>
                <w:sz w:val="20"/>
                <w:szCs w:val="20"/>
              </w:rPr>
            </w:pPr>
            <w:r>
              <w:rPr>
                <w:rFonts w:ascii="Arial" w:hAnsi="Arial" w:cs="Arial"/>
                <w:sz w:val="20"/>
                <w:szCs w:val="20"/>
              </w:rPr>
              <w:t>09 Feb - 15 Feb 2014</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4.91</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4.73</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23.32</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50</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47</w:t>
            </w:r>
          </w:p>
        </w:tc>
      </w:tr>
      <w:tr w:rsidR="00007BCE" w:rsidTr="008C1EF4">
        <w:trPr>
          <w:trHeight w:val="480"/>
        </w:trPr>
        <w:tc>
          <w:tcPr>
            <w:tcW w:w="0" w:type="auto"/>
            <w:tcBorders>
              <w:top w:val="nil"/>
              <w:left w:val="nil"/>
              <w:bottom w:val="nil"/>
              <w:right w:val="nil"/>
            </w:tcBorders>
            <w:shd w:val="clear" w:color="auto" w:fill="auto"/>
            <w:vAlign w:val="center"/>
            <w:hideMark/>
          </w:tcPr>
          <w:p w:rsidR="00007BCE" w:rsidRDefault="00007BCE">
            <w:pPr>
              <w:rPr>
                <w:rFonts w:ascii="Arial" w:hAnsi="Arial" w:cs="Arial"/>
                <w:sz w:val="20"/>
                <w:szCs w:val="20"/>
              </w:rPr>
            </w:pPr>
            <w:r>
              <w:rPr>
                <w:rFonts w:ascii="Arial" w:hAnsi="Arial" w:cs="Arial"/>
                <w:sz w:val="20"/>
                <w:szCs w:val="20"/>
              </w:rPr>
              <w:t>% change from previous week</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4</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6</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53</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-1</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5</w:t>
            </w:r>
          </w:p>
        </w:tc>
      </w:tr>
      <w:tr w:rsidR="00007BCE" w:rsidTr="008C1EF4">
        <w:trPr>
          <w:trHeight w:val="480"/>
        </w:trPr>
        <w:tc>
          <w:tcPr>
            <w:tcW w:w="0" w:type="auto"/>
            <w:tcBorders>
              <w:top w:val="nil"/>
              <w:left w:val="nil"/>
              <w:bottom w:val="nil"/>
              <w:right w:val="nil"/>
            </w:tcBorders>
            <w:shd w:val="clear" w:color="auto" w:fill="auto"/>
            <w:vAlign w:val="center"/>
            <w:hideMark/>
          </w:tcPr>
          <w:p w:rsidR="00007BCE" w:rsidRDefault="00007BCE">
            <w:pPr>
              <w:rPr>
                <w:rFonts w:ascii="Arial" w:hAnsi="Arial" w:cs="Arial"/>
                <w:sz w:val="20"/>
                <w:szCs w:val="20"/>
              </w:rPr>
            </w:pPr>
            <w:r>
              <w:rPr>
                <w:rFonts w:ascii="Arial" w:hAnsi="Arial" w:cs="Arial"/>
                <w:sz w:val="20"/>
                <w:szCs w:val="20"/>
              </w:rPr>
              <w:t>13-14 financial YTD</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4.56</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4.56</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16.45</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68</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68</w:t>
            </w:r>
          </w:p>
        </w:tc>
      </w:tr>
      <w:tr w:rsidR="00007BCE" w:rsidTr="008C1EF4">
        <w:trPr>
          <w:trHeight w:val="480"/>
        </w:trPr>
        <w:tc>
          <w:tcPr>
            <w:tcW w:w="0" w:type="auto"/>
            <w:tcBorders>
              <w:top w:val="nil"/>
              <w:left w:val="nil"/>
              <w:bottom w:val="single" w:sz="4" w:space="0" w:color="auto"/>
              <w:right w:val="nil"/>
            </w:tcBorders>
            <w:shd w:val="clear" w:color="auto" w:fill="auto"/>
            <w:vAlign w:val="center"/>
            <w:hideMark/>
          </w:tcPr>
          <w:p w:rsidR="00007BCE" w:rsidRDefault="00007BCE">
            <w:pPr>
              <w:rPr>
                <w:rFonts w:ascii="Arial" w:hAnsi="Arial" w:cs="Arial"/>
                <w:sz w:val="20"/>
                <w:szCs w:val="20"/>
              </w:rPr>
            </w:pPr>
            <w:r>
              <w:rPr>
                <w:rFonts w:ascii="Arial" w:hAnsi="Arial" w:cs="Arial"/>
                <w:sz w:val="20"/>
                <w:szCs w:val="20"/>
              </w:rPr>
              <w:t>% change from previous financial YTD</w:t>
            </w:r>
          </w:p>
        </w:tc>
        <w:tc>
          <w:tcPr>
            <w:tcW w:w="0" w:type="auto"/>
            <w:tcBorders>
              <w:top w:val="nil"/>
              <w:left w:val="nil"/>
              <w:bottom w:val="single" w:sz="4" w:space="0" w:color="auto"/>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-11</w:t>
            </w:r>
          </w:p>
        </w:tc>
        <w:tc>
          <w:tcPr>
            <w:tcW w:w="0" w:type="auto"/>
            <w:tcBorders>
              <w:top w:val="nil"/>
              <w:left w:val="nil"/>
              <w:bottom w:val="single" w:sz="4" w:space="0" w:color="auto"/>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-10</w:t>
            </w:r>
          </w:p>
        </w:tc>
        <w:tc>
          <w:tcPr>
            <w:tcW w:w="0" w:type="auto"/>
            <w:tcBorders>
              <w:top w:val="nil"/>
              <w:left w:val="nil"/>
              <w:bottom w:val="single" w:sz="4" w:space="0" w:color="auto"/>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89</w:t>
            </w:r>
          </w:p>
        </w:tc>
        <w:tc>
          <w:tcPr>
            <w:tcW w:w="0" w:type="auto"/>
            <w:tcBorders>
              <w:top w:val="nil"/>
              <w:left w:val="nil"/>
              <w:bottom w:val="single" w:sz="4" w:space="0" w:color="auto"/>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-3</w:t>
            </w:r>
          </w:p>
        </w:tc>
        <w:tc>
          <w:tcPr>
            <w:tcW w:w="0" w:type="auto"/>
            <w:tcBorders>
              <w:top w:val="nil"/>
              <w:left w:val="nil"/>
              <w:bottom w:val="single" w:sz="4" w:space="0" w:color="auto"/>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0</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0" w:type="auto"/>
        <w:tblInd w:w="108" w:type="dxa"/>
        <w:tblLook w:val="04A0" w:firstRow="1" w:lastRow="0" w:firstColumn="1" w:lastColumn="0" w:noHBand="0" w:noVBand="1"/>
      </w:tblPr>
      <w:tblGrid>
        <w:gridCol w:w="2164"/>
        <w:gridCol w:w="1368"/>
        <w:gridCol w:w="1373"/>
        <w:gridCol w:w="1665"/>
        <w:gridCol w:w="1529"/>
        <w:gridCol w:w="1534"/>
      </w:tblGrid>
      <w:tr w:rsidR="00007BCE" w:rsidTr="008C1EF4">
        <w:trPr>
          <w:trHeight w:val="675"/>
        </w:trPr>
        <w:tc>
          <w:tcPr>
            <w:tcW w:w="0" w:type="auto"/>
            <w:tcBorders>
              <w:top w:val="nil"/>
              <w:left w:val="nil"/>
              <w:bottom w:val="single" w:sz="4" w:space="0" w:color="auto"/>
              <w:right w:val="nil"/>
            </w:tcBorders>
            <w:shd w:val="clear" w:color="auto" w:fill="auto"/>
            <w:noWrap/>
            <w:vAlign w:val="center"/>
            <w:hideMark/>
          </w:tcPr>
          <w:p w:rsidR="00007BCE" w:rsidRPr="002861A9" w:rsidRDefault="00007BCE" w:rsidP="000371F9">
            <w:pPr>
              <w:keepNext/>
              <w:spacing w:before="40" w:after="40"/>
              <w:rPr>
                <w:rFonts w:ascii="Arial" w:hAnsi="Arial" w:cs="Arial"/>
                <w:b/>
                <w:bCs/>
                <w:sz w:val="20"/>
                <w:szCs w:val="20"/>
              </w:rPr>
            </w:pPr>
            <w:r w:rsidRPr="002861A9">
              <w:rPr>
                <w:rFonts w:ascii="Arial" w:hAnsi="Arial" w:cs="Arial"/>
                <w:b/>
                <w:bCs/>
                <w:sz w:val="20"/>
                <w:szCs w:val="20"/>
              </w:rPr>
              <w:t> </w:t>
            </w:r>
          </w:p>
        </w:tc>
        <w:tc>
          <w:tcPr>
            <w:tcW w:w="0" w:type="auto"/>
            <w:tcBorders>
              <w:top w:val="nil"/>
              <w:left w:val="nil"/>
              <w:bottom w:val="single" w:sz="4" w:space="0" w:color="auto"/>
              <w:right w:val="nil"/>
            </w:tcBorders>
            <w:shd w:val="clear" w:color="auto" w:fill="auto"/>
            <w:vAlign w:val="center"/>
            <w:hideMark/>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0" w:type="auto"/>
            <w:tcBorders>
              <w:top w:val="nil"/>
              <w:left w:val="nil"/>
              <w:bottom w:val="single" w:sz="4" w:space="0" w:color="auto"/>
              <w:right w:val="nil"/>
            </w:tcBorders>
            <w:shd w:val="clear" w:color="auto" w:fill="auto"/>
            <w:vAlign w:val="center"/>
            <w:hideMark/>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0" w:type="auto"/>
            <w:tcBorders>
              <w:top w:val="nil"/>
              <w:left w:val="nil"/>
              <w:bottom w:val="single" w:sz="4" w:space="0" w:color="auto"/>
              <w:right w:val="nil"/>
            </w:tcBorders>
            <w:shd w:val="clear" w:color="auto" w:fill="auto"/>
            <w:vAlign w:val="center"/>
            <w:hideMark/>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0" w:type="auto"/>
            <w:tcBorders>
              <w:top w:val="nil"/>
              <w:left w:val="nil"/>
              <w:bottom w:val="single" w:sz="4" w:space="0" w:color="auto"/>
              <w:right w:val="nil"/>
            </w:tcBorders>
            <w:shd w:val="clear" w:color="auto" w:fill="auto"/>
            <w:vAlign w:val="center"/>
            <w:hideMark/>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0" w:type="auto"/>
            <w:tcBorders>
              <w:top w:val="nil"/>
              <w:left w:val="nil"/>
              <w:bottom w:val="single" w:sz="4" w:space="0" w:color="auto"/>
              <w:right w:val="nil"/>
            </w:tcBorders>
            <w:shd w:val="clear" w:color="auto" w:fill="auto"/>
            <w:vAlign w:val="center"/>
            <w:hideMark/>
          </w:tcPr>
          <w:p w:rsidR="00007BCE" w:rsidRPr="002861A9" w:rsidRDefault="00007BCE" w:rsidP="000371F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007BCE" w:rsidTr="008C1EF4">
        <w:trPr>
          <w:trHeight w:val="480"/>
        </w:trPr>
        <w:tc>
          <w:tcPr>
            <w:tcW w:w="0" w:type="auto"/>
            <w:tcBorders>
              <w:top w:val="nil"/>
              <w:left w:val="nil"/>
              <w:bottom w:val="nil"/>
              <w:right w:val="nil"/>
            </w:tcBorders>
            <w:shd w:val="clear" w:color="auto" w:fill="auto"/>
            <w:vAlign w:val="center"/>
            <w:hideMark/>
          </w:tcPr>
          <w:p w:rsidR="00007BCE" w:rsidRDefault="00007BCE">
            <w:pPr>
              <w:rPr>
                <w:rFonts w:ascii="Arial" w:hAnsi="Arial" w:cs="Arial"/>
                <w:sz w:val="20"/>
                <w:szCs w:val="20"/>
              </w:rPr>
            </w:pPr>
            <w:r>
              <w:rPr>
                <w:rFonts w:ascii="Arial" w:hAnsi="Arial" w:cs="Arial"/>
                <w:sz w:val="20"/>
                <w:szCs w:val="20"/>
              </w:rPr>
              <w:t>09 Feb - 15 Feb 2014</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4.23</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5.22</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1.61</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168</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173</w:t>
            </w:r>
          </w:p>
        </w:tc>
      </w:tr>
      <w:tr w:rsidR="00007BCE" w:rsidTr="008C1EF4">
        <w:trPr>
          <w:trHeight w:val="480"/>
        </w:trPr>
        <w:tc>
          <w:tcPr>
            <w:tcW w:w="0" w:type="auto"/>
            <w:tcBorders>
              <w:top w:val="nil"/>
              <w:left w:val="nil"/>
              <w:bottom w:val="nil"/>
              <w:right w:val="nil"/>
            </w:tcBorders>
            <w:shd w:val="clear" w:color="auto" w:fill="auto"/>
            <w:vAlign w:val="center"/>
            <w:hideMark/>
          </w:tcPr>
          <w:p w:rsidR="00007BCE" w:rsidRDefault="00007BCE">
            <w:pPr>
              <w:rPr>
                <w:rFonts w:ascii="Arial" w:hAnsi="Arial" w:cs="Arial"/>
                <w:sz w:val="20"/>
                <w:szCs w:val="20"/>
              </w:rPr>
            </w:pPr>
            <w:r>
              <w:rPr>
                <w:rFonts w:ascii="Arial" w:hAnsi="Arial" w:cs="Arial"/>
                <w:sz w:val="20"/>
                <w:szCs w:val="20"/>
              </w:rPr>
              <w:t>% change from previous week</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1</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26</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14</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6</w:t>
            </w:r>
          </w:p>
        </w:tc>
      </w:tr>
      <w:tr w:rsidR="00007BCE" w:rsidTr="008C1EF4">
        <w:trPr>
          <w:trHeight w:val="480"/>
        </w:trPr>
        <w:tc>
          <w:tcPr>
            <w:tcW w:w="0" w:type="auto"/>
            <w:tcBorders>
              <w:top w:val="nil"/>
              <w:left w:val="nil"/>
              <w:bottom w:val="nil"/>
              <w:right w:val="nil"/>
            </w:tcBorders>
            <w:shd w:val="clear" w:color="auto" w:fill="auto"/>
            <w:vAlign w:val="center"/>
            <w:hideMark/>
          </w:tcPr>
          <w:p w:rsidR="00007BCE" w:rsidRDefault="00007BCE">
            <w:pPr>
              <w:rPr>
                <w:rFonts w:ascii="Arial" w:hAnsi="Arial" w:cs="Arial"/>
                <w:sz w:val="20"/>
                <w:szCs w:val="20"/>
              </w:rPr>
            </w:pPr>
            <w:r>
              <w:rPr>
                <w:rFonts w:ascii="Arial" w:hAnsi="Arial" w:cs="Arial"/>
                <w:sz w:val="20"/>
                <w:szCs w:val="20"/>
              </w:rPr>
              <w:t>13-14 financial YTD</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5.25</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5.35</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1.63</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149</w:t>
            </w:r>
          </w:p>
        </w:tc>
        <w:tc>
          <w:tcPr>
            <w:tcW w:w="0" w:type="auto"/>
            <w:tcBorders>
              <w:top w:val="nil"/>
              <w:left w:val="nil"/>
              <w:bottom w:val="nil"/>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149</w:t>
            </w:r>
          </w:p>
        </w:tc>
      </w:tr>
      <w:tr w:rsidR="00007BCE" w:rsidTr="008C1EF4">
        <w:trPr>
          <w:trHeight w:val="480"/>
        </w:trPr>
        <w:tc>
          <w:tcPr>
            <w:tcW w:w="0" w:type="auto"/>
            <w:tcBorders>
              <w:top w:val="nil"/>
              <w:left w:val="nil"/>
              <w:bottom w:val="single" w:sz="4" w:space="0" w:color="auto"/>
              <w:right w:val="nil"/>
            </w:tcBorders>
            <w:shd w:val="clear" w:color="auto" w:fill="auto"/>
            <w:vAlign w:val="center"/>
            <w:hideMark/>
          </w:tcPr>
          <w:p w:rsidR="00007BCE" w:rsidRDefault="00007BCE">
            <w:pPr>
              <w:rPr>
                <w:rFonts w:ascii="Arial" w:hAnsi="Arial" w:cs="Arial"/>
                <w:sz w:val="20"/>
                <w:szCs w:val="20"/>
              </w:rPr>
            </w:pPr>
            <w:r>
              <w:rPr>
                <w:rFonts w:ascii="Arial" w:hAnsi="Arial" w:cs="Arial"/>
                <w:sz w:val="20"/>
                <w:szCs w:val="20"/>
              </w:rPr>
              <w:t>% change from previous financial YTD</w:t>
            </w:r>
          </w:p>
        </w:tc>
        <w:tc>
          <w:tcPr>
            <w:tcW w:w="0" w:type="auto"/>
            <w:tcBorders>
              <w:top w:val="nil"/>
              <w:left w:val="nil"/>
              <w:bottom w:val="single" w:sz="4" w:space="0" w:color="auto"/>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-7</w:t>
            </w:r>
          </w:p>
        </w:tc>
        <w:tc>
          <w:tcPr>
            <w:tcW w:w="0" w:type="auto"/>
            <w:tcBorders>
              <w:top w:val="nil"/>
              <w:left w:val="nil"/>
              <w:bottom w:val="single" w:sz="4" w:space="0" w:color="auto"/>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-4</w:t>
            </w:r>
          </w:p>
        </w:tc>
        <w:tc>
          <w:tcPr>
            <w:tcW w:w="0" w:type="auto"/>
            <w:tcBorders>
              <w:top w:val="nil"/>
              <w:left w:val="nil"/>
              <w:bottom w:val="single" w:sz="4" w:space="0" w:color="auto"/>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-38</w:t>
            </w:r>
          </w:p>
        </w:tc>
        <w:tc>
          <w:tcPr>
            <w:tcW w:w="0" w:type="auto"/>
            <w:tcBorders>
              <w:top w:val="nil"/>
              <w:left w:val="nil"/>
              <w:bottom w:val="single" w:sz="4" w:space="0" w:color="auto"/>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2</w:t>
            </w:r>
          </w:p>
        </w:tc>
        <w:tc>
          <w:tcPr>
            <w:tcW w:w="0" w:type="auto"/>
            <w:tcBorders>
              <w:top w:val="nil"/>
              <w:left w:val="nil"/>
              <w:bottom w:val="single" w:sz="4" w:space="0" w:color="auto"/>
              <w:right w:val="nil"/>
            </w:tcBorders>
            <w:shd w:val="clear" w:color="auto" w:fill="auto"/>
            <w:noWrap/>
            <w:vAlign w:val="center"/>
            <w:hideMark/>
          </w:tcPr>
          <w:p w:rsidR="00007BCE" w:rsidRDefault="00007BCE">
            <w:pPr>
              <w:jc w:val="center"/>
              <w:rPr>
                <w:rFonts w:ascii="Arial" w:hAnsi="Arial" w:cs="Arial"/>
                <w:sz w:val="20"/>
                <w:szCs w:val="20"/>
              </w:rPr>
            </w:pPr>
            <w:r>
              <w:rPr>
                <w:rFonts w:ascii="Arial" w:hAnsi="Arial" w:cs="Arial"/>
                <w:sz w:val="20"/>
                <w:szCs w:val="20"/>
              </w:rPr>
              <w:t>4</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B24A61" w:rsidP="00B24A61">
      <w:pPr>
        <w:pStyle w:val="AERbodytext"/>
        <w:spacing w:before="120" w:after="120"/>
        <w:jc w:val="both"/>
      </w:pPr>
      <w:r w:rsidRPr="008D4DAB">
        <w:t>Section 5 provides analysis on production and pipeline flows on the National Gas Bulletin Board</w:t>
      </w:r>
      <w:r w:rsidR="00950C55">
        <w:t xml:space="preserve"> </w:t>
      </w:r>
      <w:r w:rsidR="00950C55" w:rsidRPr="00950C55">
        <w:rPr>
          <w:b/>
        </w:rPr>
        <w:t>(</w:t>
      </w:r>
      <w:r w:rsidR="00950C55">
        <w:rPr>
          <w:b/>
        </w:rPr>
        <w:t>Bulletin Board)</w:t>
      </w:r>
      <w:r w:rsidRPr="008D4DAB">
        <w:t>, as well as gas</w:t>
      </w:r>
      <w:r w:rsidR="00C80FD8">
        <w:t xml:space="preserve"> </w:t>
      </w:r>
      <w:r w:rsidRPr="008D4DAB">
        <w:t xml:space="preserve">powered generation </w:t>
      </w:r>
      <w:r w:rsidR="00FC4B88" w:rsidRPr="00FC4B88">
        <w:rPr>
          <w:b/>
        </w:rPr>
        <w:t>(GPG)</w:t>
      </w:r>
      <w:r w:rsidR="00FC4B88">
        <w:t xml:space="preserve"> </w:t>
      </w:r>
      <w:r w:rsidRPr="008D4DAB">
        <w:t>volumes in each state.</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E03741" w:rsidRDefault="00B20E72" w:rsidP="00473633">
      <w:pPr>
        <w:spacing w:before="100" w:beforeAutospacing="1" w:after="100" w:afterAutospacing="1"/>
        <w:jc w:val="both"/>
      </w:pPr>
      <w:r>
        <w:t>There were a number of significant price events this week related to the use of pricing mechanisms. In Brisbane, this flowed through to increased</w:t>
      </w:r>
      <w:r w:rsidR="00007BCE">
        <w:t xml:space="preserve"> market prices</w:t>
      </w:r>
      <w:r>
        <w:t xml:space="preserve"> </w:t>
      </w:r>
      <w:r w:rsidR="00007BCE">
        <w:t>on 11 February</w:t>
      </w:r>
      <w:r w:rsidR="000371F9">
        <w:t xml:space="preserve"> (described in more detail below)</w:t>
      </w:r>
      <w:r w:rsidR="00007BCE">
        <w:t>.</w:t>
      </w:r>
      <w:r w:rsidR="003342D6">
        <w:t xml:space="preserve"> In Sydney, over</w:t>
      </w:r>
      <w:r w:rsidR="00A13A32">
        <w:t>-</w:t>
      </w:r>
      <w:r w:rsidR="003342D6">
        <w:t>forecast demand led to MOS decrease requirements of around 19 TJ and an ex post price of $2.90/GJ.</w:t>
      </w:r>
    </w:p>
    <w:p w:rsidR="008C1EF4" w:rsidRPr="00007BCE" w:rsidRDefault="008C1EF4" w:rsidP="00473633">
      <w:pPr>
        <w:keepNext/>
        <w:spacing w:before="100" w:beforeAutospacing="1" w:after="100" w:afterAutospacing="1"/>
        <w:jc w:val="both"/>
        <w:rPr>
          <w:b/>
          <w:i/>
          <w:lang w:eastAsia="en-US"/>
        </w:rPr>
      </w:pPr>
      <w:r w:rsidRPr="00007BCE">
        <w:rPr>
          <w:b/>
          <w:i/>
          <w:lang w:eastAsia="en-US"/>
        </w:rPr>
        <w:lastRenderedPageBreak/>
        <w:t>Pipeline Flow Direction Constraints in Adelaide—9 February 2014</w:t>
      </w:r>
    </w:p>
    <w:p w:rsidR="008C1EF4" w:rsidRDefault="008C1EF4" w:rsidP="00007BCE">
      <w:pPr>
        <w:pStyle w:val="AERbodytext"/>
        <w:spacing w:before="100" w:beforeAutospacing="1" w:after="100" w:afterAutospacing="1"/>
        <w:jc w:val="both"/>
      </w:pPr>
      <w:r>
        <w:t xml:space="preserve">A pipeline flow direction constraint </w:t>
      </w:r>
      <w:r w:rsidRPr="008D2B47">
        <w:rPr>
          <w:b/>
        </w:rPr>
        <w:t>(PFDC)</w:t>
      </w:r>
      <w:r>
        <w:t xml:space="preserve"> price of $0.0682/GJ</w:t>
      </w:r>
      <w:r w:rsidRPr="00E03741">
        <w:rPr>
          <w:rStyle w:val="FootnoteReference"/>
          <w:lang w:eastAsia="en-AU"/>
        </w:rPr>
        <w:footnoteReference w:id="2"/>
      </w:r>
      <w:r>
        <w:t xml:space="preserve"> occurred on the Moomba to Adelaide Pipeline </w:t>
      </w:r>
      <w:r w:rsidRPr="008D2B47">
        <w:rPr>
          <w:b/>
        </w:rPr>
        <w:t>(MAP)</w:t>
      </w:r>
      <w:r>
        <w:t xml:space="preserve"> on 9 February. This was the 13</w:t>
      </w:r>
      <w:r w:rsidRPr="00E03741">
        <w:t>th</w:t>
      </w:r>
      <w:r>
        <w:t xml:space="preserve"> occurrence of PFDC pricing in Adelaide since market start. There were also </w:t>
      </w:r>
      <w:r w:rsidR="00473633">
        <w:t>five</w:t>
      </w:r>
      <w:r>
        <w:t xml:space="preserve"> occurrences of counteracting MOS </w:t>
      </w:r>
      <w:r w:rsidRPr="008D2B47">
        <w:rPr>
          <w:b/>
        </w:rPr>
        <w:t>(CMOS)</w:t>
      </w:r>
      <w:r w:rsidR="004D5FB0" w:rsidRPr="00970D28">
        <w:rPr>
          <w:rStyle w:val="FootnoteReference"/>
        </w:rPr>
        <w:footnoteReference w:id="3"/>
      </w:r>
      <w:r>
        <w:t xml:space="preserve"> in Adelaide</w:t>
      </w:r>
      <w:r w:rsidR="00473633">
        <w:t xml:space="preserve"> resulting in </w:t>
      </w:r>
      <w:r w:rsidR="004E410F">
        <w:t xml:space="preserve">three </w:t>
      </w:r>
      <w:r w:rsidR="00473633">
        <w:t>service payments of around $30 000</w:t>
      </w:r>
      <w:r w:rsidR="004E410F">
        <w:t xml:space="preserve">, and </w:t>
      </w:r>
      <w:r w:rsidR="00473633">
        <w:t>up to $49 195 on 9 February</w:t>
      </w:r>
      <w:r>
        <w:t>.</w:t>
      </w:r>
    </w:p>
    <w:p w:rsidR="008C1EF4" w:rsidRPr="00007BCE" w:rsidRDefault="008C1EF4" w:rsidP="00473633">
      <w:pPr>
        <w:keepNext/>
        <w:spacing w:before="100" w:beforeAutospacing="1" w:after="100" w:afterAutospacing="1"/>
        <w:jc w:val="both"/>
        <w:rPr>
          <w:b/>
          <w:i/>
          <w:lang w:eastAsia="en-US"/>
        </w:rPr>
      </w:pPr>
      <w:r w:rsidRPr="00007BCE">
        <w:rPr>
          <w:b/>
          <w:i/>
          <w:lang w:eastAsia="en-US"/>
        </w:rPr>
        <w:t>High market prices and capacity prices in Brisbane—11 and 12 February 2014</w:t>
      </w:r>
    </w:p>
    <w:p w:rsidR="00080089" w:rsidRDefault="00080089" w:rsidP="00007BCE">
      <w:pPr>
        <w:pStyle w:val="AERbodytext"/>
        <w:spacing w:before="100" w:beforeAutospacing="1" w:after="100" w:afterAutospacing="1"/>
        <w:jc w:val="both"/>
      </w:pPr>
      <w:r>
        <w:t>C</w:t>
      </w:r>
      <w:r w:rsidRPr="00080089">
        <w:t xml:space="preserve">onstruction work on the Roma to Brisbane Pipeline </w:t>
      </w:r>
      <w:r w:rsidRPr="00080089">
        <w:rPr>
          <w:b/>
        </w:rPr>
        <w:t xml:space="preserve">(RBP) </w:t>
      </w:r>
      <w:r w:rsidRPr="00E624DF">
        <w:t>led to constrained capacity</w:t>
      </w:r>
      <w:r>
        <w:t xml:space="preserve"> this week, triggering high </w:t>
      </w:r>
      <w:r w:rsidRPr="00E624DF">
        <w:t xml:space="preserve">market prices </w:t>
      </w:r>
      <w:r>
        <w:t>and</w:t>
      </w:r>
      <w:r w:rsidRPr="00E624DF">
        <w:t xml:space="preserve"> </w:t>
      </w:r>
      <w:r>
        <w:t xml:space="preserve">the </w:t>
      </w:r>
      <w:r w:rsidRPr="00E624DF">
        <w:t>capacity pricing mechanism being used in Brisbane for the first time.</w:t>
      </w:r>
    </w:p>
    <w:p w:rsidR="008C1EF4" w:rsidRDefault="000D0325" w:rsidP="00C02F5E">
      <w:pPr>
        <w:pStyle w:val="AERbodytext"/>
        <w:spacing w:before="100" w:beforeAutospacing="1" w:after="100" w:afterAutospacing="1"/>
        <w:jc w:val="both"/>
      </w:pPr>
      <w:r>
        <w:t xml:space="preserve">Since 6 January, there has been a reduction in capacity on the RBP. The capacity reduction relates </w:t>
      </w:r>
      <w:r w:rsidR="008C1EF4">
        <w:t>to</w:t>
      </w:r>
      <w:r w:rsidR="00C02F5E">
        <w:t xml:space="preserve"> </w:t>
      </w:r>
      <w:r w:rsidR="008C1EF4">
        <w:t>the second stage of pipeline lowering work to rebury</w:t>
      </w:r>
      <w:r w:rsidR="008C1EF4" w:rsidRPr="00BD5B59">
        <w:t xml:space="preserve"> </w:t>
      </w:r>
      <w:r w:rsidR="008C1EF4">
        <w:t xml:space="preserve">larger sections of the pipeline around Sandy Creek </w:t>
      </w:r>
      <w:r w:rsidR="00EB40BD">
        <w:t>(</w:t>
      </w:r>
      <w:r w:rsidR="008C1EF4">
        <w:t xml:space="preserve">which </w:t>
      </w:r>
      <w:r w:rsidR="00EB40BD">
        <w:t xml:space="preserve">was </w:t>
      </w:r>
      <w:r w:rsidR="008C1EF4">
        <w:t xml:space="preserve">affected by flooding in Queensland at the </w:t>
      </w:r>
      <w:r w:rsidR="00007BCE">
        <w:t xml:space="preserve">beginning </w:t>
      </w:r>
      <w:r w:rsidR="008C1EF4">
        <w:t>of last year</w:t>
      </w:r>
      <w:r w:rsidR="00EB40BD">
        <w:t>)</w:t>
      </w:r>
      <w:r w:rsidR="008C1EF4">
        <w:t>. The reduction of around 30 TJ is scheduled to be completed by the end of March 2014.</w:t>
      </w:r>
    </w:p>
    <w:p w:rsidR="008C1EF4" w:rsidRDefault="008C1EF4" w:rsidP="00007BCE">
      <w:pPr>
        <w:pStyle w:val="AERbodytext"/>
        <w:spacing w:before="100" w:beforeAutospacing="1" w:after="100" w:afterAutospacing="1"/>
        <w:jc w:val="both"/>
      </w:pPr>
      <w:r>
        <w:t>During the period of reduced capacity availability, a combination of higher demand in the hub and an increase in the availability of cheap gas</w:t>
      </w:r>
      <w:r w:rsidRPr="00E03741">
        <w:rPr>
          <w:rStyle w:val="FootnoteReference"/>
          <w:lang w:eastAsia="en-AU"/>
        </w:rPr>
        <w:footnoteReference w:id="4"/>
      </w:r>
      <w:r>
        <w:t xml:space="preserve"> offers saw the scheduled volumes getting closer to the maximum capacity level (see </w:t>
      </w:r>
      <w:r w:rsidRPr="00044000">
        <w:t>figure 6</w:t>
      </w:r>
      <w:r>
        <w:t>). This led to an increase in demand for gas (including controllable demand bidding) above the registered capacity levels for 11 and 12 February.</w:t>
      </w:r>
    </w:p>
    <w:p w:rsidR="008C1EF4" w:rsidRDefault="008C1EF4" w:rsidP="00D34C6F">
      <w:pPr>
        <w:pStyle w:val="AERbodytext"/>
        <w:spacing w:before="100" w:beforeAutospacing="1" w:after="100" w:afterAutospacing="1"/>
        <w:jc w:val="both"/>
      </w:pPr>
      <w:r>
        <w:t xml:space="preserve">As a result of this restriction, the bids </w:t>
      </w:r>
      <w:r w:rsidR="009F7978">
        <w:t>determined the market</w:t>
      </w:r>
      <w:r>
        <w:t xml:space="preserve"> prices</w:t>
      </w:r>
      <w:r w:rsidR="009F7978">
        <w:t xml:space="preserve"> for </w:t>
      </w:r>
      <w:r w:rsidR="00970D28">
        <w:t>both days</w:t>
      </w:r>
      <w:r>
        <w:t>.</w:t>
      </w:r>
      <w:r w:rsidRPr="00E03741">
        <w:rPr>
          <w:rStyle w:val="FootnoteReference"/>
          <w:lang w:eastAsia="en-AU"/>
        </w:rPr>
        <w:footnoteReference w:id="5"/>
      </w:r>
      <w:r w:rsidRPr="00E03741">
        <w:rPr>
          <w:rStyle w:val="FootnoteReference"/>
          <w:lang w:eastAsia="en-AU"/>
        </w:rPr>
        <w:t xml:space="preserve"> </w:t>
      </w:r>
      <w:r w:rsidR="009F7978">
        <w:rPr>
          <w:lang w:eastAsia="en-AU"/>
        </w:rPr>
        <w:t xml:space="preserve">In particular, </w:t>
      </w:r>
      <w:r w:rsidR="009F7978">
        <w:t>the bids drove</w:t>
      </w:r>
      <w:r w:rsidR="00D34C6F">
        <w:t xml:space="preserve"> ex post price</w:t>
      </w:r>
      <w:r w:rsidR="00193FD5">
        <w:t>s</w:t>
      </w:r>
      <w:r w:rsidR="00D34C6F">
        <w:t xml:space="preserve"> significantly higher on 11 February</w:t>
      </w:r>
      <w:r w:rsidR="00B520DD">
        <w:t>, w</w:t>
      </w:r>
      <w:r w:rsidR="00D34C6F">
        <w:t>hereby</w:t>
      </w:r>
      <w:r w:rsidR="009F7978">
        <w:t xml:space="preserve"> the</w:t>
      </w:r>
      <w:r w:rsidR="00D34C6F">
        <w:t xml:space="preserve"> larger step changes in the bid prices led to the 5.6 TJ </w:t>
      </w:r>
      <w:proofErr w:type="gramStart"/>
      <w:r w:rsidR="00D34C6F">
        <w:t>imbalance</w:t>
      </w:r>
      <w:proofErr w:type="gramEnd"/>
      <w:r w:rsidR="00D34C6F">
        <w:t xml:space="preserve"> increasing the price to $9.85/GJ.</w:t>
      </w:r>
      <w:r>
        <w:t xml:space="preserve"> </w:t>
      </w:r>
      <w:r w:rsidR="009F7978">
        <w:t>In contrast, t</w:t>
      </w:r>
      <w:r>
        <w:t xml:space="preserve">he prices on the </w:t>
      </w:r>
      <w:r w:rsidR="009F7978">
        <w:t>12 February</w:t>
      </w:r>
      <w:r>
        <w:t xml:space="preserve"> were significantly lower despite higher demand levels</w:t>
      </w:r>
      <w:r w:rsidR="009F7978">
        <w:t xml:space="preserve"> due to</w:t>
      </w:r>
      <w:r>
        <w:t xml:space="preserve"> more low priced capacity</w:t>
      </w:r>
      <w:r w:rsidR="00970D28">
        <w:t>,</w:t>
      </w:r>
      <w:r>
        <w:t xml:space="preserve"> </w:t>
      </w:r>
      <w:r w:rsidR="009F7978">
        <w:t xml:space="preserve">alongside </w:t>
      </w:r>
      <w:r>
        <w:t>a capacity increase to 181 TJ.</w:t>
      </w:r>
    </w:p>
    <w:p w:rsidR="00080089" w:rsidRDefault="008C1EF4" w:rsidP="00080089">
      <w:pPr>
        <w:pStyle w:val="AERbodytext"/>
        <w:spacing w:before="100" w:beforeAutospacing="1" w:after="100" w:afterAutospacing="1"/>
        <w:jc w:val="both"/>
      </w:pPr>
      <w:r>
        <w:t xml:space="preserve">The reduced capacity availability </w:t>
      </w:r>
      <w:r w:rsidR="008D2B47">
        <w:t xml:space="preserve">on these two days </w:t>
      </w:r>
      <w:r>
        <w:t>also caused capacity prices on the pipeline ($1.22/GJ and $0.249/GJ respectively), which is the mechanism used to compensate shippers with firm transportation rights.</w:t>
      </w:r>
      <w:r w:rsidRPr="00E03741">
        <w:rPr>
          <w:rStyle w:val="FootnoteReference"/>
          <w:lang w:eastAsia="en-AU"/>
        </w:rPr>
        <w:footnoteReference w:id="6"/>
      </w:r>
      <w:r w:rsidR="00080089">
        <w:t xml:space="preserve"> Th</w:t>
      </w:r>
      <w:r w:rsidR="00193FD5">
        <w:t>is pricing</w:t>
      </w:r>
      <w:r w:rsidR="00080089">
        <w:t xml:space="preserve"> mechanism has previously been implemented in Sydney</w:t>
      </w:r>
      <w:r w:rsidR="00080089">
        <w:rPr>
          <w:rStyle w:val="FootnoteReference"/>
        </w:rPr>
        <w:footnoteReference w:id="7"/>
      </w:r>
      <w:r w:rsidR="00080089">
        <w:t xml:space="preserve"> on two occasions for the Moomba to Sydney Pipeline </w:t>
      </w:r>
      <w:r w:rsidR="00080089" w:rsidRPr="00BF5713">
        <w:rPr>
          <w:b/>
        </w:rPr>
        <w:t>(MSP)</w:t>
      </w:r>
      <w:r w:rsidR="00080089">
        <w:t xml:space="preserve"> and a number of times on the Rosalind Park Pipeline </w:t>
      </w:r>
      <w:r w:rsidR="00080089" w:rsidRPr="00BF5713">
        <w:rPr>
          <w:b/>
        </w:rPr>
        <w:t>(ROS)</w:t>
      </w:r>
      <w:r w:rsidR="00080089">
        <w:rPr>
          <w:rStyle w:val="FootnoteReference"/>
        </w:rPr>
        <w:footnoteReference w:id="8"/>
      </w:r>
      <w:r w:rsidR="00080089">
        <w:t xml:space="preserve"> facility.</w:t>
      </w:r>
    </w:p>
    <w:p w:rsidR="008C1EF4" w:rsidRDefault="008C1EF4" w:rsidP="00007BCE">
      <w:pPr>
        <w:pStyle w:val="AERbodytext"/>
        <w:spacing w:before="100" w:beforeAutospacing="1" w:after="100" w:afterAutospacing="1"/>
        <w:jc w:val="both"/>
      </w:pPr>
    </w:p>
    <w:p w:rsidR="008C1EF4" w:rsidRPr="00C23E2D" w:rsidRDefault="00C23E2D" w:rsidP="00473633">
      <w:pPr>
        <w:pStyle w:val="AERfigureheading-unnumbered"/>
        <w:tabs>
          <w:tab w:val="num" w:pos="1080"/>
        </w:tabs>
        <w:spacing w:before="100" w:beforeAutospacing="1" w:after="100" w:afterAutospacing="1"/>
        <w:ind w:left="0" w:firstLine="0"/>
        <w:jc w:val="both"/>
        <w:outlineLvl w:val="9"/>
        <w:rPr>
          <w:rFonts w:ascii="Arial" w:hAnsi="Arial" w:cs="Arial"/>
          <w:sz w:val="20"/>
          <w:szCs w:val="20"/>
        </w:rPr>
      </w:pPr>
      <w:r w:rsidRPr="00C23E2D">
        <w:rPr>
          <w:rFonts w:ascii="Arial" w:hAnsi="Arial" w:cs="Arial"/>
          <w:sz w:val="20"/>
          <w:szCs w:val="20"/>
        </w:rPr>
        <w:t>Brisbane STTM hub demand and RBP capacit</w:t>
      </w:r>
      <w:r>
        <w:rPr>
          <w:rFonts w:ascii="Arial" w:hAnsi="Arial" w:cs="Arial"/>
          <w:sz w:val="20"/>
          <w:szCs w:val="20"/>
        </w:rPr>
        <w:t>y</w:t>
      </w:r>
      <w:r w:rsidRPr="00900CEB">
        <w:rPr>
          <w:rFonts w:ascii="Arial" w:hAnsi="Arial" w:cs="Arial"/>
          <w:sz w:val="20"/>
          <w:szCs w:val="20"/>
        </w:rPr>
        <w:t xml:space="preserve"> </w:t>
      </w:r>
    </w:p>
    <w:p w:rsidR="008C1EF4" w:rsidRDefault="00655930" w:rsidP="00007BCE">
      <w:pPr>
        <w:spacing w:before="100" w:beforeAutospacing="1" w:after="100" w:afterAutospacing="1"/>
        <w:jc w:val="both"/>
      </w:pPr>
      <w:r>
        <w:pict>
          <v:shape id="_x0000_i1026" type="#_x0000_t75" style="width:476.25pt;height:208.5pt">
            <v:imagedata r:id="rId12" o:title=""/>
          </v:shape>
        </w:pict>
      </w:r>
    </w:p>
    <w:p w:rsidR="00533992" w:rsidRPr="00007BCE" w:rsidRDefault="00533992" w:rsidP="00533992">
      <w:pPr>
        <w:keepNext/>
        <w:spacing w:before="100" w:beforeAutospacing="1" w:after="100" w:afterAutospacing="1"/>
        <w:jc w:val="both"/>
        <w:rPr>
          <w:b/>
          <w:i/>
          <w:lang w:eastAsia="en-US"/>
        </w:rPr>
      </w:pPr>
      <w:r w:rsidRPr="00007BCE">
        <w:rPr>
          <w:b/>
          <w:i/>
          <w:lang w:eastAsia="en-US"/>
        </w:rPr>
        <w:t>MOS overrun on the Moomba to Adelaide Pipeline</w:t>
      </w:r>
      <w:r w:rsidR="009C2AAE">
        <w:rPr>
          <w:b/>
          <w:i/>
          <w:lang w:eastAsia="en-US"/>
        </w:rPr>
        <w:t xml:space="preserve"> (MAP)</w:t>
      </w:r>
      <w:r w:rsidRPr="00007BCE">
        <w:rPr>
          <w:b/>
          <w:i/>
          <w:lang w:eastAsia="en-US"/>
        </w:rPr>
        <w:t xml:space="preserve"> – 14 and 16 February 2014</w:t>
      </w:r>
    </w:p>
    <w:p w:rsidR="00603BD1" w:rsidRDefault="00603BD1" w:rsidP="00603BD1">
      <w:pPr>
        <w:spacing w:before="100" w:beforeAutospacing="1" w:after="100" w:afterAutospacing="1"/>
        <w:jc w:val="both"/>
      </w:pPr>
      <w:r>
        <w:t>Overrun MOS usually occurs when all the MOS offers available in the stack have been exhausted. This generally results in very high prices for the overrun gas (service cost), which has occurred during previous instances of the overrun service requirement.</w:t>
      </w:r>
    </w:p>
    <w:p w:rsidR="00603BD1" w:rsidRDefault="00533992" w:rsidP="00533992">
      <w:pPr>
        <w:spacing w:before="100" w:beforeAutospacing="1" w:after="100" w:afterAutospacing="1"/>
        <w:jc w:val="both"/>
        <w:rPr>
          <w:lang w:eastAsia="en-US"/>
        </w:rPr>
      </w:pPr>
      <w:r>
        <w:rPr>
          <w:lang w:eastAsia="en-US"/>
        </w:rPr>
        <w:t>A problem</w:t>
      </w:r>
      <w:r w:rsidR="008D2B47">
        <w:rPr>
          <w:rStyle w:val="FootnoteReference"/>
          <w:lang w:eastAsia="en-US"/>
        </w:rPr>
        <w:footnoteReference w:id="9"/>
      </w:r>
      <w:r>
        <w:rPr>
          <w:lang w:eastAsia="en-US"/>
        </w:rPr>
        <w:t xml:space="preserve"> relating </w:t>
      </w:r>
      <w:r w:rsidR="00D34C6F">
        <w:rPr>
          <w:lang w:eastAsia="en-US"/>
        </w:rPr>
        <w:t>to the allocation of gas</w:t>
      </w:r>
      <w:r w:rsidR="00357CCD">
        <w:rPr>
          <w:lang w:eastAsia="en-US"/>
        </w:rPr>
        <w:t xml:space="preserve"> </w:t>
      </w:r>
      <w:r>
        <w:rPr>
          <w:lang w:eastAsia="en-US"/>
        </w:rPr>
        <w:t xml:space="preserve">on the MAP led to overrun MOS on two occasions </w:t>
      </w:r>
      <w:r w:rsidR="00D34C6F">
        <w:rPr>
          <w:lang w:eastAsia="en-US"/>
        </w:rPr>
        <w:t>this week</w:t>
      </w:r>
      <w:r>
        <w:rPr>
          <w:lang w:eastAsia="en-US"/>
        </w:rPr>
        <w:t>. This was despite only small net requirements for decrease MOS on the pipeline (</w:t>
      </w:r>
      <w:r w:rsidRPr="00B21477">
        <w:rPr>
          <w:lang w:eastAsia="en-US"/>
        </w:rPr>
        <w:t xml:space="preserve">less than </w:t>
      </w:r>
      <w:r>
        <w:rPr>
          <w:lang w:eastAsia="en-US"/>
        </w:rPr>
        <w:t xml:space="preserve">4.1 TJ, compared to 22.3 TJ of the service offered in the MOS stack). </w:t>
      </w:r>
      <w:r w:rsidR="00603BD1">
        <w:t>In this instance, the volume weighted price</w:t>
      </w:r>
      <w:r w:rsidR="00603BD1">
        <w:rPr>
          <w:rStyle w:val="FootnoteReference"/>
        </w:rPr>
        <w:footnoteReference w:id="10"/>
      </w:r>
      <w:r w:rsidR="00603BD1">
        <w:t xml:space="preserve"> did not result in significantly larger costs.</w:t>
      </w:r>
    </w:p>
    <w:p w:rsidR="00533992" w:rsidRPr="00C23E2D" w:rsidRDefault="00533992" w:rsidP="00533992">
      <w:pPr>
        <w:pStyle w:val="AERfigureheading-unnumbered"/>
        <w:tabs>
          <w:tab w:val="num" w:pos="1080"/>
        </w:tabs>
        <w:spacing w:before="100" w:beforeAutospacing="1" w:after="100" w:afterAutospacing="1"/>
        <w:rPr>
          <w:rFonts w:ascii="Arial" w:hAnsi="Arial" w:cs="Arial"/>
          <w:sz w:val="20"/>
          <w:szCs w:val="20"/>
        </w:rPr>
      </w:pPr>
      <w:r w:rsidRPr="00C23E2D">
        <w:rPr>
          <w:rFonts w:ascii="Arial" w:hAnsi="Arial" w:cs="Arial"/>
          <w:sz w:val="20"/>
          <w:szCs w:val="20"/>
        </w:rPr>
        <w:t>Recent MOS overrun volumes and costs for MAP decrease service</w:t>
      </w:r>
    </w:p>
    <w:tbl>
      <w:tblPr>
        <w:tblW w:w="0" w:type="auto"/>
        <w:tblInd w:w="108" w:type="dxa"/>
        <w:tblLook w:val="04A0" w:firstRow="1" w:lastRow="0" w:firstColumn="1" w:lastColumn="0" w:noHBand="0" w:noVBand="1"/>
      </w:tblPr>
      <w:tblGrid>
        <w:gridCol w:w="1295"/>
        <w:gridCol w:w="2628"/>
        <w:gridCol w:w="1894"/>
        <w:gridCol w:w="1962"/>
      </w:tblGrid>
      <w:tr w:rsidR="00533992" w:rsidTr="008D2B47">
        <w:trPr>
          <w:trHeight w:val="705"/>
        </w:trPr>
        <w:tc>
          <w:tcPr>
            <w:tcW w:w="0" w:type="auto"/>
            <w:tcBorders>
              <w:top w:val="nil"/>
              <w:left w:val="nil"/>
              <w:bottom w:val="single" w:sz="4" w:space="0" w:color="auto"/>
              <w:right w:val="nil"/>
            </w:tcBorders>
            <w:shd w:val="clear" w:color="auto" w:fill="auto"/>
            <w:noWrap/>
            <w:vAlign w:val="center"/>
            <w:hideMark/>
          </w:tcPr>
          <w:p w:rsidR="00533992" w:rsidRDefault="00533992" w:rsidP="008D2B47">
            <w:pPr>
              <w:rPr>
                <w:rFonts w:ascii="Arial" w:hAnsi="Arial" w:cs="Arial"/>
                <w:b/>
                <w:bCs/>
                <w:sz w:val="20"/>
                <w:szCs w:val="20"/>
              </w:rPr>
            </w:pPr>
            <w:r>
              <w:rPr>
                <w:rFonts w:ascii="Arial" w:hAnsi="Arial" w:cs="Arial"/>
                <w:b/>
                <w:bCs/>
                <w:sz w:val="20"/>
                <w:szCs w:val="20"/>
              </w:rPr>
              <w:t>Date</w:t>
            </w:r>
          </w:p>
        </w:tc>
        <w:tc>
          <w:tcPr>
            <w:tcW w:w="0" w:type="auto"/>
            <w:tcBorders>
              <w:top w:val="nil"/>
              <w:left w:val="nil"/>
              <w:bottom w:val="single" w:sz="4" w:space="0" w:color="auto"/>
              <w:right w:val="nil"/>
            </w:tcBorders>
            <w:shd w:val="clear" w:color="auto" w:fill="auto"/>
            <w:vAlign w:val="center"/>
            <w:hideMark/>
          </w:tcPr>
          <w:p w:rsidR="00533992" w:rsidRDefault="00533992" w:rsidP="008D2B47">
            <w:pPr>
              <w:jc w:val="right"/>
              <w:rPr>
                <w:rFonts w:ascii="Arial" w:hAnsi="Arial" w:cs="Arial"/>
                <w:b/>
                <w:bCs/>
                <w:sz w:val="20"/>
                <w:szCs w:val="20"/>
              </w:rPr>
            </w:pPr>
            <w:r>
              <w:rPr>
                <w:rFonts w:ascii="Arial" w:hAnsi="Arial" w:cs="Arial"/>
                <w:b/>
                <w:bCs/>
                <w:sz w:val="20"/>
                <w:szCs w:val="20"/>
              </w:rPr>
              <w:t>MOS offers allocated (TJ)</w:t>
            </w:r>
          </w:p>
        </w:tc>
        <w:tc>
          <w:tcPr>
            <w:tcW w:w="0" w:type="auto"/>
            <w:tcBorders>
              <w:top w:val="nil"/>
              <w:left w:val="nil"/>
              <w:bottom w:val="single" w:sz="4" w:space="0" w:color="auto"/>
              <w:right w:val="nil"/>
            </w:tcBorders>
            <w:shd w:val="clear" w:color="auto" w:fill="auto"/>
            <w:vAlign w:val="center"/>
            <w:hideMark/>
          </w:tcPr>
          <w:p w:rsidR="00533992" w:rsidRDefault="00533992" w:rsidP="008D2B47">
            <w:pPr>
              <w:jc w:val="right"/>
              <w:rPr>
                <w:rFonts w:ascii="Arial" w:hAnsi="Arial" w:cs="Arial"/>
                <w:b/>
                <w:bCs/>
                <w:sz w:val="20"/>
                <w:szCs w:val="20"/>
              </w:rPr>
            </w:pPr>
            <w:r>
              <w:rPr>
                <w:rFonts w:ascii="Arial" w:hAnsi="Arial" w:cs="Arial"/>
                <w:b/>
                <w:bCs/>
                <w:sz w:val="20"/>
                <w:szCs w:val="20"/>
              </w:rPr>
              <w:t>MOS overrun (TJ)</w:t>
            </w:r>
          </w:p>
        </w:tc>
        <w:tc>
          <w:tcPr>
            <w:tcW w:w="0" w:type="auto"/>
            <w:tcBorders>
              <w:top w:val="nil"/>
              <w:left w:val="nil"/>
              <w:bottom w:val="single" w:sz="4" w:space="0" w:color="auto"/>
              <w:right w:val="nil"/>
            </w:tcBorders>
            <w:shd w:val="clear" w:color="auto" w:fill="auto"/>
            <w:vAlign w:val="center"/>
            <w:hideMark/>
          </w:tcPr>
          <w:p w:rsidR="00533992" w:rsidRDefault="00533992" w:rsidP="008D2B47">
            <w:pPr>
              <w:jc w:val="right"/>
              <w:rPr>
                <w:rFonts w:ascii="Arial" w:hAnsi="Arial" w:cs="Arial"/>
                <w:b/>
                <w:bCs/>
                <w:sz w:val="20"/>
                <w:szCs w:val="20"/>
              </w:rPr>
            </w:pPr>
            <w:r>
              <w:rPr>
                <w:rFonts w:ascii="Arial" w:hAnsi="Arial" w:cs="Arial"/>
                <w:b/>
                <w:bCs/>
                <w:sz w:val="20"/>
                <w:szCs w:val="20"/>
              </w:rPr>
              <w:t>Total Service Cost</w:t>
            </w:r>
          </w:p>
        </w:tc>
      </w:tr>
      <w:tr w:rsidR="00533992" w:rsidTr="008D2B47">
        <w:trPr>
          <w:trHeight w:val="480"/>
        </w:trPr>
        <w:tc>
          <w:tcPr>
            <w:tcW w:w="0" w:type="auto"/>
            <w:tcBorders>
              <w:top w:val="nil"/>
              <w:left w:val="nil"/>
              <w:bottom w:val="nil"/>
              <w:right w:val="nil"/>
            </w:tcBorders>
            <w:shd w:val="clear" w:color="auto" w:fill="auto"/>
            <w:vAlign w:val="center"/>
            <w:hideMark/>
          </w:tcPr>
          <w:p w:rsidR="00533992" w:rsidRDefault="00533992" w:rsidP="008D2B47">
            <w:pPr>
              <w:rPr>
                <w:rFonts w:ascii="Arial" w:hAnsi="Arial" w:cs="Arial"/>
                <w:sz w:val="20"/>
                <w:szCs w:val="20"/>
              </w:rPr>
            </w:pPr>
            <w:r>
              <w:rPr>
                <w:rFonts w:ascii="Arial" w:hAnsi="Arial" w:cs="Arial"/>
                <w:sz w:val="20"/>
                <w:szCs w:val="20"/>
              </w:rPr>
              <w:t>14 February</w:t>
            </w:r>
          </w:p>
        </w:tc>
        <w:tc>
          <w:tcPr>
            <w:tcW w:w="0" w:type="auto"/>
            <w:tcBorders>
              <w:top w:val="nil"/>
              <w:left w:val="nil"/>
              <w:bottom w:val="nil"/>
              <w:right w:val="nil"/>
            </w:tcBorders>
            <w:shd w:val="clear" w:color="auto" w:fill="auto"/>
            <w:noWrap/>
            <w:vAlign w:val="center"/>
            <w:hideMark/>
          </w:tcPr>
          <w:p w:rsidR="00533992" w:rsidRDefault="00533992" w:rsidP="008D2B47">
            <w:pPr>
              <w:jc w:val="center"/>
              <w:rPr>
                <w:rFonts w:ascii="Arial" w:hAnsi="Arial" w:cs="Arial"/>
                <w:sz w:val="20"/>
                <w:szCs w:val="20"/>
              </w:rPr>
            </w:pPr>
            <w:r>
              <w:rPr>
                <w:rFonts w:ascii="Arial" w:hAnsi="Arial" w:cs="Arial"/>
                <w:sz w:val="20"/>
                <w:szCs w:val="20"/>
              </w:rPr>
              <w:t>2.143</w:t>
            </w:r>
          </w:p>
        </w:tc>
        <w:tc>
          <w:tcPr>
            <w:tcW w:w="0" w:type="auto"/>
            <w:tcBorders>
              <w:top w:val="nil"/>
              <w:left w:val="nil"/>
              <w:bottom w:val="nil"/>
              <w:right w:val="nil"/>
            </w:tcBorders>
            <w:shd w:val="clear" w:color="auto" w:fill="auto"/>
            <w:noWrap/>
            <w:vAlign w:val="center"/>
            <w:hideMark/>
          </w:tcPr>
          <w:p w:rsidR="00533992" w:rsidRDefault="00533992" w:rsidP="008D2B47">
            <w:pPr>
              <w:jc w:val="center"/>
              <w:rPr>
                <w:rFonts w:ascii="Arial" w:hAnsi="Arial" w:cs="Arial"/>
                <w:sz w:val="20"/>
                <w:szCs w:val="20"/>
              </w:rPr>
            </w:pPr>
            <w:r>
              <w:rPr>
                <w:rFonts w:ascii="Arial" w:hAnsi="Arial" w:cs="Arial"/>
                <w:sz w:val="20"/>
                <w:szCs w:val="20"/>
              </w:rPr>
              <w:t>1.922</w:t>
            </w:r>
          </w:p>
        </w:tc>
        <w:tc>
          <w:tcPr>
            <w:tcW w:w="0" w:type="auto"/>
            <w:tcBorders>
              <w:top w:val="nil"/>
              <w:left w:val="nil"/>
              <w:bottom w:val="nil"/>
              <w:right w:val="nil"/>
            </w:tcBorders>
            <w:shd w:val="clear" w:color="auto" w:fill="auto"/>
            <w:noWrap/>
            <w:vAlign w:val="center"/>
            <w:hideMark/>
          </w:tcPr>
          <w:p w:rsidR="00533992" w:rsidRDefault="00533992" w:rsidP="008D2B47">
            <w:pPr>
              <w:jc w:val="center"/>
              <w:rPr>
                <w:rFonts w:ascii="Arial" w:hAnsi="Arial" w:cs="Arial"/>
                <w:sz w:val="20"/>
                <w:szCs w:val="20"/>
              </w:rPr>
            </w:pPr>
            <w:r>
              <w:rPr>
                <w:rFonts w:ascii="Arial" w:hAnsi="Arial" w:cs="Arial"/>
                <w:sz w:val="20"/>
                <w:szCs w:val="20"/>
              </w:rPr>
              <w:t>$9730.20</w:t>
            </w:r>
          </w:p>
        </w:tc>
      </w:tr>
      <w:tr w:rsidR="00533992" w:rsidTr="008D2B47">
        <w:trPr>
          <w:trHeight w:val="705"/>
        </w:trPr>
        <w:tc>
          <w:tcPr>
            <w:tcW w:w="0" w:type="auto"/>
            <w:tcBorders>
              <w:top w:val="nil"/>
              <w:left w:val="nil"/>
              <w:bottom w:val="single" w:sz="4" w:space="0" w:color="auto"/>
              <w:right w:val="nil"/>
            </w:tcBorders>
            <w:shd w:val="clear" w:color="auto" w:fill="auto"/>
            <w:vAlign w:val="center"/>
            <w:hideMark/>
          </w:tcPr>
          <w:p w:rsidR="00533992" w:rsidRDefault="00533992" w:rsidP="008D2B47">
            <w:pPr>
              <w:rPr>
                <w:rFonts w:ascii="Arial" w:hAnsi="Arial" w:cs="Arial"/>
                <w:sz w:val="20"/>
                <w:szCs w:val="20"/>
              </w:rPr>
            </w:pPr>
            <w:r>
              <w:rPr>
                <w:rFonts w:ascii="Arial" w:hAnsi="Arial" w:cs="Arial"/>
                <w:sz w:val="20"/>
                <w:szCs w:val="20"/>
              </w:rPr>
              <w:t>16 February</w:t>
            </w:r>
          </w:p>
        </w:tc>
        <w:tc>
          <w:tcPr>
            <w:tcW w:w="0" w:type="auto"/>
            <w:tcBorders>
              <w:top w:val="nil"/>
              <w:left w:val="nil"/>
              <w:bottom w:val="single" w:sz="4" w:space="0" w:color="auto"/>
              <w:right w:val="nil"/>
            </w:tcBorders>
            <w:shd w:val="clear" w:color="auto" w:fill="auto"/>
            <w:noWrap/>
            <w:vAlign w:val="center"/>
            <w:hideMark/>
          </w:tcPr>
          <w:p w:rsidR="00533992" w:rsidRDefault="00533992" w:rsidP="008D2B47">
            <w:pPr>
              <w:jc w:val="center"/>
              <w:rPr>
                <w:rFonts w:ascii="Arial" w:hAnsi="Arial" w:cs="Arial"/>
                <w:sz w:val="20"/>
                <w:szCs w:val="20"/>
              </w:rPr>
            </w:pPr>
            <w:r>
              <w:rPr>
                <w:rFonts w:ascii="Arial" w:hAnsi="Arial" w:cs="Arial"/>
                <w:sz w:val="20"/>
                <w:szCs w:val="20"/>
              </w:rPr>
              <w:t>0.879</w:t>
            </w:r>
          </w:p>
        </w:tc>
        <w:tc>
          <w:tcPr>
            <w:tcW w:w="0" w:type="auto"/>
            <w:tcBorders>
              <w:top w:val="nil"/>
              <w:left w:val="nil"/>
              <w:bottom w:val="single" w:sz="4" w:space="0" w:color="auto"/>
              <w:right w:val="nil"/>
            </w:tcBorders>
            <w:shd w:val="clear" w:color="auto" w:fill="auto"/>
            <w:noWrap/>
            <w:vAlign w:val="center"/>
            <w:hideMark/>
          </w:tcPr>
          <w:p w:rsidR="00533992" w:rsidRDefault="00533992" w:rsidP="008D2B47">
            <w:pPr>
              <w:jc w:val="center"/>
              <w:rPr>
                <w:rFonts w:ascii="Arial" w:hAnsi="Arial" w:cs="Arial"/>
                <w:sz w:val="20"/>
                <w:szCs w:val="20"/>
              </w:rPr>
            </w:pPr>
            <w:r>
              <w:rPr>
                <w:rFonts w:ascii="Arial" w:hAnsi="Arial" w:cs="Arial"/>
                <w:sz w:val="20"/>
                <w:szCs w:val="20"/>
              </w:rPr>
              <w:t>0.785</w:t>
            </w:r>
          </w:p>
        </w:tc>
        <w:tc>
          <w:tcPr>
            <w:tcW w:w="0" w:type="auto"/>
            <w:tcBorders>
              <w:top w:val="nil"/>
              <w:left w:val="nil"/>
              <w:bottom w:val="single" w:sz="4" w:space="0" w:color="auto"/>
              <w:right w:val="nil"/>
            </w:tcBorders>
            <w:shd w:val="clear" w:color="auto" w:fill="auto"/>
            <w:noWrap/>
            <w:vAlign w:val="center"/>
            <w:hideMark/>
          </w:tcPr>
          <w:p w:rsidR="00533992" w:rsidRDefault="00533992" w:rsidP="008D2B47">
            <w:pPr>
              <w:jc w:val="center"/>
              <w:rPr>
                <w:rFonts w:ascii="Arial" w:hAnsi="Arial" w:cs="Arial"/>
                <w:sz w:val="20"/>
                <w:szCs w:val="20"/>
              </w:rPr>
            </w:pPr>
            <w:r>
              <w:rPr>
                <w:rFonts w:ascii="Arial" w:hAnsi="Arial" w:cs="Arial"/>
                <w:sz w:val="20"/>
                <w:szCs w:val="20"/>
              </w:rPr>
              <w:t>$1513.11</w:t>
            </w:r>
          </w:p>
        </w:tc>
      </w:tr>
    </w:tbl>
    <w:p w:rsidR="008C1EF4" w:rsidRPr="00007BCE" w:rsidRDefault="008C1EF4" w:rsidP="00473633">
      <w:pPr>
        <w:keepNext/>
        <w:spacing w:before="100" w:beforeAutospacing="1" w:after="100" w:afterAutospacing="1"/>
        <w:jc w:val="both"/>
        <w:rPr>
          <w:b/>
          <w:i/>
          <w:lang w:eastAsia="en-US"/>
        </w:rPr>
      </w:pPr>
      <w:r w:rsidRPr="00007BCE">
        <w:rPr>
          <w:b/>
          <w:i/>
          <w:lang w:eastAsia="en-US"/>
        </w:rPr>
        <w:t xml:space="preserve">Moomba to Sydney Pipeline </w:t>
      </w:r>
      <w:r w:rsidR="00533992">
        <w:rPr>
          <w:b/>
          <w:i/>
          <w:lang w:eastAsia="en-US"/>
        </w:rPr>
        <w:t xml:space="preserve">(MSP) </w:t>
      </w:r>
      <w:r w:rsidRPr="00007BCE">
        <w:rPr>
          <w:b/>
          <w:i/>
          <w:lang w:eastAsia="en-US"/>
        </w:rPr>
        <w:t>Capacity Reduction</w:t>
      </w:r>
    </w:p>
    <w:p w:rsidR="008D2B47" w:rsidRPr="008D2B47" w:rsidRDefault="008C1EF4" w:rsidP="008D2B47">
      <w:pPr>
        <w:spacing w:before="100" w:beforeAutospacing="1" w:after="100" w:afterAutospacing="1"/>
        <w:jc w:val="both"/>
        <w:rPr>
          <w:lang w:eastAsia="en-US"/>
        </w:rPr>
      </w:pPr>
      <w:r>
        <w:rPr>
          <w:lang w:eastAsia="en-US"/>
        </w:rPr>
        <w:t>Planned maintenance on the MSP has commenced, reducing its Sydney facility hub capacity from around 315 TJ (or higher) down to an expected range of 165</w:t>
      </w:r>
      <w:r w:rsidR="00533992">
        <w:rPr>
          <w:lang w:eastAsia="en-US"/>
        </w:rPr>
        <w:noBreakHyphen/>
      </w:r>
      <w:r>
        <w:rPr>
          <w:lang w:eastAsia="en-US"/>
        </w:rPr>
        <w:t>196 TJ.</w:t>
      </w:r>
      <w:r w:rsidRPr="009C2AAE">
        <w:rPr>
          <w:rStyle w:val="FootnoteReference"/>
        </w:rPr>
        <w:footnoteReference w:id="11"/>
      </w:r>
      <w:r>
        <w:rPr>
          <w:lang w:eastAsia="en-US"/>
        </w:rPr>
        <w:t xml:space="preserve"> This reduction relates to works on the Young to Wilson MSP mainline and the Bulla Park to Young MSP mainline. There have been no issues with deliveries to the hub, with the highest proportion of capacity used during the maintenance to date below 76 per cent (137 TJ </w:t>
      </w:r>
      <w:proofErr w:type="gramStart"/>
      <w:r>
        <w:rPr>
          <w:lang w:eastAsia="en-US"/>
        </w:rPr>
        <w:t>allocation</w:t>
      </w:r>
      <w:proofErr w:type="gramEnd"/>
      <w:r>
        <w:rPr>
          <w:lang w:eastAsia="en-US"/>
        </w:rPr>
        <w:t xml:space="preserve">) when capacity fell to 180 TJ. Usage has mostly remained below 55 per cent, with only </w:t>
      </w:r>
      <w:r w:rsidR="009C2AAE">
        <w:rPr>
          <w:lang w:eastAsia="en-US"/>
        </w:rPr>
        <w:t xml:space="preserve">two </w:t>
      </w:r>
      <w:r>
        <w:rPr>
          <w:lang w:eastAsia="en-US"/>
        </w:rPr>
        <w:t>exceptions to date.</w:t>
      </w:r>
    </w:p>
    <w:p w:rsidR="00C23E2D" w:rsidRPr="00C23E2D" w:rsidRDefault="0007040F" w:rsidP="00473633">
      <w:pPr>
        <w:pStyle w:val="AERfigureheading-unnumbered"/>
        <w:tabs>
          <w:tab w:val="num" w:pos="1080"/>
        </w:tabs>
        <w:spacing w:before="100" w:beforeAutospacing="1" w:after="100" w:afterAutospacing="1"/>
        <w:ind w:left="0" w:firstLine="0"/>
        <w:jc w:val="both"/>
        <w:outlineLvl w:val="9"/>
        <w:rPr>
          <w:rFonts w:ascii="Arial" w:hAnsi="Arial" w:cs="Arial"/>
          <w:sz w:val="20"/>
          <w:szCs w:val="20"/>
        </w:rPr>
      </w:pPr>
      <w:r>
        <w:rPr>
          <w:rFonts w:ascii="Arial" w:hAnsi="Arial" w:cs="Arial"/>
          <w:sz w:val="20"/>
          <w:szCs w:val="20"/>
        </w:rPr>
        <w:t>MSP Capacity reduction and proportion of pipeline hub capacity in use</w:t>
      </w:r>
      <w:r w:rsidR="00C23E2D" w:rsidRPr="00900CEB">
        <w:rPr>
          <w:rFonts w:ascii="Arial" w:hAnsi="Arial" w:cs="Arial"/>
          <w:sz w:val="20"/>
          <w:szCs w:val="20"/>
        </w:rPr>
        <w:t xml:space="preserve"> </w:t>
      </w:r>
    </w:p>
    <w:p w:rsidR="008C1EF4" w:rsidRDefault="00655930" w:rsidP="00007BCE">
      <w:pPr>
        <w:spacing w:before="100" w:beforeAutospacing="1" w:after="100" w:afterAutospacing="1"/>
        <w:jc w:val="both"/>
      </w:pPr>
      <w:r>
        <w:pict>
          <v:shape id="_x0000_i1027" type="#_x0000_t75" style="width:455.25pt;height:198.75pt">
            <v:imagedata r:id="rId13" o:title=""/>
          </v:shape>
        </w:pic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655930">
        <w:pict>
          <v:shape id="_x0000_i1028" type="#_x0000_t75" style="width:503.25pt;height:1in" o:allowoverlap="f">
            <v:imagedata r:id="rId9" o:title="" cropbottom="17873f" cropright="30275f"/>
          </v:shape>
        </w:pict>
      </w:r>
      <w:bookmarkEnd w:id="3"/>
      <w:bookmarkEnd w:id="4"/>
    </w:p>
    <w:p w:rsidR="00502181" w:rsidRPr="00B66E50" w:rsidRDefault="00655930"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F32161" w:rsidRPr="00A65EC8" w:rsidRDefault="00F32161" w:rsidP="00502181">
                  <w:pPr>
                    <w:spacing w:before="140"/>
                    <w:rPr>
                      <w:b/>
                    </w:rPr>
                  </w:pPr>
                  <w:r>
                    <w:rPr>
                      <w:b/>
                    </w:rPr>
                    <w:t xml:space="preserve"> 9 – 15 February 2014</w:t>
                  </w:r>
                </w:p>
                <w:p w:rsidR="00F32161" w:rsidRPr="007F372A" w:rsidRDefault="00F3216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F32161" w:rsidRDefault="00F32161" w:rsidP="00502181">
                  <w:pPr>
                    <w:rPr>
                      <w:rFonts w:ascii="Arial" w:hAnsi="Arial" w:cs="Arial"/>
                      <w:b/>
                      <w:color w:val="FFFFFF"/>
                      <w:sz w:val="32"/>
                      <w:szCs w:val="32"/>
                    </w:rPr>
                  </w:pPr>
                </w:p>
                <w:p w:rsidR="00F32161" w:rsidRPr="007C13A5" w:rsidRDefault="00F32161" w:rsidP="00502181">
                  <w:pPr>
                    <w:rPr>
                      <w:rFonts w:ascii="Arial" w:hAnsi="Arial" w:cs="Arial"/>
                      <w:b/>
                      <w:color w:val="FFFFFF"/>
                      <w:sz w:val="32"/>
                      <w:szCs w:val="32"/>
                    </w:rPr>
                  </w:pPr>
                  <w:r w:rsidRPr="007C13A5">
                    <w:rPr>
                      <w:rFonts w:ascii="Arial" w:hAnsi="Arial" w:cs="Arial"/>
                      <w:b/>
                      <w:color w:val="FFFFFF"/>
                      <w:sz w:val="32"/>
                      <w:szCs w:val="32"/>
                    </w:rPr>
                    <w:t>Detailed Market Analysis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12"/>
      </w:r>
      <w:r w:rsidRPr="00DB727F">
        <w:t>, and injection/withdrawal bids</w:t>
      </w:r>
      <w:r w:rsidR="00C80FD8">
        <w:t>.</w:t>
      </w:r>
      <w:r w:rsidRPr="00DB727F">
        <w:rPr>
          <w:rStyle w:val="FootnoteReference"/>
        </w:rPr>
        <w:footnoteReference w:id="1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14"/>
      </w:r>
      <w:r w:rsidR="00B24A61" w:rsidRPr="00CC4A35">
        <w:rPr>
          <w:rStyle w:val="FootnoteReference"/>
        </w:rPr>
        <w:t xml:space="preserve"> </w:t>
      </w:r>
    </w:p>
    <w:p w:rsidR="005F18AD" w:rsidRPr="0034098A" w:rsidRDefault="005F18AD" w:rsidP="009B2F99">
      <w:pPr>
        <w:pStyle w:val="AERfigureheading"/>
        <w:numPr>
          <w:ilvl w:val="5"/>
          <w:numId w:val="16"/>
        </w:numPr>
        <w:rPr>
          <w:rFonts w:ascii="Arial" w:hAnsi="Arial" w:cs="Arial"/>
          <w:sz w:val="20"/>
          <w:szCs w:val="20"/>
        </w:rPr>
      </w:pPr>
      <w:r w:rsidRPr="0034098A">
        <w:rPr>
          <w:rFonts w:ascii="Arial" w:hAnsi="Arial" w:cs="Arial"/>
          <w:sz w:val="20"/>
          <w:szCs w:val="20"/>
        </w:rPr>
        <w:t xml:space="preserve">Prices by schedule </w:t>
      </w:r>
    </w:p>
    <w:p w:rsidR="005F18AD" w:rsidRPr="00767397" w:rsidRDefault="00655930" w:rsidP="006C6D60">
      <w:pPr>
        <w:pStyle w:val="AERbodytext"/>
        <w:spacing w:before="120"/>
        <w:jc w:val="center"/>
      </w:pPr>
      <w:r>
        <w:pict>
          <v:shape id="_x0000_i1029" type="#_x0000_t75" style="width:476.25pt;height:137.25pt">
            <v:imagedata r:id="rId14" o:title=""/>
          </v:shape>
        </w:pict>
      </w:r>
    </w:p>
    <w:p w:rsidR="005F18AD" w:rsidRPr="0034098A" w:rsidRDefault="005F18AD" w:rsidP="00DA3AAA">
      <w:pPr>
        <w:pStyle w:val="AERfigureheading"/>
        <w:tabs>
          <w:tab w:val="clear" w:pos="1361"/>
          <w:tab w:val="num" w:pos="1260"/>
        </w:tabs>
        <w:spacing w:before="120"/>
        <w:ind w:left="1260" w:hanging="1260"/>
        <w:rPr>
          <w:rFonts w:ascii="Arial" w:hAnsi="Arial" w:cs="Arial"/>
          <w:sz w:val="20"/>
          <w:szCs w:val="20"/>
        </w:rPr>
      </w:pPr>
      <w:r w:rsidRPr="0034098A">
        <w:rPr>
          <w:rFonts w:ascii="Arial" w:hAnsi="Arial" w:cs="Arial"/>
          <w:sz w:val="20"/>
          <w:szCs w:val="20"/>
        </w:rPr>
        <w:t xml:space="preserve">Demand </w:t>
      </w:r>
      <w:r w:rsidR="001452B3" w:rsidRPr="0034098A">
        <w:rPr>
          <w:rFonts w:ascii="Arial" w:hAnsi="Arial" w:cs="Arial"/>
          <w:sz w:val="20"/>
          <w:szCs w:val="20"/>
        </w:rPr>
        <w:t>f</w:t>
      </w:r>
      <w:r w:rsidRPr="0034098A">
        <w:rPr>
          <w:rFonts w:ascii="Arial" w:hAnsi="Arial" w:cs="Arial"/>
          <w:sz w:val="20"/>
          <w:szCs w:val="20"/>
        </w:rPr>
        <w:t>orecasts</w:t>
      </w:r>
      <w:r w:rsidR="008133CF" w:rsidRPr="0034098A">
        <w:rPr>
          <w:rFonts w:ascii="Arial" w:hAnsi="Arial" w:cs="Arial"/>
          <w:sz w:val="20"/>
          <w:szCs w:val="20"/>
        </w:rPr>
        <w:t xml:space="preserve"> </w:t>
      </w:r>
    </w:p>
    <w:p w:rsidR="005F18AD" w:rsidRPr="00767397" w:rsidRDefault="00655930" w:rsidP="006C6D60">
      <w:pPr>
        <w:pStyle w:val="AERbodytext"/>
        <w:spacing w:before="120" w:after="0"/>
        <w:jc w:val="center"/>
      </w:pPr>
      <w:r>
        <w:pict>
          <v:shape id="_x0000_i1030" type="#_x0000_t75" style="width:475.5pt;height:176.25pt">
            <v:imagedata r:id="rId15" o:title=""/>
          </v:shape>
        </w:pict>
      </w:r>
    </w:p>
    <w:p w:rsidR="001A5C1A" w:rsidRPr="0034098A" w:rsidRDefault="001A5C1A" w:rsidP="00B24A61">
      <w:pPr>
        <w:pStyle w:val="AERfigureheading"/>
        <w:tabs>
          <w:tab w:val="clear" w:pos="1361"/>
          <w:tab w:val="num" w:pos="1260"/>
        </w:tabs>
        <w:spacing w:before="120"/>
        <w:ind w:left="1260" w:hanging="1260"/>
        <w:rPr>
          <w:rFonts w:ascii="Arial" w:hAnsi="Arial" w:cs="Arial"/>
          <w:sz w:val="20"/>
          <w:szCs w:val="20"/>
        </w:rPr>
      </w:pPr>
      <w:r w:rsidRPr="0034098A">
        <w:rPr>
          <w:rFonts w:ascii="Arial" w:hAnsi="Arial" w:cs="Arial"/>
          <w:sz w:val="20"/>
          <w:szCs w:val="20"/>
        </w:rPr>
        <w:t>Injection bids by price bands</w:t>
      </w:r>
    </w:p>
    <w:p w:rsidR="00A26940" w:rsidRPr="00767397" w:rsidRDefault="00655930" w:rsidP="006C6D60">
      <w:pPr>
        <w:pStyle w:val="AERbodytext"/>
        <w:spacing w:before="120" w:after="0"/>
        <w:jc w:val="center"/>
      </w:pPr>
      <w:r>
        <w:pict>
          <v:shape id="_x0000_i1031" type="#_x0000_t75" style="width:476.25pt;height:238.5pt">
            <v:imagedata r:id="rId16" o:title=""/>
          </v:shape>
        </w:pict>
      </w:r>
    </w:p>
    <w:p w:rsidR="00372976" w:rsidRPr="0034098A" w:rsidRDefault="00372976" w:rsidP="00B24A61">
      <w:pPr>
        <w:pStyle w:val="AERfigureheading"/>
        <w:tabs>
          <w:tab w:val="clear" w:pos="1361"/>
          <w:tab w:val="num" w:pos="1260"/>
        </w:tabs>
        <w:spacing w:before="120"/>
        <w:ind w:left="1260" w:hanging="1260"/>
        <w:rPr>
          <w:rFonts w:ascii="Arial" w:hAnsi="Arial" w:cs="Arial"/>
          <w:sz w:val="20"/>
          <w:szCs w:val="20"/>
        </w:rPr>
      </w:pPr>
      <w:r w:rsidRPr="0034098A">
        <w:rPr>
          <w:rFonts w:ascii="Arial" w:hAnsi="Arial" w:cs="Arial"/>
          <w:sz w:val="20"/>
          <w:szCs w:val="20"/>
        </w:rPr>
        <w:t>Withdrawal bids by price bands</w:t>
      </w:r>
    </w:p>
    <w:p w:rsidR="00BE4577" w:rsidRPr="00767397" w:rsidRDefault="00655930" w:rsidP="006C6D60">
      <w:pPr>
        <w:pStyle w:val="AERbodytext"/>
        <w:jc w:val="center"/>
      </w:pPr>
      <w:r>
        <w:pict>
          <v:shape id="_x0000_i1032" type="#_x0000_t75" style="width:476.25pt;height:186.75pt">
            <v:imagedata r:id="rId17" o:title=""/>
          </v:shape>
        </w:pict>
      </w:r>
    </w:p>
    <w:p w:rsidR="00A26940" w:rsidRPr="0034098A" w:rsidRDefault="00B24A61" w:rsidP="00BE4577">
      <w:pPr>
        <w:pStyle w:val="AERfigureheading"/>
        <w:rPr>
          <w:rFonts w:ascii="Arial" w:hAnsi="Arial" w:cs="Arial"/>
          <w:sz w:val="20"/>
          <w:szCs w:val="20"/>
        </w:rPr>
      </w:pPr>
      <w:r w:rsidRPr="0034098A">
        <w:rPr>
          <w:rFonts w:ascii="Arial" w:hAnsi="Arial" w:cs="Arial"/>
          <w:sz w:val="20"/>
          <w:szCs w:val="20"/>
        </w:rPr>
        <w:t xml:space="preserve">Metered </w:t>
      </w:r>
      <w:r w:rsidR="00652A42" w:rsidRPr="0034098A">
        <w:rPr>
          <w:rFonts w:ascii="Arial" w:hAnsi="Arial" w:cs="Arial"/>
          <w:sz w:val="20"/>
          <w:szCs w:val="20"/>
        </w:rPr>
        <w:t>I</w:t>
      </w:r>
      <w:r w:rsidR="00A26940" w:rsidRPr="0034098A">
        <w:rPr>
          <w:rFonts w:ascii="Arial" w:hAnsi="Arial" w:cs="Arial"/>
          <w:sz w:val="20"/>
          <w:szCs w:val="20"/>
        </w:rPr>
        <w:t xml:space="preserve">njections </w:t>
      </w:r>
      <w:r w:rsidR="008F4EAE" w:rsidRPr="0034098A">
        <w:rPr>
          <w:rFonts w:ascii="Arial" w:hAnsi="Arial" w:cs="Arial"/>
          <w:sz w:val="20"/>
          <w:szCs w:val="20"/>
        </w:rPr>
        <w:t xml:space="preserve">by </w:t>
      </w:r>
      <w:r w:rsidRPr="0034098A">
        <w:rPr>
          <w:rFonts w:ascii="Arial" w:hAnsi="Arial" w:cs="Arial"/>
          <w:sz w:val="20"/>
          <w:szCs w:val="20"/>
        </w:rPr>
        <w:t xml:space="preserve">System Injection Point </w:t>
      </w:r>
    </w:p>
    <w:p w:rsidR="0006609A" w:rsidRPr="00767397" w:rsidRDefault="00655930" w:rsidP="006C6D60">
      <w:pPr>
        <w:pStyle w:val="AERbodytext"/>
        <w:spacing w:before="120"/>
        <w:jc w:val="center"/>
        <w:sectPr w:rsidR="0006609A" w:rsidRPr="00767397" w:rsidSect="00FD7231">
          <w:footerReference w:type="default" r:id="rId18"/>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3" type="#_x0000_t75" style="width:475.5pt;height:177.75pt">
            <v:imagedata r:id="rId19"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15"/>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1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C1EF4" w:rsidRPr="008C1EF4" w:rsidRDefault="003410C4" w:rsidP="008C1EF4">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200" w:type="dxa"/>
        <w:tblInd w:w="108" w:type="dxa"/>
        <w:tblLook w:val="04A0" w:firstRow="1" w:lastRow="0" w:firstColumn="1" w:lastColumn="0" w:noHBand="0" w:noVBand="1"/>
      </w:tblPr>
      <w:tblGrid>
        <w:gridCol w:w="2216"/>
        <w:gridCol w:w="997"/>
        <w:gridCol w:w="997"/>
        <w:gridCol w:w="998"/>
        <w:gridCol w:w="998"/>
        <w:gridCol w:w="998"/>
        <w:gridCol w:w="998"/>
        <w:gridCol w:w="998"/>
      </w:tblGrid>
      <w:tr w:rsidR="008C1EF4" w:rsidTr="008C1EF4">
        <w:trPr>
          <w:trHeight w:val="255"/>
        </w:trPr>
        <w:tc>
          <w:tcPr>
            <w:tcW w:w="2216" w:type="dxa"/>
            <w:tcBorders>
              <w:top w:val="nil"/>
              <w:left w:val="nil"/>
              <w:bottom w:val="single" w:sz="4" w:space="0" w:color="auto"/>
              <w:right w:val="nil"/>
            </w:tcBorders>
            <w:shd w:val="clear" w:color="auto" w:fill="auto"/>
            <w:noWrap/>
            <w:vAlign w:val="center"/>
            <w:hideMark/>
          </w:tcPr>
          <w:p w:rsidR="008C1EF4" w:rsidRDefault="008C1EF4">
            <w:pPr>
              <w:rPr>
                <w:rFonts w:ascii="Arial" w:hAnsi="Arial" w:cs="Arial"/>
                <w:b/>
                <w:bCs/>
                <w:sz w:val="20"/>
                <w:szCs w:val="20"/>
              </w:rPr>
            </w:pPr>
            <w:r>
              <w:rPr>
                <w:rFonts w:ascii="Arial" w:hAnsi="Arial" w:cs="Arial"/>
                <w:b/>
                <w:bCs/>
                <w:sz w:val="20"/>
                <w:szCs w:val="20"/>
              </w:rPr>
              <w:t> </w:t>
            </w:r>
          </w:p>
        </w:tc>
        <w:tc>
          <w:tcPr>
            <w:tcW w:w="997"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Sun</w:t>
            </w:r>
          </w:p>
        </w:tc>
        <w:tc>
          <w:tcPr>
            <w:tcW w:w="997"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Mon</w:t>
            </w:r>
          </w:p>
        </w:tc>
        <w:tc>
          <w:tcPr>
            <w:tcW w:w="998"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Tue</w:t>
            </w:r>
          </w:p>
        </w:tc>
        <w:tc>
          <w:tcPr>
            <w:tcW w:w="998"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Wed</w:t>
            </w:r>
          </w:p>
        </w:tc>
        <w:tc>
          <w:tcPr>
            <w:tcW w:w="998"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Thu</w:t>
            </w:r>
          </w:p>
        </w:tc>
        <w:tc>
          <w:tcPr>
            <w:tcW w:w="998"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Fri</w:t>
            </w:r>
          </w:p>
        </w:tc>
        <w:tc>
          <w:tcPr>
            <w:tcW w:w="998"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Sat</w:t>
            </w:r>
          </w:p>
        </w:tc>
      </w:tr>
      <w:tr w:rsidR="008C1EF4" w:rsidTr="008C1EF4">
        <w:trPr>
          <w:trHeight w:val="255"/>
        </w:trPr>
        <w:tc>
          <w:tcPr>
            <w:tcW w:w="2216" w:type="dxa"/>
            <w:tcBorders>
              <w:top w:val="nil"/>
              <w:left w:val="nil"/>
              <w:bottom w:val="nil"/>
              <w:right w:val="nil"/>
            </w:tcBorders>
            <w:shd w:val="clear" w:color="auto" w:fill="auto"/>
            <w:vAlign w:val="center"/>
            <w:hideMark/>
          </w:tcPr>
          <w:p w:rsidR="008C1EF4" w:rsidRDefault="008C1EF4">
            <w:pPr>
              <w:rPr>
                <w:rFonts w:ascii="Arial" w:hAnsi="Arial" w:cs="Arial"/>
                <w:sz w:val="20"/>
                <w:szCs w:val="20"/>
              </w:rPr>
            </w:pPr>
            <w:r>
              <w:rPr>
                <w:rFonts w:ascii="Arial" w:hAnsi="Arial" w:cs="Arial"/>
                <w:sz w:val="20"/>
                <w:szCs w:val="20"/>
              </w:rPr>
              <w:t>Ex ante price ($/GJ)</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4.20</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4.20</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4.20</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4.00</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4.00</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3.90</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4.00</w:t>
            </w:r>
          </w:p>
        </w:tc>
      </w:tr>
      <w:tr w:rsidR="008C1EF4" w:rsidTr="008C1EF4">
        <w:trPr>
          <w:trHeight w:val="255"/>
        </w:trPr>
        <w:tc>
          <w:tcPr>
            <w:tcW w:w="2216" w:type="dxa"/>
            <w:tcBorders>
              <w:top w:val="nil"/>
              <w:left w:val="nil"/>
              <w:bottom w:val="nil"/>
              <w:right w:val="nil"/>
            </w:tcBorders>
            <w:shd w:val="clear" w:color="auto" w:fill="auto"/>
            <w:vAlign w:val="center"/>
            <w:hideMark/>
          </w:tcPr>
          <w:p w:rsidR="008C1EF4" w:rsidRDefault="008C1EF4">
            <w:pPr>
              <w:rPr>
                <w:rFonts w:ascii="Arial" w:hAnsi="Arial" w:cs="Arial"/>
                <w:sz w:val="20"/>
                <w:szCs w:val="20"/>
              </w:rPr>
            </w:pPr>
            <w:r>
              <w:rPr>
                <w:rFonts w:ascii="Arial" w:hAnsi="Arial" w:cs="Arial"/>
                <w:sz w:val="20"/>
                <w:szCs w:val="20"/>
              </w:rPr>
              <w:t>Ex ante quantity (TJ)</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186</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224</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227</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229</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224</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231</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197</w:t>
            </w:r>
          </w:p>
        </w:tc>
      </w:tr>
      <w:tr w:rsidR="008C1EF4" w:rsidTr="008C1EF4">
        <w:trPr>
          <w:trHeight w:val="255"/>
        </w:trPr>
        <w:tc>
          <w:tcPr>
            <w:tcW w:w="2216" w:type="dxa"/>
            <w:tcBorders>
              <w:top w:val="nil"/>
              <w:left w:val="nil"/>
              <w:bottom w:val="nil"/>
              <w:right w:val="nil"/>
            </w:tcBorders>
            <w:shd w:val="clear" w:color="auto" w:fill="auto"/>
            <w:vAlign w:val="center"/>
            <w:hideMark/>
          </w:tcPr>
          <w:p w:rsidR="008C1EF4" w:rsidRDefault="008C1EF4">
            <w:pPr>
              <w:rPr>
                <w:rFonts w:ascii="Arial" w:hAnsi="Arial" w:cs="Arial"/>
                <w:sz w:val="20"/>
                <w:szCs w:val="20"/>
              </w:rPr>
            </w:pPr>
            <w:r>
              <w:rPr>
                <w:rFonts w:ascii="Arial" w:hAnsi="Arial" w:cs="Arial"/>
                <w:sz w:val="20"/>
                <w:szCs w:val="20"/>
              </w:rPr>
              <w:t>Ex post price ($/GJ)</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4.20</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4.16</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4.00</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4.00</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4.00</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3.71</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2.90</w:t>
            </w:r>
          </w:p>
        </w:tc>
      </w:tr>
      <w:tr w:rsidR="008C1EF4" w:rsidTr="008C1EF4">
        <w:trPr>
          <w:trHeight w:val="255"/>
        </w:trPr>
        <w:tc>
          <w:tcPr>
            <w:tcW w:w="2216" w:type="dxa"/>
            <w:tcBorders>
              <w:top w:val="nil"/>
              <w:left w:val="nil"/>
              <w:bottom w:val="single" w:sz="4" w:space="0" w:color="auto"/>
              <w:right w:val="nil"/>
            </w:tcBorders>
            <w:shd w:val="clear" w:color="auto" w:fill="auto"/>
            <w:vAlign w:val="center"/>
            <w:hideMark/>
          </w:tcPr>
          <w:p w:rsidR="008C1EF4" w:rsidRDefault="008C1EF4" w:rsidP="00D34C6F">
            <w:pPr>
              <w:rPr>
                <w:rFonts w:ascii="Arial" w:hAnsi="Arial" w:cs="Arial"/>
                <w:sz w:val="20"/>
                <w:szCs w:val="20"/>
              </w:rPr>
            </w:pPr>
            <w:r>
              <w:rPr>
                <w:rFonts w:ascii="Arial" w:hAnsi="Arial" w:cs="Arial"/>
                <w:sz w:val="20"/>
                <w:szCs w:val="20"/>
              </w:rPr>
              <w:t xml:space="preserve">Ex </w:t>
            </w:r>
            <w:r w:rsidR="00D34C6F">
              <w:rPr>
                <w:rFonts w:ascii="Arial" w:hAnsi="Arial" w:cs="Arial"/>
                <w:sz w:val="20"/>
                <w:szCs w:val="20"/>
              </w:rPr>
              <w:t xml:space="preserve">post </w:t>
            </w:r>
            <w:r>
              <w:rPr>
                <w:rFonts w:ascii="Arial" w:hAnsi="Arial" w:cs="Arial"/>
                <w:sz w:val="20"/>
                <w:szCs w:val="20"/>
              </w:rPr>
              <w:t>quantity (TJ)</w:t>
            </w:r>
          </w:p>
        </w:tc>
        <w:tc>
          <w:tcPr>
            <w:tcW w:w="997"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182</w:t>
            </w:r>
          </w:p>
        </w:tc>
        <w:tc>
          <w:tcPr>
            <w:tcW w:w="997"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223</w:t>
            </w:r>
          </w:p>
        </w:tc>
        <w:tc>
          <w:tcPr>
            <w:tcW w:w="998"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223</w:t>
            </w:r>
          </w:p>
        </w:tc>
        <w:tc>
          <w:tcPr>
            <w:tcW w:w="998"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220</w:t>
            </w:r>
          </w:p>
        </w:tc>
        <w:tc>
          <w:tcPr>
            <w:tcW w:w="998"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224</w:t>
            </w:r>
          </w:p>
        </w:tc>
        <w:tc>
          <w:tcPr>
            <w:tcW w:w="998"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219</w:t>
            </w:r>
          </w:p>
        </w:tc>
        <w:tc>
          <w:tcPr>
            <w:tcW w:w="998"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178</w:t>
            </w:r>
          </w:p>
        </w:tc>
      </w:tr>
    </w:tbl>
    <w:p w:rsidR="00055584" w:rsidRPr="00B20E72" w:rsidRDefault="0045204B" w:rsidP="00502181">
      <w:pPr>
        <w:pStyle w:val="AERtableheading-unnumbered"/>
        <w:numPr>
          <w:ilvl w:val="0"/>
          <w:numId w:val="0"/>
        </w:numPr>
        <w:spacing w:before="480"/>
        <w:rPr>
          <w:rFonts w:ascii="Arial" w:hAnsi="Arial" w:cs="Arial"/>
          <w:sz w:val="19"/>
          <w:szCs w:val="19"/>
        </w:rPr>
      </w:pPr>
      <w:r w:rsidRPr="00B20E72">
        <w:rPr>
          <w:rFonts w:ascii="Arial" w:hAnsi="Arial" w:cs="Arial"/>
          <w:sz w:val="19"/>
          <w:szCs w:val="19"/>
        </w:rPr>
        <w:t>Figure 2.2 (a)</w:t>
      </w:r>
      <w:r w:rsidR="002C0499" w:rsidRPr="00B20E72">
        <w:rPr>
          <w:rFonts w:ascii="Arial" w:hAnsi="Arial" w:cs="Arial"/>
          <w:sz w:val="19"/>
          <w:szCs w:val="19"/>
        </w:rPr>
        <w:t>:</w:t>
      </w:r>
      <w:r w:rsidRPr="00B20E72">
        <w:rPr>
          <w:rFonts w:ascii="Arial" w:hAnsi="Arial" w:cs="Arial"/>
          <w:sz w:val="19"/>
          <w:szCs w:val="19"/>
        </w:rPr>
        <w:t xml:space="preserve"> </w:t>
      </w:r>
      <w:r w:rsidR="00055584" w:rsidRPr="00B20E72">
        <w:rPr>
          <w:rFonts w:ascii="Arial" w:hAnsi="Arial" w:cs="Arial"/>
          <w:sz w:val="19"/>
          <w:szCs w:val="19"/>
        </w:rPr>
        <w:t>Daily hub offers</w:t>
      </w:r>
      <w:r w:rsidR="00781A4A" w:rsidRPr="00B20E72">
        <w:rPr>
          <w:rFonts w:ascii="Arial" w:hAnsi="Arial" w:cs="Arial"/>
          <w:sz w:val="19"/>
          <w:szCs w:val="19"/>
        </w:rPr>
        <w:t xml:space="preserve"> in price bands</w:t>
      </w:r>
      <w:r w:rsidR="00CD3544" w:rsidRPr="00B20E72">
        <w:rPr>
          <w:rFonts w:ascii="Arial" w:hAnsi="Arial" w:cs="Arial"/>
          <w:sz w:val="19"/>
          <w:szCs w:val="19"/>
        </w:rPr>
        <w:t xml:space="preserve"> </w:t>
      </w:r>
      <w:r w:rsidR="00587CD1" w:rsidRPr="00B20E72">
        <w:rPr>
          <w:rFonts w:ascii="Arial" w:hAnsi="Arial" w:cs="Arial"/>
          <w:sz w:val="19"/>
          <w:szCs w:val="19"/>
        </w:rPr>
        <w:t xml:space="preserve">($/GJ) </w:t>
      </w:r>
      <w:r w:rsidR="00781A4A" w:rsidRPr="00B20E72">
        <w:rPr>
          <w:rFonts w:ascii="Arial" w:hAnsi="Arial" w:cs="Arial"/>
          <w:sz w:val="19"/>
          <w:szCs w:val="19"/>
        </w:rPr>
        <w:t xml:space="preserve"> </w:t>
      </w:r>
      <w:r w:rsidRPr="00B20E72">
        <w:rPr>
          <w:rFonts w:ascii="Arial" w:hAnsi="Arial" w:cs="Arial"/>
          <w:sz w:val="19"/>
          <w:szCs w:val="19"/>
        </w:rPr>
        <w:t xml:space="preserve">   </w:t>
      </w:r>
      <w:r w:rsidR="00587CD1" w:rsidRPr="00B20E72">
        <w:rPr>
          <w:rFonts w:ascii="Arial" w:hAnsi="Arial" w:cs="Arial"/>
          <w:sz w:val="19"/>
          <w:szCs w:val="19"/>
        </w:rPr>
        <w:t>Figure 2.2</w:t>
      </w:r>
      <w:r w:rsidR="00C80FD8" w:rsidRPr="00B20E72">
        <w:rPr>
          <w:rFonts w:ascii="Arial" w:hAnsi="Arial" w:cs="Arial"/>
          <w:sz w:val="19"/>
          <w:szCs w:val="19"/>
        </w:rPr>
        <w:t xml:space="preserve"> </w:t>
      </w:r>
      <w:r w:rsidR="00781A4A" w:rsidRPr="00B20E72">
        <w:rPr>
          <w:rFonts w:ascii="Arial" w:hAnsi="Arial" w:cs="Arial"/>
          <w:sz w:val="19"/>
          <w:szCs w:val="19"/>
        </w:rPr>
        <w:t>(b)</w:t>
      </w:r>
      <w:r w:rsidR="00587CD1" w:rsidRPr="00B20E72">
        <w:rPr>
          <w:rFonts w:ascii="Arial" w:hAnsi="Arial" w:cs="Arial"/>
          <w:sz w:val="19"/>
          <w:szCs w:val="19"/>
        </w:rPr>
        <w:t>:</w:t>
      </w:r>
      <w:r w:rsidR="00781A4A" w:rsidRPr="00B20E72">
        <w:rPr>
          <w:rFonts w:ascii="Arial" w:hAnsi="Arial" w:cs="Arial"/>
          <w:sz w:val="19"/>
          <w:szCs w:val="19"/>
        </w:rPr>
        <w:t xml:space="preserve"> Daily hub b</w:t>
      </w:r>
      <w:r w:rsidRPr="00B20E72">
        <w:rPr>
          <w:rFonts w:ascii="Arial" w:hAnsi="Arial" w:cs="Arial"/>
          <w:sz w:val="19"/>
          <w:szCs w:val="19"/>
        </w:rPr>
        <w:t>i</w:t>
      </w:r>
      <w:r w:rsidR="00781A4A" w:rsidRPr="00B20E72">
        <w:rPr>
          <w:rFonts w:ascii="Arial" w:hAnsi="Arial" w:cs="Arial"/>
          <w:sz w:val="19"/>
          <w:szCs w:val="19"/>
        </w:rPr>
        <w:t xml:space="preserve">ds </w:t>
      </w:r>
      <w:r w:rsidR="00CD3544" w:rsidRPr="00B20E72">
        <w:rPr>
          <w:rFonts w:ascii="Arial" w:hAnsi="Arial" w:cs="Arial"/>
          <w:sz w:val="19"/>
          <w:szCs w:val="19"/>
        </w:rPr>
        <w:t>in</w:t>
      </w:r>
      <w:r w:rsidR="00055584" w:rsidRPr="00B20E72">
        <w:rPr>
          <w:rFonts w:ascii="Arial" w:hAnsi="Arial" w:cs="Arial"/>
          <w:sz w:val="19"/>
          <w:szCs w:val="19"/>
        </w:rPr>
        <w:t xml:space="preserve"> price bands ($/GJ)</w:t>
      </w:r>
    </w:p>
    <w:p w:rsidR="00055584" w:rsidRPr="00FC426D" w:rsidRDefault="00655930" w:rsidP="006C6D60">
      <w:pPr>
        <w:pStyle w:val="FigheadingA"/>
        <w:numPr>
          <w:ilvl w:val="0"/>
          <w:numId w:val="0"/>
        </w:numPr>
        <w:spacing w:before="120" w:after="0"/>
        <w:ind w:left="1134" w:hanging="1134"/>
        <w:jc w:val="center"/>
      </w:pPr>
      <w:r>
        <w:pict>
          <v:shape id="_x0000_i1034" type="#_x0000_t75" style="width:475.5pt;height:186pt">
            <v:imagedata r:id="rId20" o:title=""/>
          </v:shape>
        </w:pict>
      </w:r>
    </w:p>
    <w:p w:rsidR="008E2239" w:rsidRPr="00B20E72" w:rsidRDefault="003410C4" w:rsidP="00157AFD">
      <w:pPr>
        <w:pStyle w:val="AERfigureheading"/>
        <w:numPr>
          <w:ilvl w:val="5"/>
          <w:numId w:val="42"/>
        </w:numPr>
        <w:tabs>
          <w:tab w:val="clear" w:pos="1361"/>
          <w:tab w:val="num" w:pos="1260"/>
        </w:tabs>
        <w:rPr>
          <w:rFonts w:ascii="Arial" w:hAnsi="Arial" w:cs="Arial"/>
          <w:sz w:val="20"/>
          <w:szCs w:val="20"/>
        </w:rPr>
      </w:pPr>
      <w:r w:rsidRPr="00B20E72">
        <w:rPr>
          <w:rFonts w:ascii="Arial" w:hAnsi="Arial" w:cs="Arial"/>
          <w:sz w:val="20"/>
          <w:szCs w:val="20"/>
        </w:rPr>
        <w:t xml:space="preserve">SYD </w:t>
      </w:r>
      <w:r w:rsidR="00E52E2A" w:rsidRPr="00B20E72">
        <w:rPr>
          <w:rFonts w:ascii="Arial" w:hAnsi="Arial" w:cs="Arial"/>
          <w:sz w:val="20"/>
          <w:szCs w:val="20"/>
        </w:rPr>
        <w:t>net</w:t>
      </w:r>
      <w:r w:rsidR="00BA65E6" w:rsidRPr="00B20E72">
        <w:rPr>
          <w:rFonts w:ascii="Arial" w:hAnsi="Arial" w:cs="Arial"/>
          <w:sz w:val="20"/>
          <w:szCs w:val="20"/>
        </w:rPr>
        <w:t xml:space="preserve"> </w:t>
      </w:r>
      <w:r w:rsidR="005E4C48" w:rsidRPr="00B20E72">
        <w:rPr>
          <w:rFonts w:ascii="Arial" w:hAnsi="Arial" w:cs="Arial"/>
          <w:sz w:val="20"/>
          <w:szCs w:val="20"/>
        </w:rPr>
        <w:t>s</w:t>
      </w:r>
      <w:r w:rsidR="008E2239" w:rsidRPr="00B20E72">
        <w:rPr>
          <w:rFonts w:ascii="Arial" w:hAnsi="Arial" w:cs="Arial"/>
          <w:sz w:val="20"/>
          <w:szCs w:val="20"/>
        </w:rPr>
        <w:t xml:space="preserve">cheduled and </w:t>
      </w:r>
      <w:r w:rsidR="005E4C48" w:rsidRPr="00B20E72">
        <w:rPr>
          <w:rFonts w:ascii="Arial" w:hAnsi="Arial" w:cs="Arial"/>
          <w:sz w:val="20"/>
          <w:szCs w:val="20"/>
        </w:rPr>
        <w:t>a</w:t>
      </w:r>
      <w:r w:rsidR="008E2239" w:rsidRPr="00B20E72">
        <w:rPr>
          <w:rFonts w:ascii="Arial" w:hAnsi="Arial" w:cs="Arial"/>
          <w:sz w:val="20"/>
          <w:szCs w:val="20"/>
        </w:rPr>
        <w:t>llocated gas</w:t>
      </w:r>
      <w:r w:rsidR="005E4C48" w:rsidRPr="00B20E72">
        <w:rPr>
          <w:rFonts w:ascii="Arial" w:hAnsi="Arial" w:cs="Arial"/>
          <w:sz w:val="20"/>
          <w:szCs w:val="20"/>
        </w:rPr>
        <w:t xml:space="preserve"> volumes</w:t>
      </w:r>
      <w:r w:rsidR="008E2239" w:rsidRPr="00B20E72">
        <w:rPr>
          <w:rFonts w:ascii="Arial" w:hAnsi="Arial" w:cs="Arial"/>
          <w:sz w:val="20"/>
          <w:szCs w:val="20"/>
        </w:rPr>
        <w:t xml:space="preserve"> </w:t>
      </w:r>
      <w:r w:rsidR="00E52E2A" w:rsidRPr="00B20E72">
        <w:rPr>
          <w:rFonts w:ascii="Arial" w:hAnsi="Arial" w:cs="Arial"/>
          <w:sz w:val="20"/>
          <w:szCs w:val="20"/>
        </w:rPr>
        <w:t xml:space="preserve">(excluding MOS) </w:t>
      </w:r>
      <w:r w:rsidR="008E2239" w:rsidRPr="00B20E72">
        <w:rPr>
          <w:rFonts w:ascii="Arial" w:hAnsi="Arial" w:cs="Arial"/>
          <w:sz w:val="20"/>
          <w:szCs w:val="20"/>
        </w:rPr>
        <w:t xml:space="preserve">by </w:t>
      </w:r>
      <w:r w:rsidR="00BA65E6" w:rsidRPr="00B20E72">
        <w:rPr>
          <w:rFonts w:ascii="Arial" w:hAnsi="Arial" w:cs="Arial"/>
          <w:sz w:val="20"/>
          <w:szCs w:val="20"/>
        </w:rPr>
        <w:t>STTM facility</w:t>
      </w:r>
    </w:p>
    <w:p w:rsidR="008E2239" w:rsidRPr="002E2E46" w:rsidRDefault="00655930" w:rsidP="006C6D60">
      <w:pPr>
        <w:pStyle w:val="BodyText"/>
        <w:spacing w:before="120" w:after="0"/>
        <w:jc w:val="center"/>
      </w:pPr>
      <w:r>
        <w:pict>
          <v:shape id="_x0000_i1035" type="#_x0000_t75" style="width:476.25pt;height:199.5pt">
            <v:imagedata r:id="rId21"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B20E72">
        <w:rPr>
          <w:rFonts w:ascii="Arial" w:hAnsi="Arial" w:cs="Arial"/>
          <w:sz w:val="20"/>
          <w:szCs w:val="20"/>
        </w:rPr>
        <w:t>Figure 2.4 (a)</w:t>
      </w:r>
      <w:r w:rsidR="002C0499" w:rsidRPr="00B20E72">
        <w:rPr>
          <w:rFonts w:ascii="Arial" w:hAnsi="Arial" w:cs="Arial"/>
          <w:sz w:val="20"/>
          <w:szCs w:val="20"/>
        </w:rPr>
        <w:t>:</w:t>
      </w:r>
      <w:r w:rsidRPr="00B20E72">
        <w:rPr>
          <w:rFonts w:ascii="Arial" w:hAnsi="Arial" w:cs="Arial"/>
          <w:sz w:val="20"/>
          <w:szCs w:val="20"/>
        </w:rPr>
        <w:t xml:space="preserve"> SYD</w:t>
      </w:r>
      <w:r w:rsidR="008936C5" w:rsidRPr="00B20E72">
        <w:rPr>
          <w:rFonts w:ascii="Arial" w:hAnsi="Arial" w:cs="Arial"/>
          <w:sz w:val="20"/>
          <w:szCs w:val="20"/>
        </w:rPr>
        <w:t xml:space="preserve"> STTM MOS allocations (TJ)         </w:t>
      </w:r>
      <w:r w:rsidRPr="00B20E72">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655930" w:rsidP="006C6D60">
      <w:pPr>
        <w:jc w:val="center"/>
        <w:rPr>
          <w:color w:val="C0C0C0"/>
          <w:sz w:val="28"/>
          <w:szCs w:val="28"/>
        </w:rPr>
      </w:pPr>
      <w:r>
        <w:pict>
          <v:shape id="_x0000_i1036" type="#_x0000_t75" style="width:475.5pt;height:180.75pt">
            <v:imagedata r:id="rId22"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200" w:type="dxa"/>
        <w:tblInd w:w="108" w:type="dxa"/>
        <w:tblLook w:val="04A0" w:firstRow="1" w:lastRow="0" w:firstColumn="1" w:lastColumn="0" w:noHBand="0" w:noVBand="1"/>
      </w:tblPr>
      <w:tblGrid>
        <w:gridCol w:w="2216"/>
        <w:gridCol w:w="997"/>
        <w:gridCol w:w="997"/>
        <w:gridCol w:w="998"/>
        <w:gridCol w:w="998"/>
        <w:gridCol w:w="998"/>
        <w:gridCol w:w="998"/>
        <w:gridCol w:w="998"/>
      </w:tblGrid>
      <w:tr w:rsidR="008C1EF4" w:rsidTr="008C1EF4">
        <w:trPr>
          <w:trHeight w:val="255"/>
        </w:trPr>
        <w:tc>
          <w:tcPr>
            <w:tcW w:w="2216" w:type="dxa"/>
            <w:tcBorders>
              <w:top w:val="nil"/>
              <w:left w:val="nil"/>
              <w:bottom w:val="single" w:sz="4" w:space="0" w:color="auto"/>
              <w:right w:val="nil"/>
            </w:tcBorders>
            <w:shd w:val="clear" w:color="auto" w:fill="auto"/>
            <w:noWrap/>
            <w:vAlign w:val="center"/>
            <w:hideMark/>
          </w:tcPr>
          <w:p w:rsidR="008C1EF4" w:rsidRDefault="008C1EF4">
            <w:pPr>
              <w:rPr>
                <w:rFonts w:ascii="Arial" w:hAnsi="Arial" w:cs="Arial"/>
                <w:b/>
                <w:bCs/>
                <w:sz w:val="20"/>
                <w:szCs w:val="20"/>
              </w:rPr>
            </w:pPr>
            <w:r>
              <w:rPr>
                <w:rFonts w:ascii="Arial" w:hAnsi="Arial" w:cs="Arial"/>
                <w:b/>
                <w:bCs/>
                <w:sz w:val="20"/>
                <w:szCs w:val="20"/>
              </w:rPr>
              <w:t> </w:t>
            </w:r>
          </w:p>
        </w:tc>
        <w:tc>
          <w:tcPr>
            <w:tcW w:w="997"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Sun</w:t>
            </w:r>
          </w:p>
        </w:tc>
        <w:tc>
          <w:tcPr>
            <w:tcW w:w="997"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Mon</w:t>
            </w:r>
          </w:p>
        </w:tc>
        <w:tc>
          <w:tcPr>
            <w:tcW w:w="998"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Tue</w:t>
            </w:r>
          </w:p>
        </w:tc>
        <w:tc>
          <w:tcPr>
            <w:tcW w:w="998"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Wed</w:t>
            </w:r>
          </w:p>
        </w:tc>
        <w:tc>
          <w:tcPr>
            <w:tcW w:w="998"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Thu</w:t>
            </w:r>
          </w:p>
        </w:tc>
        <w:tc>
          <w:tcPr>
            <w:tcW w:w="998"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Fri</w:t>
            </w:r>
          </w:p>
        </w:tc>
        <w:tc>
          <w:tcPr>
            <w:tcW w:w="998"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Sat</w:t>
            </w:r>
          </w:p>
        </w:tc>
      </w:tr>
      <w:tr w:rsidR="008C1EF4" w:rsidTr="008C1EF4">
        <w:trPr>
          <w:trHeight w:val="255"/>
        </w:trPr>
        <w:tc>
          <w:tcPr>
            <w:tcW w:w="2216" w:type="dxa"/>
            <w:tcBorders>
              <w:top w:val="nil"/>
              <w:left w:val="nil"/>
              <w:bottom w:val="nil"/>
              <w:right w:val="nil"/>
            </w:tcBorders>
            <w:shd w:val="clear" w:color="auto" w:fill="auto"/>
            <w:vAlign w:val="center"/>
            <w:hideMark/>
          </w:tcPr>
          <w:p w:rsidR="008C1EF4" w:rsidRDefault="008C1EF4">
            <w:pPr>
              <w:rPr>
                <w:rFonts w:ascii="Arial" w:hAnsi="Arial" w:cs="Arial"/>
                <w:sz w:val="20"/>
                <w:szCs w:val="20"/>
              </w:rPr>
            </w:pPr>
            <w:r>
              <w:rPr>
                <w:rFonts w:ascii="Arial" w:hAnsi="Arial" w:cs="Arial"/>
                <w:sz w:val="20"/>
                <w:szCs w:val="20"/>
              </w:rPr>
              <w:t>Ex ante price ($/GJ)</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4.40</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4.68</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6.58</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5.98</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4.61</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4.12</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4.00</w:t>
            </w:r>
          </w:p>
        </w:tc>
      </w:tr>
      <w:tr w:rsidR="008C1EF4" w:rsidTr="008C1EF4">
        <w:trPr>
          <w:trHeight w:val="255"/>
        </w:trPr>
        <w:tc>
          <w:tcPr>
            <w:tcW w:w="2216" w:type="dxa"/>
            <w:tcBorders>
              <w:top w:val="nil"/>
              <w:left w:val="nil"/>
              <w:bottom w:val="nil"/>
              <w:right w:val="nil"/>
            </w:tcBorders>
            <w:shd w:val="clear" w:color="auto" w:fill="auto"/>
            <w:vAlign w:val="center"/>
            <w:hideMark/>
          </w:tcPr>
          <w:p w:rsidR="008C1EF4" w:rsidRDefault="008C1EF4">
            <w:pPr>
              <w:rPr>
                <w:rFonts w:ascii="Arial" w:hAnsi="Arial" w:cs="Arial"/>
                <w:sz w:val="20"/>
                <w:szCs w:val="20"/>
              </w:rPr>
            </w:pPr>
            <w:r>
              <w:rPr>
                <w:rFonts w:ascii="Arial" w:hAnsi="Arial" w:cs="Arial"/>
                <w:sz w:val="20"/>
                <w:szCs w:val="20"/>
              </w:rPr>
              <w:t>Ex ante quantity (TJ)</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44</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58</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51</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54</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53</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52</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39</w:t>
            </w:r>
          </w:p>
        </w:tc>
      </w:tr>
      <w:tr w:rsidR="008C1EF4" w:rsidTr="008C1EF4">
        <w:trPr>
          <w:trHeight w:val="255"/>
        </w:trPr>
        <w:tc>
          <w:tcPr>
            <w:tcW w:w="2216" w:type="dxa"/>
            <w:tcBorders>
              <w:top w:val="nil"/>
              <w:left w:val="nil"/>
              <w:bottom w:val="nil"/>
              <w:right w:val="nil"/>
            </w:tcBorders>
            <w:shd w:val="clear" w:color="auto" w:fill="auto"/>
            <w:vAlign w:val="center"/>
            <w:hideMark/>
          </w:tcPr>
          <w:p w:rsidR="008C1EF4" w:rsidRDefault="008C1EF4">
            <w:pPr>
              <w:rPr>
                <w:rFonts w:ascii="Arial" w:hAnsi="Arial" w:cs="Arial"/>
                <w:sz w:val="20"/>
                <w:szCs w:val="20"/>
              </w:rPr>
            </w:pPr>
            <w:r>
              <w:rPr>
                <w:rFonts w:ascii="Arial" w:hAnsi="Arial" w:cs="Arial"/>
                <w:sz w:val="20"/>
                <w:szCs w:val="20"/>
              </w:rPr>
              <w:t>Ex post price ($/GJ)</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4.47</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4.61</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5.99</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5.98</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4.31</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3.60</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4.12</w:t>
            </w:r>
          </w:p>
        </w:tc>
      </w:tr>
      <w:tr w:rsidR="008C1EF4" w:rsidTr="008C1EF4">
        <w:trPr>
          <w:trHeight w:val="255"/>
        </w:trPr>
        <w:tc>
          <w:tcPr>
            <w:tcW w:w="2216" w:type="dxa"/>
            <w:tcBorders>
              <w:top w:val="nil"/>
              <w:left w:val="nil"/>
              <w:bottom w:val="single" w:sz="4" w:space="0" w:color="auto"/>
              <w:right w:val="nil"/>
            </w:tcBorders>
            <w:shd w:val="clear" w:color="auto" w:fill="auto"/>
            <w:vAlign w:val="center"/>
            <w:hideMark/>
          </w:tcPr>
          <w:p w:rsidR="008C1EF4" w:rsidRDefault="008C1EF4" w:rsidP="00D34C6F">
            <w:pPr>
              <w:rPr>
                <w:rFonts w:ascii="Arial" w:hAnsi="Arial" w:cs="Arial"/>
                <w:sz w:val="20"/>
                <w:szCs w:val="20"/>
              </w:rPr>
            </w:pPr>
            <w:r>
              <w:rPr>
                <w:rFonts w:ascii="Arial" w:hAnsi="Arial" w:cs="Arial"/>
                <w:sz w:val="20"/>
                <w:szCs w:val="20"/>
              </w:rPr>
              <w:t xml:space="preserve">Ex </w:t>
            </w:r>
            <w:r w:rsidR="00D34C6F">
              <w:rPr>
                <w:rFonts w:ascii="Arial" w:hAnsi="Arial" w:cs="Arial"/>
                <w:sz w:val="20"/>
                <w:szCs w:val="20"/>
              </w:rPr>
              <w:t xml:space="preserve">post </w:t>
            </w:r>
            <w:r>
              <w:rPr>
                <w:rFonts w:ascii="Arial" w:hAnsi="Arial" w:cs="Arial"/>
                <w:sz w:val="20"/>
                <w:szCs w:val="20"/>
              </w:rPr>
              <w:t>quantity (TJ)</w:t>
            </w:r>
          </w:p>
        </w:tc>
        <w:tc>
          <w:tcPr>
            <w:tcW w:w="997"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45</w:t>
            </w:r>
          </w:p>
        </w:tc>
        <w:tc>
          <w:tcPr>
            <w:tcW w:w="997"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54</w:t>
            </w:r>
          </w:p>
        </w:tc>
        <w:tc>
          <w:tcPr>
            <w:tcW w:w="998"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39</w:t>
            </w:r>
          </w:p>
        </w:tc>
        <w:tc>
          <w:tcPr>
            <w:tcW w:w="998"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54</w:t>
            </w:r>
          </w:p>
        </w:tc>
        <w:tc>
          <w:tcPr>
            <w:tcW w:w="998"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50</w:t>
            </w:r>
          </w:p>
        </w:tc>
        <w:tc>
          <w:tcPr>
            <w:tcW w:w="998"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47</w:t>
            </w:r>
          </w:p>
        </w:tc>
        <w:tc>
          <w:tcPr>
            <w:tcW w:w="998"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41</w:t>
            </w:r>
          </w:p>
        </w:tc>
      </w:tr>
    </w:tbl>
    <w:p w:rsidR="00157AFD" w:rsidRPr="0034098A" w:rsidRDefault="00157AFD" w:rsidP="00157AFD">
      <w:pPr>
        <w:pStyle w:val="AERtableheading-unnumbered"/>
        <w:numPr>
          <w:ilvl w:val="0"/>
          <w:numId w:val="0"/>
        </w:numPr>
        <w:rPr>
          <w:rFonts w:ascii="Arial" w:hAnsi="Arial" w:cs="Arial"/>
          <w:sz w:val="19"/>
          <w:szCs w:val="19"/>
        </w:rPr>
      </w:pPr>
      <w:r w:rsidRPr="0034098A">
        <w:rPr>
          <w:rFonts w:ascii="Arial" w:hAnsi="Arial" w:cs="Arial"/>
          <w:sz w:val="19"/>
          <w:szCs w:val="19"/>
        </w:rPr>
        <w:t>Figure 3.2 (a)</w:t>
      </w:r>
      <w:r w:rsidR="002C0499" w:rsidRPr="0034098A">
        <w:rPr>
          <w:rFonts w:ascii="Arial" w:hAnsi="Arial" w:cs="Arial"/>
          <w:sz w:val="19"/>
          <w:szCs w:val="19"/>
        </w:rPr>
        <w:t>:</w:t>
      </w:r>
      <w:r w:rsidRPr="0034098A">
        <w:rPr>
          <w:rFonts w:ascii="Arial" w:hAnsi="Arial" w:cs="Arial"/>
          <w:sz w:val="19"/>
          <w:szCs w:val="19"/>
        </w:rPr>
        <w:t xml:space="preserve"> Daily hub offers in price bands ($/GJ)     Figure 3.2</w:t>
      </w:r>
      <w:r w:rsidR="00C80FD8" w:rsidRPr="0034098A">
        <w:rPr>
          <w:rFonts w:ascii="Arial" w:hAnsi="Arial" w:cs="Arial"/>
          <w:sz w:val="19"/>
          <w:szCs w:val="19"/>
        </w:rPr>
        <w:t xml:space="preserve"> </w:t>
      </w:r>
      <w:r w:rsidRPr="0034098A">
        <w:rPr>
          <w:rFonts w:ascii="Arial" w:hAnsi="Arial" w:cs="Arial"/>
          <w:sz w:val="19"/>
          <w:szCs w:val="19"/>
        </w:rPr>
        <w:t>(b): Daily hub bids in price bands ($/GJ)</w:t>
      </w:r>
    </w:p>
    <w:p w:rsidR="00B66BAB" w:rsidRPr="00FC426D" w:rsidRDefault="00655930" w:rsidP="00B66BAB">
      <w:pPr>
        <w:pStyle w:val="FigheadingA"/>
        <w:numPr>
          <w:ilvl w:val="0"/>
          <w:numId w:val="0"/>
        </w:numPr>
        <w:spacing w:before="120" w:after="0"/>
        <w:ind w:left="1134" w:hanging="1134"/>
        <w:jc w:val="center"/>
      </w:pPr>
      <w:r>
        <w:pict>
          <v:shape id="_x0000_i1037" type="#_x0000_t75" style="width:475.5pt;height:195pt">
            <v:imagedata r:id="rId23" o:title=""/>
          </v:shape>
        </w:pict>
      </w:r>
      <w:r w:rsidR="00B66BAB" w:rsidRPr="00452AAD" w:rsidDel="00452AAD">
        <w:t xml:space="preserve"> </w:t>
      </w:r>
    </w:p>
    <w:p w:rsidR="00B66BAB" w:rsidRPr="00B20E72" w:rsidRDefault="00E52E2A" w:rsidP="00BE18D0">
      <w:pPr>
        <w:pStyle w:val="AERfigureheading"/>
        <w:numPr>
          <w:ilvl w:val="5"/>
          <w:numId w:val="47"/>
        </w:numPr>
        <w:tabs>
          <w:tab w:val="clear" w:pos="1361"/>
          <w:tab w:val="num" w:pos="1260"/>
        </w:tabs>
        <w:rPr>
          <w:rFonts w:ascii="Arial" w:hAnsi="Arial" w:cs="Arial"/>
          <w:sz w:val="20"/>
          <w:szCs w:val="20"/>
        </w:rPr>
      </w:pPr>
      <w:r w:rsidRPr="00B20E72">
        <w:rPr>
          <w:rFonts w:ascii="Arial" w:hAnsi="Arial" w:cs="Arial"/>
          <w:sz w:val="20"/>
          <w:szCs w:val="20"/>
        </w:rPr>
        <w:t>ADL net scheduled and allocated gas volumes (excluding MOS) by STTM facility</w:t>
      </w:r>
    </w:p>
    <w:p w:rsidR="00B66BAB" w:rsidRPr="002E2E46" w:rsidRDefault="00655930" w:rsidP="00B66BAB">
      <w:pPr>
        <w:pStyle w:val="BodyText"/>
        <w:spacing w:before="120" w:after="0"/>
        <w:jc w:val="center"/>
      </w:pPr>
      <w:r>
        <w:pict>
          <v:shape id="_x0000_i1038" type="#_x0000_t75" style="width:476.25pt;height:139.5pt">
            <v:imagedata r:id="rId24"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B20E72">
        <w:rPr>
          <w:rFonts w:ascii="Arial" w:hAnsi="Arial" w:cs="Arial"/>
          <w:sz w:val="20"/>
          <w:szCs w:val="20"/>
        </w:rPr>
        <w:t>Figure 3.4 (a)</w:t>
      </w:r>
      <w:r w:rsidR="002C0499" w:rsidRPr="00B20E72">
        <w:rPr>
          <w:rFonts w:ascii="Arial" w:hAnsi="Arial" w:cs="Arial"/>
          <w:sz w:val="20"/>
          <w:szCs w:val="20"/>
        </w:rPr>
        <w:t>:</w:t>
      </w:r>
      <w:r w:rsidRPr="00B20E72">
        <w:rPr>
          <w:rFonts w:ascii="Arial" w:hAnsi="Arial" w:cs="Arial"/>
          <w:sz w:val="20"/>
          <w:szCs w:val="20"/>
        </w:rPr>
        <w:t xml:space="preserve"> ADL </w:t>
      </w:r>
      <w:r w:rsidR="005C68CE" w:rsidRPr="00B20E72">
        <w:rPr>
          <w:rFonts w:ascii="Arial" w:hAnsi="Arial" w:cs="Arial"/>
          <w:sz w:val="20"/>
          <w:szCs w:val="20"/>
        </w:rPr>
        <w:t xml:space="preserve">STTM </w:t>
      </w:r>
      <w:r w:rsidRPr="00B20E72">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655930" w:rsidP="00B66BAB">
      <w:pPr>
        <w:jc w:val="center"/>
      </w:pPr>
      <w:r>
        <w:pict>
          <v:shape id="_x0000_i1039" type="#_x0000_t75" style="width:475.5pt;height:161.25pt">
            <v:imagedata r:id="rId25"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200" w:type="dxa"/>
        <w:tblInd w:w="108" w:type="dxa"/>
        <w:tblLook w:val="04A0" w:firstRow="1" w:lastRow="0" w:firstColumn="1" w:lastColumn="0" w:noHBand="0" w:noVBand="1"/>
      </w:tblPr>
      <w:tblGrid>
        <w:gridCol w:w="2216"/>
        <w:gridCol w:w="997"/>
        <w:gridCol w:w="997"/>
        <w:gridCol w:w="998"/>
        <w:gridCol w:w="998"/>
        <w:gridCol w:w="998"/>
        <w:gridCol w:w="998"/>
        <w:gridCol w:w="998"/>
      </w:tblGrid>
      <w:tr w:rsidR="008C1EF4" w:rsidTr="008C1EF4">
        <w:trPr>
          <w:trHeight w:val="255"/>
        </w:trPr>
        <w:tc>
          <w:tcPr>
            <w:tcW w:w="2216" w:type="dxa"/>
            <w:tcBorders>
              <w:top w:val="nil"/>
              <w:left w:val="nil"/>
              <w:bottom w:val="single" w:sz="4" w:space="0" w:color="auto"/>
              <w:right w:val="nil"/>
            </w:tcBorders>
            <w:shd w:val="clear" w:color="auto" w:fill="auto"/>
            <w:noWrap/>
            <w:vAlign w:val="center"/>
            <w:hideMark/>
          </w:tcPr>
          <w:p w:rsidR="008C1EF4" w:rsidRDefault="008C1EF4">
            <w:pPr>
              <w:rPr>
                <w:rFonts w:ascii="Arial" w:hAnsi="Arial" w:cs="Arial"/>
                <w:b/>
                <w:bCs/>
                <w:sz w:val="20"/>
                <w:szCs w:val="20"/>
              </w:rPr>
            </w:pPr>
            <w:r>
              <w:rPr>
                <w:rFonts w:ascii="Arial" w:hAnsi="Arial" w:cs="Arial"/>
                <w:b/>
                <w:bCs/>
                <w:sz w:val="20"/>
                <w:szCs w:val="20"/>
              </w:rPr>
              <w:t> </w:t>
            </w:r>
          </w:p>
        </w:tc>
        <w:tc>
          <w:tcPr>
            <w:tcW w:w="997"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Sun</w:t>
            </w:r>
          </w:p>
        </w:tc>
        <w:tc>
          <w:tcPr>
            <w:tcW w:w="997"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Mon</w:t>
            </w:r>
          </w:p>
        </w:tc>
        <w:tc>
          <w:tcPr>
            <w:tcW w:w="998"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Tue</w:t>
            </w:r>
          </w:p>
        </w:tc>
        <w:tc>
          <w:tcPr>
            <w:tcW w:w="998"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Wed</w:t>
            </w:r>
          </w:p>
        </w:tc>
        <w:tc>
          <w:tcPr>
            <w:tcW w:w="998"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Thu</w:t>
            </w:r>
          </w:p>
        </w:tc>
        <w:tc>
          <w:tcPr>
            <w:tcW w:w="998"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Fri</w:t>
            </w:r>
          </w:p>
        </w:tc>
        <w:tc>
          <w:tcPr>
            <w:tcW w:w="998" w:type="dxa"/>
            <w:tcBorders>
              <w:top w:val="nil"/>
              <w:left w:val="nil"/>
              <w:bottom w:val="single" w:sz="4" w:space="0" w:color="auto"/>
              <w:right w:val="nil"/>
            </w:tcBorders>
            <w:shd w:val="clear" w:color="auto" w:fill="auto"/>
            <w:vAlign w:val="center"/>
            <w:hideMark/>
          </w:tcPr>
          <w:p w:rsidR="008C1EF4" w:rsidRDefault="008C1EF4">
            <w:pPr>
              <w:jc w:val="center"/>
              <w:rPr>
                <w:rFonts w:ascii="Arial" w:hAnsi="Arial" w:cs="Arial"/>
                <w:b/>
                <w:bCs/>
                <w:sz w:val="20"/>
                <w:szCs w:val="20"/>
              </w:rPr>
            </w:pPr>
            <w:r>
              <w:rPr>
                <w:rFonts w:ascii="Arial" w:hAnsi="Arial" w:cs="Arial"/>
                <w:b/>
                <w:bCs/>
                <w:sz w:val="20"/>
                <w:szCs w:val="20"/>
              </w:rPr>
              <w:t>Sat</w:t>
            </w:r>
          </w:p>
        </w:tc>
      </w:tr>
      <w:tr w:rsidR="008C1EF4" w:rsidTr="008C1EF4">
        <w:trPr>
          <w:trHeight w:val="255"/>
        </w:trPr>
        <w:tc>
          <w:tcPr>
            <w:tcW w:w="2216" w:type="dxa"/>
            <w:tcBorders>
              <w:top w:val="nil"/>
              <w:left w:val="nil"/>
              <w:bottom w:val="nil"/>
              <w:right w:val="nil"/>
            </w:tcBorders>
            <w:shd w:val="clear" w:color="auto" w:fill="auto"/>
            <w:vAlign w:val="center"/>
            <w:hideMark/>
          </w:tcPr>
          <w:p w:rsidR="008C1EF4" w:rsidRDefault="008C1EF4">
            <w:pPr>
              <w:rPr>
                <w:rFonts w:ascii="Arial" w:hAnsi="Arial" w:cs="Arial"/>
                <w:sz w:val="20"/>
                <w:szCs w:val="20"/>
              </w:rPr>
            </w:pPr>
            <w:r>
              <w:rPr>
                <w:rFonts w:ascii="Arial" w:hAnsi="Arial" w:cs="Arial"/>
                <w:sz w:val="20"/>
                <w:szCs w:val="20"/>
              </w:rPr>
              <w:t>Ex ante price ($/GJ)</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3.88</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3.99</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5.50</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4.50</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4.20</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4.00</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3.54</w:t>
            </w:r>
          </w:p>
        </w:tc>
      </w:tr>
      <w:tr w:rsidR="008C1EF4" w:rsidTr="008C1EF4">
        <w:trPr>
          <w:trHeight w:val="255"/>
        </w:trPr>
        <w:tc>
          <w:tcPr>
            <w:tcW w:w="2216" w:type="dxa"/>
            <w:tcBorders>
              <w:top w:val="nil"/>
              <w:left w:val="nil"/>
              <w:bottom w:val="nil"/>
              <w:right w:val="nil"/>
            </w:tcBorders>
            <w:shd w:val="clear" w:color="auto" w:fill="auto"/>
            <w:vAlign w:val="center"/>
            <w:hideMark/>
          </w:tcPr>
          <w:p w:rsidR="008C1EF4" w:rsidRDefault="008C1EF4">
            <w:pPr>
              <w:rPr>
                <w:rFonts w:ascii="Arial" w:hAnsi="Arial" w:cs="Arial"/>
                <w:sz w:val="20"/>
                <w:szCs w:val="20"/>
              </w:rPr>
            </w:pPr>
            <w:r>
              <w:rPr>
                <w:rFonts w:ascii="Arial" w:hAnsi="Arial" w:cs="Arial"/>
                <w:sz w:val="20"/>
                <w:szCs w:val="20"/>
              </w:rPr>
              <w:t>Ex ante quantity (TJ)</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159</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173</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176</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181</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173</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169</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144</w:t>
            </w:r>
          </w:p>
        </w:tc>
      </w:tr>
      <w:tr w:rsidR="008C1EF4" w:rsidTr="008C1EF4">
        <w:trPr>
          <w:trHeight w:val="255"/>
        </w:trPr>
        <w:tc>
          <w:tcPr>
            <w:tcW w:w="2216" w:type="dxa"/>
            <w:tcBorders>
              <w:top w:val="nil"/>
              <w:left w:val="nil"/>
              <w:bottom w:val="nil"/>
              <w:right w:val="nil"/>
            </w:tcBorders>
            <w:shd w:val="clear" w:color="auto" w:fill="auto"/>
            <w:vAlign w:val="center"/>
            <w:hideMark/>
          </w:tcPr>
          <w:p w:rsidR="008C1EF4" w:rsidRDefault="008C1EF4">
            <w:pPr>
              <w:rPr>
                <w:rFonts w:ascii="Arial" w:hAnsi="Arial" w:cs="Arial"/>
                <w:sz w:val="20"/>
                <w:szCs w:val="20"/>
              </w:rPr>
            </w:pPr>
            <w:r>
              <w:rPr>
                <w:rFonts w:ascii="Arial" w:hAnsi="Arial" w:cs="Arial"/>
                <w:sz w:val="20"/>
                <w:szCs w:val="20"/>
              </w:rPr>
              <w:t>Ex post price ($/GJ)</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3.88</w:t>
            </w:r>
          </w:p>
        </w:tc>
        <w:tc>
          <w:tcPr>
            <w:tcW w:w="997"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5.50</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9.85</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4.80</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4.28</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4.00</w:t>
            </w:r>
          </w:p>
        </w:tc>
        <w:tc>
          <w:tcPr>
            <w:tcW w:w="998" w:type="dxa"/>
            <w:tcBorders>
              <w:top w:val="nil"/>
              <w:left w:val="nil"/>
              <w:bottom w:val="nil"/>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4.25</w:t>
            </w:r>
          </w:p>
        </w:tc>
      </w:tr>
      <w:tr w:rsidR="008C1EF4" w:rsidTr="008C1EF4">
        <w:trPr>
          <w:trHeight w:val="255"/>
        </w:trPr>
        <w:tc>
          <w:tcPr>
            <w:tcW w:w="2216" w:type="dxa"/>
            <w:tcBorders>
              <w:top w:val="nil"/>
              <w:left w:val="nil"/>
              <w:bottom w:val="single" w:sz="4" w:space="0" w:color="auto"/>
              <w:right w:val="nil"/>
            </w:tcBorders>
            <w:shd w:val="clear" w:color="auto" w:fill="auto"/>
            <w:vAlign w:val="center"/>
            <w:hideMark/>
          </w:tcPr>
          <w:p w:rsidR="008C1EF4" w:rsidRDefault="008C1EF4" w:rsidP="00D34C6F">
            <w:pPr>
              <w:rPr>
                <w:rFonts w:ascii="Arial" w:hAnsi="Arial" w:cs="Arial"/>
                <w:sz w:val="20"/>
                <w:szCs w:val="20"/>
              </w:rPr>
            </w:pPr>
            <w:r>
              <w:rPr>
                <w:rFonts w:ascii="Arial" w:hAnsi="Arial" w:cs="Arial"/>
                <w:sz w:val="20"/>
                <w:szCs w:val="20"/>
              </w:rPr>
              <w:t xml:space="preserve">Ex </w:t>
            </w:r>
            <w:r w:rsidR="00D34C6F">
              <w:rPr>
                <w:rFonts w:ascii="Arial" w:hAnsi="Arial" w:cs="Arial"/>
                <w:sz w:val="20"/>
                <w:szCs w:val="20"/>
              </w:rPr>
              <w:t xml:space="preserve">post </w:t>
            </w:r>
            <w:r>
              <w:rPr>
                <w:rFonts w:ascii="Arial" w:hAnsi="Arial" w:cs="Arial"/>
                <w:sz w:val="20"/>
                <w:szCs w:val="20"/>
              </w:rPr>
              <w:t>quantity (TJ)</w:t>
            </w:r>
          </w:p>
        </w:tc>
        <w:tc>
          <w:tcPr>
            <w:tcW w:w="997"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160</w:t>
            </w:r>
          </w:p>
        </w:tc>
        <w:tc>
          <w:tcPr>
            <w:tcW w:w="997"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180</w:t>
            </w:r>
          </w:p>
        </w:tc>
        <w:tc>
          <w:tcPr>
            <w:tcW w:w="998"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182</w:t>
            </w:r>
          </w:p>
        </w:tc>
        <w:tc>
          <w:tcPr>
            <w:tcW w:w="998"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185</w:t>
            </w:r>
          </w:p>
        </w:tc>
        <w:tc>
          <w:tcPr>
            <w:tcW w:w="998"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184</w:t>
            </w:r>
          </w:p>
        </w:tc>
        <w:tc>
          <w:tcPr>
            <w:tcW w:w="998"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171</w:t>
            </w:r>
          </w:p>
        </w:tc>
        <w:tc>
          <w:tcPr>
            <w:tcW w:w="998" w:type="dxa"/>
            <w:tcBorders>
              <w:top w:val="nil"/>
              <w:left w:val="nil"/>
              <w:bottom w:val="single" w:sz="4" w:space="0" w:color="auto"/>
              <w:right w:val="nil"/>
            </w:tcBorders>
            <w:shd w:val="clear" w:color="auto" w:fill="auto"/>
            <w:noWrap/>
            <w:vAlign w:val="center"/>
            <w:hideMark/>
          </w:tcPr>
          <w:p w:rsidR="008C1EF4" w:rsidRDefault="008C1EF4">
            <w:pPr>
              <w:jc w:val="center"/>
              <w:rPr>
                <w:rFonts w:ascii="Arial" w:hAnsi="Arial" w:cs="Arial"/>
                <w:sz w:val="20"/>
                <w:szCs w:val="20"/>
              </w:rPr>
            </w:pPr>
            <w:r>
              <w:rPr>
                <w:rFonts w:ascii="Arial" w:hAnsi="Arial" w:cs="Arial"/>
                <w:sz w:val="20"/>
                <w:szCs w:val="20"/>
              </w:rPr>
              <w:t>153</w:t>
            </w:r>
          </w:p>
        </w:tc>
      </w:tr>
    </w:tbl>
    <w:p w:rsidR="00157AFD" w:rsidRPr="00B20E72" w:rsidRDefault="00157AFD" w:rsidP="00157AFD">
      <w:pPr>
        <w:pStyle w:val="AERtableheading-unnumbered"/>
        <w:numPr>
          <w:ilvl w:val="0"/>
          <w:numId w:val="0"/>
        </w:numPr>
        <w:rPr>
          <w:rFonts w:ascii="Arial" w:hAnsi="Arial" w:cs="Arial"/>
          <w:sz w:val="19"/>
          <w:szCs w:val="19"/>
        </w:rPr>
      </w:pPr>
      <w:r w:rsidRPr="00B20E72">
        <w:rPr>
          <w:rFonts w:ascii="Arial" w:hAnsi="Arial" w:cs="Arial"/>
          <w:sz w:val="19"/>
          <w:szCs w:val="19"/>
        </w:rPr>
        <w:t>Figure 4.2 (a)</w:t>
      </w:r>
      <w:r w:rsidR="002C0499" w:rsidRPr="00B20E72">
        <w:rPr>
          <w:rFonts w:ascii="Arial" w:hAnsi="Arial" w:cs="Arial"/>
          <w:sz w:val="19"/>
          <w:szCs w:val="19"/>
        </w:rPr>
        <w:t>:</w:t>
      </w:r>
      <w:r w:rsidRPr="00B20E72">
        <w:rPr>
          <w:rFonts w:ascii="Arial" w:hAnsi="Arial" w:cs="Arial"/>
          <w:sz w:val="19"/>
          <w:szCs w:val="19"/>
        </w:rPr>
        <w:t xml:space="preserve"> Daily hub offers in price bands ($/GJ)     Figure 4.2</w:t>
      </w:r>
      <w:r w:rsidR="00C80FD8" w:rsidRPr="00B20E72">
        <w:rPr>
          <w:rFonts w:ascii="Arial" w:hAnsi="Arial" w:cs="Arial"/>
          <w:sz w:val="19"/>
          <w:szCs w:val="19"/>
        </w:rPr>
        <w:t xml:space="preserve"> </w:t>
      </w:r>
      <w:r w:rsidRPr="00B20E72">
        <w:rPr>
          <w:rFonts w:ascii="Arial" w:hAnsi="Arial" w:cs="Arial"/>
          <w:sz w:val="19"/>
          <w:szCs w:val="19"/>
        </w:rPr>
        <w:t>(b): Daily hub bids in price bands ($/GJ)</w:t>
      </w:r>
    </w:p>
    <w:p w:rsidR="00B66BAB" w:rsidRPr="00FC426D" w:rsidRDefault="00655930" w:rsidP="00B66BAB">
      <w:pPr>
        <w:pStyle w:val="FigheadingA"/>
        <w:numPr>
          <w:ilvl w:val="0"/>
          <w:numId w:val="0"/>
        </w:numPr>
        <w:spacing w:before="120" w:after="0"/>
        <w:ind w:left="1134" w:hanging="1134"/>
        <w:jc w:val="center"/>
      </w:pPr>
      <w:r>
        <w:pict>
          <v:shape id="_x0000_i1040" type="#_x0000_t75" style="width:475.5pt;height:183.75pt">
            <v:imagedata r:id="rId26" o:title=""/>
          </v:shape>
        </w:pict>
      </w:r>
      <w:r w:rsidR="00B66BAB" w:rsidRPr="00452AAD" w:rsidDel="00452AAD">
        <w:t xml:space="preserve"> </w:t>
      </w:r>
    </w:p>
    <w:p w:rsidR="00B66BAB" w:rsidRPr="00B20E72" w:rsidRDefault="00E52E2A" w:rsidP="00BE18D0">
      <w:pPr>
        <w:pStyle w:val="AERfigureheading"/>
        <w:numPr>
          <w:ilvl w:val="5"/>
          <w:numId w:val="49"/>
        </w:numPr>
        <w:tabs>
          <w:tab w:val="clear" w:pos="1361"/>
          <w:tab w:val="num" w:pos="1260"/>
        </w:tabs>
        <w:rPr>
          <w:rFonts w:ascii="Arial" w:hAnsi="Arial" w:cs="Arial"/>
          <w:sz w:val="20"/>
          <w:szCs w:val="20"/>
        </w:rPr>
      </w:pPr>
      <w:r w:rsidRPr="00B20E72">
        <w:rPr>
          <w:rFonts w:ascii="Arial" w:hAnsi="Arial" w:cs="Arial"/>
          <w:sz w:val="20"/>
          <w:szCs w:val="20"/>
        </w:rPr>
        <w:t>BRI net scheduled and allocated gas volumes (excluding MOS) by STTM facility</w:t>
      </w:r>
    </w:p>
    <w:p w:rsidR="00B66BAB" w:rsidRPr="002E2E46" w:rsidRDefault="00655930" w:rsidP="00B66BAB">
      <w:pPr>
        <w:pStyle w:val="BodyText"/>
        <w:spacing w:before="120" w:after="0"/>
        <w:jc w:val="center"/>
      </w:pPr>
      <w:r>
        <w:pict>
          <v:shape id="_x0000_i1041" type="#_x0000_t75" style="width:476.25pt;height:142.5pt">
            <v:imagedata r:id="rId27"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B20E72">
        <w:rPr>
          <w:rFonts w:ascii="Arial" w:hAnsi="Arial" w:cs="Arial"/>
          <w:sz w:val="20"/>
          <w:szCs w:val="20"/>
        </w:rPr>
        <w:t>Figure 4.4 (a)</w:t>
      </w:r>
      <w:r w:rsidR="002C0499" w:rsidRPr="00B20E72">
        <w:rPr>
          <w:rFonts w:ascii="Arial" w:hAnsi="Arial" w:cs="Arial"/>
          <w:sz w:val="20"/>
          <w:szCs w:val="20"/>
        </w:rPr>
        <w:t>:</w:t>
      </w:r>
      <w:r w:rsidRPr="00B20E72">
        <w:rPr>
          <w:rFonts w:ascii="Arial" w:hAnsi="Arial" w:cs="Arial"/>
          <w:sz w:val="20"/>
          <w:szCs w:val="20"/>
        </w:rPr>
        <w:t xml:space="preserve"> BRI </w:t>
      </w:r>
      <w:r w:rsidR="005C68CE" w:rsidRPr="00B20E72">
        <w:rPr>
          <w:rFonts w:ascii="Arial" w:hAnsi="Arial" w:cs="Arial"/>
          <w:sz w:val="20"/>
          <w:szCs w:val="20"/>
        </w:rPr>
        <w:t xml:space="preserve">STTM </w:t>
      </w:r>
      <w:r w:rsidRPr="00B20E72">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655930" w:rsidP="00452149">
      <w:pPr>
        <w:jc w:val="center"/>
      </w:pPr>
      <w:r>
        <w:pict>
          <v:shape id="_x0000_i1042" type="#_x0000_t75" style="width:476.25pt;height:165.75pt">
            <v:imagedata r:id="rId28"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1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8B080E" w:rsidRDefault="005F18AD" w:rsidP="00750C0F">
      <w:pPr>
        <w:pStyle w:val="AERfigureheading"/>
        <w:tabs>
          <w:tab w:val="clear" w:pos="1361"/>
          <w:tab w:val="num" w:pos="1260"/>
        </w:tabs>
        <w:spacing w:before="120"/>
        <w:ind w:left="1260" w:hanging="1260"/>
        <w:rPr>
          <w:rFonts w:ascii="Arial" w:hAnsi="Arial" w:cs="Arial"/>
          <w:sz w:val="16"/>
          <w:szCs w:val="16"/>
        </w:rPr>
      </w:pPr>
      <w:r w:rsidRPr="008B080E">
        <w:rPr>
          <w:rFonts w:ascii="Arial" w:hAnsi="Arial" w:cs="Arial"/>
          <w:sz w:val="20"/>
          <w:szCs w:val="20"/>
        </w:rPr>
        <w:t xml:space="preserve">Gas </w:t>
      </w:r>
      <w:r w:rsidR="001B294E" w:rsidRPr="008B080E">
        <w:rPr>
          <w:rFonts w:ascii="Arial" w:hAnsi="Arial" w:cs="Arial"/>
          <w:sz w:val="20"/>
          <w:szCs w:val="20"/>
        </w:rPr>
        <w:t>market data ($/GJ, TJ); Production, Consumption and Pipeline flows (TJ)</w:t>
      </w:r>
    </w:p>
    <w:bookmarkEnd w:id="0"/>
    <w:bookmarkEnd w:id="1"/>
    <w:p w:rsidR="009C30E2" w:rsidRPr="006520EE" w:rsidRDefault="00655930" w:rsidP="003C5272">
      <w:r>
        <w:pict>
          <v:shape id="Picture 1" o:spid="_x0000_i1043" type="#_x0000_t75" style="width:468pt;height:606pt;visibility:visible;mso-wrap-style:square">
            <v:imagedata r:id="rId29" o:title=""/>
          </v:shape>
        </w:pict>
      </w:r>
    </w:p>
    <w:sectPr w:rsidR="009C30E2"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161" w:rsidRDefault="00F32161">
      <w:r>
        <w:separator/>
      </w:r>
    </w:p>
  </w:endnote>
  <w:endnote w:type="continuationSeparator" w:id="0">
    <w:p w:rsidR="00F32161" w:rsidRDefault="00F32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161" w:rsidRDefault="00F3216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F32161" w:rsidRDefault="00F32161" w:rsidP="005A77AC">
    <w:pPr>
      <w:jc w:val="center"/>
    </w:pPr>
    <w:r>
      <w:fldChar w:fldCharType="begin"/>
    </w:r>
    <w:r>
      <w:instrText xml:space="preserve"> PAGE  \* MERGEFORMAT </w:instrText>
    </w:r>
    <w:r>
      <w:fldChar w:fldCharType="separate"/>
    </w:r>
    <w:r w:rsidR="00655930">
      <w:rPr>
        <w:noProof/>
      </w:rPr>
      <w:t>1</w:t>
    </w:r>
    <w:r>
      <w:fldChar w:fldCharType="end"/>
    </w:r>
  </w:p>
  <w:p w:rsidR="00F32161" w:rsidRDefault="00F3216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161" w:rsidRDefault="00F32161">
      <w:r>
        <w:separator/>
      </w:r>
    </w:p>
  </w:footnote>
  <w:footnote w:type="continuationSeparator" w:id="0">
    <w:p w:rsidR="00F32161" w:rsidRDefault="00F32161">
      <w:r>
        <w:continuationSeparator/>
      </w:r>
    </w:p>
  </w:footnote>
  <w:footnote w:id="1">
    <w:p w:rsidR="00F32161" w:rsidRDefault="00F3216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F32161" w:rsidRDefault="00F32161" w:rsidP="004D5FB0">
      <w:pPr>
        <w:pStyle w:val="FootnoteText"/>
        <w:jc w:val="both"/>
      </w:pPr>
      <w:r>
        <w:rPr>
          <w:rStyle w:val="FootnoteReference"/>
        </w:rPr>
        <w:footnoteRef/>
      </w:r>
      <w:r>
        <w:t xml:space="preserve"> 1.4 TJ of Simply Energy’s backhaul bid on MAP was scheduled out of merit order which was supported by Adelaide Brighton Cement’s forward haul offer on MAP. </w:t>
      </w:r>
      <w:r w:rsidRPr="004D5FB0">
        <w:t xml:space="preserve">PFDC prices occur due to a physical restriction where cheaper gas i.e. supplied by </w:t>
      </w:r>
      <w:proofErr w:type="spellStart"/>
      <w:r w:rsidRPr="004D5FB0">
        <w:t>SEAGas</w:t>
      </w:r>
      <w:proofErr w:type="spellEnd"/>
      <w:r w:rsidRPr="004D5FB0">
        <w:t xml:space="preserve"> to the hub cannot physically flow backwards from the hub to supply backhaul on the MAP.</w:t>
      </w:r>
    </w:p>
  </w:footnote>
  <w:footnote w:id="3">
    <w:p w:rsidR="00F32161" w:rsidRDefault="00F32161">
      <w:pPr>
        <w:pStyle w:val="FootnoteText"/>
      </w:pPr>
      <w:r>
        <w:rPr>
          <w:rStyle w:val="FootnoteReference"/>
        </w:rPr>
        <w:footnoteRef/>
      </w:r>
      <w:r>
        <w:t xml:space="preserve"> </w:t>
      </w:r>
      <w:r w:rsidRPr="004D5FB0">
        <w:t>CMOS can be explained as when more balancing gas is supplied than is needed. This occurs because of network constraints which require one pipeline to be backed off and the other to be increased.</w:t>
      </w:r>
    </w:p>
  </w:footnote>
  <w:footnote w:id="4">
    <w:p w:rsidR="00F32161" w:rsidRDefault="00F32161" w:rsidP="004D5FB0">
      <w:pPr>
        <w:pStyle w:val="FootnoteText"/>
        <w:jc w:val="both"/>
      </w:pPr>
      <w:r>
        <w:rPr>
          <w:rStyle w:val="FootnoteReference"/>
        </w:rPr>
        <w:footnoteRef/>
      </w:r>
      <w:r>
        <w:t xml:space="preserve"> The increased availability of lower priced gas offers has also seen a significant reduction in the number of prices above $5/GJ since 7 January (when average weekly prices were around $1/GJ higher than current levels).</w:t>
      </w:r>
    </w:p>
  </w:footnote>
  <w:footnote w:id="5">
    <w:p w:rsidR="00F32161" w:rsidRDefault="00F32161" w:rsidP="004D5FB0">
      <w:pPr>
        <w:pStyle w:val="FootnoteText"/>
        <w:jc w:val="both"/>
      </w:pPr>
      <w:r>
        <w:rPr>
          <w:rStyle w:val="FootnoteReference"/>
        </w:rPr>
        <w:footnoteRef/>
      </w:r>
      <w:r>
        <w:t xml:space="preserve"> Both ex ante and ex post were set by bids instead of offers (because the bids could not be fully cleared).</w:t>
      </w:r>
    </w:p>
  </w:footnote>
  <w:footnote w:id="6">
    <w:p w:rsidR="00F32161" w:rsidRDefault="00F32161" w:rsidP="008C1EF4">
      <w:pPr>
        <w:pStyle w:val="FootnoteText"/>
        <w:jc w:val="both"/>
      </w:pPr>
      <w:r>
        <w:rPr>
          <w:rStyle w:val="FootnoteReference"/>
        </w:rPr>
        <w:footnoteRef/>
      </w:r>
      <w:r>
        <w:t xml:space="preserve"> Firm shippers are compensated by non-firm shippers whose gas was scheduled (with the volume of displaced gas charged at the capacity price).</w:t>
      </w:r>
    </w:p>
  </w:footnote>
  <w:footnote w:id="7">
    <w:p w:rsidR="00F32161" w:rsidRDefault="00F32161" w:rsidP="00080089">
      <w:pPr>
        <w:pStyle w:val="FootnoteText"/>
        <w:jc w:val="both"/>
      </w:pPr>
      <w:r>
        <w:rPr>
          <w:rStyle w:val="FootnoteReference"/>
        </w:rPr>
        <w:footnoteRef/>
      </w:r>
      <w:r>
        <w:t xml:space="preserve"> The use of the mechanism on 4 November 2010 resulted in capacity payments between participants.</w:t>
      </w:r>
    </w:p>
  </w:footnote>
  <w:footnote w:id="8">
    <w:p w:rsidR="00F32161" w:rsidRDefault="00F32161" w:rsidP="00080089">
      <w:pPr>
        <w:pStyle w:val="FootnoteText"/>
        <w:jc w:val="both"/>
      </w:pPr>
      <w:r>
        <w:rPr>
          <w:rStyle w:val="FootnoteReference"/>
        </w:rPr>
        <w:footnoteRef/>
      </w:r>
      <w:r>
        <w:t xml:space="preserve"> ROS is the pipeline connecting AGL’s Camden CSG production to the Sydney hub, and has less relevance in regard to capacity payments as AGL is the only user of the pipeline.</w:t>
      </w:r>
    </w:p>
  </w:footnote>
  <w:footnote w:id="9">
    <w:p w:rsidR="00F32161" w:rsidRDefault="00F32161" w:rsidP="008D2B47">
      <w:pPr>
        <w:pStyle w:val="FootnoteText"/>
        <w:jc w:val="both"/>
      </w:pPr>
      <w:r>
        <w:rPr>
          <w:rStyle w:val="FootnoteReference"/>
        </w:rPr>
        <w:footnoteRef/>
      </w:r>
      <w:r>
        <w:t xml:space="preserve"> </w:t>
      </w:r>
      <w:r w:rsidRPr="008D2B47">
        <w:t xml:space="preserve">The situation has arisen recently </w:t>
      </w:r>
      <w:r>
        <w:t xml:space="preserve">in line with </w:t>
      </w:r>
      <w:r w:rsidRPr="008D2B47">
        <w:t>lower volumes of low priced gas being offered on the MAP. As a result, whenever participants with offers in the MAP MOS decrease stack are not scheduled to flow sufficient quantities to the hub (enough to match the volume of the required decrease MOS), the MOS cannot be allocated in merit order and steps in the MOS stack are skipped accordingly. When the volumes are allocated to participants not offering MOS, the gas gets assigned as ‘overrun’</w:t>
      </w:r>
      <w:r>
        <w:t>.</w:t>
      </w:r>
    </w:p>
  </w:footnote>
  <w:footnote w:id="10">
    <w:p w:rsidR="00F32161" w:rsidRDefault="00F32161" w:rsidP="00603BD1">
      <w:pPr>
        <w:pStyle w:val="FootnoteText"/>
      </w:pPr>
      <w:r>
        <w:rPr>
          <w:rStyle w:val="FootnoteReference"/>
        </w:rPr>
        <w:footnoteRef/>
      </w:r>
      <w:r>
        <w:t xml:space="preserve"> The weighted average cost of the service is used when the amount required is less than the AEMO estimated maximum for that MOS period</w:t>
      </w:r>
      <w:r w:rsidR="004F39EE">
        <w:t>.</w:t>
      </w:r>
    </w:p>
  </w:footnote>
  <w:footnote w:id="11">
    <w:p w:rsidR="00F32161" w:rsidRDefault="00F32161" w:rsidP="004D5FB0">
      <w:pPr>
        <w:pStyle w:val="FootnoteText"/>
        <w:jc w:val="both"/>
      </w:pPr>
      <w:r>
        <w:rPr>
          <w:rStyle w:val="FootnoteReference"/>
        </w:rPr>
        <w:footnoteRef/>
      </w:r>
      <w:r>
        <w:t xml:space="preserve"> Work is scheduled to be completed by the end of April 2014.</w:t>
      </w:r>
    </w:p>
  </w:footnote>
  <w:footnote w:id="12">
    <w:p w:rsidR="00F32161" w:rsidRPr="006F4169" w:rsidRDefault="00F3216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13">
    <w:p w:rsidR="00F32161" w:rsidRDefault="00F3216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14">
    <w:p w:rsidR="00F32161" w:rsidRDefault="00F3216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15">
    <w:p w:rsidR="00F32161" w:rsidRPr="002E7E9E" w:rsidRDefault="00F32161" w:rsidP="00B24A61">
      <w:pPr>
        <w:pStyle w:val="FootnoteText"/>
        <w:ind w:left="180" w:hanging="180"/>
        <w:rPr>
          <w:sz w:val="18"/>
          <w:szCs w:val="18"/>
        </w:rPr>
      </w:pPr>
      <w:r>
        <w:rPr>
          <w:rStyle w:val="FootnoteReference"/>
        </w:rPr>
        <w:footnoteRef/>
      </w:r>
      <w:r>
        <w:t xml:space="preserve"> </w:t>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16">
    <w:p w:rsidR="00F32161" w:rsidRPr="009C7F8C" w:rsidRDefault="00F32161" w:rsidP="00B24A61">
      <w:pPr>
        <w:pStyle w:val="AERbodytext"/>
        <w:spacing w:before="120" w:after="120"/>
        <w:ind w:left="180" w:hanging="180"/>
        <w:jc w:val="both"/>
      </w:pPr>
      <w:r w:rsidRPr="002E7E9E">
        <w:rPr>
          <w:rStyle w:val="FootnoteReference"/>
          <w:sz w:val="20"/>
          <w:szCs w:val="20"/>
        </w:rPr>
        <w:footnoteRef/>
      </w:r>
      <w:r w:rsidRPr="002E7E9E">
        <w:rPr>
          <w:sz w:val="20"/>
          <w:szCs w:val="20"/>
        </w:rPr>
        <w:t xml:space="preserve"> </w:t>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p w:rsidR="00F32161" w:rsidRDefault="00F32161" w:rsidP="00B24A61">
      <w:pPr>
        <w:pStyle w:val="FootnoteText"/>
      </w:pPr>
    </w:p>
  </w:footnote>
  <w:footnote w:id="17">
    <w:p w:rsidR="00F32161" w:rsidRPr="002E7E9E" w:rsidRDefault="00F32161">
      <w:pPr>
        <w:pStyle w:val="FootnoteText"/>
        <w:rPr>
          <w:sz w:val="18"/>
          <w:szCs w:val="18"/>
        </w:rPr>
      </w:pPr>
      <w:r>
        <w:rPr>
          <w:rStyle w:val="FootnoteReference"/>
        </w:rPr>
        <w:footnoteRef/>
      </w:r>
      <w:r>
        <w:t xml:space="preserve"> </w:t>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F32161" w:rsidRPr="002E7E9E" w:rsidRDefault="00F32161">
      <w:pPr>
        <w:pStyle w:val="FootnoteText"/>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F32161" w:rsidRPr="002E7E9E" w:rsidRDefault="00F32161">
      <w:pPr>
        <w:pStyle w:val="FootnoteText"/>
        <w:rPr>
          <w:sz w:val="18"/>
          <w:szCs w:val="18"/>
        </w:rPr>
      </w:pPr>
      <w:r w:rsidRPr="002E7E9E">
        <w:rPr>
          <w:sz w:val="18"/>
          <w:szCs w:val="18"/>
        </w:rPr>
        <w:t>GPG volumes include gas usage that may not show up on Bulletin Board pipeline flows.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adrae\20140209-20140215 gas weekly report.DOCX"/>
  </w:docVars>
  <w:rsids>
    <w:rsidRoot w:val="005F18AD"/>
    <w:rsid w:val="000013C1"/>
    <w:rsid w:val="00001BFB"/>
    <w:rsid w:val="00002313"/>
    <w:rsid w:val="00007BCE"/>
    <w:rsid w:val="00010025"/>
    <w:rsid w:val="000123CA"/>
    <w:rsid w:val="00020978"/>
    <w:rsid w:val="0002268D"/>
    <w:rsid w:val="000323BA"/>
    <w:rsid w:val="00033456"/>
    <w:rsid w:val="0003408C"/>
    <w:rsid w:val="000371F9"/>
    <w:rsid w:val="00040F6B"/>
    <w:rsid w:val="00055584"/>
    <w:rsid w:val="0005681D"/>
    <w:rsid w:val="00061656"/>
    <w:rsid w:val="0006609A"/>
    <w:rsid w:val="0007040F"/>
    <w:rsid w:val="00073D01"/>
    <w:rsid w:val="00076046"/>
    <w:rsid w:val="00080089"/>
    <w:rsid w:val="000813BF"/>
    <w:rsid w:val="000876E7"/>
    <w:rsid w:val="000974A2"/>
    <w:rsid w:val="00097D40"/>
    <w:rsid w:val="000B4A1F"/>
    <w:rsid w:val="000B6397"/>
    <w:rsid w:val="000B69E0"/>
    <w:rsid w:val="000D0325"/>
    <w:rsid w:val="000D1FEB"/>
    <w:rsid w:val="000D30B7"/>
    <w:rsid w:val="000E1F9A"/>
    <w:rsid w:val="000F0BBB"/>
    <w:rsid w:val="000F3B46"/>
    <w:rsid w:val="000F59F8"/>
    <w:rsid w:val="000F5F5E"/>
    <w:rsid w:val="000F6D05"/>
    <w:rsid w:val="00117C98"/>
    <w:rsid w:val="00125818"/>
    <w:rsid w:val="001420EB"/>
    <w:rsid w:val="001452B3"/>
    <w:rsid w:val="00150A19"/>
    <w:rsid w:val="00153729"/>
    <w:rsid w:val="00157AFD"/>
    <w:rsid w:val="00181F4A"/>
    <w:rsid w:val="00183D85"/>
    <w:rsid w:val="00193ECC"/>
    <w:rsid w:val="00193FD5"/>
    <w:rsid w:val="001A41B4"/>
    <w:rsid w:val="001A5893"/>
    <w:rsid w:val="001A5B94"/>
    <w:rsid w:val="001A5C1A"/>
    <w:rsid w:val="001A765F"/>
    <w:rsid w:val="001B294E"/>
    <w:rsid w:val="001B2ADA"/>
    <w:rsid w:val="001C006C"/>
    <w:rsid w:val="001C5A74"/>
    <w:rsid w:val="001E79FF"/>
    <w:rsid w:val="001F0F9B"/>
    <w:rsid w:val="00206559"/>
    <w:rsid w:val="002168D4"/>
    <w:rsid w:val="002312F5"/>
    <w:rsid w:val="00233988"/>
    <w:rsid w:val="00252A22"/>
    <w:rsid w:val="00254746"/>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17988"/>
    <w:rsid w:val="00323327"/>
    <w:rsid w:val="003342D6"/>
    <w:rsid w:val="003348F7"/>
    <w:rsid w:val="00336E8E"/>
    <w:rsid w:val="0034098A"/>
    <w:rsid w:val="003410C4"/>
    <w:rsid w:val="00347FBB"/>
    <w:rsid w:val="003548AA"/>
    <w:rsid w:val="00357C72"/>
    <w:rsid w:val="00357CCD"/>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15CEF"/>
    <w:rsid w:val="00421FFF"/>
    <w:rsid w:val="00433231"/>
    <w:rsid w:val="00434FC1"/>
    <w:rsid w:val="00445D38"/>
    <w:rsid w:val="00447C09"/>
    <w:rsid w:val="0045204B"/>
    <w:rsid w:val="00452149"/>
    <w:rsid w:val="00452AAD"/>
    <w:rsid w:val="00460629"/>
    <w:rsid w:val="00463EFA"/>
    <w:rsid w:val="00473633"/>
    <w:rsid w:val="004777B8"/>
    <w:rsid w:val="00483EDA"/>
    <w:rsid w:val="004903FC"/>
    <w:rsid w:val="00492501"/>
    <w:rsid w:val="00496CEF"/>
    <w:rsid w:val="004A09D6"/>
    <w:rsid w:val="004A10A7"/>
    <w:rsid w:val="004B068E"/>
    <w:rsid w:val="004B18D8"/>
    <w:rsid w:val="004B2256"/>
    <w:rsid w:val="004B2A1A"/>
    <w:rsid w:val="004B3309"/>
    <w:rsid w:val="004D09C9"/>
    <w:rsid w:val="004D1EBF"/>
    <w:rsid w:val="004D3B99"/>
    <w:rsid w:val="004D3E78"/>
    <w:rsid w:val="004D5FB0"/>
    <w:rsid w:val="004E410F"/>
    <w:rsid w:val="004F39EE"/>
    <w:rsid w:val="004F3D13"/>
    <w:rsid w:val="00502181"/>
    <w:rsid w:val="00505139"/>
    <w:rsid w:val="005157B0"/>
    <w:rsid w:val="00522E00"/>
    <w:rsid w:val="00533992"/>
    <w:rsid w:val="0054639E"/>
    <w:rsid w:val="00547827"/>
    <w:rsid w:val="00563C94"/>
    <w:rsid w:val="00564C71"/>
    <w:rsid w:val="0056618C"/>
    <w:rsid w:val="00582F1C"/>
    <w:rsid w:val="005859CC"/>
    <w:rsid w:val="00587CD1"/>
    <w:rsid w:val="005A1650"/>
    <w:rsid w:val="005A4569"/>
    <w:rsid w:val="005A77AC"/>
    <w:rsid w:val="005C2BA3"/>
    <w:rsid w:val="005C4B8B"/>
    <w:rsid w:val="005C68CE"/>
    <w:rsid w:val="005D1037"/>
    <w:rsid w:val="005D4097"/>
    <w:rsid w:val="005D6652"/>
    <w:rsid w:val="005E4C48"/>
    <w:rsid w:val="005F18AD"/>
    <w:rsid w:val="005F31D0"/>
    <w:rsid w:val="00601A25"/>
    <w:rsid w:val="00601C18"/>
    <w:rsid w:val="00601E71"/>
    <w:rsid w:val="00603BD1"/>
    <w:rsid w:val="0060661E"/>
    <w:rsid w:val="00612663"/>
    <w:rsid w:val="00645036"/>
    <w:rsid w:val="006458AA"/>
    <w:rsid w:val="00647DD2"/>
    <w:rsid w:val="006520EE"/>
    <w:rsid w:val="00652A42"/>
    <w:rsid w:val="00655930"/>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080E"/>
    <w:rsid w:val="008B7161"/>
    <w:rsid w:val="008C0EC8"/>
    <w:rsid w:val="008C1EF4"/>
    <w:rsid w:val="008C7F3A"/>
    <w:rsid w:val="008D2B47"/>
    <w:rsid w:val="008D4DAB"/>
    <w:rsid w:val="008D70A4"/>
    <w:rsid w:val="008E2239"/>
    <w:rsid w:val="008E24DA"/>
    <w:rsid w:val="008F4BF5"/>
    <w:rsid w:val="008F4EAE"/>
    <w:rsid w:val="008F5409"/>
    <w:rsid w:val="00900CEB"/>
    <w:rsid w:val="00901E5A"/>
    <w:rsid w:val="009136B3"/>
    <w:rsid w:val="009143E0"/>
    <w:rsid w:val="00937543"/>
    <w:rsid w:val="00942622"/>
    <w:rsid w:val="00950C55"/>
    <w:rsid w:val="00951926"/>
    <w:rsid w:val="00956CE9"/>
    <w:rsid w:val="009629B5"/>
    <w:rsid w:val="00970D28"/>
    <w:rsid w:val="00976584"/>
    <w:rsid w:val="00987973"/>
    <w:rsid w:val="009A04DD"/>
    <w:rsid w:val="009B2F99"/>
    <w:rsid w:val="009B4053"/>
    <w:rsid w:val="009B6259"/>
    <w:rsid w:val="009B77E9"/>
    <w:rsid w:val="009B7937"/>
    <w:rsid w:val="009C2AAE"/>
    <w:rsid w:val="009C2C0E"/>
    <w:rsid w:val="009C30E2"/>
    <w:rsid w:val="009C4CBD"/>
    <w:rsid w:val="009C7F8C"/>
    <w:rsid w:val="009D2B17"/>
    <w:rsid w:val="009D7763"/>
    <w:rsid w:val="009D7D0F"/>
    <w:rsid w:val="009E18FE"/>
    <w:rsid w:val="009F43B1"/>
    <w:rsid w:val="009F4655"/>
    <w:rsid w:val="009F4DF7"/>
    <w:rsid w:val="009F7978"/>
    <w:rsid w:val="00A0223D"/>
    <w:rsid w:val="00A13A32"/>
    <w:rsid w:val="00A13F97"/>
    <w:rsid w:val="00A156EE"/>
    <w:rsid w:val="00A200D0"/>
    <w:rsid w:val="00A26940"/>
    <w:rsid w:val="00A324A8"/>
    <w:rsid w:val="00A349B0"/>
    <w:rsid w:val="00A475A2"/>
    <w:rsid w:val="00A51DDD"/>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0E72"/>
    <w:rsid w:val="00B21477"/>
    <w:rsid w:val="00B24A61"/>
    <w:rsid w:val="00B254F8"/>
    <w:rsid w:val="00B30EB3"/>
    <w:rsid w:val="00B3322A"/>
    <w:rsid w:val="00B33F8C"/>
    <w:rsid w:val="00B4302A"/>
    <w:rsid w:val="00B4661F"/>
    <w:rsid w:val="00B507D2"/>
    <w:rsid w:val="00B520DD"/>
    <w:rsid w:val="00B529D0"/>
    <w:rsid w:val="00B60F88"/>
    <w:rsid w:val="00B61751"/>
    <w:rsid w:val="00B659EE"/>
    <w:rsid w:val="00B66BAB"/>
    <w:rsid w:val="00B66E50"/>
    <w:rsid w:val="00B70A9F"/>
    <w:rsid w:val="00B71A5E"/>
    <w:rsid w:val="00B76529"/>
    <w:rsid w:val="00B82478"/>
    <w:rsid w:val="00B858B9"/>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E771A"/>
    <w:rsid w:val="00BF1D01"/>
    <w:rsid w:val="00BF3080"/>
    <w:rsid w:val="00C02F5E"/>
    <w:rsid w:val="00C21D81"/>
    <w:rsid w:val="00C23E2D"/>
    <w:rsid w:val="00C26B1D"/>
    <w:rsid w:val="00C26E38"/>
    <w:rsid w:val="00C560C2"/>
    <w:rsid w:val="00C60857"/>
    <w:rsid w:val="00C75920"/>
    <w:rsid w:val="00C774E2"/>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34C6F"/>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DE74AF"/>
    <w:rsid w:val="00E01475"/>
    <w:rsid w:val="00E032F3"/>
    <w:rsid w:val="00E03741"/>
    <w:rsid w:val="00E16C03"/>
    <w:rsid w:val="00E2256B"/>
    <w:rsid w:val="00E40361"/>
    <w:rsid w:val="00E41452"/>
    <w:rsid w:val="00E524B2"/>
    <w:rsid w:val="00E52E2A"/>
    <w:rsid w:val="00E624DF"/>
    <w:rsid w:val="00E74D68"/>
    <w:rsid w:val="00E7639D"/>
    <w:rsid w:val="00E77449"/>
    <w:rsid w:val="00E86AAA"/>
    <w:rsid w:val="00E92E1D"/>
    <w:rsid w:val="00E93C7C"/>
    <w:rsid w:val="00E94C7D"/>
    <w:rsid w:val="00EA2F65"/>
    <w:rsid w:val="00EA4813"/>
    <w:rsid w:val="00EA6E29"/>
    <w:rsid w:val="00EB40BD"/>
    <w:rsid w:val="00ED5E08"/>
    <w:rsid w:val="00EE2B5F"/>
    <w:rsid w:val="00EE51D2"/>
    <w:rsid w:val="00EE6F2C"/>
    <w:rsid w:val="00EF4E45"/>
    <w:rsid w:val="00EF6B0C"/>
    <w:rsid w:val="00F01843"/>
    <w:rsid w:val="00F02D8D"/>
    <w:rsid w:val="00F16C55"/>
    <w:rsid w:val="00F32161"/>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A4855"/>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3E2D"/>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uiPriority w:val="99"/>
    <w:semiHidden/>
    <w:rsid w:val="005F18AD"/>
    <w:rPr>
      <w:vertAlign w:val="superscript"/>
    </w:rPr>
  </w:style>
  <w:style w:type="paragraph" w:styleId="FootnoteText">
    <w:name w:val="footnote text"/>
    <w:basedOn w:val="Normal"/>
    <w:link w:val="FootnoteTextChar"/>
    <w:uiPriority w:val="99"/>
    <w:rsid w:val="005F18AD"/>
    <w:pPr>
      <w:ind w:left="340" w:hanging="340"/>
    </w:pPr>
    <w:rPr>
      <w:sz w:val="20"/>
      <w:szCs w:val="20"/>
      <w:lang w:eastAsia="en-US"/>
    </w:rPr>
  </w:style>
  <w:style w:type="character" w:customStyle="1" w:styleId="FootnoteTextChar">
    <w:name w:val="Footnote Text Char"/>
    <w:link w:val="FootnoteText"/>
    <w:uiPriority w:val="99"/>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uiPriority w:val="59"/>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80881">
      <w:bodyDiv w:val="1"/>
      <w:marLeft w:val="0"/>
      <w:marRight w:val="0"/>
      <w:marTop w:val="0"/>
      <w:marBottom w:val="0"/>
      <w:divBdr>
        <w:top w:val="none" w:sz="0" w:space="0" w:color="auto"/>
        <w:left w:val="none" w:sz="0" w:space="0" w:color="auto"/>
        <w:bottom w:val="none" w:sz="0" w:space="0" w:color="auto"/>
        <w:right w:val="none" w:sz="0" w:space="0" w:color="auto"/>
      </w:divBdr>
    </w:div>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0177506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233731902">
      <w:bodyDiv w:val="1"/>
      <w:marLeft w:val="0"/>
      <w:marRight w:val="0"/>
      <w:marTop w:val="0"/>
      <w:marBottom w:val="0"/>
      <w:divBdr>
        <w:top w:val="none" w:sz="0" w:space="0" w:color="auto"/>
        <w:left w:val="none" w:sz="0" w:space="0" w:color="auto"/>
        <w:bottom w:val="none" w:sz="0" w:space="0" w:color="auto"/>
        <w:right w:val="none" w:sz="0" w:space="0" w:color="auto"/>
      </w:divBdr>
    </w:div>
    <w:div w:id="1240287511">
      <w:bodyDiv w:val="1"/>
      <w:marLeft w:val="0"/>
      <w:marRight w:val="0"/>
      <w:marTop w:val="0"/>
      <w:marBottom w:val="0"/>
      <w:divBdr>
        <w:top w:val="none" w:sz="0" w:space="0" w:color="auto"/>
        <w:left w:val="none" w:sz="0" w:space="0" w:color="auto"/>
        <w:bottom w:val="none" w:sz="0" w:space="0" w:color="auto"/>
        <w:right w:val="none" w:sz="0" w:space="0" w:color="auto"/>
      </w:divBdr>
    </w:div>
    <w:div w:id="1276249984">
      <w:bodyDiv w:val="1"/>
      <w:marLeft w:val="0"/>
      <w:marRight w:val="0"/>
      <w:marTop w:val="0"/>
      <w:marBottom w:val="0"/>
      <w:divBdr>
        <w:top w:val="none" w:sz="0" w:space="0" w:color="auto"/>
        <w:left w:val="none" w:sz="0" w:space="0" w:color="auto"/>
        <w:bottom w:val="none" w:sz="0" w:space="0" w:color="auto"/>
        <w:right w:val="none" w:sz="0" w:space="0" w:color="auto"/>
      </w:divBdr>
    </w:div>
    <w:div w:id="1406342611">
      <w:bodyDiv w:val="1"/>
      <w:marLeft w:val="0"/>
      <w:marRight w:val="0"/>
      <w:marTop w:val="0"/>
      <w:marBottom w:val="0"/>
      <w:divBdr>
        <w:top w:val="none" w:sz="0" w:space="0" w:color="auto"/>
        <w:left w:val="none" w:sz="0" w:space="0" w:color="auto"/>
        <w:bottom w:val="none" w:sz="0" w:space="0" w:color="auto"/>
        <w:right w:val="none" w:sz="0" w:space="0" w:color="auto"/>
      </w:divBdr>
    </w:div>
    <w:div w:id="1454593614">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514495841">
      <w:bodyDiv w:val="1"/>
      <w:marLeft w:val="0"/>
      <w:marRight w:val="0"/>
      <w:marTop w:val="0"/>
      <w:marBottom w:val="0"/>
      <w:divBdr>
        <w:top w:val="none" w:sz="0" w:space="0" w:color="auto"/>
        <w:left w:val="none" w:sz="0" w:space="0" w:color="auto"/>
        <w:bottom w:val="none" w:sz="0" w:space="0" w:color="auto"/>
        <w:right w:val="none" w:sz="0" w:space="0" w:color="auto"/>
      </w:divBdr>
    </w:div>
    <w:div w:id="1529831501">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 w:id="1955938800">
      <w:bodyDiv w:val="1"/>
      <w:marLeft w:val="0"/>
      <w:marRight w:val="0"/>
      <w:marTop w:val="0"/>
      <w:marBottom w:val="0"/>
      <w:divBdr>
        <w:top w:val="none" w:sz="0" w:space="0" w:color="auto"/>
        <w:left w:val="none" w:sz="0" w:space="0" w:color="auto"/>
        <w:bottom w:val="none" w:sz="0" w:space="0" w:color="auto"/>
        <w:right w:val="none" w:sz="0" w:space="0" w:color="auto"/>
      </w:divBdr>
    </w:div>
    <w:div w:id="2050639160">
      <w:bodyDiv w:val="1"/>
      <w:marLeft w:val="0"/>
      <w:marRight w:val="0"/>
      <w:marTop w:val="0"/>
      <w:marBottom w:val="0"/>
      <w:divBdr>
        <w:top w:val="none" w:sz="0" w:space="0" w:color="auto"/>
        <w:left w:val="none" w:sz="0" w:space="0" w:color="auto"/>
        <w:bottom w:val="none" w:sz="0" w:space="0" w:color="auto"/>
        <w:right w:val="none" w:sz="0" w:space="0" w:color="auto"/>
      </w:divBdr>
    </w:div>
    <w:div w:id="209245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2205</Words>
  <Characters>10470</Characters>
  <Application>Microsoft Office Word</Application>
  <DocSecurity>0</DocSecurity>
  <Lines>87</Lines>
  <Paragraphs>25</Paragraphs>
  <ScaleCrop>false</ScaleCrop>
  <Company/>
  <LinksUpToDate>false</LinksUpToDate>
  <CharactersWithSpaces>12650</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2014-02-28T05:42:00Z</dcterms:created>
  <dcterms:modified xsi:type="dcterms:W3CDTF">2014-02-28T05:42:00Z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8144232</vt:lpwstr>
  </property>
</Properties>
</file>