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Pr="002D23B9" w:rsidRDefault="00D335BF" w:rsidP="00F964AF">
      <w:pPr>
        <w:pStyle w:val="AERHeading1new"/>
        <w:keepNext w:val="0"/>
        <w:keepLines w:val="0"/>
        <w:pageBreakBefore w:val="0"/>
        <w:widowControl w:val="0"/>
        <w:numPr>
          <w:ilvl w:val="0"/>
          <w:numId w:val="0"/>
        </w:numPr>
        <w:rPr>
          <w:color w:val="auto"/>
          <w:sz w:val="22"/>
          <w:szCs w:val="22"/>
        </w:rPr>
      </w:pPr>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r>
        <w:rPr>
          <w:noProof/>
          <w:color w:val="auto"/>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247.3pt;height:86.85pt;z-index:251658240" filled="f" stroked="f">
            <v:textbox style="mso-next-textbox:#_x0000_s1026">
              <w:txbxContent>
                <w:p w:rsidR="00EC411D" w:rsidRDefault="00EC411D">
                  <w:pPr>
                    <w:pStyle w:val="Title"/>
                    <w:jc w:val="left"/>
                  </w:pPr>
                  <w:r w:rsidRPr="00F50D3A">
                    <w:t>Electricity</w:t>
                  </w:r>
                  <w:r>
                    <w:t xml:space="preserve"> Report</w:t>
                  </w:r>
                </w:p>
                <w:p w:rsidR="00EC411D" w:rsidRPr="00FF06A1" w:rsidRDefault="00EC411D">
                  <w:pPr>
                    <w:pStyle w:val="Title"/>
                    <w:jc w:val="left"/>
                  </w:pPr>
                  <w:r>
                    <w:t>26 January to 1 February 2014</w:t>
                  </w:r>
                </w:p>
                <w:p w:rsidR="00EC411D" w:rsidRDefault="00EC411D">
                  <w:pPr>
                    <w:rPr>
                      <w:i/>
                      <w:sz w:val="32"/>
                    </w:rPr>
                  </w:pPr>
                  <w:r w:rsidRPr="00F50D3A">
                    <w:rPr>
                      <w:sz w:val="32"/>
                    </w:rPr>
                    <w:t xml:space="preserve"> </w:t>
                  </w:r>
                </w:p>
              </w:txbxContent>
            </v:textbox>
          </v:shape>
        </w:pict>
      </w: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55pt;height:98.9pt">
            <v:imagedata r:id="rId8" o:title="AER_Head1a" cropbottom="3785f"/>
          </v:shape>
        </w:pict>
      </w:r>
      <w:r w:rsidR="0052471C" w:rsidRPr="002D23B9">
        <w:rPr>
          <w:color w:val="auto"/>
          <w:sz w:val="22"/>
          <w:szCs w:val="22"/>
        </w:rPr>
        <w:t xml:space="preserve"> </w:t>
      </w:r>
    </w:p>
    <w:p w:rsidR="00E74564" w:rsidRPr="002D23B9" w:rsidRDefault="00E74564" w:rsidP="00E74564">
      <w:pPr>
        <w:pStyle w:val="Heading2"/>
        <w:rPr>
          <w:color w:val="auto"/>
        </w:rPr>
      </w:pPr>
      <w:r w:rsidRPr="002D23B9">
        <w:rPr>
          <w:color w:val="auto"/>
        </w:rPr>
        <w:t>Introduction</w:t>
      </w:r>
    </w:p>
    <w:p w:rsidR="002F6FF5" w:rsidRPr="002D23B9" w:rsidRDefault="002F6FF5" w:rsidP="002F6FF5">
      <w:pPr>
        <w:rPr>
          <w:lang w:eastAsia="en-US"/>
        </w:rPr>
      </w:pPr>
      <w:r w:rsidRPr="002D23B9">
        <w:rPr>
          <w:lang w:eastAsia="en-US"/>
        </w:rPr>
        <w:t xml:space="preserve">The AER is required to publish the reasons for significant variations </w:t>
      </w:r>
      <w:r w:rsidR="005A5ACF" w:rsidRPr="002D23B9">
        <w:rPr>
          <w:lang w:eastAsia="en-US"/>
        </w:rPr>
        <w:t xml:space="preserve">between forecast and actual price </w:t>
      </w:r>
      <w:r w:rsidRPr="002D23B9">
        <w:rPr>
          <w:lang w:eastAsia="en-US"/>
        </w:rPr>
        <w:t>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F83806" w:rsidRDefault="00F50D3A" w:rsidP="00BF51AE">
      <w:pPr>
        <w:pStyle w:val="Heading2"/>
        <w:rPr>
          <w:color w:val="auto"/>
        </w:rPr>
      </w:pPr>
      <w:r w:rsidRPr="002D23B9">
        <w:rPr>
          <w:color w:val="auto"/>
        </w:rPr>
        <w:t>S</w:t>
      </w:r>
      <w:r w:rsidR="00687B08" w:rsidRPr="002D23B9">
        <w:rPr>
          <w:color w:val="auto"/>
        </w:rPr>
        <w:t>pot market prices</w:t>
      </w:r>
    </w:p>
    <w:p w:rsidR="0078358A" w:rsidRPr="0078358A" w:rsidRDefault="0078358A" w:rsidP="0078358A">
      <w:r>
        <w:t>Figure 1 shows the spot prices that occurred in each region during the week 26 January to 1 February 2014.</w:t>
      </w:r>
    </w:p>
    <w:p w:rsidR="0078358A" w:rsidRPr="002D23B9" w:rsidRDefault="0078358A" w:rsidP="0078358A">
      <w:pPr>
        <w:pStyle w:val="Figureheading"/>
        <w:numPr>
          <w:ilvl w:val="0"/>
          <w:numId w:val="0"/>
        </w:numPr>
        <w:spacing w:after="0"/>
        <w:ind w:left="357" w:hanging="357"/>
      </w:pPr>
      <w:r w:rsidRPr="002D23B9">
        <w:t xml:space="preserve">Figure </w:t>
      </w:r>
      <w:r>
        <w:t>1</w:t>
      </w:r>
      <w:r w:rsidRPr="002D23B9">
        <w:t xml:space="preserve">: </w:t>
      </w:r>
      <w:r>
        <w:t>S</w:t>
      </w:r>
      <w:r w:rsidRPr="002D23B9">
        <w:t>pot price by region ($/MWh)</w:t>
      </w:r>
      <w:r>
        <w:t xml:space="preserve"> </w:t>
      </w:r>
    </w:p>
    <w:p w:rsidR="00786E64" w:rsidRDefault="00D335BF" w:rsidP="00F50D3A">
      <w:pPr>
        <w:pStyle w:val="AERbodytext"/>
      </w:pPr>
      <w:bookmarkStart w:id="7" w:name="OLE_LINK28"/>
      <w:bookmarkStart w:id="8" w:name="OLE_LINK29"/>
      <w:r>
        <w:pict>
          <v:shape id="_x0000_i1026" type="#_x0000_t75" style="width:450.8pt;height:222.25pt">
            <v:imagedata r:id="rId9" o:title=""/>
          </v:shape>
        </w:pict>
      </w:r>
    </w:p>
    <w:p w:rsidR="004869A0" w:rsidRDefault="00786E64" w:rsidP="00F50D3A">
      <w:pPr>
        <w:pStyle w:val="AERbodytext"/>
      </w:pPr>
      <w:r>
        <w:t>Figure 2</w:t>
      </w:r>
      <w:r w:rsidR="00687B08" w:rsidRPr="002D23B9">
        <w:t xml:space="preserve"> </w:t>
      </w:r>
      <w:r w:rsidR="00953237" w:rsidRPr="002D23B9">
        <w:t>shows</w:t>
      </w:r>
      <w:r w:rsidR="00687B08" w:rsidRPr="002D23B9">
        <w:t xml:space="preserve"> the volume weighted average (VWA) prices for </w:t>
      </w:r>
      <w:r w:rsidR="00B032DD" w:rsidRPr="002D23B9">
        <w:t xml:space="preserve">the current </w:t>
      </w:r>
      <w:r w:rsidR="00687B08" w:rsidRPr="002D23B9">
        <w:t xml:space="preserve">week </w:t>
      </w:r>
      <w:r w:rsidR="008220CF" w:rsidRPr="002D23B9">
        <w:t xml:space="preserve">(with prices shown in </w:t>
      </w:r>
      <w:r w:rsidR="00C42BF3" w:rsidRPr="002D23B9">
        <w:t>T</w:t>
      </w:r>
      <w:r w:rsidR="008220CF" w:rsidRPr="002D23B9">
        <w:t>able</w:t>
      </w:r>
      <w:r w:rsidR="00C42BF3" w:rsidRPr="002D23B9">
        <w:t xml:space="preserve"> 1</w:t>
      </w:r>
      <w:r w:rsidR="008220CF" w:rsidRPr="002D23B9">
        <w:t xml:space="preserve">) </w:t>
      </w:r>
      <w:r w:rsidR="00687B08" w:rsidRPr="002D23B9">
        <w:t xml:space="preserve">and </w:t>
      </w:r>
      <w:r w:rsidR="00237FD8" w:rsidRPr="002D23B9">
        <w:t xml:space="preserve">the </w:t>
      </w:r>
      <w:r w:rsidR="00687B08" w:rsidRPr="002D23B9">
        <w:t xml:space="preserve">preceding </w:t>
      </w:r>
      <w:r w:rsidR="00237FD8" w:rsidRPr="002D23B9">
        <w:t>12</w:t>
      </w:r>
      <w:r w:rsidR="004869A0" w:rsidRPr="004869A0">
        <w:t xml:space="preserve"> </w:t>
      </w:r>
      <w:r w:rsidR="004869A0" w:rsidRPr="002D23B9">
        <w:t>weeks, as well as the VWA price over the previous 3 financial years.</w:t>
      </w:r>
    </w:p>
    <w:p w:rsidR="00B027E9" w:rsidRPr="002D23B9" w:rsidRDefault="00687B08">
      <w:pPr>
        <w:pStyle w:val="Figureheading"/>
        <w:numPr>
          <w:ilvl w:val="0"/>
          <w:numId w:val="0"/>
        </w:numPr>
        <w:spacing w:after="0"/>
        <w:ind w:left="357" w:hanging="357"/>
      </w:pPr>
      <w:bookmarkStart w:id="9" w:name="_Ref307219594"/>
      <w:r w:rsidRPr="002D23B9">
        <w:lastRenderedPageBreak/>
        <w:t xml:space="preserve">Figure </w:t>
      </w:r>
      <w:bookmarkEnd w:id="9"/>
      <w:r w:rsidR="00786E64">
        <w:t>2</w:t>
      </w:r>
      <w:r w:rsidRPr="002D23B9">
        <w:t xml:space="preserve">: </w:t>
      </w:r>
      <w:r w:rsidR="00656C5F" w:rsidRPr="002D23B9">
        <w:t>Volume weighted average spot price by region ($/MWh)</w:t>
      </w:r>
    </w:p>
    <w:p w:rsidR="00785F23" w:rsidRPr="002D23B9" w:rsidRDefault="00C16407" w:rsidP="00785F23">
      <w:pPr>
        <w:pStyle w:val="AERbodytext"/>
      </w:pPr>
      <w:r>
        <w:pict>
          <v:shape id="_x0000_i1027" type="#_x0000_t75" alt="Figure 2 shows the volume weighted average (VWA) prices for this week (with prices shown in Table 1) and the preceding 12 weeks, as well as the VWA price over the previous 3 financial years.    &#10;" style="width:451.4pt;height:226pt">
            <v:imagedata r:id="rId10" o:title=""/>
          </v:shape>
        </w:pict>
      </w:r>
    </w:p>
    <w:p w:rsidR="00965EA9" w:rsidRPr="002D23B9" w:rsidRDefault="00965EA9" w:rsidP="00965EA9">
      <w:pPr>
        <w:pStyle w:val="AERtabletitle"/>
      </w:pPr>
      <w:r w:rsidRPr="002D23B9">
        <w:t xml:space="preserve">Table 1: </w:t>
      </w:r>
      <w:r w:rsidR="008B0A6A" w:rsidRPr="002D23B9">
        <w:t xml:space="preserve">Volume weighted </w:t>
      </w:r>
      <w:r w:rsidRPr="002D23B9">
        <w:t>average spot price</w:t>
      </w:r>
      <w:r w:rsidR="00525D52" w:rsidRPr="002D23B9">
        <w:t>s</w:t>
      </w:r>
      <w:r w:rsidRPr="002D23B9">
        <w:t xml:space="preserve"> by region</w:t>
      </w:r>
      <w:r w:rsidR="008B0A6A" w:rsidRPr="002D23B9">
        <w:t xml:space="preserve"> ($/MWh)</w:t>
      </w:r>
    </w:p>
    <w:tbl>
      <w:tblPr>
        <w:tblW w:w="5000" w:type="pct"/>
        <w:tblLook w:val="04A0" w:firstRow="1" w:lastRow="0" w:firstColumn="1" w:lastColumn="0" w:noHBand="0" w:noVBand="1"/>
      </w:tblPr>
      <w:tblGrid>
        <w:gridCol w:w="3605"/>
        <w:gridCol w:w="1105"/>
        <w:gridCol w:w="1362"/>
        <w:gridCol w:w="1042"/>
        <w:gridCol w:w="1000"/>
        <w:gridCol w:w="1128"/>
      </w:tblGrid>
      <w:tr w:rsidR="004869A0" w:rsidRPr="00DA4107" w:rsidTr="00DA4107">
        <w:trPr>
          <w:trHeight w:hRule="exact" w:val="454"/>
        </w:trPr>
        <w:tc>
          <w:tcPr>
            <w:tcW w:w="1950" w:type="pct"/>
            <w:tcBorders>
              <w:top w:val="single" w:sz="8" w:space="0" w:color="7BA0CD"/>
              <w:left w:val="nil"/>
              <w:bottom w:val="nil"/>
              <w:right w:val="nil"/>
            </w:tcBorders>
            <w:shd w:val="clear" w:color="000000" w:fill="4A442A"/>
            <w:noWrap/>
            <w:vAlign w:val="center"/>
            <w:hideMark/>
          </w:tcPr>
          <w:p w:rsidR="004869A0" w:rsidRPr="00DA4107" w:rsidRDefault="004869A0" w:rsidP="004869A0">
            <w:pPr>
              <w:spacing w:line="240" w:lineRule="auto"/>
              <w:jc w:val="center"/>
              <w:rPr>
                <w:rFonts w:cs="Gautami"/>
                <w:b/>
                <w:bCs/>
                <w:color w:val="FFFFFF"/>
                <w:sz w:val="16"/>
                <w:szCs w:val="16"/>
              </w:rPr>
            </w:pPr>
            <w:r w:rsidRPr="00DA4107">
              <w:rPr>
                <w:rFonts w:cs="Gautami"/>
                <w:b/>
                <w:bCs/>
                <w:color w:val="FFFFFF"/>
                <w:sz w:val="16"/>
                <w:szCs w:val="16"/>
              </w:rPr>
              <w:t>Region</w:t>
            </w:r>
          </w:p>
        </w:tc>
        <w:tc>
          <w:tcPr>
            <w:tcW w:w="598" w:type="pct"/>
            <w:tcBorders>
              <w:top w:val="single" w:sz="8" w:space="0" w:color="7BA0CD"/>
              <w:left w:val="nil"/>
              <w:bottom w:val="nil"/>
              <w:right w:val="nil"/>
            </w:tcBorders>
            <w:shd w:val="clear" w:color="000000" w:fill="4A442A"/>
            <w:noWrap/>
            <w:vAlign w:val="center"/>
            <w:hideMark/>
          </w:tcPr>
          <w:p w:rsidR="004869A0" w:rsidRPr="00DA4107" w:rsidRDefault="004869A0" w:rsidP="004869A0">
            <w:pPr>
              <w:spacing w:line="240" w:lineRule="auto"/>
              <w:jc w:val="center"/>
              <w:rPr>
                <w:rFonts w:cs="Gautami"/>
                <w:b/>
                <w:bCs/>
                <w:color w:val="FFFFFF"/>
                <w:sz w:val="16"/>
                <w:szCs w:val="16"/>
              </w:rPr>
            </w:pPr>
            <w:r w:rsidRPr="00DA4107">
              <w:rPr>
                <w:rFonts w:cs="Gautami"/>
                <w:b/>
                <w:bCs/>
                <w:color w:val="FFFFFF"/>
                <w:sz w:val="16"/>
                <w:szCs w:val="16"/>
              </w:rPr>
              <w:t>Qld</w:t>
            </w:r>
          </w:p>
        </w:tc>
        <w:tc>
          <w:tcPr>
            <w:tcW w:w="737" w:type="pct"/>
            <w:tcBorders>
              <w:top w:val="single" w:sz="8" w:space="0" w:color="7BA0CD"/>
              <w:left w:val="nil"/>
              <w:bottom w:val="nil"/>
              <w:right w:val="nil"/>
            </w:tcBorders>
            <w:shd w:val="clear" w:color="000000" w:fill="4A442A"/>
            <w:noWrap/>
            <w:vAlign w:val="center"/>
            <w:hideMark/>
          </w:tcPr>
          <w:p w:rsidR="004869A0" w:rsidRPr="00DA4107" w:rsidRDefault="004869A0" w:rsidP="004869A0">
            <w:pPr>
              <w:spacing w:line="240" w:lineRule="auto"/>
              <w:jc w:val="center"/>
              <w:rPr>
                <w:rFonts w:cs="Gautami"/>
                <w:b/>
                <w:bCs/>
                <w:color w:val="FFFFFF"/>
                <w:sz w:val="16"/>
                <w:szCs w:val="16"/>
              </w:rPr>
            </w:pPr>
            <w:r w:rsidRPr="00DA4107">
              <w:rPr>
                <w:rFonts w:cs="Gautami"/>
                <w:b/>
                <w:bCs/>
                <w:color w:val="FFFFFF"/>
                <w:sz w:val="16"/>
                <w:szCs w:val="16"/>
              </w:rPr>
              <w:t>NSW</w:t>
            </w:r>
          </w:p>
        </w:tc>
        <w:tc>
          <w:tcPr>
            <w:tcW w:w="564" w:type="pct"/>
            <w:tcBorders>
              <w:top w:val="single" w:sz="8" w:space="0" w:color="7BA0CD"/>
              <w:left w:val="nil"/>
              <w:bottom w:val="nil"/>
              <w:right w:val="nil"/>
            </w:tcBorders>
            <w:shd w:val="clear" w:color="000000" w:fill="4A442A"/>
            <w:noWrap/>
            <w:vAlign w:val="center"/>
            <w:hideMark/>
          </w:tcPr>
          <w:p w:rsidR="004869A0" w:rsidRPr="00DA4107" w:rsidRDefault="004869A0" w:rsidP="004869A0">
            <w:pPr>
              <w:spacing w:line="240" w:lineRule="auto"/>
              <w:jc w:val="center"/>
              <w:rPr>
                <w:rFonts w:cs="Gautami"/>
                <w:b/>
                <w:bCs/>
                <w:color w:val="FFFFFF"/>
                <w:sz w:val="16"/>
                <w:szCs w:val="16"/>
              </w:rPr>
            </w:pPr>
            <w:r w:rsidRPr="00DA4107">
              <w:rPr>
                <w:rFonts w:cs="Gautami"/>
                <w:b/>
                <w:bCs/>
                <w:color w:val="FFFFFF"/>
                <w:sz w:val="16"/>
                <w:szCs w:val="16"/>
              </w:rPr>
              <w:t>Vic</w:t>
            </w:r>
          </w:p>
        </w:tc>
        <w:tc>
          <w:tcPr>
            <w:tcW w:w="541" w:type="pct"/>
            <w:tcBorders>
              <w:top w:val="single" w:sz="8" w:space="0" w:color="7BA0CD"/>
              <w:left w:val="nil"/>
              <w:bottom w:val="nil"/>
              <w:right w:val="nil"/>
            </w:tcBorders>
            <w:shd w:val="clear" w:color="000000" w:fill="4A442A"/>
            <w:noWrap/>
            <w:vAlign w:val="center"/>
            <w:hideMark/>
          </w:tcPr>
          <w:p w:rsidR="004869A0" w:rsidRPr="00DA4107" w:rsidRDefault="004869A0" w:rsidP="004869A0">
            <w:pPr>
              <w:spacing w:line="240" w:lineRule="auto"/>
              <w:jc w:val="center"/>
              <w:rPr>
                <w:rFonts w:cs="Gautami"/>
                <w:b/>
                <w:bCs/>
                <w:color w:val="FFFFFF"/>
                <w:sz w:val="16"/>
                <w:szCs w:val="16"/>
              </w:rPr>
            </w:pPr>
            <w:r w:rsidRPr="00DA4107">
              <w:rPr>
                <w:rFonts w:cs="Gautami"/>
                <w:b/>
                <w:bCs/>
                <w:color w:val="FFFFFF"/>
                <w:sz w:val="16"/>
                <w:szCs w:val="16"/>
              </w:rPr>
              <w:t>SA</w:t>
            </w:r>
          </w:p>
        </w:tc>
        <w:tc>
          <w:tcPr>
            <w:tcW w:w="610" w:type="pct"/>
            <w:tcBorders>
              <w:top w:val="single" w:sz="8" w:space="0" w:color="7BA0CD"/>
              <w:left w:val="nil"/>
              <w:bottom w:val="nil"/>
              <w:right w:val="nil"/>
            </w:tcBorders>
            <w:shd w:val="clear" w:color="000000" w:fill="4A442A"/>
            <w:noWrap/>
            <w:vAlign w:val="center"/>
            <w:hideMark/>
          </w:tcPr>
          <w:p w:rsidR="004869A0" w:rsidRPr="00DA4107" w:rsidRDefault="004869A0" w:rsidP="004869A0">
            <w:pPr>
              <w:spacing w:line="240" w:lineRule="auto"/>
              <w:jc w:val="center"/>
              <w:rPr>
                <w:rFonts w:cs="Gautami"/>
                <w:b/>
                <w:bCs/>
                <w:color w:val="FFFFFF"/>
                <w:sz w:val="16"/>
                <w:szCs w:val="16"/>
              </w:rPr>
            </w:pPr>
            <w:proofErr w:type="spellStart"/>
            <w:r w:rsidRPr="00DA4107">
              <w:rPr>
                <w:rFonts w:cs="Gautami"/>
                <w:b/>
                <w:bCs/>
                <w:color w:val="FFFFFF"/>
                <w:sz w:val="16"/>
                <w:szCs w:val="16"/>
              </w:rPr>
              <w:t>Tas</w:t>
            </w:r>
            <w:proofErr w:type="spellEnd"/>
          </w:p>
        </w:tc>
      </w:tr>
      <w:tr w:rsidR="004869A0" w:rsidRPr="00DA4107" w:rsidTr="00DA4107">
        <w:trPr>
          <w:trHeight w:hRule="exact" w:val="454"/>
        </w:trPr>
        <w:tc>
          <w:tcPr>
            <w:tcW w:w="1950" w:type="pct"/>
            <w:tcBorders>
              <w:top w:val="nil"/>
              <w:left w:val="nil"/>
              <w:bottom w:val="nil"/>
              <w:right w:val="nil"/>
            </w:tcBorders>
            <w:shd w:val="clear" w:color="000000" w:fill="DDD9C3"/>
            <w:noWrap/>
            <w:vAlign w:val="center"/>
            <w:hideMark/>
          </w:tcPr>
          <w:p w:rsidR="004869A0" w:rsidRPr="00DA4107" w:rsidRDefault="004869A0" w:rsidP="004869A0">
            <w:pPr>
              <w:spacing w:line="240" w:lineRule="auto"/>
              <w:jc w:val="left"/>
              <w:rPr>
                <w:rFonts w:cs="Gautami"/>
                <w:b/>
                <w:bCs/>
                <w:sz w:val="16"/>
                <w:szCs w:val="16"/>
              </w:rPr>
            </w:pPr>
            <w:r w:rsidRPr="00DA4107">
              <w:rPr>
                <w:rFonts w:cs="Gautami"/>
                <w:b/>
                <w:bCs/>
                <w:sz w:val="16"/>
                <w:szCs w:val="16"/>
              </w:rPr>
              <w:t>Current week</w:t>
            </w:r>
          </w:p>
        </w:tc>
        <w:tc>
          <w:tcPr>
            <w:tcW w:w="598" w:type="pct"/>
            <w:tcBorders>
              <w:top w:val="nil"/>
              <w:left w:val="nil"/>
              <w:bottom w:val="nil"/>
              <w:right w:val="nil"/>
            </w:tcBorders>
            <w:shd w:val="clear" w:color="000000" w:fill="DDD9C3"/>
            <w:noWrap/>
            <w:vAlign w:val="center"/>
            <w:hideMark/>
          </w:tcPr>
          <w:p w:rsidR="004869A0" w:rsidRPr="00DA4107" w:rsidRDefault="004869A0" w:rsidP="004869A0">
            <w:pPr>
              <w:spacing w:line="240" w:lineRule="auto"/>
              <w:jc w:val="center"/>
              <w:rPr>
                <w:rFonts w:cs="Gautami"/>
                <w:sz w:val="16"/>
                <w:szCs w:val="16"/>
              </w:rPr>
            </w:pPr>
            <w:r w:rsidRPr="00DA4107">
              <w:rPr>
                <w:rFonts w:cs="Gautami"/>
                <w:sz w:val="16"/>
                <w:szCs w:val="16"/>
              </w:rPr>
              <w:t>64</w:t>
            </w:r>
          </w:p>
        </w:tc>
        <w:tc>
          <w:tcPr>
            <w:tcW w:w="737" w:type="pct"/>
            <w:tcBorders>
              <w:top w:val="nil"/>
              <w:left w:val="nil"/>
              <w:bottom w:val="nil"/>
              <w:right w:val="nil"/>
            </w:tcBorders>
            <w:shd w:val="clear" w:color="000000" w:fill="DDD9C3"/>
            <w:noWrap/>
            <w:vAlign w:val="center"/>
            <w:hideMark/>
          </w:tcPr>
          <w:p w:rsidR="004869A0" w:rsidRPr="00DA4107" w:rsidRDefault="004869A0" w:rsidP="004869A0">
            <w:pPr>
              <w:spacing w:line="240" w:lineRule="auto"/>
              <w:jc w:val="center"/>
              <w:rPr>
                <w:rFonts w:cs="Gautami"/>
                <w:sz w:val="16"/>
                <w:szCs w:val="16"/>
              </w:rPr>
            </w:pPr>
            <w:r w:rsidRPr="00DA4107">
              <w:rPr>
                <w:rFonts w:cs="Gautami"/>
                <w:sz w:val="16"/>
                <w:szCs w:val="16"/>
              </w:rPr>
              <w:t>50</w:t>
            </w:r>
          </w:p>
        </w:tc>
        <w:tc>
          <w:tcPr>
            <w:tcW w:w="564" w:type="pct"/>
            <w:tcBorders>
              <w:top w:val="nil"/>
              <w:left w:val="nil"/>
              <w:bottom w:val="nil"/>
              <w:right w:val="nil"/>
            </w:tcBorders>
            <w:shd w:val="clear" w:color="000000" w:fill="DDD9C3"/>
            <w:noWrap/>
            <w:vAlign w:val="center"/>
            <w:hideMark/>
          </w:tcPr>
          <w:p w:rsidR="004869A0" w:rsidRPr="00DA4107" w:rsidRDefault="004869A0" w:rsidP="004869A0">
            <w:pPr>
              <w:spacing w:line="240" w:lineRule="auto"/>
              <w:jc w:val="center"/>
              <w:rPr>
                <w:rFonts w:cs="Gautami"/>
                <w:sz w:val="16"/>
                <w:szCs w:val="16"/>
              </w:rPr>
            </w:pPr>
            <w:r w:rsidRPr="00DA4107">
              <w:rPr>
                <w:rFonts w:cs="Gautami"/>
                <w:sz w:val="16"/>
                <w:szCs w:val="16"/>
              </w:rPr>
              <w:t>46</w:t>
            </w:r>
          </w:p>
        </w:tc>
        <w:tc>
          <w:tcPr>
            <w:tcW w:w="541" w:type="pct"/>
            <w:tcBorders>
              <w:top w:val="nil"/>
              <w:left w:val="nil"/>
              <w:bottom w:val="nil"/>
              <w:right w:val="nil"/>
            </w:tcBorders>
            <w:shd w:val="clear" w:color="000000" w:fill="DDD9C3"/>
            <w:noWrap/>
            <w:vAlign w:val="center"/>
            <w:hideMark/>
          </w:tcPr>
          <w:p w:rsidR="004869A0" w:rsidRPr="00DA4107" w:rsidRDefault="004869A0" w:rsidP="004869A0">
            <w:pPr>
              <w:spacing w:line="240" w:lineRule="auto"/>
              <w:jc w:val="center"/>
              <w:rPr>
                <w:rFonts w:cs="Gautami"/>
                <w:sz w:val="16"/>
                <w:szCs w:val="16"/>
              </w:rPr>
            </w:pPr>
            <w:r w:rsidRPr="00DA4107">
              <w:rPr>
                <w:rFonts w:cs="Gautami"/>
                <w:sz w:val="16"/>
                <w:szCs w:val="16"/>
              </w:rPr>
              <w:t>51</w:t>
            </w:r>
          </w:p>
        </w:tc>
        <w:tc>
          <w:tcPr>
            <w:tcW w:w="610" w:type="pct"/>
            <w:tcBorders>
              <w:top w:val="nil"/>
              <w:left w:val="nil"/>
              <w:bottom w:val="nil"/>
              <w:right w:val="nil"/>
            </w:tcBorders>
            <w:shd w:val="clear" w:color="000000" w:fill="DDD9C3"/>
            <w:noWrap/>
            <w:vAlign w:val="center"/>
            <w:hideMark/>
          </w:tcPr>
          <w:p w:rsidR="004869A0" w:rsidRPr="00DA4107" w:rsidRDefault="004869A0" w:rsidP="004869A0">
            <w:pPr>
              <w:spacing w:line="240" w:lineRule="auto"/>
              <w:jc w:val="center"/>
              <w:rPr>
                <w:rFonts w:cs="Gautami"/>
                <w:sz w:val="16"/>
                <w:szCs w:val="16"/>
              </w:rPr>
            </w:pPr>
            <w:r w:rsidRPr="00DA4107">
              <w:rPr>
                <w:rFonts w:cs="Gautami"/>
                <w:sz w:val="16"/>
                <w:szCs w:val="16"/>
              </w:rPr>
              <w:t>36</w:t>
            </w:r>
          </w:p>
        </w:tc>
      </w:tr>
      <w:tr w:rsidR="004869A0" w:rsidRPr="00DA4107" w:rsidTr="00DA4107">
        <w:trPr>
          <w:trHeight w:hRule="exact" w:val="454"/>
        </w:trPr>
        <w:tc>
          <w:tcPr>
            <w:tcW w:w="1950" w:type="pct"/>
            <w:tcBorders>
              <w:top w:val="nil"/>
              <w:left w:val="nil"/>
              <w:bottom w:val="nil"/>
              <w:right w:val="nil"/>
            </w:tcBorders>
            <w:shd w:val="clear" w:color="000000" w:fill="EEECE1"/>
            <w:noWrap/>
            <w:vAlign w:val="center"/>
            <w:hideMark/>
          </w:tcPr>
          <w:p w:rsidR="004869A0" w:rsidRPr="00DA4107" w:rsidRDefault="004869A0" w:rsidP="004869A0">
            <w:pPr>
              <w:spacing w:line="240" w:lineRule="auto"/>
              <w:jc w:val="left"/>
              <w:rPr>
                <w:rFonts w:cs="Gautami"/>
                <w:b/>
                <w:bCs/>
                <w:sz w:val="16"/>
                <w:szCs w:val="16"/>
              </w:rPr>
            </w:pPr>
            <w:r w:rsidRPr="00DA4107">
              <w:rPr>
                <w:rFonts w:cs="Gautami"/>
                <w:b/>
                <w:bCs/>
                <w:sz w:val="16"/>
                <w:szCs w:val="16"/>
              </w:rPr>
              <w:t>12-13 financial YTD</w:t>
            </w:r>
          </w:p>
        </w:tc>
        <w:tc>
          <w:tcPr>
            <w:tcW w:w="598" w:type="pct"/>
            <w:tcBorders>
              <w:top w:val="nil"/>
              <w:left w:val="nil"/>
              <w:bottom w:val="nil"/>
              <w:right w:val="nil"/>
            </w:tcBorders>
            <w:shd w:val="clear" w:color="000000" w:fill="EEECE1"/>
            <w:noWrap/>
            <w:vAlign w:val="center"/>
            <w:hideMark/>
          </w:tcPr>
          <w:p w:rsidR="004869A0" w:rsidRPr="00DA4107" w:rsidRDefault="004869A0" w:rsidP="004869A0">
            <w:pPr>
              <w:spacing w:line="240" w:lineRule="auto"/>
              <w:jc w:val="center"/>
              <w:rPr>
                <w:rFonts w:cs="Gautami"/>
                <w:sz w:val="16"/>
                <w:szCs w:val="16"/>
              </w:rPr>
            </w:pPr>
            <w:r w:rsidRPr="00DA4107">
              <w:rPr>
                <w:rFonts w:cs="Gautami"/>
                <w:sz w:val="16"/>
                <w:szCs w:val="16"/>
              </w:rPr>
              <w:t>70</w:t>
            </w:r>
          </w:p>
        </w:tc>
        <w:tc>
          <w:tcPr>
            <w:tcW w:w="737" w:type="pct"/>
            <w:tcBorders>
              <w:top w:val="nil"/>
              <w:left w:val="nil"/>
              <w:bottom w:val="nil"/>
              <w:right w:val="nil"/>
            </w:tcBorders>
            <w:shd w:val="clear" w:color="000000" w:fill="EEECE1"/>
            <w:noWrap/>
            <w:vAlign w:val="center"/>
            <w:hideMark/>
          </w:tcPr>
          <w:p w:rsidR="004869A0" w:rsidRPr="00DA4107" w:rsidRDefault="004869A0" w:rsidP="004869A0">
            <w:pPr>
              <w:spacing w:line="240" w:lineRule="auto"/>
              <w:jc w:val="center"/>
              <w:rPr>
                <w:rFonts w:cs="Gautami"/>
                <w:sz w:val="16"/>
                <w:szCs w:val="16"/>
              </w:rPr>
            </w:pPr>
            <w:r w:rsidRPr="00DA4107">
              <w:rPr>
                <w:rFonts w:cs="Gautami"/>
                <w:sz w:val="16"/>
                <w:szCs w:val="16"/>
              </w:rPr>
              <w:t>56</w:t>
            </w:r>
          </w:p>
        </w:tc>
        <w:tc>
          <w:tcPr>
            <w:tcW w:w="564" w:type="pct"/>
            <w:tcBorders>
              <w:top w:val="nil"/>
              <w:left w:val="nil"/>
              <w:bottom w:val="nil"/>
              <w:right w:val="nil"/>
            </w:tcBorders>
            <w:shd w:val="clear" w:color="000000" w:fill="EEECE1"/>
            <w:noWrap/>
            <w:vAlign w:val="center"/>
            <w:hideMark/>
          </w:tcPr>
          <w:p w:rsidR="004869A0" w:rsidRPr="00DA4107" w:rsidRDefault="004869A0" w:rsidP="004869A0">
            <w:pPr>
              <w:spacing w:line="240" w:lineRule="auto"/>
              <w:jc w:val="center"/>
              <w:rPr>
                <w:rFonts w:cs="Gautami"/>
                <w:sz w:val="16"/>
                <w:szCs w:val="16"/>
              </w:rPr>
            </w:pPr>
            <w:r w:rsidRPr="00DA4107">
              <w:rPr>
                <w:rFonts w:cs="Gautami"/>
                <w:sz w:val="16"/>
                <w:szCs w:val="16"/>
              </w:rPr>
              <w:t>61</w:t>
            </w:r>
          </w:p>
        </w:tc>
        <w:tc>
          <w:tcPr>
            <w:tcW w:w="541" w:type="pct"/>
            <w:tcBorders>
              <w:top w:val="nil"/>
              <w:left w:val="nil"/>
              <w:bottom w:val="nil"/>
              <w:right w:val="nil"/>
            </w:tcBorders>
            <w:shd w:val="clear" w:color="000000" w:fill="EEECE1"/>
            <w:noWrap/>
            <w:vAlign w:val="center"/>
            <w:hideMark/>
          </w:tcPr>
          <w:p w:rsidR="004869A0" w:rsidRPr="00DA4107" w:rsidRDefault="004869A0" w:rsidP="004869A0">
            <w:pPr>
              <w:spacing w:line="240" w:lineRule="auto"/>
              <w:jc w:val="center"/>
              <w:rPr>
                <w:rFonts w:cs="Gautami"/>
                <w:sz w:val="16"/>
                <w:szCs w:val="16"/>
              </w:rPr>
            </w:pPr>
            <w:r w:rsidRPr="00DA4107">
              <w:rPr>
                <w:rFonts w:cs="Gautami"/>
                <w:sz w:val="16"/>
                <w:szCs w:val="16"/>
              </w:rPr>
              <w:t>73</w:t>
            </w:r>
          </w:p>
        </w:tc>
        <w:tc>
          <w:tcPr>
            <w:tcW w:w="610" w:type="pct"/>
            <w:tcBorders>
              <w:top w:val="nil"/>
              <w:left w:val="nil"/>
              <w:bottom w:val="nil"/>
              <w:right w:val="nil"/>
            </w:tcBorders>
            <w:shd w:val="clear" w:color="000000" w:fill="EEECE1"/>
            <w:noWrap/>
            <w:vAlign w:val="center"/>
            <w:hideMark/>
          </w:tcPr>
          <w:p w:rsidR="004869A0" w:rsidRPr="00DA4107" w:rsidRDefault="004869A0" w:rsidP="004869A0">
            <w:pPr>
              <w:spacing w:line="240" w:lineRule="auto"/>
              <w:jc w:val="center"/>
              <w:rPr>
                <w:rFonts w:cs="Gautami"/>
                <w:sz w:val="16"/>
                <w:szCs w:val="16"/>
              </w:rPr>
            </w:pPr>
            <w:r w:rsidRPr="00DA4107">
              <w:rPr>
                <w:rFonts w:cs="Gautami"/>
                <w:sz w:val="16"/>
                <w:szCs w:val="16"/>
              </w:rPr>
              <w:t>49</w:t>
            </w:r>
          </w:p>
        </w:tc>
      </w:tr>
      <w:tr w:rsidR="004869A0" w:rsidRPr="00DA4107" w:rsidTr="00DA4107">
        <w:trPr>
          <w:trHeight w:hRule="exact" w:val="454"/>
        </w:trPr>
        <w:tc>
          <w:tcPr>
            <w:tcW w:w="1950" w:type="pct"/>
            <w:tcBorders>
              <w:top w:val="nil"/>
              <w:left w:val="nil"/>
              <w:bottom w:val="single" w:sz="8" w:space="0" w:color="auto"/>
              <w:right w:val="nil"/>
            </w:tcBorders>
            <w:shd w:val="clear" w:color="000000" w:fill="DDD9C3"/>
            <w:noWrap/>
            <w:vAlign w:val="center"/>
            <w:hideMark/>
          </w:tcPr>
          <w:p w:rsidR="004869A0" w:rsidRPr="00DA4107" w:rsidRDefault="004869A0" w:rsidP="004869A0">
            <w:pPr>
              <w:spacing w:line="240" w:lineRule="auto"/>
              <w:jc w:val="left"/>
              <w:rPr>
                <w:rFonts w:cs="Gautami"/>
                <w:b/>
                <w:bCs/>
                <w:sz w:val="16"/>
                <w:szCs w:val="16"/>
              </w:rPr>
            </w:pPr>
            <w:r w:rsidRPr="00DA4107">
              <w:rPr>
                <w:rFonts w:cs="Gautami"/>
                <w:b/>
                <w:bCs/>
                <w:sz w:val="16"/>
                <w:szCs w:val="16"/>
              </w:rPr>
              <w:t>13-14 financial YTD</w:t>
            </w:r>
          </w:p>
        </w:tc>
        <w:tc>
          <w:tcPr>
            <w:tcW w:w="598" w:type="pct"/>
            <w:tcBorders>
              <w:top w:val="nil"/>
              <w:left w:val="nil"/>
              <w:bottom w:val="single" w:sz="8" w:space="0" w:color="auto"/>
              <w:right w:val="nil"/>
            </w:tcBorders>
            <w:shd w:val="clear" w:color="000000" w:fill="DDD9C3"/>
            <w:noWrap/>
            <w:vAlign w:val="center"/>
            <w:hideMark/>
          </w:tcPr>
          <w:p w:rsidR="004869A0" w:rsidRPr="00DA4107" w:rsidRDefault="004869A0" w:rsidP="004869A0">
            <w:pPr>
              <w:spacing w:line="240" w:lineRule="auto"/>
              <w:jc w:val="center"/>
              <w:rPr>
                <w:rFonts w:cs="Gautami"/>
                <w:sz w:val="16"/>
                <w:szCs w:val="16"/>
              </w:rPr>
            </w:pPr>
            <w:r w:rsidRPr="00DA4107">
              <w:rPr>
                <w:rFonts w:cs="Gautami"/>
                <w:sz w:val="16"/>
                <w:szCs w:val="16"/>
              </w:rPr>
              <w:t>61</w:t>
            </w:r>
          </w:p>
        </w:tc>
        <w:tc>
          <w:tcPr>
            <w:tcW w:w="737" w:type="pct"/>
            <w:tcBorders>
              <w:top w:val="nil"/>
              <w:left w:val="nil"/>
              <w:bottom w:val="single" w:sz="8" w:space="0" w:color="auto"/>
              <w:right w:val="nil"/>
            </w:tcBorders>
            <w:shd w:val="clear" w:color="000000" w:fill="DDD9C3"/>
            <w:noWrap/>
            <w:vAlign w:val="center"/>
            <w:hideMark/>
          </w:tcPr>
          <w:p w:rsidR="004869A0" w:rsidRPr="00DA4107" w:rsidRDefault="004869A0" w:rsidP="004869A0">
            <w:pPr>
              <w:spacing w:line="240" w:lineRule="auto"/>
              <w:jc w:val="center"/>
              <w:rPr>
                <w:rFonts w:cs="Gautami"/>
                <w:sz w:val="16"/>
                <w:szCs w:val="16"/>
              </w:rPr>
            </w:pPr>
            <w:r w:rsidRPr="00DA4107">
              <w:rPr>
                <w:rFonts w:cs="Gautami"/>
                <w:sz w:val="16"/>
                <w:szCs w:val="16"/>
              </w:rPr>
              <w:t>55</w:t>
            </w:r>
          </w:p>
        </w:tc>
        <w:tc>
          <w:tcPr>
            <w:tcW w:w="564" w:type="pct"/>
            <w:tcBorders>
              <w:top w:val="nil"/>
              <w:left w:val="nil"/>
              <w:bottom w:val="single" w:sz="8" w:space="0" w:color="auto"/>
              <w:right w:val="nil"/>
            </w:tcBorders>
            <w:shd w:val="clear" w:color="000000" w:fill="DDD9C3"/>
            <w:noWrap/>
            <w:vAlign w:val="center"/>
            <w:hideMark/>
          </w:tcPr>
          <w:p w:rsidR="004869A0" w:rsidRPr="00DA4107" w:rsidRDefault="004869A0" w:rsidP="004869A0">
            <w:pPr>
              <w:spacing w:line="240" w:lineRule="auto"/>
              <w:jc w:val="center"/>
              <w:rPr>
                <w:rFonts w:cs="Gautami"/>
                <w:sz w:val="16"/>
                <w:szCs w:val="16"/>
              </w:rPr>
            </w:pPr>
            <w:r w:rsidRPr="00DA4107">
              <w:rPr>
                <w:rFonts w:cs="Gautami"/>
                <w:sz w:val="16"/>
                <w:szCs w:val="16"/>
              </w:rPr>
              <w:t>59</w:t>
            </w:r>
          </w:p>
        </w:tc>
        <w:tc>
          <w:tcPr>
            <w:tcW w:w="541" w:type="pct"/>
            <w:tcBorders>
              <w:top w:val="nil"/>
              <w:left w:val="nil"/>
              <w:bottom w:val="single" w:sz="8" w:space="0" w:color="auto"/>
              <w:right w:val="nil"/>
            </w:tcBorders>
            <w:shd w:val="clear" w:color="000000" w:fill="DDD9C3"/>
            <w:noWrap/>
            <w:vAlign w:val="center"/>
            <w:hideMark/>
          </w:tcPr>
          <w:p w:rsidR="004869A0" w:rsidRPr="00DA4107" w:rsidRDefault="004869A0" w:rsidP="004869A0">
            <w:pPr>
              <w:spacing w:line="240" w:lineRule="auto"/>
              <w:jc w:val="center"/>
              <w:rPr>
                <w:rFonts w:cs="Gautami"/>
                <w:sz w:val="16"/>
                <w:szCs w:val="16"/>
              </w:rPr>
            </w:pPr>
            <w:r w:rsidRPr="00DA4107">
              <w:rPr>
                <w:rFonts w:cs="Gautami"/>
                <w:sz w:val="16"/>
                <w:szCs w:val="16"/>
              </w:rPr>
              <w:t>79</w:t>
            </w:r>
          </w:p>
        </w:tc>
        <w:tc>
          <w:tcPr>
            <w:tcW w:w="610" w:type="pct"/>
            <w:tcBorders>
              <w:top w:val="nil"/>
              <w:left w:val="nil"/>
              <w:bottom w:val="single" w:sz="8" w:space="0" w:color="auto"/>
              <w:right w:val="nil"/>
            </w:tcBorders>
            <w:shd w:val="clear" w:color="000000" w:fill="DDD9C3"/>
            <w:noWrap/>
            <w:vAlign w:val="center"/>
            <w:hideMark/>
          </w:tcPr>
          <w:p w:rsidR="004869A0" w:rsidRPr="00DA4107" w:rsidRDefault="004869A0" w:rsidP="004869A0">
            <w:pPr>
              <w:spacing w:line="240" w:lineRule="auto"/>
              <w:jc w:val="center"/>
              <w:rPr>
                <w:rFonts w:cs="Gautami"/>
                <w:sz w:val="16"/>
                <w:szCs w:val="16"/>
              </w:rPr>
            </w:pPr>
            <w:r w:rsidRPr="00DA4107">
              <w:rPr>
                <w:rFonts w:cs="Gautami"/>
                <w:sz w:val="16"/>
                <w:szCs w:val="16"/>
              </w:rPr>
              <w:t>43</w:t>
            </w:r>
          </w:p>
        </w:tc>
      </w:tr>
    </w:tbl>
    <w:p w:rsidR="004869A0" w:rsidRDefault="004869A0" w:rsidP="00977DC4">
      <w:pPr>
        <w:pStyle w:val="AERbodytext"/>
        <w:spacing w:before="120"/>
      </w:pPr>
    </w:p>
    <w:p w:rsidR="00977DC4" w:rsidRPr="002D23B9" w:rsidRDefault="00B245E8" w:rsidP="00977DC4">
      <w:pPr>
        <w:pStyle w:val="AERbodytext"/>
        <w:spacing w:before="120"/>
      </w:pPr>
      <w:r w:rsidRPr="002D23B9">
        <w:t xml:space="preserve">Longer-term statistics tracking average spot market prices are available </w:t>
      </w:r>
      <w:r w:rsidR="000F1E82" w:rsidRPr="002D23B9">
        <w:t xml:space="preserve">on the </w:t>
      </w:r>
      <w:hyperlink r:id="rId11" w:history="1">
        <w:r w:rsidR="000F1E82" w:rsidRPr="002D23B9">
          <w:rPr>
            <w:rStyle w:val="Hyperlink"/>
            <w:color w:val="auto"/>
          </w:rPr>
          <w:t>AER website</w:t>
        </w:r>
      </w:hyperlink>
      <w:r w:rsidRPr="002D23B9">
        <w:t xml:space="preserve">. </w:t>
      </w:r>
    </w:p>
    <w:bookmarkEnd w:id="7"/>
    <w:bookmarkEnd w:id="8"/>
    <w:p w:rsidR="006E199B" w:rsidRPr="002D23B9" w:rsidRDefault="007F5786" w:rsidP="00BD4E2C">
      <w:pPr>
        <w:pStyle w:val="Heading2"/>
        <w:rPr>
          <w:color w:val="auto"/>
        </w:rPr>
      </w:pPr>
      <w:r w:rsidRPr="002D23B9">
        <w:rPr>
          <w:color w:val="auto"/>
        </w:rPr>
        <w:t xml:space="preserve">Spot market </w:t>
      </w:r>
      <w:r w:rsidR="00D71DBA" w:rsidRPr="002D23B9">
        <w:rPr>
          <w:color w:val="auto"/>
        </w:rPr>
        <w:t xml:space="preserve">price </w:t>
      </w:r>
      <w:r w:rsidRPr="002D23B9">
        <w:rPr>
          <w:color w:val="auto"/>
        </w:rPr>
        <w:t>forecast variations</w:t>
      </w:r>
    </w:p>
    <w:p w:rsidR="00083C2C" w:rsidRPr="002D23B9" w:rsidRDefault="009559D6" w:rsidP="00977DC4">
      <w:pPr>
        <w:pStyle w:val="AERbodytext"/>
      </w:pPr>
      <w:r w:rsidRPr="002D23B9">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w:t>
      </w:r>
      <w:r w:rsidR="00B71EC1" w:rsidRPr="002D23B9">
        <w:t xml:space="preserve">A </w:t>
      </w:r>
      <w:r w:rsidR="00DC7C6B" w:rsidRPr="002D23B9">
        <w:t xml:space="preserve">key focus is whether </w:t>
      </w:r>
      <w:r w:rsidR="00B71EC1" w:rsidRPr="002D23B9">
        <w:t>the actual price differs significantly from the forecast price either four or 12 hours ahead.</w:t>
      </w:r>
      <w:r w:rsidR="008270D7" w:rsidRPr="002D23B9">
        <w:t xml:space="preserve"> </w:t>
      </w:r>
      <w:r w:rsidR="00600BFB" w:rsidRPr="002D23B9">
        <w:t xml:space="preserve">These timeframes have been chosen as indicative of the time frames within which different technology types may be able to commit (intermediate plant within four hours and slow start plant within 12 hours). </w:t>
      </w:r>
    </w:p>
    <w:p w:rsidR="00977DC4" w:rsidRPr="002D23B9" w:rsidRDefault="004869A0" w:rsidP="004869A0">
      <w:pPr>
        <w:pStyle w:val="AERbodytext"/>
      </w:pPr>
      <w:r>
        <w:t xml:space="preserve">There were </w:t>
      </w:r>
      <w:r w:rsidR="009F1D3A">
        <w:t>75</w:t>
      </w:r>
      <w:r>
        <w:t xml:space="preserve"> trading intervals throughout the week where actual prices varied significantly from forecasts. This compares to the weekly average in 2013 of 97 counts and the average in 2012 of 60. </w:t>
      </w:r>
      <w:r w:rsidR="009559D6" w:rsidRPr="002D23B9">
        <w:t>Reasons for the</w:t>
      </w:r>
      <w:r w:rsidR="00DF5554" w:rsidRPr="002D23B9">
        <w:t xml:space="preserve"> variations for this week </w:t>
      </w:r>
      <w:r w:rsidR="009559D6" w:rsidRPr="002D23B9">
        <w:t xml:space="preserve">are summarised in </w:t>
      </w:r>
      <w:r w:rsidR="000D5C60" w:rsidRPr="002D23B9">
        <w:t xml:space="preserve">Table </w:t>
      </w:r>
      <w:r w:rsidR="00E27C7A" w:rsidRPr="002D23B9">
        <w:t>2</w:t>
      </w:r>
      <w:r w:rsidR="009559D6" w:rsidRPr="002D23B9">
        <w:t>.</w:t>
      </w:r>
      <w:r w:rsidR="00B71EC1" w:rsidRPr="002D23B9">
        <w:t xml:space="preserve"> </w:t>
      </w:r>
      <w:r w:rsidR="000E6CF1" w:rsidRPr="002D23B9">
        <w:t>Based on AER analysis, t</w:t>
      </w:r>
      <w:r w:rsidR="00B71EC1" w:rsidRPr="002D23B9">
        <w:t xml:space="preserve">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B71EC1" w:rsidRPr="002D23B9">
        <w:t>ahead</w:t>
      </w:r>
      <w:proofErr w:type="gramEnd"/>
      <w:r w:rsidR="00B71EC1" w:rsidRPr="002D23B9">
        <w:t xml:space="preserve"> forecasts differ significantly from the actual price will be counted as two variations.</w:t>
      </w:r>
    </w:p>
    <w:p w:rsidR="00977DC4" w:rsidRPr="002D23B9" w:rsidRDefault="008D0835" w:rsidP="00977DC4">
      <w:pPr>
        <w:pStyle w:val="AERtabletitle"/>
      </w:pPr>
      <w:r w:rsidRPr="002D23B9">
        <w:lastRenderedPageBreak/>
        <w:t xml:space="preserve">Table </w:t>
      </w:r>
      <w:r w:rsidR="00965EA9" w:rsidRPr="002D23B9">
        <w:t>2</w:t>
      </w:r>
      <w:r w:rsidR="00792C39" w:rsidRPr="002D23B9">
        <w:t>: Reasons for variations between forecast and actual prices</w:t>
      </w:r>
    </w:p>
    <w:tbl>
      <w:tblPr>
        <w:tblW w:w="9300" w:type="dxa"/>
        <w:tblInd w:w="108" w:type="dxa"/>
        <w:tblLook w:val="04A0" w:firstRow="1" w:lastRow="0" w:firstColumn="1" w:lastColumn="0" w:noHBand="0" w:noVBand="1"/>
      </w:tblPr>
      <w:tblGrid>
        <w:gridCol w:w="3636"/>
        <w:gridCol w:w="1428"/>
        <w:gridCol w:w="1436"/>
        <w:gridCol w:w="1297"/>
        <w:gridCol w:w="1503"/>
      </w:tblGrid>
      <w:tr w:rsidR="00535F84" w:rsidRPr="00DA4107" w:rsidTr="00DA4107">
        <w:trPr>
          <w:trHeight w:hRule="exact" w:val="454"/>
        </w:trPr>
        <w:tc>
          <w:tcPr>
            <w:tcW w:w="3636" w:type="dxa"/>
            <w:tcBorders>
              <w:top w:val="single" w:sz="8" w:space="0" w:color="7BA0CD"/>
              <w:left w:val="nil"/>
              <w:bottom w:val="nil"/>
              <w:right w:val="nil"/>
            </w:tcBorders>
            <w:shd w:val="clear" w:color="000000" w:fill="4A442A"/>
            <w:noWrap/>
            <w:vAlign w:val="center"/>
            <w:hideMark/>
          </w:tcPr>
          <w:p w:rsidR="00535F84" w:rsidRPr="00DA4107" w:rsidRDefault="00535F84" w:rsidP="00535F84">
            <w:pPr>
              <w:spacing w:line="240" w:lineRule="auto"/>
              <w:jc w:val="center"/>
              <w:rPr>
                <w:rFonts w:cs="Gautami"/>
                <w:color w:val="FFFFFF"/>
                <w:sz w:val="16"/>
                <w:szCs w:val="16"/>
              </w:rPr>
            </w:pPr>
            <w:r w:rsidRPr="00DA4107">
              <w:rPr>
                <w:rFonts w:cs="Gautami"/>
                <w:color w:val="FFFFFF"/>
                <w:sz w:val="16"/>
                <w:szCs w:val="16"/>
              </w:rPr>
              <w:t> </w:t>
            </w:r>
          </w:p>
        </w:tc>
        <w:tc>
          <w:tcPr>
            <w:tcW w:w="1428" w:type="dxa"/>
            <w:tcBorders>
              <w:top w:val="single" w:sz="8" w:space="0" w:color="7BA0CD"/>
              <w:left w:val="nil"/>
              <w:bottom w:val="nil"/>
              <w:right w:val="nil"/>
            </w:tcBorders>
            <w:shd w:val="clear" w:color="000000" w:fill="4A442A"/>
            <w:noWrap/>
            <w:vAlign w:val="center"/>
            <w:hideMark/>
          </w:tcPr>
          <w:p w:rsidR="00535F84" w:rsidRPr="00DA4107" w:rsidRDefault="00535F84" w:rsidP="00DA4107">
            <w:pPr>
              <w:spacing w:line="240" w:lineRule="auto"/>
              <w:ind w:firstLineChars="200" w:firstLine="320"/>
              <w:jc w:val="left"/>
              <w:rPr>
                <w:rFonts w:cs="Gautami"/>
                <w:color w:val="FFFFFF"/>
                <w:sz w:val="16"/>
                <w:szCs w:val="16"/>
              </w:rPr>
            </w:pPr>
            <w:r w:rsidRPr="00DA4107">
              <w:rPr>
                <w:rFonts w:cs="Gautami"/>
                <w:color w:val="FFFFFF"/>
                <w:sz w:val="16"/>
                <w:szCs w:val="16"/>
              </w:rPr>
              <w:t>Availability</w:t>
            </w:r>
          </w:p>
        </w:tc>
        <w:tc>
          <w:tcPr>
            <w:tcW w:w="1436" w:type="dxa"/>
            <w:tcBorders>
              <w:top w:val="single" w:sz="8" w:space="0" w:color="7BA0CD"/>
              <w:left w:val="nil"/>
              <w:bottom w:val="nil"/>
              <w:right w:val="nil"/>
            </w:tcBorders>
            <w:shd w:val="clear" w:color="000000" w:fill="4A442A"/>
            <w:noWrap/>
            <w:vAlign w:val="center"/>
            <w:hideMark/>
          </w:tcPr>
          <w:p w:rsidR="00535F84" w:rsidRPr="00DA4107" w:rsidRDefault="00535F84" w:rsidP="00535F84">
            <w:pPr>
              <w:spacing w:line="240" w:lineRule="auto"/>
              <w:jc w:val="center"/>
              <w:rPr>
                <w:rFonts w:cs="Gautami"/>
                <w:color w:val="FFFFFF"/>
                <w:sz w:val="16"/>
                <w:szCs w:val="16"/>
              </w:rPr>
            </w:pPr>
            <w:r w:rsidRPr="00DA4107">
              <w:rPr>
                <w:rFonts w:cs="Gautami"/>
                <w:color w:val="FFFFFF"/>
                <w:sz w:val="16"/>
                <w:szCs w:val="16"/>
              </w:rPr>
              <w:t>Demand</w:t>
            </w:r>
          </w:p>
        </w:tc>
        <w:tc>
          <w:tcPr>
            <w:tcW w:w="1297" w:type="dxa"/>
            <w:tcBorders>
              <w:top w:val="single" w:sz="8" w:space="0" w:color="7BA0CD"/>
              <w:left w:val="nil"/>
              <w:bottom w:val="nil"/>
              <w:right w:val="nil"/>
            </w:tcBorders>
            <w:shd w:val="clear" w:color="000000" w:fill="4A442A"/>
            <w:noWrap/>
            <w:vAlign w:val="center"/>
            <w:hideMark/>
          </w:tcPr>
          <w:p w:rsidR="00535F84" w:rsidRPr="00DA4107" w:rsidRDefault="00535F84" w:rsidP="00535F84">
            <w:pPr>
              <w:spacing w:line="240" w:lineRule="auto"/>
              <w:jc w:val="center"/>
              <w:rPr>
                <w:rFonts w:cs="Gautami"/>
                <w:color w:val="FFFFFF"/>
                <w:sz w:val="16"/>
                <w:szCs w:val="16"/>
              </w:rPr>
            </w:pPr>
            <w:r w:rsidRPr="00DA4107">
              <w:rPr>
                <w:rFonts w:cs="Gautami"/>
                <w:color w:val="FFFFFF"/>
                <w:sz w:val="16"/>
                <w:szCs w:val="16"/>
              </w:rPr>
              <w:t>Network</w:t>
            </w:r>
          </w:p>
        </w:tc>
        <w:tc>
          <w:tcPr>
            <w:tcW w:w="1503" w:type="dxa"/>
            <w:tcBorders>
              <w:top w:val="single" w:sz="8" w:space="0" w:color="7BA0CD"/>
              <w:left w:val="nil"/>
              <w:bottom w:val="nil"/>
              <w:right w:val="nil"/>
            </w:tcBorders>
            <w:shd w:val="clear" w:color="000000" w:fill="4A442A"/>
            <w:vAlign w:val="center"/>
            <w:hideMark/>
          </w:tcPr>
          <w:p w:rsidR="00535F84" w:rsidRPr="00DA4107" w:rsidRDefault="00535F84" w:rsidP="00DA4107">
            <w:pPr>
              <w:spacing w:line="240" w:lineRule="auto"/>
              <w:ind w:firstLineChars="100" w:firstLine="160"/>
              <w:jc w:val="left"/>
              <w:rPr>
                <w:rFonts w:cs="Gautami"/>
                <w:color w:val="FFFFFF"/>
                <w:sz w:val="16"/>
                <w:szCs w:val="16"/>
              </w:rPr>
            </w:pPr>
            <w:r w:rsidRPr="00DA4107">
              <w:rPr>
                <w:rFonts w:cs="Gautami"/>
                <w:color w:val="FFFFFF"/>
                <w:sz w:val="16"/>
                <w:szCs w:val="16"/>
              </w:rPr>
              <w:t>Combination</w:t>
            </w:r>
          </w:p>
        </w:tc>
      </w:tr>
      <w:tr w:rsidR="009F1D3A" w:rsidRPr="00DA4107" w:rsidTr="009F1D3A">
        <w:trPr>
          <w:trHeight w:hRule="exact" w:val="454"/>
        </w:trPr>
        <w:tc>
          <w:tcPr>
            <w:tcW w:w="3636" w:type="dxa"/>
            <w:tcBorders>
              <w:top w:val="nil"/>
              <w:left w:val="nil"/>
              <w:bottom w:val="nil"/>
              <w:right w:val="nil"/>
            </w:tcBorders>
            <w:shd w:val="clear" w:color="000000" w:fill="DDD9C3"/>
            <w:noWrap/>
            <w:vAlign w:val="center"/>
            <w:hideMark/>
          </w:tcPr>
          <w:p w:rsidR="009F1D3A" w:rsidRPr="00DA4107" w:rsidRDefault="009F1D3A" w:rsidP="00535F84">
            <w:pPr>
              <w:spacing w:line="240" w:lineRule="auto"/>
              <w:jc w:val="left"/>
              <w:rPr>
                <w:rFonts w:cs="Gautami"/>
                <w:b/>
                <w:bCs/>
                <w:sz w:val="16"/>
                <w:szCs w:val="16"/>
              </w:rPr>
            </w:pPr>
            <w:r w:rsidRPr="00DA4107">
              <w:rPr>
                <w:rFonts w:cs="Gautami"/>
                <w:b/>
                <w:bCs/>
                <w:sz w:val="16"/>
                <w:szCs w:val="16"/>
              </w:rPr>
              <w:t>% of total above forecast</w:t>
            </w:r>
          </w:p>
        </w:tc>
        <w:tc>
          <w:tcPr>
            <w:tcW w:w="1428" w:type="dxa"/>
            <w:tcBorders>
              <w:top w:val="nil"/>
              <w:left w:val="nil"/>
              <w:bottom w:val="nil"/>
              <w:right w:val="nil"/>
            </w:tcBorders>
            <w:shd w:val="clear" w:color="000000" w:fill="DDD9C3"/>
            <w:noWrap/>
            <w:vAlign w:val="center"/>
            <w:hideMark/>
          </w:tcPr>
          <w:p w:rsidR="009F1D3A" w:rsidRPr="009F1D3A" w:rsidRDefault="009F1D3A" w:rsidP="009F1D3A">
            <w:pPr>
              <w:spacing w:line="240" w:lineRule="auto"/>
              <w:jc w:val="center"/>
              <w:rPr>
                <w:rFonts w:cs="Gautami"/>
                <w:sz w:val="16"/>
                <w:szCs w:val="16"/>
              </w:rPr>
            </w:pPr>
            <w:r w:rsidRPr="009F1D3A">
              <w:rPr>
                <w:rFonts w:cs="Gautami"/>
                <w:sz w:val="16"/>
                <w:szCs w:val="16"/>
              </w:rPr>
              <w:t>4</w:t>
            </w:r>
          </w:p>
        </w:tc>
        <w:tc>
          <w:tcPr>
            <w:tcW w:w="1436" w:type="dxa"/>
            <w:tcBorders>
              <w:top w:val="nil"/>
              <w:left w:val="nil"/>
              <w:bottom w:val="nil"/>
              <w:right w:val="nil"/>
            </w:tcBorders>
            <w:shd w:val="clear" w:color="000000" w:fill="DDD9C3"/>
            <w:noWrap/>
            <w:vAlign w:val="center"/>
            <w:hideMark/>
          </w:tcPr>
          <w:p w:rsidR="009F1D3A" w:rsidRPr="009F1D3A" w:rsidRDefault="009F1D3A" w:rsidP="009F1D3A">
            <w:pPr>
              <w:spacing w:line="240" w:lineRule="auto"/>
              <w:jc w:val="center"/>
              <w:rPr>
                <w:rFonts w:cs="Gautami"/>
                <w:sz w:val="16"/>
                <w:szCs w:val="16"/>
              </w:rPr>
            </w:pPr>
            <w:r w:rsidRPr="009F1D3A">
              <w:rPr>
                <w:rFonts w:cs="Gautami"/>
                <w:sz w:val="16"/>
                <w:szCs w:val="16"/>
              </w:rPr>
              <w:t>72</w:t>
            </w:r>
          </w:p>
        </w:tc>
        <w:tc>
          <w:tcPr>
            <w:tcW w:w="1297" w:type="dxa"/>
            <w:tcBorders>
              <w:top w:val="nil"/>
              <w:left w:val="nil"/>
              <w:bottom w:val="nil"/>
              <w:right w:val="nil"/>
            </w:tcBorders>
            <w:shd w:val="clear" w:color="000000" w:fill="DDD9C3"/>
            <w:noWrap/>
            <w:vAlign w:val="center"/>
            <w:hideMark/>
          </w:tcPr>
          <w:p w:rsidR="009F1D3A" w:rsidRPr="009F1D3A" w:rsidRDefault="009F1D3A" w:rsidP="009F1D3A">
            <w:pPr>
              <w:spacing w:line="240" w:lineRule="auto"/>
              <w:jc w:val="center"/>
              <w:rPr>
                <w:rFonts w:cs="Gautami"/>
                <w:sz w:val="16"/>
                <w:szCs w:val="16"/>
              </w:rPr>
            </w:pPr>
            <w:r w:rsidRPr="009F1D3A">
              <w:rPr>
                <w:rFonts w:cs="Gautami"/>
                <w:sz w:val="16"/>
                <w:szCs w:val="16"/>
              </w:rPr>
              <w:t>0</w:t>
            </w:r>
          </w:p>
        </w:tc>
        <w:tc>
          <w:tcPr>
            <w:tcW w:w="1503" w:type="dxa"/>
            <w:tcBorders>
              <w:top w:val="nil"/>
              <w:left w:val="nil"/>
              <w:bottom w:val="nil"/>
              <w:right w:val="nil"/>
            </w:tcBorders>
            <w:shd w:val="clear" w:color="000000" w:fill="DDD9C3"/>
            <w:vAlign w:val="center"/>
            <w:hideMark/>
          </w:tcPr>
          <w:p w:rsidR="009F1D3A" w:rsidRPr="009F1D3A" w:rsidRDefault="009F1D3A" w:rsidP="009F1D3A">
            <w:pPr>
              <w:spacing w:line="240" w:lineRule="auto"/>
              <w:jc w:val="center"/>
              <w:rPr>
                <w:rFonts w:cs="Gautami"/>
                <w:sz w:val="16"/>
                <w:szCs w:val="16"/>
              </w:rPr>
            </w:pPr>
            <w:r w:rsidRPr="009F1D3A">
              <w:rPr>
                <w:rFonts w:cs="Gautami"/>
                <w:sz w:val="16"/>
                <w:szCs w:val="16"/>
              </w:rPr>
              <w:t>0</w:t>
            </w:r>
          </w:p>
        </w:tc>
      </w:tr>
      <w:tr w:rsidR="009F1D3A" w:rsidRPr="00DA4107" w:rsidTr="009F1D3A">
        <w:trPr>
          <w:trHeight w:hRule="exact" w:val="454"/>
        </w:trPr>
        <w:tc>
          <w:tcPr>
            <w:tcW w:w="3636" w:type="dxa"/>
            <w:tcBorders>
              <w:top w:val="nil"/>
              <w:left w:val="nil"/>
              <w:bottom w:val="single" w:sz="8" w:space="0" w:color="auto"/>
              <w:right w:val="nil"/>
            </w:tcBorders>
            <w:shd w:val="clear" w:color="000000" w:fill="EEECE1"/>
            <w:noWrap/>
            <w:vAlign w:val="center"/>
            <w:hideMark/>
          </w:tcPr>
          <w:p w:rsidR="009F1D3A" w:rsidRPr="00DA4107" w:rsidRDefault="009F1D3A" w:rsidP="00535F84">
            <w:pPr>
              <w:spacing w:line="240" w:lineRule="auto"/>
              <w:jc w:val="left"/>
              <w:rPr>
                <w:rFonts w:cs="Gautami"/>
                <w:b/>
                <w:bCs/>
                <w:sz w:val="16"/>
                <w:szCs w:val="16"/>
              </w:rPr>
            </w:pPr>
            <w:r w:rsidRPr="00DA4107">
              <w:rPr>
                <w:rFonts w:cs="Gautami"/>
                <w:b/>
                <w:bCs/>
                <w:sz w:val="16"/>
                <w:szCs w:val="16"/>
              </w:rPr>
              <w:t>% of total below forecast</w:t>
            </w:r>
          </w:p>
        </w:tc>
        <w:tc>
          <w:tcPr>
            <w:tcW w:w="1428" w:type="dxa"/>
            <w:tcBorders>
              <w:top w:val="nil"/>
              <w:left w:val="nil"/>
              <w:bottom w:val="single" w:sz="8" w:space="0" w:color="auto"/>
              <w:right w:val="nil"/>
            </w:tcBorders>
            <w:shd w:val="clear" w:color="000000" w:fill="EEECE1"/>
            <w:noWrap/>
            <w:vAlign w:val="center"/>
            <w:hideMark/>
          </w:tcPr>
          <w:p w:rsidR="009F1D3A" w:rsidRPr="009F1D3A" w:rsidRDefault="009F1D3A" w:rsidP="009F1D3A">
            <w:pPr>
              <w:spacing w:line="240" w:lineRule="auto"/>
              <w:jc w:val="center"/>
              <w:rPr>
                <w:rFonts w:cs="Gautami"/>
                <w:sz w:val="16"/>
                <w:szCs w:val="16"/>
              </w:rPr>
            </w:pPr>
            <w:r w:rsidRPr="009F1D3A">
              <w:rPr>
                <w:rFonts w:cs="Gautami"/>
                <w:sz w:val="16"/>
                <w:szCs w:val="16"/>
              </w:rPr>
              <w:t>51</w:t>
            </w:r>
          </w:p>
        </w:tc>
        <w:tc>
          <w:tcPr>
            <w:tcW w:w="1436" w:type="dxa"/>
            <w:tcBorders>
              <w:top w:val="nil"/>
              <w:left w:val="nil"/>
              <w:bottom w:val="single" w:sz="8" w:space="0" w:color="auto"/>
              <w:right w:val="nil"/>
            </w:tcBorders>
            <w:shd w:val="clear" w:color="000000" w:fill="EEECE1"/>
            <w:noWrap/>
            <w:vAlign w:val="center"/>
            <w:hideMark/>
          </w:tcPr>
          <w:p w:rsidR="009F1D3A" w:rsidRPr="009F1D3A" w:rsidRDefault="009F1D3A" w:rsidP="009F1D3A">
            <w:pPr>
              <w:spacing w:line="240" w:lineRule="auto"/>
              <w:jc w:val="center"/>
              <w:rPr>
                <w:rFonts w:cs="Gautami"/>
                <w:sz w:val="16"/>
                <w:szCs w:val="16"/>
              </w:rPr>
            </w:pPr>
            <w:r w:rsidRPr="009F1D3A">
              <w:rPr>
                <w:rFonts w:cs="Gautami"/>
                <w:sz w:val="16"/>
                <w:szCs w:val="16"/>
              </w:rPr>
              <w:t>28</w:t>
            </w:r>
          </w:p>
        </w:tc>
        <w:tc>
          <w:tcPr>
            <w:tcW w:w="1297" w:type="dxa"/>
            <w:tcBorders>
              <w:top w:val="nil"/>
              <w:left w:val="nil"/>
              <w:bottom w:val="single" w:sz="8" w:space="0" w:color="auto"/>
              <w:right w:val="nil"/>
            </w:tcBorders>
            <w:shd w:val="clear" w:color="000000" w:fill="EEECE1"/>
            <w:noWrap/>
            <w:vAlign w:val="center"/>
            <w:hideMark/>
          </w:tcPr>
          <w:p w:rsidR="009F1D3A" w:rsidRPr="009F1D3A" w:rsidRDefault="009F1D3A" w:rsidP="009F1D3A">
            <w:pPr>
              <w:spacing w:line="240" w:lineRule="auto"/>
              <w:jc w:val="center"/>
              <w:rPr>
                <w:rFonts w:cs="Gautami"/>
                <w:sz w:val="16"/>
                <w:szCs w:val="16"/>
              </w:rPr>
            </w:pPr>
            <w:r w:rsidRPr="009F1D3A">
              <w:rPr>
                <w:rFonts w:cs="Gautami"/>
                <w:sz w:val="16"/>
                <w:szCs w:val="16"/>
              </w:rPr>
              <w:t>0</w:t>
            </w:r>
          </w:p>
        </w:tc>
        <w:tc>
          <w:tcPr>
            <w:tcW w:w="1503" w:type="dxa"/>
            <w:tcBorders>
              <w:top w:val="nil"/>
              <w:left w:val="nil"/>
              <w:bottom w:val="single" w:sz="8" w:space="0" w:color="auto"/>
              <w:right w:val="nil"/>
            </w:tcBorders>
            <w:shd w:val="clear" w:color="000000" w:fill="EEECE1"/>
            <w:vAlign w:val="center"/>
            <w:hideMark/>
          </w:tcPr>
          <w:p w:rsidR="009F1D3A" w:rsidRPr="009F1D3A" w:rsidRDefault="009F1D3A" w:rsidP="009F1D3A">
            <w:pPr>
              <w:spacing w:line="240" w:lineRule="auto"/>
              <w:jc w:val="center"/>
              <w:rPr>
                <w:rFonts w:cs="Gautami"/>
                <w:sz w:val="16"/>
                <w:szCs w:val="16"/>
              </w:rPr>
            </w:pPr>
            <w:r w:rsidRPr="009F1D3A">
              <w:rPr>
                <w:rFonts w:cs="Gautami"/>
                <w:sz w:val="16"/>
                <w:szCs w:val="16"/>
              </w:rPr>
              <w:t>10</w:t>
            </w:r>
          </w:p>
        </w:tc>
      </w:tr>
      <w:tr w:rsidR="00DA4107" w:rsidRPr="00535F84" w:rsidTr="00535F84">
        <w:trPr>
          <w:gridAfter w:val="3"/>
          <w:wAfter w:w="4236" w:type="dxa"/>
          <w:trHeight w:val="255"/>
        </w:trPr>
        <w:tc>
          <w:tcPr>
            <w:tcW w:w="5064" w:type="dxa"/>
            <w:gridSpan w:val="2"/>
            <w:tcBorders>
              <w:top w:val="nil"/>
              <w:left w:val="nil"/>
              <w:bottom w:val="nil"/>
              <w:right w:val="nil"/>
            </w:tcBorders>
            <w:shd w:val="clear" w:color="auto" w:fill="auto"/>
            <w:noWrap/>
            <w:vAlign w:val="bottom"/>
            <w:hideMark/>
          </w:tcPr>
          <w:p w:rsidR="00DA4107" w:rsidRPr="00535F84" w:rsidRDefault="00DA4107" w:rsidP="00535F84">
            <w:pPr>
              <w:spacing w:line="240" w:lineRule="auto"/>
              <w:jc w:val="left"/>
              <w:rPr>
                <w:rFonts w:ascii="Arial" w:hAnsi="Arial" w:cs="Arial"/>
                <w:sz w:val="14"/>
                <w:szCs w:val="14"/>
              </w:rPr>
            </w:pPr>
            <w:r w:rsidRPr="00535F84">
              <w:rPr>
                <w:rFonts w:ascii="Arial" w:hAnsi="Arial" w:cs="Arial"/>
                <w:sz w:val="14"/>
                <w:szCs w:val="14"/>
              </w:rPr>
              <w:t>Note: Due to rounding, the total may not be exactly 100 per cent</w:t>
            </w:r>
          </w:p>
        </w:tc>
      </w:tr>
    </w:tbl>
    <w:p w:rsidR="00977DC4" w:rsidRPr="002D23B9" w:rsidRDefault="00D96C94" w:rsidP="00BD4E2C">
      <w:pPr>
        <w:pStyle w:val="Heading2"/>
        <w:rPr>
          <w:color w:val="auto"/>
        </w:rPr>
      </w:pPr>
      <w:r w:rsidRPr="002D23B9">
        <w:rPr>
          <w:color w:val="auto"/>
        </w:rPr>
        <w:t xml:space="preserve">Generation </w:t>
      </w:r>
      <w:r w:rsidR="00721BA4" w:rsidRPr="002D23B9">
        <w:rPr>
          <w:color w:val="auto"/>
        </w:rPr>
        <w:t>and bidding patterns</w:t>
      </w:r>
    </w:p>
    <w:p w:rsidR="00977DC4" w:rsidRDefault="007E6DC8" w:rsidP="00977DC4">
      <w:pPr>
        <w:pStyle w:val="AERbodytext"/>
        <w:spacing w:before="120"/>
      </w:pPr>
      <w:r w:rsidRPr="002D23B9">
        <w:t xml:space="preserve">The AER reviews generator bidding as part of its market monitoring to better understand the drivers behind price variations. </w:t>
      </w:r>
      <w:r w:rsidR="000D5C60" w:rsidRPr="002D23B9">
        <w:t xml:space="preserve">Figures </w:t>
      </w:r>
      <w:r w:rsidR="00E27C7A" w:rsidRPr="002D23B9">
        <w:t>2</w:t>
      </w:r>
      <w:r w:rsidR="000D5C60" w:rsidRPr="002D23B9">
        <w:t xml:space="preserve"> to </w:t>
      </w:r>
      <w:r w:rsidR="00E27C7A" w:rsidRPr="002D23B9">
        <w:t>6</w:t>
      </w:r>
      <w:r w:rsidR="0048688D" w:rsidRPr="002D23B9">
        <w:t xml:space="preserve"> </w:t>
      </w:r>
      <w:r w:rsidR="000D5C60" w:rsidRPr="002D23B9">
        <w:t xml:space="preserve">show, the </w:t>
      </w:r>
      <w:r w:rsidR="00A92F2B" w:rsidRPr="002D23B9">
        <w:t xml:space="preserve">total generation </w:t>
      </w:r>
      <w:r w:rsidR="00D71DBA" w:rsidRPr="002D23B9">
        <w:t xml:space="preserve">dispatched </w:t>
      </w:r>
      <w:r w:rsidR="000D5C60" w:rsidRPr="002D23B9">
        <w:t xml:space="preserve">and the amounts of capacity </w:t>
      </w:r>
      <w:r w:rsidR="00E970B3" w:rsidRPr="002D23B9">
        <w:t>offered</w:t>
      </w:r>
      <w:r w:rsidR="000D5C60" w:rsidRPr="002D23B9">
        <w:t xml:space="preserve"> within certain price bands</w:t>
      </w:r>
      <w:r w:rsidR="00D71DBA" w:rsidRPr="002D23B9">
        <w:t xml:space="preserve"> for each 30 minute trading interval</w:t>
      </w:r>
      <w:r w:rsidR="00E970B3" w:rsidRPr="002D23B9">
        <w:t xml:space="preserve"> in each region</w:t>
      </w:r>
      <w:r w:rsidR="000D5C60" w:rsidRPr="002D23B9">
        <w:t>.</w:t>
      </w:r>
      <w:r w:rsidR="00EB2877" w:rsidRPr="002D23B9">
        <w:t xml:space="preserve"> </w:t>
      </w:r>
    </w:p>
    <w:p w:rsidR="005E55B8" w:rsidRDefault="005E55B8" w:rsidP="00977DC4">
      <w:pPr>
        <w:pStyle w:val="AERbodytext"/>
        <w:spacing w:before="120"/>
      </w:pPr>
    </w:p>
    <w:p w:rsidR="007B3BA6" w:rsidRPr="002D23B9" w:rsidRDefault="0078358A" w:rsidP="00977DC4">
      <w:pPr>
        <w:pStyle w:val="AERbodytext"/>
        <w:spacing w:before="120"/>
      </w:pPr>
      <w:r>
        <w:t>Figure 3</w:t>
      </w:r>
      <w:r w:rsidR="005E55B8">
        <w:t xml:space="preserve"> shows that generators have not offered capacity between $500/MWh and $5000/MWh on the 29 and 30 January and </w:t>
      </w:r>
      <w:r>
        <w:t>Figure 4</w:t>
      </w:r>
      <w:r w:rsidR="007B3BA6">
        <w:t xml:space="preserve"> shows </w:t>
      </w:r>
      <w:r w:rsidR="005E55B8">
        <w:t>a similar situation for the whole week in New South Wales.</w:t>
      </w:r>
    </w:p>
    <w:p w:rsidR="00F4461C" w:rsidRPr="002D23B9" w:rsidRDefault="0078358A" w:rsidP="0064299A">
      <w:pPr>
        <w:pStyle w:val="Figureheading"/>
        <w:numPr>
          <w:ilvl w:val="0"/>
          <w:numId w:val="0"/>
        </w:numPr>
      </w:pPr>
      <w:r>
        <w:t>Figure 3</w:t>
      </w:r>
      <w:r w:rsidR="00F4461C" w:rsidRPr="002D23B9">
        <w:t>: Queensland generation and bidding patterns</w:t>
      </w:r>
    </w:p>
    <w:p w:rsidR="00F4461C" w:rsidRPr="002D23B9" w:rsidRDefault="00C16407" w:rsidP="002652CD">
      <w:pPr>
        <w:pStyle w:val="AERbodytext"/>
      </w:pPr>
      <w:r>
        <w:pict>
          <v:shape id="_x0000_i1028" type="#_x0000_t75" alt="Figure 3 shows the total generation dispatched and the amounts of capacity bid in within certain price bands for each 30 minute trading interval in Queensland this week.&#10;Should you require a description of the data for the week under review, please email us at AERInquiry@aer.gov.au.   &#10;" style="width:450.8pt;height:307.4pt">
            <v:imagedata r:id="rId12" o:title=""/>
          </v:shape>
        </w:pict>
      </w:r>
    </w:p>
    <w:p w:rsidR="00F4461C" w:rsidRPr="002D23B9" w:rsidRDefault="00F4461C" w:rsidP="00F4461C">
      <w:pPr>
        <w:pStyle w:val="Figureheading"/>
        <w:numPr>
          <w:ilvl w:val="0"/>
          <w:numId w:val="0"/>
        </w:numPr>
        <w:ind w:left="357" w:hanging="357"/>
      </w:pPr>
      <w:r w:rsidRPr="002D23B9">
        <w:t xml:space="preserve">Figure </w:t>
      </w:r>
      <w:r w:rsidR="0078358A">
        <w:t>4</w:t>
      </w:r>
      <w:r w:rsidRPr="002D23B9">
        <w:t>: New South Wales generation and bidding patterns</w:t>
      </w:r>
    </w:p>
    <w:p w:rsidR="002652CD" w:rsidRPr="002D23B9" w:rsidRDefault="00C16407" w:rsidP="002652CD">
      <w:pPr>
        <w:pStyle w:val="AERbodytext"/>
      </w:pPr>
      <w:r>
        <w:pict>
          <v:shape id="_x0000_i1029" type="#_x0000_t75" al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10;" style="width:450.8pt;height:307.4pt">
            <v:imagedata r:id="rId13" o:title=""/>
          </v:shape>
        </w:pict>
      </w:r>
    </w:p>
    <w:p w:rsidR="00F4461C" w:rsidRPr="002D23B9" w:rsidRDefault="00F4461C" w:rsidP="00F4461C">
      <w:pPr>
        <w:pStyle w:val="Figureheading"/>
        <w:numPr>
          <w:ilvl w:val="0"/>
          <w:numId w:val="0"/>
        </w:numPr>
        <w:ind w:left="357" w:hanging="357"/>
      </w:pPr>
      <w:r w:rsidRPr="002D23B9">
        <w:t xml:space="preserve">Figure </w:t>
      </w:r>
      <w:r w:rsidR="0078358A">
        <w:t>5</w:t>
      </w:r>
      <w:r w:rsidRPr="002D23B9">
        <w:t>: Victoria generation and bidding patterns</w:t>
      </w:r>
    </w:p>
    <w:p w:rsidR="00785F23" w:rsidRPr="002D23B9" w:rsidRDefault="00D335BF" w:rsidP="00785F23">
      <w:pPr>
        <w:pStyle w:val="AERbodytext"/>
      </w:pPr>
      <w:r>
        <w:rPr>
          <w:noProof/>
          <w:lang w:eastAsia="en-AU"/>
        </w:rPr>
        <w:pict>
          <v:oval id="_x0000_s1041" style="position:absolute;left:0;text-align:left;margin-left:134.45pt;margin-top:26.35pt;width:155.45pt;height:116.45pt;z-index:251661312" filled="f" strokecolor="red" strokeweight="2pt"/>
        </w:pict>
      </w:r>
      <w:r w:rsidR="00C16407">
        <w:pict>
          <v:shape id="_x0000_i1030" type="#_x0000_t75" alt="Figure 5 shows the total generation dispatched and the amounts of capacity bid in within certain price bands for each 30 minute trading interval in Victoria this week.&#10;Should you require a description of the data for the week under review, please email us at AERInquiry@aer.gov.au.   &#10;" style="width:450.8pt;height:307.4pt">
            <v:imagedata r:id="rId14" o:title=""/>
          </v:shape>
        </w:pict>
      </w:r>
    </w:p>
    <w:p w:rsidR="00C52BE5" w:rsidRPr="002D23B9" w:rsidRDefault="00C52BE5" w:rsidP="00C52BE5">
      <w:pPr>
        <w:pStyle w:val="Figureheading"/>
        <w:numPr>
          <w:ilvl w:val="0"/>
          <w:numId w:val="0"/>
        </w:numPr>
        <w:ind w:left="357" w:hanging="357"/>
      </w:pPr>
      <w:r w:rsidRPr="002D23B9">
        <w:t xml:space="preserve">Figure </w:t>
      </w:r>
      <w:r w:rsidR="0078358A">
        <w:t>6</w:t>
      </w:r>
      <w:r w:rsidRPr="002D23B9">
        <w:t>: South Australia</w:t>
      </w:r>
      <w:r w:rsidR="00D96C94" w:rsidRPr="002D23B9">
        <w:t xml:space="preserve"> generation and bidding patterns</w:t>
      </w:r>
    </w:p>
    <w:p w:rsidR="002652CD" w:rsidRPr="002D23B9" w:rsidRDefault="00D335BF" w:rsidP="002652CD">
      <w:pPr>
        <w:pStyle w:val="AERbodytext"/>
      </w:pPr>
      <w:r>
        <w:rPr>
          <w:noProof/>
          <w:lang w:eastAsia="en-AU"/>
        </w:rPr>
        <w:pict>
          <v:oval id="_x0000_s1042" style="position:absolute;left:0;text-align:left;margin-left:170.9pt;margin-top:3.55pt;width:57.6pt;height:151.65pt;z-index:251662336" filled="f" strokecolor="red" strokeweight="2pt"/>
        </w:pict>
      </w:r>
      <w:r w:rsidR="00C16407">
        <w:pict>
          <v:shape id="_x0000_i1031" type="#_x0000_t75" al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10;" style="width:450.8pt;height:308.05pt">
            <v:imagedata r:id="rId15" o:title=""/>
          </v:shape>
        </w:pict>
      </w:r>
    </w:p>
    <w:p w:rsidR="0048688D" w:rsidRPr="002D23B9" w:rsidRDefault="0048688D" w:rsidP="0048688D">
      <w:pPr>
        <w:pStyle w:val="Figureheading"/>
        <w:numPr>
          <w:ilvl w:val="0"/>
          <w:numId w:val="0"/>
        </w:numPr>
        <w:ind w:left="357" w:hanging="357"/>
      </w:pPr>
      <w:r w:rsidRPr="002D23B9">
        <w:t xml:space="preserve">Figure </w:t>
      </w:r>
      <w:r w:rsidR="0078358A">
        <w:t>7</w:t>
      </w:r>
      <w:r w:rsidRPr="002D23B9">
        <w:t>: Tasmania</w:t>
      </w:r>
      <w:r w:rsidR="00D96C94" w:rsidRPr="002D23B9">
        <w:t xml:space="preserve"> generation and bidding patterns</w:t>
      </w:r>
    </w:p>
    <w:p w:rsidR="00B027E9" w:rsidRDefault="00D335BF" w:rsidP="002652CD">
      <w:pPr>
        <w:pStyle w:val="AERbodytext"/>
      </w:pPr>
      <w:r>
        <w:rPr>
          <w:noProof/>
          <w:lang w:eastAsia="en-AU"/>
        </w:rPr>
        <w:pict>
          <v:oval id="_x0000_s1056" style="position:absolute;left:0;text-align:left;margin-left:169.85pt;margin-top:22.4pt;width:57.6pt;height:151.65pt;z-index:251663360" filled="f" strokecolor="red" strokeweight="2pt"/>
        </w:pict>
      </w:r>
      <w:r w:rsidR="00C16407">
        <w:pict>
          <v:shape id="_x0000_i1032" type="#_x0000_t75" alt="Figure 7 shows the total generation dispatched and the amounts of capacity bid in within certain price bands for each 30 minute trading interval in Tasmania this week.&#10;Should you require a description of the data for the week under review, please email us at AERInquiry@aer.gov.au.   &#10;" style="width:450.8pt;height:307.4pt">
            <v:imagedata r:id="rId16" o:title=""/>
          </v:shape>
        </w:pict>
      </w:r>
    </w:p>
    <w:p w:rsidR="00A13C92" w:rsidRPr="002D23B9" w:rsidRDefault="00A13C92" w:rsidP="002652CD">
      <w:pPr>
        <w:pStyle w:val="AERbodytext"/>
      </w:pPr>
      <w:r>
        <w:t xml:space="preserve">The red circles in figures 5, 6 and 7 coincide with the prices explained in the </w:t>
      </w:r>
      <w:proofErr w:type="gramStart"/>
      <w:r w:rsidRPr="00395F2E">
        <w:rPr>
          <w:i/>
          <w:color w:val="000000"/>
        </w:rPr>
        <w:t>Detailed</w:t>
      </w:r>
      <w:proofErr w:type="gramEnd"/>
      <w:r w:rsidRPr="00395F2E">
        <w:rPr>
          <w:i/>
          <w:color w:val="000000"/>
        </w:rPr>
        <w:t xml:space="preserve"> market analysis of significant price events </w:t>
      </w:r>
      <w:r>
        <w:rPr>
          <w:color w:val="000000"/>
        </w:rPr>
        <w:t>section below.</w:t>
      </w:r>
    </w:p>
    <w:p w:rsidR="00977DC4" w:rsidRPr="002D23B9" w:rsidRDefault="000125FD" w:rsidP="00BD4E2C">
      <w:pPr>
        <w:pStyle w:val="Heading2"/>
        <w:rPr>
          <w:color w:val="auto"/>
        </w:rPr>
      </w:pPr>
      <w:r w:rsidRPr="002D23B9">
        <w:rPr>
          <w:color w:val="auto"/>
        </w:rPr>
        <w:t>Frequency control a</w:t>
      </w:r>
      <w:r w:rsidR="00221B68" w:rsidRPr="002D23B9">
        <w:rPr>
          <w:color w:val="auto"/>
        </w:rPr>
        <w:t>ncillary services market</w:t>
      </w:r>
      <w:r w:rsidRPr="002D23B9">
        <w:rPr>
          <w:color w:val="auto"/>
        </w:rPr>
        <w:t>s</w:t>
      </w:r>
    </w:p>
    <w:p w:rsidR="00733916" w:rsidRPr="002D23B9" w:rsidRDefault="0026403E" w:rsidP="0026403E">
      <w:pPr>
        <w:pStyle w:val="AERbodytext"/>
      </w:pPr>
      <w:r w:rsidRPr="002D23B9">
        <w:t xml:space="preserve">Frequency control ancillary services (FCAS) are required to maintain the frequency of the power system within the frequency operating standards. </w:t>
      </w:r>
      <w:r w:rsidR="00733916" w:rsidRPr="002D23B9">
        <w:t>Raise and lower r</w:t>
      </w:r>
      <w:r w:rsidRPr="002D23B9">
        <w:t xml:space="preserve">egulation services are used to address small </w:t>
      </w:r>
      <w:r w:rsidR="000722C8" w:rsidRPr="002D23B9">
        <w:t>fluctuations</w:t>
      </w:r>
      <w:r w:rsidRPr="002D23B9">
        <w:t xml:space="preserve"> in frequency, </w:t>
      </w:r>
      <w:r w:rsidR="00E970B3" w:rsidRPr="002D23B9">
        <w:t xml:space="preserve">while </w:t>
      </w:r>
      <w:r w:rsidR="00733916" w:rsidRPr="002D23B9">
        <w:t xml:space="preserve">raise and lower </w:t>
      </w:r>
      <w:r w:rsidRPr="002D23B9">
        <w:t xml:space="preserve">contingency services are used to address larger </w:t>
      </w:r>
      <w:r w:rsidR="00733916" w:rsidRPr="002D23B9">
        <w:t xml:space="preserve">frequency deviations. There are six contingency services: </w:t>
      </w:r>
    </w:p>
    <w:p w:rsidR="00733916" w:rsidRPr="002D23B9" w:rsidRDefault="00733916" w:rsidP="00733916">
      <w:pPr>
        <w:pStyle w:val="Listbullet1"/>
      </w:pPr>
      <w:r w:rsidRPr="002D23B9">
        <w:rPr>
          <w:i/>
        </w:rPr>
        <w:t>fast services</w:t>
      </w:r>
      <w:r w:rsidRPr="002D23B9">
        <w:t>, which arrest a frequency deviation within the first 6 seconds of a contingent event (raise and lower 6</w:t>
      </w:r>
      <w:r w:rsidR="00715ED6" w:rsidRPr="002D23B9">
        <w:t> </w:t>
      </w:r>
      <w:r w:rsidRPr="002D23B9">
        <w:t>sec</w:t>
      </w:r>
      <w:r w:rsidR="00715ED6" w:rsidRPr="002D23B9">
        <w:t>ond</w:t>
      </w:r>
      <w:r w:rsidRPr="002D23B9">
        <w:t>)</w:t>
      </w:r>
    </w:p>
    <w:p w:rsidR="00733916" w:rsidRPr="002D23B9" w:rsidRDefault="00733916" w:rsidP="00733916">
      <w:pPr>
        <w:pStyle w:val="Listbullet1"/>
      </w:pPr>
      <w:r w:rsidRPr="002D23B9">
        <w:rPr>
          <w:i/>
        </w:rPr>
        <w:t>slow services</w:t>
      </w:r>
      <w:r w:rsidRPr="002D23B9">
        <w:t>, which stabilise frequency deviations within 60 seconds of the event (raise and lower 60</w:t>
      </w:r>
      <w:r w:rsidR="00715ED6" w:rsidRPr="002D23B9">
        <w:t> </w:t>
      </w:r>
      <w:r w:rsidRPr="002D23B9">
        <w:t>sec</w:t>
      </w:r>
      <w:r w:rsidR="00715ED6" w:rsidRPr="002D23B9">
        <w:t>ond</w:t>
      </w:r>
      <w:r w:rsidRPr="002D23B9">
        <w:t>)</w:t>
      </w:r>
    </w:p>
    <w:p w:rsidR="0026403E" w:rsidRPr="002D23B9" w:rsidRDefault="00733916" w:rsidP="00733916">
      <w:pPr>
        <w:pStyle w:val="Listbullet1"/>
      </w:pPr>
      <w:proofErr w:type="gramStart"/>
      <w:r w:rsidRPr="002D23B9">
        <w:rPr>
          <w:i/>
        </w:rPr>
        <w:t>delayed</w:t>
      </w:r>
      <w:proofErr w:type="gramEnd"/>
      <w:r w:rsidRPr="002D23B9">
        <w:rPr>
          <w:i/>
        </w:rPr>
        <w:t xml:space="preserve"> services</w:t>
      </w:r>
      <w:r w:rsidRPr="002D23B9">
        <w:t>, which return the frequency to the normal operating band within 5 minutes (raise and lower 5</w:t>
      </w:r>
      <w:r w:rsidR="00715ED6" w:rsidRPr="002D23B9">
        <w:t xml:space="preserve"> </w:t>
      </w:r>
      <w:r w:rsidRPr="002D23B9">
        <w:t>min</w:t>
      </w:r>
      <w:r w:rsidR="00715ED6" w:rsidRPr="002D23B9">
        <w:t>ute</w:t>
      </w:r>
      <w:r w:rsidRPr="002D23B9">
        <w:t>)</w:t>
      </w:r>
      <w:r w:rsidR="00B032DD" w:rsidRPr="002D23B9">
        <w:t xml:space="preserve"> at which </w:t>
      </w:r>
      <w:r w:rsidR="00715ED6" w:rsidRPr="002D23B9">
        <w:t xml:space="preserve">time the </w:t>
      </w:r>
      <w:r w:rsidR="00753DF7" w:rsidRPr="002D23B9">
        <w:t xml:space="preserve">five minute </w:t>
      </w:r>
      <w:r w:rsidR="00715ED6" w:rsidRPr="002D23B9">
        <w:t xml:space="preserve">dispatch process will take </w:t>
      </w:r>
      <w:r w:rsidR="00753DF7" w:rsidRPr="002D23B9">
        <w:t>effect.</w:t>
      </w:r>
    </w:p>
    <w:p w:rsidR="00F11D5A" w:rsidRPr="002D23B9" w:rsidRDefault="00475DAA" w:rsidP="00F11D5A">
      <w:pPr>
        <w:pStyle w:val="AERbodytext"/>
      </w:pPr>
      <w:r w:rsidRPr="002D23B9">
        <w:t>T</w:t>
      </w:r>
      <w:r w:rsidR="00F11D5A" w:rsidRPr="002D23B9">
        <w:t>he Electricity Rules stipulate that generators pay for raise contingency services</w:t>
      </w:r>
      <w:r w:rsidRPr="002D23B9">
        <w:t xml:space="preserve"> and customers pay for lower contingency services.</w:t>
      </w:r>
      <w:r w:rsidR="00F13747" w:rsidRPr="002D23B9">
        <w:t xml:space="preserve"> Regulation services are paid for on a “causer pays” basis determined </w:t>
      </w:r>
      <w:r w:rsidR="00E970B3" w:rsidRPr="002D23B9">
        <w:t xml:space="preserve">every </w:t>
      </w:r>
      <w:r w:rsidR="00F13747" w:rsidRPr="002D23B9">
        <w:t>four weeks by AEMO.</w:t>
      </w:r>
    </w:p>
    <w:p w:rsidR="00DA4107" w:rsidRDefault="0097000C" w:rsidP="00021E37">
      <w:pPr>
        <w:pStyle w:val="AERbodytext"/>
      </w:pPr>
      <w:r w:rsidRPr="0097000C">
        <w:t>The total cost of FCAS on the mainland for the week was $</w:t>
      </w:r>
      <w:r w:rsidR="00051870">
        <w:t>223</w:t>
      </w:r>
      <w:r w:rsidR="00A47AC9">
        <w:t> </w:t>
      </w:r>
      <w:r w:rsidR="00051870">
        <w:t>0</w:t>
      </w:r>
      <w:r w:rsidRPr="0097000C">
        <w:t xml:space="preserve">00 or less than 1 per cent of </w:t>
      </w:r>
      <w:r>
        <w:t>energy turnover on the mainland</w:t>
      </w:r>
      <w:r w:rsidR="00221B68" w:rsidRPr="002D23B9">
        <w:t xml:space="preserve">. </w:t>
      </w:r>
    </w:p>
    <w:p w:rsidR="00A47AC9" w:rsidRPr="00983BA2" w:rsidRDefault="0097000C" w:rsidP="00021E37">
      <w:pPr>
        <w:pStyle w:val="AERbodytext"/>
        <w:rPr>
          <w:b/>
          <w:i/>
        </w:rPr>
      </w:pPr>
      <w:r w:rsidRPr="0097000C">
        <w:t>The total cost of FCAS in Tasmania for the w</w:t>
      </w:r>
      <w:r w:rsidR="008F642B">
        <w:t>eek was $</w:t>
      </w:r>
      <w:r w:rsidR="00051870">
        <w:t>460</w:t>
      </w:r>
      <w:r w:rsidR="00DA4107">
        <w:t> </w:t>
      </w:r>
      <w:r w:rsidR="008F642B">
        <w:t xml:space="preserve">000 or </w:t>
      </w:r>
      <w:r w:rsidR="00DA4107">
        <w:t xml:space="preserve">around </w:t>
      </w:r>
      <w:r w:rsidR="00051870">
        <w:t>8</w:t>
      </w:r>
      <w:r w:rsidR="008F642B">
        <w:t xml:space="preserve"> </w:t>
      </w:r>
      <w:r w:rsidRPr="0097000C">
        <w:t xml:space="preserve">per cent of energy </w:t>
      </w:r>
      <w:r w:rsidRPr="00DA4107">
        <w:t xml:space="preserve">turnover in Tasmania. </w:t>
      </w:r>
      <w:r w:rsidR="00DA4107" w:rsidRPr="00DA4107">
        <w:t>T</w:t>
      </w:r>
      <w:r w:rsidR="00DD32A6" w:rsidRPr="00DA4107">
        <w:t xml:space="preserve">he majority of this cost </w:t>
      </w:r>
      <w:r w:rsidR="00A47AC9">
        <w:t xml:space="preserve">accrued </w:t>
      </w:r>
      <w:r w:rsidR="00DD32A6" w:rsidRPr="00DA4107">
        <w:t xml:space="preserve">on </w:t>
      </w:r>
      <w:r w:rsidR="00051870">
        <w:t>28</w:t>
      </w:r>
      <w:r w:rsidR="00DD32A6" w:rsidRPr="00DA4107">
        <w:t xml:space="preserve"> and </w:t>
      </w:r>
      <w:r w:rsidR="00051870">
        <w:t>31</w:t>
      </w:r>
      <w:r w:rsidR="00DD32A6" w:rsidRPr="00DA4107">
        <w:t xml:space="preserve"> January</w:t>
      </w:r>
      <w:r w:rsidR="00051870">
        <w:t xml:space="preserve"> and 1 February</w:t>
      </w:r>
      <w:r w:rsidR="00DD32A6" w:rsidRPr="00DA4107">
        <w:t xml:space="preserve">. </w:t>
      </w:r>
    </w:p>
    <w:p w:rsidR="00395F2E" w:rsidRPr="00395F2E" w:rsidRDefault="0064015F" w:rsidP="00021E37">
      <w:pPr>
        <w:pStyle w:val="AERbodytext"/>
      </w:pPr>
      <w:r w:rsidRPr="00395F2E">
        <w:t xml:space="preserve">On </w:t>
      </w:r>
      <w:r w:rsidR="00871BC7" w:rsidRPr="00395F2E">
        <w:t>28</w:t>
      </w:r>
      <w:r w:rsidRPr="00395F2E">
        <w:t xml:space="preserve"> January</w:t>
      </w:r>
      <w:r w:rsidR="00EE539F" w:rsidRPr="00395F2E">
        <w:t xml:space="preserve"> </w:t>
      </w:r>
      <w:r w:rsidR="00395F2E">
        <w:t xml:space="preserve">at 4.50 pm </w:t>
      </w:r>
      <w:r w:rsidR="00EE539F" w:rsidRPr="00395F2E">
        <w:t xml:space="preserve">the lower 6 sec service </w:t>
      </w:r>
      <w:r w:rsidR="00395F2E" w:rsidRPr="00395F2E">
        <w:t xml:space="preserve">price </w:t>
      </w:r>
      <w:r w:rsidR="00395F2E">
        <w:t xml:space="preserve">in Tasmania </w:t>
      </w:r>
      <w:r w:rsidR="00395F2E" w:rsidRPr="00395F2E">
        <w:t>was being co-optimised with energy in Victoria. At 4.55 pm the energy price in Victoria reach</w:t>
      </w:r>
      <w:r w:rsidR="00395F2E">
        <w:t>ed</w:t>
      </w:r>
      <w:r w:rsidR="00395F2E" w:rsidRPr="00395F2E">
        <w:t xml:space="preserve"> $</w:t>
      </w:r>
      <w:r w:rsidR="00395F2E">
        <w:t>3552</w:t>
      </w:r>
      <w:r w:rsidR="00395F2E" w:rsidRPr="00395F2E">
        <w:t>/MWh</w:t>
      </w:r>
      <w:r w:rsidR="00395F2E">
        <w:t xml:space="preserve"> (described in the </w:t>
      </w:r>
      <w:proofErr w:type="gramStart"/>
      <w:r w:rsidR="00395F2E" w:rsidRPr="00395F2E">
        <w:rPr>
          <w:i/>
          <w:color w:val="000000"/>
        </w:rPr>
        <w:t>Detailed</w:t>
      </w:r>
      <w:proofErr w:type="gramEnd"/>
      <w:r w:rsidR="00395F2E" w:rsidRPr="00395F2E">
        <w:rPr>
          <w:i/>
          <w:color w:val="000000"/>
        </w:rPr>
        <w:t xml:space="preserve"> market analysis of significant price events </w:t>
      </w:r>
      <w:r w:rsidR="00395F2E">
        <w:rPr>
          <w:color w:val="000000"/>
        </w:rPr>
        <w:t>section)</w:t>
      </w:r>
      <w:r w:rsidR="00395F2E" w:rsidRPr="00395F2E">
        <w:t xml:space="preserve">. As the remaining </w:t>
      </w:r>
      <w:r w:rsidR="00395F2E">
        <w:t xml:space="preserve">lower </w:t>
      </w:r>
      <w:r w:rsidR="00395F2E" w:rsidRPr="00395F2E">
        <w:t xml:space="preserve">6 sec service available in Tasmania was priced at the cap </w:t>
      </w:r>
      <w:r w:rsidR="00395F2E">
        <w:t xml:space="preserve">Lower </w:t>
      </w:r>
      <w:r w:rsidR="00395F2E" w:rsidRPr="00395F2E">
        <w:t>6 services continued to be co-optimised and the price reached $3538/MW at 4.55 pm and $1152/MW at 5 pm for a cost of around $139 000</w:t>
      </w:r>
      <w:r w:rsidR="00395F2E">
        <w:t>.</w:t>
      </w:r>
    </w:p>
    <w:p w:rsidR="00EE539F" w:rsidRPr="00EE41F8" w:rsidRDefault="00EE539F" w:rsidP="00021E37">
      <w:pPr>
        <w:pStyle w:val="AERbodytext"/>
      </w:pPr>
      <w:r w:rsidRPr="00EE41F8">
        <w:t>On 3</w:t>
      </w:r>
      <w:r w:rsidR="00EE41F8" w:rsidRPr="00EE41F8">
        <w:t>1</w:t>
      </w:r>
      <w:r w:rsidR="00894D3C">
        <w:t xml:space="preserve"> </w:t>
      </w:r>
      <w:r w:rsidRPr="00EE41F8">
        <w:t>January</w:t>
      </w:r>
      <w:r w:rsidR="00EE41F8" w:rsidRPr="00EE41F8">
        <w:t xml:space="preserve"> at 9.20 pm Basslink entered the no-go zone</w:t>
      </w:r>
      <w:r w:rsidR="00894D3C">
        <w:t xml:space="preserve"> and stayed there until 9.30 pm</w:t>
      </w:r>
      <w:r w:rsidR="00EE41F8" w:rsidRPr="00EE41F8">
        <w:t>. This saw the local requirement for lower regulation services increase from zero at 9.15 pm to around 50 MW at 9.20 </w:t>
      </w:r>
      <w:r w:rsidR="00EE41F8" w:rsidRPr="00894D3C">
        <w:t xml:space="preserve">pm. With only around </w:t>
      </w:r>
      <w:r w:rsidR="00894D3C" w:rsidRPr="00894D3C">
        <w:t>26 </w:t>
      </w:r>
      <w:r w:rsidR="00EE41F8" w:rsidRPr="00894D3C">
        <w:t xml:space="preserve">MW of lower </w:t>
      </w:r>
      <w:r w:rsidR="00894D3C" w:rsidRPr="00894D3C">
        <w:t>regulation</w:t>
      </w:r>
      <w:r w:rsidR="00EE41F8" w:rsidRPr="00894D3C">
        <w:t xml:space="preserve"> services available at prices less than price cap, high-price capacity was dispatched which saw the price reach the cap at 9.20 pm and 9.25 pm. The total cost of the</w:t>
      </w:r>
      <w:r w:rsidR="00EE41F8" w:rsidRPr="00EE41F8">
        <w:t xml:space="preserve"> local lower </w:t>
      </w:r>
      <w:r w:rsidR="00EE41F8">
        <w:t>regulation</w:t>
      </w:r>
      <w:r w:rsidR="00EE41F8" w:rsidRPr="00EE41F8">
        <w:t xml:space="preserve"> services for the 10 minute period from 9.20 pm reached $113 502.</w:t>
      </w:r>
    </w:p>
    <w:p w:rsidR="0064015F" w:rsidRPr="00EC411D" w:rsidRDefault="00894D3C" w:rsidP="00021E37">
      <w:pPr>
        <w:pStyle w:val="AERbodytext"/>
      </w:pPr>
      <w:r w:rsidRPr="00EC411D">
        <w:t>A</w:t>
      </w:r>
      <w:r w:rsidR="0064015F" w:rsidRPr="00EC411D">
        <w:t xml:space="preserve">t </w:t>
      </w:r>
      <w:r w:rsidRPr="00EC411D">
        <w:t>6.</w:t>
      </w:r>
      <w:r w:rsidR="0064015F" w:rsidRPr="00EC411D">
        <w:t>5</w:t>
      </w:r>
      <w:r w:rsidRPr="00EC411D">
        <w:t>2</w:t>
      </w:r>
      <w:r w:rsidR="00DA4107" w:rsidRPr="00EC411D">
        <w:t> </w:t>
      </w:r>
      <w:r w:rsidR="0064015F" w:rsidRPr="00EC411D">
        <w:t>pm</w:t>
      </w:r>
      <w:r w:rsidR="00EC411D">
        <w:t>, effective from 7.05 pm,</w:t>
      </w:r>
      <w:r w:rsidR="0064015F" w:rsidRPr="00EC411D">
        <w:t xml:space="preserve"> Basslink Pty. Ltd. rebid the availability of Basslink from 594</w:t>
      </w:r>
      <w:r w:rsidR="00DA4107" w:rsidRPr="00EC411D">
        <w:t> </w:t>
      </w:r>
      <w:r w:rsidR="0064015F" w:rsidRPr="00EC411D">
        <w:t xml:space="preserve">MW </w:t>
      </w:r>
      <w:r w:rsidR="00D557CD" w:rsidRPr="00EC411D">
        <w:t xml:space="preserve">down </w:t>
      </w:r>
      <w:r w:rsidR="0064015F" w:rsidRPr="00EC411D">
        <w:t xml:space="preserve">to </w:t>
      </w:r>
      <w:r w:rsidR="002C0BF1" w:rsidRPr="00EC411D">
        <w:t>478</w:t>
      </w:r>
      <w:r w:rsidR="00DA4107" w:rsidRPr="00EC411D">
        <w:t> </w:t>
      </w:r>
      <w:r w:rsidR="0064015F" w:rsidRPr="00EC411D">
        <w:t>MW. The reason given was “</w:t>
      </w:r>
      <w:r w:rsidRPr="00EC411D">
        <w:t>Temperature alarm</w:t>
      </w:r>
      <w:r w:rsidR="0064015F" w:rsidRPr="00EC411D">
        <w:t xml:space="preserve">”, </w:t>
      </w:r>
      <w:r w:rsidR="00DB1C34" w:rsidRPr="00EC411D">
        <w:t>which</w:t>
      </w:r>
      <w:r w:rsidR="00F025BF" w:rsidRPr="00EC411D">
        <w:t xml:space="preserve"> </w:t>
      </w:r>
      <w:r w:rsidR="0064015F" w:rsidRPr="00EC411D">
        <w:t xml:space="preserve">means that Basslink was operating outside its envelope and </w:t>
      </w:r>
      <w:r w:rsidR="00F025BF" w:rsidRPr="00EC411D">
        <w:t xml:space="preserve">therefore </w:t>
      </w:r>
      <w:r w:rsidR="0064015F" w:rsidRPr="00EC411D">
        <w:t xml:space="preserve">needed to be reduced. </w:t>
      </w:r>
      <w:r w:rsidR="00F025BF" w:rsidRPr="00EC411D">
        <w:t xml:space="preserve">As a result, </w:t>
      </w:r>
      <w:r w:rsidR="0064015F" w:rsidRPr="00EC411D">
        <w:t>the target and maximum availability</w:t>
      </w:r>
      <w:r w:rsidR="00DB1C34" w:rsidRPr="00EC411D">
        <w:t xml:space="preserve"> of Basslink </w:t>
      </w:r>
      <w:r w:rsidR="00D557CD" w:rsidRPr="00EC411D">
        <w:t>converg</w:t>
      </w:r>
      <w:r w:rsidR="00F025BF" w:rsidRPr="00EC411D">
        <w:t>ed</w:t>
      </w:r>
      <w:r w:rsidR="00DB1C34" w:rsidRPr="00EC411D">
        <w:t xml:space="preserve"> at </w:t>
      </w:r>
      <w:r w:rsidR="00EC411D" w:rsidRPr="00EC411D">
        <w:t>7.05 </w:t>
      </w:r>
      <w:r w:rsidR="0064015F" w:rsidRPr="00EC411D">
        <w:t xml:space="preserve">pm. </w:t>
      </w:r>
      <w:r w:rsidR="00F025BF" w:rsidRPr="00EC411D">
        <w:t xml:space="preserve">With </w:t>
      </w:r>
      <w:r w:rsidR="0064015F" w:rsidRPr="00EC411D">
        <w:t>no headroom on Basslink to transfer lower services from the mainland</w:t>
      </w:r>
      <w:r w:rsidR="00F025BF" w:rsidRPr="00EC411D">
        <w:t xml:space="preserve">, they had to be sourced </w:t>
      </w:r>
      <w:r w:rsidR="0064015F" w:rsidRPr="00EC411D">
        <w:t>locally. The requirement for local lower regu</w:t>
      </w:r>
      <w:r w:rsidR="00DB1C34" w:rsidRPr="00EC411D">
        <w:t xml:space="preserve">lation </w:t>
      </w:r>
      <w:r w:rsidR="00D557CD" w:rsidRPr="00EC411D">
        <w:t xml:space="preserve">services </w:t>
      </w:r>
      <w:r w:rsidR="00DB1C34" w:rsidRPr="00EC411D">
        <w:t xml:space="preserve">increased from 26 MW at </w:t>
      </w:r>
      <w:r w:rsidR="00EC411D" w:rsidRPr="00EC411D">
        <w:t>7</w:t>
      </w:r>
      <w:r w:rsidR="00DA4107" w:rsidRPr="00EC411D">
        <w:t> </w:t>
      </w:r>
      <w:r w:rsidR="00DB1C34" w:rsidRPr="00EC411D">
        <w:t>pm to 50</w:t>
      </w:r>
      <w:r w:rsidR="00DA4107" w:rsidRPr="00EC411D">
        <w:t> </w:t>
      </w:r>
      <w:r w:rsidR="00DB1C34" w:rsidRPr="00EC411D">
        <w:t xml:space="preserve">MW at </w:t>
      </w:r>
      <w:r w:rsidR="00EC411D" w:rsidRPr="00EC411D">
        <w:t>7.0</w:t>
      </w:r>
      <w:r w:rsidR="0064015F" w:rsidRPr="00EC411D">
        <w:t>5</w:t>
      </w:r>
      <w:r w:rsidR="00DA4107" w:rsidRPr="00EC411D">
        <w:t> </w:t>
      </w:r>
      <w:r w:rsidR="0064015F" w:rsidRPr="00EC411D">
        <w:t>pm. With only 26</w:t>
      </w:r>
      <w:r w:rsidR="00DA4107" w:rsidRPr="00EC411D">
        <w:t> </w:t>
      </w:r>
      <w:r w:rsidR="0064015F" w:rsidRPr="00EC411D">
        <w:t xml:space="preserve">MW </w:t>
      </w:r>
      <w:r w:rsidR="00D557CD" w:rsidRPr="00EC411D">
        <w:t xml:space="preserve">of local lower regulation services </w:t>
      </w:r>
      <w:r w:rsidR="0064015F" w:rsidRPr="00EC411D">
        <w:t xml:space="preserve">available </w:t>
      </w:r>
      <w:r w:rsidR="00F025BF" w:rsidRPr="00EC411D">
        <w:t xml:space="preserve">at </w:t>
      </w:r>
      <w:r w:rsidR="00D557CD" w:rsidRPr="00EC411D">
        <w:t xml:space="preserve">prices below </w:t>
      </w:r>
      <w:r w:rsidR="0064015F" w:rsidRPr="00EC411D">
        <w:t>the price c</w:t>
      </w:r>
      <w:r w:rsidR="00DB1C34" w:rsidRPr="00EC411D">
        <w:t>ap</w:t>
      </w:r>
      <w:r w:rsidR="00D557CD" w:rsidRPr="00EC411D">
        <w:t>,</w:t>
      </w:r>
      <w:r w:rsidR="00DB1C34" w:rsidRPr="00EC411D">
        <w:t xml:space="preserve"> </w:t>
      </w:r>
      <w:r w:rsidR="00BC4982" w:rsidRPr="00EC411D">
        <w:t xml:space="preserve">high price capacity was dispatched which saw </w:t>
      </w:r>
      <w:r w:rsidR="00DB1C34" w:rsidRPr="00EC411D">
        <w:t xml:space="preserve">the </w:t>
      </w:r>
      <w:r w:rsidR="00D557CD" w:rsidRPr="00EC411D">
        <w:t xml:space="preserve">5-minute </w:t>
      </w:r>
      <w:r w:rsidR="00DB1C34" w:rsidRPr="00EC411D">
        <w:t xml:space="preserve">price </w:t>
      </w:r>
      <w:r w:rsidR="00D557CD" w:rsidRPr="00EC411D">
        <w:t xml:space="preserve">reach the price cap </w:t>
      </w:r>
      <w:r w:rsidR="00DB1C34" w:rsidRPr="00EC411D">
        <w:t xml:space="preserve">at </w:t>
      </w:r>
      <w:r w:rsidR="00EC411D" w:rsidRPr="00EC411D">
        <w:t>7.05</w:t>
      </w:r>
      <w:r w:rsidR="00DA4107" w:rsidRPr="00EC411D">
        <w:t> </w:t>
      </w:r>
      <w:r w:rsidR="0064015F" w:rsidRPr="00EC411D">
        <w:t>pm</w:t>
      </w:r>
      <w:r w:rsidR="00EC411D" w:rsidRPr="00EC411D">
        <w:t xml:space="preserve"> and 7.10 pm</w:t>
      </w:r>
      <w:r w:rsidR="0064015F" w:rsidRPr="00EC411D">
        <w:t>.</w:t>
      </w:r>
      <w:r w:rsidR="00EC411D">
        <w:t xml:space="preserve"> At 7.05 pm, effective from 7.15 pm, Hydro Tasmania rebid all the high priced capacity to low prices and the price fell to previous levels. </w:t>
      </w:r>
      <w:r w:rsidR="00354964">
        <w:t>Then at 7.48 pm, effective from 8.05 pm, Hydro Tasmania reversed the above bid and the price reach the price cap at 8.05 pm. At 8.10 pm Basslink flow was reduced from the maximum available and the requirement for local regulation services reduced to zero.</w:t>
      </w:r>
    </w:p>
    <w:p w:rsidR="00977DC4" w:rsidRPr="002D23B9" w:rsidRDefault="0097000C" w:rsidP="0097000C">
      <w:pPr>
        <w:pStyle w:val="AERbodytext"/>
      </w:pPr>
      <w:r>
        <w:t xml:space="preserve">Figure </w:t>
      </w:r>
      <w:r w:rsidR="0078358A">
        <w:t>8</w:t>
      </w:r>
      <w:r>
        <w:t xml:space="preserve"> shows the daily breakdown of cost for each FCAS for the NEM, as well as the average cost since the beginning of the previous financial year.</w:t>
      </w:r>
    </w:p>
    <w:p w:rsidR="00977DC4" w:rsidRPr="002D23B9" w:rsidRDefault="00977DC4" w:rsidP="00977DC4">
      <w:pPr>
        <w:pStyle w:val="Figureheading"/>
        <w:numPr>
          <w:ilvl w:val="0"/>
          <w:numId w:val="0"/>
        </w:numPr>
        <w:ind w:left="357" w:hanging="357"/>
      </w:pPr>
      <w:r w:rsidRPr="002D23B9">
        <w:t xml:space="preserve">Figure </w:t>
      </w:r>
      <w:r w:rsidR="0078358A">
        <w:t>8</w:t>
      </w:r>
      <w:r w:rsidRPr="002D23B9">
        <w:t>: Daily frequency control ancillary service cost</w:t>
      </w:r>
    </w:p>
    <w:p w:rsidR="002652CD" w:rsidRPr="002D23B9" w:rsidRDefault="00C16407" w:rsidP="002652CD">
      <w:pPr>
        <w:pStyle w:val="AERbodytext"/>
      </w:pPr>
      <w:r>
        <w:pict>
          <v:shape id="_x0000_i1033" type="#_x0000_t75" alt="Figure 8 shows the daily breakdown of cost for each FCAS for the NEM, as well as the average cost since the beginning of the previous financial year.&#10;Should you require a description of the data for the week under review, please email us at  AERInquiry@aer.gov.au.        &#10;        &#10;        &#10;        &#10;" style="width:450.8pt;height:224.75pt">
            <v:imagedata r:id="rId17" o:title=""/>
          </v:shape>
        </w:pict>
      </w:r>
    </w:p>
    <w:bookmarkEnd w:id="0"/>
    <w:bookmarkEnd w:id="1"/>
    <w:bookmarkEnd w:id="2"/>
    <w:bookmarkEnd w:id="3"/>
    <w:bookmarkEnd w:id="4"/>
    <w:bookmarkEnd w:id="5"/>
    <w:p w:rsidR="003A4158" w:rsidRPr="009A7C33" w:rsidRDefault="003A4158" w:rsidP="003A4158">
      <w:pPr>
        <w:pStyle w:val="Heading2"/>
        <w:rPr>
          <w:color w:val="000000" w:themeColor="text1"/>
        </w:rPr>
      </w:pPr>
      <w:r w:rsidRPr="009A7C33">
        <w:rPr>
          <w:color w:val="000000" w:themeColor="text1"/>
        </w:rPr>
        <w:t>Detailed market analysis of significant price events</w:t>
      </w:r>
    </w:p>
    <w:p w:rsidR="003A4158" w:rsidRPr="009A7C33" w:rsidRDefault="003A4158" w:rsidP="003A4158">
      <w:pPr>
        <w:pStyle w:val="AERbodytext"/>
        <w:rPr>
          <w:color w:val="000000" w:themeColor="text1"/>
        </w:rPr>
      </w:pPr>
      <w:r w:rsidRPr="009A7C33">
        <w:rPr>
          <w:color w:val="000000" w:themeColor="text1"/>
        </w:rPr>
        <w:t xml:space="preserve">We provide more detailed analysis of events where the spot price was greater than three times the weekly average price in a region and above $250/MWh or was below </w:t>
      </w:r>
      <w:r w:rsidRPr="009A7C33">
        <w:rPr>
          <w:color w:val="000000" w:themeColor="text1"/>
        </w:rPr>
        <w:noBreakHyphen/>
        <w:t xml:space="preserve">$100/MWh. </w:t>
      </w:r>
      <w:r w:rsidR="00E4436A">
        <w:rPr>
          <w:color w:val="000000" w:themeColor="text1"/>
        </w:rPr>
        <w:t>There was one such occasion in Victoria, two in South Australia and one in Tasmania</w:t>
      </w:r>
      <w:r w:rsidR="00E4436A" w:rsidRPr="00E4436A">
        <w:rPr>
          <w:color w:val="000000" w:themeColor="text1"/>
        </w:rPr>
        <w:t xml:space="preserve"> </w:t>
      </w:r>
      <w:r w:rsidR="00E4436A" w:rsidRPr="00E4436A">
        <w:rPr>
          <w:color w:val="000000"/>
        </w:rPr>
        <w:t>as shown below</w:t>
      </w:r>
      <w:r w:rsidR="00E4436A">
        <w:rPr>
          <w:color w:val="000000"/>
        </w:rPr>
        <w:t>.</w:t>
      </w:r>
    </w:p>
    <w:p w:rsidR="003A4158" w:rsidRPr="009A7C33" w:rsidRDefault="003A4158" w:rsidP="003A4158">
      <w:pPr>
        <w:pStyle w:val="AERtabletitle"/>
        <w:rPr>
          <w:color w:val="000000" w:themeColor="text1"/>
        </w:rPr>
      </w:pPr>
      <w:r w:rsidRPr="009A7C33">
        <w:rPr>
          <w:color w:val="000000" w:themeColor="text1"/>
        </w:rPr>
        <w:t xml:space="preserve">Table 3: </w:t>
      </w:r>
      <w:r w:rsidR="009A7C33" w:rsidRPr="009A7C33">
        <w:rPr>
          <w:color w:val="000000" w:themeColor="text1"/>
        </w:rPr>
        <w:t>Victoria</w:t>
      </w:r>
      <w:r w:rsidRPr="009A7C33">
        <w:rPr>
          <w:color w:val="000000" w:themeColor="text1"/>
        </w:rPr>
        <w:t>,</w:t>
      </w:r>
      <w:r w:rsidR="002C7E9A" w:rsidRPr="009A7C33">
        <w:rPr>
          <w:color w:val="000000" w:themeColor="text1"/>
        </w:rPr>
        <w:t xml:space="preserve"> </w:t>
      </w:r>
      <w:r w:rsidR="009A7C33" w:rsidRPr="009A7C33">
        <w:rPr>
          <w:color w:val="000000" w:themeColor="text1"/>
        </w:rPr>
        <w:t>Tuesday</w:t>
      </w:r>
      <w:r w:rsidR="002B7646" w:rsidRPr="009A7C33">
        <w:rPr>
          <w:color w:val="000000" w:themeColor="text1"/>
        </w:rPr>
        <w:t xml:space="preserve"> </w:t>
      </w:r>
      <w:r w:rsidR="009A7C33" w:rsidRPr="009A7C33">
        <w:rPr>
          <w:color w:val="000000" w:themeColor="text1"/>
        </w:rPr>
        <w:t>28</w:t>
      </w:r>
      <w:r w:rsidR="002B7646" w:rsidRPr="009A7C33">
        <w:rPr>
          <w:color w:val="000000" w:themeColor="text1"/>
        </w:rPr>
        <w:t xml:space="preserve"> January</w:t>
      </w:r>
    </w:p>
    <w:tbl>
      <w:tblPr>
        <w:tblW w:w="10065" w:type="dxa"/>
        <w:tblInd w:w="108" w:type="dxa"/>
        <w:tblBorders>
          <w:top w:val="single" w:sz="8" w:space="0" w:color="7BA0CD"/>
          <w:bottom w:val="single" w:sz="8" w:space="0" w:color="7BA0CD"/>
        </w:tblBorders>
        <w:tblLayout w:type="fixed"/>
        <w:tblLook w:val="04A0" w:firstRow="1" w:lastRow="0" w:firstColumn="1" w:lastColumn="0" w:noHBand="0" w:noVBand="1"/>
      </w:tblPr>
      <w:tblGrid>
        <w:gridCol w:w="851"/>
        <w:gridCol w:w="992"/>
        <w:gridCol w:w="1134"/>
        <w:gridCol w:w="992"/>
        <w:gridCol w:w="851"/>
        <w:gridCol w:w="142"/>
        <w:gridCol w:w="850"/>
        <w:gridCol w:w="142"/>
        <w:gridCol w:w="1134"/>
        <w:gridCol w:w="850"/>
        <w:gridCol w:w="993"/>
        <w:gridCol w:w="1134"/>
      </w:tblGrid>
      <w:tr w:rsidR="009A7C33" w:rsidRPr="009A7C33" w:rsidTr="00A3607A">
        <w:tc>
          <w:tcPr>
            <w:tcW w:w="851" w:type="dxa"/>
            <w:tcBorders>
              <w:top w:val="single" w:sz="4" w:space="0" w:color="auto"/>
              <w:left w:val="single" w:sz="4" w:space="0" w:color="auto"/>
              <w:bottom w:val="nil"/>
            </w:tcBorders>
            <w:shd w:val="clear" w:color="auto" w:fill="4A442A"/>
            <w:noWrap/>
          </w:tcPr>
          <w:p w:rsidR="00A3607A" w:rsidRPr="009A7C33" w:rsidRDefault="00A3607A" w:rsidP="009F1D3A">
            <w:pPr>
              <w:autoSpaceDE w:val="0"/>
              <w:autoSpaceDN w:val="0"/>
              <w:adjustRightInd w:val="0"/>
              <w:spacing w:before="100" w:after="100"/>
              <w:rPr>
                <w:b/>
                <w:bCs/>
                <w:color w:val="FFFFFF" w:themeColor="background1"/>
                <w:sz w:val="18"/>
                <w:szCs w:val="18"/>
              </w:rPr>
            </w:pPr>
            <w:r w:rsidRPr="009A7C33">
              <w:rPr>
                <w:b/>
                <w:bCs/>
                <w:color w:val="FFFFFF" w:themeColor="background1"/>
                <w:sz w:val="18"/>
                <w:szCs w:val="18"/>
              </w:rPr>
              <w:t>Time</w:t>
            </w:r>
          </w:p>
        </w:tc>
        <w:tc>
          <w:tcPr>
            <w:tcW w:w="3118" w:type="dxa"/>
            <w:gridSpan w:val="3"/>
            <w:tcBorders>
              <w:top w:val="single" w:sz="4" w:space="0" w:color="auto"/>
              <w:bottom w:val="nil"/>
            </w:tcBorders>
            <w:shd w:val="clear" w:color="auto" w:fill="4A442A"/>
            <w:noWrap/>
          </w:tcPr>
          <w:p w:rsidR="00A3607A" w:rsidRPr="009A7C33" w:rsidRDefault="00A3607A" w:rsidP="009F1D3A">
            <w:pPr>
              <w:autoSpaceDE w:val="0"/>
              <w:autoSpaceDN w:val="0"/>
              <w:adjustRightInd w:val="0"/>
              <w:spacing w:before="100" w:after="100"/>
              <w:jc w:val="center"/>
              <w:rPr>
                <w:b/>
                <w:bCs/>
                <w:color w:val="FFFFFF" w:themeColor="background1"/>
                <w:sz w:val="18"/>
                <w:szCs w:val="18"/>
              </w:rPr>
            </w:pPr>
            <w:r w:rsidRPr="009A7C33">
              <w:rPr>
                <w:b/>
                <w:bCs/>
                <w:color w:val="FFFFFF" w:themeColor="background1"/>
                <w:sz w:val="18"/>
                <w:szCs w:val="18"/>
              </w:rPr>
              <w:t>Price ($/MWh)</w:t>
            </w:r>
          </w:p>
        </w:tc>
        <w:tc>
          <w:tcPr>
            <w:tcW w:w="3119" w:type="dxa"/>
            <w:gridSpan w:val="5"/>
            <w:tcBorders>
              <w:top w:val="single" w:sz="4" w:space="0" w:color="auto"/>
              <w:bottom w:val="nil"/>
            </w:tcBorders>
            <w:shd w:val="clear" w:color="auto" w:fill="4A442A"/>
          </w:tcPr>
          <w:p w:rsidR="00A3607A" w:rsidRPr="009A7C33" w:rsidDel="0074250B" w:rsidRDefault="00A3607A" w:rsidP="009F1D3A">
            <w:pPr>
              <w:autoSpaceDE w:val="0"/>
              <w:autoSpaceDN w:val="0"/>
              <w:adjustRightInd w:val="0"/>
              <w:spacing w:before="100" w:after="100"/>
              <w:jc w:val="center"/>
              <w:rPr>
                <w:b/>
                <w:bCs/>
                <w:color w:val="FFFFFF" w:themeColor="background1"/>
                <w:sz w:val="18"/>
                <w:szCs w:val="18"/>
              </w:rPr>
            </w:pPr>
            <w:r w:rsidRPr="009A7C33">
              <w:rPr>
                <w:b/>
                <w:bCs/>
                <w:color w:val="FFFFFF" w:themeColor="background1"/>
                <w:sz w:val="18"/>
                <w:szCs w:val="18"/>
              </w:rPr>
              <w:t>Demand (MW)</w:t>
            </w:r>
          </w:p>
        </w:tc>
        <w:tc>
          <w:tcPr>
            <w:tcW w:w="2977" w:type="dxa"/>
            <w:gridSpan w:val="3"/>
            <w:tcBorders>
              <w:top w:val="single" w:sz="4" w:space="0" w:color="auto"/>
              <w:bottom w:val="nil"/>
              <w:right w:val="single" w:sz="4" w:space="0" w:color="auto"/>
            </w:tcBorders>
            <w:shd w:val="clear" w:color="auto" w:fill="4A442A"/>
          </w:tcPr>
          <w:p w:rsidR="00A3607A" w:rsidRPr="009A7C33" w:rsidDel="0074250B" w:rsidRDefault="00A3607A" w:rsidP="009F1D3A">
            <w:pPr>
              <w:autoSpaceDE w:val="0"/>
              <w:autoSpaceDN w:val="0"/>
              <w:adjustRightInd w:val="0"/>
              <w:spacing w:before="100" w:after="100"/>
              <w:jc w:val="center"/>
              <w:rPr>
                <w:b/>
                <w:bCs/>
                <w:color w:val="FFFFFF" w:themeColor="background1"/>
                <w:sz w:val="18"/>
                <w:szCs w:val="18"/>
              </w:rPr>
            </w:pPr>
            <w:r w:rsidRPr="009A7C33">
              <w:rPr>
                <w:b/>
                <w:bCs/>
                <w:color w:val="FFFFFF" w:themeColor="background1"/>
                <w:sz w:val="18"/>
                <w:szCs w:val="18"/>
              </w:rPr>
              <w:t>Availability (MW)</w:t>
            </w:r>
          </w:p>
        </w:tc>
      </w:tr>
      <w:tr w:rsidR="009A7C33" w:rsidRPr="009A7C33" w:rsidTr="00A3607A">
        <w:tc>
          <w:tcPr>
            <w:tcW w:w="851" w:type="dxa"/>
            <w:tcBorders>
              <w:top w:val="nil"/>
              <w:left w:val="single" w:sz="6" w:space="0" w:color="auto"/>
              <w:bottom w:val="nil"/>
              <w:right w:val="single" w:sz="6" w:space="0" w:color="auto"/>
            </w:tcBorders>
            <w:shd w:val="clear" w:color="auto" w:fill="DDD9C3"/>
            <w:noWrap/>
          </w:tcPr>
          <w:p w:rsidR="00A3607A" w:rsidRPr="009A7C33" w:rsidRDefault="00A3607A" w:rsidP="009F1D3A">
            <w:pPr>
              <w:autoSpaceDE w:val="0"/>
              <w:autoSpaceDN w:val="0"/>
              <w:adjustRightInd w:val="0"/>
              <w:spacing w:before="100" w:after="100"/>
              <w:rPr>
                <w:b/>
                <w:bCs/>
                <w:color w:val="000000" w:themeColor="text1"/>
                <w:sz w:val="18"/>
                <w:szCs w:val="18"/>
              </w:rPr>
            </w:pPr>
          </w:p>
        </w:tc>
        <w:tc>
          <w:tcPr>
            <w:tcW w:w="992" w:type="dxa"/>
            <w:tcBorders>
              <w:top w:val="nil"/>
              <w:left w:val="single" w:sz="6" w:space="0" w:color="auto"/>
              <w:bottom w:val="nil"/>
              <w:right w:val="nil"/>
            </w:tcBorders>
            <w:shd w:val="clear" w:color="auto" w:fill="DDD9C3"/>
            <w:noWrap/>
          </w:tcPr>
          <w:p w:rsidR="00A3607A" w:rsidRPr="009A7C33" w:rsidRDefault="00A3607A" w:rsidP="009F1D3A">
            <w:pPr>
              <w:autoSpaceDE w:val="0"/>
              <w:autoSpaceDN w:val="0"/>
              <w:adjustRightInd w:val="0"/>
              <w:spacing w:before="100" w:after="100"/>
              <w:jc w:val="center"/>
              <w:rPr>
                <w:b/>
                <w:bCs/>
                <w:color w:val="000000" w:themeColor="text1"/>
                <w:sz w:val="18"/>
                <w:szCs w:val="18"/>
              </w:rPr>
            </w:pPr>
            <w:r w:rsidRPr="009A7C33">
              <w:rPr>
                <w:b/>
                <w:bCs/>
                <w:color w:val="000000" w:themeColor="text1"/>
                <w:sz w:val="18"/>
                <w:szCs w:val="18"/>
              </w:rPr>
              <w:t>Actual</w:t>
            </w:r>
          </w:p>
        </w:tc>
        <w:tc>
          <w:tcPr>
            <w:tcW w:w="1134" w:type="dxa"/>
            <w:tcBorders>
              <w:top w:val="nil"/>
              <w:left w:val="nil"/>
              <w:bottom w:val="nil"/>
              <w:right w:val="nil"/>
            </w:tcBorders>
            <w:shd w:val="clear" w:color="auto" w:fill="DDD9C3"/>
            <w:noWrap/>
          </w:tcPr>
          <w:p w:rsidR="00A3607A" w:rsidRPr="009A7C33" w:rsidRDefault="00A3607A" w:rsidP="009F1D3A">
            <w:pPr>
              <w:autoSpaceDE w:val="0"/>
              <w:autoSpaceDN w:val="0"/>
              <w:adjustRightInd w:val="0"/>
              <w:spacing w:before="100" w:after="100"/>
              <w:jc w:val="center"/>
              <w:rPr>
                <w:b/>
                <w:bCs/>
                <w:color w:val="000000" w:themeColor="text1"/>
                <w:sz w:val="18"/>
                <w:szCs w:val="18"/>
              </w:rPr>
            </w:pPr>
            <w:r w:rsidRPr="009A7C33">
              <w:rPr>
                <w:b/>
                <w:bCs/>
                <w:color w:val="000000" w:themeColor="text1"/>
                <w:sz w:val="18"/>
                <w:szCs w:val="18"/>
              </w:rPr>
              <w:t xml:space="preserve">4 </w:t>
            </w:r>
            <w:proofErr w:type="spellStart"/>
            <w:r w:rsidRPr="009A7C33">
              <w:rPr>
                <w:b/>
                <w:bCs/>
                <w:color w:val="000000" w:themeColor="text1"/>
                <w:sz w:val="18"/>
                <w:szCs w:val="18"/>
              </w:rPr>
              <w:t>hr</w:t>
            </w:r>
            <w:proofErr w:type="spellEnd"/>
            <w:r w:rsidRPr="009A7C33">
              <w:rPr>
                <w:b/>
                <w:bCs/>
                <w:color w:val="000000" w:themeColor="text1"/>
                <w:sz w:val="18"/>
                <w:szCs w:val="18"/>
              </w:rPr>
              <w:t xml:space="preserve"> forecast</w:t>
            </w:r>
          </w:p>
        </w:tc>
        <w:tc>
          <w:tcPr>
            <w:tcW w:w="992" w:type="dxa"/>
            <w:tcBorders>
              <w:top w:val="nil"/>
              <w:left w:val="nil"/>
              <w:bottom w:val="nil"/>
              <w:right w:val="single" w:sz="6" w:space="0" w:color="auto"/>
            </w:tcBorders>
            <w:shd w:val="clear" w:color="auto" w:fill="DDD9C3"/>
            <w:noWrap/>
          </w:tcPr>
          <w:p w:rsidR="00A3607A" w:rsidRPr="009A7C33" w:rsidRDefault="00A3607A" w:rsidP="009F1D3A">
            <w:pPr>
              <w:autoSpaceDE w:val="0"/>
              <w:autoSpaceDN w:val="0"/>
              <w:adjustRightInd w:val="0"/>
              <w:spacing w:before="100" w:after="100"/>
              <w:jc w:val="center"/>
              <w:rPr>
                <w:b/>
                <w:bCs/>
                <w:color w:val="000000" w:themeColor="text1"/>
                <w:sz w:val="18"/>
                <w:szCs w:val="18"/>
              </w:rPr>
            </w:pPr>
            <w:r w:rsidRPr="009A7C33">
              <w:rPr>
                <w:b/>
                <w:bCs/>
                <w:color w:val="000000" w:themeColor="text1"/>
                <w:sz w:val="18"/>
                <w:szCs w:val="18"/>
              </w:rPr>
              <w:t xml:space="preserve">12 </w:t>
            </w:r>
            <w:proofErr w:type="spellStart"/>
            <w:r w:rsidRPr="009A7C33">
              <w:rPr>
                <w:b/>
                <w:bCs/>
                <w:color w:val="000000" w:themeColor="text1"/>
                <w:sz w:val="18"/>
                <w:szCs w:val="18"/>
              </w:rPr>
              <w:t>hr</w:t>
            </w:r>
            <w:proofErr w:type="spellEnd"/>
            <w:r w:rsidRPr="009A7C33">
              <w:rPr>
                <w:b/>
                <w:bCs/>
                <w:color w:val="000000" w:themeColor="text1"/>
                <w:sz w:val="18"/>
                <w:szCs w:val="18"/>
              </w:rPr>
              <w:t xml:space="preserve"> forecast</w:t>
            </w:r>
          </w:p>
        </w:tc>
        <w:tc>
          <w:tcPr>
            <w:tcW w:w="851" w:type="dxa"/>
            <w:tcBorders>
              <w:top w:val="nil"/>
              <w:left w:val="single" w:sz="6" w:space="0" w:color="auto"/>
              <w:bottom w:val="nil"/>
              <w:right w:val="nil"/>
            </w:tcBorders>
            <w:shd w:val="clear" w:color="auto" w:fill="DDD9C3"/>
          </w:tcPr>
          <w:p w:rsidR="00A3607A" w:rsidRPr="009A7C33" w:rsidRDefault="00A3607A" w:rsidP="009F1D3A">
            <w:pPr>
              <w:autoSpaceDE w:val="0"/>
              <w:autoSpaceDN w:val="0"/>
              <w:adjustRightInd w:val="0"/>
              <w:spacing w:before="100" w:after="100"/>
              <w:jc w:val="center"/>
              <w:rPr>
                <w:b/>
                <w:bCs/>
                <w:color w:val="000000" w:themeColor="text1"/>
                <w:sz w:val="18"/>
                <w:szCs w:val="18"/>
              </w:rPr>
            </w:pPr>
            <w:r w:rsidRPr="009A7C33">
              <w:rPr>
                <w:b/>
                <w:bCs/>
                <w:color w:val="000000" w:themeColor="text1"/>
                <w:sz w:val="18"/>
                <w:szCs w:val="18"/>
              </w:rPr>
              <w:t>Actual</w:t>
            </w:r>
          </w:p>
        </w:tc>
        <w:tc>
          <w:tcPr>
            <w:tcW w:w="992" w:type="dxa"/>
            <w:gridSpan w:val="2"/>
            <w:tcBorders>
              <w:top w:val="nil"/>
              <w:left w:val="nil"/>
              <w:bottom w:val="nil"/>
              <w:right w:val="nil"/>
            </w:tcBorders>
            <w:shd w:val="clear" w:color="auto" w:fill="DDD9C3"/>
          </w:tcPr>
          <w:p w:rsidR="00A3607A" w:rsidRPr="009A7C33" w:rsidRDefault="00A3607A" w:rsidP="009F1D3A">
            <w:pPr>
              <w:autoSpaceDE w:val="0"/>
              <w:autoSpaceDN w:val="0"/>
              <w:adjustRightInd w:val="0"/>
              <w:spacing w:before="100" w:after="100"/>
              <w:jc w:val="center"/>
              <w:rPr>
                <w:b/>
                <w:bCs/>
                <w:color w:val="000000" w:themeColor="text1"/>
                <w:sz w:val="18"/>
                <w:szCs w:val="18"/>
              </w:rPr>
            </w:pPr>
            <w:r w:rsidRPr="009A7C33">
              <w:rPr>
                <w:b/>
                <w:bCs/>
                <w:color w:val="000000" w:themeColor="text1"/>
                <w:sz w:val="18"/>
                <w:szCs w:val="18"/>
              </w:rPr>
              <w:t xml:space="preserve">4 </w:t>
            </w:r>
            <w:proofErr w:type="spellStart"/>
            <w:r w:rsidRPr="009A7C33">
              <w:rPr>
                <w:b/>
                <w:bCs/>
                <w:color w:val="000000" w:themeColor="text1"/>
                <w:sz w:val="18"/>
                <w:szCs w:val="18"/>
              </w:rPr>
              <w:t>hr</w:t>
            </w:r>
            <w:proofErr w:type="spellEnd"/>
            <w:r w:rsidRPr="009A7C33">
              <w:rPr>
                <w:b/>
                <w:bCs/>
                <w:color w:val="000000" w:themeColor="text1"/>
                <w:sz w:val="18"/>
                <w:szCs w:val="18"/>
              </w:rPr>
              <w:t xml:space="preserve"> forecast</w:t>
            </w:r>
          </w:p>
        </w:tc>
        <w:tc>
          <w:tcPr>
            <w:tcW w:w="1276" w:type="dxa"/>
            <w:gridSpan w:val="2"/>
            <w:tcBorders>
              <w:top w:val="nil"/>
              <w:left w:val="nil"/>
              <w:bottom w:val="nil"/>
              <w:right w:val="single" w:sz="6" w:space="0" w:color="auto"/>
            </w:tcBorders>
            <w:shd w:val="clear" w:color="auto" w:fill="DDD9C3"/>
          </w:tcPr>
          <w:p w:rsidR="00A3607A" w:rsidRPr="009A7C33" w:rsidRDefault="00A3607A" w:rsidP="009F1D3A">
            <w:pPr>
              <w:autoSpaceDE w:val="0"/>
              <w:autoSpaceDN w:val="0"/>
              <w:adjustRightInd w:val="0"/>
              <w:spacing w:before="100" w:after="100"/>
              <w:jc w:val="center"/>
              <w:rPr>
                <w:b/>
                <w:bCs/>
                <w:color w:val="000000" w:themeColor="text1"/>
                <w:sz w:val="18"/>
                <w:szCs w:val="18"/>
              </w:rPr>
            </w:pPr>
            <w:r w:rsidRPr="009A7C33">
              <w:rPr>
                <w:b/>
                <w:bCs/>
                <w:color w:val="000000" w:themeColor="text1"/>
                <w:sz w:val="18"/>
                <w:szCs w:val="18"/>
              </w:rPr>
              <w:t xml:space="preserve">12 </w:t>
            </w:r>
            <w:proofErr w:type="spellStart"/>
            <w:r w:rsidRPr="009A7C33">
              <w:rPr>
                <w:b/>
                <w:bCs/>
                <w:color w:val="000000" w:themeColor="text1"/>
                <w:sz w:val="18"/>
                <w:szCs w:val="18"/>
              </w:rPr>
              <w:t>hr</w:t>
            </w:r>
            <w:proofErr w:type="spellEnd"/>
            <w:r w:rsidRPr="009A7C33">
              <w:rPr>
                <w:b/>
                <w:bCs/>
                <w:color w:val="000000" w:themeColor="text1"/>
                <w:sz w:val="18"/>
                <w:szCs w:val="18"/>
              </w:rPr>
              <w:t xml:space="preserve"> forecast</w:t>
            </w:r>
          </w:p>
        </w:tc>
        <w:tc>
          <w:tcPr>
            <w:tcW w:w="850" w:type="dxa"/>
            <w:tcBorders>
              <w:top w:val="nil"/>
              <w:left w:val="single" w:sz="6" w:space="0" w:color="auto"/>
              <w:bottom w:val="nil"/>
              <w:right w:val="nil"/>
            </w:tcBorders>
            <w:shd w:val="clear" w:color="auto" w:fill="DDD9C3"/>
          </w:tcPr>
          <w:p w:rsidR="00A3607A" w:rsidRPr="009A7C33" w:rsidRDefault="00A3607A" w:rsidP="009F1D3A">
            <w:pPr>
              <w:autoSpaceDE w:val="0"/>
              <w:autoSpaceDN w:val="0"/>
              <w:adjustRightInd w:val="0"/>
              <w:spacing w:before="100" w:after="100"/>
              <w:jc w:val="center"/>
              <w:rPr>
                <w:b/>
                <w:bCs/>
                <w:color w:val="000000" w:themeColor="text1"/>
                <w:sz w:val="18"/>
                <w:szCs w:val="18"/>
              </w:rPr>
            </w:pPr>
            <w:r w:rsidRPr="009A7C33">
              <w:rPr>
                <w:b/>
                <w:bCs/>
                <w:color w:val="000000" w:themeColor="text1"/>
                <w:sz w:val="18"/>
                <w:szCs w:val="18"/>
              </w:rPr>
              <w:t>Actual</w:t>
            </w:r>
          </w:p>
        </w:tc>
        <w:tc>
          <w:tcPr>
            <w:tcW w:w="993" w:type="dxa"/>
            <w:tcBorders>
              <w:top w:val="nil"/>
              <w:left w:val="nil"/>
              <w:bottom w:val="nil"/>
              <w:right w:val="nil"/>
            </w:tcBorders>
            <w:shd w:val="clear" w:color="auto" w:fill="DDD9C3"/>
          </w:tcPr>
          <w:p w:rsidR="00A3607A" w:rsidRPr="009A7C33" w:rsidRDefault="00A3607A" w:rsidP="009F1D3A">
            <w:pPr>
              <w:autoSpaceDE w:val="0"/>
              <w:autoSpaceDN w:val="0"/>
              <w:adjustRightInd w:val="0"/>
              <w:spacing w:before="100" w:after="100"/>
              <w:jc w:val="center"/>
              <w:rPr>
                <w:b/>
                <w:bCs/>
                <w:color w:val="000000" w:themeColor="text1"/>
                <w:sz w:val="18"/>
                <w:szCs w:val="18"/>
              </w:rPr>
            </w:pPr>
            <w:r w:rsidRPr="009A7C33">
              <w:rPr>
                <w:b/>
                <w:bCs/>
                <w:color w:val="000000" w:themeColor="text1"/>
                <w:sz w:val="18"/>
                <w:szCs w:val="18"/>
              </w:rPr>
              <w:t xml:space="preserve">4 </w:t>
            </w:r>
            <w:proofErr w:type="spellStart"/>
            <w:r w:rsidRPr="009A7C33">
              <w:rPr>
                <w:b/>
                <w:bCs/>
                <w:color w:val="000000" w:themeColor="text1"/>
                <w:sz w:val="18"/>
                <w:szCs w:val="18"/>
              </w:rPr>
              <w:t>hr</w:t>
            </w:r>
            <w:proofErr w:type="spellEnd"/>
            <w:r w:rsidRPr="009A7C33">
              <w:rPr>
                <w:b/>
                <w:bCs/>
                <w:color w:val="000000" w:themeColor="text1"/>
                <w:sz w:val="18"/>
                <w:szCs w:val="18"/>
              </w:rPr>
              <w:t xml:space="preserve"> forecast</w:t>
            </w:r>
          </w:p>
        </w:tc>
        <w:tc>
          <w:tcPr>
            <w:tcW w:w="1134" w:type="dxa"/>
            <w:tcBorders>
              <w:top w:val="nil"/>
              <w:left w:val="nil"/>
              <w:bottom w:val="nil"/>
              <w:right w:val="single" w:sz="6" w:space="0" w:color="auto"/>
            </w:tcBorders>
            <w:shd w:val="clear" w:color="auto" w:fill="DDD9C3"/>
          </w:tcPr>
          <w:p w:rsidR="00A3607A" w:rsidRPr="009A7C33" w:rsidRDefault="00A3607A" w:rsidP="009F1D3A">
            <w:pPr>
              <w:autoSpaceDE w:val="0"/>
              <w:autoSpaceDN w:val="0"/>
              <w:adjustRightInd w:val="0"/>
              <w:spacing w:before="100" w:after="100"/>
              <w:jc w:val="center"/>
              <w:rPr>
                <w:b/>
                <w:bCs/>
                <w:color w:val="000000" w:themeColor="text1"/>
                <w:sz w:val="18"/>
                <w:szCs w:val="18"/>
              </w:rPr>
            </w:pPr>
            <w:r w:rsidRPr="009A7C33">
              <w:rPr>
                <w:b/>
                <w:bCs/>
                <w:color w:val="000000" w:themeColor="text1"/>
                <w:sz w:val="18"/>
                <w:szCs w:val="18"/>
              </w:rPr>
              <w:t xml:space="preserve">12 </w:t>
            </w:r>
            <w:proofErr w:type="spellStart"/>
            <w:r w:rsidRPr="009A7C33">
              <w:rPr>
                <w:b/>
                <w:bCs/>
                <w:color w:val="000000" w:themeColor="text1"/>
                <w:sz w:val="18"/>
                <w:szCs w:val="18"/>
              </w:rPr>
              <w:t>hr</w:t>
            </w:r>
            <w:proofErr w:type="spellEnd"/>
            <w:r w:rsidRPr="009A7C33">
              <w:rPr>
                <w:b/>
                <w:bCs/>
                <w:color w:val="000000" w:themeColor="text1"/>
                <w:sz w:val="18"/>
                <w:szCs w:val="18"/>
              </w:rPr>
              <w:t xml:space="preserve"> forecast</w:t>
            </w:r>
          </w:p>
        </w:tc>
      </w:tr>
      <w:tr w:rsidR="00D30F72" w:rsidRPr="009A7C33" w:rsidTr="00D30F72">
        <w:tc>
          <w:tcPr>
            <w:tcW w:w="851" w:type="dxa"/>
            <w:tcBorders>
              <w:top w:val="nil"/>
              <w:left w:val="single" w:sz="6" w:space="0" w:color="auto"/>
              <w:bottom w:val="single" w:sz="6" w:space="0" w:color="auto"/>
              <w:right w:val="single" w:sz="6" w:space="0" w:color="auto"/>
            </w:tcBorders>
            <w:shd w:val="clear" w:color="auto" w:fill="EEECE1"/>
            <w:noWrap/>
          </w:tcPr>
          <w:p w:rsidR="00D30F72" w:rsidRPr="009A7C33" w:rsidRDefault="00D30F72" w:rsidP="00E4436A">
            <w:pPr>
              <w:autoSpaceDE w:val="0"/>
              <w:autoSpaceDN w:val="0"/>
              <w:adjustRightInd w:val="0"/>
              <w:spacing w:before="100" w:after="100"/>
              <w:rPr>
                <w:b/>
                <w:bCs/>
                <w:color w:val="000000" w:themeColor="text1"/>
                <w:sz w:val="18"/>
                <w:szCs w:val="18"/>
              </w:rPr>
            </w:pPr>
            <w:r w:rsidRPr="009A7C33">
              <w:rPr>
                <w:b/>
                <w:bCs/>
                <w:color w:val="000000" w:themeColor="text1"/>
                <w:sz w:val="18"/>
                <w:szCs w:val="18"/>
              </w:rPr>
              <w:t>5 </w:t>
            </w:r>
            <w:r>
              <w:rPr>
                <w:b/>
                <w:bCs/>
                <w:color w:val="000000" w:themeColor="text1"/>
                <w:sz w:val="18"/>
                <w:szCs w:val="18"/>
              </w:rPr>
              <w:t>PM</w:t>
            </w:r>
          </w:p>
        </w:tc>
        <w:tc>
          <w:tcPr>
            <w:tcW w:w="992" w:type="dxa"/>
            <w:tcBorders>
              <w:top w:val="nil"/>
              <w:left w:val="single" w:sz="6" w:space="0" w:color="auto"/>
              <w:bottom w:val="single" w:sz="6" w:space="0" w:color="auto"/>
              <w:right w:val="nil"/>
            </w:tcBorders>
            <w:shd w:val="clear" w:color="auto" w:fill="EEECE1"/>
            <w:noWrap/>
            <w:vAlign w:val="bottom"/>
          </w:tcPr>
          <w:p w:rsidR="00D30F72" w:rsidRPr="009A7C33" w:rsidRDefault="00D30F72" w:rsidP="009A7C33">
            <w:pPr>
              <w:autoSpaceDE w:val="0"/>
              <w:autoSpaceDN w:val="0"/>
              <w:adjustRightInd w:val="0"/>
              <w:spacing w:before="100" w:after="100"/>
              <w:jc w:val="center"/>
              <w:rPr>
                <w:bCs/>
                <w:color w:val="000000" w:themeColor="text1"/>
                <w:sz w:val="18"/>
                <w:szCs w:val="18"/>
              </w:rPr>
            </w:pPr>
            <w:r w:rsidRPr="009A7C33">
              <w:rPr>
                <w:bCs/>
                <w:color w:val="000000" w:themeColor="text1"/>
                <w:sz w:val="18"/>
                <w:szCs w:val="18"/>
              </w:rPr>
              <w:t>704.68</w:t>
            </w:r>
          </w:p>
        </w:tc>
        <w:tc>
          <w:tcPr>
            <w:tcW w:w="1134" w:type="dxa"/>
            <w:tcBorders>
              <w:top w:val="nil"/>
              <w:left w:val="nil"/>
              <w:bottom w:val="single" w:sz="6" w:space="0" w:color="auto"/>
              <w:right w:val="nil"/>
            </w:tcBorders>
            <w:shd w:val="clear" w:color="auto" w:fill="EEECE1"/>
            <w:noWrap/>
            <w:vAlign w:val="bottom"/>
          </w:tcPr>
          <w:p w:rsidR="00D30F72" w:rsidRPr="009A7C33" w:rsidRDefault="00D30F72" w:rsidP="009A7C33">
            <w:pPr>
              <w:autoSpaceDE w:val="0"/>
              <w:autoSpaceDN w:val="0"/>
              <w:adjustRightInd w:val="0"/>
              <w:spacing w:before="100" w:after="100"/>
              <w:jc w:val="center"/>
              <w:rPr>
                <w:bCs/>
                <w:color w:val="000000" w:themeColor="text1"/>
                <w:sz w:val="18"/>
                <w:szCs w:val="18"/>
              </w:rPr>
            </w:pPr>
            <w:r w:rsidRPr="009A7C33">
              <w:rPr>
                <w:bCs/>
                <w:color w:val="000000" w:themeColor="text1"/>
                <w:sz w:val="18"/>
                <w:szCs w:val="18"/>
              </w:rPr>
              <w:t>52.70</w:t>
            </w:r>
          </w:p>
        </w:tc>
        <w:tc>
          <w:tcPr>
            <w:tcW w:w="992" w:type="dxa"/>
            <w:tcBorders>
              <w:top w:val="nil"/>
              <w:left w:val="nil"/>
              <w:bottom w:val="single" w:sz="6" w:space="0" w:color="auto"/>
              <w:right w:val="single" w:sz="6" w:space="0" w:color="auto"/>
            </w:tcBorders>
            <w:shd w:val="clear" w:color="auto" w:fill="EEECE1"/>
            <w:noWrap/>
            <w:vAlign w:val="bottom"/>
          </w:tcPr>
          <w:p w:rsidR="00D30F72" w:rsidRPr="009A7C33" w:rsidRDefault="00D30F72" w:rsidP="009A7C33">
            <w:pPr>
              <w:autoSpaceDE w:val="0"/>
              <w:autoSpaceDN w:val="0"/>
              <w:adjustRightInd w:val="0"/>
              <w:spacing w:before="100" w:after="100"/>
              <w:jc w:val="center"/>
              <w:rPr>
                <w:bCs/>
                <w:color w:val="000000" w:themeColor="text1"/>
                <w:sz w:val="18"/>
                <w:szCs w:val="18"/>
              </w:rPr>
            </w:pPr>
            <w:r w:rsidRPr="009A7C33">
              <w:rPr>
                <w:bCs/>
                <w:color w:val="000000" w:themeColor="text1"/>
                <w:sz w:val="18"/>
                <w:szCs w:val="18"/>
              </w:rPr>
              <w:t>60.65</w:t>
            </w:r>
          </w:p>
        </w:tc>
        <w:tc>
          <w:tcPr>
            <w:tcW w:w="993" w:type="dxa"/>
            <w:gridSpan w:val="2"/>
            <w:tcBorders>
              <w:top w:val="nil"/>
              <w:left w:val="single" w:sz="6" w:space="0" w:color="auto"/>
              <w:bottom w:val="single" w:sz="6" w:space="0" w:color="auto"/>
              <w:right w:val="nil"/>
            </w:tcBorders>
            <w:shd w:val="clear" w:color="auto" w:fill="EEECE1"/>
            <w:vAlign w:val="bottom"/>
          </w:tcPr>
          <w:p w:rsidR="00D30F72" w:rsidRPr="00D30F72" w:rsidRDefault="00D30F72" w:rsidP="00D30F72">
            <w:pPr>
              <w:autoSpaceDE w:val="0"/>
              <w:autoSpaceDN w:val="0"/>
              <w:adjustRightInd w:val="0"/>
              <w:spacing w:before="100" w:after="100"/>
              <w:jc w:val="center"/>
              <w:rPr>
                <w:bCs/>
                <w:color w:val="000000" w:themeColor="text1"/>
                <w:sz w:val="18"/>
                <w:szCs w:val="18"/>
              </w:rPr>
            </w:pPr>
            <w:r w:rsidRPr="00D30F72">
              <w:rPr>
                <w:bCs/>
                <w:color w:val="000000" w:themeColor="text1"/>
                <w:sz w:val="18"/>
                <w:szCs w:val="18"/>
              </w:rPr>
              <w:t>9951</w:t>
            </w:r>
          </w:p>
        </w:tc>
        <w:tc>
          <w:tcPr>
            <w:tcW w:w="992" w:type="dxa"/>
            <w:gridSpan w:val="2"/>
            <w:tcBorders>
              <w:top w:val="nil"/>
              <w:left w:val="nil"/>
              <w:bottom w:val="single" w:sz="6" w:space="0" w:color="auto"/>
              <w:right w:val="nil"/>
            </w:tcBorders>
            <w:shd w:val="clear" w:color="auto" w:fill="EEECE1"/>
            <w:vAlign w:val="bottom"/>
          </w:tcPr>
          <w:p w:rsidR="00D30F72" w:rsidRPr="00D30F72" w:rsidRDefault="00D30F72" w:rsidP="00D30F72">
            <w:pPr>
              <w:autoSpaceDE w:val="0"/>
              <w:autoSpaceDN w:val="0"/>
              <w:adjustRightInd w:val="0"/>
              <w:spacing w:before="100" w:after="100"/>
              <w:jc w:val="center"/>
              <w:rPr>
                <w:bCs/>
                <w:color w:val="000000" w:themeColor="text1"/>
                <w:sz w:val="18"/>
                <w:szCs w:val="18"/>
              </w:rPr>
            </w:pPr>
            <w:r w:rsidRPr="00D30F72">
              <w:rPr>
                <w:bCs/>
                <w:color w:val="000000" w:themeColor="text1"/>
                <w:sz w:val="18"/>
                <w:szCs w:val="18"/>
              </w:rPr>
              <w:t>9542</w:t>
            </w:r>
          </w:p>
        </w:tc>
        <w:tc>
          <w:tcPr>
            <w:tcW w:w="1134" w:type="dxa"/>
            <w:tcBorders>
              <w:top w:val="nil"/>
              <w:left w:val="nil"/>
              <w:bottom w:val="single" w:sz="6" w:space="0" w:color="auto"/>
              <w:right w:val="single" w:sz="6" w:space="0" w:color="auto"/>
            </w:tcBorders>
            <w:shd w:val="clear" w:color="auto" w:fill="EEECE1"/>
            <w:vAlign w:val="bottom"/>
          </w:tcPr>
          <w:p w:rsidR="00D30F72" w:rsidRPr="00D30F72" w:rsidRDefault="00D30F72" w:rsidP="00D30F72">
            <w:pPr>
              <w:autoSpaceDE w:val="0"/>
              <w:autoSpaceDN w:val="0"/>
              <w:adjustRightInd w:val="0"/>
              <w:spacing w:before="100" w:after="100"/>
              <w:jc w:val="center"/>
              <w:rPr>
                <w:bCs/>
                <w:color w:val="000000" w:themeColor="text1"/>
                <w:sz w:val="18"/>
                <w:szCs w:val="18"/>
              </w:rPr>
            </w:pPr>
            <w:r w:rsidRPr="00D30F72">
              <w:rPr>
                <w:bCs/>
                <w:color w:val="000000" w:themeColor="text1"/>
                <w:sz w:val="18"/>
                <w:szCs w:val="18"/>
              </w:rPr>
              <w:t>8865</w:t>
            </w:r>
          </w:p>
        </w:tc>
        <w:tc>
          <w:tcPr>
            <w:tcW w:w="850" w:type="dxa"/>
            <w:tcBorders>
              <w:top w:val="nil"/>
              <w:left w:val="single" w:sz="6" w:space="0" w:color="auto"/>
              <w:bottom w:val="single" w:sz="6" w:space="0" w:color="auto"/>
              <w:right w:val="nil"/>
            </w:tcBorders>
            <w:shd w:val="clear" w:color="auto" w:fill="EEECE1"/>
            <w:vAlign w:val="center"/>
          </w:tcPr>
          <w:p w:rsidR="00D30F72" w:rsidRPr="009A7C33" w:rsidRDefault="00D30F72" w:rsidP="009A7C33">
            <w:pPr>
              <w:pStyle w:val="NormalWeb"/>
              <w:autoSpaceDE w:val="0"/>
              <w:autoSpaceDN w:val="0"/>
              <w:adjustRightInd w:val="0"/>
              <w:jc w:val="center"/>
              <w:rPr>
                <w:rFonts w:ascii="Gautami" w:hAnsi="Gautami"/>
                <w:bCs/>
                <w:color w:val="000000" w:themeColor="text1"/>
                <w:sz w:val="18"/>
                <w:szCs w:val="18"/>
              </w:rPr>
            </w:pPr>
            <w:r w:rsidRPr="009A7C33">
              <w:rPr>
                <w:rFonts w:ascii="Gautami" w:hAnsi="Gautami"/>
                <w:bCs/>
                <w:color w:val="000000" w:themeColor="text1"/>
                <w:sz w:val="18"/>
                <w:szCs w:val="18"/>
              </w:rPr>
              <w:t>10 254</w:t>
            </w:r>
          </w:p>
        </w:tc>
        <w:tc>
          <w:tcPr>
            <w:tcW w:w="993" w:type="dxa"/>
            <w:tcBorders>
              <w:top w:val="nil"/>
              <w:left w:val="nil"/>
              <w:bottom w:val="single" w:sz="6" w:space="0" w:color="auto"/>
              <w:right w:val="nil"/>
            </w:tcBorders>
            <w:shd w:val="clear" w:color="auto" w:fill="EEECE1"/>
            <w:vAlign w:val="center"/>
          </w:tcPr>
          <w:p w:rsidR="00D30F72" w:rsidRPr="009A7C33" w:rsidRDefault="00D30F72" w:rsidP="009A7C33">
            <w:pPr>
              <w:pStyle w:val="NormalWeb"/>
              <w:autoSpaceDE w:val="0"/>
              <w:autoSpaceDN w:val="0"/>
              <w:adjustRightInd w:val="0"/>
              <w:jc w:val="center"/>
              <w:rPr>
                <w:rFonts w:ascii="Gautami" w:hAnsi="Gautami"/>
                <w:bCs/>
                <w:color w:val="000000" w:themeColor="text1"/>
                <w:sz w:val="18"/>
                <w:szCs w:val="18"/>
              </w:rPr>
            </w:pPr>
            <w:r w:rsidRPr="009A7C33">
              <w:rPr>
                <w:rFonts w:ascii="Gautami" w:hAnsi="Gautami"/>
                <w:bCs/>
                <w:color w:val="000000" w:themeColor="text1"/>
                <w:sz w:val="18"/>
                <w:szCs w:val="18"/>
              </w:rPr>
              <w:t>10 381</w:t>
            </w:r>
          </w:p>
        </w:tc>
        <w:tc>
          <w:tcPr>
            <w:tcW w:w="1134" w:type="dxa"/>
            <w:tcBorders>
              <w:top w:val="nil"/>
              <w:left w:val="nil"/>
              <w:bottom w:val="single" w:sz="6" w:space="0" w:color="auto"/>
              <w:right w:val="single" w:sz="6" w:space="0" w:color="auto"/>
            </w:tcBorders>
            <w:shd w:val="clear" w:color="auto" w:fill="EEECE1"/>
            <w:vAlign w:val="center"/>
          </w:tcPr>
          <w:p w:rsidR="00D30F72" w:rsidRPr="009A7C33" w:rsidRDefault="00D30F72" w:rsidP="009A7C33">
            <w:pPr>
              <w:pStyle w:val="NormalWeb"/>
              <w:autoSpaceDE w:val="0"/>
              <w:autoSpaceDN w:val="0"/>
              <w:adjustRightInd w:val="0"/>
              <w:jc w:val="center"/>
              <w:rPr>
                <w:rFonts w:ascii="Gautami" w:hAnsi="Gautami"/>
                <w:bCs/>
                <w:color w:val="000000" w:themeColor="text1"/>
                <w:sz w:val="18"/>
                <w:szCs w:val="18"/>
              </w:rPr>
            </w:pPr>
            <w:r w:rsidRPr="009A7C33">
              <w:rPr>
                <w:rFonts w:ascii="Gautami" w:hAnsi="Gautami"/>
                <w:bCs/>
                <w:color w:val="000000" w:themeColor="text1"/>
                <w:sz w:val="18"/>
                <w:szCs w:val="18"/>
              </w:rPr>
              <w:t>10 474</w:t>
            </w:r>
          </w:p>
        </w:tc>
      </w:tr>
    </w:tbl>
    <w:p w:rsidR="00A3607A" w:rsidRPr="009A7C33" w:rsidRDefault="00A3607A" w:rsidP="00DA4107">
      <w:pPr>
        <w:pStyle w:val="AERbodytext"/>
        <w:rPr>
          <w:color w:val="000000" w:themeColor="text1"/>
        </w:rPr>
      </w:pPr>
    </w:p>
    <w:p w:rsidR="009B5C93" w:rsidRDefault="009B5C93" w:rsidP="00DA4107">
      <w:pPr>
        <w:pStyle w:val="AERbodytext"/>
      </w:pPr>
      <w:r w:rsidRPr="00D30F72">
        <w:t xml:space="preserve">Conditions at the time saw demand </w:t>
      </w:r>
      <w:r w:rsidR="00D30F72" w:rsidRPr="00D30F72">
        <w:t>around 1100 MW higher than forecast 12 hours ahead and around 400 MW higher than that forecast four hours ahead. A</w:t>
      </w:r>
      <w:r w:rsidRPr="00D30F72">
        <w:t xml:space="preserve">vailable capacity </w:t>
      </w:r>
      <w:r w:rsidR="00D30F72" w:rsidRPr="00D30F72">
        <w:t xml:space="preserve">was </w:t>
      </w:r>
      <w:r w:rsidRPr="00D30F72">
        <w:t>cl</w:t>
      </w:r>
      <w:r w:rsidR="00D30F72" w:rsidRPr="00D30F72">
        <w:t>ose to forecast</w:t>
      </w:r>
      <w:r w:rsidRPr="00D30F72">
        <w:t>.</w:t>
      </w:r>
      <w:r w:rsidR="00EB04EF">
        <w:t xml:space="preserve"> Prices in South Australia were aligned with those in Victoria.</w:t>
      </w:r>
    </w:p>
    <w:p w:rsidR="00773454" w:rsidRDefault="00773454" w:rsidP="00DA4107">
      <w:pPr>
        <w:pStyle w:val="AERbodytext"/>
      </w:pPr>
      <w:r>
        <w:t xml:space="preserve">Flows into Victoria across the Vic-NSW and Basslink interconnectors were at their limits </w:t>
      </w:r>
      <w:r w:rsidR="00FC44B4">
        <w:t>and were higher than forecast.</w:t>
      </w:r>
    </w:p>
    <w:p w:rsidR="00A53A48" w:rsidRPr="00A53A48" w:rsidRDefault="00A53A48" w:rsidP="00DA4107">
      <w:pPr>
        <w:pStyle w:val="AERbodytext"/>
      </w:pPr>
      <w:r>
        <w:t xml:space="preserve">At 3.33 pm, effective from </w:t>
      </w:r>
      <w:r w:rsidR="00B57D12">
        <w:t>3.40</w:t>
      </w:r>
      <w:r>
        <w:t> pm, GDF Suez rebid 13</w:t>
      </w:r>
      <w:r w:rsidR="00B57D12">
        <w:t>5</w:t>
      </w:r>
      <w:r>
        <w:t> MW of capacity at Loy Yang B from prices around $290/MWh to above $11 600/MWh. The reason given was “</w:t>
      </w:r>
      <w:proofErr w:type="spellStart"/>
      <w:r>
        <w:t>Chg</w:t>
      </w:r>
      <w:proofErr w:type="spellEnd"/>
      <w:r>
        <w:t xml:space="preserve"> in </w:t>
      </w:r>
      <w:proofErr w:type="spellStart"/>
      <w:r>
        <w:t>fcast</w:t>
      </w:r>
      <w:proofErr w:type="spellEnd"/>
      <w:r>
        <w:t xml:space="preserve"> – </w:t>
      </w:r>
      <w:proofErr w:type="spellStart"/>
      <w:proofErr w:type="gramStart"/>
      <w:r>
        <w:t>inc</w:t>
      </w:r>
      <w:proofErr w:type="spellEnd"/>
      <w:proofErr w:type="gramEnd"/>
      <w:r>
        <w:t xml:space="preserve"> Vic </w:t>
      </w:r>
      <w:proofErr w:type="spellStart"/>
      <w:r>
        <w:t>dem</w:t>
      </w:r>
      <w:proofErr w:type="spellEnd"/>
      <w:r>
        <w:t xml:space="preserve"> 5M </w:t>
      </w:r>
      <w:r w:rsidRPr="00A53A48">
        <w:t>9861MW&gt;30MPD 9795MW”.</w:t>
      </w:r>
    </w:p>
    <w:p w:rsidR="00A53A48" w:rsidRDefault="00A53A48" w:rsidP="00DA4107">
      <w:pPr>
        <w:pStyle w:val="AERbodytext"/>
      </w:pPr>
      <w:r w:rsidRPr="00A53A48">
        <w:t xml:space="preserve">At </w:t>
      </w:r>
      <w:r w:rsidR="00B47A69">
        <w:t>4.45 pm, effective from 4.55 pm, AGL Energy rebid a total of 297 MW of capacity at Dartmouth, Eildon and McKay from zero to close to the price cap. The reason given was “</w:t>
      </w:r>
      <w:proofErr w:type="spellStart"/>
      <w:r w:rsidR="00B47A69">
        <w:t>Chg</w:t>
      </w:r>
      <w:proofErr w:type="spellEnd"/>
      <w:r w:rsidR="00B47A69">
        <w:t xml:space="preserve"> in contract </w:t>
      </w:r>
      <w:proofErr w:type="spellStart"/>
      <w:r w:rsidR="00B47A69">
        <w:t>pos</w:t>
      </w:r>
      <w:proofErr w:type="spellEnd"/>
      <w:r w:rsidR="00B47A69">
        <w:t>::callable contract triggered”.</w:t>
      </w:r>
    </w:p>
    <w:p w:rsidR="00B47A69" w:rsidRPr="00A53A48" w:rsidRDefault="00B47A69" w:rsidP="00DA4107">
      <w:pPr>
        <w:pStyle w:val="AERbodytext"/>
      </w:pPr>
      <w:r>
        <w:t xml:space="preserve">This saw the price 5-minute reach $3552/MWh </w:t>
      </w:r>
      <w:r w:rsidR="00B57D12">
        <w:t xml:space="preserve">in Victoria </w:t>
      </w:r>
      <w:r>
        <w:t xml:space="preserve">and </w:t>
      </w:r>
      <w:r w:rsidR="00B57D12">
        <w:t>$3757/MWh in South Australia</w:t>
      </w:r>
      <w:r>
        <w:t xml:space="preserve"> at 4.55 pm</w:t>
      </w:r>
      <w:r w:rsidR="00EC44B1">
        <w:t>, with McKay contributing to the price</w:t>
      </w:r>
      <w:r w:rsidR="00773454">
        <w:t xml:space="preserve"> being set.</w:t>
      </w:r>
    </w:p>
    <w:p w:rsidR="002B7646" w:rsidRPr="00E4436A" w:rsidRDefault="002B7646" w:rsidP="0066195C">
      <w:pPr>
        <w:pStyle w:val="AERtabletitle"/>
        <w:rPr>
          <w:color w:val="000000" w:themeColor="text1"/>
        </w:rPr>
      </w:pPr>
      <w:r w:rsidRPr="00E4436A">
        <w:rPr>
          <w:color w:val="000000" w:themeColor="text1"/>
        </w:rPr>
        <w:t xml:space="preserve">Table 4: </w:t>
      </w:r>
      <w:r w:rsidR="009A7C33" w:rsidRPr="00E4436A">
        <w:rPr>
          <w:color w:val="000000" w:themeColor="text1"/>
        </w:rPr>
        <w:t>South Australia</w:t>
      </w:r>
      <w:r w:rsidRPr="00E4436A">
        <w:rPr>
          <w:color w:val="000000" w:themeColor="text1"/>
        </w:rPr>
        <w:t xml:space="preserve">, </w:t>
      </w:r>
      <w:r w:rsidR="009A7C33" w:rsidRPr="00E4436A">
        <w:rPr>
          <w:color w:val="000000" w:themeColor="text1"/>
        </w:rPr>
        <w:t>Tuesday 28 January</w:t>
      </w:r>
    </w:p>
    <w:tbl>
      <w:tblPr>
        <w:tblW w:w="10065" w:type="dxa"/>
        <w:tblInd w:w="108" w:type="dxa"/>
        <w:tblBorders>
          <w:top w:val="single" w:sz="8" w:space="0" w:color="7BA0CD"/>
          <w:bottom w:val="single" w:sz="8" w:space="0" w:color="7BA0CD"/>
        </w:tblBorders>
        <w:tblLayout w:type="fixed"/>
        <w:tblLook w:val="04A0" w:firstRow="1" w:lastRow="0" w:firstColumn="1" w:lastColumn="0" w:noHBand="0" w:noVBand="1"/>
      </w:tblPr>
      <w:tblGrid>
        <w:gridCol w:w="993"/>
        <w:gridCol w:w="850"/>
        <w:gridCol w:w="1134"/>
        <w:gridCol w:w="1134"/>
        <w:gridCol w:w="851"/>
        <w:gridCol w:w="992"/>
        <w:gridCol w:w="992"/>
        <w:gridCol w:w="992"/>
        <w:gridCol w:w="993"/>
        <w:gridCol w:w="1134"/>
      </w:tblGrid>
      <w:tr w:rsidR="008E76E6" w:rsidRPr="00E4436A" w:rsidTr="00983BA2">
        <w:tc>
          <w:tcPr>
            <w:tcW w:w="993" w:type="dxa"/>
            <w:tcBorders>
              <w:top w:val="single" w:sz="4" w:space="0" w:color="auto"/>
              <w:left w:val="single" w:sz="4" w:space="0" w:color="auto"/>
              <w:bottom w:val="nil"/>
            </w:tcBorders>
            <w:shd w:val="clear" w:color="auto" w:fill="4A442A"/>
            <w:noWrap/>
          </w:tcPr>
          <w:p w:rsidR="008E76E6" w:rsidRPr="00E4436A" w:rsidRDefault="008E76E6" w:rsidP="00DB4ABE">
            <w:pPr>
              <w:autoSpaceDE w:val="0"/>
              <w:autoSpaceDN w:val="0"/>
              <w:adjustRightInd w:val="0"/>
              <w:spacing w:before="100" w:after="100"/>
              <w:rPr>
                <w:b/>
                <w:bCs/>
                <w:color w:val="FFFFFF" w:themeColor="background1"/>
                <w:sz w:val="18"/>
                <w:szCs w:val="18"/>
              </w:rPr>
            </w:pPr>
            <w:r w:rsidRPr="00E4436A">
              <w:rPr>
                <w:b/>
                <w:bCs/>
                <w:color w:val="FFFFFF" w:themeColor="background1"/>
                <w:sz w:val="18"/>
                <w:szCs w:val="18"/>
              </w:rPr>
              <w:t>Time</w:t>
            </w:r>
          </w:p>
        </w:tc>
        <w:tc>
          <w:tcPr>
            <w:tcW w:w="3118" w:type="dxa"/>
            <w:gridSpan w:val="3"/>
            <w:tcBorders>
              <w:top w:val="single" w:sz="4" w:space="0" w:color="auto"/>
              <w:bottom w:val="nil"/>
            </w:tcBorders>
            <w:shd w:val="clear" w:color="auto" w:fill="4A442A"/>
            <w:noWrap/>
          </w:tcPr>
          <w:p w:rsidR="008E76E6" w:rsidRPr="00E4436A" w:rsidRDefault="008E76E6" w:rsidP="00E27907">
            <w:pPr>
              <w:autoSpaceDE w:val="0"/>
              <w:autoSpaceDN w:val="0"/>
              <w:adjustRightInd w:val="0"/>
              <w:spacing w:before="100" w:after="100"/>
              <w:jc w:val="center"/>
              <w:rPr>
                <w:b/>
                <w:bCs/>
                <w:color w:val="FFFFFF" w:themeColor="background1"/>
                <w:sz w:val="18"/>
                <w:szCs w:val="18"/>
              </w:rPr>
            </w:pPr>
            <w:r w:rsidRPr="00E4436A">
              <w:rPr>
                <w:b/>
                <w:bCs/>
                <w:color w:val="FFFFFF" w:themeColor="background1"/>
                <w:sz w:val="18"/>
                <w:szCs w:val="18"/>
              </w:rPr>
              <w:t>Price ($/MWh)</w:t>
            </w:r>
          </w:p>
        </w:tc>
        <w:tc>
          <w:tcPr>
            <w:tcW w:w="2835" w:type="dxa"/>
            <w:gridSpan w:val="3"/>
            <w:tcBorders>
              <w:top w:val="single" w:sz="4" w:space="0" w:color="auto"/>
              <w:bottom w:val="nil"/>
            </w:tcBorders>
            <w:shd w:val="clear" w:color="auto" w:fill="4A442A"/>
          </w:tcPr>
          <w:p w:rsidR="008E76E6" w:rsidRPr="00E4436A" w:rsidDel="0074250B" w:rsidRDefault="008E76E6" w:rsidP="00DB4ABE">
            <w:pPr>
              <w:autoSpaceDE w:val="0"/>
              <w:autoSpaceDN w:val="0"/>
              <w:adjustRightInd w:val="0"/>
              <w:spacing w:before="100" w:after="100"/>
              <w:jc w:val="center"/>
              <w:rPr>
                <w:b/>
                <w:bCs/>
                <w:color w:val="FFFFFF" w:themeColor="background1"/>
                <w:sz w:val="18"/>
                <w:szCs w:val="18"/>
              </w:rPr>
            </w:pPr>
            <w:r w:rsidRPr="00E4436A">
              <w:rPr>
                <w:b/>
                <w:bCs/>
                <w:color w:val="FFFFFF" w:themeColor="background1"/>
                <w:sz w:val="18"/>
                <w:szCs w:val="18"/>
              </w:rPr>
              <w:t>Demand (MW)</w:t>
            </w:r>
          </w:p>
        </w:tc>
        <w:tc>
          <w:tcPr>
            <w:tcW w:w="3119" w:type="dxa"/>
            <w:gridSpan w:val="3"/>
            <w:tcBorders>
              <w:top w:val="single" w:sz="4" w:space="0" w:color="auto"/>
              <w:bottom w:val="nil"/>
              <w:right w:val="single" w:sz="4" w:space="0" w:color="auto"/>
            </w:tcBorders>
            <w:shd w:val="clear" w:color="auto" w:fill="4A442A"/>
          </w:tcPr>
          <w:p w:rsidR="008E76E6" w:rsidRPr="00E4436A" w:rsidDel="0074250B" w:rsidRDefault="008E76E6" w:rsidP="00DB4ABE">
            <w:pPr>
              <w:autoSpaceDE w:val="0"/>
              <w:autoSpaceDN w:val="0"/>
              <w:adjustRightInd w:val="0"/>
              <w:spacing w:before="100" w:after="100"/>
              <w:jc w:val="center"/>
              <w:rPr>
                <w:b/>
                <w:bCs/>
                <w:color w:val="FFFFFF" w:themeColor="background1"/>
                <w:sz w:val="18"/>
                <w:szCs w:val="18"/>
              </w:rPr>
            </w:pPr>
            <w:r w:rsidRPr="00E4436A">
              <w:rPr>
                <w:b/>
                <w:bCs/>
                <w:color w:val="FFFFFF" w:themeColor="background1"/>
                <w:sz w:val="18"/>
                <w:szCs w:val="18"/>
              </w:rPr>
              <w:t>Availability (MW)</w:t>
            </w:r>
          </w:p>
        </w:tc>
      </w:tr>
      <w:tr w:rsidR="00983BA2" w:rsidRPr="00E4436A" w:rsidTr="00A3607A">
        <w:tc>
          <w:tcPr>
            <w:tcW w:w="993" w:type="dxa"/>
            <w:tcBorders>
              <w:top w:val="nil"/>
              <w:left w:val="single" w:sz="6" w:space="0" w:color="auto"/>
              <w:bottom w:val="nil"/>
              <w:right w:val="single" w:sz="6" w:space="0" w:color="auto"/>
            </w:tcBorders>
            <w:shd w:val="clear" w:color="auto" w:fill="DDD9C3"/>
            <w:noWrap/>
          </w:tcPr>
          <w:p w:rsidR="008E76E6" w:rsidRPr="00E4436A" w:rsidRDefault="008E76E6" w:rsidP="00DB4ABE">
            <w:pPr>
              <w:autoSpaceDE w:val="0"/>
              <w:autoSpaceDN w:val="0"/>
              <w:adjustRightInd w:val="0"/>
              <w:spacing w:before="100" w:after="100"/>
              <w:rPr>
                <w:b/>
                <w:bCs/>
                <w:color w:val="000000" w:themeColor="text1"/>
                <w:sz w:val="18"/>
                <w:szCs w:val="18"/>
              </w:rPr>
            </w:pPr>
          </w:p>
        </w:tc>
        <w:tc>
          <w:tcPr>
            <w:tcW w:w="850" w:type="dxa"/>
            <w:tcBorders>
              <w:top w:val="nil"/>
              <w:left w:val="single" w:sz="6" w:space="0" w:color="auto"/>
              <w:bottom w:val="nil"/>
              <w:right w:val="nil"/>
            </w:tcBorders>
            <w:shd w:val="clear" w:color="auto" w:fill="DDD9C3"/>
            <w:noWrap/>
          </w:tcPr>
          <w:p w:rsidR="008E76E6" w:rsidRPr="00E4436A" w:rsidRDefault="008E76E6" w:rsidP="00DB4ABE">
            <w:pPr>
              <w:autoSpaceDE w:val="0"/>
              <w:autoSpaceDN w:val="0"/>
              <w:adjustRightInd w:val="0"/>
              <w:spacing w:before="100" w:after="100"/>
              <w:jc w:val="center"/>
              <w:rPr>
                <w:b/>
                <w:bCs/>
                <w:color w:val="000000" w:themeColor="text1"/>
                <w:sz w:val="18"/>
                <w:szCs w:val="18"/>
              </w:rPr>
            </w:pPr>
            <w:r w:rsidRPr="00E4436A">
              <w:rPr>
                <w:b/>
                <w:bCs/>
                <w:color w:val="000000" w:themeColor="text1"/>
                <w:sz w:val="18"/>
                <w:szCs w:val="18"/>
              </w:rPr>
              <w:t>Actual</w:t>
            </w:r>
          </w:p>
        </w:tc>
        <w:tc>
          <w:tcPr>
            <w:tcW w:w="1134" w:type="dxa"/>
            <w:tcBorders>
              <w:top w:val="nil"/>
              <w:left w:val="nil"/>
              <w:bottom w:val="nil"/>
              <w:right w:val="nil"/>
            </w:tcBorders>
            <w:shd w:val="clear" w:color="auto" w:fill="DDD9C3"/>
            <w:noWrap/>
          </w:tcPr>
          <w:p w:rsidR="008E76E6" w:rsidRPr="00E4436A" w:rsidRDefault="008E76E6" w:rsidP="00DB4ABE">
            <w:pPr>
              <w:autoSpaceDE w:val="0"/>
              <w:autoSpaceDN w:val="0"/>
              <w:adjustRightInd w:val="0"/>
              <w:spacing w:before="100" w:after="100"/>
              <w:jc w:val="center"/>
              <w:rPr>
                <w:b/>
                <w:bCs/>
                <w:color w:val="000000" w:themeColor="text1"/>
                <w:sz w:val="18"/>
                <w:szCs w:val="18"/>
              </w:rPr>
            </w:pPr>
            <w:r w:rsidRPr="00E4436A">
              <w:rPr>
                <w:b/>
                <w:bCs/>
                <w:color w:val="000000" w:themeColor="text1"/>
                <w:sz w:val="18"/>
                <w:szCs w:val="18"/>
              </w:rPr>
              <w:t xml:space="preserve">4 </w:t>
            </w:r>
            <w:proofErr w:type="spellStart"/>
            <w:r w:rsidRPr="00E4436A">
              <w:rPr>
                <w:b/>
                <w:bCs/>
                <w:color w:val="000000" w:themeColor="text1"/>
                <w:sz w:val="18"/>
                <w:szCs w:val="18"/>
              </w:rPr>
              <w:t>hr</w:t>
            </w:r>
            <w:proofErr w:type="spellEnd"/>
            <w:r w:rsidRPr="00E4436A">
              <w:rPr>
                <w:b/>
                <w:bCs/>
                <w:color w:val="000000" w:themeColor="text1"/>
                <w:sz w:val="18"/>
                <w:szCs w:val="18"/>
              </w:rPr>
              <w:t xml:space="preserve"> forecast</w:t>
            </w:r>
          </w:p>
        </w:tc>
        <w:tc>
          <w:tcPr>
            <w:tcW w:w="1134" w:type="dxa"/>
            <w:tcBorders>
              <w:top w:val="nil"/>
              <w:left w:val="nil"/>
              <w:bottom w:val="nil"/>
              <w:right w:val="single" w:sz="6" w:space="0" w:color="auto"/>
            </w:tcBorders>
            <w:shd w:val="clear" w:color="auto" w:fill="DDD9C3"/>
            <w:noWrap/>
          </w:tcPr>
          <w:p w:rsidR="008E76E6" w:rsidRPr="00E4436A" w:rsidRDefault="008E76E6" w:rsidP="00DB4ABE">
            <w:pPr>
              <w:autoSpaceDE w:val="0"/>
              <w:autoSpaceDN w:val="0"/>
              <w:adjustRightInd w:val="0"/>
              <w:spacing w:before="100" w:after="100"/>
              <w:jc w:val="center"/>
              <w:rPr>
                <w:b/>
                <w:bCs/>
                <w:color w:val="000000" w:themeColor="text1"/>
                <w:sz w:val="18"/>
                <w:szCs w:val="18"/>
              </w:rPr>
            </w:pPr>
            <w:r w:rsidRPr="00E4436A">
              <w:rPr>
                <w:b/>
                <w:bCs/>
                <w:color w:val="000000" w:themeColor="text1"/>
                <w:sz w:val="18"/>
                <w:szCs w:val="18"/>
              </w:rPr>
              <w:t xml:space="preserve">12 </w:t>
            </w:r>
            <w:proofErr w:type="spellStart"/>
            <w:r w:rsidRPr="00E4436A">
              <w:rPr>
                <w:b/>
                <w:bCs/>
                <w:color w:val="000000" w:themeColor="text1"/>
                <w:sz w:val="18"/>
                <w:szCs w:val="18"/>
              </w:rPr>
              <w:t>hr</w:t>
            </w:r>
            <w:proofErr w:type="spellEnd"/>
            <w:r w:rsidRPr="00E4436A">
              <w:rPr>
                <w:b/>
                <w:bCs/>
                <w:color w:val="000000" w:themeColor="text1"/>
                <w:sz w:val="18"/>
                <w:szCs w:val="18"/>
              </w:rPr>
              <w:t xml:space="preserve"> forecast</w:t>
            </w:r>
          </w:p>
        </w:tc>
        <w:tc>
          <w:tcPr>
            <w:tcW w:w="851" w:type="dxa"/>
            <w:tcBorders>
              <w:top w:val="nil"/>
              <w:left w:val="single" w:sz="6" w:space="0" w:color="auto"/>
              <w:bottom w:val="nil"/>
              <w:right w:val="nil"/>
            </w:tcBorders>
            <w:shd w:val="clear" w:color="auto" w:fill="DDD9C3"/>
          </w:tcPr>
          <w:p w:rsidR="008E76E6" w:rsidRPr="00E4436A" w:rsidRDefault="008E76E6" w:rsidP="00DB4ABE">
            <w:pPr>
              <w:autoSpaceDE w:val="0"/>
              <w:autoSpaceDN w:val="0"/>
              <w:adjustRightInd w:val="0"/>
              <w:spacing w:before="100" w:after="100"/>
              <w:jc w:val="center"/>
              <w:rPr>
                <w:b/>
                <w:bCs/>
                <w:color w:val="000000" w:themeColor="text1"/>
                <w:sz w:val="18"/>
                <w:szCs w:val="18"/>
              </w:rPr>
            </w:pPr>
            <w:r w:rsidRPr="00E4436A">
              <w:rPr>
                <w:b/>
                <w:bCs/>
                <w:color w:val="000000" w:themeColor="text1"/>
                <w:sz w:val="18"/>
                <w:szCs w:val="18"/>
              </w:rPr>
              <w:t>Actual</w:t>
            </w:r>
          </w:p>
        </w:tc>
        <w:tc>
          <w:tcPr>
            <w:tcW w:w="992" w:type="dxa"/>
            <w:tcBorders>
              <w:top w:val="nil"/>
              <w:left w:val="nil"/>
              <w:bottom w:val="nil"/>
              <w:right w:val="nil"/>
            </w:tcBorders>
            <w:shd w:val="clear" w:color="auto" w:fill="DDD9C3"/>
          </w:tcPr>
          <w:p w:rsidR="008E76E6" w:rsidRPr="00E4436A" w:rsidRDefault="008E76E6" w:rsidP="00DB4ABE">
            <w:pPr>
              <w:autoSpaceDE w:val="0"/>
              <w:autoSpaceDN w:val="0"/>
              <w:adjustRightInd w:val="0"/>
              <w:spacing w:before="100" w:after="100"/>
              <w:jc w:val="center"/>
              <w:rPr>
                <w:b/>
                <w:bCs/>
                <w:color w:val="000000" w:themeColor="text1"/>
                <w:sz w:val="18"/>
                <w:szCs w:val="18"/>
              </w:rPr>
            </w:pPr>
            <w:r w:rsidRPr="00E4436A">
              <w:rPr>
                <w:b/>
                <w:bCs/>
                <w:color w:val="000000" w:themeColor="text1"/>
                <w:sz w:val="18"/>
                <w:szCs w:val="18"/>
              </w:rPr>
              <w:t xml:space="preserve">4 </w:t>
            </w:r>
            <w:proofErr w:type="spellStart"/>
            <w:r w:rsidRPr="00E4436A">
              <w:rPr>
                <w:b/>
                <w:bCs/>
                <w:color w:val="000000" w:themeColor="text1"/>
                <w:sz w:val="18"/>
                <w:szCs w:val="18"/>
              </w:rPr>
              <w:t>hr</w:t>
            </w:r>
            <w:proofErr w:type="spellEnd"/>
            <w:r w:rsidRPr="00E4436A">
              <w:rPr>
                <w:b/>
                <w:bCs/>
                <w:color w:val="000000" w:themeColor="text1"/>
                <w:sz w:val="18"/>
                <w:szCs w:val="18"/>
              </w:rPr>
              <w:t xml:space="preserve"> forecast</w:t>
            </w:r>
          </w:p>
        </w:tc>
        <w:tc>
          <w:tcPr>
            <w:tcW w:w="992" w:type="dxa"/>
            <w:tcBorders>
              <w:top w:val="nil"/>
              <w:left w:val="nil"/>
              <w:bottom w:val="nil"/>
              <w:right w:val="single" w:sz="6" w:space="0" w:color="auto"/>
            </w:tcBorders>
            <w:shd w:val="clear" w:color="auto" w:fill="DDD9C3"/>
          </w:tcPr>
          <w:p w:rsidR="008E76E6" w:rsidRPr="00E4436A" w:rsidRDefault="008E76E6" w:rsidP="00DB4ABE">
            <w:pPr>
              <w:autoSpaceDE w:val="0"/>
              <w:autoSpaceDN w:val="0"/>
              <w:adjustRightInd w:val="0"/>
              <w:spacing w:before="100" w:after="100"/>
              <w:jc w:val="center"/>
              <w:rPr>
                <w:b/>
                <w:bCs/>
                <w:color w:val="000000" w:themeColor="text1"/>
                <w:sz w:val="18"/>
                <w:szCs w:val="18"/>
              </w:rPr>
            </w:pPr>
            <w:r w:rsidRPr="00E4436A">
              <w:rPr>
                <w:b/>
                <w:bCs/>
                <w:color w:val="000000" w:themeColor="text1"/>
                <w:sz w:val="18"/>
                <w:szCs w:val="18"/>
              </w:rPr>
              <w:t xml:space="preserve">12 </w:t>
            </w:r>
            <w:proofErr w:type="spellStart"/>
            <w:r w:rsidRPr="00E4436A">
              <w:rPr>
                <w:b/>
                <w:bCs/>
                <w:color w:val="000000" w:themeColor="text1"/>
                <w:sz w:val="18"/>
                <w:szCs w:val="18"/>
              </w:rPr>
              <w:t>hr</w:t>
            </w:r>
            <w:proofErr w:type="spellEnd"/>
            <w:r w:rsidRPr="00E4436A">
              <w:rPr>
                <w:b/>
                <w:bCs/>
                <w:color w:val="000000" w:themeColor="text1"/>
                <w:sz w:val="18"/>
                <w:szCs w:val="18"/>
              </w:rPr>
              <w:t xml:space="preserve"> forecast</w:t>
            </w:r>
          </w:p>
        </w:tc>
        <w:tc>
          <w:tcPr>
            <w:tcW w:w="992" w:type="dxa"/>
            <w:tcBorders>
              <w:top w:val="nil"/>
              <w:left w:val="single" w:sz="6" w:space="0" w:color="auto"/>
              <w:bottom w:val="nil"/>
              <w:right w:val="nil"/>
            </w:tcBorders>
            <w:shd w:val="clear" w:color="auto" w:fill="DDD9C3"/>
          </w:tcPr>
          <w:p w:rsidR="008E76E6" w:rsidRPr="00E4436A" w:rsidRDefault="008E76E6" w:rsidP="00DB4ABE">
            <w:pPr>
              <w:autoSpaceDE w:val="0"/>
              <w:autoSpaceDN w:val="0"/>
              <w:adjustRightInd w:val="0"/>
              <w:spacing w:before="100" w:after="100"/>
              <w:jc w:val="center"/>
              <w:rPr>
                <w:b/>
                <w:bCs/>
                <w:color w:val="000000" w:themeColor="text1"/>
                <w:sz w:val="18"/>
                <w:szCs w:val="18"/>
              </w:rPr>
            </w:pPr>
            <w:r w:rsidRPr="00E4436A">
              <w:rPr>
                <w:b/>
                <w:bCs/>
                <w:color w:val="000000" w:themeColor="text1"/>
                <w:sz w:val="18"/>
                <w:szCs w:val="18"/>
              </w:rPr>
              <w:t>Actual</w:t>
            </w:r>
          </w:p>
        </w:tc>
        <w:tc>
          <w:tcPr>
            <w:tcW w:w="993" w:type="dxa"/>
            <w:tcBorders>
              <w:top w:val="nil"/>
              <w:left w:val="nil"/>
              <w:bottom w:val="nil"/>
              <w:right w:val="nil"/>
            </w:tcBorders>
            <w:shd w:val="clear" w:color="auto" w:fill="DDD9C3"/>
          </w:tcPr>
          <w:p w:rsidR="008E76E6" w:rsidRPr="00E4436A" w:rsidRDefault="008E76E6" w:rsidP="00DB4ABE">
            <w:pPr>
              <w:autoSpaceDE w:val="0"/>
              <w:autoSpaceDN w:val="0"/>
              <w:adjustRightInd w:val="0"/>
              <w:spacing w:before="100" w:after="100"/>
              <w:jc w:val="center"/>
              <w:rPr>
                <w:b/>
                <w:bCs/>
                <w:color w:val="000000" w:themeColor="text1"/>
                <w:sz w:val="18"/>
                <w:szCs w:val="18"/>
              </w:rPr>
            </w:pPr>
            <w:r w:rsidRPr="00E4436A">
              <w:rPr>
                <w:b/>
                <w:bCs/>
                <w:color w:val="000000" w:themeColor="text1"/>
                <w:sz w:val="18"/>
                <w:szCs w:val="18"/>
              </w:rPr>
              <w:t xml:space="preserve">4 </w:t>
            </w:r>
            <w:proofErr w:type="spellStart"/>
            <w:r w:rsidRPr="00E4436A">
              <w:rPr>
                <w:b/>
                <w:bCs/>
                <w:color w:val="000000" w:themeColor="text1"/>
                <w:sz w:val="18"/>
                <w:szCs w:val="18"/>
              </w:rPr>
              <w:t>hr</w:t>
            </w:r>
            <w:proofErr w:type="spellEnd"/>
            <w:r w:rsidRPr="00E4436A">
              <w:rPr>
                <w:b/>
                <w:bCs/>
                <w:color w:val="000000" w:themeColor="text1"/>
                <w:sz w:val="18"/>
                <w:szCs w:val="18"/>
              </w:rPr>
              <w:t xml:space="preserve"> forecast</w:t>
            </w:r>
          </w:p>
        </w:tc>
        <w:tc>
          <w:tcPr>
            <w:tcW w:w="1134" w:type="dxa"/>
            <w:tcBorders>
              <w:top w:val="nil"/>
              <w:left w:val="nil"/>
              <w:bottom w:val="nil"/>
              <w:right w:val="single" w:sz="6" w:space="0" w:color="auto"/>
            </w:tcBorders>
            <w:shd w:val="clear" w:color="auto" w:fill="DDD9C3"/>
          </w:tcPr>
          <w:p w:rsidR="008E76E6" w:rsidRPr="00E4436A" w:rsidRDefault="008E76E6" w:rsidP="00DB4ABE">
            <w:pPr>
              <w:autoSpaceDE w:val="0"/>
              <w:autoSpaceDN w:val="0"/>
              <w:adjustRightInd w:val="0"/>
              <w:spacing w:before="100" w:after="100"/>
              <w:jc w:val="center"/>
              <w:rPr>
                <w:b/>
                <w:bCs/>
                <w:color w:val="000000" w:themeColor="text1"/>
                <w:sz w:val="18"/>
                <w:szCs w:val="18"/>
              </w:rPr>
            </w:pPr>
            <w:r w:rsidRPr="00E4436A">
              <w:rPr>
                <w:b/>
                <w:bCs/>
                <w:color w:val="000000" w:themeColor="text1"/>
                <w:sz w:val="18"/>
                <w:szCs w:val="18"/>
              </w:rPr>
              <w:t xml:space="preserve">12 </w:t>
            </w:r>
            <w:proofErr w:type="spellStart"/>
            <w:r w:rsidRPr="00E4436A">
              <w:rPr>
                <w:b/>
                <w:bCs/>
                <w:color w:val="000000" w:themeColor="text1"/>
                <w:sz w:val="18"/>
                <w:szCs w:val="18"/>
              </w:rPr>
              <w:t>hr</w:t>
            </w:r>
            <w:proofErr w:type="spellEnd"/>
            <w:r w:rsidRPr="00E4436A">
              <w:rPr>
                <w:b/>
                <w:bCs/>
                <w:color w:val="000000" w:themeColor="text1"/>
                <w:sz w:val="18"/>
                <w:szCs w:val="18"/>
              </w:rPr>
              <w:t xml:space="preserve"> forecast</w:t>
            </w:r>
          </w:p>
        </w:tc>
      </w:tr>
      <w:tr w:rsidR="00801B27" w:rsidRPr="00E4436A" w:rsidTr="00801B27">
        <w:tc>
          <w:tcPr>
            <w:tcW w:w="993" w:type="dxa"/>
            <w:tcBorders>
              <w:top w:val="nil"/>
              <w:left w:val="single" w:sz="6" w:space="0" w:color="auto"/>
              <w:bottom w:val="single" w:sz="6" w:space="0" w:color="auto"/>
              <w:right w:val="single" w:sz="6" w:space="0" w:color="auto"/>
            </w:tcBorders>
            <w:shd w:val="clear" w:color="auto" w:fill="EEECE1"/>
            <w:noWrap/>
          </w:tcPr>
          <w:p w:rsidR="00801B27" w:rsidRPr="00E4436A" w:rsidRDefault="00801B27" w:rsidP="008E76E6">
            <w:pPr>
              <w:autoSpaceDE w:val="0"/>
              <w:autoSpaceDN w:val="0"/>
              <w:adjustRightInd w:val="0"/>
              <w:spacing w:before="100" w:after="100"/>
              <w:rPr>
                <w:b/>
                <w:bCs/>
                <w:color w:val="000000" w:themeColor="text1"/>
                <w:sz w:val="18"/>
                <w:szCs w:val="18"/>
              </w:rPr>
            </w:pPr>
            <w:r w:rsidRPr="00E4436A">
              <w:rPr>
                <w:b/>
                <w:bCs/>
                <w:color w:val="000000" w:themeColor="text1"/>
                <w:sz w:val="18"/>
                <w:szCs w:val="18"/>
              </w:rPr>
              <w:t>5 PM</w:t>
            </w:r>
          </w:p>
        </w:tc>
        <w:tc>
          <w:tcPr>
            <w:tcW w:w="850" w:type="dxa"/>
            <w:tcBorders>
              <w:top w:val="nil"/>
              <w:left w:val="single" w:sz="6" w:space="0" w:color="auto"/>
              <w:bottom w:val="single" w:sz="6" w:space="0" w:color="auto"/>
              <w:right w:val="nil"/>
            </w:tcBorders>
            <w:shd w:val="clear" w:color="auto" w:fill="EEECE1"/>
            <w:noWrap/>
            <w:vAlign w:val="bottom"/>
          </w:tcPr>
          <w:p w:rsidR="00801B27" w:rsidRPr="00801B27" w:rsidRDefault="00801B27" w:rsidP="00801B27">
            <w:pPr>
              <w:autoSpaceDE w:val="0"/>
              <w:autoSpaceDN w:val="0"/>
              <w:adjustRightInd w:val="0"/>
              <w:spacing w:before="100" w:after="100"/>
              <w:jc w:val="center"/>
              <w:rPr>
                <w:bCs/>
                <w:color w:val="000000" w:themeColor="text1"/>
                <w:sz w:val="18"/>
                <w:szCs w:val="18"/>
              </w:rPr>
            </w:pPr>
            <w:r w:rsidRPr="00801B27">
              <w:rPr>
                <w:bCs/>
                <w:color w:val="000000" w:themeColor="text1"/>
                <w:sz w:val="18"/>
                <w:szCs w:val="18"/>
              </w:rPr>
              <w:t>739.89</w:t>
            </w:r>
          </w:p>
        </w:tc>
        <w:tc>
          <w:tcPr>
            <w:tcW w:w="1134" w:type="dxa"/>
            <w:tcBorders>
              <w:top w:val="nil"/>
              <w:left w:val="nil"/>
              <w:bottom w:val="single" w:sz="6" w:space="0" w:color="auto"/>
              <w:right w:val="nil"/>
            </w:tcBorders>
            <w:shd w:val="clear" w:color="auto" w:fill="EEECE1"/>
            <w:noWrap/>
            <w:vAlign w:val="bottom"/>
          </w:tcPr>
          <w:p w:rsidR="00801B27" w:rsidRPr="00801B27" w:rsidRDefault="00801B27" w:rsidP="00801B27">
            <w:pPr>
              <w:autoSpaceDE w:val="0"/>
              <w:autoSpaceDN w:val="0"/>
              <w:adjustRightInd w:val="0"/>
              <w:spacing w:before="100" w:after="100"/>
              <w:jc w:val="center"/>
              <w:rPr>
                <w:bCs/>
                <w:color w:val="000000" w:themeColor="text1"/>
                <w:sz w:val="18"/>
                <w:szCs w:val="18"/>
              </w:rPr>
            </w:pPr>
            <w:r w:rsidRPr="00801B27">
              <w:rPr>
                <w:bCs/>
                <w:color w:val="000000" w:themeColor="text1"/>
                <w:sz w:val="18"/>
                <w:szCs w:val="18"/>
              </w:rPr>
              <w:t>213.54</w:t>
            </w:r>
          </w:p>
        </w:tc>
        <w:tc>
          <w:tcPr>
            <w:tcW w:w="1134" w:type="dxa"/>
            <w:tcBorders>
              <w:top w:val="nil"/>
              <w:left w:val="nil"/>
              <w:bottom w:val="single" w:sz="6" w:space="0" w:color="auto"/>
              <w:right w:val="single" w:sz="6" w:space="0" w:color="auto"/>
            </w:tcBorders>
            <w:shd w:val="clear" w:color="auto" w:fill="EEECE1"/>
            <w:noWrap/>
            <w:vAlign w:val="bottom"/>
          </w:tcPr>
          <w:p w:rsidR="00801B27" w:rsidRPr="00801B27" w:rsidRDefault="00801B27" w:rsidP="00801B27">
            <w:pPr>
              <w:autoSpaceDE w:val="0"/>
              <w:autoSpaceDN w:val="0"/>
              <w:adjustRightInd w:val="0"/>
              <w:spacing w:before="100" w:after="100"/>
              <w:jc w:val="center"/>
              <w:rPr>
                <w:bCs/>
                <w:color w:val="000000" w:themeColor="text1"/>
                <w:sz w:val="18"/>
                <w:szCs w:val="18"/>
              </w:rPr>
            </w:pPr>
            <w:r w:rsidRPr="00801B27">
              <w:rPr>
                <w:bCs/>
                <w:color w:val="000000" w:themeColor="text1"/>
                <w:sz w:val="18"/>
                <w:szCs w:val="18"/>
              </w:rPr>
              <w:t>90.80</w:t>
            </w:r>
          </w:p>
        </w:tc>
        <w:tc>
          <w:tcPr>
            <w:tcW w:w="851" w:type="dxa"/>
            <w:tcBorders>
              <w:top w:val="nil"/>
              <w:left w:val="single" w:sz="6" w:space="0" w:color="auto"/>
              <w:bottom w:val="single" w:sz="6" w:space="0" w:color="auto"/>
              <w:right w:val="nil"/>
            </w:tcBorders>
            <w:shd w:val="clear" w:color="auto" w:fill="EEECE1"/>
            <w:vAlign w:val="bottom"/>
          </w:tcPr>
          <w:p w:rsidR="00801B27" w:rsidRPr="00801B27" w:rsidRDefault="00801B27" w:rsidP="00801B27">
            <w:pPr>
              <w:autoSpaceDE w:val="0"/>
              <w:autoSpaceDN w:val="0"/>
              <w:adjustRightInd w:val="0"/>
              <w:spacing w:before="100" w:after="100"/>
              <w:jc w:val="center"/>
              <w:rPr>
                <w:bCs/>
                <w:color w:val="000000" w:themeColor="text1"/>
                <w:sz w:val="18"/>
                <w:szCs w:val="18"/>
              </w:rPr>
            </w:pPr>
            <w:r w:rsidRPr="00801B27">
              <w:rPr>
                <w:bCs/>
                <w:color w:val="000000" w:themeColor="text1"/>
                <w:sz w:val="18"/>
                <w:szCs w:val="18"/>
              </w:rPr>
              <w:t>2781</w:t>
            </w:r>
          </w:p>
        </w:tc>
        <w:tc>
          <w:tcPr>
            <w:tcW w:w="992" w:type="dxa"/>
            <w:tcBorders>
              <w:top w:val="nil"/>
              <w:left w:val="nil"/>
              <w:bottom w:val="single" w:sz="6" w:space="0" w:color="auto"/>
              <w:right w:val="nil"/>
            </w:tcBorders>
            <w:shd w:val="clear" w:color="auto" w:fill="EEECE1"/>
            <w:vAlign w:val="bottom"/>
          </w:tcPr>
          <w:p w:rsidR="00801B27" w:rsidRPr="00801B27" w:rsidRDefault="00801B27" w:rsidP="00801B27">
            <w:pPr>
              <w:autoSpaceDE w:val="0"/>
              <w:autoSpaceDN w:val="0"/>
              <w:adjustRightInd w:val="0"/>
              <w:spacing w:before="100" w:after="100"/>
              <w:jc w:val="center"/>
              <w:rPr>
                <w:bCs/>
                <w:color w:val="000000" w:themeColor="text1"/>
                <w:sz w:val="18"/>
                <w:szCs w:val="18"/>
              </w:rPr>
            </w:pPr>
            <w:r w:rsidRPr="00801B27">
              <w:rPr>
                <w:bCs/>
                <w:color w:val="000000" w:themeColor="text1"/>
                <w:sz w:val="18"/>
                <w:szCs w:val="18"/>
              </w:rPr>
              <w:t>2894</w:t>
            </w:r>
          </w:p>
        </w:tc>
        <w:tc>
          <w:tcPr>
            <w:tcW w:w="992" w:type="dxa"/>
            <w:tcBorders>
              <w:top w:val="nil"/>
              <w:left w:val="nil"/>
              <w:bottom w:val="single" w:sz="6" w:space="0" w:color="auto"/>
              <w:right w:val="single" w:sz="6" w:space="0" w:color="auto"/>
            </w:tcBorders>
            <w:shd w:val="clear" w:color="auto" w:fill="EEECE1"/>
            <w:vAlign w:val="bottom"/>
          </w:tcPr>
          <w:p w:rsidR="00801B27" w:rsidRPr="00801B27" w:rsidRDefault="00801B27" w:rsidP="00801B27">
            <w:pPr>
              <w:autoSpaceDE w:val="0"/>
              <w:autoSpaceDN w:val="0"/>
              <w:adjustRightInd w:val="0"/>
              <w:spacing w:before="100" w:after="100"/>
              <w:jc w:val="center"/>
              <w:rPr>
                <w:bCs/>
                <w:color w:val="000000" w:themeColor="text1"/>
                <w:sz w:val="18"/>
                <w:szCs w:val="18"/>
              </w:rPr>
            </w:pPr>
            <w:r w:rsidRPr="00801B27">
              <w:rPr>
                <w:bCs/>
                <w:color w:val="000000" w:themeColor="text1"/>
                <w:sz w:val="18"/>
                <w:szCs w:val="18"/>
              </w:rPr>
              <w:t>2770</w:t>
            </w:r>
          </w:p>
        </w:tc>
        <w:tc>
          <w:tcPr>
            <w:tcW w:w="992" w:type="dxa"/>
            <w:tcBorders>
              <w:top w:val="nil"/>
              <w:left w:val="single" w:sz="6" w:space="0" w:color="auto"/>
              <w:bottom w:val="single" w:sz="6" w:space="0" w:color="auto"/>
              <w:right w:val="nil"/>
            </w:tcBorders>
            <w:shd w:val="clear" w:color="auto" w:fill="EEECE1"/>
            <w:vAlign w:val="bottom"/>
          </w:tcPr>
          <w:p w:rsidR="00801B27" w:rsidRPr="00801B27" w:rsidRDefault="00801B27" w:rsidP="00801B27">
            <w:pPr>
              <w:autoSpaceDE w:val="0"/>
              <w:autoSpaceDN w:val="0"/>
              <w:adjustRightInd w:val="0"/>
              <w:spacing w:before="100" w:after="100"/>
              <w:jc w:val="center"/>
              <w:rPr>
                <w:bCs/>
                <w:color w:val="000000" w:themeColor="text1"/>
                <w:sz w:val="18"/>
                <w:szCs w:val="18"/>
              </w:rPr>
            </w:pPr>
            <w:r w:rsidRPr="00801B27">
              <w:rPr>
                <w:bCs/>
                <w:color w:val="000000" w:themeColor="text1"/>
                <w:sz w:val="18"/>
                <w:szCs w:val="18"/>
              </w:rPr>
              <w:t>3130</w:t>
            </w:r>
          </w:p>
        </w:tc>
        <w:tc>
          <w:tcPr>
            <w:tcW w:w="993" w:type="dxa"/>
            <w:tcBorders>
              <w:top w:val="nil"/>
              <w:left w:val="nil"/>
              <w:bottom w:val="single" w:sz="6" w:space="0" w:color="auto"/>
              <w:right w:val="nil"/>
            </w:tcBorders>
            <w:shd w:val="clear" w:color="auto" w:fill="EEECE1"/>
            <w:vAlign w:val="bottom"/>
          </w:tcPr>
          <w:p w:rsidR="00801B27" w:rsidRPr="00801B27" w:rsidRDefault="00801B27" w:rsidP="00801B27">
            <w:pPr>
              <w:autoSpaceDE w:val="0"/>
              <w:autoSpaceDN w:val="0"/>
              <w:adjustRightInd w:val="0"/>
              <w:spacing w:before="100" w:after="100"/>
              <w:jc w:val="center"/>
              <w:rPr>
                <w:bCs/>
                <w:color w:val="000000" w:themeColor="text1"/>
                <w:sz w:val="18"/>
                <w:szCs w:val="18"/>
              </w:rPr>
            </w:pPr>
            <w:r w:rsidRPr="00801B27">
              <w:rPr>
                <w:bCs/>
                <w:color w:val="000000" w:themeColor="text1"/>
                <w:sz w:val="18"/>
                <w:szCs w:val="18"/>
              </w:rPr>
              <w:t>3380</w:t>
            </w:r>
          </w:p>
        </w:tc>
        <w:tc>
          <w:tcPr>
            <w:tcW w:w="1134" w:type="dxa"/>
            <w:tcBorders>
              <w:top w:val="nil"/>
              <w:left w:val="nil"/>
              <w:bottom w:val="single" w:sz="6" w:space="0" w:color="auto"/>
              <w:right w:val="single" w:sz="6" w:space="0" w:color="auto"/>
            </w:tcBorders>
            <w:shd w:val="clear" w:color="auto" w:fill="EEECE1"/>
            <w:vAlign w:val="bottom"/>
          </w:tcPr>
          <w:p w:rsidR="00801B27" w:rsidRPr="00801B27" w:rsidRDefault="00801B27" w:rsidP="00801B27">
            <w:pPr>
              <w:autoSpaceDE w:val="0"/>
              <w:autoSpaceDN w:val="0"/>
              <w:adjustRightInd w:val="0"/>
              <w:spacing w:before="100" w:after="100"/>
              <w:jc w:val="center"/>
              <w:rPr>
                <w:bCs/>
                <w:color w:val="000000" w:themeColor="text1"/>
                <w:sz w:val="18"/>
                <w:szCs w:val="18"/>
              </w:rPr>
            </w:pPr>
            <w:r w:rsidRPr="00801B27">
              <w:rPr>
                <w:bCs/>
                <w:color w:val="000000" w:themeColor="text1"/>
                <w:sz w:val="18"/>
                <w:szCs w:val="18"/>
              </w:rPr>
              <w:t>3357</w:t>
            </w:r>
          </w:p>
        </w:tc>
      </w:tr>
    </w:tbl>
    <w:p w:rsidR="000418D1" w:rsidRDefault="000418D1" w:rsidP="000418D1">
      <w:pPr>
        <w:pStyle w:val="NormalWeb"/>
        <w:spacing w:before="0" w:beforeAutospacing="0" w:after="0" w:afterAutospacing="0"/>
      </w:pPr>
    </w:p>
    <w:p w:rsidR="000418D1" w:rsidRPr="000418D1" w:rsidRDefault="000418D1" w:rsidP="000418D1">
      <w:pPr>
        <w:pStyle w:val="NormalWeb"/>
        <w:spacing w:before="0" w:beforeAutospacing="0" w:after="0" w:afterAutospacing="0"/>
        <w:rPr>
          <w:rFonts w:ascii="Gautami" w:hAnsi="Gautami"/>
          <w:sz w:val="20"/>
          <w:lang w:eastAsia="en-US"/>
        </w:rPr>
      </w:pPr>
      <w:r w:rsidRPr="000418D1">
        <w:rPr>
          <w:rFonts w:ascii="Gautami" w:hAnsi="Gautami"/>
          <w:sz w:val="20"/>
          <w:lang w:eastAsia="en-US"/>
        </w:rPr>
        <w:t>This event coincided with the high price event in Victoria. This event is explained in the Victorian section.</w:t>
      </w:r>
    </w:p>
    <w:p w:rsidR="009A7C33" w:rsidRPr="00E4436A" w:rsidRDefault="009A7C33" w:rsidP="009A7C33">
      <w:pPr>
        <w:pStyle w:val="AERtabletitle"/>
        <w:rPr>
          <w:color w:val="000000" w:themeColor="text1"/>
        </w:rPr>
      </w:pPr>
      <w:r w:rsidRPr="00E4436A">
        <w:rPr>
          <w:color w:val="000000" w:themeColor="text1"/>
        </w:rPr>
        <w:t xml:space="preserve">Table </w:t>
      </w:r>
      <w:r w:rsidR="00E4436A" w:rsidRPr="00E4436A">
        <w:rPr>
          <w:color w:val="000000" w:themeColor="text1"/>
        </w:rPr>
        <w:t>5</w:t>
      </w:r>
      <w:r w:rsidRPr="00E4436A">
        <w:rPr>
          <w:color w:val="000000" w:themeColor="text1"/>
        </w:rPr>
        <w:t xml:space="preserve">: </w:t>
      </w:r>
      <w:r w:rsidR="00E4436A" w:rsidRPr="00E4436A">
        <w:rPr>
          <w:color w:val="000000" w:themeColor="text1"/>
        </w:rPr>
        <w:t>South Australia, Saturday 1 February</w:t>
      </w:r>
    </w:p>
    <w:tbl>
      <w:tblPr>
        <w:tblW w:w="10065" w:type="dxa"/>
        <w:tblInd w:w="108" w:type="dxa"/>
        <w:tblBorders>
          <w:top w:val="single" w:sz="8" w:space="0" w:color="7BA0CD"/>
          <w:bottom w:val="single" w:sz="8" w:space="0" w:color="7BA0CD"/>
        </w:tblBorders>
        <w:tblLayout w:type="fixed"/>
        <w:tblLook w:val="04A0" w:firstRow="1" w:lastRow="0" w:firstColumn="1" w:lastColumn="0" w:noHBand="0" w:noVBand="1"/>
      </w:tblPr>
      <w:tblGrid>
        <w:gridCol w:w="993"/>
        <w:gridCol w:w="850"/>
        <w:gridCol w:w="1134"/>
        <w:gridCol w:w="1134"/>
        <w:gridCol w:w="851"/>
        <w:gridCol w:w="992"/>
        <w:gridCol w:w="992"/>
        <w:gridCol w:w="992"/>
        <w:gridCol w:w="993"/>
        <w:gridCol w:w="1134"/>
      </w:tblGrid>
      <w:tr w:rsidR="009A7C33" w:rsidRPr="00E4436A" w:rsidTr="009A7C33">
        <w:tc>
          <w:tcPr>
            <w:tcW w:w="993" w:type="dxa"/>
            <w:tcBorders>
              <w:top w:val="single" w:sz="4" w:space="0" w:color="auto"/>
              <w:left w:val="single" w:sz="4" w:space="0" w:color="auto"/>
              <w:bottom w:val="nil"/>
            </w:tcBorders>
            <w:shd w:val="clear" w:color="auto" w:fill="4A442A"/>
            <w:noWrap/>
          </w:tcPr>
          <w:p w:rsidR="009A7C33" w:rsidRPr="00E4436A" w:rsidRDefault="009A7C33" w:rsidP="009A7C33">
            <w:pPr>
              <w:autoSpaceDE w:val="0"/>
              <w:autoSpaceDN w:val="0"/>
              <w:adjustRightInd w:val="0"/>
              <w:spacing w:before="100" w:after="100"/>
              <w:rPr>
                <w:b/>
                <w:bCs/>
                <w:color w:val="FFFFFF" w:themeColor="background1"/>
                <w:sz w:val="18"/>
                <w:szCs w:val="18"/>
              </w:rPr>
            </w:pPr>
            <w:r w:rsidRPr="00E4436A">
              <w:rPr>
                <w:b/>
                <w:bCs/>
                <w:color w:val="FFFFFF" w:themeColor="background1"/>
                <w:sz w:val="18"/>
                <w:szCs w:val="18"/>
              </w:rPr>
              <w:t>Time</w:t>
            </w:r>
          </w:p>
        </w:tc>
        <w:tc>
          <w:tcPr>
            <w:tcW w:w="3118" w:type="dxa"/>
            <w:gridSpan w:val="3"/>
            <w:tcBorders>
              <w:top w:val="single" w:sz="4" w:space="0" w:color="auto"/>
              <w:bottom w:val="nil"/>
            </w:tcBorders>
            <w:shd w:val="clear" w:color="auto" w:fill="4A442A"/>
            <w:noWrap/>
          </w:tcPr>
          <w:p w:rsidR="009A7C33" w:rsidRPr="00E4436A" w:rsidRDefault="009A7C33" w:rsidP="009A7C33">
            <w:pPr>
              <w:autoSpaceDE w:val="0"/>
              <w:autoSpaceDN w:val="0"/>
              <w:adjustRightInd w:val="0"/>
              <w:spacing w:before="100" w:after="100"/>
              <w:jc w:val="center"/>
              <w:rPr>
                <w:b/>
                <w:bCs/>
                <w:color w:val="FFFFFF" w:themeColor="background1"/>
                <w:sz w:val="18"/>
                <w:szCs w:val="18"/>
              </w:rPr>
            </w:pPr>
            <w:r w:rsidRPr="00E4436A">
              <w:rPr>
                <w:b/>
                <w:bCs/>
                <w:color w:val="FFFFFF" w:themeColor="background1"/>
                <w:sz w:val="18"/>
                <w:szCs w:val="18"/>
              </w:rPr>
              <w:t>Price ($/MWh)</w:t>
            </w:r>
          </w:p>
        </w:tc>
        <w:tc>
          <w:tcPr>
            <w:tcW w:w="2835" w:type="dxa"/>
            <w:gridSpan w:val="3"/>
            <w:tcBorders>
              <w:top w:val="single" w:sz="4" w:space="0" w:color="auto"/>
              <w:bottom w:val="nil"/>
            </w:tcBorders>
            <w:shd w:val="clear" w:color="auto" w:fill="4A442A"/>
          </w:tcPr>
          <w:p w:rsidR="009A7C33" w:rsidRPr="00E4436A" w:rsidDel="0074250B" w:rsidRDefault="009A7C33" w:rsidP="009A7C33">
            <w:pPr>
              <w:autoSpaceDE w:val="0"/>
              <w:autoSpaceDN w:val="0"/>
              <w:adjustRightInd w:val="0"/>
              <w:spacing w:before="100" w:after="100"/>
              <w:jc w:val="center"/>
              <w:rPr>
                <w:b/>
                <w:bCs/>
                <w:color w:val="FFFFFF" w:themeColor="background1"/>
                <w:sz w:val="18"/>
                <w:szCs w:val="18"/>
              </w:rPr>
            </w:pPr>
            <w:r w:rsidRPr="00E4436A">
              <w:rPr>
                <w:b/>
                <w:bCs/>
                <w:color w:val="FFFFFF" w:themeColor="background1"/>
                <w:sz w:val="18"/>
                <w:szCs w:val="18"/>
              </w:rPr>
              <w:t>Demand (MW)</w:t>
            </w:r>
          </w:p>
        </w:tc>
        <w:tc>
          <w:tcPr>
            <w:tcW w:w="3119" w:type="dxa"/>
            <w:gridSpan w:val="3"/>
            <w:tcBorders>
              <w:top w:val="single" w:sz="4" w:space="0" w:color="auto"/>
              <w:bottom w:val="nil"/>
              <w:right w:val="single" w:sz="4" w:space="0" w:color="auto"/>
            </w:tcBorders>
            <w:shd w:val="clear" w:color="auto" w:fill="4A442A"/>
          </w:tcPr>
          <w:p w:rsidR="009A7C33" w:rsidRPr="00E4436A" w:rsidDel="0074250B" w:rsidRDefault="009A7C33" w:rsidP="009A7C33">
            <w:pPr>
              <w:autoSpaceDE w:val="0"/>
              <w:autoSpaceDN w:val="0"/>
              <w:adjustRightInd w:val="0"/>
              <w:spacing w:before="100" w:after="100"/>
              <w:jc w:val="center"/>
              <w:rPr>
                <w:b/>
                <w:bCs/>
                <w:color w:val="FFFFFF" w:themeColor="background1"/>
                <w:sz w:val="18"/>
                <w:szCs w:val="18"/>
              </w:rPr>
            </w:pPr>
            <w:r w:rsidRPr="00E4436A">
              <w:rPr>
                <w:b/>
                <w:bCs/>
                <w:color w:val="FFFFFF" w:themeColor="background1"/>
                <w:sz w:val="18"/>
                <w:szCs w:val="18"/>
              </w:rPr>
              <w:t>Availability (MW)</w:t>
            </w:r>
          </w:p>
        </w:tc>
      </w:tr>
      <w:tr w:rsidR="009A7C33" w:rsidRPr="00E4436A" w:rsidTr="009A7C33">
        <w:tc>
          <w:tcPr>
            <w:tcW w:w="993" w:type="dxa"/>
            <w:tcBorders>
              <w:top w:val="nil"/>
              <w:left w:val="single" w:sz="6" w:space="0" w:color="auto"/>
              <w:bottom w:val="nil"/>
              <w:right w:val="single" w:sz="6" w:space="0" w:color="auto"/>
            </w:tcBorders>
            <w:shd w:val="clear" w:color="auto" w:fill="DDD9C3"/>
            <w:noWrap/>
          </w:tcPr>
          <w:p w:rsidR="009A7C33" w:rsidRPr="00E4436A" w:rsidRDefault="009A7C33" w:rsidP="009A7C33">
            <w:pPr>
              <w:autoSpaceDE w:val="0"/>
              <w:autoSpaceDN w:val="0"/>
              <w:adjustRightInd w:val="0"/>
              <w:spacing w:before="100" w:after="100"/>
              <w:rPr>
                <w:b/>
                <w:bCs/>
                <w:color w:val="000000" w:themeColor="text1"/>
                <w:sz w:val="18"/>
                <w:szCs w:val="18"/>
              </w:rPr>
            </w:pPr>
          </w:p>
        </w:tc>
        <w:tc>
          <w:tcPr>
            <w:tcW w:w="850" w:type="dxa"/>
            <w:tcBorders>
              <w:top w:val="nil"/>
              <w:left w:val="single" w:sz="6" w:space="0" w:color="auto"/>
              <w:bottom w:val="nil"/>
              <w:right w:val="nil"/>
            </w:tcBorders>
            <w:shd w:val="clear" w:color="auto" w:fill="DDD9C3"/>
            <w:noWrap/>
          </w:tcPr>
          <w:p w:rsidR="009A7C33" w:rsidRPr="00E4436A" w:rsidRDefault="009A7C33" w:rsidP="009A7C33">
            <w:pPr>
              <w:autoSpaceDE w:val="0"/>
              <w:autoSpaceDN w:val="0"/>
              <w:adjustRightInd w:val="0"/>
              <w:spacing w:before="100" w:after="100"/>
              <w:jc w:val="center"/>
              <w:rPr>
                <w:b/>
                <w:bCs/>
                <w:color w:val="000000" w:themeColor="text1"/>
                <w:sz w:val="18"/>
                <w:szCs w:val="18"/>
              </w:rPr>
            </w:pPr>
            <w:r w:rsidRPr="00E4436A">
              <w:rPr>
                <w:b/>
                <w:bCs/>
                <w:color w:val="000000" w:themeColor="text1"/>
                <w:sz w:val="18"/>
                <w:szCs w:val="18"/>
              </w:rPr>
              <w:t>Actual</w:t>
            </w:r>
          </w:p>
        </w:tc>
        <w:tc>
          <w:tcPr>
            <w:tcW w:w="1134" w:type="dxa"/>
            <w:tcBorders>
              <w:top w:val="nil"/>
              <w:left w:val="nil"/>
              <w:bottom w:val="nil"/>
              <w:right w:val="nil"/>
            </w:tcBorders>
            <w:shd w:val="clear" w:color="auto" w:fill="DDD9C3"/>
            <w:noWrap/>
          </w:tcPr>
          <w:p w:rsidR="009A7C33" w:rsidRPr="00E4436A" w:rsidRDefault="009A7C33" w:rsidP="009A7C33">
            <w:pPr>
              <w:autoSpaceDE w:val="0"/>
              <w:autoSpaceDN w:val="0"/>
              <w:adjustRightInd w:val="0"/>
              <w:spacing w:before="100" w:after="100"/>
              <w:jc w:val="center"/>
              <w:rPr>
                <w:b/>
                <w:bCs/>
                <w:color w:val="000000" w:themeColor="text1"/>
                <w:sz w:val="18"/>
                <w:szCs w:val="18"/>
              </w:rPr>
            </w:pPr>
            <w:r w:rsidRPr="00E4436A">
              <w:rPr>
                <w:b/>
                <w:bCs/>
                <w:color w:val="000000" w:themeColor="text1"/>
                <w:sz w:val="18"/>
                <w:szCs w:val="18"/>
              </w:rPr>
              <w:t xml:space="preserve">4 </w:t>
            </w:r>
            <w:proofErr w:type="spellStart"/>
            <w:r w:rsidRPr="00E4436A">
              <w:rPr>
                <w:b/>
                <w:bCs/>
                <w:color w:val="000000" w:themeColor="text1"/>
                <w:sz w:val="18"/>
                <w:szCs w:val="18"/>
              </w:rPr>
              <w:t>hr</w:t>
            </w:r>
            <w:proofErr w:type="spellEnd"/>
            <w:r w:rsidRPr="00E4436A">
              <w:rPr>
                <w:b/>
                <w:bCs/>
                <w:color w:val="000000" w:themeColor="text1"/>
                <w:sz w:val="18"/>
                <w:szCs w:val="18"/>
              </w:rPr>
              <w:t xml:space="preserve"> forecast</w:t>
            </w:r>
          </w:p>
        </w:tc>
        <w:tc>
          <w:tcPr>
            <w:tcW w:w="1134" w:type="dxa"/>
            <w:tcBorders>
              <w:top w:val="nil"/>
              <w:left w:val="nil"/>
              <w:bottom w:val="nil"/>
              <w:right w:val="single" w:sz="6" w:space="0" w:color="auto"/>
            </w:tcBorders>
            <w:shd w:val="clear" w:color="auto" w:fill="DDD9C3"/>
            <w:noWrap/>
          </w:tcPr>
          <w:p w:rsidR="009A7C33" w:rsidRPr="00E4436A" w:rsidRDefault="009A7C33" w:rsidP="009A7C33">
            <w:pPr>
              <w:autoSpaceDE w:val="0"/>
              <w:autoSpaceDN w:val="0"/>
              <w:adjustRightInd w:val="0"/>
              <w:spacing w:before="100" w:after="100"/>
              <w:jc w:val="center"/>
              <w:rPr>
                <w:b/>
                <w:bCs/>
                <w:color w:val="000000" w:themeColor="text1"/>
                <w:sz w:val="18"/>
                <w:szCs w:val="18"/>
              </w:rPr>
            </w:pPr>
            <w:r w:rsidRPr="00E4436A">
              <w:rPr>
                <w:b/>
                <w:bCs/>
                <w:color w:val="000000" w:themeColor="text1"/>
                <w:sz w:val="18"/>
                <w:szCs w:val="18"/>
              </w:rPr>
              <w:t xml:space="preserve">12 </w:t>
            </w:r>
            <w:proofErr w:type="spellStart"/>
            <w:r w:rsidRPr="00E4436A">
              <w:rPr>
                <w:b/>
                <w:bCs/>
                <w:color w:val="000000" w:themeColor="text1"/>
                <w:sz w:val="18"/>
                <w:szCs w:val="18"/>
              </w:rPr>
              <w:t>hr</w:t>
            </w:r>
            <w:proofErr w:type="spellEnd"/>
            <w:r w:rsidRPr="00E4436A">
              <w:rPr>
                <w:b/>
                <w:bCs/>
                <w:color w:val="000000" w:themeColor="text1"/>
                <w:sz w:val="18"/>
                <w:szCs w:val="18"/>
              </w:rPr>
              <w:t xml:space="preserve"> forecast</w:t>
            </w:r>
          </w:p>
        </w:tc>
        <w:tc>
          <w:tcPr>
            <w:tcW w:w="851" w:type="dxa"/>
            <w:tcBorders>
              <w:top w:val="nil"/>
              <w:left w:val="single" w:sz="6" w:space="0" w:color="auto"/>
              <w:bottom w:val="nil"/>
              <w:right w:val="nil"/>
            </w:tcBorders>
            <w:shd w:val="clear" w:color="auto" w:fill="DDD9C3"/>
          </w:tcPr>
          <w:p w:rsidR="009A7C33" w:rsidRPr="00E4436A" w:rsidRDefault="009A7C33" w:rsidP="009A7C33">
            <w:pPr>
              <w:autoSpaceDE w:val="0"/>
              <w:autoSpaceDN w:val="0"/>
              <w:adjustRightInd w:val="0"/>
              <w:spacing w:before="100" w:after="100"/>
              <w:jc w:val="center"/>
              <w:rPr>
                <w:b/>
                <w:bCs/>
                <w:color w:val="000000" w:themeColor="text1"/>
                <w:sz w:val="18"/>
                <w:szCs w:val="18"/>
              </w:rPr>
            </w:pPr>
            <w:r w:rsidRPr="00E4436A">
              <w:rPr>
                <w:b/>
                <w:bCs/>
                <w:color w:val="000000" w:themeColor="text1"/>
                <w:sz w:val="18"/>
                <w:szCs w:val="18"/>
              </w:rPr>
              <w:t>Actual</w:t>
            </w:r>
          </w:p>
        </w:tc>
        <w:tc>
          <w:tcPr>
            <w:tcW w:w="992" w:type="dxa"/>
            <w:tcBorders>
              <w:top w:val="nil"/>
              <w:left w:val="nil"/>
              <w:bottom w:val="nil"/>
              <w:right w:val="nil"/>
            </w:tcBorders>
            <w:shd w:val="clear" w:color="auto" w:fill="DDD9C3"/>
          </w:tcPr>
          <w:p w:rsidR="009A7C33" w:rsidRPr="00E4436A" w:rsidRDefault="009A7C33" w:rsidP="009A7C33">
            <w:pPr>
              <w:autoSpaceDE w:val="0"/>
              <w:autoSpaceDN w:val="0"/>
              <w:adjustRightInd w:val="0"/>
              <w:spacing w:before="100" w:after="100"/>
              <w:jc w:val="center"/>
              <w:rPr>
                <w:b/>
                <w:bCs/>
                <w:color w:val="000000" w:themeColor="text1"/>
                <w:sz w:val="18"/>
                <w:szCs w:val="18"/>
              </w:rPr>
            </w:pPr>
            <w:r w:rsidRPr="00E4436A">
              <w:rPr>
                <w:b/>
                <w:bCs/>
                <w:color w:val="000000" w:themeColor="text1"/>
                <w:sz w:val="18"/>
                <w:szCs w:val="18"/>
              </w:rPr>
              <w:t xml:space="preserve">4 </w:t>
            </w:r>
            <w:proofErr w:type="spellStart"/>
            <w:r w:rsidRPr="00E4436A">
              <w:rPr>
                <w:b/>
                <w:bCs/>
                <w:color w:val="000000" w:themeColor="text1"/>
                <w:sz w:val="18"/>
                <w:szCs w:val="18"/>
              </w:rPr>
              <w:t>hr</w:t>
            </w:r>
            <w:proofErr w:type="spellEnd"/>
            <w:r w:rsidRPr="00E4436A">
              <w:rPr>
                <w:b/>
                <w:bCs/>
                <w:color w:val="000000" w:themeColor="text1"/>
                <w:sz w:val="18"/>
                <w:szCs w:val="18"/>
              </w:rPr>
              <w:t xml:space="preserve"> forecast</w:t>
            </w:r>
          </w:p>
        </w:tc>
        <w:tc>
          <w:tcPr>
            <w:tcW w:w="992" w:type="dxa"/>
            <w:tcBorders>
              <w:top w:val="nil"/>
              <w:left w:val="nil"/>
              <w:bottom w:val="nil"/>
              <w:right w:val="single" w:sz="6" w:space="0" w:color="auto"/>
            </w:tcBorders>
            <w:shd w:val="clear" w:color="auto" w:fill="DDD9C3"/>
          </w:tcPr>
          <w:p w:rsidR="009A7C33" w:rsidRPr="00E4436A" w:rsidRDefault="009A7C33" w:rsidP="009A7C33">
            <w:pPr>
              <w:autoSpaceDE w:val="0"/>
              <w:autoSpaceDN w:val="0"/>
              <w:adjustRightInd w:val="0"/>
              <w:spacing w:before="100" w:after="100"/>
              <w:jc w:val="center"/>
              <w:rPr>
                <w:b/>
                <w:bCs/>
                <w:color w:val="000000" w:themeColor="text1"/>
                <w:sz w:val="18"/>
                <w:szCs w:val="18"/>
              </w:rPr>
            </w:pPr>
            <w:r w:rsidRPr="00E4436A">
              <w:rPr>
                <w:b/>
                <w:bCs/>
                <w:color w:val="000000" w:themeColor="text1"/>
                <w:sz w:val="18"/>
                <w:szCs w:val="18"/>
              </w:rPr>
              <w:t xml:space="preserve">12 </w:t>
            </w:r>
            <w:proofErr w:type="spellStart"/>
            <w:r w:rsidRPr="00E4436A">
              <w:rPr>
                <w:b/>
                <w:bCs/>
                <w:color w:val="000000" w:themeColor="text1"/>
                <w:sz w:val="18"/>
                <w:szCs w:val="18"/>
              </w:rPr>
              <w:t>hr</w:t>
            </w:r>
            <w:proofErr w:type="spellEnd"/>
            <w:r w:rsidRPr="00E4436A">
              <w:rPr>
                <w:b/>
                <w:bCs/>
                <w:color w:val="000000" w:themeColor="text1"/>
                <w:sz w:val="18"/>
                <w:szCs w:val="18"/>
              </w:rPr>
              <w:t xml:space="preserve"> forecast</w:t>
            </w:r>
          </w:p>
        </w:tc>
        <w:tc>
          <w:tcPr>
            <w:tcW w:w="992" w:type="dxa"/>
            <w:tcBorders>
              <w:top w:val="nil"/>
              <w:left w:val="single" w:sz="6" w:space="0" w:color="auto"/>
              <w:bottom w:val="nil"/>
              <w:right w:val="nil"/>
            </w:tcBorders>
            <w:shd w:val="clear" w:color="auto" w:fill="DDD9C3"/>
          </w:tcPr>
          <w:p w:rsidR="009A7C33" w:rsidRPr="00E4436A" w:rsidRDefault="009A7C33" w:rsidP="009A7C33">
            <w:pPr>
              <w:autoSpaceDE w:val="0"/>
              <w:autoSpaceDN w:val="0"/>
              <w:adjustRightInd w:val="0"/>
              <w:spacing w:before="100" w:after="100"/>
              <w:jc w:val="center"/>
              <w:rPr>
                <w:b/>
                <w:bCs/>
                <w:color w:val="000000" w:themeColor="text1"/>
                <w:sz w:val="18"/>
                <w:szCs w:val="18"/>
              </w:rPr>
            </w:pPr>
            <w:r w:rsidRPr="00E4436A">
              <w:rPr>
                <w:b/>
                <w:bCs/>
                <w:color w:val="000000" w:themeColor="text1"/>
                <w:sz w:val="18"/>
                <w:szCs w:val="18"/>
              </w:rPr>
              <w:t>Actual</w:t>
            </w:r>
          </w:p>
        </w:tc>
        <w:tc>
          <w:tcPr>
            <w:tcW w:w="993" w:type="dxa"/>
            <w:tcBorders>
              <w:top w:val="nil"/>
              <w:left w:val="nil"/>
              <w:bottom w:val="nil"/>
              <w:right w:val="nil"/>
            </w:tcBorders>
            <w:shd w:val="clear" w:color="auto" w:fill="DDD9C3"/>
          </w:tcPr>
          <w:p w:rsidR="009A7C33" w:rsidRPr="00E4436A" w:rsidRDefault="009A7C33" w:rsidP="009A7C33">
            <w:pPr>
              <w:autoSpaceDE w:val="0"/>
              <w:autoSpaceDN w:val="0"/>
              <w:adjustRightInd w:val="0"/>
              <w:spacing w:before="100" w:after="100"/>
              <w:jc w:val="center"/>
              <w:rPr>
                <w:b/>
                <w:bCs/>
                <w:color w:val="000000" w:themeColor="text1"/>
                <w:sz w:val="18"/>
                <w:szCs w:val="18"/>
              </w:rPr>
            </w:pPr>
            <w:r w:rsidRPr="00E4436A">
              <w:rPr>
                <w:b/>
                <w:bCs/>
                <w:color w:val="000000" w:themeColor="text1"/>
                <w:sz w:val="18"/>
                <w:szCs w:val="18"/>
              </w:rPr>
              <w:t xml:space="preserve">4 </w:t>
            </w:r>
            <w:proofErr w:type="spellStart"/>
            <w:r w:rsidRPr="00E4436A">
              <w:rPr>
                <w:b/>
                <w:bCs/>
                <w:color w:val="000000" w:themeColor="text1"/>
                <w:sz w:val="18"/>
                <w:szCs w:val="18"/>
              </w:rPr>
              <w:t>hr</w:t>
            </w:r>
            <w:proofErr w:type="spellEnd"/>
            <w:r w:rsidRPr="00E4436A">
              <w:rPr>
                <w:b/>
                <w:bCs/>
                <w:color w:val="000000" w:themeColor="text1"/>
                <w:sz w:val="18"/>
                <w:szCs w:val="18"/>
              </w:rPr>
              <w:t xml:space="preserve"> forecast</w:t>
            </w:r>
          </w:p>
        </w:tc>
        <w:tc>
          <w:tcPr>
            <w:tcW w:w="1134" w:type="dxa"/>
            <w:tcBorders>
              <w:top w:val="nil"/>
              <w:left w:val="nil"/>
              <w:bottom w:val="nil"/>
              <w:right w:val="single" w:sz="6" w:space="0" w:color="auto"/>
            </w:tcBorders>
            <w:shd w:val="clear" w:color="auto" w:fill="DDD9C3"/>
          </w:tcPr>
          <w:p w:rsidR="009A7C33" w:rsidRPr="00E4436A" w:rsidRDefault="009A7C33" w:rsidP="009A7C33">
            <w:pPr>
              <w:autoSpaceDE w:val="0"/>
              <w:autoSpaceDN w:val="0"/>
              <w:adjustRightInd w:val="0"/>
              <w:spacing w:before="100" w:after="100"/>
              <w:jc w:val="center"/>
              <w:rPr>
                <w:b/>
                <w:bCs/>
                <w:color w:val="000000" w:themeColor="text1"/>
                <w:sz w:val="18"/>
                <w:szCs w:val="18"/>
              </w:rPr>
            </w:pPr>
            <w:r w:rsidRPr="00E4436A">
              <w:rPr>
                <w:b/>
                <w:bCs/>
                <w:color w:val="000000" w:themeColor="text1"/>
                <w:sz w:val="18"/>
                <w:szCs w:val="18"/>
              </w:rPr>
              <w:t xml:space="preserve">12 </w:t>
            </w:r>
            <w:proofErr w:type="spellStart"/>
            <w:r w:rsidRPr="00E4436A">
              <w:rPr>
                <w:b/>
                <w:bCs/>
                <w:color w:val="000000" w:themeColor="text1"/>
                <w:sz w:val="18"/>
                <w:szCs w:val="18"/>
              </w:rPr>
              <w:t>hr</w:t>
            </w:r>
            <w:proofErr w:type="spellEnd"/>
            <w:r w:rsidRPr="00E4436A">
              <w:rPr>
                <w:b/>
                <w:bCs/>
                <w:color w:val="000000" w:themeColor="text1"/>
                <w:sz w:val="18"/>
                <w:szCs w:val="18"/>
              </w:rPr>
              <w:t xml:space="preserve"> forecast</w:t>
            </w:r>
          </w:p>
        </w:tc>
      </w:tr>
      <w:tr w:rsidR="00801B27" w:rsidRPr="00E4436A" w:rsidTr="00801B27">
        <w:tc>
          <w:tcPr>
            <w:tcW w:w="993" w:type="dxa"/>
            <w:tcBorders>
              <w:top w:val="nil"/>
              <w:left w:val="single" w:sz="6" w:space="0" w:color="auto"/>
              <w:bottom w:val="single" w:sz="6" w:space="0" w:color="auto"/>
              <w:right w:val="single" w:sz="6" w:space="0" w:color="auto"/>
            </w:tcBorders>
            <w:shd w:val="clear" w:color="auto" w:fill="EEECE1"/>
            <w:noWrap/>
          </w:tcPr>
          <w:p w:rsidR="00801B27" w:rsidRPr="00E4436A" w:rsidRDefault="00801B27" w:rsidP="00E4436A">
            <w:pPr>
              <w:autoSpaceDE w:val="0"/>
              <w:autoSpaceDN w:val="0"/>
              <w:adjustRightInd w:val="0"/>
              <w:spacing w:before="100" w:after="100"/>
              <w:rPr>
                <w:b/>
                <w:bCs/>
                <w:color w:val="000000" w:themeColor="text1"/>
                <w:sz w:val="18"/>
                <w:szCs w:val="18"/>
              </w:rPr>
            </w:pPr>
            <w:r w:rsidRPr="00E4436A">
              <w:rPr>
                <w:b/>
                <w:bCs/>
                <w:color w:val="000000" w:themeColor="text1"/>
                <w:sz w:val="18"/>
                <w:szCs w:val="18"/>
              </w:rPr>
              <w:t>4 PM</w:t>
            </w:r>
          </w:p>
        </w:tc>
        <w:tc>
          <w:tcPr>
            <w:tcW w:w="850" w:type="dxa"/>
            <w:tcBorders>
              <w:top w:val="nil"/>
              <w:left w:val="single" w:sz="6" w:space="0" w:color="auto"/>
              <w:bottom w:val="single" w:sz="6" w:space="0" w:color="auto"/>
              <w:right w:val="nil"/>
            </w:tcBorders>
            <w:shd w:val="clear" w:color="auto" w:fill="EEECE1"/>
            <w:noWrap/>
            <w:vAlign w:val="bottom"/>
          </w:tcPr>
          <w:p w:rsidR="00801B27" w:rsidRPr="00801B27" w:rsidRDefault="00801B27" w:rsidP="00801B27">
            <w:pPr>
              <w:autoSpaceDE w:val="0"/>
              <w:autoSpaceDN w:val="0"/>
              <w:adjustRightInd w:val="0"/>
              <w:spacing w:before="100" w:after="100"/>
              <w:jc w:val="center"/>
              <w:rPr>
                <w:bCs/>
                <w:color w:val="000000" w:themeColor="text1"/>
                <w:sz w:val="18"/>
                <w:szCs w:val="18"/>
              </w:rPr>
            </w:pPr>
            <w:r w:rsidRPr="00801B27">
              <w:rPr>
                <w:bCs/>
                <w:color w:val="000000" w:themeColor="text1"/>
                <w:sz w:val="18"/>
                <w:szCs w:val="18"/>
              </w:rPr>
              <w:t>580.72</w:t>
            </w:r>
          </w:p>
        </w:tc>
        <w:tc>
          <w:tcPr>
            <w:tcW w:w="1134" w:type="dxa"/>
            <w:tcBorders>
              <w:top w:val="nil"/>
              <w:left w:val="nil"/>
              <w:bottom w:val="single" w:sz="6" w:space="0" w:color="auto"/>
              <w:right w:val="nil"/>
            </w:tcBorders>
            <w:shd w:val="clear" w:color="auto" w:fill="EEECE1"/>
            <w:noWrap/>
            <w:vAlign w:val="bottom"/>
          </w:tcPr>
          <w:p w:rsidR="00801B27" w:rsidRPr="00801B27" w:rsidRDefault="00801B27" w:rsidP="00801B27">
            <w:pPr>
              <w:autoSpaceDE w:val="0"/>
              <w:autoSpaceDN w:val="0"/>
              <w:adjustRightInd w:val="0"/>
              <w:spacing w:before="100" w:after="100"/>
              <w:jc w:val="center"/>
              <w:rPr>
                <w:bCs/>
                <w:color w:val="000000" w:themeColor="text1"/>
                <w:sz w:val="18"/>
                <w:szCs w:val="18"/>
              </w:rPr>
            </w:pPr>
            <w:r w:rsidRPr="00801B27">
              <w:rPr>
                <w:bCs/>
                <w:color w:val="000000" w:themeColor="text1"/>
                <w:sz w:val="18"/>
                <w:szCs w:val="18"/>
              </w:rPr>
              <w:t>109.80</w:t>
            </w:r>
          </w:p>
        </w:tc>
        <w:tc>
          <w:tcPr>
            <w:tcW w:w="1134" w:type="dxa"/>
            <w:tcBorders>
              <w:top w:val="nil"/>
              <w:left w:val="nil"/>
              <w:bottom w:val="single" w:sz="6" w:space="0" w:color="auto"/>
              <w:right w:val="single" w:sz="6" w:space="0" w:color="auto"/>
            </w:tcBorders>
            <w:shd w:val="clear" w:color="auto" w:fill="EEECE1"/>
            <w:noWrap/>
            <w:vAlign w:val="bottom"/>
          </w:tcPr>
          <w:p w:rsidR="00801B27" w:rsidRPr="00801B27" w:rsidRDefault="00801B27" w:rsidP="00801B27">
            <w:pPr>
              <w:autoSpaceDE w:val="0"/>
              <w:autoSpaceDN w:val="0"/>
              <w:adjustRightInd w:val="0"/>
              <w:spacing w:before="100" w:after="100"/>
              <w:jc w:val="center"/>
              <w:rPr>
                <w:bCs/>
                <w:color w:val="000000" w:themeColor="text1"/>
                <w:sz w:val="18"/>
                <w:szCs w:val="18"/>
              </w:rPr>
            </w:pPr>
            <w:r w:rsidRPr="00801B27">
              <w:rPr>
                <w:bCs/>
                <w:color w:val="000000" w:themeColor="text1"/>
                <w:sz w:val="18"/>
                <w:szCs w:val="18"/>
              </w:rPr>
              <w:t>148.49</w:t>
            </w:r>
          </w:p>
        </w:tc>
        <w:tc>
          <w:tcPr>
            <w:tcW w:w="851" w:type="dxa"/>
            <w:tcBorders>
              <w:top w:val="nil"/>
              <w:left w:val="single" w:sz="6" w:space="0" w:color="auto"/>
              <w:bottom w:val="single" w:sz="6" w:space="0" w:color="auto"/>
              <w:right w:val="nil"/>
            </w:tcBorders>
            <w:shd w:val="clear" w:color="auto" w:fill="EEECE1"/>
            <w:vAlign w:val="bottom"/>
          </w:tcPr>
          <w:p w:rsidR="00801B27" w:rsidRPr="00801B27" w:rsidRDefault="00801B27" w:rsidP="00801B27">
            <w:pPr>
              <w:autoSpaceDE w:val="0"/>
              <w:autoSpaceDN w:val="0"/>
              <w:adjustRightInd w:val="0"/>
              <w:spacing w:before="100" w:after="100"/>
              <w:jc w:val="center"/>
              <w:rPr>
                <w:bCs/>
                <w:color w:val="000000" w:themeColor="text1"/>
                <w:sz w:val="18"/>
                <w:szCs w:val="18"/>
              </w:rPr>
            </w:pPr>
            <w:r w:rsidRPr="00801B27">
              <w:rPr>
                <w:bCs/>
                <w:color w:val="000000" w:themeColor="text1"/>
                <w:sz w:val="18"/>
                <w:szCs w:val="18"/>
              </w:rPr>
              <w:t>2643</w:t>
            </w:r>
          </w:p>
        </w:tc>
        <w:tc>
          <w:tcPr>
            <w:tcW w:w="992" w:type="dxa"/>
            <w:tcBorders>
              <w:top w:val="nil"/>
              <w:left w:val="nil"/>
              <w:bottom w:val="single" w:sz="6" w:space="0" w:color="auto"/>
              <w:right w:val="nil"/>
            </w:tcBorders>
            <w:shd w:val="clear" w:color="auto" w:fill="EEECE1"/>
            <w:vAlign w:val="bottom"/>
          </w:tcPr>
          <w:p w:rsidR="00801B27" w:rsidRPr="00801B27" w:rsidRDefault="00801B27" w:rsidP="00801B27">
            <w:pPr>
              <w:autoSpaceDE w:val="0"/>
              <w:autoSpaceDN w:val="0"/>
              <w:adjustRightInd w:val="0"/>
              <w:spacing w:before="100" w:after="100"/>
              <w:jc w:val="center"/>
              <w:rPr>
                <w:bCs/>
                <w:color w:val="000000" w:themeColor="text1"/>
                <w:sz w:val="18"/>
                <w:szCs w:val="18"/>
              </w:rPr>
            </w:pPr>
            <w:r w:rsidRPr="00801B27">
              <w:rPr>
                <w:bCs/>
                <w:color w:val="000000" w:themeColor="text1"/>
                <w:sz w:val="18"/>
                <w:szCs w:val="18"/>
              </w:rPr>
              <w:t>2603</w:t>
            </w:r>
          </w:p>
        </w:tc>
        <w:tc>
          <w:tcPr>
            <w:tcW w:w="992" w:type="dxa"/>
            <w:tcBorders>
              <w:top w:val="nil"/>
              <w:left w:val="nil"/>
              <w:bottom w:val="single" w:sz="6" w:space="0" w:color="auto"/>
              <w:right w:val="single" w:sz="6" w:space="0" w:color="auto"/>
            </w:tcBorders>
            <w:shd w:val="clear" w:color="auto" w:fill="EEECE1"/>
            <w:vAlign w:val="bottom"/>
          </w:tcPr>
          <w:p w:rsidR="00801B27" w:rsidRPr="00801B27" w:rsidRDefault="00801B27" w:rsidP="00801B27">
            <w:pPr>
              <w:autoSpaceDE w:val="0"/>
              <w:autoSpaceDN w:val="0"/>
              <w:adjustRightInd w:val="0"/>
              <w:spacing w:before="100" w:after="100"/>
              <w:jc w:val="center"/>
              <w:rPr>
                <w:bCs/>
                <w:color w:val="000000" w:themeColor="text1"/>
                <w:sz w:val="18"/>
                <w:szCs w:val="18"/>
              </w:rPr>
            </w:pPr>
            <w:r w:rsidRPr="00801B27">
              <w:rPr>
                <w:bCs/>
                <w:color w:val="000000" w:themeColor="text1"/>
                <w:sz w:val="18"/>
                <w:szCs w:val="18"/>
              </w:rPr>
              <w:t>2529</w:t>
            </w:r>
          </w:p>
        </w:tc>
        <w:tc>
          <w:tcPr>
            <w:tcW w:w="992" w:type="dxa"/>
            <w:tcBorders>
              <w:top w:val="nil"/>
              <w:left w:val="single" w:sz="6" w:space="0" w:color="auto"/>
              <w:bottom w:val="single" w:sz="6" w:space="0" w:color="auto"/>
              <w:right w:val="nil"/>
            </w:tcBorders>
            <w:shd w:val="clear" w:color="auto" w:fill="EEECE1"/>
            <w:vAlign w:val="bottom"/>
          </w:tcPr>
          <w:p w:rsidR="00801B27" w:rsidRPr="00801B27" w:rsidRDefault="00801B27" w:rsidP="00801B27">
            <w:pPr>
              <w:autoSpaceDE w:val="0"/>
              <w:autoSpaceDN w:val="0"/>
              <w:adjustRightInd w:val="0"/>
              <w:spacing w:before="100" w:after="100"/>
              <w:jc w:val="center"/>
              <w:rPr>
                <w:bCs/>
                <w:color w:val="000000" w:themeColor="text1"/>
                <w:sz w:val="18"/>
                <w:szCs w:val="18"/>
              </w:rPr>
            </w:pPr>
            <w:r w:rsidRPr="00801B27">
              <w:rPr>
                <w:bCs/>
                <w:color w:val="000000" w:themeColor="text1"/>
                <w:sz w:val="18"/>
                <w:szCs w:val="18"/>
              </w:rPr>
              <w:t>3044</w:t>
            </w:r>
          </w:p>
        </w:tc>
        <w:tc>
          <w:tcPr>
            <w:tcW w:w="993" w:type="dxa"/>
            <w:tcBorders>
              <w:top w:val="nil"/>
              <w:left w:val="nil"/>
              <w:bottom w:val="single" w:sz="6" w:space="0" w:color="auto"/>
              <w:right w:val="nil"/>
            </w:tcBorders>
            <w:shd w:val="clear" w:color="auto" w:fill="EEECE1"/>
            <w:vAlign w:val="bottom"/>
          </w:tcPr>
          <w:p w:rsidR="00801B27" w:rsidRPr="00801B27" w:rsidRDefault="00801B27" w:rsidP="00801B27">
            <w:pPr>
              <w:autoSpaceDE w:val="0"/>
              <w:autoSpaceDN w:val="0"/>
              <w:adjustRightInd w:val="0"/>
              <w:spacing w:before="100" w:after="100"/>
              <w:jc w:val="center"/>
              <w:rPr>
                <w:bCs/>
                <w:color w:val="000000" w:themeColor="text1"/>
                <w:sz w:val="18"/>
                <w:szCs w:val="18"/>
              </w:rPr>
            </w:pPr>
            <w:r w:rsidRPr="00801B27">
              <w:rPr>
                <w:bCs/>
                <w:color w:val="000000" w:themeColor="text1"/>
                <w:sz w:val="18"/>
                <w:szCs w:val="18"/>
              </w:rPr>
              <w:t>3062</w:t>
            </w:r>
          </w:p>
        </w:tc>
        <w:tc>
          <w:tcPr>
            <w:tcW w:w="1134" w:type="dxa"/>
            <w:tcBorders>
              <w:top w:val="nil"/>
              <w:left w:val="nil"/>
              <w:bottom w:val="single" w:sz="6" w:space="0" w:color="auto"/>
              <w:right w:val="single" w:sz="6" w:space="0" w:color="auto"/>
            </w:tcBorders>
            <w:shd w:val="clear" w:color="auto" w:fill="EEECE1"/>
            <w:vAlign w:val="bottom"/>
          </w:tcPr>
          <w:p w:rsidR="00801B27" w:rsidRPr="00801B27" w:rsidRDefault="00801B27" w:rsidP="00801B27">
            <w:pPr>
              <w:autoSpaceDE w:val="0"/>
              <w:autoSpaceDN w:val="0"/>
              <w:adjustRightInd w:val="0"/>
              <w:spacing w:before="100" w:after="100"/>
              <w:jc w:val="center"/>
              <w:rPr>
                <w:bCs/>
                <w:color w:val="000000" w:themeColor="text1"/>
                <w:sz w:val="18"/>
                <w:szCs w:val="18"/>
              </w:rPr>
            </w:pPr>
            <w:r w:rsidRPr="00801B27">
              <w:rPr>
                <w:bCs/>
                <w:color w:val="000000" w:themeColor="text1"/>
                <w:sz w:val="18"/>
                <w:szCs w:val="18"/>
              </w:rPr>
              <w:t>3068</w:t>
            </w:r>
          </w:p>
        </w:tc>
      </w:tr>
    </w:tbl>
    <w:p w:rsidR="000418D1" w:rsidRDefault="000418D1" w:rsidP="009A7C33">
      <w:pPr>
        <w:pStyle w:val="AERbodytext"/>
        <w:rPr>
          <w:color w:val="000000" w:themeColor="text1"/>
        </w:rPr>
      </w:pPr>
    </w:p>
    <w:p w:rsidR="00577E49" w:rsidRDefault="00577E49" w:rsidP="009A7C33">
      <w:pPr>
        <w:pStyle w:val="AERbodytext"/>
        <w:rPr>
          <w:color w:val="000000" w:themeColor="text1"/>
        </w:rPr>
      </w:pPr>
      <w:r>
        <w:rPr>
          <w:color w:val="000000" w:themeColor="text1"/>
        </w:rPr>
        <w:t>Conditions at the time saw demand and available capacity close to that forecast.</w:t>
      </w:r>
    </w:p>
    <w:p w:rsidR="00D42D49" w:rsidRDefault="00A32F5D" w:rsidP="009A7C33">
      <w:pPr>
        <w:pStyle w:val="AERbodytext"/>
        <w:rPr>
          <w:color w:val="000000" w:themeColor="text1"/>
        </w:rPr>
      </w:pPr>
      <w:r>
        <w:rPr>
          <w:color w:val="000000" w:themeColor="text1"/>
        </w:rPr>
        <w:t>At</w:t>
      </w:r>
      <w:r w:rsidR="006C12CB">
        <w:rPr>
          <w:color w:val="000000" w:themeColor="text1"/>
        </w:rPr>
        <w:t xml:space="preserve"> around 11 am a system normal constraint managing the loss of the Keith to Tailem Bend No.1 132kV line on the trip of the South East to Tailem Bend 275 kV line was binding. This constraint limited flow into South Australia to around 260 </w:t>
      </w:r>
      <w:r>
        <w:rPr>
          <w:color w:val="000000" w:themeColor="text1"/>
        </w:rPr>
        <w:t>MW from 3 pm</w:t>
      </w:r>
      <w:r w:rsidR="00DF2AC9">
        <w:rPr>
          <w:color w:val="000000" w:themeColor="text1"/>
        </w:rPr>
        <w:t>.</w:t>
      </w:r>
      <w:r w:rsidR="00A147C0">
        <w:rPr>
          <w:color w:val="000000" w:themeColor="text1"/>
        </w:rPr>
        <w:t xml:space="preserve"> Another system normal constraint was binding on Murraylink. This constraint manages the loss of the Ballarat to Bendigo 22 kV line on the loss of the Shepparton to Bendigo line and was forcing flows out of South Australia into Victoria at around 50 MW.</w:t>
      </w:r>
    </w:p>
    <w:p w:rsidR="00A147C0" w:rsidRPr="00E4436A" w:rsidRDefault="00A147C0" w:rsidP="009A7C33">
      <w:pPr>
        <w:pStyle w:val="AERbodytext"/>
        <w:rPr>
          <w:color w:val="000000" w:themeColor="text1"/>
        </w:rPr>
      </w:pPr>
      <w:r>
        <w:rPr>
          <w:color w:val="000000" w:themeColor="text1"/>
        </w:rPr>
        <w:t>At 4 pm there was an increase in demand in South Australia of 93 MW. This increase in demand could not be met by low pri</w:t>
      </w:r>
      <w:r w:rsidR="008C4CE2">
        <w:rPr>
          <w:color w:val="000000" w:themeColor="text1"/>
        </w:rPr>
        <w:t>ced capacity in South Australia</w:t>
      </w:r>
      <w:r>
        <w:rPr>
          <w:color w:val="000000" w:themeColor="text1"/>
        </w:rPr>
        <w:t xml:space="preserve"> and the </w:t>
      </w:r>
      <w:r w:rsidR="008C4CE2">
        <w:rPr>
          <w:color w:val="000000" w:themeColor="text1"/>
        </w:rPr>
        <w:t xml:space="preserve">5-minute </w:t>
      </w:r>
      <w:r>
        <w:rPr>
          <w:color w:val="000000" w:themeColor="text1"/>
        </w:rPr>
        <w:t>price increased from $200/MWh at 3.55 pm to $2384/MWh at 4 pm.</w:t>
      </w:r>
      <w:r w:rsidR="008C4CE2">
        <w:rPr>
          <w:color w:val="000000" w:themeColor="text1"/>
        </w:rPr>
        <w:t xml:space="preserve"> At 4.05 pm there was a 114 MW reduction in demand which saw the 5-minute price fall to previous levels.</w:t>
      </w:r>
    </w:p>
    <w:p w:rsidR="009A7C33" w:rsidRPr="00E4436A" w:rsidRDefault="009A7C33" w:rsidP="009A7C33">
      <w:pPr>
        <w:pStyle w:val="AERtabletitle"/>
        <w:rPr>
          <w:color w:val="000000" w:themeColor="text1"/>
        </w:rPr>
      </w:pPr>
      <w:r w:rsidRPr="00E4436A">
        <w:rPr>
          <w:color w:val="000000" w:themeColor="text1"/>
        </w:rPr>
        <w:t xml:space="preserve">Table </w:t>
      </w:r>
      <w:r w:rsidR="00E4436A" w:rsidRPr="00E4436A">
        <w:rPr>
          <w:color w:val="000000" w:themeColor="text1"/>
        </w:rPr>
        <w:t>6</w:t>
      </w:r>
      <w:r w:rsidRPr="00E4436A">
        <w:rPr>
          <w:color w:val="000000" w:themeColor="text1"/>
        </w:rPr>
        <w:t xml:space="preserve">: </w:t>
      </w:r>
      <w:r w:rsidR="00E4436A" w:rsidRPr="00E4436A">
        <w:rPr>
          <w:color w:val="000000" w:themeColor="text1"/>
        </w:rPr>
        <w:t>Tasmania</w:t>
      </w:r>
      <w:r w:rsidRPr="00E4436A">
        <w:rPr>
          <w:color w:val="000000" w:themeColor="text1"/>
        </w:rPr>
        <w:t>, Tuesday 28 January</w:t>
      </w:r>
    </w:p>
    <w:tbl>
      <w:tblPr>
        <w:tblW w:w="10065" w:type="dxa"/>
        <w:tblInd w:w="108" w:type="dxa"/>
        <w:tblBorders>
          <w:top w:val="single" w:sz="8" w:space="0" w:color="7BA0CD"/>
          <w:bottom w:val="single" w:sz="8" w:space="0" w:color="7BA0CD"/>
        </w:tblBorders>
        <w:tblLayout w:type="fixed"/>
        <w:tblLook w:val="04A0" w:firstRow="1" w:lastRow="0" w:firstColumn="1" w:lastColumn="0" w:noHBand="0" w:noVBand="1"/>
      </w:tblPr>
      <w:tblGrid>
        <w:gridCol w:w="993"/>
        <w:gridCol w:w="850"/>
        <w:gridCol w:w="1134"/>
        <w:gridCol w:w="1134"/>
        <w:gridCol w:w="851"/>
        <w:gridCol w:w="992"/>
        <w:gridCol w:w="992"/>
        <w:gridCol w:w="992"/>
        <w:gridCol w:w="993"/>
        <w:gridCol w:w="1134"/>
      </w:tblGrid>
      <w:tr w:rsidR="009A7C33" w:rsidRPr="00E4436A" w:rsidTr="009A7C33">
        <w:tc>
          <w:tcPr>
            <w:tcW w:w="993" w:type="dxa"/>
            <w:tcBorders>
              <w:top w:val="single" w:sz="4" w:space="0" w:color="auto"/>
              <w:left w:val="single" w:sz="4" w:space="0" w:color="auto"/>
              <w:bottom w:val="nil"/>
            </w:tcBorders>
            <w:shd w:val="clear" w:color="auto" w:fill="4A442A"/>
            <w:noWrap/>
          </w:tcPr>
          <w:p w:rsidR="009A7C33" w:rsidRPr="00E4436A" w:rsidRDefault="009A7C33" w:rsidP="009A7C33">
            <w:pPr>
              <w:autoSpaceDE w:val="0"/>
              <w:autoSpaceDN w:val="0"/>
              <w:adjustRightInd w:val="0"/>
              <w:spacing w:before="100" w:after="100"/>
              <w:rPr>
                <w:b/>
                <w:bCs/>
                <w:color w:val="FFFFFF" w:themeColor="background1"/>
                <w:sz w:val="18"/>
                <w:szCs w:val="18"/>
              </w:rPr>
            </w:pPr>
            <w:r w:rsidRPr="00E4436A">
              <w:rPr>
                <w:b/>
                <w:bCs/>
                <w:color w:val="FFFFFF" w:themeColor="background1"/>
                <w:sz w:val="18"/>
                <w:szCs w:val="18"/>
              </w:rPr>
              <w:t>Time</w:t>
            </w:r>
          </w:p>
        </w:tc>
        <w:tc>
          <w:tcPr>
            <w:tcW w:w="3118" w:type="dxa"/>
            <w:gridSpan w:val="3"/>
            <w:tcBorders>
              <w:top w:val="single" w:sz="4" w:space="0" w:color="auto"/>
              <w:bottom w:val="nil"/>
            </w:tcBorders>
            <w:shd w:val="clear" w:color="auto" w:fill="4A442A"/>
            <w:noWrap/>
          </w:tcPr>
          <w:p w:rsidR="009A7C33" w:rsidRPr="00E4436A" w:rsidRDefault="009A7C33" w:rsidP="009A7C33">
            <w:pPr>
              <w:autoSpaceDE w:val="0"/>
              <w:autoSpaceDN w:val="0"/>
              <w:adjustRightInd w:val="0"/>
              <w:spacing w:before="100" w:after="100"/>
              <w:jc w:val="center"/>
              <w:rPr>
                <w:b/>
                <w:bCs/>
                <w:color w:val="FFFFFF" w:themeColor="background1"/>
                <w:sz w:val="18"/>
                <w:szCs w:val="18"/>
              </w:rPr>
            </w:pPr>
            <w:r w:rsidRPr="00E4436A">
              <w:rPr>
                <w:b/>
                <w:bCs/>
                <w:color w:val="FFFFFF" w:themeColor="background1"/>
                <w:sz w:val="18"/>
                <w:szCs w:val="18"/>
              </w:rPr>
              <w:t>Price ($/MWh)</w:t>
            </w:r>
          </w:p>
        </w:tc>
        <w:tc>
          <w:tcPr>
            <w:tcW w:w="2835" w:type="dxa"/>
            <w:gridSpan w:val="3"/>
            <w:tcBorders>
              <w:top w:val="single" w:sz="4" w:space="0" w:color="auto"/>
              <w:bottom w:val="nil"/>
            </w:tcBorders>
            <w:shd w:val="clear" w:color="auto" w:fill="4A442A"/>
          </w:tcPr>
          <w:p w:rsidR="009A7C33" w:rsidRPr="00E4436A" w:rsidDel="0074250B" w:rsidRDefault="009A7C33" w:rsidP="009A7C33">
            <w:pPr>
              <w:autoSpaceDE w:val="0"/>
              <w:autoSpaceDN w:val="0"/>
              <w:adjustRightInd w:val="0"/>
              <w:spacing w:before="100" w:after="100"/>
              <w:jc w:val="center"/>
              <w:rPr>
                <w:b/>
                <w:bCs/>
                <w:color w:val="FFFFFF" w:themeColor="background1"/>
                <w:sz w:val="18"/>
                <w:szCs w:val="18"/>
              </w:rPr>
            </w:pPr>
            <w:r w:rsidRPr="00E4436A">
              <w:rPr>
                <w:b/>
                <w:bCs/>
                <w:color w:val="FFFFFF" w:themeColor="background1"/>
                <w:sz w:val="18"/>
                <w:szCs w:val="18"/>
              </w:rPr>
              <w:t>Demand (MW)</w:t>
            </w:r>
          </w:p>
        </w:tc>
        <w:tc>
          <w:tcPr>
            <w:tcW w:w="3119" w:type="dxa"/>
            <w:gridSpan w:val="3"/>
            <w:tcBorders>
              <w:top w:val="single" w:sz="4" w:space="0" w:color="auto"/>
              <w:bottom w:val="nil"/>
              <w:right w:val="single" w:sz="4" w:space="0" w:color="auto"/>
            </w:tcBorders>
            <w:shd w:val="clear" w:color="auto" w:fill="4A442A"/>
          </w:tcPr>
          <w:p w:rsidR="009A7C33" w:rsidRPr="00E4436A" w:rsidDel="0074250B" w:rsidRDefault="009A7C33" w:rsidP="009A7C33">
            <w:pPr>
              <w:autoSpaceDE w:val="0"/>
              <w:autoSpaceDN w:val="0"/>
              <w:adjustRightInd w:val="0"/>
              <w:spacing w:before="100" w:after="100"/>
              <w:jc w:val="center"/>
              <w:rPr>
                <w:b/>
                <w:bCs/>
                <w:color w:val="FFFFFF" w:themeColor="background1"/>
                <w:sz w:val="18"/>
                <w:szCs w:val="18"/>
              </w:rPr>
            </w:pPr>
            <w:r w:rsidRPr="00E4436A">
              <w:rPr>
                <w:b/>
                <w:bCs/>
                <w:color w:val="FFFFFF" w:themeColor="background1"/>
                <w:sz w:val="18"/>
                <w:szCs w:val="18"/>
              </w:rPr>
              <w:t>Availability (MW)</w:t>
            </w:r>
          </w:p>
        </w:tc>
      </w:tr>
      <w:tr w:rsidR="009A7C33" w:rsidRPr="00E4436A" w:rsidTr="009A7C33">
        <w:tc>
          <w:tcPr>
            <w:tcW w:w="993" w:type="dxa"/>
            <w:tcBorders>
              <w:top w:val="nil"/>
              <w:left w:val="single" w:sz="6" w:space="0" w:color="auto"/>
              <w:bottom w:val="nil"/>
              <w:right w:val="single" w:sz="6" w:space="0" w:color="auto"/>
            </w:tcBorders>
            <w:shd w:val="clear" w:color="auto" w:fill="DDD9C3"/>
            <w:noWrap/>
          </w:tcPr>
          <w:p w:rsidR="009A7C33" w:rsidRPr="00E4436A" w:rsidRDefault="009A7C33" w:rsidP="009A7C33">
            <w:pPr>
              <w:autoSpaceDE w:val="0"/>
              <w:autoSpaceDN w:val="0"/>
              <w:adjustRightInd w:val="0"/>
              <w:spacing w:before="100" w:after="100"/>
              <w:rPr>
                <w:b/>
                <w:bCs/>
                <w:color w:val="000000" w:themeColor="text1"/>
                <w:sz w:val="18"/>
                <w:szCs w:val="18"/>
              </w:rPr>
            </w:pPr>
          </w:p>
        </w:tc>
        <w:tc>
          <w:tcPr>
            <w:tcW w:w="850" w:type="dxa"/>
            <w:tcBorders>
              <w:top w:val="nil"/>
              <w:left w:val="single" w:sz="6" w:space="0" w:color="auto"/>
              <w:bottom w:val="nil"/>
              <w:right w:val="nil"/>
            </w:tcBorders>
            <w:shd w:val="clear" w:color="auto" w:fill="DDD9C3"/>
            <w:noWrap/>
          </w:tcPr>
          <w:p w:rsidR="009A7C33" w:rsidRPr="00E4436A" w:rsidRDefault="009A7C33" w:rsidP="009A7C33">
            <w:pPr>
              <w:autoSpaceDE w:val="0"/>
              <w:autoSpaceDN w:val="0"/>
              <w:adjustRightInd w:val="0"/>
              <w:spacing w:before="100" w:after="100"/>
              <w:jc w:val="center"/>
              <w:rPr>
                <w:b/>
                <w:bCs/>
                <w:color w:val="000000" w:themeColor="text1"/>
                <w:sz w:val="18"/>
                <w:szCs w:val="18"/>
              </w:rPr>
            </w:pPr>
            <w:r w:rsidRPr="00E4436A">
              <w:rPr>
                <w:b/>
                <w:bCs/>
                <w:color w:val="000000" w:themeColor="text1"/>
                <w:sz w:val="18"/>
                <w:szCs w:val="18"/>
              </w:rPr>
              <w:t>Actual</w:t>
            </w:r>
          </w:p>
        </w:tc>
        <w:tc>
          <w:tcPr>
            <w:tcW w:w="1134" w:type="dxa"/>
            <w:tcBorders>
              <w:top w:val="nil"/>
              <w:left w:val="nil"/>
              <w:bottom w:val="nil"/>
              <w:right w:val="nil"/>
            </w:tcBorders>
            <w:shd w:val="clear" w:color="auto" w:fill="DDD9C3"/>
            <w:noWrap/>
          </w:tcPr>
          <w:p w:rsidR="009A7C33" w:rsidRPr="00E4436A" w:rsidRDefault="009A7C33" w:rsidP="009A7C33">
            <w:pPr>
              <w:autoSpaceDE w:val="0"/>
              <w:autoSpaceDN w:val="0"/>
              <w:adjustRightInd w:val="0"/>
              <w:spacing w:before="100" w:after="100"/>
              <w:jc w:val="center"/>
              <w:rPr>
                <w:b/>
                <w:bCs/>
                <w:color w:val="000000" w:themeColor="text1"/>
                <w:sz w:val="18"/>
                <w:szCs w:val="18"/>
              </w:rPr>
            </w:pPr>
            <w:r w:rsidRPr="00E4436A">
              <w:rPr>
                <w:b/>
                <w:bCs/>
                <w:color w:val="000000" w:themeColor="text1"/>
                <w:sz w:val="18"/>
                <w:szCs w:val="18"/>
              </w:rPr>
              <w:t xml:space="preserve">4 </w:t>
            </w:r>
            <w:proofErr w:type="spellStart"/>
            <w:r w:rsidRPr="00E4436A">
              <w:rPr>
                <w:b/>
                <w:bCs/>
                <w:color w:val="000000" w:themeColor="text1"/>
                <w:sz w:val="18"/>
                <w:szCs w:val="18"/>
              </w:rPr>
              <w:t>hr</w:t>
            </w:r>
            <w:proofErr w:type="spellEnd"/>
            <w:r w:rsidRPr="00E4436A">
              <w:rPr>
                <w:b/>
                <w:bCs/>
                <w:color w:val="000000" w:themeColor="text1"/>
                <w:sz w:val="18"/>
                <w:szCs w:val="18"/>
              </w:rPr>
              <w:t xml:space="preserve"> forecast</w:t>
            </w:r>
          </w:p>
        </w:tc>
        <w:tc>
          <w:tcPr>
            <w:tcW w:w="1134" w:type="dxa"/>
            <w:tcBorders>
              <w:top w:val="nil"/>
              <w:left w:val="nil"/>
              <w:bottom w:val="nil"/>
              <w:right w:val="single" w:sz="6" w:space="0" w:color="auto"/>
            </w:tcBorders>
            <w:shd w:val="clear" w:color="auto" w:fill="DDD9C3"/>
            <w:noWrap/>
          </w:tcPr>
          <w:p w:rsidR="009A7C33" w:rsidRPr="00E4436A" w:rsidRDefault="009A7C33" w:rsidP="009A7C33">
            <w:pPr>
              <w:autoSpaceDE w:val="0"/>
              <w:autoSpaceDN w:val="0"/>
              <w:adjustRightInd w:val="0"/>
              <w:spacing w:before="100" w:after="100"/>
              <w:jc w:val="center"/>
              <w:rPr>
                <w:b/>
                <w:bCs/>
                <w:color w:val="000000" w:themeColor="text1"/>
                <w:sz w:val="18"/>
                <w:szCs w:val="18"/>
              </w:rPr>
            </w:pPr>
            <w:r w:rsidRPr="00E4436A">
              <w:rPr>
                <w:b/>
                <w:bCs/>
                <w:color w:val="000000" w:themeColor="text1"/>
                <w:sz w:val="18"/>
                <w:szCs w:val="18"/>
              </w:rPr>
              <w:t xml:space="preserve">12 </w:t>
            </w:r>
            <w:proofErr w:type="spellStart"/>
            <w:r w:rsidRPr="00E4436A">
              <w:rPr>
                <w:b/>
                <w:bCs/>
                <w:color w:val="000000" w:themeColor="text1"/>
                <w:sz w:val="18"/>
                <w:szCs w:val="18"/>
              </w:rPr>
              <w:t>hr</w:t>
            </w:r>
            <w:proofErr w:type="spellEnd"/>
            <w:r w:rsidRPr="00E4436A">
              <w:rPr>
                <w:b/>
                <w:bCs/>
                <w:color w:val="000000" w:themeColor="text1"/>
                <w:sz w:val="18"/>
                <w:szCs w:val="18"/>
              </w:rPr>
              <w:t xml:space="preserve"> forecast</w:t>
            </w:r>
          </w:p>
        </w:tc>
        <w:tc>
          <w:tcPr>
            <w:tcW w:w="851" w:type="dxa"/>
            <w:tcBorders>
              <w:top w:val="nil"/>
              <w:left w:val="single" w:sz="6" w:space="0" w:color="auto"/>
              <w:bottom w:val="nil"/>
              <w:right w:val="nil"/>
            </w:tcBorders>
            <w:shd w:val="clear" w:color="auto" w:fill="DDD9C3"/>
          </w:tcPr>
          <w:p w:rsidR="009A7C33" w:rsidRPr="00E4436A" w:rsidRDefault="009A7C33" w:rsidP="009A7C33">
            <w:pPr>
              <w:autoSpaceDE w:val="0"/>
              <w:autoSpaceDN w:val="0"/>
              <w:adjustRightInd w:val="0"/>
              <w:spacing w:before="100" w:after="100"/>
              <w:jc w:val="center"/>
              <w:rPr>
                <w:b/>
                <w:bCs/>
                <w:color w:val="000000" w:themeColor="text1"/>
                <w:sz w:val="18"/>
                <w:szCs w:val="18"/>
              </w:rPr>
            </w:pPr>
            <w:r w:rsidRPr="00E4436A">
              <w:rPr>
                <w:b/>
                <w:bCs/>
                <w:color w:val="000000" w:themeColor="text1"/>
                <w:sz w:val="18"/>
                <w:szCs w:val="18"/>
              </w:rPr>
              <w:t>Actual</w:t>
            </w:r>
          </w:p>
        </w:tc>
        <w:tc>
          <w:tcPr>
            <w:tcW w:w="992" w:type="dxa"/>
            <w:tcBorders>
              <w:top w:val="nil"/>
              <w:left w:val="nil"/>
              <w:bottom w:val="nil"/>
              <w:right w:val="nil"/>
            </w:tcBorders>
            <w:shd w:val="clear" w:color="auto" w:fill="DDD9C3"/>
          </w:tcPr>
          <w:p w:rsidR="009A7C33" w:rsidRPr="00E4436A" w:rsidRDefault="009A7C33" w:rsidP="009A7C33">
            <w:pPr>
              <w:autoSpaceDE w:val="0"/>
              <w:autoSpaceDN w:val="0"/>
              <w:adjustRightInd w:val="0"/>
              <w:spacing w:before="100" w:after="100"/>
              <w:jc w:val="center"/>
              <w:rPr>
                <w:b/>
                <w:bCs/>
                <w:color w:val="000000" w:themeColor="text1"/>
                <w:sz w:val="18"/>
                <w:szCs w:val="18"/>
              </w:rPr>
            </w:pPr>
            <w:r w:rsidRPr="00E4436A">
              <w:rPr>
                <w:b/>
                <w:bCs/>
                <w:color w:val="000000" w:themeColor="text1"/>
                <w:sz w:val="18"/>
                <w:szCs w:val="18"/>
              </w:rPr>
              <w:t xml:space="preserve">4 </w:t>
            </w:r>
            <w:proofErr w:type="spellStart"/>
            <w:r w:rsidRPr="00E4436A">
              <w:rPr>
                <w:b/>
                <w:bCs/>
                <w:color w:val="000000" w:themeColor="text1"/>
                <w:sz w:val="18"/>
                <w:szCs w:val="18"/>
              </w:rPr>
              <w:t>hr</w:t>
            </w:r>
            <w:proofErr w:type="spellEnd"/>
            <w:r w:rsidRPr="00E4436A">
              <w:rPr>
                <w:b/>
                <w:bCs/>
                <w:color w:val="000000" w:themeColor="text1"/>
                <w:sz w:val="18"/>
                <w:szCs w:val="18"/>
              </w:rPr>
              <w:t xml:space="preserve"> forecast</w:t>
            </w:r>
          </w:p>
        </w:tc>
        <w:tc>
          <w:tcPr>
            <w:tcW w:w="992" w:type="dxa"/>
            <w:tcBorders>
              <w:top w:val="nil"/>
              <w:left w:val="nil"/>
              <w:bottom w:val="nil"/>
              <w:right w:val="single" w:sz="6" w:space="0" w:color="auto"/>
            </w:tcBorders>
            <w:shd w:val="clear" w:color="auto" w:fill="DDD9C3"/>
          </w:tcPr>
          <w:p w:rsidR="009A7C33" w:rsidRPr="00E4436A" w:rsidRDefault="009A7C33" w:rsidP="009A7C33">
            <w:pPr>
              <w:autoSpaceDE w:val="0"/>
              <w:autoSpaceDN w:val="0"/>
              <w:adjustRightInd w:val="0"/>
              <w:spacing w:before="100" w:after="100"/>
              <w:jc w:val="center"/>
              <w:rPr>
                <w:b/>
                <w:bCs/>
                <w:color w:val="000000" w:themeColor="text1"/>
                <w:sz w:val="18"/>
                <w:szCs w:val="18"/>
              </w:rPr>
            </w:pPr>
            <w:r w:rsidRPr="00E4436A">
              <w:rPr>
                <w:b/>
                <w:bCs/>
                <w:color w:val="000000" w:themeColor="text1"/>
                <w:sz w:val="18"/>
                <w:szCs w:val="18"/>
              </w:rPr>
              <w:t xml:space="preserve">12 </w:t>
            </w:r>
            <w:proofErr w:type="spellStart"/>
            <w:r w:rsidRPr="00E4436A">
              <w:rPr>
                <w:b/>
                <w:bCs/>
                <w:color w:val="000000" w:themeColor="text1"/>
                <w:sz w:val="18"/>
                <w:szCs w:val="18"/>
              </w:rPr>
              <w:t>hr</w:t>
            </w:r>
            <w:proofErr w:type="spellEnd"/>
            <w:r w:rsidRPr="00E4436A">
              <w:rPr>
                <w:b/>
                <w:bCs/>
                <w:color w:val="000000" w:themeColor="text1"/>
                <w:sz w:val="18"/>
                <w:szCs w:val="18"/>
              </w:rPr>
              <w:t xml:space="preserve"> forecast</w:t>
            </w:r>
          </w:p>
        </w:tc>
        <w:tc>
          <w:tcPr>
            <w:tcW w:w="992" w:type="dxa"/>
            <w:tcBorders>
              <w:top w:val="nil"/>
              <w:left w:val="single" w:sz="6" w:space="0" w:color="auto"/>
              <w:bottom w:val="nil"/>
              <w:right w:val="nil"/>
            </w:tcBorders>
            <w:shd w:val="clear" w:color="auto" w:fill="DDD9C3"/>
          </w:tcPr>
          <w:p w:rsidR="009A7C33" w:rsidRPr="00E4436A" w:rsidRDefault="009A7C33" w:rsidP="009A7C33">
            <w:pPr>
              <w:autoSpaceDE w:val="0"/>
              <w:autoSpaceDN w:val="0"/>
              <w:adjustRightInd w:val="0"/>
              <w:spacing w:before="100" w:after="100"/>
              <w:jc w:val="center"/>
              <w:rPr>
                <w:b/>
                <w:bCs/>
                <w:color w:val="000000" w:themeColor="text1"/>
                <w:sz w:val="18"/>
                <w:szCs w:val="18"/>
              </w:rPr>
            </w:pPr>
            <w:r w:rsidRPr="00E4436A">
              <w:rPr>
                <w:b/>
                <w:bCs/>
                <w:color w:val="000000" w:themeColor="text1"/>
                <w:sz w:val="18"/>
                <w:szCs w:val="18"/>
              </w:rPr>
              <w:t>Actual</w:t>
            </w:r>
          </w:p>
        </w:tc>
        <w:tc>
          <w:tcPr>
            <w:tcW w:w="993" w:type="dxa"/>
            <w:tcBorders>
              <w:top w:val="nil"/>
              <w:left w:val="nil"/>
              <w:bottom w:val="nil"/>
              <w:right w:val="nil"/>
            </w:tcBorders>
            <w:shd w:val="clear" w:color="auto" w:fill="DDD9C3"/>
          </w:tcPr>
          <w:p w:rsidR="009A7C33" w:rsidRPr="00E4436A" w:rsidRDefault="009A7C33" w:rsidP="009A7C33">
            <w:pPr>
              <w:autoSpaceDE w:val="0"/>
              <w:autoSpaceDN w:val="0"/>
              <w:adjustRightInd w:val="0"/>
              <w:spacing w:before="100" w:after="100"/>
              <w:jc w:val="center"/>
              <w:rPr>
                <w:b/>
                <w:bCs/>
                <w:color w:val="000000" w:themeColor="text1"/>
                <w:sz w:val="18"/>
                <w:szCs w:val="18"/>
              </w:rPr>
            </w:pPr>
            <w:r w:rsidRPr="00E4436A">
              <w:rPr>
                <w:b/>
                <w:bCs/>
                <w:color w:val="000000" w:themeColor="text1"/>
                <w:sz w:val="18"/>
                <w:szCs w:val="18"/>
              </w:rPr>
              <w:t xml:space="preserve">4 </w:t>
            </w:r>
            <w:proofErr w:type="spellStart"/>
            <w:r w:rsidRPr="00E4436A">
              <w:rPr>
                <w:b/>
                <w:bCs/>
                <w:color w:val="000000" w:themeColor="text1"/>
                <w:sz w:val="18"/>
                <w:szCs w:val="18"/>
              </w:rPr>
              <w:t>hr</w:t>
            </w:r>
            <w:proofErr w:type="spellEnd"/>
            <w:r w:rsidRPr="00E4436A">
              <w:rPr>
                <w:b/>
                <w:bCs/>
                <w:color w:val="000000" w:themeColor="text1"/>
                <w:sz w:val="18"/>
                <w:szCs w:val="18"/>
              </w:rPr>
              <w:t xml:space="preserve"> forecast</w:t>
            </w:r>
          </w:p>
        </w:tc>
        <w:tc>
          <w:tcPr>
            <w:tcW w:w="1134" w:type="dxa"/>
            <w:tcBorders>
              <w:top w:val="nil"/>
              <w:left w:val="nil"/>
              <w:bottom w:val="nil"/>
              <w:right w:val="single" w:sz="6" w:space="0" w:color="auto"/>
            </w:tcBorders>
            <w:shd w:val="clear" w:color="auto" w:fill="DDD9C3"/>
          </w:tcPr>
          <w:p w:rsidR="009A7C33" w:rsidRPr="00E4436A" w:rsidRDefault="009A7C33" w:rsidP="009A7C33">
            <w:pPr>
              <w:autoSpaceDE w:val="0"/>
              <w:autoSpaceDN w:val="0"/>
              <w:adjustRightInd w:val="0"/>
              <w:spacing w:before="100" w:after="100"/>
              <w:jc w:val="center"/>
              <w:rPr>
                <w:b/>
                <w:bCs/>
                <w:color w:val="000000" w:themeColor="text1"/>
                <w:sz w:val="18"/>
                <w:szCs w:val="18"/>
              </w:rPr>
            </w:pPr>
            <w:r w:rsidRPr="00E4436A">
              <w:rPr>
                <w:b/>
                <w:bCs/>
                <w:color w:val="000000" w:themeColor="text1"/>
                <w:sz w:val="18"/>
                <w:szCs w:val="18"/>
              </w:rPr>
              <w:t xml:space="preserve">12 </w:t>
            </w:r>
            <w:proofErr w:type="spellStart"/>
            <w:r w:rsidRPr="00E4436A">
              <w:rPr>
                <w:b/>
                <w:bCs/>
                <w:color w:val="000000" w:themeColor="text1"/>
                <w:sz w:val="18"/>
                <w:szCs w:val="18"/>
              </w:rPr>
              <w:t>hr</w:t>
            </w:r>
            <w:proofErr w:type="spellEnd"/>
            <w:r w:rsidRPr="00E4436A">
              <w:rPr>
                <w:b/>
                <w:bCs/>
                <w:color w:val="000000" w:themeColor="text1"/>
                <w:sz w:val="18"/>
                <w:szCs w:val="18"/>
              </w:rPr>
              <w:t xml:space="preserve"> forecast</w:t>
            </w:r>
          </w:p>
        </w:tc>
      </w:tr>
      <w:tr w:rsidR="00801B27" w:rsidRPr="00E4436A" w:rsidTr="00801B27">
        <w:tc>
          <w:tcPr>
            <w:tcW w:w="993" w:type="dxa"/>
            <w:tcBorders>
              <w:top w:val="nil"/>
              <w:left w:val="single" w:sz="6" w:space="0" w:color="auto"/>
              <w:bottom w:val="single" w:sz="6" w:space="0" w:color="auto"/>
              <w:right w:val="single" w:sz="6" w:space="0" w:color="auto"/>
            </w:tcBorders>
            <w:shd w:val="clear" w:color="auto" w:fill="EEECE1"/>
            <w:noWrap/>
          </w:tcPr>
          <w:p w:rsidR="00801B27" w:rsidRPr="00E4436A" w:rsidRDefault="00801B27" w:rsidP="009A7C33">
            <w:pPr>
              <w:autoSpaceDE w:val="0"/>
              <w:autoSpaceDN w:val="0"/>
              <w:adjustRightInd w:val="0"/>
              <w:spacing w:before="100" w:after="100"/>
              <w:rPr>
                <w:b/>
                <w:bCs/>
                <w:color w:val="000000" w:themeColor="text1"/>
                <w:sz w:val="18"/>
                <w:szCs w:val="18"/>
              </w:rPr>
            </w:pPr>
            <w:r w:rsidRPr="00E4436A">
              <w:rPr>
                <w:b/>
                <w:bCs/>
                <w:color w:val="000000" w:themeColor="text1"/>
                <w:sz w:val="18"/>
                <w:szCs w:val="18"/>
              </w:rPr>
              <w:t>5 PM</w:t>
            </w:r>
          </w:p>
        </w:tc>
        <w:tc>
          <w:tcPr>
            <w:tcW w:w="850" w:type="dxa"/>
            <w:tcBorders>
              <w:top w:val="nil"/>
              <w:left w:val="single" w:sz="6" w:space="0" w:color="auto"/>
              <w:bottom w:val="single" w:sz="6" w:space="0" w:color="auto"/>
              <w:right w:val="nil"/>
            </w:tcBorders>
            <w:shd w:val="clear" w:color="auto" w:fill="EEECE1"/>
            <w:noWrap/>
            <w:vAlign w:val="bottom"/>
          </w:tcPr>
          <w:p w:rsidR="00801B27" w:rsidRPr="00801B27" w:rsidRDefault="00801B27" w:rsidP="00801B27">
            <w:pPr>
              <w:autoSpaceDE w:val="0"/>
              <w:autoSpaceDN w:val="0"/>
              <w:adjustRightInd w:val="0"/>
              <w:spacing w:before="100" w:after="100"/>
              <w:jc w:val="center"/>
              <w:rPr>
                <w:bCs/>
                <w:color w:val="000000" w:themeColor="text1"/>
                <w:sz w:val="18"/>
                <w:szCs w:val="18"/>
              </w:rPr>
            </w:pPr>
            <w:r w:rsidRPr="00801B27">
              <w:rPr>
                <w:bCs/>
                <w:color w:val="000000" w:themeColor="text1"/>
                <w:sz w:val="18"/>
                <w:szCs w:val="18"/>
              </w:rPr>
              <w:t>-241.50</w:t>
            </w:r>
          </w:p>
        </w:tc>
        <w:tc>
          <w:tcPr>
            <w:tcW w:w="1134" w:type="dxa"/>
            <w:tcBorders>
              <w:top w:val="nil"/>
              <w:left w:val="nil"/>
              <w:bottom w:val="single" w:sz="6" w:space="0" w:color="auto"/>
              <w:right w:val="nil"/>
            </w:tcBorders>
            <w:shd w:val="clear" w:color="auto" w:fill="EEECE1"/>
            <w:noWrap/>
            <w:vAlign w:val="bottom"/>
          </w:tcPr>
          <w:p w:rsidR="00801B27" w:rsidRPr="00801B27" w:rsidRDefault="00801B27" w:rsidP="00801B27">
            <w:pPr>
              <w:autoSpaceDE w:val="0"/>
              <w:autoSpaceDN w:val="0"/>
              <w:adjustRightInd w:val="0"/>
              <w:spacing w:before="100" w:after="100"/>
              <w:jc w:val="center"/>
              <w:rPr>
                <w:bCs/>
                <w:color w:val="000000" w:themeColor="text1"/>
                <w:sz w:val="18"/>
                <w:szCs w:val="18"/>
              </w:rPr>
            </w:pPr>
            <w:r w:rsidRPr="00801B27">
              <w:rPr>
                <w:bCs/>
                <w:color w:val="000000" w:themeColor="text1"/>
                <w:sz w:val="18"/>
                <w:szCs w:val="18"/>
              </w:rPr>
              <w:t>-89.84</w:t>
            </w:r>
          </w:p>
        </w:tc>
        <w:tc>
          <w:tcPr>
            <w:tcW w:w="1134" w:type="dxa"/>
            <w:tcBorders>
              <w:top w:val="nil"/>
              <w:left w:val="nil"/>
              <w:bottom w:val="single" w:sz="6" w:space="0" w:color="auto"/>
              <w:right w:val="single" w:sz="6" w:space="0" w:color="auto"/>
            </w:tcBorders>
            <w:shd w:val="clear" w:color="auto" w:fill="EEECE1"/>
            <w:noWrap/>
            <w:vAlign w:val="bottom"/>
          </w:tcPr>
          <w:p w:rsidR="00801B27" w:rsidRPr="00801B27" w:rsidRDefault="00801B27" w:rsidP="00801B27">
            <w:pPr>
              <w:autoSpaceDE w:val="0"/>
              <w:autoSpaceDN w:val="0"/>
              <w:adjustRightInd w:val="0"/>
              <w:spacing w:before="100" w:after="100"/>
              <w:jc w:val="center"/>
              <w:rPr>
                <w:bCs/>
                <w:color w:val="000000" w:themeColor="text1"/>
                <w:sz w:val="18"/>
                <w:szCs w:val="18"/>
              </w:rPr>
            </w:pPr>
            <w:r w:rsidRPr="00801B27">
              <w:rPr>
                <w:bCs/>
                <w:color w:val="000000" w:themeColor="text1"/>
                <w:sz w:val="18"/>
                <w:szCs w:val="18"/>
              </w:rPr>
              <w:t>-92.66</w:t>
            </w:r>
          </w:p>
        </w:tc>
        <w:tc>
          <w:tcPr>
            <w:tcW w:w="851" w:type="dxa"/>
            <w:tcBorders>
              <w:top w:val="nil"/>
              <w:left w:val="single" w:sz="6" w:space="0" w:color="auto"/>
              <w:bottom w:val="single" w:sz="6" w:space="0" w:color="auto"/>
              <w:right w:val="nil"/>
            </w:tcBorders>
            <w:shd w:val="clear" w:color="auto" w:fill="EEECE1"/>
            <w:vAlign w:val="bottom"/>
          </w:tcPr>
          <w:p w:rsidR="00801B27" w:rsidRPr="00801B27" w:rsidRDefault="00801B27" w:rsidP="00801B27">
            <w:pPr>
              <w:autoSpaceDE w:val="0"/>
              <w:autoSpaceDN w:val="0"/>
              <w:adjustRightInd w:val="0"/>
              <w:spacing w:before="100" w:after="100"/>
              <w:jc w:val="center"/>
              <w:rPr>
                <w:bCs/>
                <w:color w:val="000000" w:themeColor="text1"/>
                <w:sz w:val="18"/>
                <w:szCs w:val="18"/>
              </w:rPr>
            </w:pPr>
            <w:r w:rsidRPr="00801B27">
              <w:rPr>
                <w:bCs/>
                <w:color w:val="000000" w:themeColor="text1"/>
                <w:sz w:val="18"/>
                <w:szCs w:val="18"/>
              </w:rPr>
              <w:t>1268</w:t>
            </w:r>
          </w:p>
        </w:tc>
        <w:tc>
          <w:tcPr>
            <w:tcW w:w="992" w:type="dxa"/>
            <w:tcBorders>
              <w:top w:val="nil"/>
              <w:left w:val="nil"/>
              <w:bottom w:val="single" w:sz="6" w:space="0" w:color="auto"/>
              <w:right w:val="nil"/>
            </w:tcBorders>
            <w:shd w:val="clear" w:color="auto" w:fill="EEECE1"/>
            <w:vAlign w:val="bottom"/>
          </w:tcPr>
          <w:p w:rsidR="00801B27" w:rsidRPr="00801B27" w:rsidRDefault="00801B27" w:rsidP="00801B27">
            <w:pPr>
              <w:autoSpaceDE w:val="0"/>
              <w:autoSpaceDN w:val="0"/>
              <w:adjustRightInd w:val="0"/>
              <w:spacing w:before="100" w:after="100"/>
              <w:jc w:val="center"/>
              <w:rPr>
                <w:bCs/>
                <w:color w:val="000000" w:themeColor="text1"/>
                <w:sz w:val="18"/>
                <w:szCs w:val="18"/>
              </w:rPr>
            </w:pPr>
            <w:r w:rsidRPr="00801B27">
              <w:rPr>
                <w:bCs/>
                <w:color w:val="000000" w:themeColor="text1"/>
                <w:sz w:val="18"/>
                <w:szCs w:val="18"/>
              </w:rPr>
              <w:t>1192</w:t>
            </w:r>
          </w:p>
        </w:tc>
        <w:tc>
          <w:tcPr>
            <w:tcW w:w="992" w:type="dxa"/>
            <w:tcBorders>
              <w:top w:val="nil"/>
              <w:left w:val="nil"/>
              <w:bottom w:val="single" w:sz="6" w:space="0" w:color="auto"/>
              <w:right w:val="single" w:sz="6" w:space="0" w:color="auto"/>
            </w:tcBorders>
            <w:shd w:val="clear" w:color="auto" w:fill="EEECE1"/>
            <w:vAlign w:val="bottom"/>
          </w:tcPr>
          <w:p w:rsidR="00801B27" w:rsidRPr="00801B27" w:rsidRDefault="00801B27" w:rsidP="00801B27">
            <w:pPr>
              <w:autoSpaceDE w:val="0"/>
              <w:autoSpaceDN w:val="0"/>
              <w:adjustRightInd w:val="0"/>
              <w:spacing w:before="100" w:after="100"/>
              <w:jc w:val="center"/>
              <w:rPr>
                <w:bCs/>
                <w:color w:val="000000" w:themeColor="text1"/>
                <w:sz w:val="18"/>
                <w:szCs w:val="18"/>
              </w:rPr>
            </w:pPr>
            <w:r w:rsidRPr="00801B27">
              <w:rPr>
                <w:bCs/>
                <w:color w:val="000000" w:themeColor="text1"/>
                <w:sz w:val="18"/>
                <w:szCs w:val="18"/>
              </w:rPr>
              <w:t>1134</w:t>
            </w:r>
          </w:p>
        </w:tc>
        <w:tc>
          <w:tcPr>
            <w:tcW w:w="992" w:type="dxa"/>
            <w:tcBorders>
              <w:top w:val="nil"/>
              <w:left w:val="single" w:sz="6" w:space="0" w:color="auto"/>
              <w:bottom w:val="single" w:sz="6" w:space="0" w:color="auto"/>
              <w:right w:val="nil"/>
            </w:tcBorders>
            <w:shd w:val="clear" w:color="auto" w:fill="EEECE1"/>
            <w:vAlign w:val="bottom"/>
          </w:tcPr>
          <w:p w:rsidR="00801B27" w:rsidRPr="00801B27" w:rsidRDefault="00801B27" w:rsidP="00801B27">
            <w:pPr>
              <w:autoSpaceDE w:val="0"/>
              <w:autoSpaceDN w:val="0"/>
              <w:adjustRightInd w:val="0"/>
              <w:spacing w:before="100" w:after="100"/>
              <w:jc w:val="center"/>
              <w:rPr>
                <w:bCs/>
                <w:color w:val="000000" w:themeColor="text1"/>
                <w:sz w:val="18"/>
                <w:szCs w:val="18"/>
              </w:rPr>
            </w:pPr>
            <w:r w:rsidRPr="00801B27">
              <w:rPr>
                <w:bCs/>
                <w:color w:val="000000" w:themeColor="text1"/>
                <w:sz w:val="18"/>
                <w:szCs w:val="18"/>
              </w:rPr>
              <w:t>2498</w:t>
            </w:r>
          </w:p>
        </w:tc>
        <w:tc>
          <w:tcPr>
            <w:tcW w:w="993" w:type="dxa"/>
            <w:tcBorders>
              <w:top w:val="nil"/>
              <w:left w:val="nil"/>
              <w:bottom w:val="single" w:sz="6" w:space="0" w:color="auto"/>
              <w:right w:val="nil"/>
            </w:tcBorders>
            <w:shd w:val="clear" w:color="auto" w:fill="EEECE1"/>
            <w:vAlign w:val="bottom"/>
          </w:tcPr>
          <w:p w:rsidR="00801B27" w:rsidRPr="00801B27" w:rsidRDefault="00801B27" w:rsidP="00801B27">
            <w:pPr>
              <w:autoSpaceDE w:val="0"/>
              <w:autoSpaceDN w:val="0"/>
              <w:adjustRightInd w:val="0"/>
              <w:spacing w:before="100" w:after="100"/>
              <w:jc w:val="center"/>
              <w:rPr>
                <w:bCs/>
                <w:color w:val="000000" w:themeColor="text1"/>
                <w:sz w:val="18"/>
                <w:szCs w:val="18"/>
              </w:rPr>
            </w:pPr>
            <w:r w:rsidRPr="00801B27">
              <w:rPr>
                <w:bCs/>
                <w:color w:val="000000" w:themeColor="text1"/>
                <w:sz w:val="18"/>
                <w:szCs w:val="18"/>
              </w:rPr>
              <w:t>2400</w:t>
            </w:r>
          </w:p>
        </w:tc>
        <w:tc>
          <w:tcPr>
            <w:tcW w:w="1134" w:type="dxa"/>
            <w:tcBorders>
              <w:top w:val="nil"/>
              <w:left w:val="nil"/>
              <w:bottom w:val="single" w:sz="6" w:space="0" w:color="auto"/>
              <w:right w:val="single" w:sz="6" w:space="0" w:color="auto"/>
            </w:tcBorders>
            <w:shd w:val="clear" w:color="auto" w:fill="EEECE1"/>
            <w:vAlign w:val="bottom"/>
          </w:tcPr>
          <w:p w:rsidR="00801B27" w:rsidRPr="00801B27" w:rsidRDefault="00801B27" w:rsidP="00801B27">
            <w:pPr>
              <w:autoSpaceDE w:val="0"/>
              <w:autoSpaceDN w:val="0"/>
              <w:adjustRightInd w:val="0"/>
              <w:spacing w:before="100" w:after="100"/>
              <w:jc w:val="center"/>
              <w:rPr>
                <w:bCs/>
                <w:color w:val="000000" w:themeColor="text1"/>
                <w:sz w:val="18"/>
                <w:szCs w:val="18"/>
              </w:rPr>
            </w:pPr>
            <w:r w:rsidRPr="00801B27">
              <w:rPr>
                <w:bCs/>
                <w:color w:val="000000" w:themeColor="text1"/>
                <w:sz w:val="18"/>
                <w:szCs w:val="18"/>
              </w:rPr>
              <w:t>2380</w:t>
            </w:r>
          </w:p>
        </w:tc>
      </w:tr>
    </w:tbl>
    <w:p w:rsidR="007E00F3" w:rsidRDefault="007E00F3">
      <w:pPr>
        <w:pStyle w:val="AERbodytext"/>
        <w:rPr>
          <w:color w:val="000000" w:themeColor="text1"/>
        </w:rPr>
      </w:pPr>
    </w:p>
    <w:p w:rsidR="009A7C33" w:rsidRDefault="004B4B03">
      <w:pPr>
        <w:pStyle w:val="AERbodytext"/>
        <w:rPr>
          <w:color w:val="000000" w:themeColor="text1"/>
        </w:rPr>
      </w:pPr>
      <w:r>
        <w:rPr>
          <w:color w:val="000000" w:themeColor="text1"/>
        </w:rPr>
        <w:t>Conditions at the time saw</w:t>
      </w:r>
      <w:r w:rsidR="006B0A15">
        <w:rPr>
          <w:color w:val="000000" w:themeColor="text1"/>
        </w:rPr>
        <w:t xml:space="preserve"> demand and available capacity close to that forecast.</w:t>
      </w:r>
    </w:p>
    <w:p w:rsidR="006B0A15" w:rsidRDefault="006B0A15">
      <w:pPr>
        <w:pStyle w:val="AERbodytext"/>
        <w:rPr>
          <w:color w:val="000000" w:themeColor="text1"/>
        </w:rPr>
      </w:pPr>
      <w:r>
        <w:rPr>
          <w:color w:val="000000" w:themeColor="text1"/>
        </w:rPr>
        <w:t>From 11.35 am the 5-minute price was around -$90/MWh, trying to ensure Tasmanian generation was exported to Victoria where the price was higher than that in Tasmania.</w:t>
      </w:r>
    </w:p>
    <w:p w:rsidR="006B0A15" w:rsidRPr="00E4436A" w:rsidRDefault="006B0A15">
      <w:pPr>
        <w:pStyle w:val="AERbodytext"/>
        <w:rPr>
          <w:color w:val="000000" w:themeColor="text1"/>
        </w:rPr>
      </w:pPr>
      <w:r>
        <w:rPr>
          <w:color w:val="000000" w:themeColor="text1"/>
        </w:rPr>
        <w:t xml:space="preserve">At 2.51 pm Hydro Tasmania rebid 1025 MW of capacity across its portfolio from prices above -$305/MWh </w:t>
      </w:r>
      <w:r w:rsidR="006E28CE">
        <w:rPr>
          <w:color w:val="000000" w:themeColor="text1"/>
        </w:rPr>
        <w:t xml:space="preserve">(48 MW at $634/MWh) </w:t>
      </w:r>
      <w:r>
        <w:rPr>
          <w:color w:val="000000" w:themeColor="text1"/>
        </w:rPr>
        <w:t>to the price floor</w:t>
      </w:r>
      <w:r w:rsidRPr="006B0A15">
        <w:rPr>
          <w:color w:val="000000" w:themeColor="text1"/>
        </w:rPr>
        <w:t xml:space="preserve"> </w:t>
      </w:r>
      <w:r>
        <w:rPr>
          <w:color w:val="000000" w:themeColor="text1"/>
        </w:rPr>
        <w:t xml:space="preserve">or </w:t>
      </w:r>
      <w:r w:rsidRPr="006B0A15">
        <w:rPr>
          <w:color w:val="000000" w:themeColor="text1"/>
        </w:rPr>
        <w:t xml:space="preserve">close to it. The reason given was “1450A </w:t>
      </w:r>
      <w:proofErr w:type="spellStart"/>
      <w:r w:rsidRPr="006B0A15">
        <w:rPr>
          <w:color w:val="000000" w:themeColor="text1"/>
        </w:rPr>
        <w:t>vic</w:t>
      </w:r>
      <w:proofErr w:type="spellEnd"/>
      <w:r w:rsidRPr="006B0A15">
        <w:rPr>
          <w:color w:val="000000" w:themeColor="text1"/>
        </w:rPr>
        <w:t xml:space="preserve"> price higher than forecast.</w:t>
      </w:r>
      <w:proofErr w:type="gramStart"/>
      <w:r w:rsidRPr="006B0A15">
        <w:rPr>
          <w:color w:val="000000" w:themeColor="text1"/>
        </w:rPr>
        <w:t>”</w:t>
      </w:r>
      <w:r w:rsidR="006E28CE">
        <w:rPr>
          <w:color w:val="000000" w:themeColor="text1"/>
        </w:rPr>
        <w:t>.</w:t>
      </w:r>
      <w:proofErr w:type="gramEnd"/>
      <w:r w:rsidR="006E28CE">
        <w:rPr>
          <w:color w:val="000000" w:themeColor="text1"/>
        </w:rPr>
        <w:t xml:space="preserve"> Then at 4.51 pm, </w:t>
      </w:r>
      <w:r w:rsidR="006D79E9">
        <w:rPr>
          <w:color w:val="000000" w:themeColor="text1"/>
        </w:rPr>
        <w:t xml:space="preserve">for </w:t>
      </w:r>
      <w:r w:rsidR="006E28CE">
        <w:rPr>
          <w:color w:val="000000" w:themeColor="text1"/>
        </w:rPr>
        <w:t>5 pm</w:t>
      </w:r>
      <w:r w:rsidR="006D79E9">
        <w:rPr>
          <w:color w:val="000000" w:themeColor="text1"/>
        </w:rPr>
        <w:t xml:space="preserve"> dispatch interval only</w:t>
      </w:r>
      <w:r w:rsidR="006E28CE">
        <w:rPr>
          <w:color w:val="000000" w:themeColor="text1"/>
        </w:rPr>
        <w:t>, they rebid a further 542 MW across their portfolio from prices below $25/MWh to the price floor or close to it. The reason given was “</w:t>
      </w:r>
      <w:r w:rsidR="006E28CE" w:rsidRPr="006E28CE">
        <w:rPr>
          <w:color w:val="000000" w:themeColor="text1"/>
        </w:rPr>
        <w:t>1651A price different from forecast: Vic</w:t>
      </w:r>
      <w:r w:rsidR="006E28CE">
        <w:rPr>
          <w:color w:val="000000" w:themeColor="text1"/>
        </w:rPr>
        <w:t>”. This resulted in the 5-minute price reach the price floor at 5 pm.</w:t>
      </w:r>
    </w:p>
    <w:p w:rsidR="00E96C5A" w:rsidRPr="002D23B9" w:rsidRDefault="00E96C5A" w:rsidP="00E96C5A">
      <w:pPr>
        <w:pStyle w:val="Heading2"/>
        <w:rPr>
          <w:color w:val="auto"/>
        </w:rPr>
      </w:pPr>
      <w:r w:rsidRPr="002D23B9">
        <w:rPr>
          <w:color w:val="auto"/>
        </w:rPr>
        <w:t>Financial markets</w:t>
      </w:r>
    </w:p>
    <w:p w:rsidR="00E96C5A" w:rsidRPr="002D23B9" w:rsidRDefault="0078358A" w:rsidP="00E96C5A">
      <w:pPr>
        <w:pStyle w:val="AERbodytext"/>
      </w:pPr>
      <w:r>
        <w:t>Figure 9</w:t>
      </w:r>
      <w:r w:rsidR="00E96C5A" w:rsidRPr="002D23B9">
        <w:t xml:space="preserve"> shows for all mainland regions the prices for base contracts (and total traded quantities for the week) for each quarter for the next four financial years. </w:t>
      </w:r>
    </w:p>
    <w:p w:rsidR="00E96C5A" w:rsidRPr="002D23B9" w:rsidRDefault="0078358A" w:rsidP="00E96C5A">
      <w:pPr>
        <w:pStyle w:val="Figureheading"/>
        <w:numPr>
          <w:ilvl w:val="0"/>
          <w:numId w:val="0"/>
        </w:numPr>
        <w:ind w:left="357" w:hanging="357"/>
      </w:pPr>
      <w:r>
        <w:t>Figure 9</w:t>
      </w:r>
      <w:r w:rsidR="00E96C5A" w:rsidRPr="002D23B9">
        <w:t xml:space="preserve">: Quarterly base future prices </w:t>
      </w:r>
      <w:r w:rsidR="00795DDE" w:rsidRPr="002D23B9">
        <w:t>Q</w:t>
      </w:r>
      <w:r w:rsidR="00CA7CF5">
        <w:t>1</w:t>
      </w:r>
      <w:r w:rsidR="00795DDE" w:rsidRPr="002D23B9">
        <w:t xml:space="preserve"> </w:t>
      </w:r>
      <w:r w:rsidR="00E96C5A" w:rsidRPr="002D23B9">
        <w:t>201</w:t>
      </w:r>
      <w:r w:rsidR="00CA7CF5">
        <w:t>4</w:t>
      </w:r>
      <w:r w:rsidR="00E96C5A" w:rsidRPr="002D23B9">
        <w:t xml:space="preserve"> – </w:t>
      </w:r>
      <w:r w:rsidR="00795DDE" w:rsidRPr="002D23B9">
        <w:t>Q</w:t>
      </w:r>
      <w:r w:rsidR="00CA7CF5">
        <w:t>4</w:t>
      </w:r>
      <w:r w:rsidR="00795DDE" w:rsidRPr="002D23B9">
        <w:t xml:space="preserve"> </w:t>
      </w:r>
      <w:r w:rsidR="00E96C5A" w:rsidRPr="002D23B9">
        <w:t>2017</w:t>
      </w:r>
    </w:p>
    <w:p w:rsidR="00942195" w:rsidRPr="002D23B9" w:rsidRDefault="00C16407" w:rsidP="00942195">
      <w:pPr>
        <w:pStyle w:val="AERbodytext"/>
        <w:keepNext/>
      </w:pPr>
      <w:r>
        <w:pict>
          <v:shape id="_x0000_i1034" type="#_x0000_t75" alt="Figure 9 shows for all mainland regions the prices for base contracts (and total traded quantities for the week) for each quarter for the next four financial years." style="width:451.4pt;height:225.4pt">
            <v:imagedata r:id="rId18" o:title=""/>
          </v:shape>
        </w:pict>
      </w:r>
    </w:p>
    <w:p w:rsidR="00E96C5A" w:rsidRPr="002D23B9" w:rsidRDefault="00E96C5A" w:rsidP="00170E47">
      <w:pPr>
        <w:pStyle w:val="Sourceandnotes"/>
        <w:ind w:left="0" w:firstLine="0"/>
      </w:pPr>
      <w:r w:rsidRPr="002D23B9">
        <w:t xml:space="preserve">Source: </w:t>
      </w:r>
      <w:hyperlink r:id="rId19" w:history="1">
        <w:r w:rsidRPr="002D23B9">
          <w:rPr>
            <w:rStyle w:val="Hyperlink"/>
            <w:color w:val="auto"/>
          </w:rPr>
          <w:t>ASXEnergy.com.au</w:t>
        </w:r>
      </w:hyperlink>
    </w:p>
    <w:p w:rsidR="007354CE" w:rsidRPr="002D23B9" w:rsidRDefault="0078358A" w:rsidP="00E96C5A">
      <w:pPr>
        <w:pStyle w:val="AERbodytext"/>
      </w:pPr>
      <w:r>
        <w:t>Figure 10</w:t>
      </w:r>
      <w:r w:rsidR="0097000C" w:rsidRPr="0097000C">
        <w:t xml:space="preserve"> shows how the price for each regional Quarter 1 2014 base contract has changed over the last 10 weeks (as well as the total number of trades each week). The closing quarter 1 2012 and quarter 1 2013 prices are also shown. The AER notes that data for South Australia is less reliable due to very low numbers of trades.</w:t>
      </w:r>
      <w:r w:rsidR="0097000C" w:rsidRPr="0097000C">
        <w:tab/>
      </w:r>
      <w:r w:rsidR="007354CE" w:rsidRPr="002D23B9">
        <w:t xml:space="preserve"> </w:t>
      </w:r>
    </w:p>
    <w:p w:rsidR="00E96C5A" w:rsidRPr="002D23B9" w:rsidRDefault="00E96C5A" w:rsidP="00E96C5A">
      <w:pPr>
        <w:pStyle w:val="Figureheading"/>
        <w:numPr>
          <w:ilvl w:val="0"/>
          <w:numId w:val="0"/>
        </w:numPr>
        <w:ind w:left="357" w:hanging="357"/>
      </w:pPr>
      <w:r w:rsidRPr="002D23B9">
        <w:t xml:space="preserve">Figure </w:t>
      </w:r>
      <w:r w:rsidR="0078358A">
        <w:t>10</w:t>
      </w:r>
      <w:r w:rsidRPr="002D23B9">
        <w:t>: Price of Q1 2014 base contracts over the past 10 weeks (and the past 2 years)</w:t>
      </w:r>
    </w:p>
    <w:p w:rsidR="00E96C5A" w:rsidRPr="002D23B9" w:rsidRDefault="00C16407" w:rsidP="00942195">
      <w:pPr>
        <w:pStyle w:val="AERbodytext"/>
      </w:pPr>
      <w:r>
        <w:pict>
          <v:shape id="_x0000_i1035" type="#_x0000_t75" alt="Figure 10 shows how the price for each regional Quarter 1 2014 base contract has changed over the last 10 weeks (as well as the total number of trades each week). The closing quarter 1 2012 and quarter 1 2013 prices are also shown. The AER notes that data for South Australia is less reliable due to very low numbers of trades." style="width:450.8pt;height:225.4pt">
            <v:imagedata r:id="rId20" o:title=""/>
          </v:shape>
        </w:pict>
      </w:r>
    </w:p>
    <w:p w:rsidR="00E96C5A" w:rsidRPr="002D23B9" w:rsidRDefault="00E96C5A" w:rsidP="00E96C5A">
      <w:pPr>
        <w:pStyle w:val="AERbodytext"/>
        <w:spacing w:before="120" w:after="120"/>
        <w:rPr>
          <w:sz w:val="16"/>
          <w:szCs w:val="16"/>
        </w:rPr>
      </w:pPr>
      <w:r w:rsidRPr="002D23B9">
        <w:rPr>
          <w:sz w:val="16"/>
          <w:szCs w:val="16"/>
        </w:rPr>
        <w:t>Note: Base contract prices are shown for each of the current week and the previous 9 weeks, with average prices shown for yearly periods 1 and 2 years prior to the current year</w:t>
      </w:r>
    </w:p>
    <w:p w:rsidR="00E96C5A" w:rsidRPr="002D23B9" w:rsidRDefault="00E96C5A" w:rsidP="00266E6C">
      <w:pPr>
        <w:pStyle w:val="Sourceandnotes"/>
        <w:ind w:left="0" w:firstLine="0"/>
      </w:pPr>
      <w:r w:rsidRPr="002D23B9">
        <w:t xml:space="preserve">Source: </w:t>
      </w:r>
      <w:hyperlink r:id="rId21" w:history="1">
        <w:r w:rsidRPr="002D23B9">
          <w:rPr>
            <w:rStyle w:val="Hyperlink"/>
            <w:color w:val="auto"/>
          </w:rPr>
          <w:t>ASXEnergy.com.au</w:t>
        </w:r>
      </w:hyperlink>
    </w:p>
    <w:p w:rsidR="00E96C5A" w:rsidRPr="002D23B9" w:rsidRDefault="00E96C5A" w:rsidP="00E96C5A">
      <w:pPr>
        <w:pStyle w:val="AERbodytext"/>
      </w:pPr>
      <w:r w:rsidRPr="002D23B9">
        <w:t xml:space="preserve">Prices of other financial products (including longer-term price trends) are available in the </w:t>
      </w:r>
      <w:hyperlink r:id="rId22" w:history="1">
        <w:r w:rsidRPr="002D23B9">
          <w:rPr>
            <w:rStyle w:val="Hyperlink"/>
            <w:color w:val="auto"/>
          </w:rPr>
          <w:t>Performance of the Energy Sector</w:t>
        </w:r>
      </w:hyperlink>
      <w:r w:rsidRPr="002D23B9">
        <w:rPr>
          <w:rStyle w:val="Hyperlink"/>
          <w:color w:val="auto"/>
        </w:rPr>
        <w:t xml:space="preserve"> </w:t>
      </w:r>
      <w:r w:rsidRPr="002D23B9">
        <w:t>section of our website.</w:t>
      </w:r>
    </w:p>
    <w:p w:rsidR="00E96C5A" w:rsidRPr="002D23B9" w:rsidRDefault="0097000C" w:rsidP="00E96C5A">
      <w:pPr>
        <w:pStyle w:val="AERbodytext"/>
      </w:pPr>
      <w:r w:rsidRPr="0097000C">
        <w:t>Figure 1</w:t>
      </w:r>
      <w:r w:rsidR="0078358A">
        <w:t>1</w:t>
      </w:r>
      <w:r w:rsidRPr="0097000C">
        <w:t xml:space="preserve"> shows how the price for each regional Quarter 1 2014 cap contract has changed over the last 10 weeks (as well as the total number of trades each week). The closing quarter 1 2012 and quarter</w:t>
      </w:r>
      <w:r>
        <w:t xml:space="preserve"> 1 2013 prices are also shown.</w:t>
      </w:r>
      <w:r w:rsidR="00E96C5A" w:rsidRPr="002D23B9">
        <w:t xml:space="preserve"> </w:t>
      </w:r>
    </w:p>
    <w:p w:rsidR="00E96C5A" w:rsidRPr="002D23B9" w:rsidRDefault="0078358A" w:rsidP="00E96C5A">
      <w:pPr>
        <w:pStyle w:val="Figureheading"/>
        <w:numPr>
          <w:ilvl w:val="0"/>
          <w:numId w:val="0"/>
        </w:numPr>
        <w:ind w:left="357" w:hanging="357"/>
      </w:pPr>
      <w:r>
        <w:t>Figure 11</w:t>
      </w:r>
      <w:r w:rsidR="00E96C5A" w:rsidRPr="002D23B9">
        <w:t>: Price of Q1 2014 cap contracts over the past 10 weeks (and the past 2 years)</w:t>
      </w:r>
    </w:p>
    <w:p w:rsidR="00E96C5A" w:rsidRPr="002D23B9" w:rsidRDefault="00C16407" w:rsidP="00942195">
      <w:pPr>
        <w:pStyle w:val="AERbodytext"/>
      </w:pPr>
      <w:r>
        <w:pict>
          <v:shape id="_x0000_i1036" type="#_x0000_t75" alt="Figure 11 shows how the price for each regional Quarter 1 2014 cap contract has changed over the last 10 weeks (as well as the total number of trades each week). The closing quarter 1 2012 and quarter 1 2013 prices are also shown." style="width:451.4pt;height:225.4pt">
            <v:imagedata r:id="rId23" o:title=""/>
          </v:shape>
        </w:pict>
      </w:r>
    </w:p>
    <w:p w:rsidR="00E96C5A" w:rsidRPr="002D23B9" w:rsidRDefault="00E96C5A" w:rsidP="00170E47">
      <w:pPr>
        <w:pStyle w:val="Sourceandnotes"/>
        <w:spacing w:after="120"/>
      </w:pPr>
      <w:r w:rsidRPr="002D23B9">
        <w:t xml:space="preserve">Source: </w:t>
      </w:r>
      <w:hyperlink r:id="rId24" w:history="1">
        <w:r w:rsidRPr="002D23B9">
          <w:rPr>
            <w:rStyle w:val="Hyperlink"/>
            <w:color w:val="auto"/>
          </w:rPr>
          <w:t>ASXEnergy.com.au</w:t>
        </w:r>
      </w:hyperlink>
    </w:p>
    <w:p w:rsidR="00E96C5A" w:rsidRPr="002D23B9" w:rsidRDefault="00E96C5A" w:rsidP="00E96C5A">
      <w:pPr>
        <w:pStyle w:val="AERbodytext"/>
        <w:keepNext/>
        <w:spacing w:after="120" w:line="240" w:lineRule="auto"/>
        <w:jc w:val="left"/>
        <w:rPr>
          <w:b/>
        </w:rPr>
      </w:pPr>
      <w:r w:rsidRPr="002D23B9">
        <w:rPr>
          <w:b/>
        </w:rPr>
        <w:t>Australian Energy Regulator</w:t>
      </w:r>
    </w:p>
    <w:p w:rsidR="00E96C5A" w:rsidRPr="002D23B9" w:rsidRDefault="00D529A0" w:rsidP="003157C3">
      <w:r>
        <w:rPr>
          <w:b/>
        </w:rPr>
        <w:t>March</w:t>
      </w:r>
      <w:r w:rsidR="00795DDE" w:rsidRPr="002D23B9">
        <w:rPr>
          <w:b/>
        </w:rPr>
        <w:t xml:space="preserve"> </w:t>
      </w:r>
      <w:r w:rsidR="0097000C">
        <w:rPr>
          <w:b/>
        </w:rPr>
        <w:t>2014</w:t>
      </w:r>
    </w:p>
    <w:sectPr w:rsidR="00E96C5A" w:rsidRPr="002D23B9" w:rsidSect="00C71AAC">
      <w:footerReference w:type="default" r:id="rId25"/>
      <w:footerReference w:type="first" r:id="rId26"/>
      <w:type w:val="continuous"/>
      <w:pgSz w:w="11906" w:h="16838" w:code="9"/>
      <w:pgMar w:top="993" w:right="1440" w:bottom="99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3B3" w:rsidRDefault="00BE13B3" w:rsidP="00BB640B">
      <w:r>
        <w:separator/>
      </w:r>
    </w:p>
    <w:p w:rsidR="00BE13B3" w:rsidRDefault="00BE13B3"/>
    <w:p w:rsidR="00BE13B3" w:rsidRDefault="00BE13B3"/>
  </w:endnote>
  <w:endnote w:type="continuationSeparator" w:id="0">
    <w:p w:rsidR="00BE13B3" w:rsidRDefault="00BE13B3" w:rsidP="00BB640B">
      <w:r>
        <w:continuationSeparator/>
      </w:r>
    </w:p>
    <w:p w:rsidR="00BE13B3" w:rsidRDefault="00BE13B3"/>
    <w:p w:rsidR="00BE13B3" w:rsidRDefault="00BE1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474107" w:rsidRDefault="00EC411D"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D335BF">
      <w:rPr>
        <w:rStyle w:val="PageNumber"/>
        <w:noProof/>
      </w:rPr>
      <w:t>10</w:t>
    </w:r>
    <w:r>
      <w:rPr>
        <w:rStyle w:val="PageNumber"/>
      </w:rPr>
      <w:fldChar w:fldCharType="end"/>
    </w:r>
  </w:p>
  <w:p w:rsidR="00EC411D" w:rsidRPr="0097256D" w:rsidRDefault="00EC411D"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643F62" w:rsidRDefault="00EC411D" w:rsidP="002633B4">
    <w:pPr>
      <w:pStyle w:val="Footer"/>
      <w:pBdr>
        <w:top w:val="single" w:sz="4" w:space="1" w:color="auto"/>
      </w:pBdr>
      <w:jc w:val="left"/>
      <w:rPr>
        <w:i/>
      </w:rPr>
    </w:pPr>
    <w:r w:rsidRPr="00A83DB5">
      <w:rPr>
        <w:i/>
      </w:rPr>
      <w:t>© Commo</w:t>
    </w:r>
    <w:r>
      <w:rPr>
        <w:i/>
      </w:rPr>
      <w:t>n</w:t>
    </w:r>
    <w:r w:rsidRPr="00A83DB5">
      <w:rPr>
        <w:i/>
      </w:rPr>
      <w:t>wealth of Australia</w:t>
    </w:r>
    <w:r>
      <w:rPr>
        <w:i/>
      </w:rPr>
      <w:tab/>
    </w:r>
    <w:r>
      <w:rPr>
        <w:i/>
      </w:rPr>
      <w:tab/>
      <w:t>AER reference: 39220 – D14/18636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3B3" w:rsidRDefault="00BE13B3" w:rsidP="00BB640B">
      <w:r>
        <w:separator/>
      </w:r>
    </w:p>
    <w:p w:rsidR="00BE13B3" w:rsidRPr="00DB6729" w:rsidRDefault="00BE13B3">
      <w:pPr>
        <w:rPr>
          <w:b/>
          <w:sz w:val="2"/>
        </w:rPr>
      </w:pPr>
    </w:p>
  </w:footnote>
  <w:footnote w:type="continuationSeparator" w:id="0">
    <w:p w:rsidR="00BE13B3" w:rsidRDefault="00BE13B3" w:rsidP="00BB640B">
      <w:r>
        <w:continuationSeparator/>
      </w:r>
    </w:p>
    <w:p w:rsidR="00BE13B3" w:rsidRDefault="00BE13B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46451C6"/>
    <w:lvl w:ilvl="0">
      <w:start w:val="1"/>
      <w:numFmt w:val="decimal"/>
      <w:lvlText w:val="%1."/>
      <w:lvlJc w:val="left"/>
      <w:pPr>
        <w:tabs>
          <w:tab w:val="num" w:pos="926"/>
        </w:tabs>
        <w:ind w:left="926" w:hanging="360"/>
      </w:pPr>
    </w:lvl>
  </w:abstractNum>
  <w:abstractNum w:abstractNumId="1">
    <w:nsid w:val="FFFFFF83"/>
    <w:multiLevelType w:val="singleLevel"/>
    <w:tmpl w:val="40FC551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A608FC56"/>
    <w:lvl w:ilvl="0">
      <w:start w:val="1"/>
      <w:numFmt w:val="decimal"/>
      <w:lvlText w:val="%1."/>
      <w:lvlJc w:val="left"/>
      <w:pPr>
        <w:tabs>
          <w:tab w:val="num" w:pos="360"/>
        </w:tabs>
        <w:ind w:left="360" w:hanging="360"/>
      </w:pPr>
    </w:lvl>
  </w:abstractNum>
  <w:abstractNum w:abstractNumId="3">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1F9716C4"/>
    <w:multiLevelType w:val="hybridMultilevel"/>
    <w:tmpl w:val="32A2D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8">
    <w:nsid w:val="2B051243"/>
    <w:multiLevelType w:val="hybridMultilevel"/>
    <w:tmpl w:val="7E3894B0"/>
    <w:lvl w:ilvl="0" w:tplc="08224F02">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0">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nsid w:val="34457154"/>
    <w:multiLevelType w:val="multilevel"/>
    <w:tmpl w:val="FE78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34018"/>
    <w:multiLevelType w:val="hybridMultilevel"/>
    <w:tmpl w:val="4E64C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C721288"/>
    <w:multiLevelType w:val="multilevel"/>
    <w:tmpl w:val="1492709C"/>
    <w:numStyleLink w:val="AERHeadings"/>
  </w:abstractNum>
  <w:abstractNum w:abstractNumId="14">
    <w:nsid w:val="3CEF6DE4"/>
    <w:multiLevelType w:val="hybridMultilevel"/>
    <w:tmpl w:val="8E4EF3A6"/>
    <w:lvl w:ilvl="0" w:tplc="F816EABE">
      <w:start w:val="1"/>
      <w:numFmt w:val="bullet"/>
      <w:lvlText w:val=""/>
      <w:lvlJc w:val="left"/>
      <w:pPr>
        <w:tabs>
          <w:tab w:val="num" w:pos="360"/>
        </w:tabs>
        <w:ind w:left="360" w:hanging="360"/>
      </w:pPr>
      <w:rPr>
        <w:rFonts w:ascii="Wingdings" w:hAnsi="Wingdings" w:hint="default"/>
        <w:color w:val="auto"/>
      </w:rPr>
    </w:lvl>
    <w:lvl w:ilvl="1" w:tplc="271820EC" w:tentative="1">
      <w:start w:val="1"/>
      <w:numFmt w:val="bullet"/>
      <w:lvlText w:val="o"/>
      <w:lvlJc w:val="left"/>
      <w:pPr>
        <w:tabs>
          <w:tab w:val="num" w:pos="1440"/>
        </w:tabs>
        <w:ind w:left="1440" w:hanging="360"/>
      </w:pPr>
      <w:rPr>
        <w:rFonts w:ascii="Courier New" w:hAnsi="Courier New" w:cs="Courier New" w:hint="default"/>
      </w:rPr>
    </w:lvl>
    <w:lvl w:ilvl="2" w:tplc="69DC8FB4" w:tentative="1">
      <w:start w:val="1"/>
      <w:numFmt w:val="bullet"/>
      <w:lvlText w:val=""/>
      <w:lvlJc w:val="left"/>
      <w:pPr>
        <w:tabs>
          <w:tab w:val="num" w:pos="2160"/>
        </w:tabs>
        <w:ind w:left="2160" w:hanging="360"/>
      </w:pPr>
      <w:rPr>
        <w:rFonts w:ascii="Wingdings" w:hAnsi="Wingdings" w:hint="default"/>
      </w:rPr>
    </w:lvl>
    <w:lvl w:ilvl="3" w:tplc="51B0290E" w:tentative="1">
      <w:start w:val="1"/>
      <w:numFmt w:val="bullet"/>
      <w:lvlText w:val=""/>
      <w:lvlJc w:val="left"/>
      <w:pPr>
        <w:tabs>
          <w:tab w:val="num" w:pos="2880"/>
        </w:tabs>
        <w:ind w:left="2880" w:hanging="360"/>
      </w:pPr>
      <w:rPr>
        <w:rFonts w:ascii="Symbol" w:hAnsi="Symbol" w:hint="default"/>
      </w:rPr>
    </w:lvl>
    <w:lvl w:ilvl="4" w:tplc="527CCDC4" w:tentative="1">
      <w:start w:val="1"/>
      <w:numFmt w:val="bullet"/>
      <w:lvlText w:val="o"/>
      <w:lvlJc w:val="left"/>
      <w:pPr>
        <w:tabs>
          <w:tab w:val="num" w:pos="3600"/>
        </w:tabs>
        <w:ind w:left="3600" w:hanging="360"/>
      </w:pPr>
      <w:rPr>
        <w:rFonts w:ascii="Courier New" w:hAnsi="Courier New" w:cs="Courier New" w:hint="default"/>
      </w:rPr>
    </w:lvl>
    <w:lvl w:ilvl="5" w:tplc="5F30247A" w:tentative="1">
      <w:start w:val="1"/>
      <w:numFmt w:val="bullet"/>
      <w:lvlText w:val=""/>
      <w:lvlJc w:val="left"/>
      <w:pPr>
        <w:tabs>
          <w:tab w:val="num" w:pos="4320"/>
        </w:tabs>
        <w:ind w:left="4320" w:hanging="360"/>
      </w:pPr>
      <w:rPr>
        <w:rFonts w:ascii="Wingdings" w:hAnsi="Wingdings" w:hint="default"/>
      </w:rPr>
    </w:lvl>
    <w:lvl w:ilvl="6" w:tplc="DBAE23C4" w:tentative="1">
      <w:start w:val="1"/>
      <w:numFmt w:val="bullet"/>
      <w:lvlText w:val=""/>
      <w:lvlJc w:val="left"/>
      <w:pPr>
        <w:tabs>
          <w:tab w:val="num" w:pos="5040"/>
        </w:tabs>
        <w:ind w:left="5040" w:hanging="360"/>
      </w:pPr>
      <w:rPr>
        <w:rFonts w:ascii="Symbol" w:hAnsi="Symbol" w:hint="default"/>
      </w:rPr>
    </w:lvl>
    <w:lvl w:ilvl="7" w:tplc="8FFE93B8" w:tentative="1">
      <w:start w:val="1"/>
      <w:numFmt w:val="bullet"/>
      <w:lvlText w:val="o"/>
      <w:lvlJc w:val="left"/>
      <w:pPr>
        <w:tabs>
          <w:tab w:val="num" w:pos="5760"/>
        </w:tabs>
        <w:ind w:left="5760" w:hanging="360"/>
      </w:pPr>
      <w:rPr>
        <w:rFonts w:ascii="Courier New" w:hAnsi="Courier New" w:cs="Courier New" w:hint="default"/>
      </w:rPr>
    </w:lvl>
    <w:lvl w:ilvl="8" w:tplc="6DDCFB94" w:tentative="1">
      <w:start w:val="1"/>
      <w:numFmt w:val="bullet"/>
      <w:lvlText w:val=""/>
      <w:lvlJc w:val="left"/>
      <w:pPr>
        <w:tabs>
          <w:tab w:val="num" w:pos="6480"/>
        </w:tabs>
        <w:ind w:left="6480" w:hanging="360"/>
      </w:pPr>
      <w:rPr>
        <w:rFonts w:ascii="Wingdings" w:hAnsi="Wingdings" w:hint="default"/>
      </w:rPr>
    </w:lvl>
  </w:abstractNum>
  <w:abstractNum w:abstractNumId="15">
    <w:nsid w:val="405536EF"/>
    <w:multiLevelType w:val="hybridMultilevel"/>
    <w:tmpl w:val="6DBE9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43F74CB"/>
    <w:multiLevelType w:val="hybridMultilevel"/>
    <w:tmpl w:val="550AFBE6"/>
    <w:lvl w:ilvl="0" w:tplc="5ABEB88A">
      <w:start w:val="1"/>
      <w:numFmt w:val="decimal"/>
      <w:lvlText w:val="%1."/>
      <w:lvlJc w:val="left"/>
      <w:pPr>
        <w:tabs>
          <w:tab w:val="num" w:pos="357"/>
        </w:tabs>
        <w:ind w:left="357" w:hanging="357"/>
      </w:pPr>
      <w:rPr>
        <w:rFonts w:ascii="Gautami" w:hAnsi="Gautami" w:hint="default"/>
        <w:b w:val="0"/>
        <w:i w:val="0"/>
        <w:sz w:val="22"/>
      </w:rPr>
    </w:lvl>
    <w:lvl w:ilvl="1" w:tplc="1D7A386C">
      <w:start w:val="1"/>
      <w:numFmt w:val="bullet"/>
      <w:lvlText w:val=""/>
      <w:lvlJc w:val="left"/>
      <w:pPr>
        <w:tabs>
          <w:tab w:val="num" w:pos="4498"/>
        </w:tabs>
        <w:ind w:left="4498" w:hanging="358"/>
      </w:pPr>
      <w:rPr>
        <w:rFonts w:ascii="Wingdings" w:hAnsi="Wingdings" w:hint="default"/>
        <w:b w:val="0"/>
        <w:i w:val="0"/>
        <w:sz w:val="22"/>
      </w:rPr>
    </w:lvl>
    <w:lvl w:ilvl="2" w:tplc="E74852F2" w:tentative="1">
      <w:start w:val="1"/>
      <w:numFmt w:val="lowerRoman"/>
      <w:lvlText w:val="%3."/>
      <w:lvlJc w:val="right"/>
      <w:pPr>
        <w:tabs>
          <w:tab w:val="num" w:pos="5220"/>
        </w:tabs>
        <w:ind w:left="5220" w:hanging="180"/>
      </w:pPr>
    </w:lvl>
    <w:lvl w:ilvl="3" w:tplc="76C26E6C" w:tentative="1">
      <w:start w:val="1"/>
      <w:numFmt w:val="decimal"/>
      <w:lvlText w:val="%4."/>
      <w:lvlJc w:val="left"/>
      <w:pPr>
        <w:tabs>
          <w:tab w:val="num" w:pos="5940"/>
        </w:tabs>
        <w:ind w:left="5940" w:hanging="360"/>
      </w:pPr>
    </w:lvl>
    <w:lvl w:ilvl="4" w:tplc="8DBE2968">
      <w:start w:val="1"/>
      <w:numFmt w:val="lowerLetter"/>
      <w:lvlText w:val="%5."/>
      <w:lvlJc w:val="left"/>
      <w:pPr>
        <w:tabs>
          <w:tab w:val="num" w:pos="6660"/>
        </w:tabs>
        <w:ind w:left="6660" w:hanging="360"/>
      </w:pPr>
    </w:lvl>
    <w:lvl w:ilvl="5" w:tplc="EC24B624">
      <w:start w:val="1"/>
      <w:numFmt w:val="lowerRoman"/>
      <w:lvlText w:val="%6."/>
      <w:lvlJc w:val="right"/>
      <w:pPr>
        <w:tabs>
          <w:tab w:val="num" w:pos="7380"/>
        </w:tabs>
        <w:ind w:left="7380" w:hanging="180"/>
      </w:pPr>
    </w:lvl>
    <w:lvl w:ilvl="6" w:tplc="1D12BFC0" w:tentative="1">
      <w:start w:val="1"/>
      <w:numFmt w:val="decimal"/>
      <w:lvlText w:val="%7."/>
      <w:lvlJc w:val="left"/>
      <w:pPr>
        <w:tabs>
          <w:tab w:val="num" w:pos="8100"/>
        </w:tabs>
        <w:ind w:left="8100" w:hanging="360"/>
      </w:pPr>
    </w:lvl>
    <w:lvl w:ilvl="7" w:tplc="C1021518" w:tentative="1">
      <w:start w:val="1"/>
      <w:numFmt w:val="lowerLetter"/>
      <w:lvlText w:val="%8."/>
      <w:lvlJc w:val="left"/>
      <w:pPr>
        <w:tabs>
          <w:tab w:val="num" w:pos="8820"/>
        </w:tabs>
        <w:ind w:left="8820" w:hanging="360"/>
      </w:pPr>
    </w:lvl>
    <w:lvl w:ilvl="8" w:tplc="88582DB0" w:tentative="1">
      <w:start w:val="1"/>
      <w:numFmt w:val="lowerRoman"/>
      <w:lvlText w:val="%9."/>
      <w:lvlJc w:val="right"/>
      <w:pPr>
        <w:tabs>
          <w:tab w:val="num" w:pos="9540"/>
        </w:tabs>
        <w:ind w:left="9540" w:hanging="180"/>
      </w:pPr>
    </w:lvl>
  </w:abstractNum>
  <w:abstractNum w:abstractNumId="17">
    <w:nsid w:val="4E0149BF"/>
    <w:multiLevelType w:val="hybridMultilevel"/>
    <w:tmpl w:val="D1962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4BD0FDB"/>
    <w:multiLevelType w:val="hybridMultilevel"/>
    <w:tmpl w:val="DB248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9642B0F"/>
    <w:multiLevelType w:val="hybridMultilevel"/>
    <w:tmpl w:val="1FBE1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CCE1F0B"/>
    <w:multiLevelType w:val="hybridMultilevel"/>
    <w:tmpl w:val="56C4F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F6D1389"/>
    <w:multiLevelType w:val="hybridMultilevel"/>
    <w:tmpl w:val="EC261128"/>
    <w:lvl w:ilvl="0" w:tplc="632AC6BE">
      <w:start w:val="2"/>
      <w:numFmt w:val="decimal"/>
      <w:lvlText w:val="(%1)"/>
      <w:lvlJc w:val="left"/>
      <w:pPr>
        <w:tabs>
          <w:tab w:val="num" w:pos="450"/>
        </w:tabs>
        <w:ind w:left="450" w:hanging="39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23">
    <w:nsid w:val="619258EB"/>
    <w:multiLevelType w:val="hybridMultilevel"/>
    <w:tmpl w:val="D4F205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2BF0570"/>
    <w:multiLevelType w:val="hybridMultilevel"/>
    <w:tmpl w:val="2C38EE7E"/>
    <w:lvl w:ilvl="0" w:tplc="FFFFFFFF">
      <w:start w:val="1"/>
      <w:numFmt w:val="bullet"/>
      <w:lvlText w:val=""/>
      <w:lvlJc w:val="left"/>
      <w:pPr>
        <w:tabs>
          <w:tab w:val="num" w:pos="870"/>
        </w:tabs>
        <w:ind w:left="870" w:hanging="360"/>
      </w:pPr>
      <w:rPr>
        <w:rFonts w:ascii="Wingdings" w:hAnsi="Wingdings" w:hint="default"/>
        <w:color w:val="auto"/>
        <w:sz w:val="16"/>
        <w:szCs w:val="16"/>
      </w:rPr>
    </w:lvl>
    <w:lvl w:ilvl="1" w:tplc="0C090003" w:tentative="1">
      <w:start w:val="1"/>
      <w:numFmt w:val="bullet"/>
      <w:lvlText w:val="o"/>
      <w:lvlJc w:val="left"/>
      <w:pPr>
        <w:tabs>
          <w:tab w:val="num" w:pos="1590"/>
        </w:tabs>
        <w:ind w:left="1590" w:hanging="360"/>
      </w:pPr>
      <w:rPr>
        <w:rFonts w:ascii="Courier New" w:hAnsi="Courier New" w:cs="Courier New" w:hint="default"/>
      </w:rPr>
    </w:lvl>
    <w:lvl w:ilvl="2" w:tplc="0C090005" w:tentative="1">
      <w:start w:val="1"/>
      <w:numFmt w:val="bullet"/>
      <w:lvlText w:val=""/>
      <w:lvlJc w:val="left"/>
      <w:pPr>
        <w:tabs>
          <w:tab w:val="num" w:pos="2310"/>
        </w:tabs>
        <w:ind w:left="2310" w:hanging="360"/>
      </w:pPr>
      <w:rPr>
        <w:rFonts w:ascii="Wingdings" w:hAnsi="Wingdings" w:hint="default"/>
      </w:rPr>
    </w:lvl>
    <w:lvl w:ilvl="3" w:tplc="0C090001" w:tentative="1">
      <w:start w:val="1"/>
      <w:numFmt w:val="bullet"/>
      <w:lvlText w:val=""/>
      <w:lvlJc w:val="left"/>
      <w:pPr>
        <w:tabs>
          <w:tab w:val="num" w:pos="3030"/>
        </w:tabs>
        <w:ind w:left="3030" w:hanging="360"/>
      </w:pPr>
      <w:rPr>
        <w:rFonts w:ascii="Symbol" w:hAnsi="Symbol" w:hint="default"/>
      </w:rPr>
    </w:lvl>
    <w:lvl w:ilvl="4" w:tplc="0C090003" w:tentative="1">
      <w:start w:val="1"/>
      <w:numFmt w:val="bullet"/>
      <w:lvlText w:val="o"/>
      <w:lvlJc w:val="left"/>
      <w:pPr>
        <w:tabs>
          <w:tab w:val="num" w:pos="3750"/>
        </w:tabs>
        <w:ind w:left="3750" w:hanging="360"/>
      </w:pPr>
      <w:rPr>
        <w:rFonts w:ascii="Courier New" w:hAnsi="Courier New" w:cs="Courier New" w:hint="default"/>
      </w:rPr>
    </w:lvl>
    <w:lvl w:ilvl="5" w:tplc="0C090005" w:tentative="1">
      <w:start w:val="1"/>
      <w:numFmt w:val="bullet"/>
      <w:lvlText w:val=""/>
      <w:lvlJc w:val="left"/>
      <w:pPr>
        <w:tabs>
          <w:tab w:val="num" w:pos="4470"/>
        </w:tabs>
        <w:ind w:left="4470" w:hanging="360"/>
      </w:pPr>
      <w:rPr>
        <w:rFonts w:ascii="Wingdings" w:hAnsi="Wingdings" w:hint="default"/>
      </w:rPr>
    </w:lvl>
    <w:lvl w:ilvl="6" w:tplc="0C090001" w:tentative="1">
      <w:start w:val="1"/>
      <w:numFmt w:val="bullet"/>
      <w:lvlText w:val=""/>
      <w:lvlJc w:val="left"/>
      <w:pPr>
        <w:tabs>
          <w:tab w:val="num" w:pos="5190"/>
        </w:tabs>
        <w:ind w:left="5190" w:hanging="360"/>
      </w:pPr>
      <w:rPr>
        <w:rFonts w:ascii="Symbol" w:hAnsi="Symbol" w:hint="default"/>
      </w:rPr>
    </w:lvl>
    <w:lvl w:ilvl="7" w:tplc="0C090003" w:tentative="1">
      <w:start w:val="1"/>
      <w:numFmt w:val="bullet"/>
      <w:lvlText w:val="o"/>
      <w:lvlJc w:val="left"/>
      <w:pPr>
        <w:tabs>
          <w:tab w:val="num" w:pos="5910"/>
        </w:tabs>
        <w:ind w:left="5910" w:hanging="360"/>
      </w:pPr>
      <w:rPr>
        <w:rFonts w:ascii="Courier New" w:hAnsi="Courier New" w:cs="Courier New" w:hint="default"/>
      </w:rPr>
    </w:lvl>
    <w:lvl w:ilvl="8" w:tplc="0C090005" w:tentative="1">
      <w:start w:val="1"/>
      <w:numFmt w:val="bullet"/>
      <w:lvlText w:val=""/>
      <w:lvlJc w:val="left"/>
      <w:pPr>
        <w:tabs>
          <w:tab w:val="num" w:pos="6630"/>
        </w:tabs>
        <w:ind w:left="6630" w:hanging="360"/>
      </w:pPr>
      <w:rPr>
        <w:rFonts w:ascii="Wingdings" w:hAnsi="Wingdings" w:hint="default"/>
      </w:rPr>
    </w:lvl>
  </w:abstractNum>
  <w:abstractNum w:abstractNumId="25">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6">
    <w:nsid w:val="711D4244"/>
    <w:multiLevelType w:val="hybridMultilevel"/>
    <w:tmpl w:val="35D49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12B4D02"/>
    <w:multiLevelType w:val="hybridMultilevel"/>
    <w:tmpl w:val="0E567A52"/>
    <w:lvl w:ilvl="0" w:tplc="C84697CA">
      <w:start w:val="1"/>
      <w:numFmt w:val="bullet"/>
      <w:lvlText w:val=""/>
      <w:lvlJc w:val="left"/>
      <w:pPr>
        <w:tabs>
          <w:tab w:val="num" w:pos="1135"/>
        </w:tabs>
        <w:ind w:left="1135" w:hanging="567"/>
      </w:pPr>
      <w:rPr>
        <w:rFonts w:ascii="Wingdings" w:hAnsi="Wingdings" w:hint="default"/>
        <w:b w:val="0"/>
        <w:i w:val="0"/>
        <w:color w:val="auto"/>
        <w:sz w:val="24"/>
        <w:effect w:val="no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786D3D83"/>
    <w:multiLevelType w:val="hybridMultilevel"/>
    <w:tmpl w:val="19C4E9CA"/>
    <w:lvl w:ilvl="0" w:tplc="FFFFFFFF">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8B75593"/>
    <w:multiLevelType w:val="multilevel"/>
    <w:tmpl w:val="979A77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24"/>
  </w:num>
  <w:num w:numId="3">
    <w:abstractNumId w:val="3"/>
  </w:num>
  <w:num w:numId="4">
    <w:abstractNumId w:val="16"/>
  </w:num>
  <w:num w:numId="5">
    <w:abstractNumId w:val="10"/>
  </w:num>
  <w:num w:numId="6">
    <w:abstractNumId w:val="25"/>
  </w:num>
  <w:num w:numId="7">
    <w:abstractNumId w:val="28"/>
  </w:num>
  <w:num w:numId="8">
    <w:abstractNumId w:val="30"/>
  </w:num>
  <w:num w:numId="9">
    <w:abstractNumId w:val="6"/>
  </w:num>
  <w:num w:numId="10">
    <w:abstractNumId w:val="9"/>
  </w:num>
  <w:num w:numId="11">
    <w:abstractNumId w:val="7"/>
  </w:num>
  <w:num w:numId="12">
    <w:abstractNumId w:val="18"/>
  </w:num>
  <w:num w:numId="13">
    <w:abstractNumId w:val="13"/>
  </w:num>
  <w:num w:numId="14">
    <w:abstractNumId w:val="14"/>
  </w:num>
  <w:num w:numId="15">
    <w:abstractNumId w:val="29"/>
  </w:num>
  <w:num w:numId="16">
    <w:abstractNumId w:val="17"/>
  </w:num>
  <w:num w:numId="17">
    <w:abstractNumId w:val="27"/>
  </w:num>
  <w:num w:numId="18">
    <w:abstractNumId w:val="22"/>
  </w:num>
  <w:num w:numId="19">
    <w:abstractNumId w:val="1"/>
  </w:num>
  <w:num w:numId="20">
    <w:abstractNumId w:val="13"/>
  </w:num>
  <w:num w:numId="21">
    <w:abstractNumId w:val="13"/>
  </w:num>
  <w:num w:numId="22">
    <w:abstractNumId w:val="13"/>
  </w:num>
  <w:num w:numId="23">
    <w:abstractNumId w:val="2"/>
  </w:num>
  <w:num w:numId="24">
    <w:abstractNumId w:val="28"/>
  </w:num>
  <w:num w:numId="25">
    <w:abstractNumId w:val="28"/>
  </w:num>
  <w:num w:numId="26">
    <w:abstractNumId w:val="28"/>
  </w:num>
  <w:num w:numId="27">
    <w:abstractNumId w:val="28"/>
  </w:num>
  <w:num w:numId="28">
    <w:abstractNumId w:val="0"/>
  </w:num>
  <w:num w:numId="29">
    <w:abstractNumId w:val="19"/>
  </w:num>
  <w:num w:numId="30">
    <w:abstractNumId w:val="28"/>
  </w:num>
  <w:num w:numId="31">
    <w:abstractNumId w:val="28"/>
  </w:num>
  <w:num w:numId="32">
    <w:abstractNumId w:val="28"/>
  </w:num>
  <w:num w:numId="33">
    <w:abstractNumId w:val="28"/>
  </w:num>
  <w:num w:numId="34">
    <w:abstractNumId w:val="28"/>
  </w:num>
  <w:num w:numId="35">
    <w:abstractNumId w:val="13"/>
  </w:num>
  <w:num w:numId="36">
    <w:abstractNumId w:val="28"/>
  </w:num>
  <w:num w:numId="37">
    <w:abstractNumId w:val="13"/>
  </w:num>
  <w:num w:numId="38">
    <w:abstractNumId w:val="8"/>
  </w:num>
  <w:num w:numId="39">
    <w:abstractNumId w:val="28"/>
  </w:num>
  <w:num w:numId="40">
    <w:abstractNumId w:val="28"/>
  </w:num>
  <w:num w:numId="41">
    <w:abstractNumId w:val="26"/>
  </w:num>
  <w:num w:numId="42">
    <w:abstractNumId w:val="7"/>
  </w:num>
  <w:num w:numId="43">
    <w:abstractNumId w:val="28"/>
  </w:num>
  <w:num w:numId="44">
    <w:abstractNumId w:val="11"/>
  </w:num>
  <w:num w:numId="45">
    <w:abstractNumId w:val="21"/>
  </w:num>
  <w:num w:numId="46">
    <w:abstractNumId w:val="5"/>
  </w:num>
  <w:num w:numId="47">
    <w:abstractNumId w:val="23"/>
  </w:num>
  <w:num w:numId="48">
    <w:abstractNumId w:val="15"/>
  </w:num>
  <w:num w:numId="49">
    <w:abstractNumId w:val="12"/>
  </w:num>
  <w:num w:numId="50">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SCBRFS001\Home$\sjohn\20140126 - 20140201 Electricity weekly report.DOCX"/>
  </w:docVars>
  <w:rsids>
    <w:rsidRoot w:val="00F75FBD"/>
    <w:rsid w:val="00000080"/>
    <w:rsid w:val="000008B3"/>
    <w:rsid w:val="00000E09"/>
    <w:rsid w:val="000014D2"/>
    <w:rsid w:val="000018CD"/>
    <w:rsid w:val="0000194E"/>
    <w:rsid w:val="00001E21"/>
    <w:rsid w:val="000020FB"/>
    <w:rsid w:val="00002445"/>
    <w:rsid w:val="0000263B"/>
    <w:rsid w:val="00002829"/>
    <w:rsid w:val="00002A76"/>
    <w:rsid w:val="00003522"/>
    <w:rsid w:val="000037A5"/>
    <w:rsid w:val="00003B0A"/>
    <w:rsid w:val="00003B8C"/>
    <w:rsid w:val="00003E22"/>
    <w:rsid w:val="000042AC"/>
    <w:rsid w:val="000042BF"/>
    <w:rsid w:val="00004578"/>
    <w:rsid w:val="0000468D"/>
    <w:rsid w:val="00004C36"/>
    <w:rsid w:val="00004F2E"/>
    <w:rsid w:val="00005725"/>
    <w:rsid w:val="000059FF"/>
    <w:rsid w:val="000060ED"/>
    <w:rsid w:val="00006183"/>
    <w:rsid w:val="00006681"/>
    <w:rsid w:val="000066D8"/>
    <w:rsid w:val="000068EC"/>
    <w:rsid w:val="00006CB5"/>
    <w:rsid w:val="00006E66"/>
    <w:rsid w:val="000070D2"/>
    <w:rsid w:val="000078B2"/>
    <w:rsid w:val="00007A05"/>
    <w:rsid w:val="00007DEC"/>
    <w:rsid w:val="000107D8"/>
    <w:rsid w:val="00010C72"/>
    <w:rsid w:val="000110D5"/>
    <w:rsid w:val="000110E1"/>
    <w:rsid w:val="00011751"/>
    <w:rsid w:val="00011913"/>
    <w:rsid w:val="00011D51"/>
    <w:rsid w:val="000125FD"/>
    <w:rsid w:val="0001277E"/>
    <w:rsid w:val="00012C8B"/>
    <w:rsid w:val="0001307D"/>
    <w:rsid w:val="000139F3"/>
    <w:rsid w:val="000140DC"/>
    <w:rsid w:val="00014B8F"/>
    <w:rsid w:val="00015040"/>
    <w:rsid w:val="00015050"/>
    <w:rsid w:val="000158C2"/>
    <w:rsid w:val="000161BF"/>
    <w:rsid w:val="000163E1"/>
    <w:rsid w:val="00016924"/>
    <w:rsid w:val="00016DEF"/>
    <w:rsid w:val="00016E96"/>
    <w:rsid w:val="00017634"/>
    <w:rsid w:val="0001765C"/>
    <w:rsid w:val="00017C33"/>
    <w:rsid w:val="00017D29"/>
    <w:rsid w:val="00017FAD"/>
    <w:rsid w:val="000201DE"/>
    <w:rsid w:val="00020735"/>
    <w:rsid w:val="00020AD8"/>
    <w:rsid w:val="00020D13"/>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B59"/>
    <w:rsid w:val="00024EC1"/>
    <w:rsid w:val="00025D45"/>
    <w:rsid w:val="00025E0E"/>
    <w:rsid w:val="0002602A"/>
    <w:rsid w:val="000260E2"/>
    <w:rsid w:val="000261A3"/>
    <w:rsid w:val="000261BD"/>
    <w:rsid w:val="0002626E"/>
    <w:rsid w:val="000267ED"/>
    <w:rsid w:val="00026C3A"/>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DF0"/>
    <w:rsid w:val="0003512C"/>
    <w:rsid w:val="000356D8"/>
    <w:rsid w:val="0003586E"/>
    <w:rsid w:val="00035C9F"/>
    <w:rsid w:val="000360CE"/>
    <w:rsid w:val="0003617E"/>
    <w:rsid w:val="00036ABD"/>
    <w:rsid w:val="00037322"/>
    <w:rsid w:val="000373B0"/>
    <w:rsid w:val="00037541"/>
    <w:rsid w:val="000375EE"/>
    <w:rsid w:val="00037690"/>
    <w:rsid w:val="00040414"/>
    <w:rsid w:val="000407B3"/>
    <w:rsid w:val="00040C80"/>
    <w:rsid w:val="000413B3"/>
    <w:rsid w:val="000418D1"/>
    <w:rsid w:val="00041D07"/>
    <w:rsid w:val="00041E93"/>
    <w:rsid w:val="0004221D"/>
    <w:rsid w:val="00042733"/>
    <w:rsid w:val="000427C9"/>
    <w:rsid w:val="00042ADE"/>
    <w:rsid w:val="00043705"/>
    <w:rsid w:val="00043981"/>
    <w:rsid w:val="00043CB9"/>
    <w:rsid w:val="00044126"/>
    <w:rsid w:val="00044279"/>
    <w:rsid w:val="00044445"/>
    <w:rsid w:val="00044949"/>
    <w:rsid w:val="00044A13"/>
    <w:rsid w:val="00044DAB"/>
    <w:rsid w:val="0004540E"/>
    <w:rsid w:val="000455A3"/>
    <w:rsid w:val="00045772"/>
    <w:rsid w:val="00045A65"/>
    <w:rsid w:val="00045BEA"/>
    <w:rsid w:val="00045E9E"/>
    <w:rsid w:val="00046146"/>
    <w:rsid w:val="00046779"/>
    <w:rsid w:val="00046986"/>
    <w:rsid w:val="00046A63"/>
    <w:rsid w:val="00046A92"/>
    <w:rsid w:val="00046C2F"/>
    <w:rsid w:val="000472F3"/>
    <w:rsid w:val="000474B8"/>
    <w:rsid w:val="00047ACD"/>
    <w:rsid w:val="00047CAE"/>
    <w:rsid w:val="00050394"/>
    <w:rsid w:val="00050A33"/>
    <w:rsid w:val="00050C6C"/>
    <w:rsid w:val="00050D72"/>
    <w:rsid w:val="0005109C"/>
    <w:rsid w:val="00051106"/>
    <w:rsid w:val="000513D6"/>
    <w:rsid w:val="000516EA"/>
    <w:rsid w:val="00051870"/>
    <w:rsid w:val="0005191C"/>
    <w:rsid w:val="00051B5E"/>
    <w:rsid w:val="00051CA2"/>
    <w:rsid w:val="00051EA8"/>
    <w:rsid w:val="00052936"/>
    <w:rsid w:val="00052C31"/>
    <w:rsid w:val="000534E9"/>
    <w:rsid w:val="000536D4"/>
    <w:rsid w:val="00053909"/>
    <w:rsid w:val="0005475B"/>
    <w:rsid w:val="00054A64"/>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148"/>
    <w:rsid w:val="00061B29"/>
    <w:rsid w:val="00061E11"/>
    <w:rsid w:val="00061EBD"/>
    <w:rsid w:val="00062054"/>
    <w:rsid w:val="00062147"/>
    <w:rsid w:val="000622F1"/>
    <w:rsid w:val="00062857"/>
    <w:rsid w:val="000629AD"/>
    <w:rsid w:val="00062A21"/>
    <w:rsid w:val="00062B23"/>
    <w:rsid w:val="00062B49"/>
    <w:rsid w:val="00062B82"/>
    <w:rsid w:val="00062F8C"/>
    <w:rsid w:val="0006305A"/>
    <w:rsid w:val="0006356C"/>
    <w:rsid w:val="0006376A"/>
    <w:rsid w:val="00063ACB"/>
    <w:rsid w:val="000647B2"/>
    <w:rsid w:val="00064CDD"/>
    <w:rsid w:val="00064E6D"/>
    <w:rsid w:val="00064F93"/>
    <w:rsid w:val="0006556C"/>
    <w:rsid w:val="00065B65"/>
    <w:rsid w:val="0006638F"/>
    <w:rsid w:val="0006649B"/>
    <w:rsid w:val="000665EF"/>
    <w:rsid w:val="000673B3"/>
    <w:rsid w:val="00067C4A"/>
    <w:rsid w:val="00067D27"/>
    <w:rsid w:val="000702B7"/>
    <w:rsid w:val="000702BE"/>
    <w:rsid w:val="0007067D"/>
    <w:rsid w:val="00070B59"/>
    <w:rsid w:val="00070D16"/>
    <w:rsid w:val="00070F58"/>
    <w:rsid w:val="00071615"/>
    <w:rsid w:val="00071AB5"/>
    <w:rsid w:val="000722C8"/>
    <w:rsid w:val="000727FF"/>
    <w:rsid w:val="00072A1F"/>
    <w:rsid w:val="00073174"/>
    <w:rsid w:val="000733BC"/>
    <w:rsid w:val="0007368B"/>
    <w:rsid w:val="00073A99"/>
    <w:rsid w:val="00073E73"/>
    <w:rsid w:val="00073EDA"/>
    <w:rsid w:val="00073F8A"/>
    <w:rsid w:val="0007469B"/>
    <w:rsid w:val="00074F55"/>
    <w:rsid w:val="000751E3"/>
    <w:rsid w:val="0007589D"/>
    <w:rsid w:val="00075962"/>
    <w:rsid w:val="00075A85"/>
    <w:rsid w:val="00075BD0"/>
    <w:rsid w:val="00076198"/>
    <w:rsid w:val="00076423"/>
    <w:rsid w:val="000764FA"/>
    <w:rsid w:val="000766DD"/>
    <w:rsid w:val="00076D80"/>
    <w:rsid w:val="00076E5E"/>
    <w:rsid w:val="00077199"/>
    <w:rsid w:val="000773C3"/>
    <w:rsid w:val="00077915"/>
    <w:rsid w:val="00077F4C"/>
    <w:rsid w:val="00077FBB"/>
    <w:rsid w:val="000802F6"/>
    <w:rsid w:val="00080370"/>
    <w:rsid w:val="0008044E"/>
    <w:rsid w:val="0008060E"/>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3F8B"/>
    <w:rsid w:val="000841E6"/>
    <w:rsid w:val="00084457"/>
    <w:rsid w:val="000849AF"/>
    <w:rsid w:val="00085C27"/>
    <w:rsid w:val="00086527"/>
    <w:rsid w:val="00086713"/>
    <w:rsid w:val="0008677A"/>
    <w:rsid w:val="00086F1D"/>
    <w:rsid w:val="00087248"/>
    <w:rsid w:val="0008724D"/>
    <w:rsid w:val="00087974"/>
    <w:rsid w:val="00087AB5"/>
    <w:rsid w:val="00087B72"/>
    <w:rsid w:val="00087C4F"/>
    <w:rsid w:val="00087F3F"/>
    <w:rsid w:val="00090235"/>
    <w:rsid w:val="00090394"/>
    <w:rsid w:val="000906F1"/>
    <w:rsid w:val="0009081C"/>
    <w:rsid w:val="00090EF3"/>
    <w:rsid w:val="0009118A"/>
    <w:rsid w:val="0009132F"/>
    <w:rsid w:val="000913F5"/>
    <w:rsid w:val="00091B34"/>
    <w:rsid w:val="00091D14"/>
    <w:rsid w:val="00091D9E"/>
    <w:rsid w:val="00091DAD"/>
    <w:rsid w:val="00091F5F"/>
    <w:rsid w:val="00092C23"/>
    <w:rsid w:val="00093537"/>
    <w:rsid w:val="0009394B"/>
    <w:rsid w:val="00094268"/>
    <w:rsid w:val="00094494"/>
    <w:rsid w:val="0009492F"/>
    <w:rsid w:val="00095248"/>
    <w:rsid w:val="00095BD8"/>
    <w:rsid w:val="00095C39"/>
    <w:rsid w:val="00095FC2"/>
    <w:rsid w:val="0009623B"/>
    <w:rsid w:val="00096516"/>
    <w:rsid w:val="000967CF"/>
    <w:rsid w:val="00096A6C"/>
    <w:rsid w:val="00096F28"/>
    <w:rsid w:val="00097455"/>
    <w:rsid w:val="000A015D"/>
    <w:rsid w:val="000A040B"/>
    <w:rsid w:val="000A048C"/>
    <w:rsid w:val="000A0DBB"/>
    <w:rsid w:val="000A0E1A"/>
    <w:rsid w:val="000A105F"/>
    <w:rsid w:val="000A1444"/>
    <w:rsid w:val="000A1E5F"/>
    <w:rsid w:val="000A21B3"/>
    <w:rsid w:val="000A241E"/>
    <w:rsid w:val="000A25BF"/>
    <w:rsid w:val="000A2744"/>
    <w:rsid w:val="000A2CFE"/>
    <w:rsid w:val="000A3580"/>
    <w:rsid w:val="000A3673"/>
    <w:rsid w:val="000A36AD"/>
    <w:rsid w:val="000A37F9"/>
    <w:rsid w:val="000A3942"/>
    <w:rsid w:val="000A394D"/>
    <w:rsid w:val="000A5343"/>
    <w:rsid w:val="000A555E"/>
    <w:rsid w:val="000A5694"/>
    <w:rsid w:val="000A57A6"/>
    <w:rsid w:val="000A6309"/>
    <w:rsid w:val="000A6520"/>
    <w:rsid w:val="000A695F"/>
    <w:rsid w:val="000A6AF2"/>
    <w:rsid w:val="000A6B8D"/>
    <w:rsid w:val="000A7A40"/>
    <w:rsid w:val="000A7DCC"/>
    <w:rsid w:val="000B006E"/>
    <w:rsid w:val="000B00AB"/>
    <w:rsid w:val="000B062A"/>
    <w:rsid w:val="000B0735"/>
    <w:rsid w:val="000B076A"/>
    <w:rsid w:val="000B0A17"/>
    <w:rsid w:val="000B11E9"/>
    <w:rsid w:val="000B1D95"/>
    <w:rsid w:val="000B1D98"/>
    <w:rsid w:val="000B1F1D"/>
    <w:rsid w:val="000B21DF"/>
    <w:rsid w:val="000B2280"/>
    <w:rsid w:val="000B27B0"/>
    <w:rsid w:val="000B35D6"/>
    <w:rsid w:val="000B3D0E"/>
    <w:rsid w:val="000B410E"/>
    <w:rsid w:val="000B430C"/>
    <w:rsid w:val="000B4334"/>
    <w:rsid w:val="000B4610"/>
    <w:rsid w:val="000B4684"/>
    <w:rsid w:val="000B4779"/>
    <w:rsid w:val="000B4834"/>
    <w:rsid w:val="000B4E11"/>
    <w:rsid w:val="000B5491"/>
    <w:rsid w:val="000B5C06"/>
    <w:rsid w:val="000B61D2"/>
    <w:rsid w:val="000B6221"/>
    <w:rsid w:val="000B6448"/>
    <w:rsid w:val="000B68A7"/>
    <w:rsid w:val="000B6E40"/>
    <w:rsid w:val="000B6F9C"/>
    <w:rsid w:val="000B76DA"/>
    <w:rsid w:val="000B7FD3"/>
    <w:rsid w:val="000C0570"/>
    <w:rsid w:val="000C0A21"/>
    <w:rsid w:val="000C1618"/>
    <w:rsid w:val="000C179C"/>
    <w:rsid w:val="000C17CF"/>
    <w:rsid w:val="000C1BBA"/>
    <w:rsid w:val="000C2649"/>
    <w:rsid w:val="000C26A7"/>
    <w:rsid w:val="000C2907"/>
    <w:rsid w:val="000C29D4"/>
    <w:rsid w:val="000C2C4F"/>
    <w:rsid w:val="000C2E64"/>
    <w:rsid w:val="000C3095"/>
    <w:rsid w:val="000C329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606D"/>
    <w:rsid w:val="000C6180"/>
    <w:rsid w:val="000C65BC"/>
    <w:rsid w:val="000C6CB7"/>
    <w:rsid w:val="000C7A04"/>
    <w:rsid w:val="000C7C7F"/>
    <w:rsid w:val="000D00E7"/>
    <w:rsid w:val="000D039C"/>
    <w:rsid w:val="000D03EF"/>
    <w:rsid w:val="000D08EF"/>
    <w:rsid w:val="000D0913"/>
    <w:rsid w:val="000D16BF"/>
    <w:rsid w:val="000D18F3"/>
    <w:rsid w:val="000D1AD4"/>
    <w:rsid w:val="000D1FAC"/>
    <w:rsid w:val="000D205E"/>
    <w:rsid w:val="000D28FF"/>
    <w:rsid w:val="000D2EC0"/>
    <w:rsid w:val="000D3510"/>
    <w:rsid w:val="000D3769"/>
    <w:rsid w:val="000D3D28"/>
    <w:rsid w:val="000D436F"/>
    <w:rsid w:val="000D50E4"/>
    <w:rsid w:val="000D556E"/>
    <w:rsid w:val="000D5859"/>
    <w:rsid w:val="000D59C5"/>
    <w:rsid w:val="000D5C60"/>
    <w:rsid w:val="000D621F"/>
    <w:rsid w:val="000D6338"/>
    <w:rsid w:val="000D635D"/>
    <w:rsid w:val="000D6784"/>
    <w:rsid w:val="000D752A"/>
    <w:rsid w:val="000D756E"/>
    <w:rsid w:val="000E0716"/>
    <w:rsid w:val="000E0840"/>
    <w:rsid w:val="000E0AF5"/>
    <w:rsid w:val="000E0BF3"/>
    <w:rsid w:val="000E0C64"/>
    <w:rsid w:val="000E1281"/>
    <w:rsid w:val="000E1820"/>
    <w:rsid w:val="000E1B63"/>
    <w:rsid w:val="000E1CFC"/>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295"/>
    <w:rsid w:val="000F1E4C"/>
    <w:rsid w:val="000F1E82"/>
    <w:rsid w:val="000F2052"/>
    <w:rsid w:val="000F23F1"/>
    <w:rsid w:val="000F2731"/>
    <w:rsid w:val="000F2EFE"/>
    <w:rsid w:val="000F2F96"/>
    <w:rsid w:val="000F3331"/>
    <w:rsid w:val="000F3533"/>
    <w:rsid w:val="000F3781"/>
    <w:rsid w:val="000F3B28"/>
    <w:rsid w:val="000F3D90"/>
    <w:rsid w:val="000F3F37"/>
    <w:rsid w:val="000F47A4"/>
    <w:rsid w:val="000F480F"/>
    <w:rsid w:val="000F4845"/>
    <w:rsid w:val="000F4A6C"/>
    <w:rsid w:val="000F4AB7"/>
    <w:rsid w:val="000F51C8"/>
    <w:rsid w:val="000F524C"/>
    <w:rsid w:val="000F5692"/>
    <w:rsid w:val="000F5E10"/>
    <w:rsid w:val="000F5FCE"/>
    <w:rsid w:val="000F6848"/>
    <w:rsid w:val="000F6C9E"/>
    <w:rsid w:val="000F6F6F"/>
    <w:rsid w:val="000F7093"/>
    <w:rsid w:val="000F713F"/>
    <w:rsid w:val="000F790F"/>
    <w:rsid w:val="000F7CC6"/>
    <w:rsid w:val="000F7FFD"/>
    <w:rsid w:val="00100118"/>
    <w:rsid w:val="00100299"/>
    <w:rsid w:val="001005F2"/>
    <w:rsid w:val="00100D7C"/>
    <w:rsid w:val="00100E58"/>
    <w:rsid w:val="0010112B"/>
    <w:rsid w:val="0010147A"/>
    <w:rsid w:val="00101A76"/>
    <w:rsid w:val="00101FB4"/>
    <w:rsid w:val="00102195"/>
    <w:rsid w:val="001026C8"/>
    <w:rsid w:val="0010334F"/>
    <w:rsid w:val="001038E3"/>
    <w:rsid w:val="00103911"/>
    <w:rsid w:val="00103B70"/>
    <w:rsid w:val="00103CD7"/>
    <w:rsid w:val="00103E59"/>
    <w:rsid w:val="00103F58"/>
    <w:rsid w:val="0010434C"/>
    <w:rsid w:val="00104DC5"/>
    <w:rsid w:val="001051D2"/>
    <w:rsid w:val="001055D7"/>
    <w:rsid w:val="00105AD5"/>
    <w:rsid w:val="00105E53"/>
    <w:rsid w:val="00106BFC"/>
    <w:rsid w:val="00106ED7"/>
    <w:rsid w:val="00107208"/>
    <w:rsid w:val="00107771"/>
    <w:rsid w:val="001077A8"/>
    <w:rsid w:val="00107900"/>
    <w:rsid w:val="00107DAB"/>
    <w:rsid w:val="001102A2"/>
    <w:rsid w:val="00110AC8"/>
    <w:rsid w:val="00110AD8"/>
    <w:rsid w:val="00111345"/>
    <w:rsid w:val="00111A2C"/>
    <w:rsid w:val="00111D4C"/>
    <w:rsid w:val="00111DB3"/>
    <w:rsid w:val="00112145"/>
    <w:rsid w:val="0011224D"/>
    <w:rsid w:val="0011274A"/>
    <w:rsid w:val="00112875"/>
    <w:rsid w:val="00112CE9"/>
    <w:rsid w:val="00112FA3"/>
    <w:rsid w:val="00112FAD"/>
    <w:rsid w:val="001131A0"/>
    <w:rsid w:val="00113510"/>
    <w:rsid w:val="001135A8"/>
    <w:rsid w:val="001136D8"/>
    <w:rsid w:val="00113CC2"/>
    <w:rsid w:val="00114256"/>
    <w:rsid w:val="0011426F"/>
    <w:rsid w:val="00114459"/>
    <w:rsid w:val="0011452E"/>
    <w:rsid w:val="00114583"/>
    <w:rsid w:val="00114759"/>
    <w:rsid w:val="00114D18"/>
    <w:rsid w:val="001152D7"/>
    <w:rsid w:val="00115549"/>
    <w:rsid w:val="0011593C"/>
    <w:rsid w:val="001163F2"/>
    <w:rsid w:val="00116526"/>
    <w:rsid w:val="001165D7"/>
    <w:rsid w:val="00116BB7"/>
    <w:rsid w:val="00116E85"/>
    <w:rsid w:val="00117401"/>
    <w:rsid w:val="001174B7"/>
    <w:rsid w:val="00117B58"/>
    <w:rsid w:val="00117E78"/>
    <w:rsid w:val="0012073E"/>
    <w:rsid w:val="001207F7"/>
    <w:rsid w:val="00120E17"/>
    <w:rsid w:val="00120EF0"/>
    <w:rsid w:val="00120F4B"/>
    <w:rsid w:val="0012126C"/>
    <w:rsid w:val="00121727"/>
    <w:rsid w:val="00121AD5"/>
    <w:rsid w:val="00122036"/>
    <w:rsid w:val="001222FB"/>
    <w:rsid w:val="001224F5"/>
    <w:rsid w:val="00122577"/>
    <w:rsid w:val="001225DF"/>
    <w:rsid w:val="001231FC"/>
    <w:rsid w:val="001232F5"/>
    <w:rsid w:val="00123318"/>
    <w:rsid w:val="0012429F"/>
    <w:rsid w:val="001247CC"/>
    <w:rsid w:val="00124923"/>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27C70"/>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6AB"/>
    <w:rsid w:val="0013388F"/>
    <w:rsid w:val="00133B9D"/>
    <w:rsid w:val="001348EC"/>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535"/>
    <w:rsid w:val="00144732"/>
    <w:rsid w:val="001449F1"/>
    <w:rsid w:val="00144BB3"/>
    <w:rsid w:val="00145212"/>
    <w:rsid w:val="001452A1"/>
    <w:rsid w:val="00145702"/>
    <w:rsid w:val="00145D00"/>
    <w:rsid w:val="00145D36"/>
    <w:rsid w:val="00145FE5"/>
    <w:rsid w:val="00146536"/>
    <w:rsid w:val="00146BC7"/>
    <w:rsid w:val="00146C40"/>
    <w:rsid w:val="001472F5"/>
    <w:rsid w:val="001472F9"/>
    <w:rsid w:val="00147350"/>
    <w:rsid w:val="0014743E"/>
    <w:rsid w:val="0014752D"/>
    <w:rsid w:val="00147563"/>
    <w:rsid w:val="00147D9F"/>
    <w:rsid w:val="0015008D"/>
    <w:rsid w:val="00150528"/>
    <w:rsid w:val="00150E23"/>
    <w:rsid w:val="00150F5E"/>
    <w:rsid w:val="00151442"/>
    <w:rsid w:val="00151513"/>
    <w:rsid w:val="00151AD6"/>
    <w:rsid w:val="00152708"/>
    <w:rsid w:val="001528C3"/>
    <w:rsid w:val="00152EEA"/>
    <w:rsid w:val="00152EFB"/>
    <w:rsid w:val="0015340F"/>
    <w:rsid w:val="00153655"/>
    <w:rsid w:val="00153EE5"/>
    <w:rsid w:val="00154192"/>
    <w:rsid w:val="00154FE1"/>
    <w:rsid w:val="0015597D"/>
    <w:rsid w:val="00155A20"/>
    <w:rsid w:val="00155B20"/>
    <w:rsid w:val="00155B70"/>
    <w:rsid w:val="00155CDE"/>
    <w:rsid w:val="00155D6E"/>
    <w:rsid w:val="00156276"/>
    <w:rsid w:val="0015629C"/>
    <w:rsid w:val="00156896"/>
    <w:rsid w:val="00156CF1"/>
    <w:rsid w:val="0015720F"/>
    <w:rsid w:val="00157860"/>
    <w:rsid w:val="001578EC"/>
    <w:rsid w:val="001579C8"/>
    <w:rsid w:val="00157A1B"/>
    <w:rsid w:val="00157B2C"/>
    <w:rsid w:val="00157CBF"/>
    <w:rsid w:val="00157D45"/>
    <w:rsid w:val="001601CF"/>
    <w:rsid w:val="00160330"/>
    <w:rsid w:val="001618FD"/>
    <w:rsid w:val="001619B0"/>
    <w:rsid w:val="00161BF4"/>
    <w:rsid w:val="00161CF0"/>
    <w:rsid w:val="00161DC9"/>
    <w:rsid w:val="00161F4E"/>
    <w:rsid w:val="00162156"/>
    <w:rsid w:val="00162981"/>
    <w:rsid w:val="00162A10"/>
    <w:rsid w:val="00162A5C"/>
    <w:rsid w:val="00162B31"/>
    <w:rsid w:val="00162BC3"/>
    <w:rsid w:val="001630F0"/>
    <w:rsid w:val="001631FB"/>
    <w:rsid w:val="001638E9"/>
    <w:rsid w:val="00163B60"/>
    <w:rsid w:val="0016419A"/>
    <w:rsid w:val="00164C9D"/>
    <w:rsid w:val="00164F22"/>
    <w:rsid w:val="0016502F"/>
    <w:rsid w:val="00165561"/>
    <w:rsid w:val="0016567F"/>
    <w:rsid w:val="001658FA"/>
    <w:rsid w:val="00165A57"/>
    <w:rsid w:val="0016653B"/>
    <w:rsid w:val="0016682A"/>
    <w:rsid w:val="00166A5A"/>
    <w:rsid w:val="00166F4E"/>
    <w:rsid w:val="00167391"/>
    <w:rsid w:val="00167657"/>
    <w:rsid w:val="001702D5"/>
    <w:rsid w:val="001706A5"/>
    <w:rsid w:val="001706C1"/>
    <w:rsid w:val="00170C56"/>
    <w:rsid w:val="00170CA6"/>
    <w:rsid w:val="00170CDF"/>
    <w:rsid w:val="00170D58"/>
    <w:rsid w:val="00170E47"/>
    <w:rsid w:val="00171759"/>
    <w:rsid w:val="0017185E"/>
    <w:rsid w:val="00171950"/>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428"/>
    <w:rsid w:val="001737E7"/>
    <w:rsid w:val="001743B2"/>
    <w:rsid w:val="001743B7"/>
    <w:rsid w:val="00174538"/>
    <w:rsid w:val="00174785"/>
    <w:rsid w:val="0017493D"/>
    <w:rsid w:val="00174BF8"/>
    <w:rsid w:val="00174E3A"/>
    <w:rsid w:val="001755E1"/>
    <w:rsid w:val="00175B89"/>
    <w:rsid w:val="00175B91"/>
    <w:rsid w:val="00175CC8"/>
    <w:rsid w:val="001762F5"/>
    <w:rsid w:val="001765B8"/>
    <w:rsid w:val="00176811"/>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F9"/>
    <w:rsid w:val="00183CE5"/>
    <w:rsid w:val="00183DE7"/>
    <w:rsid w:val="00183EA6"/>
    <w:rsid w:val="001842AC"/>
    <w:rsid w:val="00184507"/>
    <w:rsid w:val="001846D7"/>
    <w:rsid w:val="00184859"/>
    <w:rsid w:val="0018518B"/>
    <w:rsid w:val="001853DD"/>
    <w:rsid w:val="0018595D"/>
    <w:rsid w:val="00185A4B"/>
    <w:rsid w:val="00185A50"/>
    <w:rsid w:val="0018635A"/>
    <w:rsid w:val="00186513"/>
    <w:rsid w:val="0018678D"/>
    <w:rsid w:val="001869DB"/>
    <w:rsid w:val="00187456"/>
    <w:rsid w:val="001877AC"/>
    <w:rsid w:val="00187982"/>
    <w:rsid w:val="00187A33"/>
    <w:rsid w:val="00187D86"/>
    <w:rsid w:val="0019026A"/>
    <w:rsid w:val="00190930"/>
    <w:rsid w:val="001911A0"/>
    <w:rsid w:val="00191462"/>
    <w:rsid w:val="00191FF4"/>
    <w:rsid w:val="00191FF9"/>
    <w:rsid w:val="00191FFB"/>
    <w:rsid w:val="00192163"/>
    <w:rsid w:val="00192BAF"/>
    <w:rsid w:val="00192CED"/>
    <w:rsid w:val="00192DCD"/>
    <w:rsid w:val="00192E4B"/>
    <w:rsid w:val="00192FC5"/>
    <w:rsid w:val="00193254"/>
    <w:rsid w:val="001932D9"/>
    <w:rsid w:val="00193504"/>
    <w:rsid w:val="001936A2"/>
    <w:rsid w:val="00193A59"/>
    <w:rsid w:val="00193ABA"/>
    <w:rsid w:val="00193F00"/>
    <w:rsid w:val="001941EF"/>
    <w:rsid w:val="001941FE"/>
    <w:rsid w:val="0019426F"/>
    <w:rsid w:val="001945A9"/>
    <w:rsid w:val="001947C7"/>
    <w:rsid w:val="00194842"/>
    <w:rsid w:val="00194961"/>
    <w:rsid w:val="00195331"/>
    <w:rsid w:val="001957E1"/>
    <w:rsid w:val="001958D7"/>
    <w:rsid w:val="00195A65"/>
    <w:rsid w:val="00195C42"/>
    <w:rsid w:val="00196026"/>
    <w:rsid w:val="00196346"/>
    <w:rsid w:val="00196513"/>
    <w:rsid w:val="00196AF5"/>
    <w:rsid w:val="00196BF3"/>
    <w:rsid w:val="00196E26"/>
    <w:rsid w:val="0019706E"/>
    <w:rsid w:val="00197199"/>
    <w:rsid w:val="00197632"/>
    <w:rsid w:val="00197991"/>
    <w:rsid w:val="001A0284"/>
    <w:rsid w:val="001A0576"/>
    <w:rsid w:val="001A0B22"/>
    <w:rsid w:val="001A0B72"/>
    <w:rsid w:val="001A0F2D"/>
    <w:rsid w:val="001A0F7D"/>
    <w:rsid w:val="001A102E"/>
    <w:rsid w:val="001A10B2"/>
    <w:rsid w:val="001A13D7"/>
    <w:rsid w:val="001A1B18"/>
    <w:rsid w:val="001A1D2B"/>
    <w:rsid w:val="001A2303"/>
    <w:rsid w:val="001A254B"/>
    <w:rsid w:val="001A2B58"/>
    <w:rsid w:val="001A3753"/>
    <w:rsid w:val="001A3A7F"/>
    <w:rsid w:val="001A3D8C"/>
    <w:rsid w:val="001A3EF1"/>
    <w:rsid w:val="001A4422"/>
    <w:rsid w:val="001A52FF"/>
    <w:rsid w:val="001A5728"/>
    <w:rsid w:val="001A5786"/>
    <w:rsid w:val="001A5942"/>
    <w:rsid w:val="001A5C13"/>
    <w:rsid w:val="001A6378"/>
    <w:rsid w:val="001A644A"/>
    <w:rsid w:val="001A67C9"/>
    <w:rsid w:val="001A6867"/>
    <w:rsid w:val="001A6A96"/>
    <w:rsid w:val="001A7245"/>
    <w:rsid w:val="001A72F2"/>
    <w:rsid w:val="001A74C3"/>
    <w:rsid w:val="001A7598"/>
    <w:rsid w:val="001A75C2"/>
    <w:rsid w:val="001A7617"/>
    <w:rsid w:val="001A7ADD"/>
    <w:rsid w:val="001A7D48"/>
    <w:rsid w:val="001B0238"/>
    <w:rsid w:val="001B08F0"/>
    <w:rsid w:val="001B09ED"/>
    <w:rsid w:val="001B0B18"/>
    <w:rsid w:val="001B0F0D"/>
    <w:rsid w:val="001B0F2C"/>
    <w:rsid w:val="001B1087"/>
    <w:rsid w:val="001B10EE"/>
    <w:rsid w:val="001B14AD"/>
    <w:rsid w:val="001B174B"/>
    <w:rsid w:val="001B181E"/>
    <w:rsid w:val="001B1C2E"/>
    <w:rsid w:val="001B1EC4"/>
    <w:rsid w:val="001B1FBF"/>
    <w:rsid w:val="001B21A9"/>
    <w:rsid w:val="001B2489"/>
    <w:rsid w:val="001B2566"/>
    <w:rsid w:val="001B26C7"/>
    <w:rsid w:val="001B28A3"/>
    <w:rsid w:val="001B2953"/>
    <w:rsid w:val="001B2ACF"/>
    <w:rsid w:val="001B2AD3"/>
    <w:rsid w:val="001B2B45"/>
    <w:rsid w:val="001B2B48"/>
    <w:rsid w:val="001B3085"/>
    <w:rsid w:val="001B36B2"/>
    <w:rsid w:val="001B42D7"/>
    <w:rsid w:val="001B435C"/>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D4A"/>
    <w:rsid w:val="001C2344"/>
    <w:rsid w:val="001C2367"/>
    <w:rsid w:val="001C2570"/>
    <w:rsid w:val="001C2729"/>
    <w:rsid w:val="001C2BEF"/>
    <w:rsid w:val="001C2D86"/>
    <w:rsid w:val="001C2ED3"/>
    <w:rsid w:val="001C32AF"/>
    <w:rsid w:val="001C3550"/>
    <w:rsid w:val="001C41EC"/>
    <w:rsid w:val="001C4876"/>
    <w:rsid w:val="001C4ECE"/>
    <w:rsid w:val="001C5302"/>
    <w:rsid w:val="001C53BD"/>
    <w:rsid w:val="001C54AF"/>
    <w:rsid w:val="001C5582"/>
    <w:rsid w:val="001C5A5A"/>
    <w:rsid w:val="001C5B0B"/>
    <w:rsid w:val="001C5C7A"/>
    <w:rsid w:val="001C6011"/>
    <w:rsid w:val="001C60CA"/>
    <w:rsid w:val="001C6BB9"/>
    <w:rsid w:val="001C6DE1"/>
    <w:rsid w:val="001C7088"/>
    <w:rsid w:val="001C7293"/>
    <w:rsid w:val="001C734F"/>
    <w:rsid w:val="001C7600"/>
    <w:rsid w:val="001C776B"/>
    <w:rsid w:val="001C7C92"/>
    <w:rsid w:val="001C7D21"/>
    <w:rsid w:val="001C7E6E"/>
    <w:rsid w:val="001D01A9"/>
    <w:rsid w:val="001D0336"/>
    <w:rsid w:val="001D044C"/>
    <w:rsid w:val="001D067E"/>
    <w:rsid w:val="001D0FDA"/>
    <w:rsid w:val="001D12BD"/>
    <w:rsid w:val="001D159B"/>
    <w:rsid w:val="001D1D07"/>
    <w:rsid w:val="001D1E64"/>
    <w:rsid w:val="001D1FC4"/>
    <w:rsid w:val="001D2239"/>
    <w:rsid w:val="001D22A3"/>
    <w:rsid w:val="001D282B"/>
    <w:rsid w:val="001D28CC"/>
    <w:rsid w:val="001D2930"/>
    <w:rsid w:val="001D3099"/>
    <w:rsid w:val="001D30C8"/>
    <w:rsid w:val="001D35EE"/>
    <w:rsid w:val="001D38CA"/>
    <w:rsid w:val="001D3F0D"/>
    <w:rsid w:val="001D41E0"/>
    <w:rsid w:val="001D49C6"/>
    <w:rsid w:val="001D4CCD"/>
    <w:rsid w:val="001D52A3"/>
    <w:rsid w:val="001D57F2"/>
    <w:rsid w:val="001D5A44"/>
    <w:rsid w:val="001D5B61"/>
    <w:rsid w:val="001D606D"/>
    <w:rsid w:val="001D6350"/>
    <w:rsid w:val="001D6462"/>
    <w:rsid w:val="001D69B4"/>
    <w:rsid w:val="001D6C48"/>
    <w:rsid w:val="001D7065"/>
    <w:rsid w:val="001D73E6"/>
    <w:rsid w:val="001D76B1"/>
    <w:rsid w:val="001D784B"/>
    <w:rsid w:val="001E002A"/>
    <w:rsid w:val="001E13D4"/>
    <w:rsid w:val="001E1779"/>
    <w:rsid w:val="001E1AD5"/>
    <w:rsid w:val="001E22C1"/>
    <w:rsid w:val="001E26E6"/>
    <w:rsid w:val="001E2F79"/>
    <w:rsid w:val="001E3001"/>
    <w:rsid w:val="001E3272"/>
    <w:rsid w:val="001E3552"/>
    <w:rsid w:val="001E39E4"/>
    <w:rsid w:val="001E3AB9"/>
    <w:rsid w:val="001E4030"/>
    <w:rsid w:val="001E48D4"/>
    <w:rsid w:val="001E4CD0"/>
    <w:rsid w:val="001E4ECA"/>
    <w:rsid w:val="001E514D"/>
    <w:rsid w:val="001E5211"/>
    <w:rsid w:val="001E548A"/>
    <w:rsid w:val="001E56A1"/>
    <w:rsid w:val="001E59C8"/>
    <w:rsid w:val="001E5CE9"/>
    <w:rsid w:val="001E6564"/>
    <w:rsid w:val="001E6672"/>
    <w:rsid w:val="001E67C8"/>
    <w:rsid w:val="001E6CF7"/>
    <w:rsid w:val="001E6F02"/>
    <w:rsid w:val="001E6F4F"/>
    <w:rsid w:val="001E7099"/>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1D8"/>
    <w:rsid w:val="001F23DC"/>
    <w:rsid w:val="001F2485"/>
    <w:rsid w:val="001F2567"/>
    <w:rsid w:val="001F2576"/>
    <w:rsid w:val="001F2A91"/>
    <w:rsid w:val="001F2CA4"/>
    <w:rsid w:val="001F2DFB"/>
    <w:rsid w:val="001F3154"/>
    <w:rsid w:val="001F31DD"/>
    <w:rsid w:val="001F3D89"/>
    <w:rsid w:val="001F3EB9"/>
    <w:rsid w:val="001F3F6F"/>
    <w:rsid w:val="001F419C"/>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63C"/>
    <w:rsid w:val="002008B5"/>
    <w:rsid w:val="00200A59"/>
    <w:rsid w:val="002011DB"/>
    <w:rsid w:val="00201789"/>
    <w:rsid w:val="00201886"/>
    <w:rsid w:val="002018B4"/>
    <w:rsid w:val="00201B87"/>
    <w:rsid w:val="00201E5E"/>
    <w:rsid w:val="00201F2B"/>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B7"/>
    <w:rsid w:val="00204F71"/>
    <w:rsid w:val="002054BB"/>
    <w:rsid w:val="002054FB"/>
    <w:rsid w:val="00205532"/>
    <w:rsid w:val="00205CB2"/>
    <w:rsid w:val="00206743"/>
    <w:rsid w:val="00206901"/>
    <w:rsid w:val="00206B26"/>
    <w:rsid w:val="00207360"/>
    <w:rsid w:val="002076A5"/>
    <w:rsid w:val="00207B67"/>
    <w:rsid w:val="00210403"/>
    <w:rsid w:val="00210588"/>
    <w:rsid w:val="00210A3D"/>
    <w:rsid w:val="00210FB5"/>
    <w:rsid w:val="002119A0"/>
    <w:rsid w:val="00211E13"/>
    <w:rsid w:val="002121B9"/>
    <w:rsid w:val="00212261"/>
    <w:rsid w:val="0021246E"/>
    <w:rsid w:val="00212B63"/>
    <w:rsid w:val="00212D2F"/>
    <w:rsid w:val="00213289"/>
    <w:rsid w:val="002133F3"/>
    <w:rsid w:val="002137C5"/>
    <w:rsid w:val="00213B61"/>
    <w:rsid w:val="00213C21"/>
    <w:rsid w:val="00213CB7"/>
    <w:rsid w:val="00213E11"/>
    <w:rsid w:val="002147FF"/>
    <w:rsid w:val="0021494F"/>
    <w:rsid w:val="00214BF8"/>
    <w:rsid w:val="00214D47"/>
    <w:rsid w:val="00214E04"/>
    <w:rsid w:val="00214E22"/>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70FF"/>
    <w:rsid w:val="00217840"/>
    <w:rsid w:val="00217940"/>
    <w:rsid w:val="00217980"/>
    <w:rsid w:val="00217D57"/>
    <w:rsid w:val="00217FE8"/>
    <w:rsid w:val="002201B0"/>
    <w:rsid w:val="00220990"/>
    <w:rsid w:val="002211A4"/>
    <w:rsid w:val="00221960"/>
    <w:rsid w:val="00221B68"/>
    <w:rsid w:val="00222736"/>
    <w:rsid w:val="00222782"/>
    <w:rsid w:val="002227D7"/>
    <w:rsid w:val="00222A6E"/>
    <w:rsid w:val="00223228"/>
    <w:rsid w:val="00223288"/>
    <w:rsid w:val="00223426"/>
    <w:rsid w:val="0022372F"/>
    <w:rsid w:val="0022392F"/>
    <w:rsid w:val="002239B6"/>
    <w:rsid w:val="00223C5B"/>
    <w:rsid w:val="00223EBC"/>
    <w:rsid w:val="00224291"/>
    <w:rsid w:val="00224675"/>
    <w:rsid w:val="0022483C"/>
    <w:rsid w:val="00224852"/>
    <w:rsid w:val="00224AA9"/>
    <w:rsid w:val="002251E0"/>
    <w:rsid w:val="002252C8"/>
    <w:rsid w:val="00225397"/>
    <w:rsid w:val="00225B19"/>
    <w:rsid w:val="0022604D"/>
    <w:rsid w:val="0022689C"/>
    <w:rsid w:val="00226947"/>
    <w:rsid w:val="00226C19"/>
    <w:rsid w:val="002275FE"/>
    <w:rsid w:val="00227BED"/>
    <w:rsid w:val="00227F82"/>
    <w:rsid w:val="0023060B"/>
    <w:rsid w:val="0023101E"/>
    <w:rsid w:val="00231024"/>
    <w:rsid w:val="002315FA"/>
    <w:rsid w:val="002319B5"/>
    <w:rsid w:val="00231F74"/>
    <w:rsid w:val="00231F8C"/>
    <w:rsid w:val="002324B5"/>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5B6"/>
    <w:rsid w:val="00237FD8"/>
    <w:rsid w:val="0024029A"/>
    <w:rsid w:val="002403EA"/>
    <w:rsid w:val="00240A6C"/>
    <w:rsid w:val="00240E5C"/>
    <w:rsid w:val="00240FFE"/>
    <w:rsid w:val="00241160"/>
    <w:rsid w:val="00241649"/>
    <w:rsid w:val="002419A8"/>
    <w:rsid w:val="00241B1F"/>
    <w:rsid w:val="00241BB4"/>
    <w:rsid w:val="00241C07"/>
    <w:rsid w:val="00241E39"/>
    <w:rsid w:val="002420CD"/>
    <w:rsid w:val="002422F1"/>
    <w:rsid w:val="002427D4"/>
    <w:rsid w:val="002427E6"/>
    <w:rsid w:val="00242E6B"/>
    <w:rsid w:val="00243313"/>
    <w:rsid w:val="002437A1"/>
    <w:rsid w:val="002437FD"/>
    <w:rsid w:val="0024397E"/>
    <w:rsid w:val="002439DC"/>
    <w:rsid w:val="00243E0F"/>
    <w:rsid w:val="00243E90"/>
    <w:rsid w:val="0024496B"/>
    <w:rsid w:val="00244A9F"/>
    <w:rsid w:val="00244BF9"/>
    <w:rsid w:val="00244C40"/>
    <w:rsid w:val="002450F9"/>
    <w:rsid w:val="00245198"/>
    <w:rsid w:val="00245A34"/>
    <w:rsid w:val="0024630E"/>
    <w:rsid w:val="002468B8"/>
    <w:rsid w:val="00246BC1"/>
    <w:rsid w:val="00247723"/>
    <w:rsid w:val="002477F5"/>
    <w:rsid w:val="00247877"/>
    <w:rsid w:val="00250091"/>
    <w:rsid w:val="002500F7"/>
    <w:rsid w:val="00250792"/>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3B1B"/>
    <w:rsid w:val="002542B8"/>
    <w:rsid w:val="0025434F"/>
    <w:rsid w:val="002544D9"/>
    <w:rsid w:val="00254B6C"/>
    <w:rsid w:val="00254FBC"/>
    <w:rsid w:val="00255D14"/>
    <w:rsid w:val="002568F5"/>
    <w:rsid w:val="002569F3"/>
    <w:rsid w:val="00256A2A"/>
    <w:rsid w:val="00256EE5"/>
    <w:rsid w:val="00256F9C"/>
    <w:rsid w:val="00256FAB"/>
    <w:rsid w:val="00257CE6"/>
    <w:rsid w:val="00257D0A"/>
    <w:rsid w:val="00260AF3"/>
    <w:rsid w:val="00260BA3"/>
    <w:rsid w:val="00261A37"/>
    <w:rsid w:val="00261A89"/>
    <w:rsid w:val="002624BC"/>
    <w:rsid w:val="002633B4"/>
    <w:rsid w:val="00263D22"/>
    <w:rsid w:val="0026403E"/>
    <w:rsid w:val="0026465E"/>
    <w:rsid w:val="00264C84"/>
    <w:rsid w:val="00264E53"/>
    <w:rsid w:val="00264F56"/>
    <w:rsid w:val="0026518C"/>
    <w:rsid w:val="002652CD"/>
    <w:rsid w:val="00265D33"/>
    <w:rsid w:val="00265F71"/>
    <w:rsid w:val="0026670E"/>
    <w:rsid w:val="00266768"/>
    <w:rsid w:val="002667E3"/>
    <w:rsid w:val="00266A39"/>
    <w:rsid w:val="00266B8B"/>
    <w:rsid w:val="00266CBB"/>
    <w:rsid w:val="00266E6C"/>
    <w:rsid w:val="00266F2A"/>
    <w:rsid w:val="00267995"/>
    <w:rsid w:val="00270123"/>
    <w:rsid w:val="00270A21"/>
    <w:rsid w:val="00270A56"/>
    <w:rsid w:val="00270CB2"/>
    <w:rsid w:val="00270E4F"/>
    <w:rsid w:val="00270F6C"/>
    <w:rsid w:val="00271A6E"/>
    <w:rsid w:val="002721F1"/>
    <w:rsid w:val="00272536"/>
    <w:rsid w:val="00272A20"/>
    <w:rsid w:val="00272D47"/>
    <w:rsid w:val="002735F7"/>
    <w:rsid w:val="002738A4"/>
    <w:rsid w:val="00273914"/>
    <w:rsid w:val="0027399A"/>
    <w:rsid w:val="00273AF7"/>
    <w:rsid w:val="00274373"/>
    <w:rsid w:val="00274883"/>
    <w:rsid w:val="00274BCB"/>
    <w:rsid w:val="00274BE0"/>
    <w:rsid w:val="00274D3A"/>
    <w:rsid w:val="00275255"/>
    <w:rsid w:val="00275351"/>
    <w:rsid w:val="00275579"/>
    <w:rsid w:val="00275C98"/>
    <w:rsid w:val="002761E3"/>
    <w:rsid w:val="002766A5"/>
    <w:rsid w:val="002768DF"/>
    <w:rsid w:val="00276916"/>
    <w:rsid w:val="00276C91"/>
    <w:rsid w:val="00276D8A"/>
    <w:rsid w:val="002770D0"/>
    <w:rsid w:val="0027727C"/>
    <w:rsid w:val="0027762B"/>
    <w:rsid w:val="0027787F"/>
    <w:rsid w:val="00277A6C"/>
    <w:rsid w:val="00277B17"/>
    <w:rsid w:val="00277E33"/>
    <w:rsid w:val="0028071D"/>
    <w:rsid w:val="0028077E"/>
    <w:rsid w:val="0028080B"/>
    <w:rsid w:val="00280A5C"/>
    <w:rsid w:val="00280C7A"/>
    <w:rsid w:val="00280D63"/>
    <w:rsid w:val="00280DC1"/>
    <w:rsid w:val="002816C6"/>
    <w:rsid w:val="002823CC"/>
    <w:rsid w:val="00282651"/>
    <w:rsid w:val="002829CE"/>
    <w:rsid w:val="00282B0B"/>
    <w:rsid w:val="0028316F"/>
    <w:rsid w:val="0028333B"/>
    <w:rsid w:val="00283525"/>
    <w:rsid w:val="0028364C"/>
    <w:rsid w:val="00283674"/>
    <w:rsid w:val="00283AD7"/>
    <w:rsid w:val="00284002"/>
    <w:rsid w:val="00284274"/>
    <w:rsid w:val="0028436E"/>
    <w:rsid w:val="002844B3"/>
    <w:rsid w:val="002846E4"/>
    <w:rsid w:val="002849C7"/>
    <w:rsid w:val="00284DD6"/>
    <w:rsid w:val="00284FD1"/>
    <w:rsid w:val="002851FE"/>
    <w:rsid w:val="00285320"/>
    <w:rsid w:val="002853D9"/>
    <w:rsid w:val="00285A47"/>
    <w:rsid w:val="0028634B"/>
    <w:rsid w:val="002866BC"/>
    <w:rsid w:val="00286F65"/>
    <w:rsid w:val="00287B12"/>
    <w:rsid w:val="00290AF1"/>
    <w:rsid w:val="00290C26"/>
    <w:rsid w:val="00291B17"/>
    <w:rsid w:val="00291E72"/>
    <w:rsid w:val="00292163"/>
    <w:rsid w:val="00292339"/>
    <w:rsid w:val="00293187"/>
    <w:rsid w:val="0029318A"/>
    <w:rsid w:val="0029351C"/>
    <w:rsid w:val="00293541"/>
    <w:rsid w:val="00293871"/>
    <w:rsid w:val="00293B0E"/>
    <w:rsid w:val="00293ECC"/>
    <w:rsid w:val="00294CEF"/>
    <w:rsid w:val="00294E06"/>
    <w:rsid w:val="0029509A"/>
    <w:rsid w:val="002958CF"/>
    <w:rsid w:val="00295B5D"/>
    <w:rsid w:val="00295BF6"/>
    <w:rsid w:val="00295D28"/>
    <w:rsid w:val="00296221"/>
    <w:rsid w:val="00296DA3"/>
    <w:rsid w:val="00297526"/>
    <w:rsid w:val="00297A7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424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1046"/>
    <w:rsid w:val="002B132D"/>
    <w:rsid w:val="002B1376"/>
    <w:rsid w:val="002B1394"/>
    <w:rsid w:val="002B19AF"/>
    <w:rsid w:val="002B215C"/>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C4E"/>
    <w:rsid w:val="002B6CC8"/>
    <w:rsid w:val="002B6DF9"/>
    <w:rsid w:val="002B7160"/>
    <w:rsid w:val="002B7646"/>
    <w:rsid w:val="002B7CC1"/>
    <w:rsid w:val="002B7F40"/>
    <w:rsid w:val="002C0228"/>
    <w:rsid w:val="002C0690"/>
    <w:rsid w:val="002C073B"/>
    <w:rsid w:val="002C0BF1"/>
    <w:rsid w:val="002C130A"/>
    <w:rsid w:val="002C147F"/>
    <w:rsid w:val="002C1694"/>
    <w:rsid w:val="002C1B4D"/>
    <w:rsid w:val="002C1BD6"/>
    <w:rsid w:val="002C1E20"/>
    <w:rsid w:val="002C1E42"/>
    <w:rsid w:val="002C242A"/>
    <w:rsid w:val="002C2AEC"/>
    <w:rsid w:val="002C33FB"/>
    <w:rsid w:val="002C34B5"/>
    <w:rsid w:val="002C3511"/>
    <w:rsid w:val="002C3CD8"/>
    <w:rsid w:val="002C4196"/>
    <w:rsid w:val="002C4A55"/>
    <w:rsid w:val="002C4E6D"/>
    <w:rsid w:val="002C55A4"/>
    <w:rsid w:val="002C5626"/>
    <w:rsid w:val="002C5710"/>
    <w:rsid w:val="002C57C7"/>
    <w:rsid w:val="002C57E8"/>
    <w:rsid w:val="002C59BB"/>
    <w:rsid w:val="002C5B40"/>
    <w:rsid w:val="002C5C27"/>
    <w:rsid w:val="002C60B2"/>
    <w:rsid w:val="002C636D"/>
    <w:rsid w:val="002C6EA6"/>
    <w:rsid w:val="002C6F4C"/>
    <w:rsid w:val="002C7688"/>
    <w:rsid w:val="002C7858"/>
    <w:rsid w:val="002C7BFA"/>
    <w:rsid w:val="002C7C47"/>
    <w:rsid w:val="002C7D56"/>
    <w:rsid w:val="002C7E9A"/>
    <w:rsid w:val="002C7EC2"/>
    <w:rsid w:val="002D0251"/>
    <w:rsid w:val="002D13D1"/>
    <w:rsid w:val="002D1824"/>
    <w:rsid w:val="002D1B14"/>
    <w:rsid w:val="002D1F01"/>
    <w:rsid w:val="002D228F"/>
    <w:rsid w:val="002D23B9"/>
    <w:rsid w:val="002D2448"/>
    <w:rsid w:val="002D2A35"/>
    <w:rsid w:val="002D30D5"/>
    <w:rsid w:val="002D3301"/>
    <w:rsid w:val="002D341F"/>
    <w:rsid w:val="002D3A00"/>
    <w:rsid w:val="002D3DFB"/>
    <w:rsid w:val="002D49C9"/>
    <w:rsid w:val="002D5760"/>
    <w:rsid w:val="002D6FDB"/>
    <w:rsid w:val="002D7091"/>
    <w:rsid w:val="002D7262"/>
    <w:rsid w:val="002D7904"/>
    <w:rsid w:val="002D7954"/>
    <w:rsid w:val="002D7EEF"/>
    <w:rsid w:val="002E0464"/>
    <w:rsid w:val="002E0502"/>
    <w:rsid w:val="002E096B"/>
    <w:rsid w:val="002E10D9"/>
    <w:rsid w:val="002E135D"/>
    <w:rsid w:val="002E154D"/>
    <w:rsid w:val="002E15A6"/>
    <w:rsid w:val="002E1641"/>
    <w:rsid w:val="002E164C"/>
    <w:rsid w:val="002E1729"/>
    <w:rsid w:val="002E18AD"/>
    <w:rsid w:val="002E1BBD"/>
    <w:rsid w:val="002E1D3A"/>
    <w:rsid w:val="002E21B5"/>
    <w:rsid w:val="002E22A9"/>
    <w:rsid w:val="002E24F6"/>
    <w:rsid w:val="002E2C0E"/>
    <w:rsid w:val="002E2DB9"/>
    <w:rsid w:val="002E3024"/>
    <w:rsid w:val="002E3072"/>
    <w:rsid w:val="002E3127"/>
    <w:rsid w:val="002E3425"/>
    <w:rsid w:val="002E3565"/>
    <w:rsid w:val="002E37BD"/>
    <w:rsid w:val="002E3ABB"/>
    <w:rsid w:val="002E4263"/>
    <w:rsid w:val="002E42C7"/>
    <w:rsid w:val="002E44B1"/>
    <w:rsid w:val="002E46E5"/>
    <w:rsid w:val="002E4B52"/>
    <w:rsid w:val="002E4FCC"/>
    <w:rsid w:val="002E5878"/>
    <w:rsid w:val="002E593D"/>
    <w:rsid w:val="002E5B21"/>
    <w:rsid w:val="002E5E02"/>
    <w:rsid w:val="002E68CC"/>
    <w:rsid w:val="002E6A5E"/>
    <w:rsid w:val="002E6BE6"/>
    <w:rsid w:val="002E6BEE"/>
    <w:rsid w:val="002E6F59"/>
    <w:rsid w:val="002E7126"/>
    <w:rsid w:val="002E72EB"/>
    <w:rsid w:val="002E746C"/>
    <w:rsid w:val="002E7824"/>
    <w:rsid w:val="002E7B04"/>
    <w:rsid w:val="002F000A"/>
    <w:rsid w:val="002F028D"/>
    <w:rsid w:val="002F0541"/>
    <w:rsid w:val="002F05B0"/>
    <w:rsid w:val="002F064D"/>
    <w:rsid w:val="002F07CA"/>
    <w:rsid w:val="002F095A"/>
    <w:rsid w:val="002F0A0E"/>
    <w:rsid w:val="002F13F5"/>
    <w:rsid w:val="002F159B"/>
    <w:rsid w:val="002F1646"/>
    <w:rsid w:val="002F1CA2"/>
    <w:rsid w:val="002F1CE4"/>
    <w:rsid w:val="002F1CFC"/>
    <w:rsid w:val="002F1F90"/>
    <w:rsid w:val="002F2A44"/>
    <w:rsid w:val="002F317C"/>
    <w:rsid w:val="002F36C0"/>
    <w:rsid w:val="002F3A02"/>
    <w:rsid w:val="002F3EEA"/>
    <w:rsid w:val="002F42BE"/>
    <w:rsid w:val="002F459E"/>
    <w:rsid w:val="002F480E"/>
    <w:rsid w:val="002F4A9D"/>
    <w:rsid w:val="002F4D91"/>
    <w:rsid w:val="002F4EA1"/>
    <w:rsid w:val="002F52B9"/>
    <w:rsid w:val="002F56BA"/>
    <w:rsid w:val="002F645C"/>
    <w:rsid w:val="002F655B"/>
    <w:rsid w:val="002F6574"/>
    <w:rsid w:val="002F6D09"/>
    <w:rsid w:val="002F6F7B"/>
    <w:rsid w:val="002F6FF5"/>
    <w:rsid w:val="002F749A"/>
    <w:rsid w:val="002F787E"/>
    <w:rsid w:val="002F7E43"/>
    <w:rsid w:val="00300065"/>
    <w:rsid w:val="00300440"/>
    <w:rsid w:val="0030084A"/>
    <w:rsid w:val="00300D30"/>
    <w:rsid w:val="00300F5E"/>
    <w:rsid w:val="003016DF"/>
    <w:rsid w:val="003019C7"/>
    <w:rsid w:val="00301AB6"/>
    <w:rsid w:val="0030207B"/>
    <w:rsid w:val="00302472"/>
    <w:rsid w:val="00302619"/>
    <w:rsid w:val="003029BB"/>
    <w:rsid w:val="00302AE0"/>
    <w:rsid w:val="00302F08"/>
    <w:rsid w:val="00303958"/>
    <w:rsid w:val="00303B10"/>
    <w:rsid w:val="00303D74"/>
    <w:rsid w:val="00303F16"/>
    <w:rsid w:val="00303FA0"/>
    <w:rsid w:val="003040CA"/>
    <w:rsid w:val="0030451B"/>
    <w:rsid w:val="00304552"/>
    <w:rsid w:val="00304A9E"/>
    <w:rsid w:val="00304C2B"/>
    <w:rsid w:val="00304C7B"/>
    <w:rsid w:val="00304E54"/>
    <w:rsid w:val="003053EA"/>
    <w:rsid w:val="00305604"/>
    <w:rsid w:val="0030575B"/>
    <w:rsid w:val="00305A13"/>
    <w:rsid w:val="00305CE9"/>
    <w:rsid w:val="00305F23"/>
    <w:rsid w:val="00305F46"/>
    <w:rsid w:val="00306192"/>
    <w:rsid w:val="003066B3"/>
    <w:rsid w:val="003067A9"/>
    <w:rsid w:val="00306A4C"/>
    <w:rsid w:val="00306DDE"/>
    <w:rsid w:val="00307B80"/>
    <w:rsid w:val="00307CEA"/>
    <w:rsid w:val="00310009"/>
    <w:rsid w:val="0031009A"/>
    <w:rsid w:val="00310806"/>
    <w:rsid w:val="00310BF3"/>
    <w:rsid w:val="00310EAA"/>
    <w:rsid w:val="003115E3"/>
    <w:rsid w:val="003117EA"/>
    <w:rsid w:val="003130BF"/>
    <w:rsid w:val="003131A4"/>
    <w:rsid w:val="003131E3"/>
    <w:rsid w:val="003134C2"/>
    <w:rsid w:val="00313505"/>
    <w:rsid w:val="00313755"/>
    <w:rsid w:val="0031395F"/>
    <w:rsid w:val="00313A16"/>
    <w:rsid w:val="00313E7E"/>
    <w:rsid w:val="00314059"/>
    <w:rsid w:val="00314C4E"/>
    <w:rsid w:val="00314FA5"/>
    <w:rsid w:val="00315129"/>
    <w:rsid w:val="003152E6"/>
    <w:rsid w:val="0031556B"/>
    <w:rsid w:val="00315635"/>
    <w:rsid w:val="003156E0"/>
    <w:rsid w:val="003157C3"/>
    <w:rsid w:val="003158F0"/>
    <w:rsid w:val="00315A5F"/>
    <w:rsid w:val="00315C27"/>
    <w:rsid w:val="00316011"/>
    <w:rsid w:val="0031620E"/>
    <w:rsid w:val="00316234"/>
    <w:rsid w:val="003167FE"/>
    <w:rsid w:val="00316C93"/>
    <w:rsid w:val="00316D24"/>
    <w:rsid w:val="00317148"/>
    <w:rsid w:val="00317D28"/>
    <w:rsid w:val="00317E23"/>
    <w:rsid w:val="00317FC8"/>
    <w:rsid w:val="00320379"/>
    <w:rsid w:val="00320A37"/>
    <w:rsid w:val="00320E76"/>
    <w:rsid w:val="003210A6"/>
    <w:rsid w:val="003210EC"/>
    <w:rsid w:val="0032120A"/>
    <w:rsid w:val="00321CED"/>
    <w:rsid w:val="00322201"/>
    <w:rsid w:val="00322A53"/>
    <w:rsid w:val="00322E10"/>
    <w:rsid w:val="00322F3F"/>
    <w:rsid w:val="003234D5"/>
    <w:rsid w:val="0032352F"/>
    <w:rsid w:val="003236D8"/>
    <w:rsid w:val="00323B70"/>
    <w:rsid w:val="00323E67"/>
    <w:rsid w:val="00323E92"/>
    <w:rsid w:val="00324313"/>
    <w:rsid w:val="0032483B"/>
    <w:rsid w:val="003250AA"/>
    <w:rsid w:val="003258B9"/>
    <w:rsid w:val="00325BB1"/>
    <w:rsid w:val="0032602B"/>
    <w:rsid w:val="0032628A"/>
    <w:rsid w:val="00326730"/>
    <w:rsid w:val="003268DC"/>
    <w:rsid w:val="00326B54"/>
    <w:rsid w:val="00326E56"/>
    <w:rsid w:val="00326E7F"/>
    <w:rsid w:val="0032756C"/>
    <w:rsid w:val="003303F8"/>
    <w:rsid w:val="0033053B"/>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068"/>
    <w:rsid w:val="0033417F"/>
    <w:rsid w:val="003348EE"/>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7AB"/>
    <w:rsid w:val="00341B94"/>
    <w:rsid w:val="00342031"/>
    <w:rsid w:val="003422EA"/>
    <w:rsid w:val="0034238D"/>
    <w:rsid w:val="0034268D"/>
    <w:rsid w:val="00342A77"/>
    <w:rsid w:val="00342FC3"/>
    <w:rsid w:val="00342FE6"/>
    <w:rsid w:val="00343616"/>
    <w:rsid w:val="00343BF8"/>
    <w:rsid w:val="00343EB8"/>
    <w:rsid w:val="003444BF"/>
    <w:rsid w:val="0034465D"/>
    <w:rsid w:val="0034504C"/>
    <w:rsid w:val="0034528E"/>
    <w:rsid w:val="00345A7B"/>
    <w:rsid w:val="00345C0B"/>
    <w:rsid w:val="003461DC"/>
    <w:rsid w:val="0034646A"/>
    <w:rsid w:val="003464D5"/>
    <w:rsid w:val="0034661F"/>
    <w:rsid w:val="00346D5B"/>
    <w:rsid w:val="00346F75"/>
    <w:rsid w:val="003470B8"/>
    <w:rsid w:val="0034778C"/>
    <w:rsid w:val="00347899"/>
    <w:rsid w:val="003478A9"/>
    <w:rsid w:val="003502E9"/>
    <w:rsid w:val="0035032A"/>
    <w:rsid w:val="00350581"/>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8DD"/>
    <w:rsid w:val="00354964"/>
    <w:rsid w:val="00354AC5"/>
    <w:rsid w:val="00355828"/>
    <w:rsid w:val="003558BC"/>
    <w:rsid w:val="00355DA9"/>
    <w:rsid w:val="00356062"/>
    <w:rsid w:val="003560C9"/>
    <w:rsid w:val="0035621E"/>
    <w:rsid w:val="00356758"/>
    <w:rsid w:val="0035692B"/>
    <w:rsid w:val="00357CFB"/>
    <w:rsid w:val="00357D7F"/>
    <w:rsid w:val="003600DB"/>
    <w:rsid w:val="003607A0"/>
    <w:rsid w:val="00360EC7"/>
    <w:rsid w:val="00361798"/>
    <w:rsid w:val="0036179C"/>
    <w:rsid w:val="003618A2"/>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63D5"/>
    <w:rsid w:val="0036646E"/>
    <w:rsid w:val="00366478"/>
    <w:rsid w:val="00366684"/>
    <w:rsid w:val="00366AC3"/>
    <w:rsid w:val="00366C20"/>
    <w:rsid w:val="00367778"/>
    <w:rsid w:val="00367A35"/>
    <w:rsid w:val="00367D2A"/>
    <w:rsid w:val="00367E1D"/>
    <w:rsid w:val="00367E58"/>
    <w:rsid w:val="003704AF"/>
    <w:rsid w:val="00370841"/>
    <w:rsid w:val="00370DEF"/>
    <w:rsid w:val="00371460"/>
    <w:rsid w:val="003715CE"/>
    <w:rsid w:val="003715FC"/>
    <w:rsid w:val="00371E17"/>
    <w:rsid w:val="00372431"/>
    <w:rsid w:val="003726AE"/>
    <w:rsid w:val="00372950"/>
    <w:rsid w:val="00372DDA"/>
    <w:rsid w:val="003733C1"/>
    <w:rsid w:val="00373744"/>
    <w:rsid w:val="003740A7"/>
    <w:rsid w:val="003742AB"/>
    <w:rsid w:val="00374521"/>
    <w:rsid w:val="00374947"/>
    <w:rsid w:val="00374C64"/>
    <w:rsid w:val="0037551C"/>
    <w:rsid w:val="00375B8B"/>
    <w:rsid w:val="003764BC"/>
    <w:rsid w:val="00376619"/>
    <w:rsid w:val="00376A35"/>
    <w:rsid w:val="00376E16"/>
    <w:rsid w:val="00377034"/>
    <w:rsid w:val="0037749C"/>
    <w:rsid w:val="003777A4"/>
    <w:rsid w:val="00377940"/>
    <w:rsid w:val="00380397"/>
    <w:rsid w:val="003803E1"/>
    <w:rsid w:val="0038090A"/>
    <w:rsid w:val="00381539"/>
    <w:rsid w:val="0038192D"/>
    <w:rsid w:val="00381B19"/>
    <w:rsid w:val="00381F48"/>
    <w:rsid w:val="00381FDB"/>
    <w:rsid w:val="003820AF"/>
    <w:rsid w:val="003826A1"/>
    <w:rsid w:val="00382D18"/>
    <w:rsid w:val="00383082"/>
    <w:rsid w:val="00383296"/>
    <w:rsid w:val="003836D9"/>
    <w:rsid w:val="0038370F"/>
    <w:rsid w:val="003837C1"/>
    <w:rsid w:val="00383A87"/>
    <w:rsid w:val="00383B12"/>
    <w:rsid w:val="00383D81"/>
    <w:rsid w:val="00384133"/>
    <w:rsid w:val="00384A12"/>
    <w:rsid w:val="00385A19"/>
    <w:rsid w:val="00385ADB"/>
    <w:rsid w:val="0038604D"/>
    <w:rsid w:val="00386072"/>
    <w:rsid w:val="003864C5"/>
    <w:rsid w:val="0038658D"/>
    <w:rsid w:val="003867F7"/>
    <w:rsid w:val="00386A90"/>
    <w:rsid w:val="00386AD9"/>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1212"/>
    <w:rsid w:val="0039134A"/>
    <w:rsid w:val="003913DC"/>
    <w:rsid w:val="0039170C"/>
    <w:rsid w:val="0039199F"/>
    <w:rsid w:val="00391A00"/>
    <w:rsid w:val="00391AB6"/>
    <w:rsid w:val="00391D51"/>
    <w:rsid w:val="0039282A"/>
    <w:rsid w:val="00392B21"/>
    <w:rsid w:val="00393440"/>
    <w:rsid w:val="003937C5"/>
    <w:rsid w:val="00393B9D"/>
    <w:rsid w:val="003943DF"/>
    <w:rsid w:val="00394A8D"/>
    <w:rsid w:val="00394E07"/>
    <w:rsid w:val="0039505C"/>
    <w:rsid w:val="00395556"/>
    <w:rsid w:val="00395D86"/>
    <w:rsid w:val="00395F2E"/>
    <w:rsid w:val="003960A2"/>
    <w:rsid w:val="003961C0"/>
    <w:rsid w:val="003962F2"/>
    <w:rsid w:val="003966BE"/>
    <w:rsid w:val="00396E7C"/>
    <w:rsid w:val="00396F87"/>
    <w:rsid w:val="003972AC"/>
    <w:rsid w:val="00397A76"/>
    <w:rsid w:val="00397DA8"/>
    <w:rsid w:val="00397E3D"/>
    <w:rsid w:val="003A12D3"/>
    <w:rsid w:val="003A182D"/>
    <w:rsid w:val="003A19B7"/>
    <w:rsid w:val="003A1E6B"/>
    <w:rsid w:val="003A2108"/>
    <w:rsid w:val="003A2E14"/>
    <w:rsid w:val="003A309A"/>
    <w:rsid w:val="003A3778"/>
    <w:rsid w:val="003A407A"/>
    <w:rsid w:val="003A4158"/>
    <w:rsid w:val="003A424A"/>
    <w:rsid w:val="003A4B02"/>
    <w:rsid w:val="003A504F"/>
    <w:rsid w:val="003A54A3"/>
    <w:rsid w:val="003A5FA9"/>
    <w:rsid w:val="003A61BD"/>
    <w:rsid w:val="003A62C1"/>
    <w:rsid w:val="003A686F"/>
    <w:rsid w:val="003A68B0"/>
    <w:rsid w:val="003A69F8"/>
    <w:rsid w:val="003A6A5A"/>
    <w:rsid w:val="003A6F72"/>
    <w:rsid w:val="003A778F"/>
    <w:rsid w:val="003B0411"/>
    <w:rsid w:val="003B07AF"/>
    <w:rsid w:val="003B083E"/>
    <w:rsid w:val="003B0AB0"/>
    <w:rsid w:val="003B0E52"/>
    <w:rsid w:val="003B103E"/>
    <w:rsid w:val="003B10D1"/>
    <w:rsid w:val="003B15EA"/>
    <w:rsid w:val="003B1869"/>
    <w:rsid w:val="003B1A4A"/>
    <w:rsid w:val="003B1E9B"/>
    <w:rsid w:val="003B22D8"/>
    <w:rsid w:val="003B22E5"/>
    <w:rsid w:val="003B2A42"/>
    <w:rsid w:val="003B2B53"/>
    <w:rsid w:val="003B2E4A"/>
    <w:rsid w:val="003B35D5"/>
    <w:rsid w:val="003B35E8"/>
    <w:rsid w:val="003B3DBD"/>
    <w:rsid w:val="003B3E2D"/>
    <w:rsid w:val="003B3FB4"/>
    <w:rsid w:val="003B404D"/>
    <w:rsid w:val="003B49E6"/>
    <w:rsid w:val="003B4CB8"/>
    <w:rsid w:val="003B526A"/>
    <w:rsid w:val="003B53B8"/>
    <w:rsid w:val="003B5840"/>
    <w:rsid w:val="003B5AD5"/>
    <w:rsid w:val="003B5E45"/>
    <w:rsid w:val="003B64EB"/>
    <w:rsid w:val="003B67BD"/>
    <w:rsid w:val="003B6814"/>
    <w:rsid w:val="003B7158"/>
    <w:rsid w:val="003B7704"/>
    <w:rsid w:val="003B785F"/>
    <w:rsid w:val="003B790B"/>
    <w:rsid w:val="003B7C22"/>
    <w:rsid w:val="003C02E1"/>
    <w:rsid w:val="003C0478"/>
    <w:rsid w:val="003C0509"/>
    <w:rsid w:val="003C05E5"/>
    <w:rsid w:val="003C0AC3"/>
    <w:rsid w:val="003C0DEC"/>
    <w:rsid w:val="003C11E9"/>
    <w:rsid w:val="003C137F"/>
    <w:rsid w:val="003C13C3"/>
    <w:rsid w:val="003C15BD"/>
    <w:rsid w:val="003C17BA"/>
    <w:rsid w:val="003C19F6"/>
    <w:rsid w:val="003C21AB"/>
    <w:rsid w:val="003C237B"/>
    <w:rsid w:val="003C2556"/>
    <w:rsid w:val="003C26D9"/>
    <w:rsid w:val="003C2AA0"/>
    <w:rsid w:val="003C2B19"/>
    <w:rsid w:val="003C2C83"/>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7B"/>
    <w:rsid w:val="003C5D95"/>
    <w:rsid w:val="003C6133"/>
    <w:rsid w:val="003C6D98"/>
    <w:rsid w:val="003C700A"/>
    <w:rsid w:val="003C70FF"/>
    <w:rsid w:val="003D03B6"/>
    <w:rsid w:val="003D0441"/>
    <w:rsid w:val="003D0A8A"/>
    <w:rsid w:val="003D0B3A"/>
    <w:rsid w:val="003D0B72"/>
    <w:rsid w:val="003D0C60"/>
    <w:rsid w:val="003D0CD0"/>
    <w:rsid w:val="003D28BC"/>
    <w:rsid w:val="003D2976"/>
    <w:rsid w:val="003D2B67"/>
    <w:rsid w:val="003D2CB4"/>
    <w:rsid w:val="003D2E1C"/>
    <w:rsid w:val="003D30B1"/>
    <w:rsid w:val="003D365D"/>
    <w:rsid w:val="003D3AB6"/>
    <w:rsid w:val="003D3D9E"/>
    <w:rsid w:val="003D3E1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D6E"/>
    <w:rsid w:val="003D7FE3"/>
    <w:rsid w:val="003E0363"/>
    <w:rsid w:val="003E0819"/>
    <w:rsid w:val="003E0F59"/>
    <w:rsid w:val="003E118B"/>
    <w:rsid w:val="003E12CD"/>
    <w:rsid w:val="003E159D"/>
    <w:rsid w:val="003E160A"/>
    <w:rsid w:val="003E1A13"/>
    <w:rsid w:val="003E1C91"/>
    <w:rsid w:val="003E1E57"/>
    <w:rsid w:val="003E21AE"/>
    <w:rsid w:val="003E2505"/>
    <w:rsid w:val="003E27C0"/>
    <w:rsid w:val="003E2C06"/>
    <w:rsid w:val="003E38E2"/>
    <w:rsid w:val="003E3D7B"/>
    <w:rsid w:val="003E4A9C"/>
    <w:rsid w:val="003E4FA0"/>
    <w:rsid w:val="003E5E52"/>
    <w:rsid w:val="003E64AB"/>
    <w:rsid w:val="003E673A"/>
    <w:rsid w:val="003E6911"/>
    <w:rsid w:val="003E6A3D"/>
    <w:rsid w:val="003E6AF8"/>
    <w:rsid w:val="003E6B96"/>
    <w:rsid w:val="003E721C"/>
    <w:rsid w:val="003E76ED"/>
    <w:rsid w:val="003E779A"/>
    <w:rsid w:val="003E7FF0"/>
    <w:rsid w:val="003F03C8"/>
    <w:rsid w:val="003F0452"/>
    <w:rsid w:val="003F0A5C"/>
    <w:rsid w:val="003F0A67"/>
    <w:rsid w:val="003F1056"/>
    <w:rsid w:val="003F1485"/>
    <w:rsid w:val="003F15FE"/>
    <w:rsid w:val="003F21ED"/>
    <w:rsid w:val="003F2650"/>
    <w:rsid w:val="003F33D9"/>
    <w:rsid w:val="003F34B8"/>
    <w:rsid w:val="003F3A03"/>
    <w:rsid w:val="003F3FFD"/>
    <w:rsid w:val="003F4158"/>
    <w:rsid w:val="003F4935"/>
    <w:rsid w:val="003F5141"/>
    <w:rsid w:val="003F54BD"/>
    <w:rsid w:val="003F6B22"/>
    <w:rsid w:val="003F6DCC"/>
    <w:rsid w:val="003F6F89"/>
    <w:rsid w:val="003F7A98"/>
    <w:rsid w:val="004001E0"/>
    <w:rsid w:val="0040025D"/>
    <w:rsid w:val="00400674"/>
    <w:rsid w:val="00400CD7"/>
    <w:rsid w:val="00400CDE"/>
    <w:rsid w:val="0040146A"/>
    <w:rsid w:val="0040158A"/>
    <w:rsid w:val="0040158F"/>
    <w:rsid w:val="004019AB"/>
    <w:rsid w:val="004023A2"/>
    <w:rsid w:val="004023E5"/>
    <w:rsid w:val="00402671"/>
    <w:rsid w:val="00403124"/>
    <w:rsid w:val="00403457"/>
    <w:rsid w:val="00403ACC"/>
    <w:rsid w:val="00403D11"/>
    <w:rsid w:val="00404457"/>
    <w:rsid w:val="0040469F"/>
    <w:rsid w:val="004048D9"/>
    <w:rsid w:val="00404945"/>
    <w:rsid w:val="00404B0C"/>
    <w:rsid w:val="00404C27"/>
    <w:rsid w:val="0040506D"/>
    <w:rsid w:val="0040571A"/>
    <w:rsid w:val="0040578D"/>
    <w:rsid w:val="0040591E"/>
    <w:rsid w:val="00405BEE"/>
    <w:rsid w:val="00405DC5"/>
    <w:rsid w:val="00406085"/>
    <w:rsid w:val="004065D5"/>
    <w:rsid w:val="00406727"/>
    <w:rsid w:val="004067AF"/>
    <w:rsid w:val="00406B0B"/>
    <w:rsid w:val="00406C9F"/>
    <w:rsid w:val="004074A9"/>
    <w:rsid w:val="004077D3"/>
    <w:rsid w:val="00407C8E"/>
    <w:rsid w:val="00407DF7"/>
    <w:rsid w:val="00410203"/>
    <w:rsid w:val="004105FC"/>
    <w:rsid w:val="0041070B"/>
    <w:rsid w:val="00410775"/>
    <w:rsid w:val="00410BCF"/>
    <w:rsid w:val="00410BDB"/>
    <w:rsid w:val="00410E7D"/>
    <w:rsid w:val="00411249"/>
    <w:rsid w:val="00411403"/>
    <w:rsid w:val="00411467"/>
    <w:rsid w:val="004116CC"/>
    <w:rsid w:val="00411944"/>
    <w:rsid w:val="00411CE6"/>
    <w:rsid w:val="00411D42"/>
    <w:rsid w:val="00412888"/>
    <w:rsid w:val="004129E1"/>
    <w:rsid w:val="00412D69"/>
    <w:rsid w:val="00412FD1"/>
    <w:rsid w:val="00413392"/>
    <w:rsid w:val="00413565"/>
    <w:rsid w:val="00413927"/>
    <w:rsid w:val="00413CBC"/>
    <w:rsid w:val="00414332"/>
    <w:rsid w:val="004143BA"/>
    <w:rsid w:val="004148A5"/>
    <w:rsid w:val="00414A37"/>
    <w:rsid w:val="0041516E"/>
    <w:rsid w:val="004156D7"/>
    <w:rsid w:val="0041590F"/>
    <w:rsid w:val="00415BDC"/>
    <w:rsid w:val="00415F8E"/>
    <w:rsid w:val="0041622B"/>
    <w:rsid w:val="00416257"/>
    <w:rsid w:val="0041643C"/>
    <w:rsid w:val="00416DE6"/>
    <w:rsid w:val="00416EE2"/>
    <w:rsid w:val="0041733B"/>
    <w:rsid w:val="00417411"/>
    <w:rsid w:val="00417814"/>
    <w:rsid w:val="00420273"/>
    <w:rsid w:val="00420675"/>
    <w:rsid w:val="00420862"/>
    <w:rsid w:val="00420B78"/>
    <w:rsid w:val="00420BB7"/>
    <w:rsid w:val="004219A4"/>
    <w:rsid w:val="0042275D"/>
    <w:rsid w:val="00422996"/>
    <w:rsid w:val="004229FE"/>
    <w:rsid w:val="00422D5F"/>
    <w:rsid w:val="004235C3"/>
    <w:rsid w:val="00423DD6"/>
    <w:rsid w:val="0042441B"/>
    <w:rsid w:val="004246B9"/>
    <w:rsid w:val="00424896"/>
    <w:rsid w:val="0042492B"/>
    <w:rsid w:val="00424CE9"/>
    <w:rsid w:val="00424CFF"/>
    <w:rsid w:val="00425483"/>
    <w:rsid w:val="0042552A"/>
    <w:rsid w:val="00425852"/>
    <w:rsid w:val="0042613F"/>
    <w:rsid w:val="00426883"/>
    <w:rsid w:val="00426D50"/>
    <w:rsid w:val="00426E99"/>
    <w:rsid w:val="00426F74"/>
    <w:rsid w:val="00427131"/>
    <w:rsid w:val="00427377"/>
    <w:rsid w:val="00427C0C"/>
    <w:rsid w:val="00427D21"/>
    <w:rsid w:val="00430216"/>
    <w:rsid w:val="00430669"/>
    <w:rsid w:val="004306BA"/>
    <w:rsid w:val="00430AE4"/>
    <w:rsid w:val="00430D2A"/>
    <w:rsid w:val="00430FD9"/>
    <w:rsid w:val="00431031"/>
    <w:rsid w:val="00431594"/>
    <w:rsid w:val="004316DF"/>
    <w:rsid w:val="004318B3"/>
    <w:rsid w:val="00431A0D"/>
    <w:rsid w:val="00432052"/>
    <w:rsid w:val="0043217C"/>
    <w:rsid w:val="0043220E"/>
    <w:rsid w:val="0043278C"/>
    <w:rsid w:val="00432902"/>
    <w:rsid w:val="004329A8"/>
    <w:rsid w:val="00432E79"/>
    <w:rsid w:val="00432F24"/>
    <w:rsid w:val="00432F80"/>
    <w:rsid w:val="0043332F"/>
    <w:rsid w:val="004334ED"/>
    <w:rsid w:val="004339B7"/>
    <w:rsid w:val="0043406D"/>
    <w:rsid w:val="00434633"/>
    <w:rsid w:val="00434CA8"/>
    <w:rsid w:val="00434DE0"/>
    <w:rsid w:val="00434FFE"/>
    <w:rsid w:val="00435764"/>
    <w:rsid w:val="00435B02"/>
    <w:rsid w:val="00435CA8"/>
    <w:rsid w:val="00435F25"/>
    <w:rsid w:val="0043614D"/>
    <w:rsid w:val="00436186"/>
    <w:rsid w:val="0043670D"/>
    <w:rsid w:val="004367F4"/>
    <w:rsid w:val="004368B6"/>
    <w:rsid w:val="00436946"/>
    <w:rsid w:val="00436983"/>
    <w:rsid w:val="00436D85"/>
    <w:rsid w:val="00436FFE"/>
    <w:rsid w:val="00437BD8"/>
    <w:rsid w:val="00437F80"/>
    <w:rsid w:val="00440625"/>
    <w:rsid w:val="00440E31"/>
    <w:rsid w:val="00441624"/>
    <w:rsid w:val="00441E65"/>
    <w:rsid w:val="00442129"/>
    <w:rsid w:val="0044260F"/>
    <w:rsid w:val="00442A99"/>
    <w:rsid w:val="004432C9"/>
    <w:rsid w:val="004438D6"/>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CD"/>
    <w:rsid w:val="00446DED"/>
    <w:rsid w:val="00446EDF"/>
    <w:rsid w:val="00447181"/>
    <w:rsid w:val="004473C3"/>
    <w:rsid w:val="00447888"/>
    <w:rsid w:val="004479BD"/>
    <w:rsid w:val="00447CF1"/>
    <w:rsid w:val="00447EE1"/>
    <w:rsid w:val="00450325"/>
    <w:rsid w:val="004507C1"/>
    <w:rsid w:val="00450883"/>
    <w:rsid w:val="004508C6"/>
    <w:rsid w:val="00450C0D"/>
    <w:rsid w:val="00450CE0"/>
    <w:rsid w:val="0045140F"/>
    <w:rsid w:val="0045180A"/>
    <w:rsid w:val="0045190C"/>
    <w:rsid w:val="004523F8"/>
    <w:rsid w:val="00452828"/>
    <w:rsid w:val="00452B35"/>
    <w:rsid w:val="00453B8A"/>
    <w:rsid w:val="00453CD8"/>
    <w:rsid w:val="00453F94"/>
    <w:rsid w:val="00453F9C"/>
    <w:rsid w:val="0045437C"/>
    <w:rsid w:val="00454727"/>
    <w:rsid w:val="0045484F"/>
    <w:rsid w:val="00454980"/>
    <w:rsid w:val="00454C75"/>
    <w:rsid w:val="00455306"/>
    <w:rsid w:val="00455799"/>
    <w:rsid w:val="004557F1"/>
    <w:rsid w:val="00455DE2"/>
    <w:rsid w:val="00456142"/>
    <w:rsid w:val="004563EF"/>
    <w:rsid w:val="00456788"/>
    <w:rsid w:val="004568E0"/>
    <w:rsid w:val="00456BFD"/>
    <w:rsid w:val="00456C23"/>
    <w:rsid w:val="00456D59"/>
    <w:rsid w:val="00456FB5"/>
    <w:rsid w:val="00457002"/>
    <w:rsid w:val="00457701"/>
    <w:rsid w:val="00457801"/>
    <w:rsid w:val="004578A2"/>
    <w:rsid w:val="00457B6C"/>
    <w:rsid w:val="00457DC6"/>
    <w:rsid w:val="00460859"/>
    <w:rsid w:val="00460B46"/>
    <w:rsid w:val="00460CF6"/>
    <w:rsid w:val="00460DD2"/>
    <w:rsid w:val="00460DED"/>
    <w:rsid w:val="00461926"/>
    <w:rsid w:val="00461CC1"/>
    <w:rsid w:val="0046264E"/>
    <w:rsid w:val="004626A3"/>
    <w:rsid w:val="00462DA7"/>
    <w:rsid w:val="00463A1D"/>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39D"/>
    <w:rsid w:val="004735D7"/>
    <w:rsid w:val="004738B8"/>
    <w:rsid w:val="00473DE9"/>
    <w:rsid w:val="00473E4A"/>
    <w:rsid w:val="00473F06"/>
    <w:rsid w:val="004744D1"/>
    <w:rsid w:val="0047530D"/>
    <w:rsid w:val="0047532B"/>
    <w:rsid w:val="00475A86"/>
    <w:rsid w:val="00475A91"/>
    <w:rsid w:val="00475DAA"/>
    <w:rsid w:val="00475E6F"/>
    <w:rsid w:val="00475F77"/>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500"/>
    <w:rsid w:val="00482738"/>
    <w:rsid w:val="0048277A"/>
    <w:rsid w:val="00482C6C"/>
    <w:rsid w:val="00482DA3"/>
    <w:rsid w:val="004830A1"/>
    <w:rsid w:val="004837EC"/>
    <w:rsid w:val="004838B5"/>
    <w:rsid w:val="00483DA0"/>
    <w:rsid w:val="00483E36"/>
    <w:rsid w:val="004848E8"/>
    <w:rsid w:val="00484D96"/>
    <w:rsid w:val="004859B9"/>
    <w:rsid w:val="00485A8B"/>
    <w:rsid w:val="00485C55"/>
    <w:rsid w:val="0048629D"/>
    <w:rsid w:val="00486553"/>
    <w:rsid w:val="0048688D"/>
    <w:rsid w:val="004868E3"/>
    <w:rsid w:val="004869A0"/>
    <w:rsid w:val="0048746C"/>
    <w:rsid w:val="00487582"/>
    <w:rsid w:val="00487788"/>
    <w:rsid w:val="00490068"/>
    <w:rsid w:val="00490080"/>
    <w:rsid w:val="004902EB"/>
    <w:rsid w:val="00490335"/>
    <w:rsid w:val="00490369"/>
    <w:rsid w:val="00490779"/>
    <w:rsid w:val="004909D7"/>
    <w:rsid w:val="004909DF"/>
    <w:rsid w:val="00490CF4"/>
    <w:rsid w:val="00491277"/>
    <w:rsid w:val="00491753"/>
    <w:rsid w:val="004917B0"/>
    <w:rsid w:val="004917E6"/>
    <w:rsid w:val="00491A7A"/>
    <w:rsid w:val="00492682"/>
    <w:rsid w:val="004928C5"/>
    <w:rsid w:val="00492900"/>
    <w:rsid w:val="00492A35"/>
    <w:rsid w:val="00493590"/>
    <w:rsid w:val="004935A7"/>
    <w:rsid w:val="0049373D"/>
    <w:rsid w:val="0049386E"/>
    <w:rsid w:val="0049388E"/>
    <w:rsid w:val="00493EAC"/>
    <w:rsid w:val="004941DC"/>
    <w:rsid w:val="00495278"/>
    <w:rsid w:val="004952FA"/>
    <w:rsid w:val="00496957"/>
    <w:rsid w:val="00496AD3"/>
    <w:rsid w:val="00497392"/>
    <w:rsid w:val="004973E5"/>
    <w:rsid w:val="00497F10"/>
    <w:rsid w:val="004A04FA"/>
    <w:rsid w:val="004A0708"/>
    <w:rsid w:val="004A0919"/>
    <w:rsid w:val="004A110D"/>
    <w:rsid w:val="004A172F"/>
    <w:rsid w:val="004A1AEB"/>
    <w:rsid w:val="004A1C0C"/>
    <w:rsid w:val="004A1C61"/>
    <w:rsid w:val="004A25A3"/>
    <w:rsid w:val="004A29E0"/>
    <w:rsid w:val="004A2C76"/>
    <w:rsid w:val="004A2F30"/>
    <w:rsid w:val="004A33F7"/>
    <w:rsid w:val="004A3BA5"/>
    <w:rsid w:val="004A3DAE"/>
    <w:rsid w:val="004A3EB5"/>
    <w:rsid w:val="004A472C"/>
    <w:rsid w:val="004A4758"/>
    <w:rsid w:val="004A4C8C"/>
    <w:rsid w:val="004A5199"/>
    <w:rsid w:val="004A522C"/>
    <w:rsid w:val="004A567A"/>
    <w:rsid w:val="004A56D1"/>
    <w:rsid w:val="004A5EF2"/>
    <w:rsid w:val="004A5F17"/>
    <w:rsid w:val="004A5F3B"/>
    <w:rsid w:val="004A60F0"/>
    <w:rsid w:val="004A619D"/>
    <w:rsid w:val="004A6313"/>
    <w:rsid w:val="004A682D"/>
    <w:rsid w:val="004A6B7B"/>
    <w:rsid w:val="004A6D4F"/>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68F"/>
    <w:rsid w:val="004B4B03"/>
    <w:rsid w:val="004B4C90"/>
    <w:rsid w:val="004B4F98"/>
    <w:rsid w:val="004B4FE2"/>
    <w:rsid w:val="004B5215"/>
    <w:rsid w:val="004B522A"/>
    <w:rsid w:val="004B560C"/>
    <w:rsid w:val="004B5B15"/>
    <w:rsid w:val="004B6380"/>
    <w:rsid w:val="004B642C"/>
    <w:rsid w:val="004B6834"/>
    <w:rsid w:val="004B6BD7"/>
    <w:rsid w:val="004B7C02"/>
    <w:rsid w:val="004B7F2A"/>
    <w:rsid w:val="004C0152"/>
    <w:rsid w:val="004C023A"/>
    <w:rsid w:val="004C0AB0"/>
    <w:rsid w:val="004C0C0B"/>
    <w:rsid w:val="004C0D89"/>
    <w:rsid w:val="004C1927"/>
    <w:rsid w:val="004C1B9B"/>
    <w:rsid w:val="004C1BE1"/>
    <w:rsid w:val="004C202F"/>
    <w:rsid w:val="004C20D6"/>
    <w:rsid w:val="004C2333"/>
    <w:rsid w:val="004C2A11"/>
    <w:rsid w:val="004C2B8F"/>
    <w:rsid w:val="004C2CFB"/>
    <w:rsid w:val="004C3311"/>
    <w:rsid w:val="004C34BF"/>
    <w:rsid w:val="004C37D5"/>
    <w:rsid w:val="004C3A7A"/>
    <w:rsid w:val="004C3B26"/>
    <w:rsid w:val="004C3CB0"/>
    <w:rsid w:val="004C3DAE"/>
    <w:rsid w:val="004C3E18"/>
    <w:rsid w:val="004C4000"/>
    <w:rsid w:val="004C430C"/>
    <w:rsid w:val="004C4BC4"/>
    <w:rsid w:val="004C5866"/>
    <w:rsid w:val="004C604F"/>
    <w:rsid w:val="004C6521"/>
    <w:rsid w:val="004C6629"/>
    <w:rsid w:val="004C6A57"/>
    <w:rsid w:val="004C6B41"/>
    <w:rsid w:val="004C74EF"/>
    <w:rsid w:val="004C7733"/>
    <w:rsid w:val="004C7C32"/>
    <w:rsid w:val="004D018C"/>
    <w:rsid w:val="004D044A"/>
    <w:rsid w:val="004D0D22"/>
    <w:rsid w:val="004D0E95"/>
    <w:rsid w:val="004D17C3"/>
    <w:rsid w:val="004D1CED"/>
    <w:rsid w:val="004D1E28"/>
    <w:rsid w:val="004D1F6C"/>
    <w:rsid w:val="004D2502"/>
    <w:rsid w:val="004D2558"/>
    <w:rsid w:val="004D25CA"/>
    <w:rsid w:val="004D2886"/>
    <w:rsid w:val="004D2DAD"/>
    <w:rsid w:val="004D34F7"/>
    <w:rsid w:val="004D37B8"/>
    <w:rsid w:val="004D37D1"/>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EAD"/>
    <w:rsid w:val="004E06EF"/>
    <w:rsid w:val="004E0DF8"/>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1E2"/>
    <w:rsid w:val="004E562B"/>
    <w:rsid w:val="004E58FB"/>
    <w:rsid w:val="004E596E"/>
    <w:rsid w:val="004E59A2"/>
    <w:rsid w:val="004E6040"/>
    <w:rsid w:val="004E64B6"/>
    <w:rsid w:val="004E65CD"/>
    <w:rsid w:val="004E6867"/>
    <w:rsid w:val="004E6A5A"/>
    <w:rsid w:val="004E6B8B"/>
    <w:rsid w:val="004E7CB0"/>
    <w:rsid w:val="004E7DE8"/>
    <w:rsid w:val="004E7F54"/>
    <w:rsid w:val="004E7FB6"/>
    <w:rsid w:val="004F01A2"/>
    <w:rsid w:val="004F0381"/>
    <w:rsid w:val="004F095F"/>
    <w:rsid w:val="004F0A2C"/>
    <w:rsid w:val="004F1335"/>
    <w:rsid w:val="004F16D3"/>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BC4"/>
    <w:rsid w:val="004F733A"/>
    <w:rsid w:val="004F733E"/>
    <w:rsid w:val="004F751B"/>
    <w:rsid w:val="004F7880"/>
    <w:rsid w:val="004F79E6"/>
    <w:rsid w:val="0050010F"/>
    <w:rsid w:val="00500A95"/>
    <w:rsid w:val="00500F56"/>
    <w:rsid w:val="005013D1"/>
    <w:rsid w:val="00501659"/>
    <w:rsid w:val="0050188E"/>
    <w:rsid w:val="005021A2"/>
    <w:rsid w:val="00502351"/>
    <w:rsid w:val="00502668"/>
    <w:rsid w:val="00502C69"/>
    <w:rsid w:val="00502FFB"/>
    <w:rsid w:val="00503179"/>
    <w:rsid w:val="005031F6"/>
    <w:rsid w:val="005033A1"/>
    <w:rsid w:val="00503BFE"/>
    <w:rsid w:val="00504616"/>
    <w:rsid w:val="00504895"/>
    <w:rsid w:val="005049BB"/>
    <w:rsid w:val="00504DE6"/>
    <w:rsid w:val="00504EB4"/>
    <w:rsid w:val="00505225"/>
    <w:rsid w:val="00505333"/>
    <w:rsid w:val="00505466"/>
    <w:rsid w:val="0050570D"/>
    <w:rsid w:val="00505963"/>
    <w:rsid w:val="00505A7A"/>
    <w:rsid w:val="00506286"/>
    <w:rsid w:val="00506460"/>
    <w:rsid w:val="00506C23"/>
    <w:rsid w:val="00506DE1"/>
    <w:rsid w:val="00506E49"/>
    <w:rsid w:val="00506FE0"/>
    <w:rsid w:val="00507960"/>
    <w:rsid w:val="00507998"/>
    <w:rsid w:val="00507A48"/>
    <w:rsid w:val="00507A68"/>
    <w:rsid w:val="00507ED3"/>
    <w:rsid w:val="005109B1"/>
    <w:rsid w:val="00510A5B"/>
    <w:rsid w:val="00511495"/>
    <w:rsid w:val="00511C5D"/>
    <w:rsid w:val="00511E85"/>
    <w:rsid w:val="005121C6"/>
    <w:rsid w:val="00512432"/>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510"/>
    <w:rsid w:val="005157D7"/>
    <w:rsid w:val="005158B8"/>
    <w:rsid w:val="00515B16"/>
    <w:rsid w:val="00515B61"/>
    <w:rsid w:val="00515D0C"/>
    <w:rsid w:val="0051666F"/>
    <w:rsid w:val="00516B00"/>
    <w:rsid w:val="00516C44"/>
    <w:rsid w:val="00516CB2"/>
    <w:rsid w:val="00516E34"/>
    <w:rsid w:val="00517132"/>
    <w:rsid w:val="0051731E"/>
    <w:rsid w:val="005174EF"/>
    <w:rsid w:val="00517DC9"/>
    <w:rsid w:val="00517F51"/>
    <w:rsid w:val="00520170"/>
    <w:rsid w:val="0052039F"/>
    <w:rsid w:val="00520843"/>
    <w:rsid w:val="00520FC3"/>
    <w:rsid w:val="005210E2"/>
    <w:rsid w:val="005211DB"/>
    <w:rsid w:val="00521608"/>
    <w:rsid w:val="005219C0"/>
    <w:rsid w:val="00521BB4"/>
    <w:rsid w:val="00521F7F"/>
    <w:rsid w:val="005220D5"/>
    <w:rsid w:val="00522875"/>
    <w:rsid w:val="00523040"/>
    <w:rsid w:val="00523393"/>
    <w:rsid w:val="00523745"/>
    <w:rsid w:val="00523C08"/>
    <w:rsid w:val="0052471C"/>
    <w:rsid w:val="005248BB"/>
    <w:rsid w:val="00524AC4"/>
    <w:rsid w:val="00524AD4"/>
    <w:rsid w:val="00524DF9"/>
    <w:rsid w:val="00524E8E"/>
    <w:rsid w:val="00524F79"/>
    <w:rsid w:val="00525297"/>
    <w:rsid w:val="0052545E"/>
    <w:rsid w:val="0052549C"/>
    <w:rsid w:val="005254A3"/>
    <w:rsid w:val="00525A72"/>
    <w:rsid w:val="00525ADE"/>
    <w:rsid w:val="00525D52"/>
    <w:rsid w:val="00525DA5"/>
    <w:rsid w:val="005260D5"/>
    <w:rsid w:val="00526AFA"/>
    <w:rsid w:val="00526C91"/>
    <w:rsid w:val="00526F34"/>
    <w:rsid w:val="00526FFC"/>
    <w:rsid w:val="005271C4"/>
    <w:rsid w:val="00527265"/>
    <w:rsid w:val="005279E2"/>
    <w:rsid w:val="00527BF3"/>
    <w:rsid w:val="00527D1D"/>
    <w:rsid w:val="00530318"/>
    <w:rsid w:val="005303FC"/>
    <w:rsid w:val="00530573"/>
    <w:rsid w:val="00530590"/>
    <w:rsid w:val="005305FC"/>
    <w:rsid w:val="00530748"/>
    <w:rsid w:val="00531495"/>
    <w:rsid w:val="005315B2"/>
    <w:rsid w:val="00531A9D"/>
    <w:rsid w:val="00531D73"/>
    <w:rsid w:val="00532380"/>
    <w:rsid w:val="00532393"/>
    <w:rsid w:val="005323F7"/>
    <w:rsid w:val="0053257E"/>
    <w:rsid w:val="005327A5"/>
    <w:rsid w:val="00532E6B"/>
    <w:rsid w:val="005333D8"/>
    <w:rsid w:val="005334C7"/>
    <w:rsid w:val="0053396E"/>
    <w:rsid w:val="005340AA"/>
    <w:rsid w:val="0053494D"/>
    <w:rsid w:val="00534A4A"/>
    <w:rsid w:val="00534E6C"/>
    <w:rsid w:val="00535202"/>
    <w:rsid w:val="00535377"/>
    <w:rsid w:val="005357E8"/>
    <w:rsid w:val="00535A4B"/>
    <w:rsid w:val="00535AFE"/>
    <w:rsid w:val="00535D55"/>
    <w:rsid w:val="00535F57"/>
    <w:rsid w:val="00535F84"/>
    <w:rsid w:val="0053647F"/>
    <w:rsid w:val="005364C2"/>
    <w:rsid w:val="00536559"/>
    <w:rsid w:val="0053663F"/>
    <w:rsid w:val="00537009"/>
    <w:rsid w:val="0053717C"/>
    <w:rsid w:val="00537407"/>
    <w:rsid w:val="005379F3"/>
    <w:rsid w:val="00537A64"/>
    <w:rsid w:val="0054014D"/>
    <w:rsid w:val="005408DE"/>
    <w:rsid w:val="00540A32"/>
    <w:rsid w:val="00540ABE"/>
    <w:rsid w:val="00540CF8"/>
    <w:rsid w:val="00541077"/>
    <w:rsid w:val="0054173A"/>
    <w:rsid w:val="00541CC2"/>
    <w:rsid w:val="00541DB8"/>
    <w:rsid w:val="0054213D"/>
    <w:rsid w:val="00542160"/>
    <w:rsid w:val="00542D33"/>
    <w:rsid w:val="00543297"/>
    <w:rsid w:val="0054349D"/>
    <w:rsid w:val="00545683"/>
    <w:rsid w:val="00545F4C"/>
    <w:rsid w:val="00546DF3"/>
    <w:rsid w:val="00546EFE"/>
    <w:rsid w:val="00546FA5"/>
    <w:rsid w:val="00546FB7"/>
    <w:rsid w:val="005471B8"/>
    <w:rsid w:val="0054783D"/>
    <w:rsid w:val="0054796E"/>
    <w:rsid w:val="00547A56"/>
    <w:rsid w:val="00547B78"/>
    <w:rsid w:val="00547FEA"/>
    <w:rsid w:val="005503AD"/>
    <w:rsid w:val="00550A50"/>
    <w:rsid w:val="00551309"/>
    <w:rsid w:val="0055187A"/>
    <w:rsid w:val="00552334"/>
    <w:rsid w:val="005523F2"/>
    <w:rsid w:val="00552680"/>
    <w:rsid w:val="00552700"/>
    <w:rsid w:val="00552A51"/>
    <w:rsid w:val="00552FDC"/>
    <w:rsid w:val="0055334B"/>
    <w:rsid w:val="005534FE"/>
    <w:rsid w:val="00553D7F"/>
    <w:rsid w:val="00553EAB"/>
    <w:rsid w:val="00553F76"/>
    <w:rsid w:val="005542C9"/>
    <w:rsid w:val="005543BA"/>
    <w:rsid w:val="00554683"/>
    <w:rsid w:val="00554750"/>
    <w:rsid w:val="00554B9E"/>
    <w:rsid w:val="00554BA3"/>
    <w:rsid w:val="00554C24"/>
    <w:rsid w:val="00555D1A"/>
    <w:rsid w:val="005560F5"/>
    <w:rsid w:val="00556212"/>
    <w:rsid w:val="005563AC"/>
    <w:rsid w:val="00556481"/>
    <w:rsid w:val="005564B0"/>
    <w:rsid w:val="005569FA"/>
    <w:rsid w:val="00556D17"/>
    <w:rsid w:val="005574C2"/>
    <w:rsid w:val="0055752C"/>
    <w:rsid w:val="00557653"/>
    <w:rsid w:val="00557693"/>
    <w:rsid w:val="00557D2F"/>
    <w:rsid w:val="00557FB9"/>
    <w:rsid w:val="0056027E"/>
    <w:rsid w:val="0056063B"/>
    <w:rsid w:val="0056077C"/>
    <w:rsid w:val="00560A7E"/>
    <w:rsid w:val="00560C4D"/>
    <w:rsid w:val="005613DA"/>
    <w:rsid w:val="00561A34"/>
    <w:rsid w:val="00562689"/>
    <w:rsid w:val="00562865"/>
    <w:rsid w:val="005633F0"/>
    <w:rsid w:val="00563633"/>
    <w:rsid w:val="00563821"/>
    <w:rsid w:val="005638A0"/>
    <w:rsid w:val="00563D2A"/>
    <w:rsid w:val="00564079"/>
    <w:rsid w:val="00564131"/>
    <w:rsid w:val="00564940"/>
    <w:rsid w:val="00564D91"/>
    <w:rsid w:val="00565874"/>
    <w:rsid w:val="00565F7C"/>
    <w:rsid w:val="00566305"/>
    <w:rsid w:val="005664FC"/>
    <w:rsid w:val="00566D9C"/>
    <w:rsid w:val="00567153"/>
    <w:rsid w:val="00567196"/>
    <w:rsid w:val="00567475"/>
    <w:rsid w:val="0056751E"/>
    <w:rsid w:val="00567579"/>
    <w:rsid w:val="00567A2C"/>
    <w:rsid w:val="00567C07"/>
    <w:rsid w:val="00567D71"/>
    <w:rsid w:val="005704B3"/>
    <w:rsid w:val="00570A8C"/>
    <w:rsid w:val="00570D3F"/>
    <w:rsid w:val="00570E84"/>
    <w:rsid w:val="00571374"/>
    <w:rsid w:val="005717EA"/>
    <w:rsid w:val="00571850"/>
    <w:rsid w:val="005730EB"/>
    <w:rsid w:val="005732F3"/>
    <w:rsid w:val="0057374A"/>
    <w:rsid w:val="00573A8D"/>
    <w:rsid w:val="00573B48"/>
    <w:rsid w:val="00573D77"/>
    <w:rsid w:val="00573EA6"/>
    <w:rsid w:val="005752A4"/>
    <w:rsid w:val="00575685"/>
    <w:rsid w:val="005760AC"/>
    <w:rsid w:val="00576516"/>
    <w:rsid w:val="0057691E"/>
    <w:rsid w:val="00576EBE"/>
    <w:rsid w:val="00577234"/>
    <w:rsid w:val="00577789"/>
    <w:rsid w:val="005778CB"/>
    <w:rsid w:val="00577E49"/>
    <w:rsid w:val="00577E5B"/>
    <w:rsid w:val="00577E7F"/>
    <w:rsid w:val="005804A7"/>
    <w:rsid w:val="005806A7"/>
    <w:rsid w:val="00580968"/>
    <w:rsid w:val="00580AAB"/>
    <w:rsid w:val="00581BE2"/>
    <w:rsid w:val="00581E83"/>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832"/>
    <w:rsid w:val="0058596B"/>
    <w:rsid w:val="00585D68"/>
    <w:rsid w:val="00586132"/>
    <w:rsid w:val="005861DC"/>
    <w:rsid w:val="00586344"/>
    <w:rsid w:val="005868E6"/>
    <w:rsid w:val="005869DA"/>
    <w:rsid w:val="005876A2"/>
    <w:rsid w:val="00587ADE"/>
    <w:rsid w:val="00587DF8"/>
    <w:rsid w:val="00590001"/>
    <w:rsid w:val="00590E20"/>
    <w:rsid w:val="00591379"/>
    <w:rsid w:val="00591675"/>
    <w:rsid w:val="00591A9D"/>
    <w:rsid w:val="0059279F"/>
    <w:rsid w:val="00592A12"/>
    <w:rsid w:val="00592CD6"/>
    <w:rsid w:val="00592F49"/>
    <w:rsid w:val="005931A3"/>
    <w:rsid w:val="005936F5"/>
    <w:rsid w:val="00593B4C"/>
    <w:rsid w:val="005940C0"/>
    <w:rsid w:val="00594140"/>
    <w:rsid w:val="005941CF"/>
    <w:rsid w:val="005941FA"/>
    <w:rsid w:val="00594469"/>
    <w:rsid w:val="0059451E"/>
    <w:rsid w:val="00594574"/>
    <w:rsid w:val="00594DA0"/>
    <w:rsid w:val="00595C72"/>
    <w:rsid w:val="00595CA7"/>
    <w:rsid w:val="00595E8D"/>
    <w:rsid w:val="00596BF8"/>
    <w:rsid w:val="005972FD"/>
    <w:rsid w:val="00597EF9"/>
    <w:rsid w:val="00597FC8"/>
    <w:rsid w:val="005A03A4"/>
    <w:rsid w:val="005A0641"/>
    <w:rsid w:val="005A0642"/>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50B"/>
    <w:rsid w:val="005A4FBC"/>
    <w:rsid w:val="005A5167"/>
    <w:rsid w:val="005A528A"/>
    <w:rsid w:val="005A5ACF"/>
    <w:rsid w:val="005A62D7"/>
    <w:rsid w:val="005A65DA"/>
    <w:rsid w:val="005A6723"/>
    <w:rsid w:val="005A6B7F"/>
    <w:rsid w:val="005A6C37"/>
    <w:rsid w:val="005A6D3C"/>
    <w:rsid w:val="005A6D7D"/>
    <w:rsid w:val="005A6EA4"/>
    <w:rsid w:val="005A77CF"/>
    <w:rsid w:val="005A7988"/>
    <w:rsid w:val="005A7DA8"/>
    <w:rsid w:val="005B07C4"/>
    <w:rsid w:val="005B0953"/>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E1C"/>
    <w:rsid w:val="005B500B"/>
    <w:rsid w:val="005B5C8A"/>
    <w:rsid w:val="005B6078"/>
    <w:rsid w:val="005B6405"/>
    <w:rsid w:val="005B65DE"/>
    <w:rsid w:val="005B6843"/>
    <w:rsid w:val="005B68C0"/>
    <w:rsid w:val="005B6E91"/>
    <w:rsid w:val="005B70ED"/>
    <w:rsid w:val="005B7196"/>
    <w:rsid w:val="005B74C6"/>
    <w:rsid w:val="005B7D4A"/>
    <w:rsid w:val="005C008D"/>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3ED6"/>
    <w:rsid w:val="005C40CA"/>
    <w:rsid w:val="005C413D"/>
    <w:rsid w:val="005C4395"/>
    <w:rsid w:val="005C46D9"/>
    <w:rsid w:val="005C47A5"/>
    <w:rsid w:val="005C47B6"/>
    <w:rsid w:val="005C47BE"/>
    <w:rsid w:val="005C4BBB"/>
    <w:rsid w:val="005C4BF2"/>
    <w:rsid w:val="005C4D13"/>
    <w:rsid w:val="005C51BB"/>
    <w:rsid w:val="005C5EDA"/>
    <w:rsid w:val="005C7C8A"/>
    <w:rsid w:val="005C7EF0"/>
    <w:rsid w:val="005D01FD"/>
    <w:rsid w:val="005D05B8"/>
    <w:rsid w:val="005D0617"/>
    <w:rsid w:val="005D0691"/>
    <w:rsid w:val="005D097C"/>
    <w:rsid w:val="005D10FA"/>
    <w:rsid w:val="005D11BE"/>
    <w:rsid w:val="005D19E0"/>
    <w:rsid w:val="005D1FBA"/>
    <w:rsid w:val="005D2011"/>
    <w:rsid w:val="005D20A7"/>
    <w:rsid w:val="005D2E3B"/>
    <w:rsid w:val="005D2E90"/>
    <w:rsid w:val="005D3AE3"/>
    <w:rsid w:val="005D3BFD"/>
    <w:rsid w:val="005D3D2B"/>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2244"/>
    <w:rsid w:val="005E2299"/>
    <w:rsid w:val="005E271A"/>
    <w:rsid w:val="005E2F61"/>
    <w:rsid w:val="005E377B"/>
    <w:rsid w:val="005E3F3C"/>
    <w:rsid w:val="005E3F85"/>
    <w:rsid w:val="005E479A"/>
    <w:rsid w:val="005E47BA"/>
    <w:rsid w:val="005E49F9"/>
    <w:rsid w:val="005E4B4C"/>
    <w:rsid w:val="005E4DFC"/>
    <w:rsid w:val="005E4ECE"/>
    <w:rsid w:val="005E4F0B"/>
    <w:rsid w:val="005E55B8"/>
    <w:rsid w:val="005E560B"/>
    <w:rsid w:val="005E59B3"/>
    <w:rsid w:val="005E6373"/>
    <w:rsid w:val="005E6734"/>
    <w:rsid w:val="005E689A"/>
    <w:rsid w:val="005E7374"/>
    <w:rsid w:val="005E76AF"/>
    <w:rsid w:val="005E78D0"/>
    <w:rsid w:val="005E7DC7"/>
    <w:rsid w:val="005F045B"/>
    <w:rsid w:val="005F0478"/>
    <w:rsid w:val="005F04CC"/>
    <w:rsid w:val="005F087F"/>
    <w:rsid w:val="005F08D9"/>
    <w:rsid w:val="005F0974"/>
    <w:rsid w:val="005F0FF8"/>
    <w:rsid w:val="005F1A5E"/>
    <w:rsid w:val="005F21A4"/>
    <w:rsid w:val="005F224B"/>
    <w:rsid w:val="005F24D0"/>
    <w:rsid w:val="005F2968"/>
    <w:rsid w:val="005F29B1"/>
    <w:rsid w:val="005F2FB7"/>
    <w:rsid w:val="005F3005"/>
    <w:rsid w:val="005F319E"/>
    <w:rsid w:val="005F3830"/>
    <w:rsid w:val="005F395C"/>
    <w:rsid w:val="005F3C99"/>
    <w:rsid w:val="005F417B"/>
    <w:rsid w:val="005F41D2"/>
    <w:rsid w:val="005F492B"/>
    <w:rsid w:val="005F4D1E"/>
    <w:rsid w:val="005F4EC8"/>
    <w:rsid w:val="005F51D5"/>
    <w:rsid w:val="005F5352"/>
    <w:rsid w:val="005F5EC4"/>
    <w:rsid w:val="005F5ED9"/>
    <w:rsid w:val="005F6039"/>
    <w:rsid w:val="005F63E2"/>
    <w:rsid w:val="005F65B1"/>
    <w:rsid w:val="005F69EA"/>
    <w:rsid w:val="005F6B40"/>
    <w:rsid w:val="005F6C50"/>
    <w:rsid w:val="005F739F"/>
    <w:rsid w:val="005F745C"/>
    <w:rsid w:val="005F775F"/>
    <w:rsid w:val="005F7916"/>
    <w:rsid w:val="005F7B82"/>
    <w:rsid w:val="006000DE"/>
    <w:rsid w:val="0060074C"/>
    <w:rsid w:val="00600840"/>
    <w:rsid w:val="0060093C"/>
    <w:rsid w:val="00600BFB"/>
    <w:rsid w:val="0060103C"/>
    <w:rsid w:val="00601271"/>
    <w:rsid w:val="00601277"/>
    <w:rsid w:val="00601F52"/>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48D"/>
    <w:rsid w:val="0060561C"/>
    <w:rsid w:val="0060567F"/>
    <w:rsid w:val="00605858"/>
    <w:rsid w:val="006064DB"/>
    <w:rsid w:val="006066F3"/>
    <w:rsid w:val="00606CDD"/>
    <w:rsid w:val="00606D0B"/>
    <w:rsid w:val="00606E8D"/>
    <w:rsid w:val="0060751D"/>
    <w:rsid w:val="00607658"/>
    <w:rsid w:val="00607771"/>
    <w:rsid w:val="00607A12"/>
    <w:rsid w:val="00607B81"/>
    <w:rsid w:val="00610498"/>
    <w:rsid w:val="006106A6"/>
    <w:rsid w:val="0061118E"/>
    <w:rsid w:val="006115C2"/>
    <w:rsid w:val="0061176F"/>
    <w:rsid w:val="0061185F"/>
    <w:rsid w:val="00611B29"/>
    <w:rsid w:val="00611C09"/>
    <w:rsid w:val="006124A3"/>
    <w:rsid w:val="00612D41"/>
    <w:rsid w:val="006135A9"/>
    <w:rsid w:val="00613AD3"/>
    <w:rsid w:val="00613DA1"/>
    <w:rsid w:val="00614312"/>
    <w:rsid w:val="006148CA"/>
    <w:rsid w:val="006148E4"/>
    <w:rsid w:val="00614F4B"/>
    <w:rsid w:val="006153E1"/>
    <w:rsid w:val="006155E3"/>
    <w:rsid w:val="006157B1"/>
    <w:rsid w:val="00615E39"/>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469"/>
    <w:rsid w:val="0062348B"/>
    <w:rsid w:val="006235D5"/>
    <w:rsid w:val="00623657"/>
    <w:rsid w:val="00623BB1"/>
    <w:rsid w:val="00623E1C"/>
    <w:rsid w:val="00623FF0"/>
    <w:rsid w:val="006248F3"/>
    <w:rsid w:val="0062495D"/>
    <w:rsid w:val="006255B1"/>
    <w:rsid w:val="0062568D"/>
    <w:rsid w:val="00625D78"/>
    <w:rsid w:val="0062653F"/>
    <w:rsid w:val="006275D5"/>
    <w:rsid w:val="00627834"/>
    <w:rsid w:val="00627DFE"/>
    <w:rsid w:val="006302B3"/>
    <w:rsid w:val="00630996"/>
    <w:rsid w:val="00630CD3"/>
    <w:rsid w:val="0063134E"/>
    <w:rsid w:val="00631726"/>
    <w:rsid w:val="00631C9C"/>
    <w:rsid w:val="00631FD5"/>
    <w:rsid w:val="00632388"/>
    <w:rsid w:val="00632515"/>
    <w:rsid w:val="00632861"/>
    <w:rsid w:val="00632869"/>
    <w:rsid w:val="00632F49"/>
    <w:rsid w:val="00633139"/>
    <w:rsid w:val="0063317C"/>
    <w:rsid w:val="0063321F"/>
    <w:rsid w:val="0063348E"/>
    <w:rsid w:val="006338D1"/>
    <w:rsid w:val="00633A70"/>
    <w:rsid w:val="00633A93"/>
    <w:rsid w:val="00633BDD"/>
    <w:rsid w:val="0063414E"/>
    <w:rsid w:val="00634758"/>
    <w:rsid w:val="006349A8"/>
    <w:rsid w:val="00635B70"/>
    <w:rsid w:val="00635C9F"/>
    <w:rsid w:val="00635FD1"/>
    <w:rsid w:val="0063617A"/>
    <w:rsid w:val="00636216"/>
    <w:rsid w:val="006366F3"/>
    <w:rsid w:val="00636B32"/>
    <w:rsid w:val="00636B96"/>
    <w:rsid w:val="00637109"/>
    <w:rsid w:val="006378A5"/>
    <w:rsid w:val="00637B2C"/>
    <w:rsid w:val="0064015F"/>
    <w:rsid w:val="006402EE"/>
    <w:rsid w:val="0064065F"/>
    <w:rsid w:val="006408E2"/>
    <w:rsid w:val="006409D2"/>
    <w:rsid w:val="00640D2F"/>
    <w:rsid w:val="00641238"/>
    <w:rsid w:val="0064166B"/>
    <w:rsid w:val="00641A5C"/>
    <w:rsid w:val="006428EC"/>
    <w:rsid w:val="0064299A"/>
    <w:rsid w:val="00642DDD"/>
    <w:rsid w:val="00642FE5"/>
    <w:rsid w:val="00643105"/>
    <w:rsid w:val="0064310F"/>
    <w:rsid w:val="006435A0"/>
    <w:rsid w:val="006439D6"/>
    <w:rsid w:val="00643F62"/>
    <w:rsid w:val="00644659"/>
    <w:rsid w:val="00644B9F"/>
    <w:rsid w:val="00644D5A"/>
    <w:rsid w:val="00644E71"/>
    <w:rsid w:val="006453C2"/>
    <w:rsid w:val="0064562C"/>
    <w:rsid w:val="00645976"/>
    <w:rsid w:val="00646604"/>
    <w:rsid w:val="006467B4"/>
    <w:rsid w:val="006467DF"/>
    <w:rsid w:val="00646A20"/>
    <w:rsid w:val="00646A6D"/>
    <w:rsid w:val="00646B23"/>
    <w:rsid w:val="00646EFB"/>
    <w:rsid w:val="00647213"/>
    <w:rsid w:val="00647839"/>
    <w:rsid w:val="00647F42"/>
    <w:rsid w:val="00647F66"/>
    <w:rsid w:val="00651771"/>
    <w:rsid w:val="00651857"/>
    <w:rsid w:val="00651933"/>
    <w:rsid w:val="00651AE7"/>
    <w:rsid w:val="00651B6F"/>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5601"/>
    <w:rsid w:val="00655C6A"/>
    <w:rsid w:val="00655CE1"/>
    <w:rsid w:val="0065615B"/>
    <w:rsid w:val="0065683B"/>
    <w:rsid w:val="0065692B"/>
    <w:rsid w:val="00656C5F"/>
    <w:rsid w:val="00656E2A"/>
    <w:rsid w:val="00656F94"/>
    <w:rsid w:val="006572A0"/>
    <w:rsid w:val="00657307"/>
    <w:rsid w:val="00657736"/>
    <w:rsid w:val="00657737"/>
    <w:rsid w:val="00657CCF"/>
    <w:rsid w:val="00660079"/>
    <w:rsid w:val="0066021E"/>
    <w:rsid w:val="0066027E"/>
    <w:rsid w:val="0066060A"/>
    <w:rsid w:val="00660813"/>
    <w:rsid w:val="0066120B"/>
    <w:rsid w:val="006613D4"/>
    <w:rsid w:val="0066144B"/>
    <w:rsid w:val="0066195C"/>
    <w:rsid w:val="006621DE"/>
    <w:rsid w:val="00662541"/>
    <w:rsid w:val="00662D42"/>
    <w:rsid w:val="00662EFC"/>
    <w:rsid w:val="00662F34"/>
    <w:rsid w:val="006632C9"/>
    <w:rsid w:val="0066343B"/>
    <w:rsid w:val="006634D8"/>
    <w:rsid w:val="00663563"/>
    <w:rsid w:val="00663B8D"/>
    <w:rsid w:val="00663C99"/>
    <w:rsid w:val="00664546"/>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C66"/>
    <w:rsid w:val="00666E12"/>
    <w:rsid w:val="00666F14"/>
    <w:rsid w:val="00666FC5"/>
    <w:rsid w:val="006673DE"/>
    <w:rsid w:val="00667A10"/>
    <w:rsid w:val="00667F16"/>
    <w:rsid w:val="0067031F"/>
    <w:rsid w:val="006705CA"/>
    <w:rsid w:val="0067065F"/>
    <w:rsid w:val="00670774"/>
    <w:rsid w:val="006707F5"/>
    <w:rsid w:val="006709DE"/>
    <w:rsid w:val="00670C8A"/>
    <w:rsid w:val="00671054"/>
    <w:rsid w:val="006713DC"/>
    <w:rsid w:val="00671941"/>
    <w:rsid w:val="00671A45"/>
    <w:rsid w:val="00671E75"/>
    <w:rsid w:val="0067242C"/>
    <w:rsid w:val="006724AE"/>
    <w:rsid w:val="0067257F"/>
    <w:rsid w:val="00672CA7"/>
    <w:rsid w:val="00673D2D"/>
    <w:rsid w:val="00674A55"/>
    <w:rsid w:val="00674BCB"/>
    <w:rsid w:val="00674DE7"/>
    <w:rsid w:val="00675110"/>
    <w:rsid w:val="006751E1"/>
    <w:rsid w:val="0067547B"/>
    <w:rsid w:val="00675AB6"/>
    <w:rsid w:val="00676350"/>
    <w:rsid w:val="00676455"/>
    <w:rsid w:val="00676857"/>
    <w:rsid w:val="0067770F"/>
    <w:rsid w:val="0068048E"/>
    <w:rsid w:val="00680A7D"/>
    <w:rsid w:val="00681D8A"/>
    <w:rsid w:val="00681FCF"/>
    <w:rsid w:val="0068222A"/>
    <w:rsid w:val="0068244E"/>
    <w:rsid w:val="00682A07"/>
    <w:rsid w:val="00683009"/>
    <w:rsid w:val="0068355A"/>
    <w:rsid w:val="00683877"/>
    <w:rsid w:val="006838B4"/>
    <w:rsid w:val="00683D7D"/>
    <w:rsid w:val="0068455D"/>
    <w:rsid w:val="00684A1D"/>
    <w:rsid w:val="00684EA9"/>
    <w:rsid w:val="00684F40"/>
    <w:rsid w:val="00685025"/>
    <w:rsid w:val="0068512E"/>
    <w:rsid w:val="00685549"/>
    <w:rsid w:val="00685767"/>
    <w:rsid w:val="00685F10"/>
    <w:rsid w:val="006861CD"/>
    <w:rsid w:val="00686AAA"/>
    <w:rsid w:val="00687AAA"/>
    <w:rsid w:val="00687B08"/>
    <w:rsid w:val="00687B6F"/>
    <w:rsid w:val="00687CCE"/>
    <w:rsid w:val="00687E52"/>
    <w:rsid w:val="00690451"/>
    <w:rsid w:val="00690BAB"/>
    <w:rsid w:val="00690C8A"/>
    <w:rsid w:val="00690CD1"/>
    <w:rsid w:val="00690FC4"/>
    <w:rsid w:val="006913BE"/>
    <w:rsid w:val="00691CB1"/>
    <w:rsid w:val="00692489"/>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835"/>
    <w:rsid w:val="006A0B86"/>
    <w:rsid w:val="006A0D68"/>
    <w:rsid w:val="006A0FB3"/>
    <w:rsid w:val="006A129B"/>
    <w:rsid w:val="006A17DB"/>
    <w:rsid w:val="006A2BC0"/>
    <w:rsid w:val="006A2C46"/>
    <w:rsid w:val="006A4343"/>
    <w:rsid w:val="006A498A"/>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A15"/>
    <w:rsid w:val="006B0DEF"/>
    <w:rsid w:val="006B11BE"/>
    <w:rsid w:val="006B174A"/>
    <w:rsid w:val="006B1BAB"/>
    <w:rsid w:val="006B1E37"/>
    <w:rsid w:val="006B1E76"/>
    <w:rsid w:val="006B1F6A"/>
    <w:rsid w:val="006B2920"/>
    <w:rsid w:val="006B2C67"/>
    <w:rsid w:val="006B3551"/>
    <w:rsid w:val="006B3AE4"/>
    <w:rsid w:val="006B41B8"/>
    <w:rsid w:val="006B4544"/>
    <w:rsid w:val="006B4F40"/>
    <w:rsid w:val="006B52F3"/>
    <w:rsid w:val="006B55B8"/>
    <w:rsid w:val="006B561D"/>
    <w:rsid w:val="006B5ED1"/>
    <w:rsid w:val="006B6145"/>
    <w:rsid w:val="006B6295"/>
    <w:rsid w:val="006B6468"/>
    <w:rsid w:val="006B65B5"/>
    <w:rsid w:val="006B65C7"/>
    <w:rsid w:val="006B68D6"/>
    <w:rsid w:val="006B6C5E"/>
    <w:rsid w:val="006B6C9D"/>
    <w:rsid w:val="006B7A42"/>
    <w:rsid w:val="006C0441"/>
    <w:rsid w:val="006C070C"/>
    <w:rsid w:val="006C072A"/>
    <w:rsid w:val="006C0B58"/>
    <w:rsid w:val="006C0E2A"/>
    <w:rsid w:val="006C12CB"/>
    <w:rsid w:val="006C1535"/>
    <w:rsid w:val="006C1C96"/>
    <w:rsid w:val="006C1ED5"/>
    <w:rsid w:val="006C2050"/>
    <w:rsid w:val="006C22C8"/>
    <w:rsid w:val="006C2697"/>
    <w:rsid w:val="006C28BE"/>
    <w:rsid w:val="006C2ACF"/>
    <w:rsid w:val="006C2BC5"/>
    <w:rsid w:val="006C31D5"/>
    <w:rsid w:val="006C3654"/>
    <w:rsid w:val="006C3F66"/>
    <w:rsid w:val="006C3F85"/>
    <w:rsid w:val="006C40BC"/>
    <w:rsid w:val="006C50F9"/>
    <w:rsid w:val="006C55F3"/>
    <w:rsid w:val="006C560F"/>
    <w:rsid w:val="006C6329"/>
    <w:rsid w:val="006C64FC"/>
    <w:rsid w:val="006C68BD"/>
    <w:rsid w:val="006C6BCF"/>
    <w:rsid w:val="006C7BA2"/>
    <w:rsid w:val="006D07DD"/>
    <w:rsid w:val="006D0839"/>
    <w:rsid w:val="006D099F"/>
    <w:rsid w:val="006D106C"/>
    <w:rsid w:val="006D124D"/>
    <w:rsid w:val="006D16A3"/>
    <w:rsid w:val="006D175A"/>
    <w:rsid w:val="006D1C74"/>
    <w:rsid w:val="006D1F1D"/>
    <w:rsid w:val="006D215B"/>
    <w:rsid w:val="006D2A3E"/>
    <w:rsid w:val="006D2AE0"/>
    <w:rsid w:val="006D2D39"/>
    <w:rsid w:val="006D2E38"/>
    <w:rsid w:val="006D2F7E"/>
    <w:rsid w:val="006D35D3"/>
    <w:rsid w:val="006D38FC"/>
    <w:rsid w:val="006D393C"/>
    <w:rsid w:val="006D399D"/>
    <w:rsid w:val="006D39B0"/>
    <w:rsid w:val="006D3DF7"/>
    <w:rsid w:val="006D4167"/>
    <w:rsid w:val="006D42CC"/>
    <w:rsid w:val="006D48A6"/>
    <w:rsid w:val="006D5296"/>
    <w:rsid w:val="006D53ED"/>
    <w:rsid w:val="006D55D4"/>
    <w:rsid w:val="006D5733"/>
    <w:rsid w:val="006D5747"/>
    <w:rsid w:val="006D58EB"/>
    <w:rsid w:val="006D5959"/>
    <w:rsid w:val="006D5A8A"/>
    <w:rsid w:val="006D5B08"/>
    <w:rsid w:val="006D627E"/>
    <w:rsid w:val="006D6413"/>
    <w:rsid w:val="006D66F8"/>
    <w:rsid w:val="006D67DC"/>
    <w:rsid w:val="006D6D77"/>
    <w:rsid w:val="006D7075"/>
    <w:rsid w:val="006D78C5"/>
    <w:rsid w:val="006D79E9"/>
    <w:rsid w:val="006D7A4C"/>
    <w:rsid w:val="006E091D"/>
    <w:rsid w:val="006E0B17"/>
    <w:rsid w:val="006E0C3E"/>
    <w:rsid w:val="006E0FC3"/>
    <w:rsid w:val="006E104F"/>
    <w:rsid w:val="006E15EB"/>
    <w:rsid w:val="006E199B"/>
    <w:rsid w:val="006E1AC6"/>
    <w:rsid w:val="006E1B68"/>
    <w:rsid w:val="006E20D9"/>
    <w:rsid w:val="006E27EB"/>
    <w:rsid w:val="006E28CE"/>
    <w:rsid w:val="006E3076"/>
    <w:rsid w:val="006E32F7"/>
    <w:rsid w:val="006E458C"/>
    <w:rsid w:val="006E4BE4"/>
    <w:rsid w:val="006E4BFD"/>
    <w:rsid w:val="006E5A8E"/>
    <w:rsid w:val="006E5C01"/>
    <w:rsid w:val="006E5C87"/>
    <w:rsid w:val="006E7704"/>
    <w:rsid w:val="006E7BAF"/>
    <w:rsid w:val="006E7BC8"/>
    <w:rsid w:val="006F0200"/>
    <w:rsid w:val="006F0473"/>
    <w:rsid w:val="006F09D3"/>
    <w:rsid w:val="006F0DCC"/>
    <w:rsid w:val="006F0E03"/>
    <w:rsid w:val="006F1293"/>
    <w:rsid w:val="006F1611"/>
    <w:rsid w:val="006F16B5"/>
    <w:rsid w:val="006F170F"/>
    <w:rsid w:val="006F1AE4"/>
    <w:rsid w:val="006F22B6"/>
    <w:rsid w:val="006F22CA"/>
    <w:rsid w:val="006F230A"/>
    <w:rsid w:val="006F2861"/>
    <w:rsid w:val="006F3450"/>
    <w:rsid w:val="006F387B"/>
    <w:rsid w:val="006F38C2"/>
    <w:rsid w:val="006F3A0C"/>
    <w:rsid w:val="006F3EC4"/>
    <w:rsid w:val="006F41DC"/>
    <w:rsid w:val="006F429C"/>
    <w:rsid w:val="006F496C"/>
    <w:rsid w:val="006F4BB7"/>
    <w:rsid w:val="006F4D17"/>
    <w:rsid w:val="006F4E1B"/>
    <w:rsid w:val="006F55FE"/>
    <w:rsid w:val="006F5653"/>
    <w:rsid w:val="006F58E0"/>
    <w:rsid w:val="006F5D24"/>
    <w:rsid w:val="006F5F52"/>
    <w:rsid w:val="006F669F"/>
    <w:rsid w:val="006F6DCE"/>
    <w:rsid w:val="006F6F9D"/>
    <w:rsid w:val="006F72E2"/>
    <w:rsid w:val="006F7359"/>
    <w:rsid w:val="006F7931"/>
    <w:rsid w:val="006F7DCE"/>
    <w:rsid w:val="00700155"/>
    <w:rsid w:val="007001F0"/>
    <w:rsid w:val="0070046E"/>
    <w:rsid w:val="00700AFF"/>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5122"/>
    <w:rsid w:val="00705A3D"/>
    <w:rsid w:val="00705B0F"/>
    <w:rsid w:val="00705D05"/>
    <w:rsid w:val="00705D60"/>
    <w:rsid w:val="0070614F"/>
    <w:rsid w:val="007064AA"/>
    <w:rsid w:val="007071F9"/>
    <w:rsid w:val="00707582"/>
    <w:rsid w:val="00707F3D"/>
    <w:rsid w:val="007101C0"/>
    <w:rsid w:val="007102C9"/>
    <w:rsid w:val="00710937"/>
    <w:rsid w:val="007113B5"/>
    <w:rsid w:val="0071176E"/>
    <w:rsid w:val="00711ADB"/>
    <w:rsid w:val="007120B5"/>
    <w:rsid w:val="0071213C"/>
    <w:rsid w:val="0071237C"/>
    <w:rsid w:val="00712419"/>
    <w:rsid w:val="007125DD"/>
    <w:rsid w:val="00712D88"/>
    <w:rsid w:val="0071324E"/>
    <w:rsid w:val="00713329"/>
    <w:rsid w:val="0071344E"/>
    <w:rsid w:val="00713E03"/>
    <w:rsid w:val="00714092"/>
    <w:rsid w:val="007142C8"/>
    <w:rsid w:val="00714AB6"/>
    <w:rsid w:val="00714FF3"/>
    <w:rsid w:val="00715765"/>
    <w:rsid w:val="00715CF7"/>
    <w:rsid w:val="00715EC6"/>
    <w:rsid w:val="00715ED6"/>
    <w:rsid w:val="00715FE5"/>
    <w:rsid w:val="00716203"/>
    <w:rsid w:val="00716434"/>
    <w:rsid w:val="007166CA"/>
    <w:rsid w:val="00716AAC"/>
    <w:rsid w:val="00716D5C"/>
    <w:rsid w:val="00717F9B"/>
    <w:rsid w:val="00720844"/>
    <w:rsid w:val="00720D50"/>
    <w:rsid w:val="00721154"/>
    <w:rsid w:val="00721BA4"/>
    <w:rsid w:val="00722034"/>
    <w:rsid w:val="0072231E"/>
    <w:rsid w:val="00722826"/>
    <w:rsid w:val="00722E0A"/>
    <w:rsid w:val="00722E90"/>
    <w:rsid w:val="00722ED1"/>
    <w:rsid w:val="00723207"/>
    <w:rsid w:val="00723438"/>
    <w:rsid w:val="0072355C"/>
    <w:rsid w:val="00723756"/>
    <w:rsid w:val="00723871"/>
    <w:rsid w:val="0072388F"/>
    <w:rsid w:val="00723B70"/>
    <w:rsid w:val="00723B88"/>
    <w:rsid w:val="00723F15"/>
    <w:rsid w:val="007248A0"/>
    <w:rsid w:val="00724D95"/>
    <w:rsid w:val="007250FE"/>
    <w:rsid w:val="00725131"/>
    <w:rsid w:val="00725197"/>
    <w:rsid w:val="0072521E"/>
    <w:rsid w:val="00725417"/>
    <w:rsid w:val="00725D42"/>
    <w:rsid w:val="00725E7F"/>
    <w:rsid w:val="007264A1"/>
    <w:rsid w:val="007265E5"/>
    <w:rsid w:val="007269FB"/>
    <w:rsid w:val="00726FD0"/>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2945"/>
    <w:rsid w:val="00732F6E"/>
    <w:rsid w:val="007330CE"/>
    <w:rsid w:val="0073353E"/>
    <w:rsid w:val="00733838"/>
    <w:rsid w:val="00733916"/>
    <w:rsid w:val="00733A82"/>
    <w:rsid w:val="00733AA4"/>
    <w:rsid w:val="00733EA9"/>
    <w:rsid w:val="0073441E"/>
    <w:rsid w:val="00734583"/>
    <w:rsid w:val="00734695"/>
    <w:rsid w:val="0073524B"/>
    <w:rsid w:val="00735315"/>
    <w:rsid w:val="007354CE"/>
    <w:rsid w:val="007359D1"/>
    <w:rsid w:val="00735A94"/>
    <w:rsid w:val="00735FCF"/>
    <w:rsid w:val="007360C8"/>
    <w:rsid w:val="0073636E"/>
    <w:rsid w:val="00736F5B"/>
    <w:rsid w:val="00736F74"/>
    <w:rsid w:val="007377F3"/>
    <w:rsid w:val="00740253"/>
    <w:rsid w:val="00740705"/>
    <w:rsid w:val="007407A3"/>
    <w:rsid w:val="00740801"/>
    <w:rsid w:val="007408A9"/>
    <w:rsid w:val="00740979"/>
    <w:rsid w:val="00740BD4"/>
    <w:rsid w:val="00740EB4"/>
    <w:rsid w:val="007413D1"/>
    <w:rsid w:val="00741497"/>
    <w:rsid w:val="0074149E"/>
    <w:rsid w:val="00741C7E"/>
    <w:rsid w:val="00741CA2"/>
    <w:rsid w:val="00741DBF"/>
    <w:rsid w:val="00741EEA"/>
    <w:rsid w:val="00741FCD"/>
    <w:rsid w:val="007420C7"/>
    <w:rsid w:val="0074250B"/>
    <w:rsid w:val="00742600"/>
    <w:rsid w:val="0074266A"/>
    <w:rsid w:val="00742E40"/>
    <w:rsid w:val="00742F94"/>
    <w:rsid w:val="0074318C"/>
    <w:rsid w:val="00743275"/>
    <w:rsid w:val="007433CD"/>
    <w:rsid w:val="007437D5"/>
    <w:rsid w:val="00743C0B"/>
    <w:rsid w:val="00744017"/>
    <w:rsid w:val="00744082"/>
    <w:rsid w:val="00744186"/>
    <w:rsid w:val="007445B8"/>
    <w:rsid w:val="00744B9A"/>
    <w:rsid w:val="00744C67"/>
    <w:rsid w:val="00745590"/>
    <w:rsid w:val="00745D28"/>
    <w:rsid w:val="00746118"/>
    <w:rsid w:val="007464CF"/>
    <w:rsid w:val="0074712E"/>
    <w:rsid w:val="007502D0"/>
    <w:rsid w:val="00750878"/>
    <w:rsid w:val="00750A3C"/>
    <w:rsid w:val="00750ACE"/>
    <w:rsid w:val="00750E89"/>
    <w:rsid w:val="00751677"/>
    <w:rsid w:val="0075176C"/>
    <w:rsid w:val="00752041"/>
    <w:rsid w:val="007520C0"/>
    <w:rsid w:val="007523C1"/>
    <w:rsid w:val="0075243C"/>
    <w:rsid w:val="00752BBE"/>
    <w:rsid w:val="007538DD"/>
    <w:rsid w:val="0075394B"/>
    <w:rsid w:val="00753B94"/>
    <w:rsid w:val="00753C35"/>
    <w:rsid w:val="00753DF7"/>
    <w:rsid w:val="007541EB"/>
    <w:rsid w:val="0075430F"/>
    <w:rsid w:val="007545C4"/>
    <w:rsid w:val="00754838"/>
    <w:rsid w:val="007556DA"/>
    <w:rsid w:val="00755AF5"/>
    <w:rsid w:val="00755E44"/>
    <w:rsid w:val="00755FF8"/>
    <w:rsid w:val="00756090"/>
    <w:rsid w:val="00756681"/>
    <w:rsid w:val="0075673C"/>
    <w:rsid w:val="00756C25"/>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A98"/>
    <w:rsid w:val="00765655"/>
    <w:rsid w:val="007656D7"/>
    <w:rsid w:val="00765707"/>
    <w:rsid w:val="00765F28"/>
    <w:rsid w:val="007673B3"/>
    <w:rsid w:val="007675D2"/>
    <w:rsid w:val="007676DA"/>
    <w:rsid w:val="007676DF"/>
    <w:rsid w:val="007678BE"/>
    <w:rsid w:val="00767EAE"/>
    <w:rsid w:val="00767F6B"/>
    <w:rsid w:val="007704E6"/>
    <w:rsid w:val="00770639"/>
    <w:rsid w:val="00770748"/>
    <w:rsid w:val="00770888"/>
    <w:rsid w:val="0077145F"/>
    <w:rsid w:val="007716CD"/>
    <w:rsid w:val="00771C1D"/>
    <w:rsid w:val="00771E8B"/>
    <w:rsid w:val="00771F46"/>
    <w:rsid w:val="0077201D"/>
    <w:rsid w:val="0077294E"/>
    <w:rsid w:val="007733A9"/>
    <w:rsid w:val="00773454"/>
    <w:rsid w:val="00773772"/>
    <w:rsid w:val="00773CEE"/>
    <w:rsid w:val="00774349"/>
    <w:rsid w:val="00774519"/>
    <w:rsid w:val="00774E30"/>
    <w:rsid w:val="00774F9F"/>
    <w:rsid w:val="0077560B"/>
    <w:rsid w:val="00775777"/>
    <w:rsid w:val="007759A6"/>
    <w:rsid w:val="00775F31"/>
    <w:rsid w:val="0077606A"/>
    <w:rsid w:val="00776399"/>
    <w:rsid w:val="00776753"/>
    <w:rsid w:val="00776BE0"/>
    <w:rsid w:val="00776C6B"/>
    <w:rsid w:val="00776D5A"/>
    <w:rsid w:val="00777482"/>
    <w:rsid w:val="007778B6"/>
    <w:rsid w:val="00777A20"/>
    <w:rsid w:val="00777AEE"/>
    <w:rsid w:val="00777CD4"/>
    <w:rsid w:val="00777EC0"/>
    <w:rsid w:val="0078091A"/>
    <w:rsid w:val="00780E21"/>
    <w:rsid w:val="00781024"/>
    <w:rsid w:val="007816EF"/>
    <w:rsid w:val="00781D7E"/>
    <w:rsid w:val="00781F08"/>
    <w:rsid w:val="00781FF3"/>
    <w:rsid w:val="00782451"/>
    <w:rsid w:val="00782728"/>
    <w:rsid w:val="00782AFB"/>
    <w:rsid w:val="00782D53"/>
    <w:rsid w:val="00783125"/>
    <w:rsid w:val="0078358A"/>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64"/>
    <w:rsid w:val="00786ED1"/>
    <w:rsid w:val="007872E5"/>
    <w:rsid w:val="007879EE"/>
    <w:rsid w:val="00787BAE"/>
    <w:rsid w:val="00787DE3"/>
    <w:rsid w:val="00787EE4"/>
    <w:rsid w:val="0079016D"/>
    <w:rsid w:val="00790324"/>
    <w:rsid w:val="00790DF0"/>
    <w:rsid w:val="007910DC"/>
    <w:rsid w:val="007912F7"/>
    <w:rsid w:val="00791307"/>
    <w:rsid w:val="00791514"/>
    <w:rsid w:val="00791BFA"/>
    <w:rsid w:val="00792676"/>
    <w:rsid w:val="00792855"/>
    <w:rsid w:val="00792C39"/>
    <w:rsid w:val="00792C4A"/>
    <w:rsid w:val="00792DAF"/>
    <w:rsid w:val="00793629"/>
    <w:rsid w:val="007937F3"/>
    <w:rsid w:val="0079386D"/>
    <w:rsid w:val="00793A32"/>
    <w:rsid w:val="00793CDA"/>
    <w:rsid w:val="00793E6A"/>
    <w:rsid w:val="0079443A"/>
    <w:rsid w:val="0079467C"/>
    <w:rsid w:val="00794862"/>
    <w:rsid w:val="0079488C"/>
    <w:rsid w:val="00794B2C"/>
    <w:rsid w:val="00794DAB"/>
    <w:rsid w:val="007951F2"/>
    <w:rsid w:val="007952F1"/>
    <w:rsid w:val="00795DDE"/>
    <w:rsid w:val="00795E1B"/>
    <w:rsid w:val="007965A0"/>
    <w:rsid w:val="00796658"/>
    <w:rsid w:val="00796BD8"/>
    <w:rsid w:val="00796F96"/>
    <w:rsid w:val="0079781C"/>
    <w:rsid w:val="007979F5"/>
    <w:rsid w:val="007A013E"/>
    <w:rsid w:val="007A026C"/>
    <w:rsid w:val="007A05DD"/>
    <w:rsid w:val="007A06B0"/>
    <w:rsid w:val="007A0A19"/>
    <w:rsid w:val="007A1273"/>
    <w:rsid w:val="007A12D6"/>
    <w:rsid w:val="007A1D5C"/>
    <w:rsid w:val="007A1DCA"/>
    <w:rsid w:val="007A23A9"/>
    <w:rsid w:val="007A274B"/>
    <w:rsid w:val="007A2BC9"/>
    <w:rsid w:val="007A2E27"/>
    <w:rsid w:val="007A3701"/>
    <w:rsid w:val="007A3AC7"/>
    <w:rsid w:val="007A3B9A"/>
    <w:rsid w:val="007A4A10"/>
    <w:rsid w:val="007A4ABE"/>
    <w:rsid w:val="007A4DD5"/>
    <w:rsid w:val="007A5017"/>
    <w:rsid w:val="007A5743"/>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9F9"/>
    <w:rsid w:val="007B0B9C"/>
    <w:rsid w:val="007B0C30"/>
    <w:rsid w:val="007B118A"/>
    <w:rsid w:val="007B12A6"/>
    <w:rsid w:val="007B1432"/>
    <w:rsid w:val="007B17DF"/>
    <w:rsid w:val="007B18E3"/>
    <w:rsid w:val="007B1B2F"/>
    <w:rsid w:val="007B1CFA"/>
    <w:rsid w:val="007B212F"/>
    <w:rsid w:val="007B313E"/>
    <w:rsid w:val="007B32A8"/>
    <w:rsid w:val="007B3415"/>
    <w:rsid w:val="007B3BA6"/>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C8D"/>
    <w:rsid w:val="007B6D55"/>
    <w:rsid w:val="007B70B8"/>
    <w:rsid w:val="007B7744"/>
    <w:rsid w:val="007B7779"/>
    <w:rsid w:val="007C0515"/>
    <w:rsid w:val="007C0984"/>
    <w:rsid w:val="007C0A54"/>
    <w:rsid w:val="007C0A85"/>
    <w:rsid w:val="007C0E20"/>
    <w:rsid w:val="007C0EC9"/>
    <w:rsid w:val="007C1012"/>
    <w:rsid w:val="007C112A"/>
    <w:rsid w:val="007C15AA"/>
    <w:rsid w:val="007C217B"/>
    <w:rsid w:val="007C2555"/>
    <w:rsid w:val="007C2A90"/>
    <w:rsid w:val="007C2AB7"/>
    <w:rsid w:val="007C2E62"/>
    <w:rsid w:val="007C3245"/>
    <w:rsid w:val="007C35F7"/>
    <w:rsid w:val="007C451D"/>
    <w:rsid w:val="007C45A9"/>
    <w:rsid w:val="007C45E0"/>
    <w:rsid w:val="007C474B"/>
    <w:rsid w:val="007C48E0"/>
    <w:rsid w:val="007C4B79"/>
    <w:rsid w:val="007C56F6"/>
    <w:rsid w:val="007C5C0C"/>
    <w:rsid w:val="007C5E2A"/>
    <w:rsid w:val="007C5EB3"/>
    <w:rsid w:val="007C5EED"/>
    <w:rsid w:val="007C659D"/>
    <w:rsid w:val="007C6B42"/>
    <w:rsid w:val="007C70FF"/>
    <w:rsid w:val="007C747C"/>
    <w:rsid w:val="007C74E7"/>
    <w:rsid w:val="007C7FD7"/>
    <w:rsid w:val="007D0203"/>
    <w:rsid w:val="007D02CC"/>
    <w:rsid w:val="007D0446"/>
    <w:rsid w:val="007D0732"/>
    <w:rsid w:val="007D0838"/>
    <w:rsid w:val="007D09C6"/>
    <w:rsid w:val="007D10C1"/>
    <w:rsid w:val="007D149A"/>
    <w:rsid w:val="007D199C"/>
    <w:rsid w:val="007D1C4B"/>
    <w:rsid w:val="007D1C9B"/>
    <w:rsid w:val="007D1CBF"/>
    <w:rsid w:val="007D1E98"/>
    <w:rsid w:val="007D1EFF"/>
    <w:rsid w:val="007D22A1"/>
    <w:rsid w:val="007D22FB"/>
    <w:rsid w:val="007D269F"/>
    <w:rsid w:val="007D2C06"/>
    <w:rsid w:val="007D2D7F"/>
    <w:rsid w:val="007D36F5"/>
    <w:rsid w:val="007D3705"/>
    <w:rsid w:val="007D4266"/>
    <w:rsid w:val="007D4C5E"/>
    <w:rsid w:val="007D532B"/>
    <w:rsid w:val="007D54C9"/>
    <w:rsid w:val="007D5878"/>
    <w:rsid w:val="007D643E"/>
    <w:rsid w:val="007D709F"/>
    <w:rsid w:val="007D7484"/>
    <w:rsid w:val="007D750A"/>
    <w:rsid w:val="007D768E"/>
    <w:rsid w:val="007D7713"/>
    <w:rsid w:val="007D792A"/>
    <w:rsid w:val="007D7B03"/>
    <w:rsid w:val="007E00F3"/>
    <w:rsid w:val="007E018C"/>
    <w:rsid w:val="007E01E2"/>
    <w:rsid w:val="007E022D"/>
    <w:rsid w:val="007E09AF"/>
    <w:rsid w:val="007E0B2A"/>
    <w:rsid w:val="007E0B2E"/>
    <w:rsid w:val="007E0FEE"/>
    <w:rsid w:val="007E128E"/>
    <w:rsid w:val="007E2354"/>
    <w:rsid w:val="007E253C"/>
    <w:rsid w:val="007E25A1"/>
    <w:rsid w:val="007E2907"/>
    <w:rsid w:val="007E29A4"/>
    <w:rsid w:val="007E2AE4"/>
    <w:rsid w:val="007E2B78"/>
    <w:rsid w:val="007E2E78"/>
    <w:rsid w:val="007E2F3B"/>
    <w:rsid w:val="007E3699"/>
    <w:rsid w:val="007E369A"/>
    <w:rsid w:val="007E36A7"/>
    <w:rsid w:val="007E4678"/>
    <w:rsid w:val="007E4C05"/>
    <w:rsid w:val="007E4CFB"/>
    <w:rsid w:val="007E4EEB"/>
    <w:rsid w:val="007E51D9"/>
    <w:rsid w:val="007E52BE"/>
    <w:rsid w:val="007E5403"/>
    <w:rsid w:val="007E5C09"/>
    <w:rsid w:val="007E5F35"/>
    <w:rsid w:val="007E65DE"/>
    <w:rsid w:val="007E6DC8"/>
    <w:rsid w:val="007E7310"/>
    <w:rsid w:val="007E73D1"/>
    <w:rsid w:val="007E774C"/>
    <w:rsid w:val="007E7E47"/>
    <w:rsid w:val="007F0009"/>
    <w:rsid w:val="007F02B6"/>
    <w:rsid w:val="007F0713"/>
    <w:rsid w:val="007F077B"/>
    <w:rsid w:val="007F0F13"/>
    <w:rsid w:val="007F122C"/>
    <w:rsid w:val="007F1488"/>
    <w:rsid w:val="007F1990"/>
    <w:rsid w:val="007F283C"/>
    <w:rsid w:val="007F2A6C"/>
    <w:rsid w:val="007F2BF4"/>
    <w:rsid w:val="007F2EB6"/>
    <w:rsid w:val="007F2FA7"/>
    <w:rsid w:val="007F2FB0"/>
    <w:rsid w:val="007F313B"/>
    <w:rsid w:val="007F32F8"/>
    <w:rsid w:val="007F3847"/>
    <w:rsid w:val="007F3AA5"/>
    <w:rsid w:val="007F467D"/>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B27"/>
    <w:rsid w:val="00801B4D"/>
    <w:rsid w:val="00801DDB"/>
    <w:rsid w:val="008026A2"/>
    <w:rsid w:val="00802CE8"/>
    <w:rsid w:val="00802D85"/>
    <w:rsid w:val="00802FE5"/>
    <w:rsid w:val="008034BB"/>
    <w:rsid w:val="0080365B"/>
    <w:rsid w:val="00803D64"/>
    <w:rsid w:val="00803D68"/>
    <w:rsid w:val="00803F03"/>
    <w:rsid w:val="008045E4"/>
    <w:rsid w:val="008047D8"/>
    <w:rsid w:val="00804BD6"/>
    <w:rsid w:val="00804D4A"/>
    <w:rsid w:val="00804DBC"/>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B85"/>
    <w:rsid w:val="0081230D"/>
    <w:rsid w:val="00812325"/>
    <w:rsid w:val="0081292B"/>
    <w:rsid w:val="00812EAA"/>
    <w:rsid w:val="0081322C"/>
    <w:rsid w:val="008132D5"/>
    <w:rsid w:val="00813EDA"/>
    <w:rsid w:val="00814764"/>
    <w:rsid w:val="008148A5"/>
    <w:rsid w:val="008149F5"/>
    <w:rsid w:val="00814AAF"/>
    <w:rsid w:val="008152FD"/>
    <w:rsid w:val="008154A4"/>
    <w:rsid w:val="008157DE"/>
    <w:rsid w:val="008160C5"/>
    <w:rsid w:val="00816648"/>
    <w:rsid w:val="008166FF"/>
    <w:rsid w:val="0081783F"/>
    <w:rsid w:val="00817CB4"/>
    <w:rsid w:val="008204E0"/>
    <w:rsid w:val="00820F14"/>
    <w:rsid w:val="00820F5D"/>
    <w:rsid w:val="0082117B"/>
    <w:rsid w:val="0082140F"/>
    <w:rsid w:val="00821624"/>
    <w:rsid w:val="00821724"/>
    <w:rsid w:val="00821F49"/>
    <w:rsid w:val="008220CF"/>
    <w:rsid w:val="00822571"/>
    <w:rsid w:val="008226D7"/>
    <w:rsid w:val="008229D8"/>
    <w:rsid w:val="00822B6F"/>
    <w:rsid w:val="00822CCF"/>
    <w:rsid w:val="00822F7B"/>
    <w:rsid w:val="00823DA2"/>
    <w:rsid w:val="00823DCC"/>
    <w:rsid w:val="00823FDF"/>
    <w:rsid w:val="00824278"/>
    <w:rsid w:val="00824295"/>
    <w:rsid w:val="00824594"/>
    <w:rsid w:val="008245F0"/>
    <w:rsid w:val="00824856"/>
    <w:rsid w:val="0082494C"/>
    <w:rsid w:val="00825200"/>
    <w:rsid w:val="008252D3"/>
    <w:rsid w:val="00825328"/>
    <w:rsid w:val="0082561A"/>
    <w:rsid w:val="008256CF"/>
    <w:rsid w:val="00825741"/>
    <w:rsid w:val="00825BFF"/>
    <w:rsid w:val="00826060"/>
    <w:rsid w:val="0082655A"/>
    <w:rsid w:val="00826BAB"/>
    <w:rsid w:val="00826C8C"/>
    <w:rsid w:val="0082709A"/>
    <w:rsid w:val="008270D7"/>
    <w:rsid w:val="00827683"/>
    <w:rsid w:val="00827B91"/>
    <w:rsid w:val="00830601"/>
    <w:rsid w:val="0083077B"/>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70"/>
    <w:rsid w:val="00834F2A"/>
    <w:rsid w:val="00835D85"/>
    <w:rsid w:val="00836026"/>
    <w:rsid w:val="00836105"/>
    <w:rsid w:val="008361A2"/>
    <w:rsid w:val="00836525"/>
    <w:rsid w:val="00836729"/>
    <w:rsid w:val="00836B0B"/>
    <w:rsid w:val="00836B0C"/>
    <w:rsid w:val="00836EC0"/>
    <w:rsid w:val="00836F14"/>
    <w:rsid w:val="00837470"/>
    <w:rsid w:val="00837811"/>
    <w:rsid w:val="00837973"/>
    <w:rsid w:val="00840242"/>
    <w:rsid w:val="0084043B"/>
    <w:rsid w:val="008407D5"/>
    <w:rsid w:val="00840822"/>
    <w:rsid w:val="00840C0D"/>
    <w:rsid w:val="00840E07"/>
    <w:rsid w:val="00840E20"/>
    <w:rsid w:val="00840F63"/>
    <w:rsid w:val="00840FCD"/>
    <w:rsid w:val="00841252"/>
    <w:rsid w:val="00841438"/>
    <w:rsid w:val="008415C4"/>
    <w:rsid w:val="00841710"/>
    <w:rsid w:val="00841DC5"/>
    <w:rsid w:val="00841E75"/>
    <w:rsid w:val="008420D8"/>
    <w:rsid w:val="00842FE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72B0"/>
    <w:rsid w:val="00847B99"/>
    <w:rsid w:val="00847E0E"/>
    <w:rsid w:val="0085000C"/>
    <w:rsid w:val="0085040C"/>
    <w:rsid w:val="00850FBF"/>
    <w:rsid w:val="0085101F"/>
    <w:rsid w:val="008513E8"/>
    <w:rsid w:val="00851B23"/>
    <w:rsid w:val="00851B3D"/>
    <w:rsid w:val="00851C32"/>
    <w:rsid w:val="008525E0"/>
    <w:rsid w:val="0085269B"/>
    <w:rsid w:val="00852CD7"/>
    <w:rsid w:val="00853162"/>
    <w:rsid w:val="00853BF2"/>
    <w:rsid w:val="00853C53"/>
    <w:rsid w:val="00853D2E"/>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6ED"/>
    <w:rsid w:val="00856CF5"/>
    <w:rsid w:val="00856EB8"/>
    <w:rsid w:val="00857336"/>
    <w:rsid w:val="008576D8"/>
    <w:rsid w:val="0085775B"/>
    <w:rsid w:val="00857A90"/>
    <w:rsid w:val="0086020E"/>
    <w:rsid w:val="00860AC8"/>
    <w:rsid w:val="00860E8A"/>
    <w:rsid w:val="00861592"/>
    <w:rsid w:val="00861D83"/>
    <w:rsid w:val="00861F64"/>
    <w:rsid w:val="008621E3"/>
    <w:rsid w:val="00862836"/>
    <w:rsid w:val="00862CEF"/>
    <w:rsid w:val="00862DCA"/>
    <w:rsid w:val="00863042"/>
    <w:rsid w:val="008630D0"/>
    <w:rsid w:val="00863293"/>
    <w:rsid w:val="0086356E"/>
    <w:rsid w:val="008639DD"/>
    <w:rsid w:val="00863BF1"/>
    <w:rsid w:val="0086418C"/>
    <w:rsid w:val="008641F5"/>
    <w:rsid w:val="00864266"/>
    <w:rsid w:val="008649ED"/>
    <w:rsid w:val="00864C00"/>
    <w:rsid w:val="008651BF"/>
    <w:rsid w:val="00865663"/>
    <w:rsid w:val="008657E5"/>
    <w:rsid w:val="008658AF"/>
    <w:rsid w:val="008659D2"/>
    <w:rsid w:val="00865C32"/>
    <w:rsid w:val="00865C42"/>
    <w:rsid w:val="00865D09"/>
    <w:rsid w:val="00866AC9"/>
    <w:rsid w:val="00867A27"/>
    <w:rsid w:val="00870689"/>
    <w:rsid w:val="008706C1"/>
    <w:rsid w:val="00870883"/>
    <w:rsid w:val="008710DA"/>
    <w:rsid w:val="008712A2"/>
    <w:rsid w:val="00871375"/>
    <w:rsid w:val="0087183A"/>
    <w:rsid w:val="00871904"/>
    <w:rsid w:val="008719EC"/>
    <w:rsid w:val="00871BC7"/>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C59"/>
    <w:rsid w:val="00876DD0"/>
    <w:rsid w:val="00877470"/>
    <w:rsid w:val="00877CB0"/>
    <w:rsid w:val="008801A9"/>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634"/>
    <w:rsid w:val="00884A9A"/>
    <w:rsid w:val="00884E73"/>
    <w:rsid w:val="00885093"/>
    <w:rsid w:val="008853A7"/>
    <w:rsid w:val="0088558E"/>
    <w:rsid w:val="0088563B"/>
    <w:rsid w:val="00885C39"/>
    <w:rsid w:val="00885C6F"/>
    <w:rsid w:val="00885EAE"/>
    <w:rsid w:val="00885FEB"/>
    <w:rsid w:val="008860FF"/>
    <w:rsid w:val="00886148"/>
    <w:rsid w:val="00886296"/>
    <w:rsid w:val="0088691F"/>
    <w:rsid w:val="00886C4A"/>
    <w:rsid w:val="008870B7"/>
    <w:rsid w:val="008872EF"/>
    <w:rsid w:val="008872F5"/>
    <w:rsid w:val="00887D64"/>
    <w:rsid w:val="008906C7"/>
    <w:rsid w:val="00890AAC"/>
    <w:rsid w:val="00891ADA"/>
    <w:rsid w:val="00891CDE"/>
    <w:rsid w:val="00893720"/>
    <w:rsid w:val="00893AEA"/>
    <w:rsid w:val="00893DD7"/>
    <w:rsid w:val="00893F74"/>
    <w:rsid w:val="0089401B"/>
    <w:rsid w:val="00894045"/>
    <w:rsid w:val="00894D3C"/>
    <w:rsid w:val="0089505B"/>
    <w:rsid w:val="008955F7"/>
    <w:rsid w:val="008956BF"/>
    <w:rsid w:val="00895A22"/>
    <w:rsid w:val="00895E43"/>
    <w:rsid w:val="00896003"/>
    <w:rsid w:val="008963D8"/>
    <w:rsid w:val="0089645F"/>
    <w:rsid w:val="008973ED"/>
    <w:rsid w:val="008974A1"/>
    <w:rsid w:val="008A0438"/>
    <w:rsid w:val="008A05B1"/>
    <w:rsid w:val="008A0C41"/>
    <w:rsid w:val="008A10CC"/>
    <w:rsid w:val="008A1432"/>
    <w:rsid w:val="008A173F"/>
    <w:rsid w:val="008A1986"/>
    <w:rsid w:val="008A1B7D"/>
    <w:rsid w:val="008A1DF3"/>
    <w:rsid w:val="008A207D"/>
    <w:rsid w:val="008A20B0"/>
    <w:rsid w:val="008A27E4"/>
    <w:rsid w:val="008A2A6F"/>
    <w:rsid w:val="008A2C00"/>
    <w:rsid w:val="008A3084"/>
    <w:rsid w:val="008A32AB"/>
    <w:rsid w:val="008A32D3"/>
    <w:rsid w:val="008A333A"/>
    <w:rsid w:val="008A350F"/>
    <w:rsid w:val="008A35ED"/>
    <w:rsid w:val="008A3C2A"/>
    <w:rsid w:val="008A3E4F"/>
    <w:rsid w:val="008A42DA"/>
    <w:rsid w:val="008A4818"/>
    <w:rsid w:val="008A4AF6"/>
    <w:rsid w:val="008A4C0D"/>
    <w:rsid w:val="008A4C2E"/>
    <w:rsid w:val="008A4EDB"/>
    <w:rsid w:val="008A5A94"/>
    <w:rsid w:val="008A5D42"/>
    <w:rsid w:val="008A5DEA"/>
    <w:rsid w:val="008A5F06"/>
    <w:rsid w:val="008A61A2"/>
    <w:rsid w:val="008A6462"/>
    <w:rsid w:val="008A6919"/>
    <w:rsid w:val="008A6B10"/>
    <w:rsid w:val="008A6DE7"/>
    <w:rsid w:val="008A708B"/>
    <w:rsid w:val="008A7A88"/>
    <w:rsid w:val="008A7BC9"/>
    <w:rsid w:val="008A7D84"/>
    <w:rsid w:val="008A7E5A"/>
    <w:rsid w:val="008B08A2"/>
    <w:rsid w:val="008B0A6A"/>
    <w:rsid w:val="008B0B81"/>
    <w:rsid w:val="008B0BEA"/>
    <w:rsid w:val="008B0C16"/>
    <w:rsid w:val="008B0DF3"/>
    <w:rsid w:val="008B1939"/>
    <w:rsid w:val="008B1BBF"/>
    <w:rsid w:val="008B1E66"/>
    <w:rsid w:val="008B271D"/>
    <w:rsid w:val="008B2786"/>
    <w:rsid w:val="008B27F7"/>
    <w:rsid w:val="008B297E"/>
    <w:rsid w:val="008B2FB5"/>
    <w:rsid w:val="008B301F"/>
    <w:rsid w:val="008B351F"/>
    <w:rsid w:val="008B36F0"/>
    <w:rsid w:val="008B3D0D"/>
    <w:rsid w:val="008B4251"/>
    <w:rsid w:val="008B4515"/>
    <w:rsid w:val="008B481D"/>
    <w:rsid w:val="008B4978"/>
    <w:rsid w:val="008B4996"/>
    <w:rsid w:val="008B4E27"/>
    <w:rsid w:val="008B4F54"/>
    <w:rsid w:val="008B5009"/>
    <w:rsid w:val="008B5432"/>
    <w:rsid w:val="008B58BF"/>
    <w:rsid w:val="008B5B04"/>
    <w:rsid w:val="008B6149"/>
    <w:rsid w:val="008B6355"/>
    <w:rsid w:val="008B65AD"/>
    <w:rsid w:val="008B68AD"/>
    <w:rsid w:val="008B6B15"/>
    <w:rsid w:val="008B6F30"/>
    <w:rsid w:val="008B76D5"/>
    <w:rsid w:val="008B779F"/>
    <w:rsid w:val="008B7CE5"/>
    <w:rsid w:val="008B7E1F"/>
    <w:rsid w:val="008C00E0"/>
    <w:rsid w:val="008C02F2"/>
    <w:rsid w:val="008C02F6"/>
    <w:rsid w:val="008C0394"/>
    <w:rsid w:val="008C0530"/>
    <w:rsid w:val="008C0B2E"/>
    <w:rsid w:val="008C0B49"/>
    <w:rsid w:val="008C106D"/>
    <w:rsid w:val="008C10F9"/>
    <w:rsid w:val="008C1152"/>
    <w:rsid w:val="008C1184"/>
    <w:rsid w:val="008C1237"/>
    <w:rsid w:val="008C15DC"/>
    <w:rsid w:val="008C1677"/>
    <w:rsid w:val="008C188C"/>
    <w:rsid w:val="008C1F03"/>
    <w:rsid w:val="008C211F"/>
    <w:rsid w:val="008C223A"/>
    <w:rsid w:val="008C22D4"/>
    <w:rsid w:val="008C283E"/>
    <w:rsid w:val="008C3262"/>
    <w:rsid w:val="008C3429"/>
    <w:rsid w:val="008C343E"/>
    <w:rsid w:val="008C3557"/>
    <w:rsid w:val="008C3BFC"/>
    <w:rsid w:val="008C4419"/>
    <w:rsid w:val="008C44BE"/>
    <w:rsid w:val="008C4722"/>
    <w:rsid w:val="008C47F8"/>
    <w:rsid w:val="008C4CE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C1F"/>
    <w:rsid w:val="008D1D54"/>
    <w:rsid w:val="008D210E"/>
    <w:rsid w:val="008D2367"/>
    <w:rsid w:val="008D23E8"/>
    <w:rsid w:val="008D2E35"/>
    <w:rsid w:val="008D312A"/>
    <w:rsid w:val="008D3636"/>
    <w:rsid w:val="008D3838"/>
    <w:rsid w:val="008D3B86"/>
    <w:rsid w:val="008D3F92"/>
    <w:rsid w:val="008D43B5"/>
    <w:rsid w:val="008D4414"/>
    <w:rsid w:val="008D4460"/>
    <w:rsid w:val="008D44DC"/>
    <w:rsid w:val="008D47DF"/>
    <w:rsid w:val="008D491F"/>
    <w:rsid w:val="008D4F1D"/>
    <w:rsid w:val="008D4F32"/>
    <w:rsid w:val="008D502A"/>
    <w:rsid w:val="008D5618"/>
    <w:rsid w:val="008D5D87"/>
    <w:rsid w:val="008D61DC"/>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8D6"/>
    <w:rsid w:val="008E3B83"/>
    <w:rsid w:val="008E3EE6"/>
    <w:rsid w:val="008E473E"/>
    <w:rsid w:val="008E4943"/>
    <w:rsid w:val="008E4A64"/>
    <w:rsid w:val="008E4D88"/>
    <w:rsid w:val="008E536B"/>
    <w:rsid w:val="008E545E"/>
    <w:rsid w:val="008E55E8"/>
    <w:rsid w:val="008E5B64"/>
    <w:rsid w:val="008E5FBA"/>
    <w:rsid w:val="008E6524"/>
    <w:rsid w:val="008E6657"/>
    <w:rsid w:val="008E6996"/>
    <w:rsid w:val="008E76E6"/>
    <w:rsid w:val="008E7730"/>
    <w:rsid w:val="008E7B85"/>
    <w:rsid w:val="008E7FA6"/>
    <w:rsid w:val="008F02F6"/>
    <w:rsid w:val="008F041B"/>
    <w:rsid w:val="008F0557"/>
    <w:rsid w:val="008F05E6"/>
    <w:rsid w:val="008F08DC"/>
    <w:rsid w:val="008F0D9C"/>
    <w:rsid w:val="008F11CB"/>
    <w:rsid w:val="008F12C8"/>
    <w:rsid w:val="008F143C"/>
    <w:rsid w:val="008F1856"/>
    <w:rsid w:val="008F19F6"/>
    <w:rsid w:val="008F1A57"/>
    <w:rsid w:val="008F25D9"/>
    <w:rsid w:val="008F272D"/>
    <w:rsid w:val="008F2953"/>
    <w:rsid w:val="008F2B3A"/>
    <w:rsid w:val="008F2F0F"/>
    <w:rsid w:val="008F318E"/>
    <w:rsid w:val="008F3722"/>
    <w:rsid w:val="008F40E0"/>
    <w:rsid w:val="008F4282"/>
    <w:rsid w:val="008F4EDB"/>
    <w:rsid w:val="008F5140"/>
    <w:rsid w:val="008F51EB"/>
    <w:rsid w:val="008F545E"/>
    <w:rsid w:val="008F565E"/>
    <w:rsid w:val="008F5748"/>
    <w:rsid w:val="008F5953"/>
    <w:rsid w:val="008F5BE5"/>
    <w:rsid w:val="008F5D2C"/>
    <w:rsid w:val="008F5DA6"/>
    <w:rsid w:val="008F61FC"/>
    <w:rsid w:val="008F6221"/>
    <w:rsid w:val="008F642B"/>
    <w:rsid w:val="008F722C"/>
    <w:rsid w:val="008F73E0"/>
    <w:rsid w:val="008F7B30"/>
    <w:rsid w:val="008F7DB1"/>
    <w:rsid w:val="008F7FB9"/>
    <w:rsid w:val="0090001B"/>
    <w:rsid w:val="00900CF6"/>
    <w:rsid w:val="00900EF6"/>
    <w:rsid w:val="00901175"/>
    <w:rsid w:val="00901278"/>
    <w:rsid w:val="009013D9"/>
    <w:rsid w:val="009017F7"/>
    <w:rsid w:val="009019F8"/>
    <w:rsid w:val="00901A66"/>
    <w:rsid w:val="00901FCB"/>
    <w:rsid w:val="00902195"/>
    <w:rsid w:val="0090228C"/>
    <w:rsid w:val="00902536"/>
    <w:rsid w:val="00903647"/>
    <w:rsid w:val="00903A5E"/>
    <w:rsid w:val="00903BC6"/>
    <w:rsid w:val="00903E23"/>
    <w:rsid w:val="00903E6E"/>
    <w:rsid w:val="00903EC7"/>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66E"/>
    <w:rsid w:val="00912A5E"/>
    <w:rsid w:val="00912E11"/>
    <w:rsid w:val="00912FBA"/>
    <w:rsid w:val="009134DE"/>
    <w:rsid w:val="009136E9"/>
    <w:rsid w:val="00913BA3"/>
    <w:rsid w:val="00913CFF"/>
    <w:rsid w:val="00913F7F"/>
    <w:rsid w:val="0091421E"/>
    <w:rsid w:val="00914596"/>
    <w:rsid w:val="0091459B"/>
    <w:rsid w:val="009147FF"/>
    <w:rsid w:val="009148A8"/>
    <w:rsid w:val="0091498B"/>
    <w:rsid w:val="0091516E"/>
    <w:rsid w:val="009151B6"/>
    <w:rsid w:val="0091533D"/>
    <w:rsid w:val="0091580A"/>
    <w:rsid w:val="00915BB8"/>
    <w:rsid w:val="00915C3B"/>
    <w:rsid w:val="00915DE6"/>
    <w:rsid w:val="00916048"/>
    <w:rsid w:val="00916A7C"/>
    <w:rsid w:val="00916FB2"/>
    <w:rsid w:val="0091768B"/>
    <w:rsid w:val="009177CA"/>
    <w:rsid w:val="009204B7"/>
    <w:rsid w:val="0092059D"/>
    <w:rsid w:val="00920DED"/>
    <w:rsid w:val="00920EDD"/>
    <w:rsid w:val="00921588"/>
    <w:rsid w:val="00921644"/>
    <w:rsid w:val="00921955"/>
    <w:rsid w:val="00921A11"/>
    <w:rsid w:val="00921A3D"/>
    <w:rsid w:val="00921AAA"/>
    <w:rsid w:val="00921FB8"/>
    <w:rsid w:val="00922345"/>
    <w:rsid w:val="009224E7"/>
    <w:rsid w:val="009228CA"/>
    <w:rsid w:val="00922C3F"/>
    <w:rsid w:val="00922DD7"/>
    <w:rsid w:val="009231E0"/>
    <w:rsid w:val="009234D3"/>
    <w:rsid w:val="00923EF7"/>
    <w:rsid w:val="00924236"/>
    <w:rsid w:val="00925076"/>
    <w:rsid w:val="0092567B"/>
    <w:rsid w:val="00925746"/>
    <w:rsid w:val="009258E9"/>
    <w:rsid w:val="00925BD5"/>
    <w:rsid w:val="00925BEF"/>
    <w:rsid w:val="00925F5F"/>
    <w:rsid w:val="00926225"/>
    <w:rsid w:val="009266DC"/>
    <w:rsid w:val="00926929"/>
    <w:rsid w:val="00926B3D"/>
    <w:rsid w:val="00926F78"/>
    <w:rsid w:val="00927080"/>
    <w:rsid w:val="00927791"/>
    <w:rsid w:val="00927940"/>
    <w:rsid w:val="00927FC8"/>
    <w:rsid w:val="00930B8F"/>
    <w:rsid w:val="00930C74"/>
    <w:rsid w:val="00930E68"/>
    <w:rsid w:val="00930EF9"/>
    <w:rsid w:val="009315CB"/>
    <w:rsid w:val="0093160E"/>
    <w:rsid w:val="00931620"/>
    <w:rsid w:val="00931C44"/>
    <w:rsid w:val="00931FEA"/>
    <w:rsid w:val="00932031"/>
    <w:rsid w:val="009320FC"/>
    <w:rsid w:val="00932180"/>
    <w:rsid w:val="009323DA"/>
    <w:rsid w:val="0093263D"/>
    <w:rsid w:val="0093290B"/>
    <w:rsid w:val="0093316F"/>
    <w:rsid w:val="0093338F"/>
    <w:rsid w:val="00933472"/>
    <w:rsid w:val="009334A3"/>
    <w:rsid w:val="00933520"/>
    <w:rsid w:val="009335AD"/>
    <w:rsid w:val="00933AD8"/>
    <w:rsid w:val="00934062"/>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195"/>
    <w:rsid w:val="009423D1"/>
    <w:rsid w:val="0094243D"/>
    <w:rsid w:val="009424CD"/>
    <w:rsid w:val="00942856"/>
    <w:rsid w:val="009428AF"/>
    <w:rsid w:val="00942A9E"/>
    <w:rsid w:val="00942EDB"/>
    <w:rsid w:val="00942F4A"/>
    <w:rsid w:val="009434AF"/>
    <w:rsid w:val="00943B0D"/>
    <w:rsid w:val="00944160"/>
    <w:rsid w:val="0094419F"/>
    <w:rsid w:val="009441DA"/>
    <w:rsid w:val="00944208"/>
    <w:rsid w:val="00944391"/>
    <w:rsid w:val="00944BA4"/>
    <w:rsid w:val="009450A9"/>
    <w:rsid w:val="00945705"/>
    <w:rsid w:val="00945F95"/>
    <w:rsid w:val="0094646E"/>
    <w:rsid w:val="00946793"/>
    <w:rsid w:val="009467A0"/>
    <w:rsid w:val="009467B8"/>
    <w:rsid w:val="00946F5A"/>
    <w:rsid w:val="00947A97"/>
    <w:rsid w:val="00947CEB"/>
    <w:rsid w:val="00947E86"/>
    <w:rsid w:val="00950599"/>
    <w:rsid w:val="009507B2"/>
    <w:rsid w:val="00951101"/>
    <w:rsid w:val="00951374"/>
    <w:rsid w:val="0095159E"/>
    <w:rsid w:val="00951FDE"/>
    <w:rsid w:val="009520C8"/>
    <w:rsid w:val="0095241A"/>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A49"/>
    <w:rsid w:val="00960323"/>
    <w:rsid w:val="00960382"/>
    <w:rsid w:val="009609A1"/>
    <w:rsid w:val="00961CA1"/>
    <w:rsid w:val="00961D5F"/>
    <w:rsid w:val="00961DD4"/>
    <w:rsid w:val="00962109"/>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49"/>
    <w:rsid w:val="00967723"/>
    <w:rsid w:val="00967FE5"/>
    <w:rsid w:val="0097000C"/>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37"/>
    <w:rsid w:val="00973513"/>
    <w:rsid w:val="00973C55"/>
    <w:rsid w:val="0097479D"/>
    <w:rsid w:val="009748A3"/>
    <w:rsid w:val="00974F05"/>
    <w:rsid w:val="00975512"/>
    <w:rsid w:val="009755DE"/>
    <w:rsid w:val="0097598C"/>
    <w:rsid w:val="00975D52"/>
    <w:rsid w:val="00975F84"/>
    <w:rsid w:val="00976178"/>
    <w:rsid w:val="00976A37"/>
    <w:rsid w:val="00976D54"/>
    <w:rsid w:val="00976DCB"/>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47E"/>
    <w:rsid w:val="009824D4"/>
    <w:rsid w:val="009835C8"/>
    <w:rsid w:val="00983A05"/>
    <w:rsid w:val="00983BA2"/>
    <w:rsid w:val="00983C4B"/>
    <w:rsid w:val="00983DA0"/>
    <w:rsid w:val="00983EC3"/>
    <w:rsid w:val="0098443B"/>
    <w:rsid w:val="0098465F"/>
    <w:rsid w:val="00984B60"/>
    <w:rsid w:val="00984F5C"/>
    <w:rsid w:val="009850D8"/>
    <w:rsid w:val="0098579F"/>
    <w:rsid w:val="00985AD3"/>
    <w:rsid w:val="00985ADC"/>
    <w:rsid w:val="00985E05"/>
    <w:rsid w:val="00985F1F"/>
    <w:rsid w:val="009862B5"/>
    <w:rsid w:val="009864C0"/>
    <w:rsid w:val="00986DAE"/>
    <w:rsid w:val="00986EAF"/>
    <w:rsid w:val="0098707E"/>
    <w:rsid w:val="009870FD"/>
    <w:rsid w:val="00987149"/>
    <w:rsid w:val="009871F0"/>
    <w:rsid w:val="00987384"/>
    <w:rsid w:val="00987A27"/>
    <w:rsid w:val="0099056D"/>
    <w:rsid w:val="0099073D"/>
    <w:rsid w:val="00990D95"/>
    <w:rsid w:val="00990F33"/>
    <w:rsid w:val="009917E9"/>
    <w:rsid w:val="00991FF5"/>
    <w:rsid w:val="0099233F"/>
    <w:rsid w:val="00992650"/>
    <w:rsid w:val="0099266C"/>
    <w:rsid w:val="00992912"/>
    <w:rsid w:val="00992D0F"/>
    <w:rsid w:val="00992F84"/>
    <w:rsid w:val="00993021"/>
    <w:rsid w:val="009930C1"/>
    <w:rsid w:val="00993CE1"/>
    <w:rsid w:val="00993FA8"/>
    <w:rsid w:val="009942A4"/>
    <w:rsid w:val="0099432C"/>
    <w:rsid w:val="009944D9"/>
    <w:rsid w:val="009947F8"/>
    <w:rsid w:val="00994881"/>
    <w:rsid w:val="009948E7"/>
    <w:rsid w:val="00994D7A"/>
    <w:rsid w:val="00996419"/>
    <w:rsid w:val="0099674F"/>
    <w:rsid w:val="00996AB1"/>
    <w:rsid w:val="00996B19"/>
    <w:rsid w:val="00996E80"/>
    <w:rsid w:val="00997146"/>
    <w:rsid w:val="00997C1B"/>
    <w:rsid w:val="00997DC3"/>
    <w:rsid w:val="00997FDB"/>
    <w:rsid w:val="009A066E"/>
    <w:rsid w:val="009A0718"/>
    <w:rsid w:val="009A095E"/>
    <w:rsid w:val="009A0C87"/>
    <w:rsid w:val="009A0D7B"/>
    <w:rsid w:val="009A1266"/>
    <w:rsid w:val="009A1305"/>
    <w:rsid w:val="009A16B3"/>
    <w:rsid w:val="009A1AC6"/>
    <w:rsid w:val="009A1B27"/>
    <w:rsid w:val="009A1F1B"/>
    <w:rsid w:val="009A218D"/>
    <w:rsid w:val="009A22BB"/>
    <w:rsid w:val="009A24B8"/>
    <w:rsid w:val="009A275F"/>
    <w:rsid w:val="009A2B2C"/>
    <w:rsid w:val="009A2E65"/>
    <w:rsid w:val="009A2F00"/>
    <w:rsid w:val="009A3014"/>
    <w:rsid w:val="009A309B"/>
    <w:rsid w:val="009A334E"/>
    <w:rsid w:val="009A3636"/>
    <w:rsid w:val="009A385E"/>
    <w:rsid w:val="009A404A"/>
    <w:rsid w:val="009A4096"/>
    <w:rsid w:val="009A411A"/>
    <w:rsid w:val="009A4154"/>
    <w:rsid w:val="009A44DA"/>
    <w:rsid w:val="009A4549"/>
    <w:rsid w:val="009A4753"/>
    <w:rsid w:val="009A4853"/>
    <w:rsid w:val="009A4F47"/>
    <w:rsid w:val="009A545F"/>
    <w:rsid w:val="009A5CDF"/>
    <w:rsid w:val="009A70D9"/>
    <w:rsid w:val="009A71E3"/>
    <w:rsid w:val="009A71F5"/>
    <w:rsid w:val="009A7C33"/>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461"/>
    <w:rsid w:val="009B5B93"/>
    <w:rsid w:val="009B5C93"/>
    <w:rsid w:val="009B63B8"/>
    <w:rsid w:val="009B6967"/>
    <w:rsid w:val="009B6C63"/>
    <w:rsid w:val="009B6DDF"/>
    <w:rsid w:val="009B7206"/>
    <w:rsid w:val="009B770F"/>
    <w:rsid w:val="009B7AAD"/>
    <w:rsid w:val="009B7CA9"/>
    <w:rsid w:val="009C0680"/>
    <w:rsid w:val="009C06A8"/>
    <w:rsid w:val="009C1224"/>
    <w:rsid w:val="009C1525"/>
    <w:rsid w:val="009C16CC"/>
    <w:rsid w:val="009C171A"/>
    <w:rsid w:val="009C187A"/>
    <w:rsid w:val="009C1DE0"/>
    <w:rsid w:val="009C1E4F"/>
    <w:rsid w:val="009C22BA"/>
    <w:rsid w:val="009C2836"/>
    <w:rsid w:val="009C2C89"/>
    <w:rsid w:val="009C2EF6"/>
    <w:rsid w:val="009C3292"/>
    <w:rsid w:val="009C3A35"/>
    <w:rsid w:val="009C3E0E"/>
    <w:rsid w:val="009C40B9"/>
    <w:rsid w:val="009C4131"/>
    <w:rsid w:val="009C42DE"/>
    <w:rsid w:val="009C4508"/>
    <w:rsid w:val="009C4580"/>
    <w:rsid w:val="009C4A31"/>
    <w:rsid w:val="009C4DBF"/>
    <w:rsid w:val="009C4DDB"/>
    <w:rsid w:val="009C4DF7"/>
    <w:rsid w:val="009C52DC"/>
    <w:rsid w:val="009C5C40"/>
    <w:rsid w:val="009C6024"/>
    <w:rsid w:val="009C66F8"/>
    <w:rsid w:val="009C6980"/>
    <w:rsid w:val="009C6E40"/>
    <w:rsid w:val="009C75F5"/>
    <w:rsid w:val="009C7EAF"/>
    <w:rsid w:val="009D024B"/>
    <w:rsid w:val="009D0835"/>
    <w:rsid w:val="009D0ADB"/>
    <w:rsid w:val="009D0CF6"/>
    <w:rsid w:val="009D15B4"/>
    <w:rsid w:val="009D232C"/>
    <w:rsid w:val="009D2B80"/>
    <w:rsid w:val="009D301E"/>
    <w:rsid w:val="009D33EF"/>
    <w:rsid w:val="009D40E0"/>
    <w:rsid w:val="009D4122"/>
    <w:rsid w:val="009D4133"/>
    <w:rsid w:val="009D417D"/>
    <w:rsid w:val="009D58DF"/>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2E9"/>
    <w:rsid w:val="009E18C4"/>
    <w:rsid w:val="009E1EAA"/>
    <w:rsid w:val="009E2293"/>
    <w:rsid w:val="009E252E"/>
    <w:rsid w:val="009E31B2"/>
    <w:rsid w:val="009E3BC4"/>
    <w:rsid w:val="009E47E5"/>
    <w:rsid w:val="009E48F4"/>
    <w:rsid w:val="009E4CA1"/>
    <w:rsid w:val="009E4D67"/>
    <w:rsid w:val="009E4D97"/>
    <w:rsid w:val="009E4F28"/>
    <w:rsid w:val="009E52E5"/>
    <w:rsid w:val="009E5473"/>
    <w:rsid w:val="009E5775"/>
    <w:rsid w:val="009E593F"/>
    <w:rsid w:val="009E5CF2"/>
    <w:rsid w:val="009E67B4"/>
    <w:rsid w:val="009E6BE1"/>
    <w:rsid w:val="009E6D17"/>
    <w:rsid w:val="009E726E"/>
    <w:rsid w:val="009E73FE"/>
    <w:rsid w:val="009E77AA"/>
    <w:rsid w:val="009E7C41"/>
    <w:rsid w:val="009F042D"/>
    <w:rsid w:val="009F09DD"/>
    <w:rsid w:val="009F11B0"/>
    <w:rsid w:val="009F12CD"/>
    <w:rsid w:val="009F139D"/>
    <w:rsid w:val="009F15EF"/>
    <w:rsid w:val="009F1C59"/>
    <w:rsid w:val="009F1D3A"/>
    <w:rsid w:val="009F1D91"/>
    <w:rsid w:val="009F249C"/>
    <w:rsid w:val="009F2875"/>
    <w:rsid w:val="009F335A"/>
    <w:rsid w:val="009F37B3"/>
    <w:rsid w:val="009F39DA"/>
    <w:rsid w:val="009F3AA4"/>
    <w:rsid w:val="009F46AF"/>
    <w:rsid w:val="009F4AC8"/>
    <w:rsid w:val="009F4EAC"/>
    <w:rsid w:val="009F4F62"/>
    <w:rsid w:val="009F5112"/>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1135"/>
    <w:rsid w:val="00A01905"/>
    <w:rsid w:val="00A01A84"/>
    <w:rsid w:val="00A01BA9"/>
    <w:rsid w:val="00A01DB5"/>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63E3"/>
    <w:rsid w:val="00A066C0"/>
    <w:rsid w:val="00A06757"/>
    <w:rsid w:val="00A0682B"/>
    <w:rsid w:val="00A06C3F"/>
    <w:rsid w:val="00A06F87"/>
    <w:rsid w:val="00A06FEC"/>
    <w:rsid w:val="00A07F27"/>
    <w:rsid w:val="00A102C2"/>
    <w:rsid w:val="00A10771"/>
    <w:rsid w:val="00A10AF0"/>
    <w:rsid w:val="00A10D28"/>
    <w:rsid w:val="00A10E98"/>
    <w:rsid w:val="00A113BA"/>
    <w:rsid w:val="00A1140C"/>
    <w:rsid w:val="00A1153A"/>
    <w:rsid w:val="00A11906"/>
    <w:rsid w:val="00A11921"/>
    <w:rsid w:val="00A11CE8"/>
    <w:rsid w:val="00A11E84"/>
    <w:rsid w:val="00A1238D"/>
    <w:rsid w:val="00A12421"/>
    <w:rsid w:val="00A124C9"/>
    <w:rsid w:val="00A12E7C"/>
    <w:rsid w:val="00A13159"/>
    <w:rsid w:val="00A13917"/>
    <w:rsid w:val="00A1398D"/>
    <w:rsid w:val="00A13A44"/>
    <w:rsid w:val="00A13C92"/>
    <w:rsid w:val="00A13CD6"/>
    <w:rsid w:val="00A13E24"/>
    <w:rsid w:val="00A13F03"/>
    <w:rsid w:val="00A14095"/>
    <w:rsid w:val="00A147C0"/>
    <w:rsid w:val="00A14E87"/>
    <w:rsid w:val="00A14EA5"/>
    <w:rsid w:val="00A15004"/>
    <w:rsid w:val="00A15783"/>
    <w:rsid w:val="00A157BF"/>
    <w:rsid w:val="00A15C6C"/>
    <w:rsid w:val="00A166FA"/>
    <w:rsid w:val="00A16844"/>
    <w:rsid w:val="00A173EF"/>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F35"/>
    <w:rsid w:val="00A24291"/>
    <w:rsid w:val="00A242EE"/>
    <w:rsid w:val="00A24469"/>
    <w:rsid w:val="00A24FCD"/>
    <w:rsid w:val="00A25251"/>
    <w:rsid w:val="00A2531B"/>
    <w:rsid w:val="00A255DD"/>
    <w:rsid w:val="00A25865"/>
    <w:rsid w:val="00A25B0E"/>
    <w:rsid w:val="00A25C09"/>
    <w:rsid w:val="00A25FBA"/>
    <w:rsid w:val="00A26E95"/>
    <w:rsid w:val="00A277F5"/>
    <w:rsid w:val="00A30BEA"/>
    <w:rsid w:val="00A31917"/>
    <w:rsid w:val="00A319F0"/>
    <w:rsid w:val="00A321C8"/>
    <w:rsid w:val="00A32539"/>
    <w:rsid w:val="00A32F5D"/>
    <w:rsid w:val="00A33A65"/>
    <w:rsid w:val="00A33CBA"/>
    <w:rsid w:val="00A342A9"/>
    <w:rsid w:val="00A34923"/>
    <w:rsid w:val="00A34CB1"/>
    <w:rsid w:val="00A34EAE"/>
    <w:rsid w:val="00A35342"/>
    <w:rsid w:val="00A355DD"/>
    <w:rsid w:val="00A3563F"/>
    <w:rsid w:val="00A357BF"/>
    <w:rsid w:val="00A359F0"/>
    <w:rsid w:val="00A35A06"/>
    <w:rsid w:val="00A35B3A"/>
    <w:rsid w:val="00A35F17"/>
    <w:rsid w:val="00A3607A"/>
    <w:rsid w:val="00A36233"/>
    <w:rsid w:val="00A3627F"/>
    <w:rsid w:val="00A372E6"/>
    <w:rsid w:val="00A373EB"/>
    <w:rsid w:val="00A37670"/>
    <w:rsid w:val="00A4022E"/>
    <w:rsid w:val="00A40E40"/>
    <w:rsid w:val="00A40E98"/>
    <w:rsid w:val="00A40ECE"/>
    <w:rsid w:val="00A40FFE"/>
    <w:rsid w:val="00A411AA"/>
    <w:rsid w:val="00A4134C"/>
    <w:rsid w:val="00A414D9"/>
    <w:rsid w:val="00A4189D"/>
    <w:rsid w:val="00A41D2D"/>
    <w:rsid w:val="00A41F89"/>
    <w:rsid w:val="00A4210D"/>
    <w:rsid w:val="00A42346"/>
    <w:rsid w:val="00A4261B"/>
    <w:rsid w:val="00A43246"/>
    <w:rsid w:val="00A43C71"/>
    <w:rsid w:val="00A43CC0"/>
    <w:rsid w:val="00A4419A"/>
    <w:rsid w:val="00A44A49"/>
    <w:rsid w:val="00A44C20"/>
    <w:rsid w:val="00A44D65"/>
    <w:rsid w:val="00A44F51"/>
    <w:rsid w:val="00A45086"/>
    <w:rsid w:val="00A451BB"/>
    <w:rsid w:val="00A45A69"/>
    <w:rsid w:val="00A45DC4"/>
    <w:rsid w:val="00A463B4"/>
    <w:rsid w:val="00A467A6"/>
    <w:rsid w:val="00A468C5"/>
    <w:rsid w:val="00A468CE"/>
    <w:rsid w:val="00A46992"/>
    <w:rsid w:val="00A46A57"/>
    <w:rsid w:val="00A46B3C"/>
    <w:rsid w:val="00A470C3"/>
    <w:rsid w:val="00A475D6"/>
    <w:rsid w:val="00A476DB"/>
    <w:rsid w:val="00A47AC9"/>
    <w:rsid w:val="00A47ACF"/>
    <w:rsid w:val="00A500A3"/>
    <w:rsid w:val="00A500B9"/>
    <w:rsid w:val="00A50201"/>
    <w:rsid w:val="00A502AF"/>
    <w:rsid w:val="00A5091A"/>
    <w:rsid w:val="00A5094A"/>
    <w:rsid w:val="00A50A2B"/>
    <w:rsid w:val="00A51E3F"/>
    <w:rsid w:val="00A51F93"/>
    <w:rsid w:val="00A52594"/>
    <w:rsid w:val="00A53A48"/>
    <w:rsid w:val="00A53BFF"/>
    <w:rsid w:val="00A53EF4"/>
    <w:rsid w:val="00A54121"/>
    <w:rsid w:val="00A5439F"/>
    <w:rsid w:val="00A54AA5"/>
    <w:rsid w:val="00A5577B"/>
    <w:rsid w:val="00A55951"/>
    <w:rsid w:val="00A55C7E"/>
    <w:rsid w:val="00A56710"/>
    <w:rsid w:val="00A567BC"/>
    <w:rsid w:val="00A56906"/>
    <w:rsid w:val="00A56A53"/>
    <w:rsid w:val="00A5737A"/>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2438"/>
    <w:rsid w:val="00A72849"/>
    <w:rsid w:val="00A731A9"/>
    <w:rsid w:val="00A731F8"/>
    <w:rsid w:val="00A73376"/>
    <w:rsid w:val="00A738B7"/>
    <w:rsid w:val="00A73B77"/>
    <w:rsid w:val="00A73C25"/>
    <w:rsid w:val="00A74056"/>
    <w:rsid w:val="00A74313"/>
    <w:rsid w:val="00A74928"/>
    <w:rsid w:val="00A7498E"/>
    <w:rsid w:val="00A74A18"/>
    <w:rsid w:val="00A74F49"/>
    <w:rsid w:val="00A75555"/>
    <w:rsid w:val="00A76DC6"/>
    <w:rsid w:val="00A76FB0"/>
    <w:rsid w:val="00A777D6"/>
    <w:rsid w:val="00A77C2F"/>
    <w:rsid w:val="00A801CC"/>
    <w:rsid w:val="00A8039D"/>
    <w:rsid w:val="00A80718"/>
    <w:rsid w:val="00A80B46"/>
    <w:rsid w:val="00A80EAC"/>
    <w:rsid w:val="00A8173F"/>
    <w:rsid w:val="00A81A6A"/>
    <w:rsid w:val="00A82597"/>
    <w:rsid w:val="00A82961"/>
    <w:rsid w:val="00A82AE4"/>
    <w:rsid w:val="00A82B8A"/>
    <w:rsid w:val="00A82C5C"/>
    <w:rsid w:val="00A830CC"/>
    <w:rsid w:val="00A831C5"/>
    <w:rsid w:val="00A831E0"/>
    <w:rsid w:val="00A83224"/>
    <w:rsid w:val="00A833D3"/>
    <w:rsid w:val="00A8341F"/>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A87"/>
    <w:rsid w:val="00A85DBE"/>
    <w:rsid w:val="00A85F5A"/>
    <w:rsid w:val="00A86067"/>
    <w:rsid w:val="00A860C6"/>
    <w:rsid w:val="00A863D8"/>
    <w:rsid w:val="00A867BF"/>
    <w:rsid w:val="00A867CD"/>
    <w:rsid w:val="00A86BC9"/>
    <w:rsid w:val="00A86C23"/>
    <w:rsid w:val="00A86E5F"/>
    <w:rsid w:val="00A8733E"/>
    <w:rsid w:val="00A873FE"/>
    <w:rsid w:val="00A87575"/>
    <w:rsid w:val="00A87D5D"/>
    <w:rsid w:val="00A9046F"/>
    <w:rsid w:val="00A90558"/>
    <w:rsid w:val="00A908D3"/>
    <w:rsid w:val="00A91188"/>
    <w:rsid w:val="00A91616"/>
    <w:rsid w:val="00A918E6"/>
    <w:rsid w:val="00A91BDA"/>
    <w:rsid w:val="00A9204A"/>
    <w:rsid w:val="00A92EE5"/>
    <w:rsid w:val="00A92F2B"/>
    <w:rsid w:val="00A92FD0"/>
    <w:rsid w:val="00A9304A"/>
    <w:rsid w:val="00A93447"/>
    <w:rsid w:val="00A934E3"/>
    <w:rsid w:val="00A93573"/>
    <w:rsid w:val="00A937C2"/>
    <w:rsid w:val="00A93C07"/>
    <w:rsid w:val="00A93C15"/>
    <w:rsid w:val="00A94115"/>
    <w:rsid w:val="00A94514"/>
    <w:rsid w:val="00A946F2"/>
    <w:rsid w:val="00A94A9C"/>
    <w:rsid w:val="00A94CB7"/>
    <w:rsid w:val="00A954B3"/>
    <w:rsid w:val="00A958CC"/>
    <w:rsid w:val="00A95A88"/>
    <w:rsid w:val="00A95F20"/>
    <w:rsid w:val="00A96298"/>
    <w:rsid w:val="00A9683D"/>
    <w:rsid w:val="00A96B51"/>
    <w:rsid w:val="00A972A5"/>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C3A"/>
    <w:rsid w:val="00AA308F"/>
    <w:rsid w:val="00AA31C2"/>
    <w:rsid w:val="00AA39A3"/>
    <w:rsid w:val="00AA3B2B"/>
    <w:rsid w:val="00AA3F1C"/>
    <w:rsid w:val="00AA453D"/>
    <w:rsid w:val="00AA4A16"/>
    <w:rsid w:val="00AA4ABD"/>
    <w:rsid w:val="00AA4D33"/>
    <w:rsid w:val="00AA4DB3"/>
    <w:rsid w:val="00AA5847"/>
    <w:rsid w:val="00AA5A77"/>
    <w:rsid w:val="00AA5D6F"/>
    <w:rsid w:val="00AA5FF9"/>
    <w:rsid w:val="00AA6394"/>
    <w:rsid w:val="00AA6451"/>
    <w:rsid w:val="00AA6BC1"/>
    <w:rsid w:val="00AA6E17"/>
    <w:rsid w:val="00AA7021"/>
    <w:rsid w:val="00AA7573"/>
    <w:rsid w:val="00AA7910"/>
    <w:rsid w:val="00AA7B72"/>
    <w:rsid w:val="00AA7C10"/>
    <w:rsid w:val="00AA7C1B"/>
    <w:rsid w:val="00AA7DE6"/>
    <w:rsid w:val="00AA7E0F"/>
    <w:rsid w:val="00AA7F7A"/>
    <w:rsid w:val="00AB01EB"/>
    <w:rsid w:val="00AB0CEF"/>
    <w:rsid w:val="00AB0E4E"/>
    <w:rsid w:val="00AB0EC3"/>
    <w:rsid w:val="00AB1D19"/>
    <w:rsid w:val="00AB1DE9"/>
    <w:rsid w:val="00AB2555"/>
    <w:rsid w:val="00AB29C3"/>
    <w:rsid w:val="00AB2A50"/>
    <w:rsid w:val="00AB2AA9"/>
    <w:rsid w:val="00AB2C86"/>
    <w:rsid w:val="00AB2EF2"/>
    <w:rsid w:val="00AB35E0"/>
    <w:rsid w:val="00AB364C"/>
    <w:rsid w:val="00AB36EA"/>
    <w:rsid w:val="00AB374E"/>
    <w:rsid w:val="00AB3C36"/>
    <w:rsid w:val="00AB3F3F"/>
    <w:rsid w:val="00AB3FA3"/>
    <w:rsid w:val="00AB41CB"/>
    <w:rsid w:val="00AB4710"/>
    <w:rsid w:val="00AB489E"/>
    <w:rsid w:val="00AB4C0E"/>
    <w:rsid w:val="00AB4E2D"/>
    <w:rsid w:val="00AB639D"/>
    <w:rsid w:val="00AB6685"/>
    <w:rsid w:val="00AB6722"/>
    <w:rsid w:val="00AB67D4"/>
    <w:rsid w:val="00AB682A"/>
    <w:rsid w:val="00AB6BB0"/>
    <w:rsid w:val="00AB6CF3"/>
    <w:rsid w:val="00AB715F"/>
    <w:rsid w:val="00AB74D7"/>
    <w:rsid w:val="00AB7974"/>
    <w:rsid w:val="00AC0126"/>
    <w:rsid w:val="00AC02C9"/>
    <w:rsid w:val="00AC02FE"/>
    <w:rsid w:val="00AC03C0"/>
    <w:rsid w:val="00AC0678"/>
    <w:rsid w:val="00AC08D2"/>
    <w:rsid w:val="00AC0A6E"/>
    <w:rsid w:val="00AC0B1F"/>
    <w:rsid w:val="00AC0D8D"/>
    <w:rsid w:val="00AC0EAE"/>
    <w:rsid w:val="00AC10ED"/>
    <w:rsid w:val="00AC21C9"/>
    <w:rsid w:val="00AC258E"/>
    <w:rsid w:val="00AC2664"/>
    <w:rsid w:val="00AC2C0D"/>
    <w:rsid w:val="00AC3A2C"/>
    <w:rsid w:val="00AC3AFF"/>
    <w:rsid w:val="00AC3CC0"/>
    <w:rsid w:val="00AC3E66"/>
    <w:rsid w:val="00AC4AEA"/>
    <w:rsid w:val="00AC4D4F"/>
    <w:rsid w:val="00AC5275"/>
    <w:rsid w:val="00AC5824"/>
    <w:rsid w:val="00AC5BBF"/>
    <w:rsid w:val="00AC5BF4"/>
    <w:rsid w:val="00AC5CB5"/>
    <w:rsid w:val="00AC60A2"/>
    <w:rsid w:val="00AC60F0"/>
    <w:rsid w:val="00AC624F"/>
    <w:rsid w:val="00AC629A"/>
    <w:rsid w:val="00AC6862"/>
    <w:rsid w:val="00AC6D91"/>
    <w:rsid w:val="00AC6F25"/>
    <w:rsid w:val="00AC7C29"/>
    <w:rsid w:val="00AD0066"/>
    <w:rsid w:val="00AD06CF"/>
    <w:rsid w:val="00AD06F5"/>
    <w:rsid w:val="00AD0BC2"/>
    <w:rsid w:val="00AD0CCC"/>
    <w:rsid w:val="00AD0F7F"/>
    <w:rsid w:val="00AD1677"/>
    <w:rsid w:val="00AD1757"/>
    <w:rsid w:val="00AD18DA"/>
    <w:rsid w:val="00AD18F6"/>
    <w:rsid w:val="00AD1AE6"/>
    <w:rsid w:val="00AD22DA"/>
    <w:rsid w:val="00AD22E2"/>
    <w:rsid w:val="00AD25A2"/>
    <w:rsid w:val="00AD35B9"/>
    <w:rsid w:val="00AD36BC"/>
    <w:rsid w:val="00AD3EC7"/>
    <w:rsid w:val="00AD4046"/>
    <w:rsid w:val="00AD456A"/>
    <w:rsid w:val="00AD49DC"/>
    <w:rsid w:val="00AD5062"/>
    <w:rsid w:val="00AD50B8"/>
    <w:rsid w:val="00AD54EB"/>
    <w:rsid w:val="00AD573D"/>
    <w:rsid w:val="00AD59BA"/>
    <w:rsid w:val="00AD5CFC"/>
    <w:rsid w:val="00AD60F4"/>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41A8"/>
    <w:rsid w:val="00AE43BE"/>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6E2F"/>
    <w:rsid w:val="00AE7B6B"/>
    <w:rsid w:val="00AE7D0E"/>
    <w:rsid w:val="00AF0243"/>
    <w:rsid w:val="00AF0418"/>
    <w:rsid w:val="00AF05A6"/>
    <w:rsid w:val="00AF114B"/>
    <w:rsid w:val="00AF1359"/>
    <w:rsid w:val="00AF1B8F"/>
    <w:rsid w:val="00AF1F31"/>
    <w:rsid w:val="00AF1F51"/>
    <w:rsid w:val="00AF276C"/>
    <w:rsid w:val="00AF2990"/>
    <w:rsid w:val="00AF2C32"/>
    <w:rsid w:val="00AF33F8"/>
    <w:rsid w:val="00AF349F"/>
    <w:rsid w:val="00AF3AD6"/>
    <w:rsid w:val="00AF3CA1"/>
    <w:rsid w:val="00AF3DF0"/>
    <w:rsid w:val="00AF3EB6"/>
    <w:rsid w:val="00AF4739"/>
    <w:rsid w:val="00AF48A9"/>
    <w:rsid w:val="00AF4990"/>
    <w:rsid w:val="00AF4EB8"/>
    <w:rsid w:val="00AF5562"/>
    <w:rsid w:val="00AF566D"/>
    <w:rsid w:val="00AF6188"/>
    <w:rsid w:val="00AF651E"/>
    <w:rsid w:val="00AF683B"/>
    <w:rsid w:val="00AF6E42"/>
    <w:rsid w:val="00AF707B"/>
    <w:rsid w:val="00AF7A8D"/>
    <w:rsid w:val="00AF7BE2"/>
    <w:rsid w:val="00AF7C24"/>
    <w:rsid w:val="00AF7D3F"/>
    <w:rsid w:val="00AF7F28"/>
    <w:rsid w:val="00B001B6"/>
    <w:rsid w:val="00B00729"/>
    <w:rsid w:val="00B0072B"/>
    <w:rsid w:val="00B00A07"/>
    <w:rsid w:val="00B00AF0"/>
    <w:rsid w:val="00B00B26"/>
    <w:rsid w:val="00B00CE4"/>
    <w:rsid w:val="00B00F9E"/>
    <w:rsid w:val="00B011D7"/>
    <w:rsid w:val="00B011F1"/>
    <w:rsid w:val="00B01B28"/>
    <w:rsid w:val="00B01C1D"/>
    <w:rsid w:val="00B020B7"/>
    <w:rsid w:val="00B02217"/>
    <w:rsid w:val="00B026FA"/>
    <w:rsid w:val="00B0273F"/>
    <w:rsid w:val="00B027E9"/>
    <w:rsid w:val="00B02A5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680"/>
    <w:rsid w:val="00B05701"/>
    <w:rsid w:val="00B05D65"/>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107B0"/>
    <w:rsid w:val="00B107D6"/>
    <w:rsid w:val="00B10889"/>
    <w:rsid w:val="00B1099F"/>
    <w:rsid w:val="00B10C6D"/>
    <w:rsid w:val="00B113BD"/>
    <w:rsid w:val="00B113CA"/>
    <w:rsid w:val="00B11AF7"/>
    <w:rsid w:val="00B11B09"/>
    <w:rsid w:val="00B11E0C"/>
    <w:rsid w:val="00B11FC0"/>
    <w:rsid w:val="00B1282D"/>
    <w:rsid w:val="00B14585"/>
    <w:rsid w:val="00B145B0"/>
    <w:rsid w:val="00B14A7C"/>
    <w:rsid w:val="00B14AFD"/>
    <w:rsid w:val="00B14BAA"/>
    <w:rsid w:val="00B14BFD"/>
    <w:rsid w:val="00B14F21"/>
    <w:rsid w:val="00B1561A"/>
    <w:rsid w:val="00B1582A"/>
    <w:rsid w:val="00B15B7A"/>
    <w:rsid w:val="00B15CA3"/>
    <w:rsid w:val="00B16028"/>
    <w:rsid w:val="00B16141"/>
    <w:rsid w:val="00B162B2"/>
    <w:rsid w:val="00B16549"/>
    <w:rsid w:val="00B16730"/>
    <w:rsid w:val="00B1681B"/>
    <w:rsid w:val="00B168AF"/>
    <w:rsid w:val="00B168E7"/>
    <w:rsid w:val="00B16E84"/>
    <w:rsid w:val="00B17113"/>
    <w:rsid w:val="00B1766F"/>
    <w:rsid w:val="00B17A3A"/>
    <w:rsid w:val="00B17D20"/>
    <w:rsid w:val="00B2053D"/>
    <w:rsid w:val="00B20584"/>
    <w:rsid w:val="00B20928"/>
    <w:rsid w:val="00B20BF6"/>
    <w:rsid w:val="00B20C18"/>
    <w:rsid w:val="00B2138E"/>
    <w:rsid w:val="00B21DDA"/>
    <w:rsid w:val="00B226E3"/>
    <w:rsid w:val="00B227C3"/>
    <w:rsid w:val="00B234C4"/>
    <w:rsid w:val="00B2357E"/>
    <w:rsid w:val="00B235D1"/>
    <w:rsid w:val="00B236DE"/>
    <w:rsid w:val="00B23991"/>
    <w:rsid w:val="00B24468"/>
    <w:rsid w:val="00B245E8"/>
    <w:rsid w:val="00B25006"/>
    <w:rsid w:val="00B250B2"/>
    <w:rsid w:val="00B25263"/>
    <w:rsid w:val="00B25570"/>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548"/>
    <w:rsid w:val="00B3181C"/>
    <w:rsid w:val="00B32297"/>
    <w:rsid w:val="00B325E1"/>
    <w:rsid w:val="00B3270B"/>
    <w:rsid w:val="00B32C4B"/>
    <w:rsid w:val="00B32D0B"/>
    <w:rsid w:val="00B33795"/>
    <w:rsid w:val="00B33922"/>
    <w:rsid w:val="00B33AAC"/>
    <w:rsid w:val="00B33BD0"/>
    <w:rsid w:val="00B340C2"/>
    <w:rsid w:val="00B3430B"/>
    <w:rsid w:val="00B34471"/>
    <w:rsid w:val="00B34962"/>
    <w:rsid w:val="00B34BB6"/>
    <w:rsid w:val="00B3512C"/>
    <w:rsid w:val="00B357CC"/>
    <w:rsid w:val="00B361AA"/>
    <w:rsid w:val="00B36262"/>
    <w:rsid w:val="00B362CE"/>
    <w:rsid w:val="00B3631C"/>
    <w:rsid w:val="00B36BED"/>
    <w:rsid w:val="00B36E23"/>
    <w:rsid w:val="00B36F6C"/>
    <w:rsid w:val="00B3705B"/>
    <w:rsid w:val="00B3727C"/>
    <w:rsid w:val="00B372CC"/>
    <w:rsid w:val="00B4046B"/>
    <w:rsid w:val="00B40661"/>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3D"/>
    <w:rsid w:val="00B4369E"/>
    <w:rsid w:val="00B43CBE"/>
    <w:rsid w:val="00B4448C"/>
    <w:rsid w:val="00B44576"/>
    <w:rsid w:val="00B4466F"/>
    <w:rsid w:val="00B44A9E"/>
    <w:rsid w:val="00B44E9F"/>
    <w:rsid w:val="00B44FCF"/>
    <w:rsid w:val="00B451DB"/>
    <w:rsid w:val="00B45D87"/>
    <w:rsid w:val="00B45FFC"/>
    <w:rsid w:val="00B462CF"/>
    <w:rsid w:val="00B4648A"/>
    <w:rsid w:val="00B46851"/>
    <w:rsid w:val="00B46BEE"/>
    <w:rsid w:val="00B46CAD"/>
    <w:rsid w:val="00B46EF4"/>
    <w:rsid w:val="00B4746D"/>
    <w:rsid w:val="00B47789"/>
    <w:rsid w:val="00B478D9"/>
    <w:rsid w:val="00B47A69"/>
    <w:rsid w:val="00B47AF8"/>
    <w:rsid w:val="00B5004F"/>
    <w:rsid w:val="00B503E9"/>
    <w:rsid w:val="00B50C38"/>
    <w:rsid w:val="00B50F95"/>
    <w:rsid w:val="00B51673"/>
    <w:rsid w:val="00B51B1F"/>
    <w:rsid w:val="00B52361"/>
    <w:rsid w:val="00B52516"/>
    <w:rsid w:val="00B52E26"/>
    <w:rsid w:val="00B52E82"/>
    <w:rsid w:val="00B5348C"/>
    <w:rsid w:val="00B535F6"/>
    <w:rsid w:val="00B5379D"/>
    <w:rsid w:val="00B53835"/>
    <w:rsid w:val="00B539AA"/>
    <w:rsid w:val="00B53B0A"/>
    <w:rsid w:val="00B53C81"/>
    <w:rsid w:val="00B53FEF"/>
    <w:rsid w:val="00B540BC"/>
    <w:rsid w:val="00B54308"/>
    <w:rsid w:val="00B543EA"/>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5D9"/>
    <w:rsid w:val="00B576EB"/>
    <w:rsid w:val="00B57D12"/>
    <w:rsid w:val="00B600BB"/>
    <w:rsid w:val="00B601DD"/>
    <w:rsid w:val="00B6035E"/>
    <w:rsid w:val="00B60447"/>
    <w:rsid w:val="00B607BE"/>
    <w:rsid w:val="00B60B5C"/>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9A2"/>
    <w:rsid w:val="00B66B33"/>
    <w:rsid w:val="00B67996"/>
    <w:rsid w:val="00B67A91"/>
    <w:rsid w:val="00B67DC0"/>
    <w:rsid w:val="00B67E8B"/>
    <w:rsid w:val="00B701E4"/>
    <w:rsid w:val="00B70475"/>
    <w:rsid w:val="00B70479"/>
    <w:rsid w:val="00B70915"/>
    <w:rsid w:val="00B70C9F"/>
    <w:rsid w:val="00B70CCE"/>
    <w:rsid w:val="00B712C2"/>
    <w:rsid w:val="00B7156A"/>
    <w:rsid w:val="00B7178D"/>
    <w:rsid w:val="00B71EC1"/>
    <w:rsid w:val="00B7238D"/>
    <w:rsid w:val="00B7245E"/>
    <w:rsid w:val="00B72743"/>
    <w:rsid w:val="00B72B25"/>
    <w:rsid w:val="00B72C6C"/>
    <w:rsid w:val="00B73D26"/>
    <w:rsid w:val="00B7465A"/>
    <w:rsid w:val="00B74858"/>
    <w:rsid w:val="00B75122"/>
    <w:rsid w:val="00B75729"/>
    <w:rsid w:val="00B75740"/>
    <w:rsid w:val="00B760AE"/>
    <w:rsid w:val="00B76D5A"/>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0A0"/>
    <w:rsid w:val="00B828A3"/>
    <w:rsid w:val="00B82CB6"/>
    <w:rsid w:val="00B82E2E"/>
    <w:rsid w:val="00B834AC"/>
    <w:rsid w:val="00B83661"/>
    <w:rsid w:val="00B83AD7"/>
    <w:rsid w:val="00B84055"/>
    <w:rsid w:val="00B84FCB"/>
    <w:rsid w:val="00B8513C"/>
    <w:rsid w:val="00B851CE"/>
    <w:rsid w:val="00B856CE"/>
    <w:rsid w:val="00B8598D"/>
    <w:rsid w:val="00B85C0E"/>
    <w:rsid w:val="00B86792"/>
    <w:rsid w:val="00B867F3"/>
    <w:rsid w:val="00B86A3E"/>
    <w:rsid w:val="00B86B0C"/>
    <w:rsid w:val="00B86E7A"/>
    <w:rsid w:val="00B87619"/>
    <w:rsid w:val="00B87665"/>
    <w:rsid w:val="00B876DD"/>
    <w:rsid w:val="00B8782C"/>
    <w:rsid w:val="00B87B59"/>
    <w:rsid w:val="00B87F85"/>
    <w:rsid w:val="00B90635"/>
    <w:rsid w:val="00B90801"/>
    <w:rsid w:val="00B90BFC"/>
    <w:rsid w:val="00B90CCD"/>
    <w:rsid w:val="00B90D03"/>
    <w:rsid w:val="00B910D9"/>
    <w:rsid w:val="00B91603"/>
    <w:rsid w:val="00B9188F"/>
    <w:rsid w:val="00B91F86"/>
    <w:rsid w:val="00B9205E"/>
    <w:rsid w:val="00B922FC"/>
    <w:rsid w:val="00B9252C"/>
    <w:rsid w:val="00B930A3"/>
    <w:rsid w:val="00B9321F"/>
    <w:rsid w:val="00B938ED"/>
    <w:rsid w:val="00B93A87"/>
    <w:rsid w:val="00B93E4C"/>
    <w:rsid w:val="00B93E5C"/>
    <w:rsid w:val="00B94244"/>
    <w:rsid w:val="00B9431C"/>
    <w:rsid w:val="00B94334"/>
    <w:rsid w:val="00B94BD6"/>
    <w:rsid w:val="00B951A3"/>
    <w:rsid w:val="00B958C1"/>
    <w:rsid w:val="00B964FB"/>
    <w:rsid w:val="00B966DA"/>
    <w:rsid w:val="00B970A4"/>
    <w:rsid w:val="00B97112"/>
    <w:rsid w:val="00B97925"/>
    <w:rsid w:val="00BA1002"/>
    <w:rsid w:val="00BA1A7F"/>
    <w:rsid w:val="00BA1BB5"/>
    <w:rsid w:val="00BA1ECA"/>
    <w:rsid w:val="00BA273E"/>
    <w:rsid w:val="00BA2B93"/>
    <w:rsid w:val="00BA2C85"/>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F8"/>
    <w:rsid w:val="00BB01E5"/>
    <w:rsid w:val="00BB0FC6"/>
    <w:rsid w:val="00BB11D5"/>
    <w:rsid w:val="00BB1717"/>
    <w:rsid w:val="00BB1E47"/>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759"/>
    <w:rsid w:val="00BC12C6"/>
    <w:rsid w:val="00BC1651"/>
    <w:rsid w:val="00BC177E"/>
    <w:rsid w:val="00BC1CC0"/>
    <w:rsid w:val="00BC20A7"/>
    <w:rsid w:val="00BC260F"/>
    <w:rsid w:val="00BC2989"/>
    <w:rsid w:val="00BC2AB8"/>
    <w:rsid w:val="00BC2AF3"/>
    <w:rsid w:val="00BC2F41"/>
    <w:rsid w:val="00BC2FBB"/>
    <w:rsid w:val="00BC330E"/>
    <w:rsid w:val="00BC3319"/>
    <w:rsid w:val="00BC4045"/>
    <w:rsid w:val="00BC41B1"/>
    <w:rsid w:val="00BC4982"/>
    <w:rsid w:val="00BC4AA3"/>
    <w:rsid w:val="00BC4C6C"/>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7446"/>
    <w:rsid w:val="00BC76E9"/>
    <w:rsid w:val="00BC78D7"/>
    <w:rsid w:val="00BC7D8D"/>
    <w:rsid w:val="00BD0431"/>
    <w:rsid w:val="00BD0491"/>
    <w:rsid w:val="00BD0520"/>
    <w:rsid w:val="00BD113C"/>
    <w:rsid w:val="00BD166B"/>
    <w:rsid w:val="00BD19D4"/>
    <w:rsid w:val="00BD2598"/>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55C7"/>
    <w:rsid w:val="00BD607B"/>
    <w:rsid w:val="00BD64BD"/>
    <w:rsid w:val="00BD697D"/>
    <w:rsid w:val="00BD6B4E"/>
    <w:rsid w:val="00BD6D03"/>
    <w:rsid w:val="00BD6E79"/>
    <w:rsid w:val="00BD7392"/>
    <w:rsid w:val="00BD74C8"/>
    <w:rsid w:val="00BD7A69"/>
    <w:rsid w:val="00BD7BA7"/>
    <w:rsid w:val="00BD7BCC"/>
    <w:rsid w:val="00BE000B"/>
    <w:rsid w:val="00BE008E"/>
    <w:rsid w:val="00BE05B6"/>
    <w:rsid w:val="00BE06D2"/>
    <w:rsid w:val="00BE0965"/>
    <w:rsid w:val="00BE0A64"/>
    <w:rsid w:val="00BE0C9E"/>
    <w:rsid w:val="00BE0F2D"/>
    <w:rsid w:val="00BE13B3"/>
    <w:rsid w:val="00BE13B9"/>
    <w:rsid w:val="00BE15A9"/>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6465"/>
    <w:rsid w:val="00BE681B"/>
    <w:rsid w:val="00BE6A24"/>
    <w:rsid w:val="00BE7153"/>
    <w:rsid w:val="00BE734B"/>
    <w:rsid w:val="00BF02D4"/>
    <w:rsid w:val="00BF0337"/>
    <w:rsid w:val="00BF046B"/>
    <w:rsid w:val="00BF0893"/>
    <w:rsid w:val="00BF08DD"/>
    <w:rsid w:val="00BF12E8"/>
    <w:rsid w:val="00BF15BD"/>
    <w:rsid w:val="00BF1D03"/>
    <w:rsid w:val="00BF2113"/>
    <w:rsid w:val="00BF2233"/>
    <w:rsid w:val="00BF238F"/>
    <w:rsid w:val="00BF257E"/>
    <w:rsid w:val="00BF25D2"/>
    <w:rsid w:val="00BF2686"/>
    <w:rsid w:val="00BF2A2B"/>
    <w:rsid w:val="00BF2AD9"/>
    <w:rsid w:val="00BF2F97"/>
    <w:rsid w:val="00BF35BB"/>
    <w:rsid w:val="00BF3BBA"/>
    <w:rsid w:val="00BF4945"/>
    <w:rsid w:val="00BF4F53"/>
    <w:rsid w:val="00BF51AE"/>
    <w:rsid w:val="00BF52F6"/>
    <w:rsid w:val="00BF543F"/>
    <w:rsid w:val="00BF54FE"/>
    <w:rsid w:val="00BF5BA9"/>
    <w:rsid w:val="00BF5D1D"/>
    <w:rsid w:val="00BF5E78"/>
    <w:rsid w:val="00BF6447"/>
    <w:rsid w:val="00BF666C"/>
    <w:rsid w:val="00BF6A53"/>
    <w:rsid w:val="00BF6C16"/>
    <w:rsid w:val="00BF6C19"/>
    <w:rsid w:val="00BF6E6A"/>
    <w:rsid w:val="00BF6FB7"/>
    <w:rsid w:val="00BF7EA0"/>
    <w:rsid w:val="00C00409"/>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43D"/>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64E"/>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F24"/>
    <w:rsid w:val="00C16323"/>
    <w:rsid w:val="00C16407"/>
    <w:rsid w:val="00C16469"/>
    <w:rsid w:val="00C16A5B"/>
    <w:rsid w:val="00C16FB9"/>
    <w:rsid w:val="00C1729D"/>
    <w:rsid w:val="00C17345"/>
    <w:rsid w:val="00C17E3D"/>
    <w:rsid w:val="00C2064A"/>
    <w:rsid w:val="00C2066E"/>
    <w:rsid w:val="00C20B50"/>
    <w:rsid w:val="00C20CF2"/>
    <w:rsid w:val="00C21044"/>
    <w:rsid w:val="00C213D8"/>
    <w:rsid w:val="00C214DF"/>
    <w:rsid w:val="00C21926"/>
    <w:rsid w:val="00C21A0A"/>
    <w:rsid w:val="00C21AA4"/>
    <w:rsid w:val="00C22C0C"/>
    <w:rsid w:val="00C22CDD"/>
    <w:rsid w:val="00C22F2B"/>
    <w:rsid w:val="00C23A01"/>
    <w:rsid w:val="00C23B50"/>
    <w:rsid w:val="00C23B67"/>
    <w:rsid w:val="00C240F8"/>
    <w:rsid w:val="00C24295"/>
    <w:rsid w:val="00C247B0"/>
    <w:rsid w:val="00C24F2E"/>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AD2"/>
    <w:rsid w:val="00C30AE1"/>
    <w:rsid w:val="00C30C5E"/>
    <w:rsid w:val="00C30DD2"/>
    <w:rsid w:val="00C31689"/>
    <w:rsid w:val="00C319D6"/>
    <w:rsid w:val="00C3204F"/>
    <w:rsid w:val="00C322C6"/>
    <w:rsid w:val="00C32471"/>
    <w:rsid w:val="00C32C0D"/>
    <w:rsid w:val="00C3305A"/>
    <w:rsid w:val="00C33353"/>
    <w:rsid w:val="00C33BAB"/>
    <w:rsid w:val="00C33FBE"/>
    <w:rsid w:val="00C3440D"/>
    <w:rsid w:val="00C34489"/>
    <w:rsid w:val="00C3461E"/>
    <w:rsid w:val="00C34DB7"/>
    <w:rsid w:val="00C34DC5"/>
    <w:rsid w:val="00C34DCF"/>
    <w:rsid w:val="00C34EF9"/>
    <w:rsid w:val="00C34F7B"/>
    <w:rsid w:val="00C354FE"/>
    <w:rsid w:val="00C355B3"/>
    <w:rsid w:val="00C35866"/>
    <w:rsid w:val="00C358F8"/>
    <w:rsid w:val="00C3591C"/>
    <w:rsid w:val="00C35F77"/>
    <w:rsid w:val="00C36080"/>
    <w:rsid w:val="00C36D6D"/>
    <w:rsid w:val="00C37026"/>
    <w:rsid w:val="00C3704F"/>
    <w:rsid w:val="00C37A49"/>
    <w:rsid w:val="00C37B1E"/>
    <w:rsid w:val="00C37C8C"/>
    <w:rsid w:val="00C37F96"/>
    <w:rsid w:val="00C40251"/>
    <w:rsid w:val="00C402DD"/>
    <w:rsid w:val="00C4044E"/>
    <w:rsid w:val="00C404A7"/>
    <w:rsid w:val="00C406F0"/>
    <w:rsid w:val="00C40815"/>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4244"/>
    <w:rsid w:val="00C44BAC"/>
    <w:rsid w:val="00C44D76"/>
    <w:rsid w:val="00C44FA1"/>
    <w:rsid w:val="00C45739"/>
    <w:rsid w:val="00C4585F"/>
    <w:rsid w:val="00C458C7"/>
    <w:rsid w:val="00C461E7"/>
    <w:rsid w:val="00C4627B"/>
    <w:rsid w:val="00C4661A"/>
    <w:rsid w:val="00C46B88"/>
    <w:rsid w:val="00C46BDD"/>
    <w:rsid w:val="00C473A4"/>
    <w:rsid w:val="00C4785D"/>
    <w:rsid w:val="00C47950"/>
    <w:rsid w:val="00C50486"/>
    <w:rsid w:val="00C50569"/>
    <w:rsid w:val="00C506A9"/>
    <w:rsid w:val="00C506F8"/>
    <w:rsid w:val="00C50721"/>
    <w:rsid w:val="00C5128D"/>
    <w:rsid w:val="00C513B4"/>
    <w:rsid w:val="00C5206B"/>
    <w:rsid w:val="00C523D4"/>
    <w:rsid w:val="00C52A27"/>
    <w:rsid w:val="00C52BE5"/>
    <w:rsid w:val="00C52DAD"/>
    <w:rsid w:val="00C5309F"/>
    <w:rsid w:val="00C538F2"/>
    <w:rsid w:val="00C53A6A"/>
    <w:rsid w:val="00C54140"/>
    <w:rsid w:val="00C54480"/>
    <w:rsid w:val="00C546C4"/>
    <w:rsid w:val="00C550A1"/>
    <w:rsid w:val="00C550BA"/>
    <w:rsid w:val="00C551FB"/>
    <w:rsid w:val="00C554D5"/>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C9A"/>
    <w:rsid w:val="00C62F82"/>
    <w:rsid w:val="00C63675"/>
    <w:rsid w:val="00C637B1"/>
    <w:rsid w:val="00C63D0C"/>
    <w:rsid w:val="00C64866"/>
    <w:rsid w:val="00C649E8"/>
    <w:rsid w:val="00C64EB4"/>
    <w:rsid w:val="00C64FD1"/>
    <w:rsid w:val="00C65339"/>
    <w:rsid w:val="00C65593"/>
    <w:rsid w:val="00C656C9"/>
    <w:rsid w:val="00C65705"/>
    <w:rsid w:val="00C65C3A"/>
    <w:rsid w:val="00C66161"/>
    <w:rsid w:val="00C66431"/>
    <w:rsid w:val="00C666DA"/>
    <w:rsid w:val="00C669A1"/>
    <w:rsid w:val="00C675E0"/>
    <w:rsid w:val="00C676C0"/>
    <w:rsid w:val="00C6775E"/>
    <w:rsid w:val="00C677F8"/>
    <w:rsid w:val="00C67BAA"/>
    <w:rsid w:val="00C67D87"/>
    <w:rsid w:val="00C700FA"/>
    <w:rsid w:val="00C7046E"/>
    <w:rsid w:val="00C714A2"/>
    <w:rsid w:val="00C71622"/>
    <w:rsid w:val="00C71AAC"/>
    <w:rsid w:val="00C71EC0"/>
    <w:rsid w:val="00C71F27"/>
    <w:rsid w:val="00C72113"/>
    <w:rsid w:val="00C73666"/>
    <w:rsid w:val="00C73FF9"/>
    <w:rsid w:val="00C740F9"/>
    <w:rsid w:val="00C742E3"/>
    <w:rsid w:val="00C744E5"/>
    <w:rsid w:val="00C746EB"/>
    <w:rsid w:val="00C7486F"/>
    <w:rsid w:val="00C76044"/>
    <w:rsid w:val="00C7664E"/>
    <w:rsid w:val="00C76B7A"/>
    <w:rsid w:val="00C76C3A"/>
    <w:rsid w:val="00C76E9E"/>
    <w:rsid w:val="00C77538"/>
    <w:rsid w:val="00C7761B"/>
    <w:rsid w:val="00C7770F"/>
    <w:rsid w:val="00C77B75"/>
    <w:rsid w:val="00C77C49"/>
    <w:rsid w:val="00C77DE6"/>
    <w:rsid w:val="00C77E42"/>
    <w:rsid w:val="00C77FD6"/>
    <w:rsid w:val="00C8013C"/>
    <w:rsid w:val="00C8044D"/>
    <w:rsid w:val="00C80981"/>
    <w:rsid w:val="00C80E75"/>
    <w:rsid w:val="00C822DC"/>
    <w:rsid w:val="00C8240F"/>
    <w:rsid w:val="00C825E7"/>
    <w:rsid w:val="00C82D56"/>
    <w:rsid w:val="00C83187"/>
    <w:rsid w:val="00C8319B"/>
    <w:rsid w:val="00C83697"/>
    <w:rsid w:val="00C83A1B"/>
    <w:rsid w:val="00C83AB3"/>
    <w:rsid w:val="00C840D6"/>
    <w:rsid w:val="00C84669"/>
    <w:rsid w:val="00C8471E"/>
    <w:rsid w:val="00C8473A"/>
    <w:rsid w:val="00C84A42"/>
    <w:rsid w:val="00C85434"/>
    <w:rsid w:val="00C8575D"/>
    <w:rsid w:val="00C85957"/>
    <w:rsid w:val="00C85AB5"/>
    <w:rsid w:val="00C85F31"/>
    <w:rsid w:val="00C85FE1"/>
    <w:rsid w:val="00C860F5"/>
    <w:rsid w:val="00C86CD4"/>
    <w:rsid w:val="00C86D2E"/>
    <w:rsid w:val="00C86DFB"/>
    <w:rsid w:val="00C87950"/>
    <w:rsid w:val="00C87988"/>
    <w:rsid w:val="00C87A7E"/>
    <w:rsid w:val="00C87D6B"/>
    <w:rsid w:val="00C90454"/>
    <w:rsid w:val="00C90C00"/>
    <w:rsid w:val="00C914C6"/>
    <w:rsid w:val="00C915AC"/>
    <w:rsid w:val="00C91865"/>
    <w:rsid w:val="00C91B67"/>
    <w:rsid w:val="00C91DA9"/>
    <w:rsid w:val="00C927F6"/>
    <w:rsid w:val="00C92C76"/>
    <w:rsid w:val="00C92FF2"/>
    <w:rsid w:val="00C93C01"/>
    <w:rsid w:val="00C93E5B"/>
    <w:rsid w:val="00C9403F"/>
    <w:rsid w:val="00C94677"/>
    <w:rsid w:val="00C94B54"/>
    <w:rsid w:val="00C94C69"/>
    <w:rsid w:val="00C94D27"/>
    <w:rsid w:val="00C94F21"/>
    <w:rsid w:val="00C956D5"/>
    <w:rsid w:val="00C9575F"/>
    <w:rsid w:val="00C95805"/>
    <w:rsid w:val="00C958C7"/>
    <w:rsid w:val="00C96344"/>
    <w:rsid w:val="00C96505"/>
    <w:rsid w:val="00C9711B"/>
    <w:rsid w:val="00C97213"/>
    <w:rsid w:val="00C976CC"/>
    <w:rsid w:val="00C9779A"/>
    <w:rsid w:val="00C97933"/>
    <w:rsid w:val="00C97BCF"/>
    <w:rsid w:val="00C97C8C"/>
    <w:rsid w:val="00CA00DD"/>
    <w:rsid w:val="00CA0705"/>
    <w:rsid w:val="00CA09CA"/>
    <w:rsid w:val="00CA1237"/>
    <w:rsid w:val="00CA138B"/>
    <w:rsid w:val="00CA1907"/>
    <w:rsid w:val="00CA267C"/>
    <w:rsid w:val="00CA27F2"/>
    <w:rsid w:val="00CA2951"/>
    <w:rsid w:val="00CA2A01"/>
    <w:rsid w:val="00CA2B93"/>
    <w:rsid w:val="00CA2D31"/>
    <w:rsid w:val="00CA3491"/>
    <w:rsid w:val="00CA34AF"/>
    <w:rsid w:val="00CA351F"/>
    <w:rsid w:val="00CA35C4"/>
    <w:rsid w:val="00CA3683"/>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DE"/>
    <w:rsid w:val="00CA63E8"/>
    <w:rsid w:val="00CA6A87"/>
    <w:rsid w:val="00CA6BD1"/>
    <w:rsid w:val="00CA74B4"/>
    <w:rsid w:val="00CA7714"/>
    <w:rsid w:val="00CA78C1"/>
    <w:rsid w:val="00CA7CF5"/>
    <w:rsid w:val="00CA7CFC"/>
    <w:rsid w:val="00CB07C9"/>
    <w:rsid w:val="00CB084A"/>
    <w:rsid w:val="00CB160E"/>
    <w:rsid w:val="00CB1A18"/>
    <w:rsid w:val="00CB1D30"/>
    <w:rsid w:val="00CB2A77"/>
    <w:rsid w:val="00CB2C43"/>
    <w:rsid w:val="00CB2CC2"/>
    <w:rsid w:val="00CB2CF9"/>
    <w:rsid w:val="00CB2F39"/>
    <w:rsid w:val="00CB309F"/>
    <w:rsid w:val="00CB34D0"/>
    <w:rsid w:val="00CB3683"/>
    <w:rsid w:val="00CB40A6"/>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C1090"/>
    <w:rsid w:val="00CC11DF"/>
    <w:rsid w:val="00CC1717"/>
    <w:rsid w:val="00CC179E"/>
    <w:rsid w:val="00CC1D16"/>
    <w:rsid w:val="00CC1EB3"/>
    <w:rsid w:val="00CC26B2"/>
    <w:rsid w:val="00CC292F"/>
    <w:rsid w:val="00CC2D71"/>
    <w:rsid w:val="00CC31BE"/>
    <w:rsid w:val="00CC36EB"/>
    <w:rsid w:val="00CC3737"/>
    <w:rsid w:val="00CC399B"/>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0F5"/>
    <w:rsid w:val="00CC64D5"/>
    <w:rsid w:val="00CC690A"/>
    <w:rsid w:val="00CC69D0"/>
    <w:rsid w:val="00CC6DAD"/>
    <w:rsid w:val="00CC70A1"/>
    <w:rsid w:val="00CC714F"/>
    <w:rsid w:val="00CC7511"/>
    <w:rsid w:val="00CC7C1E"/>
    <w:rsid w:val="00CC7C4D"/>
    <w:rsid w:val="00CD0033"/>
    <w:rsid w:val="00CD0E40"/>
    <w:rsid w:val="00CD15BE"/>
    <w:rsid w:val="00CD1A6A"/>
    <w:rsid w:val="00CD1E8F"/>
    <w:rsid w:val="00CD258A"/>
    <w:rsid w:val="00CD281F"/>
    <w:rsid w:val="00CD28DF"/>
    <w:rsid w:val="00CD2BF8"/>
    <w:rsid w:val="00CD2CB0"/>
    <w:rsid w:val="00CD2D59"/>
    <w:rsid w:val="00CD2EB6"/>
    <w:rsid w:val="00CD3332"/>
    <w:rsid w:val="00CD4075"/>
    <w:rsid w:val="00CD4AF3"/>
    <w:rsid w:val="00CD4CEA"/>
    <w:rsid w:val="00CD5005"/>
    <w:rsid w:val="00CD514B"/>
    <w:rsid w:val="00CD5182"/>
    <w:rsid w:val="00CD5525"/>
    <w:rsid w:val="00CD59DE"/>
    <w:rsid w:val="00CD6B5A"/>
    <w:rsid w:val="00CD7065"/>
    <w:rsid w:val="00CD7246"/>
    <w:rsid w:val="00CD796E"/>
    <w:rsid w:val="00CD7B31"/>
    <w:rsid w:val="00CE03CC"/>
    <w:rsid w:val="00CE04C9"/>
    <w:rsid w:val="00CE0ED5"/>
    <w:rsid w:val="00CE10A7"/>
    <w:rsid w:val="00CE11F6"/>
    <w:rsid w:val="00CE1475"/>
    <w:rsid w:val="00CE1BCD"/>
    <w:rsid w:val="00CE1D7D"/>
    <w:rsid w:val="00CE1E7C"/>
    <w:rsid w:val="00CE2762"/>
    <w:rsid w:val="00CE2A29"/>
    <w:rsid w:val="00CE2A45"/>
    <w:rsid w:val="00CE2E78"/>
    <w:rsid w:val="00CE2F51"/>
    <w:rsid w:val="00CE3492"/>
    <w:rsid w:val="00CE3605"/>
    <w:rsid w:val="00CE363E"/>
    <w:rsid w:val="00CE36BD"/>
    <w:rsid w:val="00CE36D5"/>
    <w:rsid w:val="00CE38DE"/>
    <w:rsid w:val="00CE3B17"/>
    <w:rsid w:val="00CE3D87"/>
    <w:rsid w:val="00CE450E"/>
    <w:rsid w:val="00CE48E5"/>
    <w:rsid w:val="00CE4986"/>
    <w:rsid w:val="00CE5303"/>
    <w:rsid w:val="00CE5595"/>
    <w:rsid w:val="00CE592A"/>
    <w:rsid w:val="00CE63F6"/>
    <w:rsid w:val="00CE6730"/>
    <w:rsid w:val="00CE6769"/>
    <w:rsid w:val="00CE6910"/>
    <w:rsid w:val="00CE6AF1"/>
    <w:rsid w:val="00CE6DB0"/>
    <w:rsid w:val="00CE722B"/>
    <w:rsid w:val="00CE726E"/>
    <w:rsid w:val="00CE72E3"/>
    <w:rsid w:val="00CE7388"/>
    <w:rsid w:val="00CE7482"/>
    <w:rsid w:val="00CE7827"/>
    <w:rsid w:val="00CE7863"/>
    <w:rsid w:val="00CE7A0C"/>
    <w:rsid w:val="00CE7E75"/>
    <w:rsid w:val="00CF00AE"/>
    <w:rsid w:val="00CF0EAE"/>
    <w:rsid w:val="00CF130E"/>
    <w:rsid w:val="00CF1339"/>
    <w:rsid w:val="00CF136F"/>
    <w:rsid w:val="00CF1747"/>
    <w:rsid w:val="00CF1C41"/>
    <w:rsid w:val="00CF1EC9"/>
    <w:rsid w:val="00CF1FC4"/>
    <w:rsid w:val="00CF2003"/>
    <w:rsid w:val="00CF26CE"/>
    <w:rsid w:val="00CF30E5"/>
    <w:rsid w:val="00CF34C1"/>
    <w:rsid w:val="00CF374E"/>
    <w:rsid w:val="00CF3B6D"/>
    <w:rsid w:val="00CF3C09"/>
    <w:rsid w:val="00CF3E37"/>
    <w:rsid w:val="00CF4467"/>
    <w:rsid w:val="00CF45DE"/>
    <w:rsid w:val="00CF499E"/>
    <w:rsid w:val="00CF5231"/>
    <w:rsid w:val="00CF586E"/>
    <w:rsid w:val="00CF5D51"/>
    <w:rsid w:val="00CF5E80"/>
    <w:rsid w:val="00CF638A"/>
    <w:rsid w:val="00CF67B7"/>
    <w:rsid w:val="00CF6AA0"/>
    <w:rsid w:val="00CF6F7C"/>
    <w:rsid w:val="00CF774E"/>
    <w:rsid w:val="00CF7816"/>
    <w:rsid w:val="00D00C9A"/>
    <w:rsid w:val="00D0149D"/>
    <w:rsid w:val="00D01585"/>
    <w:rsid w:val="00D02848"/>
    <w:rsid w:val="00D02E20"/>
    <w:rsid w:val="00D03053"/>
    <w:rsid w:val="00D0318F"/>
    <w:rsid w:val="00D03336"/>
    <w:rsid w:val="00D03406"/>
    <w:rsid w:val="00D037C5"/>
    <w:rsid w:val="00D03D8A"/>
    <w:rsid w:val="00D03DEE"/>
    <w:rsid w:val="00D03E7D"/>
    <w:rsid w:val="00D03FDC"/>
    <w:rsid w:val="00D041CD"/>
    <w:rsid w:val="00D045A9"/>
    <w:rsid w:val="00D04ADB"/>
    <w:rsid w:val="00D04B91"/>
    <w:rsid w:val="00D04D8E"/>
    <w:rsid w:val="00D04F9F"/>
    <w:rsid w:val="00D051F8"/>
    <w:rsid w:val="00D053DC"/>
    <w:rsid w:val="00D054A9"/>
    <w:rsid w:val="00D05573"/>
    <w:rsid w:val="00D055E8"/>
    <w:rsid w:val="00D05B06"/>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222"/>
    <w:rsid w:val="00D11418"/>
    <w:rsid w:val="00D119EE"/>
    <w:rsid w:val="00D11C3E"/>
    <w:rsid w:val="00D1280B"/>
    <w:rsid w:val="00D12B4E"/>
    <w:rsid w:val="00D13380"/>
    <w:rsid w:val="00D135B2"/>
    <w:rsid w:val="00D13913"/>
    <w:rsid w:val="00D13C39"/>
    <w:rsid w:val="00D14082"/>
    <w:rsid w:val="00D1425E"/>
    <w:rsid w:val="00D145C1"/>
    <w:rsid w:val="00D14C94"/>
    <w:rsid w:val="00D14F0F"/>
    <w:rsid w:val="00D14F6D"/>
    <w:rsid w:val="00D1511E"/>
    <w:rsid w:val="00D15120"/>
    <w:rsid w:val="00D15124"/>
    <w:rsid w:val="00D151C5"/>
    <w:rsid w:val="00D151C9"/>
    <w:rsid w:val="00D15CA1"/>
    <w:rsid w:val="00D15FE5"/>
    <w:rsid w:val="00D162E9"/>
    <w:rsid w:val="00D1671B"/>
    <w:rsid w:val="00D16A6D"/>
    <w:rsid w:val="00D1748A"/>
    <w:rsid w:val="00D179F9"/>
    <w:rsid w:val="00D17A5B"/>
    <w:rsid w:val="00D17A67"/>
    <w:rsid w:val="00D203CB"/>
    <w:rsid w:val="00D2071E"/>
    <w:rsid w:val="00D20AE7"/>
    <w:rsid w:val="00D20C73"/>
    <w:rsid w:val="00D21090"/>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512F"/>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ED"/>
    <w:rsid w:val="00D30F72"/>
    <w:rsid w:val="00D311F4"/>
    <w:rsid w:val="00D314EF"/>
    <w:rsid w:val="00D31F53"/>
    <w:rsid w:val="00D32691"/>
    <w:rsid w:val="00D32774"/>
    <w:rsid w:val="00D33232"/>
    <w:rsid w:val="00D33479"/>
    <w:rsid w:val="00D335BF"/>
    <w:rsid w:val="00D33818"/>
    <w:rsid w:val="00D339C6"/>
    <w:rsid w:val="00D33AF0"/>
    <w:rsid w:val="00D33F75"/>
    <w:rsid w:val="00D340FC"/>
    <w:rsid w:val="00D345DD"/>
    <w:rsid w:val="00D346F1"/>
    <w:rsid w:val="00D34EF9"/>
    <w:rsid w:val="00D35345"/>
    <w:rsid w:val="00D356F8"/>
    <w:rsid w:val="00D35716"/>
    <w:rsid w:val="00D36378"/>
    <w:rsid w:val="00D364B9"/>
    <w:rsid w:val="00D36AA7"/>
    <w:rsid w:val="00D36D04"/>
    <w:rsid w:val="00D36EBE"/>
    <w:rsid w:val="00D371F3"/>
    <w:rsid w:val="00D3720E"/>
    <w:rsid w:val="00D37371"/>
    <w:rsid w:val="00D374AD"/>
    <w:rsid w:val="00D403E6"/>
    <w:rsid w:val="00D404E2"/>
    <w:rsid w:val="00D40557"/>
    <w:rsid w:val="00D40BF7"/>
    <w:rsid w:val="00D40E0E"/>
    <w:rsid w:val="00D41200"/>
    <w:rsid w:val="00D4133E"/>
    <w:rsid w:val="00D41C63"/>
    <w:rsid w:val="00D42BD6"/>
    <w:rsid w:val="00D42D49"/>
    <w:rsid w:val="00D43120"/>
    <w:rsid w:val="00D4324E"/>
    <w:rsid w:val="00D43560"/>
    <w:rsid w:val="00D43AD3"/>
    <w:rsid w:val="00D43AF5"/>
    <w:rsid w:val="00D43EAE"/>
    <w:rsid w:val="00D44975"/>
    <w:rsid w:val="00D45318"/>
    <w:rsid w:val="00D45676"/>
    <w:rsid w:val="00D45693"/>
    <w:rsid w:val="00D45A2D"/>
    <w:rsid w:val="00D45E37"/>
    <w:rsid w:val="00D4663F"/>
    <w:rsid w:val="00D46724"/>
    <w:rsid w:val="00D46A0F"/>
    <w:rsid w:val="00D46A39"/>
    <w:rsid w:val="00D46B41"/>
    <w:rsid w:val="00D46EFA"/>
    <w:rsid w:val="00D4701C"/>
    <w:rsid w:val="00D473D8"/>
    <w:rsid w:val="00D47468"/>
    <w:rsid w:val="00D47538"/>
    <w:rsid w:val="00D47720"/>
    <w:rsid w:val="00D50182"/>
    <w:rsid w:val="00D50264"/>
    <w:rsid w:val="00D50299"/>
    <w:rsid w:val="00D50932"/>
    <w:rsid w:val="00D50D02"/>
    <w:rsid w:val="00D50E6F"/>
    <w:rsid w:val="00D511BB"/>
    <w:rsid w:val="00D5154D"/>
    <w:rsid w:val="00D51777"/>
    <w:rsid w:val="00D51812"/>
    <w:rsid w:val="00D529A0"/>
    <w:rsid w:val="00D52DBF"/>
    <w:rsid w:val="00D52EF1"/>
    <w:rsid w:val="00D53187"/>
    <w:rsid w:val="00D536FF"/>
    <w:rsid w:val="00D5379C"/>
    <w:rsid w:val="00D53B96"/>
    <w:rsid w:val="00D53F89"/>
    <w:rsid w:val="00D542B8"/>
    <w:rsid w:val="00D542EA"/>
    <w:rsid w:val="00D54609"/>
    <w:rsid w:val="00D54D3B"/>
    <w:rsid w:val="00D54DF8"/>
    <w:rsid w:val="00D54FAD"/>
    <w:rsid w:val="00D550B5"/>
    <w:rsid w:val="00D5528F"/>
    <w:rsid w:val="00D556AF"/>
    <w:rsid w:val="00D557CD"/>
    <w:rsid w:val="00D55821"/>
    <w:rsid w:val="00D55AD5"/>
    <w:rsid w:val="00D5603A"/>
    <w:rsid w:val="00D565BA"/>
    <w:rsid w:val="00D568B8"/>
    <w:rsid w:val="00D56AC0"/>
    <w:rsid w:val="00D56DE2"/>
    <w:rsid w:val="00D56E10"/>
    <w:rsid w:val="00D56E8E"/>
    <w:rsid w:val="00D56E96"/>
    <w:rsid w:val="00D56F18"/>
    <w:rsid w:val="00D575A2"/>
    <w:rsid w:val="00D601E4"/>
    <w:rsid w:val="00D60A86"/>
    <w:rsid w:val="00D60D9A"/>
    <w:rsid w:val="00D60F99"/>
    <w:rsid w:val="00D6127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B06"/>
    <w:rsid w:val="00D6624E"/>
    <w:rsid w:val="00D66640"/>
    <w:rsid w:val="00D6670A"/>
    <w:rsid w:val="00D668D1"/>
    <w:rsid w:val="00D669C8"/>
    <w:rsid w:val="00D6704B"/>
    <w:rsid w:val="00D670FB"/>
    <w:rsid w:val="00D67210"/>
    <w:rsid w:val="00D700A4"/>
    <w:rsid w:val="00D70101"/>
    <w:rsid w:val="00D707D5"/>
    <w:rsid w:val="00D70E76"/>
    <w:rsid w:val="00D712CC"/>
    <w:rsid w:val="00D713A3"/>
    <w:rsid w:val="00D717F9"/>
    <w:rsid w:val="00D71907"/>
    <w:rsid w:val="00D71C57"/>
    <w:rsid w:val="00D71CE0"/>
    <w:rsid w:val="00D71DBA"/>
    <w:rsid w:val="00D72053"/>
    <w:rsid w:val="00D720EC"/>
    <w:rsid w:val="00D72125"/>
    <w:rsid w:val="00D72171"/>
    <w:rsid w:val="00D7221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105"/>
    <w:rsid w:val="00D77606"/>
    <w:rsid w:val="00D77B72"/>
    <w:rsid w:val="00D77BA5"/>
    <w:rsid w:val="00D77D3A"/>
    <w:rsid w:val="00D806D5"/>
    <w:rsid w:val="00D8093D"/>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206C"/>
    <w:rsid w:val="00D92617"/>
    <w:rsid w:val="00D92620"/>
    <w:rsid w:val="00D92CFC"/>
    <w:rsid w:val="00D93050"/>
    <w:rsid w:val="00D93209"/>
    <w:rsid w:val="00D93245"/>
    <w:rsid w:val="00D936C1"/>
    <w:rsid w:val="00D93CA9"/>
    <w:rsid w:val="00D93CE3"/>
    <w:rsid w:val="00D93F63"/>
    <w:rsid w:val="00D94025"/>
    <w:rsid w:val="00D9448B"/>
    <w:rsid w:val="00D9465A"/>
    <w:rsid w:val="00D94A18"/>
    <w:rsid w:val="00D94A9F"/>
    <w:rsid w:val="00D94DA6"/>
    <w:rsid w:val="00D952C2"/>
    <w:rsid w:val="00D95390"/>
    <w:rsid w:val="00D956D4"/>
    <w:rsid w:val="00D95791"/>
    <w:rsid w:val="00D95C58"/>
    <w:rsid w:val="00D960D7"/>
    <w:rsid w:val="00D96167"/>
    <w:rsid w:val="00D96BE3"/>
    <w:rsid w:val="00D96C2E"/>
    <w:rsid w:val="00D96C94"/>
    <w:rsid w:val="00D96D0D"/>
    <w:rsid w:val="00D972F2"/>
    <w:rsid w:val="00D9743A"/>
    <w:rsid w:val="00D97718"/>
    <w:rsid w:val="00DA0322"/>
    <w:rsid w:val="00DA057E"/>
    <w:rsid w:val="00DA093F"/>
    <w:rsid w:val="00DA0AF0"/>
    <w:rsid w:val="00DA0B98"/>
    <w:rsid w:val="00DA0F46"/>
    <w:rsid w:val="00DA11CD"/>
    <w:rsid w:val="00DA13C3"/>
    <w:rsid w:val="00DA1830"/>
    <w:rsid w:val="00DA2306"/>
    <w:rsid w:val="00DA2642"/>
    <w:rsid w:val="00DA28CE"/>
    <w:rsid w:val="00DA2AAB"/>
    <w:rsid w:val="00DA2D8C"/>
    <w:rsid w:val="00DA3096"/>
    <w:rsid w:val="00DA31EF"/>
    <w:rsid w:val="00DA33DF"/>
    <w:rsid w:val="00DA34EA"/>
    <w:rsid w:val="00DA3588"/>
    <w:rsid w:val="00DA3720"/>
    <w:rsid w:val="00DA3D21"/>
    <w:rsid w:val="00DA4107"/>
    <w:rsid w:val="00DA415D"/>
    <w:rsid w:val="00DA423F"/>
    <w:rsid w:val="00DA477A"/>
    <w:rsid w:val="00DA5675"/>
    <w:rsid w:val="00DA58CE"/>
    <w:rsid w:val="00DA5B49"/>
    <w:rsid w:val="00DA5E7C"/>
    <w:rsid w:val="00DA5F04"/>
    <w:rsid w:val="00DA60DC"/>
    <w:rsid w:val="00DA6553"/>
    <w:rsid w:val="00DA6E7A"/>
    <w:rsid w:val="00DA71BC"/>
    <w:rsid w:val="00DA7B2E"/>
    <w:rsid w:val="00DA7B9B"/>
    <w:rsid w:val="00DA7F94"/>
    <w:rsid w:val="00DB0103"/>
    <w:rsid w:val="00DB01D8"/>
    <w:rsid w:val="00DB06F6"/>
    <w:rsid w:val="00DB07CB"/>
    <w:rsid w:val="00DB0C6C"/>
    <w:rsid w:val="00DB0CAE"/>
    <w:rsid w:val="00DB0E40"/>
    <w:rsid w:val="00DB114C"/>
    <w:rsid w:val="00DB172E"/>
    <w:rsid w:val="00DB1A5E"/>
    <w:rsid w:val="00DB1C34"/>
    <w:rsid w:val="00DB1E0F"/>
    <w:rsid w:val="00DB221C"/>
    <w:rsid w:val="00DB269F"/>
    <w:rsid w:val="00DB27F5"/>
    <w:rsid w:val="00DB2938"/>
    <w:rsid w:val="00DB357B"/>
    <w:rsid w:val="00DB3AB6"/>
    <w:rsid w:val="00DB3B09"/>
    <w:rsid w:val="00DB3D7D"/>
    <w:rsid w:val="00DB3FB2"/>
    <w:rsid w:val="00DB42A1"/>
    <w:rsid w:val="00DB42E5"/>
    <w:rsid w:val="00DB4ABE"/>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707C"/>
    <w:rsid w:val="00DB72FF"/>
    <w:rsid w:val="00DB753D"/>
    <w:rsid w:val="00DB78E4"/>
    <w:rsid w:val="00DB79DB"/>
    <w:rsid w:val="00DB7EFD"/>
    <w:rsid w:val="00DB7F4B"/>
    <w:rsid w:val="00DC0219"/>
    <w:rsid w:val="00DC04E9"/>
    <w:rsid w:val="00DC088E"/>
    <w:rsid w:val="00DC1392"/>
    <w:rsid w:val="00DC159D"/>
    <w:rsid w:val="00DC1BEE"/>
    <w:rsid w:val="00DC1CD2"/>
    <w:rsid w:val="00DC1EB0"/>
    <w:rsid w:val="00DC1EF7"/>
    <w:rsid w:val="00DC2258"/>
    <w:rsid w:val="00DC22AC"/>
    <w:rsid w:val="00DC244A"/>
    <w:rsid w:val="00DC2728"/>
    <w:rsid w:val="00DC2D26"/>
    <w:rsid w:val="00DC2F0F"/>
    <w:rsid w:val="00DC3326"/>
    <w:rsid w:val="00DC34F8"/>
    <w:rsid w:val="00DC3724"/>
    <w:rsid w:val="00DC3B4A"/>
    <w:rsid w:val="00DC45A6"/>
    <w:rsid w:val="00DC46F1"/>
    <w:rsid w:val="00DC4732"/>
    <w:rsid w:val="00DC482A"/>
    <w:rsid w:val="00DC4B01"/>
    <w:rsid w:val="00DC4E35"/>
    <w:rsid w:val="00DC52D6"/>
    <w:rsid w:val="00DC58B0"/>
    <w:rsid w:val="00DC60BA"/>
    <w:rsid w:val="00DC62A2"/>
    <w:rsid w:val="00DC62DE"/>
    <w:rsid w:val="00DC65F4"/>
    <w:rsid w:val="00DC69D1"/>
    <w:rsid w:val="00DC6AEF"/>
    <w:rsid w:val="00DC6D0B"/>
    <w:rsid w:val="00DC6D1D"/>
    <w:rsid w:val="00DC6F1C"/>
    <w:rsid w:val="00DC70A0"/>
    <w:rsid w:val="00DC724B"/>
    <w:rsid w:val="00DC76BD"/>
    <w:rsid w:val="00DC7C6B"/>
    <w:rsid w:val="00DC7DC2"/>
    <w:rsid w:val="00DD05B9"/>
    <w:rsid w:val="00DD0A93"/>
    <w:rsid w:val="00DD1089"/>
    <w:rsid w:val="00DD11CE"/>
    <w:rsid w:val="00DD13C4"/>
    <w:rsid w:val="00DD1A6C"/>
    <w:rsid w:val="00DD1D89"/>
    <w:rsid w:val="00DD21A5"/>
    <w:rsid w:val="00DD2754"/>
    <w:rsid w:val="00DD2878"/>
    <w:rsid w:val="00DD2B52"/>
    <w:rsid w:val="00DD2F41"/>
    <w:rsid w:val="00DD32A6"/>
    <w:rsid w:val="00DD36AE"/>
    <w:rsid w:val="00DD387D"/>
    <w:rsid w:val="00DD3D2E"/>
    <w:rsid w:val="00DD4A19"/>
    <w:rsid w:val="00DD4DA2"/>
    <w:rsid w:val="00DD51A7"/>
    <w:rsid w:val="00DD56A4"/>
    <w:rsid w:val="00DD60BD"/>
    <w:rsid w:val="00DD617C"/>
    <w:rsid w:val="00DD73BF"/>
    <w:rsid w:val="00DD7812"/>
    <w:rsid w:val="00DE0083"/>
    <w:rsid w:val="00DE025C"/>
    <w:rsid w:val="00DE077C"/>
    <w:rsid w:val="00DE07D2"/>
    <w:rsid w:val="00DE0ED3"/>
    <w:rsid w:val="00DE1508"/>
    <w:rsid w:val="00DE1574"/>
    <w:rsid w:val="00DE19AA"/>
    <w:rsid w:val="00DE1D83"/>
    <w:rsid w:val="00DE23F9"/>
    <w:rsid w:val="00DE2A1B"/>
    <w:rsid w:val="00DE2FAA"/>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5229"/>
    <w:rsid w:val="00DE579C"/>
    <w:rsid w:val="00DE57B6"/>
    <w:rsid w:val="00DE5DE6"/>
    <w:rsid w:val="00DE6192"/>
    <w:rsid w:val="00DE7299"/>
    <w:rsid w:val="00DE7387"/>
    <w:rsid w:val="00DE7499"/>
    <w:rsid w:val="00DE7665"/>
    <w:rsid w:val="00DE767B"/>
    <w:rsid w:val="00DE76CF"/>
    <w:rsid w:val="00DE7A5D"/>
    <w:rsid w:val="00DF07AF"/>
    <w:rsid w:val="00DF0808"/>
    <w:rsid w:val="00DF087B"/>
    <w:rsid w:val="00DF0971"/>
    <w:rsid w:val="00DF0D3D"/>
    <w:rsid w:val="00DF1423"/>
    <w:rsid w:val="00DF142C"/>
    <w:rsid w:val="00DF1897"/>
    <w:rsid w:val="00DF1A48"/>
    <w:rsid w:val="00DF1D71"/>
    <w:rsid w:val="00DF1FE9"/>
    <w:rsid w:val="00DF20CB"/>
    <w:rsid w:val="00DF2166"/>
    <w:rsid w:val="00DF23DB"/>
    <w:rsid w:val="00DF258A"/>
    <w:rsid w:val="00DF2641"/>
    <w:rsid w:val="00DF2677"/>
    <w:rsid w:val="00DF2AC9"/>
    <w:rsid w:val="00DF3200"/>
    <w:rsid w:val="00DF33B9"/>
    <w:rsid w:val="00DF3DCF"/>
    <w:rsid w:val="00DF4300"/>
    <w:rsid w:val="00DF489F"/>
    <w:rsid w:val="00DF5554"/>
    <w:rsid w:val="00DF5B9F"/>
    <w:rsid w:val="00DF5E3B"/>
    <w:rsid w:val="00DF5F1D"/>
    <w:rsid w:val="00DF7242"/>
    <w:rsid w:val="00DF73B9"/>
    <w:rsid w:val="00DF74EA"/>
    <w:rsid w:val="00DF7655"/>
    <w:rsid w:val="00DF7C4F"/>
    <w:rsid w:val="00DF7C83"/>
    <w:rsid w:val="00DF7CA1"/>
    <w:rsid w:val="00DF7E55"/>
    <w:rsid w:val="00E00697"/>
    <w:rsid w:val="00E00AD4"/>
    <w:rsid w:val="00E0129C"/>
    <w:rsid w:val="00E012C5"/>
    <w:rsid w:val="00E013DB"/>
    <w:rsid w:val="00E01418"/>
    <w:rsid w:val="00E016D7"/>
    <w:rsid w:val="00E02007"/>
    <w:rsid w:val="00E027C4"/>
    <w:rsid w:val="00E0291F"/>
    <w:rsid w:val="00E02A64"/>
    <w:rsid w:val="00E02C9F"/>
    <w:rsid w:val="00E03021"/>
    <w:rsid w:val="00E03668"/>
    <w:rsid w:val="00E037A9"/>
    <w:rsid w:val="00E03D6B"/>
    <w:rsid w:val="00E03F2D"/>
    <w:rsid w:val="00E053E2"/>
    <w:rsid w:val="00E055A9"/>
    <w:rsid w:val="00E056D7"/>
    <w:rsid w:val="00E056FC"/>
    <w:rsid w:val="00E05865"/>
    <w:rsid w:val="00E0594E"/>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8CB"/>
    <w:rsid w:val="00E12EF8"/>
    <w:rsid w:val="00E133EF"/>
    <w:rsid w:val="00E1390F"/>
    <w:rsid w:val="00E14384"/>
    <w:rsid w:val="00E14F04"/>
    <w:rsid w:val="00E155F0"/>
    <w:rsid w:val="00E15839"/>
    <w:rsid w:val="00E15E57"/>
    <w:rsid w:val="00E15FCC"/>
    <w:rsid w:val="00E16547"/>
    <w:rsid w:val="00E167C2"/>
    <w:rsid w:val="00E167C7"/>
    <w:rsid w:val="00E1696D"/>
    <w:rsid w:val="00E174E0"/>
    <w:rsid w:val="00E17DFE"/>
    <w:rsid w:val="00E17EA9"/>
    <w:rsid w:val="00E209CF"/>
    <w:rsid w:val="00E20B01"/>
    <w:rsid w:val="00E20CF2"/>
    <w:rsid w:val="00E20E4C"/>
    <w:rsid w:val="00E20ECC"/>
    <w:rsid w:val="00E20F12"/>
    <w:rsid w:val="00E20F68"/>
    <w:rsid w:val="00E20FA1"/>
    <w:rsid w:val="00E211CC"/>
    <w:rsid w:val="00E213A0"/>
    <w:rsid w:val="00E21573"/>
    <w:rsid w:val="00E21F67"/>
    <w:rsid w:val="00E22880"/>
    <w:rsid w:val="00E229C9"/>
    <w:rsid w:val="00E2314F"/>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C3E"/>
    <w:rsid w:val="00E25E22"/>
    <w:rsid w:val="00E25FF8"/>
    <w:rsid w:val="00E261FD"/>
    <w:rsid w:val="00E266A9"/>
    <w:rsid w:val="00E267EA"/>
    <w:rsid w:val="00E26878"/>
    <w:rsid w:val="00E270D8"/>
    <w:rsid w:val="00E271AE"/>
    <w:rsid w:val="00E27356"/>
    <w:rsid w:val="00E27807"/>
    <w:rsid w:val="00E27907"/>
    <w:rsid w:val="00E27C7A"/>
    <w:rsid w:val="00E30555"/>
    <w:rsid w:val="00E3145F"/>
    <w:rsid w:val="00E31AAB"/>
    <w:rsid w:val="00E32074"/>
    <w:rsid w:val="00E32144"/>
    <w:rsid w:val="00E32659"/>
    <w:rsid w:val="00E32A19"/>
    <w:rsid w:val="00E334B5"/>
    <w:rsid w:val="00E33530"/>
    <w:rsid w:val="00E336F2"/>
    <w:rsid w:val="00E33773"/>
    <w:rsid w:val="00E337DC"/>
    <w:rsid w:val="00E33A40"/>
    <w:rsid w:val="00E33EBF"/>
    <w:rsid w:val="00E34AD1"/>
    <w:rsid w:val="00E34B70"/>
    <w:rsid w:val="00E34CB9"/>
    <w:rsid w:val="00E35687"/>
    <w:rsid w:val="00E3593D"/>
    <w:rsid w:val="00E3654C"/>
    <w:rsid w:val="00E36555"/>
    <w:rsid w:val="00E3663B"/>
    <w:rsid w:val="00E3719C"/>
    <w:rsid w:val="00E375C2"/>
    <w:rsid w:val="00E378A9"/>
    <w:rsid w:val="00E37A73"/>
    <w:rsid w:val="00E37D3A"/>
    <w:rsid w:val="00E37E2C"/>
    <w:rsid w:val="00E40C2F"/>
    <w:rsid w:val="00E41D4B"/>
    <w:rsid w:val="00E42530"/>
    <w:rsid w:val="00E4272A"/>
    <w:rsid w:val="00E42953"/>
    <w:rsid w:val="00E43216"/>
    <w:rsid w:val="00E432CD"/>
    <w:rsid w:val="00E4332B"/>
    <w:rsid w:val="00E43882"/>
    <w:rsid w:val="00E439AD"/>
    <w:rsid w:val="00E442BE"/>
    <w:rsid w:val="00E4436A"/>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504E9"/>
    <w:rsid w:val="00E5080D"/>
    <w:rsid w:val="00E5089D"/>
    <w:rsid w:val="00E50990"/>
    <w:rsid w:val="00E50BB5"/>
    <w:rsid w:val="00E50C1D"/>
    <w:rsid w:val="00E50C9B"/>
    <w:rsid w:val="00E50CAE"/>
    <w:rsid w:val="00E510FB"/>
    <w:rsid w:val="00E51384"/>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552"/>
    <w:rsid w:val="00E54BBB"/>
    <w:rsid w:val="00E54E2B"/>
    <w:rsid w:val="00E55B0A"/>
    <w:rsid w:val="00E5626C"/>
    <w:rsid w:val="00E562B7"/>
    <w:rsid w:val="00E56C18"/>
    <w:rsid w:val="00E56D1E"/>
    <w:rsid w:val="00E56F27"/>
    <w:rsid w:val="00E57392"/>
    <w:rsid w:val="00E5749A"/>
    <w:rsid w:val="00E577B6"/>
    <w:rsid w:val="00E5789C"/>
    <w:rsid w:val="00E57B6B"/>
    <w:rsid w:val="00E57F3D"/>
    <w:rsid w:val="00E601DD"/>
    <w:rsid w:val="00E606E4"/>
    <w:rsid w:val="00E60860"/>
    <w:rsid w:val="00E60AC4"/>
    <w:rsid w:val="00E60ED2"/>
    <w:rsid w:val="00E6133A"/>
    <w:rsid w:val="00E61491"/>
    <w:rsid w:val="00E618CD"/>
    <w:rsid w:val="00E61D24"/>
    <w:rsid w:val="00E61E30"/>
    <w:rsid w:val="00E620F8"/>
    <w:rsid w:val="00E62331"/>
    <w:rsid w:val="00E62B91"/>
    <w:rsid w:val="00E62C55"/>
    <w:rsid w:val="00E6303A"/>
    <w:rsid w:val="00E632FE"/>
    <w:rsid w:val="00E63443"/>
    <w:rsid w:val="00E63492"/>
    <w:rsid w:val="00E63797"/>
    <w:rsid w:val="00E63ADE"/>
    <w:rsid w:val="00E63ECB"/>
    <w:rsid w:val="00E642D8"/>
    <w:rsid w:val="00E64C2A"/>
    <w:rsid w:val="00E65020"/>
    <w:rsid w:val="00E65720"/>
    <w:rsid w:val="00E65A97"/>
    <w:rsid w:val="00E65F35"/>
    <w:rsid w:val="00E65F45"/>
    <w:rsid w:val="00E664EC"/>
    <w:rsid w:val="00E66600"/>
    <w:rsid w:val="00E66787"/>
    <w:rsid w:val="00E66B64"/>
    <w:rsid w:val="00E66D2D"/>
    <w:rsid w:val="00E66F35"/>
    <w:rsid w:val="00E66F94"/>
    <w:rsid w:val="00E674ED"/>
    <w:rsid w:val="00E67B32"/>
    <w:rsid w:val="00E67EC5"/>
    <w:rsid w:val="00E707F1"/>
    <w:rsid w:val="00E70C38"/>
    <w:rsid w:val="00E71001"/>
    <w:rsid w:val="00E711C0"/>
    <w:rsid w:val="00E71848"/>
    <w:rsid w:val="00E71998"/>
    <w:rsid w:val="00E723B7"/>
    <w:rsid w:val="00E7299E"/>
    <w:rsid w:val="00E72A77"/>
    <w:rsid w:val="00E72AE4"/>
    <w:rsid w:val="00E72C3B"/>
    <w:rsid w:val="00E72DE9"/>
    <w:rsid w:val="00E72DF1"/>
    <w:rsid w:val="00E7308D"/>
    <w:rsid w:val="00E73DF8"/>
    <w:rsid w:val="00E7412C"/>
    <w:rsid w:val="00E74564"/>
    <w:rsid w:val="00E747CD"/>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894"/>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509"/>
    <w:rsid w:val="00E8580C"/>
    <w:rsid w:val="00E858D7"/>
    <w:rsid w:val="00E85B69"/>
    <w:rsid w:val="00E86435"/>
    <w:rsid w:val="00E86540"/>
    <w:rsid w:val="00E865E4"/>
    <w:rsid w:val="00E86A0D"/>
    <w:rsid w:val="00E86A98"/>
    <w:rsid w:val="00E86D73"/>
    <w:rsid w:val="00E87131"/>
    <w:rsid w:val="00E9040D"/>
    <w:rsid w:val="00E90701"/>
    <w:rsid w:val="00E9072C"/>
    <w:rsid w:val="00E90871"/>
    <w:rsid w:val="00E90ABF"/>
    <w:rsid w:val="00E90BFE"/>
    <w:rsid w:val="00E9129C"/>
    <w:rsid w:val="00E91A6F"/>
    <w:rsid w:val="00E9268A"/>
    <w:rsid w:val="00E926F7"/>
    <w:rsid w:val="00E9283B"/>
    <w:rsid w:val="00E92980"/>
    <w:rsid w:val="00E92A25"/>
    <w:rsid w:val="00E92C4C"/>
    <w:rsid w:val="00E92D97"/>
    <w:rsid w:val="00E92FC4"/>
    <w:rsid w:val="00E93241"/>
    <w:rsid w:val="00E9355E"/>
    <w:rsid w:val="00E9420E"/>
    <w:rsid w:val="00E94361"/>
    <w:rsid w:val="00E94505"/>
    <w:rsid w:val="00E9452E"/>
    <w:rsid w:val="00E94BFD"/>
    <w:rsid w:val="00E960F5"/>
    <w:rsid w:val="00E9682A"/>
    <w:rsid w:val="00E968C9"/>
    <w:rsid w:val="00E96A5B"/>
    <w:rsid w:val="00E96B53"/>
    <w:rsid w:val="00E96C5A"/>
    <w:rsid w:val="00E970B3"/>
    <w:rsid w:val="00E971C5"/>
    <w:rsid w:val="00E97A66"/>
    <w:rsid w:val="00E97C5B"/>
    <w:rsid w:val="00EA01BB"/>
    <w:rsid w:val="00EA04E2"/>
    <w:rsid w:val="00EA06A2"/>
    <w:rsid w:val="00EA0C0E"/>
    <w:rsid w:val="00EA160C"/>
    <w:rsid w:val="00EA16EC"/>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2B"/>
    <w:rsid w:val="00EA7FD5"/>
    <w:rsid w:val="00EB0229"/>
    <w:rsid w:val="00EB0459"/>
    <w:rsid w:val="00EB04EF"/>
    <w:rsid w:val="00EB0C85"/>
    <w:rsid w:val="00EB0ED9"/>
    <w:rsid w:val="00EB12EF"/>
    <w:rsid w:val="00EB174F"/>
    <w:rsid w:val="00EB200F"/>
    <w:rsid w:val="00EB2877"/>
    <w:rsid w:val="00EB2955"/>
    <w:rsid w:val="00EB2AB0"/>
    <w:rsid w:val="00EB320B"/>
    <w:rsid w:val="00EB3213"/>
    <w:rsid w:val="00EB3546"/>
    <w:rsid w:val="00EB3BE7"/>
    <w:rsid w:val="00EB411E"/>
    <w:rsid w:val="00EB4267"/>
    <w:rsid w:val="00EB4630"/>
    <w:rsid w:val="00EB463A"/>
    <w:rsid w:val="00EB4680"/>
    <w:rsid w:val="00EB4959"/>
    <w:rsid w:val="00EB59E3"/>
    <w:rsid w:val="00EB5AC0"/>
    <w:rsid w:val="00EB5B24"/>
    <w:rsid w:val="00EB5B7C"/>
    <w:rsid w:val="00EB5E86"/>
    <w:rsid w:val="00EB5F62"/>
    <w:rsid w:val="00EB6230"/>
    <w:rsid w:val="00EB67FA"/>
    <w:rsid w:val="00EB694D"/>
    <w:rsid w:val="00EB6C37"/>
    <w:rsid w:val="00EB6D58"/>
    <w:rsid w:val="00EB6F96"/>
    <w:rsid w:val="00EB7692"/>
    <w:rsid w:val="00EB77D7"/>
    <w:rsid w:val="00EB7A4A"/>
    <w:rsid w:val="00EB7BD3"/>
    <w:rsid w:val="00EB7C6F"/>
    <w:rsid w:val="00EB7D94"/>
    <w:rsid w:val="00EB7F29"/>
    <w:rsid w:val="00EB7F9B"/>
    <w:rsid w:val="00EC00DF"/>
    <w:rsid w:val="00EC057A"/>
    <w:rsid w:val="00EC08AB"/>
    <w:rsid w:val="00EC0A06"/>
    <w:rsid w:val="00EC0A62"/>
    <w:rsid w:val="00EC0AE2"/>
    <w:rsid w:val="00EC10B2"/>
    <w:rsid w:val="00EC117F"/>
    <w:rsid w:val="00EC12F8"/>
    <w:rsid w:val="00EC13C2"/>
    <w:rsid w:val="00EC186C"/>
    <w:rsid w:val="00EC195E"/>
    <w:rsid w:val="00EC214B"/>
    <w:rsid w:val="00EC2299"/>
    <w:rsid w:val="00EC2820"/>
    <w:rsid w:val="00EC2840"/>
    <w:rsid w:val="00EC2DEA"/>
    <w:rsid w:val="00EC2F1F"/>
    <w:rsid w:val="00EC3040"/>
    <w:rsid w:val="00EC31D5"/>
    <w:rsid w:val="00EC3A59"/>
    <w:rsid w:val="00EC3B96"/>
    <w:rsid w:val="00EC3DBB"/>
    <w:rsid w:val="00EC3E00"/>
    <w:rsid w:val="00EC411D"/>
    <w:rsid w:val="00EC42B9"/>
    <w:rsid w:val="00EC44B1"/>
    <w:rsid w:val="00EC47F3"/>
    <w:rsid w:val="00EC4C2A"/>
    <w:rsid w:val="00EC4F7B"/>
    <w:rsid w:val="00EC57F6"/>
    <w:rsid w:val="00EC5928"/>
    <w:rsid w:val="00EC5A72"/>
    <w:rsid w:val="00EC5F8D"/>
    <w:rsid w:val="00EC6346"/>
    <w:rsid w:val="00EC6377"/>
    <w:rsid w:val="00EC6490"/>
    <w:rsid w:val="00EC68D1"/>
    <w:rsid w:val="00EC6D34"/>
    <w:rsid w:val="00EC70A4"/>
    <w:rsid w:val="00EC75AC"/>
    <w:rsid w:val="00EC7A30"/>
    <w:rsid w:val="00ED0056"/>
    <w:rsid w:val="00ED0D26"/>
    <w:rsid w:val="00ED137D"/>
    <w:rsid w:val="00ED1496"/>
    <w:rsid w:val="00ED178E"/>
    <w:rsid w:val="00ED1AA3"/>
    <w:rsid w:val="00ED2289"/>
    <w:rsid w:val="00ED2890"/>
    <w:rsid w:val="00ED2A8A"/>
    <w:rsid w:val="00ED3BD6"/>
    <w:rsid w:val="00ED44B9"/>
    <w:rsid w:val="00ED45A6"/>
    <w:rsid w:val="00ED49D6"/>
    <w:rsid w:val="00ED4F18"/>
    <w:rsid w:val="00ED51AA"/>
    <w:rsid w:val="00ED53F1"/>
    <w:rsid w:val="00ED53FF"/>
    <w:rsid w:val="00ED5636"/>
    <w:rsid w:val="00ED5C9F"/>
    <w:rsid w:val="00ED5E34"/>
    <w:rsid w:val="00ED64E1"/>
    <w:rsid w:val="00ED6976"/>
    <w:rsid w:val="00ED73DB"/>
    <w:rsid w:val="00ED766F"/>
    <w:rsid w:val="00ED785D"/>
    <w:rsid w:val="00ED7B5F"/>
    <w:rsid w:val="00ED7E3F"/>
    <w:rsid w:val="00EE02ED"/>
    <w:rsid w:val="00EE02FD"/>
    <w:rsid w:val="00EE059A"/>
    <w:rsid w:val="00EE0E0F"/>
    <w:rsid w:val="00EE12A2"/>
    <w:rsid w:val="00EE16DC"/>
    <w:rsid w:val="00EE1AD2"/>
    <w:rsid w:val="00EE1EEC"/>
    <w:rsid w:val="00EE1FE0"/>
    <w:rsid w:val="00EE26CD"/>
    <w:rsid w:val="00EE27A0"/>
    <w:rsid w:val="00EE2A9F"/>
    <w:rsid w:val="00EE2F18"/>
    <w:rsid w:val="00EE327B"/>
    <w:rsid w:val="00EE3406"/>
    <w:rsid w:val="00EE34C0"/>
    <w:rsid w:val="00EE3C10"/>
    <w:rsid w:val="00EE3E28"/>
    <w:rsid w:val="00EE3F04"/>
    <w:rsid w:val="00EE41F8"/>
    <w:rsid w:val="00EE4283"/>
    <w:rsid w:val="00EE4799"/>
    <w:rsid w:val="00EE48D8"/>
    <w:rsid w:val="00EE490B"/>
    <w:rsid w:val="00EE539F"/>
    <w:rsid w:val="00EE56C6"/>
    <w:rsid w:val="00EE5A0A"/>
    <w:rsid w:val="00EE5B7C"/>
    <w:rsid w:val="00EE683D"/>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617"/>
    <w:rsid w:val="00EF398A"/>
    <w:rsid w:val="00EF3A12"/>
    <w:rsid w:val="00EF3D1A"/>
    <w:rsid w:val="00EF4216"/>
    <w:rsid w:val="00EF458F"/>
    <w:rsid w:val="00EF45D1"/>
    <w:rsid w:val="00EF4813"/>
    <w:rsid w:val="00EF5062"/>
    <w:rsid w:val="00EF58BE"/>
    <w:rsid w:val="00EF59AD"/>
    <w:rsid w:val="00EF5F55"/>
    <w:rsid w:val="00EF60AC"/>
    <w:rsid w:val="00EF6D10"/>
    <w:rsid w:val="00EF702B"/>
    <w:rsid w:val="00EF7149"/>
    <w:rsid w:val="00EF737F"/>
    <w:rsid w:val="00F00C25"/>
    <w:rsid w:val="00F00C62"/>
    <w:rsid w:val="00F00F6C"/>
    <w:rsid w:val="00F01B0F"/>
    <w:rsid w:val="00F01D9A"/>
    <w:rsid w:val="00F01E74"/>
    <w:rsid w:val="00F01EC8"/>
    <w:rsid w:val="00F02473"/>
    <w:rsid w:val="00F025BF"/>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3FF"/>
    <w:rsid w:val="00F07616"/>
    <w:rsid w:val="00F079E9"/>
    <w:rsid w:val="00F1027D"/>
    <w:rsid w:val="00F1156A"/>
    <w:rsid w:val="00F11D5A"/>
    <w:rsid w:val="00F11E67"/>
    <w:rsid w:val="00F11F33"/>
    <w:rsid w:val="00F12519"/>
    <w:rsid w:val="00F12881"/>
    <w:rsid w:val="00F12CE1"/>
    <w:rsid w:val="00F135A2"/>
    <w:rsid w:val="00F136AC"/>
    <w:rsid w:val="00F13747"/>
    <w:rsid w:val="00F1425C"/>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6F4"/>
    <w:rsid w:val="00F17BF1"/>
    <w:rsid w:val="00F17E01"/>
    <w:rsid w:val="00F201C8"/>
    <w:rsid w:val="00F201D4"/>
    <w:rsid w:val="00F205C6"/>
    <w:rsid w:val="00F20E12"/>
    <w:rsid w:val="00F21329"/>
    <w:rsid w:val="00F21395"/>
    <w:rsid w:val="00F222D6"/>
    <w:rsid w:val="00F225FC"/>
    <w:rsid w:val="00F22A4A"/>
    <w:rsid w:val="00F230ED"/>
    <w:rsid w:val="00F23391"/>
    <w:rsid w:val="00F233FB"/>
    <w:rsid w:val="00F23CD8"/>
    <w:rsid w:val="00F241FE"/>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ECE"/>
    <w:rsid w:val="00F271F3"/>
    <w:rsid w:val="00F27D69"/>
    <w:rsid w:val="00F27E47"/>
    <w:rsid w:val="00F27E92"/>
    <w:rsid w:val="00F30109"/>
    <w:rsid w:val="00F3016A"/>
    <w:rsid w:val="00F30EF0"/>
    <w:rsid w:val="00F31527"/>
    <w:rsid w:val="00F31965"/>
    <w:rsid w:val="00F31C46"/>
    <w:rsid w:val="00F31E58"/>
    <w:rsid w:val="00F32101"/>
    <w:rsid w:val="00F32B9A"/>
    <w:rsid w:val="00F3384B"/>
    <w:rsid w:val="00F33B0E"/>
    <w:rsid w:val="00F3403A"/>
    <w:rsid w:val="00F3498D"/>
    <w:rsid w:val="00F35082"/>
    <w:rsid w:val="00F353BB"/>
    <w:rsid w:val="00F35619"/>
    <w:rsid w:val="00F35828"/>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5A5"/>
    <w:rsid w:val="00F41C85"/>
    <w:rsid w:val="00F41ECA"/>
    <w:rsid w:val="00F421F5"/>
    <w:rsid w:val="00F42608"/>
    <w:rsid w:val="00F42AE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8FD"/>
    <w:rsid w:val="00F46B8E"/>
    <w:rsid w:val="00F46E69"/>
    <w:rsid w:val="00F4759A"/>
    <w:rsid w:val="00F50D3A"/>
    <w:rsid w:val="00F50F38"/>
    <w:rsid w:val="00F5146E"/>
    <w:rsid w:val="00F517ED"/>
    <w:rsid w:val="00F5195A"/>
    <w:rsid w:val="00F520AA"/>
    <w:rsid w:val="00F52781"/>
    <w:rsid w:val="00F5279D"/>
    <w:rsid w:val="00F52BD3"/>
    <w:rsid w:val="00F52E01"/>
    <w:rsid w:val="00F530E9"/>
    <w:rsid w:val="00F536CC"/>
    <w:rsid w:val="00F53772"/>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DCD"/>
    <w:rsid w:val="00F60328"/>
    <w:rsid w:val="00F60913"/>
    <w:rsid w:val="00F60B77"/>
    <w:rsid w:val="00F60CF5"/>
    <w:rsid w:val="00F613DB"/>
    <w:rsid w:val="00F618E2"/>
    <w:rsid w:val="00F62427"/>
    <w:rsid w:val="00F62491"/>
    <w:rsid w:val="00F624A9"/>
    <w:rsid w:val="00F62597"/>
    <w:rsid w:val="00F62CE8"/>
    <w:rsid w:val="00F630C4"/>
    <w:rsid w:val="00F6318C"/>
    <w:rsid w:val="00F631D5"/>
    <w:rsid w:val="00F63A4C"/>
    <w:rsid w:val="00F63CB7"/>
    <w:rsid w:val="00F645A9"/>
    <w:rsid w:val="00F64842"/>
    <w:rsid w:val="00F65032"/>
    <w:rsid w:val="00F65706"/>
    <w:rsid w:val="00F6584D"/>
    <w:rsid w:val="00F65FE4"/>
    <w:rsid w:val="00F6610F"/>
    <w:rsid w:val="00F6612B"/>
    <w:rsid w:val="00F662AF"/>
    <w:rsid w:val="00F66889"/>
    <w:rsid w:val="00F66A28"/>
    <w:rsid w:val="00F66BAA"/>
    <w:rsid w:val="00F66BD7"/>
    <w:rsid w:val="00F6718E"/>
    <w:rsid w:val="00F6734A"/>
    <w:rsid w:val="00F6772C"/>
    <w:rsid w:val="00F679B3"/>
    <w:rsid w:val="00F67C50"/>
    <w:rsid w:val="00F67F38"/>
    <w:rsid w:val="00F70003"/>
    <w:rsid w:val="00F70631"/>
    <w:rsid w:val="00F70A15"/>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949"/>
    <w:rsid w:val="00F73D06"/>
    <w:rsid w:val="00F740CE"/>
    <w:rsid w:val="00F74326"/>
    <w:rsid w:val="00F74781"/>
    <w:rsid w:val="00F752F0"/>
    <w:rsid w:val="00F7576E"/>
    <w:rsid w:val="00F757F3"/>
    <w:rsid w:val="00F75FBD"/>
    <w:rsid w:val="00F7640D"/>
    <w:rsid w:val="00F76BE4"/>
    <w:rsid w:val="00F7742C"/>
    <w:rsid w:val="00F77762"/>
    <w:rsid w:val="00F77B3C"/>
    <w:rsid w:val="00F77C92"/>
    <w:rsid w:val="00F800A1"/>
    <w:rsid w:val="00F8030A"/>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4016"/>
    <w:rsid w:val="00F84735"/>
    <w:rsid w:val="00F84B2C"/>
    <w:rsid w:val="00F84C44"/>
    <w:rsid w:val="00F84C78"/>
    <w:rsid w:val="00F84F74"/>
    <w:rsid w:val="00F85046"/>
    <w:rsid w:val="00F857E5"/>
    <w:rsid w:val="00F86078"/>
    <w:rsid w:val="00F86231"/>
    <w:rsid w:val="00F863DB"/>
    <w:rsid w:val="00F86595"/>
    <w:rsid w:val="00F86979"/>
    <w:rsid w:val="00F86BB1"/>
    <w:rsid w:val="00F8708F"/>
    <w:rsid w:val="00F87294"/>
    <w:rsid w:val="00F875BC"/>
    <w:rsid w:val="00F87742"/>
    <w:rsid w:val="00F877D1"/>
    <w:rsid w:val="00F87FCE"/>
    <w:rsid w:val="00F90582"/>
    <w:rsid w:val="00F906B1"/>
    <w:rsid w:val="00F90C8C"/>
    <w:rsid w:val="00F90F15"/>
    <w:rsid w:val="00F91121"/>
    <w:rsid w:val="00F91A6F"/>
    <w:rsid w:val="00F91A78"/>
    <w:rsid w:val="00F91B9A"/>
    <w:rsid w:val="00F91C79"/>
    <w:rsid w:val="00F92573"/>
    <w:rsid w:val="00F92866"/>
    <w:rsid w:val="00F92B1A"/>
    <w:rsid w:val="00F92C74"/>
    <w:rsid w:val="00F932A2"/>
    <w:rsid w:val="00F937DC"/>
    <w:rsid w:val="00F93DA1"/>
    <w:rsid w:val="00F93DD3"/>
    <w:rsid w:val="00F94285"/>
    <w:rsid w:val="00F94677"/>
    <w:rsid w:val="00F949BD"/>
    <w:rsid w:val="00F949E4"/>
    <w:rsid w:val="00F94EB4"/>
    <w:rsid w:val="00F9558B"/>
    <w:rsid w:val="00F95647"/>
    <w:rsid w:val="00F95DB7"/>
    <w:rsid w:val="00F964AF"/>
    <w:rsid w:val="00F96514"/>
    <w:rsid w:val="00F9675A"/>
    <w:rsid w:val="00F968D4"/>
    <w:rsid w:val="00F96ABE"/>
    <w:rsid w:val="00F96FC6"/>
    <w:rsid w:val="00F97663"/>
    <w:rsid w:val="00F97978"/>
    <w:rsid w:val="00F97D6C"/>
    <w:rsid w:val="00F97FFD"/>
    <w:rsid w:val="00FA008A"/>
    <w:rsid w:val="00FA0A28"/>
    <w:rsid w:val="00FA0B81"/>
    <w:rsid w:val="00FA186E"/>
    <w:rsid w:val="00FA2156"/>
    <w:rsid w:val="00FA2257"/>
    <w:rsid w:val="00FA24B6"/>
    <w:rsid w:val="00FA2A06"/>
    <w:rsid w:val="00FA2A1D"/>
    <w:rsid w:val="00FA2AF7"/>
    <w:rsid w:val="00FA31B8"/>
    <w:rsid w:val="00FA3457"/>
    <w:rsid w:val="00FA3730"/>
    <w:rsid w:val="00FA426B"/>
    <w:rsid w:val="00FA46BF"/>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E5F"/>
    <w:rsid w:val="00FB210F"/>
    <w:rsid w:val="00FB262C"/>
    <w:rsid w:val="00FB3087"/>
    <w:rsid w:val="00FB3155"/>
    <w:rsid w:val="00FB334D"/>
    <w:rsid w:val="00FB3FD6"/>
    <w:rsid w:val="00FB45D6"/>
    <w:rsid w:val="00FB472C"/>
    <w:rsid w:val="00FB4A49"/>
    <w:rsid w:val="00FB4D66"/>
    <w:rsid w:val="00FB4E87"/>
    <w:rsid w:val="00FB4FF5"/>
    <w:rsid w:val="00FB51C5"/>
    <w:rsid w:val="00FB52F3"/>
    <w:rsid w:val="00FB5EA1"/>
    <w:rsid w:val="00FB610B"/>
    <w:rsid w:val="00FB65EA"/>
    <w:rsid w:val="00FB67BD"/>
    <w:rsid w:val="00FB6F01"/>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AB4"/>
    <w:rsid w:val="00FC3EB6"/>
    <w:rsid w:val="00FC44B4"/>
    <w:rsid w:val="00FC4950"/>
    <w:rsid w:val="00FC5A31"/>
    <w:rsid w:val="00FC6970"/>
    <w:rsid w:val="00FC6F72"/>
    <w:rsid w:val="00FC6FCF"/>
    <w:rsid w:val="00FC7251"/>
    <w:rsid w:val="00FC7311"/>
    <w:rsid w:val="00FC7478"/>
    <w:rsid w:val="00FD03A9"/>
    <w:rsid w:val="00FD0713"/>
    <w:rsid w:val="00FD0838"/>
    <w:rsid w:val="00FD0DB1"/>
    <w:rsid w:val="00FD1263"/>
    <w:rsid w:val="00FD128B"/>
    <w:rsid w:val="00FD1645"/>
    <w:rsid w:val="00FD1AC8"/>
    <w:rsid w:val="00FD1E34"/>
    <w:rsid w:val="00FD1E46"/>
    <w:rsid w:val="00FD23EC"/>
    <w:rsid w:val="00FD2B17"/>
    <w:rsid w:val="00FD2F62"/>
    <w:rsid w:val="00FD2F9D"/>
    <w:rsid w:val="00FD2FC7"/>
    <w:rsid w:val="00FD305D"/>
    <w:rsid w:val="00FD3366"/>
    <w:rsid w:val="00FD39B9"/>
    <w:rsid w:val="00FD3B0E"/>
    <w:rsid w:val="00FD3D5F"/>
    <w:rsid w:val="00FD3F25"/>
    <w:rsid w:val="00FD3F31"/>
    <w:rsid w:val="00FD444D"/>
    <w:rsid w:val="00FD44BF"/>
    <w:rsid w:val="00FD45F0"/>
    <w:rsid w:val="00FD4FBC"/>
    <w:rsid w:val="00FD516E"/>
    <w:rsid w:val="00FD5AB3"/>
    <w:rsid w:val="00FD5AC0"/>
    <w:rsid w:val="00FD5B34"/>
    <w:rsid w:val="00FD608B"/>
    <w:rsid w:val="00FD635E"/>
    <w:rsid w:val="00FD6388"/>
    <w:rsid w:val="00FD7138"/>
    <w:rsid w:val="00FD72B3"/>
    <w:rsid w:val="00FD76E5"/>
    <w:rsid w:val="00FD77D8"/>
    <w:rsid w:val="00FD78DF"/>
    <w:rsid w:val="00FD791D"/>
    <w:rsid w:val="00FD7B02"/>
    <w:rsid w:val="00FE0165"/>
    <w:rsid w:val="00FE043B"/>
    <w:rsid w:val="00FE07EE"/>
    <w:rsid w:val="00FE08C5"/>
    <w:rsid w:val="00FE0B4F"/>
    <w:rsid w:val="00FE0B79"/>
    <w:rsid w:val="00FE0C3A"/>
    <w:rsid w:val="00FE10E9"/>
    <w:rsid w:val="00FE1277"/>
    <w:rsid w:val="00FE14BE"/>
    <w:rsid w:val="00FE14F9"/>
    <w:rsid w:val="00FE1E25"/>
    <w:rsid w:val="00FE1EBD"/>
    <w:rsid w:val="00FE1F0A"/>
    <w:rsid w:val="00FE26D8"/>
    <w:rsid w:val="00FE2E59"/>
    <w:rsid w:val="00FE2E71"/>
    <w:rsid w:val="00FE3A79"/>
    <w:rsid w:val="00FE4AF1"/>
    <w:rsid w:val="00FE4B04"/>
    <w:rsid w:val="00FE5022"/>
    <w:rsid w:val="00FE5403"/>
    <w:rsid w:val="00FE542F"/>
    <w:rsid w:val="00FE5452"/>
    <w:rsid w:val="00FE547F"/>
    <w:rsid w:val="00FE5529"/>
    <w:rsid w:val="00FE5939"/>
    <w:rsid w:val="00FE5F92"/>
    <w:rsid w:val="00FE5F9B"/>
    <w:rsid w:val="00FE6080"/>
    <w:rsid w:val="00FE6EF7"/>
    <w:rsid w:val="00FE72A1"/>
    <w:rsid w:val="00FE73E1"/>
    <w:rsid w:val="00FE74EA"/>
    <w:rsid w:val="00FE7B00"/>
    <w:rsid w:val="00FE7E2B"/>
    <w:rsid w:val="00FE7E3E"/>
    <w:rsid w:val="00FF0240"/>
    <w:rsid w:val="00FF06A1"/>
    <w:rsid w:val="00FF0766"/>
    <w:rsid w:val="00FF0DAD"/>
    <w:rsid w:val="00FF17B4"/>
    <w:rsid w:val="00FF1C20"/>
    <w:rsid w:val="00FF22FB"/>
    <w:rsid w:val="00FF23D5"/>
    <w:rsid w:val="00FF242C"/>
    <w:rsid w:val="00FF2BF3"/>
    <w:rsid w:val="00FF34E5"/>
    <w:rsid w:val="00FF3C33"/>
    <w:rsid w:val="00FF444D"/>
    <w:rsid w:val="00FF45E9"/>
    <w:rsid w:val="00FF502E"/>
    <w:rsid w:val="00FF5210"/>
    <w:rsid w:val="00FF54B4"/>
    <w:rsid w:val="00FF56F6"/>
    <w:rsid w:val="00FF57FF"/>
    <w:rsid w:val="00FF5801"/>
    <w:rsid w:val="00FF5B8C"/>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9A7C33"/>
    <w:pPr>
      <w:spacing w:line="288" w:lineRule="auto"/>
      <w:jc w:val="both"/>
    </w:pPr>
    <w:rPr>
      <w:rFonts w:ascii="Gautami" w:eastAsia="Times New Roman" w:hAnsi="Gautami"/>
      <w:szCs w:val="24"/>
    </w:rPr>
  </w:style>
  <w:style w:type="paragraph" w:styleId="Heading1">
    <w:name w:val="heading 1"/>
    <w:basedOn w:val="Normal"/>
    <w:next w:val="Normal"/>
    <w:qFormat/>
    <w:locked/>
    <w:rsid w:val="009E0F39"/>
    <w:pPr>
      <w:keepNext/>
      <w:keepLines/>
      <w:numPr>
        <w:ilvl w:val="1"/>
        <w:numId w:val="13"/>
      </w:numPr>
      <w:spacing w:before="480"/>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outlineLvl w:val="1"/>
    </w:pPr>
    <w:rPr>
      <w:rFonts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3"/>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7"/>
      </w:numPr>
      <w:tabs>
        <w:tab w:val="left" w:pos="1474"/>
      </w:tabs>
      <w:spacing w:before="240" w:after="120"/>
      <w:outlineLvl w:val="3"/>
    </w:pPr>
    <w:rPr>
      <w:b/>
      <w:lang w:eastAsia="en-US"/>
    </w:rPr>
  </w:style>
  <w:style w:type="paragraph" w:customStyle="1" w:styleId="Listbullet1">
    <w:name w:val="List bullet 1"/>
    <w:basedOn w:val="AERbodytext"/>
    <w:link w:val="Listbullet1Char"/>
    <w:qFormat/>
    <w:rsid w:val="00E5080D"/>
    <w:pPr>
      <w:numPr>
        <w:numId w:val="11"/>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5"/>
      </w:numPr>
      <w:spacing w:after="200" w:line="200" w:lineRule="atLeast"/>
    </w:pPr>
    <w:rPr>
      <w:lang w:eastAsia="en-US"/>
    </w:rPr>
  </w:style>
  <w:style w:type="paragraph" w:customStyle="1" w:styleId="Listnumbered3">
    <w:name w:val="List numbered 3"/>
    <w:basedOn w:val="AERbodytext"/>
    <w:qFormat/>
    <w:rsid w:val="009E0F39"/>
    <w:pPr>
      <w:numPr>
        <w:numId w:val="3"/>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rPr>
      <w:b/>
      <w:bCs/>
    </w:rPr>
  </w:style>
  <w:style w:type="paragraph" w:styleId="BalloonText">
    <w:name w:val="Balloon Text"/>
    <w:basedOn w:val="Normal"/>
    <w:semiHidden/>
    <w:locked/>
    <w:rsid w:val="009E0F39"/>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6"/>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9"/>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E36C0A"/>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E36C0A"/>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E36C0A"/>
      <w:sz w:val="24"/>
      <w:lang w:eastAsia="en-US"/>
    </w:rPr>
  </w:style>
  <w:style w:type="numbering" w:customStyle="1" w:styleId="AERHeadings">
    <w:name w:val="AER Headings"/>
    <w:uiPriority w:val="99"/>
    <w:rsid w:val="00CF67B7"/>
    <w:pPr>
      <w:numPr>
        <w:numId w:val="10"/>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12"/>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line="240" w:lineRule="auto"/>
      <w:jc w:val="left"/>
    </w:pPr>
    <w:rPr>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rPr>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rPr>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line="240" w:lineRule="auto"/>
      <w:jc w:val="left"/>
    </w:pPr>
    <w:rPr>
      <w:rFonts w:ascii="Times New Roman" w:hAnsi="Times New Roman"/>
      <w:sz w:val="24"/>
    </w:rPr>
  </w:style>
  <w:style w:type="character" w:styleId="Strong">
    <w:name w:val="Strong"/>
    <w:uiPriority w:val="22"/>
    <w:qFormat/>
    <w:locked/>
    <w:rsid w:val="002422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9"/>
      </w:numPr>
    </w:pPr>
  </w:style>
  <w:style w:type="numbering" w:customStyle="1" w:styleId="AERtabletitle">
    <w:name w:val="AERHeadings"/>
    <w:pPr>
      <w:numPr>
        <w:numId w:val="10"/>
      </w:numPr>
    </w:pPr>
  </w:style>
  <w:style w:type="numbering" w:customStyle="1" w:styleId="Figureheading">
    <w:name w:val="AERnumbered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591360620">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36112232">
      <w:bodyDiv w:val="1"/>
      <w:marLeft w:val="0"/>
      <w:marRight w:val="0"/>
      <w:marTop w:val="0"/>
      <w:marBottom w:val="0"/>
      <w:divBdr>
        <w:top w:val="none" w:sz="0" w:space="0" w:color="auto"/>
        <w:left w:val="none" w:sz="0" w:space="0" w:color="auto"/>
        <w:bottom w:val="none" w:sz="0" w:space="0" w:color="auto"/>
        <w:right w:val="none" w:sz="0" w:space="0" w:color="auto"/>
      </w:divBdr>
      <w:divsChild>
        <w:div w:id="1706713690">
          <w:marLeft w:val="0"/>
          <w:marRight w:val="0"/>
          <w:marTop w:val="0"/>
          <w:marBottom w:val="0"/>
          <w:divBdr>
            <w:top w:val="none" w:sz="0" w:space="0" w:color="auto"/>
            <w:left w:val="none" w:sz="0" w:space="0" w:color="auto"/>
            <w:bottom w:val="none" w:sz="0" w:space="0" w:color="auto"/>
            <w:right w:val="none" w:sz="0" w:space="0" w:color="auto"/>
          </w:divBdr>
          <w:divsChild>
            <w:div w:id="2134054916">
              <w:marLeft w:val="0"/>
              <w:marRight w:val="0"/>
              <w:marTop w:val="0"/>
              <w:marBottom w:val="0"/>
              <w:divBdr>
                <w:top w:val="none" w:sz="0" w:space="0" w:color="auto"/>
                <w:left w:val="single" w:sz="6" w:space="0" w:color="FFFFFF"/>
                <w:bottom w:val="none" w:sz="0" w:space="0" w:color="auto"/>
                <w:right w:val="none" w:sz="0" w:space="0" w:color="auto"/>
              </w:divBdr>
              <w:divsChild>
                <w:div w:id="1899902526">
                  <w:marLeft w:val="0"/>
                  <w:marRight w:val="0"/>
                  <w:marTop w:val="0"/>
                  <w:marBottom w:val="0"/>
                  <w:divBdr>
                    <w:top w:val="none" w:sz="0" w:space="0" w:color="auto"/>
                    <w:left w:val="none" w:sz="0" w:space="0" w:color="auto"/>
                    <w:bottom w:val="none" w:sz="0" w:space="0" w:color="auto"/>
                    <w:right w:val="none" w:sz="0" w:space="0" w:color="auto"/>
                  </w:divBdr>
                  <w:divsChild>
                    <w:div w:id="14703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098213375">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asxenergy.com.au/"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er.gov.au/australian-energy-industry/performance-of-the-energy-sector" TargetMode="External"/><Relationship Id="rId24" Type="http://schemas.openxmlformats.org/officeDocument/2006/relationships/hyperlink" Target="https://asxenergy.com.au/" TargetMode="Externa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2.emf"/><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asxenergy.com.a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hyperlink" Target="http://www.aer.gov.au/australian-energy-industry/performance-of-the-energy-secto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52D2DBB5.dotm</Template>
  <TotalTime>0</TotalTime>
  <Pages>10</Pages>
  <Words>2054</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13735</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2014-03-24T22:23:00Z</dcterms:created>
  <dcterms:modified xsi:type="dcterms:W3CDTF">2014-03-24T22:26:00Z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8140167</vt:lpwstr>
  </property>
</Properties>
</file>