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Pr="006376D7" w:rsidRDefault="00B11C10" w:rsidP="00F16C55">
      <w:pPr>
        <w:pStyle w:val="Heading1"/>
        <w:spacing w:before="120" w:after="0"/>
      </w:pPr>
      <w:bookmarkStart w:id="0" w:name="OLE_LINK66"/>
      <w:bookmarkStart w:id="1" w:name="OLE_LINK67"/>
      <w:r>
        <w:rPr>
          <w:noProof/>
          <w:sz w:val="28"/>
          <w:szCs w:val="28"/>
        </w:rPr>
        <w:pict>
          <v:shapetype id="_x0000_t202" coordsize="21600,21600" o:spt="202" path="m,l,21600r21600,l21600,xe">
            <v:stroke joinstyle="miter"/>
            <v:path gradientshapeok="t" o:connecttype="rect"/>
          </v:shapetype>
          <v:shape id="_x0000_s1026" type="#_x0000_t202" style="position:absolute;margin-left:-8.05pt;margin-top:1in;width:215.05pt;height:27pt;z-index:251655168" filled="f" fillcolor="yellow" stroked="f">
            <v:textbox style="mso-next-textbox:#_x0000_s1026">
              <w:txbxContent>
                <w:p w:rsidR="00832441" w:rsidRPr="00A65EC8" w:rsidRDefault="00832441" w:rsidP="00BD60AA">
                  <w:pPr>
                    <w:spacing w:before="140"/>
                    <w:rPr>
                      <w:b/>
                    </w:rPr>
                  </w:pPr>
                  <w:r>
                    <w:rPr>
                      <w:b/>
                    </w:rPr>
                    <w:t>12 – 18 January 2014</w:t>
                  </w:r>
                </w:p>
              </w:txbxContent>
            </v:textbox>
          </v:shape>
        </w:pict>
      </w:r>
      <w:r>
        <w:rPr>
          <w:noProof/>
          <w:sz w:val="28"/>
          <w:szCs w:val="28"/>
        </w:rPr>
        <w:pict>
          <v:shape id="_x0000_s1032" type="#_x0000_t202" style="position:absolute;margin-left:0;margin-top:9pt;width:225pt;height:54pt;z-index:251658240" filled="f" stroked="f">
            <v:textbox style="mso-next-textbox:#_x0000_s1032">
              <w:txbxContent>
                <w:p w:rsidR="00832441" w:rsidRPr="009A04DD" w:rsidRDefault="00832441" w:rsidP="00DB12E4">
                  <w:pPr>
                    <w:spacing w:before="60"/>
                    <w:rPr>
                      <w:rFonts w:ascii="Arial" w:hAnsi="Arial" w:cs="Arial"/>
                      <w:b/>
                      <w:color w:val="FFFFFF"/>
                      <w:sz w:val="36"/>
                      <w:szCs w:val="36"/>
                    </w:rPr>
                  </w:pPr>
                  <w:r w:rsidRPr="009A04DD">
                    <w:rPr>
                      <w:rFonts w:ascii="Arial" w:hAnsi="Arial" w:cs="Arial"/>
                      <w:b/>
                      <w:color w:val="FFFFFF"/>
                      <w:sz w:val="36"/>
                      <w:szCs w:val="36"/>
                    </w:rPr>
                    <w:t xml:space="preserve">Weekly Gas Market Report </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720.75pt;margin-top:282.05pt;width:386.3pt;height:299.3pt;z-index:251657216" fillcolor="black" strokecolor="white" strokeweight="3e-5mm">
            <v:imagedata r:id="rId8" o:title=""/>
            <o:lock v:ext="edit" rotation="t"/>
          </v:shape>
        </w:pict>
      </w:r>
      <w:r>
        <w:pict>
          <v:shape id="_x0000_i1025" type="#_x0000_t75" style="width:467.7pt;height:99.05pt" o:allowoverlap="f">
            <v:imagedata r:id="rId9" o:title=""/>
          </v:shape>
        </w:pict>
      </w:r>
    </w:p>
    <w:p w:rsidR="00547827" w:rsidRPr="000F6D05" w:rsidRDefault="00547827" w:rsidP="00547827">
      <w:pPr>
        <w:pStyle w:val="AERunnumberedheading3"/>
        <w:rPr>
          <w:b/>
          <w:noProof/>
          <w:sz w:val="28"/>
          <w:szCs w:val="28"/>
        </w:rPr>
      </w:pPr>
      <w:r w:rsidRPr="000F6D05">
        <w:rPr>
          <w:b/>
          <w:noProof/>
          <w:sz w:val="28"/>
          <w:szCs w:val="28"/>
        </w:rPr>
        <w:t xml:space="preserve">Weekly summary </w:t>
      </w:r>
    </w:p>
    <w:p w:rsidR="00547827" w:rsidRPr="002645CB" w:rsidRDefault="0032682F" w:rsidP="00FF2760">
      <w:pPr>
        <w:pStyle w:val="AERunnumberedheading3"/>
        <w:jc w:val="both"/>
        <w:rPr>
          <w:rFonts w:ascii="Times New Roman" w:hAnsi="Times New Roman"/>
        </w:rPr>
      </w:pPr>
      <w:r w:rsidRPr="002645CB">
        <w:rPr>
          <w:rFonts w:ascii="Times New Roman" w:hAnsi="Times New Roman"/>
        </w:rPr>
        <w:t xml:space="preserve">Average prices increased </w:t>
      </w:r>
      <w:r w:rsidR="003F123E">
        <w:rPr>
          <w:rFonts w:ascii="Times New Roman" w:hAnsi="Times New Roman"/>
        </w:rPr>
        <w:t>in</w:t>
      </w:r>
      <w:bookmarkStart w:id="2" w:name="_GoBack"/>
      <w:bookmarkEnd w:id="2"/>
      <w:r w:rsidR="003F123E">
        <w:rPr>
          <w:rFonts w:ascii="Times New Roman" w:hAnsi="Times New Roman"/>
        </w:rPr>
        <w:t xml:space="preserve"> all regions except</w:t>
      </w:r>
      <w:r w:rsidR="00124721">
        <w:rPr>
          <w:rFonts w:ascii="Times New Roman" w:hAnsi="Times New Roman"/>
        </w:rPr>
        <w:t xml:space="preserve"> Brisbane compared to the previous week. The largest increase </w:t>
      </w:r>
      <w:r w:rsidR="002521CC">
        <w:rPr>
          <w:rFonts w:ascii="Times New Roman" w:hAnsi="Times New Roman"/>
        </w:rPr>
        <w:t xml:space="preserve">of </w:t>
      </w:r>
      <w:r w:rsidR="00124721">
        <w:rPr>
          <w:rFonts w:ascii="Times New Roman" w:hAnsi="Times New Roman"/>
        </w:rPr>
        <w:t xml:space="preserve">22% </w:t>
      </w:r>
      <w:r w:rsidR="00BB7BC1">
        <w:rPr>
          <w:rFonts w:ascii="Times New Roman" w:hAnsi="Times New Roman"/>
        </w:rPr>
        <w:t xml:space="preserve">was </w:t>
      </w:r>
      <w:r w:rsidR="00124721">
        <w:rPr>
          <w:rFonts w:ascii="Times New Roman" w:hAnsi="Times New Roman"/>
        </w:rPr>
        <w:t>at the Adelaide hub as a result of a reduction in low priced capacity offered to the market.</w:t>
      </w:r>
    </w:p>
    <w:p w:rsidR="00547827" w:rsidRPr="000F6D05" w:rsidRDefault="00547827" w:rsidP="00547827">
      <w:pPr>
        <w:pStyle w:val="AERunnumberedheading3"/>
        <w:rPr>
          <w:b/>
          <w:noProof/>
          <w:sz w:val="28"/>
          <w:szCs w:val="28"/>
        </w:rPr>
      </w:pPr>
      <w:r w:rsidRPr="000F6D05">
        <w:rPr>
          <w:b/>
          <w:noProof/>
          <w:sz w:val="28"/>
          <w:szCs w:val="28"/>
        </w:rPr>
        <w:t>Long term statistics and explanatory material</w:t>
      </w:r>
    </w:p>
    <w:p w:rsidR="007001FF" w:rsidRPr="00366BDF" w:rsidRDefault="002E0688" w:rsidP="007001FF">
      <w:pPr>
        <w:autoSpaceDE w:val="0"/>
        <w:autoSpaceDN w:val="0"/>
        <w:adjustRightInd w:val="0"/>
        <w:jc w:val="both"/>
        <w:rPr>
          <w:color w:val="000000"/>
        </w:rPr>
      </w:pPr>
      <w:r>
        <w:t xml:space="preserve">The AER has published an </w:t>
      </w:r>
      <w:hyperlink r:id="rId10" w:history="1">
        <w:r>
          <w:rPr>
            <w:rStyle w:val="Hyperlink"/>
          </w:rPr>
          <w:t>explanatory note</w:t>
        </w:r>
      </w:hyperlink>
      <w:r>
        <w:t xml:space="preserve"> to assist with interpreting the data presented in its weekly gas market reports. The AER also publish a range of </w:t>
      </w:r>
      <w:hyperlink r:id="rId11" w:history="1">
        <w:r>
          <w:rPr>
            <w:rStyle w:val="Hyperlink"/>
          </w:rPr>
          <w:t>longer term statistics</w:t>
        </w:r>
      </w:hyperlink>
      <w:r>
        <w:t xml:space="preserve"> on the performance of the gas sector including gas prices, production, pipeline flows and consumer demand.</w:t>
      </w:r>
    </w:p>
    <w:p w:rsidR="00547827" w:rsidRPr="002A5634" w:rsidRDefault="00547827" w:rsidP="00547827">
      <w:pPr>
        <w:pStyle w:val="AERunnumberedheading3"/>
        <w:rPr>
          <w:b/>
          <w:noProof/>
          <w:sz w:val="28"/>
          <w:szCs w:val="28"/>
        </w:rPr>
      </w:pPr>
      <w:r w:rsidRPr="002A5634">
        <w:rPr>
          <w:b/>
          <w:noProof/>
          <w:sz w:val="28"/>
          <w:szCs w:val="28"/>
        </w:rPr>
        <w:t>Market overview</w:t>
      </w:r>
    </w:p>
    <w:p w:rsidR="00B24A61" w:rsidRPr="004700BA" w:rsidRDefault="00B24A61" w:rsidP="00B24A61">
      <w:pPr>
        <w:pStyle w:val="AERbodytext"/>
        <w:spacing w:before="120" w:after="120"/>
        <w:jc w:val="both"/>
      </w:pPr>
      <w:r w:rsidRPr="008D4DAB">
        <w:t xml:space="preserve">Figure 1 sets out the average daily prices ($/GJ) in the Victorian Declared Wholesale Market </w:t>
      </w:r>
      <w:r w:rsidRPr="00DE753B">
        <w:rPr>
          <w:b/>
        </w:rPr>
        <w:t>(VGM</w:t>
      </w:r>
      <w:r>
        <w:rPr>
          <w:b/>
        </w:rPr>
        <w:t xml:space="preserve"> or Victorian gas market</w:t>
      </w:r>
      <w:r w:rsidRPr="00DE753B">
        <w:rPr>
          <w:b/>
        </w:rPr>
        <w:t>)</w:t>
      </w:r>
      <w:r w:rsidRPr="008D4DAB">
        <w:t xml:space="preserve"> and for the Sydney</w:t>
      </w:r>
      <w:r w:rsidR="00781A4A">
        <w:t xml:space="preserve"> </w:t>
      </w:r>
      <w:r w:rsidR="00781A4A">
        <w:rPr>
          <w:b/>
        </w:rPr>
        <w:t>(SYD)</w:t>
      </w:r>
      <w:r w:rsidRPr="008D4DAB">
        <w:t xml:space="preserve">, Adelaide </w:t>
      </w:r>
      <w:r w:rsidR="00781A4A">
        <w:rPr>
          <w:b/>
        </w:rPr>
        <w:t xml:space="preserve">(ADL) </w:t>
      </w:r>
      <w:r w:rsidRPr="008D4DAB">
        <w:t xml:space="preserve">and Brisbane </w:t>
      </w:r>
      <w:r w:rsidR="00781A4A">
        <w:rPr>
          <w:b/>
        </w:rPr>
        <w:t xml:space="preserve">(BRI) </w:t>
      </w:r>
      <w:r w:rsidRPr="008D4DAB">
        <w:t>S</w:t>
      </w:r>
      <w:r>
        <w:t xml:space="preserve">hort </w:t>
      </w:r>
      <w:r w:rsidRPr="008D4DAB">
        <w:t>T</w:t>
      </w:r>
      <w:r>
        <w:t xml:space="preserve">erm </w:t>
      </w:r>
      <w:r w:rsidRPr="008D4DAB">
        <w:t>T</w:t>
      </w:r>
      <w:r>
        <w:t xml:space="preserve">rading </w:t>
      </w:r>
      <w:r w:rsidRPr="008D4DAB">
        <w:t>M</w:t>
      </w:r>
      <w:r>
        <w:t>arket</w:t>
      </w:r>
      <w:r w:rsidRPr="008D4DAB">
        <w:t xml:space="preserve"> hubs </w:t>
      </w:r>
      <w:r w:rsidRPr="00DE753B">
        <w:rPr>
          <w:b/>
        </w:rPr>
        <w:t>(STTM)</w:t>
      </w:r>
      <w:r>
        <w:t xml:space="preserve"> </w:t>
      </w:r>
      <w:r w:rsidRPr="008D4DAB">
        <w:t xml:space="preserve">for the current week compared to historical averages. </w:t>
      </w:r>
    </w:p>
    <w:p w:rsidR="005F18AD" w:rsidRPr="00DA3AAA" w:rsidRDefault="005F18AD" w:rsidP="006F4169">
      <w:pPr>
        <w:pStyle w:val="AERfigureheading-unnumbered"/>
        <w:spacing w:before="120"/>
        <w:rPr>
          <w:rFonts w:ascii="Arial" w:hAnsi="Arial" w:cs="Arial"/>
          <w:sz w:val="20"/>
          <w:szCs w:val="20"/>
        </w:rPr>
      </w:pPr>
      <w:r w:rsidRPr="00DA3AAA">
        <w:rPr>
          <w:rFonts w:ascii="Arial" w:hAnsi="Arial" w:cs="Arial"/>
          <w:sz w:val="20"/>
          <w:szCs w:val="20"/>
        </w:rPr>
        <w:t>Average daily prices</w:t>
      </w:r>
      <w:r w:rsidR="00290C57">
        <w:rPr>
          <w:rFonts w:ascii="Arial" w:hAnsi="Arial" w:cs="Arial"/>
          <w:sz w:val="20"/>
          <w:szCs w:val="20"/>
        </w:rPr>
        <w:t xml:space="preserve"> – all markets</w:t>
      </w:r>
      <w:r w:rsidR="008133CF" w:rsidRPr="00DA3AAA">
        <w:rPr>
          <w:rFonts w:ascii="Arial" w:hAnsi="Arial" w:cs="Arial"/>
          <w:sz w:val="20"/>
          <w:szCs w:val="20"/>
        </w:rPr>
        <w:t xml:space="preserve"> ($/GJ)</w:t>
      </w:r>
      <w:r w:rsidR="006F4169">
        <w:rPr>
          <w:rStyle w:val="FootnoteReference"/>
          <w:rFonts w:ascii="Arial" w:hAnsi="Arial" w:cs="Arial"/>
          <w:sz w:val="20"/>
          <w:szCs w:val="20"/>
        </w:rPr>
        <w:footnoteReference w:id="1"/>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10"/>
        <w:gridCol w:w="1439"/>
        <w:gridCol w:w="1440"/>
        <w:gridCol w:w="1439"/>
        <w:gridCol w:w="1440"/>
      </w:tblGrid>
      <w:tr w:rsidR="00AA4CF5" w:rsidRPr="006376D7" w:rsidTr="00AA4CF5">
        <w:trPr>
          <w:trHeight w:val="294"/>
        </w:trPr>
        <w:tc>
          <w:tcPr>
            <w:tcW w:w="3710" w:type="dxa"/>
            <w:tcBorders>
              <w:top w:val="nil"/>
              <w:left w:val="nil"/>
              <w:bottom w:val="single" w:sz="4" w:space="0" w:color="auto"/>
              <w:right w:val="nil"/>
              <w:tl2br w:val="nil"/>
              <w:tr2bl w:val="nil"/>
            </w:tcBorders>
            <w:noWrap/>
            <w:tcMar>
              <w:top w:w="0" w:type="dxa"/>
              <w:bottom w:w="0" w:type="dxa"/>
            </w:tcMar>
            <w:vAlign w:val="center"/>
          </w:tcPr>
          <w:p w:rsidR="00AA4CF5" w:rsidRDefault="00AA4CF5">
            <w:pPr>
              <w:rPr>
                <w:rFonts w:ascii="Arial" w:hAnsi="Arial" w:cs="Arial"/>
                <w:b/>
                <w:bCs/>
                <w:sz w:val="20"/>
                <w:szCs w:val="20"/>
              </w:rPr>
            </w:pPr>
            <w:r>
              <w:rPr>
                <w:rFonts w:ascii="Arial" w:hAnsi="Arial" w:cs="Arial"/>
                <w:b/>
                <w:bCs/>
                <w:sz w:val="20"/>
                <w:szCs w:val="20"/>
              </w:rPr>
              <w:t> </w:t>
            </w:r>
          </w:p>
        </w:tc>
        <w:tc>
          <w:tcPr>
            <w:tcW w:w="1439" w:type="dxa"/>
            <w:tcBorders>
              <w:top w:val="nil"/>
              <w:left w:val="nil"/>
              <w:bottom w:val="single" w:sz="4" w:space="0" w:color="auto"/>
              <w:right w:val="nil"/>
              <w:tl2br w:val="nil"/>
              <w:tr2bl w:val="nil"/>
            </w:tcBorders>
            <w:noWrap/>
            <w:tcMar>
              <w:top w:w="0" w:type="dxa"/>
              <w:bottom w:w="0" w:type="dxa"/>
            </w:tcMar>
            <w:vAlign w:val="center"/>
          </w:tcPr>
          <w:p w:rsidR="00AA4CF5" w:rsidRDefault="00AA4CF5">
            <w:pPr>
              <w:jc w:val="center"/>
              <w:rPr>
                <w:rFonts w:ascii="Arial" w:hAnsi="Arial" w:cs="Arial"/>
                <w:b/>
                <w:bCs/>
                <w:sz w:val="20"/>
                <w:szCs w:val="20"/>
              </w:rPr>
            </w:pPr>
            <w:r>
              <w:rPr>
                <w:rFonts w:ascii="Arial" w:hAnsi="Arial" w:cs="Arial"/>
                <w:b/>
                <w:bCs/>
                <w:sz w:val="20"/>
                <w:szCs w:val="20"/>
              </w:rPr>
              <w:t>Victoria</w:t>
            </w:r>
          </w:p>
        </w:tc>
        <w:tc>
          <w:tcPr>
            <w:tcW w:w="1440" w:type="dxa"/>
            <w:tcBorders>
              <w:top w:val="nil"/>
              <w:left w:val="nil"/>
              <w:bottom w:val="single" w:sz="4" w:space="0" w:color="auto"/>
              <w:right w:val="nil"/>
              <w:tl2br w:val="nil"/>
              <w:tr2bl w:val="nil"/>
            </w:tcBorders>
            <w:noWrap/>
            <w:tcMar>
              <w:top w:w="0" w:type="dxa"/>
              <w:bottom w:w="0" w:type="dxa"/>
            </w:tcMar>
            <w:vAlign w:val="center"/>
          </w:tcPr>
          <w:p w:rsidR="00AA4CF5" w:rsidRDefault="00AA4CF5">
            <w:pPr>
              <w:jc w:val="center"/>
              <w:rPr>
                <w:rFonts w:ascii="Arial" w:hAnsi="Arial" w:cs="Arial"/>
                <w:b/>
                <w:bCs/>
                <w:sz w:val="20"/>
                <w:szCs w:val="20"/>
              </w:rPr>
            </w:pPr>
            <w:r>
              <w:rPr>
                <w:rFonts w:ascii="Arial" w:hAnsi="Arial" w:cs="Arial"/>
                <w:b/>
                <w:bCs/>
                <w:sz w:val="20"/>
                <w:szCs w:val="20"/>
              </w:rPr>
              <w:t>Sydney</w:t>
            </w:r>
          </w:p>
        </w:tc>
        <w:tc>
          <w:tcPr>
            <w:tcW w:w="1439" w:type="dxa"/>
            <w:tcBorders>
              <w:top w:val="nil"/>
              <w:left w:val="nil"/>
              <w:bottom w:val="single" w:sz="4" w:space="0" w:color="auto"/>
              <w:right w:val="nil"/>
              <w:tl2br w:val="nil"/>
              <w:tr2bl w:val="nil"/>
            </w:tcBorders>
            <w:noWrap/>
            <w:tcMar>
              <w:top w:w="0" w:type="dxa"/>
              <w:bottom w:w="0" w:type="dxa"/>
            </w:tcMar>
            <w:vAlign w:val="center"/>
          </w:tcPr>
          <w:p w:rsidR="00AA4CF5" w:rsidRDefault="00AA4CF5">
            <w:pPr>
              <w:jc w:val="center"/>
              <w:rPr>
                <w:rFonts w:ascii="Arial" w:hAnsi="Arial" w:cs="Arial"/>
                <w:b/>
                <w:bCs/>
                <w:sz w:val="20"/>
                <w:szCs w:val="20"/>
              </w:rPr>
            </w:pPr>
            <w:r>
              <w:rPr>
                <w:rFonts w:ascii="Arial" w:hAnsi="Arial" w:cs="Arial"/>
                <w:b/>
                <w:bCs/>
                <w:sz w:val="20"/>
                <w:szCs w:val="20"/>
              </w:rPr>
              <w:t>Adelaide</w:t>
            </w:r>
          </w:p>
        </w:tc>
        <w:tc>
          <w:tcPr>
            <w:tcW w:w="1440" w:type="dxa"/>
            <w:tcBorders>
              <w:top w:val="nil"/>
              <w:left w:val="nil"/>
              <w:bottom w:val="single" w:sz="4" w:space="0" w:color="auto"/>
              <w:right w:val="nil"/>
              <w:tl2br w:val="nil"/>
              <w:tr2bl w:val="nil"/>
            </w:tcBorders>
            <w:noWrap/>
            <w:tcMar>
              <w:top w:w="0" w:type="dxa"/>
              <w:bottom w:w="0" w:type="dxa"/>
            </w:tcMar>
            <w:vAlign w:val="center"/>
          </w:tcPr>
          <w:p w:rsidR="00AA4CF5" w:rsidRDefault="00AA4CF5">
            <w:pPr>
              <w:jc w:val="center"/>
              <w:rPr>
                <w:rFonts w:ascii="Arial" w:hAnsi="Arial" w:cs="Arial"/>
                <w:b/>
                <w:bCs/>
                <w:sz w:val="20"/>
                <w:szCs w:val="20"/>
              </w:rPr>
            </w:pPr>
            <w:r>
              <w:rPr>
                <w:rFonts w:ascii="Arial" w:hAnsi="Arial" w:cs="Arial"/>
                <w:b/>
                <w:bCs/>
                <w:sz w:val="20"/>
                <w:szCs w:val="20"/>
              </w:rPr>
              <w:t>Brisbane</w:t>
            </w:r>
          </w:p>
        </w:tc>
      </w:tr>
      <w:tr w:rsidR="00AA4CF5" w:rsidRPr="006376D7" w:rsidTr="002861A9">
        <w:trPr>
          <w:trHeight w:val="382"/>
        </w:trPr>
        <w:tc>
          <w:tcPr>
            <w:tcW w:w="3710" w:type="dxa"/>
            <w:noWrap/>
            <w:tcMar>
              <w:top w:w="0" w:type="dxa"/>
              <w:bottom w:w="0" w:type="dxa"/>
            </w:tcMar>
            <w:vAlign w:val="center"/>
          </w:tcPr>
          <w:p w:rsidR="00AA4CF5" w:rsidRDefault="00AA4CF5">
            <w:pPr>
              <w:rPr>
                <w:rFonts w:ascii="Arial" w:hAnsi="Arial" w:cs="Arial"/>
                <w:sz w:val="20"/>
                <w:szCs w:val="20"/>
              </w:rPr>
            </w:pPr>
            <w:r>
              <w:rPr>
                <w:rFonts w:ascii="Arial" w:hAnsi="Arial" w:cs="Arial"/>
                <w:sz w:val="20"/>
                <w:szCs w:val="20"/>
              </w:rPr>
              <w:t>12 Jan - 18 Jan 2014</w:t>
            </w:r>
          </w:p>
        </w:tc>
        <w:tc>
          <w:tcPr>
            <w:tcW w:w="1439" w:type="dxa"/>
            <w:noWrap/>
            <w:tcMar>
              <w:top w:w="0" w:type="dxa"/>
              <w:bottom w:w="0" w:type="dxa"/>
            </w:tcMar>
            <w:vAlign w:val="center"/>
          </w:tcPr>
          <w:p w:rsidR="00AA4CF5" w:rsidRDefault="00AA4CF5">
            <w:pPr>
              <w:jc w:val="center"/>
              <w:rPr>
                <w:rFonts w:ascii="Arial" w:hAnsi="Arial" w:cs="Arial"/>
                <w:sz w:val="20"/>
                <w:szCs w:val="20"/>
              </w:rPr>
            </w:pPr>
            <w:r>
              <w:rPr>
                <w:rFonts w:ascii="Arial" w:hAnsi="Arial" w:cs="Arial"/>
                <w:sz w:val="20"/>
                <w:szCs w:val="20"/>
              </w:rPr>
              <w:t>3.91</w:t>
            </w:r>
          </w:p>
        </w:tc>
        <w:tc>
          <w:tcPr>
            <w:tcW w:w="1440" w:type="dxa"/>
            <w:noWrap/>
            <w:tcMar>
              <w:top w:w="0" w:type="dxa"/>
              <w:bottom w:w="0" w:type="dxa"/>
            </w:tcMar>
            <w:vAlign w:val="center"/>
          </w:tcPr>
          <w:p w:rsidR="00AA4CF5" w:rsidRDefault="00AA4CF5">
            <w:pPr>
              <w:jc w:val="center"/>
              <w:rPr>
                <w:rFonts w:ascii="Arial" w:hAnsi="Arial" w:cs="Arial"/>
                <w:sz w:val="20"/>
                <w:szCs w:val="20"/>
              </w:rPr>
            </w:pPr>
            <w:r>
              <w:rPr>
                <w:rFonts w:ascii="Arial" w:hAnsi="Arial" w:cs="Arial"/>
                <w:sz w:val="20"/>
                <w:szCs w:val="20"/>
              </w:rPr>
              <w:t>4.36</w:t>
            </w:r>
          </w:p>
        </w:tc>
        <w:tc>
          <w:tcPr>
            <w:tcW w:w="1439" w:type="dxa"/>
            <w:noWrap/>
            <w:tcMar>
              <w:top w:w="0" w:type="dxa"/>
              <w:bottom w:w="0" w:type="dxa"/>
            </w:tcMar>
            <w:vAlign w:val="center"/>
          </w:tcPr>
          <w:p w:rsidR="00AA4CF5" w:rsidRDefault="00AA4CF5">
            <w:pPr>
              <w:jc w:val="center"/>
              <w:rPr>
                <w:rFonts w:ascii="Arial" w:hAnsi="Arial" w:cs="Arial"/>
                <w:sz w:val="20"/>
                <w:szCs w:val="20"/>
              </w:rPr>
            </w:pPr>
            <w:r>
              <w:rPr>
                <w:rFonts w:ascii="Arial" w:hAnsi="Arial" w:cs="Arial"/>
                <w:sz w:val="20"/>
                <w:szCs w:val="20"/>
              </w:rPr>
              <w:t>5.11</w:t>
            </w:r>
          </w:p>
        </w:tc>
        <w:tc>
          <w:tcPr>
            <w:tcW w:w="1440" w:type="dxa"/>
            <w:noWrap/>
            <w:tcMar>
              <w:top w:w="0" w:type="dxa"/>
              <w:bottom w:w="0" w:type="dxa"/>
            </w:tcMar>
            <w:vAlign w:val="center"/>
          </w:tcPr>
          <w:p w:rsidR="00AA4CF5" w:rsidRDefault="00AA4CF5">
            <w:pPr>
              <w:jc w:val="center"/>
              <w:rPr>
                <w:rFonts w:ascii="Arial" w:hAnsi="Arial" w:cs="Arial"/>
                <w:sz w:val="20"/>
                <w:szCs w:val="20"/>
              </w:rPr>
            </w:pPr>
            <w:r>
              <w:rPr>
                <w:rFonts w:ascii="Arial" w:hAnsi="Arial" w:cs="Arial"/>
                <w:sz w:val="20"/>
                <w:szCs w:val="20"/>
              </w:rPr>
              <w:t>4.67</w:t>
            </w:r>
          </w:p>
        </w:tc>
      </w:tr>
      <w:tr w:rsidR="00AA4CF5" w:rsidRPr="006376D7" w:rsidTr="002861A9">
        <w:trPr>
          <w:trHeight w:val="382"/>
        </w:trPr>
        <w:tc>
          <w:tcPr>
            <w:tcW w:w="3710" w:type="dxa"/>
            <w:noWrap/>
            <w:tcMar>
              <w:top w:w="0" w:type="dxa"/>
              <w:bottom w:w="0" w:type="dxa"/>
            </w:tcMar>
            <w:vAlign w:val="center"/>
          </w:tcPr>
          <w:p w:rsidR="00AA4CF5" w:rsidRDefault="00AA4CF5">
            <w:pPr>
              <w:rPr>
                <w:rFonts w:ascii="Arial" w:hAnsi="Arial" w:cs="Arial"/>
                <w:sz w:val="20"/>
                <w:szCs w:val="20"/>
              </w:rPr>
            </w:pPr>
            <w:r>
              <w:rPr>
                <w:rFonts w:ascii="Arial" w:hAnsi="Arial" w:cs="Arial"/>
                <w:sz w:val="20"/>
                <w:szCs w:val="20"/>
              </w:rPr>
              <w:t>% change from previous week</w:t>
            </w:r>
          </w:p>
        </w:tc>
        <w:tc>
          <w:tcPr>
            <w:tcW w:w="1439" w:type="dxa"/>
            <w:noWrap/>
            <w:tcMar>
              <w:top w:w="0" w:type="dxa"/>
              <w:bottom w:w="0" w:type="dxa"/>
            </w:tcMar>
            <w:vAlign w:val="center"/>
          </w:tcPr>
          <w:p w:rsidR="00AA4CF5" w:rsidRDefault="00AA4CF5">
            <w:pPr>
              <w:jc w:val="center"/>
              <w:rPr>
                <w:rFonts w:ascii="Arial" w:hAnsi="Arial" w:cs="Arial"/>
                <w:sz w:val="20"/>
                <w:szCs w:val="20"/>
              </w:rPr>
            </w:pPr>
            <w:r>
              <w:rPr>
                <w:rFonts w:ascii="Arial" w:hAnsi="Arial" w:cs="Arial"/>
                <w:sz w:val="20"/>
                <w:szCs w:val="20"/>
              </w:rPr>
              <w:t>3</w:t>
            </w:r>
          </w:p>
        </w:tc>
        <w:tc>
          <w:tcPr>
            <w:tcW w:w="1440" w:type="dxa"/>
            <w:noWrap/>
            <w:tcMar>
              <w:top w:w="0" w:type="dxa"/>
              <w:bottom w:w="0" w:type="dxa"/>
            </w:tcMar>
            <w:vAlign w:val="center"/>
          </w:tcPr>
          <w:p w:rsidR="00AA4CF5" w:rsidRDefault="00AA4CF5">
            <w:pPr>
              <w:jc w:val="center"/>
              <w:rPr>
                <w:rFonts w:ascii="Arial" w:hAnsi="Arial" w:cs="Arial"/>
                <w:sz w:val="20"/>
                <w:szCs w:val="20"/>
              </w:rPr>
            </w:pPr>
            <w:r>
              <w:rPr>
                <w:rFonts w:ascii="Arial" w:hAnsi="Arial" w:cs="Arial"/>
                <w:sz w:val="20"/>
                <w:szCs w:val="20"/>
              </w:rPr>
              <w:t>10</w:t>
            </w:r>
          </w:p>
        </w:tc>
        <w:tc>
          <w:tcPr>
            <w:tcW w:w="1439" w:type="dxa"/>
            <w:noWrap/>
            <w:tcMar>
              <w:top w:w="0" w:type="dxa"/>
              <w:bottom w:w="0" w:type="dxa"/>
            </w:tcMar>
            <w:vAlign w:val="center"/>
          </w:tcPr>
          <w:p w:rsidR="00AA4CF5" w:rsidRDefault="00AA4CF5">
            <w:pPr>
              <w:jc w:val="center"/>
              <w:rPr>
                <w:rFonts w:ascii="Arial" w:hAnsi="Arial" w:cs="Arial"/>
                <w:sz w:val="20"/>
                <w:szCs w:val="20"/>
              </w:rPr>
            </w:pPr>
            <w:r>
              <w:rPr>
                <w:rFonts w:ascii="Arial" w:hAnsi="Arial" w:cs="Arial"/>
                <w:sz w:val="20"/>
                <w:szCs w:val="20"/>
              </w:rPr>
              <w:t>22</w:t>
            </w:r>
          </w:p>
        </w:tc>
        <w:tc>
          <w:tcPr>
            <w:tcW w:w="1440" w:type="dxa"/>
            <w:noWrap/>
            <w:tcMar>
              <w:top w:w="0" w:type="dxa"/>
              <w:bottom w:w="0" w:type="dxa"/>
            </w:tcMar>
            <w:vAlign w:val="center"/>
          </w:tcPr>
          <w:p w:rsidR="00AA4CF5" w:rsidRDefault="00AA4CF5">
            <w:pPr>
              <w:jc w:val="center"/>
              <w:rPr>
                <w:rFonts w:ascii="Arial" w:hAnsi="Arial" w:cs="Arial"/>
                <w:sz w:val="20"/>
                <w:szCs w:val="20"/>
              </w:rPr>
            </w:pPr>
            <w:r>
              <w:rPr>
                <w:rFonts w:ascii="Arial" w:hAnsi="Arial" w:cs="Arial"/>
                <w:sz w:val="20"/>
                <w:szCs w:val="20"/>
              </w:rPr>
              <w:t>-6</w:t>
            </w:r>
          </w:p>
        </w:tc>
      </w:tr>
      <w:tr w:rsidR="00AA4CF5" w:rsidRPr="006376D7" w:rsidTr="002861A9">
        <w:trPr>
          <w:trHeight w:val="382"/>
        </w:trPr>
        <w:tc>
          <w:tcPr>
            <w:tcW w:w="3710" w:type="dxa"/>
            <w:noWrap/>
            <w:tcMar>
              <w:top w:w="0" w:type="dxa"/>
              <w:bottom w:w="0" w:type="dxa"/>
            </w:tcMar>
            <w:vAlign w:val="center"/>
          </w:tcPr>
          <w:p w:rsidR="00AA4CF5" w:rsidRDefault="00AA4CF5">
            <w:pPr>
              <w:rPr>
                <w:rFonts w:ascii="Arial" w:hAnsi="Arial" w:cs="Arial"/>
                <w:sz w:val="20"/>
                <w:szCs w:val="20"/>
              </w:rPr>
            </w:pPr>
            <w:r>
              <w:rPr>
                <w:rFonts w:ascii="Arial" w:hAnsi="Arial" w:cs="Arial"/>
                <w:sz w:val="20"/>
                <w:szCs w:val="20"/>
              </w:rPr>
              <w:t>13-14 financial YTD</w:t>
            </w:r>
          </w:p>
        </w:tc>
        <w:tc>
          <w:tcPr>
            <w:tcW w:w="1439" w:type="dxa"/>
            <w:noWrap/>
            <w:tcMar>
              <w:top w:w="0" w:type="dxa"/>
              <w:bottom w:w="0" w:type="dxa"/>
            </w:tcMar>
            <w:vAlign w:val="center"/>
          </w:tcPr>
          <w:p w:rsidR="00AA4CF5" w:rsidRDefault="00AA4CF5">
            <w:pPr>
              <w:jc w:val="center"/>
              <w:rPr>
                <w:rFonts w:ascii="Arial" w:hAnsi="Arial" w:cs="Arial"/>
                <w:sz w:val="20"/>
                <w:szCs w:val="20"/>
              </w:rPr>
            </w:pPr>
            <w:r>
              <w:rPr>
                <w:rFonts w:ascii="Arial" w:hAnsi="Arial" w:cs="Arial"/>
                <w:sz w:val="20"/>
                <w:szCs w:val="20"/>
              </w:rPr>
              <w:t>3.96</w:t>
            </w:r>
          </w:p>
        </w:tc>
        <w:tc>
          <w:tcPr>
            <w:tcW w:w="1440" w:type="dxa"/>
            <w:noWrap/>
            <w:tcMar>
              <w:top w:w="0" w:type="dxa"/>
              <w:bottom w:w="0" w:type="dxa"/>
            </w:tcMar>
            <w:vAlign w:val="center"/>
          </w:tcPr>
          <w:p w:rsidR="00AA4CF5" w:rsidRDefault="00AA4CF5">
            <w:pPr>
              <w:jc w:val="center"/>
              <w:rPr>
                <w:rFonts w:ascii="Arial" w:hAnsi="Arial" w:cs="Arial"/>
                <w:sz w:val="20"/>
                <w:szCs w:val="20"/>
              </w:rPr>
            </w:pPr>
            <w:r>
              <w:rPr>
                <w:rFonts w:ascii="Arial" w:hAnsi="Arial" w:cs="Arial"/>
                <w:sz w:val="20"/>
                <w:szCs w:val="20"/>
              </w:rPr>
              <w:t>4.18</w:t>
            </w:r>
          </w:p>
        </w:tc>
        <w:tc>
          <w:tcPr>
            <w:tcW w:w="1439" w:type="dxa"/>
            <w:noWrap/>
            <w:tcMar>
              <w:top w:w="0" w:type="dxa"/>
              <w:bottom w:w="0" w:type="dxa"/>
            </w:tcMar>
            <w:vAlign w:val="center"/>
          </w:tcPr>
          <w:p w:rsidR="00AA4CF5" w:rsidRDefault="00AA4CF5">
            <w:pPr>
              <w:jc w:val="center"/>
              <w:rPr>
                <w:rFonts w:ascii="Arial" w:hAnsi="Arial" w:cs="Arial"/>
                <w:sz w:val="20"/>
                <w:szCs w:val="20"/>
              </w:rPr>
            </w:pPr>
            <w:r>
              <w:rPr>
                <w:rFonts w:ascii="Arial" w:hAnsi="Arial" w:cs="Arial"/>
                <w:sz w:val="20"/>
                <w:szCs w:val="20"/>
              </w:rPr>
              <w:t>4.52</w:t>
            </w:r>
          </w:p>
        </w:tc>
        <w:tc>
          <w:tcPr>
            <w:tcW w:w="1440" w:type="dxa"/>
            <w:noWrap/>
            <w:tcMar>
              <w:top w:w="0" w:type="dxa"/>
              <w:bottom w:w="0" w:type="dxa"/>
            </w:tcMar>
            <w:vAlign w:val="center"/>
          </w:tcPr>
          <w:p w:rsidR="00AA4CF5" w:rsidRDefault="00AA4CF5">
            <w:pPr>
              <w:jc w:val="center"/>
              <w:rPr>
                <w:rFonts w:ascii="Arial" w:hAnsi="Arial" w:cs="Arial"/>
                <w:sz w:val="20"/>
                <w:szCs w:val="20"/>
              </w:rPr>
            </w:pPr>
            <w:r>
              <w:rPr>
                <w:rFonts w:ascii="Arial" w:hAnsi="Arial" w:cs="Arial"/>
                <w:sz w:val="20"/>
                <w:szCs w:val="20"/>
              </w:rPr>
              <w:t>5.36</w:t>
            </w:r>
          </w:p>
        </w:tc>
      </w:tr>
      <w:tr w:rsidR="00AA4CF5" w:rsidRPr="006376D7" w:rsidTr="002861A9">
        <w:trPr>
          <w:trHeight w:val="382"/>
        </w:trPr>
        <w:tc>
          <w:tcPr>
            <w:tcW w:w="3710" w:type="dxa"/>
            <w:noWrap/>
            <w:tcMar>
              <w:top w:w="0" w:type="dxa"/>
              <w:bottom w:w="0" w:type="dxa"/>
            </w:tcMar>
            <w:vAlign w:val="center"/>
          </w:tcPr>
          <w:p w:rsidR="00AA4CF5" w:rsidRDefault="00AA4CF5">
            <w:pPr>
              <w:rPr>
                <w:rFonts w:ascii="Arial" w:hAnsi="Arial" w:cs="Arial"/>
                <w:sz w:val="20"/>
                <w:szCs w:val="20"/>
              </w:rPr>
            </w:pPr>
            <w:r>
              <w:rPr>
                <w:rFonts w:ascii="Arial" w:hAnsi="Arial" w:cs="Arial"/>
                <w:sz w:val="20"/>
                <w:szCs w:val="20"/>
              </w:rPr>
              <w:t>% change from previous financial YTD</w:t>
            </w:r>
          </w:p>
        </w:tc>
        <w:tc>
          <w:tcPr>
            <w:tcW w:w="1439" w:type="dxa"/>
            <w:noWrap/>
            <w:tcMar>
              <w:top w:w="0" w:type="dxa"/>
              <w:bottom w:w="0" w:type="dxa"/>
            </w:tcMar>
            <w:vAlign w:val="center"/>
          </w:tcPr>
          <w:p w:rsidR="00AA4CF5" w:rsidRDefault="00AA4CF5">
            <w:pPr>
              <w:jc w:val="center"/>
              <w:rPr>
                <w:rFonts w:ascii="Arial" w:hAnsi="Arial" w:cs="Arial"/>
                <w:sz w:val="20"/>
                <w:szCs w:val="20"/>
              </w:rPr>
            </w:pPr>
            <w:r>
              <w:rPr>
                <w:rFonts w:ascii="Arial" w:hAnsi="Arial" w:cs="Arial"/>
                <w:sz w:val="20"/>
                <w:szCs w:val="20"/>
              </w:rPr>
              <w:t>-11</w:t>
            </w:r>
          </w:p>
        </w:tc>
        <w:tc>
          <w:tcPr>
            <w:tcW w:w="1440" w:type="dxa"/>
            <w:noWrap/>
            <w:tcMar>
              <w:top w:w="0" w:type="dxa"/>
              <w:bottom w:w="0" w:type="dxa"/>
            </w:tcMar>
            <w:vAlign w:val="center"/>
          </w:tcPr>
          <w:p w:rsidR="00AA4CF5" w:rsidRDefault="00AA4CF5">
            <w:pPr>
              <w:jc w:val="center"/>
              <w:rPr>
                <w:rFonts w:ascii="Arial" w:hAnsi="Arial" w:cs="Arial"/>
                <w:sz w:val="20"/>
                <w:szCs w:val="20"/>
              </w:rPr>
            </w:pPr>
            <w:r>
              <w:rPr>
                <w:rFonts w:ascii="Arial" w:hAnsi="Arial" w:cs="Arial"/>
                <w:sz w:val="20"/>
                <w:szCs w:val="20"/>
              </w:rPr>
              <w:t>-21</w:t>
            </w:r>
          </w:p>
        </w:tc>
        <w:tc>
          <w:tcPr>
            <w:tcW w:w="1439" w:type="dxa"/>
            <w:noWrap/>
            <w:tcMar>
              <w:top w:w="0" w:type="dxa"/>
              <w:bottom w:w="0" w:type="dxa"/>
            </w:tcMar>
            <w:vAlign w:val="center"/>
          </w:tcPr>
          <w:p w:rsidR="00AA4CF5" w:rsidRDefault="00AA4CF5">
            <w:pPr>
              <w:jc w:val="center"/>
              <w:rPr>
                <w:rFonts w:ascii="Arial" w:hAnsi="Arial" w:cs="Arial"/>
                <w:sz w:val="20"/>
                <w:szCs w:val="20"/>
              </w:rPr>
            </w:pPr>
            <w:r>
              <w:rPr>
                <w:rFonts w:ascii="Arial" w:hAnsi="Arial" w:cs="Arial"/>
                <w:sz w:val="20"/>
                <w:szCs w:val="20"/>
              </w:rPr>
              <w:t>-13</w:t>
            </w:r>
          </w:p>
        </w:tc>
        <w:tc>
          <w:tcPr>
            <w:tcW w:w="1440" w:type="dxa"/>
            <w:noWrap/>
            <w:tcMar>
              <w:top w:w="0" w:type="dxa"/>
              <w:bottom w:w="0" w:type="dxa"/>
            </w:tcMar>
            <w:vAlign w:val="center"/>
          </w:tcPr>
          <w:p w:rsidR="00AA4CF5" w:rsidRDefault="00AA4CF5">
            <w:pPr>
              <w:jc w:val="center"/>
              <w:rPr>
                <w:rFonts w:ascii="Arial" w:hAnsi="Arial" w:cs="Arial"/>
                <w:sz w:val="20"/>
                <w:szCs w:val="20"/>
              </w:rPr>
            </w:pPr>
            <w:r>
              <w:rPr>
                <w:rFonts w:ascii="Arial" w:hAnsi="Arial" w:cs="Arial"/>
                <w:sz w:val="20"/>
                <w:szCs w:val="20"/>
              </w:rPr>
              <w:t>-1</w:t>
            </w:r>
          </w:p>
        </w:tc>
      </w:tr>
    </w:tbl>
    <w:p w:rsidR="00B24A61" w:rsidRPr="008D4DAB" w:rsidRDefault="00447C09" w:rsidP="00B24A61">
      <w:pPr>
        <w:pStyle w:val="AERbodytext"/>
        <w:spacing w:before="120" w:after="120"/>
        <w:jc w:val="both"/>
      </w:pPr>
      <w:r>
        <w:t>Figure</w:t>
      </w:r>
      <w:r w:rsidR="00B24A61" w:rsidRPr="008D4DAB">
        <w:t xml:space="preserve"> 2 compare</w:t>
      </w:r>
      <w:r>
        <w:t>s</w:t>
      </w:r>
      <w:r w:rsidR="00B24A61" w:rsidRPr="008D4DAB">
        <w:t xml:space="preserve"> average weekly gas prices, ancillary market payments and </w:t>
      </w:r>
      <w:r>
        <w:t>scheduled</w:t>
      </w:r>
      <w:r w:rsidR="00B24A61" w:rsidRPr="008D4DAB">
        <w:t xml:space="preserve"> </w:t>
      </w:r>
      <w:r w:rsidR="00B24A61">
        <w:t>injections</w:t>
      </w:r>
      <w:r w:rsidR="00B24A61" w:rsidRPr="008D4DAB">
        <w:t xml:space="preserve"> against historical averages for the </w:t>
      </w:r>
      <w:r w:rsidR="00B24A61">
        <w:t>Vic</w:t>
      </w:r>
      <w:r w:rsidR="00EA18A1">
        <w:t>torian</w:t>
      </w:r>
      <w:r w:rsidR="00B24A61">
        <w:t xml:space="preserve"> </w:t>
      </w:r>
      <w:r w:rsidR="00B24A61" w:rsidRPr="008D4DAB">
        <w:t>gas market.</w:t>
      </w:r>
    </w:p>
    <w:p w:rsidR="005F18AD" w:rsidRPr="00875D0C" w:rsidRDefault="005F18AD" w:rsidP="000D1FEB">
      <w:pPr>
        <w:pStyle w:val="AERfigureheading-unnumbered"/>
        <w:tabs>
          <w:tab w:val="num" w:pos="1080"/>
        </w:tabs>
        <w:spacing w:before="120"/>
        <w:rPr>
          <w:rFonts w:ascii="Arial" w:hAnsi="Arial" w:cs="Arial"/>
          <w:sz w:val="20"/>
          <w:szCs w:val="20"/>
        </w:rPr>
      </w:pPr>
      <w:r w:rsidRPr="00875D0C">
        <w:rPr>
          <w:rFonts w:ascii="Arial" w:hAnsi="Arial" w:cs="Arial"/>
          <w:sz w:val="20"/>
          <w:szCs w:val="20"/>
        </w:rPr>
        <w:t xml:space="preserve">Victorian </w:t>
      </w:r>
      <w:r w:rsidR="00645036">
        <w:rPr>
          <w:rFonts w:ascii="Arial" w:hAnsi="Arial" w:cs="Arial"/>
          <w:sz w:val="20"/>
          <w:szCs w:val="20"/>
        </w:rPr>
        <w:t>g</w:t>
      </w:r>
      <w:r w:rsidRPr="00875D0C">
        <w:rPr>
          <w:rFonts w:ascii="Arial" w:hAnsi="Arial" w:cs="Arial"/>
          <w:sz w:val="20"/>
          <w:szCs w:val="20"/>
        </w:rPr>
        <w:t xml:space="preserve">as </w:t>
      </w:r>
      <w:r w:rsidR="00645036">
        <w:rPr>
          <w:rFonts w:ascii="Arial" w:hAnsi="Arial" w:cs="Arial"/>
          <w:sz w:val="20"/>
          <w:szCs w:val="20"/>
        </w:rPr>
        <w:t>m</w:t>
      </w:r>
      <w:r w:rsidRPr="00875D0C">
        <w:rPr>
          <w:rFonts w:ascii="Arial" w:hAnsi="Arial" w:cs="Arial"/>
          <w:sz w:val="20"/>
          <w:szCs w:val="20"/>
        </w:rPr>
        <w:t>arket</w:t>
      </w:r>
      <w:r w:rsidR="00522E00">
        <w:rPr>
          <w:rFonts w:ascii="Arial" w:hAnsi="Arial" w:cs="Arial"/>
          <w:sz w:val="20"/>
          <w:szCs w:val="20"/>
        </w:rPr>
        <w:t xml:space="preserve"> </w:t>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08"/>
        <w:gridCol w:w="1440"/>
        <w:gridCol w:w="2160"/>
        <w:gridCol w:w="2160"/>
      </w:tblGrid>
      <w:tr w:rsidR="003410C4" w:rsidRPr="006376D7" w:rsidTr="002861A9">
        <w:trPr>
          <w:trHeight w:val="226"/>
        </w:trPr>
        <w:tc>
          <w:tcPr>
            <w:tcW w:w="3708"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rPr>
                <w:rFonts w:ascii="Arial" w:hAnsi="Arial" w:cs="Arial"/>
                <w:b/>
                <w:bCs/>
                <w:sz w:val="20"/>
                <w:szCs w:val="20"/>
              </w:rPr>
            </w:pPr>
          </w:p>
        </w:tc>
        <w:tc>
          <w:tcPr>
            <w:tcW w:w="144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Price ($/GJ)</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Ancillary payments ($000)</w:t>
            </w:r>
            <w:r w:rsidR="001420EB">
              <w:rPr>
                <w:rFonts w:ascii="Arial" w:hAnsi="Arial" w:cs="Arial"/>
                <w:b/>
                <w:bCs/>
                <w:sz w:val="20"/>
                <w:szCs w:val="20"/>
              </w:rPr>
              <w:t>*</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BOD forecast demand quantity (TJ)</w:t>
            </w:r>
          </w:p>
        </w:tc>
      </w:tr>
      <w:tr w:rsidR="00DC5E6D" w:rsidRPr="006376D7" w:rsidTr="002861A9">
        <w:trPr>
          <w:trHeight w:val="382"/>
        </w:trPr>
        <w:tc>
          <w:tcPr>
            <w:tcW w:w="3708" w:type="dxa"/>
            <w:noWrap/>
            <w:tcMar>
              <w:top w:w="0" w:type="dxa"/>
              <w:bottom w:w="0" w:type="dxa"/>
            </w:tcMar>
            <w:vAlign w:val="center"/>
          </w:tcPr>
          <w:p w:rsidR="00DC5E6D" w:rsidRDefault="00DC5E6D">
            <w:pPr>
              <w:rPr>
                <w:rFonts w:ascii="Arial" w:hAnsi="Arial" w:cs="Arial"/>
                <w:sz w:val="20"/>
                <w:szCs w:val="20"/>
              </w:rPr>
            </w:pPr>
            <w:r>
              <w:rPr>
                <w:rFonts w:ascii="Arial" w:hAnsi="Arial" w:cs="Arial"/>
                <w:sz w:val="20"/>
                <w:szCs w:val="20"/>
              </w:rPr>
              <w:t>12 Jan - 18 Jan 2014</w:t>
            </w:r>
          </w:p>
        </w:tc>
        <w:tc>
          <w:tcPr>
            <w:tcW w:w="1440"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3.91</w:t>
            </w:r>
          </w:p>
        </w:tc>
        <w:tc>
          <w:tcPr>
            <w:tcW w:w="2160"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354</w:t>
            </w:r>
          </w:p>
        </w:tc>
      </w:tr>
      <w:tr w:rsidR="00DC5E6D" w:rsidRPr="006376D7" w:rsidTr="002861A9">
        <w:trPr>
          <w:trHeight w:val="382"/>
        </w:trPr>
        <w:tc>
          <w:tcPr>
            <w:tcW w:w="3708" w:type="dxa"/>
            <w:noWrap/>
            <w:tcMar>
              <w:top w:w="0" w:type="dxa"/>
              <w:bottom w:w="0" w:type="dxa"/>
            </w:tcMar>
            <w:vAlign w:val="center"/>
          </w:tcPr>
          <w:p w:rsidR="00DC5E6D" w:rsidRDefault="00DC5E6D">
            <w:pPr>
              <w:rPr>
                <w:rFonts w:ascii="Arial" w:hAnsi="Arial" w:cs="Arial"/>
                <w:sz w:val="20"/>
                <w:szCs w:val="20"/>
              </w:rPr>
            </w:pPr>
            <w:r>
              <w:rPr>
                <w:rFonts w:ascii="Arial" w:hAnsi="Arial" w:cs="Arial"/>
                <w:sz w:val="20"/>
                <w:szCs w:val="20"/>
              </w:rPr>
              <w:t>% change from previous week</w:t>
            </w:r>
          </w:p>
        </w:tc>
        <w:tc>
          <w:tcPr>
            <w:tcW w:w="1440"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3</w:t>
            </w:r>
          </w:p>
        </w:tc>
        <w:tc>
          <w:tcPr>
            <w:tcW w:w="2160"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6</w:t>
            </w:r>
          </w:p>
        </w:tc>
      </w:tr>
      <w:tr w:rsidR="00DC5E6D" w:rsidRPr="006376D7" w:rsidTr="002861A9">
        <w:trPr>
          <w:trHeight w:val="382"/>
        </w:trPr>
        <w:tc>
          <w:tcPr>
            <w:tcW w:w="3708" w:type="dxa"/>
            <w:noWrap/>
            <w:tcMar>
              <w:top w:w="0" w:type="dxa"/>
              <w:bottom w:w="0" w:type="dxa"/>
            </w:tcMar>
            <w:vAlign w:val="center"/>
          </w:tcPr>
          <w:p w:rsidR="00DC5E6D" w:rsidRDefault="00DC5E6D">
            <w:pPr>
              <w:rPr>
                <w:rFonts w:ascii="Arial" w:hAnsi="Arial" w:cs="Arial"/>
                <w:sz w:val="20"/>
                <w:szCs w:val="20"/>
              </w:rPr>
            </w:pPr>
            <w:r>
              <w:rPr>
                <w:rFonts w:ascii="Arial" w:hAnsi="Arial" w:cs="Arial"/>
                <w:sz w:val="20"/>
                <w:szCs w:val="20"/>
              </w:rPr>
              <w:t>13-14 financial YTD</w:t>
            </w:r>
          </w:p>
        </w:tc>
        <w:tc>
          <w:tcPr>
            <w:tcW w:w="1440"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3.96</w:t>
            </w:r>
          </w:p>
        </w:tc>
        <w:tc>
          <w:tcPr>
            <w:tcW w:w="2160"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572</w:t>
            </w:r>
          </w:p>
        </w:tc>
      </w:tr>
      <w:tr w:rsidR="00DC5E6D" w:rsidRPr="006376D7" w:rsidTr="002861A9">
        <w:trPr>
          <w:trHeight w:val="382"/>
        </w:trPr>
        <w:tc>
          <w:tcPr>
            <w:tcW w:w="3708" w:type="dxa"/>
            <w:noWrap/>
            <w:tcMar>
              <w:top w:w="0" w:type="dxa"/>
              <w:bottom w:w="0" w:type="dxa"/>
            </w:tcMar>
            <w:vAlign w:val="center"/>
          </w:tcPr>
          <w:p w:rsidR="00DC5E6D" w:rsidRDefault="00DC5E6D">
            <w:pPr>
              <w:rPr>
                <w:rFonts w:ascii="Arial" w:hAnsi="Arial" w:cs="Arial"/>
                <w:sz w:val="20"/>
                <w:szCs w:val="20"/>
              </w:rPr>
            </w:pPr>
            <w:r>
              <w:rPr>
                <w:rFonts w:ascii="Arial" w:hAnsi="Arial" w:cs="Arial"/>
                <w:sz w:val="20"/>
                <w:szCs w:val="20"/>
              </w:rPr>
              <w:t xml:space="preserve">% change from previous financial YTD </w:t>
            </w:r>
          </w:p>
        </w:tc>
        <w:tc>
          <w:tcPr>
            <w:tcW w:w="1440"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-11</w:t>
            </w:r>
          </w:p>
        </w:tc>
        <w:tc>
          <w:tcPr>
            <w:tcW w:w="2160"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-5</w:t>
            </w:r>
          </w:p>
        </w:tc>
      </w:tr>
    </w:tbl>
    <w:p w:rsidR="00BC4C5B" w:rsidRDefault="00BC4C5B" w:rsidP="001A5C1A">
      <w:pPr>
        <w:pStyle w:val="AERbodytext"/>
        <w:spacing w:before="120" w:after="120"/>
        <w:jc w:val="both"/>
      </w:pPr>
      <w:r w:rsidRPr="006619E5">
        <w:rPr>
          <w:sz w:val="20"/>
        </w:rPr>
        <w:t>*</w:t>
      </w:r>
      <w:r w:rsidR="001420EB" w:rsidRPr="001420EB">
        <w:rPr>
          <w:sz w:val="20"/>
        </w:rPr>
        <w:t xml:space="preserve"> </w:t>
      </w:r>
      <w:r w:rsidR="001420EB" w:rsidRPr="006619E5">
        <w:rPr>
          <w:sz w:val="20"/>
        </w:rPr>
        <w:t>Note: only positive ancillary payments, reflecting system con</w:t>
      </w:r>
      <w:r w:rsidR="001420EB">
        <w:rPr>
          <w:sz w:val="20"/>
        </w:rPr>
        <w:t>straints will be shown here</w:t>
      </w:r>
      <w:r w:rsidR="00EA18A1">
        <w:rPr>
          <w:sz w:val="20"/>
        </w:rPr>
        <w:t>.</w:t>
      </w:r>
      <w:r>
        <w:t xml:space="preserve"> </w:t>
      </w:r>
    </w:p>
    <w:p w:rsidR="00AD3EBD" w:rsidRDefault="008A6DB5" w:rsidP="001A5C1A">
      <w:pPr>
        <w:pStyle w:val="AERbodytext"/>
        <w:spacing w:before="120" w:after="120"/>
        <w:jc w:val="both"/>
      </w:pPr>
      <w:r>
        <w:t>More</w:t>
      </w:r>
      <w:r w:rsidR="00D329E0" w:rsidRPr="00D329E0">
        <w:t xml:space="preserve"> </w:t>
      </w:r>
      <w:r>
        <w:t xml:space="preserve">detailed </w:t>
      </w:r>
      <w:r w:rsidR="00D329E0" w:rsidRPr="00D329E0">
        <w:t>analysis on the</w:t>
      </w:r>
      <w:r w:rsidR="001B29F0">
        <w:t xml:space="preserve"> </w:t>
      </w:r>
      <w:r w:rsidR="00643109">
        <w:t xml:space="preserve">VGM </w:t>
      </w:r>
      <w:r>
        <w:t xml:space="preserve">is </w:t>
      </w:r>
      <w:r w:rsidR="000B6397">
        <w:t xml:space="preserve">provided </w:t>
      </w:r>
      <w:r>
        <w:t>in Section 1</w:t>
      </w:r>
      <w:r w:rsidR="00D329E0" w:rsidRPr="00D329E0">
        <w:t xml:space="preserve">. </w:t>
      </w:r>
    </w:p>
    <w:p w:rsidR="00547827" w:rsidRPr="008D4DAB" w:rsidRDefault="00547827" w:rsidP="00547827">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w:t>
      </w:r>
      <w:r w:rsidR="00EA18A1">
        <w:t>Market Operator Service</w:t>
      </w:r>
      <w:r w:rsidR="00EA18A1" w:rsidRPr="001B29F0">
        <w:rPr>
          <w:b/>
        </w:rPr>
        <w:t xml:space="preserve"> (</w:t>
      </w:r>
      <w:r w:rsidRPr="001B29F0">
        <w:rPr>
          <w:b/>
        </w:rPr>
        <w:t>MOS</w:t>
      </w:r>
      <w:r w:rsidR="00EA18A1" w:rsidRPr="001B29F0">
        <w:rPr>
          <w:b/>
        </w:rPr>
        <w:t>)</w:t>
      </w:r>
      <w:r>
        <w:t xml:space="preserve"> balancing gas service payments </w:t>
      </w:r>
      <w:r w:rsidR="00B30EB3">
        <w:t>together with</w:t>
      </w:r>
      <w:r>
        <w:t xml:space="preserve"> the related daily</w:t>
      </w:r>
      <w:r w:rsidRPr="008D4DAB">
        <w:t xml:space="preserve"> demand </w:t>
      </w:r>
      <w:r>
        <w:t xml:space="preserve">quantities against </w:t>
      </w:r>
      <w:r w:rsidRPr="008D4DAB">
        <w:t xml:space="preserve">historical averages </w:t>
      </w:r>
      <w:r>
        <w:t xml:space="preserve">for the Sydney, Adelaide and Brisbane </w:t>
      </w:r>
      <w:r w:rsidR="00996EA0">
        <w:t>STTM hubs</w:t>
      </w:r>
      <w:r>
        <w:t>, respectively.</w:t>
      </w:r>
    </w:p>
    <w:p w:rsidR="00040F6B" w:rsidRDefault="00040F6B" w:rsidP="001A5C1A">
      <w:pPr>
        <w:pStyle w:val="AERbodytext"/>
        <w:spacing w:before="120" w:after="120"/>
        <w:jc w:val="both"/>
      </w:pPr>
    </w:p>
    <w:p w:rsidR="00AD3EBD" w:rsidRPr="00E77449" w:rsidRDefault="00AD3EBD" w:rsidP="000D1FEB">
      <w:pPr>
        <w:pStyle w:val="AERfigureheading-unnumbered"/>
        <w:tabs>
          <w:tab w:val="num" w:pos="1080"/>
        </w:tabs>
        <w:spacing w:before="120"/>
        <w:rPr>
          <w:rFonts w:ascii="Arial" w:hAnsi="Arial" w:cs="Arial"/>
          <w:sz w:val="20"/>
          <w:szCs w:val="20"/>
        </w:rPr>
      </w:pPr>
      <w:r w:rsidRPr="00E77449">
        <w:rPr>
          <w:rFonts w:ascii="Arial" w:hAnsi="Arial" w:cs="Arial"/>
          <w:sz w:val="20"/>
          <w:szCs w:val="20"/>
        </w:rPr>
        <w:t>Sydney STTM</w:t>
      </w:r>
      <w:r w:rsidR="00522E00" w:rsidRPr="00E77449">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DC5E6D" w:rsidRPr="002861A9" w:rsidTr="002861A9">
        <w:trPr>
          <w:trHeight w:val="382"/>
        </w:trPr>
        <w:tc>
          <w:tcPr>
            <w:tcW w:w="2670" w:type="dxa"/>
            <w:noWrap/>
            <w:tcMar>
              <w:top w:w="0" w:type="dxa"/>
              <w:bottom w:w="0" w:type="dxa"/>
            </w:tcMar>
            <w:vAlign w:val="center"/>
          </w:tcPr>
          <w:p w:rsidR="00DC5E6D" w:rsidRDefault="00DC5E6D">
            <w:pPr>
              <w:rPr>
                <w:rFonts w:ascii="Arial" w:hAnsi="Arial" w:cs="Arial"/>
                <w:sz w:val="20"/>
                <w:szCs w:val="20"/>
              </w:rPr>
            </w:pPr>
            <w:r>
              <w:rPr>
                <w:rFonts w:ascii="Arial" w:hAnsi="Arial" w:cs="Arial"/>
                <w:sz w:val="20"/>
                <w:szCs w:val="20"/>
              </w:rPr>
              <w:t>12 Jan - 18 Jan 2014</w:t>
            </w:r>
          </w:p>
        </w:tc>
        <w:tc>
          <w:tcPr>
            <w:tcW w:w="1359"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4.36</w:t>
            </w:r>
          </w:p>
        </w:tc>
        <w:tc>
          <w:tcPr>
            <w:tcW w:w="1360"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4.26</w:t>
            </w:r>
          </w:p>
        </w:tc>
        <w:tc>
          <w:tcPr>
            <w:tcW w:w="1359"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19.79</w:t>
            </w:r>
          </w:p>
        </w:tc>
        <w:tc>
          <w:tcPr>
            <w:tcW w:w="1280"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211</w:t>
            </w:r>
          </w:p>
        </w:tc>
        <w:tc>
          <w:tcPr>
            <w:tcW w:w="1260"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207</w:t>
            </w:r>
          </w:p>
        </w:tc>
      </w:tr>
      <w:tr w:rsidR="00DC5E6D" w:rsidRPr="002861A9" w:rsidTr="002861A9">
        <w:trPr>
          <w:trHeight w:val="382"/>
        </w:trPr>
        <w:tc>
          <w:tcPr>
            <w:tcW w:w="2670" w:type="dxa"/>
            <w:noWrap/>
            <w:tcMar>
              <w:top w:w="0" w:type="dxa"/>
              <w:bottom w:w="0" w:type="dxa"/>
            </w:tcMar>
            <w:vAlign w:val="center"/>
          </w:tcPr>
          <w:p w:rsidR="00DC5E6D" w:rsidRDefault="00DC5E6D">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10</w:t>
            </w:r>
          </w:p>
        </w:tc>
        <w:tc>
          <w:tcPr>
            <w:tcW w:w="1360"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13</w:t>
            </w:r>
          </w:p>
        </w:tc>
        <w:tc>
          <w:tcPr>
            <w:tcW w:w="1359"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17</w:t>
            </w:r>
          </w:p>
        </w:tc>
        <w:tc>
          <w:tcPr>
            <w:tcW w:w="1280"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4</w:t>
            </w:r>
          </w:p>
        </w:tc>
        <w:tc>
          <w:tcPr>
            <w:tcW w:w="1260"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6</w:t>
            </w:r>
          </w:p>
        </w:tc>
      </w:tr>
      <w:tr w:rsidR="00DC5E6D" w:rsidRPr="002861A9" w:rsidTr="002861A9">
        <w:trPr>
          <w:trHeight w:val="382"/>
        </w:trPr>
        <w:tc>
          <w:tcPr>
            <w:tcW w:w="2670" w:type="dxa"/>
            <w:noWrap/>
            <w:tcMar>
              <w:top w:w="0" w:type="dxa"/>
              <w:bottom w:w="0" w:type="dxa"/>
            </w:tcMar>
            <w:vAlign w:val="center"/>
          </w:tcPr>
          <w:p w:rsidR="00DC5E6D" w:rsidRDefault="00DC5E6D">
            <w:pPr>
              <w:rPr>
                <w:rFonts w:ascii="Arial" w:hAnsi="Arial" w:cs="Arial"/>
                <w:sz w:val="20"/>
                <w:szCs w:val="20"/>
              </w:rPr>
            </w:pPr>
            <w:r>
              <w:rPr>
                <w:rFonts w:ascii="Arial" w:hAnsi="Arial" w:cs="Arial"/>
                <w:sz w:val="20"/>
                <w:szCs w:val="20"/>
              </w:rPr>
              <w:t>13-14 financial YTD</w:t>
            </w:r>
          </w:p>
        </w:tc>
        <w:tc>
          <w:tcPr>
            <w:tcW w:w="1359"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4.18</w:t>
            </w:r>
          </w:p>
        </w:tc>
        <w:tc>
          <w:tcPr>
            <w:tcW w:w="1360"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4.03</w:t>
            </w:r>
          </w:p>
        </w:tc>
        <w:tc>
          <w:tcPr>
            <w:tcW w:w="1359"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11.74</w:t>
            </w:r>
          </w:p>
        </w:tc>
        <w:tc>
          <w:tcPr>
            <w:tcW w:w="1280"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243</w:t>
            </w:r>
          </w:p>
        </w:tc>
        <w:tc>
          <w:tcPr>
            <w:tcW w:w="1260"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238</w:t>
            </w:r>
          </w:p>
        </w:tc>
      </w:tr>
      <w:tr w:rsidR="00DC5E6D" w:rsidRPr="002861A9" w:rsidTr="002861A9">
        <w:trPr>
          <w:trHeight w:val="382"/>
        </w:trPr>
        <w:tc>
          <w:tcPr>
            <w:tcW w:w="2670" w:type="dxa"/>
            <w:noWrap/>
            <w:tcMar>
              <w:top w:w="0" w:type="dxa"/>
              <w:bottom w:w="0" w:type="dxa"/>
            </w:tcMar>
            <w:vAlign w:val="center"/>
          </w:tcPr>
          <w:p w:rsidR="00DC5E6D" w:rsidRDefault="00DC5E6D">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-21</w:t>
            </w:r>
          </w:p>
        </w:tc>
        <w:tc>
          <w:tcPr>
            <w:tcW w:w="1360"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-29</w:t>
            </w:r>
          </w:p>
        </w:tc>
        <w:tc>
          <w:tcPr>
            <w:tcW w:w="1359"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4</w:t>
            </w:r>
          </w:p>
        </w:tc>
        <w:tc>
          <w:tcPr>
            <w:tcW w:w="1280"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-1</w:t>
            </w:r>
          </w:p>
        </w:tc>
        <w:tc>
          <w:tcPr>
            <w:tcW w:w="1260"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-3</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Adelaide STTM</w:t>
      </w:r>
      <w:r w:rsidR="00522E00" w:rsidRPr="00900CEB">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79"/>
        <w:gridCol w:w="126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7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DC5E6D" w:rsidRPr="002861A9" w:rsidTr="002861A9">
        <w:trPr>
          <w:trHeight w:val="382"/>
        </w:trPr>
        <w:tc>
          <w:tcPr>
            <w:tcW w:w="2670" w:type="dxa"/>
            <w:noWrap/>
            <w:tcMar>
              <w:top w:w="0" w:type="dxa"/>
              <w:bottom w:w="0" w:type="dxa"/>
            </w:tcMar>
            <w:vAlign w:val="center"/>
          </w:tcPr>
          <w:p w:rsidR="00DC5E6D" w:rsidRDefault="00DC5E6D">
            <w:pPr>
              <w:rPr>
                <w:rFonts w:ascii="Arial" w:hAnsi="Arial" w:cs="Arial"/>
                <w:sz w:val="20"/>
                <w:szCs w:val="20"/>
              </w:rPr>
            </w:pPr>
            <w:r>
              <w:rPr>
                <w:rFonts w:ascii="Arial" w:hAnsi="Arial" w:cs="Arial"/>
                <w:sz w:val="20"/>
                <w:szCs w:val="20"/>
              </w:rPr>
              <w:t>12 Jan - 18 Jan 2014</w:t>
            </w:r>
          </w:p>
        </w:tc>
        <w:tc>
          <w:tcPr>
            <w:tcW w:w="1359"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5.11</w:t>
            </w:r>
          </w:p>
        </w:tc>
        <w:tc>
          <w:tcPr>
            <w:tcW w:w="1360"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4.95</w:t>
            </w:r>
          </w:p>
        </w:tc>
        <w:tc>
          <w:tcPr>
            <w:tcW w:w="1379"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58.62</w:t>
            </w:r>
          </w:p>
        </w:tc>
        <w:tc>
          <w:tcPr>
            <w:tcW w:w="1260"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47</w:t>
            </w:r>
          </w:p>
        </w:tc>
        <w:tc>
          <w:tcPr>
            <w:tcW w:w="1260"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46</w:t>
            </w:r>
          </w:p>
        </w:tc>
      </w:tr>
      <w:tr w:rsidR="00DC5E6D" w:rsidRPr="002861A9" w:rsidTr="002861A9">
        <w:trPr>
          <w:trHeight w:val="382"/>
        </w:trPr>
        <w:tc>
          <w:tcPr>
            <w:tcW w:w="2670" w:type="dxa"/>
            <w:noWrap/>
            <w:tcMar>
              <w:top w:w="0" w:type="dxa"/>
              <w:bottom w:w="0" w:type="dxa"/>
            </w:tcMar>
            <w:vAlign w:val="center"/>
          </w:tcPr>
          <w:p w:rsidR="00DC5E6D" w:rsidRDefault="00DC5E6D">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22</w:t>
            </w:r>
          </w:p>
        </w:tc>
        <w:tc>
          <w:tcPr>
            <w:tcW w:w="1360"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18</w:t>
            </w:r>
          </w:p>
        </w:tc>
        <w:tc>
          <w:tcPr>
            <w:tcW w:w="1379"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640</w:t>
            </w:r>
          </w:p>
        </w:tc>
        <w:tc>
          <w:tcPr>
            <w:tcW w:w="1260"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-3</w:t>
            </w:r>
          </w:p>
        </w:tc>
        <w:tc>
          <w:tcPr>
            <w:tcW w:w="1260"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-8</w:t>
            </w:r>
          </w:p>
        </w:tc>
      </w:tr>
      <w:tr w:rsidR="00DC5E6D" w:rsidRPr="002861A9" w:rsidTr="002861A9">
        <w:trPr>
          <w:trHeight w:val="382"/>
        </w:trPr>
        <w:tc>
          <w:tcPr>
            <w:tcW w:w="2670" w:type="dxa"/>
            <w:noWrap/>
            <w:tcMar>
              <w:top w:w="0" w:type="dxa"/>
              <w:bottom w:w="0" w:type="dxa"/>
            </w:tcMar>
            <w:vAlign w:val="center"/>
          </w:tcPr>
          <w:p w:rsidR="00DC5E6D" w:rsidRDefault="00DC5E6D">
            <w:pPr>
              <w:rPr>
                <w:rFonts w:ascii="Arial" w:hAnsi="Arial" w:cs="Arial"/>
                <w:sz w:val="20"/>
                <w:szCs w:val="20"/>
              </w:rPr>
            </w:pPr>
            <w:r>
              <w:rPr>
                <w:rFonts w:ascii="Arial" w:hAnsi="Arial" w:cs="Arial"/>
                <w:sz w:val="20"/>
                <w:szCs w:val="20"/>
              </w:rPr>
              <w:t>13-14 financial YTD</w:t>
            </w:r>
          </w:p>
        </w:tc>
        <w:tc>
          <w:tcPr>
            <w:tcW w:w="1359"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4.52</w:t>
            </w:r>
          </w:p>
        </w:tc>
        <w:tc>
          <w:tcPr>
            <w:tcW w:w="1360"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4.54</w:t>
            </w:r>
          </w:p>
        </w:tc>
        <w:tc>
          <w:tcPr>
            <w:tcW w:w="1379"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16.56</w:t>
            </w:r>
          </w:p>
        </w:tc>
        <w:tc>
          <w:tcPr>
            <w:tcW w:w="1260"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70</w:t>
            </w:r>
          </w:p>
        </w:tc>
        <w:tc>
          <w:tcPr>
            <w:tcW w:w="1260"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71</w:t>
            </w:r>
          </w:p>
        </w:tc>
      </w:tr>
      <w:tr w:rsidR="00DC5E6D" w:rsidRPr="002861A9" w:rsidTr="002861A9">
        <w:trPr>
          <w:trHeight w:val="382"/>
        </w:trPr>
        <w:tc>
          <w:tcPr>
            <w:tcW w:w="2670" w:type="dxa"/>
            <w:noWrap/>
            <w:tcMar>
              <w:top w:w="0" w:type="dxa"/>
              <w:bottom w:w="0" w:type="dxa"/>
            </w:tcMar>
            <w:vAlign w:val="center"/>
          </w:tcPr>
          <w:p w:rsidR="00DC5E6D" w:rsidRDefault="00DC5E6D">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-13</w:t>
            </w:r>
          </w:p>
        </w:tc>
        <w:tc>
          <w:tcPr>
            <w:tcW w:w="1360"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-11</w:t>
            </w:r>
          </w:p>
        </w:tc>
        <w:tc>
          <w:tcPr>
            <w:tcW w:w="1379"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94</w:t>
            </w:r>
          </w:p>
        </w:tc>
        <w:tc>
          <w:tcPr>
            <w:tcW w:w="1260"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-3</w:t>
            </w:r>
          </w:p>
        </w:tc>
        <w:tc>
          <w:tcPr>
            <w:tcW w:w="1260"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1</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Brisbane STTM</w:t>
      </w:r>
      <w:r w:rsidR="00522E00" w:rsidRPr="00900CEB">
        <w:rPr>
          <w:rFonts w:ascii="Arial" w:hAnsi="Arial" w:cs="Arial"/>
          <w:sz w:val="20"/>
          <w:szCs w:val="20"/>
        </w:rPr>
        <w:t xml:space="preserve"> </w:t>
      </w:r>
    </w:p>
    <w:tbl>
      <w:tblPr>
        <w:tblW w:w="920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18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1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DC5E6D" w:rsidRPr="002861A9" w:rsidTr="002861A9">
        <w:trPr>
          <w:trHeight w:val="382"/>
        </w:trPr>
        <w:tc>
          <w:tcPr>
            <w:tcW w:w="2670" w:type="dxa"/>
            <w:noWrap/>
            <w:tcMar>
              <w:top w:w="0" w:type="dxa"/>
              <w:bottom w:w="0" w:type="dxa"/>
            </w:tcMar>
            <w:vAlign w:val="center"/>
          </w:tcPr>
          <w:p w:rsidR="00DC5E6D" w:rsidRDefault="00DC5E6D">
            <w:pPr>
              <w:rPr>
                <w:rFonts w:ascii="Arial" w:hAnsi="Arial" w:cs="Arial"/>
                <w:sz w:val="20"/>
                <w:szCs w:val="20"/>
              </w:rPr>
            </w:pPr>
            <w:r>
              <w:rPr>
                <w:rFonts w:ascii="Arial" w:hAnsi="Arial" w:cs="Arial"/>
                <w:sz w:val="20"/>
                <w:szCs w:val="20"/>
              </w:rPr>
              <w:t>12 Jan - 18 Jan 2014</w:t>
            </w:r>
          </w:p>
        </w:tc>
        <w:tc>
          <w:tcPr>
            <w:tcW w:w="1359"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4.67</w:t>
            </w:r>
          </w:p>
        </w:tc>
        <w:tc>
          <w:tcPr>
            <w:tcW w:w="1360"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5.12</w:t>
            </w:r>
          </w:p>
        </w:tc>
        <w:tc>
          <w:tcPr>
            <w:tcW w:w="1359"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1.73</w:t>
            </w:r>
          </w:p>
        </w:tc>
        <w:tc>
          <w:tcPr>
            <w:tcW w:w="1280"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156</w:t>
            </w:r>
          </w:p>
        </w:tc>
        <w:tc>
          <w:tcPr>
            <w:tcW w:w="1180"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158</w:t>
            </w:r>
          </w:p>
        </w:tc>
      </w:tr>
      <w:tr w:rsidR="00DC5E6D" w:rsidRPr="002861A9" w:rsidTr="002861A9">
        <w:trPr>
          <w:trHeight w:val="382"/>
        </w:trPr>
        <w:tc>
          <w:tcPr>
            <w:tcW w:w="2670" w:type="dxa"/>
            <w:noWrap/>
            <w:tcMar>
              <w:top w:w="0" w:type="dxa"/>
              <w:bottom w:w="0" w:type="dxa"/>
            </w:tcMar>
            <w:vAlign w:val="center"/>
          </w:tcPr>
          <w:p w:rsidR="00DC5E6D" w:rsidRDefault="00DC5E6D">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-6</w:t>
            </w:r>
          </w:p>
        </w:tc>
        <w:tc>
          <w:tcPr>
            <w:tcW w:w="1360"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7</w:t>
            </w:r>
          </w:p>
        </w:tc>
        <w:tc>
          <w:tcPr>
            <w:tcW w:w="1359"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-23</w:t>
            </w:r>
          </w:p>
        </w:tc>
        <w:tc>
          <w:tcPr>
            <w:tcW w:w="1280"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6</w:t>
            </w:r>
          </w:p>
        </w:tc>
        <w:tc>
          <w:tcPr>
            <w:tcW w:w="1180"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9</w:t>
            </w:r>
          </w:p>
        </w:tc>
      </w:tr>
      <w:tr w:rsidR="00DC5E6D" w:rsidRPr="002861A9" w:rsidTr="002861A9">
        <w:trPr>
          <w:trHeight w:val="382"/>
        </w:trPr>
        <w:tc>
          <w:tcPr>
            <w:tcW w:w="2670" w:type="dxa"/>
            <w:noWrap/>
            <w:tcMar>
              <w:top w:w="0" w:type="dxa"/>
              <w:bottom w:w="0" w:type="dxa"/>
            </w:tcMar>
            <w:vAlign w:val="center"/>
          </w:tcPr>
          <w:p w:rsidR="00DC5E6D" w:rsidRDefault="00DC5E6D">
            <w:pPr>
              <w:rPr>
                <w:rFonts w:ascii="Arial" w:hAnsi="Arial" w:cs="Arial"/>
                <w:sz w:val="20"/>
                <w:szCs w:val="20"/>
              </w:rPr>
            </w:pPr>
            <w:r>
              <w:rPr>
                <w:rFonts w:ascii="Arial" w:hAnsi="Arial" w:cs="Arial"/>
                <w:sz w:val="20"/>
                <w:szCs w:val="20"/>
              </w:rPr>
              <w:t>13-14 financial YTD</w:t>
            </w:r>
          </w:p>
        </w:tc>
        <w:tc>
          <w:tcPr>
            <w:tcW w:w="1359"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5.36</w:t>
            </w:r>
          </w:p>
        </w:tc>
        <w:tc>
          <w:tcPr>
            <w:tcW w:w="1360"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5.44</w:t>
            </w:r>
          </w:p>
        </w:tc>
        <w:tc>
          <w:tcPr>
            <w:tcW w:w="1359"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1.62</w:t>
            </w:r>
          </w:p>
        </w:tc>
        <w:tc>
          <w:tcPr>
            <w:tcW w:w="1280"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147</w:t>
            </w:r>
          </w:p>
        </w:tc>
        <w:tc>
          <w:tcPr>
            <w:tcW w:w="1180"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147</w:t>
            </w:r>
          </w:p>
        </w:tc>
      </w:tr>
      <w:tr w:rsidR="00DC5E6D" w:rsidRPr="002861A9" w:rsidTr="002861A9">
        <w:trPr>
          <w:trHeight w:val="382"/>
        </w:trPr>
        <w:tc>
          <w:tcPr>
            <w:tcW w:w="2670" w:type="dxa"/>
            <w:noWrap/>
            <w:tcMar>
              <w:top w:w="0" w:type="dxa"/>
              <w:bottom w:w="0" w:type="dxa"/>
            </w:tcMar>
            <w:vAlign w:val="center"/>
          </w:tcPr>
          <w:p w:rsidR="00DC5E6D" w:rsidRDefault="00DC5E6D">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-1</w:t>
            </w:r>
          </w:p>
        </w:tc>
        <w:tc>
          <w:tcPr>
            <w:tcW w:w="1360"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1</w:t>
            </w:r>
          </w:p>
        </w:tc>
        <w:tc>
          <w:tcPr>
            <w:tcW w:w="1359"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-41</w:t>
            </w:r>
          </w:p>
        </w:tc>
        <w:tc>
          <w:tcPr>
            <w:tcW w:w="1280"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2</w:t>
            </w:r>
          </w:p>
        </w:tc>
        <w:tc>
          <w:tcPr>
            <w:tcW w:w="1180" w:type="dxa"/>
            <w:noWrap/>
            <w:tcMar>
              <w:top w:w="0" w:type="dxa"/>
              <w:bottom w:w="0" w:type="dxa"/>
            </w:tcMar>
            <w:vAlign w:val="center"/>
          </w:tcPr>
          <w:p w:rsidR="00DC5E6D" w:rsidRDefault="00DC5E6D">
            <w:pPr>
              <w:jc w:val="center"/>
              <w:rPr>
                <w:rFonts w:ascii="Arial" w:hAnsi="Arial" w:cs="Arial"/>
                <w:sz w:val="20"/>
                <w:szCs w:val="20"/>
              </w:rPr>
            </w:pPr>
            <w:r>
              <w:rPr>
                <w:rFonts w:ascii="Arial" w:hAnsi="Arial" w:cs="Arial"/>
                <w:sz w:val="20"/>
                <w:szCs w:val="20"/>
              </w:rPr>
              <w:t>3</w:t>
            </w:r>
          </w:p>
        </w:tc>
      </w:tr>
    </w:tbl>
    <w:p w:rsidR="00B24A61" w:rsidRPr="008D4DAB" w:rsidRDefault="00B24A61" w:rsidP="00B24A61">
      <w:pPr>
        <w:pStyle w:val="AERbodytext"/>
        <w:spacing w:before="120" w:after="120"/>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B24A61" w:rsidRPr="008D4DAB" w:rsidRDefault="00B24A61" w:rsidP="00B24A61">
      <w:pPr>
        <w:pStyle w:val="AERbodytext"/>
        <w:spacing w:before="120" w:after="120"/>
        <w:jc w:val="both"/>
      </w:pPr>
      <w:r w:rsidRPr="008D4DAB">
        <w:t>Section 5 provides analysis on production and pipeline flows on the National Gas Bulletin Board</w:t>
      </w:r>
      <w:r w:rsidR="00E21D23">
        <w:t xml:space="preserve"> </w:t>
      </w:r>
      <w:r w:rsidR="00E21D23" w:rsidRPr="00F70C2D">
        <w:rPr>
          <w:b/>
        </w:rPr>
        <w:t>(Bulletin Board)</w:t>
      </w:r>
      <w:r w:rsidRPr="00F70C2D">
        <w:rPr>
          <w:b/>
        </w:rPr>
        <w:t>,</w:t>
      </w:r>
      <w:r w:rsidRPr="008D4DAB">
        <w:t xml:space="preserve"> as well as gas-powered generation volumes in each state.</w:t>
      </w:r>
    </w:p>
    <w:p w:rsidR="0006609A" w:rsidRPr="002A5634" w:rsidRDefault="0006609A" w:rsidP="0006609A">
      <w:pPr>
        <w:pStyle w:val="AERunnumberedheading3"/>
        <w:rPr>
          <w:rFonts w:eastAsia="MS Mincho"/>
        </w:rPr>
      </w:pPr>
      <w:r w:rsidRPr="002A5634">
        <w:rPr>
          <w:rFonts w:eastAsia="MS Mincho"/>
        </w:rPr>
        <w:t>Significant Ma</w:t>
      </w:r>
      <w:r w:rsidR="00FF2760">
        <w:rPr>
          <w:rFonts w:eastAsia="MS Mincho"/>
        </w:rPr>
        <w:t>rket Events or Issues this week</w:t>
      </w:r>
    </w:p>
    <w:p w:rsidR="00FF2760" w:rsidRPr="00BF2E98" w:rsidRDefault="00816CDB" w:rsidP="00FF2760">
      <w:pPr>
        <w:spacing w:before="120" w:after="120"/>
        <w:jc w:val="both"/>
        <w:rPr>
          <w:rFonts w:eastAsia="MS Mincho"/>
          <w:b/>
        </w:rPr>
      </w:pPr>
      <w:r>
        <w:rPr>
          <w:rFonts w:eastAsia="MS Mincho"/>
        </w:rPr>
        <w:t>At the Adelaide hub</w:t>
      </w:r>
      <w:r w:rsidR="0025002E">
        <w:rPr>
          <w:rFonts w:eastAsia="MS Mincho"/>
        </w:rPr>
        <w:t xml:space="preserve"> </w:t>
      </w:r>
      <w:r>
        <w:rPr>
          <w:rFonts w:eastAsia="MS Mincho"/>
        </w:rPr>
        <w:t>MOS services payments of</w:t>
      </w:r>
      <w:r w:rsidR="0025002E">
        <w:rPr>
          <w:rFonts w:eastAsia="MS Mincho"/>
        </w:rPr>
        <w:t xml:space="preserve"> around $410 000 accrued during the week</w:t>
      </w:r>
      <w:r>
        <w:rPr>
          <w:rFonts w:eastAsia="MS Mincho"/>
        </w:rPr>
        <w:t>,</w:t>
      </w:r>
      <w:r w:rsidR="0025002E">
        <w:rPr>
          <w:rFonts w:eastAsia="MS Mincho"/>
        </w:rPr>
        <w:t xml:space="preserve"> most</w:t>
      </w:r>
      <w:r>
        <w:rPr>
          <w:rFonts w:eastAsia="MS Mincho"/>
        </w:rPr>
        <w:t xml:space="preserve"> ($354 000) occurring between Monday and Thursday. These large payments</w:t>
      </w:r>
      <w:r w:rsidR="00BF2E98">
        <w:rPr>
          <w:rFonts w:eastAsia="MS Mincho"/>
        </w:rPr>
        <w:t>,</w:t>
      </w:r>
      <w:r>
        <w:rPr>
          <w:rFonts w:eastAsia="MS Mincho"/>
        </w:rPr>
        <w:t xml:space="preserve"> the largest of which </w:t>
      </w:r>
      <w:r w:rsidR="00BF2E98">
        <w:rPr>
          <w:rFonts w:eastAsia="MS Mincho"/>
        </w:rPr>
        <w:t xml:space="preserve">was </w:t>
      </w:r>
      <w:r>
        <w:rPr>
          <w:rFonts w:eastAsia="MS Mincho"/>
        </w:rPr>
        <w:t>$132 000 on Tuesday 14 January</w:t>
      </w:r>
      <w:r w:rsidR="00BF2E98">
        <w:rPr>
          <w:rFonts w:eastAsia="MS Mincho"/>
        </w:rPr>
        <w:t>,</w:t>
      </w:r>
      <w:r>
        <w:rPr>
          <w:rFonts w:eastAsia="MS Mincho"/>
        </w:rPr>
        <w:t xml:space="preserve"> </w:t>
      </w:r>
      <w:r w:rsidR="00BF2E98">
        <w:rPr>
          <w:rFonts w:eastAsia="MS Mincho"/>
        </w:rPr>
        <w:t>were</w:t>
      </w:r>
      <w:r>
        <w:rPr>
          <w:rFonts w:eastAsia="MS Mincho"/>
        </w:rPr>
        <w:t xml:space="preserve"> due to counteracting MOS. </w:t>
      </w:r>
    </w:p>
    <w:p w:rsidR="00CB5B80" w:rsidRDefault="00CA41A7" w:rsidP="00FF2760">
      <w:pPr>
        <w:spacing w:before="120" w:after="120"/>
        <w:jc w:val="both"/>
        <w:rPr>
          <w:rFonts w:eastAsia="MS Mincho"/>
        </w:rPr>
      </w:pPr>
      <w:r>
        <w:rPr>
          <w:rFonts w:eastAsia="MS Mincho"/>
        </w:rPr>
        <w:t xml:space="preserve">Throughout the week the capacity offered </w:t>
      </w:r>
      <w:r w:rsidR="0025002E">
        <w:rPr>
          <w:rFonts w:eastAsia="MS Mincho"/>
        </w:rPr>
        <w:t xml:space="preserve">at </w:t>
      </w:r>
      <w:r>
        <w:rPr>
          <w:rFonts w:eastAsia="MS Mincho"/>
        </w:rPr>
        <w:t>less than $6/</w:t>
      </w:r>
      <w:r w:rsidR="00F76C15">
        <w:rPr>
          <w:rFonts w:eastAsia="MS Mincho"/>
        </w:rPr>
        <w:t>G</w:t>
      </w:r>
      <w:r>
        <w:rPr>
          <w:rFonts w:eastAsia="MS Mincho"/>
        </w:rPr>
        <w:t>J by participants</w:t>
      </w:r>
      <w:r w:rsidR="00D614C3">
        <w:rPr>
          <w:rFonts w:eastAsia="MS Mincho"/>
        </w:rPr>
        <w:t xml:space="preserve"> at </w:t>
      </w:r>
      <w:r w:rsidR="00C76F52">
        <w:rPr>
          <w:rFonts w:eastAsia="MS Mincho"/>
        </w:rPr>
        <w:t>the Adelaide hub</w:t>
      </w:r>
      <w:r w:rsidR="00D614C3">
        <w:rPr>
          <w:rFonts w:eastAsia="MS Mincho"/>
        </w:rPr>
        <w:t xml:space="preserve"> reduced from around 79 TJ on Monday to 20 TJ by Friday</w:t>
      </w:r>
      <w:r w:rsidR="0058627C">
        <w:rPr>
          <w:rFonts w:eastAsia="MS Mincho"/>
        </w:rPr>
        <w:t xml:space="preserve"> (see figure </w:t>
      </w:r>
      <w:r w:rsidR="00E51ED7">
        <w:rPr>
          <w:rFonts w:eastAsia="MS Mincho"/>
        </w:rPr>
        <w:t>3</w:t>
      </w:r>
      <w:r w:rsidR="0058627C">
        <w:rPr>
          <w:rFonts w:eastAsia="MS Mincho"/>
        </w:rPr>
        <w:t>.2(a))</w:t>
      </w:r>
      <w:r w:rsidR="00C76F52">
        <w:rPr>
          <w:rFonts w:eastAsia="MS Mincho"/>
        </w:rPr>
        <w:t xml:space="preserve">. </w:t>
      </w:r>
      <w:r w:rsidR="00124721">
        <w:rPr>
          <w:rFonts w:eastAsia="MS Mincho"/>
        </w:rPr>
        <w:t xml:space="preserve">This was mainly due to the three major participants </w:t>
      </w:r>
      <w:r w:rsidR="00124721" w:rsidRPr="00124721">
        <w:rPr>
          <w:rFonts w:eastAsia="MS Mincho"/>
        </w:rPr>
        <w:t>AGL, EnergyAustralia, and Origin</w:t>
      </w:r>
      <w:r w:rsidR="00EA18A1">
        <w:rPr>
          <w:rFonts w:eastAsia="MS Mincho"/>
        </w:rPr>
        <w:t xml:space="preserve"> Energy</w:t>
      </w:r>
      <w:r w:rsidR="00124721" w:rsidRPr="00124721">
        <w:rPr>
          <w:rFonts w:eastAsia="MS Mincho"/>
        </w:rPr>
        <w:t xml:space="preserve"> </w:t>
      </w:r>
      <w:r w:rsidR="00081791">
        <w:rPr>
          <w:rFonts w:eastAsia="MS Mincho"/>
        </w:rPr>
        <w:t>shifting capacity from below $6/GJ to</w:t>
      </w:r>
      <w:r w:rsidR="00124721" w:rsidRPr="00124721">
        <w:rPr>
          <w:rFonts w:eastAsia="MS Mincho"/>
        </w:rPr>
        <w:t xml:space="preserve"> higher prices. </w:t>
      </w:r>
      <w:r w:rsidR="00D614C3" w:rsidRPr="00124721">
        <w:rPr>
          <w:rFonts w:eastAsia="MS Mincho"/>
        </w:rPr>
        <w:t>This saw the price</w:t>
      </w:r>
      <w:r w:rsidR="00D614C3">
        <w:rPr>
          <w:rFonts w:eastAsia="MS Mincho"/>
        </w:rPr>
        <w:t xml:space="preserve"> go from $4.56/GJ on Monday to $6.20/GJ on Friday.</w:t>
      </w:r>
    </w:p>
    <w:p w:rsidR="00643109" w:rsidRDefault="00E24F69" w:rsidP="00643109">
      <w:pPr>
        <w:spacing w:before="120" w:after="120"/>
        <w:jc w:val="both"/>
        <w:rPr>
          <w:rFonts w:eastAsia="MS Mincho"/>
        </w:rPr>
      </w:pPr>
      <w:r>
        <w:rPr>
          <w:rFonts w:eastAsia="MS Mincho"/>
        </w:rPr>
        <w:t xml:space="preserve">Average daily </w:t>
      </w:r>
      <w:r w:rsidR="00643109">
        <w:rPr>
          <w:rFonts w:eastAsia="MS Mincho"/>
        </w:rPr>
        <w:t xml:space="preserve">Gas powered generation </w:t>
      </w:r>
      <w:r w:rsidR="00643109" w:rsidRPr="006540B1">
        <w:rPr>
          <w:rFonts w:eastAsia="MS Mincho"/>
          <w:b/>
        </w:rPr>
        <w:t xml:space="preserve">(GPG) </w:t>
      </w:r>
      <w:r w:rsidR="00643109">
        <w:rPr>
          <w:rFonts w:eastAsia="MS Mincho"/>
        </w:rPr>
        <w:t xml:space="preserve">usage increased in </w:t>
      </w:r>
      <w:r w:rsidR="006540B1">
        <w:rPr>
          <w:rFonts w:eastAsia="MS Mincho"/>
        </w:rPr>
        <w:t xml:space="preserve">both </w:t>
      </w:r>
      <w:r w:rsidR="00643109">
        <w:rPr>
          <w:rFonts w:eastAsia="MS Mincho"/>
        </w:rPr>
        <w:t>South Australia and Victoria by around 160 TJ. This was due to high prices in the electricity market which was driven by high temperatures (above 40 degrees) in each state. The increase in GPG usage led to higher demand in the Victorian gas market but did not reflect in an increase in Adelaide hub demand as GPGs are located outside the Adelaide hub.</w:t>
      </w:r>
    </w:p>
    <w:p w:rsidR="00F70C2D" w:rsidRDefault="0025002E" w:rsidP="00FF2760">
      <w:pPr>
        <w:spacing w:before="120" w:after="120"/>
        <w:jc w:val="both"/>
        <w:rPr>
          <w:rFonts w:eastAsia="MS Mincho"/>
        </w:rPr>
      </w:pPr>
      <w:r>
        <w:rPr>
          <w:rFonts w:eastAsia="MS Mincho"/>
        </w:rPr>
        <w:t xml:space="preserve">On </w:t>
      </w:r>
      <w:r w:rsidR="008B1B1E">
        <w:rPr>
          <w:rFonts w:eastAsia="MS Mincho"/>
        </w:rPr>
        <w:t xml:space="preserve">Thursday </w:t>
      </w:r>
      <w:r>
        <w:rPr>
          <w:rFonts w:eastAsia="MS Mincho"/>
        </w:rPr>
        <w:t xml:space="preserve">16 January there was 16 TJ of gas scheduled on </w:t>
      </w:r>
      <w:r w:rsidR="00494843">
        <w:rPr>
          <w:rFonts w:eastAsia="MS Mincho"/>
        </w:rPr>
        <w:t xml:space="preserve">the </w:t>
      </w:r>
      <w:r w:rsidR="00EA18A1">
        <w:rPr>
          <w:rFonts w:eastAsia="MS Mincho"/>
        </w:rPr>
        <w:t xml:space="preserve">Moomba to Adelaide pipeline </w:t>
      </w:r>
      <w:r w:rsidR="00EA18A1" w:rsidRPr="00F70C2D">
        <w:rPr>
          <w:rFonts w:eastAsia="MS Mincho"/>
          <w:b/>
        </w:rPr>
        <w:t>(</w:t>
      </w:r>
      <w:r w:rsidRPr="00F70C2D">
        <w:rPr>
          <w:rFonts w:eastAsia="MS Mincho"/>
          <w:b/>
        </w:rPr>
        <w:t>MAP</w:t>
      </w:r>
      <w:r w:rsidR="00EA18A1" w:rsidRPr="00F70C2D">
        <w:rPr>
          <w:rFonts w:eastAsia="MS Mincho"/>
          <w:b/>
        </w:rPr>
        <w:t>)</w:t>
      </w:r>
      <w:r>
        <w:rPr>
          <w:rFonts w:eastAsia="MS Mincho"/>
        </w:rPr>
        <w:t xml:space="preserve"> but none was allocated. This was caused by </w:t>
      </w:r>
      <w:r w:rsidR="00533768">
        <w:rPr>
          <w:rFonts w:eastAsia="MS Mincho"/>
        </w:rPr>
        <w:t>one participant</w:t>
      </w:r>
      <w:r w:rsidR="00CE49C1">
        <w:rPr>
          <w:rFonts w:eastAsia="MS Mincho"/>
        </w:rPr>
        <w:t xml:space="preserve"> reducing</w:t>
      </w:r>
      <w:r w:rsidR="00533768">
        <w:rPr>
          <w:rFonts w:eastAsia="MS Mincho"/>
        </w:rPr>
        <w:t xml:space="preserve"> injections on MAP in line with </w:t>
      </w:r>
      <w:r w:rsidR="00494843">
        <w:rPr>
          <w:rFonts w:eastAsia="MS Mincho"/>
        </w:rPr>
        <w:t xml:space="preserve">lower </w:t>
      </w:r>
      <w:r w:rsidR="00533768">
        <w:rPr>
          <w:rFonts w:eastAsia="MS Mincho"/>
        </w:rPr>
        <w:t>demand</w:t>
      </w:r>
      <w:r w:rsidR="00494843">
        <w:rPr>
          <w:rFonts w:eastAsia="MS Mincho"/>
        </w:rPr>
        <w:t xml:space="preserve"> </w:t>
      </w:r>
      <w:r w:rsidR="00533768">
        <w:rPr>
          <w:rFonts w:eastAsia="MS Mincho"/>
        </w:rPr>
        <w:t xml:space="preserve">and one </w:t>
      </w:r>
      <w:r w:rsidR="00643109" w:rsidRPr="00F70C2D">
        <w:rPr>
          <w:rFonts w:eastAsia="MS Mincho"/>
        </w:rPr>
        <w:t xml:space="preserve">participant renominating gas for delivery on the South East Australia Gas </w:t>
      </w:r>
      <w:r w:rsidR="00643109" w:rsidRPr="006540B1">
        <w:rPr>
          <w:rFonts w:eastAsia="MS Mincho"/>
          <w:b/>
        </w:rPr>
        <w:t>(SEA Gas)</w:t>
      </w:r>
      <w:r w:rsidR="00643109" w:rsidRPr="00F70C2D">
        <w:rPr>
          <w:rFonts w:eastAsia="MS Mincho"/>
        </w:rPr>
        <w:t xml:space="preserve"> pipeline, perhaps because it was </w:t>
      </w:r>
      <w:r w:rsidR="00494843" w:rsidRPr="00F70C2D">
        <w:rPr>
          <w:rFonts w:eastAsia="MS Mincho"/>
        </w:rPr>
        <w:t xml:space="preserve">using </w:t>
      </w:r>
      <w:r w:rsidR="00533768" w:rsidRPr="00F70C2D">
        <w:rPr>
          <w:rFonts w:eastAsia="MS Mincho"/>
        </w:rPr>
        <w:t xml:space="preserve">MAP gas before the hub </w:t>
      </w:r>
      <w:r w:rsidR="00643109" w:rsidRPr="00F70C2D">
        <w:rPr>
          <w:rFonts w:eastAsia="MS Mincho"/>
        </w:rPr>
        <w:t>for generation instead</w:t>
      </w:r>
      <w:r w:rsidR="00F70C2D">
        <w:rPr>
          <w:rFonts w:eastAsia="MS Mincho"/>
        </w:rPr>
        <w:t xml:space="preserve"> (the change coincided with GPG output </w:t>
      </w:r>
      <w:r w:rsidR="00045242">
        <w:rPr>
          <w:rFonts w:eastAsia="MS Mincho"/>
        </w:rPr>
        <w:t xml:space="preserve">increasing </w:t>
      </w:r>
      <w:r w:rsidR="00F70C2D">
        <w:rPr>
          <w:rFonts w:eastAsia="MS Mincho"/>
        </w:rPr>
        <w:t>above forecast levels on a day of high electricity demand in Adelaide)</w:t>
      </w:r>
      <w:r w:rsidR="00643109" w:rsidRPr="00F70C2D">
        <w:rPr>
          <w:rFonts w:eastAsia="MS Mincho"/>
        </w:rPr>
        <w:t>.</w:t>
      </w:r>
    </w:p>
    <w:p w:rsidR="008B1B1E" w:rsidRDefault="008B1B1E" w:rsidP="00FF2760">
      <w:pPr>
        <w:spacing w:before="120" w:after="120"/>
        <w:jc w:val="both"/>
        <w:rPr>
          <w:rFonts w:eastAsia="MS Mincho"/>
        </w:rPr>
      </w:pPr>
      <w:r>
        <w:rPr>
          <w:rFonts w:eastAsia="MS Mincho"/>
        </w:rPr>
        <w:t>On Friday 17 January, Adelaide had a record low volume of gas shipped to the hub. The scheduled volume was 31.3 TJ, exceeding the previous record minimum for a weekday by 5.8 TJ. This was largely influenced by a reduction in demand from Adelaide Brighton Cement, in addition to lower demand overall.</w:t>
      </w:r>
    </w:p>
    <w:p w:rsidR="004E35B2" w:rsidRDefault="004E35B2" w:rsidP="00045242">
      <w:pPr>
        <w:pStyle w:val="BodyText"/>
        <w:spacing w:after="0"/>
        <w:jc w:val="both"/>
      </w:pPr>
      <w:r>
        <w:rPr>
          <w:rFonts w:eastAsia="MS Mincho"/>
        </w:rPr>
        <w:t xml:space="preserve">At times during the week the Roma to Brisbane pipeline had only </w:t>
      </w:r>
      <w:r>
        <w:t xml:space="preserve">10.6 TJ (6 per cent) of spare pipeline capacity. This was mainly due to a 30 TJ reduction in pipeline capacity </w:t>
      </w:r>
      <w:r w:rsidR="00C76F52">
        <w:t xml:space="preserve">as a result of work being done to lower the pipeline </w:t>
      </w:r>
      <w:r>
        <w:t>at Sandy Creek.</w:t>
      </w:r>
    </w:p>
    <w:p w:rsidR="00CB5B80" w:rsidRPr="002645CB" w:rsidRDefault="00CB5B80" w:rsidP="00FF2760">
      <w:pPr>
        <w:spacing w:before="120" w:after="120"/>
        <w:jc w:val="both"/>
        <w:rPr>
          <w:rFonts w:eastAsia="MS Mincho"/>
        </w:rPr>
      </w:pPr>
    </w:p>
    <w:p w:rsidR="00502181" w:rsidRPr="003A284F" w:rsidRDefault="005F18AD" w:rsidP="003A3DE7">
      <w:pPr>
        <w:spacing w:before="120" w:after="120"/>
        <w:rPr>
          <w:b/>
          <w:sz w:val="22"/>
          <w:szCs w:val="22"/>
        </w:rPr>
      </w:pPr>
      <w:r w:rsidRPr="00A0223D">
        <w:br w:type="column"/>
      </w:r>
      <w:bookmarkStart w:id="3" w:name="OLE_LINK7"/>
      <w:bookmarkStart w:id="4" w:name="OLE_LINK8"/>
      <w:r w:rsidR="00B11C10">
        <w:pict>
          <v:shape id="_x0000_i1026" type="#_x0000_t75" style="width:502.85pt;height:1in" o:allowoverlap="f">
            <v:imagedata r:id="rId9" o:title="" cropbottom="17873f" cropright="30275f"/>
          </v:shape>
        </w:pict>
      </w:r>
      <w:bookmarkEnd w:id="3"/>
      <w:bookmarkEnd w:id="4"/>
    </w:p>
    <w:p w:rsidR="00502181" w:rsidRPr="0002658A" w:rsidRDefault="00B11C10" w:rsidP="0002658A">
      <w:pPr>
        <w:pStyle w:val="AERheading1"/>
        <w:pageBreakBefore w:val="0"/>
        <w:numPr>
          <w:ilvl w:val="0"/>
          <w:numId w:val="17"/>
        </w:numPr>
        <w:spacing w:before="120"/>
        <w:rPr>
          <w:rFonts w:ascii="Times New Roman" w:hAnsi="Times New Roman" w:cs="Times New Roman"/>
          <w:sz w:val="28"/>
          <w:szCs w:val="28"/>
        </w:rPr>
      </w:pPr>
      <w:r>
        <w:pict>
          <v:shape id="_x0000_s1033" type="#_x0000_t202" style="position:absolute;left:0;text-align:left;margin-left:-.6pt;margin-top:-36.75pt;width:225pt;height:30pt;z-index:251659264" filled="f" stroked="f">
            <v:textbox style="mso-next-textbox:#_x0000_s1033">
              <w:txbxContent>
                <w:p w:rsidR="00832441" w:rsidRPr="00A65EC8" w:rsidRDefault="00832441" w:rsidP="00502181">
                  <w:pPr>
                    <w:spacing w:before="140"/>
                    <w:rPr>
                      <w:b/>
                    </w:rPr>
                  </w:pPr>
                  <w:r>
                    <w:rPr>
                      <w:b/>
                    </w:rPr>
                    <w:t xml:space="preserve"> 12 – 18 January 2014</w:t>
                  </w:r>
                </w:p>
                <w:p w:rsidR="00832441" w:rsidRPr="007F372A" w:rsidRDefault="00832441" w:rsidP="00502181">
                  <w:pPr>
                    <w:spacing w:before="220"/>
                    <w:ind w:left="-181" w:firstLine="181"/>
                    <w:rPr>
                      <w:b/>
                    </w:rPr>
                  </w:pPr>
                </w:p>
              </w:txbxContent>
            </v:textbox>
          </v:shape>
        </w:pict>
      </w:r>
      <w:r>
        <w:pict>
          <v:shape id="_x0000_s1034" type="#_x0000_t202" style="position:absolute;left:0;text-align:left;margin-left:-.6pt;margin-top:-93.75pt;width:234pt;height:47.35pt;z-index:251660288" filled="f" stroked="f">
            <v:textbox style="mso-next-textbox:#_x0000_s1034">
              <w:txbxContent>
                <w:p w:rsidR="00832441" w:rsidRDefault="00832441" w:rsidP="00502181">
                  <w:pPr>
                    <w:rPr>
                      <w:rFonts w:ascii="Arial" w:hAnsi="Arial" w:cs="Arial"/>
                      <w:b/>
                      <w:color w:val="FFFFFF"/>
                      <w:sz w:val="32"/>
                      <w:szCs w:val="32"/>
                    </w:rPr>
                  </w:pPr>
                </w:p>
                <w:p w:rsidR="00832441" w:rsidRPr="007C13A5" w:rsidRDefault="00832441" w:rsidP="00502181">
                  <w:pPr>
                    <w:rPr>
                      <w:rFonts w:ascii="Arial" w:hAnsi="Arial" w:cs="Arial"/>
                      <w:b/>
                      <w:color w:val="FFFFFF"/>
                      <w:sz w:val="32"/>
                      <w:szCs w:val="32"/>
                    </w:rPr>
                  </w:pPr>
                  <w:r w:rsidRPr="007C13A5">
                    <w:rPr>
                      <w:rFonts w:ascii="Arial" w:hAnsi="Arial" w:cs="Arial"/>
                      <w:b/>
                      <w:color w:val="FFFFFF"/>
                      <w:sz w:val="32"/>
                      <w:szCs w:val="32"/>
                    </w:rPr>
                    <w:t>Detailed Market Analysis</w:t>
                  </w:r>
                </w:p>
              </w:txbxContent>
            </v:textbox>
          </v:shape>
        </w:pict>
      </w:r>
      <w:r w:rsidR="00502181" w:rsidRPr="0002658A">
        <w:rPr>
          <w:rFonts w:ascii="Times New Roman" w:hAnsi="Times New Roman" w:cs="Times New Roman"/>
          <w:sz w:val="28"/>
          <w:szCs w:val="28"/>
        </w:rPr>
        <w:t>Victorian Declared Wholesale Market</w:t>
      </w:r>
    </w:p>
    <w:p w:rsidR="00B24A61" w:rsidRDefault="00B24A61" w:rsidP="00502181">
      <w:pPr>
        <w:spacing w:before="120" w:after="120"/>
        <w:jc w:val="both"/>
      </w:pPr>
      <w:r>
        <w:t xml:space="preserve">In the Victorian </w:t>
      </w:r>
      <w:r w:rsidR="00CE49C1">
        <w:t>gas market</w:t>
      </w:r>
      <w:r w:rsidR="003B5F3B">
        <w:t>,</w:t>
      </w:r>
      <w:r w:rsidR="00CE49C1">
        <w:t xml:space="preserve"> </w:t>
      </w:r>
      <w:r>
        <w:t>gas is priced five times daily at 6</w:t>
      </w:r>
      <w:r w:rsidR="00C859CC">
        <w:t> </w:t>
      </w:r>
      <w:r>
        <w:t>am, 10</w:t>
      </w:r>
      <w:r w:rsidR="00C859CC">
        <w:t> </w:t>
      </w:r>
      <w:r>
        <w:t>am, 2</w:t>
      </w:r>
      <w:r w:rsidR="00C859CC">
        <w:t> </w:t>
      </w:r>
      <w:r>
        <w:t>pm, 6</w:t>
      </w:r>
      <w:r w:rsidR="00C859CC">
        <w:t> </w:t>
      </w:r>
      <w:r>
        <w:t>pm and 10</w:t>
      </w:r>
      <w:r w:rsidR="00C859CC">
        <w:t> </w:t>
      </w:r>
      <w:r>
        <w:t>pm. However, the volume weighted gas price on a gas day tends towards the 6</w:t>
      </w:r>
      <w:r w:rsidR="00C859CC">
        <w:t> </w:t>
      </w:r>
      <w:r>
        <w:t xml:space="preserve">am price which is the schedule at which most gas is traded. </w:t>
      </w:r>
    </w:p>
    <w:p w:rsidR="00B24A61" w:rsidRDefault="00E74D68" w:rsidP="00B24A61">
      <w:pPr>
        <w:pStyle w:val="AERbodytext"/>
        <w:spacing w:before="120" w:after="120"/>
        <w:jc w:val="both"/>
      </w:pPr>
      <w:r w:rsidRPr="00DB727F">
        <w:t>The main drivers of price are demand forecasts together with bids to inject or withdraw gas from the market.</w:t>
      </w:r>
      <w:r w:rsidRPr="00DB727F">
        <w:rPr>
          <w:rStyle w:val="FootnoteReference"/>
        </w:rPr>
        <w:t xml:space="preserve"> </w:t>
      </w:r>
      <w:r w:rsidRPr="00DB727F">
        <w:t>For each of the five gas day pricing schedules, figures 1.1 to 1.4 below show the daily prices, demand forecasts</w:t>
      </w:r>
      <w:r w:rsidRPr="00DB727F">
        <w:rPr>
          <w:rStyle w:val="FootnoteReference"/>
        </w:rPr>
        <w:footnoteReference w:id="2"/>
      </w:r>
      <w:r w:rsidRPr="00DB727F">
        <w:t>, and injection/withdrawal bids</w:t>
      </w:r>
      <w:r w:rsidRPr="00DB727F">
        <w:rPr>
          <w:rStyle w:val="FootnoteReference"/>
        </w:rPr>
        <w:footnoteReference w:id="3"/>
      </w:r>
      <w:r w:rsidRPr="00DB727F">
        <w:t>. Figure 1.5 provides information on which system injection points were used to deliver gas, in turn indicating the location and relative quantity of gas bids cleared through the market. Gas is priced five times daily (at 6</w:t>
      </w:r>
      <w:r w:rsidR="00A55C96">
        <w:t> am</w:t>
      </w:r>
      <w:r w:rsidRPr="00DB727F">
        <w:t>, 10</w:t>
      </w:r>
      <w:r w:rsidR="00A55C96">
        <w:t> am</w:t>
      </w:r>
      <w:r w:rsidRPr="00DB727F">
        <w:t>, 2</w:t>
      </w:r>
      <w:r w:rsidR="00A55C96">
        <w:t> pm</w:t>
      </w:r>
      <w:r w:rsidRPr="00DB727F">
        <w:t>, 6</w:t>
      </w:r>
      <w:r w:rsidR="00A55C96">
        <w:t> pm</w:t>
      </w:r>
      <w:r w:rsidRPr="00DB727F">
        <w:t xml:space="preserve"> and 10</w:t>
      </w:r>
      <w:r w:rsidR="00A55C96">
        <w:t> pm</w:t>
      </w:r>
      <w:r w:rsidRPr="00DB727F">
        <w:t>) when the first schedule and four reschedules apply, while the last 8</w:t>
      </w:r>
      <w:r w:rsidRPr="00DB727F">
        <w:noBreakHyphen/>
        <w:t>hour schedule has been separated into two 4</w:t>
      </w:r>
      <w:r w:rsidRPr="00DB727F">
        <w:noBreakHyphen/>
        <w:t>hour blocks for a consistent comparison with other scheduled injection volumes.  The main drivers of price are demand forecasts and gas bids.</w:t>
      </w:r>
      <w:r w:rsidRPr="00DB727F">
        <w:rPr>
          <w:rStyle w:val="FootnoteReference"/>
        </w:rPr>
        <w:footnoteReference w:id="4"/>
      </w:r>
      <w:r w:rsidR="00B24A61" w:rsidRPr="00CC4A35">
        <w:rPr>
          <w:rStyle w:val="FootnoteReference"/>
        </w:rPr>
        <w:t xml:space="preserve"> </w:t>
      </w:r>
    </w:p>
    <w:p w:rsidR="005F18AD" w:rsidRPr="003A3DE7" w:rsidRDefault="005F18AD" w:rsidP="0002658A">
      <w:pPr>
        <w:pStyle w:val="AERfigureheading"/>
        <w:numPr>
          <w:ilvl w:val="5"/>
          <w:numId w:val="13"/>
        </w:numPr>
        <w:rPr>
          <w:rFonts w:ascii="Arial" w:hAnsi="Arial" w:cs="Arial"/>
          <w:sz w:val="20"/>
          <w:szCs w:val="20"/>
        </w:rPr>
      </w:pPr>
      <w:r w:rsidRPr="003A3DE7">
        <w:rPr>
          <w:rFonts w:ascii="Arial" w:hAnsi="Arial" w:cs="Arial"/>
          <w:sz w:val="20"/>
          <w:szCs w:val="20"/>
        </w:rPr>
        <w:t xml:space="preserve">Prices by schedule </w:t>
      </w:r>
    </w:p>
    <w:p w:rsidR="005F18AD" w:rsidRPr="00767397" w:rsidRDefault="00B11C10" w:rsidP="006C6D60">
      <w:pPr>
        <w:pStyle w:val="AERbodytext"/>
        <w:spacing w:before="120"/>
        <w:jc w:val="center"/>
      </w:pPr>
      <w:r>
        <w:pict>
          <v:shape id="_x0000_i1027" type="#_x0000_t75" style="width:475.8pt;height:137.1pt">
            <v:imagedata r:id="rId12" o:title=""/>
          </v:shape>
        </w:pict>
      </w:r>
    </w:p>
    <w:p w:rsidR="005F18AD" w:rsidRPr="003A3DE7" w:rsidRDefault="005F18AD" w:rsidP="00DA3AAA">
      <w:pPr>
        <w:pStyle w:val="AERfigureheading"/>
        <w:tabs>
          <w:tab w:val="clear" w:pos="1361"/>
          <w:tab w:val="num" w:pos="1260"/>
        </w:tabs>
        <w:spacing w:before="120"/>
        <w:ind w:left="1260" w:hanging="1260"/>
        <w:rPr>
          <w:rFonts w:ascii="Arial" w:hAnsi="Arial" w:cs="Arial"/>
          <w:sz w:val="20"/>
          <w:szCs w:val="20"/>
        </w:rPr>
      </w:pPr>
      <w:r w:rsidRPr="003A3DE7">
        <w:rPr>
          <w:rFonts w:ascii="Arial" w:hAnsi="Arial" w:cs="Arial"/>
          <w:sz w:val="20"/>
          <w:szCs w:val="20"/>
        </w:rPr>
        <w:t xml:space="preserve">Demand </w:t>
      </w:r>
      <w:r w:rsidR="001452B3" w:rsidRPr="003A3DE7">
        <w:rPr>
          <w:rFonts w:ascii="Arial" w:hAnsi="Arial" w:cs="Arial"/>
          <w:sz w:val="20"/>
          <w:szCs w:val="20"/>
        </w:rPr>
        <w:t>f</w:t>
      </w:r>
      <w:r w:rsidRPr="003A3DE7">
        <w:rPr>
          <w:rFonts w:ascii="Arial" w:hAnsi="Arial" w:cs="Arial"/>
          <w:sz w:val="20"/>
          <w:szCs w:val="20"/>
        </w:rPr>
        <w:t>orecasts</w:t>
      </w:r>
      <w:r w:rsidR="008133CF" w:rsidRPr="003A3DE7">
        <w:rPr>
          <w:rFonts w:ascii="Arial" w:hAnsi="Arial" w:cs="Arial"/>
          <w:sz w:val="20"/>
          <w:szCs w:val="20"/>
        </w:rPr>
        <w:t xml:space="preserve"> </w:t>
      </w:r>
    </w:p>
    <w:p w:rsidR="005F18AD" w:rsidRPr="00767397" w:rsidRDefault="00B11C10" w:rsidP="006C6D60">
      <w:pPr>
        <w:pStyle w:val="AERbodytext"/>
        <w:spacing w:before="120" w:after="0"/>
        <w:jc w:val="center"/>
      </w:pPr>
      <w:r>
        <w:pict>
          <v:shape id="_x0000_i1028" type="#_x0000_t75" style="width:476.95pt;height:176.25pt">
            <v:imagedata r:id="rId13" o:title=""/>
          </v:shape>
        </w:pict>
      </w:r>
    </w:p>
    <w:p w:rsidR="001A5C1A" w:rsidRPr="003A3DE7" w:rsidRDefault="001A5C1A" w:rsidP="00B24A61">
      <w:pPr>
        <w:pStyle w:val="AERfigureheading"/>
        <w:tabs>
          <w:tab w:val="clear" w:pos="1361"/>
          <w:tab w:val="num" w:pos="1260"/>
        </w:tabs>
        <w:spacing w:before="120"/>
        <w:ind w:left="1260" w:hanging="1260"/>
        <w:rPr>
          <w:rFonts w:ascii="Arial" w:hAnsi="Arial" w:cs="Arial"/>
          <w:sz w:val="20"/>
          <w:szCs w:val="20"/>
        </w:rPr>
      </w:pPr>
      <w:r w:rsidRPr="003A3DE7">
        <w:rPr>
          <w:rFonts w:ascii="Arial" w:hAnsi="Arial" w:cs="Arial"/>
          <w:sz w:val="20"/>
          <w:szCs w:val="20"/>
        </w:rPr>
        <w:t>Injection bids by price bands</w:t>
      </w:r>
    </w:p>
    <w:p w:rsidR="00A26940" w:rsidRPr="00767397" w:rsidRDefault="00B11C10" w:rsidP="006C6D60">
      <w:pPr>
        <w:pStyle w:val="AERbodytext"/>
        <w:spacing w:before="120" w:after="0"/>
        <w:jc w:val="center"/>
      </w:pPr>
      <w:r>
        <w:pict>
          <v:shape id="_x0000_i1029" type="#_x0000_t75" style="width:475.8pt;height:218.3pt">
            <v:imagedata r:id="rId14" o:title=""/>
          </v:shape>
        </w:pict>
      </w:r>
    </w:p>
    <w:p w:rsidR="00372976" w:rsidRPr="003A3DE7" w:rsidRDefault="00372976" w:rsidP="00B24A61">
      <w:pPr>
        <w:pStyle w:val="AERfigureheading"/>
        <w:tabs>
          <w:tab w:val="clear" w:pos="1361"/>
          <w:tab w:val="num" w:pos="1260"/>
        </w:tabs>
        <w:spacing w:before="120"/>
        <w:ind w:left="1260" w:hanging="1260"/>
        <w:rPr>
          <w:rFonts w:ascii="Arial" w:hAnsi="Arial" w:cs="Arial"/>
          <w:sz w:val="20"/>
          <w:szCs w:val="20"/>
        </w:rPr>
      </w:pPr>
      <w:r w:rsidRPr="003A3DE7">
        <w:rPr>
          <w:rFonts w:ascii="Arial" w:hAnsi="Arial" w:cs="Arial"/>
          <w:sz w:val="20"/>
          <w:szCs w:val="20"/>
        </w:rPr>
        <w:t>Withdrawal bids by price bands</w:t>
      </w:r>
    </w:p>
    <w:p w:rsidR="00BE4577" w:rsidRPr="00767397" w:rsidRDefault="00B11C10" w:rsidP="006C6D60">
      <w:pPr>
        <w:pStyle w:val="AERbodytext"/>
        <w:jc w:val="center"/>
      </w:pPr>
      <w:r>
        <w:pict>
          <v:shape id="_x0000_i1030" type="#_x0000_t75" style="width:477.5pt;height:171.65pt">
            <v:imagedata r:id="rId15" o:title=""/>
          </v:shape>
        </w:pict>
      </w:r>
    </w:p>
    <w:p w:rsidR="00A26940" w:rsidRPr="003A3DE7" w:rsidRDefault="00B24A61" w:rsidP="00BE4577">
      <w:pPr>
        <w:pStyle w:val="AERfigureheading"/>
        <w:rPr>
          <w:rFonts w:ascii="Arial" w:hAnsi="Arial" w:cs="Arial"/>
          <w:sz w:val="20"/>
          <w:szCs w:val="20"/>
        </w:rPr>
      </w:pPr>
      <w:r w:rsidRPr="003A3DE7">
        <w:rPr>
          <w:rFonts w:ascii="Arial" w:hAnsi="Arial" w:cs="Arial"/>
          <w:sz w:val="20"/>
          <w:szCs w:val="20"/>
        </w:rPr>
        <w:t xml:space="preserve">Metered </w:t>
      </w:r>
      <w:r w:rsidR="00652A42" w:rsidRPr="003A3DE7">
        <w:rPr>
          <w:rFonts w:ascii="Arial" w:hAnsi="Arial" w:cs="Arial"/>
          <w:sz w:val="20"/>
          <w:szCs w:val="20"/>
        </w:rPr>
        <w:t>I</w:t>
      </w:r>
      <w:r w:rsidR="00A26940" w:rsidRPr="003A3DE7">
        <w:rPr>
          <w:rFonts w:ascii="Arial" w:hAnsi="Arial" w:cs="Arial"/>
          <w:sz w:val="20"/>
          <w:szCs w:val="20"/>
        </w:rPr>
        <w:t xml:space="preserve">njections </w:t>
      </w:r>
      <w:r w:rsidR="008F4EAE" w:rsidRPr="003A3DE7">
        <w:rPr>
          <w:rFonts w:ascii="Arial" w:hAnsi="Arial" w:cs="Arial"/>
          <w:sz w:val="20"/>
          <w:szCs w:val="20"/>
        </w:rPr>
        <w:t xml:space="preserve">by </w:t>
      </w:r>
      <w:r w:rsidRPr="003A3DE7">
        <w:rPr>
          <w:rFonts w:ascii="Arial" w:hAnsi="Arial" w:cs="Arial"/>
          <w:sz w:val="20"/>
          <w:szCs w:val="20"/>
        </w:rPr>
        <w:t xml:space="preserve">System Injection Point </w:t>
      </w:r>
    </w:p>
    <w:p w:rsidR="0006609A" w:rsidRPr="00767397" w:rsidRDefault="00B11C10" w:rsidP="006C6D60">
      <w:pPr>
        <w:pStyle w:val="AERbodytext"/>
        <w:spacing w:before="120"/>
        <w:jc w:val="center"/>
        <w:sectPr w:rsidR="0006609A" w:rsidRPr="00767397" w:rsidSect="00FD7231">
          <w:footerReference w:type="default" r:id="rId16"/>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r>
        <w:pict>
          <v:shape id="_x0000_i1031" type="#_x0000_t75" style="width:475.8pt;height:178pt">
            <v:imagedata r:id="rId17" o:title=""/>
          </v:shape>
        </w:pict>
      </w:r>
    </w:p>
    <w:p w:rsidR="00A26940" w:rsidRPr="00C566BE" w:rsidRDefault="00A26940" w:rsidP="006C6D60">
      <w:pPr>
        <w:pStyle w:val="AERbodytext"/>
        <w:spacing w:before="120"/>
        <w:jc w:val="center"/>
        <w:rPr>
          <w:i/>
        </w:rPr>
      </w:pPr>
    </w:p>
    <w:p w:rsidR="005F18AD" w:rsidRDefault="005F18AD" w:rsidP="00372976">
      <w:pPr>
        <w:pStyle w:val="AERheading1"/>
        <w:pageBreakBefore w:val="0"/>
        <w:spacing w:before="120"/>
        <w:rPr>
          <w:rFonts w:ascii="Times New Roman" w:hAnsi="Times New Roman" w:cs="Times New Roman"/>
          <w:sz w:val="28"/>
          <w:szCs w:val="28"/>
        </w:rPr>
      </w:pPr>
      <w:r w:rsidRPr="000F3B46">
        <w:rPr>
          <w:rFonts w:ascii="Times New Roman" w:hAnsi="Times New Roman" w:cs="Times New Roman"/>
          <w:sz w:val="28"/>
          <w:szCs w:val="28"/>
        </w:rPr>
        <w:t>Sydney STTM</w:t>
      </w:r>
    </w:p>
    <w:p w:rsidR="00B24A61" w:rsidRDefault="00B24A61" w:rsidP="00B24A61">
      <w:pPr>
        <w:pStyle w:val="AERbodytext"/>
        <w:spacing w:before="120" w:after="120"/>
        <w:jc w:val="both"/>
      </w:pPr>
      <w:r>
        <w:t xml:space="preserve">In each STTM hub, gas is priced once before each gas day (the ex ante price) and once after the gas day (the ex post price). The main drivers of ex ante and ex post prices are demand forecasts, together with participant offers and </w:t>
      </w:r>
      <w:r w:rsidR="005157B0">
        <w:t xml:space="preserve">offers to inject or </w:t>
      </w:r>
      <w:r>
        <w:t xml:space="preserve">bids to withdraw gas </w:t>
      </w:r>
      <w:r w:rsidR="003C5272">
        <w:t xml:space="preserve">traded through </w:t>
      </w:r>
      <w:r>
        <w:t>the hub.</w:t>
      </w:r>
      <w:r>
        <w:rPr>
          <w:rStyle w:val="FootnoteReference"/>
        </w:rPr>
        <w:footnoteReference w:id="5"/>
      </w:r>
      <w:r>
        <w:t xml:space="preserve"> P</w:t>
      </w:r>
      <w:r w:rsidRPr="003F73B0">
        <w:t>rice</w:t>
      </w:r>
      <w:r>
        <w:t>s before and after the gas day may also vary</w:t>
      </w:r>
      <w:r w:rsidRPr="003F73B0">
        <w:t xml:space="preserve"> depending on how much gas is sche</w:t>
      </w:r>
      <w:r>
        <w:t>duled before the gas day (setting the ex ante price) and how much gas is consumed in the hub on a gas day (setting the ex post price)</w:t>
      </w:r>
      <w:r w:rsidRPr="003F73B0">
        <w:t>.</w:t>
      </w:r>
      <w:r>
        <w:t xml:space="preserve"> </w:t>
      </w:r>
    </w:p>
    <w:p w:rsidR="00B24A61" w:rsidRDefault="00B24A61" w:rsidP="00B24A61">
      <w:pPr>
        <w:pStyle w:val="AERbodytext"/>
        <w:spacing w:before="120" w:after="120"/>
        <w:jc w:val="both"/>
      </w:pPr>
      <w:r w:rsidRPr="003F73B0">
        <w:t>M</w:t>
      </w:r>
      <w:r>
        <w:t xml:space="preserve">arket </w:t>
      </w:r>
      <w:r w:rsidRPr="003F73B0">
        <w:t>O</w:t>
      </w:r>
      <w:r>
        <w:t xml:space="preserve">perator </w:t>
      </w:r>
      <w:r w:rsidRPr="003F73B0">
        <w:t>S</w:t>
      </w:r>
      <w:r>
        <w:t>ervice</w:t>
      </w:r>
      <w:r w:rsidRPr="003F73B0">
        <w:t xml:space="preserve"> </w:t>
      </w:r>
      <w:r>
        <w:t xml:space="preserve">balancing gas (MOS) </w:t>
      </w:r>
      <w:r w:rsidRPr="003F73B0">
        <w:t>payments arise because</w:t>
      </w:r>
      <w:r>
        <w:t xml:space="preserv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Pr>
          <w:rStyle w:val="FootnoteReference"/>
        </w:rPr>
        <w:footnoteReference w:id="6"/>
      </w:r>
      <w:r w:rsidRPr="003F73B0">
        <w:t xml:space="preserve"> </w:t>
      </w:r>
    </w:p>
    <w:p w:rsidR="00B24A61" w:rsidRDefault="00B24A61" w:rsidP="00B24A61">
      <w:pPr>
        <w:pStyle w:val="AERbodytext"/>
        <w:spacing w:before="120" w:after="120"/>
        <w:jc w:val="both"/>
      </w:pPr>
      <w:r>
        <w:t xml:space="preserve">Figures 2.1 </w:t>
      </w:r>
      <w:r w:rsidR="008936C5">
        <w:t>and</w:t>
      </w:r>
      <w:r>
        <w:t xml:space="preserve"> 2.</w:t>
      </w:r>
      <w:r w:rsidR="008936C5">
        <w:t>2</w:t>
      </w:r>
      <w:r>
        <w:t xml:space="preserve"> show daily prices, demand, offers and bids. Figures 2.</w:t>
      </w:r>
      <w:r w:rsidR="008936C5">
        <w:t>3</w:t>
      </w:r>
      <w:r>
        <w:t xml:space="preserve"> and 2.</w:t>
      </w:r>
      <w:r w:rsidR="008936C5">
        <w:t>4</w:t>
      </w:r>
      <w:r>
        <w:t xml:space="preserve"> show gas scheduled and allocated on pipelines, indicating the location and relative quantity of gas offers across pipelines and also the amount of MOS allocated for each pipeline.</w:t>
      </w:r>
    </w:p>
    <w:p w:rsidR="00B24A61" w:rsidRPr="00B24A61" w:rsidRDefault="00B24A61" w:rsidP="00B24A61">
      <w:pPr>
        <w:pStyle w:val="AERbodytext"/>
      </w:pPr>
    </w:p>
    <w:p w:rsidR="008E2239" w:rsidRPr="00B76529" w:rsidRDefault="003410C4" w:rsidP="00750C0F">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 xml:space="preserve">SYD </w:t>
      </w:r>
      <w:r w:rsidR="008936C5">
        <w:rPr>
          <w:rFonts w:ascii="Arial" w:hAnsi="Arial" w:cs="Arial"/>
          <w:sz w:val="20"/>
          <w:szCs w:val="20"/>
        </w:rPr>
        <w:t>STTM d</w:t>
      </w:r>
      <w:r w:rsidR="005E4C48">
        <w:rPr>
          <w:rFonts w:ascii="Arial" w:hAnsi="Arial" w:cs="Arial"/>
          <w:sz w:val="20"/>
          <w:szCs w:val="20"/>
        </w:rPr>
        <w:t>aily e</w:t>
      </w:r>
      <w:r w:rsidR="008E2239" w:rsidRPr="00B76529">
        <w:rPr>
          <w:rFonts w:ascii="Arial" w:hAnsi="Arial" w:cs="Arial"/>
          <w:sz w:val="20"/>
          <w:szCs w:val="20"/>
        </w:rPr>
        <w:t>x ante and ex post prices</w:t>
      </w:r>
      <w:r w:rsidR="005E4C48">
        <w:rPr>
          <w:rFonts w:ascii="Arial" w:hAnsi="Arial" w:cs="Arial"/>
          <w:sz w:val="20"/>
          <w:szCs w:val="20"/>
        </w:rPr>
        <w:t xml:space="preserve"> and quantities</w:t>
      </w:r>
      <w:r w:rsidR="008E2239" w:rsidRPr="00B76529">
        <w:rPr>
          <w:rFonts w:ascii="Arial" w:hAnsi="Arial" w:cs="Arial"/>
          <w:sz w:val="20"/>
          <w:szCs w:val="20"/>
        </w:rPr>
        <w:t xml:space="preserve">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5865DB" w:rsidRPr="00B76529" w:rsidTr="002861A9">
        <w:trPr>
          <w:trHeight w:val="255"/>
        </w:trPr>
        <w:tc>
          <w:tcPr>
            <w:tcW w:w="2160" w:type="dxa"/>
            <w:noWrap/>
            <w:tcMar>
              <w:top w:w="0" w:type="dxa"/>
              <w:bottom w:w="0" w:type="dxa"/>
            </w:tcMar>
            <w:vAlign w:val="center"/>
          </w:tcPr>
          <w:p w:rsidR="005865DB" w:rsidRPr="002861A9" w:rsidRDefault="005865DB"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5865DB" w:rsidRDefault="005865DB">
            <w:pPr>
              <w:jc w:val="center"/>
              <w:rPr>
                <w:rFonts w:ascii="Arial" w:hAnsi="Arial" w:cs="Arial"/>
                <w:sz w:val="20"/>
                <w:szCs w:val="20"/>
              </w:rPr>
            </w:pPr>
            <w:r>
              <w:rPr>
                <w:rFonts w:ascii="Arial" w:hAnsi="Arial" w:cs="Arial"/>
                <w:sz w:val="20"/>
                <w:szCs w:val="20"/>
              </w:rPr>
              <w:t>3.90</w:t>
            </w:r>
          </w:p>
        </w:tc>
        <w:tc>
          <w:tcPr>
            <w:tcW w:w="1029" w:type="dxa"/>
            <w:noWrap/>
            <w:tcMar>
              <w:top w:w="0" w:type="dxa"/>
              <w:bottom w:w="0" w:type="dxa"/>
            </w:tcMar>
            <w:vAlign w:val="center"/>
          </w:tcPr>
          <w:p w:rsidR="005865DB" w:rsidRDefault="005865DB">
            <w:pPr>
              <w:jc w:val="center"/>
              <w:rPr>
                <w:rFonts w:ascii="Arial" w:hAnsi="Arial" w:cs="Arial"/>
                <w:sz w:val="20"/>
                <w:szCs w:val="20"/>
              </w:rPr>
            </w:pPr>
            <w:r>
              <w:rPr>
                <w:rFonts w:ascii="Arial" w:hAnsi="Arial" w:cs="Arial"/>
                <w:sz w:val="20"/>
                <w:szCs w:val="20"/>
              </w:rPr>
              <w:t>4.00</w:t>
            </w:r>
          </w:p>
        </w:tc>
        <w:tc>
          <w:tcPr>
            <w:tcW w:w="1028" w:type="dxa"/>
            <w:noWrap/>
            <w:tcMar>
              <w:top w:w="0" w:type="dxa"/>
              <w:bottom w:w="0" w:type="dxa"/>
            </w:tcMar>
            <w:vAlign w:val="center"/>
          </w:tcPr>
          <w:p w:rsidR="005865DB" w:rsidRDefault="005865DB">
            <w:pPr>
              <w:jc w:val="center"/>
              <w:rPr>
                <w:rFonts w:ascii="Arial" w:hAnsi="Arial" w:cs="Arial"/>
                <w:sz w:val="20"/>
                <w:szCs w:val="20"/>
              </w:rPr>
            </w:pPr>
            <w:r>
              <w:rPr>
                <w:rFonts w:ascii="Arial" w:hAnsi="Arial" w:cs="Arial"/>
                <w:sz w:val="20"/>
                <w:szCs w:val="20"/>
              </w:rPr>
              <w:t>3.90</w:t>
            </w:r>
          </w:p>
        </w:tc>
        <w:tc>
          <w:tcPr>
            <w:tcW w:w="1029" w:type="dxa"/>
            <w:noWrap/>
            <w:tcMar>
              <w:top w:w="0" w:type="dxa"/>
              <w:bottom w:w="0" w:type="dxa"/>
            </w:tcMar>
            <w:vAlign w:val="center"/>
          </w:tcPr>
          <w:p w:rsidR="005865DB" w:rsidRDefault="005865DB">
            <w:pPr>
              <w:jc w:val="center"/>
              <w:rPr>
                <w:rFonts w:ascii="Arial" w:hAnsi="Arial" w:cs="Arial"/>
                <w:sz w:val="20"/>
                <w:szCs w:val="20"/>
              </w:rPr>
            </w:pPr>
            <w:r>
              <w:rPr>
                <w:rFonts w:ascii="Arial" w:hAnsi="Arial" w:cs="Arial"/>
                <w:sz w:val="20"/>
                <w:szCs w:val="20"/>
              </w:rPr>
              <w:t>4.00</w:t>
            </w:r>
          </w:p>
        </w:tc>
        <w:tc>
          <w:tcPr>
            <w:tcW w:w="1028" w:type="dxa"/>
            <w:noWrap/>
            <w:tcMar>
              <w:top w:w="0" w:type="dxa"/>
              <w:bottom w:w="0" w:type="dxa"/>
            </w:tcMar>
            <w:vAlign w:val="center"/>
          </w:tcPr>
          <w:p w:rsidR="005865DB" w:rsidRDefault="005865DB">
            <w:pPr>
              <w:jc w:val="center"/>
              <w:rPr>
                <w:rFonts w:ascii="Arial" w:hAnsi="Arial" w:cs="Arial"/>
                <w:sz w:val="20"/>
                <w:szCs w:val="20"/>
              </w:rPr>
            </w:pPr>
            <w:r>
              <w:rPr>
                <w:rFonts w:ascii="Arial" w:hAnsi="Arial" w:cs="Arial"/>
                <w:sz w:val="20"/>
                <w:szCs w:val="20"/>
              </w:rPr>
              <w:t>4.64</w:t>
            </w:r>
          </w:p>
        </w:tc>
        <w:tc>
          <w:tcPr>
            <w:tcW w:w="1029" w:type="dxa"/>
            <w:noWrap/>
            <w:tcMar>
              <w:top w:w="0" w:type="dxa"/>
              <w:bottom w:w="0" w:type="dxa"/>
            </w:tcMar>
            <w:vAlign w:val="center"/>
          </w:tcPr>
          <w:p w:rsidR="005865DB" w:rsidRDefault="005865DB">
            <w:pPr>
              <w:jc w:val="center"/>
              <w:rPr>
                <w:rFonts w:ascii="Arial" w:hAnsi="Arial" w:cs="Arial"/>
                <w:sz w:val="20"/>
                <w:szCs w:val="20"/>
              </w:rPr>
            </w:pPr>
            <w:r>
              <w:rPr>
                <w:rFonts w:ascii="Arial" w:hAnsi="Arial" w:cs="Arial"/>
                <w:sz w:val="20"/>
                <w:szCs w:val="20"/>
              </w:rPr>
              <w:t>5.59</w:t>
            </w:r>
          </w:p>
        </w:tc>
        <w:tc>
          <w:tcPr>
            <w:tcW w:w="1029" w:type="dxa"/>
            <w:noWrap/>
            <w:tcMar>
              <w:top w:w="0" w:type="dxa"/>
              <w:bottom w:w="0" w:type="dxa"/>
            </w:tcMar>
            <w:vAlign w:val="center"/>
          </w:tcPr>
          <w:p w:rsidR="005865DB" w:rsidRDefault="005865DB">
            <w:pPr>
              <w:jc w:val="center"/>
              <w:rPr>
                <w:rFonts w:ascii="Arial" w:hAnsi="Arial" w:cs="Arial"/>
                <w:sz w:val="20"/>
                <w:szCs w:val="20"/>
              </w:rPr>
            </w:pPr>
            <w:r>
              <w:rPr>
                <w:rFonts w:ascii="Arial" w:hAnsi="Arial" w:cs="Arial"/>
                <w:sz w:val="20"/>
                <w:szCs w:val="20"/>
              </w:rPr>
              <w:t>4.51</w:t>
            </w:r>
          </w:p>
        </w:tc>
      </w:tr>
      <w:tr w:rsidR="005865DB" w:rsidRPr="00B76529" w:rsidTr="002861A9">
        <w:trPr>
          <w:trHeight w:val="255"/>
        </w:trPr>
        <w:tc>
          <w:tcPr>
            <w:tcW w:w="2160" w:type="dxa"/>
            <w:noWrap/>
            <w:tcMar>
              <w:top w:w="0" w:type="dxa"/>
              <w:bottom w:w="0" w:type="dxa"/>
            </w:tcMar>
            <w:vAlign w:val="center"/>
          </w:tcPr>
          <w:p w:rsidR="005865DB" w:rsidRPr="002861A9" w:rsidRDefault="005865DB"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5865DB" w:rsidRDefault="005865DB">
            <w:pPr>
              <w:jc w:val="center"/>
              <w:rPr>
                <w:rFonts w:ascii="Arial" w:hAnsi="Arial" w:cs="Arial"/>
                <w:sz w:val="20"/>
                <w:szCs w:val="20"/>
              </w:rPr>
            </w:pPr>
            <w:r>
              <w:rPr>
                <w:rFonts w:ascii="Arial" w:hAnsi="Arial" w:cs="Arial"/>
                <w:sz w:val="20"/>
                <w:szCs w:val="20"/>
              </w:rPr>
              <w:t>189</w:t>
            </w:r>
          </w:p>
        </w:tc>
        <w:tc>
          <w:tcPr>
            <w:tcW w:w="1029" w:type="dxa"/>
            <w:noWrap/>
            <w:tcMar>
              <w:top w:w="0" w:type="dxa"/>
              <w:bottom w:w="0" w:type="dxa"/>
            </w:tcMar>
            <w:vAlign w:val="center"/>
          </w:tcPr>
          <w:p w:rsidR="005865DB" w:rsidRDefault="005865DB">
            <w:pPr>
              <w:jc w:val="center"/>
              <w:rPr>
                <w:rFonts w:ascii="Arial" w:hAnsi="Arial" w:cs="Arial"/>
                <w:sz w:val="20"/>
                <w:szCs w:val="20"/>
              </w:rPr>
            </w:pPr>
            <w:r>
              <w:rPr>
                <w:rFonts w:ascii="Arial" w:hAnsi="Arial" w:cs="Arial"/>
                <w:sz w:val="20"/>
                <w:szCs w:val="20"/>
              </w:rPr>
              <w:t>224</w:t>
            </w:r>
          </w:p>
        </w:tc>
        <w:tc>
          <w:tcPr>
            <w:tcW w:w="1028" w:type="dxa"/>
            <w:noWrap/>
            <w:tcMar>
              <w:top w:w="0" w:type="dxa"/>
              <w:bottom w:w="0" w:type="dxa"/>
            </w:tcMar>
            <w:vAlign w:val="center"/>
          </w:tcPr>
          <w:p w:rsidR="005865DB" w:rsidRDefault="005865DB">
            <w:pPr>
              <w:jc w:val="center"/>
              <w:rPr>
                <w:rFonts w:ascii="Arial" w:hAnsi="Arial" w:cs="Arial"/>
                <w:sz w:val="20"/>
                <w:szCs w:val="20"/>
              </w:rPr>
            </w:pPr>
            <w:r>
              <w:rPr>
                <w:rFonts w:ascii="Arial" w:hAnsi="Arial" w:cs="Arial"/>
                <w:sz w:val="20"/>
                <w:szCs w:val="20"/>
              </w:rPr>
              <w:t>222</w:t>
            </w:r>
          </w:p>
        </w:tc>
        <w:tc>
          <w:tcPr>
            <w:tcW w:w="1029" w:type="dxa"/>
            <w:noWrap/>
            <w:tcMar>
              <w:top w:w="0" w:type="dxa"/>
              <w:bottom w:w="0" w:type="dxa"/>
            </w:tcMar>
            <w:vAlign w:val="center"/>
          </w:tcPr>
          <w:p w:rsidR="005865DB" w:rsidRDefault="005865DB">
            <w:pPr>
              <w:jc w:val="center"/>
              <w:rPr>
                <w:rFonts w:ascii="Arial" w:hAnsi="Arial" w:cs="Arial"/>
                <w:sz w:val="20"/>
                <w:szCs w:val="20"/>
              </w:rPr>
            </w:pPr>
            <w:r>
              <w:rPr>
                <w:rFonts w:ascii="Arial" w:hAnsi="Arial" w:cs="Arial"/>
                <w:sz w:val="20"/>
                <w:szCs w:val="20"/>
              </w:rPr>
              <w:t>224</w:t>
            </w:r>
          </w:p>
        </w:tc>
        <w:tc>
          <w:tcPr>
            <w:tcW w:w="1028" w:type="dxa"/>
            <w:noWrap/>
            <w:tcMar>
              <w:top w:w="0" w:type="dxa"/>
              <w:bottom w:w="0" w:type="dxa"/>
            </w:tcMar>
            <w:vAlign w:val="center"/>
          </w:tcPr>
          <w:p w:rsidR="005865DB" w:rsidRDefault="005865DB">
            <w:pPr>
              <w:jc w:val="center"/>
              <w:rPr>
                <w:rFonts w:ascii="Arial" w:hAnsi="Arial" w:cs="Arial"/>
                <w:sz w:val="20"/>
                <w:szCs w:val="20"/>
              </w:rPr>
            </w:pPr>
            <w:r>
              <w:rPr>
                <w:rFonts w:ascii="Arial" w:hAnsi="Arial" w:cs="Arial"/>
                <w:sz w:val="20"/>
                <w:szCs w:val="20"/>
              </w:rPr>
              <w:t>219</w:t>
            </w:r>
          </w:p>
        </w:tc>
        <w:tc>
          <w:tcPr>
            <w:tcW w:w="1029" w:type="dxa"/>
            <w:noWrap/>
            <w:tcMar>
              <w:top w:w="0" w:type="dxa"/>
              <w:bottom w:w="0" w:type="dxa"/>
            </w:tcMar>
            <w:vAlign w:val="center"/>
          </w:tcPr>
          <w:p w:rsidR="005865DB" w:rsidRDefault="005865DB">
            <w:pPr>
              <w:jc w:val="center"/>
              <w:rPr>
                <w:rFonts w:ascii="Arial" w:hAnsi="Arial" w:cs="Arial"/>
                <w:sz w:val="20"/>
                <w:szCs w:val="20"/>
              </w:rPr>
            </w:pPr>
            <w:r>
              <w:rPr>
                <w:rFonts w:ascii="Arial" w:hAnsi="Arial" w:cs="Arial"/>
                <w:sz w:val="20"/>
                <w:szCs w:val="20"/>
              </w:rPr>
              <w:t>218</w:t>
            </w:r>
          </w:p>
        </w:tc>
        <w:tc>
          <w:tcPr>
            <w:tcW w:w="1029" w:type="dxa"/>
            <w:noWrap/>
            <w:tcMar>
              <w:top w:w="0" w:type="dxa"/>
              <w:bottom w:w="0" w:type="dxa"/>
            </w:tcMar>
            <w:vAlign w:val="center"/>
          </w:tcPr>
          <w:p w:rsidR="005865DB" w:rsidRDefault="005865DB">
            <w:pPr>
              <w:jc w:val="center"/>
              <w:rPr>
                <w:rFonts w:ascii="Arial" w:hAnsi="Arial" w:cs="Arial"/>
                <w:sz w:val="20"/>
                <w:szCs w:val="20"/>
              </w:rPr>
            </w:pPr>
            <w:r>
              <w:rPr>
                <w:rFonts w:ascii="Arial" w:hAnsi="Arial" w:cs="Arial"/>
                <w:sz w:val="20"/>
                <w:szCs w:val="20"/>
              </w:rPr>
              <w:t>182</w:t>
            </w:r>
          </w:p>
        </w:tc>
      </w:tr>
      <w:tr w:rsidR="005865DB" w:rsidRPr="00B76529" w:rsidTr="002861A9">
        <w:trPr>
          <w:trHeight w:val="255"/>
        </w:trPr>
        <w:tc>
          <w:tcPr>
            <w:tcW w:w="2160" w:type="dxa"/>
            <w:noWrap/>
            <w:tcMar>
              <w:top w:w="0" w:type="dxa"/>
              <w:bottom w:w="0" w:type="dxa"/>
            </w:tcMar>
            <w:vAlign w:val="center"/>
          </w:tcPr>
          <w:p w:rsidR="005865DB" w:rsidRPr="002861A9" w:rsidRDefault="005865DB"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5865DB" w:rsidRDefault="005865DB">
            <w:pPr>
              <w:jc w:val="center"/>
              <w:rPr>
                <w:rFonts w:ascii="Arial" w:hAnsi="Arial" w:cs="Arial"/>
                <w:sz w:val="20"/>
                <w:szCs w:val="20"/>
              </w:rPr>
            </w:pPr>
            <w:r>
              <w:rPr>
                <w:rFonts w:ascii="Arial" w:hAnsi="Arial" w:cs="Arial"/>
                <w:sz w:val="20"/>
                <w:szCs w:val="20"/>
              </w:rPr>
              <w:t>3.71</w:t>
            </w:r>
          </w:p>
        </w:tc>
        <w:tc>
          <w:tcPr>
            <w:tcW w:w="1029" w:type="dxa"/>
            <w:noWrap/>
            <w:tcMar>
              <w:top w:w="0" w:type="dxa"/>
              <w:bottom w:w="0" w:type="dxa"/>
            </w:tcMar>
            <w:vAlign w:val="center"/>
          </w:tcPr>
          <w:p w:rsidR="005865DB" w:rsidRDefault="005865DB">
            <w:pPr>
              <w:jc w:val="center"/>
              <w:rPr>
                <w:rFonts w:ascii="Arial" w:hAnsi="Arial" w:cs="Arial"/>
                <w:sz w:val="20"/>
                <w:szCs w:val="20"/>
              </w:rPr>
            </w:pPr>
            <w:r>
              <w:rPr>
                <w:rFonts w:ascii="Arial" w:hAnsi="Arial" w:cs="Arial"/>
                <w:sz w:val="20"/>
                <w:szCs w:val="20"/>
              </w:rPr>
              <w:t>3.71</w:t>
            </w:r>
          </w:p>
        </w:tc>
        <w:tc>
          <w:tcPr>
            <w:tcW w:w="1028" w:type="dxa"/>
            <w:noWrap/>
            <w:tcMar>
              <w:top w:w="0" w:type="dxa"/>
              <w:bottom w:w="0" w:type="dxa"/>
            </w:tcMar>
            <w:vAlign w:val="center"/>
          </w:tcPr>
          <w:p w:rsidR="005865DB" w:rsidRDefault="005865DB">
            <w:pPr>
              <w:jc w:val="center"/>
              <w:rPr>
                <w:rFonts w:ascii="Arial" w:hAnsi="Arial" w:cs="Arial"/>
                <w:sz w:val="20"/>
                <w:szCs w:val="20"/>
              </w:rPr>
            </w:pPr>
            <w:r>
              <w:rPr>
                <w:rFonts w:ascii="Arial" w:hAnsi="Arial" w:cs="Arial"/>
                <w:sz w:val="20"/>
                <w:szCs w:val="20"/>
              </w:rPr>
              <w:t>3.71</w:t>
            </w:r>
          </w:p>
        </w:tc>
        <w:tc>
          <w:tcPr>
            <w:tcW w:w="1029" w:type="dxa"/>
            <w:noWrap/>
            <w:tcMar>
              <w:top w:w="0" w:type="dxa"/>
              <w:bottom w:w="0" w:type="dxa"/>
            </w:tcMar>
            <w:vAlign w:val="center"/>
          </w:tcPr>
          <w:p w:rsidR="005865DB" w:rsidRDefault="005865DB">
            <w:pPr>
              <w:jc w:val="center"/>
              <w:rPr>
                <w:rFonts w:ascii="Arial" w:hAnsi="Arial" w:cs="Arial"/>
                <w:sz w:val="20"/>
                <w:szCs w:val="20"/>
              </w:rPr>
            </w:pPr>
            <w:r>
              <w:rPr>
                <w:rFonts w:ascii="Arial" w:hAnsi="Arial" w:cs="Arial"/>
                <w:sz w:val="20"/>
                <w:szCs w:val="20"/>
              </w:rPr>
              <w:t>3.90</w:t>
            </w:r>
          </w:p>
        </w:tc>
        <w:tc>
          <w:tcPr>
            <w:tcW w:w="1028" w:type="dxa"/>
            <w:noWrap/>
            <w:tcMar>
              <w:top w:w="0" w:type="dxa"/>
              <w:bottom w:w="0" w:type="dxa"/>
            </w:tcMar>
            <w:vAlign w:val="center"/>
          </w:tcPr>
          <w:p w:rsidR="005865DB" w:rsidRDefault="005865DB">
            <w:pPr>
              <w:jc w:val="center"/>
              <w:rPr>
                <w:rFonts w:ascii="Arial" w:hAnsi="Arial" w:cs="Arial"/>
                <w:sz w:val="20"/>
                <w:szCs w:val="20"/>
              </w:rPr>
            </w:pPr>
            <w:r>
              <w:rPr>
                <w:rFonts w:ascii="Arial" w:hAnsi="Arial" w:cs="Arial"/>
                <w:sz w:val="20"/>
                <w:szCs w:val="20"/>
              </w:rPr>
              <w:t>5.00</w:t>
            </w:r>
          </w:p>
        </w:tc>
        <w:tc>
          <w:tcPr>
            <w:tcW w:w="1029" w:type="dxa"/>
            <w:noWrap/>
            <w:tcMar>
              <w:top w:w="0" w:type="dxa"/>
              <w:bottom w:w="0" w:type="dxa"/>
            </w:tcMar>
            <w:vAlign w:val="center"/>
          </w:tcPr>
          <w:p w:rsidR="005865DB" w:rsidRDefault="005865DB">
            <w:pPr>
              <w:jc w:val="center"/>
              <w:rPr>
                <w:rFonts w:ascii="Arial" w:hAnsi="Arial" w:cs="Arial"/>
                <w:sz w:val="20"/>
                <w:szCs w:val="20"/>
              </w:rPr>
            </w:pPr>
            <w:r>
              <w:rPr>
                <w:rFonts w:ascii="Arial" w:hAnsi="Arial" w:cs="Arial"/>
                <w:sz w:val="20"/>
                <w:szCs w:val="20"/>
              </w:rPr>
              <w:t>5.59</w:t>
            </w:r>
          </w:p>
        </w:tc>
        <w:tc>
          <w:tcPr>
            <w:tcW w:w="1029" w:type="dxa"/>
            <w:noWrap/>
            <w:tcMar>
              <w:top w:w="0" w:type="dxa"/>
              <w:bottom w:w="0" w:type="dxa"/>
            </w:tcMar>
            <w:vAlign w:val="center"/>
          </w:tcPr>
          <w:p w:rsidR="005865DB" w:rsidRDefault="005865DB">
            <w:pPr>
              <w:jc w:val="center"/>
              <w:rPr>
                <w:rFonts w:ascii="Arial" w:hAnsi="Arial" w:cs="Arial"/>
                <w:sz w:val="20"/>
                <w:szCs w:val="20"/>
              </w:rPr>
            </w:pPr>
            <w:r>
              <w:rPr>
                <w:rFonts w:ascii="Arial" w:hAnsi="Arial" w:cs="Arial"/>
                <w:sz w:val="20"/>
                <w:szCs w:val="20"/>
              </w:rPr>
              <w:t>4.20</w:t>
            </w:r>
          </w:p>
        </w:tc>
      </w:tr>
      <w:tr w:rsidR="005865DB" w:rsidRPr="00B76529" w:rsidTr="002861A9">
        <w:trPr>
          <w:trHeight w:val="255"/>
        </w:trPr>
        <w:tc>
          <w:tcPr>
            <w:tcW w:w="2160" w:type="dxa"/>
            <w:noWrap/>
            <w:tcMar>
              <w:top w:w="0" w:type="dxa"/>
              <w:bottom w:w="0" w:type="dxa"/>
            </w:tcMar>
            <w:vAlign w:val="center"/>
          </w:tcPr>
          <w:p w:rsidR="005865DB" w:rsidRPr="002861A9" w:rsidRDefault="005865DB" w:rsidP="002861A9">
            <w:pPr>
              <w:keepNext/>
              <w:spacing w:before="40" w:after="40"/>
              <w:rPr>
                <w:rFonts w:ascii="Arial" w:hAnsi="Arial" w:cs="Arial"/>
                <w:sz w:val="20"/>
                <w:szCs w:val="20"/>
              </w:rPr>
            </w:pPr>
            <w:r w:rsidRPr="002861A9">
              <w:rPr>
                <w:rFonts w:ascii="Arial" w:hAnsi="Arial" w:cs="Arial"/>
                <w:sz w:val="20"/>
                <w:szCs w:val="20"/>
              </w:rPr>
              <w:t>Ex Post quantity (TJ)</w:t>
            </w:r>
          </w:p>
        </w:tc>
        <w:tc>
          <w:tcPr>
            <w:tcW w:w="1028" w:type="dxa"/>
            <w:noWrap/>
            <w:tcMar>
              <w:top w:w="0" w:type="dxa"/>
              <w:bottom w:w="0" w:type="dxa"/>
            </w:tcMar>
            <w:vAlign w:val="center"/>
          </w:tcPr>
          <w:p w:rsidR="005865DB" w:rsidRDefault="005865DB">
            <w:pPr>
              <w:jc w:val="center"/>
              <w:rPr>
                <w:rFonts w:ascii="Arial" w:hAnsi="Arial" w:cs="Arial"/>
                <w:sz w:val="20"/>
                <w:szCs w:val="20"/>
              </w:rPr>
            </w:pPr>
            <w:r>
              <w:rPr>
                <w:rFonts w:ascii="Arial" w:hAnsi="Arial" w:cs="Arial"/>
                <w:sz w:val="20"/>
                <w:szCs w:val="20"/>
              </w:rPr>
              <w:t>187</w:t>
            </w:r>
          </w:p>
        </w:tc>
        <w:tc>
          <w:tcPr>
            <w:tcW w:w="1029" w:type="dxa"/>
            <w:noWrap/>
            <w:tcMar>
              <w:top w:w="0" w:type="dxa"/>
              <w:bottom w:w="0" w:type="dxa"/>
            </w:tcMar>
            <w:vAlign w:val="center"/>
          </w:tcPr>
          <w:p w:rsidR="005865DB" w:rsidRDefault="005865DB">
            <w:pPr>
              <w:jc w:val="center"/>
              <w:rPr>
                <w:rFonts w:ascii="Arial" w:hAnsi="Arial" w:cs="Arial"/>
                <w:sz w:val="20"/>
                <w:szCs w:val="20"/>
              </w:rPr>
            </w:pPr>
            <w:r>
              <w:rPr>
                <w:rFonts w:ascii="Arial" w:hAnsi="Arial" w:cs="Arial"/>
                <w:sz w:val="20"/>
                <w:szCs w:val="20"/>
              </w:rPr>
              <w:t>212</w:t>
            </w:r>
          </w:p>
        </w:tc>
        <w:tc>
          <w:tcPr>
            <w:tcW w:w="1028" w:type="dxa"/>
            <w:noWrap/>
            <w:tcMar>
              <w:top w:w="0" w:type="dxa"/>
              <w:bottom w:w="0" w:type="dxa"/>
            </w:tcMar>
            <w:vAlign w:val="center"/>
          </w:tcPr>
          <w:p w:rsidR="005865DB" w:rsidRDefault="005865DB">
            <w:pPr>
              <w:jc w:val="center"/>
              <w:rPr>
                <w:rFonts w:ascii="Arial" w:hAnsi="Arial" w:cs="Arial"/>
                <w:sz w:val="20"/>
                <w:szCs w:val="20"/>
              </w:rPr>
            </w:pPr>
            <w:r>
              <w:rPr>
                <w:rFonts w:ascii="Arial" w:hAnsi="Arial" w:cs="Arial"/>
                <w:sz w:val="20"/>
                <w:szCs w:val="20"/>
              </w:rPr>
              <w:t>215</w:t>
            </w:r>
          </w:p>
        </w:tc>
        <w:tc>
          <w:tcPr>
            <w:tcW w:w="1029" w:type="dxa"/>
            <w:noWrap/>
            <w:tcMar>
              <w:top w:w="0" w:type="dxa"/>
              <w:bottom w:w="0" w:type="dxa"/>
            </w:tcMar>
            <w:vAlign w:val="center"/>
          </w:tcPr>
          <w:p w:rsidR="005865DB" w:rsidRDefault="005865DB">
            <w:pPr>
              <w:jc w:val="center"/>
              <w:rPr>
                <w:rFonts w:ascii="Arial" w:hAnsi="Arial" w:cs="Arial"/>
                <w:sz w:val="20"/>
                <w:szCs w:val="20"/>
              </w:rPr>
            </w:pPr>
            <w:r>
              <w:rPr>
                <w:rFonts w:ascii="Arial" w:hAnsi="Arial" w:cs="Arial"/>
                <w:sz w:val="20"/>
                <w:szCs w:val="20"/>
              </w:rPr>
              <w:t>220</w:t>
            </w:r>
          </w:p>
        </w:tc>
        <w:tc>
          <w:tcPr>
            <w:tcW w:w="1028" w:type="dxa"/>
            <w:noWrap/>
            <w:tcMar>
              <w:top w:w="0" w:type="dxa"/>
              <w:bottom w:w="0" w:type="dxa"/>
            </w:tcMar>
            <w:vAlign w:val="center"/>
          </w:tcPr>
          <w:p w:rsidR="005865DB" w:rsidRDefault="005865DB">
            <w:pPr>
              <w:jc w:val="center"/>
              <w:rPr>
                <w:rFonts w:ascii="Arial" w:hAnsi="Arial" w:cs="Arial"/>
                <w:sz w:val="20"/>
                <w:szCs w:val="20"/>
              </w:rPr>
            </w:pPr>
            <w:r>
              <w:rPr>
                <w:rFonts w:ascii="Arial" w:hAnsi="Arial" w:cs="Arial"/>
                <w:sz w:val="20"/>
                <w:szCs w:val="20"/>
              </w:rPr>
              <w:t>222</w:t>
            </w:r>
          </w:p>
        </w:tc>
        <w:tc>
          <w:tcPr>
            <w:tcW w:w="1029" w:type="dxa"/>
            <w:noWrap/>
            <w:tcMar>
              <w:top w:w="0" w:type="dxa"/>
              <w:bottom w:w="0" w:type="dxa"/>
            </w:tcMar>
            <w:vAlign w:val="center"/>
          </w:tcPr>
          <w:p w:rsidR="005865DB" w:rsidRDefault="005865DB">
            <w:pPr>
              <w:jc w:val="center"/>
              <w:rPr>
                <w:rFonts w:ascii="Arial" w:hAnsi="Arial" w:cs="Arial"/>
                <w:sz w:val="20"/>
                <w:szCs w:val="20"/>
              </w:rPr>
            </w:pPr>
            <w:r>
              <w:rPr>
                <w:rFonts w:ascii="Arial" w:hAnsi="Arial" w:cs="Arial"/>
                <w:sz w:val="20"/>
                <w:szCs w:val="20"/>
              </w:rPr>
              <w:t>222</w:t>
            </w:r>
          </w:p>
        </w:tc>
        <w:tc>
          <w:tcPr>
            <w:tcW w:w="1029" w:type="dxa"/>
            <w:noWrap/>
            <w:tcMar>
              <w:top w:w="0" w:type="dxa"/>
              <w:bottom w:w="0" w:type="dxa"/>
            </w:tcMar>
            <w:vAlign w:val="center"/>
          </w:tcPr>
          <w:p w:rsidR="005865DB" w:rsidRDefault="005865DB">
            <w:pPr>
              <w:jc w:val="center"/>
              <w:rPr>
                <w:rFonts w:ascii="Arial" w:hAnsi="Arial" w:cs="Arial"/>
                <w:sz w:val="20"/>
                <w:szCs w:val="20"/>
              </w:rPr>
            </w:pPr>
            <w:r>
              <w:rPr>
                <w:rFonts w:ascii="Arial" w:hAnsi="Arial" w:cs="Arial"/>
                <w:sz w:val="20"/>
                <w:szCs w:val="20"/>
              </w:rPr>
              <w:t>172</w:t>
            </w:r>
          </w:p>
        </w:tc>
      </w:tr>
    </w:tbl>
    <w:p w:rsidR="00055584" w:rsidRPr="00832441" w:rsidRDefault="0045204B" w:rsidP="00502181">
      <w:pPr>
        <w:pStyle w:val="AERtableheading-unnumbered"/>
        <w:numPr>
          <w:ilvl w:val="0"/>
          <w:numId w:val="0"/>
        </w:numPr>
        <w:spacing w:before="480"/>
        <w:rPr>
          <w:rFonts w:ascii="Arial" w:hAnsi="Arial" w:cs="Arial"/>
          <w:sz w:val="19"/>
          <w:szCs w:val="19"/>
        </w:rPr>
      </w:pPr>
      <w:r w:rsidRPr="00832441">
        <w:rPr>
          <w:rFonts w:ascii="Arial" w:hAnsi="Arial" w:cs="Arial"/>
          <w:sz w:val="19"/>
          <w:szCs w:val="19"/>
        </w:rPr>
        <w:t xml:space="preserve">Figure </w:t>
      </w:r>
      <w:r w:rsidR="0002658A">
        <w:rPr>
          <w:rFonts w:ascii="Arial" w:hAnsi="Arial" w:cs="Arial"/>
          <w:sz w:val="19"/>
          <w:szCs w:val="19"/>
        </w:rPr>
        <w:t>2</w:t>
      </w:r>
      <w:r w:rsidRPr="00832441">
        <w:rPr>
          <w:rFonts w:ascii="Arial" w:hAnsi="Arial" w:cs="Arial"/>
          <w:sz w:val="19"/>
          <w:szCs w:val="19"/>
        </w:rPr>
        <w:t>.2 (a)</w:t>
      </w:r>
      <w:r w:rsidR="00832441">
        <w:rPr>
          <w:rFonts w:ascii="Arial" w:hAnsi="Arial" w:cs="Arial"/>
          <w:sz w:val="19"/>
          <w:szCs w:val="19"/>
        </w:rPr>
        <w:t>:</w:t>
      </w:r>
      <w:r w:rsidRPr="00832441">
        <w:rPr>
          <w:rFonts w:ascii="Arial" w:hAnsi="Arial" w:cs="Arial"/>
          <w:sz w:val="19"/>
          <w:szCs w:val="19"/>
        </w:rPr>
        <w:t xml:space="preserve"> </w:t>
      </w:r>
      <w:r w:rsidR="00055584" w:rsidRPr="00832441">
        <w:rPr>
          <w:rFonts w:ascii="Arial" w:hAnsi="Arial" w:cs="Arial"/>
          <w:sz w:val="19"/>
          <w:szCs w:val="19"/>
        </w:rPr>
        <w:t>Daily hub offers</w:t>
      </w:r>
      <w:r w:rsidR="00781A4A" w:rsidRPr="00832441">
        <w:rPr>
          <w:rFonts w:ascii="Arial" w:hAnsi="Arial" w:cs="Arial"/>
          <w:sz w:val="19"/>
          <w:szCs w:val="19"/>
        </w:rPr>
        <w:t xml:space="preserve"> in price bands</w:t>
      </w:r>
      <w:r w:rsidR="00CD3544" w:rsidRPr="00832441">
        <w:rPr>
          <w:rFonts w:ascii="Arial" w:hAnsi="Arial" w:cs="Arial"/>
          <w:sz w:val="19"/>
          <w:szCs w:val="19"/>
        </w:rPr>
        <w:t xml:space="preserve"> </w:t>
      </w:r>
      <w:r w:rsidR="00587CD1" w:rsidRPr="00832441">
        <w:rPr>
          <w:rFonts w:ascii="Arial" w:hAnsi="Arial" w:cs="Arial"/>
          <w:sz w:val="19"/>
          <w:szCs w:val="19"/>
        </w:rPr>
        <w:t xml:space="preserve">($/GJ) </w:t>
      </w:r>
      <w:r w:rsidR="00781A4A" w:rsidRPr="00832441">
        <w:rPr>
          <w:rFonts w:ascii="Arial" w:hAnsi="Arial" w:cs="Arial"/>
          <w:sz w:val="19"/>
          <w:szCs w:val="19"/>
        </w:rPr>
        <w:t xml:space="preserve"> </w:t>
      </w:r>
      <w:r w:rsidRPr="00832441">
        <w:rPr>
          <w:rFonts w:ascii="Arial" w:hAnsi="Arial" w:cs="Arial"/>
          <w:sz w:val="19"/>
          <w:szCs w:val="19"/>
        </w:rPr>
        <w:t xml:space="preserve">   </w:t>
      </w:r>
      <w:r w:rsidR="00587CD1" w:rsidRPr="00832441">
        <w:rPr>
          <w:rFonts w:ascii="Arial" w:hAnsi="Arial" w:cs="Arial"/>
          <w:sz w:val="19"/>
          <w:szCs w:val="19"/>
        </w:rPr>
        <w:t xml:space="preserve">Figure </w:t>
      </w:r>
      <w:r w:rsidR="0002658A">
        <w:rPr>
          <w:rFonts w:ascii="Arial" w:hAnsi="Arial" w:cs="Arial"/>
          <w:sz w:val="19"/>
          <w:szCs w:val="19"/>
        </w:rPr>
        <w:t>2</w:t>
      </w:r>
      <w:r w:rsidR="00587CD1" w:rsidRPr="00832441">
        <w:rPr>
          <w:rFonts w:ascii="Arial" w:hAnsi="Arial" w:cs="Arial"/>
          <w:sz w:val="19"/>
          <w:szCs w:val="19"/>
        </w:rPr>
        <w:t>.2</w:t>
      </w:r>
      <w:r w:rsidR="0002658A">
        <w:rPr>
          <w:rFonts w:ascii="Arial" w:hAnsi="Arial" w:cs="Arial"/>
          <w:sz w:val="19"/>
          <w:szCs w:val="19"/>
        </w:rPr>
        <w:t xml:space="preserve"> </w:t>
      </w:r>
      <w:r w:rsidR="00781A4A" w:rsidRPr="00832441">
        <w:rPr>
          <w:rFonts w:ascii="Arial" w:hAnsi="Arial" w:cs="Arial"/>
          <w:sz w:val="19"/>
          <w:szCs w:val="19"/>
        </w:rPr>
        <w:t>(b)</w:t>
      </w:r>
      <w:r w:rsidR="00587CD1" w:rsidRPr="00832441">
        <w:rPr>
          <w:rFonts w:ascii="Arial" w:hAnsi="Arial" w:cs="Arial"/>
          <w:sz w:val="19"/>
          <w:szCs w:val="19"/>
        </w:rPr>
        <w:t>:</w:t>
      </w:r>
      <w:r w:rsidR="00781A4A" w:rsidRPr="00832441">
        <w:rPr>
          <w:rFonts w:ascii="Arial" w:hAnsi="Arial" w:cs="Arial"/>
          <w:sz w:val="19"/>
          <w:szCs w:val="19"/>
        </w:rPr>
        <w:t xml:space="preserve"> Daily hub b</w:t>
      </w:r>
      <w:r w:rsidRPr="00832441">
        <w:rPr>
          <w:rFonts w:ascii="Arial" w:hAnsi="Arial" w:cs="Arial"/>
          <w:sz w:val="19"/>
          <w:szCs w:val="19"/>
        </w:rPr>
        <w:t>i</w:t>
      </w:r>
      <w:r w:rsidR="00781A4A" w:rsidRPr="00832441">
        <w:rPr>
          <w:rFonts w:ascii="Arial" w:hAnsi="Arial" w:cs="Arial"/>
          <w:sz w:val="19"/>
          <w:szCs w:val="19"/>
        </w:rPr>
        <w:t xml:space="preserve">ds </w:t>
      </w:r>
      <w:r w:rsidR="00CD3544" w:rsidRPr="00832441">
        <w:rPr>
          <w:rFonts w:ascii="Arial" w:hAnsi="Arial" w:cs="Arial"/>
          <w:sz w:val="19"/>
          <w:szCs w:val="19"/>
        </w:rPr>
        <w:t>in</w:t>
      </w:r>
      <w:r w:rsidR="00055584" w:rsidRPr="00832441">
        <w:rPr>
          <w:rFonts w:ascii="Arial" w:hAnsi="Arial" w:cs="Arial"/>
          <w:sz w:val="19"/>
          <w:szCs w:val="19"/>
        </w:rPr>
        <w:t xml:space="preserve"> price bands ($/GJ)</w:t>
      </w:r>
    </w:p>
    <w:p w:rsidR="00055584" w:rsidRPr="00FC426D" w:rsidRDefault="00B11C10" w:rsidP="006C6D60">
      <w:pPr>
        <w:pStyle w:val="FigheadingA"/>
        <w:numPr>
          <w:ilvl w:val="0"/>
          <w:numId w:val="0"/>
        </w:numPr>
        <w:spacing w:before="120" w:after="0"/>
        <w:ind w:left="1134" w:hanging="1134"/>
        <w:jc w:val="center"/>
      </w:pPr>
      <w:r>
        <w:pict>
          <v:shape id="_x0000_i1032" type="#_x0000_t75" style="width:476.95pt;height:184.3pt">
            <v:imagedata r:id="rId18" o:title=""/>
          </v:shape>
        </w:pict>
      </w:r>
    </w:p>
    <w:p w:rsidR="008E2239" w:rsidRPr="00832441" w:rsidRDefault="003410C4" w:rsidP="0002658A">
      <w:pPr>
        <w:pStyle w:val="AERfigureheading"/>
        <w:numPr>
          <w:ilvl w:val="5"/>
          <w:numId w:val="16"/>
        </w:numPr>
        <w:rPr>
          <w:rFonts w:ascii="Arial" w:hAnsi="Arial" w:cs="Arial"/>
          <w:sz w:val="20"/>
          <w:szCs w:val="20"/>
        </w:rPr>
      </w:pPr>
      <w:r w:rsidRPr="00832441">
        <w:rPr>
          <w:rFonts w:ascii="Arial" w:hAnsi="Arial" w:cs="Arial"/>
          <w:sz w:val="20"/>
          <w:szCs w:val="20"/>
        </w:rPr>
        <w:t xml:space="preserve">SYD </w:t>
      </w:r>
      <w:r w:rsidR="00E52E2A" w:rsidRPr="00832441">
        <w:rPr>
          <w:rFonts w:ascii="Arial" w:hAnsi="Arial" w:cs="Arial"/>
          <w:sz w:val="20"/>
          <w:szCs w:val="20"/>
        </w:rPr>
        <w:t>net</w:t>
      </w:r>
      <w:r w:rsidR="00BA65E6" w:rsidRPr="00832441">
        <w:rPr>
          <w:rFonts w:ascii="Arial" w:hAnsi="Arial" w:cs="Arial"/>
          <w:sz w:val="20"/>
          <w:szCs w:val="20"/>
        </w:rPr>
        <w:t xml:space="preserve"> </w:t>
      </w:r>
      <w:r w:rsidR="005E4C48" w:rsidRPr="00832441">
        <w:rPr>
          <w:rFonts w:ascii="Arial" w:hAnsi="Arial" w:cs="Arial"/>
          <w:sz w:val="20"/>
          <w:szCs w:val="20"/>
        </w:rPr>
        <w:t>s</w:t>
      </w:r>
      <w:r w:rsidR="008E2239" w:rsidRPr="00832441">
        <w:rPr>
          <w:rFonts w:ascii="Arial" w:hAnsi="Arial" w:cs="Arial"/>
          <w:sz w:val="20"/>
          <w:szCs w:val="20"/>
        </w:rPr>
        <w:t xml:space="preserve">cheduled and </w:t>
      </w:r>
      <w:r w:rsidR="005E4C48" w:rsidRPr="00832441">
        <w:rPr>
          <w:rFonts w:ascii="Arial" w:hAnsi="Arial" w:cs="Arial"/>
          <w:sz w:val="20"/>
          <w:szCs w:val="20"/>
        </w:rPr>
        <w:t>a</w:t>
      </w:r>
      <w:r w:rsidR="008E2239" w:rsidRPr="00832441">
        <w:rPr>
          <w:rFonts w:ascii="Arial" w:hAnsi="Arial" w:cs="Arial"/>
          <w:sz w:val="20"/>
          <w:szCs w:val="20"/>
        </w:rPr>
        <w:t>llocated gas</w:t>
      </w:r>
      <w:r w:rsidR="005E4C48" w:rsidRPr="00832441">
        <w:rPr>
          <w:rFonts w:ascii="Arial" w:hAnsi="Arial" w:cs="Arial"/>
          <w:sz w:val="20"/>
          <w:szCs w:val="20"/>
        </w:rPr>
        <w:t xml:space="preserve"> volumes</w:t>
      </w:r>
      <w:r w:rsidR="008E2239" w:rsidRPr="00832441">
        <w:rPr>
          <w:rFonts w:ascii="Arial" w:hAnsi="Arial" w:cs="Arial"/>
          <w:sz w:val="20"/>
          <w:szCs w:val="20"/>
        </w:rPr>
        <w:t xml:space="preserve"> </w:t>
      </w:r>
      <w:r w:rsidR="00E52E2A" w:rsidRPr="00832441">
        <w:rPr>
          <w:rFonts w:ascii="Arial" w:hAnsi="Arial" w:cs="Arial"/>
          <w:sz w:val="20"/>
          <w:szCs w:val="20"/>
        </w:rPr>
        <w:t xml:space="preserve">(excluding MOS) </w:t>
      </w:r>
      <w:r w:rsidR="008E2239" w:rsidRPr="00832441">
        <w:rPr>
          <w:rFonts w:ascii="Arial" w:hAnsi="Arial" w:cs="Arial"/>
          <w:sz w:val="20"/>
          <w:szCs w:val="20"/>
        </w:rPr>
        <w:t xml:space="preserve">by </w:t>
      </w:r>
      <w:r w:rsidR="00BA65E6" w:rsidRPr="00832441">
        <w:rPr>
          <w:rFonts w:ascii="Arial" w:hAnsi="Arial" w:cs="Arial"/>
          <w:sz w:val="20"/>
          <w:szCs w:val="20"/>
        </w:rPr>
        <w:t>STTM facility</w:t>
      </w:r>
    </w:p>
    <w:p w:rsidR="008E2239" w:rsidRPr="002E2E46" w:rsidRDefault="00B11C10" w:rsidP="006C6D60">
      <w:pPr>
        <w:pStyle w:val="BodyText"/>
        <w:spacing w:before="120" w:after="0"/>
        <w:jc w:val="center"/>
      </w:pPr>
      <w:r>
        <w:pict>
          <v:shape id="_x0000_i1033" type="#_x0000_t75" style="width:474.6pt;height:199.3pt">
            <v:imagedata r:id="rId19" o:title=""/>
          </v:shape>
        </w:pict>
      </w:r>
    </w:p>
    <w:p w:rsidR="0045204B" w:rsidRPr="00582F1C" w:rsidRDefault="0045204B" w:rsidP="00832441">
      <w:pPr>
        <w:pStyle w:val="AERtableheading-unnumbered"/>
        <w:numPr>
          <w:ilvl w:val="0"/>
          <w:numId w:val="0"/>
        </w:numPr>
        <w:ind w:left="6379" w:right="-114" w:hanging="6379"/>
        <w:rPr>
          <w:rFonts w:ascii="Arial" w:hAnsi="Arial" w:cs="Arial"/>
          <w:sz w:val="20"/>
          <w:szCs w:val="20"/>
        </w:rPr>
      </w:pPr>
      <w:r w:rsidRPr="003A3DE7">
        <w:rPr>
          <w:rFonts w:ascii="Arial" w:hAnsi="Arial" w:cs="Arial"/>
          <w:sz w:val="20"/>
          <w:szCs w:val="20"/>
        </w:rPr>
        <w:t xml:space="preserve">Figure </w:t>
      </w:r>
      <w:r w:rsidR="0002658A">
        <w:rPr>
          <w:rFonts w:ascii="Arial" w:hAnsi="Arial" w:cs="Arial"/>
          <w:sz w:val="20"/>
          <w:szCs w:val="20"/>
        </w:rPr>
        <w:t>2</w:t>
      </w:r>
      <w:r w:rsidRPr="003A3DE7">
        <w:rPr>
          <w:rFonts w:ascii="Arial" w:hAnsi="Arial" w:cs="Arial"/>
          <w:sz w:val="20"/>
          <w:szCs w:val="20"/>
        </w:rPr>
        <w:t>.4 (a)</w:t>
      </w:r>
      <w:r w:rsidR="00832441">
        <w:rPr>
          <w:rFonts w:ascii="Arial" w:hAnsi="Arial" w:cs="Arial"/>
          <w:sz w:val="20"/>
          <w:szCs w:val="20"/>
        </w:rPr>
        <w:t>:</w:t>
      </w:r>
      <w:r w:rsidRPr="003A3DE7">
        <w:rPr>
          <w:rFonts w:ascii="Arial" w:hAnsi="Arial" w:cs="Arial"/>
          <w:sz w:val="20"/>
          <w:szCs w:val="20"/>
        </w:rPr>
        <w:t xml:space="preserve"> SYD</w:t>
      </w:r>
      <w:r w:rsidR="008936C5" w:rsidRPr="003A3DE7">
        <w:rPr>
          <w:rFonts w:ascii="Arial" w:hAnsi="Arial" w:cs="Arial"/>
          <w:sz w:val="20"/>
          <w:szCs w:val="20"/>
        </w:rPr>
        <w:t xml:space="preserve"> STTM MOS allocations (TJ)         </w:t>
      </w:r>
      <w:r w:rsidR="005865DB">
        <w:rPr>
          <w:rFonts w:ascii="Arial" w:hAnsi="Arial" w:cs="Arial"/>
          <w:sz w:val="20"/>
          <w:szCs w:val="20"/>
        </w:rPr>
        <w:t xml:space="preserve"> Figure </w:t>
      </w:r>
      <w:r w:rsidR="0002658A">
        <w:rPr>
          <w:rFonts w:ascii="Arial" w:hAnsi="Arial" w:cs="Arial"/>
          <w:sz w:val="20"/>
          <w:szCs w:val="20"/>
        </w:rPr>
        <w:t>2</w:t>
      </w:r>
      <w:r w:rsidRPr="003A3DE7">
        <w:rPr>
          <w:rFonts w:ascii="Arial" w:hAnsi="Arial" w:cs="Arial"/>
          <w:sz w:val="20"/>
          <w:szCs w:val="20"/>
        </w:rPr>
        <w:t>.4 (b): Service payments and commodity</w:t>
      </w:r>
      <w:r w:rsidR="00832441">
        <w:rPr>
          <w:rFonts w:ascii="Arial" w:hAnsi="Arial" w:cs="Arial"/>
          <w:color w:val="FFFFFF"/>
          <w:sz w:val="4"/>
          <w:szCs w:val="4"/>
        </w:rPr>
        <w:t xml:space="preserve"> </w:t>
      </w:r>
      <w:r w:rsidRPr="00582F1C">
        <w:rPr>
          <w:rFonts w:ascii="Arial" w:hAnsi="Arial" w:cs="Arial"/>
          <w:sz w:val="20"/>
          <w:szCs w:val="20"/>
        </w:rPr>
        <w:t>payments/charges ($000)</w:t>
      </w:r>
    </w:p>
    <w:p w:rsidR="009C30E2" w:rsidRPr="002E2E46" w:rsidRDefault="00B11C10" w:rsidP="006C6D60">
      <w:pPr>
        <w:jc w:val="center"/>
        <w:rPr>
          <w:color w:val="C0C0C0"/>
          <w:sz w:val="28"/>
          <w:szCs w:val="28"/>
        </w:rPr>
      </w:pPr>
      <w:r>
        <w:pict>
          <v:shape id="_x0000_i1034" type="#_x0000_t75" style="width:476.35pt;height:180.85pt">
            <v:imagedata r:id="rId20" o:title=""/>
          </v:shape>
        </w:pict>
      </w:r>
    </w:p>
    <w:p w:rsidR="00601C18" w:rsidRPr="00B66BAB" w:rsidRDefault="00502181" w:rsidP="00987973">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601C18" w:rsidRPr="00B66BAB">
        <w:rPr>
          <w:rFonts w:ascii="Times New Roman" w:hAnsi="Times New Roman" w:cs="Times New Roman"/>
          <w:sz w:val="28"/>
          <w:szCs w:val="28"/>
        </w:rPr>
        <w:t>Adelaide STTM</w:t>
      </w:r>
    </w:p>
    <w:p w:rsidR="0006609A" w:rsidRPr="0029244F" w:rsidRDefault="0006609A" w:rsidP="0006609A">
      <w:pPr>
        <w:pStyle w:val="AERbodytext"/>
      </w:pPr>
      <w:r>
        <w:t xml:space="preserve">The Adelaide STTM hub functions in the same way as the Sydney STTM hub.  The same data that was presented for the Sydney hub is presented for the Adelaide hub in the figures below. </w:t>
      </w:r>
    </w:p>
    <w:p w:rsidR="00B66BAB" w:rsidRPr="003C5272" w:rsidRDefault="003410C4" w:rsidP="00B66BAB">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ADL</w:t>
      </w:r>
      <w:r w:rsidRPr="003C5272">
        <w:rPr>
          <w:rFonts w:ascii="Arial" w:hAnsi="Arial" w:cs="Arial"/>
          <w:sz w:val="20"/>
          <w:szCs w:val="20"/>
        </w:rPr>
        <w:t xml:space="preserve"> </w:t>
      </w:r>
      <w:r w:rsidR="0006609A" w:rsidRPr="003C5272">
        <w:rPr>
          <w:rFonts w:ascii="Arial" w:hAnsi="Arial" w:cs="Arial"/>
          <w:sz w:val="20"/>
          <w:szCs w:val="20"/>
        </w:rPr>
        <w:t xml:space="preserve">STTM </w:t>
      </w:r>
      <w:r w:rsidR="00F77722">
        <w:rPr>
          <w:rFonts w:ascii="Arial" w:hAnsi="Arial" w:cs="Arial"/>
          <w:sz w:val="20"/>
          <w:szCs w:val="20"/>
        </w:rPr>
        <w:t>d</w:t>
      </w:r>
      <w:r w:rsidR="00B66BAB" w:rsidRPr="003C5272">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441BBF" w:rsidRPr="00B76529" w:rsidTr="002861A9">
        <w:trPr>
          <w:trHeight w:val="255"/>
        </w:trPr>
        <w:tc>
          <w:tcPr>
            <w:tcW w:w="2160" w:type="dxa"/>
            <w:noWrap/>
            <w:tcMar>
              <w:top w:w="0" w:type="dxa"/>
              <w:bottom w:w="0" w:type="dxa"/>
            </w:tcMar>
            <w:vAlign w:val="center"/>
          </w:tcPr>
          <w:p w:rsidR="00441BBF" w:rsidRPr="002861A9" w:rsidRDefault="00441BBF"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441BBF" w:rsidRDefault="00441BBF">
            <w:pPr>
              <w:jc w:val="center"/>
              <w:rPr>
                <w:rFonts w:ascii="Arial" w:hAnsi="Arial" w:cs="Arial"/>
                <w:sz w:val="20"/>
                <w:szCs w:val="20"/>
              </w:rPr>
            </w:pPr>
            <w:r>
              <w:rPr>
                <w:rFonts w:ascii="Arial" w:hAnsi="Arial" w:cs="Arial"/>
                <w:sz w:val="20"/>
                <w:szCs w:val="20"/>
              </w:rPr>
              <w:t>4.12</w:t>
            </w:r>
          </w:p>
        </w:tc>
        <w:tc>
          <w:tcPr>
            <w:tcW w:w="1029" w:type="dxa"/>
            <w:noWrap/>
            <w:tcMar>
              <w:top w:w="0" w:type="dxa"/>
              <w:bottom w:w="0" w:type="dxa"/>
            </w:tcMar>
            <w:vAlign w:val="center"/>
          </w:tcPr>
          <w:p w:rsidR="00441BBF" w:rsidRDefault="00441BBF">
            <w:pPr>
              <w:jc w:val="center"/>
              <w:rPr>
                <w:rFonts w:ascii="Arial" w:hAnsi="Arial" w:cs="Arial"/>
                <w:sz w:val="20"/>
                <w:szCs w:val="20"/>
              </w:rPr>
            </w:pPr>
            <w:r>
              <w:rPr>
                <w:rFonts w:ascii="Arial" w:hAnsi="Arial" w:cs="Arial"/>
                <w:sz w:val="20"/>
                <w:szCs w:val="20"/>
              </w:rPr>
              <w:t>4.56</w:t>
            </w:r>
          </w:p>
        </w:tc>
        <w:tc>
          <w:tcPr>
            <w:tcW w:w="1028" w:type="dxa"/>
            <w:noWrap/>
            <w:tcMar>
              <w:top w:w="0" w:type="dxa"/>
              <w:bottom w:w="0" w:type="dxa"/>
            </w:tcMar>
            <w:vAlign w:val="center"/>
          </w:tcPr>
          <w:p w:rsidR="00441BBF" w:rsidRDefault="00441BBF">
            <w:pPr>
              <w:jc w:val="center"/>
              <w:rPr>
                <w:rFonts w:ascii="Arial" w:hAnsi="Arial" w:cs="Arial"/>
                <w:sz w:val="20"/>
                <w:szCs w:val="20"/>
              </w:rPr>
            </w:pPr>
            <w:r>
              <w:rPr>
                <w:rFonts w:ascii="Arial" w:hAnsi="Arial" w:cs="Arial"/>
                <w:sz w:val="20"/>
                <w:szCs w:val="20"/>
              </w:rPr>
              <w:t>5.00</w:t>
            </w:r>
          </w:p>
        </w:tc>
        <w:tc>
          <w:tcPr>
            <w:tcW w:w="1029" w:type="dxa"/>
            <w:noWrap/>
            <w:tcMar>
              <w:top w:w="0" w:type="dxa"/>
              <w:bottom w:w="0" w:type="dxa"/>
            </w:tcMar>
            <w:vAlign w:val="center"/>
          </w:tcPr>
          <w:p w:rsidR="00441BBF" w:rsidRDefault="00441BBF">
            <w:pPr>
              <w:jc w:val="center"/>
              <w:rPr>
                <w:rFonts w:ascii="Arial" w:hAnsi="Arial" w:cs="Arial"/>
                <w:sz w:val="20"/>
                <w:szCs w:val="20"/>
              </w:rPr>
            </w:pPr>
            <w:r>
              <w:rPr>
                <w:rFonts w:ascii="Arial" w:hAnsi="Arial" w:cs="Arial"/>
                <w:sz w:val="20"/>
                <w:szCs w:val="20"/>
              </w:rPr>
              <w:t>5.80</w:t>
            </w:r>
          </w:p>
        </w:tc>
        <w:tc>
          <w:tcPr>
            <w:tcW w:w="1028" w:type="dxa"/>
            <w:noWrap/>
            <w:tcMar>
              <w:top w:w="0" w:type="dxa"/>
              <w:bottom w:w="0" w:type="dxa"/>
            </w:tcMar>
            <w:vAlign w:val="center"/>
          </w:tcPr>
          <w:p w:rsidR="00441BBF" w:rsidRDefault="00441BBF">
            <w:pPr>
              <w:jc w:val="center"/>
              <w:rPr>
                <w:rFonts w:ascii="Arial" w:hAnsi="Arial" w:cs="Arial"/>
                <w:sz w:val="20"/>
                <w:szCs w:val="20"/>
              </w:rPr>
            </w:pPr>
            <w:r>
              <w:rPr>
                <w:rFonts w:ascii="Arial" w:hAnsi="Arial" w:cs="Arial"/>
                <w:sz w:val="20"/>
                <w:szCs w:val="20"/>
              </w:rPr>
              <w:t>6.01</w:t>
            </w:r>
          </w:p>
        </w:tc>
        <w:tc>
          <w:tcPr>
            <w:tcW w:w="1029" w:type="dxa"/>
            <w:noWrap/>
            <w:tcMar>
              <w:top w:w="0" w:type="dxa"/>
              <w:bottom w:w="0" w:type="dxa"/>
            </w:tcMar>
            <w:vAlign w:val="center"/>
          </w:tcPr>
          <w:p w:rsidR="00441BBF" w:rsidRDefault="00441BBF">
            <w:pPr>
              <w:jc w:val="center"/>
              <w:rPr>
                <w:rFonts w:ascii="Arial" w:hAnsi="Arial" w:cs="Arial"/>
                <w:sz w:val="20"/>
                <w:szCs w:val="20"/>
              </w:rPr>
            </w:pPr>
            <w:r>
              <w:rPr>
                <w:rFonts w:ascii="Arial" w:hAnsi="Arial" w:cs="Arial"/>
                <w:sz w:val="20"/>
                <w:szCs w:val="20"/>
              </w:rPr>
              <w:t>6.20</w:t>
            </w:r>
          </w:p>
        </w:tc>
        <w:tc>
          <w:tcPr>
            <w:tcW w:w="1029" w:type="dxa"/>
            <w:noWrap/>
            <w:tcMar>
              <w:top w:w="0" w:type="dxa"/>
              <w:bottom w:w="0" w:type="dxa"/>
            </w:tcMar>
            <w:vAlign w:val="center"/>
          </w:tcPr>
          <w:p w:rsidR="00441BBF" w:rsidRDefault="00441BBF">
            <w:pPr>
              <w:jc w:val="center"/>
              <w:rPr>
                <w:rFonts w:ascii="Arial" w:hAnsi="Arial" w:cs="Arial"/>
                <w:sz w:val="20"/>
                <w:szCs w:val="20"/>
              </w:rPr>
            </w:pPr>
            <w:r>
              <w:rPr>
                <w:rFonts w:ascii="Arial" w:hAnsi="Arial" w:cs="Arial"/>
                <w:sz w:val="20"/>
                <w:szCs w:val="20"/>
              </w:rPr>
              <w:t>4.09</w:t>
            </w:r>
          </w:p>
        </w:tc>
      </w:tr>
      <w:tr w:rsidR="00441BBF" w:rsidRPr="00B76529" w:rsidTr="002861A9">
        <w:trPr>
          <w:trHeight w:val="255"/>
        </w:trPr>
        <w:tc>
          <w:tcPr>
            <w:tcW w:w="2160" w:type="dxa"/>
            <w:noWrap/>
            <w:tcMar>
              <w:top w:w="0" w:type="dxa"/>
              <w:bottom w:w="0" w:type="dxa"/>
            </w:tcMar>
            <w:vAlign w:val="center"/>
          </w:tcPr>
          <w:p w:rsidR="00441BBF" w:rsidRPr="002861A9" w:rsidRDefault="00441BBF"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441BBF" w:rsidRDefault="00441BBF">
            <w:pPr>
              <w:jc w:val="center"/>
              <w:rPr>
                <w:rFonts w:ascii="Arial" w:hAnsi="Arial" w:cs="Arial"/>
                <w:sz w:val="20"/>
                <w:szCs w:val="20"/>
              </w:rPr>
            </w:pPr>
            <w:r>
              <w:rPr>
                <w:rFonts w:ascii="Arial" w:hAnsi="Arial" w:cs="Arial"/>
                <w:sz w:val="20"/>
                <w:szCs w:val="20"/>
              </w:rPr>
              <w:t>39</w:t>
            </w:r>
          </w:p>
        </w:tc>
        <w:tc>
          <w:tcPr>
            <w:tcW w:w="1029" w:type="dxa"/>
            <w:noWrap/>
            <w:tcMar>
              <w:top w:w="0" w:type="dxa"/>
              <w:bottom w:w="0" w:type="dxa"/>
            </w:tcMar>
            <w:vAlign w:val="center"/>
          </w:tcPr>
          <w:p w:rsidR="00441BBF" w:rsidRDefault="00441BBF">
            <w:pPr>
              <w:jc w:val="center"/>
              <w:rPr>
                <w:rFonts w:ascii="Arial" w:hAnsi="Arial" w:cs="Arial"/>
                <w:sz w:val="20"/>
                <w:szCs w:val="20"/>
              </w:rPr>
            </w:pPr>
            <w:r>
              <w:rPr>
                <w:rFonts w:ascii="Arial" w:hAnsi="Arial" w:cs="Arial"/>
                <w:sz w:val="20"/>
                <w:szCs w:val="20"/>
              </w:rPr>
              <w:t>55</w:t>
            </w:r>
          </w:p>
        </w:tc>
        <w:tc>
          <w:tcPr>
            <w:tcW w:w="1028" w:type="dxa"/>
            <w:noWrap/>
            <w:tcMar>
              <w:top w:w="0" w:type="dxa"/>
              <w:bottom w:w="0" w:type="dxa"/>
            </w:tcMar>
            <w:vAlign w:val="center"/>
          </w:tcPr>
          <w:p w:rsidR="00441BBF" w:rsidRDefault="00441BBF">
            <w:pPr>
              <w:jc w:val="center"/>
              <w:rPr>
                <w:rFonts w:ascii="Arial" w:hAnsi="Arial" w:cs="Arial"/>
                <w:sz w:val="20"/>
                <w:szCs w:val="20"/>
              </w:rPr>
            </w:pPr>
            <w:r>
              <w:rPr>
                <w:rFonts w:ascii="Arial" w:hAnsi="Arial" w:cs="Arial"/>
                <w:sz w:val="20"/>
                <w:szCs w:val="20"/>
              </w:rPr>
              <w:t>58</w:t>
            </w:r>
          </w:p>
        </w:tc>
        <w:tc>
          <w:tcPr>
            <w:tcW w:w="1029" w:type="dxa"/>
            <w:noWrap/>
            <w:tcMar>
              <w:top w:w="0" w:type="dxa"/>
              <w:bottom w:w="0" w:type="dxa"/>
            </w:tcMar>
            <w:vAlign w:val="center"/>
          </w:tcPr>
          <w:p w:rsidR="00441BBF" w:rsidRDefault="00441BBF">
            <w:pPr>
              <w:jc w:val="center"/>
              <w:rPr>
                <w:rFonts w:ascii="Arial" w:hAnsi="Arial" w:cs="Arial"/>
                <w:sz w:val="20"/>
                <w:szCs w:val="20"/>
              </w:rPr>
            </w:pPr>
            <w:r>
              <w:rPr>
                <w:rFonts w:ascii="Arial" w:hAnsi="Arial" w:cs="Arial"/>
                <w:sz w:val="20"/>
                <w:szCs w:val="20"/>
              </w:rPr>
              <w:t>57</w:t>
            </w:r>
          </w:p>
        </w:tc>
        <w:tc>
          <w:tcPr>
            <w:tcW w:w="1028" w:type="dxa"/>
            <w:noWrap/>
            <w:tcMar>
              <w:top w:w="0" w:type="dxa"/>
              <w:bottom w:w="0" w:type="dxa"/>
            </w:tcMar>
            <w:vAlign w:val="center"/>
          </w:tcPr>
          <w:p w:rsidR="00441BBF" w:rsidRDefault="00441BBF">
            <w:pPr>
              <w:jc w:val="center"/>
              <w:rPr>
                <w:rFonts w:ascii="Arial" w:hAnsi="Arial" w:cs="Arial"/>
                <w:sz w:val="20"/>
                <w:szCs w:val="20"/>
              </w:rPr>
            </w:pPr>
            <w:r>
              <w:rPr>
                <w:rFonts w:ascii="Arial" w:hAnsi="Arial" w:cs="Arial"/>
                <w:sz w:val="20"/>
                <w:szCs w:val="20"/>
              </w:rPr>
              <w:t>60</w:t>
            </w:r>
          </w:p>
        </w:tc>
        <w:tc>
          <w:tcPr>
            <w:tcW w:w="1029" w:type="dxa"/>
            <w:noWrap/>
            <w:tcMar>
              <w:top w:w="0" w:type="dxa"/>
              <w:bottom w:w="0" w:type="dxa"/>
            </w:tcMar>
            <w:vAlign w:val="center"/>
          </w:tcPr>
          <w:p w:rsidR="00441BBF" w:rsidRDefault="00441BBF">
            <w:pPr>
              <w:jc w:val="center"/>
              <w:rPr>
                <w:rFonts w:ascii="Arial" w:hAnsi="Arial" w:cs="Arial"/>
                <w:sz w:val="20"/>
                <w:szCs w:val="20"/>
              </w:rPr>
            </w:pPr>
            <w:r>
              <w:rPr>
                <w:rFonts w:ascii="Arial" w:hAnsi="Arial" w:cs="Arial"/>
                <w:sz w:val="20"/>
                <w:szCs w:val="20"/>
              </w:rPr>
              <w:t>31</w:t>
            </w:r>
          </w:p>
        </w:tc>
        <w:tc>
          <w:tcPr>
            <w:tcW w:w="1029" w:type="dxa"/>
            <w:noWrap/>
            <w:tcMar>
              <w:top w:w="0" w:type="dxa"/>
              <w:bottom w:w="0" w:type="dxa"/>
            </w:tcMar>
            <w:vAlign w:val="center"/>
          </w:tcPr>
          <w:p w:rsidR="00441BBF" w:rsidRDefault="00441BBF">
            <w:pPr>
              <w:jc w:val="center"/>
              <w:rPr>
                <w:rFonts w:ascii="Arial" w:hAnsi="Arial" w:cs="Arial"/>
                <w:sz w:val="20"/>
                <w:szCs w:val="20"/>
              </w:rPr>
            </w:pPr>
            <w:r>
              <w:rPr>
                <w:rFonts w:ascii="Arial" w:hAnsi="Arial" w:cs="Arial"/>
                <w:sz w:val="20"/>
                <w:szCs w:val="20"/>
              </w:rPr>
              <w:t>30</w:t>
            </w:r>
          </w:p>
        </w:tc>
      </w:tr>
      <w:tr w:rsidR="00441BBF" w:rsidRPr="00B76529" w:rsidTr="002861A9">
        <w:trPr>
          <w:trHeight w:val="255"/>
        </w:trPr>
        <w:tc>
          <w:tcPr>
            <w:tcW w:w="2160" w:type="dxa"/>
            <w:noWrap/>
            <w:tcMar>
              <w:top w:w="0" w:type="dxa"/>
              <w:bottom w:w="0" w:type="dxa"/>
            </w:tcMar>
            <w:vAlign w:val="center"/>
          </w:tcPr>
          <w:p w:rsidR="00441BBF" w:rsidRPr="002861A9" w:rsidRDefault="00441BBF"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441BBF" w:rsidRDefault="00441BBF">
            <w:pPr>
              <w:jc w:val="center"/>
              <w:rPr>
                <w:rFonts w:ascii="Arial" w:hAnsi="Arial" w:cs="Arial"/>
                <w:sz w:val="20"/>
                <w:szCs w:val="20"/>
              </w:rPr>
            </w:pPr>
            <w:r>
              <w:rPr>
                <w:rFonts w:ascii="Arial" w:hAnsi="Arial" w:cs="Arial"/>
                <w:sz w:val="20"/>
                <w:szCs w:val="20"/>
              </w:rPr>
              <w:t>4.12</w:t>
            </w:r>
          </w:p>
        </w:tc>
        <w:tc>
          <w:tcPr>
            <w:tcW w:w="1029" w:type="dxa"/>
            <w:noWrap/>
            <w:tcMar>
              <w:top w:w="0" w:type="dxa"/>
              <w:bottom w:w="0" w:type="dxa"/>
            </w:tcMar>
            <w:vAlign w:val="center"/>
          </w:tcPr>
          <w:p w:rsidR="00441BBF" w:rsidRDefault="00441BBF">
            <w:pPr>
              <w:jc w:val="center"/>
              <w:rPr>
                <w:rFonts w:ascii="Arial" w:hAnsi="Arial" w:cs="Arial"/>
                <w:sz w:val="20"/>
                <w:szCs w:val="20"/>
              </w:rPr>
            </w:pPr>
            <w:r>
              <w:rPr>
                <w:rFonts w:ascii="Arial" w:hAnsi="Arial" w:cs="Arial"/>
                <w:sz w:val="20"/>
                <w:szCs w:val="20"/>
              </w:rPr>
              <w:t>4.56</w:t>
            </w:r>
          </w:p>
        </w:tc>
        <w:tc>
          <w:tcPr>
            <w:tcW w:w="1028" w:type="dxa"/>
            <w:noWrap/>
            <w:tcMar>
              <w:top w:w="0" w:type="dxa"/>
              <w:bottom w:w="0" w:type="dxa"/>
            </w:tcMar>
            <w:vAlign w:val="center"/>
          </w:tcPr>
          <w:p w:rsidR="00441BBF" w:rsidRDefault="00441BBF">
            <w:pPr>
              <w:jc w:val="center"/>
              <w:rPr>
                <w:rFonts w:ascii="Arial" w:hAnsi="Arial" w:cs="Arial"/>
                <w:sz w:val="20"/>
                <w:szCs w:val="20"/>
              </w:rPr>
            </w:pPr>
            <w:r>
              <w:rPr>
                <w:rFonts w:ascii="Arial" w:hAnsi="Arial" w:cs="Arial"/>
                <w:sz w:val="20"/>
                <w:szCs w:val="20"/>
              </w:rPr>
              <w:t>5.00</w:t>
            </w:r>
          </w:p>
        </w:tc>
        <w:tc>
          <w:tcPr>
            <w:tcW w:w="1029" w:type="dxa"/>
            <w:noWrap/>
            <w:tcMar>
              <w:top w:w="0" w:type="dxa"/>
              <w:bottom w:w="0" w:type="dxa"/>
            </w:tcMar>
            <w:vAlign w:val="center"/>
          </w:tcPr>
          <w:p w:rsidR="00441BBF" w:rsidRDefault="00441BBF">
            <w:pPr>
              <w:jc w:val="center"/>
              <w:rPr>
                <w:rFonts w:ascii="Arial" w:hAnsi="Arial" w:cs="Arial"/>
                <w:sz w:val="20"/>
                <w:szCs w:val="20"/>
              </w:rPr>
            </w:pPr>
            <w:r>
              <w:rPr>
                <w:rFonts w:ascii="Arial" w:hAnsi="Arial" w:cs="Arial"/>
                <w:sz w:val="20"/>
                <w:szCs w:val="20"/>
              </w:rPr>
              <w:t>5.67</w:t>
            </w:r>
          </w:p>
        </w:tc>
        <w:tc>
          <w:tcPr>
            <w:tcW w:w="1028" w:type="dxa"/>
            <w:noWrap/>
            <w:tcMar>
              <w:top w:w="0" w:type="dxa"/>
              <w:bottom w:w="0" w:type="dxa"/>
            </w:tcMar>
            <w:vAlign w:val="center"/>
          </w:tcPr>
          <w:p w:rsidR="00441BBF" w:rsidRDefault="00441BBF">
            <w:pPr>
              <w:jc w:val="center"/>
              <w:rPr>
                <w:rFonts w:ascii="Arial" w:hAnsi="Arial" w:cs="Arial"/>
                <w:sz w:val="20"/>
                <w:szCs w:val="20"/>
              </w:rPr>
            </w:pPr>
            <w:r>
              <w:rPr>
                <w:rFonts w:ascii="Arial" w:hAnsi="Arial" w:cs="Arial"/>
                <w:sz w:val="20"/>
                <w:szCs w:val="20"/>
              </w:rPr>
              <w:t>4.64</w:t>
            </w:r>
          </w:p>
        </w:tc>
        <w:tc>
          <w:tcPr>
            <w:tcW w:w="1029" w:type="dxa"/>
            <w:noWrap/>
            <w:tcMar>
              <w:top w:w="0" w:type="dxa"/>
              <w:bottom w:w="0" w:type="dxa"/>
            </w:tcMar>
            <w:vAlign w:val="center"/>
          </w:tcPr>
          <w:p w:rsidR="00441BBF" w:rsidRDefault="00441BBF">
            <w:pPr>
              <w:jc w:val="center"/>
              <w:rPr>
                <w:rFonts w:ascii="Arial" w:hAnsi="Arial" w:cs="Arial"/>
                <w:sz w:val="20"/>
                <w:szCs w:val="20"/>
              </w:rPr>
            </w:pPr>
            <w:r>
              <w:rPr>
                <w:rFonts w:ascii="Arial" w:hAnsi="Arial" w:cs="Arial"/>
                <w:sz w:val="20"/>
                <w:szCs w:val="20"/>
              </w:rPr>
              <w:t>6.20</w:t>
            </w:r>
          </w:p>
        </w:tc>
        <w:tc>
          <w:tcPr>
            <w:tcW w:w="1029" w:type="dxa"/>
            <w:noWrap/>
            <w:tcMar>
              <w:top w:w="0" w:type="dxa"/>
              <w:bottom w:w="0" w:type="dxa"/>
            </w:tcMar>
            <w:vAlign w:val="center"/>
          </w:tcPr>
          <w:p w:rsidR="00441BBF" w:rsidRDefault="00441BBF">
            <w:pPr>
              <w:jc w:val="center"/>
              <w:rPr>
                <w:rFonts w:ascii="Arial" w:hAnsi="Arial" w:cs="Arial"/>
                <w:sz w:val="20"/>
                <w:szCs w:val="20"/>
              </w:rPr>
            </w:pPr>
            <w:r>
              <w:rPr>
                <w:rFonts w:ascii="Arial" w:hAnsi="Arial" w:cs="Arial"/>
                <w:sz w:val="20"/>
                <w:szCs w:val="20"/>
              </w:rPr>
              <w:t>4.49</w:t>
            </w:r>
          </w:p>
        </w:tc>
      </w:tr>
      <w:tr w:rsidR="00441BBF" w:rsidRPr="00B76529" w:rsidTr="002861A9">
        <w:trPr>
          <w:trHeight w:val="255"/>
        </w:trPr>
        <w:tc>
          <w:tcPr>
            <w:tcW w:w="2160" w:type="dxa"/>
            <w:noWrap/>
            <w:tcMar>
              <w:top w:w="0" w:type="dxa"/>
              <w:bottom w:w="0" w:type="dxa"/>
            </w:tcMar>
            <w:vAlign w:val="center"/>
          </w:tcPr>
          <w:p w:rsidR="00441BBF" w:rsidRPr="002861A9" w:rsidRDefault="00441BBF" w:rsidP="002861A9">
            <w:pPr>
              <w:keepNext/>
              <w:spacing w:before="40" w:after="40"/>
              <w:rPr>
                <w:rFonts w:ascii="Arial" w:hAnsi="Arial" w:cs="Arial"/>
                <w:sz w:val="20"/>
                <w:szCs w:val="20"/>
              </w:rPr>
            </w:pPr>
            <w:r w:rsidRPr="002861A9">
              <w:rPr>
                <w:rFonts w:ascii="Arial" w:hAnsi="Arial" w:cs="Arial"/>
                <w:sz w:val="20"/>
                <w:szCs w:val="20"/>
              </w:rPr>
              <w:t>Ex Post quantity (TJ)</w:t>
            </w:r>
          </w:p>
        </w:tc>
        <w:tc>
          <w:tcPr>
            <w:tcW w:w="1028" w:type="dxa"/>
            <w:noWrap/>
            <w:tcMar>
              <w:top w:w="0" w:type="dxa"/>
              <w:bottom w:w="0" w:type="dxa"/>
            </w:tcMar>
            <w:vAlign w:val="center"/>
          </w:tcPr>
          <w:p w:rsidR="00441BBF" w:rsidRDefault="00441BBF">
            <w:pPr>
              <w:jc w:val="center"/>
              <w:rPr>
                <w:rFonts w:ascii="Arial" w:hAnsi="Arial" w:cs="Arial"/>
                <w:sz w:val="20"/>
                <w:szCs w:val="20"/>
              </w:rPr>
            </w:pPr>
            <w:r>
              <w:rPr>
                <w:rFonts w:ascii="Arial" w:hAnsi="Arial" w:cs="Arial"/>
                <w:sz w:val="20"/>
                <w:szCs w:val="20"/>
              </w:rPr>
              <w:t>40</w:t>
            </w:r>
          </w:p>
        </w:tc>
        <w:tc>
          <w:tcPr>
            <w:tcW w:w="1029" w:type="dxa"/>
            <w:noWrap/>
            <w:tcMar>
              <w:top w:w="0" w:type="dxa"/>
              <w:bottom w:w="0" w:type="dxa"/>
            </w:tcMar>
            <w:vAlign w:val="center"/>
          </w:tcPr>
          <w:p w:rsidR="00441BBF" w:rsidRDefault="00441BBF">
            <w:pPr>
              <w:jc w:val="center"/>
              <w:rPr>
                <w:rFonts w:ascii="Arial" w:hAnsi="Arial" w:cs="Arial"/>
                <w:sz w:val="20"/>
                <w:szCs w:val="20"/>
              </w:rPr>
            </w:pPr>
            <w:r>
              <w:rPr>
                <w:rFonts w:ascii="Arial" w:hAnsi="Arial" w:cs="Arial"/>
                <w:sz w:val="20"/>
                <w:szCs w:val="20"/>
              </w:rPr>
              <w:t>55</w:t>
            </w:r>
          </w:p>
        </w:tc>
        <w:tc>
          <w:tcPr>
            <w:tcW w:w="1028" w:type="dxa"/>
            <w:noWrap/>
            <w:tcMar>
              <w:top w:w="0" w:type="dxa"/>
              <w:bottom w:w="0" w:type="dxa"/>
            </w:tcMar>
            <w:vAlign w:val="center"/>
          </w:tcPr>
          <w:p w:rsidR="00441BBF" w:rsidRDefault="00441BBF">
            <w:pPr>
              <w:jc w:val="center"/>
              <w:rPr>
                <w:rFonts w:ascii="Arial" w:hAnsi="Arial" w:cs="Arial"/>
                <w:sz w:val="20"/>
                <w:szCs w:val="20"/>
              </w:rPr>
            </w:pPr>
            <w:r>
              <w:rPr>
                <w:rFonts w:ascii="Arial" w:hAnsi="Arial" w:cs="Arial"/>
                <w:sz w:val="20"/>
                <w:szCs w:val="20"/>
              </w:rPr>
              <w:t>60</w:t>
            </w:r>
          </w:p>
        </w:tc>
        <w:tc>
          <w:tcPr>
            <w:tcW w:w="1029" w:type="dxa"/>
            <w:noWrap/>
            <w:tcMar>
              <w:top w:w="0" w:type="dxa"/>
              <w:bottom w:w="0" w:type="dxa"/>
            </w:tcMar>
            <w:vAlign w:val="center"/>
          </w:tcPr>
          <w:p w:rsidR="00441BBF" w:rsidRDefault="00441BBF">
            <w:pPr>
              <w:jc w:val="center"/>
              <w:rPr>
                <w:rFonts w:ascii="Arial" w:hAnsi="Arial" w:cs="Arial"/>
                <w:sz w:val="20"/>
                <w:szCs w:val="20"/>
              </w:rPr>
            </w:pPr>
            <w:r>
              <w:rPr>
                <w:rFonts w:ascii="Arial" w:hAnsi="Arial" w:cs="Arial"/>
                <w:sz w:val="20"/>
                <w:szCs w:val="20"/>
              </w:rPr>
              <w:t>56</w:t>
            </w:r>
          </w:p>
        </w:tc>
        <w:tc>
          <w:tcPr>
            <w:tcW w:w="1028" w:type="dxa"/>
            <w:noWrap/>
            <w:tcMar>
              <w:top w:w="0" w:type="dxa"/>
              <w:bottom w:w="0" w:type="dxa"/>
            </w:tcMar>
            <w:vAlign w:val="center"/>
          </w:tcPr>
          <w:p w:rsidR="00441BBF" w:rsidRDefault="00441BBF">
            <w:pPr>
              <w:jc w:val="center"/>
              <w:rPr>
                <w:rFonts w:ascii="Arial" w:hAnsi="Arial" w:cs="Arial"/>
                <w:sz w:val="20"/>
                <w:szCs w:val="20"/>
              </w:rPr>
            </w:pPr>
            <w:r>
              <w:rPr>
                <w:rFonts w:ascii="Arial" w:hAnsi="Arial" w:cs="Arial"/>
                <w:sz w:val="20"/>
                <w:szCs w:val="20"/>
              </w:rPr>
              <w:t>44</w:t>
            </w:r>
          </w:p>
        </w:tc>
        <w:tc>
          <w:tcPr>
            <w:tcW w:w="1029" w:type="dxa"/>
            <w:noWrap/>
            <w:tcMar>
              <w:top w:w="0" w:type="dxa"/>
              <w:bottom w:w="0" w:type="dxa"/>
            </w:tcMar>
            <w:vAlign w:val="center"/>
          </w:tcPr>
          <w:p w:rsidR="00441BBF" w:rsidRDefault="00441BBF">
            <w:pPr>
              <w:jc w:val="center"/>
              <w:rPr>
                <w:rFonts w:ascii="Arial" w:hAnsi="Arial" w:cs="Arial"/>
                <w:sz w:val="20"/>
                <w:szCs w:val="20"/>
              </w:rPr>
            </w:pPr>
            <w:r>
              <w:rPr>
                <w:rFonts w:ascii="Arial" w:hAnsi="Arial" w:cs="Arial"/>
                <w:sz w:val="20"/>
                <w:szCs w:val="20"/>
              </w:rPr>
              <w:t>32</w:t>
            </w:r>
          </w:p>
        </w:tc>
        <w:tc>
          <w:tcPr>
            <w:tcW w:w="1029" w:type="dxa"/>
            <w:noWrap/>
            <w:tcMar>
              <w:top w:w="0" w:type="dxa"/>
              <w:bottom w:w="0" w:type="dxa"/>
            </w:tcMar>
            <w:vAlign w:val="center"/>
          </w:tcPr>
          <w:p w:rsidR="00441BBF" w:rsidRDefault="00441BBF">
            <w:pPr>
              <w:jc w:val="center"/>
              <w:rPr>
                <w:rFonts w:ascii="Arial" w:hAnsi="Arial" w:cs="Arial"/>
                <w:sz w:val="20"/>
                <w:szCs w:val="20"/>
              </w:rPr>
            </w:pPr>
            <w:r>
              <w:rPr>
                <w:rFonts w:ascii="Arial" w:hAnsi="Arial" w:cs="Arial"/>
                <w:sz w:val="20"/>
                <w:szCs w:val="20"/>
              </w:rPr>
              <w:t>33</w:t>
            </w:r>
          </w:p>
        </w:tc>
      </w:tr>
    </w:tbl>
    <w:p w:rsidR="00157AFD" w:rsidRPr="00832441" w:rsidRDefault="00157AFD" w:rsidP="00157AFD">
      <w:pPr>
        <w:pStyle w:val="AERtableheading-unnumbered"/>
        <w:numPr>
          <w:ilvl w:val="0"/>
          <w:numId w:val="0"/>
        </w:numPr>
        <w:rPr>
          <w:rFonts w:ascii="Arial" w:hAnsi="Arial" w:cs="Arial"/>
          <w:sz w:val="19"/>
          <w:szCs w:val="19"/>
        </w:rPr>
      </w:pPr>
      <w:r w:rsidRPr="00832441">
        <w:rPr>
          <w:rFonts w:ascii="Arial" w:hAnsi="Arial" w:cs="Arial"/>
          <w:sz w:val="19"/>
          <w:szCs w:val="19"/>
        </w:rPr>
        <w:t xml:space="preserve">Figure </w:t>
      </w:r>
      <w:r w:rsidR="0002658A">
        <w:rPr>
          <w:rFonts w:ascii="Arial" w:hAnsi="Arial" w:cs="Arial"/>
          <w:sz w:val="19"/>
          <w:szCs w:val="19"/>
        </w:rPr>
        <w:t>3</w:t>
      </w:r>
      <w:r w:rsidRPr="00832441">
        <w:rPr>
          <w:rFonts w:ascii="Arial" w:hAnsi="Arial" w:cs="Arial"/>
          <w:sz w:val="19"/>
          <w:szCs w:val="19"/>
        </w:rPr>
        <w:t>.2 (a)</w:t>
      </w:r>
      <w:r w:rsidR="00832441">
        <w:rPr>
          <w:rFonts w:ascii="Arial" w:hAnsi="Arial" w:cs="Arial"/>
          <w:sz w:val="19"/>
          <w:szCs w:val="19"/>
        </w:rPr>
        <w:t>:</w:t>
      </w:r>
      <w:r w:rsidRPr="00832441">
        <w:rPr>
          <w:rFonts w:ascii="Arial" w:hAnsi="Arial" w:cs="Arial"/>
          <w:sz w:val="19"/>
          <w:szCs w:val="19"/>
        </w:rPr>
        <w:t xml:space="preserve"> Daily hub offers in price bands ($/GJ)     Figure </w:t>
      </w:r>
      <w:r w:rsidR="0002658A">
        <w:rPr>
          <w:rFonts w:ascii="Arial" w:hAnsi="Arial" w:cs="Arial"/>
          <w:sz w:val="19"/>
          <w:szCs w:val="19"/>
        </w:rPr>
        <w:t>3</w:t>
      </w:r>
      <w:r w:rsidRPr="00832441">
        <w:rPr>
          <w:rFonts w:ascii="Arial" w:hAnsi="Arial" w:cs="Arial"/>
          <w:sz w:val="19"/>
          <w:szCs w:val="19"/>
        </w:rPr>
        <w:t>.2</w:t>
      </w:r>
      <w:r w:rsidR="0002658A">
        <w:rPr>
          <w:rFonts w:ascii="Arial" w:hAnsi="Arial" w:cs="Arial"/>
          <w:sz w:val="19"/>
          <w:szCs w:val="19"/>
        </w:rPr>
        <w:t xml:space="preserve"> </w:t>
      </w:r>
      <w:r w:rsidRPr="00832441">
        <w:rPr>
          <w:rFonts w:ascii="Arial" w:hAnsi="Arial" w:cs="Arial"/>
          <w:sz w:val="19"/>
          <w:szCs w:val="19"/>
        </w:rPr>
        <w:t>(b): Daily hub bids in price bands ($/GJ)</w:t>
      </w:r>
    </w:p>
    <w:p w:rsidR="00B66BAB" w:rsidRPr="00FC426D" w:rsidRDefault="00B11C10" w:rsidP="00B66BAB">
      <w:pPr>
        <w:pStyle w:val="FigheadingA"/>
        <w:numPr>
          <w:ilvl w:val="0"/>
          <w:numId w:val="0"/>
        </w:numPr>
        <w:spacing w:before="120" w:after="0"/>
        <w:ind w:left="1134" w:hanging="1134"/>
        <w:jc w:val="center"/>
      </w:pPr>
      <w:r>
        <w:pict>
          <v:shape id="_x0000_i1035" type="#_x0000_t75" style="width:476.95pt;height:185.45pt">
            <v:imagedata r:id="rId21" o:title=""/>
          </v:shape>
        </w:pict>
      </w:r>
    </w:p>
    <w:p w:rsidR="00B66BAB" w:rsidRPr="003A3DE7" w:rsidRDefault="00E52E2A" w:rsidP="0002658A">
      <w:pPr>
        <w:pStyle w:val="AERfigureheading"/>
        <w:numPr>
          <w:ilvl w:val="5"/>
          <w:numId w:val="14"/>
        </w:numPr>
        <w:tabs>
          <w:tab w:val="clear" w:pos="1361"/>
          <w:tab w:val="num" w:pos="1260"/>
        </w:tabs>
        <w:rPr>
          <w:rFonts w:ascii="Arial" w:hAnsi="Arial" w:cs="Arial"/>
          <w:sz w:val="20"/>
          <w:szCs w:val="20"/>
        </w:rPr>
      </w:pPr>
      <w:r w:rsidRPr="003A3DE7">
        <w:rPr>
          <w:rFonts w:ascii="Arial" w:hAnsi="Arial" w:cs="Arial"/>
          <w:sz w:val="20"/>
          <w:szCs w:val="20"/>
        </w:rPr>
        <w:t>ADL net scheduled and allocated gas volumes (excluding MOS) by STTM facility</w:t>
      </w:r>
    </w:p>
    <w:p w:rsidR="00B66BAB" w:rsidRPr="002E2E46" w:rsidRDefault="00B11C10" w:rsidP="00B66BAB">
      <w:pPr>
        <w:pStyle w:val="BodyText"/>
        <w:spacing w:before="120" w:after="0"/>
        <w:jc w:val="center"/>
      </w:pPr>
      <w:r>
        <w:pict>
          <v:shape id="_x0000_i1036" type="#_x0000_t75" style="width:474.6pt;height:139.4pt;mso-position-vertical:absolute">
            <v:imagedata r:id="rId22" o:title=""/>
          </v:shape>
        </w:pict>
      </w:r>
    </w:p>
    <w:p w:rsidR="00157AFD" w:rsidRPr="00582F1C" w:rsidRDefault="00157AFD" w:rsidP="00832441">
      <w:pPr>
        <w:pStyle w:val="AERtableheading-unnumbered"/>
        <w:numPr>
          <w:ilvl w:val="0"/>
          <w:numId w:val="0"/>
        </w:numPr>
        <w:spacing w:before="120"/>
        <w:ind w:left="6379" w:right="-114" w:hanging="6379"/>
        <w:rPr>
          <w:rFonts w:ascii="Arial" w:hAnsi="Arial" w:cs="Arial"/>
          <w:sz w:val="20"/>
          <w:szCs w:val="20"/>
        </w:rPr>
      </w:pPr>
      <w:r w:rsidRPr="003A3DE7">
        <w:rPr>
          <w:rFonts w:ascii="Arial" w:hAnsi="Arial" w:cs="Arial"/>
          <w:sz w:val="20"/>
          <w:szCs w:val="20"/>
        </w:rPr>
        <w:t xml:space="preserve">Figure </w:t>
      </w:r>
      <w:r w:rsidR="0002658A">
        <w:rPr>
          <w:rFonts w:ascii="Arial" w:hAnsi="Arial" w:cs="Arial"/>
          <w:sz w:val="20"/>
          <w:szCs w:val="20"/>
        </w:rPr>
        <w:t>3</w:t>
      </w:r>
      <w:r w:rsidR="005862F5">
        <w:rPr>
          <w:rFonts w:ascii="Arial" w:hAnsi="Arial" w:cs="Arial"/>
          <w:sz w:val="20"/>
          <w:szCs w:val="20"/>
        </w:rPr>
        <w:t>.</w:t>
      </w:r>
      <w:r w:rsidRPr="003A3DE7">
        <w:rPr>
          <w:rFonts w:ascii="Arial" w:hAnsi="Arial" w:cs="Arial"/>
          <w:sz w:val="20"/>
          <w:szCs w:val="20"/>
        </w:rPr>
        <w:t>4 (a)</w:t>
      </w:r>
      <w:r w:rsidR="00832441">
        <w:rPr>
          <w:rFonts w:ascii="Arial" w:hAnsi="Arial" w:cs="Arial"/>
          <w:sz w:val="20"/>
          <w:szCs w:val="20"/>
        </w:rPr>
        <w:t>:</w:t>
      </w:r>
      <w:r w:rsidRPr="003A3DE7">
        <w:rPr>
          <w:rFonts w:ascii="Arial" w:hAnsi="Arial" w:cs="Arial"/>
          <w:sz w:val="20"/>
          <w:szCs w:val="20"/>
        </w:rPr>
        <w:t xml:space="preserve"> ADL </w:t>
      </w:r>
      <w:r w:rsidR="005C68CE" w:rsidRPr="003A3DE7">
        <w:rPr>
          <w:rFonts w:ascii="Arial" w:hAnsi="Arial" w:cs="Arial"/>
          <w:sz w:val="20"/>
          <w:szCs w:val="20"/>
        </w:rPr>
        <w:t xml:space="preserve">STTM </w:t>
      </w:r>
      <w:r w:rsidRPr="003A3DE7">
        <w:rPr>
          <w:rFonts w:ascii="Arial" w:hAnsi="Arial" w:cs="Arial"/>
          <w:sz w:val="20"/>
          <w:szCs w:val="20"/>
        </w:rPr>
        <w:t xml:space="preserve">MOS allocations (TJ)          Figure </w:t>
      </w:r>
      <w:r w:rsidR="0002658A">
        <w:rPr>
          <w:rFonts w:ascii="Arial" w:hAnsi="Arial" w:cs="Arial"/>
          <w:sz w:val="20"/>
          <w:szCs w:val="20"/>
        </w:rPr>
        <w:t>3</w:t>
      </w:r>
      <w:r w:rsidRPr="003A3DE7">
        <w:rPr>
          <w:rFonts w:ascii="Arial" w:hAnsi="Arial" w:cs="Arial"/>
          <w:sz w:val="20"/>
          <w:szCs w:val="20"/>
        </w:rPr>
        <w:t>.4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B66BAB" w:rsidRPr="002E2E46" w:rsidRDefault="00B11C10" w:rsidP="00B66BAB">
      <w:pPr>
        <w:jc w:val="center"/>
      </w:pPr>
      <w:r>
        <w:pict>
          <v:shape id="_x0000_i1037" type="#_x0000_t75" style="width:475.2pt;height:161.3pt">
            <v:imagedata r:id="rId23" o:title=""/>
          </v:shape>
        </w:pict>
      </w:r>
    </w:p>
    <w:p w:rsidR="0006609A" w:rsidRDefault="0006609A" w:rsidP="00B66BAB">
      <w:pPr>
        <w:pStyle w:val="AERheading1"/>
        <w:pageBreakBefore w:val="0"/>
        <w:numPr>
          <w:ilvl w:val="0"/>
          <w:numId w:val="0"/>
        </w:numPr>
        <w:spacing w:before="120"/>
        <w:rPr>
          <w:rFonts w:ascii="Times New Roman" w:hAnsi="Times New Roman" w:cs="Times New Roman"/>
          <w:color w:val="C0C0C0"/>
          <w:sz w:val="28"/>
          <w:szCs w:val="28"/>
        </w:rPr>
        <w:sectPr w:rsidR="0006609A" w:rsidSect="00FD7231">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p>
    <w:p w:rsidR="00601C18" w:rsidRDefault="00EF6B0C" w:rsidP="00B66BAB">
      <w:pPr>
        <w:pStyle w:val="AERheading1"/>
        <w:pageBreakBefore w:val="0"/>
        <w:spacing w:before="120"/>
        <w:rPr>
          <w:rFonts w:ascii="Times New Roman" w:hAnsi="Times New Roman" w:cs="Times New Roman"/>
          <w:sz w:val="28"/>
          <w:szCs w:val="28"/>
        </w:rPr>
      </w:pPr>
      <w:r w:rsidRPr="00B66BAB">
        <w:rPr>
          <w:rFonts w:ascii="Times New Roman" w:hAnsi="Times New Roman" w:cs="Times New Roman"/>
          <w:sz w:val="28"/>
          <w:szCs w:val="28"/>
        </w:rPr>
        <w:t xml:space="preserve"> </w:t>
      </w:r>
      <w:r w:rsidR="00601C18" w:rsidRPr="00B66BAB">
        <w:rPr>
          <w:rFonts w:ascii="Times New Roman" w:hAnsi="Times New Roman" w:cs="Times New Roman"/>
          <w:sz w:val="28"/>
          <w:szCs w:val="28"/>
        </w:rPr>
        <w:t>Brisbane STTM</w:t>
      </w:r>
    </w:p>
    <w:p w:rsidR="0006609A" w:rsidRPr="0006609A" w:rsidRDefault="0006609A" w:rsidP="0006609A">
      <w:pPr>
        <w:pStyle w:val="AERbodytext"/>
      </w:pPr>
      <w:r>
        <w:t xml:space="preserve">The </w:t>
      </w:r>
      <w:r w:rsidR="000F59F8">
        <w:t>Brisbane</w:t>
      </w:r>
      <w:r>
        <w:t xml:space="preserve"> STTM hub functions in the same way as the Sydney STTM hub.  The same data that was presented for the Sydney hub is presented for the</w:t>
      </w:r>
      <w:r w:rsidR="000F59F8">
        <w:t xml:space="preserve"> Brisbane</w:t>
      </w:r>
      <w:r>
        <w:t xml:space="preserve"> hub in the figures below. </w:t>
      </w:r>
    </w:p>
    <w:p w:rsidR="00B66BAB" w:rsidRPr="00582F1C" w:rsidRDefault="003410C4" w:rsidP="00B66BAB">
      <w:pPr>
        <w:pStyle w:val="AERfigureheading"/>
        <w:tabs>
          <w:tab w:val="clear" w:pos="1361"/>
          <w:tab w:val="num" w:pos="1260"/>
        </w:tabs>
        <w:spacing w:before="120"/>
        <w:ind w:left="1260" w:hanging="1260"/>
        <w:rPr>
          <w:rFonts w:ascii="Arial" w:hAnsi="Arial" w:cs="Arial"/>
          <w:sz w:val="20"/>
          <w:szCs w:val="20"/>
        </w:rPr>
      </w:pPr>
      <w:r w:rsidRPr="00582F1C">
        <w:rPr>
          <w:rFonts w:ascii="Arial" w:hAnsi="Arial" w:cs="Arial"/>
          <w:sz w:val="20"/>
          <w:szCs w:val="20"/>
        </w:rPr>
        <w:t xml:space="preserve">BRI </w:t>
      </w:r>
      <w:r w:rsidR="005C68CE">
        <w:rPr>
          <w:rFonts w:ascii="Arial" w:hAnsi="Arial" w:cs="Arial"/>
          <w:sz w:val="20"/>
          <w:szCs w:val="20"/>
        </w:rPr>
        <w:t>STTM d</w:t>
      </w:r>
      <w:r w:rsidR="00B66BAB" w:rsidRPr="00582F1C">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5862F5" w:rsidRPr="00B76529" w:rsidTr="002861A9">
        <w:trPr>
          <w:trHeight w:val="255"/>
        </w:trPr>
        <w:tc>
          <w:tcPr>
            <w:tcW w:w="2160" w:type="dxa"/>
            <w:noWrap/>
            <w:tcMar>
              <w:top w:w="0" w:type="dxa"/>
              <w:bottom w:w="0" w:type="dxa"/>
            </w:tcMar>
            <w:vAlign w:val="center"/>
          </w:tcPr>
          <w:p w:rsidR="005862F5" w:rsidRPr="002861A9" w:rsidRDefault="005862F5" w:rsidP="002861A9">
            <w:pPr>
              <w:keepNext/>
              <w:spacing w:before="40" w:after="40"/>
              <w:jc w:val="center"/>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5862F5" w:rsidRDefault="005862F5">
            <w:pPr>
              <w:jc w:val="center"/>
              <w:rPr>
                <w:rFonts w:ascii="Arial" w:hAnsi="Arial" w:cs="Arial"/>
                <w:sz w:val="20"/>
                <w:szCs w:val="20"/>
              </w:rPr>
            </w:pPr>
            <w:r>
              <w:rPr>
                <w:rFonts w:ascii="Arial" w:hAnsi="Arial" w:cs="Arial"/>
                <w:sz w:val="20"/>
                <w:szCs w:val="20"/>
              </w:rPr>
              <w:t>3.88</w:t>
            </w:r>
          </w:p>
        </w:tc>
        <w:tc>
          <w:tcPr>
            <w:tcW w:w="1029" w:type="dxa"/>
            <w:noWrap/>
            <w:tcMar>
              <w:top w:w="0" w:type="dxa"/>
              <w:bottom w:w="0" w:type="dxa"/>
            </w:tcMar>
            <w:vAlign w:val="center"/>
          </w:tcPr>
          <w:p w:rsidR="005862F5" w:rsidRDefault="005862F5">
            <w:pPr>
              <w:jc w:val="center"/>
              <w:rPr>
                <w:rFonts w:ascii="Arial" w:hAnsi="Arial" w:cs="Arial"/>
                <w:sz w:val="20"/>
                <w:szCs w:val="20"/>
              </w:rPr>
            </w:pPr>
            <w:r>
              <w:rPr>
                <w:rFonts w:ascii="Arial" w:hAnsi="Arial" w:cs="Arial"/>
                <w:sz w:val="20"/>
                <w:szCs w:val="20"/>
              </w:rPr>
              <w:t>4.58</w:t>
            </w:r>
          </w:p>
        </w:tc>
        <w:tc>
          <w:tcPr>
            <w:tcW w:w="1028" w:type="dxa"/>
            <w:noWrap/>
            <w:tcMar>
              <w:top w:w="0" w:type="dxa"/>
              <w:bottom w:w="0" w:type="dxa"/>
            </w:tcMar>
            <w:vAlign w:val="center"/>
          </w:tcPr>
          <w:p w:rsidR="005862F5" w:rsidRDefault="005862F5">
            <w:pPr>
              <w:jc w:val="center"/>
              <w:rPr>
                <w:rFonts w:ascii="Arial" w:hAnsi="Arial" w:cs="Arial"/>
                <w:sz w:val="20"/>
                <w:szCs w:val="20"/>
              </w:rPr>
            </w:pPr>
            <w:r>
              <w:rPr>
                <w:rFonts w:ascii="Arial" w:hAnsi="Arial" w:cs="Arial"/>
                <w:sz w:val="20"/>
                <w:szCs w:val="20"/>
              </w:rPr>
              <w:t>4.25</w:t>
            </w:r>
          </w:p>
        </w:tc>
        <w:tc>
          <w:tcPr>
            <w:tcW w:w="1029" w:type="dxa"/>
            <w:noWrap/>
            <w:tcMar>
              <w:top w:w="0" w:type="dxa"/>
              <w:bottom w:w="0" w:type="dxa"/>
            </w:tcMar>
            <w:vAlign w:val="center"/>
          </w:tcPr>
          <w:p w:rsidR="005862F5" w:rsidRDefault="005862F5">
            <w:pPr>
              <w:jc w:val="center"/>
              <w:rPr>
                <w:rFonts w:ascii="Arial" w:hAnsi="Arial" w:cs="Arial"/>
                <w:sz w:val="20"/>
                <w:szCs w:val="20"/>
              </w:rPr>
            </w:pPr>
            <w:r>
              <w:rPr>
                <w:rFonts w:ascii="Arial" w:hAnsi="Arial" w:cs="Arial"/>
                <w:sz w:val="20"/>
                <w:szCs w:val="20"/>
              </w:rPr>
              <w:t>5.48</w:t>
            </w:r>
          </w:p>
        </w:tc>
        <w:tc>
          <w:tcPr>
            <w:tcW w:w="1028" w:type="dxa"/>
            <w:noWrap/>
            <w:tcMar>
              <w:top w:w="0" w:type="dxa"/>
              <w:bottom w:w="0" w:type="dxa"/>
            </w:tcMar>
            <w:vAlign w:val="center"/>
          </w:tcPr>
          <w:p w:rsidR="005862F5" w:rsidRDefault="005862F5">
            <w:pPr>
              <w:jc w:val="center"/>
              <w:rPr>
                <w:rFonts w:ascii="Arial" w:hAnsi="Arial" w:cs="Arial"/>
                <w:sz w:val="20"/>
                <w:szCs w:val="20"/>
              </w:rPr>
            </w:pPr>
            <w:r>
              <w:rPr>
                <w:rFonts w:ascii="Arial" w:hAnsi="Arial" w:cs="Arial"/>
                <w:sz w:val="20"/>
                <w:szCs w:val="20"/>
              </w:rPr>
              <w:t>5.05</w:t>
            </w:r>
          </w:p>
        </w:tc>
        <w:tc>
          <w:tcPr>
            <w:tcW w:w="1029" w:type="dxa"/>
            <w:noWrap/>
            <w:tcMar>
              <w:top w:w="0" w:type="dxa"/>
              <w:bottom w:w="0" w:type="dxa"/>
            </w:tcMar>
            <w:vAlign w:val="center"/>
          </w:tcPr>
          <w:p w:rsidR="005862F5" w:rsidRDefault="005862F5">
            <w:pPr>
              <w:jc w:val="center"/>
              <w:rPr>
                <w:rFonts w:ascii="Arial" w:hAnsi="Arial" w:cs="Arial"/>
                <w:sz w:val="20"/>
                <w:szCs w:val="20"/>
              </w:rPr>
            </w:pPr>
            <w:r>
              <w:rPr>
                <w:rFonts w:ascii="Arial" w:hAnsi="Arial" w:cs="Arial"/>
                <w:sz w:val="20"/>
                <w:szCs w:val="20"/>
              </w:rPr>
              <w:t>4.90</w:t>
            </w:r>
          </w:p>
        </w:tc>
        <w:tc>
          <w:tcPr>
            <w:tcW w:w="1029" w:type="dxa"/>
            <w:noWrap/>
            <w:tcMar>
              <w:top w:w="0" w:type="dxa"/>
              <w:bottom w:w="0" w:type="dxa"/>
            </w:tcMar>
            <w:vAlign w:val="center"/>
          </w:tcPr>
          <w:p w:rsidR="005862F5" w:rsidRDefault="005862F5">
            <w:pPr>
              <w:jc w:val="center"/>
              <w:rPr>
                <w:rFonts w:ascii="Arial" w:hAnsi="Arial" w:cs="Arial"/>
                <w:sz w:val="20"/>
                <w:szCs w:val="20"/>
              </w:rPr>
            </w:pPr>
            <w:r>
              <w:rPr>
                <w:rFonts w:ascii="Arial" w:hAnsi="Arial" w:cs="Arial"/>
                <w:sz w:val="20"/>
                <w:szCs w:val="20"/>
              </w:rPr>
              <w:t>4.58</w:t>
            </w:r>
          </w:p>
        </w:tc>
      </w:tr>
      <w:tr w:rsidR="005862F5" w:rsidRPr="00B76529" w:rsidTr="002861A9">
        <w:trPr>
          <w:trHeight w:val="255"/>
        </w:trPr>
        <w:tc>
          <w:tcPr>
            <w:tcW w:w="2160" w:type="dxa"/>
            <w:noWrap/>
            <w:tcMar>
              <w:top w:w="0" w:type="dxa"/>
              <w:bottom w:w="0" w:type="dxa"/>
            </w:tcMar>
            <w:vAlign w:val="center"/>
          </w:tcPr>
          <w:p w:rsidR="005862F5" w:rsidRPr="002861A9" w:rsidRDefault="005862F5" w:rsidP="002861A9">
            <w:pPr>
              <w:keepNext/>
              <w:spacing w:before="40" w:after="40"/>
              <w:jc w:val="center"/>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5862F5" w:rsidRDefault="005862F5">
            <w:pPr>
              <w:jc w:val="center"/>
              <w:rPr>
                <w:rFonts w:ascii="Arial" w:hAnsi="Arial" w:cs="Arial"/>
                <w:sz w:val="20"/>
                <w:szCs w:val="20"/>
              </w:rPr>
            </w:pPr>
            <w:r>
              <w:rPr>
                <w:rFonts w:ascii="Arial" w:hAnsi="Arial" w:cs="Arial"/>
                <w:sz w:val="20"/>
                <w:szCs w:val="20"/>
              </w:rPr>
              <w:t>143</w:t>
            </w:r>
          </w:p>
        </w:tc>
        <w:tc>
          <w:tcPr>
            <w:tcW w:w="1029" w:type="dxa"/>
            <w:noWrap/>
            <w:tcMar>
              <w:top w:w="0" w:type="dxa"/>
              <w:bottom w:w="0" w:type="dxa"/>
            </w:tcMar>
            <w:vAlign w:val="center"/>
          </w:tcPr>
          <w:p w:rsidR="005862F5" w:rsidRDefault="005862F5">
            <w:pPr>
              <w:jc w:val="center"/>
              <w:rPr>
                <w:rFonts w:ascii="Arial" w:hAnsi="Arial" w:cs="Arial"/>
                <w:sz w:val="20"/>
                <w:szCs w:val="20"/>
              </w:rPr>
            </w:pPr>
            <w:r>
              <w:rPr>
                <w:rFonts w:ascii="Arial" w:hAnsi="Arial" w:cs="Arial"/>
                <w:sz w:val="20"/>
                <w:szCs w:val="20"/>
              </w:rPr>
              <w:t>156</w:t>
            </w:r>
          </w:p>
        </w:tc>
        <w:tc>
          <w:tcPr>
            <w:tcW w:w="1028" w:type="dxa"/>
            <w:noWrap/>
            <w:tcMar>
              <w:top w:w="0" w:type="dxa"/>
              <w:bottom w:w="0" w:type="dxa"/>
            </w:tcMar>
            <w:vAlign w:val="center"/>
          </w:tcPr>
          <w:p w:rsidR="005862F5" w:rsidRDefault="005862F5">
            <w:pPr>
              <w:jc w:val="center"/>
              <w:rPr>
                <w:rFonts w:ascii="Arial" w:hAnsi="Arial" w:cs="Arial"/>
                <w:sz w:val="20"/>
                <w:szCs w:val="20"/>
              </w:rPr>
            </w:pPr>
            <w:r>
              <w:rPr>
                <w:rFonts w:ascii="Arial" w:hAnsi="Arial" w:cs="Arial"/>
                <w:sz w:val="20"/>
                <w:szCs w:val="20"/>
              </w:rPr>
              <w:t>153</w:t>
            </w:r>
          </w:p>
        </w:tc>
        <w:tc>
          <w:tcPr>
            <w:tcW w:w="1029" w:type="dxa"/>
            <w:noWrap/>
            <w:tcMar>
              <w:top w:w="0" w:type="dxa"/>
              <w:bottom w:w="0" w:type="dxa"/>
            </w:tcMar>
            <w:vAlign w:val="center"/>
          </w:tcPr>
          <w:p w:rsidR="005862F5" w:rsidRDefault="005862F5">
            <w:pPr>
              <w:jc w:val="center"/>
              <w:rPr>
                <w:rFonts w:ascii="Arial" w:hAnsi="Arial" w:cs="Arial"/>
                <w:sz w:val="20"/>
                <w:szCs w:val="20"/>
              </w:rPr>
            </w:pPr>
            <w:r>
              <w:rPr>
                <w:rFonts w:ascii="Arial" w:hAnsi="Arial" w:cs="Arial"/>
                <w:sz w:val="20"/>
                <w:szCs w:val="20"/>
              </w:rPr>
              <w:t>160</w:t>
            </w:r>
          </w:p>
        </w:tc>
        <w:tc>
          <w:tcPr>
            <w:tcW w:w="1028" w:type="dxa"/>
            <w:noWrap/>
            <w:tcMar>
              <w:top w:w="0" w:type="dxa"/>
              <w:bottom w:w="0" w:type="dxa"/>
            </w:tcMar>
            <w:vAlign w:val="center"/>
          </w:tcPr>
          <w:p w:rsidR="005862F5" w:rsidRDefault="005862F5">
            <w:pPr>
              <w:jc w:val="center"/>
              <w:rPr>
                <w:rFonts w:ascii="Arial" w:hAnsi="Arial" w:cs="Arial"/>
                <w:sz w:val="20"/>
                <w:szCs w:val="20"/>
              </w:rPr>
            </w:pPr>
            <w:r>
              <w:rPr>
                <w:rFonts w:ascii="Arial" w:hAnsi="Arial" w:cs="Arial"/>
                <w:sz w:val="20"/>
                <w:szCs w:val="20"/>
              </w:rPr>
              <w:t>167</w:t>
            </w:r>
          </w:p>
        </w:tc>
        <w:tc>
          <w:tcPr>
            <w:tcW w:w="1029" w:type="dxa"/>
            <w:noWrap/>
            <w:tcMar>
              <w:top w:w="0" w:type="dxa"/>
              <w:bottom w:w="0" w:type="dxa"/>
            </w:tcMar>
            <w:vAlign w:val="center"/>
          </w:tcPr>
          <w:p w:rsidR="005862F5" w:rsidRDefault="005862F5">
            <w:pPr>
              <w:jc w:val="center"/>
              <w:rPr>
                <w:rFonts w:ascii="Arial" w:hAnsi="Arial" w:cs="Arial"/>
                <w:sz w:val="20"/>
                <w:szCs w:val="20"/>
              </w:rPr>
            </w:pPr>
            <w:r>
              <w:rPr>
                <w:rFonts w:ascii="Arial" w:hAnsi="Arial" w:cs="Arial"/>
                <w:sz w:val="20"/>
                <w:szCs w:val="20"/>
              </w:rPr>
              <w:t>165</w:t>
            </w:r>
          </w:p>
        </w:tc>
        <w:tc>
          <w:tcPr>
            <w:tcW w:w="1029" w:type="dxa"/>
            <w:noWrap/>
            <w:tcMar>
              <w:top w:w="0" w:type="dxa"/>
              <w:bottom w:w="0" w:type="dxa"/>
            </w:tcMar>
            <w:vAlign w:val="center"/>
          </w:tcPr>
          <w:p w:rsidR="005862F5" w:rsidRDefault="005862F5">
            <w:pPr>
              <w:jc w:val="center"/>
              <w:rPr>
                <w:rFonts w:ascii="Arial" w:hAnsi="Arial" w:cs="Arial"/>
                <w:sz w:val="20"/>
                <w:szCs w:val="20"/>
              </w:rPr>
            </w:pPr>
            <w:r>
              <w:rPr>
                <w:rFonts w:ascii="Arial" w:hAnsi="Arial" w:cs="Arial"/>
                <w:sz w:val="20"/>
                <w:szCs w:val="20"/>
              </w:rPr>
              <w:t>150</w:t>
            </w:r>
          </w:p>
        </w:tc>
      </w:tr>
      <w:tr w:rsidR="005862F5" w:rsidRPr="00B76529" w:rsidTr="002861A9">
        <w:trPr>
          <w:trHeight w:val="255"/>
        </w:trPr>
        <w:tc>
          <w:tcPr>
            <w:tcW w:w="2160" w:type="dxa"/>
            <w:noWrap/>
            <w:tcMar>
              <w:top w:w="0" w:type="dxa"/>
              <w:bottom w:w="0" w:type="dxa"/>
            </w:tcMar>
            <w:vAlign w:val="center"/>
          </w:tcPr>
          <w:p w:rsidR="005862F5" w:rsidRPr="002861A9" w:rsidRDefault="005862F5" w:rsidP="002861A9">
            <w:pPr>
              <w:keepNext/>
              <w:spacing w:before="40" w:after="40"/>
              <w:jc w:val="center"/>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5862F5" w:rsidRDefault="005862F5">
            <w:pPr>
              <w:jc w:val="center"/>
              <w:rPr>
                <w:rFonts w:ascii="Arial" w:hAnsi="Arial" w:cs="Arial"/>
                <w:sz w:val="20"/>
                <w:szCs w:val="20"/>
              </w:rPr>
            </w:pPr>
            <w:r>
              <w:rPr>
                <w:rFonts w:ascii="Arial" w:hAnsi="Arial" w:cs="Arial"/>
                <w:sz w:val="20"/>
                <w:szCs w:val="20"/>
              </w:rPr>
              <w:t>3.88</w:t>
            </w:r>
          </w:p>
        </w:tc>
        <w:tc>
          <w:tcPr>
            <w:tcW w:w="1029" w:type="dxa"/>
            <w:noWrap/>
            <w:tcMar>
              <w:top w:w="0" w:type="dxa"/>
              <w:bottom w:w="0" w:type="dxa"/>
            </w:tcMar>
            <w:vAlign w:val="center"/>
          </w:tcPr>
          <w:p w:rsidR="005862F5" w:rsidRDefault="005862F5">
            <w:pPr>
              <w:jc w:val="center"/>
              <w:rPr>
                <w:rFonts w:ascii="Arial" w:hAnsi="Arial" w:cs="Arial"/>
                <w:sz w:val="20"/>
                <w:szCs w:val="20"/>
              </w:rPr>
            </w:pPr>
            <w:r>
              <w:rPr>
                <w:rFonts w:ascii="Arial" w:hAnsi="Arial" w:cs="Arial"/>
                <w:sz w:val="20"/>
                <w:szCs w:val="20"/>
              </w:rPr>
              <w:t>4.82</w:t>
            </w:r>
          </w:p>
        </w:tc>
        <w:tc>
          <w:tcPr>
            <w:tcW w:w="1028" w:type="dxa"/>
            <w:noWrap/>
            <w:tcMar>
              <w:top w:w="0" w:type="dxa"/>
              <w:bottom w:w="0" w:type="dxa"/>
            </w:tcMar>
            <w:vAlign w:val="center"/>
          </w:tcPr>
          <w:p w:rsidR="005862F5" w:rsidRDefault="005862F5">
            <w:pPr>
              <w:jc w:val="center"/>
              <w:rPr>
                <w:rFonts w:ascii="Arial" w:hAnsi="Arial" w:cs="Arial"/>
                <w:sz w:val="20"/>
                <w:szCs w:val="20"/>
              </w:rPr>
            </w:pPr>
            <w:r>
              <w:rPr>
                <w:rFonts w:ascii="Arial" w:hAnsi="Arial" w:cs="Arial"/>
                <w:sz w:val="20"/>
                <w:szCs w:val="20"/>
              </w:rPr>
              <w:t>6.33</w:t>
            </w:r>
          </w:p>
        </w:tc>
        <w:tc>
          <w:tcPr>
            <w:tcW w:w="1029" w:type="dxa"/>
            <w:noWrap/>
            <w:tcMar>
              <w:top w:w="0" w:type="dxa"/>
              <w:bottom w:w="0" w:type="dxa"/>
            </w:tcMar>
            <w:vAlign w:val="center"/>
          </w:tcPr>
          <w:p w:rsidR="005862F5" w:rsidRDefault="005862F5">
            <w:pPr>
              <w:jc w:val="center"/>
              <w:rPr>
                <w:rFonts w:ascii="Arial" w:hAnsi="Arial" w:cs="Arial"/>
                <w:sz w:val="20"/>
                <w:szCs w:val="20"/>
              </w:rPr>
            </w:pPr>
            <w:r>
              <w:rPr>
                <w:rFonts w:ascii="Arial" w:hAnsi="Arial" w:cs="Arial"/>
                <w:sz w:val="20"/>
                <w:szCs w:val="20"/>
              </w:rPr>
              <w:t>5.48</w:t>
            </w:r>
          </w:p>
        </w:tc>
        <w:tc>
          <w:tcPr>
            <w:tcW w:w="1028" w:type="dxa"/>
            <w:noWrap/>
            <w:tcMar>
              <w:top w:w="0" w:type="dxa"/>
              <w:bottom w:w="0" w:type="dxa"/>
            </w:tcMar>
            <w:vAlign w:val="center"/>
          </w:tcPr>
          <w:p w:rsidR="005862F5" w:rsidRDefault="005862F5">
            <w:pPr>
              <w:jc w:val="center"/>
              <w:rPr>
                <w:rFonts w:ascii="Arial" w:hAnsi="Arial" w:cs="Arial"/>
                <w:sz w:val="20"/>
                <w:szCs w:val="20"/>
              </w:rPr>
            </w:pPr>
            <w:r>
              <w:rPr>
                <w:rFonts w:ascii="Arial" w:hAnsi="Arial" w:cs="Arial"/>
                <w:sz w:val="20"/>
                <w:szCs w:val="20"/>
              </w:rPr>
              <w:t>6.51</w:t>
            </w:r>
          </w:p>
        </w:tc>
        <w:tc>
          <w:tcPr>
            <w:tcW w:w="1029" w:type="dxa"/>
            <w:noWrap/>
            <w:tcMar>
              <w:top w:w="0" w:type="dxa"/>
              <w:bottom w:w="0" w:type="dxa"/>
            </w:tcMar>
            <w:vAlign w:val="center"/>
          </w:tcPr>
          <w:p w:rsidR="005862F5" w:rsidRDefault="005862F5">
            <w:pPr>
              <w:jc w:val="center"/>
              <w:rPr>
                <w:rFonts w:ascii="Arial" w:hAnsi="Arial" w:cs="Arial"/>
                <w:sz w:val="20"/>
                <w:szCs w:val="20"/>
              </w:rPr>
            </w:pPr>
            <w:r>
              <w:rPr>
                <w:rFonts w:ascii="Arial" w:hAnsi="Arial" w:cs="Arial"/>
                <w:sz w:val="20"/>
                <w:szCs w:val="20"/>
              </w:rPr>
              <w:t>4.58</w:t>
            </w:r>
          </w:p>
        </w:tc>
        <w:tc>
          <w:tcPr>
            <w:tcW w:w="1029" w:type="dxa"/>
            <w:noWrap/>
            <w:tcMar>
              <w:top w:w="0" w:type="dxa"/>
              <w:bottom w:w="0" w:type="dxa"/>
            </w:tcMar>
            <w:vAlign w:val="center"/>
          </w:tcPr>
          <w:p w:rsidR="005862F5" w:rsidRDefault="005862F5">
            <w:pPr>
              <w:jc w:val="center"/>
              <w:rPr>
                <w:rFonts w:ascii="Arial" w:hAnsi="Arial" w:cs="Arial"/>
                <w:sz w:val="20"/>
                <w:szCs w:val="20"/>
              </w:rPr>
            </w:pPr>
            <w:r>
              <w:rPr>
                <w:rFonts w:ascii="Arial" w:hAnsi="Arial" w:cs="Arial"/>
                <w:sz w:val="20"/>
                <w:szCs w:val="20"/>
              </w:rPr>
              <w:t>4.27</w:t>
            </w:r>
          </w:p>
        </w:tc>
      </w:tr>
      <w:tr w:rsidR="005862F5" w:rsidRPr="00B76529" w:rsidTr="002861A9">
        <w:trPr>
          <w:trHeight w:val="255"/>
        </w:trPr>
        <w:tc>
          <w:tcPr>
            <w:tcW w:w="2160" w:type="dxa"/>
            <w:noWrap/>
            <w:tcMar>
              <w:top w:w="0" w:type="dxa"/>
              <w:bottom w:w="0" w:type="dxa"/>
            </w:tcMar>
            <w:vAlign w:val="center"/>
          </w:tcPr>
          <w:p w:rsidR="005862F5" w:rsidRPr="002861A9" w:rsidRDefault="005862F5" w:rsidP="002861A9">
            <w:pPr>
              <w:keepNext/>
              <w:spacing w:before="40" w:after="40"/>
              <w:jc w:val="center"/>
              <w:rPr>
                <w:rFonts w:ascii="Arial" w:hAnsi="Arial" w:cs="Arial"/>
                <w:sz w:val="20"/>
                <w:szCs w:val="20"/>
              </w:rPr>
            </w:pPr>
            <w:r w:rsidRPr="002861A9">
              <w:rPr>
                <w:rFonts w:ascii="Arial" w:hAnsi="Arial" w:cs="Arial"/>
                <w:sz w:val="20"/>
                <w:szCs w:val="20"/>
              </w:rPr>
              <w:t>Ex Post quantity (TJ)</w:t>
            </w:r>
          </w:p>
        </w:tc>
        <w:tc>
          <w:tcPr>
            <w:tcW w:w="1028" w:type="dxa"/>
            <w:noWrap/>
            <w:tcMar>
              <w:top w:w="0" w:type="dxa"/>
              <w:bottom w:w="0" w:type="dxa"/>
            </w:tcMar>
            <w:vAlign w:val="center"/>
          </w:tcPr>
          <w:p w:rsidR="005862F5" w:rsidRDefault="005862F5">
            <w:pPr>
              <w:jc w:val="center"/>
              <w:rPr>
                <w:rFonts w:ascii="Arial" w:hAnsi="Arial" w:cs="Arial"/>
                <w:sz w:val="20"/>
                <w:szCs w:val="20"/>
              </w:rPr>
            </w:pPr>
            <w:r>
              <w:rPr>
                <w:rFonts w:ascii="Arial" w:hAnsi="Arial" w:cs="Arial"/>
                <w:sz w:val="20"/>
                <w:szCs w:val="20"/>
              </w:rPr>
              <w:t>143</w:t>
            </w:r>
          </w:p>
        </w:tc>
        <w:tc>
          <w:tcPr>
            <w:tcW w:w="1029" w:type="dxa"/>
            <w:noWrap/>
            <w:tcMar>
              <w:top w:w="0" w:type="dxa"/>
              <w:bottom w:w="0" w:type="dxa"/>
            </w:tcMar>
            <w:vAlign w:val="center"/>
          </w:tcPr>
          <w:p w:rsidR="005862F5" w:rsidRDefault="005862F5">
            <w:pPr>
              <w:jc w:val="center"/>
              <w:rPr>
                <w:rFonts w:ascii="Arial" w:hAnsi="Arial" w:cs="Arial"/>
                <w:sz w:val="20"/>
                <w:szCs w:val="20"/>
              </w:rPr>
            </w:pPr>
            <w:r>
              <w:rPr>
                <w:rFonts w:ascii="Arial" w:hAnsi="Arial" w:cs="Arial"/>
                <w:sz w:val="20"/>
                <w:szCs w:val="20"/>
              </w:rPr>
              <w:t>157</w:t>
            </w:r>
          </w:p>
        </w:tc>
        <w:tc>
          <w:tcPr>
            <w:tcW w:w="1028" w:type="dxa"/>
            <w:noWrap/>
            <w:tcMar>
              <w:top w:w="0" w:type="dxa"/>
              <w:bottom w:w="0" w:type="dxa"/>
            </w:tcMar>
            <w:vAlign w:val="center"/>
          </w:tcPr>
          <w:p w:rsidR="005862F5" w:rsidRDefault="005862F5">
            <w:pPr>
              <w:jc w:val="center"/>
              <w:rPr>
                <w:rFonts w:ascii="Arial" w:hAnsi="Arial" w:cs="Arial"/>
                <w:sz w:val="20"/>
                <w:szCs w:val="20"/>
              </w:rPr>
            </w:pPr>
            <w:r>
              <w:rPr>
                <w:rFonts w:ascii="Arial" w:hAnsi="Arial" w:cs="Arial"/>
                <w:sz w:val="20"/>
                <w:szCs w:val="20"/>
              </w:rPr>
              <w:t>161</w:t>
            </w:r>
          </w:p>
        </w:tc>
        <w:tc>
          <w:tcPr>
            <w:tcW w:w="1029" w:type="dxa"/>
            <w:noWrap/>
            <w:tcMar>
              <w:top w:w="0" w:type="dxa"/>
              <w:bottom w:w="0" w:type="dxa"/>
            </w:tcMar>
            <w:vAlign w:val="center"/>
          </w:tcPr>
          <w:p w:rsidR="005862F5" w:rsidRDefault="005862F5">
            <w:pPr>
              <w:jc w:val="center"/>
              <w:rPr>
                <w:rFonts w:ascii="Arial" w:hAnsi="Arial" w:cs="Arial"/>
                <w:sz w:val="20"/>
                <w:szCs w:val="20"/>
              </w:rPr>
            </w:pPr>
            <w:r>
              <w:rPr>
                <w:rFonts w:ascii="Arial" w:hAnsi="Arial" w:cs="Arial"/>
                <w:sz w:val="20"/>
                <w:szCs w:val="20"/>
              </w:rPr>
              <w:t>161</w:t>
            </w:r>
          </w:p>
        </w:tc>
        <w:tc>
          <w:tcPr>
            <w:tcW w:w="1028" w:type="dxa"/>
            <w:noWrap/>
            <w:tcMar>
              <w:top w:w="0" w:type="dxa"/>
              <w:bottom w:w="0" w:type="dxa"/>
            </w:tcMar>
            <w:vAlign w:val="center"/>
          </w:tcPr>
          <w:p w:rsidR="005862F5" w:rsidRDefault="005862F5">
            <w:pPr>
              <w:jc w:val="center"/>
              <w:rPr>
                <w:rFonts w:ascii="Arial" w:hAnsi="Arial" w:cs="Arial"/>
                <w:sz w:val="20"/>
                <w:szCs w:val="20"/>
              </w:rPr>
            </w:pPr>
            <w:r>
              <w:rPr>
                <w:rFonts w:ascii="Arial" w:hAnsi="Arial" w:cs="Arial"/>
                <w:sz w:val="20"/>
                <w:szCs w:val="20"/>
              </w:rPr>
              <w:t>173</w:t>
            </w:r>
          </w:p>
        </w:tc>
        <w:tc>
          <w:tcPr>
            <w:tcW w:w="1029" w:type="dxa"/>
            <w:noWrap/>
            <w:tcMar>
              <w:top w:w="0" w:type="dxa"/>
              <w:bottom w:w="0" w:type="dxa"/>
            </w:tcMar>
            <w:vAlign w:val="center"/>
          </w:tcPr>
          <w:p w:rsidR="005862F5" w:rsidRDefault="005862F5">
            <w:pPr>
              <w:jc w:val="center"/>
              <w:rPr>
                <w:rFonts w:ascii="Arial" w:hAnsi="Arial" w:cs="Arial"/>
                <w:sz w:val="20"/>
                <w:szCs w:val="20"/>
              </w:rPr>
            </w:pPr>
            <w:r>
              <w:rPr>
                <w:rFonts w:ascii="Arial" w:hAnsi="Arial" w:cs="Arial"/>
                <w:sz w:val="20"/>
                <w:szCs w:val="20"/>
              </w:rPr>
              <w:t>161</w:t>
            </w:r>
          </w:p>
        </w:tc>
        <w:tc>
          <w:tcPr>
            <w:tcW w:w="1029" w:type="dxa"/>
            <w:noWrap/>
            <w:tcMar>
              <w:top w:w="0" w:type="dxa"/>
              <w:bottom w:w="0" w:type="dxa"/>
            </w:tcMar>
            <w:vAlign w:val="center"/>
          </w:tcPr>
          <w:p w:rsidR="005862F5" w:rsidRDefault="005862F5">
            <w:pPr>
              <w:jc w:val="center"/>
              <w:rPr>
                <w:rFonts w:ascii="Arial" w:hAnsi="Arial" w:cs="Arial"/>
                <w:sz w:val="20"/>
                <w:szCs w:val="20"/>
              </w:rPr>
            </w:pPr>
            <w:r>
              <w:rPr>
                <w:rFonts w:ascii="Arial" w:hAnsi="Arial" w:cs="Arial"/>
                <w:sz w:val="20"/>
                <w:szCs w:val="20"/>
              </w:rPr>
              <w:t>147</w:t>
            </w:r>
          </w:p>
        </w:tc>
      </w:tr>
    </w:tbl>
    <w:p w:rsidR="00157AFD" w:rsidRPr="0002658A" w:rsidRDefault="00157AFD" w:rsidP="00157AFD">
      <w:pPr>
        <w:pStyle w:val="AERtableheading-unnumbered"/>
        <w:numPr>
          <w:ilvl w:val="0"/>
          <w:numId w:val="0"/>
        </w:numPr>
        <w:rPr>
          <w:rFonts w:ascii="Arial" w:hAnsi="Arial" w:cs="Arial"/>
          <w:sz w:val="19"/>
          <w:szCs w:val="19"/>
        </w:rPr>
      </w:pPr>
      <w:r w:rsidRPr="0002658A">
        <w:rPr>
          <w:rFonts w:ascii="Arial" w:hAnsi="Arial" w:cs="Arial"/>
          <w:sz w:val="19"/>
          <w:szCs w:val="19"/>
        </w:rPr>
        <w:t xml:space="preserve">Figure </w:t>
      </w:r>
      <w:r w:rsidR="0002658A" w:rsidRPr="0002658A">
        <w:rPr>
          <w:rFonts w:ascii="Arial" w:hAnsi="Arial" w:cs="Arial"/>
          <w:sz w:val="19"/>
          <w:szCs w:val="19"/>
        </w:rPr>
        <w:t>4</w:t>
      </w:r>
      <w:r w:rsidRPr="0002658A">
        <w:rPr>
          <w:rFonts w:ascii="Arial" w:hAnsi="Arial" w:cs="Arial"/>
          <w:sz w:val="19"/>
          <w:szCs w:val="19"/>
        </w:rPr>
        <w:t>.2 (a)</w:t>
      </w:r>
      <w:r w:rsidR="00E51ED7">
        <w:rPr>
          <w:rFonts w:ascii="Arial" w:hAnsi="Arial" w:cs="Arial"/>
          <w:sz w:val="19"/>
          <w:szCs w:val="19"/>
        </w:rPr>
        <w:t>:</w:t>
      </w:r>
      <w:r w:rsidRPr="0002658A">
        <w:rPr>
          <w:rFonts w:ascii="Arial" w:hAnsi="Arial" w:cs="Arial"/>
          <w:sz w:val="19"/>
          <w:szCs w:val="19"/>
        </w:rPr>
        <w:t xml:space="preserve"> Daily hub offers in price bands ($/GJ)     Figure </w:t>
      </w:r>
      <w:r w:rsidR="0002658A" w:rsidRPr="0002658A">
        <w:rPr>
          <w:rFonts w:ascii="Arial" w:hAnsi="Arial" w:cs="Arial"/>
          <w:sz w:val="19"/>
          <w:szCs w:val="19"/>
        </w:rPr>
        <w:t>4</w:t>
      </w:r>
      <w:r w:rsidRPr="0002658A">
        <w:rPr>
          <w:rFonts w:ascii="Arial" w:hAnsi="Arial" w:cs="Arial"/>
          <w:sz w:val="19"/>
          <w:szCs w:val="19"/>
        </w:rPr>
        <w:t>.2</w:t>
      </w:r>
      <w:r w:rsidR="0002658A" w:rsidRPr="0002658A">
        <w:rPr>
          <w:rFonts w:ascii="Arial" w:hAnsi="Arial" w:cs="Arial"/>
          <w:sz w:val="19"/>
          <w:szCs w:val="19"/>
        </w:rPr>
        <w:t xml:space="preserve"> </w:t>
      </w:r>
      <w:r w:rsidRPr="0002658A">
        <w:rPr>
          <w:rFonts w:ascii="Arial" w:hAnsi="Arial" w:cs="Arial"/>
          <w:sz w:val="19"/>
          <w:szCs w:val="19"/>
        </w:rPr>
        <w:t>(b): Daily hub bids in price bands ($/GJ)</w:t>
      </w:r>
    </w:p>
    <w:p w:rsidR="00B66BAB" w:rsidRPr="00FC426D" w:rsidRDefault="00B11C10" w:rsidP="00B66BAB">
      <w:pPr>
        <w:pStyle w:val="FigheadingA"/>
        <w:numPr>
          <w:ilvl w:val="0"/>
          <w:numId w:val="0"/>
        </w:numPr>
        <w:spacing w:before="120" w:after="0"/>
        <w:ind w:left="1134" w:hanging="1134"/>
        <w:jc w:val="center"/>
      </w:pPr>
      <w:r>
        <w:pict>
          <v:shape id="_x0000_i1038" type="#_x0000_t75" style="width:476.95pt;height:185.45pt">
            <v:imagedata r:id="rId24" o:title=""/>
          </v:shape>
        </w:pict>
      </w:r>
    </w:p>
    <w:p w:rsidR="00B66BAB" w:rsidRPr="003A3DE7" w:rsidRDefault="00E52E2A" w:rsidP="0002658A">
      <w:pPr>
        <w:pStyle w:val="AERfigureheading"/>
        <w:numPr>
          <w:ilvl w:val="5"/>
          <w:numId w:val="15"/>
        </w:numPr>
        <w:tabs>
          <w:tab w:val="clear" w:pos="1361"/>
          <w:tab w:val="num" w:pos="1260"/>
        </w:tabs>
        <w:rPr>
          <w:rFonts w:ascii="Arial" w:hAnsi="Arial" w:cs="Arial"/>
          <w:sz w:val="20"/>
          <w:szCs w:val="20"/>
        </w:rPr>
      </w:pPr>
      <w:r w:rsidRPr="003A3DE7">
        <w:rPr>
          <w:rFonts w:ascii="Arial" w:hAnsi="Arial" w:cs="Arial"/>
          <w:sz w:val="20"/>
          <w:szCs w:val="20"/>
        </w:rPr>
        <w:t>BRI net scheduled and allocated gas volumes (excluding MOS) by STTM facility</w:t>
      </w:r>
    </w:p>
    <w:p w:rsidR="00B66BAB" w:rsidRPr="002E2E46" w:rsidRDefault="00B11C10" w:rsidP="00B66BAB">
      <w:pPr>
        <w:pStyle w:val="BodyText"/>
        <w:spacing w:before="120" w:after="0"/>
        <w:jc w:val="center"/>
      </w:pPr>
      <w:r>
        <w:pict>
          <v:shape id="_x0000_i1039" type="#_x0000_t75" style="width:463.1pt;height:138.8pt">
            <v:imagedata r:id="rId25" o:title=""/>
          </v:shape>
        </w:pict>
      </w:r>
    </w:p>
    <w:p w:rsidR="00157AFD" w:rsidRPr="00582F1C" w:rsidRDefault="00157AFD" w:rsidP="0002658A">
      <w:pPr>
        <w:pStyle w:val="AERtableheading-unnumbered"/>
        <w:numPr>
          <w:ilvl w:val="0"/>
          <w:numId w:val="0"/>
        </w:numPr>
        <w:spacing w:before="120"/>
        <w:ind w:left="6379" w:right="-114" w:hanging="6379"/>
        <w:rPr>
          <w:rFonts w:ascii="Arial" w:hAnsi="Arial" w:cs="Arial"/>
          <w:sz w:val="20"/>
          <w:szCs w:val="20"/>
        </w:rPr>
      </w:pPr>
      <w:r w:rsidRPr="003A3DE7">
        <w:rPr>
          <w:rFonts w:ascii="Arial" w:hAnsi="Arial" w:cs="Arial"/>
          <w:sz w:val="20"/>
          <w:szCs w:val="20"/>
        </w:rPr>
        <w:t xml:space="preserve">Figure </w:t>
      </w:r>
      <w:r w:rsidR="0002658A">
        <w:rPr>
          <w:rFonts w:ascii="Arial" w:hAnsi="Arial" w:cs="Arial"/>
          <w:sz w:val="20"/>
          <w:szCs w:val="20"/>
        </w:rPr>
        <w:t>4</w:t>
      </w:r>
      <w:r w:rsidRPr="003A3DE7">
        <w:rPr>
          <w:rFonts w:ascii="Arial" w:hAnsi="Arial" w:cs="Arial"/>
          <w:sz w:val="20"/>
          <w:szCs w:val="20"/>
        </w:rPr>
        <w:t>.4 (a)</w:t>
      </w:r>
      <w:r w:rsidR="0002658A">
        <w:rPr>
          <w:rFonts w:ascii="Arial" w:hAnsi="Arial" w:cs="Arial"/>
          <w:sz w:val="20"/>
          <w:szCs w:val="20"/>
        </w:rPr>
        <w:t>:</w:t>
      </w:r>
      <w:r w:rsidRPr="003A3DE7">
        <w:rPr>
          <w:rFonts w:ascii="Arial" w:hAnsi="Arial" w:cs="Arial"/>
          <w:sz w:val="20"/>
          <w:szCs w:val="20"/>
        </w:rPr>
        <w:t xml:space="preserve"> BRI </w:t>
      </w:r>
      <w:r w:rsidR="005C68CE" w:rsidRPr="003A3DE7">
        <w:rPr>
          <w:rFonts w:ascii="Arial" w:hAnsi="Arial" w:cs="Arial"/>
          <w:sz w:val="20"/>
          <w:szCs w:val="20"/>
        </w:rPr>
        <w:t xml:space="preserve">STTM </w:t>
      </w:r>
      <w:r w:rsidRPr="003A3DE7">
        <w:rPr>
          <w:rFonts w:ascii="Arial" w:hAnsi="Arial" w:cs="Arial"/>
          <w:sz w:val="20"/>
          <w:szCs w:val="20"/>
        </w:rPr>
        <w:t xml:space="preserve">MOS allocations (TJ)           Figure </w:t>
      </w:r>
      <w:r w:rsidR="0002658A">
        <w:rPr>
          <w:rFonts w:ascii="Arial" w:hAnsi="Arial" w:cs="Arial"/>
          <w:sz w:val="20"/>
          <w:szCs w:val="20"/>
        </w:rPr>
        <w:t>4</w:t>
      </w:r>
      <w:r w:rsidRPr="003A3DE7">
        <w:rPr>
          <w:rFonts w:ascii="Arial" w:hAnsi="Arial" w:cs="Arial"/>
          <w:sz w:val="20"/>
          <w:szCs w:val="20"/>
        </w:rPr>
        <w:t>.4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2A5634" w:rsidRPr="002E2E46" w:rsidRDefault="00B11C10" w:rsidP="00452149">
      <w:pPr>
        <w:jc w:val="center"/>
      </w:pPr>
      <w:r>
        <w:pict>
          <v:shape id="_x0000_i1040" type="#_x0000_t75" style="width:476.35pt;height:165.3pt">
            <v:imagedata r:id="rId26" o:title=""/>
          </v:shape>
        </w:pict>
      </w:r>
    </w:p>
    <w:p w:rsidR="005F18AD" w:rsidRPr="008133CF" w:rsidRDefault="00452149" w:rsidP="00875D0C">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5F18AD" w:rsidRPr="008133CF">
        <w:rPr>
          <w:rFonts w:ascii="Times New Roman" w:hAnsi="Times New Roman" w:cs="Times New Roman"/>
          <w:sz w:val="28"/>
          <w:szCs w:val="28"/>
        </w:rPr>
        <w:t xml:space="preserve">National Gas Bulletin Board </w:t>
      </w:r>
    </w:p>
    <w:p w:rsidR="00FB7DD0" w:rsidRPr="001B294E" w:rsidRDefault="00F415E2" w:rsidP="003F51E6">
      <w:pPr>
        <w:pStyle w:val="AERbodytext"/>
        <w:spacing w:before="120" w:after="120"/>
        <w:jc w:val="both"/>
        <w:rPr>
          <w:color w:val="FF0000"/>
        </w:rPr>
      </w:pPr>
      <w:r w:rsidRPr="00A475A2">
        <w:t xml:space="preserve">Figure </w:t>
      </w:r>
      <w:r>
        <w:t>5</w:t>
      </w:r>
      <w:r w:rsidRPr="00A475A2">
        <w:t xml:space="preserve">.1 shows average daily </w:t>
      </w:r>
      <w:r>
        <w:t xml:space="preserve">actual </w:t>
      </w:r>
      <w:r w:rsidRPr="00A475A2">
        <w:t xml:space="preserve">flows for the current week </w:t>
      </w:r>
      <w:r>
        <w:t>in the aqua boxes</w:t>
      </w:r>
      <w:r w:rsidR="002765A2">
        <w:rPr>
          <w:rStyle w:val="FootnoteReference"/>
        </w:rPr>
        <w:footnoteReference w:id="7"/>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as</w:t>
      </w:r>
      <w:r w:rsidR="00E21D23">
        <w:t xml:space="preserve"> </w:t>
      </w:r>
      <w:r>
        <w:t xml:space="preserve">powered generation (GPG) </w:t>
      </w:r>
      <w:r w:rsidRPr="009B5F18">
        <w:t xml:space="preserve">gas usage </w:t>
      </w:r>
      <w:r>
        <w:t xml:space="preserve">is also shown </w:t>
      </w:r>
      <w:r w:rsidRPr="009B5F18">
        <w:t>in each region</w:t>
      </w:r>
      <w:r>
        <w:t xml:space="preserve"> in the aqua boxes. In the orange boxes average daily scheduled volumes and prices for each gas market are provided.</w:t>
      </w:r>
      <w:r w:rsidR="005F18AD">
        <w:t xml:space="preserve"> </w:t>
      </w:r>
    </w:p>
    <w:p w:rsidR="005F18AD" w:rsidRPr="003A3DE7" w:rsidRDefault="005F18AD" w:rsidP="00750C0F">
      <w:pPr>
        <w:pStyle w:val="AERfigureheading"/>
        <w:tabs>
          <w:tab w:val="clear" w:pos="1361"/>
          <w:tab w:val="num" w:pos="1260"/>
        </w:tabs>
        <w:spacing w:before="120"/>
        <w:ind w:left="1260" w:hanging="1260"/>
        <w:rPr>
          <w:rFonts w:ascii="Arial" w:hAnsi="Arial" w:cs="Arial"/>
          <w:sz w:val="16"/>
          <w:szCs w:val="16"/>
        </w:rPr>
      </w:pPr>
      <w:r w:rsidRPr="003A3DE7">
        <w:rPr>
          <w:rFonts w:ascii="Arial" w:hAnsi="Arial" w:cs="Arial"/>
          <w:sz w:val="20"/>
          <w:szCs w:val="20"/>
        </w:rPr>
        <w:t xml:space="preserve">Gas </w:t>
      </w:r>
      <w:r w:rsidR="001B294E" w:rsidRPr="003A3DE7">
        <w:rPr>
          <w:rFonts w:ascii="Arial" w:hAnsi="Arial" w:cs="Arial"/>
          <w:sz w:val="20"/>
          <w:szCs w:val="20"/>
        </w:rPr>
        <w:t>market data ($/GJ, TJ); Production, Consumption and Pipeline flows (TJ)</w:t>
      </w:r>
    </w:p>
    <w:bookmarkEnd w:id="0"/>
    <w:bookmarkEnd w:id="1"/>
    <w:p w:rsidR="009C30E2" w:rsidRPr="006520EE" w:rsidRDefault="00B11C10" w:rsidP="003C5272">
      <w:r>
        <w:pict>
          <v:shape id="_x0000_i1041" type="#_x0000_t75" style="width:467.7pt;height:605.95pt;visibility:visible;mso-wrap-style:square">
            <v:imagedata r:id="rId27" o:title=""/>
          </v:shape>
        </w:pict>
      </w:r>
    </w:p>
    <w:sectPr w:rsidR="009C30E2" w:rsidRPr="006520EE" w:rsidSect="00F415E2">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2441" w:rsidRDefault="00832441">
      <w:r>
        <w:separator/>
      </w:r>
    </w:p>
  </w:endnote>
  <w:endnote w:type="continuationSeparator" w:id="0">
    <w:p w:rsidR="00832441" w:rsidRDefault="00832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Bold">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441" w:rsidRDefault="00832441" w:rsidP="00D22793">
    <w:pPr>
      <w:pBdr>
        <w:top w:val="single" w:sz="4" w:space="0" w:color="auto"/>
      </w:pBdr>
      <w:ind w:left="-284" w:right="-329" w:firstLine="284"/>
      <w:jc w:val="center"/>
      <w:rPr>
        <w:i/>
        <w:sz w:val="16"/>
        <w:szCs w:val="16"/>
      </w:rPr>
    </w:pPr>
    <w:r>
      <w:rPr>
        <w:i/>
        <w:sz w:val="20"/>
      </w:rPr>
      <w:t>© Commonwealth of Australia.</w:t>
    </w:r>
  </w:p>
  <w:p w:rsidR="00832441" w:rsidRDefault="00832441" w:rsidP="005A77AC">
    <w:pPr>
      <w:jc w:val="center"/>
    </w:pPr>
    <w:r>
      <w:fldChar w:fldCharType="begin"/>
    </w:r>
    <w:r>
      <w:instrText xml:space="preserve"> PAGE  \* MERGEFORMAT </w:instrText>
    </w:r>
    <w:r>
      <w:fldChar w:fldCharType="separate"/>
    </w:r>
    <w:r w:rsidR="00B11C10">
      <w:rPr>
        <w:noProof/>
      </w:rPr>
      <w:t>1</w:t>
    </w:r>
    <w:r>
      <w:fldChar w:fldCharType="end"/>
    </w:r>
  </w:p>
  <w:p w:rsidR="00832441" w:rsidRDefault="00832441" w:rsidP="005A77AC">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2441" w:rsidRDefault="00832441">
      <w:r>
        <w:separator/>
      </w:r>
    </w:p>
  </w:footnote>
  <w:footnote w:type="continuationSeparator" w:id="0">
    <w:p w:rsidR="00832441" w:rsidRDefault="00832441">
      <w:r>
        <w:continuationSeparator/>
      </w:r>
    </w:p>
  </w:footnote>
  <w:footnote w:id="1">
    <w:p w:rsidR="00832441" w:rsidRDefault="00832441">
      <w:pPr>
        <w:pStyle w:val="FootnoteText"/>
      </w:pPr>
      <w:r>
        <w:rPr>
          <w:rStyle w:val="FootnoteReference"/>
        </w:rPr>
        <w:footnoteRef/>
      </w:r>
      <w:r>
        <w:t xml:space="preserve"> </w:t>
      </w:r>
      <w:r>
        <w:tab/>
        <w:t>The weighted average daily imbalance price applies for Victoria.</w:t>
      </w:r>
    </w:p>
  </w:footnote>
  <w:footnote w:id="2">
    <w:p w:rsidR="00832441" w:rsidRPr="006F4169" w:rsidRDefault="00832441" w:rsidP="00E74D68">
      <w:pPr>
        <w:pStyle w:val="FootnoteText"/>
        <w:ind w:left="180" w:hanging="180"/>
        <w:rPr>
          <w:sz w:val="18"/>
          <w:szCs w:val="18"/>
        </w:rPr>
      </w:pPr>
      <w:r>
        <w:rPr>
          <w:rStyle w:val="FootnoteReference"/>
        </w:rPr>
        <w:footnoteRef/>
      </w:r>
      <w:r>
        <w:t xml:space="preserve">  </w:t>
      </w:r>
      <w:r w:rsidRPr="006F4169">
        <w:rPr>
          <w:sz w:val="18"/>
          <w:szCs w:val="18"/>
        </w:rPr>
        <w:t>These are Market Participants’ aggregate demand forecasts adjusted for any override</w:t>
      </w:r>
      <w:r>
        <w:rPr>
          <w:sz w:val="18"/>
          <w:szCs w:val="18"/>
        </w:rPr>
        <w:t xml:space="preserve"> as</w:t>
      </w:r>
      <w:r w:rsidRPr="006F4169">
        <w:rPr>
          <w:sz w:val="18"/>
          <w:szCs w:val="18"/>
        </w:rPr>
        <w:t xml:space="preserve"> applied by AEMO</w:t>
      </w:r>
      <w:r>
        <w:rPr>
          <w:sz w:val="18"/>
          <w:szCs w:val="18"/>
        </w:rPr>
        <w:t xml:space="preserve"> from time to time</w:t>
      </w:r>
      <w:r w:rsidRPr="006F4169">
        <w:rPr>
          <w:sz w:val="18"/>
          <w:szCs w:val="18"/>
        </w:rPr>
        <w:t>.</w:t>
      </w:r>
      <w:r>
        <w:rPr>
          <w:sz w:val="18"/>
          <w:szCs w:val="18"/>
        </w:rPr>
        <w:t xml:space="preserve"> </w:t>
      </w:r>
      <w:r w:rsidRPr="00C9081C">
        <w:rPr>
          <w:sz w:val="18"/>
          <w:szCs w:val="18"/>
        </w:rPr>
        <w:t>The main driver of the amount of gas scheduled on a gas day are these forecasts which are forecasts  that cannot respond to price</w:t>
      </w:r>
      <w:r>
        <w:rPr>
          <w:sz w:val="18"/>
          <w:szCs w:val="18"/>
        </w:rPr>
        <w:t xml:space="preserve"> or in other words is gas delivered regardless of the price.</w:t>
      </w:r>
    </w:p>
  </w:footnote>
  <w:footnote w:id="3">
    <w:p w:rsidR="00832441" w:rsidRDefault="0083244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System Injection Point (SIP)</w:t>
      </w:r>
      <w:r w:rsidRPr="00DB0182">
        <w:rPr>
          <w:sz w:val="18"/>
          <w:szCs w:val="18"/>
        </w:rPr>
        <w:t xml:space="preserve"> from time to time.</w:t>
      </w:r>
    </w:p>
  </w:footnote>
  <w:footnote w:id="4">
    <w:p w:rsidR="00832441" w:rsidRDefault="0083244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SIP</w:t>
      </w:r>
      <w:r w:rsidRPr="00DB0182">
        <w:rPr>
          <w:sz w:val="18"/>
          <w:szCs w:val="18"/>
        </w:rPr>
        <w:t xml:space="preserve"> from time to time.</w:t>
      </w:r>
    </w:p>
  </w:footnote>
  <w:footnote w:id="5">
    <w:p w:rsidR="00832441" w:rsidRPr="00405680" w:rsidRDefault="00832441" w:rsidP="00B24A61">
      <w:pPr>
        <w:pStyle w:val="FootnoteText"/>
        <w:ind w:left="180" w:hanging="180"/>
        <w:rPr>
          <w:sz w:val="18"/>
          <w:szCs w:val="18"/>
        </w:rPr>
      </w:pPr>
      <w:r>
        <w:rPr>
          <w:rStyle w:val="FootnoteReference"/>
        </w:rPr>
        <w:footnoteRef/>
      </w:r>
      <w:r>
        <w:t xml:space="preserve"> </w:t>
      </w:r>
      <w:r w:rsidRPr="00405680">
        <w:rPr>
          <w:sz w:val="18"/>
          <w:szCs w:val="18"/>
        </w:rPr>
        <w:t>The main driver of the amount of gas scheduled on a gas day is the ‘price-taker’ bid, which is forecast hub demand that cannot respond to price and which must be delivered, regardless of the price.</w:t>
      </w:r>
    </w:p>
  </w:footnote>
  <w:footnote w:id="6">
    <w:p w:rsidR="00832441" w:rsidRPr="00405680" w:rsidRDefault="00832441" w:rsidP="00B24A61">
      <w:pPr>
        <w:pStyle w:val="AERbodytext"/>
        <w:spacing w:before="120" w:after="120"/>
        <w:ind w:left="180" w:hanging="180"/>
        <w:jc w:val="both"/>
        <w:rPr>
          <w:sz w:val="18"/>
          <w:szCs w:val="18"/>
        </w:rPr>
      </w:pPr>
      <w:r w:rsidRPr="00405680">
        <w:rPr>
          <w:rStyle w:val="FootnoteReference"/>
          <w:sz w:val="20"/>
          <w:szCs w:val="20"/>
        </w:rPr>
        <w:footnoteRef/>
      </w:r>
      <w:r w:rsidRPr="00405680">
        <w:rPr>
          <w:sz w:val="20"/>
          <w:szCs w:val="20"/>
        </w:rPr>
        <w:t xml:space="preserve"> </w:t>
      </w:r>
      <w:r w:rsidRPr="00405680">
        <w:rPr>
          <w:sz w:val="18"/>
          <w:szCs w:val="18"/>
        </w:rPr>
        <w:t>MOS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p w:rsidR="00832441" w:rsidRDefault="00832441" w:rsidP="00B24A61">
      <w:pPr>
        <w:pStyle w:val="FootnoteText"/>
      </w:pPr>
    </w:p>
  </w:footnote>
  <w:footnote w:id="7">
    <w:p w:rsidR="00832441" w:rsidRPr="00405680" w:rsidRDefault="00832441">
      <w:pPr>
        <w:pStyle w:val="FootnoteText"/>
        <w:rPr>
          <w:sz w:val="18"/>
          <w:szCs w:val="18"/>
        </w:rPr>
      </w:pPr>
      <w:r>
        <w:rPr>
          <w:rStyle w:val="FootnoteReference"/>
        </w:rPr>
        <w:footnoteRef/>
      </w:r>
      <w:r>
        <w:t xml:space="preserve"> </w:t>
      </w:r>
      <w:r w:rsidRPr="00405680">
        <w:rPr>
          <w:sz w:val="18"/>
          <w:szCs w:val="18"/>
        </w:rPr>
        <w:t xml:space="preserve">Regional Gas Flows:  </w:t>
      </w:r>
      <w:r w:rsidRPr="00405680">
        <w:rPr>
          <w:b/>
          <w:sz w:val="18"/>
          <w:szCs w:val="18"/>
        </w:rPr>
        <w:t>SA</w:t>
      </w:r>
      <w:r w:rsidRPr="00405680">
        <w:rPr>
          <w:sz w:val="18"/>
          <w:szCs w:val="18"/>
        </w:rPr>
        <w:t xml:space="preserve"> = MAP + SEAGAS, </w:t>
      </w:r>
      <w:r w:rsidRPr="00405680">
        <w:rPr>
          <w:b/>
          <w:sz w:val="18"/>
          <w:szCs w:val="18"/>
        </w:rPr>
        <w:t>VIC</w:t>
      </w:r>
      <w:r w:rsidRPr="00405680">
        <w:rPr>
          <w:sz w:val="18"/>
          <w:szCs w:val="18"/>
        </w:rPr>
        <w:t xml:space="preserve"> = SWP + LMP – negative(NSW-VIC), </w:t>
      </w:r>
    </w:p>
    <w:p w:rsidR="00832441" w:rsidRPr="00405680" w:rsidRDefault="00832441">
      <w:pPr>
        <w:pStyle w:val="FootnoteText"/>
        <w:rPr>
          <w:sz w:val="18"/>
          <w:szCs w:val="18"/>
        </w:rPr>
      </w:pPr>
      <w:r w:rsidRPr="00405680">
        <w:rPr>
          <w:b/>
          <w:sz w:val="18"/>
          <w:szCs w:val="18"/>
        </w:rPr>
        <w:t>NSW/ACT</w:t>
      </w:r>
      <w:r w:rsidRPr="00405680">
        <w:rPr>
          <w:sz w:val="18"/>
          <w:szCs w:val="18"/>
        </w:rPr>
        <w:t xml:space="preserve"> = EGP + MSP, </w:t>
      </w:r>
      <w:r w:rsidRPr="00405680">
        <w:rPr>
          <w:b/>
          <w:sz w:val="18"/>
          <w:szCs w:val="18"/>
        </w:rPr>
        <w:t>TAS</w:t>
      </w:r>
      <w:r w:rsidRPr="00405680">
        <w:rPr>
          <w:sz w:val="18"/>
          <w:szCs w:val="18"/>
        </w:rPr>
        <w:t xml:space="preserve"> = TGP, </w:t>
      </w:r>
      <w:r w:rsidRPr="00405680">
        <w:rPr>
          <w:b/>
          <w:sz w:val="18"/>
          <w:szCs w:val="18"/>
        </w:rPr>
        <w:t>QLD (Brisbane)</w:t>
      </w:r>
      <w:r w:rsidRPr="00405680">
        <w:rPr>
          <w:sz w:val="18"/>
          <w:szCs w:val="18"/>
        </w:rPr>
        <w:t xml:space="preserve"> = RBP, </w:t>
      </w:r>
      <w:r w:rsidRPr="00405680">
        <w:rPr>
          <w:b/>
          <w:sz w:val="18"/>
          <w:szCs w:val="18"/>
        </w:rPr>
        <w:t>QLD (Mt Isa)</w:t>
      </w:r>
      <w:r w:rsidRPr="00405680">
        <w:rPr>
          <w:sz w:val="18"/>
          <w:szCs w:val="18"/>
        </w:rPr>
        <w:t xml:space="preserve"> = CGP, </w:t>
      </w:r>
      <w:r w:rsidRPr="00405680">
        <w:rPr>
          <w:b/>
          <w:sz w:val="18"/>
          <w:szCs w:val="18"/>
        </w:rPr>
        <w:t>QLD (Gladstone)</w:t>
      </w:r>
      <w:r w:rsidRPr="00405680">
        <w:rPr>
          <w:sz w:val="18"/>
          <w:szCs w:val="18"/>
        </w:rPr>
        <w:t xml:space="preserve"> = QGP</w:t>
      </w:r>
    </w:p>
    <w:p w:rsidR="00832441" w:rsidRPr="00405680" w:rsidRDefault="00832441">
      <w:pPr>
        <w:pStyle w:val="FootnoteText"/>
        <w:rPr>
          <w:sz w:val="18"/>
          <w:szCs w:val="18"/>
        </w:rPr>
      </w:pPr>
      <w:r w:rsidRPr="00405680">
        <w:rPr>
          <w:sz w:val="18"/>
          <w:szCs w:val="18"/>
        </w:rPr>
        <w:t>GPG volumes include gas usage that may not show up on Bulletin Board pipeline flows.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pStyle w:val="AERappendixtableheading"/>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3">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4">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5">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7">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8">
    <w:nsid w:val="50895FE3"/>
    <w:multiLevelType w:val="multilevel"/>
    <w:tmpl w:val="AD32F924"/>
    <w:lvl w:ilvl="0">
      <w:start w:val="1"/>
      <w:numFmt w:val="decimal"/>
      <w:pStyle w:val="AERheading1"/>
      <w:lvlText w:val="%1"/>
      <w:lvlJc w:val="left"/>
      <w:pPr>
        <w:tabs>
          <w:tab w:val="num" w:pos="851"/>
        </w:tabs>
        <w:ind w:left="851" w:hanging="851"/>
      </w:pPr>
      <w:rPr>
        <w:rFonts w:hint="default"/>
      </w:rPr>
    </w:lvl>
    <w:lvl w:ilvl="1">
      <w:start w:val="1"/>
      <w:numFmt w:val="decimal"/>
      <w:pStyle w:val="AERheading2"/>
      <w:lvlText w:val="%1.%2"/>
      <w:lvlJc w:val="left"/>
      <w:pPr>
        <w:tabs>
          <w:tab w:val="num" w:pos="851"/>
        </w:tabs>
        <w:ind w:left="851" w:hanging="851"/>
      </w:pPr>
      <w:rPr>
        <w:rFonts w:hint="default"/>
      </w:rPr>
    </w:lvl>
    <w:lvl w:ilvl="2">
      <w:start w:val="1"/>
      <w:numFmt w:val="decimal"/>
      <w:pStyle w:val="AERheading3"/>
      <w:lvlText w:val="%1.%2.%3"/>
      <w:lvlJc w:val="left"/>
      <w:pPr>
        <w:tabs>
          <w:tab w:val="num" w:pos="851"/>
        </w:tabs>
        <w:ind w:left="851" w:hanging="851"/>
      </w:pPr>
      <w:rPr>
        <w:rFonts w:hint="default"/>
      </w:rPr>
    </w:lvl>
    <w:lvl w:ilvl="3">
      <w:start w:val="1"/>
      <w:numFmt w:val="decimal"/>
      <w:pStyle w:val="AERheading4"/>
      <w:lvlText w:val="%1.%2.%3.%4"/>
      <w:lvlJc w:val="left"/>
      <w:pPr>
        <w:tabs>
          <w:tab w:val="num" w:pos="851"/>
        </w:tabs>
        <w:ind w:left="851" w:hanging="851"/>
      </w:pPr>
      <w:rPr>
        <w:rFonts w:hint="default"/>
      </w:rPr>
    </w:lvl>
    <w:lvl w:ilvl="4">
      <w:start w:val="1"/>
      <w:numFmt w:val="decimal"/>
      <w:lvlRestart w:val="1"/>
      <w:pStyle w:val="AERtableheading"/>
      <w:lvlText w:val="Table %1.%5"/>
      <w:lvlJc w:val="left"/>
      <w:pPr>
        <w:tabs>
          <w:tab w:val="num" w:pos="1361"/>
        </w:tabs>
        <w:ind w:left="1361" w:hanging="1361"/>
      </w:pPr>
      <w:rPr>
        <w:rFonts w:hint="default"/>
      </w:rPr>
    </w:lvl>
    <w:lvl w:ilvl="5">
      <w:start w:val="1"/>
      <w:numFmt w:val="decimal"/>
      <w:lvlRestart w:val="1"/>
      <w:pStyle w:val="AERfigureheading"/>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pStyle w:val="AERtableheading-unnumbered"/>
      <w:lvlText w:val="Figure 2.2 (%7)"/>
      <w:lvlJc w:val="left"/>
      <w:pPr>
        <w:tabs>
          <w:tab w:val="num" w:pos="1361"/>
        </w:tabs>
        <w:ind w:left="1361" w:hanging="1361"/>
      </w:pPr>
      <w:rPr>
        <w:rFonts w:hint="default"/>
      </w:rPr>
    </w:lvl>
    <w:lvl w:ilvl="7">
      <w:start w:val="1"/>
      <w:numFmt w:val="decimal"/>
      <w:lvlRestart w:val="0"/>
      <w:pStyle w:val="AERfigureheading-unnumbered"/>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9">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0">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11">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4"/>
  </w:num>
  <w:num w:numId="3">
    <w:abstractNumId w:val="6"/>
  </w:num>
  <w:num w:numId="4">
    <w:abstractNumId w:val="11"/>
  </w:num>
  <w:num w:numId="5">
    <w:abstractNumId w:val="1"/>
  </w:num>
  <w:num w:numId="6">
    <w:abstractNumId w:val="10"/>
  </w:num>
  <w:num w:numId="7">
    <w:abstractNumId w:val="7"/>
  </w:num>
  <w:num w:numId="8">
    <w:abstractNumId w:val="3"/>
  </w:num>
  <w:num w:numId="9">
    <w:abstractNumId w:val="2"/>
  </w:num>
  <w:num w:numId="10">
    <w:abstractNumId w:val="5"/>
  </w:num>
  <w:num w:numId="11">
    <w:abstractNumId w:val="0"/>
  </w:num>
  <w:num w:numId="12">
    <w:abstractNumId w:val="8"/>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5">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6">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SCBRFS001.accc.local\home$\adrae\20140112-20140118 Gas weekly report.DOCX"/>
  </w:docVars>
  <w:rsids>
    <w:rsidRoot w:val="005F18AD"/>
    <w:rsid w:val="000013C1"/>
    <w:rsid w:val="00001BFB"/>
    <w:rsid w:val="00002313"/>
    <w:rsid w:val="00010025"/>
    <w:rsid w:val="000123CA"/>
    <w:rsid w:val="00020978"/>
    <w:rsid w:val="0002268D"/>
    <w:rsid w:val="0002658A"/>
    <w:rsid w:val="00030F6D"/>
    <w:rsid w:val="000323BA"/>
    <w:rsid w:val="00033456"/>
    <w:rsid w:val="00040F6B"/>
    <w:rsid w:val="00045242"/>
    <w:rsid w:val="00055584"/>
    <w:rsid w:val="00061656"/>
    <w:rsid w:val="0006609A"/>
    <w:rsid w:val="00073D01"/>
    <w:rsid w:val="00076046"/>
    <w:rsid w:val="000813BF"/>
    <w:rsid w:val="00081791"/>
    <w:rsid w:val="000876E7"/>
    <w:rsid w:val="000974A2"/>
    <w:rsid w:val="00097D40"/>
    <w:rsid w:val="000B4A1F"/>
    <w:rsid w:val="000B6397"/>
    <w:rsid w:val="000B69E0"/>
    <w:rsid w:val="000D1FEB"/>
    <w:rsid w:val="000D52B4"/>
    <w:rsid w:val="000E1593"/>
    <w:rsid w:val="000F0BBB"/>
    <w:rsid w:val="000F3B46"/>
    <w:rsid w:val="000F59F8"/>
    <w:rsid w:val="000F5F5E"/>
    <w:rsid w:val="000F6D05"/>
    <w:rsid w:val="00117C98"/>
    <w:rsid w:val="00124721"/>
    <w:rsid w:val="00125818"/>
    <w:rsid w:val="001420EB"/>
    <w:rsid w:val="001452B3"/>
    <w:rsid w:val="00147327"/>
    <w:rsid w:val="00150A19"/>
    <w:rsid w:val="00153729"/>
    <w:rsid w:val="00157AFD"/>
    <w:rsid w:val="00181F4A"/>
    <w:rsid w:val="00183D85"/>
    <w:rsid w:val="00193ECC"/>
    <w:rsid w:val="001A41B4"/>
    <w:rsid w:val="001A5893"/>
    <w:rsid w:val="001A5B94"/>
    <w:rsid w:val="001A5C1A"/>
    <w:rsid w:val="001A765F"/>
    <w:rsid w:val="001B294E"/>
    <w:rsid w:val="001B29F0"/>
    <w:rsid w:val="001B2ADA"/>
    <w:rsid w:val="001C006C"/>
    <w:rsid w:val="001C5A74"/>
    <w:rsid w:val="001E79FF"/>
    <w:rsid w:val="001F0F9B"/>
    <w:rsid w:val="00206559"/>
    <w:rsid w:val="002168D4"/>
    <w:rsid w:val="002312F5"/>
    <w:rsid w:val="00233988"/>
    <w:rsid w:val="0025002E"/>
    <w:rsid w:val="002521CC"/>
    <w:rsid w:val="00252A22"/>
    <w:rsid w:val="00254746"/>
    <w:rsid w:val="002645CB"/>
    <w:rsid w:val="00266CA5"/>
    <w:rsid w:val="0026764C"/>
    <w:rsid w:val="00270B82"/>
    <w:rsid w:val="002765A2"/>
    <w:rsid w:val="00285E00"/>
    <w:rsid w:val="002861A9"/>
    <w:rsid w:val="00290C57"/>
    <w:rsid w:val="002910A1"/>
    <w:rsid w:val="002A0CD1"/>
    <w:rsid w:val="002A30E7"/>
    <w:rsid w:val="002A3E5D"/>
    <w:rsid w:val="002A46AC"/>
    <w:rsid w:val="002A5634"/>
    <w:rsid w:val="002B3D3C"/>
    <w:rsid w:val="002B4D21"/>
    <w:rsid w:val="002C2576"/>
    <w:rsid w:val="002D0C16"/>
    <w:rsid w:val="002D59B3"/>
    <w:rsid w:val="002D5CEC"/>
    <w:rsid w:val="002E0688"/>
    <w:rsid w:val="002E2C96"/>
    <w:rsid w:val="002E2E46"/>
    <w:rsid w:val="002F0AE7"/>
    <w:rsid w:val="002F4250"/>
    <w:rsid w:val="0030240F"/>
    <w:rsid w:val="00311A09"/>
    <w:rsid w:val="00314A8B"/>
    <w:rsid w:val="00323327"/>
    <w:rsid w:val="0032682F"/>
    <w:rsid w:val="003348F7"/>
    <w:rsid w:val="00336E8E"/>
    <w:rsid w:val="003410C4"/>
    <w:rsid w:val="00347FBB"/>
    <w:rsid w:val="003548AA"/>
    <w:rsid w:val="00357C72"/>
    <w:rsid w:val="003632A4"/>
    <w:rsid w:val="003664D0"/>
    <w:rsid w:val="00366BDF"/>
    <w:rsid w:val="00372976"/>
    <w:rsid w:val="00374CF9"/>
    <w:rsid w:val="003800B4"/>
    <w:rsid w:val="003A3DE7"/>
    <w:rsid w:val="003B0AAD"/>
    <w:rsid w:val="003B4527"/>
    <w:rsid w:val="003B5F3B"/>
    <w:rsid w:val="003B65E0"/>
    <w:rsid w:val="003C5272"/>
    <w:rsid w:val="003C5482"/>
    <w:rsid w:val="003D3F00"/>
    <w:rsid w:val="003E313D"/>
    <w:rsid w:val="003F123E"/>
    <w:rsid w:val="003F44AD"/>
    <w:rsid w:val="003F51E6"/>
    <w:rsid w:val="003F7FD2"/>
    <w:rsid w:val="0040076C"/>
    <w:rsid w:val="004055AC"/>
    <w:rsid w:val="00405680"/>
    <w:rsid w:val="00411C3F"/>
    <w:rsid w:val="00421FFF"/>
    <w:rsid w:val="00433231"/>
    <w:rsid w:val="00434FC1"/>
    <w:rsid w:val="0043594D"/>
    <w:rsid w:val="00441BBF"/>
    <w:rsid w:val="00445D38"/>
    <w:rsid w:val="00447C09"/>
    <w:rsid w:val="0045204B"/>
    <w:rsid w:val="00452149"/>
    <w:rsid w:val="00452AAD"/>
    <w:rsid w:val="00460629"/>
    <w:rsid w:val="00463EFA"/>
    <w:rsid w:val="004777B8"/>
    <w:rsid w:val="00483EDA"/>
    <w:rsid w:val="00492501"/>
    <w:rsid w:val="00494843"/>
    <w:rsid w:val="00496CEF"/>
    <w:rsid w:val="004A09D6"/>
    <w:rsid w:val="004A10A7"/>
    <w:rsid w:val="004B068E"/>
    <w:rsid w:val="004B18D8"/>
    <w:rsid w:val="004B2256"/>
    <w:rsid w:val="004B2A1A"/>
    <w:rsid w:val="004C5F01"/>
    <w:rsid w:val="004D09C9"/>
    <w:rsid w:val="004D1EBF"/>
    <w:rsid w:val="004D3B99"/>
    <w:rsid w:val="004D3E78"/>
    <w:rsid w:val="004E35B2"/>
    <w:rsid w:val="004F3D13"/>
    <w:rsid w:val="00502181"/>
    <w:rsid w:val="00505139"/>
    <w:rsid w:val="005157B0"/>
    <w:rsid w:val="00522E00"/>
    <w:rsid w:val="00524BB9"/>
    <w:rsid w:val="00533768"/>
    <w:rsid w:val="00547827"/>
    <w:rsid w:val="00563C94"/>
    <w:rsid w:val="0056618C"/>
    <w:rsid w:val="00582F1C"/>
    <w:rsid w:val="005859CC"/>
    <w:rsid w:val="0058627C"/>
    <w:rsid w:val="005862F5"/>
    <w:rsid w:val="005865DB"/>
    <w:rsid w:val="00587CD1"/>
    <w:rsid w:val="005A1650"/>
    <w:rsid w:val="005A4569"/>
    <w:rsid w:val="005A77AC"/>
    <w:rsid w:val="005C2B6D"/>
    <w:rsid w:val="005C4B8B"/>
    <w:rsid w:val="005C68CE"/>
    <w:rsid w:val="005D1037"/>
    <w:rsid w:val="005D4097"/>
    <w:rsid w:val="005D6652"/>
    <w:rsid w:val="005E4C48"/>
    <w:rsid w:val="005F18AD"/>
    <w:rsid w:val="005F31D0"/>
    <w:rsid w:val="00601A25"/>
    <w:rsid w:val="00601C18"/>
    <w:rsid w:val="00601E71"/>
    <w:rsid w:val="0060661E"/>
    <w:rsid w:val="00612663"/>
    <w:rsid w:val="00643109"/>
    <w:rsid w:val="00645036"/>
    <w:rsid w:val="00647DD2"/>
    <w:rsid w:val="006520EE"/>
    <w:rsid w:val="00652A42"/>
    <w:rsid w:val="006540B1"/>
    <w:rsid w:val="0067059D"/>
    <w:rsid w:val="006705A4"/>
    <w:rsid w:val="00671F88"/>
    <w:rsid w:val="00686F6E"/>
    <w:rsid w:val="00697E41"/>
    <w:rsid w:val="006A5317"/>
    <w:rsid w:val="006B004C"/>
    <w:rsid w:val="006B2250"/>
    <w:rsid w:val="006C1858"/>
    <w:rsid w:val="006C242A"/>
    <w:rsid w:val="006C2B2B"/>
    <w:rsid w:val="006C57B2"/>
    <w:rsid w:val="006C5A2C"/>
    <w:rsid w:val="006C6D60"/>
    <w:rsid w:val="006D6E0B"/>
    <w:rsid w:val="006E1063"/>
    <w:rsid w:val="006E312B"/>
    <w:rsid w:val="006E40BD"/>
    <w:rsid w:val="006F4169"/>
    <w:rsid w:val="007001FF"/>
    <w:rsid w:val="00706720"/>
    <w:rsid w:val="00710E2F"/>
    <w:rsid w:val="0071106C"/>
    <w:rsid w:val="00715BED"/>
    <w:rsid w:val="007209C0"/>
    <w:rsid w:val="0072650E"/>
    <w:rsid w:val="007306EC"/>
    <w:rsid w:val="00740EE4"/>
    <w:rsid w:val="00750978"/>
    <w:rsid w:val="00750C0F"/>
    <w:rsid w:val="00763150"/>
    <w:rsid w:val="0076429B"/>
    <w:rsid w:val="00767397"/>
    <w:rsid w:val="00773AE0"/>
    <w:rsid w:val="00776BBA"/>
    <w:rsid w:val="00781A4A"/>
    <w:rsid w:val="00790892"/>
    <w:rsid w:val="00791198"/>
    <w:rsid w:val="007941C2"/>
    <w:rsid w:val="00795966"/>
    <w:rsid w:val="007966A5"/>
    <w:rsid w:val="007A12DE"/>
    <w:rsid w:val="007A24B5"/>
    <w:rsid w:val="007A7E7A"/>
    <w:rsid w:val="007B7771"/>
    <w:rsid w:val="007D4B14"/>
    <w:rsid w:val="007D4F53"/>
    <w:rsid w:val="007E52F7"/>
    <w:rsid w:val="007E5F68"/>
    <w:rsid w:val="0080456D"/>
    <w:rsid w:val="00811D1C"/>
    <w:rsid w:val="008133CF"/>
    <w:rsid w:val="00816CDB"/>
    <w:rsid w:val="008170C0"/>
    <w:rsid w:val="00832441"/>
    <w:rsid w:val="008344A6"/>
    <w:rsid w:val="00875D0C"/>
    <w:rsid w:val="008776EF"/>
    <w:rsid w:val="00882958"/>
    <w:rsid w:val="008936C5"/>
    <w:rsid w:val="00895965"/>
    <w:rsid w:val="008A6DB5"/>
    <w:rsid w:val="008B1B1E"/>
    <w:rsid w:val="008B7161"/>
    <w:rsid w:val="008C0EC8"/>
    <w:rsid w:val="008C7F3A"/>
    <w:rsid w:val="008D4DAB"/>
    <w:rsid w:val="008D70A4"/>
    <w:rsid w:val="008E2239"/>
    <w:rsid w:val="008E24DA"/>
    <w:rsid w:val="008F4BF5"/>
    <w:rsid w:val="008F4EAE"/>
    <w:rsid w:val="008F5409"/>
    <w:rsid w:val="00900CEB"/>
    <w:rsid w:val="009136B3"/>
    <w:rsid w:val="009143E0"/>
    <w:rsid w:val="00937543"/>
    <w:rsid w:val="00942622"/>
    <w:rsid w:val="00951926"/>
    <w:rsid w:val="00956CE9"/>
    <w:rsid w:val="009629B5"/>
    <w:rsid w:val="00976584"/>
    <w:rsid w:val="00987973"/>
    <w:rsid w:val="00996EA0"/>
    <w:rsid w:val="009A04DD"/>
    <w:rsid w:val="009B2F99"/>
    <w:rsid w:val="009B4053"/>
    <w:rsid w:val="009B4376"/>
    <w:rsid w:val="009B6259"/>
    <w:rsid w:val="009B77E9"/>
    <w:rsid w:val="009B7937"/>
    <w:rsid w:val="009B7BF9"/>
    <w:rsid w:val="009C2C0E"/>
    <w:rsid w:val="009C30E2"/>
    <w:rsid w:val="009C4CBD"/>
    <w:rsid w:val="009C7F8C"/>
    <w:rsid w:val="009D2B17"/>
    <w:rsid w:val="009D7763"/>
    <w:rsid w:val="009D7D0F"/>
    <w:rsid w:val="009E18FE"/>
    <w:rsid w:val="009F43B1"/>
    <w:rsid w:val="009F4655"/>
    <w:rsid w:val="009F4DF7"/>
    <w:rsid w:val="00A01A7E"/>
    <w:rsid w:val="00A0223D"/>
    <w:rsid w:val="00A13F97"/>
    <w:rsid w:val="00A156EE"/>
    <w:rsid w:val="00A200D0"/>
    <w:rsid w:val="00A26940"/>
    <w:rsid w:val="00A324A8"/>
    <w:rsid w:val="00A349B0"/>
    <w:rsid w:val="00A475A2"/>
    <w:rsid w:val="00A47D7D"/>
    <w:rsid w:val="00A51DDD"/>
    <w:rsid w:val="00A55C96"/>
    <w:rsid w:val="00A60E3D"/>
    <w:rsid w:val="00A642B8"/>
    <w:rsid w:val="00A66FD2"/>
    <w:rsid w:val="00A677D8"/>
    <w:rsid w:val="00A834DF"/>
    <w:rsid w:val="00A936AE"/>
    <w:rsid w:val="00A97B2C"/>
    <w:rsid w:val="00AA1D87"/>
    <w:rsid w:val="00AA4CF5"/>
    <w:rsid w:val="00AB4C96"/>
    <w:rsid w:val="00AD3EBD"/>
    <w:rsid w:val="00AE4633"/>
    <w:rsid w:val="00AE748C"/>
    <w:rsid w:val="00AF2281"/>
    <w:rsid w:val="00AF5C23"/>
    <w:rsid w:val="00B00058"/>
    <w:rsid w:val="00B1081E"/>
    <w:rsid w:val="00B11C10"/>
    <w:rsid w:val="00B16118"/>
    <w:rsid w:val="00B17A8A"/>
    <w:rsid w:val="00B24A61"/>
    <w:rsid w:val="00B254F8"/>
    <w:rsid w:val="00B30EB3"/>
    <w:rsid w:val="00B3322A"/>
    <w:rsid w:val="00B33F8C"/>
    <w:rsid w:val="00B4302A"/>
    <w:rsid w:val="00B507D2"/>
    <w:rsid w:val="00B529D0"/>
    <w:rsid w:val="00B60F88"/>
    <w:rsid w:val="00B61751"/>
    <w:rsid w:val="00B659EE"/>
    <w:rsid w:val="00B66BAB"/>
    <w:rsid w:val="00B70A9F"/>
    <w:rsid w:val="00B71A5E"/>
    <w:rsid w:val="00B76529"/>
    <w:rsid w:val="00B82478"/>
    <w:rsid w:val="00BA16E2"/>
    <w:rsid w:val="00BA31C3"/>
    <w:rsid w:val="00BA65E6"/>
    <w:rsid w:val="00BA6C2E"/>
    <w:rsid w:val="00BB2FF6"/>
    <w:rsid w:val="00BB7BC1"/>
    <w:rsid w:val="00BC21AB"/>
    <w:rsid w:val="00BC254C"/>
    <w:rsid w:val="00BC263D"/>
    <w:rsid w:val="00BC4C5B"/>
    <w:rsid w:val="00BC77F9"/>
    <w:rsid w:val="00BD3A40"/>
    <w:rsid w:val="00BD60AA"/>
    <w:rsid w:val="00BE18D0"/>
    <w:rsid w:val="00BE4577"/>
    <w:rsid w:val="00BF1D01"/>
    <w:rsid w:val="00BF2E98"/>
    <w:rsid w:val="00BF3080"/>
    <w:rsid w:val="00C1780A"/>
    <w:rsid w:val="00C21D81"/>
    <w:rsid w:val="00C26B1D"/>
    <w:rsid w:val="00C26E38"/>
    <w:rsid w:val="00C560C2"/>
    <w:rsid w:val="00C60857"/>
    <w:rsid w:val="00C75920"/>
    <w:rsid w:val="00C76F52"/>
    <w:rsid w:val="00C83657"/>
    <w:rsid w:val="00C859CC"/>
    <w:rsid w:val="00C94431"/>
    <w:rsid w:val="00C9498F"/>
    <w:rsid w:val="00CA0EE1"/>
    <w:rsid w:val="00CA41A7"/>
    <w:rsid w:val="00CB0C0E"/>
    <w:rsid w:val="00CB5B80"/>
    <w:rsid w:val="00CC300D"/>
    <w:rsid w:val="00CC385B"/>
    <w:rsid w:val="00CC4A35"/>
    <w:rsid w:val="00CD3544"/>
    <w:rsid w:val="00CE48FC"/>
    <w:rsid w:val="00CE49C1"/>
    <w:rsid w:val="00CE5DB6"/>
    <w:rsid w:val="00CE75EF"/>
    <w:rsid w:val="00CF32A8"/>
    <w:rsid w:val="00CF53CA"/>
    <w:rsid w:val="00CF5471"/>
    <w:rsid w:val="00D10FA6"/>
    <w:rsid w:val="00D161D7"/>
    <w:rsid w:val="00D16FE8"/>
    <w:rsid w:val="00D22793"/>
    <w:rsid w:val="00D329E0"/>
    <w:rsid w:val="00D40430"/>
    <w:rsid w:val="00D41D64"/>
    <w:rsid w:val="00D614C3"/>
    <w:rsid w:val="00D67440"/>
    <w:rsid w:val="00D71951"/>
    <w:rsid w:val="00D76436"/>
    <w:rsid w:val="00D84A8C"/>
    <w:rsid w:val="00DA37EC"/>
    <w:rsid w:val="00DA38A8"/>
    <w:rsid w:val="00DA3AAA"/>
    <w:rsid w:val="00DB0182"/>
    <w:rsid w:val="00DB12E4"/>
    <w:rsid w:val="00DB3B79"/>
    <w:rsid w:val="00DC0A52"/>
    <w:rsid w:val="00DC154F"/>
    <w:rsid w:val="00DC158D"/>
    <w:rsid w:val="00DC5E6D"/>
    <w:rsid w:val="00DD3267"/>
    <w:rsid w:val="00DD5ACD"/>
    <w:rsid w:val="00E01475"/>
    <w:rsid w:val="00E16C03"/>
    <w:rsid w:val="00E21D23"/>
    <w:rsid w:val="00E2256B"/>
    <w:rsid w:val="00E24F69"/>
    <w:rsid w:val="00E33C73"/>
    <w:rsid w:val="00E40361"/>
    <w:rsid w:val="00E41452"/>
    <w:rsid w:val="00E51ED7"/>
    <w:rsid w:val="00E52E2A"/>
    <w:rsid w:val="00E74D68"/>
    <w:rsid w:val="00E7639D"/>
    <w:rsid w:val="00E77449"/>
    <w:rsid w:val="00E86AAA"/>
    <w:rsid w:val="00E92E1D"/>
    <w:rsid w:val="00E93C7C"/>
    <w:rsid w:val="00E94C7D"/>
    <w:rsid w:val="00EA18A1"/>
    <w:rsid w:val="00EA2F65"/>
    <w:rsid w:val="00EA4813"/>
    <w:rsid w:val="00EA6E29"/>
    <w:rsid w:val="00EC3C6B"/>
    <w:rsid w:val="00ED5E08"/>
    <w:rsid w:val="00EE2B5F"/>
    <w:rsid w:val="00EE4614"/>
    <w:rsid w:val="00EE51D2"/>
    <w:rsid w:val="00EE6F2C"/>
    <w:rsid w:val="00EF4E45"/>
    <w:rsid w:val="00EF6B0C"/>
    <w:rsid w:val="00F01843"/>
    <w:rsid w:val="00F02D8D"/>
    <w:rsid w:val="00F16C55"/>
    <w:rsid w:val="00F27323"/>
    <w:rsid w:val="00F415E2"/>
    <w:rsid w:val="00F427B4"/>
    <w:rsid w:val="00F45735"/>
    <w:rsid w:val="00F50297"/>
    <w:rsid w:val="00F51FA1"/>
    <w:rsid w:val="00F5594F"/>
    <w:rsid w:val="00F55D61"/>
    <w:rsid w:val="00F63042"/>
    <w:rsid w:val="00F67559"/>
    <w:rsid w:val="00F70C2D"/>
    <w:rsid w:val="00F71200"/>
    <w:rsid w:val="00F73DCA"/>
    <w:rsid w:val="00F76C15"/>
    <w:rsid w:val="00F76C75"/>
    <w:rsid w:val="00F77722"/>
    <w:rsid w:val="00F803DE"/>
    <w:rsid w:val="00F96C04"/>
    <w:rsid w:val="00FA7AC1"/>
    <w:rsid w:val="00FB594A"/>
    <w:rsid w:val="00FB7DD0"/>
    <w:rsid w:val="00FD08B1"/>
    <w:rsid w:val="00FD7009"/>
    <w:rsid w:val="00FD7231"/>
    <w:rsid w:val="00FE0150"/>
    <w:rsid w:val="00FE2409"/>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18AD"/>
    <w:rPr>
      <w:sz w:val="24"/>
      <w:szCs w:val="24"/>
    </w:rPr>
  </w:style>
  <w:style w:type="paragraph" w:styleId="Heading1">
    <w:name w:val="heading 1"/>
    <w:basedOn w:val="Normal"/>
    <w:next w:val="Normal"/>
    <w:link w:val="Heading1Char"/>
    <w:qFormat/>
    <w:rsid w:val="005F18A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F18A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18A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F18AD"/>
    <w:pPr>
      <w:keepNext/>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 w:val="22"/>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lang w:val="en-AU" w:eastAsia="en-AU" w:bidi="ar-SA"/>
    </w:rPr>
  </w:style>
  <w:style w:type="character" w:customStyle="1" w:styleId="Heading2Char">
    <w:name w:val="Heading 2 Char"/>
    <w:link w:val="Heading2"/>
    <w:locked/>
    <w:rsid w:val="005F18AD"/>
    <w:rPr>
      <w:rFonts w:ascii="Arial" w:hAnsi="Arial" w:cs="Arial"/>
      <w:b/>
      <w:bCs/>
      <w:i/>
      <w:iCs/>
      <w:sz w:val="28"/>
      <w:szCs w:val="28"/>
      <w:lang w:val="en-AU" w:eastAsia="en-AU" w:bidi="ar-SA"/>
    </w:rPr>
  </w:style>
  <w:style w:type="character" w:customStyle="1" w:styleId="Heading3Char">
    <w:name w:val="Heading 3 Char"/>
    <w:link w:val="Heading3"/>
    <w:semiHidden/>
    <w:locked/>
    <w:rsid w:val="005F18AD"/>
    <w:rPr>
      <w:rFonts w:ascii="Arial" w:hAnsi="Arial" w:cs="Arial"/>
      <w:b/>
      <w:bCs/>
      <w:sz w:val="26"/>
      <w:szCs w:val="26"/>
      <w:lang w:val="en-AU" w:eastAsia="en-AU" w:bidi="ar-SA"/>
    </w:rPr>
  </w:style>
  <w:style w:type="character" w:customStyle="1" w:styleId="Heading4Char">
    <w:name w:val="Heading 4 Char"/>
    <w:link w:val="Heading4"/>
    <w:semiHidden/>
    <w:locked/>
    <w:rsid w:val="005F18AD"/>
    <w:rPr>
      <w:b/>
      <w:bCs/>
      <w:sz w:val="28"/>
      <w:szCs w:val="28"/>
      <w:lang w:val="en-AU" w:eastAsia="en-AU" w:bidi="ar-SA"/>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rFonts w:ascii="Arial" w:hAnsi="Arial"/>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semiHidden/>
    <w:rsid w:val="005F18AD"/>
    <w:rPr>
      <w:sz w:val="20"/>
    </w:rPr>
  </w:style>
  <w:style w:type="character" w:customStyle="1" w:styleId="CommentTextChar">
    <w:name w:val="Comment Text Char"/>
    <w:link w:val="CommentText"/>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ascii="Arial" w:hAnsi="Arial" w:cs="Arial"/>
      <w:b/>
      <w:sz w:val="20"/>
    </w:rPr>
  </w:style>
  <w:style w:type="character" w:customStyle="1" w:styleId="FigHeadingCharChar">
    <w:name w:val="Fig Heading Char Char"/>
    <w:link w:val="FigHeading"/>
    <w:rsid w:val="005F18AD"/>
    <w:rPr>
      <w:rFonts w:ascii="Arial" w:hAnsi="Arial" w:cs="Arial"/>
      <w:b/>
      <w:szCs w:val="24"/>
    </w:rPr>
  </w:style>
  <w:style w:type="paragraph" w:customStyle="1" w:styleId="AERbodytext">
    <w:name w:val="AER body text"/>
    <w:rsid w:val="005F18AD"/>
    <w:pPr>
      <w:spacing w:after="240"/>
    </w:pPr>
    <w:rPr>
      <w:sz w:val="24"/>
      <w:szCs w:val="24"/>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semiHidden/>
    <w:rsid w:val="005F18AD"/>
    <w:pPr>
      <w:ind w:left="340" w:hanging="340"/>
    </w:pPr>
    <w:rPr>
      <w:sz w:val="20"/>
      <w:szCs w:val="20"/>
      <w:lang w:eastAsia="en-US"/>
    </w:rPr>
  </w:style>
  <w:style w:type="character" w:customStyle="1" w:styleId="FootnoteTextChar">
    <w:name w:val="Footnote Text Char"/>
    <w:link w:val="FootnoteText"/>
    <w:semiHidden/>
    <w:locked/>
    <w:rsid w:val="005F18AD"/>
    <w:rPr>
      <w:lang w:val="en-AU" w:eastAsia="en-US" w:bidi="ar-SA"/>
    </w:rPr>
  </w:style>
  <w:style w:type="paragraph" w:styleId="Caption">
    <w:name w:val="caption"/>
    <w:basedOn w:val="Normal"/>
    <w:next w:val="Normal"/>
    <w:qFormat/>
    <w:rsid w:val="005F18AD"/>
    <w:rPr>
      <w:b/>
      <w:bCs/>
      <w:sz w:val="20"/>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ascii="Arial" w:hAnsi="Arial"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numPr>
        <w:ilvl w:val="1"/>
        <w:numId w:val="12"/>
      </w:numPr>
      <w:spacing w:after="120"/>
    </w:pPr>
    <w:rPr>
      <w:i w:val="0"/>
      <w:sz w:val="30"/>
      <w:lang w:eastAsia="en-US"/>
    </w:rPr>
  </w:style>
  <w:style w:type="paragraph" w:customStyle="1" w:styleId="AERheading3">
    <w:name w:val="AER heading 3"/>
    <w:basedOn w:val="Heading3"/>
    <w:next w:val="AERbodytext"/>
    <w:rsid w:val="005F18AD"/>
    <w:pPr>
      <w:numPr>
        <w:ilvl w:val="2"/>
        <w:numId w:val="12"/>
      </w:numPr>
      <w:spacing w:after="120"/>
    </w:pPr>
    <w:rPr>
      <w:rFonts w:ascii="Arial Bold" w:hAnsi="Arial Bold"/>
      <w:sz w:val="24"/>
      <w:szCs w:val="24"/>
      <w:lang w:eastAsia="en-US"/>
    </w:rPr>
  </w:style>
  <w:style w:type="paragraph" w:customStyle="1" w:styleId="AERheading4">
    <w:name w:val="AER heading 4"/>
    <w:basedOn w:val="Heading4"/>
    <w:next w:val="AERbodytext"/>
    <w:rsid w:val="005F18AD"/>
    <w:pPr>
      <w:numPr>
        <w:ilvl w:val="3"/>
        <w:numId w:val="12"/>
      </w:numPr>
      <w:spacing w:after="120"/>
    </w:pPr>
    <w:rPr>
      <w:sz w:val="22"/>
      <w:lang w:eastAsia="en-US"/>
    </w:rPr>
  </w:style>
  <w:style w:type="paragraph" w:customStyle="1" w:styleId="AERtableheading">
    <w:name w:val="AER table heading"/>
    <w:basedOn w:val="Normal"/>
    <w:next w:val="Normal"/>
    <w:rsid w:val="005F18AD"/>
    <w:pPr>
      <w:keepNext/>
      <w:numPr>
        <w:ilvl w:val="4"/>
        <w:numId w:val="12"/>
      </w:numPr>
      <w:spacing w:before="240" w:after="120"/>
      <w:outlineLvl w:val="3"/>
    </w:pPr>
    <w:rPr>
      <w:b/>
      <w:sz w:val="22"/>
      <w:lang w:eastAsia="en-US"/>
    </w:rPr>
  </w:style>
  <w:style w:type="paragraph" w:customStyle="1" w:styleId="AERfigureheading">
    <w:name w:val="AER figure heading"/>
    <w:basedOn w:val="Normal"/>
    <w:next w:val="AERbodytext"/>
    <w:rsid w:val="005F18AD"/>
    <w:pPr>
      <w:keepNext/>
      <w:numPr>
        <w:ilvl w:val="5"/>
        <w:numId w:val="12"/>
      </w:numPr>
      <w:spacing w:before="240" w:after="120"/>
      <w:outlineLvl w:val="3"/>
    </w:pPr>
    <w:rPr>
      <w:b/>
      <w:sz w:val="22"/>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numPr>
        <w:ilvl w:val="7"/>
      </w:numPr>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rPr>
  </w:style>
  <w:style w:type="paragraph" w:customStyle="1" w:styleId="FigheadingA">
    <w:name w:val="Fig heading A"/>
    <w:basedOn w:val="Heading6"/>
    <w:rsid w:val="005F18AD"/>
    <w:pPr>
      <w:numPr>
        <w:ilvl w:val="5"/>
        <w:numId w:val="3"/>
      </w:numPr>
      <w:spacing w:before="0" w:after="120"/>
    </w:pPr>
    <w:rPr>
      <w:rFonts w:ascii="Arial" w:hAnsi="Arial" w:cs="Arial"/>
      <w:sz w:val="20"/>
      <w:szCs w:val="20"/>
    </w:rPr>
  </w:style>
  <w:style w:type="paragraph" w:customStyle="1" w:styleId="aerbodytext0">
    <w:name w:val="aerbodytext"/>
    <w:basedOn w:val="Normal"/>
    <w:rsid w:val="005F18AD"/>
    <w:pPr>
      <w:spacing w:after="240"/>
    </w:pPr>
  </w:style>
  <w:style w:type="character" w:styleId="CommentReference">
    <w:name w:val="annotation reference"/>
    <w:semiHidden/>
    <w:rsid w:val="005F18AD"/>
    <w:rPr>
      <w:sz w:val="16"/>
      <w:szCs w:val="16"/>
    </w:rPr>
  </w:style>
  <w:style w:type="table" w:styleId="TableGrid">
    <w:name w:val="Table Grid"/>
    <w:basedOn w:val="TableNormal"/>
    <w:rsid w:val="005F18AD"/>
    <w:pPr>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after="120"/>
      <w:outlineLvl w:val="3"/>
    </w:pPr>
    <w:rPr>
      <w:b/>
      <w:sz w:val="22"/>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numPr>
        <w:numId w:val="11"/>
      </w:numPr>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spacing w:before="120" w:after="120"/>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qFormat/>
    <w:rsid w:val="005F18AD"/>
    <w:pPr>
      <w:spacing w:before="2400" w:after="1920"/>
      <w:jc w:val="center"/>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numPr>
        <w:numId w:val="12"/>
      </w:numPr>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spacing w:before="120" w:after="12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after="12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after="120"/>
    </w:pPr>
    <w:rPr>
      <w:rFonts w:ascii="Arial Bold" w:hAnsi="Arial Bold"/>
      <w:sz w:val="30"/>
      <w:lang w:eastAsia="en-US"/>
    </w:rPr>
  </w:style>
  <w:style w:type="paragraph" w:customStyle="1" w:styleId="AERunnumberedheading3">
    <w:name w:val="AER unnumbered heading 3"/>
    <w:basedOn w:val="Normal"/>
    <w:next w:val="AERbodytext"/>
    <w:rsid w:val="005F18AD"/>
    <w:pPr>
      <w:keepNext/>
      <w:tabs>
        <w:tab w:val="left" w:pos="851"/>
      </w:tabs>
      <w:spacing w:before="240" w:after="120"/>
    </w:pPr>
    <w:rPr>
      <w:rFonts w:ascii="Arial Bold" w:hAnsi="Arial Bold"/>
      <w:lang w:eastAsia="en-US"/>
    </w:rPr>
  </w:style>
  <w:style w:type="paragraph" w:customStyle="1" w:styleId="AERunnumberedheading4">
    <w:name w:val="AER unnumbered heading 4"/>
    <w:basedOn w:val="Normal"/>
    <w:next w:val="AERbodytext"/>
    <w:rsid w:val="005F18AD"/>
    <w:pPr>
      <w:keepNext/>
      <w:tabs>
        <w:tab w:val="left" w:pos="851"/>
        <w:tab w:val="left" w:pos="1080"/>
      </w:tabs>
      <w:spacing w:before="240" w:after="120"/>
      <w:outlineLvl w:val="3"/>
    </w:pPr>
    <w:rPr>
      <w:b/>
      <w:sz w:val="22"/>
      <w:lang w:eastAsia="en-US"/>
    </w:rPr>
  </w:style>
  <w:style w:type="character" w:styleId="PageNumber">
    <w:name w:val="page number"/>
    <w:rsid w:val="005F18AD"/>
    <w:rPr>
      <w:rFonts w:ascii="Arial" w:hAnsi="Arial"/>
      <w:sz w:val="20"/>
    </w:rPr>
  </w:style>
  <w:style w:type="paragraph" w:styleId="Subtitle">
    <w:name w:val="Subtitle"/>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spacing w:before="120" w:after="120"/>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5865DB"/>
    <w:pPr>
      <w:ind w:left="720"/>
    </w:pPr>
  </w:style>
  <w:style w:type="paragraph" w:styleId="Revision">
    <w:name w:val="Revision"/>
    <w:hidden/>
    <w:uiPriority w:val="99"/>
    <w:semiHidden/>
    <w:rsid w:val="0064310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172718091">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6.emf"/><Relationship Id="rId3" Type="http://schemas.microsoft.com/office/2007/relationships/stylesWithEffects" Target="stylesWithEffect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0.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er.gov.au/node/456" TargetMode="External"/><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fontTable" Target="fontTable.xml"/><Relationship Id="rId10" Type="http://schemas.openxmlformats.org/officeDocument/2006/relationships/hyperlink" Target="http://www.aer.gov.au/node/451"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1847</Words>
  <Characters>8594</Characters>
  <Application>Microsoft Office Word</Application>
  <DocSecurity>0</DocSecurity>
  <Lines>71</Lines>
  <Paragraphs>20</Paragraphs>
  <ScaleCrop>false</ScaleCrop>
  <Company/>
  <LinksUpToDate>false</LinksUpToDate>
  <CharactersWithSpaces>10421</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2014-01-31T04:55:00Z</dcterms:created>
  <dcterms:modified xsi:type="dcterms:W3CDTF">2014-01-31T04:55:00Z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I">
    <vt:lpwstr>8126331</vt:lpwstr>
  </property>
</Properties>
</file>